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62C" w:rsidRDefault="0048562C" w:rsidP="0048562C">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64.5pt" o:ole="">
            <v:imagedata r:id="rId7" o:title=""/>
          </v:shape>
          <o:OLEObject Type="Embed" ProgID="Presentations.Drawing.13" ShapeID="_x0000_i1025" DrawAspect="Content" ObjectID="_1625574186" r:id="rId8"/>
        </w:object>
      </w:r>
      <w:r>
        <w:t xml:space="preserve"> </w:t>
      </w:r>
      <w:r>
        <w:ptab w:relativeTo="margin" w:alignment="right" w:leader="none"/>
      </w:r>
    </w:p>
    <w:p w:rsidR="0048562C" w:rsidRDefault="0048562C" w:rsidP="0048562C">
      <w:pPr>
        <w:pStyle w:val="Header"/>
      </w:pPr>
    </w:p>
    <w:p w:rsidR="0048562C" w:rsidRPr="001E12E2" w:rsidRDefault="0048562C" w:rsidP="0048562C">
      <w:pPr>
        <w:jc w:val="center"/>
        <w:rPr>
          <w:b/>
        </w:rPr>
      </w:pPr>
      <w:r w:rsidRPr="001E12E2">
        <w:rPr>
          <w:b/>
        </w:rPr>
        <w:t>COUR SUPRÊME DU CANADA</w:t>
      </w:r>
    </w:p>
    <w:p w:rsidR="0048562C" w:rsidRDefault="0048562C" w:rsidP="0048562C"/>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90"/>
        <w:gridCol w:w="3960"/>
      </w:tblGrid>
      <w:tr w:rsidR="0048562C" w:rsidRPr="001E12E2" w:rsidTr="001760ED">
        <w:trPr>
          <w:cantSplit/>
        </w:trPr>
        <w:tc>
          <w:tcPr>
            <w:tcW w:w="5490" w:type="dxa"/>
          </w:tcPr>
          <w:p w:rsidR="0048562C" w:rsidRPr="00333680" w:rsidRDefault="0048562C" w:rsidP="0048562C">
            <w:pPr>
              <w:spacing w:after="720"/>
              <w:jc w:val="both"/>
              <w:rPr>
                <w:smallCaps/>
                <w:lang w:val="en-US"/>
              </w:rPr>
            </w:pPr>
            <w:r>
              <w:rPr>
                <w:b/>
                <w:smallCaps/>
              </w:rPr>
              <w:t>Référence :</w:t>
            </w:r>
            <w:r w:rsidRPr="001E12E2">
              <w:t xml:space="preserve"> </w:t>
            </w:r>
            <w:r w:rsidRPr="0048562C">
              <w:rPr>
                <w:rStyle w:val="SCCAppellantForIndexChar"/>
                <w:rFonts w:eastAsiaTheme="minorHAnsi"/>
                <w:b w:val="0"/>
              </w:rPr>
              <w:t>R.</w:t>
            </w:r>
            <w:r w:rsidRPr="00803941">
              <w:t xml:space="preserve"> </w:t>
            </w:r>
            <w:r w:rsidRPr="00803941">
              <w:rPr>
                <w:i/>
              </w:rPr>
              <w:t>c.</w:t>
            </w:r>
            <w:r w:rsidRPr="00803941">
              <w:t xml:space="preserve"> </w:t>
            </w:r>
            <w:proofErr w:type="spellStart"/>
            <w:r w:rsidRPr="0048562C">
              <w:rPr>
                <w:rStyle w:val="SCCRespondentForIndexChar"/>
                <w:rFonts w:eastAsiaTheme="minorHAnsi"/>
                <w:b w:val="0"/>
              </w:rPr>
              <w:t>Awashish</w:t>
            </w:r>
            <w:proofErr w:type="spellEnd"/>
            <w:r w:rsidRPr="0048562C">
              <w:rPr>
                <w:rStyle w:val="SCCRespondentForIndexChar"/>
                <w:rFonts w:eastAsiaTheme="minorHAnsi"/>
                <w:b w:val="0"/>
              </w:rPr>
              <w:t>, 2018 CSC 45</w:t>
            </w:r>
            <w:r>
              <w:rPr>
                <w:rStyle w:val="SCCRespondentForIndexChar"/>
                <w:rFonts w:eastAsiaTheme="minorHAnsi"/>
                <w:b w:val="0"/>
              </w:rPr>
              <w:t xml:space="preserve">, </w:t>
            </w:r>
            <w:bookmarkStart w:id="0" w:name="_GoBack"/>
            <w:bookmarkEnd w:id="0"/>
            <w:r w:rsidRPr="00333680">
              <w:rPr>
                <w:lang w:val="en-US"/>
              </w:rPr>
              <w:t>[2018] 3 R.C.S. 87</w:t>
            </w:r>
          </w:p>
          <w:p w:rsidR="0048562C" w:rsidRPr="001E12E2" w:rsidRDefault="0048562C" w:rsidP="001760ED"/>
        </w:tc>
        <w:tc>
          <w:tcPr>
            <w:tcW w:w="3960" w:type="dxa"/>
          </w:tcPr>
          <w:p w:rsidR="0048562C" w:rsidRPr="0048562C" w:rsidRDefault="0048562C" w:rsidP="001760ED">
            <w:pPr>
              <w:rPr>
                <w:b/>
                <w:smallCaps/>
                <w:lang w:val="fr-CA"/>
              </w:rPr>
            </w:pPr>
            <w:r w:rsidRPr="0048562C">
              <w:rPr>
                <w:b/>
                <w:smallCaps/>
                <w:lang w:val="fr-CA"/>
              </w:rPr>
              <w:t xml:space="preserve">Appel entendu : </w:t>
            </w:r>
            <w:r w:rsidRPr="0048562C">
              <w:rPr>
                <w:lang w:val="fr-CA"/>
              </w:rPr>
              <w:t>7 février 2018</w:t>
            </w:r>
          </w:p>
          <w:p w:rsidR="0048562C" w:rsidRPr="0048562C" w:rsidRDefault="0048562C" w:rsidP="001760ED">
            <w:pPr>
              <w:rPr>
                <w:lang w:val="fr-CA"/>
              </w:rPr>
            </w:pPr>
            <w:r w:rsidRPr="0048562C">
              <w:rPr>
                <w:b/>
                <w:smallCaps/>
                <w:lang w:val="fr-CA"/>
              </w:rPr>
              <w:t>Jugement rendu :</w:t>
            </w:r>
            <w:r w:rsidRPr="0048562C">
              <w:rPr>
                <w:lang w:val="fr-CA"/>
              </w:rPr>
              <w:t xml:space="preserve"> 26 octobre 2018</w:t>
            </w:r>
          </w:p>
          <w:p w:rsidR="0048562C" w:rsidRPr="001E12E2" w:rsidRDefault="0048562C" w:rsidP="001760ED">
            <w:r w:rsidRPr="001E12E2">
              <w:rPr>
                <w:b/>
                <w:smallCaps/>
              </w:rPr>
              <w:t>Do</w:t>
            </w:r>
            <w:r>
              <w:rPr>
                <w:b/>
                <w:smallCaps/>
              </w:rPr>
              <w:t>ssier :</w:t>
            </w:r>
            <w:r w:rsidRPr="001E12E2">
              <w:t xml:space="preserve"> </w:t>
            </w:r>
            <w:r>
              <w:t>37207</w:t>
            </w:r>
          </w:p>
        </w:tc>
      </w:tr>
    </w:tbl>
    <w:p w:rsidR="0048562C" w:rsidRPr="001E12E2" w:rsidRDefault="0048562C" w:rsidP="0048562C"/>
    <w:p w:rsidR="0048562C" w:rsidRDefault="0048562C" w:rsidP="0048562C">
      <w:pPr>
        <w:pStyle w:val="SCCLsocPrefix"/>
      </w:pPr>
      <w:r>
        <w:t>Entre :</w:t>
      </w:r>
    </w:p>
    <w:p w:rsidR="0048562C" w:rsidRDefault="0048562C" w:rsidP="0048562C">
      <w:pPr>
        <w:pStyle w:val="SCCLsocParty"/>
        <w:jc w:val="center"/>
      </w:pPr>
      <w:r>
        <w:t xml:space="preserve">Sa </w:t>
      </w:r>
      <w:proofErr w:type="spellStart"/>
      <w:r>
        <w:t>Majesté</w:t>
      </w:r>
      <w:proofErr w:type="spellEnd"/>
      <w:r>
        <w:t xml:space="preserve"> la </w:t>
      </w:r>
      <w:proofErr w:type="spellStart"/>
      <w:r>
        <w:t>Reine</w:t>
      </w:r>
      <w:proofErr w:type="spellEnd"/>
    </w:p>
    <w:p w:rsidR="0048562C" w:rsidRDefault="0048562C" w:rsidP="0048562C">
      <w:pPr>
        <w:jc w:val="center"/>
      </w:pPr>
      <w:proofErr w:type="spellStart"/>
      <w:r>
        <w:t>Appelante</w:t>
      </w:r>
      <w:proofErr w:type="spellEnd"/>
    </w:p>
    <w:p w:rsidR="0048562C" w:rsidRPr="00803941" w:rsidRDefault="0048562C" w:rsidP="0048562C">
      <w:pPr>
        <w:jc w:val="center"/>
      </w:pPr>
    </w:p>
    <w:p w:rsidR="0048562C" w:rsidRPr="0048562C" w:rsidRDefault="0048562C" w:rsidP="0048562C">
      <w:pPr>
        <w:pStyle w:val="SCCLsocVersus"/>
        <w:spacing w:after="0"/>
        <w:jc w:val="center"/>
        <w:rPr>
          <w:i w:val="0"/>
        </w:rPr>
      </w:pPr>
      <w:proofErr w:type="gramStart"/>
      <w:r w:rsidRPr="0048562C">
        <w:rPr>
          <w:i w:val="0"/>
        </w:rPr>
        <w:t>et</w:t>
      </w:r>
      <w:proofErr w:type="gramEnd"/>
    </w:p>
    <w:p w:rsidR="0048562C" w:rsidRDefault="0048562C" w:rsidP="0048562C">
      <w:pPr>
        <w:pStyle w:val="SCCLsocParty"/>
        <w:jc w:val="center"/>
      </w:pPr>
    </w:p>
    <w:p w:rsidR="0048562C" w:rsidRDefault="0048562C" w:rsidP="0048562C">
      <w:pPr>
        <w:pStyle w:val="SCCLsocParty"/>
        <w:jc w:val="center"/>
      </w:pPr>
      <w:r>
        <w:t xml:space="preserve">Justine </w:t>
      </w:r>
      <w:proofErr w:type="spellStart"/>
      <w:r>
        <w:t>Awashish</w:t>
      </w:r>
      <w:proofErr w:type="spellEnd"/>
    </w:p>
    <w:p w:rsidR="0048562C" w:rsidRPr="0048562C" w:rsidRDefault="0048562C" w:rsidP="0048562C">
      <w:pPr>
        <w:jc w:val="center"/>
        <w:rPr>
          <w:lang w:val="fr-CA"/>
        </w:rPr>
      </w:pPr>
      <w:r w:rsidRPr="0048562C">
        <w:rPr>
          <w:lang w:val="fr-CA"/>
        </w:rPr>
        <w:t>Intimée</w:t>
      </w:r>
    </w:p>
    <w:p w:rsidR="0048562C" w:rsidRPr="0048562C" w:rsidRDefault="0048562C" w:rsidP="0048562C">
      <w:pPr>
        <w:jc w:val="center"/>
        <w:rPr>
          <w:lang w:val="fr-CA"/>
        </w:rPr>
      </w:pPr>
    </w:p>
    <w:p w:rsidR="0048562C" w:rsidRPr="0048562C" w:rsidRDefault="0048562C" w:rsidP="0048562C">
      <w:pPr>
        <w:pStyle w:val="SCCLsocOtherPartySeparator"/>
        <w:spacing w:after="0"/>
        <w:jc w:val="center"/>
        <w:rPr>
          <w:lang w:val="fr-CA"/>
        </w:rPr>
      </w:pPr>
      <w:r w:rsidRPr="0048562C">
        <w:rPr>
          <w:lang w:val="fr-CA"/>
        </w:rPr>
        <w:t>- et -</w:t>
      </w:r>
    </w:p>
    <w:p w:rsidR="0048562C" w:rsidRPr="0048562C" w:rsidRDefault="0048562C" w:rsidP="0048562C">
      <w:pPr>
        <w:pStyle w:val="SCCLsocParty"/>
        <w:jc w:val="center"/>
        <w:rPr>
          <w:lang w:val="fr-CA"/>
        </w:rPr>
      </w:pPr>
    </w:p>
    <w:p w:rsidR="0048562C" w:rsidRPr="0048562C" w:rsidRDefault="0048562C" w:rsidP="0048562C">
      <w:pPr>
        <w:pStyle w:val="SCCLsocParty"/>
        <w:jc w:val="center"/>
        <w:rPr>
          <w:lang w:val="fr-CA"/>
        </w:rPr>
      </w:pPr>
      <w:r w:rsidRPr="0048562C">
        <w:rPr>
          <w:lang w:val="fr-CA"/>
        </w:rPr>
        <w:t>Procureure générale de l’Ontario</w:t>
      </w:r>
    </w:p>
    <w:p w:rsidR="0048562C" w:rsidRPr="0048562C" w:rsidRDefault="0048562C" w:rsidP="0048562C">
      <w:pPr>
        <w:jc w:val="center"/>
        <w:rPr>
          <w:lang w:val="fr-CA"/>
        </w:rPr>
      </w:pPr>
      <w:r w:rsidRPr="0048562C">
        <w:rPr>
          <w:lang w:val="fr-CA"/>
        </w:rPr>
        <w:t>Intervenante</w:t>
      </w:r>
    </w:p>
    <w:p w:rsidR="0048562C" w:rsidRPr="0048562C" w:rsidRDefault="0048562C" w:rsidP="0048562C">
      <w:pPr>
        <w:jc w:val="center"/>
        <w:rPr>
          <w:lang w:val="fr-CA"/>
        </w:rPr>
      </w:pPr>
    </w:p>
    <w:p w:rsidR="0048562C" w:rsidRPr="0048562C" w:rsidRDefault="0048562C" w:rsidP="0048562C">
      <w:pPr>
        <w:rPr>
          <w:lang w:val="fr-CA"/>
        </w:rPr>
      </w:pPr>
    </w:p>
    <w:p w:rsidR="0048562C" w:rsidRPr="0048562C" w:rsidRDefault="0048562C" w:rsidP="0048562C">
      <w:pPr>
        <w:rPr>
          <w:lang w:val="fr-CA"/>
        </w:rPr>
      </w:pPr>
      <w:r w:rsidRPr="0048562C">
        <w:rPr>
          <w:b/>
          <w:smallCaps/>
          <w:lang w:val="fr-CA"/>
        </w:rPr>
        <w:t>Coram :</w:t>
      </w:r>
      <w:r w:rsidRPr="0048562C">
        <w:rPr>
          <w:lang w:val="fr-CA"/>
        </w:rPr>
        <w:t xml:space="preserve"> Le juge en chef Wagner et les juges Abella, </w:t>
      </w:r>
      <w:proofErr w:type="spellStart"/>
      <w:r w:rsidRPr="0048562C">
        <w:rPr>
          <w:lang w:val="fr-CA"/>
        </w:rPr>
        <w:t>Moldaver</w:t>
      </w:r>
      <w:proofErr w:type="spellEnd"/>
      <w:r w:rsidRPr="0048562C">
        <w:rPr>
          <w:lang w:val="fr-CA"/>
        </w:rPr>
        <w:t xml:space="preserve">, </w:t>
      </w:r>
      <w:proofErr w:type="spellStart"/>
      <w:r w:rsidRPr="0048562C">
        <w:rPr>
          <w:lang w:val="fr-CA"/>
        </w:rPr>
        <w:t>Karakatsanis</w:t>
      </w:r>
      <w:proofErr w:type="spellEnd"/>
      <w:r w:rsidRPr="0048562C">
        <w:rPr>
          <w:lang w:val="fr-CA"/>
        </w:rPr>
        <w:t>, Gascon, Côté, Brown, Rowe et Martin</w:t>
      </w:r>
    </w:p>
    <w:p w:rsidR="0048562C" w:rsidRPr="0048562C" w:rsidRDefault="0048562C" w:rsidP="0048562C">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8562C" w:rsidRPr="0048562C" w:rsidTr="001760ED">
        <w:trPr>
          <w:cantSplit/>
        </w:trPr>
        <w:tc>
          <w:tcPr>
            <w:tcW w:w="3618" w:type="dxa"/>
          </w:tcPr>
          <w:p w:rsidR="0048562C" w:rsidRPr="0048562C" w:rsidRDefault="0048562C" w:rsidP="001760ED">
            <w:pPr>
              <w:rPr>
                <w:b/>
                <w:smallCaps/>
                <w:lang w:val="fr-CA"/>
              </w:rPr>
            </w:pPr>
            <w:r w:rsidRPr="0048562C">
              <w:rPr>
                <w:b/>
                <w:smallCaps/>
                <w:lang w:val="fr-CA"/>
              </w:rPr>
              <w:t>Motifs de jugement :</w:t>
            </w:r>
          </w:p>
          <w:p w:rsidR="0048562C" w:rsidRPr="0048562C" w:rsidRDefault="0048562C" w:rsidP="001760ED">
            <w:pPr>
              <w:rPr>
                <w:lang w:val="fr-CA"/>
              </w:rPr>
            </w:pPr>
            <w:r w:rsidRPr="0048562C">
              <w:rPr>
                <w:lang w:val="fr-CA"/>
              </w:rPr>
              <w:t>(par. 1 à 28)</w:t>
            </w:r>
          </w:p>
        </w:tc>
        <w:tc>
          <w:tcPr>
            <w:tcW w:w="5958" w:type="dxa"/>
          </w:tcPr>
          <w:p w:rsidR="0048562C" w:rsidRPr="0048562C" w:rsidRDefault="0048562C" w:rsidP="001760ED">
            <w:pPr>
              <w:rPr>
                <w:lang w:val="fr-CA"/>
              </w:rPr>
            </w:pPr>
            <w:r w:rsidRPr="0048562C">
              <w:rPr>
                <w:lang w:val="fr-CA"/>
              </w:rPr>
              <w:t xml:space="preserve">Le juge Rowe (avec l’accord du juge en chef Wagner et des juges Abella, </w:t>
            </w:r>
            <w:proofErr w:type="spellStart"/>
            <w:r w:rsidRPr="0048562C">
              <w:rPr>
                <w:lang w:val="fr-CA"/>
              </w:rPr>
              <w:t>Moldaver</w:t>
            </w:r>
            <w:proofErr w:type="spellEnd"/>
            <w:r w:rsidRPr="0048562C">
              <w:rPr>
                <w:lang w:val="fr-CA"/>
              </w:rPr>
              <w:t xml:space="preserve">, </w:t>
            </w:r>
            <w:proofErr w:type="spellStart"/>
            <w:r w:rsidRPr="0048562C">
              <w:rPr>
                <w:lang w:val="fr-CA"/>
              </w:rPr>
              <w:t>Karakatsanis</w:t>
            </w:r>
            <w:proofErr w:type="spellEnd"/>
            <w:r w:rsidRPr="0048562C">
              <w:rPr>
                <w:lang w:val="fr-CA"/>
              </w:rPr>
              <w:t>, Gascon, Côté, Brown et Martin)</w:t>
            </w:r>
          </w:p>
        </w:tc>
      </w:tr>
    </w:tbl>
    <w:p w:rsidR="0048562C" w:rsidRPr="0048562C" w:rsidRDefault="0048562C" w:rsidP="0048562C">
      <w:pPr>
        <w:rPr>
          <w:lang w:val="fr-CA"/>
        </w:rPr>
      </w:pPr>
    </w:p>
    <w:p w:rsidR="0048562C" w:rsidRPr="0048562C" w:rsidRDefault="0048562C" w:rsidP="0048562C">
      <w:pPr>
        <w:rPr>
          <w:lang w:val="fr-CA"/>
        </w:rPr>
      </w:pPr>
      <w:r>
        <w:rPr>
          <w:noProof/>
          <w:lang w:val="en-US"/>
        </w:rPr>
        <mc:AlternateContent>
          <mc:Choice Requires="wps">
            <w:drawing>
              <wp:anchor distT="0" distB="0" distL="114300" distR="114300" simplePos="0" relativeHeight="251659264" behindDoc="0" locked="0" layoutInCell="1" allowOverlap="1" wp14:anchorId="0EE7B7B2" wp14:editId="6A7EDD63">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18A71F"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48562C" w:rsidRPr="0048562C" w:rsidRDefault="0048562C" w:rsidP="00CB4886">
      <w:pPr>
        <w:spacing w:after="720"/>
        <w:jc w:val="both"/>
        <w:rPr>
          <w:rStyle w:val="SCCAppellantForRunningHeadChar"/>
          <w:smallCaps w:val="0"/>
          <w:lang w:val="fr-CA"/>
        </w:rPr>
      </w:pPr>
    </w:p>
    <w:p w:rsidR="004D7D95" w:rsidRPr="00333680" w:rsidRDefault="00333680" w:rsidP="00CB4886">
      <w:pPr>
        <w:spacing w:after="720"/>
        <w:jc w:val="both"/>
        <w:rPr>
          <w:smallCaps/>
          <w:lang w:val="en-US"/>
        </w:rPr>
      </w:pPr>
      <w:r w:rsidRPr="00333680">
        <w:rPr>
          <w:rStyle w:val="SCCAppellantForRunningHeadChar"/>
          <w:smallCaps w:val="0"/>
          <w:lang w:val="en-US"/>
        </w:rPr>
        <w:t>R</w:t>
      </w:r>
      <w:r w:rsidR="004D7D95" w:rsidRPr="00333680">
        <w:rPr>
          <w:rStyle w:val="SCCAppellantForRunningHeadChar"/>
          <w:smallCaps w:val="0"/>
          <w:lang w:val="en-US"/>
        </w:rPr>
        <w:t>.</w:t>
      </w:r>
      <w:r w:rsidR="004D7D95" w:rsidRPr="00333680">
        <w:rPr>
          <w:smallCaps/>
          <w:lang w:val="en-US"/>
        </w:rPr>
        <w:t xml:space="preserve"> </w:t>
      </w:r>
      <w:r w:rsidR="004D7D95" w:rsidRPr="00333680">
        <w:rPr>
          <w:i/>
          <w:lang w:val="en-US"/>
        </w:rPr>
        <w:t>c.</w:t>
      </w:r>
      <w:r w:rsidR="004D7D95" w:rsidRPr="00333680">
        <w:rPr>
          <w:lang w:val="en-US"/>
        </w:rPr>
        <w:t xml:space="preserve"> </w:t>
      </w:r>
      <w:proofErr w:type="spellStart"/>
      <w:r w:rsidRPr="00333680">
        <w:rPr>
          <w:rStyle w:val="SCCRespondentForRunningHeadChar"/>
          <w:smallCaps w:val="0"/>
          <w:lang w:val="en-US"/>
        </w:rPr>
        <w:t>A</w:t>
      </w:r>
      <w:r w:rsidR="004D7D95" w:rsidRPr="00333680">
        <w:rPr>
          <w:rStyle w:val="SCCRespondentForRunningHeadChar"/>
          <w:smallCaps w:val="0"/>
          <w:lang w:val="en-US"/>
        </w:rPr>
        <w:t>washish</w:t>
      </w:r>
      <w:proofErr w:type="spellEnd"/>
      <w:r w:rsidRPr="00333680">
        <w:rPr>
          <w:rStyle w:val="SCCRespondentForRunningHeadChar"/>
          <w:smallCaps w:val="0"/>
          <w:lang w:val="en-US"/>
        </w:rPr>
        <w:t xml:space="preserve">, </w:t>
      </w:r>
      <w:r w:rsidRPr="00333680">
        <w:rPr>
          <w:lang w:val="en-US"/>
        </w:rPr>
        <w:t>2018 CSC 45, [2018] 3 R.C.S. 87</w:t>
      </w:r>
    </w:p>
    <w:p w:rsidR="00FA70C1" w:rsidRPr="007E7EED" w:rsidRDefault="007A4FCC" w:rsidP="00CB4886">
      <w:pPr>
        <w:pStyle w:val="SCCLsocLastPartyInRole"/>
        <w:rPr>
          <w:lang w:val="fr-CA"/>
        </w:rPr>
      </w:pPr>
      <w:r w:rsidRPr="007E7EED">
        <w:rPr>
          <w:lang w:val="fr-CA"/>
        </w:rPr>
        <w:lastRenderedPageBreak/>
        <w:t>Sa Majesté la Reine</w:t>
      </w:r>
      <w:r w:rsidR="002E2289" w:rsidRPr="007E7EED">
        <w:rPr>
          <w:rStyle w:val="SCCLsocPartyRole"/>
          <w:lang w:val="fr-CA"/>
        </w:rPr>
        <w:tab/>
        <w:t>Appelant</w:t>
      </w:r>
      <w:r w:rsidRPr="007E7EED">
        <w:rPr>
          <w:rStyle w:val="SCCLsocPartyRole"/>
          <w:lang w:val="fr-CA"/>
        </w:rPr>
        <w:t>e</w:t>
      </w:r>
    </w:p>
    <w:p w:rsidR="00FA70C1" w:rsidRPr="007E7EED" w:rsidRDefault="007A4FCC" w:rsidP="00CB4886">
      <w:pPr>
        <w:pStyle w:val="SCCLsocVersus"/>
        <w:rPr>
          <w:lang w:val="fr-CA"/>
        </w:rPr>
      </w:pPr>
      <w:proofErr w:type="gramStart"/>
      <w:r w:rsidRPr="007E7EED">
        <w:rPr>
          <w:lang w:val="fr-CA"/>
        </w:rPr>
        <w:t>c</w:t>
      </w:r>
      <w:proofErr w:type="gramEnd"/>
      <w:r w:rsidRPr="007E7EED">
        <w:rPr>
          <w:lang w:val="fr-CA"/>
        </w:rPr>
        <w:t>.</w:t>
      </w:r>
    </w:p>
    <w:p w:rsidR="00FA70C1" w:rsidRPr="007E7EED" w:rsidRDefault="007A4FCC" w:rsidP="00CB4886">
      <w:pPr>
        <w:pStyle w:val="SCCLsocLastPartyInRole"/>
        <w:rPr>
          <w:lang w:val="fr-CA"/>
        </w:rPr>
      </w:pPr>
      <w:r w:rsidRPr="007E7EED">
        <w:rPr>
          <w:lang w:val="fr-CA"/>
        </w:rPr>
        <w:t>Justine Awashish</w:t>
      </w:r>
      <w:r w:rsidR="002E2289" w:rsidRPr="007E7EED">
        <w:rPr>
          <w:rStyle w:val="SCCLsocPartyRole"/>
          <w:lang w:val="fr-CA"/>
        </w:rPr>
        <w:tab/>
        <w:t>Intimé</w:t>
      </w:r>
      <w:r w:rsidRPr="007E7EED">
        <w:rPr>
          <w:rStyle w:val="SCCLsocPartyRole"/>
          <w:lang w:val="fr-CA"/>
        </w:rPr>
        <w:t>e</w:t>
      </w:r>
    </w:p>
    <w:p w:rsidR="00FA70C1" w:rsidRPr="007E7EED" w:rsidRDefault="007A4FCC" w:rsidP="00CB4886">
      <w:pPr>
        <w:pStyle w:val="SCCLsocOtherPartySeparator"/>
        <w:rPr>
          <w:lang w:val="fr-CA"/>
        </w:rPr>
      </w:pPr>
      <w:proofErr w:type="gramStart"/>
      <w:r w:rsidRPr="007E7EED">
        <w:rPr>
          <w:lang w:val="fr-CA"/>
        </w:rPr>
        <w:t>et</w:t>
      </w:r>
      <w:proofErr w:type="gramEnd"/>
    </w:p>
    <w:p w:rsidR="00FA70C1" w:rsidRPr="007E7EED" w:rsidRDefault="007A4FCC" w:rsidP="00CB4886">
      <w:pPr>
        <w:pStyle w:val="SCCLsocLastPartyInRole"/>
        <w:rPr>
          <w:lang w:val="fr-CA"/>
        </w:rPr>
      </w:pPr>
      <w:r w:rsidRPr="007E7EED">
        <w:rPr>
          <w:lang w:val="fr-CA"/>
        </w:rPr>
        <w:t>Procureur</w:t>
      </w:r>
      <w:r w:rsidR="009F7871" w:rsidRPr="007E7EED">
        <w:rPr>
          <w:lang w:val="fr-CA"/>
        </w:rPr>
        <w:t>e</w:t>
      </w:r>
      <w:r w:rsidRPr="007E7EED">
        <w:rPr>
          <w:lang w:val="fr-CA"/>
        </w:rPr>
        <w:t xml:space="preserve"> général</w:t>
      </w:r>
      <w:r w:rsidR="009F7871" w:rsidRPr="007E7EED">
        <w:rPr>
          <w:lang w:val="fr-CA"/>
        </w:rPr>
        <w:t>e</w:t>
      </w:r>
      <w:r w:rsidRPr="007E7EED">
        <w:rPr>
          <w:lang w:val="fr-CA"/>
        </w:rPr>
        <w:t xml:space="preserve"> de l</w:t>
      </w:r>
      <w:r w:rsidR="001A43AC">
        <w:rPr>
          <w:lang w:val="fr-CA"/>
        </w:rPr>
        <w:t>’</w:t>
      </w:r>
      <w:r w:rsidRPr="007E7EED">
        <w:rPr>
          <w:lang w:val="fr-CA"/>
        </w:rPr>
        <w:t>Ontario</w:t>
      </w:r>
      <w:r w:rsidRPr="007E7EED">
        <w:rPr>
          <w:rStyle w:val="SCCLsocPartyRole"/>
          <w:lang w:val="fr-CA"/>
        </w:rPr>
        <w:tab/>
        <w:t>Intervenant</w:t>
      </w:r>
      <w:r w:rsidR="009F7871" w:rsidRPr="007E7EED">
        <w:rPr>
          <w:rStyle w:val="SCCLsocPartyRole"/>
          <w:lang w:val="fr-CA"/>
        </w:rPr>
        <w:t>e</w:t>
      </w:r>
    </w:p>
    <w:p w:rsidR="004D7D95" w:rsidRPr="007E7EED" w:rsidRDefault="002E2289" w:rsidP="00CB4886">
      <w:pPr>
        <w:spacing w:after="720"/>
        <w:jc w:val="both"/>
        <w:rPr>
          <w:b/>
          <w:lang w:val="fr-CA"/>
        </w:rPr>
      </w:pPr>
      <w:r w:rsidRPr="007E7EED">
        <w:rPr>
          <w:b/>
          <w:lang w:val="fr-CA"/>
        </w:rPr>
        <w:t>Répertorié</w:t>
      </w:r>
      <w:r w:rsidR="00E048E5">
        <w:rPr>
          <w:b/>
          <w:lang w:val="fr-CA"/>
        </w:rPr>
        <w:t> :</w:t>
      </w:r>
      <w:r w:rsidRPr="007E7EED">
        <w:rPr>
          <w:b/>
          <w:lang w:val="fr-CA"/>
        </w:rPr>
        <w:t> </w:t>
      </w:r>
      <w:r w:rsidR="004D7D95" w:rsidRPr="007E7EED">
        <w:rPr>
          <w:rStyle w:val="SCCAppellantForIndexChar"/>
          <w:lang w:val="fr-CA"/>
        </w:rPr>
        <w:t>R.</w:t>
      </w:r>
      <w:r w:rsidR="004D7D95" w:rsidRPr="007E7EED">
        <w:rPr>
          <w:b/>
          <w:lang w:val="fr-CA"/>
        </w:rPr>
        <w:t xml:space="preserve"> </w:t>
      </w:r>
      <w:r w:rsidR="004D7D95" w:rsidRPr="007E7EED">
        <w:rPr>
          <w:b/>
          <w:i/>
          <w:lang w:val="fr-CA"/>
        </w:rPr>
        <w:t>c.</w:t>
      </w:r>
      <w:r w:rsidR="004D7D95" w:rsidRPr="007E7EED">
        <w:rPr>
          <w:b/>
          <w:lang w:val="fr-CA"/>
        </w:rPr>
        <w:t xml:space="preserve"> </w:t>
      </w:r>
      <w:r w:rsidR="004D7D95" w:rsidRPr="007E7EED">
        <w:rPr>
          <w:rStyle w:val="SCCRespondentForIndexChar"/>
          <w:lang w:val="fr-CA"/>
        </w:rPr>
        <w:t>Awashish</w:t>
      </w:r>
    </w:p>
    <w:p w:rsidR="004D7D95" w:rsidRPr="007E7EED" w:rsidRDefault="00D17B0E" w:rsidP="00CB4886">
      <w:pPr>
        <w:pStyle w:val="SCCSystemYear"/>
        <w:spacing w:after="720"/>
        <w:jc w:val="both"/>
        <w:rPr>
          <w:lang w:val="fr-CA"/>
        </w:rPr>
      </w:pPr>
      <w:r w:rsidRPr="007E7EED">
        <w:rPr>
          <w:lang w:val="fr-CA"/>
        </w:rPr>
        <w:t>2018</w:t>
      </w:r>
      <w:r w:rsidR="004D7D95" w:rsidRPr="007E7EED">
        <w:rPr>
          <w:lang w:val="fr-CA"/>
        </w:rPr>
        <w:t xml:space="preserve"> CSC </w:t>
      </w:r>
      <w:r w:rsidR="00134013" w:rsidRPr="007E7EED">
        <w:rPr>
          <w:lang w:val="fr-CA"/>
        </w:rPr>
        <w:t>45</w:t>
      </w:r>
    </w:p>
    <w:p w:rsidR="004D7D95" w:rsidRPr="007E7EED" w:rsidRDefault="004D7D95" w:rsidP="00CB4886">
      <w:pPr>
        <w:spacing w:after="720"/>
        <w:jc w:val="both"/>
        <w:rPr>
          <w:lang w:val="fr-CA"/>
        </w:rPr>
      </w:pPr>
      <w:r w:rsidRPr="007E7EED">
        <w:rPr>
          <w:lang w:val="fr-CA"/>
        </w:rPr>
        <w:t>N</w:t>
      </w:r>
      <w:r w:rsidRPr="007E7EED">
        <w:rPr>
          <w:vertAlign w:val="superscript"/>
          <w:lang w:val="fr-CA"/>
        </w:rPr>
        <w:t>o</w:t>
      </w:r>
      <w:r w:rsidRPr="007E7EED">
        <w:rPr>
          <w:lang w:val="fr-CA"/>
        </w:rPr>
        <w:t xml:space="preserve"> du greffe</w:t>
      </w:r>
      <w:r w:rsidR="00E048E5">
        <w:rPr>
          <w:lang w:val="fr-CA"/>
        </w:rPr>
        <w:t> :</w:t>
      </w:r>
      <w:r w:rsidRPr="007E7EED">
        <w:rPr>
          <w:lang w:val="fr-CA"/>
        </w:rPr>
        <w:t> 37207.</w:t>
      </w:r>
    </w:p>
    <w:p w:rsidR="004D7D95" w:rsidRPr="007E7EED" w:rsidRDefault="00CB4886" w:rsidP="00CB4886">
      <w:pPr>
        <w:spacing w:after="720"/>
        <w:jc w:val="both"/>
        <w:rPr>
          <w:lang w:val="fr-CA"/>
        </w:rPr>
      </w:pPr>
      <w:r w:rsidRPr="007E7EED">
        <w:rPr>
          <w:lang w:val="fr-CA"/>
        </w:rPr>
        <w:t>2018</w:t>
      </w:r>
      <w:r w:rsidR="00E048E5">
        <w:rPr>
          <w:lang w:val="fr-CA"/>
        </w:rPr>
        <w:t> :</w:t>
      </w:r>
      <w:r w:rsidRPr="007E7EED">
        <w:rPr>
          <w:lang w:val="fr-CA"/>
        </w:rPr>
        <w:t> 7 </w:t>
      </w:r>
      <w:r w:rsidR="00D17B0E" w:rsidRPr="007E7EED">
        <w:rPr>
          <w:lang w:val="fr-CA"/>
        </w:rPr>
        <w:t>février</w:t>
      </w:r>
      <w:r w:rsidR="004D7D95" w:rsidRPr="007E7EED">
        <w:rPr>
          <w:lang w:val="fr-CA"/>
        </w:rPr>
        <w:t xml:space="preserve">; </w:t>
      </w:r>
      <w:r w:rsidR="009569D5" w:rsidRPr="007E7EED">
        <w:rPr>
          <w:lang w:val="fr-CA"/>
        </w:rPr>
        <w:t>2018</w:t>
      </w:r>
      <w:r w:rsidR="00E048E5">
        <w:rPr>
          <w:lang w:val="fr-CA"/>
        </w:rPr>
        <w:t> : </w:t>
      </w:r>
      <w:r w:rsidR="001A43AC">
        <w:rPr>
          <w:lang w:val="fr-CA"/>
        </w:rPr>
        <w:t>26 </w:t>
      </w:r>
      <w:r w:rsidR="00546558" w:rsidRPr="007E7EED">
        <w:rPr>
          <w:lang w:val="fr-CA"/>
        </w:rPr>
        <w:t>octobre.</w:t>
      </w:r>
    </w:p>
    <w:p w:rsidR="004D7D95" w:rsidRPr="007E7EED" w:rsidRDefault="004D7D95" w:rsidP="00CB4886">
      <w:pPr>
        <w:spacing w:after="720"/>
        <w:jc w:val="both"/>
        <w:rPr>
          <w:lang w:val="fr-CA"/>
        </w:rPr>
      </w:pPr>
      <w:r w:rsidRPr="007E7EED">
        <w:rPr>
          <w:lang w:val="fr-CA"/>
        </w:rPr>
        <w:t>Présents</w:t>
      </w:r>
      <w:r w:rsidR="00E048E5">
        <w:rPr>
          <w:lang w:val="fr-CA"/>
        </w:rPr>
        <w:t> :</w:t>
      </w:r>
      <w:r w:rsidRPr="007E7EED">
        <w:rPr>
          <w:lang w:val="fr-CA"/>
        </w:rPr>
        <w:t> </w:t>
      </w:r>
      <w:r w:rsidR="00B963B5" w:rsidRPr="007E7EED">
        <w:rPr>
          <w:lang w:val="fr-CA"/>
        </w:rPr>
        <w:t>Le juge en chef Wagner et les juges Abella, Moldaver, Karakatsanis, Gascon, Côté, Brown, Rowe et Martin</w:t>
      </w:r>
      <w:r w:rsidRPr="007E7EED">
        <w:rPr>
          <w:lang w:val="fr-CA"/>
        </w:rPr>
        <w:t>.</w:t>
      </w:r>
    </w:p>
    <w:p w:rsidR="004D7D95" w:rsidRPr="007E7EED" w:rsidRDefault="004D7D95" w:rsidP="00CB4886">
      <w:pPr>
        <w:spacing w:after="720"/>
        <w:jc w:val="both"/>
        <w:rPr>
          <w:smallCaps/>
          <w:lang w:val="fr-CA"/>
        </w:rPr>
      </w:pPr>
      <w:r w:rsidRPr="007E7EED">
        <w:rPr>
          <w:smallCaps/>
          <w:lang w:val="fr-CA"/>
        </w:rPr>
        <w:t>en appel de la cour d</w:t>
      </w:r>
      <w:r w:rsidR="001A43AC">
        <w:rPr>
          <w:smallCaps/>
          <w:lang w:val="fr-CA"/>
        </w:rPr>
        <w:t>’</w:t>
      </w:r>
      <w:r w:rsidRPr="007E7EED">
        <w:rPr>
          <w:smallCaps/>
          <w:lang w:val="fr-CA"/>
        </w:rPr>
        <w:t xml:space="preserve">appel du </w:t>
      </w:r>
      <w:proofErr w:type="spellStart"/>
      <w:r w:rsidRPr="007E7EED">
        <w:rPr>
          <w:smallCaps/>
          <w:lang w:val="fr-CA"/>
        </w:rPr>
        <w:t>québec</w:t>
      </w:r>
      <w:proofErr w:type="spellEnd"/>
    </w:p>
    <w:p w:rsidR="00D1082F" w:rsidRPr="007E7EED" w:rsidRDefault="004D7D95" w:rsidP="00D1082F">
      <w:pPr>
        <w:pStyle w:val="SCCNormalDoubleSpacing"/>
        <w:spacing w:after="480"/>
        <w:rPr>
          <w:rStyle w:val="QuoteChar"/>
          <w:iCs w:val="0"/>
          <w:color w:val="auto"/>
          <w:lang w:val="fr-CA"/>
        </w:rPr>
      </w:pPr>
      <w:r w:rsidRPr="007E7EED">
        <w:rPr>
          <w:lang w:val="fr-CA"/>
        </w:rPr>
        <w:tab/>
      </w:r>
      <w:r w:rsidR="00D1082F" w:rsidRPr="007E7EED">
        <w:rPr>
          <w:i/>
          <w:lang w:val="fr-CA"/>
        </w:rPr>
        <w:t>Droit criminel</w:t>
      </w:r>
      <w:r w:rsidR="00D1082F" w:rsidRPr="007E7EED">
        <w:rPr>
          <w:rStyle w:val="QuoteChar"/>
          <w:color w:val="auto"/>
          <w:lang w:val="fr-CA"/>
        </w:rPr>
        <w:t xml:space="preserve"> </w:t>
      </w:r>
      <w:r w:rsidR="00AC0964" w:rsidRPr="007E7EED">
        <w:rPr>
          <w:i/>
          <w:lang w:val="fr-CA"/>
        </w:rPr>
        <w:t>—</w:t>
      </w:r>
      <w:r w:rsidR="00D1082F" w:rsidRPr="007E7EED">
        <w:rPr>
          <w:rStyle w:val="QuoteChar"/>
          <w:color w:val="auto"/>
          <w:lang w:val="fr-CA"/>
        </w:rPr>
        <w:t xml:space="preserve"> Ordonnances interlocutoires</w:t>
      </w:r>
      <w:r w:rsidR="00D1082F" w:rsidRPr="007E7EED">
        <w:rPr>
          <w:i/>
          <w:lang w:val="fr-CA"/>
        </w:rPr>
        <w:t xml:space="preserve"> </w:t>
      </w:r>
      <w:r w:rsidR="00AC0964" w:rsidRPr="007E7EED">
        <w:rPr>
          <w:i/>
          <w:lang w:val="fr-CA"/>
        </w:rPr>
        <w:t>—</w:t>
      </w:r>
      <w:r w:rsidR="00D1082F" w:rsidRPr="007E7EED">
        <w:rPr>
          <w:i/>
          <w:lang w:val="fr-CA"/>
        </w:rPr>
        <w:t xml:space="preserve"> </w:t>
      </w:r>
      <w:r w:rsidR="00A40CD0" w:rsidRPr="007E7EED">
        <w:rPr>
          <w:i/>
          <w:lang w:val="fr-CA"/>
        </w:rPr>
        <w:t>Révision</w:t>
      </w:r>
      <w:r w:rsidR="00D1082F" w:rsidRPr="007E7EED">
        <w:rPr>
          <w:i/>
          <w:lang w:val="fr-CA"/>
        </w:rPr>
        <w:t xml:space="preserve"> </w:t>
      </w:r>
      <w:r w:rsidR="00AC0964" w:rsidRPr="007E7EED">
        <w:rPr>
          <w:i/>
          <w:lang w:val="fr-CA"/>
        </w:rPr>
        <w:t>—</w:t>
      </w:r>
      <w:r w:rsidR="00D1082F" w:rsidRPr="007E7EED">
        <w:rPr>
          <w:i/>
          <w:lang w:val="fr-CA"/>
        </w:rPr>
        <w:t xml:space="preserve"> Juge de la cour provinciale accueillant la demande présentée par l</w:t>
      </w:r>
      <w:r w:rsidR="001A43AC">
        <w:rPr>
          <w:i/>
          <w:lang w:val="fr-CA"/>
        </w:rPr>
        <w:t>’</w:t>
      </w:r>
      <w:r w:rsidR="00D1082F" w:rsidRPr="007E7EED">
        <w:rPr>
          <w:i/>
          <w:lang w:val="fr-CA"/>
        </w:rPr>
        <w:t>accusé</w:t>
      </w:r>
      <w:r w:rsidR="00912EDD">
        <w:rPr>
          <w:i/>
          <w:lang w:val="fr-CA"/>
        </w:rPr>
        <w:t>e</w:t>
      </w:r>
      <w:r w:rsidR="00D1082F" w:rsidRPr="007E7EED">
        <w:rPr>
          <w:i/>
          <w:lang w:val="fr-CA"/>
        </w:rPr>
        <w:t xml:space="preserve"> en vue d</w:t>
      </w:r>
      <w:r w:rsidR="001A43AC">
        <w:rPr>
          <w:i/>
          <w:lang w:val="fr-CA"/>
        </w:rPr>
        <w:t>’</w:t>
      </w:r>
      <w:r w:rsidR="00D1082F" w:rsidRPr="007E7EED">
        <w:rPr>
          <w:i/>
          <w:lang w:val="fr-CA"/>
        </w:rPr>
        <w:t>obtenir la communication de renseignements sur l</w:t>
      </w:r>
      <w:r w:rsidR="001A43AC">
        <w:rPr>
          <w:i/>
          <w:lang w:val="fr-CA"/>
        </w:rPr>
        <w:t>’</w:t>
      </w:r>
      <w:r w:rsidR="00D1082F" w:rsidRPr="007E7EED">
        <w:rPr>
          <w:i/>
          <w:lang w:val="fr-CA"/>
        </w:rPr>
        <w:t xml:space="preserve">existence et la pertinence de documents </w:t>
      </w:r>
      <w:r w:rsidR="004B3E1B">
        <w:rPr>
          <w:i/>
          <w:lang w:val="fr-CA"/>
        </w:rPr>
        <w:t>—</w:t>
      </w:r>
      <w:r w:rsidR="00D1082F" w:rsidRPr="007E7EED">
        <w:rPr>
          <w:i/>
          <w:lang w:val="fr-CA"/>
        </w:rPr>
        <w:t xml:space="preserve"> </w:t>
      </w:r>
      <w:proofErr w:type="spellStart"/>
      <w:r w:rsidR="00D1082F" w:rsidRPr="007E7EED">
        <w:rPr>
          <w:i/>
          <w:lang w:val="fr-CA"/>
        </w:rPr>
        <w:lastRenderedPageBreak/>
        <w:t>Certiorari</w:t>
      </w:r>
      <w:proofErr w:type="spellEnd"/>
      <w:r w:rsidR="00D1082F" w:rsidRPr="007E7EED">
        <w:rPr>
          <w:i/>
          <w:lang w:val="fr-CA"/>
        </w:rPr>
        <w:t xml:space="preserve"> demandé par le ministère public </w:t>
      </w:r>
      <w:r w:rsidR="00D95312" w:rsidRPr="007E7EED">
        <w:rPr>
          <w:i/>
          <w:lang w:val="fr-CA"/>
        </w:rPr>
        <w:t>en cour</w:t>
      </w:r>
      <w:r w:rsidR="00D1082F" w:rsidRPr="007E7EED">
        <w:rPr>
          <w:i/>
          <w:lang w:val="fr-CA"/>
        </w:rPr>
        <w:t xml:space="preserve"> supérieure p</w:t>
      </w:r>
      <w:r w:rsidR="00AC0964" w:rsidRPr="007E7EED">
        <w:rPr>
          <w:i/>
          <w:lang w:val="fr-CA"/>
        </w:rPr>
        <w:t>our faire annuler l</w:t>
      </w:r>
      <w:r w:rsidR="001A43AC">
        <w:rPr>
          <w:i/>
          <w:lang w:val="fr-CA"/>
        </w:rPr>
        <w:t>’</w:t>
      </w:r>
      <w:r w:rsidR="00AC0964" w:rsidRPr="007E7EED">
        <w:rPr>
          <w:i/>
          <w:lang w:val="fr-CA"/>
        </w:rPr>
        <w:t>ordonnance —</w:t>
      </w:r>
      <w:r w:rsidR="00D1082F" w:rsidRPr="007E7EED">
        <w:rPr>
          <w:i/>
          <w:lang w:val="fr-CA"/>
        </w:rPr>
        <w:t xml:space="preserve"> Est</w:t>
      </w:r>
      <w:r w:rsidR="00E048E5">
        <w:rPr>
          <w:i/>
          <w:lang w:val="fr-CA"/>
        </w:rPr>
        <w:noBreakHyphen/>
      </w:r>
      <w:r w:rsidR="00D1082F" w:rsidRPr="007E7EED">
        <w:rPr>
          <w:i/>
          <w:lang w:val="fr-CA"/>
        </w:rPr>
        <w:t xml:space="preserve">il possible de se prévaloir du </w:t>
      </w:r>
      <w:proofErr w:type="spellStart"/>
      <w:r w:rsidR="00D1082F" w:rsidRPr="007E7EED">
        <w:rPr>
          <w:i/>
          <w:lang w:val="fr-CA"/>
        </w:rPr>
        <w:t>certiorari</w:t>
      </w:r>
      <w:proofErr w:type="spellEnd"/>
      <w:r w:rsidR="00D1082F" w:rsidRPr="007E7EED">
        <w:rPr>
          <w:i/>
          <w:lang w:val="fr-CA"/>
        </w:rPr>
        <w:t xml:space="preserve"> pour contester des décisions interlocutoires?</w:t>
      </w:r>
    </w:p>
    <w:p w:rsidR="004D7D95" w:rsidRPr="007E7EED" w:rsidRDefault="00D1082F" w:rsidP="00D1082F">
      <w:pPr>
        <w:pStyle w:val="SCCNormalDoubleSpacing"/>
        <w:spacing w:after="480"/>
        <w:rPr>
          <w:lang w:val="fr-CA"/>
        </w:rPr>
      </w:pPr>
      <w:r w:rsidRPr="007E7EED">
        <w:rPr>
          <w:rStyle w:val="QuoteChar"/>
          <w:color w:val="auto"/>
          <w:lang w:val="fr-CA"/>
        </w:rPr>
        <w:tab/>
        <w:t>Bref</w:t>
      </w:r>
      <w:r w:rsidR="001B15E8">
        <w:rPr>
          <w:rStyle w:val="QuoteChar"/>
          <w:color w:val="auto"/>
          <w:lang w:val="fr-CA"/>
        </w:rPr>
        <w:t>s</w:t>
      </w:r>
      <w:r w:rsidRPr="007E7EED">
        <w:rPr>
          <w:rStyle w:val="QuoteChar"/>
          <w:color w:val="auto"/>
          <w:lang w:val="fr-CA"/>
        </w:rPr>
        <w:t xml:space="preserve"> de prérogative</w:t>
      </w:r>
      <w:r w:rsidR="00AC0964" w:rsidRPr="007E7EED">
        <w:rPr>
          <w:i/>
          <w:lang w:val="fr-CA"/>
        </w:rPr>
        <w:t xml:space="preserve"> — </w:t>
      </w:r>
      <w:proofErr w:type="spellStart"/>
      <w:r w:rsidR="00AC0964" w:rsidRPr="007E7EED">
        <w:rPr>
          <w:i/>
          <w:lang w:val="fr-CA"/>
        </w:rPr>
        <w:t>Certiorari</w:t>
      </w:r>
      <w:proofErr w:type="spellEnd"/>
      <w:r w:rsidR="00AC0964" w:rsidRPr="007E7EED">
        <w:rPr>
          <w:i/>
          <w:lang w:val="fr-CA"/>
        </w:rPr>
        <w:t xml:space="preserve"> —</w:t>
      </w:r>
      <w:r w:rsidRPr="007E7EED">
        <w:rPr>
          <w:i/>
          <w:lang w:val="fr-CA"/>
        </w:rPr>
        <w:t xml:space="preserve"> Possibilité d</w:t>
      </w:r>
      <w:r w:rsidR="001A43AC">
        <w:rPr>
          <w:i/>
          <w:lang w:val="fr-CA"/>
        </w:rPr>
        <w:t>’</w:t>
      </w:r>
      <w:r w:rsidRPr="007E7EED">
        <w:rPr>
          <w:i/>
          <w:lang w:val="fr-CA"/>
        </w:rPr>
        <w:t xml:space="preserve">exercer </w:t>
      </w:r>
      <w:r w:rsidR="004C3A8C" w:rsidRPr="007E7EED">
        <w:rPr>
          <w:i/>
          <w:lang w:val="fr-CA"/>
        </w:rPr>
        <w:t>ce</w:t>
      </w:r>
      <w:r w:rsidR="00AC0964" w:rsidRPr="007E7EED">
        <w:rPr>
          <w:i/>
          <w:lang w:val="fr-CA"/>
        </w:rPr>
        <w:t xml:space="preserve"> recours —</w:t>
      </w:r>
      <w:r w:rsidRPr="007E7EED">
        <w:rPr>
          <w:i/>
          <w:lang w:val="fr-CA"/>
        </w:rPr>
        <w:t xml:space="preserve"> </w:t>
      </w:r>
      <w:proofErr w:type="spellStart"/>
      <w:r w:rsidRPr="007E7EED">
        <w:rPr>
          <w:i/>
          <w:lang w:val="fr-CA"/>
        </w:rPr>
        <w:t>Certiorari</w:t>
      </w:r>
      <w:proofErr w:type="spellEnd"/>
      <w:r w:rsidRPr="007E7EED">
        <w:rPr>
          <w:i/>
          <w:lang w:val="fr-CA"/>
        </w:rPr>
        <w:t xml:space="preserve"> demandé par le ministère public pour faire annuler l</w:t>
      </w:r>
      <w:r w:rsidR="001A43AC">
        <w:rPr>
          <w:i/>
          <w:lang w:val="fr-CA"/>
        </w:rPr>
        <w:t>’</w:t>
      </w:r>
      <w:r w:rsidRPr="007E7EED">
        <w:rPr>
          <w:i/>
          <w:lang w:val="fr-CA"/>
        </w:rPr>
        <w:t>ordonnance interlocutoire d</w:t>
      </w:r>
      <w:r w:rsidR="001A43AC">
        <w:rPr>
          <w:i/>
          <w:lang w:val="fr-CA"/>
        </w:rPr>
        <w:t>’</w:t>
      </w:r>
      <w:r w:rsidRPr="007E7EED">
        <w:rPr>
          <w:i/>
          <w:lang w:val="fr-CA"/>
        </w:rPr>
        <w:t>un</w:t>
      </w:r>
      <w:r w:rsidR="002B6968" w:rsidRPr="007E7EED">
        <w:rPr>
          <w:i/>
          <w:lang w:val="fr-CA"/>
        </w:rPr>
        <w:t>e</w:t>
      </w:r>
      <w:r w:rsidRPr="007E7EED">
        <w:rPr>
          <w:i/>
          <w:lang w:val="fr-CA"/>
        </w:rPr>
        <w:t xml:space="preserve"> juge de la </w:t>
      </w:r>
      <w:r w:rsidR="002B6968" w:rsidRPr="007E7EED">
        <w:rPr>
          <w:i/>
          <w:lang w:val="fr-CA"/>
        </w:rPr>
        <w:t>c</w:t>
      </w:r>
      <w:r w:rsidRPr="007E7EED">
        <w:rPr>
          <w:i/>
          <w:lang w:val="fr-CA"/>
        </w:rPr>
        <w:t xml:space="preserve">our provinciale en matière criminelle </w:t>
      </w:r>
      <w:r w:rsidR="00AC0964" w:rsidRPr="007E7EED">
        <w:rPr>
          <w:i/>
          <w:lang w:val="fr-CA"/>
        </w:rPr>
        <w:t>—</w:t>
      </w:r>
      <w:r w:rsidRPr="007E7EED">
        <w:rPr>
          <w:i/>
          <w:lang w:val="fr-CA"/>
        </w:rPr>
        <w:t xml:space="preserve"> Le ministère public peut</w:t>
      </w:r>
      <w:r w:rsidR="00E048E5">
        <w:rPr>
          <w:i/>
          <w:lang w:val="fr-CA"/>
        </w:rPr>
        <w:noBreakHyphen/>
      </w:r>
      <w:r w:rsidRPr="007E7EED">
        <w:rPr>
          <w:i/>
          <w:lang w:val="fr-CA"/>
        </w:rPr>
        <w:t xml:space="preserve">il recourir au </w:t>
      </w:r>
      <w:proofErr w:type="spellStart"/>
      <w:r w:rsidRPr="007E7EED">
        <w:rPr>
          <w:i/>
          <w:lang w:val="fr-CA"/>
        </w:rPr>
        <w:t>certiorari</w:t>
      </w:r>
      <w:proofErr w:type="spellEnd"/>
      <w:r w:rsidRPr="007E7EED">
        <w:rPr>
          <w:i/>
          <w:lang w:val="fr-CA"/>
        </w:rPr>
        <w:t xml:space="preserve"> pour contester l</w:t>
      </w:r>
      <w:r w:rsidR="001A43AC">
        <w:rPr>
          <w:i/>
          <w:lang w:val="fr-CA"/>
        </w:rPr>
        <w:t>’</w:t>
      </w:r>
      <w:r w:rsidRPr="007E7EED">
        <w:rPr>
          <w:i/>
          <w:lang w:val="fr-CA"/>
        </w:rPr>
        <w:t>ordonnance?</w:t>
      </w:r>
      <w:r w:rsidRPr="007E7EED">
        <w:rPr>
          <w:lang w:val="fr-CA"/>
        </w:rPr>
        <w:t xml:space="preserve"> </w:t>
      </w:r>
    </w:p>
    <w:p w:rsidR="00D1082F" w:rsidRPr="007E7EED" w:rsidRDefault="004D7D95" w:rsidP="00D1082F">
      <w:pPr>
        <w:pStyle w:val="SCCNormalDoubleSpacing"/>
        <w:spacing w:after="480"/>
        <w:rPr>
          <w:i/>
          <w:iCs/>
          <w:lang w:val="fr-CA"/>
        </w:rPr>
      </w:pPr>
      <w:r w:rsidRPr="007E7EED">
        <w:rPr>
          <w:lang w:val="fr-CA"/>
        </w:rPr>
        <w:tab/>
      </w:r>
      <w:r w:rsidR="00D1082F" w:rsidRPr="007E7EED">
        <w:rPr>
          <w:lang w:val="fr-CA"/>
        </w:rPr>
        <w:t>L</w:t>
      </w:r>
      <w:r w:rsidR="001A43AC">
        <w:rPr>
          <w:lang w:val="fr-CA"/>
        </w:rPr>
        <w:t>’</w:t>
      </w:r>
      <w:r w:rsidR="00D1082F" w:rsidRPr="007E7EED">
        <w:rPr>
          <w:lang w:val="fr-CA"/>
        </w:rPr>
        <w:t>accusée a été inculpée de conduite avec les facultés affaiblies et de conduite avec une alcoolémie « supérieure à 80 mg ». Elle a eu gain de cause dans sa demande adressée à la Cour du Québec en vue de contraindre le ministère public à s</w:t>
      </w:r>
      <w:r w:rsidR="001A43AC">
        <w:rPr>
          <w:lang w:val="fr-CA"/>
        </w:rPr>
        <w:t>’</w:t>
      </w:r>
      <w:r w:rsidR="00D1082F" w:rsidRPr="007E7EED">
        <w:rPr>
          <w:lang w:val="fr-CA"/>
        </w:rPr>
        <w:t>enquérir de l</w:t>
      </w:r>
      <w:r w:rsidR="001A43AC">
        <w:rPr>
          <w:lang w:val="fr-CA"/>
        </w:rPr>
        <w:t>’</w:t>
      </w:r>
      <w:r w:rsidR="00D1082F" w:rsidRPr="007E7EED">
        <w:rPr>
          <w:lang w:val="fr-CA"/>
        </w:rPr>
        <w:t>existence de certains documents portant sur l</w:t>
      </w:r>
      <w:r w:rsidR="001A43AC">
        <w:rPr>
          <w:lang w:val="fr-CA"/>
        </w:rPr>
        <w:t>’</w:t>
      </w:r>
      <w:r w:rsidR="00D1082F" w:rsidRPr="007E7EED">
        <w:rPr>
          <w:lang w:val="fr-CA"/>
        </w:rPr>
        <w:t>entretien de l</w:t>
      </w:r>
      <w:r w:rsidR="001A43AC">
        <w:rPr>
          <w:lang w:val="fr-CA"/>
        </w:rPr>
        <w:t>’</w:t>
      </w:r>
      <w:r w:rsidR="00D1082F" w:rsidRPr="007E7EED">
        <w:rPr>
          <w:lang w:val="fr-CA"/>
        </w:rPr>
        <w:t xml:space="preserve">alcootest. Le ministère public a alors demandé un </w:t>
      </w:r>
      <w:proofErr w:type="spellStart"/>
      <w:r w:rsidR="00D1082F" w:rsidRPr="007E7EED">
        <w:rPr>
          <w:i/>
          <w:lang w:val="fr-CA"/>
        </w:rPr>
        <w:t>certiorari</w:t>
      </w:r>
      <w:proofErr w:type="spellEnd"/>
      <w:r w:rsidR="00D1082F" w:rsidRPr="007E7EED">
        <w:rPr>
          <w:lang w:val="fr-CA"/>
        </w:rPr>
        <w:t xml:space="preserve"> en vue de faire annuler l</w:t>
      </w:r>
      <w:r w:rsidR="001A43AC">
        <w:rPr>
          <w:lang w:val="fr-CA"/>
        </w:rPr>
        <w:t>’</w:t>
      </w:r>
      <w:r w:rsidR="00D1082F" w:rsidRPr="007E7EED">
        <w:rPr>
          <w:lang w:val="fr-CA"/>
        </w:rPr>
        <w:t>ordonnance, ce que lui a accordé la Cour supérieure. L</w:t>
      </w:r>
      <w:r w:rsidR="001A43AC">
        <w:rPr>
          <w:lang w:val="fr-CA"/>
        </w:rPr>
        <w:t>’</w:t>
      </w:r>
      <w:r w:rsidR="00D1082F" w:rsidRPr="007E7EED">
        <w:rPr>
          <w:lang w:val="fr-CA"/>
        </w:rPr>
        <w:t>accusée s</w:t>
      </w:r>
      <w:r w:rsidR="001A43AC">
        <w:rPr>
          <w:lang w:val="fr-CA"/>
        </w:rPr>
        <w:t>’</w:t>
      </w:r>
      <w:r w:rsidR="00D1082F" w:rsidRPr="007E7EED">
        <w:rPr>
          <w:lang w:val="fr-CA"/>
        </w:rPr>
        <w:t>est pourvue en appel. La Cour d</w:t>
      </w:r>
      <w:r w:rsidR="001A43AC">
        <w:rPr>
          <w:lang w:val="fr-CA"/>
        </w:rPr>
        <w:t>’</w:t>
      </w:r>
      <w:r w:rsidR="00D1082F" w:rsidRPr="007E7EED">
        <w:rPr>
          <w:lang w:val="fr-CA"/>
        </w:rPr>
        <w:t>appel a accueilli l</w:t>
      </w:r>
      <w:r w:rsidR="001A43AC">
        <w:rPr>
          <w:lang w:val="fr-CA"/>
        </w:rPr>
        <w:t>’</w:t>
      </w:r>
      <w:r w:rsidR="00D1082F" w:rsidRPr="007E7EED">
        <w:rPr>
          <w:lang w:val="fr-CA"/>
        </w:rPr>
        <w:t>appel et statué que l</w:t>
      </w:r>
      <w:r w:rsidR="001A43AC">
        <w:rPr>
          <w:lang w:val="fr-CA"/>
        </w:rPr>
        <w:t>’</w:t>
      </w:r>
      <w:r w:rsidR="00D1082F" w:rsidRPr="007E7EED">
        <w:rPr>
          <w:lang w:val="fr-CA"/>
        </w:rPr>
        <w:t xml:space="preserve">accusé peut se prévaloir du </w:t>
      </w:r>
      <w:proofErr w:type="spellStart"/>
      <w:r w:rsidR="00D1082F" w:rsidRPr="007E7EED">
        <w:rPr>
          <w:i/>
          <w:lang w:val="fr-CA"/>
        </w:rPr>
        <w:t>certiorari</w:t>
      </w:r>
      <w:proofErr w:type="spellEnd"/>
      <w:r w:rsidR="00D1082F" w:rsidRPr="007E7EED">
        <w:rPr>
          <w:i/>
          <w:lang w:val="fr-CA"/>
        </w:rPr>
        <w:t xml:space="preserve"> </w:t>
      </w:r>
      <w:r w:rsidR="00D1082F" w:rsidRPr="007E7EED">
        <w:rPr>
          <w:lang w:val="fr-CA"/>
        </w:rPr>
        <w:t>lorsqu</w:t>
      </w:r>
      <w:r w:rsidR="001A43AC">
        <w:rPr>
          <w:lang w:val="fr-CA"/>
        </w:rPr>
        <w:t>’</w:t>
      </w:r>
      <w:r w:rsidR="00D1082F" w:rsidRPr="007E7EED">
        <w:rPr>
          <w:lang w:val="fr-CA"/>
        </w:rPr>
        <w:t xml:space="preserve">un juge agit sans compétence et, dans certains cas, lorsque le juge commet une erreur de droit manifeste à la lecture du dossier. Dans la présente affaire, elle estimait que le </w:t>
      </w:r>
      <w:proofErr w:type="spellStart"/>
      <w:r w:rsidR="00D1082F" w:rsidRPr="007E7EED">
        <w:rPr>
          <w:i/>
          <w:lang w:val="fr-CA"/>
        </w:rPr>
        <w:t>certiorari</w:t>
      </w:r>
      <w:proofErr w:type="spellEnd"/>
      <w:r w:rsidR="00D1082F" w:rsidRPr="007E7EED">
        <w:rPr>
          <w:i/>
          <w:lang w:val="fr-CA"/>
        </w:rPr>
        <w:t xml:space="preserve"> </w:t>
      </w:r>
      <w:r w:rsidR="00D1082F" w:rsidRPr="007E7EED">
        <w:rPr>
          <w:lang w:val="fr-CA"/>
        </w:rPr>
        <w:t>n</w:t>
      </w:r>
      <w:r w:rsidR="001A43AC">
        <w:rPr>
          <w:lang w:val="fr-CA"/>
        </w:rPr>
        <w:t>’</w:t>
      </w:r>
      <w:r w:rsidR="00D1082F" w:rsidRPr="007E7EED">
        <w:rPr>
          <w:lang w:val="fr-CA"/>
        </w:rPr>
        <w:t>aurait pas dû être accordé car la décision a été rendue dans l</w:t>
      </w:r>
      <w:r w:rsidR="001A43AC">
        <w:rPr>
          <w:lang w:val="fr-CA"/>
        </w:rPr>
        <w:t>’</w:t>
      </w:r>
      <w:r w:rsidR="00D1082F" w:rsidRPr="007E7EED">
        <w:rPr>
          <w:lang w:val="fr-CA"/>
        </w:rPr>
        <w:t xml:space="preserve">exercice de la compétence de la Cour du Québec. </w:t>
      </w:r>
    </w:p>
    <w:p w:rsidR="00D1082F" w:rsidRPr="007E7EED" w:rsidRDefault="00D1082F" w:rsidP="00D1082F">
      <w:pPr>
        <w:pStyle w:val="SCCNormalDoubleSpacing"/>
        <w:spacing w:after="480"/>
        <w:rPr>
          <w:lang w:val="fr-CA"/>
        </w:rPr>
      </w:pPr>
      <w:r w:rsidRPr="007E7EED">
        <w:rPr>
          <w:lang w:val="fr-CA"/>
        </w:rPr>
        <w:tab/>
      </w:r>
      <w:r w:rsidRPr="007E7EED">
        <w:rPr>
          <w:i/>
          <w:lang w:val="fr-CA"/>
        </w:rPr>
        <w:t>Arrêt</w:t>
      </w:r>
      <w:r w:rsidR="00E048E5">
        <w:rPr>
          <w:i/>
          <w:lang w:val="fr-CA"/>
        </w:rPr>
        <w:t> </w:t>
      </w:r>
      <w:r w:rsidR="00E048E5" w:rsidRPr="00710EFE">
        <w:rPr>
          <w:lang w:val="fr-CA"/>
        </w:rPr>
        <w:t>:</w:t>
      </w:r>
      <w:r w:rsidRPr="00710EFE">
        <w:rPr>
          <w:lang w:val="fr-CA"/>
        </w:rPr>
        <w:t xml:space="preserve"> </w:t>
      </w:r>
      <w:r w:rsidRPr="007E7EED">
        <w:rPr>
          <w:lang w:val="fr-CA"/>
        </w:rPr>
        <w:t>Le pourvoi est rejeté.</w:t>
      </w:r>
    </w:p>
    <w:p w:rsidR="00D1082F" w:rsidRPr="007E7EED" w:rsidRDefault="00D1082F" w:rsidP="00D1082F">
      <w:pPr>
        <w:pStyle w:val="SCCNormalDoubleSpacing"/>
        <w:spacing w:after="480"/>
        <w:rPr>
          <w:lang w:val="fr-CA"/>
        </w:rPr>
      </w:pPr>
      <w:r w:rsidRPr="007E7EED">
        <w:rPr>
          <w:lang w:val="fr-CA"/>
        </w:rPr>
        <w:lastRenderedPageBreak/>
        <w:tab/>
        <w:t xml:space="preserve">Les parties à une instance criminelle ne peuvent recourir au </w:t>
      </w:r>
      <w:proofErr w:type="spellStart"/>
      <w:r w:rsidRPr="007E7EED">
        <w:rPr>
          <w:i/>
          <w:lang w:val="fr-CA"/>
        </w:rPr>
        <w:t>certiorari</w:t>
      </w:r>
      <w:proofErr w:type="spellEnd"/>
      <w:r w:rsidRPr="007E7EED">
        <w:rPr>
          <w:i/>
          <w:lang w:val="fr-CA"/>
        </w:rPr>
        <w:t xml:space="preserve"> </w:t>
      </w:r>
      <w:r w:rsidRPr="007E7EED">
        <w:rPr>
          <w:lang w:val="fr-CA"/>
        </w:rPr>
        <w:t>que s</w:t>
      </w:r>
      <w:r w:rsidR="001A43AC">
        <w:rPr>
          <w:lang w:val="fr-CA"/>
        </w:rPr>
        <w:t>’</w:t>
      </w:r>
      <w:r w:rsidRPr="007E7EED">
        <w:rPr>
          <w:lang w:val="fr-CA"/>
        </w:rPr>
        <w:t>il y a erreur de compétence d</w:t>
      </w:r>
      <w:r w:rsidR="001A43AC">
        <w:rPr>
          <w:lang w:val="fr-CA"/>
        </w:rPr>
        <w:t>’</w:t>
      </w:r>
      <w:r w:rsidRPr="007E7EED">
        <w:rPr>
          <w:lang w:val="fr-CA"/>
        </w:rPr>
        <w:t>un juge de la cour provinciale. L</w:t>
      </w:r>
      <w:r w:rsidR="001A43AC">
        <w:rPr>
          <w:lang w:val="fr-CA"/>
        </w:rPr>
        <w:t>’</w:t>
      </w:r>
      <w:r w:rsidRPr="007E7EED">
        <w:rPr>
          <w:lang w:val="fr-CA"/>
        </w:rPr>
        <w:t xml:space="preserve">accès aux recours extraordinaires, notamment le </w:t>
      </w:r>
      <w:proofErr w:type="spellStart"/>
      <w:r w:rsidRPr="007E7EED">
        <w:rPr>
          <w:i/>
          <w:lang w:val="fr-CA"/>
        </w:rPr>
        <w:t>certiorari</w:t>
      </w:r>
      <w:proofErr w:type="spellEnd"/>
      <w:r w:rsidRPr="007E7EED">
        <w:rPr>
          <w:lang w:val="fr-CA"/>
        </w:rPr>
        <w:t>, est balisé par l</w:t>
      </w:r>
      <w:r w:rsidR="001A43AC">
        <w:rPr>
          <w:lang w:val="fr-CA"/>
        </w:rPr>
        <w:t>’</w:t>
      </w:r>
      <w:r w:rsidRPr="007E7EED">
        <w:rPr>
          <w:lang w:val="fr-CA"/>
        </w:rPr>
        <w:t>interdiction générale des appels interlocutoires en matière criminelle. L</w:t>
      </w:r>
      <w:r w:rsidR="001A43AC">
        <w:rPr>
          <w:lang w:val="fr-CA"/>
        </w:rPr>
        <w:t>’</w:t>
      </w:r>
      <w:r w:rsidRPr="007E7EED">
        <w:rPr>
          <w:lang w:val="fr-CA"/>
        </w:rPr>
        <w:t xml:space="preserve">utilisation du </w:t>
      </w:r>
      <w:proofErr w:type="spellStart"/>
      <w:r w:rsidRPr="007E7EED">
        <w:rPr>
          <w:i/>
          <w:lang w:val="fr-CA"/>
        </w:rPr>
        <w:t>certiorari</w:t>
      </w:r>
      <w:proofErr w:type="spellEnd"/>
      <w:r w:rsidRPr="007E7EED">
        <w:rPr>
          <w:i/>
          <w:lang w:val="fr-CA"/>
        </w:rPr>
        <w:t xml:space="preserve"> </w:t>
      </w:r>
      <w:r w:rsidRPr="007E7EED">
        <w:rPr>
          <w:lang w:val="fr-CA"/>
        </w:rPr>
        <w:t>est strictement limitée pour empêcher qu</w:t>
      </w:r>
      <w:r w:rsidR="001A43AC">
        <w:rPr>
          <w:lang w:val="fr-CA"/>
        </w:rPr>
        <w:t>’</w:t>
      </w:r>
      <w:r w:rsidRPr="007E7EED">
        <w:rPr>
          <w:lang w:val="fr-CA"/>
        </w:rPr>
        <w:t>il serve à aller à l</w:t>
      </w:r>
      <w:r w:rsidR="001A43AC">
        <w:rPr>
          <w:lang w:val="fr-CA"/>
        </w:rPr>
        <w:t>’</w:t>
      </w:r>
      <w:r w:rsidRPr="007E7EED">
        <w:rPr>
          <w:lang w:val="fr-CA"/>
        </w:rPr>
        <w:t>encontre de l</w:t>
      </w:r>
      <w:r w:rsidR="001A43AC">
        <w:rPr>
          <w:lang w:val="fr-CA"/>
        </w:rPr>
        <w:t>’</w:t>
      </w:r>
      <w:r w:rsidRPr="007E7EED">
        <w:rPr>
          <w:lang w:val="fr-CA"/>
        </w:rPr>
        <w:t>interdiction. La fragmentation des instances criminelles résultant des appels interlocutoires risque de mener au règlement de questions en l</w:t>
      </w:r>
      <w:r w:rsidR="001A43AC">
        <w:rPr>
          <w:lang w:val="fr-CA"/>
        </w:rPr>
        <w:t>’</w:t>
      </w:r>
      <w:r w:rsidRPr="007E7EED">
        <w:rPr>
          <w:lang w:val="fr-CA"/>
        </w:rPr>
        <w:t>absence d</w:t>
      </w:r>
      <w:r w:rsidR="001A43AC">
        <w:rPr>
          <w:lang w:val="fr-CA"/>
        </w:rPr>
        <w:t>’</w:t>
      </w:r>
      <w:r w:rsidRPr="007E7EED">
        <w:rPr>
          <w:lang w:val="fr-CA"/>
        </w:rPr>
        <w:t>un dossier de preuve complet, ce qui constitue une source importante de retards et une utilisation inefficace des ressources des tribunaux. Si l</w:t>
      </w:r>
      <w:r w:rsidR="001A43AC">
        <w:rPr>
          <w:lang w:val="fr-CA"/>
        </w:rPr>
        <w:t>’</w:t>
      </w:r>
      <w:r w:rsidRPr="007E7EED">
        <w:rPr>
          <w:lang w:val="fr-CA"/>
        </w:rPr>
        <w:t>on permet aux parties d</w:t>
      </w:r>
      <w:r w:rsidR="001A43AC">
        <w:rPr>
          <w:lang w:val="fr-CA"/>
        </w:rPr>
        <w:t>’</w:t>
      </w:r>
      <w:r w:rsidRPr="007E7EED">
        <w:rPr>
          <w:lang w:val="fr-CA"/>
        </w:rPr>
        <w:t xml:space="preserve">obtenir, par voie de </w:t>
      </w:r>
      <w:proofErr w:type="spellStart"/>
      <w:r w:rsidRPr="007E7EED">
        <w:rPr>
          <w:i/>
          <w:lang w:val="fr-CA"/>
        </w:rPr>
        <w:t>certiorari</w:t>
      </w:r>
      <w:proofErr w:type="spellEnd"/>
      <w:r w:rsidRPr="007E7EED">
        <w:rPr>
          <w:lang w:val="fr-CA"/>
        </w:rPr>
        <w:t>, le contrôle d</w:t>
      </w:r>
      <w:r w:rsidR="001A43AC">
        <w:rPr>
          <w:lang w:val="fr-CA"/>
        </w:rPr>
        <w:t>’</w:t>
      </w:r>
      <w:r w:rsidRPr="007E7EED">
        <w:rPr>
          <w:lang w:val="fr-CA"/>
        </w:rPr>
        <w:t xml:space="preserve">une erreur de droit manifeste à la lecture du dossier, tout particulièrement dans une décision en matière de preuve, cela donne lieu à des appels interlocutoires </w:t>
      </w:r>
      <w:r w:rsidRPr="007E7EED">
        <w:rPr>
          <w:i/>
          <w:lang w:val="fr-CA"/>
        </w:rPr>
        <w:t>de facto</w:t>
      </w:r>
      <w:r w:rsidRPr="007E7EED">
        <w:rPr>
          <w:lang w:val="fr-CA"/>
        </w:rPr>
        <w:t xml:space="preserve"> et est en opposition directe avec la méthode énoncée dans </w:t>
      </w:r>
      <w:r w:rsidRPr="007E7EED">
        <w:rPr>
          <w:i/>
          <w:lang w:val="fr-CA"/>
        </w:rPr>
        <w:t>R. c.</w:t>
      </w:r>
      <w:r w:rsidRPr="007E7EED">
        <w:rPr>
          <w:lang w:val="fr-CA"/>
        </w:rPr>
        <w:t xml:space="preserve"> </w:t>
      </w:r>
      <w:r w:rsidRPr="007E7EED">
        <w:rPr>
          <w:i/>
          <w:lang w:val="fr-CA"/>
        </w:rPr>
        <w:t>Jordan</w:t>
      </w:r>
      <w:r w:rsidRPr="007E7EED">
        <w:rPr>
          <w:lang w:val="fr-CA"/>
        </w:rPr>
        <w:t>,</w:t>
      </w:r>
      <w:r w:rsidRPr="007E7EED">
        <w:rPr>
          <w:i/>
          <w:lang w:val="fr-CA"/>
        </w:rPr>
        <w:t xml:space="preserve"> </w:t>
      </w:r>
      <w:r w:rsidRPr="007E7EED">
        <w:rPr>
          <w:lang w:val="fr-CA"/>
        </w:rPr>
        <w:t>2016 CSC 27, [2016] 1 R.C.S. 631,</w:t>
      </w:r>
      <w:r w:rsidRPr="007E7EED">
        <w:rPr>
          <w:i/>
          <w:lang w:val="fr-CA"/>
        </w:rPr>
        <w:t xml:space="preserve"> </w:t>
      </w:r>
      <w:r w:rsidRPr="007E7EED">
        <w:rPr>
          <w:lang w:val="fr-CA"/>
        </w:rPr>
        <w:t>pour rendre justice promptement en matière criminelle. De plus, le fait d</w:t>
      </w:r>
      <w:r w:rsidR="001A43AC">
        <w:rPr>
          <w:lang w:val="fr-CA"/>
        </w:rPr>
        <w:t>’</w:t>
      </w:r>
      <w:r w:rsidRPr="007E7EED">
        <w:rPr>
          <w:lang w:val="fr-CA"/>
        </w:rPr>
        <w:t xml:space="preserve">autoriser le recours au </w:t>
      </w:r>
      <w:proofErr w:type="spellStart"/>
      <w:r w:rsidRPr="007E7EED">
        <w:rPr>
          <w:i/>
          <w:lang w:val="fr-CA"/>
        </w:rPr>
        <w:t>certiorari</w:t>
      </w:r>
      <w:proofErr w:type="spellEnd"/>
      <w:r w:rsidRPr="007E7EED">
        <w:rPr>
          <w:i/>
          <w:lang w:val="fr-CA"/>
        </w:rPr>
        <w:t xml:space="preserve"> </w:t>
      </w:r>
      <w:r w:rsidRPr="007E7EED">
        <w:rPr>
          <w:lang w:val="fr-CA"/>
        </w:rPr>
        <w:t xml:space="preserve">pour prévoir des appels interlocutoires </w:t>
      </w:r>
      <w:r w:rsidRPr="007E7EED">
        <w:rPr>
          <w:i/>
          <w:lang w:val="fr-CA"/>
        </w:rPr>
        <w:t xml:space="preserve">de facto </w:t>
      </w:r>
      <w:r w:rsidRPr="007E7EED">
        <w:rPr>
          <w:lang w:val="fr-CA"/>
        </w:rPr>
        <w:t>en matière criminelle établirait une distinction injustifiée entre les procès en cour provinciale et ceux en cour supérieure parce qu</w:t>
      </w:r>
      <w:r w:rsidR="001A43AC">
        <w:rPr>
          <w:lang w:val="fr-CA"/>
        </w:rPr>
        <w:t>’</w:t>
      </w:r>
      <w:r w:rsidRPr="007E7EED">
        <w:rPr>
          <w:lang w:val="fr-CA"/>
        </w:rPr>
        <w:t>il n</w:t>
      </w:r>
      <w:r w:rsidR="001A43AC">
        <w:rPr>
          <w:lang w:val="fr-CA"/>
        </w:rPr>
        <w:t>’</w:t>
      </w:r>
      <w:r w:rsidRPr="007E7EED">
        <w:rPr>
          <w:lang w:val="fr-CA"/>
        </w:rPr>
        <w:t xml:space="preserve">est pas possible de recourir au </w:t>
      </w:r>
      <w:proofErr w:type="spellStart"/>
      <w:r w:rsidRPr="007E7EED">
        <w:rPr>
          <w:i/>
          <w:lang w:val="fr-CA"/>
        </w:rPr>
        <w:t>certiorari</w:t>
      </w:r>
      <w:proofErr w:type="spellEnd"/>
      <w:r w:rsidRPr="007E7EED">
        <w:rPr>
          <w:i/>
          <w:lang w:val="fr-CA"/>
        </w:rPr>
        <w:t xml:space="preserve"> </w:t>
      </w:r>
      <w:r w:rsidRPr="007E7EED">
        <w:rPr>
          <w:lang w:val="fr-CA"/>
        </w:rPr>
        <w:t>à l</w:t>
      </w:r>
      <w:r w:rsidR="001A43AC">
        <w:rPr>
          <w:lang w:val="fr-CA"/>
        </w:rPr>
        <w:t>’</w:t>
      </w:r>
      <w:r w:rsidRPr="007E7EED">
        <w:rPr>
          <w:lang w:val="fr-CA"/>
        </w:rPr>
        <w:t>encontre d</w:t>
      </w:r>
      <w:r w:rsidR="001A43AC">
        <w:rPr>
          <w:lang w:val="fr-CA"/>
        </w:rPr>
        <w:t>’</w:t>
      </w:r>
      <w:r w:rsidRPr="007E7EED">
        <w:rPr>
          <w:lang w:val="fr-CA"/>
        </w:rPr>
        <w:t xml:space="preserve">une cour supérieure. </w:t>
      </w:r>
    </w:p>
    <w:p w:rsidR="004D7D95" w:rsidRPr="007E7EED" w:rsidRDefault="00D1082F" w:rsidP="00CB4886">
      <w:pPr>
        <w:pStyle w:val="SCCNormalDoubleSpacing"/>
        <w:spacing w:after="480"/>
        <w:rPr>
          <w:lang w:val="fr-CA"/>
        </w:rPr>
      </w:pPr>
      <w:r w:rsidRPr="007E7EED">
        <w:rPr>
          <w:lang w:val="fr-CA"/>
        </w:rPr>
        <w:tab/>
        <w:t>En matière criminelle, il y a erreur de compétence lorsque le tribuna</w:t>
      </w:r>
      <w:r w:rsidR="007E7EED" w:rsidRPr="007E7EED">
        <w:rPr>
          <w:lang w:val="fr-CA"/>
        </w:rPr>
        <w:t>l</w:t>
      </w:r>
      <w:r w:rsidR="007E7EED">
        <w:rPr>
          <w:lang w:val="fr-CA"/>
        </w:rPr>
        <w:t xml:space="preserve"> </w:t>
      </w:r>
      <w:r w:rsidR="007E7EED" w:rsidRPr="007E7EED">
        <w:rPr>
          <w:lang w:val="fr-CA"/>
        </w:rPr>
        <w:t>n</w:t>
      </w:r>
      <w:r w:rsidRPr="007E7EED">
        <w:rPr>
          <w:lang w:val="fr-CA"/>
        </w:rPr>
        <w:t>e se conforme pas à une disposition impérative d</w:t>
      </w:r>
      <w:r w:rsidR="001A43AC">
        <w:rPr>
          <w:lang w:val="fr-CA"/>
        </w:rPr>
        <w:t>’</w:t>
      </w:r>
      <w:r w:rsidRPr="007E7EED">
        <w:rPr>
          <w:lang w:val="fr-CA"/>
        </w:rPr>
        <w:t>une loi ou transgresse les principes de justice naturelle. Dans son analyse de la demande de l</w:t>
      </w:r>
      <w:r w:rsidR="001A43AC">
        <w:rPr>
          <w:lang w:val="fr-CA"/>
        </w:rPr>
        <w:t>’</w:t>
      </w:r>
      <w:r w:rsidRPr="007E7EED">
        <w:rPr>
          <w:lang w:val="fr-CA"/>
        </w:rPr>
        <w:t>accusée, la Cour du Québec a commis une erreur de droit, et non une erreur de compétence. Le ministère public n</w:t>
      </w:r>
      <w:r w:rsidR="001A43AC">
        <w:rPr>
          <w:lang w:val="fr-CA"/>
        </w:rPr>
        <w:t>’</w:t>
      </w:r>
      <w:r w:rsidRPr="007E7EED">
        <w:rPr>
          <w:lang w:val="fr-CA"/>
        </w:rPr>
        <w:t>était pas tenu de s</w:t>
      </w:r>
      <w:r w:rsidR="00A8107B" w:rsidRPr="007E7EED">
        <w:rPr>
          <w:lang w:val="fr-CA"/>
        </w:rPr>
        <w:t xml:space="preserve">e pencher sur </w:t>
      </w:r>
      <w:r w:rsidRPr="007E7EED">
        <w:rPr>
          <w:lang w:val="fr-CA"/>
        </w:rPr>
        <w:t>l</w:t>
      </w:r>
      <w:r w:rsidR="001A43AC">
        <w:rPr>
          <w:lang w:val="fr-CA"/>
        </w:rPr>
        <w:t>’</w:t>
      </w:r>
      <w:r w:rsidRPr="007E7EED">
        <w:rPr>
          <w:lang w:val="fr-CA"/>
        </w:rPr>
        <w:t>existence des documents car l</w:t>
      </w:r>
      <w:r w:rsidR="001A43AC">
        <w:rPr>
          <w:lang w:val="fr-CA"/>
        </w:rPr>
        <w:t>’</w:t>
      </w:r>
      <w:r w:rsidRPr="007E7EED">
        <w:rPr>
          <w:lang w:val="fr-CA"/>
        </w:rPr>
        <w:t>accusée n</w:t>
      </w:r>
      <w:r w:rsidR="001A43AC">
        <w:rPr>
          <w:lang w:val="fr-CA"/>
        </w:rPr>
        <w:t>’</w:t>
      </w:r>
      <w:r w:rsidRPr="007E7EED">
        <w:rPr>
          <w:lang w:val="fr-CA"/>
        </w:rPr>
        <w:t xml:space="preserve">a pas établi </w:t>
      </w:r>
      <w:r w:rsidRPr="007E7EED">
        <w:rPr>
          <w:lang w:val="fr-CA"/>
        </w:rPr>
        <w:lastRenderedPageBreak/>
        <w:t>des motifs de conclure à leur existence ou pertinence. Néanmoins, comme la Cour du Québec n</w:t>
      </w:r>
      <w:r w:rsidR="001A43AC">
        <w:rPr>
          <w:lang w:val="fr-CA"/>
        </w:rPr>
        <w:t>’</w:t>
      </w:r>
      <w:r w:rsidRPr="007E7EED">
        <w:rPr>
          <w:lang w:val="fr-CA"/>
        </w:rPr>
        <w:t xml:space="preserve">a commis aucune erreur de compétence, le </w:t>
      </w:r>
      <w:proofErr w:type="spellStart"/>
      <w:r w:rsidRPr="007E7EED">
        <w:rPr>
          <w:i/>
          <w:lang w:val="fr-CA"/>
        </w:rPr>
        <w:t>certiorari</w:t>
      </w:r>
      <w:proofErr w:type="spellEnd"/>
      <w:r w:rsidRPr="007E7EED">
        <w:rPr>
          <w:lang w:val="fr-CA"/>
        </w:rPr>
        <w:t xml:space="preserve"> ne peut servir à corriger l</w:t>
      </w:r>
      <w:r w:rsidR="001A43AC">
        <w:rPr>
          <w:lang w:val="fr-CA"/>
        </w:rPr>
        <w:t>’</w:t>
      </w:r>
      <w:r w:rsidRPr="007E7EED">
        <w:rPr>
          <w:lang w:val="fr-CA"/>
        </w:rPr>
        <w:t xml:space="preserve">erreur. </w:t>
      </w:r>
    </w:p>
    <w:p w:rsidR="004D7D95" w:rsidRPr="007E7EED" w:rsidRDefault="004D7D95" w:rsidP="00CB4886">
      <w:pPr>
        <w:pStyle w:val="SCCNormalDoubleSpacing"/>
        <w:spacing w:after="720" w:line="240" w:lineRule="auto"/>
        <w:rPr>
          <w:b/>
          <w:lang w:val="fr-CA"/>
        </w:rPr>
      </w:pPr>
      <w:r w:rsidRPr="007E7EED">
        <w:rPr>
          <w:b/>
          <w:lang w:val="fr-CA"/>
        </w:rPr>
        <w:t>Jurisprudence</w:t>
      </w:r>
    </w:p>
    <w:p w:rsidR="004F4924" w:rsidRPr="007E7EED" w:rsidRDefault="004D7D95" w:rsidP="00CB4886">
      <w:pPr>
        <w:pStyle w:val="SCCNormalDoubleSpacing"/>
        <w:spacing w:after="480"/>
        <w:rPr>
          <w:lang w:val="fr-CA"/>
        </w:rPr>
      </w:pPr>
      <w:r w:rsidRPr="007E7EED">
        <w:rPr>
          <w:lang w:val="fr-CA"/>
        </w:rPr>
        <w:tab/>
      </w:r>
      <w:r w:rsidRPr="007E7EED">
        <w:rPr>
          <w:b/>
          <w:lang w:val="fr-CA"/>
        </w:rPr>
        <w:t>Arrêts mentionnés</w:t>
      </w:r>
      <w:r w:rsidR="00E048E5">
        <w:rPr>
          <w:b/>
          <w:lang w:val="fr-CA"/>
        </w:rPr>
        <w:t> :</w:t>
      </w:r>
      <w:r w:rsidRPr="007E7EED">
        <w:rPr>
          <w:lang w:val="fr-CA"/>
        </w:rPr>
        <w:t xml:space="preserve"> </w:t>
      </w:r>
      <w:r w:rsidR="00264ABC" w:rsidRPr="007E7EED">
        <w:rPr>
          <w:i/>
          <w:lang w:val="fr-CA"/>
        </w:rPr>
        <w:t xml:space="preserve">R. c. </w:t>
      </w:r>
      <w:proofErr w:type="spellStart"/>
      <w:r w:rsidR="00264ABC" w:rsidRPr="007E7EED">
        <w:rPr>
          <w:i/>
          <w:lang w:val="fr-CA"/>
        </w:rPr>
        <w:t>Gubbins</w:t>
      </w:r>
      <w:proofErr w:type="spellEnd"/>
      <w:r w:rsidR="00264ABC" w:rsidRPr="007E7EED">
        <w:rPr>
          <w:lang w:val="fr-CA"/>
        </w:rPr>
        <w:t xml:space="preserve">, 2018 CSC </w:t>
      </w:r>
      <w:r w:rsidR="0083164D" w:rsidRPr="007E7EED">
        <w:rPr>
          <w:lang w:val="fr-CA"/>
        </w:rPr>
        <w:t>44</w:t>
      </w:r>
      <w:r w:rsidR="00F85AE4">
        <w:rPr>
          <w:lang w:val="fr-CA"/>
        </w:rPr>
        <w:t>, [2018] 3 R.C.S. 35</w:t>
      </w:r>
      <w:r w:rsidR="00264ABC" w:rsidRPr="007E7EED">
        <w:rPr>
          <w:lang w:val="fr-CA"/>
        </w:rPr>
        <w:t xml:space="preserve">; </w:t>
      </w:r>
      <w:r w:rsidR="009368AB" w:rsidRPr="007E7EED">
        <w:rPr>
          <w:i/>
          <w:lang w:val="fr-CA"/>
        </w:rPr>
        <w:t>R. c. Stinchcombe</w:t>
      </w:r>
      <w:r w:rsidR="009368AB" w:rsidRPr="007E7EED">
        <w:rPr>
          <w:lang w:val="fr-CA"/>
        </w:rPr>
        <w:t>, [1991] 3 R.C.S. 326;</w:t>
      </w:r>
      <w:r w:rsidR="00546558" w:rsidRPr="007E7EED">
        <w:rPr>
          <w:lang w:val="fr-CA"/>
        </w:rPr>
        <w:t xml:space="preserve"> </w:t>
      </w:r>
      <w:r w:rsidR="00546558" w:rsidRPr="007E7EED">
        <w:rPr>
          <w:i/>
          <w:lang w:val="fr-CA"/>
        </w:rPr>
        <w:t>R. c. Awashish</w:t>
      </w:r>
      <w:r w:rsidR="00546558" w:rsidRPr="007E7EED">
        <w:rPr>
          <w:lang w:val="fr-CA"/>
        </w:rPr>
        <w:t xml:space="preserve">, 2014 QCCQ 3984; </w:t>
      </w:r>
      <w:r w:rsidR="00546558" w:rsidRPr="007E7EED">
        <w:rPr>
          <w:i/>
          <w:lang w:val="fr-CA"/>
        </w:rPr>
        <w:t>R. c. Paradis</w:t>
      </w:r>
      <w:r w:rsidR="00546558" w:rsidRPr="007E7EED">
        <w:rPr>
          <w:lang w:val="fr-CA"/>
        </w:rPr>
        <w:t>, 2014 QCCS 4260</w:t>
      </w:r>
      <w:r w:rsidR="00546558" w:rsidRPr="007E7EED">
        <w:rPr>
          <w:lang w:val="fr-CA" w:bidi="en-US"/>
        </w:rPr>
        <w:t>;</w:t>
      </w:r>
      <w:r w:rsidR="00546558" w:rsidRPr="007E7EED">
        <w:rPr>
          <w:i/>
          <w:lang w:val="fr-CA" w:bidi="en-US"/>
        </w:rPr>
        <w:t xml:space="preserve"> R. c. McNeil</w:t>
      </w:r>
      <w:r w:rsidR="00546558" w:rsidRPr="007E7EED">
        <w:rPr>
          <w:lang w:val="fr-CA" w:bidi="en-US"/>
        </w:rPr>
        <w:t>, 2009 CSC 3, [2009] 1 R.C.S. 66;</w:t>
      </w:r>
      <w:r w:rsidR="009368AB" w:rsidRPr="007E7EED">
        <w:rPr>
          <w:lang w:val="fr-CA"/>
        </w:rPr>
        <w:t xml:space="preserve"> </w:t>
      </w:r>
      <w:r w:rsidR="009368AB" w:rsidRPr="007E7EED">
        <w:rPr>
          <w:i/>
          <w:lang w:val="fr-CA"/>
        </w:rPr>
        <w:t>Mills c. La Reine</w:t>
      </w:r>
      <w:r w:rsidR="009368AB" w:rsidRPr="007E7EED">
        <w:rPr>
          <w:lang w:val="fr-CA"/>
        </w:rPr>
        <w:t>, [1986] 1 R.C.S.</w:t>
      </w:r>
      <w:r w:rsidR="00B96FE0" w:rsidRPr="007E7EED">
        <w:rPr>
          <w:lang w:val="fr-CA"/>
        </w:rPr>
        <w:t xml:space="preserve"> 863; </w:t>
      </w:r>
      <w:r w:rsidR="00B96FE0" w:rsidRPr="007E7EED">
        <w:rPr>
          <w:i/>
          <w:lang w:val="fr-CA"/>
        </w:rPr>
        <w:t>R. c. Meltzer</w:t>
      </w:r>
      <w:r w:rsidR="00B96FE0" w:rsidRPr="007E7EED">
        <w:rPr>
          <w:lang w:val="fr-CA"/>
        </w:rPr>
        <w:t>, [1989] 1 R.C.S. 1764;</w:t>
      </w:r>
      <w:r w:rsidR="00771050" w:rsidRPr="007E7EED">
        <w:rPr>
          <w:lang w:val="fr-CA"/>
        </w:rPr>
        <w:t xml:space="preserve"> </w:t>
      </w:r>
      <w:proofErr w:type="spellStart"/>
      <w:r w:rsidR="00771050" w:rsidRPr="007E7EED">
        <w:rPr>
          <w:i/>
          <w:lang w:val="fr-CA"/>
        </w:rPr>
        <w:t>Dagenais</w:t>
      </w:r>
      <w:proofErr w:type="spellEnd"/>
      <w:r w:rsidR="00771050" w:rsidRPr="007E7EED">
        <w:rPr>
          <w:i/>
          <w:lang w:val="fr-CA"/>
        </w:rPr>
        <w:t xml:space="preserve"> c. Société Radio</w:t>
      </w:r>
      <w:r w:rsidR="00E048E5">
        <w:rPr>
          <w:i/>
          <w:lang w:val="fr-CA"/>
        </w:rPr>
        <w:noBreakHyphen/>
      </w:r>
      <w:r w:rsidR="00771050" w:rsidRPr="007E7EED">
        <w:rPr>
          <w:i/>
          <w:lang w:val="fr-CA"/>
        </w:rPr>
        <w:t>Canada</w:t>
      </w:r>
      <w:r w:rsidR="00771050" w:rsidRPr="007E7EED">
        <w:rPr>
          <w:lang w:val="fr-CA"/>
        </w:rPr>
        <w:t xml:space="preserve">, [1994] 3 R.C.S. 835; </w:t>
      </w:r>
      <w:r w:rsidR="00771050" w:rsidRPr="007E7EED">
        <w:rPr>
          <w:i/>
          <w:lang w:val="fr-CA"/>
        </w:rPr>
        <w:t xml:space="preserve">R. c. </w:t>
      </w:r>
      <w:proofErr w:type="spellStart"/>
      <w:r w:rsidR="00771050" w:rsidRPr="007E7EED">
        <w:rPr>
          <w:i/>
          <w:lang w:val="fr-CA"/>
        </w:rPr>
        <w:t>DeSousa</w:t>
      </w:r>
      <w:proofErr w:type="spellEnd"/>
      <w:r w:rsidR="00771050" w:rsidRPr="007E7EED">
        <w:rPr>
          <w:lang w:val="fr-CA"/>
        </w:rPr>
        <w:t>, [1992] 2 R.C.S</w:t>
      </w:r>
      <w:r w:rsidR="00F96FA7">
        <w:rPr>
          <w:lang w:val="fr-CA"/>
        </w:rPr>
        <w:t>.</w:t>
      </w:r>
      <w:r w:rsidR="00771050" w:rsidRPr="007E7EED">
        <w:rPr>
          <w:lang w:val="fr-CA"/>
        </w:rPr>
        <w:t xml:space="preserve"> 944;</w:t>
      </w:r>
      <w:r w:rsidR="003B798A" w:rsidRPr="007E7EED">
        <w:rPr>
          <w:lang w:val="fr-CA"/>
        </w:rPr>
        <w:t xml:space="preserve"> </w:t>
      </w:r>
      <w:r w:rsidR="00546558" w:rsidRPr="007E7EED">
        <w:rPr>
          <w:i/>
          <w:lang w:val="fr-CA"/>
        </w:rPr>
        <w:t xml:space="preserve">R. c. Johnson </w:t>
      </w:r>
      <w:r w:rsidR="00546558" w:rsidRPr="007E7EED">
        <w:rPr>
          <w:lang w:val="fr-CA"/>
        </w:rPr>
        <w:t>(1991), 3 O.R. (3d) 49</w:t>
      </w:r>
      <w:r w:rsidR="00264ABC" w:rsidRPr="007E7EED">
        <w:rPr>
          <w:lang w:val="fr-CA"/>
        </w:rPr>
        <w:t xml:space="preserve">; </w:t>
      </w:r>
      <w:r w:rsidR="003B798A" w:rsidRPr="007E7EED">
        <w:rPr>
          <w:i/>
          <w:lang w:val="fr-CA"/>
        </w:rPr>
        <w:t>Procureur général du Québec c. Cohen</w:t>
      </w:r>
      <w:r w:rsidR="003B798A" w:rsidRPr="007E7EED">
        <w:rPr>
          <w:lang w:val="fr-CA"/>
        </w:rPr>
        <w:t>, [1979] 2 R.C.S. 305;</w:t>
      </w:r>
      <w:r w:rsidR="00546558" w:rsidRPr="007E7EED">
        <w:rPr>
          <w:i/>
          <w:lang w:val="fr-CA"/>
        </w:rPr>
        <w:t xml:space="preserve"> R. c. Robertson</w:t>
      </w:r>
      <w:r w:rsidR="00546558" w:rsidRPr="007E7EED">
        <w:rPr>
          <w:lang w:val="fr-CA"/>
        </w:rPr>
        <w:t xml:space="preserve"> (1988), 41 C.C.C. (3d) 478;</w:t>
      </w:r>
      <w:r w:rsidR="003B798A" w:rsidRPr="007E7EED">
        <w:rPr>
          <w:lang w:val="fr-CA"/>
        </w:rPr>
        <w:t xml:space="preserve"> </w:t>
      </w:r>
      <w:proofErr w:type="spellStart"/>
      <w:r w:rsidR="008602E2" w:rsidRPr="007E7EED">
        <w:rPr>
          <w:i/>
          <w:lang w:val="fr-CA"/>
        </w:rPr>
        <w:t>Skogman</w:t>
      </w:r>
      <w:proofErr w:type="spellEnd"/>
      <w:r w:rsidR="008602E2" w:rsidRPr="007E7EED">
        <w:rPr>
          <w:i/>
          <w:lang w:val="fr-CA"/>
        </w:rPr>
        <w:t xml:space="preserve"> c. La Reine</w:t>
      </w:r>
      <w:r w:rsidR="008602E2" w:rsidRPr="007E7EED">
        <w:rPr>
          <w:lang w:val="fr-CA"/>
        </w:rPr>
        <w:t xml:space="preserve">, [1984] 2 R.C.S. 93; </w:t>
      </w:r>
      <w:r w:rsidR="008602E2" w:rsidRPr="007E7EED">
        <w:rPr>
          <w:i/>
          <w:lang w:val="fr-CA"/>
        </w:rPr>
        <w:t>Patterson c. La Reine</w:t>
      </w:r>
      <w:r w:rsidR="008602E2" w:rsidRPr="007E7EED">
        <w:rPr>
          <w:lang w:val="fr-CA"/>
        </w:rPr>
        <w:t xml:space="preserve">, [1970] R.C.S. 409; </w:t>
      </w:r>
      <w:proofErr w:type="spellStart"/>
      <w:r w:rsidR="008602E2" w:rsidRPr="007E7EED">
        <w:rPr>
          <w:i/>
          <w:lang w:val="fr-CA"/>
        </w:rPr>
        <w:t>Forsythe</w:t>
      </w:r>
      <w:proofErr w:type="spellEnd"/>
      <w:r w:rsidR="008602E2" w:rsidRPr="007E7EED">
        <w:rPr>
          <w:i/>
          <w:lang w:val="fr-CA"/>
        </w:rPr>
        <w:t xml:space="preserve"> c. La Reine</w:t>
      </w:r>
      <w:r w:rsidR="008602E2" w:rsidRPr="007E7EED">
        <w:rPr>
          <w:lang w:val="fr-CA"/>
        </w:rPr>
        <w:t xml:space="preserve">, [1980] 2 R.C.S. 268; </w:t>
      </w:r>
      <w:r w:rsidR="00871BD9" w:rsidRPr="007E7EED">
        <w:rPr>
          <w:i/>
          <w:lang w:val="fr-CA"/>
        </w:rPr>
        <w:t>Dubois c. La Reine</w:t>
      </w:r>
      <w:r w:rsidR="00871BD9" w:rsidRPr="007E7EED">
        <w:rPr>
          <w:lang w:val="fr-CA"/>
        </w:rPr>
        <w:t>, [1986] 1 R.C.S. 366;</w:t>
      </w:r>
      <w:r w:rsidR="00843D4C" w:rsidRPr="007E7EED">
        <w:rPr>
          <w:lang w:val="fr-CA"/>
        </w:rPr>
        <w:t xml:space="preserve"> </w:t>
      </w:r>
      <w:r w:rsidR="00843D4C" w:rsidRPr="007E7EED">
        <w:rPr>
          <w:i/>
          <w:lang w:val="fr-CA"/>
        </w:rPr>
        <w:t xml:space="preserve">R. c. </w:t>
      </w:r>
      <w:proofErr w:type="spellStart"/>
      <w:r w:rsidR="00843D4C" w:rsidRPr="007E7EED">
        <w:rPr>
          <w:i/>
          <w:lang w:val="fr-CA"/>
        </w:rPr>
        <w:t>Deschamplain</w:t>
      </w:r>
      <w:proofErr w:type="spellEnd"/>
      <w:r w:rsidR="00843D4C" w:rsidRPr="007E7EED">
        <w:rPr>
          <w:lang w:val="fr-CA"/>
        </w:rPr>
        <w:t xml:space="preserve">, 2004 CSC 76, [2004] 3 R.C.S. 601; </w:t>
      </w:r>
      <w:r w:rsidR="00DD4FDD" w:rsidRPr="007E7EED">
        <w:rPr>
          <w:i/>
          <w:lang w:val="fr-CA"/>
        </w:rPr>
        <w:t>R. c. Cunningham</w:t>
      </w:r>
      <w:r w:rsidR="00DD4FDD" w:rsidRPr="007E7EED">
        <w:rPr>
          <w:lang w:val="fr-CA"/>
        </w:rPr>
        <w:t xml:space="preserve">, 2010 CSC 10, [2010] 1 R.C.S. 331; </w:t>
      </w:r>
      <w:r w:rsidR="000A6F66" w:rsidRPr="007E7EED">
        <w:rPr>
          <w:i/>
          <w:lang w:val="fr-CA"/>
        </w:rPr>
        <w:t xml:space="preserve">R. c. </w:t>
      </w:r>
      <w:proofErr w:type="spellStart"/>
      <w:r w:rsidR="000A6F66" w:rsidRPr="007E7EED">
        <w:rPr>
          <w:i/>
          <w:lang w:val="fr-CA"/>
        </w:rPr>
        <w:t>Primeau</w:t>
      </w:r>
      <w:proofErr w:type="spellEnd"/>
      <w:r w:rsidR="000A6F66" w:rsidRPr="007E7EED">
        <w:rPr>
          <w:lang w:val="fr-CA"/>
        </w:rPr>
        <w:t xml:space="preserve">, [1995] 2 R.C.S. 60; </w:t>
      </w:r>
      <w:r w:rsidR="00ED2C95" w:rsidRPr="007E7EED">
        <w:rPr>
          <w:i/>
          <w:lang w:val="fr-CA"/>
        </w:rPr>
        <w:t>R. c. Black</w:t>
      </w:r>
      <w:r w:rsidR="00ED2C95" w:rsidRPr="007E7EED">
        <w:rPr>
          <w:lang w:val="fr-CA"/>
        </w:rPr>
        <w:t xml:space="preserve">, 2011 ABCA 349, 286 C.C.C. (3d) 432; </w:t>
      </w:r>
      <w:r w:rsidR="007424E3" w:rsidRPr="007E7EED">
        <w:rPr>
          <w:i/>
          <w:lang w:val="fr-CA"/>
        </w:rPr>
        <w:t>R. c. Jordan</w:t>
      </w:r>
      <w:r w:rsidR="007424E3" w:rsidRPr="007E7EED">
        <w:rPr>
          <w:lang w:val="fr-CA"/>
        </w:rPr>
        <w:t>, 2016 CSC 27, [2016] 1 R.C.S. 631</w:t>
      </w:r>
      <w:r w:rsidR="000E7A9F" w:rsidRPr="007E7EED">
        <w:rPr>
          <w:lang w:val="fr-CA"/>
        </w:rPr>
        <w:t xml:space="preserve">; </w:t>
      </w:r>
      <w:r w:rsidR="00C6340F" w:rsidRPr="007E7EED">
        <w:rPr>
          <w:i/>
          <w:lang w:val="fr-CA" w:bidi="en-US"/>
        </w:rPr>
        <w:t>R. c. Chaplin</w:t>
      </w:r>
      <w:r w:rsidR="00C6340F" w:rsidRPr="007E7EED">
        <w:rPr>
          <w:lang w:val="fr-CA" w:bidi="en-US"/>
        </w:rPr>
        <w:t>, [1995] 1 R.C.S. 727.</w:t>
      </w:r>
    </w:p>
    <w:p w:rsidR="004D7D95" w:rsidRPr="007E7EED" w:rsidRDefault="004D7D95" w:rsidP="00CB4886">
      <w:pPr>
        <w:pStyle w:val="SCCNormalDoubleSpacing"/>
        <w:spacing w:after="720" w:line="240" w:lineRule="auto"/>
        <w:rPr>
          <w:b/>
          <w:lang w:val="fr-CA"/>
        </w:rPr>
      </w:pPr>
      <w:r w:rsidRPr="007E7EED">
        <w:rPr>
          <w:b/>
          <w:lang w:val="fr-CA"/>
        </w:rPr>
        <w:t>Lois et règlements cités</w:t>
      </w:r>
    </w:p>
    <w:p w:rsidR="00E758B2" w:rsidRPr="007E7EED" w:rsidRDefault="00E758B2" w:rsidP="00CB4886">
      <w:pPr>
        <w:pStyle w:val="SCCNormalDoubleSpacing"/>
        <w:spacing w:after="720" w:line="240" w:lineRule="auto"/>
        <w:ind w:left="539" w:hanging="539"/>
        <w:rPr>
          <w:lang w:val="fr-CA"/>
        </w:rPr>
      </w:pPr>
      <w:r w:rsidRPr="007E7EED">
        <w:rPr>
          <w:i/>
          <w:lang w:val="fr-CA"/>
        </w:rPr>
        <w:t>Charte canadienne des droits et libertés</w:t>
      </w:r>
      <w:r w:rsidRPr="007E7EED">
        <w:rPr>
          <w:lang w:val="fr-CA"/>
        </w:rPr>
        <w:t>.</w:t>
      </w:r>
    </w:p>
    <w:p w:rsidR="004D7D95" w:rsidRPr="007E7EED" w:rsidRDefault="004E6D39" w:rsidP="00CB4886">
      <w:pPr>
        <w:pStyle w:val="SCCNormalDoubleSpacing"/>
        <w:spacing w:after="720" w:line="240" w:lineRule="auto"/>
        <w:ind w:left="539" w:hanging="539"/>
        <w:rPr>
          <w:lang w:val="fr-CA"/>
        </w:rPr>
      </w:pPr>
      <w:r w:rsidRPr="007E7EED">
        <w:rPr>
          <w:i/>
          <w:lang w:val="fr-CA"/>
        </w:rPr>
        <w:t>Code criminel</w:t>
      </w:r>
      <w:r w:rsidRPr="007E7EED">
        <w:rPr>
          <w:lang w:val="fr-CA"/>
        </w:rPr>
        <w:t>, L.R.C. 1985, c.</w:t>
      </w:r>
      <w:r w:rsidR="00CB4886" w:rsidRPr="007E7EED">
        <w:rPr>
          <w:lang w:val="fr-CA"/>
        </w:rPr>
        <w:t> </w:t>
      </w:r>
      <w:r w:rsidRPr="007E7EED">
        <w:rPr>
          <w:lang w:val="fr-CA"/>
        </w:rPr>
        <w:t>C</w:t>
      </w:r>
      <w:r w:rsidR="00E048E5">
        <w:rPr>
          <w:lang w:val="fr-CA"/>
        </w:rPr>
        <w:noBreakHyphen/>
      </w:r>
      <w:r w:rsidRPr="007E7EED">
        <w:rPr>
          <w:lang w:val="fr-CA"/>
        </w:rPr>
        <w:t xml:space="preserve">46, </w:t>
      </w:r>
      <w:r w:rsidR="00E048E5">
        <w:rPr>
          <w:lang w:val="fr-CA"/>
        </w:rPr>
        <w:t>art. </w:t>
      </w:r>
      <w:r w:rsidRPr="007E7EED">
        <w:rPr>
          <w:lang w:val="fr-CA"/>
        </w:rPr>
        <w:t>253(1)a), b)</w:t>
      </w:r>
      <w:r w:rsidR="004F0ABC" w:rsidRPr="007E7EED">
        <w:rPr>
          <w:lang w:val="fr-CA"/>
        </w:rPr>
        <w:t xml:space="preserve">, 674. </w:t>
      </w:r>
    </w:p>
    <w:p w:rsidR="004D7D95" w:rsidRPr="007E7EED" w:rsidRDefault="004D7D95" w:rsidP="00CB4886">
      <w:pPr>
        <w:pStyle w:val="SCCNormalDoubleSpacing"/>
        <w:spacing w:after="720" w:line="240" w:lineRule="auto"/>
        <w:rPr>
          <w:b/>
          <w:lang w:val="fr-CA"/>
        </w:rPr>
      </w:pPr>
      <w:r w:rsidRPr="007E7EED">
        <w:rPr>
          <w:b/>
          <w:lang w:val="fr-CA"/>
        </w:rPr>
        <w:lastRenderedPageBreak/>
        <w:t>Doctrine et autres documents cités</w:t>
      </w:r>
    </w:p>
    <w:p w:rsidR="00332457" w:rsidRPr="007E7EED" w:rsidRDefault="00332457" w:rsidP="00332457">
      <w:pPr>
        <w:pStyle w:val="SCCNormalDoubleSpacing"/>
        <w:spacing w:after="720" w:line="240" w:lineRule="auto"/>
        <w:ind w:left="540" w:hanging="540"/>
        <w:rPr>
          <w:lang w:val="en-US"/>
        </w:rPr>
      </w:pPr>
      <w:proofErr w:type="spellStart"/>
      <w:r w:rsidRPr="007E7EED">
        <w:rPr>
          <w:lang w:val="en-US"/>
        </w:rPr>
        <w:t>Létourneau</w:t>
      </w:r>
      <w:proofErr w:type="spellEnd"/>
      <w:r w:rsidRPr="007E7EED">
        <w:rPr>
          <w:lang w:val="en-US"/>
        </w:rPr>
        <w:t xml:space="preserve">, Gilles. </w:t>
      </w:r>
      <w:r w:rsidRPr="007E7EED">
        <w:rPr>
          <w:i/>
          <w:lang w:val="en-US"/>
        </w:rPr>
        <w:t>The Prerogative Writs in Canadian Criminal Law and Procedure</w:t>
      </w:r>
      <w:r w:rsidRPr="007E7EED">
        <w:rPr>
          <w:lang w:val="en-US"/>
        </w:rPr>
        <w:t xml:space="preserve">, Toronto, Butterworths, 1976. </w:t>
      </w:r>
    </w:p>
    <w:p w:rsidR="004D7D95" w:rsidRPr="007E7EED" w:rsidRDefault="004D7D95" w:rsidP="00CB4886">
      <w:pPr>
        <w:pStyle w:val="SCCNormalDoubleSpacing"/>
        <w:spacing w:after="480"/>
        <w:rPr>
          <w:lang w:val="fr-CA"/>
        </w:rPr>
      </w:pPr>
      <w:r w:rsidRPr="007E7EED">
        <w:rPr>
          <w:lang w:val="en-US"/>
        </w:rPr>
        <w:tab/>
      </w:r>
      <w:r w:rsidRPr="007E7EED">
        <w:rPr>
          <w:lang w:val="fr-CA"/>
        </w:rPr>
        <w:t>POURVOI contre un arrêt de la Cour d</w:t>
      </w:r>
      <w:r w:rsidR="001A43AC">
        <w:rPr>
          <w:lang w:val="fr-CA"/>
        </w:rPr>
        <w:t>’</w:t>
      </w:r>
      <w:r w:rsidRPr="007E7EED">
        <w:rPr>
          <w:lang w:val="fr-CA"/>
        </w:rPr>
        <w:t>appel du Québec (</w:t>
      </w:r>
      <w:r w:rsidR="00824BD2" w:rsidRPr="007E7EED">
        <w:rPr>
          <w:lang w:val="fr-CA"/>
        </w:rPr>
        <w:t xml:space="preserve">les juges Thibault, Bouchard et Gagnon), 2016 QCCA 1164, 32 C.R. (7th) 111, </w:t>
      </w:r>
      <w:r w:rsidR="007A4FCC" w:rsidRPr="007E7EED">
        <w:rPr>
          <w:lang w:val="fr-CA"/>
        </w:rPr>
        <w:t>[2016] AZ</w:t>
      </w:r>
      <w:r w:rsidR="00E048E5">
        <w:rPr>
          <w:lang w:val="fr-CA"/>
        </w:rPr>
        <w:noBreakHyphen/>
      </w:r>
      <w:r w:rsidR="007A4FCC" w:rsidRPr="007E7EED">
        <w:rPr>
          <w:lang w:val="fr-CA"/>
        </w:rPr>
        <w:t xml:space="preserve">51303926, </w:t>
      </w:r>
      <w:r w:rsidR="00824BD2" w:rsidRPr="007E7EED">
        <w:rPr>
          <w:lang w:val="fr-CA"/>
        </w:rPr>
        <w:t>[2016] J.Q. n</w:t>
      </w:r>
      <w:r w:rsidR="00824BD2" w:rsidRPr="007E7EED">
        <w:rPr>
          <w:vertAlign w:val="superscript"/>
          <w:lang w:val="fr-CA"/>
        </w:rPr>
        <w:t>o</w:t>
      </w:r>
      <w:r w:rsidR="005E3C6B" w:rsidRPr="007E7EED">
        <w:rPr>
          <w:lang w:val="fr-CA"/>
        </w:rPr>
        <w:t> </w:t>
      </w:r>
      <w:r w:rsidR="00824BD2" w:rsidRPr="007E7EED">
        <w:rPr>
          <w:lang w:val="fr-CA"/>
        </w:rPr>
        <w:t xml:space="preserve">8060 (QL), 2016 </w:t>
      </w:r>
      <w:proofErr w:type="spellStart"/>
      <w:r w:rsidR="00824BD2" w:rsidRPr="007E7EED">
        <w:rPr>
          <w:lang w:val="fr-CA"/>
        </w:rPr>
        <w:t>CarswellQue</w:t>
      </w:r>
      <w:proofErr w:type="spellEnd"/>
      <w:r w:rsidR="00824BD2" w:rsidRPr="007E7EED">
        <w:rPr>
          <w:lang w:val="fr-CA"/>
        </w:rPr>
        <w:t xml:space="preserve"> 6306 (WL Can.), qui a </w:t>
      </w:r>
      <w:r w:rsidR="000A0CA1" w:rsidRPr="007E7EED">
        <w:rPr>
          <w:lang w:val="fr-CA"/>
        </w:rPr>
        <w:t>annulé</w:t>
      </w:r>
      <w:r w:rsidR="005307B9" w:rsidRPr="007E7EED">
        <w:rPr>
          <w:lang w:val="fr-CA"/>
        </w:rPr>
        <w:t xml:space="preserve"> </w:t>
      </w:r>
      <w:r w:rsidR="00824BD2" w:rsidRPr="007E7EED">
        <w:rPr>
          <w:lang w:val="fr-CA"/>
        </w:rPr>
        <w:t>une décision d</w:t>
      </w:r>
      <w:r w:rsidR="00F05ED2" w:rsidRPr="007E7EED">
        <w:rPr>
          <w:lang w:val="fr-CA"/>
        </w:rPr>
        <w:t xml:space="preserve">u juge Dionne, 2016 QCCS 115, </w:t>
      </w:r>
      <w:r w:rsidR="007A4FCC" w:rsidRPr="007E7EED">
        <w:rPr>
          <w:lang w:val="fr-CA"/>
        </w:rPr>
        <w:t>[2016] AZ</w:t>
      </w:r>
      <w:r w:rsidR="00E048E5">
        <w:rPr>
          <w:lang w:val="fr-CA"/>
        </w:rPr>
        <w:noBreakHyphen/>
      </w:r>
      <w:r w:rsidR="007A4FCC" w:rsidRPr="007E7EED">
        <w:rPr>
          <w:lang w:val="fr-CA"/>
        </w:rPr>
        <w:t xml:space="preserve">51245554, </w:t>
      </w:r>
      <w:r w:rsidR="00F05ED2" w:rsidRPr="007E7EED">
        <w:rPr>
          <w:lang w:val="fr-CA"/>
        </w:rPr>
        <w:t>[2016] J.Q. n</w:t>
      </w:r>
      <w:r w:rsidR="00F05ED2" w:rsidRPr="007E7EED">
        <w:rPr>
          <w:vertAlign w:val="superscript"/>
          <w:lang w:val="fr-CA"/>
        </w:rPr>
        <w:t xml:space="preserve">o </w:t>
      </w:r>
      <w:r w:rsidR="00F05ED2" w:rsidRPr="007E7EED">
        <w:rPr>
          <w:lang w:val="fr-CA"/>
        </w:rPr>
        <w:t xml:space="preserve">41 (QL), 2016 </w:t>
      </w:r>
      <w:proofErr w:type="spellStart"/>
      <w:r w:rsidR="00F05ED2" w:rsidRPr="007E7EED">
        <w:rPr>
          <w:lang w:val="fr-CA"/>
        </w:rPr>
        <w:t>CarswellQue</w:t>
      </w:r>
      <w:proofErr w:type="spellEnd"/>
      <w:r w:rsidR="00F05ED2" w:rsidRPr="007E7EED">
        <w:rPr>
          <w:lang w:val="fr-CA"/>
        </w:rPr>
        <w:t xml:space="preserve"> 175 (WL Can.), </w:t>
      </w:r>
      <w:r w:rsidR="00A06737" w:rsidRPr="007E7EED">
        <w:rPr>
          <w:lang w:val="fr-CA"/>
        </w:rPr>
        <w:t>lequel</w:t>
      </w:r>
      <w:r w:rsidR="00226083" w:rsidRPr="007E7EED">
        <w:rPr>
          <w:lang w:val="fr-CA"/>
        </w:rPr>
        <w:t xml:space="preserve"> avait</w:t>
      </w:r>
      <w:r w:rsidR="000A0CA1" w:rsidRPr="007E7EED">
        <w:rPr>
          <w:lang w:val="fr-CA"/>
        </w:rPr>
        <w:t xml:space="preserve"> accueilli </w:t>
      </w:r>
      <w:r w:rsidR="002766FB" w:rsidRPr="007E7EED">
        <w:rPr>
          <w:lang w:val="fr-CA"/>
        </w:rPr>
        <w:t xml:space="preserve">une requête en </w:t>
      </w:r>
      <w:proofErr w:type="spellStart"/>
      <w:r w:rsidR="002766FB" w:rsidRPr="007E7EED">
        <w:rPr>
          <w:i/>
          <w:lang w:val="fr-CA"/>
        </w:rPr>
        <w:t>certiorari</w:t>
      </w:r>
      <w:proofErr w:type="spellEnd"/>
      <w:r w:rsidR="00EC1788" w:rsidRPr="007E7EED">
        <w:rPr>
          <w:i/>
          <w:lang w:val="fr-CA"/>
        </w:rPr>
        <w:t xml:space="preserve"> </w:t>
      </w:r>
      <w:r w:rsidR="00EC1788" w:rsidRPr="007E7EED">
        <w:rPr>
          <w:lang w:val="fr-CA"/>
        </w:rPr>
        <w:t>contre</w:t>
      </w:r>
      <w:r w:rsidR="009524D8" w:rsidRPr="007E7EED">
        <w:rPr>
          <w:lang w:val="fr-CA"/>
        </w:rPr>
        <w:t xml:space="preserve"> une décision de</w:t>
      </w:r>
      <w:r w:rsidR="00EC1788" w:rsidRPr="007E7EED">
        <w:rPr>
          <w:lang w:val="fr-CA"/>
        </w:rPr>
        <w:t xml:space="preserve"> la juge Paradis</w:t>
      </w:r>
      <w:r w:rsidR="002766FB" w:rsidRPr="007E7EED">
        <w:rPr>
          <w:lang w:val="fr-CA"/>
        </w:rPr>
        <w:t xml:space="preserve">, </w:t>
      </w:r>
      <w:r w:rsidR="00A06737" w:rsidRPr="007E7EED">
        <w:rPr>
          <w:lang w:val="fr-CA"/>
        </w:rPr>
        <w:t xml:space="preserve">2015 QCCQ 4516, </w:t>
      </w:r>
      <w:r w:rsidR="007A4FCC" w:rsidRPr="007E7EED">
        <w:rPr>
          <w:lang w:val="fr-CA"/>
        </w:rPr>
        <w:t>[2015] AZ</w:t>
      </w:r>
      <w:r w:rsidR="00E048E5">
        <w:rPr>
          <w:lang w:val="fr-CA"/>
        </w:rPr>
        <w:noBreakHyphen/>
      </w:r>
      <w:r w:rsidR="007A4FCC" w:rsidRPr="007E7EED">
        <w:rPr>
          <w:lang w:val="fr-CA"/>
        </w:rPr>
        <w:t xml:space="preserve">51180611, </w:t>
      </w:r>
      <w:r w:rsidR="00A06737" w:rsidRPr="007E7EED">
        <w:rPr>
          <w:lang w:val="fr-CA"/>
        </w:rPr>
        <w:t>[2015] J.Q. n</w:t>
      </w:r>
      <w:r w:rsidR="00A06737" w:rsidRPr="007E7EED">
        <w:rPr>
          <w:vertAlign w:val="superscript"/>
          <w:lang w:val="fr-CA"/>
        </w:rPr>
        <w:t>o</w:t>
      </w:r>
      <w:r w:rsidR="005E3C6B" w:rsidRPr="007E7EED">
        <w:rPr>
          <w:lang w:val="fr-CA"/>
        </w:rPr>
        <w:t> </w:t>
      </w:r>
      <w:r w:rsidR="00A06737" w:rsidRPr="007E7EED">
        <w:rPr>
          <w:lang w:val="fr-CA"/>
        </w:rPr>
        <w:t xml:space="preserve">4807 (QL), 2015 </w:t>
      </w:r>
      <w:proofErr w:type="spellStart"/>
      <w:r w:rsidR="00A06737" w:rsidRPr="007E7EED">
        <w:rPr>
          <w:lang w:val="fr-CA"/>
        </w:rPr>
        <w:t>CarswellQue</w:t>
      </w:r>
      <w:proofErr w:type="spellEnd"/>
      <w:r w:rsidR="00A06737" w:rsidRPr="007E7EED">
        <w:rPr>
          <w:lang w:val="fr-CA"/>
        </w:rPr>
        <w:t xml:space="preserve"> 5175 (WL Can.). Pourvoi </w:t>
      </w:r>
      <w:r w:rsidR="00FC4998" w:rsidRPr="007E7EED">
        <w:rPr>
          <w:lang w:val="fr-CA"/>
        </w:rPr>
        <w:t>rejeté</w:t>
      </w:r>
      <w:r w:rsidR="00A06737" w:rsidRPr="007E7EED">
        <w:rPr>
          <w:lang w:val="fr-CA"/>
        </w:rPr>
        <w:t xml:space="preserve">. </w:t>
      </w:r>
    </w:p>
    <w:p w:rsidR="00FA70C1" w:rsidRPr="007E7EED" w:rsidRDefault="007A4FCC" w:rsidP="00CB4886">
      <w:pPr>
        <w:pStyle w:val="SCCNormalDoubleSpacing"/>
        <w:spacing w:after="480"/>
        <w:rPr>
          <w:lang w:val="fr-CA"/>
        </w:rPr>
      </w:pPr>
      <w:r w:rsidRPr="007E7EED">
        <w:rPr>
          <w:rStyle w:val="SCCCounselNameChar"/>
          <w:lang w:val="fr-CA"/>
        </w:rPr>
        <w:tab/>
        <w:t>Justin Tremblay</w:t>
      </w:r>
      <w:r w:rsidRPr="007E7EED">
        <w:rPr>
          <w:rStyle w:val="SCCCounselSeparatorChar"/>
          <w:lang w:val="fr-CA"/>
        </w:rPr>
        <w:t xml:space="preserve"> et </w:t>
      </w:r>
      <w:r w:rsidRPr="007E7EED">
        <w:rPr>
          <w:rStyle w:val="SCCCounselNameChar"/>
          <w:lang w:val="fr-CA"/>
        </w:rPr>
        <w:t>Pierre Bienvenue</w:t>
      </w:r>
      <w:r w:rsidRPr="007E7EED">
        <w:rPr>
          <w:rStyle w:val="SCCCounselPartyRoleChar"/>
          <w:lang w:val="fr-CA"/>
        </w:rPr>
        <w:t>, pour l</w:t>
      </w:r>
      <w:r w:rsidR="001A43AC">
        <w:rPr>
          <w:rStyle w:val="SCCCounselPartyRoleChar"/>
          <w:lang w:val="fr-CA"/>
        </w:rPr>
        <w:t>’</w:t>
      </w:r>
      <w:r w:rsidR="002E2289" w:rsidRPr="007E7EED">
        <w:rPr>
          <w:rStyle w:val="SCCCounselPartyRoleChar"/>
          <w:lang w:val="fr-CA"/>
        </w:rPr>
        <w:t>appelante</w:t>
      </w:r>
      <w:r w:rsidRPr="007E7EED">
        <w:rPr>
          <w:rStyle w:val="SCCCounselPartyRoleChar"/>
          <w:lang w:val="fr-CA"/>
        </w:rPr>
        <w:t>.</w:t>
      </w:r>
    </w:p>
    <w:p w:rsidR="00FA70C1" w:rsidRPr="007E7EED" w:rsidRDefault="007A4FCC" w:rsidP="00CB4886">
      <w:pPr>
        <w:pStyle w:val="SCCNormalDoubleSpacing"/>
        <w:spacing w:after="480"/>
        <w:rPr>
          <w:lang w:val="fr-CA"/>
        </w:rPr>
      </w:pPr>
      <w:r w:rsidRPr="007E7EED">
        <w:rPr>
          <w:rStyle w:val="SCCCounselNameChar"/>
          <w:lang w:val="fr-CA"/>
        </w:rPr>
        <w:tab/>
        <w:t>Jean</w:t>
      </w:r>
      <w:r w:rsidR="00E048E5">
        <w:rPr>
          <w:rStyle w:val="SCCCounselNameChar"/>
          <w:lang w:val="fr-CA"/>
        </w:rPr>
        <w:noBreakHyphen/>
      </w:r>
      <w:r w:rsidRPr="007E7EED">
        <w:rPr>
          <w:rStyle w:val="SCCCounselNameChar"/>
          <w:lang w:val="fr-CA"/>
        </w:rPr>
        <w:t xml:space="preserve">Marc </w:t>
      </w:r>
      <w:proofErr w:type="spellStart"/>
      <w:r w:rsidRPr="007E7EED">
        <w:rPr>
          <w:rStyle w:val="SCCCounselNameChar"/>
          <w:lang w:val="fr-CA"/>
        </w:rPr>
        <w:t>Fradette</w:t>
      </w:r>
      <w:proofErr w:type="spellEnd"/>
      <w:r w:rsidRPr="007E7EED">
        <w:rPr>
          <w:rStyle w:val="SCCCounselSeparatorChar"/>
          <w:lang w:val="fr-CA"/>
        </w:rPr>
        <w:t xml:space="preserve"> et </w:t>
      </w:r>
      <w:r w:rsidRPr="007E7EED">
        <w:rPr>
          <w:rStyle w:val="SCCCounselNameChar"/>
          <w:lang w:val="fr-CA"/>
        </w:rPr>
        <w:t>Pascal Lévesque</w:t>
      </w:r>
      <w:r w:rsidRPr="007E7EED">
        <w:rPr>
          <w:rStyle w:val="SCCCounselPartyRoleChar"/>
          <w:lang w:val="fr-CA"/>
        </w:rPr>
        <w:t>, pour l</w:t>
      </w:r>
      <w:r w:rsidR="001A43AC">
        <w:rPr>
          <w:rStyle w:val="SCCCounselPartyRoleChar"/>
          <w:lang w:val="fr-CA"/>
        </w:rPr>
        <w:t>’</w:t>
      </w:r>
      <w:r w:rsidRPr="007E7EED">
        <w:rPr>
          <w:rStyle w:val="SCCCounselPartyRoleChar"/>
          <w:lang w:val="fr-CA"/>
        </w:rPr>
        <w:t>intimée.</w:t>
      </w:r>
    </w:p>
    <w:p w:rsidR="00FA70C1" w:rsidRDefault="007A4FCC" w:rsidP="00435270">
      <w:pPr>
        <w:pStyle w:val="SCCNormalDoubleSpacing"/>
        <w:spacing w:after="480"/>
        <w:rPr>
          <w:rStyle w:val="SCCCounselPartyRoleChar"/>
          <w:lang w:val="fr-CA"/>
        </w:rPr>
      </w:pPr>
      <w:r w:rsidRPr="007E7EED">
        <w:rPr>
          <w:rStyle w:val="SCCCounselNameChar"/>
          <w:lang w:val="fr-CA"/>
        </w:rPr>
        <w:tab/>
        <w:t xml:space="preserve">Milan </w:t>
      </w:r>
      <w:proofErr w:type="spellStart"/>
      <w:r w:rsidRPr="007E7EED">
        <w:rPr>
          <w:rStyle w:val="SCCCounselNameChar"/>
          <w:lang w:val="fr-CA"/>
        </w:rPr>
        <w:t>Rupic</w:t>
      </w:r>
      <w:proofErr w:type="spellEnd"/>
      <w:r w:rsidRPr="007E7EED">
        <w:rPr>
          <w:rStyle w:val="SCCCounselSeparatorChar"/>
          <w:lang w:val="fr-CA"/>
        </w:rPr>
        <w:t xml:space="preserve"> et </w:t>
      </w:r>
      <w:proofErr w:type="spellStart"/>
      <w:r w:rsidRPr="007E7EED">
        <w:rPr>
          <w:rStyle w:val="SCCCounselNameChar"/>
          <w:lang w:val="fr-CA"/>
        </w:rPr>
        <w:t>Avene</w:t>
      </w:r>
      <w:proofErr w:type="spellEnd"/>
      <w:r w:rsidRPr="007E7EED">
        <w:rPr>
          <w:rStyle w:val="SCCCounselNameChar"/>
          <w:lang w:val="fr-CA"/>
        </w:rPr>
        <w:t xml:space="preserve"> </w:t>
      </w:r>
      <w:proofErr w:type="spellStart"/>
      <w:r w:rsidRPr="007E7EED">
        <w:rPr>
          <w:rStyle w:val="SCCCounselNameChar"/>
          <w:lang w:val="fr-CA"/>
        </w:rPr>
        <w:t>Derwa</w:t>
      </w:r>
      <w:proofErr w:type="spellEnd"/>
      <w:r w:rsidRPr="007E7EED">
        <w:rPr>
          <w:rStyle w:val="SCCCounselPartyRoleChar"/>
          <w:lang w:val="fr-CA"/>
        </w:rPr>
        <w:t>, pour l</w:t>
      </w:r>
      <w:r w:rsidR="001A43AC">
        <w:rPr>
          <w:rStyle w:val="SCCCounselPartyRoleChar"/>
          <w:lang w:val="fr-CA"/>
        </w:rPr>
        <w:t>’</w:t>
      </w:r>
      <w:r w:rsidR="002E2289" w:rsidRPr="007E7EED">
        <w:rPr>
          <w:rStyle w:val="SCCCounselPartyRoleChar"/>
          <w:lang w:val="fr-CA"/>
        </w:rPr>
        <w:t>intervenant</w:t>
      </w:r>
      <w:r w:rsidR="009F7871" w:rsidRPr="007E7EED">
        <w:rPr>
          <w:rStyle w:val="SCCCounselPartyRoleChar"/>
          <w:lang w:val="fr-CA"/>
        </w:rPr>
        <w:t>e</w:t>
      </w:r>
      <w:r w:rsidRPr="007E7EED">
        <w:rPr>
          <w:rStyle w:val="SCCCounselPartyRoleChar"/>
          <w:lang w:val="fr-CA"/>
        </w:rPr>
        <w:t>.</w:t>
      </w:r>
    </w:p>
    <w:p w:rsidR="00D36E2F" w:rsidRPr="00C9352D" w:rsidRDefault="00435270" w:rsidP="00CB0EB1">
      <w:pPr>
        <w:pStyle w:val="SCCNormalDoubleSpacing"/>
        <w:spacing w:after="480"/>
        <w:rPr>
          <w:lang w:val="fr-CA"/>
        </w:rPr>
      </w:pPr>
      <w:r>
        <w:rPr>
          <w:lang w:val="fr-CA"/>
        </w:rPr>
        <w:tab/>
      </w:r>
      <w:r w:rsidR="00D36E2F" w:rsidRPr="00796D65">
        <w:rPr>
          <w:lang w:val="fr-CA"/>
        </w:rPr>
        <w:t>Version française du jugement de la Cour rendu par</w:t>
      </w:r>
    </w:p>
    <w:p w:rsidR="00D36E2F" w:rsidRPr="00944B7A" w:rsidRDefault="00D36E2F" w:rsidP="00D36E2F">
      <w:pPr>
        <w:pStyle w:val="JudgeJuge"/>
        <w:tabs>
          <w:tab w:val="center" w:pos="4140"/>
        </w:tabs>
        <w:spacing w:before="480"/>
      </w:pPr>
      <w:r w:rsidRPr="00944B7A">
        <w:rPr>
          <w:lang w:val="fr-CA"/>
        </w:rPr>
        <w:tab/>
        <w:t xml:space="preserve">Le juge </w:t>
      </w:r>
      <w:r w:rsidRPr="00944B7A">
        <w:t xml:space="preserve">Rowe — </w:t>
      </w:r>
    </w:p>
    <w:p w:rsidR="00D36E2F" w:rsidRPr="00944B7A" w:rsidRDefault="00D36E2F" w:rsidP="00D36E2F">
      <w:pPr>
        <w:pStyle w:val="Title1LevelTitre1Niveau-AltL"/>
        <w:numPr>
          <w:ilvl w:val="0"/>
          <w:numId w:val="8"/>
        </w:numPr>
        <w:rPr>
          <w:rFonts w:cs="Times New Roman"/>
        </w:rPr>
      </w:pPr>
      <w:r w:rsidRPr="00944B7A">
        <w:rPr>
          <w:rFonts w:cs="Times New Roman"/>
        </w:rPr>
        <w:t>Introduction</w:t>
      </w:r>
    </w:p>
    <w:p w:rsidR="00D36E2F" w:rsidRPr="00944B7A" w:rsidRDefault="00D36E2F" w:rsidP="00D36E2F">
      <w:pPr>
        <w:pStyle w:val="ParaNoNdepar-AltN"/>
        <w:rPr>
          <w:rFonts w:cs="Times New Roman"/>
          <w:lang w:val="fr-CA"/>
        </w:rPr>
      </w:pPr>
      <w:r w:rsidRPr="00944B7A">
        <w:rPr>
          <w:rFonts w:cs="Times New Roman"/>
          <w:lang w:val="fr-CA"/>
        </w:rPr>
        <w:lastRenderedPageBreak/>
        <w:t xml:space="preserve">La présente affaire a été instruite peu après </w:t>
      </w:r>
      <w:r w:rsidRPr="00944B7A">
        <w:rPr>
          <w:rFonts w:cs="Times New Roman"/>
          <w:i/>
          <w:lang w:val="fr-CA"/>
        </w:rPr>
        <w:t xml:space="preserve">R. c. </w:t>
      </w:r>
      <w:proofErr w:type="spellStart"/>
      <w:r w:rsidRPr="00944B7A">
        <w:rPr>
          <w:rFonts w:cs="Times New Roman"/>
          <w:i/>
          <w:lang w:val="fr-CA"/>
        </w:rPr>
        <w:t>Gubbins</w:t>
      </w:r>
      <w:proofErr w:type="spellEnd"/>
      <w:r w:rsidRPr="00944B7A">
        <w:rPr>
          <w:rFonts w:cs="Times New Roman"/>
          <w:lang w:val="fr-CA"/>
        </w:rPr>
        <w:t>, 2018 CSC 4</w:t>
      </w:r>
      <w:r>
        <w:rPr>
          <w:rFonts w:cs="Times New Roman"/>
          <w:lang w:val="fr-CA"/>
        </w:rPr>
        <w:t>4</w:t>
      </w:r>
      <w:r w:rsidRPr="00944B7A">
        <w:rPr>
          <w:rFonts w:cs="Times New Roman"/>
          <w:lang w:val="fr-CA"/>
        </w:rPr>
        <w:t>,</w:t>
      </w:r>
      <w:r w:rsidRPr="00944B7A">
        <w:rPr>
          <w:rFonts w:cs="Times New Roman"/>
          <w:i/>
          <w:lang w:val="fr-CA"/>
        </w:rPr>
        <w:t xml:space="preserve"> </w:t>
      </w:r>
      <w:r w:rsidR="00401BB6">
        <w:rPr>
          <w:rFonts w:cs="Times New Roman"/>
          <w:lang w:val="fr-CA"/>
        </w:rPr>
        <w:t xml:space="preserve">[2018] 3 R.C.S. 35, </w:t>
      </w:r>
      <w:r w:rsidRPr="00944B7A">
        <w:rPr>
          <w:rFonts w:cs="Times New Roman"/>
          <w:lang w:val="fr-CA"/>
        </w:rPr>
        <w:t>et elle tire son origine d</w:t>
      </w:r>
      <w:r>
        <w:rPr>
          <w:rFonts w:cs="Times New Roman"/>
          <w:lang w:val="fr-CA"/>
        </w:rPr>
        <w:t>’</w:t>
      </w:r>
      <w:r w:rsidRPr="00944B7A">
        <w:rPr>
          <w:rFonts w:cs="Times New Roman"/>
          <w:lang w:val="fr-CA"/>
        </w:rPr>
        <w:t>un contexte semblable. Elle soulève toutefois une question de procédure distincte qui doit faire l</w:t>
      </w:r>
      <w:r>
        <w:rPr>
          <w:rFonts w:cs="Times New Roman"/>
          <w:lang w:val="fr-CA"/>
        </w:rPr>
        <w:t>’</w:t>
      </w:r>
      <w:r w:rsidRPr="00944B7A">
        <w:rPr>
          <w:rFonts w:cs="Times New Roman"/>
          <w:lang w:val="fr-CA"/>
        </w:rPr>
        <w:t>objet de motifs séparés. L</w:t>
      </w:r>
      <w:r>
        <w:rPr>
          <w:rFonts w:cs="Times New Roman"/>
          <w:lang w:val="fr-CA"/>
        </w:rPr>
        <w:t>’</w:t>
      </w:r>
      <w:r w:rsidRPr="00944B7A">
        <w:rPr>
          <w:rFonts w:cs="Times New Roman"/>
          <w:lang w:val="fr-CA"/>
        </w:rPr>
        <w:t>intimée, M</w:t>
      </w:r>
      <w:r w:rsidRPr="00944B7A">
        <w:rPr>
          <w:rFonts w:cs="Times New Roman"/>
          <w:vertAlign w:val="superscript"/>
          <w:lang w:val="fr-CA"/>
        </w:rPr>
        <w:t>me</w:t>
      </w:r>
      <w:r w:rsidRPr="00944B7A">
        <w:rPr>
          <w:rFonts w:cs="Times New Roman"/>
          <w:lang w:val="fr-CA"/>
        </w:rPr>
        <w:t xml:space="preserve"> Justine Awashish, a été inculpée de conduite avec les facultés affaiblies et de conduite avec une alcoolémie « supérieure à 80 mg ». Elle a cherché à obtenir la communication de documents additionnels de la part du ministère public. La juge de la cour provinciale a ordonné la communication des documents additionnels demandés. La Cour supérieure a accueilli la demande de </w:t>
      </w:r>
      <w:proofErr w:type="spellStart"/>
      <w:r w:rsidRPr="00944B7A">
        <w:rPr>
          <w:rFonts w:cs="Times New Roman"/>
          <w:i/>
          <w:lang w:val="fr-CA"/>
        </w:rPr>
        <w:t>certiorari</w:t>
      </w:r>
      <w:proofErr w:type="spellEnd"/>
      <w:r w:rsidRPr="00944B7A">
        <w:rPr>
          <w:rFonts w:cs="Times New Roman"/>
          <w:i/>
          <w:lang w:val="fr-CA"/>
        </w:rPr>
        <w:t xml:space="preserve"> </w:t>
      </w:r>
      <w:r w:rsidRPr="00944B7A">
        <w:rPr>
          <w:rFonts w:cs="Times New Roman"/>
          <w:lang w:val="fr-CA"/>
        </w:rPr>
        <w:t>du ministère public visant à faire annuler l</w:t>
      </w:r>
      <w:r>
        <w:rPr>
          <w:rFonts w:cs="Times New Roman"/>
          <w:lang w:val="fr-CA"/>
        </w:rPr>
        <w:t>’</w:t>
      </w:r>
      <w:r w:rsidRPr="00944B7A">
        <w:rPr>
          <w:rFonts w:cs="Times New Roman"/>
          <w:lang w:val="fr-CA"/>
        </w:rPr>
        <w:t>ordonnance parce que la pertinence des documents demandés n</w:t>
      </w:r>
      <w:r>
        <w:rPr>
          <w:rFonts w:cs="Times New Roman"/>
          <w:lang w:val="fr-CA"/>
        </w:rPr>
        <w:t>’</w:t>
      </w:r>
      <w:r w:rsidRPr="00944B7A">
        <w:rPr>
          <w:rFonts w:cs="Times New Roman"/>
          <w:lang w:val="fr-CA"/>
        </w:rPr>
        <w:t>avait pas été établie. M</w:t>
      </w:r>
      <w:r w:rsidRPr="00944B7A">
        <w:rPr>
          <w:rFonts w:cs="Times New Roman"/>
          <w:vertAlign w:val="superscript"/>
          <w:lang w:val="fr-CA"/>
        </w:rPr>
        <w:t>me</w:t>
      </w:r>
      <w:r>
        <w:rPr>
          <w:rFonts w:cs="Times New Roman"/>
          <w:lang w:val="fr-CA"/>
        </w:rPr>
        <w:t> </w:t>
      </w:r>
      <w:r w:rsidRPr="00944B7A">
        <w:rPr>
          <w:rFonts w:cs="Times New Roman"/>
          <w:lang w:val="fr-CA"/>
        </w:rPr>
        <w:t>Awashish a ensuite sollicité de l</w:t>
      </w:r>
      <w:r>
        <w:rPr>
          <w:rFonts w:cs="Times New Roman"/>
          <w:lang w:val="fr-CA"/>
        </w:rPr>
        <w:t>’</w:t>
      </w:r>
      <w:r w:rsidRPr="00944B7A">
        <w:rPr>
          <w:rFonts w:cs="Times New Roman"/>
          <w:lang w:val="fr-CA"/>
        </w:rPr>
        <w:t xml:space="preserve">information sur les mêmes documents en vue de préparer une seconde demande de communication, demande que la juge de la cour provinciale </w:t>
      </w:r>
      <w:proofErr w:type="gramStart"/>
      <w:r w:rsidRPr="00944B7A">
        <w:rPr>
          <w:rFonts w:cs="Times New Roman"/>
          <w:lang w:val="fr-CA"/>
        </w:rPr>
        <w:t>a</w:t>
      </w:r>
      <w:proofErr w:type="gramEnd"/>
      <w:r w:rsidRPr="00944B7A">
        <w:rPr>
          <w:rFonts w:cs="Times New Roman"/>
          <w:lang w:val="fr-CA"/>
        </w:rPr>
        <w:t xml:space="preserve"> accueillie en partie. Le ministère public a de nouveau sollicité un </w:t>
      </w:r>
      <w:proofErr w:type="spellStart"/>
      <w:r w:rsidRPr="00944B7A">
        <w:rPr>
          <w:rFonts w:cs="Times New Roman"/>
          <w:i/>
          <w:lang w:val="fr-CA"/>
        </w:rPr>
        <w:t>certiorari</w:t>
      </w:r>
      <w:proofErr w:type="spellEnd"/>
      <w:r w:rsidRPr="00944B7A">
        <w:rPr>
          <w:rFonts w:cs="Times New Roman"/>
          <w:lang w:val="fr-CA"/>
        </w:rPr>
        <w:t>, qui lui a été accordé encore une fois. M</w:t>
      </w:r>
      <w:r w:rsidRPr="00944B7A">
        <w:rPr>
          <w:rFonts w:cs="Times New Roman"/>
          <w:vertAlign w:val="superscript"/>
          <w:lang w:val="fr-CA"/>
        </w:rPr>
        <w:t>me</w:t>
      </w:r>
      <w:r>
        <w:rPr>
          <w:rFonts w:cs="Times New Roman"/>
          <w:lang w:val="fr-CA"/>
        </w:rPr>
        <w:t> </w:t>
      </w:r>
      <w:r w:rsidRPr="00944B7A">
        <w:rPr>
          <w:rFonts w:cs="Times New Roman"/>
          <w:lang w:val="fr-CA"/>
        </w:rPr>
        <w:t>Awashish s</w:t>
      </w:r>
      <w:r>
        <w:rPr>
          <w:rFonts w:cs="Times New Roman"/>
          <w:lang w:val="fr-CA"/>
        </w:rPr>
        <w:t>’</w:t>
      </w:r>
      <w:r w:rsidRPr="00944B7A">
        <w:rPr>
          <w:rFonts w:cs="Times New Roman"/>
          <w:lang w:val="fr-CA"/>
        </w:rPr>
        <w:t>est pourvue en appel. La Cour d</w:t>
      </w:r>
      <w:r>
        <w:rPr>
          <w:rFonts w:cs="Times New Roman"/>
          <w:lang w:val="fr-CA"/>
        </w:rPr>
        <w:t>’</w:t>
      </w:r>
      <w:r w:rsidRPr="00944B7A">
        <w:rPr>
          <w:rFonts w:cs="Times New Roman"/>
          <w:lang w:val="fr-CA"/>
        </w:rPr>
        <w:t>appel a rétabli la seconde ordonnance de la juge de la cour provinciale au motif qu</w:t>
      </w:r>
      <w:r>
        <w:rPr>
          <w:rFonts w:cs="Times New Roman"/>
          <w:lang w:val="fr-CA"/>
        </w:rPr>
        <w:t>’</w:t>
      </w:r>
      <w:r w:rsidRPr="00944B7A">
        <w:rPr>
          <w:rFonts w:cs="Times New Roman"/>
          <w:lang w:val="fr-CA"/>
        </w:rPr>
        <w:t>il n</w:t>
      </w:r>
      <w:r>
        <w:rPr>
          <w:rFonts w:cs="Times New Roman"/>
          <w:lang w:val="fr-CA"/>
        </w:rPr>
        <w:t>’</w:t>
      </w:r>
      <w:r w:rsidRPr="00944B7A">
        <w:rPr>
          <w:rFonts w:cs="Times New Roman"/>
          <w:lang w:val="fr-CA"/>
        </w:rPr>
        <w:t>y a pas lieu d</w:t>
      </w:r>
      <w:r>
        <w:rPr>
          <w:rFonts w:cs="Times New Roman"/>
          <w:lang w:val="fr-CA"/>
        </w:rPr>
        <w:t>’</w:t>
      </w:r>
      <w:r w:rsidRPr="00944B7A">
        <w:rPr>
          <w:rFonts w:cs="Times New Roman"/>
          <w:lang w:val="fr-CA"/>
        </w:rPr>
        <w:t xml:space="preserve">accorder le </w:t>
      </w:r>
      <w:proofErr w:type="spellStart"/>
      <w:r w:rsidRPr="00944B7A">
        <w:rPr>
          <w:rFonts w:cs="Times New Roman"/>
          <w:i/>
          <w:lang w:val="fr-CA"/>
        </w:rPr>
        <w:t>certiorari</w:t>
      </w:r>
      <w:proofErr w:type="spellEnd"/>
      <w:r w:rsidRPr="00944B7A">
        <w:rPr>
          <w:rFonts w:cs="Times New Roman"/>
          <w:i/>
          <w:lang w:val="fr-CA"/>
        </w:rPr>
        <w:t xml:space="preserve"> </w:t>
      </w:r>
      <w:r w:rsidRPr="00944B7A">
        <w:rPr>
          <w:rFonts w:cs="Times New Roman"/>
          <w:lang w:val="fr-CA"/>
        </w:rPr>
        <w:t>dans les circonstances, car cette mesure aurait pour effet de contourner l</w:t>
      </w:r>
      <w:r>
        <w:rPr>
          <w:rFonts w:cs="Times New Roman"/>
          <w:lang w:val="fr-CA"/>
        </w:rPr>
        <w:t>’</w:t>
      </w:r>
      <w:r w:rsidRPr="00944B7A">
        <w:rPr>
          <w:rFonts w:cs="Times New Roman"/>
          <w:lang w:val="fr-CA"/>
        </w:rPr>
        <w:t>interdiction générale des appels interlocutoires en matière criminelle.</w:t>
      </w:r>
    </w:p>
    <w:p w:rsidR="00D36E2F" w:rsidRPr="00944B7A" w:rsidRDefault="00D36E2F" w:rsidP="00D36E2F">
      <w:pPr>
        <w:pStyle w:val="ParaNoNdepar-AltN"/>
        <w:rPr>
          <w:rFonts w:cs="Times New Roman"/>
          <w:lang w:val="fr-CA"/>
        </w:rPr>
      </w:pPr>
      <w:r w:rsidRPr="00944B7A">
        <w:rPr>
          <w:rFonts w:cs="Times New Roman"/>
          <w:lang w:val="fr-CA"/>
        </w:rPr>
        <w:t xml:space="preserve">Le </w:t>
      </w:r>
      <w:proofErr w:type="spellStart"/>
      <w:r w:rsidRPr="00944B7A">
        <w:rPr>
          <w:rFonts w:cs="Times New Roman"/>
          <w:i/>
          <w:lang w:val="fr-CA"/>
        </w:rPr>
        <w:t>certiorari</w:t>
      </w:r>
      <w:proofErr w:type="spellEnd"/>
      <w:r w:rsidRPr="00944B7A">
        <w:rPr>
          <w:rFonts w:cs="Times New Roman"/>
          <w:i/>
          <w:lang w:val="fr-CA"/>
        </w:rPr>
        <w:t xml:space="preserve"> </w:t>
      </w:r>
      <w:r w:rsidRPr="00944B7A">
        <w:rPr>
          <w:rFonts w:cs="Times New Roman"/>
          <w:lang w:val="fr-CA"/>
        </w:rPr>
        <w:t>est un recours extraordinaire qui n</w:t>
      </w:r>
      <w:r>
        <w:rPr>
          <w:rFonts w:cs="Times New Roman"/>
          <w:lang w:val="fr-CA"/>
        </w:rPr>
        <w:t>’</w:t>
      </w:r>
      <w:r w:rsidRPr="00944B7A">
        <w:rPr>
          <w:rFonts w:cs="Times New Roman"/>
          <w:lang w:val="fr-CA"/>
        </w:rPr>
        <w:t>est admis qu</w:t>
      </w:r>
      <w:r>
        <w:rPr>
          <w:rFonts w:cs="Times New Roman"/>
          <w:lang w:val="fr-CA"/>
        </w:rPr>
        <w:t>’</w:t>
      </w:r>
      <w:r w:rsidRPr="00944B7A">
        <w:rPr>
          <w:rFonts w:cs="Times New Roman"/>
          <w:lang w:val="fr-CA"/>
        </w:rPr>
        <w:t>en certaines circonstances particulières. Si l</w:t>
      </w:r>
      <w:r>
        <w:rPr>
          <w:rFonts w:cs="Times New Roman"/>
          <w:lang w:val="fr-CA"/>
        </w:rPr>
        <w:t>’</w:t>
      </w:r>
      <w:r w:rsidRPr="00944B7A">
        <w:rPr>
          <w:rFonts w:cs="Times New Roman"/>
          <w:lang w:val="fr-CA"/>
        </w:rPr>
        <w:t>on permet aux parties de s</w:t>
      </w:r>
      <w:r>
        <w:rPr>
          <w:rFonts w:cs="Times New Roman"/>
          <w:lang w:val="fr-CA"/>
        </w:rPr>
        <w:t>’</w:t>
      </w:r>
      <w:r w:rsidRPr="00944B7A">
        <w:rPr>
          <w:rFonts w:cs="Times New Roman"/>
          <w:lang w:val="fr-CA"/>
        </w:rPr>
        <w:t xml:space="preserve">en servir pour contester des décisions interlocutoires, dont celles portant sur des questions de preuve, cela risque de ralentir considérablement le fonctionnement du système de justice pénale. Pour des </w:t>
      </w:r>
      <w:r w:rsidRPr="00944B7A">
        <w:rPr>
          <w:rFonts w:cs="Times New Roman"/>
          <w:lang w:val="fr-CA"/>
        </w:rPr>
        <w:lastRenderedPageBreak/>
        <w:t>motifs semblables à ceux exposés par la Cour d</w:t>
      </w:r>
      <w:r>
        <w:rPr>
          <w:rFonts w:cs="Times New Roman"/>
          <w:lang w:val="fr-CA"/>
        </w:rPr>
        <w:t>’</w:t>
      </w:r>
      <w:r w:rsidRPr="00944B7A">
        <w:rPr>
          <w:rFonts w:cs="Times New Roman"/>
          <w:lang w:val="fr-CA"/>
        </w:rPr>
        <w:t>appel, je suis d</w:t>
      </w:r>
      <w:r>
        <w:rPr>
          <w:rFonts w:cs="Times New Roman"/>
          <w:lang w:val="fr-CA"/>
        </w:rPr>
        <w:t>’</w:t>
      </w:r>
      <w:r w:rsidRPr="00944B7A">
        <w:rPr>
          <w:rFonts w:cs="Times New Roman"/>
          <w:lang w:val="fr-CA"/>
        </w:rPr>
        <w:t xml:space="preserve">avis de rejeter le pourvoi du ministère public. </w:t>
      </w:r>
    </w:p>
    <w:p w:rsidR="00D36E2F" w:rsidRPr="00944B7A" w:rsidRDefault="00D36E2F" w:rsidP="00D36E2F">
      <w:pPr>
        <w:pStyle w:val="Title1LevelTitre1Niveau-AltL"/>
        <w:numPr>
          <w:ilvl w:val="0"/>
          <w:numId w:val="8"/>
        </w:numPr>
        <w:rPr>
          <w:rFonts w:cs="Times New Roman"/>
        </w:rPr>
      </w:pPr>
      <w:proofErr w:type="spellStart"/>
      <w:r w:rsidRPr="00944B7A">
        <w:rPr>
          <w:rFonts w:cs="Times New Roman"/>
        </w:rPr>
        <w:t>Faits</w:t>
      </w:r>
      <w:proofErr w:type="spellEnd"/>
    </w:p>
    <w:p w:rsidR="00D36E2F" w:rsidRPr="00944B7A" w:rsidRDefault="00D36E2F" w:rsidP="00D36E2F">
      <w:pPr>
        <w:pStyle w:val="ParaNoNdepar-AltN"/>
        <w:rPr>
          <w:rFonts w:cs="Times New Roman"/>
          <w:lang w:val="fr-CA"/>
        </w:rPr>
      </w:pPr>
      <w:r w:rsidRPr="00944B7A">
        <w:rPr>
          <w:rFonts w:cs="Times New Roman"/>
          <w:lang w:val="fr-CA"/>
        </w:rPr>
        <w:t>M</w:t>
      </w:r>
      <w:r w:rsidRPr="00944B7A">
        <w:rPr>
          <w:rFonts w:cs="Times New Roman"/>
          <w:vertAlign w:val="superscript"/>
          <w:lang w:val="fr-CA"/>
        </w:rPr>
        <w:t>me</w:t>
      </w:r>
      <w:r>
        <w:rPr>
          <w:rFonts w:cs="Times New Roman"/>
          <w:lang w:val="fr-CA"/>
        </w:rPr>
        <w:t> </w:t>
      </w:r>
      <w:r w:rsidRPr="00944B7A">
        <w:rPr>
          <w:rFonts w:cs="Times New Roman"/>
          <w:lang w:val="fr-CA"/>
        </w:rPr>
        <w:t>Awashish a été accusée d</w:t>
      </w:r>
      <w:r>
        <w:rPr>
          <w:rFonts w:cs="Times New Roman"/>
          <w:lang w:val="fr-CA"/>
        </w:rPr>
        <w:t>’</w:t>
      </w:r>
      <w:r w:rsidRPr="00944B7A">
        <w:rPr>
          <w:rFonts w:cs="Times New Roman"/>
          <w:lang w:val="fr-CA"/>
        </w:rPr>
        <w:t>avoir conduit un véhicule avec les facultés affaiblies par l</w:t>
      </w:r>
      <w:r>
        <w:rPr>
          <w:rFonts w:cs="Times New Roman"/>
          <w:lang w:val="fr-CA"/>
        </w:rPr>
        <w:t>’</w:t>
      </w:r>
      <w:r w:rsidRPr="00944B7A">
        <w:rPr>
          <w:rFonts w:cs="Times New Roman"/>
          <w:lang w:val="fr-CA"/>
        </w:rPr>
        <w:t xml:space="preserve">alcool ou la drogue et de conduite avec une </w:t>
      </w:r>
      <w:r>
        <w:rPr>
          <w:rFonts w:cs="Times New Roman"/>
          <w:lang w:val="fr-CA"/>
        </w:rPr>
        <w:t>alcoolémie « supérieure à 80 mg </w:t>
      </w:r>
      <w:r w:rsidRPr="00944B7A">
        <w:rPr>
          <w:rFonts w:cs="Times New Roman"/>
          <w:lang w:val="fr-CA"/>
        </w:rPr>
        <w:t xml:space="preserve">» en contravention des </w:t>
      </w:r>
      <w:r>
        <w:rPr>
          <w:rFonts w:cs="Times New Roman"/>
          <w:lang w:val="fr-CA"/>
        </w:rPr>
        <w:t>al. </w:t>
      </w:r>
      <w:r w:rsidRPr="00944B7A">
        <w:rPr>
          <w:rFonts w:cs="Times New Roman"/>
          <w:lang w:val="fr-CA"/>
        </w:rPr>
        <w:t xml:space="preserve">253(1)a) et b) du </w:t>
      </w:r>
      <w:r w:rsidRPr="00944B7A">
        <w:rPr>
          <w:rFonts w:cs="Times New Roman"/>
          <w:i/>
          <w:lang w:val="fr-CA"/>
        </w:rPr>
        <w:t>Code criminel</w:t>
      </w:r>
      <w:r>
        <w:rPr>
          <w:rFonts w:cs="Times New Roman"/>
          <w:lang w:val="fr-CA"/>
        </w:rPr>
        <w:t>, L.R.C. 1985, c. </w:t>
      </w:r>
      <w:r w:rsidRPr="00944B7A">
        <w:rPr>
          <w:rFonts w:cs="Times New Roman"/>
          <w:lang w:val="fr-CA"/>
        </w:rPr>
        <w:t>C</w:t>
      </w:r>
      <w:r>
        <w:rPr>
          <w:rFonts w:cs="Times New Roman"/>
          <w:lang w:val="fr-CA"/>
        </w:rPr>
        <w:noBreakHyphen/>
      </w:r>
      <w:r w:rsidRPr="00944B7A">
        <w:rPr>
          <w:rFonts w:cs="Times New Roman"/>
          <w:lang w:val="fr-CA"/>
        </w:rPr>
        <w:t>46. Le ministère public a communiqué les documents qu</w:t>
      </w:r>
      <w:r>
        <w:rPr>
          <w:rFonts w:cs="Times New Roman"/>
          <w:lang w:val="fr-CA"/>
        </w:rPr>
        <w:t>’</w:t>
      </w:r>
      <w:r w:rsidRPr="00944B7A">
        <w:rPr>
          <w:rFonts w:cs="Times New Roman"/>
          <w:lang w:val="fr-CA"/>
        </w:rPr>
        <w:t xml:space="preserve">elle croyait devoir communiquer selon </w:t>
      </w:r>
      <w:r w:rsidRPr="00944B7A">
        <w:rPr>
          <w:rFonts w:cs="Times New Roman"/>
          <w:i/>
          <w:lang w:val="fr-CA"/>
        </w:rPr>
        <w:t>R. c. Stinchcombe</w:t>
      </w:r>
      <w:r w:rsidRPr="00944B7A">
        <w:rPr>
          <w:rFonts w:cs="Times New Roman"/>
          <w:lang w:val="fr-CA"/>
        </w:rPr>
        <w:t>, [1991] 3 R.C.S. 326. M</w:t>
      </w:r>
      <w:r w:rsidRPr="00944B7A">
        <w:rPr>
          <w:rFonts w:cs="Times New Roman"/>
          <w:vertAlign w:val="superscript"/>
          <w:lang w:val="fr-CA"/>
        </w:rPr>
        <w:t>me</w:t>
      </w:r>
      <w:r>
        <w:rPr>
          <w:rFonts w:cs="Times New Roman"/>
          <w:vertAlign w:val="superscript"/>
          <w:lang w:val="fr-CA"/>
        </w:rPr>
        <w:t> </w:t>
      </w:r>
      <w:r w:rsidRPr="00944B7A">
        <w:rPr>
          <w:rFonts w:cs="Times New Roman"/>
          <w:lang w:val="fr-CA"/>
        </w:rPr>
        <w:t>Awashish a ensuite sollicité la communication de documents supplémentaires concernant entre autres</w:t>
      </w:r>
      <w:r>
        <w:rPr>
          <w:rFonts w:cs="Times New Roman"/>
          <w:lang w:val="fr-CA"/>
        </w:rPr>
        <w:t> :</w:t>
      </w:r>
      <w:r w:rsidRPr="00944B7A">
        <w:rPr>
          <w:rFonts w:cs="Times New Roman"/>
          <w:lang w:val="fr-CA"/>
        </w:rPr>
        <w:t xml:space="preserve"> l</w:t>
      </w:r>
      <w:r>
        <w:rPr>
          <w:rFonts w:cs="Times New Roman"/>
          <w:lang w:val="fr-CA"/>
        </w:rPr>
        <w:t>’</w:t>
      </w:r>
      <w:r w:rsidRPr="00944B7A">
        <w:rPr>
          <w:rFonts w:cs="Times New Roman"/>
          <w:lang w:val="fr-CA"/>
        </w:rPr>
        <w:t>alcootest, le technicien, les simulateurs utilisés pour calibrer l</w:t>
      </w:r>
      <w:r>
        <w:rPr>
          <w:rFonts w:cs="Times New Roman"/>
          <w:lang w:val="fr-CA"/>
        </w:rPr>
        <w:t>’</w:t>
      </w:r>
      <w:r w:rsidRPr="00944B7A">
        <w:rPr>
          <w:rFonts w:cs="Times New Roman"/>
          <w:lang w:val="fr-CA"/>
        </w:rPr>
        <w:t>appareil et la solution standard employée pour le calibrer. Le ministère public s</w:t>
      </w:r>
      <w:r>
        <w:rPr>
          <w:rFonts w:cs="Times New Roman"/>
          <w:lang w:val="fr-CA"/>
        </w:rPr>
        <w:t>’</w:t>
      </w:r>
      <w:r w:rsidRPr="00944B7A">
        <w:rPr>
          <w:rFonts w:cs="Times New Roman"/>
          <w:lang w:val="fr-CA"/>
        </w:rPr>
        <w:t xml:space="preserve">est opposé à la demande. </w:t>
      </w:r>
    </w:p>
    <w:p w:rsidR="00D36E2F" w:rsidRPr="00944B7A" w:rsidRDefault="00D36E2F" w:rsidP="00D36E2F">
      <w:pPr>
        <w:pStyle w:val="ParaNoNdepar-AltN"/>
        <w:rPr>
          <w:rFonts w:cs="Times New Roman"/>
          <w:lang w:val="fr-CA"/>
        </w:rPr>
      </w:pPr>
      <w:r w:rsidRPr="00944B7A">
        <w:rPr>
          <w:rFonts w:cs="Times New Roman"/>
          <w:lang w:val="fr-CA"/>
        </w:rPr>
        <w:t>La juge Paradis, de la Cour du Québec, a ordonné au ministère public de communiquer les renseignements demandés (</w:t>
      </w:r>
      <w:r w:rsidRPr="00944B7A">
        <w:rPr>
          <w:rFonts w:cs="Times New Roman"/>
          <w:i/>
          <w:lang w:val="fr-CA"/>
        </w:rPr>
        <w:t>R. c. Awashish</w:t>
      </w:r>
      <w:r w:rsidRPr="00944B7A">
        <w:rPr>
          <w:rFonts w:cs="Times New Roman"/>
          <w:lang w:val="fr-CA"/>
        </w:rPr>
        <w:t>, 2014 QCCQ 3984). Parmi ces renseignements, mentionnons</w:t>
      </w:r>
      <w:r>
        <w:rPr>
          <w:rFonts w:cs="Times New Roman"/>
          <w:lang w:val="fr-CA"/>
        </w:rPr>
        <w:t> :</w:t>
      </w:r>
      <w:r w:rsidRPr="00944B7A">
        <w:rPr>
          <w:rFonts w:cs="Times New Roman"/>
          <w:lang w:val="fr-CA"/>
        </w:rPr>
        <w:t xml:space="preserve"> les manuels d</w:t>
      </w:r>
      <w:r>
        <w:rPr>
          <w:rFonts w:cs="Times New Roman"/>
          <w:lang w:val="fr-CA"/>
        </w:rPr>
        <w:t>’</w:t>
      </w:r>
      <w:r w:rsidRPr="00944B7A">
        <w:rPr>
          <w:rFonts w:cs="Times New Roman"/>
          <w:lang w:val="fr-CA"/>
        </w:rPr>
        <w:t>entretien, les registres d</w:t>
      </w:r>
      <w:r>
        <w:rPr>
          <w:rFonts w:cs="Times New Roman"/>
          <w:lang w:val="fr-CA"/>
        </w:rPr>
        <w:t>’</w:t>
      </w:r>
      <w:r w:rsidRPr="00944B7A">
        <w:rPr>
          <w:rFonts w:cs="Times New Roman"/>
          <w:lang w:val="fr-CA"/>
        </w:rPr>
        <w:t xml:space="preserve">entretien et de réparation et des éléments de preuve démontrant que la formation du technicien était à jour. Le ministère public a présenté une demande de </w:t>
      </w:r>
      <w:proofErr w:type="spellStart"/>
      <w:r w:rsidRPr="00944B7A">
        <w:rPr>
          <w:rFonts w:cs="Times New Roman"/>
          <w:i/>
          <w:lang w:val="fr-CA"/>
        </w:rPr>
        <w:t>certiorari</w:t>
      </w:r>
      <w:proofErr w:type="spellEnd"/>
      <w:r w:rsidRPr="00944B7A">
        <w:rPr>
          <w:rFonts w:cs="Times New Roman"/>
          <w:i/>
          <w:lang w:val="fr-CA"/>
        </w:rPr>
        <w:t xml:space="preserve"> </w:t>
      </w:r>
      <w:r w:rsidRPr="00944B7A">
        <w:rPr>
          <w:rFonts w:cs="Times New Roman"/>
          <w:lang w:val="fr-CA"/>
        </w:rPr>
        <w:t>à la Cour supérieure pour qu</w:t>
      </w:r>
      <w:r>
        <w:rPr>
          <w:rFonts w:cs="Times New Roman"/>
          <w:lang w:val="fr-CA"/>
        </w:rPr>
        <w:t>’</w:t>
      </w:r>
      <w:r w:rsidRPr="00944B7A">
        <w:rPr>
          <w:rFonts w:cs="Times New Roman"/>
          <w:lang w:val="fr-CA"/>
        </w:rPr>
        <w:t>elle annule l</w:t>
      </w:r>
      <w:r>
        <w:rPr>
          <w:rFonts w:cs="Times New Roman"/>
          <w:lang w:val="fr-CA"/>
        </w:rPr>
        <w:t>’</w:t>
      </w:r>
      <w:r w:rsidRPr="00944B7A">
        <w:rPr>
          <w:rFonts w:cs="Times New Roman"/>
          <w:lang w:val="fr-CA"/>
        </w:rPr>
        <w:t>ordonnance de la juge Paradis. La juge Lavoie a conclu que la juge Paradis avait fait erreur en rendant l</w:t>
      </w:r>
      <w:r>
        <w:rPr>
          <w:rFonts w:cs="Times New Roman"/>
          <w:lang w:val="fr-CA"/>
        </w:rPr>
        <w:t>’</w:t>
      </w:r>
      <w:r w:rsidRPr="00944B7A">
        <w:rPr>
          <w:rFonts w:cs="Times New Roman"/>
          <w:lang w:val="fr-CA"/>
        </w:rPr>
        <w:t>ordonnance en l</w:t>
      </w:r>
      <w:r>
        <w:rPr>
          <w:rFonts w:cs="Times New Roman"/>
          <w:lang w:val="fr-CA"/>
        </w:rPr>
        <w:t>’</w:t>
      </w:r>
      <w:r w:rsidRPr="00944B7A">
        <w:rPr>
          <w:rFonts w:cs="Times New Roman"/>
          <w:lang w:val="fr-CA"/>
        </w:rPr>
        <w:t xml:space="preserve">absence de preuve établissant que les renseignements sollicités existaient et étaient pertinents. Elle a donc accueilli la demande de </w:t>
      </w:r>
      <w:proofErr w:type="spellStart"/>
      <w:r w:rsidRPr="00944B7A">
        <w:rPr>
          <w:rFonts w:cs="Times New Roman"/>
          <w:i/>
          <w:lang w:val="fr-CA"/>
        </w:rPr>
        <w:t>certiorari</w:t>
      </w:r>
      <w:proofErr w:type="spellEnd"/>
      <w:r w:rsidRPr="00944B7A">
        <w:rPr>
          <w:rFonts w:cs="Times New Roman"/>
          <w:i/>
          <w:lang w:val="fr-CA"/>
        </w:rPr>
        <w:t xml:space="preserve"> </w:t>
      </w:r>
      <w:r w:rsidRPr="00944B7A">
        <w:rPr>
          <w:rFonts w:cs="Times New Roman"/>
          <w:lang w:val="fr-CA"/>
        </w:rPr>
        <w:t>du ministère public, ce qui a eu pour effet de renvoyer l</w:t>
      </w:r>
      <w:r>
        <w:rPr>
          <w:rFonts w:cs="Times New Roman"/>
          <w:lang w:val="fr-CA"/>
        </w:rPr>
        <w:t>’</w:t>
      </w:r>
      <w:r w:rsidRPr="00944B7A">
        <w:rPr>
          <w:rFonts w:cs="Times New Roman"/>
          <w:lang w:val="fr-CA"/>
        </w:rPr>
        <w:t>affaire pour instruction à la juge Paradis (</w:t>
      </w:r>
      <w:r w:rsidRPr="00944B7A">
        <w:rPr>
          <w:rFonts w:cs="Times New Roman"/>
          <w:i/>
          <w:lang w:val="fr-CA"/>
        </w:rPr>
        <w:t>R. c. Paradis</w:t>
      </w:r>
      <w:r w:rsidRPr="00944B7A">
        <w:rPr>
          <w:rFonts w:cs="Times New Roman"/>
          <w:lang w:val="fr-CA"/>
        </w:rPr>
        <w:t>,</w:t>
      </w:r>
      <w:r w:rsidRPr="00944B7A">
        <w:rPr>
          <w:rFonts w:cs="Times New Roman"/>
          <w:i/>
          <w:lang w:val="fr-CA"/>
        </w:rPr>
        <w:t xml:space="preserve"> </w:t>
      </w:r>
      <w:r w:rsidRPr="00944B7A">
        <w:rPr>
          <w:rFonts w:cs="Times New Roman"/>
          <w:lang w:val="fr-CA"/>
        </w:rPr>
        <w:t>2014 QCCS 4260).</w:t>
      </w:r>
    </w:p>
    <w:p w:rsidR="00D36E2F" w:rsidRPr="00944B7A" w:rsidRDefault="00D36E2F" w:rsidP="00D36E2F">
      <w:pPr>
        <w:pStyle w:val="Title1LevelTitre1Niveau-AltL"/>
        <w:numPr>
          <w:ilvl w:val="0"/>
          <w:numId w:val="8"/>
        </w:numPr>
        <w:rPr>
          <w:rFonts w:cs="Times New Roman"/>
        </w:rPr>
      </w:pPr>
      <w:proofErr w:type="spellStart"/>
      <w:r w:rsidRPr="00944B7A">
        <w:rPr>
          <w:rFonts w:cs="Times New Roman"/>
        </w:rPr>
        <w:lastRenderedPageBreak/>
        <w:t>Historique</w:t>
      </w:r>
      <w:proofErr w:type="spellEnd"/>
      <w:r w:rsidRPr="00944B7A">
        <w:rPr>
          <w:rFonts w:cs="Times New Roman"/>
        </w:rPr>
        <w:t xml:space="preserve"> </w:t>
      </w:r>
      <w:proofErr w:type="spellStart"/>
      <w:r w:rsidRPr="00944B7A">
        <w:rPr>
          <w:rFonts w:cs="Times New Roman"/>
        </w:rPr>
        <w:t>judiciaire</w:t>
      </w:r>
      <w:proofErr w:type="spellEnd"/>
    </w:p>
    <w:p w:rsidR="00D36E2F" w:rsidRPr="00944B7A" w:rsidRDefault="00D36E2F" w:rsidP="00D36E2F">
      <w:pPr>
        <w:pStyle w:val="Title2LevelTitre2Niveau"/>
        <w:numPr>
          <w:ilvl w:val="1"/>
          <w:numId w:val="8"/>
        </w:numPr>
        <w:rPr>
          <w:rFonts w:cs="Times New Roman"/>
          <w:i w:val="0"/>
        </w:rPr>
      </w:pPr>
      <w:r w:rsidRPr="00944B7A">
        <w:rPr>
          <w:rFonts w:cs="Times New Roman"/>
        </w:rPr>
        <w:t>Cour du Québec, 2015 QCCQ 4516</w:t>
      </w:r>
    </w:p>
    <w:p w:rsidR="00D36E2F" w:rsidRPr="00944B7A" w:rsidRDefault="00D36E2F" w:rsidP="00D36E2F">
      <w:pPr>
        <w:pStyle w:val="ParaNoNdepar-AltN"/>
        <w:rPr>
          <w:rFonts w:cs="Times New Roman"/>
          <w:lang w:val="fr-CA"/>
        </w:rPr>
      </w:pPr>
      <w:r w:rsidRPr="00944B7A">
        <w:rPr>
          <w:rFonts w:cs="Times New Roman"/>
          <w:lang w:val="fr-CA"/>
        </w:rPr>
        <w:t>En réponse à la décision de la juge Lavoie, M</w:t>
      </w:r>
      <w:r w:rsidRPr="00944B7A">
        <w:rPr>
          <w:rFonts w:cs="Times New Roman"/>
          <w:vertAlign w:val="superscript"/>
          <w:lang w:val="fr-CA"/>
        </w:rPr>
        <w:t>me</w:t>
      </w:r>
      <w:r w:rsidRPr="00944B7A">
        <w:rPr>
          <w:rFonts w:cs="Times New Roman"/>
          <w:lang w:val="fr-CA"/>
        </w:rPr>
        <w:t xml:space="preserve"> Awashish et deux coaccusés ont présenté ensemble une requête de type </w:t>
      </w:r>
      <w:r w:rsidRPr="00944B7A">
        <w:rPr>
          <w:rFonts w:cs="Times New Roman"/>
          <w:i/>
          <w:lang w:val="fr-CA"/>
        </w:rPr>
        <w:t xml:space="preserve">McNeil </w:t>
      </w:r>
      <w:r w:rsidRPr="00944B7A">
        <w:rPr>
          <w:rFonts w:cs="Times New Roman"/>
          <w:lang w:val="fr-CA"/>
        </w:rPr>
        <w:t>dans laquelle ils demandaient de l</w:t>
      </w:r>
      <w:r>
        <w:rPr>
          <w:rFonts w:cs="Times New Roman"/>
          <w:lang w:val="fr-CA"/>
        </w:rPr>
        <w:t>’</w:t>
      </w:r>
      <w:r w:rsidRPr="00944B7A">
        <w:rPr>
          <w:rFonts w:cs="Times New Roman"/>
          <w:lang w:val="fr-CA"/>
        </w:rPr>
        <w:t>information à propos de l</w:t>
      </w:r>
      <w:r>
        <w:rPr>
          <w:rFonts w:cs="Times New Roman"/>
          <w:lang w:val="fr-CA"/>
        </w:rPr>
        <w:t>’</w:t>
      </w:r>
      <w:r w:rsidRPr="00944B7A">
        <w:rPr>
          <w:rFonts w:cs="Times New Roman"/>
          <w:lang w:val="fr-CA"/>
        </w:rPr>
        <w:t>existence et de la pertinence des documents en question, ainsi que l</w:t>
      </w:r>
      <w:r>
        <w:rPr>
          <w:rFonts w:cs="Times New Roman"/>
          <w:lang w:val="fr-CA"/>
        </w:rPr>
        <w:t>’</w:t>
      </w:r>
      <w:r w:rsidRPr="00944B7A">
        <w:rPr>
          <w:rFonts w:cs="Times New Roman"/>
          <w:lang w:val="fr-CA"/>
        </w:rPr>
        <w:t xml:space="preserve">identité de la ou des personnes qui en avaient possession (voir </w:t>
      </w:r>
      <w:r w:rsidRPr="00944B7A">
        <w:rPr>
          <w:rFonts w:cs="Times New Roman"/>
          <w:i/>
          <w:lang w:val="fr-CA"/>
        </w:rPr>
        <w:t>R. c. McNeil</w:t>
      </w:r>
      <w:r w:rsidRPr="00944B7A">
        <w:rPr>
          <w:rFonts w:cs="Times New Roman"/>
          <w:lang w:val="fr-CA"/>
        </w:rPr>
        <w:t>, 2009 CSC 3, [2009] 1 R.C.S. 66). Cette requête devait jeter les bases d</w:t>
      </w:r>
      <w:r>
        <w:rPr>
          <w:rFonts w:cs="Times New Roman"/>
          <w:lang w:val="fr-CA"/>
        </w:rPr>
        <w:t>’</w:t>
      </w:r>
      <w:r w:rsidRPr="00944B7A">
        <w:rPr>
          <w:rFonts w:cs="Times New Roman"/>
          <w:lang w:val="fr-CA"/>
        </w:rPr>
        <w:t>une demande de communication subséquente. Le ministère public a informé M</w:t>
      </w:r>
      <w:r w:rsidRPr="00944B7A">
        <w:rPr>
          <w:rFonts w:cs="Times New Roman"/>
          <w:vertAlign w:val="superscript"/>
          <w:lang w:val="fr-CA"/>
        </w:rPr>
        <w:t>me</w:t>
      </w:r>
      <w:r w:rsidRPr="00944B7A">
        <w:rPr>
          <w:rFonts w:cs="Times New Roman"/>
          <w:lang w:val="fr-CA"/>
        </w:rPr>
        <w:t> Awashish qu</w:t>
      </w:r>
      <w:r>
        <w:rPr>
          <w:rFonts w:cs="Times New Roman"/>
          <w:lang w:val="fr-CA"/>
        </w:rPr>
        <w:t>’</w:t>
      </w:r>
      <w:r w:rsidRPr="00944B7A">
        <w:rPr>
          <w:rFonts w:cs="Times New Roman"/>
          <w:lang w:val="fr-CA"/>
        </w:rPr>
        <w:t>il ne confirmerait ni ne nierait l</w:t>
      </w:r>
      <w:r>
        <w:rPr>
          <w:rFonts w:cs="Times New Roman"/>
          <w:lang w:val="fr-CA"/>
        </w:rPr>
        <w:t>’</w:t>
      </w:r>
      <w:r w:rsidRPr="00944B7A">
        <w:rPr>
          <w:rFonts w:cs="Times New Roman"/>
          <w:lang w:val="fr-CA"/>
        </w:rPr>
        <w:t>existence des documents demandés, car, à son avis, ceux</w:t>
      </w:r>
      <w:r>
        <w:rPr>
          <w:rFonts w:cs="Times New Roman"/>
          <w:lang w:val="fr-CA"/>
        </w:rPr>
        <w:noBreakHyphen/>
      </w:r>
      <w:r w:rsidRPr="00944B7A">
        <w:rPr>
          <w:rFonts w:cs="Times New Roman"/>
          <w:lang w:val="fr-CA"/>
        </w:rPr>
        <w:t>ci n</w:t>
      </w:r>
      <w:r>
        <w:rPr>
          <w:rFonts w:cs="Times New Roman"/>
          <w:lang w:val="fr-CA"/>
        </w:rPr>
        <w:t>’</w:t>
      </w:r>
      <w:r w:rsidRPr="00944B7A">
        <w:rPr>
          <w:rFonts w:cs="Times New Roman"/>
          <w:lang w:val="fr-CA"/>
        </w:rPr>
        <w:t>étaient pas pertinents. La juge Paradis, de la Cour du Québec, a été saisie à nouveau de la question. Elle a conclu que le ministère public ne pouvait pas se contenter de répliquer comme il l</w:t>
      </w:r>
      <w:r>
        <w:rPr>
          <w:rFonts w:cs="Times New Roman"/>
          <w:lang w:val="fr-CA"/>
        </w:rPr>
        <w:t>’</w:t>
      </w:r>
      <w:r w:rsidRPr="00944B7A">
        <w:rPr>
          <w:rFonts w:cs="Times New Roman"/>
          <w:lang w:val="fr-CA"/>
        </w:rPr>
        <w:t>avait fait; le ministère public doit plutôt s</w:t>
      </w:r>
      <w:r>
        <w:rPr>
          <w:rFonts w:cs="Times New Roman"/>
          <w:lang w:val="fr-CA"/>
        </w:rPr>
        <w:t>’</w:t>
      </w:r>
      <w:r w:rsidRPr="00944B7A">
        <w:rPr>
          <w:rFonts w:cs="Times New Roman"/>
          <w:lang w:val="fr-CA"/>
        </w:rPr>
        <w:t>enquérir de l</w:t>
      </w:r>
      <w:r>
        <w:rPr>
          <w:rFonts w:cs="Times New Roman"/>
          <w:lang w:val="fr-CA"/>
        </w:rPr>
        <w:t>’</w:t>
      </w:r>
      <w:r w:rsidRPr="00944B7A">
        <w:rPr>
          <w:rFonts w:cs="Times New Roman"/>
          <w:lang w:val="fr-CA"/>
        </w:rPr>
        <w:t>existence et de la pertinence des renseignements demandés par la défense. La juge Paradis a ordonné au ministère public d</w:t>
      </w:r>
      <w:r>
        <w:rPr>
          <w:rFonts w:cs="Times New Roman"/>
          <w:lang w:val="fr-CA"/>
        </w:rPr>
        <w:t>’</w:t>
      </w:r>
      <w:r w:rsidRPr="00944B7A">
        <w:rPr>
          <w:rFonts w:cs="Times New Roman"/>
          <w:lang w:val="fr-CA"/>
        </w:rPr>
        <w:t>indiquer par écrit à M</w:t>
      </w:r>
      <w:r w:rsidRPr="00944B7A">
        <w:rPr>
          <w:rFonts w:cs="Times New Roman"/>
          <w:vertAlign w:val="superscript"/>
          <w:lang w:val="fr-CA"/>
        </w:rPr>
        <w:t>me</w:t>
      </w:r>
      <w:r w:rsidRPr="00944B7A">
        <w:rPr>
          <w:rFonts w:cs="Times New Roman"/>
          <w:lang w:val="fr-CA"/>
        </w:rPr>
        <w:t> Awashish si les documents existent, qui en a possession, le cas échéant, et s</w:t>
      </w:r>
      <w:r>
        <w:rPr>
          <w:rFonts w:cs="Times New Roman"/>
          <w:lang w:val="fr-CA"/>
        </w:rPr>
        <w:t>’</w:t>
      </w:r>
      <w:r w:rsidRPr="00944B7A">
        <w:rPr>
          <w:rFonts w:cs="Times New Roman"/>
          <w:lang w:val="fr-CA"/>
        </w:rPr>
        <w:t xml:space="preserve">ils sont visés par un privilège. </w:t>
      </w:r>
    </w:p>
    <w:p w:rsidR="00D36E2F" w:rsidRPr="00944B7A" w:rsidRDefault="00D36E2F" w:rsidP="00D36E2F">
      <w:pPr>
        <w:pStyle w:val="Title2LevelTitre2Niveau"/>
        <w:numPr>
          <w:ilvl w:val="1"/>
          <w:numId w:val="8"/>
        </w:numPr>
        <w:rPr>
          <w:rFonts w:cs="Times New Roman"/>
          <w:i w:val="0"/>
          <w:lang w:val="fr-CA"/>
        </w:rPr>
      </w:pPr>
      <w:r w:rsidRPr="00944B7A">
        <w:rPr>
          <w:rFonts w:cs="Times New Roman"/>
          <w:lang w:val="fr-CA"/>
        </w:rPr>
        <w:t>Cour supérieure du Québec, 2016 QCCS 115</w:t>
      </w:r>
    </w:p>
    <w:p w:rsidR="00D36E2F" w:rsidRPr="00944B7A" w:rsidRDefault="00D36E2F" w:rsidP="00D36E2F">
      <w:pPr>
        <w:pStyle w:val="ParaNoNdepar-AltN"/>
        <w:rPr>
          <w:rFonts w:cs="Times New Roman"/>
          <w:lang w:val="fr-CA"/>
        </w:rPr>
      </w:pPr>
      <w:r w:rsidRPr="00944B7A">
        <w:rPr>
          <w:rFonts w:cs="Times New Roman"/>
          <w:lang w:val="fr-CA"/>
        </w:rPr>
        <w:t xml:space="preserve">Le ministère public a demandé un </w:t>
      </w:r>
      <w:proofErr w:type="spellStart"/>
      <w:r w:rsidRPr="00944B7A">
        <w:rPr>
          <w:rFonts w:cs="Times New Roman"/>
          <w:i/>
          <w:lang w:val="fr-CA"/>
        </w:rPr>
        <w:t>certiorari</w:t>
      </w:r>
      <w:proofErr w:type="spellEnd"/>
      <w:r w:rsidRPr="00944B7A">
        <w:rPr>
          <w:rFonts w:cs="Times New Roman"/>
          <w:lang w:val="fr-CA"/>
        </w:rPr>
        <w:t xml:space="preserve"> en vue de faire annuler l</w:t>
      </w:r>
      <w:r>
        <w:rPr>
          <w:rFonts w:cs="Times New Roman"/>
          <w:lang w:val="fr-CA"/>
        </w:rPr>
        <w:t>’</w:t>
      </w:r>
      <w:r w:rsidRPr="00944B7A">
        <w:rPr>
          <w:rFonts w:cs="Times New Roman"/>
          <w:lang w:val="fr-CA"/>
        </w:rPr>
        <w:t xml:space="preserve">ordonnance de type </w:t>
      </w:r>
      <w:r w:rsidRPr="00944B7A">
        <w:rPr>
          <w:rFonts w:cs="Times New Roman"/>
          <w:i/>
          <w:lang w:val="fr-CA"/>
        </w:rPr>
        <w:t>McNeil</w:t>
      </w:r>
      <w:r w:rsidRPr="00944B7A">
        <w:rPr>
          <w:rFonts w:cs="Times New Roman"/>
          <w:lang w:val="fr-CA"/>
        </w:rPr>
        <w:t xml:space="preserve"> rendue par la juge Paradis. Le juge Dionne, de la Cour supérieure, le lui a accordé au motif que le ministère public avait déjà communiqué les </w:t>
      </w:r>
      <w:r w:rsidRPr="00944B7A">
        <w:rPr>
          <w:rFonts w:cs="Times New Roman"/>
          <w:lang w:val="fr-CA"/>
        </w:rPr>
        <w:lastRenderedPageBreak/>
        <w:t>fruits de l</w:t>
      </w:r>
      <w:r>
        <w:rPr>
          <w:rFonts w:cs="Times New Roman"/>
          <w:lang w:val="fr-CA"/>
        </w:rPr>
        <w:t>’</w:t>
      </w:r>
      <w:r w:rsidRPr="00944B7A">
        <w:rPr>
          <w:rFonts w:cs="Times New Roman"/>
          <w:lang w:val="fr-CA"/>
        </w:rPr>
        <w:t>enquête; quant aux documents demandés, ils étaient en la possession de tiers et leur pertinence probable n</w:t>
      </w:r>
      <w:r>
        <w:rPr>
          <w:rFonts w:cs="Times New Roman"/>
          <w:lang w:val="fr-CA"/>
        </w:rPr>
        <w:t>’</w:t>
      </w:r>
      <w:r w:rsidRPr="00944B7A">
        <w:rPr>
          <w:rFonts w:cs="Times New Roman"/>
          <w:lang w:val="fr-CA"/>
        </w:rPr>
        <w:t>avait pas été établie. D</w:t>
      </w:r>
      <w:r>
        <w:rPr>
          <w:rFonts w:cs="Times New Roman"/>
          <w:lang w:val="fr-CA"/>
        </w:rPr>
        <w:t>’</w:t>
      </w:r>
      <w:r w:rsidRPr="00944B7A">
        <w:rPr>
          <w:rFonts w:cs="Times New Roman"/>
          <w:lang w:val="fr-CA"/>
        </w:rPr>
        <w:t>après le juge Dionne, l</w:t>
      </w:r>
      <w:r>
        <w:rPr>
          <w:rFonts w:cs="Times New Roman"/>
          <w:lang w:val="fr-CA"/>
        </w:rPr>
        <w:t>’</w:t>
      </w:r>
      <w:r w:rsidRPr="00944B7A">
        <w:rPr>
          <w:rFonts w:cs="Times New Roman"/>
          <w:lang w:val="fr-CA"/>
        </w:rPr>
        <w:t>ordonnance de la juge Paradis constituait une erreur de droit manifeste à la lecture du dossier; les cours supérieures devraient être à même d</w:t>
      </w:r>
      <w:r>
        <w:rPr>
          <w:rFonts w:cs="Times New Roman"/>
          <w:lang w:val="fr-CA"/>
        </w:rPr>
        <w:t>’</w:t>
      </w:r>
      <w:r w:rsidRPr="00944B7A">
        <w:rPr>
          <w:rFonts w:cs="Times New Roman"/>
          <w:lang w:val="fr-CA"/>
        </w:rPr>
        <w:t xml:space="preserve">étudier pareilles questions. </w:t>
      </w:r>
    </w:p>
    <w:p w:rsidR="00D36E2F" w:rsidRPr="00944B7A" w:rsidRDefault="00D36E2F" w:rsidP="00D36E2F">
      <w:pPr>
        <w:pStyle w:val="ParaNoNdepar-AltN"/>
        <w:rPr>
          <w:rFonts w:cs="Times New Roman"/>
          <w:lang w:val="fr-CA"/>
        </w:rPr>
      </w:pPr>
      <w:r w:rsidRPr="00944B7A">
        <w:rPr>
          <w:rFonts w:cs="Times New Roman"/>
          <w:lang w:val="fr-CA"/>
        </w:rPr>
        <w:t>Le juge Dionne s</w:t>
      </w:r>
      <w:r>
        <w:rPr>
          <w:rFonts w:cs="Times New Roman"/>
          <w:lang w:val="fr-CA"/>
        </w:rPr>
        <w:t>’</w:t>
      </w:r>
      <w:r w:rsidRPr="00944B7A">
        <w:rPr>
          <w:rFonts w:cs="Times New Roman"/>
          <w:lang w:val="fr-CA"/>
        </w:rPr>
        <w:t>est également dit d</w:t>
      </w:r>
      <w:r>
        <w:rPr>
          <w:rFonts w:cs="Times New Roman"/>
          <w:lang w:val="fr-CA"/>
        </w:rPr>
        <w:t>’</w:t>
      </w:r>
      <w:r w:rsidRPr="00944B7A">
        <w:rPr>
          <w:rFonts w:cs="Times New Roman"/>
          <w:lang w:val="fr-CA"/>
        </w:rPr>
        <w:t>avis que l</w:t>
      </w:r>
      <w:r>
        <w:rPr>
          <w:rFonts w:cs="Times New Roman"/>
          <w:lang w:val="fr-CA"/>
        </w:rPr>
        <w:t>’</w:t>
      </w:r>
      <w:r w:rsidRPr="00944B7A">
        <w:rPr>
          <w:rFonts w:cs="Times New Roman"/>
          <w:lang w:val="fr-CA"/>
        </w:rPr>
        <w:t>ordonnance de la juge Paradis allait à l</w:t>
      </w:r>
      <w:r>
        <w:rPr>
          <w:rFonts w:cs="Times New Roman"/>
          <w:lang w:val="fr-CA"/>
        </w:rPr>
        <w:t>’</w:t>
      </w:r>
      <w:r w:rsidRPr="00944B7A">
        <w:rPr>
          <w:rFonts w:cs="Times New Roman"/>
          <w:lang w:val="fr-CA"/>
        </w:rPr>
        <w:t>encontre de l</w:t>
      </w:r>
      <w:r>
        <w:rPr>
          <w:rFonts w:cs="Times New Roman"/>
          <w:lang w:val="fr-CA"/>
        </w:rPr>
        <w:t>’</w:t>
      </w:r>
      <w:r w:rsidRPr="00944B7A">
        <w:rPr>
          <w:rFonts w:cs="Times New Roman"/>
          <w:lang w:val="fr-CA"/>
        </w:rPr>
        <w:t>affirmation de la juge Lavoie selon laquelle «</w:t>
      </w:r>
      <w:r>
        <w:rPr>
          <w:rFonts w:cs="Times New Roman"/>
          <w:lang w:val="fr-CA"/>
        </w:rPr>
        <w:t> </w:t>
      </w:r>
      <w:r w:rsidRPr="00944B7A">
        <w:rPr>
          <w:rFonts w:cs="Times New Roman"/>
          <w:lang w:val="fr-CA"/>
        </w:rPr>
        <w:t>le procès peut et doit débuter sans qu</w:t>
      </w:r>
      <w:r>
        <w:rPr>
          <w:rFonts w:cs="Times New Roman"/>
          <w:lang w:val="fr-CA"/>
        </w:rPr>
        <w:t>’</w:t>
      </w:r>
      <w:r w:rsidRPr="00944B7A">
        <w:rPr>
          <w:rFonts w:cs="Times New Roman"/>
          <w:lang w:val="fr-CA"/>
        </w:rPr>
        <w:t>il ne soit nécessaire qu</w:t>
      </w:r>
      <w:r>
        <w:rPr>
          <w:rFonts w:cs="Times New Roman"/>
          <w:lang w:val="fr-CA"/>
        </w:rPr>
        <w:t>’</w:t>
      </w:r>
      <w:r w:rsidRPr="00944B7A">
        <w:rPr>
          <w:rFonts w:cs="Times New Roman"/>
          <w:lang w:val="fr-CA"/>
        </w:rPr>
        <w:t>une preuve additionnelle soit divulguée</w:t>
      </w:r>
      <w:r>
        <w:rPr>
          <w:rFonts w:cs="Times New Roman"/>
          <w:lang w:val="fr-CA"/>
        </w:rPr>
        <w:t> </w:t>
      </w:r>
      <w:r w:rsidRPr="00944B7A">
        <w:rPr>
          <w:rFonts w:cs="Times New Roman"/>
          <w:lang w:val="fr-CA"/>
        </w:rPr>
        <w:t>» (</w:t>
      </w:r>
      <w:r w:rsidRPr="00944B7A">
        <w:rPr>
          <w:rFonts w:cs="Times New Roman"/>
          <w:i/>
          <w:lang w:val="fr-CA"/>
        </w:rPr>
        <w:t>Paradis</w:t>
      </w:r>
      <w:r w:rsidRPr="00944B7A">
        <w:rPr>
          <w:rFonts w:cs="Times New Roman"/>
          <w:lang w:val="fr-CA"/>
        </w:rPr>
        <w:t xml:space="preserve">, </w:t>
      </w:r>
      <w:r>
        <w:rPr>
          <w:rFonts w:cs="Times New Roman"/>
          <w:lang w:val="fr-CA"/>
        </w:rPr>
        <w:t>par. </w:t>
      </w:r>
      <w:r w:rsidRPr="00944B7A">
        <w:rPr>
          <w:rFonts w:cs="Times New Roman"/>
          <w:lang w:val="fr-CA"/>
        </w:rPr>
        <w:t>50 (</w:t>
      </w:r>
      <w:proofErr w:type="spellStart"/>
      <w:r w:rsidRPr="00944B7A">
        <w:rPr>
          <w:rFonts w:cs="Times New Roman"/>
          <w:lang w:val="fr-CA"/>
        </w:rPr>
        <w:t>CanLII</w:t>
      </w:r>
      <w:proofErr w:type="spellEnd"/>
      <w:r w:rsidRPr="00944B7A">
        <w:rPr>
          <w:rFonts w:cs="Times New Roman"/>
          <w:lang w:val="fr-CA"/>
        </w:rPr>
        <w:t>)). En ignorant la décision d</w:t>
      </w:r>
      <w:r>
        <w:rPr>
          <w:rFonts w:cs="Times New Roman"/>
          <w:lang w:val="fr-CA"/>
        </w:rPr>
        <w:t>’</w:t>
      </w:r>
      <w:r w:rsidRPr="00944B7A">
        <w:rPr>
          <w:rFonts w:cs="Times New Roman"/>
          <w:lang w:val="fr-CA"/>
        </w:rPr>
        <w:t>une cour supérieure sur une question qui, pour l</w:t>
      </w:r>
      <w:r>
        <w:rPr>
          <w:rFonts w:cs="Times New Roman"/>
          <w:lang w:val="fr-CA"/>
        </w:rPr>
        <w:t>’</w:t>
      </w:r>
      <w:r w:rsidRPr="00944B7A">
        <w:rPr>
          <w:rFonts w:cs="Times New Roman"/>
          <w:lang w:val="fr-CA"/>
        </w:rPr>
        <w:t>essentiel, était la même, la juge Paradis n</w:t>
      </w:r>
      <w:r>
        <w:rPr>
          <w:rFonts w:cs="Times New Roman"/>
          <w:lang w:val="fr-CA"/>
        </w:rPr>
        <w:t>’</w:t>
      </w:r>
      <w:r w:rsidRPr="00944B7A">
        <w:rPr>
          <w:rFonts w:cs="Times New Roman"/>
          <w:lang w:val="fr-CA"/>
        </w:rPr>
        <w:t>a pas donné effet au principe de l</w:t>
      </w:r>
      <w:r>
        <w:rPr>
          <w:rFonts w:cs="Times New Roman"/>
          <w:lang w:val="fr-CA"/>
        </w:rPr>
        <w:t>’</w:t>
      </w:r>
      <w:r w:rsidRPr="00944B7A">
        <w:rPr>
          <w:rFonts w:cs="Times New Roman"/>
          <w:lang w:val="fr-CA"/>
        </w:rPr>
        <w:t>autorité de la chose jugée et a outrepassé sa compétence. Pui</w:t>
      </w:r>
      <w:r>
        <w:rPr>
          <w:rFonts w:cs="Times New Roman"/>
          <w:lang w:val="fr-CA"/>
        </w:rPr>
        <w:t>s</w:t>
      </w:r>
      <w:r w:rsidRPr="00944B7A">
        <w:rPr>
          <w:rFonts w:cs="Times New Roman"/>
          <w:lang w:val="fr-CA"/>
        </w:rPr>
        <w:t>que l</w:t>
      </w:r>
      <w:r>
        <w:rPr>
          <w:rFonts w:cs="Times New Roman"/>
          <w:lang w:val="fr-CA"/>
        </w:rPr>
        <w:t>’</w:t>
      </w:r>
      <w:r w:rsidRPr="00944B7A">
        <w:rPr>
          <w:rFonts w:cs="Times New Roman"/>
          <w:lang w:val="fr-CA"/>
        </w:rPr>
        <w:t>ordonnance de la juge Paradis n</w:t>
      </w:r>
      <w:r>
        <w:rPr>
          <w:rFonts w:cs="Times New Roman"/>
          <w:lang w:val="fr-CA"/>
        </w:rPr>
        <w:t>’</w:t>
      </w:r>
      <w:r w:rsidRPr="00944B7A">
        <w:rPr>
          <w:rFonts w:cs="Times New Roman"/>
          <w:lang w:val="fr-CA"/>
        </w:rPr>
        <w:t>était pas susceptible d</w:t>
      </w:r>
      <w:r>
        <w:rPr>
          <w:rFonts w:cs="Times New Roman"/>
          <w:lang w:val="fr-CA"/>
        </w:rPr>
        <w:t>’</w:t>
      </w:r>
      <w:r w:rsidRPr="00944B7A">
        <w:rPr>
          <w:rFonts w:cs="Times New Roman"/>
          <w:lang w:val="fr-CA"/>
        </w:rPr>
        <w:t xml:space="preserve">appel, la demande de </w:t>
      </w:r>
      <w:proofErr w:type="spellStart"/>
      <w:r w:rsidRPr="00944B7A">
        <w:rPr>
          <w:rFonts w:cs="Times New Roman"/>
          <w:i/>
          <w:lang w:val="fr-CA"/>
        </w:rPr>
        <w:t>certiorari</w:t>
      </w:r>
      <w:proofErr w:type="spellEnd"/>
      <w:r w:rsidRPr="00944B7A">
        <w:rPr>
          <w:rFonts w:cs="Times New Roman"/>
          <w:i/>
          <w:lang w:val="fr-CA"/>
        </w:rPr>
        <w:t xml:space="preserve"> </w:t>
      </w:r>
      <w:r w:rsidRPr="00944B7A">
        <w:rPr>
          <w:rFonts w:cs="Times New Roman"/>
          <w:lang w:val="fr-CA"/>
        </w:rPr>
        <w:t xml:space="preserve">était la seule avenue ouverte au ministère public. En conséquence, le juge Dionne a fait droit à la demande de </w:t>
      </w:r>
      <w:proofErr w:type="spellStart"/>
      <w:r w:rsidRPr="00944B7A">
        <w:rPr>
          <w:rFonts w:cs="Times New Roman"/>
          <w:i/>
          <w:lang w:val="fr-CA"/>
        </w:rPr>
        <w:t>certiorari</w:t>
      </w:r>
      <w:proofErr w:type="spellEnd"/>
      <w:r w:rsidRPr="00944B7A">
        <w:rPr>
          <w:rFonts w:cs="Times New Roman"/>
          <w:i/>
          <w:lang w:val="fr-CA"/>
        </w:rPr>
        <w:t xml:space="preserve"> </w:t>
      </w:r>
      <w:r w:rsidRPr="00944B7A">
        <w:rPr>
          <w:rFonts w:cs="Times New Roman"/>
          <w:lang w:val="fr-CA"/>
        </w:rPr>
        <w:t>du ministère public, ce qui a eu pour effet d</w:t>
      </w:r>
      <w:r>
        <w:rPr>
          <w:rFonts w:cs="Times New Roman"/>
          <w:lang w:val="fr-CA"/>
        </w:rPr>
        <w:t>’</w:t>
      </w:r>
      <w:r w:rsidRPr="00944B7A">
        <w:rPr>
          <w:rFonts w:cs="Times New Roman"/>
          <w:lang w:val="fr-CA"/>
        </w:rPr>
        <w:t>annuler l</w:t>
      </w:r>
      <w:r>
        <w:rPr>
          <w:rFonts w:cs="Times New Roman"/>
          <w:lang w:val="fr-CA"/>
        </w:rPr>
        <w:t>’</w:t>
      </w:r>
      <w:r w:rsidRPr="00944B7A">
        <w:rPr>
          <w:rFonts w:cs="Times New Roman"/>
          <w:lang w:val="fr-CA"/>
        </w:rPr>
        <w:t xml:space="preserve">ordonnance de la juge Paradis. </w:t>
      </w:r>
    </w:p>
    <w:p w:rsidR="00D36E2F" w:rsidRPr="00944B7A" w:rsidRDefault="00D36E2F" w:rsidP="00D36E2F">
      <w:pPr>
        <w:pStyle w:val="Title2LevelTitre2Niveau"/>
        <w:numPr>
          <w:ilvl w:val="1"/>
          <w:numId w:val="8"/>
        </w:numPr>
        <w:rPr>
          <w:rFonts w:cs="Times New Roman"/>
          <w:i w:val="0"/>
          <w:lang w:val="fr-CA"/>
        </w:rPr>
      </w:pPr>
      <w:r w:rsidRPr="00944B7A">
        <w:rPr>
          <w:rFonts w:cs="Times New Roman"/>
          <w:lang w:val="fr-CA"/>
        </w:rPr>
        <w:t>Cour d</w:t>
      </w:r>
      <w:r>
        <w:rPr>
          <w:rFonts w:cs="Times New Roman"/>
          <w:lang w:val="fr-CA"/>
        </w:rPr>
        <w:t>’</w:t>
      </w:r>
      <w:r w:rsidRPr="00944B7A">
        <w:rPr>
          <w:rFonts w:cs="Times New Roman"/>
          <w:lang w:val="fr-CA"/>
        </w:rPr>
        <w:t>appel du Québec, 2016 QCCA 1164, 32 C.R. (7</w:t>
      </w:r>
      <w:r w:rsidRPr="00DC2E02">
        <w:rPr>
          <w:rFonts w:cs="Times New Roman"/>
          <w:lang w:val="fr-CA"/>
        </w:rPr>
        <w:t>th</w:t>
      </w:r>
      <w:r w:rsidRPr="00944B7A">
        <w:rPr>
          <w:rFonts w:cs="Times New Roman"/>
          <w:lang w:val="fr-CA"/>
        </w:rPr>
        <w:t>) 111</w:t>
      </w:r>
    </w:p>
    <w:p w:rsidR="00D36E2F" w:rsidRPr="00944B7A" w:rsidRDefault="00D36E2F" w:rsidP="00D36E2F">
      <w:pPr>
        <w:pStyle w:val="ParaNoNdepar-AltN"/>
        <w:rPr>
          <w:rFonts w:cs="Times New Roman"/>
          <w:lang w:val="fr-CA"/>
        </w:rPr>
      </w:pPr>
      <w:r w:rsidRPr="00944B7A">
        <w:rPr>
          <w:rFonts w:cs="Times New Roman"/>
          <w:lang w:val="fr-CA"/>
        </w:rPr>
        <w:t>S</w:t>
      </w:r>
      <w:r>
        <w:rPr>
          <w:rFonts w:cs="Times New Roman"/>
          <w:lang w:val="fr-CA"/>
        </w:rPr>
        <w:t>’</w:t>
      </w:r>
      <w:r w:rsidRPr="00944B7A">
        <w:rPr>
          <w:rFonts w:cs="Times New Roman"/>
          <w:lang w:val="fr-CA"/>
        </w:rPr>
        <w:t>exprimant au nom de la Cour d</w:t>
      </w:r>
      <w:r>
        <w:rPr>
          <w:rFonts w:cs="Times New Roman"/>
          <w:lang w:val="fr-CA"/>
        </w:rPr>
        <w:t>’</w:t>
      </w:r>
      <w:r w:rsidRPr="00944B7A">
        <w:rPr>
          <w:rFonts w:cs="Times New Roman"/>
          <w:lang w:val="fr-CA"/>
        </w:rPr>
        <w:t xml:space="preserve">appel, la juge Thibault a fait </w:t>
      </w:r>
      <w:proofErr w:type="gramStart"/>
      <w:r w:rsidRPr="00944B7A">
        <w:rPr>
          <w:rFonts w:cs="Times New Roman"/>
          <w:lang w:val="fr-CA"/>
        </w:rPr>
        <w:t>droit</w:t>
      </w:r>
      <w:proofErr w:type="gramEnd"/>
      <w:r w:rsidRPr="00944B7A">
        <w:rPr>
          <w:rFonts w:cs="Times New Roman"/>
          <w:lang w:val="fr-CA"/>
        </w:rPr>
        <w:t xml:space="preserve"> à l</w:t>
      </w:r>
      <w:r>
        <w:rPr>
          <w:rFonts w:cs="Times New Roman"/>
          <w:lang w:val="fr-CA"/>
        </w:rPr>
        <w:t>’</w:t>
      </w:r>
      <w:r w:rsidRPr="00944B7A">
        <w:rPr>
          <w:rFonts w:cs="Times New Roman"/>
          <w:lang w:val="fr-CA"/>
        </w:rPr>
        <w:t>appel et annulé l</w:t>
      </w:r>
      <w:r>
        <w:rPr>
          <w:rFonts w:cs="Times New Roman"/>
          <w:lang w:val="fr-CA"/>
        </w:rPr>
        <w:t>’</w:t>
      </w:r>
      <w:r w:rsidRPr="00944B7A">
        <w:rPr>
          <w:rFonts w:cs="Times New Roman"/>
          <w:lang w:val="fr-CA"/>
        </w:rPr>
        <w:t>ordonnance du juge Dionne. Selon elle, l</w:t>
      </w:r>
      <w:r>
        <w:rPr>
          <w:rFonts w:cs="Times New Roman"/>
          <w:lang w:val="fr-CA"/>
        </w:rPr>
        <w:t>’</w:t>
      </w:r>
      <w:r w:rsidRPr="00944B7A">
        <w:rPr>
          <w:rFonts w:cs="Times New Roman"/>
          <w:lang w:val="fr-CA"/>
        </w:rPr>
        <w:t xml:space="preserve">accusé peut se prévaloir du </w:t>
      </w:r>
      <w:proofErr w:type="spellStart"/>
      <w:r w:rsidRPr="00944B7A">
        <w:rPr>
          <w:rFonts w:cs="Times New Roman"/>
          <w:i/>
          <w:lang w:val="fr-CA"/>
        </w:rPr>
        <w:t>certiorari</w:t>
      </w:r>
      <w:proofErr w:type="spellEnd"/>
      <w:r w:rsidRPr="00944B7A">
        <w:rPr>
          <w:rFonts w:cs="Times New Roman"/>
          <w:i/>
          <w:lang w:val="fr-CA"/>
        </w:rPr>
        <w:t xml:space="preserve"> </w:t>
      </w:r>
      <w:r w:rsidRPr="00944B7A">
        <w:rPr>
          <w:rFonts w:cs="Times New Roman"/>
          <w:lang w:val="fr-CA"/>
        </w:rPr>
        <w:t>lorsqu</w:t>
      </w:r>
      <w:r>
        <w:rPr>
          <w:rFonts w:cs="Times New Roman"/>
          <w:lang w:val="fr-CA"/>
        </w:rPr>
        <w:t>’</w:t>
      </w:r>
      <w:r w:rsidRPr="00944B7A">
        <w:rPr>
          <w:rFonts w:cs="Times New Roman"/>
          <w:lang w:val="fr-CA"/>
        </w:rPr>
        <w:t>un juge agit sans compétence et, dans certains cas, lorsque le juge commet une erreur de droit manifeste à la lecture du dossier. Cette deuxième catégorie est restreinte et ne comprend pas les instances où l</w:t>
      </w:r>
      <w:r>
        <w:rPr>
          <w:rFonts w:cs="Times New Roman"/>
          <w:lang w:val="fr-CA"/>
        </w:rPr>
        <w:t>’</w:t>
      </w:r>
      <w:r w:rsidRPr="00944B7A">
        <w:rPr>
          <w:rFonts w:cs="Times New Roman"/>
          <w:lang w:val="fr-CA"/>
        </w:rPr>
        <w:t>accusé prétend qu</w:t>
      </w:r>
      <w:r>
        <w:rPr>
          <w:rFonts w:cs="Times New Roman"/>
          <w:lang w:val="fr-CA"/>
        </w:rPr>
        <w:t>’</w:t>
      </w:r>
      <w:r w:rsidRPr="00944B7A">
        <w:rPr>
          <w:rFonts w:cs="Times New Roman"/>
          <w:lang w:val="fr-CA"/>
        </w:rPr>
        <w:t>un juge a commis une erreur portant sur la communication de la preuve. Il n</w:t>
      </w:r>
      <w:r>
        <w:rPr>
          <w:rFonts w:cs="Times New Roman"/>
          <w:lang w:val="fr-CA"/>
        </w:rPr>
        <w:t>’</w:t>
      </w:r>
      <w:r w:rsidRPr="00944B7A">
        <w:rPr>
          <w:rFonts w:cs="Times New Roman"/>
          <w:lang w:val="fr-CA"/>
        </w:rPr>
        <w:t xml:space="preserve">y a aucune raison de réserver </w:t>
      </w:r>
      <w:r w:rsidRPr="00944B7A">
        <w:rPr>
          <w:rFonts w:cs="Times New Roman"/>
          <w:lang w:val="fr-CA"/>
        </w:rPr>
        <w:lastRenderedPageBreak/>
        <w:t xml:space="preserve">un autre traitement au ministère public. Mis à part les erreurs de compétence, les parties peuvent se prévaloir du </w:t>
      </w:r>
      <w:proofErr w:type="spellStart"/>
      <w:r w:rsidRPr="00944B7A">
        <w:rPr>
          <w:rFonts w:cs="Times New Roman"/>
          <w:i/>
          <w:lang w:val="fr-CA"/>
        </w:rPr>
        <w:t>certiorari</w:t>
      </w:r>
      <w:proofErr w:type="spellEnd"/>
      <w:r w:rsidRPr="00944B7A">
        <w:rPr>
          <w:rFonts w:cs="Times New Roman"/>
          <w:i/>
          <w:lang w:val="fr-CA"/>
        </w:rPr>
        <w:t xml:space="preserve"> </w:t>
      </w:r>
      <w:r w:rsidRPr="00944B7A">
        <w:rPr>
          <w:rFonts w:cs="Times New Roman"/>
          <w:lang w:val="fr-CA"/>
        </w:rPr>
        <w:t>si une atteinte irréparable serait portée aux droits fondamentaux de l</w:t>
      </w:r>
      <w:r>
        <w:rPr>
          <w:rFonts w:cs="Times New Roman"/>
          <w:lang w:val="fr-CA"/>
        </w:rPr>
        <w:t>’</w:t>
      </w:r>
      <w:r w:rsidRPr="00944B7A">
        <w:rPr>
          <w:rFonts w:cs="Times New Roman"/>
          <w:lang w:val="fr-CA"/>
        </w:rPr>
        <w:t>une d</w:t>
      </w:r>
      <w:r>
        <w:rPr>
          <w:rFonts w:cs="Times New Roman"/>
          <w:lang w:val="fr-CA"/>
        </w:rPr>
        <w:t>’</w:t>
      </w:r>
      <w:r w:rsidRPr="00944B7A">
        <w:rPr>
          <w:rFonts w:cs="Times New Roman"/>
          <w:lang w:val="fr-CA"/>
        </w:rPr>
        <w:t>elles; en pareils cas, un appel ne permettrait pas d</w:t>
      </w:r>
      <w:r>
        <w:rPr>
          <w:rFonts w:cs="Times New Roman"/>
          <w:lang w:val="fr-CA"/>
        </w:rPr>
        <w:t>’</w:t>
      </w:r>
      <w:r w:rsidRPr="00944B7A">
        <w:rPr>
          <w:rFonts w:cs="Times New Roman"/>
          <w:lang w:val="fr-CA"/>
        </w:rPr>
        <w:t>obtenir une réparation adéquate. La situation des tiers est différente en ce qu</w:t>
      </w:r>
      <w:r>
        <w:rPr>
          <w:rFonts w:cs="Times New Roman"/>
          <w:lang w:val="fr-CA"/>
        </w:rPr>
        <w:t>’</w:t>
      </w:r>
      <w:r w:rsidRPr="00944B7A">
        <w:rPr>
          <w:rFonts w:cs="Times New Roman"/>
          <w:lang w:val="fr-CA"/>
        </w:rPr>
        <w:t>ils n</w:t>
      </w:r>
      <w:r>
        <w:rPr>
          <w:rFonts w:cs="Times New Roman"/>
          <w:lang w:val="fr-CA"/>
        </w:rPr>
        <w:t>’</w:t>
      </w:r>
      <w:r w:rsidRPr="00944B7A">
        <w:rPr>
          <w:rFonts w:cs="Times New Roman"/>
          <w:lang w:val="fr-CA"/>
        </w:rPr>
        <w:t>ont aucun droit d</w:t>
      </w:r>
      <w:r>
        <w:rPr>
          <w:rFonts w:cs="Times New Roman"/>
          <w:lang w:val="fr-CA"/>
        </w:rPr>
        <w:t>’</w:t>
      </w:r>
      <w:r w:rsidRPr="00944B7A">
        <w:rPr>
          <w:rFonts w:cs="Times New Roman"/>
          <w:lang w:val="fr-CA"/>
        </w:rPr>
        <w:t>appel. C</w:t>
      </w:r>
      <w:r>
        <w:rPr>
          <w:rFonts w:cs="Times New Roman"/>
          <w:lang w:val="fr-CA"/>
        </w:rPr>
        <w:t>’</w:t>
      </w:r>
      <w:r w:rsidRPr="00944B7A">
        <w:rPr>
          <w:rFonts w:cs="Times New Roman"/>
          <w:lang w:val="fr-CA"/>
        </w:rPr>
        <w:t xml:space="preserve">est pourquoi </w:t>
      </w:r>
      <w:r>
        <w:rPr>
          <w:rFonts w:cs="Times New Roman"/>
          <w:lang w:val="fr-CA"/>
        </w:rPr>
        <w:t xml:space="preserve">ils </w:t>
      </w:r>
      <w:r w:rsidRPr="00944B7A">
        <w:rPr>
          <w:rFonts w:cs="Times New Roman"/>
          <w:lang w:val="fr-CA"/>
        </w:rPr>
        <w:t xml:space="preserve">devraient pouvoir recourir au </w:t>
      </w:r>
      <w:proofErr w:type="spellStart"/>
      <w:r w:rsidRPr="00944B7A">
        <w:rPr>
          <w:rFonts w:cs="Times New Roman"/>
          <w:i/>
          <w:lang w:val="fr-CA"/>
        </w:rPr>
        <w:t>certiorari</w:t>
      </w:r>
      <w:proofErr w:type="spellEnd"/>
      <w:r w:rsidRPr="00944B7A">
        <w:rPr>
          <w:rFonts w:cs="Times New Roman"/>
          <w:lang w:val="fr-CA"/>
        </w:rPr>
        <w:t xml:space="preserve"> tant pour des erreurs de compétence que pour des erreurs de droit manifestes à la lecture du dossier. La demande de </w:t>
      </w:r>
      <w:proofErr w:type="spellStart"/>
      <w:r w:rsidRPr="00944B7A">
        <w:rPr>
          <w:rFonts w:cs="Times New Roman"/>
          <w:i/>
          <w:lang w:val="fr-CA"/>
        </w:rPr>
        <w:t>certiorari</w:t>
      </w:r>
      <w:proofErr w:type="spellEnd"/>
      <w:r w:rsidRPr="00944B7A">
        <w:rPr>
          <w:rFonts w:cs="Times New Roman"/>
          <w:i/>
          <w:lang w:val="fr-CA"/>
        </w:rPr>
        <w:t xml:space="preserve"> </w:t>
      </w:r>
      <w:r w:rsidRPr="00944B7A">
        <w:rPr>
          <w:rFonts w:cs="Times New Roman"/>
          <w:lang w:val="fr-CA"/>
        </w:rPr>
        <w:t>n</w:t>
      </w:r>
      <w:r>
        <w:rPr>
          <w:rFonts w:cs="Times New Roman"/>
          <w:lang w:val="fr-CA"/>
        </w:rPr>
        <w:t>’</w:t>
      </w:r>
      <w:r w:rsidRPr="00944B7A">
        <w:rPr>
          <w:rFonts w:cs="Times New Roman"/>
          <w:lang w:val="fr-CA"/>
        </w:rPr>
        <w:t>aurait pas dû être accueillie en l</w:t>
      </w:r>
      <w:r>
        <w:rPr>
          <w:rFonts w:cs="Times New Roman"/>
          <w:lang w:val="fr-CA"/>
        </w:rPr>
        <w:t>’</w:t>
      </w:r>
      <w:r w:rsidRPr="00944B7A">
        <w:rPr>
          <w:rFonts w:cs="Times New Roman"/>
          <w:lang w:val="fr-CA"/>
        </w:rPr>
        <w:t>espèce car la décision a été rendue dans l</w:t>
      </w:r>
      <w:r>
        <w:rPr>
          <w:rFonts w:cs="Times New Roman"/>
          <w:lang w:val="fr-CA"/>
        </w:rPr>
        <w:t>’</w:t>
      </w:r>
      <w:r w:rsidRPr="00944B7A">
        <w:rPr>
          <w:rFonts w:cs="Times New Roman"/>
          <w:lang w:val="fr-CA"/>
        </w:rPr>
        <w:t xml:space="preserve">exercice de la compétence de la juge Paradis. </w:t>
      </w:r>
    </w:p>
    <w:p w:rsidR="00D36E2F" w:rsidRPr="00944B7A" w:rsidRDefault="00D36E2F" w:rsidP="00D36E2F">
      <w:pPr>
        <w:pStyle w:val="ParaNoNdepar-AltN"/>
        <w:rPr>
          <w:rFonts w:cs="Times New Roman"/>
          <w:lang w:val="fr-CA"/>
        </w:rPr>
      </w:pPr>
      <w:r w:rsidRPr="00944B7A">
        <w:rPr>
          <w:rFonts w:cs="Times New Roman"/>
          <w:lang w:val="fr-CA"/>
        </w:rPr>
        <w:t>La juge Thibault a également statué que le juge Dionne avait commis une erreur sur l</w:t>
      </w:r>
      <w:r>
        <w:rPr>
          <w:rFonts w:cs="Times New Roman"/>
          <w:lang w:val="fr-CA"/>
        </w:rPr>
        <w:t>’</w:t>
      </w:r>
      <w:r w:rsidRPr="00944B7A">
        <w:rPr>
          <w:rFonts w:cs="Times New Roman"/>
          <w:lang w:val="fr-CA"/>
        </w:rPr>
        <w:t>autorité de la chose jugée. D</w:t>
      </w:r>
      <w:r>
        <w:rPr>
          <w:rFonts w:cs="Times New Roman"/>
          <w:lang w:val="fr-CA"/>
        </w:rPr>
        <w:t>’</w:t>
      </w:r>
      <w:r w:rsidRPr="00944B7A">
        <w:rPr>
          <w:rFonts w:cs="Times New Roman"/>
          <w:lang w:val="fr-CA"/>
        </w:rPr>
        <w:t>après elle, le juge Dionne n</w:t>
      </w:r>
      <w:r>
        <w:rPr>
          <w:rFonts w:cs="Times New Roman"/>
          <w:lang w:val="fr-CA"/>
        </w:rPr>
        <w:t>’</w:t>
      </w:r>
      <w:r w:rsidRPr="00944B7A">
        <w:rPr>
          <w:rFonts w:cs="Times New Roman"/>
          <w:lang w:val="fr-CA"/>
        </w:rPr>
        <w:t>a pas évalué l</w:t>
      </w:r>
      <w:r>
        <w:rPr>
          <w:rFonts w:cs="Times New Roman"/>
          <w:lang w:val="fr-CA"/>
        </w:rPr>
        <w:t>’</w:t>
      </w:r>
      <w:r w:rsidRPr="00944B7A">
        <w:rPr>
          <w:rFonts w:cs="Times New Roman"/>
          <w:lang w:val="fr-CA"/>
        </w:rPr>
        <w:t>objectif sous</w:t>
      </w:r>
      <w:r>
        <w:rPr>
          <w:rFonts w:cs="Times New Roman"/>
          <w:lang w:val="fr-CA"/>
        </w:rPr>
        <w:noBreakHyphen/>
      </w:r>
      <w:r w:rsidRPr="00944B7A">
        <w:rPr>
          <w:rFonts w:cs="Times New Roman"/>
          <w:lang w:val="fr-CA"/>
        </w:rPr>
        <w:t xml:space="preserve">tendant la requête de type </w:t>
      </w:r>
      <w:r w:rsidRPr="00944B7A">
        <w:rPr>
          <w:rFonts w:cs="Times New Roman"/>
          <w:i/>
          <w:lang w:val="fr-CA"/>
        </w:rPr>
        <w:t>McNeil</w:t>
      </w:r>
      <w:r w:rsidRPr="00944B7A">
        <w:rPr>
          <w:rFonts w:cs="Times New Roman"/>
          <w:lang w:val="fr-CA"/>
        </w:rPr>
        <w:t>. S</w:t>
      </w:r>
      <w:r>
        <w:rPr>
          <w:rFonts w:cs="Times New Roman"/>
          <w:lang w:val="fr-CA"/>
        </w:rPr>
        <w:t>’</w:t>
      </w:r>
      <w:r w:rsidRPr="00944B7A">
        <w:rPr>
          <w:rFonts w:cs="Times New Roman"/>
          <w:lang w:val="fr-CA"/>
        </w:rPr>
        <w:t>il l</w:t>
      </w:r>
      <w:r>
        <w:rPr>
          <w:rFonts w:cs="Times New Roman"/>
          <w:lang w:val="fr-CA"/>
        </w:rPr>
        <w:t>’</w:t>
      </w:r>
      <w:r w:rsidRPr="00944B7A">
        <w:rPr>
          <w:rFonts w:cs="Times New Roman"/>
          <w:lang w:val="fr-CA"/>
        </w:rPr>
        <w:t>avait fait, il aurait décidé que l</w:t>
      </w:r>
      <w:r>
        <w:rPr>
          <w:rFonts w:cs="Times New Roman"/>
          <w:lang w:val="fr-CA"/>
        </w:rPr>
        <w:t>’</w:t>
      </w:r>
      <w:r w:rsidRPr="00944B7A">
        <w:rPr>
          <w:rFonts w:cs="Times New Roman"/>
          <w:lang w:val="fr-CA"/>
        </w:rPr>
        <w:t>ordonnance initiale de communication de la preuve n</w:t>
      </w:r>
      <w:r>
        <w:rPr>
          <w:rFonts w:cs="Times New Roman"/>
          <w:lang w:val="fr-CA"/>
        </w:rPr>
        <w:t>’</w:t>
      </w:r>
      <w:r w:rsidRPr="00944B7A">
        <w:rPr>
          <w:rFonts w:cs="Times New Roman"/>
          <w:lang w:val="fr-CA"/>
        </w:rPr>
        <w:t>empêche pas M</w:t>
      </w:r>
      <w:r w:rsidRPr="00944B7A">
        <w:rPr>
          <w:rFonts w:cs="Times New Roman"/>
          <w:vertAlign w:val="superscript"/>
          <w:lang w:val="fr-CA"/>
        </w:rPr>
        <w:t>me</w:t>
      </w:r>
      <w:r>
        <w:rPr>
          <w:rFonts w:cs="Times New Roman"/>
          <w:vertAlign w:val="superscript"/>
          <w:lang w:val="fr-CA"/>
        </w:rPr>
        <w:t> </w:t>
      </w:r>
      <w:r w:rsidRPr="00944B7A">
        <w:rPr>
          <w:rFonts w:cs="Times New Roman"/>
          <w:lang w:val="fr-CA"/>
        </w:rPr>
        <w:t>Awashish de vérifier si certains renseignements existent. Par conséquent, de l</w:t>
      </w:r>
      <w:r>
        <w:rPr>
          <w:rFonts w:cs="Times New Roman"/>
          <w:lang w:val="fr-CA"/>
        </w:rPr>
        <w:t>’</w:t>
      </w:r>
      <w:r w:rsidRPr="00944B7A">
        <w:rPr>
          <w:rFonts w:cs="Times New Roman"/>
          <w:lang w:val="fr-CA"/>
        </w:rPr>
        <w:t>avis de la juge Thibault, le juge Dionne a conclu à tort que la juge Paradis avait fait abstraction de l</w:t>
      </w:r>
      <w:r>
        <w:rPr>
          <w:rFonts w:cs="Times New Roman"/>
          <w:lang w:val="fr-CA"/>
        </w:rPr>
        <w:t>’</w:t>
      </w:r>
      <w:r w:rsidRPr="00944B7A">
        <w:rPr>
          <w:rFonts w:cs="Times New Roman"/>
          <w:lang w:val="fr-CA"/>
        </w:rPr>
        <w:t xml:space="preserve">autorité de la chose jugée en accueillant la requête de type </w:t>
      </w:r>
      <w:r w:rsidRPr="00944B7A">
        <w:rPr>
          <w:rFonts w:cs="Times New Roman"/>
          <w:i/>
          <w:lang w:val="fr-CA"/>
        </w:rPr>
        <w:t>McNeil</w:t>
      </w:r>
      <w:r w:rsidRPr="00944B7A">
        <w:rPr>
          <w:rFonts w:cs="Times New Roman"/>
          <w:lang w:val="fr-CA"/>
        </w:rPr>
        <w:t>. L</w:t>
      </w:r>
      <w:r>
        <w:rPr>
          <w:rFonts w:cs="Times New Roman"/>
          <w:lang w:val="fr-CA"/>
        </w:rPr>
        <w:t>’</w:t>
      </w:r>
      <w:r w:rsidRPr="00944B7A">
        <w:rPr>
          <w:rFonts w:cs="Times New Roman"/>
          <w:lang w:val="fr-CA"/>
        </w:rPr>
        <w:t xml:space="preserve">ordonnance de type </w:t>
      </w:r>
      <w:r w:rsidRPr="00944B7A">
        <w:rPr>
          <w:rFonts w:cs="Times New Roman"/>
          <w:i/>
          <w:lang w:val="fr-CA"/>
        </w:rPr>
        <w:t>McNeil</w:t>
      </w:r>
      <w:r w:rsidRPr="00944B7A">
        <w:rPr>
          <w:rFonts w:cs="Times New Roman"/>
          <w:lang w:val="fr-CA"/>
        </w:rPr>
        <w:t xml:space="preserve"> rendue par la juge Paradis a été rétablie. Après avoir reçu des renseignements supplémentaires de la part du ministère public, M</w:t>
      </w:r>
      <w:r w:rsidRPr="00944B7A">
        <w:rPr>
          <w:rFonts w:cs="Times New Roman"/>
          <w:vertAlign w:val="superscript"/>
          <w:lang w:val="fr-CA"/>
        </w:rPr>
        <w:t>me</w:t>
      </w:r>
      <w:r>
        <w:rPr>
          <w:rFonts w:cs="Times New Roman"/>
          <w:lang w:val="fr-CA"/>
        </w:rPr>
        <w:t> </w:t>
      </w:r>
      <w:r w:rsidRPr="00944B7A">
        <w:rPr>
          <w:rFonts w:cs="Times New Roman"/>
          <w:lang w:val="fr-CA"/>
        </w:rPr>
        <w:t>Awashish pourrait chercher à établir la pertinence des documents demandés au départ afin d</w:t>
      </w:r>
      <w:r>
        <w:rPr>
          <w:rFonts w:cs="Times New Roman"/>
          <w:lang w:val="fr-CA"/>
        </w:rPr>
        <w:t>’</w:t>
      </w:r>
      <w:r w:rsidRPr="00944B7A">
        <w:rPr>
          <w:rFonts w:cs="Times New Roman"/>
          <w:lang w:val="fr-CA"/>
        </w:rPr>
        <w:t xml:space="preserve">en obtenir la communication. </w:t>
      </w:r>
    </w:p>
    <w:p w:rsidR="00D36E2F" w:rsidRPr="00944B7A" w:rsidRDefault="00D36E2F" w:rsidP="00D36E2F">
      <w:pPr>
        <w:pStyle w:val="Title1LevelTitre1Niveau-AltL"/>
        <w:numPr>
          <w:ilvl w:val="0"/>
          <w:numId w:val="8"/>
        </w:numPr>
        <w:rPr>
          <w:rFonts w:cs="Times New Roman"/>
        </w:rPr>
      </w:pPr>
      <w:r w:rsidRPr="00944B7A">
        <w:rPr>
          <w:rFonts w:cs="Times New Roman"/>
        </w:rPr>
        <w:t>Analyse</w:t>
      </w:r>
    </w:p>
    <w:p w:rsidR="00D36E2F" w:rsidRPr="00944B7A" w:rsidRDefault="00D36E2F" w:rsidP="00D36E2F">
      <w:pPr>
        <w:pStyle w:val="Title2LevelTitre2Niveau"/>
        <w:numPr>
          <w:ilvl w:val="1"/>
          <w:numId w:val="8"/>
        </w:numPr>
        <w:rPr>
          <w:rFonts w:cs="Times New Roman"/>
          <w:lang w:val="fr-CA"/>
        </w:rPr>
      </w:pPr>
      <w:r w:rsidRPr="00944B7A">
        <w:rPr>
          <w:rFonts w:cs="Times New Roman"/>
          <w:lang w:val="fr-CA"/>
        </w:rPr>
        <w:t>Dans quels cas peut</w:t>
      </w:r>
      <w:r>
        <w:rPr>
          <w:rFonts w:cs="Times New Roman"/>
          <w:lang w:val="fr-CA"/>
        </w:rPr>
        <w:noBreakHyphen/>
      </w:r>
      <w:r w:rsidRPr="00944B7A">
        <w:rPr>
          <w:rFonts w:cs="Times New Roman"/>
          <w:lang w:val="fr-CA"/>
        </w:rPr>
        <w:t xml:space="preserve">on recourir au </w:t>
      </w:r>
      <w:proofErr w:type="spellStart"/>
      <w:r w:rsidRPr="00944B7A">
        <w:rPr>
          <w:rFonts w:cs="Times New Roman"/>
          <w:lang w:val="fr-CA"/>
        </w:rPr>
        <w:t>certiorari</w:t>
      </w:r>
      <w:proofErr w:type="spellEnd"/>
      <w:r w:rsidRPr="00944B7A">
        <w:rPr>
          <w:rFonts w:cs="Times New Roman"/>
          <w:lang w:val="fr-CA"/>
        </w:rPr>
        <w:t>?</w:t>
      </w:r>
    </w:p>
    <w:p w:rsidR="00D36E2F" w:rsidRPr="00944B7A" w:rsidRDefault="00D36E2F" w:rsidP="00D36E2F">
      <w:pPr>
        <w:pStyle w:val="ParaNoNdepar-AltN"/>
        <w:rPr>
          <w:rFonts w:cs="Times New Roman"/>
          <w:lang w:val="fr-CA"/>
        </w:rPr>
      </w:pPr>
      <w:r w:rsidRPr="00944B7A">
        <w:rPr>
          <w:rFonts w:cs="Times New Roman"/>
          <w:lang w:val="fr-CA"/>
        </w:rPr>
        <w:lastRenderedPageBreak/>
        <w:t>Les appels permis en matière criminelle sont prévus par la loi; sauf exceptions limitées, il n</w:t>
      </w:r>
      <w:r>
        <w:rPr>
          <w:rFonts w:cs="Times New Roman"/>
          <w:lang w:val="fr-CA"/>
        </w:rPr>
        <w:t>’</w:t>
      </w:r>
      <w:r w:rsidRPr="00944B7A">
        <w:rPr>
          <w:rFonts w:cs="Times New Roman"/>
          <w:lang w:val="fr-CA"/>
        </w:rPr>
        <w:t>y a pas d</w:t>
      </w:r>
      <w:r>
        <w:rPr>
          <w:rFonts w:cs="Times New Roman"/>
          <w:lang w:val="fr-CA"/>
        </w:rPr>
        <w:t>’</w:t>
      </w:r>
      <w:r w:rsidRPr="00944B7A">
        <w:rPr>
          <w:rFonts w:cs="Times New Roman"/>
          <w:lang w:val="fr-CA"/>
        </w:rPr>
        <w:t>appel interlocutoire (</w:t>
      </w:r>
      <w:r w:rsidRPr="00944B7A">
        <w:rPr>
          <w:rFonts w:cs="Times New Roman"/>
          <w:i/>
          <w:lang w:val="fr-CA"/>
        </w:rPr>
        <w:t>Code criminel</w:t>
      </w:r>
      <w:r w:rsidRPr="00944B7A">
        <w:rPr>
          <w:rFonts w:cs="Times New Roman"/>
          <w:lang w:val="fr-CA"/>
        </w:rPr>
        <w:t>,</w:t>
      </w:r>
      <w:r w:rsidRPr="00944B7A">
        <w:rPr>
          <w:rFonts w:cs="Times New Roman"/>
          <w:i/>
          <w:lang w:val="fr-CA"/>
        </w:rPr>
        <w:t xml:space="preserve"> </w:t>
      </w:r>
      <w:r>
        <w:rPr>
          <w:rFonts w:cs="Times New Roman"/>
          <w:lang w:val="fr-CA"/>
        </w:rPr>
        <w:t>art. </w:t>
      </w:r>
      <w:r w:rsidRPr="00944B7A">
        <w:rPr>
          <w:rFonts w:cs="Times New Roman"/>
          <w:lang w:val="fr-CA"/>
        </w:rPr>
        <w:t>674;</w:t>
      </w:r>
      <w:r w:rsidRPr="00944B7A">
        <w:rPr>
          <w:rFonts w:cs="Times New Roman"/>
          <w:i/>
          <w:lang w:val="fr-CA"/>
        </w:rPr>
        <w:t xml:space="preserve"> Mills c. La Reine</w:t>
      </w:r>
      <w:r w:rsidRPr="00944B7A">
        <w:rPr>
          <w:rFonts w:cs="Times New Roman"/>
          <w:lang w:val="fr-CA"/>
        </w:rPr>
        <w:t>,</w:t>
      </w:r>
      <w:r w:rsidRPr="00944B7A">
        <w:rPr>
          <w:rFonts w:cs="Times New Roman"/>
          <w:i/>
          <w:lang w:val="fr-CA"/>
        </w:rPr>
        <w:t xml:space="preserve"> </w:t>
      </w:r>
      <w:r w:rsidRPr="00944B7A">
        <w:rPr>
          <w:rFonts w:cs="Times New Roman"/>
          <w:lang w:val="fr-CA"/>
        </w:rPr>
        <w:t xml:space="preserve">[1986] 1 R.C.S. 863, </w:t>
      </w:r>
      <w:r>
        <w:rPr>
          <w:rFonts w:cs="Times New Roman"/>
          <w:lang w:val="fr-CA"/>
        </w:rPr>
        <w:t>p. </w:t>
      </w:r>
      <w:r w:rsidRPr="00944B7A">
        <w:rPr>
          <w:rFonts w:cs="Times New Roman"/>
          <w:lang w:val="fr-CA"/>
        </w:rPr>
        <w:t>959;</w:t>
      </w:r>
      <w:r w:rsidRPr="00944B7A">
        <w:rPr>
          <w:rFonts w:cs="Times New Roman"/>
          <w:i/>
          <w:lang w:val="fr-CA"/>
        </w:rPr>
        <w:t xml:space="preserve"> R. c. Meltzer</w:t>
      </w:r>
      <w:r w:rsidR="00F96FA7">
        <w:rPr>
          <w:rFonts w:cs="Times New Roman"/>
          <w:lang w:val="fr-CA"/>
        </w:rPr>
        <w:t>, [1989] 1 R.C.S</w:t>
      </w:r>
      <w:r w:rsidRPr="00944B7A">
        <w:rPr>
          <w:rFonts w:cs="Times New Roman"/>
          <w:lang w:val="fr-CA"/>
        </w:rPr>
        <w:t xml:space="preserve">. 1764, </w:t>
      </w:r>
      <w:r>
        <w:rPr>
          <w:rFonts w:cs="Times New Roman"/>
          <w:lang w:val="fr-CA"/>
        </w:rPr>
        <w:t>p. </w:t>
      </w:r>
      <w:r w:rsidRPr="00944B7A">
        <w:rPr>
          <w:rFonts w:cs="Times New Roman"/>
          <w:lang w:val="fr-CA"/>
        </w:rPr>
        <w:t>1774</w:t>
      </w:r>
      <w:r w:rsidRPr="003E68CA">
        <w:rPr>
          <w:rFonts w:cs="Times New Roman"/>
          <w:lang w:val="fr-CA"/>
        </w:rPr>
        <w:t>;</w:t>
      </w:r>
      <w:r w:rsidRPr="00944B7A">
        <w:rPr>
          <w:rFonts w:cs="Times New Roman"/>
          <w:i/>
          <w:lang w:val="fr-CA"/>
        </w:rPr>
        <w:t xml:space="preserve"> </w:t>
      </w:r>
      <w:proofErr w:type="spellStart"/>
      <w:r w:rsidRPr="00944B7A">
        <w:rPr>
          <w:rFonts w:cs="Times New Roman"/>
          <w:i/>
          <w:lang w:val="fr-CA"/>
        </w:rPr>
        <w:t>Dagenais</w:t>
      </w:r>
      <w:proofErr w:type="spellEnd"/>
      <w:r w:rsidRPr="00944B7A">
        <w:rPr>
          <w:rFonts w:cs="Times New Roman"/>
          <w:i/>
          <w:lang w:val="fr-CA"/>
        </w:rPr>
        <w:t xml:space="preserve"> c. Société Radio</w:t>
      </w:r>
      <w:r>
        <w:rPr>
          <w:rFonts w:cs="Times New Roman"/>
          <w:i/>
          <w:lang w:val="fr-CA"/>
        </w:rPr>
        <w:noBreakHyphen/>
      </w:r>
      <w:r w:rsidRPr="00944B7A">
        <w:rPr>
          <w:rFonts w:cs="Times New Roman"/>
          <w:i/>
          <w:lang w:val="fr-CA"/>
        </w:rPr>
        <w:t>Canada</w:t>
      </w:r>
      <w:r w:rsidRPr="00944B7A">
        <w:rPr>
          <w:rFonts w:cs="Times New Roman"/>
          <w:lang w:val="fr-CA"/>
        </w:rPr>
        <w:t>,</w:t>
      </w:r>
      <w:r w:rsidRPr="00944B7A">
        <w:rPr>
          <w:rFonts w:cs="Times New Roman"/>
          <w:i/>
          <w:lang w:val="fr-CA"/>
        </w:rPr>
        <w:t xml:space="preserve"> </w:t>
      </w:r>
      <w:r w:rsidR="00F96FA7">
        <w:rPr>
          <w:rFonts w:cs="Times New Roman"/>
          <w:lang w:val="fr-CA"/>
        </w:rPr>
        <w:t>[1994] 3 R.C.S</w:t>
      </w:r>
      <w:r w:rsidRPr="00944B7A">
        <w:rPr>
          <w:rFonts w:cs="Times New Roman"/>
          <w:lang w:val="fr-CA"/>
        </w:rPr>
        <w:t xml:space="preserve">. 835, </w:t>
      </w:r>
      <w:r>
        <w:rPr>
          <w:rFonts w:cs="Times New Roman"/>
          <w:lang w:val="fr-CA"/>
        </w:rPr>
        <w:t>p. </w:t>
      </w:r>
      <w:r w:rsidRPr="00944B7A">
        <w:rPr>
          <w:rFonts w:cs="Times New Roman"/>
          <w:lang w:val="fr-CA"/>
        </w:rPr>
        <w:t>857). La loi prévoit peu d</w:t>
      </w:r>
      <w:r>
        <w:rPr>
          <w:rFonts w:cs="Times New Roman"/>
          <w:lang w:val="fr-CA"/>
        </w:rPr>
        <w:t>’</w:t>
      </w:r>
      <w:r w:rsidRPr="00944B7A">
        <w:rPr>
          <w:rFonts w:cs="Times New Roman"/>
          <w:lang w:val="fr-CA"/>
        </w:rPr>
        <w:t xml:space="preserve">exceptions et les recours extraordinaires, notamment le </w:t>
      </w:r>
      <w:proofErr w:type="spellStart"/>
      <w:r w:rsidRPr="00944B7A">
        <w:rPr>
          <w:rFonts w:cs="Times New Roman"/>
          <w:i/>
          <w:lang w:val="fr-CA"/>
        </w:rPr>
        <w:t>certiorari</w:t>
      </w:r>
      <w:proofErr w:type="spellEnd"/>
      <w:r w:rsidRPr="00944B7A">
        <w:rPr>
          <w:rFonts w:cs="Times New Roman"/>
          <w:lang w:val="fr-CA"/>
        </w:rPr>
        <w:t>, permettent d</w:t>
      </w:r>
      <w:r>
        <w:rPr>
          <w:rFonts w:cs="Times New Roman"/>
          <w:lang w:val="fr-CA"/>
        </w:rPr>
        <w:t>’</w:t>
      </w:r>
      <w:r w:rsidRPr="00944B7A">
        <w:rPr>
          <w:rFonts w:cs="Times New Roman"/>
          <w:lang w:val="fr-CA"/>
        </w:rPr>
        <w:t>obtenir réparation en certaines circonstances particulières. D</w:t>
      </w:r>
      <w:r>
        <w:rPr>
          <w:rFonts w:cs="Times New Roman"/>
          <w:lang w:val="fr-CA"/>
        </w:rPr>
        <w:t>’après la règle générale, « </w:t>
      </w:r>
      <w:r w:rsidRPr="00944B7A">
        <w:rPr>
          <w:rFonts w:cs="Times New Roman"/>
          <w:lang w:val="fr-CA"/>
        </w:rPr>
        <w:t>les instances pénales ne doivent pas être fragmentées par des procédures interlocutoires qui devi</w:t>
      </w:r>
      <w:r>
        <w:rPr>
          <w:rFonts w:cs="Times New Roman"/>
          <w:lang w:val="fr-CA"/>
        </w:rPr>
        <w:t>ennent des instances distinctes </w:t>
      </w:r>
      <w:r w:rsidRPr="00944B7A">
        <w:rPr>
          <w:rFonts w:cs="Times New Roman"/>
          <w:lang w:val="fr-CA"/>
        </w:rPr>
        <w:t>» (</w:t>
      </w:r>
      <w:r w:rsidRPr="00944B7A">
        <w:rPr>
          <w:rFonts w:cs="Times New Roman"/>
          <w:i/>
          <w:lang w:val="fr-CA"/>
        </w:rPr>
        <w:t xml:space="preserve">R. c. </w:t>
      </w:r>
      <w:proofErr w:type="spellStart"/>
      <w:r w:rsidRPr="00944B7A">
        <w:rPr>
          <w:rFonts w:cs="Times New Roman"/>
          <w:i/>
          <w:lang w:val="fr-CA"/>
        </w:rPr>
        <w:t>DeSousa</w:t>
      </w:r>
      <w:proofErr w:type="spellEnd"/>
      <w:r w:rsidRPr="00944B7A">
        <w:rPr>
          <w:rFonts w:cs="Times New Roman"/>
          <w:lang w:val="fr-CA"/>
        </w:rPr>
        <w:t>,</w:t>
      </w:r>
      <w:r w:rsidRPr="00944B7A">
        <w:rPr>
          <w:rFonts w:cs="Times New Roman"/>
          <w:i/>
          <w:lang w:val="fr-CA"/>
        </w:rPr>
        <w:t xml:space="preserve"> </w:t>
      </w:r>
      <w:r w:rsidRPr="00944B7A">
        <w:rPr>
          <w:rFonts w:cs="Times New Roman"/>
          <w:lang w:val="fr-CA"/>
        </w:rPr>
        <w:t xml:space="preserve">[1992] 2 R.C.S. 944, </w:t>
      </w:r>
      <w:r>
        <w:rPr>
          <w:rFonts w:cs="Times New Roman"/>
          <w:lang w:val="fr-CA"/>
        </w:rPr>
        <w:t>p. </w:t>
      </w:r>
      <w:r w:rsidRPr="00944B7A">
        <w:rPr>
          <w:rFonts w:cs="Times New Roman"/>
          <w:lang w:val="fr-CA"/>
        </w:rPr>
        <w:t>954). La fragmentation des instances criminelles résultant des appels interlocutoires risque de mener au règlement de questions en l</w:t>
      </w:r>
      <w:r>
        <w:rPr>
          <w:rFonts w:cs="Times New Roman"/>
          <w:lang w:val="fr-CA"/>
        </w:rPr>
        <w:t>’</w:t>
      </w:r>
      <w:r w:rsidRPr="00944B7A">
        <w:rPr>
          <w:rFonts w:cs="Times New Roman"/>
          <w:lang w:val="fr-CA"/>
        </w:rPr>
        <w:t>absence d</w:t>
      </w:r>
      <w:r>
        <w:rPr>
          <w:rFonts w:cs="Times New Roman"/>
          <w:lang w:val="fr-CA"/>
        </w:rPr>
        <w:t>’</w:t>
      </w:r>
      <w:r w:rsidRPr="00944B7A">
        <w:rPr>
          <w:rFonts w:cs="Times New Roman"/>
          <w:lang w:val="fr-CA"/>
        </w:rPr>
        <w:t>un dossier de preuve complet, ce qui constitue une source importante de retards et une utilisation inefficace des ressources des tribunaux</w:t>
      </w:r>
      <w:r>
        <w:rPr>
          <w:rFonts w:cs="Times New Roman"/>
          <w:lang w:val="fr-CA"/>
        </w:rPr>
        <w:t xml:space="preserve"> </w:t>
      </w:r>
      <w:r w:rsidRPr="00944B7A">
        <w:rPr>
          <w:rFonts w:cs="Times New Roman"/>
          <w:lang w:val="fr-CA"/>
        </w:rPr>
        <w:t>(</w:t>
      </w:r>
      <w:r w:rsidRPr="00944B7A">
        <w:rPr>
          <w:rFonts w:cs="Times New Roman"/>
          <w:i/>
          <w:lang w:val="fr-CA"/>
        </w:rPr>
        <w:t xml:space="preserve">R. c. Johnson </w:t>
      </w:r>
      <w:r w:rsidRPr="00944B7A">
        <w:rPr>
          <w:rFonts w:cs="Times New Roman"/>
          <w:lang w:val="fr-CA"/>
        </w:rPr>
        <w:t xml:space="preserve">(1991), 3 O.R. (3d) 49 (C.A.), </w:t>
      </w:r>
      <w:r>
        <w:rPr>
          <w:rFonts w:cs="Times New Roman"/>
          <w:lang w:val="fr-CA"/>
        </w:rPr>
        <w:t>p. </w:t>
      </w:r>
      <w:r w:rsidRPr="00944B7A">
        <w:rPr>
          <w:rFonts w:cs="Times New Roman"/>
          <w:lang w:val="fr-CA"/>
        </w:rPr>
        <w:t>54).</w:t>
      </w:r>
    </w:p>
    <w:p w:rsidR="00D36E2F" w:rsidRPr="00944B7A" w:rsidRDefault="00D36E2F" w:rsidP="00D36E2F">
      <w:pPr>
        <w:pStyle w:val="ParaNoNdepar-AltN"/>
        <w:rPr>
          <w:rFonts w:cs="Times New Roman"/>
          <w:lang w:val="fr-CA"/>
        </w:rPr>
      </w:pPr>
      <w:r w:rsidRPr="00944B7A">
        <w:rPr>
          <w:rFonts w:cs="Times New Roman"/>
          <w:lang w:val="fr-CA"/>
        </w:rPr>
        <w:t>L</w:t>
      </w:r>
      <w:r>
        <w:rPr>
          <w:rFonts w:cs="Times New Roman"/>
          <w:lang w:val="fr-CA"/>
        </w:rPr>
        <w:t>’</w:t>
      </w:r>
      <w:r w:rsidRPr="00944B7A">
        <w:rPr>
          <w:rFonts w:cs="Times New Roman"/>
          <w:lang w:val="fr-CA"/>
        </w:rPr>
        <w:t>accès aux recours extraordinaires est balisé par des considérations du même ordre (</w:t>
      </w:r>
      <w:r w:rsidRPr="00944B7A">
        <w:rPr>
          <w:rFonts w:cs="Times New Roman"/>
          <w:i/>
          <w:lang w:val="fr-CA"/>
        </w:rPr>
        <w:t>Procureur général du Québec c. Cohen</w:t>
      </w:r>
      <w:r w:rsidRPr="00944B7A">
        <w:rPr>
          <w:rFonts w:cs="Times New Roman"/>
          <w:lang w:val="fr-CA"/>
        </w:rPr>
        <w:t>,</w:t>
      </w:r>
      <w:r w:rsidRPr="00944B7A">
        <w:rPr>
          <w:rFonts w:cs="Times New Roman"/>
          <w:i/>
          <w:lang w:val="fr-CA"/>
        </w:rPr>
        <w:t xml:space="preserve"> </w:t>
      </w:r>
      <w:r w:rsidRPr="00944B7A">
        <w:rPr>
          <w:rFonts w:cs="Times New Roman"/>
          <w:lang w:val="fr-CA"/>
        </w:rPr>
        <w:t xml:space="preserve">[1979] 2 R.C.S. 305, </w:t>
      </w:r>
      <w:r>
        <w:rPr>
          <w:rFonts w:cs="Times New Roman"/>
          <w:lang w:val="fr-CA"/>
        </w:rPr>
        <w:t>p. </w:t>
      </w:r>
      <w:r w:rsidRPr="00944B7A">
        <w:rPr>
          <w:rFonts w:cs="Times New Roman"/>
          <w:lang w:val="fr-CA"/>
        </w:rPr>
        <w:t xml:space="preserve">310). Le </w:t>
      </w:r>
      <w:r w:rsidRPr="00944B7A">
        <w:rPr>
          <w:rFonts w:cs="Times New Roman"/>
          <w:i/>
          <w:lang w:val="fr-CA"/>
        </w:rPr>
        <w:t>Code criminel</w:t>
      </w:r>
      <w:r w:rsidRPr="00944B7A">
        <w:rPr>
          <w:rFonts w:cs="Times New Roman"/>
          <w:lang w:val="fr-CA"/>
        </w:rPr>
        <w:t xml:space="preserve"> et la </w:t>
      </w:r>
      <w:proofErr w:type="spellStart"/>
      <w:r w:rsidRPr="00944B7A">
        <w:rPr>
          <w:rFonts w:cs="Times New Roman"/>
          <w:lang w:val="fr-CA"/>
        </w:rPr>
        <w:t>common</w:t>
      </w:r>
      <w:proofErr w:type="spellEnd"/>
      <w:r w:rsidRPr="00944B7A">
        <w:rPr>
          <w:rFonts w:cs="Times New Roman"/>
          <w:lang w:val="fr-CA"/>
        </w:rPr>
        <w:t xml:space="preserve"> </w:t>
      </w:r>
      <w:proofErr w:type="spellStart"/>
      <w:r w:rsidRPr="00944B7A">
        <w:rPr>
          <w:rFonts w:cs="Times New Roman"/>
          <w:lang w:val="fr-CA"/>
        </w:rPr>
        <w:t>law</w:t>
      </w:r>
      <w:proofErr w:type="spellEnd"/>
      <w:r w:rsidRPr="00944B7A">
        <w:rPr>
          <w:rFonts w:cs="Times New Roman"/>
          <w:lang w:val="fr-CA"/>
        </w:rPr>
        <w:t xml:space="preserve"> limitent donc strictement l</w:t>
      </w:r>
      <w:r>
        <w:rPr>
          <w:rFonts w:cs="Times New Roman"/>
          <w:lang w:val="fr-CA"/>
        </w:rPr>
        <w:t>’</w:t>
      </w:r>
      <w:r w:rsidRPr="00944B7A">
        <w:rPr>
          <w:rFonts w:cs="Times New Roman"/>
          <w:lang w:val="fr-CA"/>
        </w:rPr>
        <w:t xml:space="preserve">utilisation du </w:t>
      </w:r>
      <w:proofErr w:type="spellStart"/>
      <w:r w:rsidRPr="00944B7A">
        <w:rPr>
          <w:rFonts w:cs="Times New Roman"/>
          <w:i/>
          <w:lang w:val="fr-CA"/>
        </w:rPr>
        <w:t>certiorari</w:t>
      </w:r>
      <w:proofErr w:type="spellEnd"/>
      <w:r w:rsidRPr="00944B7A">
        <w:rPr>
          <w:rFonts w:cs="Times New Roman"/>
          <w:i/>
          <w:lang w:val="fr-CA"/>
        </w:rPr>
        <w:t xml:space="preserve"> </w:t>
      </w:r>
      <w:r w:rsidRPr="00944B7A">
        <w:rPr>
          <w:rFonts w:cs="Times New Roman"/>
          <w:lang w:val="fr-CA"/>
        </w:rPr>
        <w:t>pour empêcher qu</w:t>
      </w:r>
      <w:r>
        <w:rPr>
          <w:rFonts w:cs="Times New Roman"/>
          <w:lang w:val="fr-CA"/>
        </w:rPr>
        <w:t>’</w:t>
      </w:r>
      <w:r w:rsidRPr="00944B7A">
        <w:rPr>
          <w:rFonts w:cs="Times New Roman"/>
          <w:lang w:val="fr-CA"/>
        </w:rPr>
        <w:t>il serve à contourner la règle interdisant les appels interlocutoires (</w:t>
      </w:r>
      <w:r w:rsidRPr="00944B7A">
        <w:rPr>
          <w:rFonts w:cs="Times New Roman"/>
          <w:i/>
          <w:lang w:val="fr-CA"/>
        </w:rPr>
        <w:t>R. c. Robertson</w:t>
      </w:r>
      <w:r w:rsidRPr="00944B7A">
        <w:rPr>
          <w:rFonts w:cs="Times New Roman"/>
          <w:lang w:val="fr-CA"/>
        </w:rPr>
        <w:t xml:space="preserve"> (1988), 41 C.C.C. (3d) 478 (C.A. Alb.), </w:t>
      </w:r>
      <w:r>
        <w:rPr>
          <w:rFonts w:cs="Times New Roman"/>
          <w:lang w:val="fr-CA"/>
        </w:rPr>
        <w:t>p. </w:t>
      </w:r>
      <w:r w:rsidRPr="00944B7A">
        <w:rPr>
          <w:rFonts w:cs="Times New Roman"/>
          <w:lang w:val="fr-CA"/>
        </w:rPr>
        <w:t>480). Par exemple, lors d</w:t>
      </w:r>
      <w:r>
        <w:rPr>
          <w:rFonts w:cs="Times New Roman"/>
          <w:lang w:val="fr-CA"/>
        </w:rPr>
        <w:t>’</w:t>
      </w:r>
      <w:r w:rsidRPr="00944B7A">
        <w:rPr>
          <w:rFonts w:cs="Times New Roman"/>
          <w:lang w:val="fr-CA"/>
        </w:rPr>
        <w:t>une enquête préliminaire, il faut démontrer l</w:t>
      </w:r>
      <w:r>
        <w:rPr>
          <w:rFonts w:cs="Times New Roman"/>
          <w:lang w:val="fr-CA"/>
        </w:rPr>
        <w:t>’</w:t>
      </w:r>
      <w:r w:rsidRPr="00944B7A">
        <w:rPr>
          <w:rFonts w:cs="Times New Roman"/>
          <w:lang w:val="fr-CA"/>
        </w:rPr>
        <w:t>existence d</w:t>
      </w:r>
      <w:r>
        <w:rPr>
          <w:rFonts w:cs="Times New Roman"/>
          <w:lang w:val="fr-CA"/>
        </w:rPr>
        <w:t>’</w:t>
      </w:r>
      <w:r w:rsidRPr="00944B7A">
        <w:rPr>
          <w:rFonts w:cs="Times New Roman"/>
          <w:lang w:val="fr-CA"/>
        </w:rPr>
        <w:t xml:space="preserve">une erreur de compétence pour avoir droit au </w:t>
      </w:r>
      <w:proofErr w:type="spellStart"/>
      <w:r w:rsidRPr="00944B7A">
        <w:rPr>
          <w:rFonts w:cs="Times New Roman"/>
          <w:i/>
          <w:lang w:val="fr-CA"/>
        </w:rPr>
        <w:t>certiorari</w:t>
      </w:r>
      <w:proofErr w:type="spellEnd"/>
      <w:r w:rsidRPr="00944B7A">
        <w:rPr>
          <w:rFonts w:cs="Times New Roman"/>
          <w:lang w:val="fr-CA"/>
        </w:rPr>
        <w:t>. Cela se produit entre autres lorsque le juge présidant l</w:t>
      </w:r>
      <w:r>
        <w:rPr>
          <w:rFonts w:cs="Times New Roman"/>
          <w:lang w:val="fr-CA"/>
        </w:rPr>
        <w:t>’</w:t>
      </w:r>
      <w:r w:rsidRPr="00944B7A">
        <w:rPr>
          <w:rFonts w:cs="Times New Roman"/>
          <w:lang w:val="fr-CA"/>
        </w:rPr>
        <w:t>enquête préliminaire renvoie l</w:t>
      </w:r>
      <w:r>
        <w:rPr>
          <w:rFonts w:cs="Times New Roman"/>
          <w:lang w:val="fr-CA"/>
        </w:rPr>
        <w:t>’</w:t>
      </w:r>
      <w:r w:rsidRPr="00944B7A">
        <w:rPr>
          <w:rFonts w:cs="Times New Roman"/>
          <w:lang w:val="fr-CA"/>
        </w:rPr>
        <w:t>accusé à procès en l</w:t>
      </w:r>
      <w:r>
        <w:rPr>
          <w:rFonts w:cs="Times New Roman"/>
          <w:lang w:val="fr-CA"/>
        </w:rPr>
        <w:t>’</w:t>
      </w:r>
      <w:r w:rsidRPr="00944B7A">
        <w:rPr>
          <w:rFonts w:cs="Times New Roman"/>
          <w:lang w:val="fr-CA"/>
        </w:rPr>
        <w:t>absence de toute preuve concernant un élément essentiel de l</w:t>
      </w:r>
      <w:r>
        <w:rPr>
          <w:rFonts w:cs="Times New Roman"/>
          <w:lang w:val="fr-CA"/>
        </w:rPr>
        <w:t>’</w:t>
      </w:r>
      <w:r w:rsidRPr="00944B7A">
        <w:rPr>
          <w:rFonts w:cs="Times New Roman"/>
          <w:lang w:val="fr-CA"/>
        </w:rPr>
        <w:t>infraction (</w:t>
      </w:r>
      <w:proofErr w:type="spellStart"/>
      <w:r w:rsidRPr="00944B7A">
        <w:rPr>
          <w:rFonts w:cs="Times New Roman"/>
          <w:i/>
          <w:lang w:val="fr-CA"/>
        </w:rPr>
        <w:t>Skogman</w:t>
      </w:r>
      <w:proofErr w:type="spellEnd"/>
      <w:r w:rsidRPr="00944B7A">
        <w:rPr>
          <w:rFonts w:cs="Times New Roman"/>
          <w:i/>
          <w:lang w:val="fr-CA"/>
        </w:rPr>
        <w:t xml:space="preserve"> c. La Reine</w:t>
      </w:r>
      <w:r w:rsidRPr="00944B7A">
        <w:rPr>
          <w:rFonts w:cs="Times New Roman"/>
          <w:lang w:val="fr-CA"/>
        </w:rPr>
        <w:t xml:space="preserve">, [1984] 2 R.C.S. </w:t>
      </w:r>
      <w:r w:rsidRPr="00944B7A">
        <w:rPr>
          <w:rFonts w:cs="Times New Roman"/>
          <w:lang w:val="fr-CA"/>
        </w:rPr>
        <w:lastRenderedPageBreak/>
        <w:t xml:space="preserve">93, </w:t>
      </w:r>
      <w:r>
        <w:rPr>
          <w:rFonts w:cs="Times New Roman"/>
          <w:lang w:val="fr-CA"/>
        </w:rPr>
        <w:t>p. </w:t>
      </w:r>
      <w:r w:rsidRPr="00944B7A">
        <w:rPr>
          <w:rFonts w:cs="Times New Roman"/>
          <w:lang w:val="fr-CA"/>
        </w:rPr>
        <w:t>104) ou enfreint les règles de justice naturelle (</w:t>
      </w:r>
      <w:r w:rsidRPr="00944B7A">
        <w:rPr>
          <w:rFonts w:cs="Times New Roman"/>
          <w:i/>
          <w:lang w:val="fr-CA"/>
        </w:rPr>
        <w:t>Patterson c. La Reine</w:t>
      </w:r>
      <w:r w:rsidRPr="00944B7A">
        <w:rPr>
          <w:rFonts w:cs="Times New Roman"/>
          <w:lang w:val="fr-CA"/>
        </w:rPr>
        <w:t>,</w:t>
      </w:r>
      <w:r w:rsidRPr="00944B7A">
        <w:rPr>
          <w:rFonts w:cs="Times New Roman"/>
          <w:i/>
          <w:lang w:val="fr-CA"/>
        </w:rPr>
        <w:t xml:space="preserve"> </w:t>
      </w:r>
      <w:r w:rsidRPr="00944B7A">
        <w:rPr>
          <w:rFonts w:cs="Times New Roman"/>
          <w:lang w:val="fr-CA"/>
        </w:rPr>
        <w:t>[1970] R.C.S. 409,</w:t>
      </w:r>
      <w:r w:rsidRPr="00944B7A">
        <w:rPr>
          <w:rFonts w:cs="Times New Roman"/>
          <w:i/>
          <w:lang w:val="fr-CA"/>
        </w:rPr>
        <w:t xml:space="preserve"> </w:t>
      </w:r>
      <w:r>
        <w:rPr>
          <w:rFonts w:cs="Times New Roman"/>
          <w:lang w:val="fr-CA"/>
        </w:rPr>
        <w:t>p. </w:t>
      </w:r>
      <w:r w:rsidRPr="00944B7A">
        <w:rPr>
          <w:rFonts w:cs="Times New Roman"/>
          <w:lang w:val="fr-CA"/>
        </w:rPr>
        <w:t xml:space="preserve">414, le juge Hall; </w:t>
      </w:r>
      <w:proofErr w:type="spellStart"/>
      <w:r w:rsidRPr="00944B7A">
        <w:rPr>
          <w:rFonts w:cs="Times New Roman"/>
          <w:i/>
          <w:lang w:val="fr-CA"/>
        </w:rPr>
        <w:t>Forsythe</w:t>
      </w:r>
      <w:proofErr w:type="spellEnd"/>
      <w:r w:rsidRPr="00944B7A">
        <w:rPr>
          <w:rFonts w:cs="Times New Roman"/>
          <w:i/>
          <w:lang w:val="fr-CA"/>
        </w:rPr>
        <w:t xml:space="preserve"> c. La Reine</w:t>
      </w:r>
      <w:r w:rsidRPr="00944B7A">
        <w:rPr>
          <w:rFonts w:cs="Times New Roman"/>
          <w:lang w:val="fr-CA"/>
        </w:rPr>
        <w:t>,</w:t>
      </w:r>
      <w:r w:rsidRPr="00944B7A">
        <w:rPr>
          <w:rFonts w:cs="Times New Roman"/>
          <w:i/>
          <w:lang w:val="fr-CA"/>
        </w:rPr>
        <w:t xml:space="preserve"> </w:t>
      </w:r>
      <w:r w:rsidRPr="00944B7A">
        <w:rPr>
          <w:rFonts w:cs="Times New Roman"/>
          <w:lang w:val="fr-CA"/>
        </w:rPr>
        <w:t xml:space="preserve">[1980] 2 R.C.S. 268, </w:t>
      </w:r>
      <w:r>
        <w:rPr>
          <w:rFonts w:cs="Times New Roman"/>
          <w:lang w:val="fr-CA"/>
        </w:rPr>
        <w:t>p. </w:t>
      </w:r>
      <w:r w:rsidRPr="00944B7A">
        <w:rPr>
          <w:rFonts w:cs="Times New Roman"/>
          <w:lang w:val="fr-CA"/>
        </w:rPr>
        <w:t>272;</w:t>
      </w:r>
      <w:r w:rsidRPr="00944B7A">
        <w:rPr>
          <w:rFonts w:cs="Times New Roman"/>
          <w:i/>
          <w:lang w:val="fr-CA"/>
        </w:rPr>
        <w:t xml:space="preserve"> Dubois</w:t>
      </w:r>
      <w:r w:rsidRPr="00944B7A">
        <w:rPr>
          <w:rFonts w:cs="Times New Roman"/>
          <w:lang w:val="fr-CA"/>
        </w:rPr>
        <w:t xml:space="preserve"> </w:t>
      </w:r>
      <w:r w:rsidRPr="00944B7A">
        <w:rPr>
          <w:rFonts w:cs="Times New Roman"/>
          <w:i/>
          <w:lang w:val="fr-CA"/>
        </w:rPr>
        <w:t>c. La Reine</w:t>
      </w:r>
      <w:r w:rsidRPr="00944B7A">
        <w:rPr>
          <w:rFonts w:cs="Times New Roman"/>
          <w:lang w:val="fr-CA"/>
        </w:rPr>
        <w:t>,</w:t>
      </w:r>
      <w:r w:rsidRPr="00944B7A">
        <w:rPr>
          <w:rFonts w:cs="Times New Roman"/>
          <w:i/>
          <w:lang w:val="fr-CA"/>
        </w:rPr>
        <w:t xml:space="preserve"> </w:t>
      </w:r>
      <w:r w:rsidRPr="00944B7A">
        <w:rPr>
          <w:rFonts w:cs="Times New Roman"/>
          <w:lang w:val="fr-CA"/>
        </w:rPr>
        <w:t xml:space="preserve">[1986] 1 R.C.S. 366, </w:t>
      </w:r>
      <w:r>
        <w:rPr>
          <w:rFonts w:cs="Times New Roman"/>
          <w:lang w:val="fr-CA"/>
        </w:rPr>
        <w:t>p. </w:t>
      </w:r>
      <w:r w:rsidRPr="00944B7A">
        <w:rPr>
          <w:rFonts w:cs="Times New Roman"/>
          <w:lang w:val="fr-CA"/>
        </w:rPr>
        <w:t>377</w:t>
      </w:r>
      <w:r>
        <w:rPr>
          <w:rFonts w:cs="Times New Roman"/>
          <w:lang w:val="fr-CA"/>
        </w:rPr>
        <w:t>;</w:t>
      </w:r>
      <w:r w:rsidRPr="00944B7A">
        <w:rPr>
          <w:rFonts w:cs="Times New Roman"/>
          <w:i/>
          <w:lang w:val="fr-CA"/>
        </w:rPr>
        <w:t xml:space="preserve"> R. c. </w:t>
      </w:r>
      <w:proofErr w:type="spellStart"/>
      <w:r w:rsidRPr="00944B7A">
        <w:rPr>
          <w:rFonts w:cs="Times New Roman"/>
          <w:i/>
          <w:lang w:val="fr-CA"/>
        </w:rPr>
        <w:t>Deschamplain</w:t>
      </w:r>
      <w:proofErr w:type="spellEnd"/>
      <w:r w:rsidRPr="00944B7A">
        <w:rPr>
          <w:rFonts w:cs="Times New Roman"/>
          <w:lang w:val="fr-CA"/>
        </w:rPr>
        <w:t xml:space="preserve">, 2004 CSC 76, [2004] 3 R.C.S. 601, </w:t>
      </w:r>
      <w:r>
        <w:rPr>
          <w:rFonts w:cs="Times New Roman"/>
          <w:lang w:val="fr-CA"/>
        </w:rPr>
        <w:t>par. </w:t>
      </w:r>
      <w:r w:rsidRPr="00944B7A">
        <w:rPr>
          <w:rFonts w:cs="Times New Roman"/>
          <w:lang w:val="fr-CA"/>
        </w:rPr>
        <w:t xml:space="preserve">17). </w:t>
      </w:r>
    </w:p>
    <w:p w:rsidR="00D36E2F" w:rsidRPr="00944B7A" w:rsidRDefault="00D36E2F" w:rsidP="00D36E2F">
      <w:pPr>
        <w:pStyle w:val="ParaNoNdepar-AltN"/>
        <w:rPr>
          <w:rFonts w:cs="Times New Roman"/>
          <w:lang w:val="fr-CA"/>
        </w:rPr>
      </w:pPr>
      <w:r w:rsidRPr="00944B7A">
        <w:rPr>
          <w:rFonts w:cs="Times New Roman"/>
          <w:lang w:val="fr-CA"/>
        </w:rPr>
        <w:t xml:space="preserve">Les tiers peuvent se prévaloir du </w:t>
      </w:r>
      <w:proofErr w:type="spellStart"/>
      <w:r w:rsidRPr="00944B7A">
        <w:rPr>
          <w:rFonts w:cs="Times New Roman"/>
          <w:i/>
          <w:lang w:val="fr-CA"/>
        </w:rPr>
        <w:t>certiorari</w:t>
      </w:r>
      <w:proofErr w:type="spellEnd"/>
      <w:r w:rsidRPr="00944B7A">
        <w:rPr>
          <w:rFonts w:cs="Times New Roman"/>
          <w:i/>
          <w:lang w:val="fr-CA"/>
        </w:rPr>
        <w:t xml:space="preserve"> </w:t>
      </w:r>
      <w:r w:rsidRPr="00944B7A">
        <w:rPr>
          <w:rFonts w:cs="Times New Roman"/>
          <w:lang w:val="fr-CA"/>
        </w:rPr>
        <w:t>dans un éventail plus large de circonstances que les parties, vu qu</w:t>
      </w:r>
      <w:r>
        <w:rPr>
          <w:rFonts w:cs="Times New Roman"/>
          <w:lang w:val="fr-CA"/>
        </w:rPr>
        <w:t>’</w:t>
      </w:r>
      <w:r w:rsidRPr="00944B7A">
        <w:rPr>
          <w:rFonts w:cs="Times New Roman"/>
          <w:lang w:val="fr-CA"/>
        </w:rPr>
        <w:t>ils n</w:t>
      </w:r>
      <w:r>
        <w:rPr>
          <w:rFonts w:cs="Times New Roman"/>
          <w:lang w:val="fr-CA"/>
        </w:rPr>
        <w:t>’</w:t>
      </w:r>
      <w:r w:rsidRPr="00944B7A">
        <w:rPr>
          <w:rFonts w:cs="Times New Roman"/>
          <w:lang w:val="fr-CA"/>
        </w:rPr>
        <w:t>ont aucun droit d</w:t>
      </w:r>
      <w:r>
        <w:rPr>
          <w:rFonts w:cs="Times New Roman"/>
          <w:lang w:val="fr-CA"/>
        </w:rPr>
        <w:t>’</w:t>
      </w:r>
      <w:r w:rsidRPr="00944B7A">
        <w:rPr>
          <w:rFonts w:cs="Times New Roman"/>
          <w:lang w:val="fr-CA"/>
        </w:rPr>
        <w:t xml:space="preserve">appel. En plus de pouvoir recourir au </w:t>
      </w:r>
      <w:proofErr w:type="spellStart"/>
      <w:r w:rsidRPr="00944B7A">
        <w:rPr>
          <w:rFonts w:cs="Times New Roman"/>
          <w:i/>
          <w:lang w:val="fr-CA"/>
        </w:rPr>
        <w:t>certiorari</w:t>
      </w:r>
      <w:proofErr w:type="spellEnd"/>
      <w:r w:rsidRPr="00944B7A">
        <w:rPr>
          <w:rFonts w:cs="Times New Roman"/>
          <w:i/>
          <w:lang w:val="fr-CA"/>
        </w:rPr>
        <w:t xml:space="preserve"> </w:t>
      </w:r>
      <w:r w:rsidRPr="00944B7A">
        <w:rPr>
          <w:rFonts w:cs="Times New Roman"/>
          <w:lang w:val="fr-CA"/>
        </w:rPr>
        <w:t xml:space="preserve">pour faire contrôler des erreurs de compétence, un tiers peut le demander pour contester une erreur de droit manifeste à la lecture du dossier, telle une interdiction de publication qui limite de manière injustifiée les droits protégés par la </w:t>
      </w:r>
      <w:r w:rsidRPr="00944B7A">
        <w:rPr>
          <w:rFonts w:cs="Times New Roman"/>
          <w:i/>
          <w:lang w:val="fr-CA"/>
        </w:rPr>
        <w:t>Charte canadienne des droits et libertés</w:t>
      </w:r>
      <w:r w:rsidRPr="00944B7A">
        <w:rPr>
          <w:rFonts w:cs="Times New Roman"/>
          <w:lang w:val="fr-CA"/>
        </w:rPr>
        <w:t xml:space="preserve"> (voir </w:t>
      </w:r>
      <w:proofErr w:type="spellStart"/>
      <w:r w:rsidRPr="00944B7A">
        <w:rPr>
          <w:rFonts w:cs="Times New Roman"/>
          <w:i/>
          <w:lang w:val="fr-CA"/>
        </w:rPr>
        <w:t>Dagenais</w:t>
      </w:r>
      <w:proofErr w:type="spellEnd"/>
      <w:r w:rsidRPr="00944B7A">
        <w:rPr>
          <w:rFonts w:cs="Times New Roman"/>
          <w:lang w:val="fr-CA"/>
        </w:rPr>
        <w:t>) ou une décision rejetant la demande pour cesser d</w:t>
      </w:r>
      <w:r>
        <w:rPr>
          <w:rFonts w:cs="Times New Roman"/>
          <w:lang w:val="fr-CA"/>
        </w:rPr>
        <w:t>’</w:t>
      </w:r>
      <w:r w:rsidRPr="00944B7A">
        <w:rPr>
          <w:rFonts w:cs="Times New Roman"/>
          <w:lang w:val="fr-CA"/>
        </w:rPr>
        <w:t>occuper présentée par un avocat (</w:t>
      </w:r>
      <w:r w:rsidRPr="00944B7A">
        <w:rPr>
          <w:rFonts w:cs="Times New Roman"/>
          <w:i/>
          <w:lang w:val="fr-CA"/>
        </w:rPr>
        <w:t>R. c. Cunningham</w:t>
      </w:r>
      <w:r w:rsidRPr="00944B7A">
        <w:rPr>
          <w:rFonts w:cs="Times New Roman"/>
          <w:lang w:val="fr-CA"/>
        </w:rPr>
        <w:t>,</w:t>
      </w:r>
      <w:r w:rsidRPr="00944B7A">
        <w:rPr>
          <w:rFonts w:cs="Times New Roman"/>
          <w:i/>
          <w:lang w:val="fr-CA"/>
        </w:rPr>
        <w:t xml:space="preserve"> </w:t>
      </w:r>
      <w:r w:rsidRPr="00944B7A">
        <w:rPr>
          <w:rFonts w:cs="Times New Roman"/>
          <w:lang w:val="fr-CA"/>
        </w:rPr>
        <w:t>2010 CSC 10, [2010] 1 R.C.S. 331). L</w:t>
      </w:r>
      <w:r>
        <w:rPr>
          <w:rFonts w:cs="Times New Roman"/>
          <w:lang w:val="fr-CA"/>
        </w:rPr>
        <w:t>’</w:t>
      </w:r>
      <w:r w:rsidRPr="00944B7A">
        <w:rPr>
          <w:rFonts w:cs="Times New Roman"/>
          <w:lang w:val="fr-CA"/>
        </w:rPr>
        <w:t>ordonnance doit avoir un caractère définitif et contraignant vis</w:t>
      </w:r>
      <w:r>
        <w:rPr>
          <w:rFonts w:cs="Times New Roman"/>
          <w:lang w:val="fr-CA"/>
        </w:rPr>
        <w:noBreakHyphen/>
      </w:r>
      <w:r w:rsidRPr="00944B7A">
        <w:rPr>
          <w:rFonts w:cs="Times New Roman"/>
          <w:lang w:val="fr-CA"/>
        </w:rPr>
        <w:t>à</w:t>
      </w:r>
      <w:r>
        <w:rPr>
          <w:rFonts w:cs="Times New Roman"/>
          <w:lang w:val="fr-CA"/>
        </w:rPr>
        <w:noBreakHyphen/>
      </w:r>
      <w:r w:rsidRPr="00944B7A">
        <w:rPr>
          <w:rFonts w:cs="Times New Roman"/>
          <w:lang w:val="fr-CA"/>
        </w:rPr>
        <w:t>vis le tiers (</w:t>
      </w:r>
      <w:r w:rsidRPr="00944B7A">
        <w:rPr>
          <w:rFonts w:cs="Times New Roman"/>
          <w:i/>
          <w:lang w:val="fr-CA"/>
        </w:rPr>
        <w:t xml:space="preserve">R. c. </w:t>
      </w:r>
      <w:proofErr w:type="spellStart"/>
      <w:r w:rsidRPr="00944B7A">
        <w:rPr>
          <w:rFonts w:cs="Times New Roman"/>
          <w:i/>
          <w:lang w:val="fr-CA"/>
        </w:rPr>
        <w:t>Primeau</w:t>
      </w:r>
      <w:proofErr w:type="spellEnd"/>
      <w:r w:rsidRPr="00944B7A">
        <w:rPr>
          <w:rFonts w:cs="Times New Roman"/>
          <w:lang w:val="fr-CA"/>
        </w:rPr>
        <w:t xml:space="preserve">, [1995] 2 R.C.S. 60, </w:t>
      </w:r>
      <w:r>
        <w:rPr>
          <w:rFonts w:cs="Times New Roman"/>
          <w:lang w:val="fr-CA"/>
        </w:rPr>
        <w:t>par. </w:t>
      </w:r>
      <w:r w:rsidRPr="00944B7A">
        <w:rPr>
          <w:rFonts w:cs="Times New Roman"/>
          <w:lang w:val="fr-CA"/>
        </w:rPr>
        <w:t xml:space="preserve">12). </w:t>
      </w:r>
    </w:p>
    <w:p w:rsidR="00D36E2F" w:rsidRPr="00944B7A" w:rsidRDefault="00D36E2F" w:rsidP="00D36E2F">
      <w:pPr>
        <w:pStyle w:val="ParaNoNdepar-AltN"/>
        <w:rPr>
          <w:rFonts w:cs="Times New Roman"/>
          <w:lang w:val="fr-CA"/>
        </w:rPr>
      </w:pPr>
      <w:r w:rsidRPr="00944B7A">
        <w:rPr>
          <w:rFonts w:cs="Times New Roman"/>
          <w:lang w:val="fr-CA"/>
        </w:rPr>
        <w:t>En l</w:t>
      </w:r>
      <w:r>
        <w:rPr>
          <w:rFonts w:cs="Times New Roman"/>
          <w:lang w:val="fr-CA"/>
        </w:rPr>
        <w:t>’</w:t>
      </w:r>
      <w:r w:rsidRPr="00944B7A">
        <w:rPr>
          <w:rFonts w:cs="Times New Roman"/>
          <w:lang w:val="fr-CA"/>
        </w:rPr>
        <w:t>espèce, il s</w:t>
      </w:r>
      <w:r>
        <w:rPr>
          <w:rFonts w:cs="Times New Roman"/>
          <w:lang w:val="fr-CA"/>
        </w:rPr>
        <w:t>’</w:t>
      </w:r>
      <w:r w:rsidRPr="00944B7A">
        <w:rPr>
          <w:rFonts w:cs="Times New Roman"/>
          <w:lang w:val="fr-CA"/>
        </w:rPr>
        <w:t xml:space="preserve">agit notamment de savoir si une partie alléguant une erreur de droit manifeste à la lecture du dossier peut se voir accorder le </w:t>
      </w:r>
      <w:proofErr w:type="spellStart"/>
      <w:r w:rsidRPr="00944B7A">
        <w:rPr>
          <w:rFonts w:cs="Times New Roman"/>
          <w:i/>
          <w:lang w:val="fr-CA"/>
        </w:rPr>
        <w:t>certiorari</w:t>
      </w:r>
      <w:proofErr w:type="spellEnd"/>
      <w:r w:rsidRPr="00944B7A">
        <w:rPr>
          <w:rFonts w:cs="Times New Roman"/>
          <w:lang w:val="fr-CA"/>
        </w:rPr>
        <w:t>, tout particulièrement dans une décision en matière de preuve. Des opinions divergentes ont été exprimées à ce sujet. Dans son traité sur l</w:t>
      </w:r>
      <w:r>
        <w:rPr>
          <w:rFonts w:cs="Times New Roman"/>
          <w:lang w:val="fr-CA"/>
        </w:rPr>
        <w:t>’</w:t>
      </w:r>
      <w:r w:rsidRPr="00944B7A">
        <w:rPr>
          <w:rFonts w:cs="Times New Roman"/>
          <w:lang w:val="fr-CA"/>
        </w:rPr>
        <w:t xml:space="preserve">utilisation des brefs de prérogative en matière criminelle, le professeur Gilles </w:t>
      </w:r>
      <w:proofErr w:type="spellStart"/>
      <w:r w:rsidRPr="00944B7A">
        <w:rPr>
          <w:rFonts w:cs="Times New Roman"/>
          <w:lang w:val="fr-CA"/>
        </w:rPr>
        <w:t>Létourneau</w:t>
      </w:r>
      <w:proofErr w:type="spellEnd"/>
      <w:r w:rsidRPr="00944B7A">
        <w:rPr>
          <w:rFonts w:cs="Times New Roman"/>
          <w:lang w:val="fr-CA"/>
        </w:rPr>
        <w:t xml:space="preserve"> (plus tard juge de la Cour d</w:t>
      </w:r>
      <w:r>
        <w:rPr>
          <w:rFonts w:cs="Times New Roman"/>
          <w:lang w:val="fr-CA"/>
        </w:rPr>
        <w:t>’</w:t>
      </w:r>
      <w:r w:rsidRPr="00944B7A">
        <w:rPr>
          <w:rFonts w:cs="Times New Roman"/>
          <w:lang w:val="fr-CA"/>
        </w:rPr>
        <w:t>appel fédérale) a exprimé l</w:t>
      </w:r>
      <w:r>
        <w:rPr>
          <w:rFonts w:cs="Times New Roman"/>
          <w:lang w:val="fr-CA"/>
        </w:rPr>
        <w:t>’</w:t>
      </w:r>
      <w:r w:rsidRPr="00944B7A">
        <w:rPr>
          <w:rFonts w:cs="Times New Roman"/>
          <w:lang w:val="fr-CA"/>
        </w:rPr>
        <w:t>avis que [</w:t>
      </w:r>
      <w:r w:rsidRPr="00944B7A">
        <w:rPr>
          <w:rFonts w:cs="Times New Roman"/>
          <w:smallCaps/>
          <w:lang w:val="fr-CA"/>
        </w:rPr>
        <w:t>traduction</w:t>
      </w:r>
      <w:r w:rsidRPr="00944B7A">
        <w:rPr>
          <w:rFonts w:cs="Times New Roman"/>
          <w:lang w:val="fr-CA"/>
        </w:rPr>
        <w:t>] « les jugements ou ordonnances rendus par un tribunal au cours d</w:t>
      </w:r>
      <w:r>
        <w:rPr>
          <w:rFonts w:cs="Times New Roman"/>
          <w:lang w:val="fr-CA"/>
        </w:rPr>
        <w:t>’</w:t>
      </w:r>
      <w:r w:rsidRPr="00944B7A">
        <w:rPr>
          <w:rFonts w:cs="Times New Roman"/>
          <w:lang w:val="fr-CA"/>
        </w:rPr>
        <w:t>un procès criminel ne peuvent être annulés en raison d</w:t>
      </w:r>
      <w:r>
        <w:rPr>
          <w:rFonts w:cs="Times New Roman"/>
          <w:lang w:val="fr-CA"/>
        </w:rPr>
        <w:t>’</w:t>
      </w:r>
      <w:r w:rsidRPr="00944B7A">
        <w:rPr>
          <w:rFonts w:cs="Times New Roman"/>
          <w:lang w:val="fr-CA"/>
        </w:rPr>
        <w:t xml:space="preserve">une erreur de droit manifeste à la lecture </w:t>
      </w:r>
      <w:r>
        <w:rPr>
          <w:rFonts w:cs="Times New Roman"/>
          <w:lang w:val="fr-CA"/>
        </w:rPr>
        <w:t>du dossier </w:t>
      </w:r>
      <w:r w:rsidRPr="00944B7A">
        <w:rPr>
          <w:rFonts w:cs="Times New Roman"/>
          <w:lang w:val="fr-CA"/>
        </w:rPr>
        <w:t>» et que l</w:t>
      </w:r>
      <w:r>
        <w:rPr>
          <w:rFonts w:cs="Times New Roman"/>
          <w:lang w:val="fr-CA"/>
        </w:rPr>
        <w:t>’</w:t>
      </w:r>
      <w:r w:rsidRPr="00944B7A">
        <w:rPr>
          <w:rFonts w:cs="Times New Roman"/>
          <w:lang w:val="fr-CA"/>
        </w:rPr>
        <w:t xml:space="preserve">omission du Parlement de </w:t>
      </w:r>
      <w:r w:rsidRPr="00944B7A">
        <w:rPr>
          <w:rFonts w:cs="Times New Roman"/>
          <w:lang w:val="fr-CA"/>
        </w:rPr>
        <w:lastRenderedPageBreak/>
        <w:t>prévoir des appels interlocutoires dénote « l</w:t>
      </w:r>
      <w:r>
        <w:rPr>
          <w:rFonts w:cs="Times New Roman"/>
          <w:lang w:val="fr-CA"/>
        </w:rPr>
        <w:t>’</w:t>
      </w:r>
      <w:r w:rsidRPr="00944B7A">
        <w:rPr>
          <w:rFonts w:cs="Times New Roman"/>
          <w:lang w:val="fr-CA"/>
        </w:rPr>
        <w:t>intention qu</w:t>
      </w:r>
      <w:r>
        <w:rPr>
          <w:rFonts w:cs="Times New Roman"/>
          <w:lang w:val="fr-CA"/>
        </w:rPr>
        <w:t>’</w:t>
      </w:r>
      <w:r w:rsidRPr="00944B7A">
        <w:rPr>
          <w:rFonts w:cs="Times New Roman"/>
          <w:lang w:val="fr-CA"/>
        </w:rPr>
        <w:t>il n</w:t>
      </w:r>
      <w:r>
        <w:rPr>
          <w:rFonts w:cs="Times New Roman"/>
          <w:lang w:val="fr-CA"/>
        </w:rPr>
        <w:t>’</w:t>
      </w:r>
      <w:r w:rsidRPr="00944B7A">
        <w:rPr>
          <w:rFonts w:cs="Times New Roman"/>
          <w:lang w:val="fr-CA"/>
        </w:rPr>
        <w:t>y ait aucun contrôle, sauf peut</w:t>
      </w:r>
      <w:r>
        <w:rPr>
          <w:rFonts w:cs="Times New Roman"/>
          <w:lang w:val="fr-CA"/>
        </w:rPr>
        <w:noBreakHyphen/>
      </w:r>
      <w:r w:rsidRPr="00944B7A">
        <w:rPr>
          <w:rFonts w:cs="Times New Roman"/>
          <w:lang w:val="fr-CA"/>
        </w:rPr>
        <w:t>être dans les cas extrêmes comme ceux d</w:t>
      </w:r>
      <w:r>
        <w:rPr>
          <w:rFonts w:cs="Times New Roman"/>
          <w:lang w:val="fr-CA"/>
        </w:rPr>
        <w:t>’erreurs de compétence </w:t>
      </w:r>
      <w:r w:rsidRPr="00944B7A">
        <w:rPr>
          <w:rFonts w:cs="Times New Roman"/>
          <w:lang w:val="fr-CA"/>
        </w:rPr>
        <w:t>» (</w:t>
      </w:r>
      <w:r w:rsidRPr="00944B7A">
        <w:rPr>
          <w:rFonts w:cs="Times New Roman"/>
          <w:i/>
          <w:lang w:val="fr-CA"/>
        </w:rPr>
        <w:t xml:space="preserve">The </w:t>
      </w:r>
      <w:proofErr w:type="spellStart"/>
      <w:r w:rsidRPr="00944B7A">
        <w:rPr>
          <w:rFonts w:cs="Times New Roman"/>
          <w:i/>
          <w:lang w:val="fr-CA"/>
        </w:rPr>
        <w:t>Prerogative</w:t>
      </w:r>
      <w:proofErr w:type="spellEnd"/>
      <w:r w:rsidRPr="00944B7A">
        <w:rPr>
          <w:rFonts w:cs="Times New Roman"/>
          <w:i/>
          <w:lang w:val="fr-CA"/>
        </w:rPr>
        <w:t xml:space="preserve"> </w:t>
      </w:r>
      <w:proofErr w:type="spellStart"/>
      <w:r w:rsidRPr="00944B7A">
        <w:rPr>
          <w:rFonts w:cs="Times New Roman"/>
          <w:i/>
          <w:lang w:val="fr-CA"/>
        </w:rPr>
        <w:t>Writs</w:t>
      </w:r>
      <w:proofErr w:type="spellEnd"/>
      <w:r w:rsidRPr="00944B7A">
        <w:rPr>
          <w:rFonts w:cs="Times New Roman"/>
          <w:i/>
          <w:lang w:val="fr-CA"/>
        </w:rPr>
        <w:t xml:space="preserve"> in Canadian </w:t>
      </w:r>
      <w:proofErr w:type="spellStart"/>
      <w:r w:rsidRPr="00944B7A">
        <w:rPr>
          <w:rFonts w:cs="Times New Roman"/>
          <w:i/>
          <w:lang w:val="fr-CA"/>
        </w:rPr>
        <w:t>Criminal</w:t>
      </w:r>
      <w:proofErr w:type="spellEnd"/>
      <w:r w:rsidRPr="00944B7A">
        <w:rPr>
          <w:rFonts w:cs="Times New Roman"/>
          <w:i/>
          <w:lang w:val="fr-CA"/>
        </w:rPr>
        <w:t xml:space="preserve"> Law and </w:t>
      </w:r>
      <w:proofErr w:type="spellStart"/>
      <w:r w:rsidRPr="00944B7A">
        <w:rPr>
          <w:rFonts w:cs="Times New Roman"/>
          <w:i/>
          <w:lang w:val="fr-CA"/>
        </w:rPr>
        <w:t>Procedure</w:t>
      </w:r>
      <w:proofErr w:type="spellEnd"/>
      <w:r w:rsidRPr="00944B7A">
        <w:rPr>
          <w:rFonts w:cs="Times New Roman"/>
          <w:i/>
          <w:lang w:val="fr-CA"/>
        </w:rPr>
        <w:t xml:space="preserve"> </w:t>
      </w:r>
      <w:r w:rsidRPr="00944B7A">
        <w:rPr>
          <w:rFonts w:cs="Times New Roman"/>
          <w:lang w:val="fr-CA"/>
        </w:rPr>
        <w:t xml:space="preserve">(1976), </w:t>
      </w:r>
      <w:r>
        <w:rPr>
          <w:rFonts w:cs="Times New Roman"/>
          <w:lang w:val="fr-CA"/>
        </w:rPr>
        <w:t>p. </w:t>
      </w:r>
      <w:r w:rsidRPr="00944B7A">
        <w:rPr>
          <w:rFonts w:cs="Times New Roman"/>
          <w:lang w:val="fr-CA"/>
        </w:rPr>
        <w:t>152</w:t>
      </w:r>
      <w:r>
        <w:rPr>
          <w:rFonts w:cs="Times New Roman"/>
          <w:lang w:val="fr-CA"/>
        </w:rPr>
        <w:noBreakHyphen/>
      </w:r>
      <w:r w:rsidRPr="00944B7A">
        <w:rPr>
          <w:rFonts w:cs="Times New Roman"/>
          <w:lang w:val="fr-CA"/>
        </w:rPr>
        <w:t xml:space="preserve">153). </w:t>
      </w:r>
    </w:p>
    <w:p w:rsidR="00D36E2F" w:rsidRPr="00944B7A" w:rsidRDefault="00D36E2F" w:rsidP="00D36E2F">
      <w:pPr>
        <w:pStyle w:val="ParaNoNdepar-AltN"/>
        <w:rPr>
          <w:rFonts w:cs="Times New Roman"/>
          <w:lang w:val="fr-CA"/>
        </w:rPr>
      </w:pPr>
      <w:r w:rsidRPr="00944B7A">
        <w:rPr>
          <w:rFonts w:cs="Times New Roman"/>
          <w:lang w:val="fr-CA"/>
        </w:rPr>
        <w:t>La Cour d</w:t>
      </w:r>
      <w:r>
        <w:rPr>
          <w:rFonts w:cs="Times New Roman"/>
          <w:lang w:val="fr-CA"/>
        </w:rPr>
        <w:t>’</w:t>
      </w:r>
      <w:r w:rsidRPr="00944B7A">
        <w:rPr>
          <w:rFonts w:cs="Times New Roman"/>
          <w:lang w:val="fr-CA"/>
        </w:rPr>
        <w:t>appel de l</w:t>
      </w:r>
      <w:r>
        <w:rPr>
          <w:rFonts w:cs="Times New Roman"/>
          <w:lang w:val="fr-CA"/>
        </w:rPr>
        <w:t>’</w:t>
      </w:r>
      <w:r w:rsidRPr="00944B7A">
        <w:rPr>
          <w:rFonts w:cs="Times New Roman"/>
          <w:lang w:val="fr-CA"/>
        </w:rPr>
        <w:t xml:space="preserve">Alberta a jugé que les parties peuvent se prévaloir du </w:t>
      </w:r>
      <w:proofErr w:type="spellStart"/>
      <w:r w:rsidRPr="00944B7A">
        <w:rPr>
          <w:rFonts w:cs="Times New Roman"/>
          <w:i/>
          <w:lang w:val="fr-CA"/>
        </w:rPr>
        <w:t>certiorari</w:t>
      </w:r>
      <w:proofErr w:type="spellEnd"/>
      <w:r w:rsidRPr="00944B7A">
        <w:rPr>
          <w:rFonts w:cs="Times New Roman"/>
          <w:lang w:val="fr-CA"/>
        </w:rPr>
        <w:t xml:space="preserve"> tant pour des erreurs de compétence que pour des erreurs de droit manifestes à la lecture du dossier [</w:t>
      </w:r>
      <w:r w:rsidRPr="00944B7A">
        <w:rPr>
          <w:rFonts w:cs="Times New Roman"/>
          <w:smallCaps/>
          <w:lang w:val="fr-CA"/>
        </w:rPr>
        <w:t>traduction</w:t>
      </w:r>
      <w:r w:rsidRPr="00944B7A">
        <w:rPr>
          <w:rFonts w:cs="Times New Roman"/>
          <w:lang w:val="fr-CA"/>
        </w:rPr>
        <w:t>] « [s]i l</w:t>
      </w:r>
      <w:r>
        <w:rPr>
          <w:rFonts w:cs="Times New Roman"/>
          <w:lang w:val="fr-CA"/>
        </w:rPr>
        <w:t>’</w:t>
      </w:r>
      <w:r w:rsidRPr="00944B7A">
        <w:rPr>
          <w:rFonts w:cs="Times New Roman"/>
          <w:lang w:val="fr-CA"/>
        </w:rPr>
        <w:t>ordonnance est telle qu</w:t>
      </w:r>
      <w:r>
        <w:rPr>
          <w:rFonts w:cs="Times New Roman"/>
          <w:lang w:val="fr-CA"/>
        </w:rPr>
        <w:t>’</w:t>
      </w:r>
      <w:r w:rsidRPr="00944B7A">
        <w:rPr>
          <w:rFonts w:cs="Times New Roman"/>
          <w:lang w:val="fr-CA"/>
        </w:rPr>
        <w:t>elle dispose d</w:t>
      </w:r>
      <w:r>
        <w:rPr>
          <w:rFonts w:cs="Times New Roman"/>
          <w:lang w:val="fr-CA"/>
        </w:rPr>
        <w:t>’</w:t>
      </w:r>
      <w:r w:rsidRPr="00944B7A">
        <w:rPr>
          <w:rFonts w:cs="Times New Roman"/>
          <w:lang w:val="fr-CA"/>
        </w:rPr>
        <w:t>un droit sur</w:t>
      </w:r>
      <w:r>
        <w:rPr>
          <w:rFonts w:cs="Times New Roman"/>
          <w:lang w:val="fr-CA"/>
        </w:rPr>
        <w:noBreakHyphen/>
      </w:r>
      <w:r w:rsidRPr="00944B7A">
        <w:rPr>
          <w:rFonts w:cs="Times New Roman"/>
          <w:lang w:val="fr-CA"/>
        </w:rPr>
        <w:t>le</w:t>
      </w:r>
      <w:r>
        <w:rPr>
          <w:rFonts w:cs="Times New Roman"/>
          <w:lang w:val="fr-CA"/>
        </w:rPr>
        <w:noBreakHyphen/>
        <w:t>champ et de manière définitive </w:t>
      </w:r>
      <w:r w:rsidRPr="00944B7A">
        <w:rPr>
          <w:rFonts w:cs="Times New Roman"/>
          <w:lang w:val="fr-CA"/>
        </w:rPr>
        <w:t>» (</w:t>
      </w:r>
      <w:r w:rsidRPr="00944B7A">
        <w:rPr>
          <w:rFonts w:cs="Times New Roman"/>
          <w:i/>
          <w:lang w:val="fr-CA"/>
        </w:rPr>
        <w:t>R. c. Black</w:t>
      </w:r>
      <w:r w:rsidRPr="00944B7A">
        <w:rPr>
          <w:rFonts w:cs="Times New Roman"/>
          <w:lang w:val="fr-CA"/>
        </w:rPr>
        <w:t>,</w:t>
      </w:r>
      <w:r w:rsidRPr="00944B7A">
        <w:rPr>
          <w:rFonts w:cs="Times New Roman"/>
          <w:i/>
          <w:lang w:val="fr-CA"/>
        </w:rPr>
        <w:t xml:space="preserve"> </w:t>
      </w:r>
      <w:r w:rsidRPr="00944B7A">
        <w:rPr>
          <w:rFonts w:cs="Times New Roman"/>
          <w:lang w:val="fr-CA"/>
        </w:rPr>
        <w:t xml:space="preserve">2011 ABCA 349, 286 C.C.C. (3d) 432, </w:t>
      </w:r>
      <w:r>
        <w:rPr>
          <w:rFonts w:cs="Times New Roman"/>
          <w:lang w:val="fr-CA"/>
        </w:rPr>
        <w:t>par. </w:t>
      </w:r>
      <w:r w:rsidRPr="00944B7A">
        <w:rPr>
          <w:rFonts w:cs="Times New Roman"/>
          <w:lang w:val="fr-CA"/>
        </w:rPr>
        <w:t>25). Selon la Cour d</w:t>
      </w:r>
      <w:r>
        <w:rPr>
          <w:rFonts w:cs="Times New Roman"/>
          <w:lang w:val="fr-CA"/>
        </w:rPr>
        <w:t>’</w:t>
      </w:r>
      <w:r w:rsidRPr="00944B7A">
        <w:rPr>
          <w:rFonts w:cs="Times New Roman"/>
          <w:lang w:val="fr-CA"/>
        </w:rPr>
        <w:t>appel de l</w:t>
      </w:r>
      <w:r>
        <w:rPr>
          <w:rFonts w:cs="Times New Roman"/>
          <w:lang w:val="fr-CA"/>
        </w:rPr>
        <w:t>’</w:t>
      </w:r>
      <w:r w:rsidRPr="00944B7A">
        <w:rPr>
          <w:rFonts w:cs="Times New Roman"/>
          <w:lang w:val="fr-CA"/>
        </w:rPr>
        <w:t>Alberta, pareille erreur de droit manifeste à la lecture du dossier fournit à la cour supérieure un motif valable de casser la décision. La Cour d</w:t>
      </w:r>
      <w:r>
        <w:rPr>
          <w:rFonts w:cs="Times New Roman"/>
          <w:lang w:val="fr-CA"/>
        </w:rPr>
        <w:t>’</w:t>
      </w:r>
      <w:r w:rsidRPr="00944B7A">
        <w:rPr>
          <w:rFonts w:cs="Times New Roman"/>
          <w:lang w:val="fr-CA"/>
        </w:rPr>
        <w:t>appel du Québec semble partager cet avis lorsqu</w:t>
      </w:r>
      <w:r>
        <w:rPr>
          <w:rFonts w:cs="Times New Roman"/>
          <w:lang w:val="fr-CA"/>
        </w:rPr>
        <w:t>’</w:t>
      </w:r>
      <w:r w:rsidRPr="00944B7A">
        <w:rPr>
          <w:rFonts w:cs="Times New Roman"/>
          <w:lang w:val="fr-CA"/>
        </w:rPr>
        <w:t>elle affirme qu</w:t>
      </w:r>
      <w:r>
        <w:rPr>
          <w:rFonts w:cs="Times New Roman"/>
          <w:lang w:val="fr-CA"/>
        </w:rPr>
        <w:t>’</w:t>
      </w:r>
      <w:r w:rsidRPr="00944B7A">
        <w:rPr>
          <w:rFonts w:cs="Times New Roman"/>
          <w:lang w:val="fr-CA"/>
        </w:rPr>
        <w:t>« [u]n accusé peut faire réviser une décision interlocutoire lorsque le juge a agi sans compétence ou si ce dernier a commis une erreur de droit manifeste à la face du dossier » (</w:t>
      </w:r>
      <w:r>
        <w:rPr>
          <w:rFonts w:cs="Times New Roman"/>
          <w:lang w:val="fr-CA"/>
        </w:rPr>
        <w:t>par. </w:t>
      </w:r>
      <w:r w:rsidRPr="00944B7A">
        <w:rPr>
          <w:rFonts w:cs="Times New Roman"/>
          <w:lang w:val="fr-CA"/>
        </w:rPr>
        <w:t xml:space="preserve">29). La </w:t>
      </w:r>
      <w:r w:rsidR="009435FF">
        <w:rPr>
          <w:rFonts w:cs="Times New Roman"/>
          <w:lang w:val="fr-CA"/>
        </w:rPr>
        <w:t>cour</w:t>
      </w:r>
      <w:r w:rsidRPr="00944B7A">
        <w:rPr>
          <w:rFonts w:cs="Times New Roman"/>
          <w:lang w:val="fr-CA"/>
        </w:rPr>
        <w:t xml:space="preserve"> a cependant estimé par la suite que</w:t>
      </w:r>
      <w:r>
        <w:rPr>
          <w:rFonts w:cs="Times New Roman"/>
          <w:lang w:val="fr-CA"/>
        </w:rPr>
        <w:t> :</w:t>
      </w:r>
      <w:r w:rsidRPr="00944B7A">
        <w:rPr>
          <w:rFonts w:cs="Times New Roman"/>
          <w:lang w:val="fr-CA"/>
        </w:rPr>
        <w:t xml:space="preserve"> </w:t>
      </w:r>
    </w:p>
    <w:p w:rsidR="00D36E2F" w:rsidRPr="00944B7A" w:rsidRDefault="00D36E2F" w:rsidP="00D36E2F">
      <w:pPr>
        <w:pStyle w:val="Citation-AltC"/>
        <w:ind w:hanging="1166"/>
        <w:rPr>
          <w:lang w:val="fr-CA"/>
        </w:rPr>
      </w:pPr>
      <w:r w:rsidRPr="00944B7A">
        <w:rPr>
          <w:lang w:val="fr-CA"/>
        </w:rPr>
        <w:tab/>
      </w:r>
      <w:r w:rsidRPr="00944B7A">
        <w:rPr>
          <w:lang w:val="fr-CA"/>
        </w:rPr>
        <w:tab/>
        <w:t>La décision interlocutoire du juge du procès d</w:t>
      </w:r>
      <w:r>
        <w:rPr>
          <w:lang w:val="fr-CA"/>
        </w:rPr>
        <w:t>’</w:t>
      </w:r>
      <w:r w:rsidRPr="00944B7A">
        <w:rPr>
          <w:lang w:val="fr-CA"/>
        </w:rPr>
        <w:t>ordonner ou non au ministère public de communiquer des renseignements ne soulève généralement pas une question d</w:t>
      </w:r>
      <w:r>
        <w:rPr>
          <w:lang w:val="fr-CA"/>
        </w:rPr>
        <w:t>’</w:t>
      </w:r>
      <w:r w:rsidRPr="00944B7A">
        <w:rPr>
          <w:lang w:val="fr-CA"/>
        </w:rPr>
        <w:t>absence ou d</w:t>
      </w:r>
      <w:r>
        <w:rPr>
          <w:lang w:val="fr-CA"/>
        </w:rPr>
        <w:t>’</w:t>
      </w:r>
      <w:r w:rsidRPr="00944B7A">
        <w:rPr>
          <w:lang w:val="fr-CA"/>
        </w:rPr>
        <w:t>excès de compétence, mais elle constitue une décision prononcée dans l</w:t>
      </w:r>
      <w:r>
        <w:rPr>
          <w:lang w:val="fr-CA"/>
        </w:rPr>
        <w:t>’</w:t>
      </w:r>
      <w:r w:rsidRPr="00944B7A">
        <w:rPr>
          <w:lang w:val="fr-CA"/>
        </w:rPr>
        <w:t xml:space="preserve">exercice de sa compétence, auquel cas le recours au </w:t>
      </w:r>
      <w:proofErr w:type="spellStart"/>
      <w:r w:rsidRPr="00944B7A">
        <w:rPr>
          <w:i/>
          <w:lang w:val="fr-CA"/>
        </w:rPr>
        <w:t>certiorari</w:t>
      </w:r>
      <w:proofErr w:type="spellEnd"/>
      <w:r w:rsidRPr="00944B7A">
        <w:rPr>
          <w:i/>
          <w:lang w:val="fr-CA"/>
        </w:rPr>
        <w:t xml:space="preserve"> </w:t>
      </w:r>
      <w:r w:rsidRPr="00944B7A">
        <w:rPr>
          <w:lang w:val="fr-CA"/>
        </w:rPr>
        <w:t>n</w:t>
      </w:r>
      <w:r>
        <w:rPr>
          <w:lang w:val="fr-CA"/>
        </w:rPr>
        <w:t>’</w:t>
      </w:r>
      <w:r w:rsidRPr="00944B7A">
        <w:rPr>
          <w:lang w:val="fr-CA"/>
        </w:rPr>
        <w:t>est pas ouvert. Pour respecter l</w:t>
      </w:r>
      <w:r>
        <w:rPr>
          <w:lang w:val="fr-CA"/>
        </w:rPr>
        <w:t>’</w:t>
      </w:r>
      <w:r w:rsidRPr="00944B7A">
        <w:rPr>
          <w:lang w:val="fr-CA"/>
        </w:rPr>
        <w:t>objectif primordial de limiter l</w:t>
      </w:r>
      <w:r>
        <w:rPr>
          <w:lang w:val="fr-CA"/>
        </w:rPr>
        <w:t>’</w:t>
      </w:r>
      <w:r w:rsidRPr="00944B7A">
        <w:rPr>
          <w:lang w:val="fr-CA"/>
        </w:rPr>
        <w:t>intervention des tribunaux supérieurs pendant un procès et les délais susceptibles d</w:t>
      </w:r>
      <w:r>
        <w:rPr>
          <w:lang w:val="fr-CA"/>
        </w:rPr>
        <w:t>’</w:t>
      </w:r>
      <w:r w:rsidRPr="00944B7A">
        <w:rPr>
          <w:lang w:val="fr-CA"/>
        </w:rPr>
        <w:t>en résulter, il faut éviter de voir dans toute ordonnance de divulgation de renseignements une violation irréparable d</w:t>
      </w:r>
      <w:r>
        <w:rPr>
          <w:lang w:val="fr-CA"/>
        </w:rPr>
        <w:t>’</w:t>
      </w:r>
      <w:r w:rsidRPr="00944B7A">
        <w:rPr>
          <w:lang w:val="fr-CA"/>
        </w:rPr>
        <w:t>un droit fondament</w:t>
      </w:r>
      <w:r>
        <w:rPr>
          <w:lang w:val="fr-CA"/>
        </w:rPr>
        <w:t>al. </w:t>
      </w:r>
      <w:r w:rsidRPr="00944B7A">
        <w:rPr>
          <w:lang w:val="fr-CA"/>
        </w:rPr>
        <w:t xml:space="preserve">Le juge Dionne a appliqué un test erroné. </w:t>
      </w:r>
      <w:r w:rsidRPr="00944B7A">
        <w:rPr>
          <w:u w:val="single"/>
          <w:lang w:val="fr-CA"/>
        </w:rPr>
        <w:t>Il devait se demander si l</w:t>
      </w:r>
      <w:r>
        <w:rPr>
          <w:u w:val="single"/>
          <w:lang w:val="fr-CA"/>
        </w:rPr>
        <w:t>’</w:t>
      </w:r>
      <w:r w:rsidRPr="00944B7A">
        <w:rPr>
          <w:u w:val="single"/>
          <w:lang w:val="fr-CA"/>
        </w:rPr>
        <w:t>ordonnance de divulgation violait un droit fondamental de [M</w:t>
      </w:r>
      <w:r w:rsidRPr="00944B7A">
        <w:rPr>
          <w:u w:val="single"/>
          <w:vertAlign w:val="superscript"/>
          <w:lang w:val="fr-CA"/>
        </w:rPr>
        <w:t>me</w:t>
      </w:r>
      <w:r w:rsidRPr="00944B7A">
        <w:rPr>
          <w:u w:val="single"/>
          <w:lang w:val="fr-CA"/>
        </w:rPr>
        <w:t xml:space="preserve"> Awashish], et ce, de façon irréparable</w:t>
      </w:r>
      <w:r w:rsidRPr="00944B7A">
        <w:rPr>
          <w:lang w:val="fr-CA"/>
        </w:rPr>
        <w:t xml:space="preserve"> et non pas se demander si l</w:t>
      </w:r>
      <w:r>
        <w:rPr>
          <w:lang w:val="fr-CA"/>
        </w:rPr>
        <w:t>’</w:t>
      </w:r>
      <w:r w:rsidRPr="00944B7A">
        <w:rPr>
          <w:lang w:val="fr-CA"/>
        </w:rPr>
        <w:t xml:space="preserve">ordonnance interlocutoire avait sur ce dernier un caractère contraignant et définitif. [Je souligne; </w:t>
      </w:r>
      <w:r>
        <w:rPr>
          <w:lang w:val="fr-CA"/>
        </w:rPr>
        <w:t>par. </w:t>
      </w:r>
      <w:r w:rsidRPr="00944B7A">
        <w:rPr>
          <w:lang w:val="fr-CA"/>
        </w:rPr>
        <w:t>39.]</w:t>
      </w:r>
    </w:p>
    <w:p w:rsidR="00D36E2F" w:rsidRPr="00944B7A" w:rsidRDefault="00D36E2F" w:rsidP="00D36E2F">
      <w:pPr>
        <w:pStyle w:val="ParaNoNdepar-AltN"/>
        <w:rPr>
          <w:rFonts w:cs="Times New Roman"/>
          <w:lang w:val="fr-CA"/>
        </w:rPr>
      </w:pPr>
      <w:r w:rsidRPr="00944B7A">
        <w:rPr>
          <w:rFonts w:cs="Times New Roman"/>
          <w:lang w:val="fr-CA"/>
        </w:rPr>
        <w:lastRenderedPageBreak/>
        <w:t>Dans son argumentation devant notre Cour, la procureure générale de l</w:t>
      </w:r>
      <w:r>
        <w:rPr>
          <w:rFonts w:cs="Times New Roman"/>
          <w:lang w:val="fr-CA"/>
        </w:rPr>
        <w:t>’</w:t>
      </w:r>
      <w:r w:rsidRPr="00944B7A">
        <w:rPr>
          <w:rFonts w:cs="Times New Roman"/>
          <w:lang w:val="fr-CA"/>
        </w:rPr>
        <w:t>Ontario propose une troisième opinion, soit que l</w:t>
      </w:r>
      <w:r>
        <w:rPr>
          <w:rFonts w:cs="Times New Roman"/>
          <w:lang w:val="fr-CA"/>
        </w:rPr>
        <w:t>’</w:t>
      </w:r>
      <w:r w:rsidRPr="00944B7A">
        <w:rPr>
          <w:rFonts w:cs="Times New Roman"/>
          <w:lang w:val="fr-CA"/>
        </w:rPr>
        <w:t xml:space="preserve">on devrait pouvoir recourir au </w:t>
      </w:r>
      <w:proofErr w:type="spellStart"/>
      <w:r w:rsidRPr="00944B7A">
        <w:rPr>
          <w:rFonts w:cs="Times New Roman"/>
          <w:i/>
          <w:lang w:val="fr-CA"/>
        </w:rPr>
        <w:t>certiorari</w:t>
      </w:r>
      <w:proofErr w:type="spellEnd"/>
      <w:r w:rsidRPr="00944B7A">
        <w:rPr>
          <w:rFonts w:cs="Times New Roman"/>
          <w:i/>
          <w:lang w:val="fr-CA"/>
        </w:rPr>
        <w:t xml:space="preserve"> </w:t>
      </w:r>
      <w:r w:rsidRPr="00944B7A">
        <w:rPr>
          <w:rFonts w:cs="Times New Roman"/>
          <w:lang w:val="fr-CA"/>
        </w:rPr>
        <w:t>pour contrôler une erreur de droit manifeste à la lecture du dossier lorsque</w:t>
      </w:r>
      <w:r>
        <w:rPr>
          <w:rFonts w:cs="Times New Roman"/>
          <w:lang w:val="fr-CA"/>
        </w:rPr>
        <w:t> :</w:t>
      </w:r>
      <w:r w:rsidRPr="00944B7A">
        <w:rPr>
          <w:rFonts w:cs="Times New Roman"/>
          <w:lang w:val="fr-CA"/>
        </w:rPr>
        <w:t xml:space="preserve"> premièrement, l</w:t>
      </w:r>
      <w:r>
        <w:rPr>
          <w:rFonts w:cs="Times New Roman"/>
          <w:lang w:val="fr-CA"/>
        </w:rPr>
        <w:t>’</w:t>
      </w:r>
      <w:r w:rsidRPr="00944B7A">
        <w:rPr>
          <w:rFonts w:cs="Times New Roman"/>
          <w:lang w:val="fr-CA"/>
        </w:rPr>
        <w:t>erreur fait intervenir une question d</w:t>
      </w:r>
      <w:r>
        <w:rPr>
          <w:rFonts w:cs="Times New Roman"/>
          <w:lang w:val="fr-CA"/>
        </w:rPr>
        <w:t>’</w:t>
      </w:r>
      <w:r w:rsidRPr="00944B7A">
        <w:rPr>
          <w:rFonts w:cs="Times New Roman"/>
          <w:lang w:val="fr-CA"/>
        </w:rPr>
        <w:t>importance primordiale pour l</w:t>
      </w:r>
      <w:r>
        <w:rPr>
          <w:rFonts w:cs="Times New Roman"/>
          <w:lang w:val="fr-CA"/>
        </w:rPr>
        <w:t>’</w:t>
      </w:r>
      <w:r w:rsidRPr="00944B7A">
        <w:rPr>
          <w:rFonts w:cs="Times New Roman"/>
          <w:lang w:val="fr-CA"/>
        </w:rPr>
        <w:t>administration de la justice; et, deuxièmement, l</w:t>
      </w:r>
      <w:r>
        <w:rPr>
          <w:rFonts w:cs="Times New Roman"/>
          <w:lang w:val="fr-CA"/>
        </w:rPr>
        <w:t>’</w:t>
      </w:r>
      <w:r w:rsidRPr="00944B7A">
        <w:rPr>
          <w:rFonts w:cs="Times New Roman"/>
          <w:lang w:val="fr-CA"/>
        </w:rPr>
        <w:t>erreur en est une qui ne se concrétise habituellement pas en appel. Il s</w:t>
      </w:r>
      <w:r>
        <w:rPr>
          <w:rFonts w:cs="Times New Roman"/>
          <w:lang w:val="fr-CA"/>
        </w:rPr>
        <w:t>’</w:t>
      </w:r>
      <w:r w:rsidRPr="00944B7A">
        <w:rPr>
          <w:rFonts w:cs="Times New Roman"/>
          <w:lang w:val="fr-CA"/>
        </w:rPr>
        <w:t>agirait de « causes types » servant à régler des questions épineuses qui reviennent sans cesse mais qui n</w:t>
      </w:r>
      <w:r>
        <w:rPr>
          <w:rFonts w:cs="Times New Roman"/>
          <w:lang w:val="fr-CA"/>
        </w:rPr>
        <w:t>’</w:t>
      </w:r>
      <w:r w:rsidRPr="00944B7A">
        <w:rPr>
          <w:rFonts w:cs="Times New Roman"/>
          <w:lang w:val="fr-CA"/>
        </w:rPr>
        <w:t>ont pas tendance à être abordées en appel.</w:t>
      </w:r>
    </w:p>
    <w:p w:rsidR="00D36E2F" w:rsidRPr="00944B7A" w:rsidRDefault="00D36E2F" w:rsidP="00D36E2F">
      <w:pPr>
        <w:pStyle w:val="ParaNoNdepar-AltN"/>
        <w:rPr>
          <w:rFonts w:cs="Times New Roman"/>
          <w:lang w:val="fr-CA"/>
        </w:rPr>
      </w:pPr>
      <w:r w:rsidRPr="00944B7A">
        <w:rPr>
          <w:rFonts w:cs="Times New Roman"/>
          <w:lang w:val="fr-CA"/>
        </w:rPr>
        <w:t xml:space="preserve">Certaines affirmations faites par notre Cour aux </w:t>
      </w:r>
      <w:r>
        <w:rPr>
          <w:rFonts w:cs="Times New Roman"/>
          <w:lang w:val="fr-CA"/>
        </w:rPr>
        <w:t>p. </w:t>
      </w:r>
      <w:r w:rsidRPr="00944B7A">
        <w:rPr>
          <w:rFonts w:cs="Times New Roman"/>
          <w:lang w:val="fr-CA"/>
        </w:rPr>
        <w:t>864 et 865 de l</w:t>
      </w:r>
      <w:r>
        <w:rPr>
          <w:rFonts w:cs="Times New Roman"/>
          <w:lang w:val="fr-CA"/>
        </w:rPr>
        <w:t>’</w:t>
      </w:r>
      <w:r w:rsidRPr="00944B7A">
        <w:rPr>
          <w:rFonts w:cs="Times New Roman"/>
          <w:lang w:val="fr-CA"/>
        </w:rPr>
        <w:t xml:space="preserve">arrêt </w:t>
      </w:r>
      <w:proofErr w:type="spellStart"/>
      <w:r w:rsidRPr="00944B7A">
        <w:rPr>
          <w:rFonts w:cs="Times New Roman"/>
          <w:i/>
          <w:lang w:val="fr-CA"/>
        </w:rPr>
        <w:t>Dagenais</w:t>
      </w:r>
      <w:proofErr w:type="spellEnd"/>
      <w:r w:rsidRPr="00944B7A">
        <w:rPr>
          <w:rFonts w:cs="Times New Roman"/>
          <w:lang w:val="fr-CA"/>
        </w:rPr>
        <w:t xml:space="preserve"> et au </w:t>
      </w:r>
      <w:proofErr w:type="spellStart"/>
      <w:r>
        <w:rPr>
          <w:rFonts w:cs="Times New Roman"/>
          <w:lang w:val="fr-CA"/>
        </w:rPr>
        <w:t>par</w:t>
      </w:r>
      <w:proofErr w:type="spellEnd"/>
      <w:r>
        <w:rPr>
          <w:rFonts w:cs="Times New Roman"/>
          <w:lang w:val="fr-CA"/>
        </w:rPr>
        <w:t>. </w:t>
      </w:r>
      <w:r w:rsidRPr="00944B7A">
        <w:rPr>
          <w:rFonts w:cs="Times New Roman"/>
          <w:lang w:val="fr-CA"/>
        </w:rPr>
        <w:t>57 de l</w:t>
      </w:r>
      <w:r>
        <w:rPr>
          <w:rFonts w:cs="Times New Roman"/>
          <w:lang w:val="fr-CA"/>
        </w:rPr>
        <w:t>’</w:t>
      </w:r>
      <w:r w:rsidRPr="00944B7A">
        <w:rPr>
          <w:rFonts w:cs="Times New Roman"/>
          <w:lang w:val="fr-CA"/>
        </w:rPr>
        <w:t xml:space="preserve">arrêt </w:t>
      </w:r>
      <w:r w:rsidRPr="00944B7A">
        <w:rPr>
          <w:rFonts w:cs="Times New Roman"/>
          <w:i/>
          <w:lang w:val="fr-CA"/>
        </w:rPr>
        <w:t>Cunningham</w:t>
      </w:r>
      <w:r w:rsidRPr="00944B7A">
        <w:rPr>
          <w:rFonts w:cs="Times New Roman"/>
          <w:lang w:val="fr-CA"/>
        </w:rPr>
        <w:t xml:space="preserve"> ont été interprétées par des juridictions inférieures comme signifiant que les erreurs de droit manifestes au vu du dossier permettent d</w:t>
      </w:r>
      <w:r>
        <w:rPr>
          <w:rFonts w:cs="Times New Roman"/>
          <w:lang w:val="fr-CA"/>
        </w:rPr>
        <w:t>’</w:t>
      </w:r>
      <w:r w:rsidRPr="00944B7A">
        <w:rPr>
          <w:rFonts w:cs="Times New Roman"/>
          <w:lang w:val="fr-CA"/>
        </w:rPr>
        <w:t xml:space="preserve">accorder le </w:t>
      </w:r>
      <w:proofErr w:type="spellStart"/>
      <w:r w:rsidRPr="00944B7A">
        <w:rPr>
          <w:rFonts w:cs="Times New Roman"/>
          <w:i/>
          <w:lang w:val="fr-CA"/>
        </w:rPr>
        <w:t>certiorari</w:t>
      </w:r>
      <w:proofErr w:type="spellEnd"/>
      <w:r w:rsidRPr="00944B7A">
        <w:rPr>
          <w:rFonts w:cs="Times New Roman"/>
          <w:i/>
          <w:lang w:val="fr-CA"/>
        </w:rPr>
        <w:t xml:space="preserve"> </w:t>
      </w:r>
      <w:r w:rsidRPr="00944B7A">
        <w:rPr>
          <w:rFonts w:cs="Times New Roman"/>
          <w:lang w:val="fr-CA"/>
        </w:rPr>
        <w:t>tant aux parties qu</w:t>
      </w:r>
      <w:r>
        <w:rPr>
          <w:rFonts w:cs="Times New Roman"/>
          <w:lang w:val="fr-CA"/>
        </w:rPr>
        <w:t>’</w:t>
      </w:r>
      <w:r w:rsidRPr="00944B7A">
        <w:rPr>
          <w:rFonts w:cs="Times New Roman"/>
          <w:lang w:val="fr-CA"/>
        </w:rPr>
        <w:t>aux tiers. C</w:t>
      </w:r>
      <w:r>
        <w:rPr>
          <w:rFonts w:cs="Times New Roman"/>
          <w:lang w:val="fr-CA"/>
        </w:rPr>
        <w:t>’</w:t>
      </w:r>
      <w:r w:rsidRPr="00944B7A">
        <w:rPr>
          <w:rFonts w:cs="Times New Roman"/>
          <w:lang w:val="fr-CA"/>
        </w:rPr>
        <w:t>est l</w:t>
      </w:r>
      <w:r>
        <w:rPr>
          <w:rFonts w:cs="Times New Roman"/>
          <w:lang w:val="fr-CA"/>
        </w:rPr>
        <w:t>’</w:t>
      </w:r>
      <w:r w:rsidRPr="00944B7A">
        <w:rPr>
          <w:rFonts w:cs="Times New Roman"/>
          <w:lang w:val="fr-CA"/>
        </w:rPr>
        <w:t>interprétation qu</w:t>
      </w:r>
      <w:r>
        <w:rPr>
          <w:rFonts w:cs="Times New Roman"/>
          <w:lang w:val="fr-CA"/>
        </w:rPr>
        <w:t>’</w:t>
      </w:r>
      <w:r w:rsidRPr="00944B7A">
        <w:rPr>
          <w:rFonts w:cs="Times New Roman"/>
          <w:lang w:val="fr-CA"/>
        </w:rPr>
        <w:t>a retenue la Cour d</w:t>
      </w:r>
      <w:r>
        <w:rPr>
          <w:rFonts w:cs="Times New Roman"/>
          <w:lang w:val="fr-CA"/>
        </w:rPr>
        <w:t>’</w:t>
      </w:r>
      <w:r w:rsidRPr="00944B7A">
        <w:rPr>
          <w:rFonts w:cs="Times New Roman"/>
          <w:lang w:val="fr-CA"/>
        </w:rPr>
        <w:t>appel de l</w:t>
      </w:r>
      <w:r>
        <w:rPr>
          <w:rFonts w:cs="Times New Roman"/>
          <w:lang w:val="fr-CA"/>
        </w:rPr>
        <w:t>’</w:t>
      </w:r>
      <w:r w:rsidRPr="00944B7A">
        <w:rPr>
          <w:rFonts w:cs="Times New Roman"/>
          <w:lang w:val="fr-CA"/>
        </w:rPr>
        <w:t xml:space="preserve">Alberta dans </w:t>
      </w:r>
      <w:r w:rsidRPr="00944B7A">
        <w:rPr>
          <w:rFonts w:cs="Times New Roman"/>
          <w:i/>
          <w:lang w:val="fr-CA"/>
        </w:rPr>
        <w:t>Black</w:t>
      </w:r>
      <w:r w:rsidRPr="00944B7A">
        <w:rPr>
          <w:rFonts w:cs="Times New Roman"/>
          <w:lang w:val="fr-CA"/>
        </w:rPr>
        <w:t>,</w:t>
      </w:r>
      <w:r w:rsidRPr="00944B7A">
        <w:rPr>
          <w:rFonts w:cs="Times New Roman"/>
          <w:i/>
          <w:lang w:val="fr-CA"/>
        </w:rPr>
        <w:t xml:space="preserve"> </w:t>
      </w:r>
      <w:r>
        <w:rPr>
          <w:rFonts w:cs="Times New Roman"/>
          <w:lang w:val="fr-CA"/>
        </w:rPr>
        <w:t>par. </w:t>
      </w:r>
      <w:r w:rsidRPr="00944B7A">
        <w:rPr>
          <w:rFonts w:cs="Times New Roman"/>
          <w:lang w:val="fr-CA"/>
        </w:rPr>
        <w:t>27. Compte tenu de la jurisprudence des cours d</w:t>
      </w:r>
      <w:r>
        <w:rPr>
          <w:rFonts w:cs="Times New Roman"/>
          <w:lang w:val="fr-CA"/>
        </w:rPr>
        <w:t>’</w:t>
      </w:r>
      <w:r w:rsidRPr="00944B7A">
        <w:rPr>
          <w:rFonts w:cs="Times New Roman"/>
          <w:lang w:val="fr-CA"/>
        </w:rPr>
        <w:t>appel (voir ci</w:t>
      </w:r>
      <w:r>
        <w:rPr>
          <w:rFonts w:cs="Times New Roman"/>
          <w:lang w:val="fr-CA"/>
        </w:rPr>
        <w:noBreakHyphen/>
      </w:r>
      <w:r w:rsidRPr="00944B7A">
        <w:rPr>
          <w:rFonts w:cs="Times New Roman"/>
          <w:lang w:val="fr-CA"/>
        </w:rPr>
        <w:t xml:space="preserve">dessus aux </w:t>
      </w:r>
      <w:r>
        <w:rPr>
          <w:rFonts w:cs="Times New Roman"/>
          <w:lang w:val="fr-CA"/>
        </w:rPr>
        <w:t>par. </w:t>
      </w:r>
      <w:r w:rsidRPr="00944B7A">
        <w:rPr>
          <w:rFonts w:cs="Times New Roman"/>
          <w:lang w:val="fr-CA"/>
        </w:rPr>
        <w:t>10</w:t>
      </w:r>
      <w:r>
        <w:rPr>
          <w:rFonts w:cs="Times New Roman"/>
          <w:lang w:val="fr-CA"/>
        </w:rPr>
        <w:noBreakHyphen/>
      </w:r>
      <w:r w:rsidRPr="00944B7A">
        <w:rPr>
          <w:rFonts w:cs="Times New Roman"/>
          <w:lang w:val="fr-CA"/>
        </w:rPr>
        <w:t>12) et des considérations de politique générale qui la sous</w:t>
      </w:r>
      <w:r>
        <w:rPr>
          <w:rFonts w:cs="Times New Roman"/>
          <w:lang w:val="fr-CA"/>
        </w:rPr>
        <w:noBreakHyphen/>
      </w:r>
      <w:r w:rsidRPr="00944B7A">
        <w:rPr>
          <w:rFonts w:cs="Times New Roman"/>
          <w:lang w:val="fr-CA"/>
        </w:rPr>
        <w:t>tendent, je ne partage pas le point de vue exprimé par la Cour d</w:t>
      </w:r>
      <w:r>
        <w:rPr>
          <w:rFonts w:cs="Times New Roman"/>
          <w:lang w:val="fr-CA"/>
        </w:rPr>
        <w:t>’</w:t>
      </w:r>
      <w:r w:rsidRPr="00944B7A">
        <w:rPr>
          <w:rFonts w:cs="Times New Roman"/>
          <w:lang w:val="fr-CA"/>
        </w:rPr>
        <w:t>appel de l</w:t>
      </w:r>
      <w:r>
        <w:rPr>
          <w:rFonts w:cs="Times New Roman"/>
          <w:lang w:val="fr-CA"/>
        </w:rPr>
        <w:t>’</w:t>
      </w:r>
      <w:r w:rsidRPr="00944B7A">
        <w:rPr>
          <w:rFonts w:cs="Times New Roman"/>
          <w:lang w:val="fr-CA"/>
        </w:rPr>
        <w:t>Alberta. L</w:t>
      </w:r>
      <w:r>
        <w:rPr>
          <w:rFonts w:cs="Times New Roman"/>
          <w:lang w:val="fr-CA"/>
        </w:rPr>
        <w:t>’</w:t>
      </w:r>
      <w:r w:rsidRPr="00944B7A">
        <w:rPr>
          <w:rFonts w:cs="Times New Roman"/>
          <w:lang w:val="fr-CA"/>
        </w:rPr>
        <w:t>approche qu</w:t>
      </w:r>
      <w:r>
        <w:rPr>
          <w:rFonts w:cs="Times New Roman"/>
          <w:lang w:val="fr-CA"/>
        </w:rPr>
        <w:t>’</w:t>
      </w:r>
      <w:r w:rsidRPr="00944B7A">
        <w:rPr>
          <w:rFonts w:cs="Times New Roman"/>
          <w:lang w:val="fr-CA"/>
        </w:rPr>
        <w:t xml:space="preserve">elle adopte dans </w:t>
      </w:r>
      <w:r w:rsidRPr="00944B7A">
        <w:rPr>
          <w:rFonts w:cs="Times New Roman"/>
          <w:i/>
          <w:lang w:val="fr-CA"/>
        </w:rPr>
        <w:t>Black</w:t>
      </w:r>
      <w:r w:rsidRPr="00944B7A">
        <w:rPr>
          <w:rFonts w:cs="Times New Roman"/>
          <w:lang w:val="fr-CA"/>
        </w:rPr>
        <w:t xml:space="preserve"> va à l</w:t>
      </w:r>
      <w:r>
        <w:rPr>
          <w:rFonts w:cs="Times New Roman"/>
          <w:lang w:val="fr-CA"/>
        </w:rPr>
        <w:t>’</w:t>
      </w:r>
      <w:r w:rsidRPr="00944B7A">
        <w:rPr>
          <w:rFonts w:cs="Times New Roman"/>
          <w:lang w:val="fr-CA"/>
        </w:rPr>
        <w:t>encontre de la règle générale interdisant les appels interlocutoires et de l</w:t>
      </w:r>
      <w:r>
        <w:rPr>
          <w:rFonts w:cs="Times New Roman"/>
          <w:lang w:val="fr-CA"/>
        </w:rPr>
        <w:t>’</w:t>
      </w:r>
      <w:r w:rsidRPr="00944B7A">
        <w:rPr>
          <w:rFonts w:cs="Times New Roman"/>
          <w:lang w:val="fr-CA"/>
        </w:rPr>
        <w:t>objectif législatif de l</w:t>
      </w:r>
      <w:r>
        <w:rPr>
          <w:rFonts w:cs="Times New Roman"/>
          <w:lang w:val="fr-CA"/>
        </w:rPr>
        <w:t>’art. </w:t>
      </w:r>
      <w:r w:rsidRPr="00944B7A">
        <w:rPr>
          <w:rFonts w:cs="Times New Roman"/>
          <w:lang w:val="fr-CA"/>
        </w:rPr>
        <w:t xml:space="preserve">674 du </w:t>
      </w:r>
      <w:r w:rsidRPr="00944B7A">
        <w:rPr>
          <w:rFonts w:cs="Times New Roman"/>
          <w:i/>
          <w:lang w:val="fr-CA"/>
        </w:rPr>
        <w:t>Code criminel</w:t>
      </w:r>
      <w:r w:rsidRPr="00944B7A">
        <w:rPr>
          <w:rFonts w:cs="Times New Roman"/>
          <w:lang w:val="fr-CA"/>
        </w:rPr>
        <w:t xml:space="preserve"> qui abolit les appels sauf dans les cas prévus au </w:t>
      </w:r>
      <w:r w:rsidRPr="00944B7A">
        <w:rPr>
          <w:rFonts w:cs="Times New Roman"/>
          <w:i/>
          <w:lang w:val="fr-CA"/>
        </w:rPr>
        <w:t>Code</w:t>
      </w:r>
      <w:r w:rsidRPr="00944B7A">
        <w:rPr>
          <w:rFonts w:cs="Times New Roman"/>
          <w:lang w:val="fr-CA"/>
        </w:rPr>
        <w:t xml:space="preserve">. </w:t>
      </w:r>
    </w:p>
    <w:p w:rsidR="00D36E2F" w:rsidRPr="00944B7A" w:rsidRDefault="00D36E2F" w:rsidP="00D36E2F">
      <w:pPr>
        <w:pStyle w:val="ParaNoNdepar-AltN"/>
        <w:rPr>
          <w:rFonts w:cs="Times New Roman"/>
          <w:lang w:val="fr-CA"/>
        </w:rPr>
      </w:pPr>
      <w:r w:rsidRPr="00944B7A">
        <w:rPr>
          <w:rFonts w:cs="Times New Roman"/>
          <w:lang w:val="fr-CA"/>
        </w:rPr>
        <w:t>Si l</w:t>
      </w:r>
      <w:r>
        <w:rPr>
          <w:rFonts w:cs="Times New Roman"/>
          <w:lang w:val="fr-CA"/>
        </w:rPr>
        <w:t>’</w:t>
      </w:r>
      <w:r w:rsidRPr="00944B7A">
        <w:rPr>
          <w:rFonts w:cs="Times New Roman"/>
          <w:lang w:val="fr-CA"/>
        </w:rPr>
        <w:t>on permet aux parties d</w:t>
      </w:r>
      <w:r>
        <w:rPr>
          <w:rFonts w:cs="Times New Roman"/>
          <w:lang w:val="fr-CA"/>
        </w:rPr>
        <w:t>’</w:t>
      </w:r>
      <w:r w:rsidRPr="00944B7A">
        <w:rPr>
          <w:rFonts w:cs="Times New Roman"/>
          <w:lang w:val="fr-CA"/>
        </w:rPr>
        <w:t xml:space="preserve">obtenir, par voie de </w:t>
      </w:r>
      <w:proofErr w:type="spellStart"/>
      <w:r w:rsidRPr="00944B7A">
        <w:rPr>
          <w:rFonts w:cs="Times New Roman"/>
          <w:i/>
          <w:lang w:val="fr-CA"/>
        </w:rPr>
        <w:t>certiorari</w:t>
      </w:r>
      <w:proofErr w:type="spellEnd"/>
      <w:r w:rsidRPr="00944B7A">
        <w:rPr>
          <w:rFonts w:cs="Times New Roman"/>
          <w:lang w:val="fr-CA"/>
        </w:rPr>
        <w:t>, le contrôle d</w:t>
      </w:r>
      <w:r>
        <w:rPr>
          <w:rFonts w:cs="Times New Roman"/>
          <w:lang w:val="fr-CA"/>
        </w:rPr>
        <w:t>’</w:t>
      </w:r>
      <w:r w:rsidRPr="00944B7A">
        <w:rPr>
          <w:rFonts w:cs="Times New Roman"/>
          <w:lang w:val="fr-CA"/>
        </w:rPr>
        <w:t xml:space="preserve">une erreur de droit — </w:t>
      </w:r>
      <w:r>
        <w:rPr>
          <w:rFonts w:cs="Times New Roman"/>
          <w:lang w:val="fr-CA"/>
        </w:rPr>
        <w:t>même une erreur qui « </w:t>
      </w:r>
      <w:r w:rsidRPr="00944B7A">
        <w:rPr>
          <w:rFonts w:cs="Times New Roman"/>
          <w:lang w:val="fr-CA"/>
        </w:rPr>
        <w:t>dispose d</w:t>
      </w:r>
      <w:r>
        <w:rPr>
          <w:rFonts w:cs="Times New Roman"/>
          <w:lang w:val="fr-CA"/>
        </w:rPr>
        <w:t>’</w:t>
      </w:r>
      <w:r w:rsidRPr="00944B7A">
        <w:rPr>
          <w:rFonts w:cs="Times New Roman"/>
          <w:lang w:val="fr-CA"/>
        </w:rPr>
        <w:t>un droit sur</w:t>
      </w:r>
      <w:r>
        <w:rPr>
          <w:rFonts w:cs="Times New Roman"/>
          <w:lang w:val="fr-CA"/>
        </w:rPr>
        <w:noBreakHyphen/>
      </w:r>
      <w:r w:rsidRPr="00944B7A">
        <w:rPr>
          <w:rFonts w:cs="Times New Roman"/>
          <w:lang w:val="fr-CA"/>
        </w:rPr>
        <w:t>le</w:t>
      </w:r>
      <w:r>
        <w:rPr>
          <w:rFonts w:cs="Times New Roman"/>
          <w:lang w:val="fr-CA"/>
        </w:rPr>
        <w:noBreakHyphen/>
      </w:r>
      <w:r w:rsidRPr="00944B7A">
        <w:rPr>
          <w:rFonts w:cs="Times New Roman"/>
          <w:lang w:val="fr-CA"/>
        </w:rPr>
        <w:t xml:space="preserve">champ et de </w:t>
      </w:r>
      <w:r>
        <w:rPr>
          <w:rFonts w:cs="Times New Roman"/>
          <w:lang w:val="fr-CA"/>
        </w:rPr>
        <w:t>manière définitive </w:t>
      </w:r>
      <w:r w:rsidRPr="00944B7A">
        <w:rPr>
          <w:rFonts w:cs="Times New Roman"/>
          <w:lang w:val="fr-CA"/>
        </w:rPr>
        <w:t>» — cela risque de fragmenter des procès criminels et d</w:t>
      </w:r>
      <w:r>
        <w:rPr>
          <w:rFonts w:cs="Times New Roman"/>
          <w:lang w:val="fr-CA"/>
        </w:rPr>
        <w:t>’</w:t>
      </w:r>
      <w:r w:rsidRPr="00944B7A">
        <w:rPr>
          <w:rFonts w:cs="Times New Roman"/>
          <w:lang w:val="fr-CA"/>
        </w:rPr>
        <w:t xml:space="preserve">entraîner </w:t>
      </w:r>
      <w:r w:rsidRPr="00944B7A">
        <w:rPr>
          <w:rFonts w:cs="Times New Roman"/>
          <w:lang w:val="fr-CA"/>
        </w:rPr>
        <w:lastRenderedPageBreak/>
        <w:t>par le fait même une inefficacité, des retards et le règlement de questions sur la base d</w:t>
      </w:r>
      <w:r>
        <w:rPr>
          <w:rFonts w:cs="Times New Roman"/>
          <w:lang w:val="fr-CA"/>
        </w:rPr>
        <w:t>’</w:t>
      </w:r>
      <w:r w:rsidRPr="00944B7A">
        <w:rPr>
          <w:rFonts w:cs="Times New Roman"/>
          <w:lang w:val="fr-CA"/>
        </w:rPr>
        <w:t xml:space="preserve">un dossier incomplet. Une telle règle serait en opposition directe avec la méthode énoncée dans </w:t>
      </w:r>
      <w:r w:rsidRPr="00944B7A">
        <w:rPr>
          <w:rFonts w:cs="Times New Roman"/>
          <w:i/>
          <w:lang w:val="fr-CA"/>
        </w:rPr>
        <w:t>R. c. Jordan</w:t>
      </w:r>
      <w:r w:rsidRPr="00944B7A">
        <w:rPr>
          <w:rFonts w:cs="Times New Roman"/>
          <w:lang w:val="fr-CA"/>
        </w:rPr>
        <w:t>,</w:t>
      </w:r>
      <w:r w:rsidRPr="00944B7A">
        <w:rPr>
          <w:rFonts w:eastAsiaTheme="minorHAnsi" w:cs="Times New Roman"/>
          <w:lang w:val="fr-CA" w:bidi="en-US"/>
        </w:rPr>
        <w:t xml:space="preserve"> </w:t>
      </w:r>
      <w:r w:rsidRPr="00944B7A">
        <w:rPr>
          <w:rFonts w:cs="Times New Roman"/>
          <w:lang w:val="fr-CA"/>
        </w:rPr>
        <w:t>2016 CSC 27, [2016] 1 R.C.S. 631, pour rendre justice promptement en matière criminelle. Pour ces motifs, je ne ferais pas mienne l</w:t>
      </w:r>
      <w:r>
        <w:rPr>
          <w:rFonts w:cs="Times New Roman"/>
          <w:lang w:val="fr-CA"/>
        </w:rPr>
        <w:t>’</w:t>
      </w:r>
      <w:r w:rsidRPr="00944B7A">
        <w:rPr>
          <w:rFonts w:cs="Times New Roman"/>
          <w:lang w:val="fr-CA"/>
        </w:rPr>
        <w:t>interprétation plus large retenue par la Cour d</w:t>
      </w:r>
      <w:r>
        <w:rPr>
          <w:rFonts w:cs="Times New Roman"/>
          <w:lang w:val="fr-CA"/>
        </w:rPr>
        <w:t>’</w:t>
      </w:r>
      <w:r w:rsidRPr="00944B7A">
        <w:rPr>
          <w:rFonts w:cs="Times New Roman"/>
          <w:lang w:val="fr-CA"/>
        </w:rPr>
        <w:t xml:space="preserve">appel du Québec au </w:t>
      </w:r>
      <w:r>
        <w:rPr>
          <w:rFonts w:cs="Times New Roman"/>
          <w:lang w:val="fr-CA"/>
        </w:rPr>
        <w:t>par. </w:t>
      </w:r>
      <w:r w:rsidRPr="00944B7A">
        <w:rPr>
          <w:rFonts w:cs="Times New Roman"/>
          <w:lang w:val="fr-CA"/>
        </w:rPr>
        <w:t xml:space="preserve">29, où elle a laissé entendre que les parties pourraient recourir au </w:t>
      </w:r>
      <w:proofErr w:type="spellStart"/>
      <w:r w:rsidRPr="00944B7A">
        <w:rPr>
          <w:rFonts w:cs="Times New Roman"/>
          <w:i/>
          <w:lang w:val="fr-CA"/>
        </w:rPr>
        <w:t>certiorari</w:t>
      </w:r>
      <w:proofErr w:type="spellEnd"/>
      <w:r w:rsidRPr="00944B7A">
        <w:rPr>
          <w:rFonts w:cs="Times New Roman"/>
          <w:i/>
          <w:lang w:val="fr-CA"/>
        </w:rPr>
        <w:t xml:space="preserve"> </w:t>
      </w:r>
      <w:r w:rsidRPr="00944B7A">
        <w:rPr>
          <w:rFonts w:cs="Times New Roman"/>
          <w:lang w:val="fr-CA"/>
        </w:rPr>
        <w:t>pour faire corriger des erreurs de droit manifestes à la lecture du dossier (voir ci</w:t>
      </w:r>
      <w:r>
        <w:rPr>
          <w:rFonts w:cs="Times New Roman"/>
          <w:lang w:val="fr-CA"/>
        </w:rPr>
        <w:noBreakHyphen/>
      </w:r>
      <w:r w:rsidRPr="00944B7A">
        <w:rPr>
          <w:rFonts w:cs="Times New Roman"/>
          <w:lang w:val="fr-CA"/>
        </w:rPr>
        <w:t xml:space="preserve">dessus au </w:t>
      </w:r>
      <w:r>
        <w:rPr>
          <w:rFonts w:cs="Times New Roman"/>
          <w:lang w:val="fr-CA"/>
        </w:rPr>
        <w:t>par. </w:t>
      </w:r>
      <w:r w:rsidRPr="00944B7A">
        <w:rPr>
          <w:rFonts w:cs="Times New Roman"/>
          <w:lang w:val="fr-CA"/>
        </w:rPr>
        <w:t>14).</w:t>
      </w:r>
    </w:p>
    <w:p w:rsidR="00D36E2F" w:rsidRPr="00944B7A" w:rsidRDefault="00D36E2F" w:rsidP="00D36E2F">
      <w:pPr>
        <w:pStyle w:val="ParaNoNdepar-AltN"/>
        <w:rPr>
          <w:rFonts w:cs="Times New Roman"/>
          <w:lang w:val="fr-CA"/>
        </w:rPr>
      </w:pPr>
      <w:r w:rsidRPr="00944B7A">
        <w:rPr>
          <w:rFonts w:cs="Times New Roman"/>
          <w:lang w:val="fr-CA"/>
        </w:rPr>
        <w:t>Enfin, bien qu</w:t>
      </w:r>
      <w:r>
        <w:rPr>
          <w:rFonts w:cs="Times New Roman"/>
          <w:lang w:val="fr-CA"/>
        </w:rPr>
        <w:t>’</w:t>
      </w:r>
      <w:r w:rsidRPr="00944B7A">
        <w:rPr>
          <w:rFonts w:cs="Times New Roman"/>
          <w:lang w:val="fr-CA"/>
        </w:rPr>
        <w:t>elle n</w:t>
      </w:r>
      <w:r>
        <w:rPr>
          <w:rFonts w:cs="Times New Roman"/>
          <w:lang w:val="fr-CA"/>
        </w:rPr>
        <w:t>’</w:t>
      </w:r>
      <w:r w:rsidRPr="00944B7A">
        <w:rPr>
          <w:rFonts w:cs="Times New Roman"/>
          <w:lang w:val="fr-CA"/>
        </w:rPr>
        <w:t>ouvre pas la porte aussi grande, l</w:t>
      </w:r>
      <w:r>
        <w:rPr>
          <w:rFonts w:cs="Times New Roman"/>
          <w:lang w:val="fr-CA"/>
        </w:rPr>
        <w:t>’</w:t>
      </w:r>
      <w:r w:rsidRPr="00944B7A">
        <w:rPr>
          <w:rFonts w:cs="Times New Roman"/>
          <w:lang w:val="fr-CA"/>
        </w:rPr>
        <w:t>approche proposée par la procureure générale de l</w:t>
      </w:r>
      <w:r>
        <w:rPr>
          <w:rFonts w:cs="Times New Roman"/>
          <w:lang w:val="fr-CA"/>
        </w:rPr>
        <w:t>’</w:t>
      </w:r>
      <w:r w:rsidRPr="00944B7A">
        <w:rPr>
          <w:rFonts w:cs="Times New Roman"/>
          <w:lang w:val="fr-CA"/>
        </w:rPr>
        <w:t>Ontario irait aussi néanmoins à l</w:t>
      </w:r>
      <w:r>
        <w:rPr>
          <w:rFonts w:cs="Times New Roman"/>
          <w:lang w:val="fr-CA"/>
        </w:rPr>
        <w:t>’</w:t>
      </w:r>
      <w:r w:rsidRPr="00944B7A">
        <w:rPr>
          <w:rFonts w:cs="Times New Roman"/>
          <w:lang w:val="fr-CA"/>
        </w:rPr>
        <w:t>encontre de l</w:t>
      </w:r>
      <w:r>
        <w:rPr>
          <w:rFonts w:cs="Times New Roman"/>
          <w:lang w:val="fr-CA"/>
        </w:rPr>
        <w:t>’</w:t>
      </w:r>
      <w:r w:rsidRPr="00944B7A">
        <w:rPr>
          <w:rFonts w:cs="Times New Roman"/>
          <w:lang w:val="fr-CA"/>
        </w:rPr>
        <w:t>interdiction des appels interlocutoire</w:t>
      </w:r>
      <w:r>
        <w:rPr>
          <w:rFonts w:cs="Times New Roman"/>
          <w:lang w:val="fr-CA"/>
        </w:rPr>
        <w:t>s</w:t>
      </w:r>
      <w:r w:rsidRPr="00944B7A">
        <w:rPr>
          <w:rFonts w:cs="Times New Roman"/>
          <w:lang w:val="fr-CA"/>
        </w:rPr>
        <w:t xml:space="preserve"> dans les instances criminelles. Même si elle est davantage circonscrite que le droit général au </w:t>
      </w:r>
      <w:proofErr w:type="spellStart"/>
      <w:r w:rsidRPr="00944B7A">
        <w:rPr>
          <w:rFonts w:cs="Times New Roman"/>
          <w:i/>
          <w:lang w:val="fr-CA"/>
        </w:rPr>
        <w:t>certiorari</w:t>
      </w:r>
      <w:proofErr w:type="spellEnd"/>
      <w:r w:rsidRPr="00944B7A">
        <w:rPr>
          <w:rFonts w:cs="Times New Roman"/>
          <w:lang w:val="fr-CA"/>
        </w:rPr>
        <w:t xml:space="preserve"> décrit dans </w:t>
      </w:r>
      <w:r w:rsidRPr="00944B7A">
        <w:rPr>
          <w:rFonts w:cs="Times New Roman"/>
          <w:i/>
          <w:lang w:val="fr-CA"/>
        </w:rPr>
        <w:t>Black</w:t>
      </w:r>
      <w:r w:rsidRPr="00944B7A">
        <w:rPr>
          <w:rFonts w:cs="Times New Roman"/>
          <w:lang w:val="fr-CA"/>
        </w:rPr>
        <w:t>, cette approche donnerait probablement lieu à de nombreux débats pendant que les cours supérieures définissent les pourtours de cette approche. Pour les avocats, les questions qui mettent en cause les intérêts de leurs clients revêtent souvent une importance primordiale pour l</w:t>
      </w:r>
      <w:r>
        <w:rPr>
          <w:rFonts w:cs="Times New Roman"/>
          <w:lang w:val="fr-CA"/>
        </w:rPr>
        <w:t>’</w:t>
      </w:r>
      <w:r w:rsidRPr="00944B7A">
        <w:rPr>
          <w:rFonts w:cs="Times New Roman"/>
          <w:lang w:val="fr-CA"/>
        </w:rPr>
        <w:t>administration de la justice. Je refuse donc d</w:t>
      </w:r>
      <w:r>
        <w:rPr>
          <w:rFonts w:cs="Times New Roman"/>
          <w:lang w:val="fr-CA"/>
        </w:rPr>
        <w:t>’</w:t>
      </w:r>
      <w:r w:rsidRPr="00944B7A">
        <w:rPr>
          <w:rFonts w:cs="Times New Roman"/>
          <w:lang w:val="fr-CA"/>
        </w:rPr>
        <w:t>adopter l</w:t>
      </w:r>
      <w:r>
        <w:rPr>
          <w:rFonts w:cs="Times New Roman"/>
          <w:lang w:val="fr-CA"/>
        </w:rPr>
        <w:t>’</w:t>
      </w:r>
      <w:r w:rsidRPr="00944B7A">
        <w:rPr>
          <w:rFonts w:cs="Times New Roman"/>
          <w:lang w:val="fr-CA"/>
        </w:rPr>
        <w:t>une ou l</w:t>
      </w:r>
      <w:r>
        <w:rPr>
          <w:rFonts w:cs="Times New Roman"/>
          <w:lang w:val="fr-CA"/>
        </w:rPr>
        <w:t>’</w:t>
      </w:r>
      <w:r w:rsidRPr="00944B7A">
        <w:rPr>
          <w:rFonts w:cs="Times New Roman"/>
          <w:lang w:val="fr-CA"/>
        </w:rPr>
        <w:t>autre de ces trois approches.</w:t>
      </w:r>
    </w:p>
    <w:p w:rsidR="00D36E2F" w:rsidRPr="00944B7A" w:rsidRDefault="00D36E2F" w:rsidP="00D36E2F">
      <w:pPr>
        <w:pStyle w:val="ParaNoNdepar-AltN"/>
        <w:rPr>
          <w:rFonts w:cs="Times New Roman"/>
          <w:lang w:val="fr-CA"/>
        </w:rPr>
      </w:pPr>
      <w:r w:rsidRPr="00944B7A">
        <w:rPr>
          <w:rFonts w:cs="Times New Roman"/>
          <w:lang w:val="fr-CA"/>
        </w:rPr>
        <w:t>Le fait d</w:t>
      </w:r>
      <w:r>
        <w:rPr>
          <w:rFonts w:cs="Times New Roman"/>
          <w:lang w:val="fr-CA"/>
        </w:rPr>
        <w:t>’</w:t>
      </w:r>
      <w:r w:rsidRPr="00944B7A">
        <w:rPr>
          <w:rFonts w:cs="Times New Roman"/>
          <w:lang w:val="fr-CA"/>
        </w:rPr>
        <w:t xml:space="preserve">autoriser le recours au </w:t>
      </w:r>
      <w:proofErr w:type="spellStart"/>
      <w:r w:rsidRPr="00944B7A">
        <w:rPr>
          <w:rFonts w:cs="Times New Roman"/>
          <w:i/>
          <w:lang w:val="fr-CA"/>
        </w:rPr>
        <w:t>certiorari</w:t>
      </w:r>
      <w:proofErr w:type="spellEnd"/>
      <w:r w:rsidRPr="00944B7A">
        <w:rPr>
          <w:rFonts w:cs="Times New Roman"/>
          <w:i/>
          <w:lang w:val="fr-CA"/>
        </w:rPr>
        <w:t xml:space="preserve"> </w:t>
      </w:r>
      <w:r w:rsidRPr="00944B7A">
        <w:rPr>
          <w:rFonts w:cs="Times New Roman"/>
          <w:lang w:val="fr-CA"/>
        </w:rPr>
        <w:t xml:space="preserve">pour prévoir des appels interlocutoires </w:t>
      </w:r>
      <w:r w:rsidRPr="00944B7A">
        <w:rPr>
          <w:rFonts w:cs="Times New Roman"/>
          <w:i/>
          <w:lang w:val="fr-CA"/>
        </w:rPr>
        <w:t xml:space="preserve">de facto </w:t>
      </w:r>
      <w:r w:rsidRPr="00944B7A">
        <w:rPr>
          <w:rFonts w:cs="Times New Roman"/>
          <w:lang w:val="fr-CA"/>
        </w:rPr>
        <w:t>en matière criminelle établirait une distinction injustifiée entre les procès en cour provinciale et ceux en cour supérieure. Comme il n</w:t>
      </w:r>
      <w:r>
        <w:rPr>
          <w:rFonts w:cs="Times New Roman"/>
          <w:lang w:val="fr-CA"/>
        </w:rPr>
        <w:t>’</w:t>
      </w:r>
      <w:r w:rsidRPr="00944B7A">
        <w:rPr>
          <w:rFonts w:cs="Times New Roman"/>
          <w:lang w:val="fr-CA"/>
        </w:rPr>
        <w:t xml:space="preserve">est pas possible de recourir au </w:t>
      </w:r>
      <w:proofErr w:type="spellStart"/>
      <w:r w:rsidRPr="00944B7A">
        <w:rPr>
          <w:rFonts w:cs="Times New Roman"/>
          <w:i/>
          <w:lang w:val="fr-CA"/>
        </w:rPr>
        <w:t>certiorari</w:t>
      </w:r>
      <w:proofErr w:type="spellEnd"/>
      <w:r w:rsidRPr="00944B7A">
        <w:rPr>
          <w:rFonts w:cs="Times New Roman"/>
          <w:i/>
          <w:lang w:val="fr-CA"/>
        </w:rPr>
        <w:t xml:space="preserve"> </w:t>
      </w:r>
      <w:r w:rsidRPr="00944B7A">
        <w:rPr>
          <w:rFonts w:cs="Times New Roman"/>
          <w:lang w:val="fr-CA"/>
        </w:rPr>
        <w:t>à l</w:t>
      </w:r>
      <w:r>
        <w:rPr>
          <w:rFonts w:cs="Times New Roman"/>
          <w:lang w:val="fr-CA"/>
        </w:rPr>
        <w:t>’</w:t>
      </w:r>
      <w:r w:rsidRPr="00944B7A">
        <w:rPr>
          <w:rFonts w:cs="Times New Roman"/>
          <w:lang w:val="fr-CA"/>
        </w:rPr>
        <w:t>encontre d</w:t>
      </w:r>
      <w:r>
        <w:rPr>
          <w:rFonts w:cs="Times New Roman"/>
          <w:lang w:val="fr-CA"/>
        </w:rPr>
        <w:t>’</w:t>
      </w:r>
      <w:r w:rsidRPr="00944B7A">
        <w:rPr>
          <w:rFonts w:cs="Times New Roman"/>
          <w:lang w:val="fr-CA"/>
        </w:rPr>
        <w:t>une cour supérieure (</w:t>
      </w:r>
      <w:proofErr w:type="spellStart"/>
      <w:r w:rsidRPr="00944B7A">
        <w:rPr>
          <w:rFonts w:cs="Times New Roman"/>
          <w:i/>
          <w:lang w:val="fr-CA"/>
        </w:rPr>
        <w:t>Dagenais</w:t>
      </w:r>
      <w:proofErr w:type="spellEnd"/>
      <w:r w:rsidRPr="00944B7A">
        <w:rPr>
          <w:rFonts w:cs="Times New Roman"/>
          <w:lang w:val="fr-CA"/>
        </w:rPr>
        <w:t xml:space="preserve">, </w:t>
      </w:r>
      <w:r>
        <w:rPr>
          <w:rFonts w:cs="Times New Roman"/>
          <w:lang w:val="fr-CA"/>
        </w:rPr>
        <w:t>p. </w:t>
      </w:r>
      <w:r w:rsidRPr="00944B7A">
        <w:rPr>
          <w:rFonts w:cs="Times New Roman"/>
          <w:lang w:val="fr-CA"/>
        </w:rPr>
        <w:t xml:space="preserve">865), les </w:t>
      </w:r>
      <w:r w:rsidRPr="00944B7A">
        <w:rPr>
          <w:rFonts w:cs="Times New Roman"/>
          <w:lang w:val="fr-CA"/>
        </w:rPr>
        <w:lastRenderedPageBreak/>
        <w:t>décisions interlocutoires des cours provinciales se</w:t>
      </w:r>
      <w:r>
        <w:rPr>
          <w:rFonts w:cs="Times New Roman"/>
          <w:lang w:val="fr-CA"/>
        </w:rPr>
        <w:t>raient susceptibles de contrôle</w:t>
      </w:r>
      <w:r w:rsidRPr="00944B7A">
        <w:rPr>
          <w:rFonts w:cs="Times New Roman"/>
          <w:lang w:val="fr-CA"/>
        </w:rPr>
        <w:t xml:space="preserve">, mais non celles des cours supérieures. </w:t>
      </w:r>
    </w:p>
    <w:p w:rsidR="00D36E2F" w:rsidRPr="00944B7A" w:rsidRDefault="00D36E2F" w:rsidP="00D36E2F">
      <w:pPr>
        <w:pStyle w:val="ParaNoNdepar-AltN"/>
        <w:rPr>
          <w:rFonts w:cs="Times New Roman"/>
          <w:lang w:val="fr-CA"/>
        </w:rPr>
      </w:pPr>
      <w:r w:rsidRPr="00944B7A">
        <w:rPr>
          <w:rFonts w:cs="Times New Roman"/>
          <w:lang w:val="fr-CA"/>
        </w:rPr>
        <w:t xml:space="preserve">Donc, pour résumer, les parties à une instance criminelle ne peuvent recourir au </w:t>
      </w:r>
      <w:proofErr w:type="spellStart"/>
      <w:r w:rsidRPr="00944B7A">
        <w:rPr>
          <w:rFonts w:cs="Times New Roman"/>
          <w:i/>
          <w:lang w:val="fr-CA"/>
        </w:rPr>
        <w:t>certiorari</w:t>
      </w:r>
      <w:proofErr w:type="spellEnd"/>
      <w:r w:rsidRPr="00944B7A">
        <w:rPr>
          <w:rFonts w:cs="Times New Roman"/>
          <w:i/>
          <w:lang w:val="fr-CA"/>
        </w:rPr>
        <w:t xml:space="preserve"> </w:t>
      </w:r>
      <w:r w:rsidRPr="00944B7A">
        <w:rPr>
          <w:rFonts w:cs="Times New Roman"/>
          <w:lang w:val="fr-CA"/>
        </w:rPr>
        <w:t>que s</w:t>
      </w:r>
      <w:r>
        <w:rPr>
          <w:rFonts w:cs="Times New Roman"/>
          <w:lang w:val="fr-CA"/>
        </w:rPr>
        <w:t>’</w:t>
      </w:r>
      <w:r w:rsidRPr="00944B7A">
        <w:rPr>
          <w:rFonts w:cs="Times New Roman"/>
          <w:lang w:val="fr-CA"/>
        </w:rPr>
        <w:t>il y a erreur de compétence d</w:t>
      </w:r>
      <w:r>
        <w:rPr>
          <w:rFonts w:cs="Times New Roman"/>
          <w:lang w:val="fr-CA"/>
        </w:rPr>
        <w:t>’</w:t>
      </w:r>
      <w:r w:rsidRPr="00944B7A">
        <w:rPr>
          <w:rFonts w:cs="Times New Roman"/>
          <w:lang w:val="fr-CA"/>
        </w:rPr>
        <w:t>un juge de la cour provinciale (voir ci</w:t>
      </w:r>
      <w:r>
        <w:rPr>
          <w:rFonts w:cs="Times New Roman"/>
          <w:lang w:val="fr-CA"/>
        </w:rPr>
        <w:noBreakHyphen/>
      </w:r>
      <w:r w:rsidRPr="00944B7A">
        <w:rPr>
          <w:rFonts w:cs="Times New Roman"/>
          <w:lang w:val="fr-CA"/>
        </w:rPr>
        <w:t xml:space="preserve">dessus au </w:t>
      </w:r>
      <w:r>
        <w:rPr>
          <w:rFonts w:cs="Times New Roman"/>
          <w:lang w:val="fr-CA"/>
        </w:rPr>
        <w:t>par. </w:t>
      </w:r>
      <w:r w:rsidRPr="00944B7A">
        <w:rPr>
          <w:rFonts w:cs="Times New Roman"/>
          <w:lang w:val="fr-CA"/>
        </w:rPr>
        <w:t>11). Quant aux tiers, ils peuvent s</w:t>
      </w:r>
      <w:r>
        <w:rPr>
          <w:rFonts w:cs="Times New Roman"/>
          <w:lang w:val="fr-CA"/>
        </w:rPr>
        <w:t>’</w:t>
      </w:r>
      <w:r w:rsidRPr="00944B7A">
        <w:rPr>
          <w:rFonts w:cs="Times New Roman"/>
          <w:lang w:val="fr-CA"/>
        </w:rPr>
        <w:t>en prévaloir pour faire contrôler des erreurs de compétence ainsi que des erreurs manifestes à la lecture du dossier concernant une décision qui a un caractère définitif et contraignant à leur égard (voir ci</w:t>
      </w:r>
      <w:r>
        <w:rPr>
          <w:rFonts w:cs="Times New Roman"/>
          <w:lang w:val="fr-CA"/>
        </w:rPr>
        <w:noBreakHyphen/>
      </w:r>
      <w:r w:rsidRPr="00944B7A">
        <w:rPr>
          <w:rFonts w:cs="Times New Roman"/>
          <w:lang w:val="fr-CA"/>
        </w:rPr>
        <w:t xml:space="preserve">dessus au </w:t>
      </w:r>
      <w:r>
        <w:rPr>
          <w:rFonts w:cs="Times New Roman"/>
          <w:lang w:val="fr-CA"/>
        </w:rPr>
        <w:t>par. </w:t>
      </w:r>
      <w:r w:rsidRPr="00944B7A">
        <w:rPr>
          <w:rFonts w:cs="Times New Roman"/>
          <w:lang w:val="fr-CA"/>
        </w:rPr>
        <w:t>12).</w:t>
      </w:r>
    </w:p>
    <w:p w:rsidR="00D36E2F" w:rsidRPr="00944B7A" w:rsidRDefault="00D36E2F" w:rsidP="00D36E2F">
      <w:pPr>
        <w:pStyle w:val="ParaNoNdepar-AltN"/>
        <w:rPr>
          <w:rFonts w:cs="Times New Roman"/>
          <w:lang w:val="fr-CA"/>
        </w:rPr>
      </w:pPr>
      <w:r w:rsidRPr="00944B7A">
        <w:rPr>
          <w:rFonts w:cs="Times New Roman"/>
          <w:lang w:val="fr-CA"/>
        </w:rPr>
        <w:t xml:space="preserve">En </w:t>
      </w:r>
      <w:proofErr w:type="spellStart"/>
      <w:r w:rsidRPr="00944B7A">
        <w:rPr>
          <w:rFonts w:cs="Times New Roman"/>
          <w:lang w:val="fr-CA"/>
        </w:rPr>
        <w:t>obiter</w:t>
      </w:r>
      <w:proofErr w:type="spellEnd"/>
      <w:r w:rsidRPr="00944B7A">
        <w:rPr>
          <w:rFonts w:cs="Times New Roman"/>
          <w:lang w:val="fr-CA"/>
        </w:rPr>
        <w:t>, la juge Thibault a mentionné que l</w:t>
      </w:r>
      <w:r>
        <w:rPr>
          <w:rFonts w:cs="Times New Roman"/>
          <w:lang w:val="fr-CA"/>
        </w:rPr>
        <w:t>’</w:t>
      </w:r>
      <w:r w:rsidRPr="00944B7A">
        <w:rPr>
          <w:rFonts w:cs="Times New Roman"/>
          <w:lang w:val="fr-CA"/>
        </w:rPr>
        <w:t xml:space="preserve">on pourrait recourir au </w:t>
      </w:r>
      <w:proofErr w:type="spellStart"/>
      <w:r w:rsidRPr="00944B7A">
        <w:rPr>
          <w:rFonts w:cs="Times New Roman"/>
          <w:i/>
          <w:lang w:val="fr-CA"/>
        </w:rPr>
        <w:t>certiorari</w:t>
      </w:r>
      <w:proofErr w:type="spellEnd"/>
      <w:r w:rsidRPr="00944B7A">
        <w:rPr>
          <w:rFonts w:cs="Times New Roman"/>
          <w:i/>
          <w:lang w:val="fr-CA"/>
        </w:rPr>
        <w:t xml:space="preserve"> </w:t>
      </w:r>
      <w:r w:rsidRPr="00944B7A">
        <w:rPr>
          <w:rFonts w:cs="Times New Roman"/>
          <w:lang w:val="fr-CA"/>
        </w:rPr>
        <w:t>lorsqu</w:t>
      </w:r>
      <w:r>
        <w:rPr>
          <w:rFonts w:cs="Times New Roman"/>
          <w:lang w:val="fr-CA"/>
        </w:rPr>
        <w:t>’</w:t>
      </w:r>
      <w:r w:rsidRPr="00944B7A">
        <w:rPr>
          <w:rFonts w:cs="Times New Roman"/>
          <w:lang w:val="fr-CA"/>
        </w:rPr>
        <w:t>une décision porte atteinte de façon irrémédiable aux droits fondamentaux de l</w:t>
      </w:r>
      <w:r>
        <w:rPr>
          <w:rFonts w:cs="Times New Roman"/>
          <w:lang w:val="fr-CA"/>
        </w:rPr>
        <w:t>’</w:t>
      </w:r>
      <w:r w:rsidRPr="00944B7A">
        <w:rPr>
          <w:rFonts w:cs="Times New Roman"/>
          <w:lang w:val="fr-CA"/>
        </w:rPr>
        <w:t>accusé et lorsque l</w:t>
      </w:r>
      <w:r>
        <w:rPr>
          <w:rFonts w:cs="Times New Roman"/>
          <w:lang w:val="fr-CA"/>
        </w:rPr>
        <w:t>’</w:t>
      </w:r>
      <w:r w:rsidRPr="00944B7A">
        <w:rPr>
          <w:rFonts w:cs="Times New Roman"/>
          <w:lang w:val="fr-CA"/>
        </w:rPr>
        <w:t>appel n</w:t>
      </w:r>
      <w:r>
        <w:rPr>
          <w:rFonts w:cs="Times New Roman"/>
          <w:lang w:val="fr-CA"/>
        </w:rPr>
        <w:t>’</w:t>
      </w:r>
      <w:r w:rsidRPr="00944B7A">
        <w:rPr>
          <w:rFonts w:cs="Times New Roman"/>
          <w:lang w:val="fr-CA"/>
        </w:rPr>
        <w:t>offre aucune réparation adéquate. Elle a donné l</w:t>
      </w:r>
      <w:r>
        <w:rPr>
          <w:rFonts w:cs="Times New Roman"/>
          <w:lang w:val="fr-CA"/>
        </w:rPr>
        <w:t>’</w:t>
      </w:r>
      <w:r w:rsidRPr="00944B7A">
        <w:rPr>
          <w:rFonts w:cs="Times New Roman"/>
          <w:lang w:val="fr-CA"/>
        </w:rPr>
        <w:t>exemple du tribunal qui ordonne à l</w:t>
      </w:r>
      <w:r>
        <w:rPr>
          <w:rFonts w:cs="Times New Roman"/>
          <w:lang w:val="fr-CA"/>
        </w:rPr>
        <w:t>’</w:t>
      </w:r>
      <w:r w:rsidRPr="00944B7A">
        <w:rPr>
          <w:rFonts w:cs="Times New Roman"/>
          <w:lang w:val="fr-CA"/>
        </w:rPr>
        <w:t>accusée d</w:t>
      </w:r>
      <w:r>
        <w:rPr>
          <w:rFonts w:cs="Times New Roman"/>
          <w:lang w:val="fr-CA"/>
        </w:rPr>
        <w:t>’</w:t>
      </w:r>
      <w:r w:rsidRPr="00944B7A">
        <w:rPr>
          <w:rFonts w:cs="Times New Roman"/>
          <w:lang w:val="fr-CA"/>
        </w:rPr>
        <w:t xml:space="preserve">enlever son </w:t>
      </w:r>
      <w:proofErr w:type="spellStart"/>
      <w:r w:rsidRPr="00944B7A">
        <w:rPr>
          <w:rFonts w:cs="Times New Roman"/>
          <w:lang w:val="fr-CA"/>
        </w:rPr>
        <w:t>niqab</w:t>
      </w:r>
      <w:proofErr w:type="spellEnd"/>
      <w:r w:rsidRPr="00944B7A">
        <w:rPr>
          <w:rFonts w:cs="Times New Roman"/>
          <w:lang w:val="fr-CA"/>
        </w:rPr>
        <w:t xml:space="preserve"> lors de son témoignage. Je remets à une autre occasion l</w:t>
      </w:r>
      <w:r>
        <w:rPr>
          <w:rFonts w:cs="Times New Roman"/>
          <w:lang w:val="fr-CA"/>
        </w:rPr>
        <w:t>’</w:t>
      </w:r>
      <w:r w:rsidRPr="00944B7A">
        <w:rPr>
          <w:rFonts w:cs="Times New Roman"/>
          <w:lang w:val="fr-CA"/>
        </w:rPr>
        <w:t xml:space="preserve">examen de la question de savoir si une demande de </w:t>
      </w:r>
      <w:proofErr w:type="spellStart"/>
      <w:r w:rsidRPr="00944B7A">
        <w:rPr>
          <w:rFonts w:cs="Times New Roman"/>
          <w:i/>
          <w:lang w:val="fr-CA"/>
        </w:rPr>
        <w:t>certiorari</w:t>
      </w:r>
      <w:proofErr w:type="spellEnd"/>
      <w:r w:rsidRPr="00944B7A">
        <w:rPr>
          <w:rFonts w:cs="Times New Roman"/>
          <w:i/>
          <w:lang w:val="fr-CA"/>
        </w:rPr>
        <w:t xml:space="preserve"> </w:t>
      </w:r>
      <w:r w:rsidRPr="00944B7A">
        <w:rPr>
          <w:rFonts w:cs="Times New Roman"/>
          <w:lang w:val="fr-CA"/>
        </w:rPr>
        <w:t>peut être accueillie en pareilles circonstances.</w:t>
      </w:r>
    </w:p>
    <w:p w:rsidR="00D36E2F" w:rsidRPr="00944B7A" w:rsidRDefault="00D36E2F" w:rsidP="00D36E2F">
      <w:pPr>
        <w:pStyle w:val="Title2LevelTitre2Niveau"/>
        <w:numPr>
          <w:ilvl w:val="1"/>
          <w:numId w:val="21"/>
        </w:numPr>
        <w:tabs>
          <w:tab w:val="clear" w:pos="756"/>
          <w:tab w:val="num" w:pos="576"/>
        </w:tabs>
        <w:ind w:left="576"/>
        <w:rPr>
          <w:rFonts w:cs="Times New Roman"/>
          <w:lang w:val="fr-CA"/>
        </w:rPr>
      </w:pPr>
      <w:r w:rsidRPr="00944B7A">
        <w:rPr>
          <w:rFonts w:cs="Times New Roman"/>
          <w:lang w:val="fr-CA"/>
        </w:rPr>
        <w:t>Peut</w:t>
      </w:r>
      <w:r w:rsidR="00CB0EB1">
        <w:rPr>
          <w:rFonts w:cs="Times New Roman"/>
          <w:lang w:val="fr-CA"/>
        </w:rPr>
        <w:t>-</w:t>
      </w:r>
      <w:r w:rsidRPr="00944B7A">
        <w:rPr>
          <w:rFonts w:cs="Times New Roman"/>
          <w:lang w:val="fr-CA"/>
        </w:rPr>
        <w:t xml:space="preserve">on recourir au </w:t>
      </w:r>
      <w:proofErr w:type="spellStart"/>
      <w:r w:rsidRPr="00944B7A">
        <w:rPr>
          <w:rFonts w:cs="Times New Roman"/>
          <w:lang w:val="fr-CA"/>
        </w:rPr>
        <w:t>certiorari</w:t>
      </w:r>
      <w:proofErr w:type="spellEnd"/>
      <w:r w:rsidRPr="00944B7A">
        <w:rPr>
          <w:rFonts w:cs="Times New Roman"/>
          <w:lang w:val="fr-CA"/>
        </w:rPr>
        <w:t xml:space="preserve"> en l</w:t>
      </w:r>
      <w:r>
        <w:rPr>
          <w:rFonts w:cs="Times New Roman"/>
          <w:lang w:val="fr-CA"/>
        </w:rPr>
        <w:t>’</w:t>
      </w:r>
      <w:r w:rsidRPr="00944B7A">
        <w:rPr>
          <w:rFonts w:cs="Times New Roman"/>
          <w:lang w:val="fr-CA"/>
        </w:rPr>
        <w:t>espèce?</w:t>
      </w:r>
    </w:p>
    <w:p w:rsidR="00D36E2F" w:rsidRPr="00944B7A" w:rsidRDefault="00D36E2F" w:rsidP="00D36E2F">
      <w:pPr>
        <w:pStyle w:val="ParaNoNdepar-AltN"/>
        <w:rPr>
          <w:rFonts w:cs="Times New Roman"/>
          <w:lang w:val="fr-CA"/>
        </w:rPr>
      </w:pPr>
      <w:r w:rsidRPr="00944B7A">
        <w:rPr>
          <w:rFonts w:cs="Times New Roman"/>
          <w:lang w:val="fr-CA"/>
        </w:rPr>
        <w:t xml:space="preserve">Le ministère public prétend que la juge Paradis a également commis deux erreurs de compétence dans son analyse de la requête de type </w:t>
      </w:r>
      <w:r w:rsidRPr="00944B7A">
        <w:rPr>
          <w:rFonts w:cs="Times New Roman"/>
          <w:i/>
          <w:lang w:val="fr-CA"/>
        </w:rPr>
        <w:t>McNeil</w:t>
      </w:r>
      <w:r w:rsidRPr="00944B7A">
        <w:rPr>
          <w:rFonts w:cs="Times New Roman"/>
          <w:lang w:val="fr-CA"/>
        </w:rPr>
        <w:t>. Tout d</w:t>
      </w:r>
      <w:r>
        <w:rPr>
          <w:rFonts w:cs="Times New Roman"/>
          <w:lang w:val="fr-CA"/>
        </w:rPr>
        <w:t>’</w:t>
      </w:r>
      <w:r w:rsidRPr="00944B7A">
        <w:rPr>
          <w:rFonts w:cs="Times New Roman"/>
          <w:lang w:val="fr-CA"/>
        </w:rPr>
        <w:t>abord, elle a fait abstraction à tort de la décision de la juge Lavoie d</w:t>
      </w:r>
      <w:r>
        <w:rPr>
          <w:rFonts w:cs="Times New Roman"/>
          <w:lang w:val="fr-CA"/>
        </w:rPr>
        <w:t>’</w:t>
      </w:r>
      <w:r w:rsidRPr="00944B7A">
        <w:rPr>
          <w:rFonts w:cs="Times New Roman"/>
          <w:lang w:val="fr-CA"/>
        </w:rPr>
        <w:t xml:space="preserve">accueillir la première requête en </w:t>
      </w:r>
      <w:proofErr w:type="spellStart"/>
      <w:r w:rsidRPr="00944B7A">
        <w:rPr>
          <w:rFonts w:cs="Times New Roman"/>
          <w:i/>
          <w:lang w:val="fr-CA"/>
        </w:rPr>
        <w:t>certiorari</w:t>
      </w:r>
      <w:proofErr w:type="spellEnd"/>
      <w:r w:rsidRPr="00944B7A">
        <w:rPr>
          <w:rFonts w:cs="Times New Roman"/>
          <w:lang w:val="fr-CA"/>
        </w:rPr>
        <w:t xml:space="preserve"> du ministère public. Ensuite, la teneur de l</w:t>
      </w:r>
      <w:r>
        <w:rPr>
          <w:rFonts w:cs="Times New Roman"/>
          <w:lang w:val="fr-CA"/>
        </w:rPr>
        <w:t>’</w:t>
      </w:r>
      <w:r w:rsidRPr="00944B7A">
        <w:rPr>
          <w:rFonts w:cs="Times New Roman"/>
          <w:lang w:val="fr-CA"/>
        </w:rPr>
        <w:t>ordonnance de la juge Paradis excédait sa compétence parce qu</w:t>
      </w:r>
      <w:r>
        <w:rPr>
          <w:rFonts w:cs="Times New Roman"/>
          <w:lang w:val="fr-CA"/>
        </w:rPr>
        <w:t>’</w:t>
      </w:r>
      <w:r w:rsidRPr="00944B7A">
        <w:rPr>
          <w:rFonts w:cs="Times New Roman"/>
          <w:lang w:val="fr-CA"/>
        </w:rPr>
        <w:t xml:space="preserve">un tribunal ne peut ordonner au ministère </w:t>
      </w:r>
      <w:r w:rsidRPr="00944B7A">
        <w:rPr>
          <w:rFonts w:cs="Times New Roman"/>
          <w:lang w:val="fr-CA"/>
        </w:rPr>
        <w:lastRenderedPageBreak/>
        <w:t>public de s</w:t>
      </w:r>
      <w:r>
        <w:rPr>
          <w:rFonts w:cs="Times New Roman"/>
          <w:lang w:val="fr-CA"/>
        </w:rPr>
        <w:t>’</w:t>
      </w:r>
      <w:r w:rsidRPr="00944B7A">
        <w:rPr>
          <w:rFonts w:cs="Times New Roman"/>
          <w:lang w:val="fr-CA"/>
        </w:rPr>
        <w:t>enquérir de l</w:t>
      </w:r>
      <w:r>
        <w:rPr>
          <w:rFonts w:cs="Times New Roman"/>
          <w:lang w:val="fr-CA"/>
        </w:rPr>
        <w:t>’</w:t>
      </w:r>
      <w:r w:rsidRPr="00944B7A">
        <w:rPr>
          <w:rFonts w:cs="Times New Roman"/>
          <w:lang w:val="fr-CA"/>
        </w:rPr>
        <w:t>existence de documents avant que l</w:t>
      </w:r>
      <w:r>
        <w:rPr>
          <w:rFonts w:cs="Times New Roman"/>
          <w:lang w:val="fr-CA"/>
        </w:rPr>
        <w:t>’</w:t>
      </w:r>
      <w:r w:rsidRPr="00944B7A">
        <w:rPr>
          <w:rFonts w:cs="Times New Roman"/>
          <w:lang w:val="fr-CA"/>
        </w:rPr>
        <w:t>accusé n</w:t>
      </w:r>
      <w:r>
        <w:rPr>
          <w:rFonts w:cs="Times New Roman"/>
          <w:lang w:val="fr-CA"/>
        </w:rPr>
        <w:t>’</w:t>
      </w:r>
      <w:r w:rsidRPr="00944B7A">
        <w:rPr>
          <w:rFonts w:cs="Times New Roman"/>
          <w:lang w:val="fr-CA"/>
        </w:rPr>
        <w:t>ait démontré qu</w:t>
      </w:r>
      <w:r>
        <w:rPr>
          <w:rFonts w:cs="Times New Roman"/>
          <w:lang w:val="fr-CA"/>
        </w:rPr>
        <w:t>’</w:t>
      </w:r>
      <w:r w:rsidRPr="00944B7A">
        <w:rPr>
          <w:rFonts w:cs="Times New Roman"/>
          <w:lang w:val="fr-CA"/>
        </w:rPr>
        <w:t>ils existent, qu</w:t>
      </w:r>
      <w:r>
        <w:rPr>
          <w:rFonts w:cs="Times New Roman"/>
          <w:lang w:val="fr-CA"/>
        </w:rPr>
        <w:t>’</w:t>
      </w:r>
      <w:r w:rsidRPr="00944B7A">
        <w:rPr>
          <w:rFonts w:cs="Times New Roman"/>
          <w:lang w:val="fr-CA"/>
        </w:rPr>
        <w:t>ils sont pertinents et qu</w:t>
      </w:r>
      <w:r>
        <w:rPr>
          <w:rFonts w:cs="Times New Roman"/>
          <w:lang w:val="fr-CA"/>
        </w:rPr>
        <w:t>’</w:t>
      </w:r>
      <w:r w:rsidRPr="00944B7A">
        <w:rPr>
          <w:rFonts w:cs="Times New Roman"/>
          <w:lang w:val="fr-CA"/>
        </w:rPr>
        <w:t>il est possible pour le ministère public de les obtenir</w:t>
      </w:r>
      <w:r>
        <w:rPr>
          <w:rFonts w:cs="Times New Roman"/>
          <w:lang w:val="fr-CA"/>
        </w:rPr>
        <w:t xml:space="preserve">. </w:t>
      </w:r>
      <w:r w:rsidRPr="00944B7A">
        <w:rPr>
          <w:rFonts w:cs="Times New Roman"/>
          <w:lang w:val="fr-CA"/>
        </w:rPr>
        <w:t xml:space="preserve"> </w:t>
      </w:r>
    </w:p>
    <w:p w:rsidR="00D36E2F" w:rsidRPr="00944B7A" w:rsidRDefault="00D36E2F" w:rsidP="00D36E2F">
      <w:pPr>
        <w:pStyle w:val="ParaNoNdepar-AltN"/>
        <w:rPr>
          <w:rFonts w:cs="Times New Roman"/>
          <w:lang w:val="fr-CA"/>
        </w:rPr>
      </w:pPr>
      <w:r w:rsidRPr="00944B7A">
        <w:rPr>
          <w:rFonts w:cs="Times New Roman"/>
          <w:lang w:val="fr-CA"/>
        </w:rPr>
        <w:t>Or, ni l</w:t>
      </w:r>
      <w:r>
        <w:rPr>
          <w:rFonts w:cs="Times New Roman"/>
          <w:lang w:val="fr-CA"/>
        </w:rPr>
        <w:t>’</w:t>
      </w:r>
      <w:r w:rsidRPr="00944B7A">
        <w:rPr>
          <w:rFonts w:cs="Times New Roman"/>
          <w:lang w:val="fr-CA"/>
        </w:rPr>
        <w:t>une ni l</w:t>
      </w:r>
      <w:r>
        <w:rPr>
          <w:rFonts w:cs="Times New Roman"/>
          <w:lang w:val="fr-CA"/>
        </w:rPr>
        <w:t>’</w:t>
      </w:r>
      <w:r w:rsidRPr="00944B7A">
        <w:rPr>
          <w:rFonts w:cs="Times New Roman"/>
          <w:lang w:val="fr-CA"/>
        </w:rPr>
        <w:t>autre de ces erreurs n</w:t>
      </w:r>
      <w:r>
        <w:rPr>
          <w:rFonts w:cs="Times New Roman"/>
          <w:lang w:val="fr-CA"/>
        </w:rPr>
        <w:t>’</w:t>
      </w:r>
      <w:r w:rsidRPr="00944B7A">
        <w:rPr>
          <w:rFonts w:cs="Times New Roman"/>
          <w:lang w:val="fr-CA"/>
        </w:rPr>
        <w:t>en est une de compétence. En matière criminelle, il y a erreur de compétence lorsque le tribunal ne se conforme pas à une disposition impérative d</w:t>
      </w:r>
      <w:r>
        <w:rPr>
          <w:rFonts w:cs="Times New Roman"/>
          <w:lang w:val="fr-CA"/>
        </w:rPr>
        <w:t>’</w:t>
      </w:r>
      <w:r w:rsidRPr="00944B7A">
        <w:rPr>
          <w:rFonts w:cs="Times New Roman"/>
          <w:lang w:val="fr-CA"/>
        </w:rPr>
        <w:t>une loi ou transgresse les principes de justice naturelle</w:t>
      </w:r>
      <w:r>
        <w:rPr>
          <w:rFonts w:cs="Times New Roman"/>
          <w:lang w:val="fr-CA"/>
        </w:rPr>
        <w:t> :</w:t>
      </w:r>
      <w:r w:rsidRPr="00944B7A">
        <w:rPr>
          <w:rFonts w:cs="Times New Roman"/>
          <w:lang w:val="fr-CA"/>
        </w:rPr>
        <w:t xml:space="preserve"> voir </w:t>
      </w:r>
      <w:proofErr w:type="spellStart"/>
      <w:r w:rsidRPr="00944B7A">
        <w:rPr>
          <w:rFonts w:cs="Times New Roman"/>
          <w:i/>
          <w:lang w:val="fr-CA"/>
        </w:rPr>
        <w:t>Skogman</w:t>
      </w:r>
      <w:proofErr w:type="spellEnd"/>
      <w:r w:rsidRPr="00944B7A">
        <w:rPr>
          <w:rFonts w:cs="Times New Roman"/>
          <w:lang w:val="fr-CA"/>
        </w:rPr>
        <w:t>. L</w:t>
      </w:r>
      <w:r>
        <w:rPr>
          <w:rFonts w:cs="Times New Roman"/>
          <w:lang w:val="fr-CA"/>
        </w:rPr>
        <w:t>’</w:t>
      </w:r>
      <w:r w:rsidRPr="00944B7A">
        <w:rPr>
          <w:rFonts w:cs="Times New Roman"/>
          <w:lang w:val="fr-CA"/>
        </w:rPr>
        <w:t>omission de donner effet à l</w:t>
      </w:r>
      <w:r>
        <w:rPr>
          <w:rFonts w:cs="Times New Roman"/>
          <w:lang w:val="fr-CA"/>
        </w:rPr>
        <w:t>’</w:t>
      </w:r>
      <w:r w:rsidRPr="00944B7A">
        <w:rPr>
          <w:rFonts w:cs="Times New Roman"/>
          <w:lang w:val="fr-CA"/>
        </w:rPr>
        <w:t>autorité de la chose jugée n</w:t>
      </w:r>
      <w:r>
        <w:rPr>
          <w:rFonts w:cs="Times New Roman"/>
          <w:lang w:val="fr-CA"/>
        </w:rPr>
        <w:t>’</w:t>
      </w:r>
      <w:r w:rsidRPr="00944B7A">
        <w:rPr>
          <w:rFonts w:cs="Times New Roman"/>
          <w:lang w:val="fr-CA"/>
        </w:rPr>
        <w:t>est pas une question de compétence</w:t>
      </w:r>
      <w:r>
        <w:rPr>
          <w:rFonts w:cs="Times New Roman"/>
          <w:lang w:val="fr-CA"/>
        </w:rPr>
        <w:t> :</w:t>
      </w:r>
      <w:r w:rsidRPr="00944B7A">
        <w:rPr>
          <w:rFonts w:cs="Times New Roman"/>
          <w:lang w:val="fr-CA"/>
        </w:rPr>
        <w:t xml:space="preserve"> c</w:t>
      </w:r>
      <w:r>
        <w:rPr>
          <w:rFonts w:cs="Times New Roman"/>
          <w:lang w:val="fr-CA"/>
        </w:rPr>
        <w:t>’</w:t>
      </w:r>
      <w:r w:rsidRPr="00944B7A">
        <w:rPr>
          <w:rFonts w:cs="Times New Roman"/>
          <w:lang w:val="fr-CA"/>
        </w:rPr>
        <w:t>est une erreur de droit. Cela dit, je doute qu</w:t>
      </w:r>
      <w:r>
        <w:rPr>
          <w:rFonts w:cs="Times New Roman"/>
          <w:lang w:val="fr-CA"/>
        </w:rPr>
        <w:t>’</w:t>
      </w:r>
      <w:r w:rsidRPr="00944B7A">
        <w:rPr>
          <w:rFonts w:cs="Times New Roman"/>
          <w:lang w:val="fr-CA"/>
        </w:rPr>
        <w:t>il y a</w:t>
      </w:r>
      <w:r w:rsidR="009435FF">
        <w:rPr>
          <w:rFonts w:cs="Times New Roman"/>
          <w:lang w:val="fr-CA"/>
        </w:rPr>
        <w:t>it</w:t>
      </w:r>
      <w:r w:rsidRPr="00944B7A">
        <w:rPr>
          <w:rFonts w:cs="Times New Roman"/>
          <w:lang w:val="fr-CA"/>
        </w:rPr>
        <w:t xml:space="preserve"> eu pareille erreur. L</w:t>
      </w:r>
      <w:r>
        <w:rPr>
          <w:rFonts w:cs="Times New Roman"/>
          <w:lang w:val="fr-CA"/>
        </w:rPr>
        <w:t>’</w:t>
      </w:r>
      <w:r w:rsidRPr="00944B7A">
        <w:rPr>
          <w:rFonts w:cs="Times New Roman"/>
          <w:lang w:val="fr-CA"/>
        </w:rPr>
        <w:t>ordonnance de la juge Lavoie n</w:t>
      </w:r>
      <w:r>
        <w:rPr>
          <w:rFonts w:cs="Times New Roman"/>
          <w:lang w:val="fr-CA"/>
        </w:rPr>
        <w:t>’</w:t>
      </w:r>
      <w:r w:rsidRPr="00944B7A">
        <w:rPr>
          <w:rFonts w:cs="Times New Roman"/>
          <w:lang w:val="fr-CA"/>
        </w:rPr>
        <w:t>empêchait aucunement la juge Paradis d</w:t>
      </w:r>
      <w:r>
        <w:rPr>
          <w:rFonts w:cs="Times New Roman"/>
          <w:lang w:val="fr-CA"/>
        </w:rPr>
        <w:t>’</w:t>
      </w:r>
      <w:r w:rsidRPr="00944B7A">
        <w:rPr>
          <w:rFonts w:cs="Times New Roman"/>
          <w:lang w:val="fr-CA"/>
        </w:rPr>
        <w:t>ordonner au ministère public de s</w:t>
      </w:r>
      <w:r>
        <w:rPr>
          <w:rFonts w:cs="Times New Roman"/>
          <w:lang w:val="fr-CA"/>
        </w:rPr>
        <w:t>’</w:t>
      </w:r>
      <w:r w:rsidRPr="00944B7A">
        <w:rPr>
          <w:rFonts w:cs="Times New Roman"/>
          <w:lang w:val="fr-CA"/>
        </w:rPr>
        <w:t>enquérir de l</w:t>
      </w:r>
      <w:r>
        <w:rPr>
          <w:rFonts w:cs="Times New Roman"/>
          <w:lang w:val="fr-CA"/>
        </w:rPr>
        <w:t>’</w:t>
      </w:r>
      <w:r w:rsidRPr="00944B7A">
        <w:rPr>
          <w:rFonts w:cs="Times New Roman"/>
          <w:lang w:val="fr-CA"/>
        </w:rPr>
        <w:t>existence des documents. En fait, la juge Lavoie n</w:t>
      </w:r>
      <w:r>
        <w:rPr>
          <w:rFonts w:cs="Times New Roman"/>
          <w:lang w:val="fr-CA"/>
        </w:rPr>
        <w:t>’</w:t>
      </w:r>
      <w:r w:rsidRPr="00944B7A">
        <w:rPr>
          <w:rFonts w:cs="Times New Roman"/>
          <w:lang w:val="fr-CA"/>
        </w:rPr>
        <w:t>a pas conclu que les documents étaient dénués de pertinence; elle a simplement estimé que M</w:t>
      </w:r>
      <w:r w:rsidRPr="00944B7A">
        <w:rPr>
          <w:rFonts w:cs="Times New Roman"/>
          <w:vertAlign w:val="superscript"/>
          <w:lang w:val="fr-CA"/>
        </w:rPr>
        <w:t>me</w:t>
      </w:r>
      <w:r w:rsidRPr="00944B7A">
        <w:rPr>
          <w:rFonts w:cs="Times New Roman"/>
          <w:lang w:val="fr-CA"/>
        </w:rPr>
        <w:t xml:space="preserve"> Awashish n</w:t>
      </w:r>
      <w:r>
        <w:rPr>
          <w:rFonts w:cs="Times New Roman"/>
          <w:lang w:val="fr-CA"/>
        </w:rPr>
        <w:t>’</w:t>
      </w:r>
      <w:r w:rsidRPr="00944B7A">
        <w:rPr>
          <w:rFonts w:cs="Times New Roman"/>
          <w:lang w:val="fr-CA"/>
        </w:rPr>
        <w:t>avait pas démontré leur pertinence. De plus, une erreur sur le point de savoir si l</w:t>
      </w:r>
      <w:r>
        <w:rPr>
          <w:rFonts w:cs="Times New Roman"/>
          <w:lang w:val="fr-CA"/>
        </w:rPr>
        <w:t>’</w:t>
      </w:r>
      <w:r w:rsidRPr="00944B7A">
        <w:rPr>
          <w:rFonts w:cs="Times New Roman"/>
          <w:lang w:val="fr-CA"/>
        </w:rPr>
        <w:t>accusé s</w:t>
      </w:r>
      <w:r>
        <w:rPr>
          <w:rFonts w:cs="Times New Roman"/>
          <w:lang w:val="fr-CA"/>
        </w:rPr>
        <w:t>’</w:t>
      </w:r>
      <w:r w:rsidRPr="00944B7A">
        <w:rPr>
          <w:rFonts w:cs="Times New Roman"/>
          <w:lang w:val="fr-CA"/>
        </w:rPr>
        <w:t>est acquitté de son fardeau de preuve à l</w:t>
      </w:r>
      <w:r>
        <w:rPr>
          <w:rFonts w:cs="Times New Roman"/>
          <w:lang w:val="fr-CA"/>
        </w:rPr>
        <w:t>’</w:t>
      </w:r>
      <w:r w:rsidRPr="00944B7A">
        <w:rPr>
          <w:rFonts w:cs="Times New Roman"/>
          <w:lang w:val="fr-CA"/>
        </w:rPr>
        <w:t>égard d</w:t>
      </w:r>
      <w:r>
        <w:rPr>
          <w:rFonts w:cs="Times New Roman"/>
          <w:lang w:val="fr-CA"/>
        </w:rPr>
        <w:t>’</w:t>
      </w:r>
      <w:r w:rsidRPr="00944B7A">
        <w:rPr>
          <w:rFonts w:cs="Times New Roman"/>
          <w:lang w:val="fr-CA"/>
        </w:rPr>
        <w:t xml:space="preserve">une demande de communication est non pas une erreur de compétence, mais uniquement une erreur de droit. </w:t>
      </w:r>
    </w:p>
    <w:p w:rsidR="00D36E2F" w:rsidRPr="00944B7A" w:rsidRDefault="00D36E2F" w:rsidP="00D36E2F">
      <w:pPr>
        <w:pStyle w:val="ParaNoNdepar-AltN"/>
        <w:rPr>
          <w:rFonts w:cs="Times New Roman"/>
          <w:lang w:val="fr-CA"/>
        </w:rPr>
      </w:pPr>
      <w:r w:rsidRPr="00944B7A">
        <w:rPr>
          <w:rFonts w:cs="Times New Roman"/>
          <w:lang w:val="fr-CA"/>
        </w:rPr>
        <w:t>Faute d</w:t>
      </w:r>
      <w:r>
        <w:rPr>
          <w:rFonts w:cs="Times New Roman"/>
          <w:lang w:val="fr-CA"/>
        </w:rPr>
        <w:t>’</w:t>
      </w:r>
      <w:r w:rsidRPr="00944B7A">
        <w:rPr>
          <w:rFonts w:cs="Times New Roman"/>
          <w:lang w:val="fr-CA"/>
        </w:rPr>
        <w:t>une erreur de compétence, l</w:t>
      </w:r>
      <w:r>
        <w:rPr>
          <w:rFonts w:cs="Times New Roman"/>
          <w:lang w:val="fr-CA"/>
        </w:rPr>
        <w:t>’</w:t>
      </w:r>
      <w:r w:rsidRPr="00944B7A">
        <w:rPr>
          <w:rFonts w:cs="Times New Roman"/>
          <w:lang w:val="fr-CA"/>
        </w:rPr>
        <w:t>appel du ministère public est voué à l</w:t>
      </w:r>
      <w:r>
        <w:rPr>
          <w:rFonts w:cs="Times New Roman"/>
          <w:lang w:val="fr-CA"/>
        </w:rPr>
        <w:t>’</w:t>
      </w:r>
      <w:r w:rsidRPr="00944B7A">
        <w:rPr>
          <w:rFonts w:cs="Times New Roman"/>
          <w:lang w:val="fr-CA"/>
        </w:rPr>
        <w:t xml:space="preserve">échec, car on ne peut recourir au </w:t>
      </w:r>
      <w:proofErr w:type="spellStart"/>
      <w:r w:rsidRPr="00944B7A">
        <w:rPr>
          <w:rFonts w:cs="Times New Roman"/>
          <w:i/>
          <w:lang w:val="fr-CA"/>
        </w:rPr>
        <w:t>certiorari</w:t>
      </w:r>
      <w:proofErr w:type="spellEnd"/>
      <w:r w:rsidRPr="00944B7A">
        <w:rPr>
          <w:rFonts w:cs="Times New Roman"/>
          <w:lang w:val="fr-CA"/>
        </w:rPr>
        <w:t>. L</w:t>
      </w:r>
      <w:r>
        <w:rPr>
          <w:rFonts w:cs="Times New Roman"/>
          <w:lang w:val="fr-CA"/>
        </w:rPr>
        <w:t>’</w:t>
      </w:r>
      <w:r w:rsidRPr="00944B7A">
        <w:rPr>
          <w:rFonts w:cs="Times New Roman"/>
          <w:lang w:val="fr-CA"/>
        </w:rPr>
        <w:t>ordonnance de la juge Paradis reste donc en vigueur. Il ne faut cependant pas considérer que les motifs de notre Cour cautionnent cette ordonnance puisqu</w:t>
      </w:r>
      <w:r>
        <w:rPr>
          <w:rFonts w:cs="Times New Roman"/>
          <w:lang w:val="fr-CA"/>
        </w:rPr>
        <w:t>’</w:t>
      </w:r>
      <w:r w:rsidRPr="00944B7A">
        <w:rPr>
          <w:rFonts w:cs="Times New Roman"/>
          <w:lang w:val="fr-CA"/>
        </w:rPr>
        <w:t>elle repose sur une erreur de droit, dont je traite plus loin. Bien que cela ne soit pas nécessaire pour trancher la présente affaire, je clarifierai la nature de ces ordonnances afin de guider les tribunaux pour l</w:t>
      </w:r>
      <w:r>
        <w:rPr>
          <w:rFonts w:cs="Times New Roman"/>
          <w:lang w:val="fr-CA"/>
        </w:rPr>
        <w:t>’</w:t>
      </w:r>
      <w:r w:rsidRPr="00944B7A">
        <w:rPr>
          <w:rFonts w:cs="Times New Roman"/>
          <w:lang w:val="fr-CA"/>
        </w:rPr>
        <w:t xml:space="preserve">avenir. </w:t>
      </w:r>
    </w:p>
    <w:p w:rsidR="00D36E2F" w:rsidRPr="00944B7A" w:rsidRDefault="00D36E2F" w:rsidP="00D36E2F">
      <w:pPr>
        <w:pStyle w:val="ParaNoNdepar-AltN"/>
        <w:rPr>
          <w:rFonts w:cs="Times New Roman"/>
          <w:lang w:val="fr-CA"/>
        </w:rPr>
      </w:pPr>
      <w:r w:rsidRPr="00944B7A">
        <w:rPr>
          <w:rFonts w:cs="Times New Roman"/>
          <w:lang w:val="fr-CA"/>
        </w:rPr>
        <w:lastRenderedPageBreak/>
        <w:t>M</w:t>
      </w:r>
      <w:r w:rsidRPr="00944B7A">
        <w:rPr>
          <w:rFonts w:cs="Times New Roman"/>
          <w:vertAlign w:val="superscript"/>
          <w:lang w:val="fr-CA"/>
        </w:rPr>
        <w:t>me</w:t>
      </w:r>
      <w:r>
        <w:rPr>
          <w:rFonts w:cs="Times New Roman"/>
          <w:lang w:val="fr-CA"/>
        </w:rPr>
        <w:t> </w:t>
      </w:r>
      <w:r w:rsidRPr="00944B7A">
        <w:rPr>
          <w:rFonts w:cs="Times New Roman"/>
          <w:lang w:val="fr-CA"/>
        </w:rPr>
        <w:t>Awashish a tenté de contraindre le ministère public à s</w:t>
      </w:r>
      <w:r>
        <w:rPr>
          <w:rFonts w:cs="Times New Roman"/>
          <w:lang w:val="fr-CA"/>
        </w:rPr>
        <w:t>’</w:t>
      </w:r>
      <w:r w:rsidRPr="00944B7A">
        <w:rPr>
          <w:rFonts w:cs="Times New Roman"/>
          <w:lang w:val="fr-CA"/>
        </w:rPr>
        <w:t>enquérir de l</w:t>
      </w:r>
      <w:r>
        <w:rPr>
          <w:rFonts w:cs="Times New Roman"/>
          <w:lang w:val="fr-CA"/>
        </w:rPr>
        <w:t>’</w:t>
      </w:r>
      <w:r w:rsidRPr="00944B7A">
        <w:rPr>
          <w:rFonts w:cs="Times New Roman"/>
          <w:lang w:val="fr-CA"/>
        </w:rPr>
        <w:t>existence de certains documents portant entre autres sur l</w:t>
      </w:r>
      <w:r>
        <w:rPr>
          <w:rFonts w:cs="Times New Roman"/>
          <w:lang w:val="fr-CA"/>
        </w:rPr>
        <w:t>’</w:t>
      </w:r>
      <w:r w:rsidRPr="00944B7A">
        <w:rPr>
          <w:rFonts w:cs="Times New Roman"/>
          <w:lang w:val="fr-CA"/>
        </w:rPr>
        <w:t>entretien de l</w:t>
      </w:r>
      <w:r>
        <w:rPr>
          <w:rFonts w:cs="Times New Roman"/>
          <w:lang w:val="fr-CA"/>
        </w:rPr>
        <w:t>’</w:t>
      </w:r>
      <w:r w:rsidRPr="00944B7A">
        <w:rPr>
          <w:rFonts w:cs="Times New Roman"/>
          <w:lang w:val="fr-CA"/>
        </w:rPr>
        <w:t>alcootest. Je conviens avec le ministère public que la juge Paradis a commis une erreur en lui ordonnant de vérifier si les documents existent; elle a appliqué le mauvais cadre pour étudier la question. La juge Paradis a invoqué l</w:t>
      </w:r>
      <w:r>
        <w:rPr>
          <w:rFonts w:cs="Times New Roman"/>
          <w:lang w:val="fr-CA"/>
        </w:rPr>
        <w:t>’</w:t>
      </w:r>
      <w:r w:rsidRPr="00944B7A">
        <w:rPr>
          <w:rFonts w:cs="Times New Roman"/>
          <w:lang w:val="fr-CA"/>
        </w:rPr>
        <w:t xml:space="preserve">arrêt </w:t>
      </w:r>
      <w:r w:rsidRPr="00944B7A">
        <w:rPr>
          <w:rFonts w:cs="Times New Roman"/>
          <w:i/>
          <w:lang w:val="fr-CA"/>
        </w:rPr>
        <w:t xml:space="preserve">McNeil </w:t>
      </w:r>
      <w:r w:rsidRPr="00944B7A">
        <w:rPr>
          <w:rFonts w:cs="Times New Roman"/>
          <w:lang w:val="fr-CA"/>
        </w:rPr>
        <w:t>comme fondement de son ordonnance. Or, cet arrêt n</w:t>
      </w:r>
      <w:r>
        <w:rPr>
          <w:rFonts w:cs="Times New Roman"/>
          <w:lang w:val="fr-CA"/>
        </w:rPr>
        <w:t>’</w:t>
      </w:r>
      <w:r w:rsidRPr="00944B7A">
        <w:rPr>
          <w:rFonts w:cs="Times New Roman"/>
          <w:lang w:val="fr-CA"/>
        </w:rPr>
        <w:t>oblige pas le ministère public à s</w:t>
      </w:r>
      <w:r>
        <w:rPr>
          <w:rFonts w:cs="Times New Roman"/>
          <w:lang w:val="fr-CA"/>
        </w:rPr>
        <w:t>’</w:t>
      </w:r>
      <w:r w:rsidRPr="00944B7A">
        <w:rPr>
          <w:rFonts w:cs="Times New Roman"/>
          <w:lang w:val="fr-CA"/>
        </w:rPr>
        <w:t>enquérir de l</w:t>
      </w:r>
      <w:r>
        <w:rPr>
          <w:rFonts w:cs="Times New Roman"/>
          <w:lang w:val="fr-CA"/>
        </w:rPr>
        <w:t>’</w:t>
      </w:r>
      <w:r w:rsidRPr="00944B7A">
        <w:rPr>
          <w:rFonts w:cs="Times New Roman"/>
          <w:lang w:val="fr-CA"/>
        </w:rPr>
        <w:t>existence de documents à la demande de la défense. Il lui impose plutôt une obligation de se renseigner auprès d</w:t>
      </w:r>
      <w:r>
        <w:rPr>
          <w:rFonts w:cs="Times New Roman"/>
          <w:lang w:val="fr-CA"/>
        </w:rPr>
        <w:t>’</w:t>
      </w:r>
      <w:r w:rsidRPr="00944B7A">
        <w:rPr>
          <w:rFonts w:cs="Times New Roman"/>
          <w:lang w:val="fr-CA"/>
        </w:rPr>
        <w:t xml:space="preserve">autres organes étatiques qui prend naissance </w:t>
      </w:r>
      <w:r w:rsidRPr="00944B7A">
        <w:rPr>
          <w:rFonts w:cs="Times New Roman"/>
          <w:i/>
          <w:lang w:val="fr-CA"/>
        </w:rPr>
        <w:t>seulement</w:t>
      </w:r>
      <w:r>
        <w:rPr>
          <w:rFonts w:cs="Times New Roman"/>
          <w:i/>
          <w:lang w:val="fr-CA"/>
        </w:rPr>
        <w:t xml:space="preserve"> </w:t>
      </w:r>
      <w:r w:rsidRPr="00944B7A">
        <w:rPr>
          <w:rFonts w:cs="Times New Roman"/>
          <w:lang w:val="fr-CA"/>
        </w:rPr>
        <w:t>au moment où le ministère public est avisé de l</w:t>
      </w:r>
      <w:r>
        <w:rPr>
          <w:rFonts w:cs="Times New Roman"/>
          <w:lang w:val="fr-CA"/>
        </w:rPr>
        <w:t>’</w:t>
      </w:r>
      <w:r w:rsidRPr="00944B7A">
        <w:rPr>
          <w:rFonts w:cs="Times New Roman"/>
          <w:lang w:val="fr-CA"/>
        </w:rPr>
        <w:t>existence des documents en question (</w:t>
      </w:r>
      <w:r>
        <w:rPr>
          <w:rFonts w:cs="Times New Roman"/>
          <w:lang w:val="fr-CA"/>
        </w:rPr>
        <w:t xml:space="preserve">voir </w:t>
      </w:r>
      <w:r w:rsidRPr="00944B7A">
        <w:rPr>
          <w:rFonts w:cs="Times New Roman"/>
          <w:i/>
          <w:lang w:val="fr-CA"/>
        </w:rPr>
        <w:t>McNeil</w:t>
      </w:r>
      <w:r w:rsidRPr="00944B7A">
        <w:rPr>
          <w:rFonts w:cs="Times New Roman"/>
          <w:lang w:val="fr-CA"/>
        </w:rPr>
        <w:t xml:space="preserve">, </w:t>
      </w:r>
      <w:r>
        <w:rPr>
          <w:rFonts w:cs="Times New Roman"/>
          <w:lang w:val="fr-CA"/>
        </w:rPr>
        <w:t>par. </w:t>
      </w:r>
      <w:r w:rsidRPr="00944B7A">
        <w:rPr>
          <w:rFonts w:cs="Times New Roman"/>
          <w:lang w:val="fr-CA"/>
        </w:rPr>
        <w:t xml:space="preserve">49). </w:t>
      </w:r>
    </w:p>
    <w:p w:rsidR="00D36E2F" w:rsidRPr="00944B7A" w:rsidRDefault="00D36E2F" w:rsidP="00D36E2F">
      <w:pPr>
        <w:pStyle w:val="ParaNoNdepar-AltN"/>
        <w:rPr>
          <w:rFonts w:cs="Times New Roman"/>
          <w:lang w:val="fr-CA"/>
        </w:rPr>
      </w:pPr>
      <w:r w:rsidRPr="00944B7A">
        <w:rPr>
          <w:rFonts w:cs="Times New Roman"/>
          <w:lang w:val="fr-CA"/>
        </w:rPr>
        <w:t>Le ministère public a nié l</w:t>
      </w:r>
      <w:r>
        <w:rPr>
          <w:rFonts w:cs="Times New Roman"/>
          <w:lang w:val="fr-CA"/>
        </w:rPr>
        <w:t>’</w:t>
      </w:r>
      <w:r w:rsidRPr="00944B7A">
        <w:rPr>
          <w:rFonts w:cs="Times New Roman"/>
          <w:lang w:val="fr-CA"/>
        </w:rPr>
        <w:t>existence des documents en l</w:t>
      </w:r>
      <w:r>
        <w:rPr>
          <w:rFonts w:cs="Times New Roman"/>
          <w:lang w:val="fr-CA"/>
        </w:rPr>
        <w:t>’</w:t>
      </w:r>
      <w:r w:rsidRPr="00944B7A">
        <w:rPr>
          <w:rFonts w:cs="Times New Roman"/>
          <w:lang w:val="fr-CA"/>
        </w:rPr>
        <w:t>espèce. Quand le ministère public nie l</w:t>
      </w:r>
      <w:r>
        <w:rPr>
          <w:rFonts w:cs="Times New Roman"/>
          <w:lang w:val="fr-CA"/>
        </w:rPr>
        <w:t>’</w:t>
      </w:r>
      <w:r w:rsidRPr="00944B7A">
        <w:rPr>
          <w:rFonts w:cs="Times New Roman"/>
          <w:lang w:val="fr-CA"/>
        </w:rPr>
        <w:t>existence des documents en cause, le cadre d</w:t>
      </w:r>
      <w:r>
        <w:rPr>
          <w:rFonts w:cs="Times New Roman"/>
          <w:lang w:val="fr-CA"/>
        </w:rPr>
        <w:t>’</w:t>
      </w:r>
      <w:r w:rsidRPr="00944B7A">
        <w:rPr>
          <w:rFonts w:cs="Times New Roman"/>
          <w:lang w:val="fr-CA"/>
        </w:rPr>
        <w:t xml:space="preserve">analyse applicable est celui établi dans </w:t>
      </w:r>
      <w:r w:rsidRPr="00944B7A">
        <w:rPr>
          <w:rFonts w:cs="Times New Roman"/>
          <w:i/>
          <w:lang w:val="fr-CA"/>
        </w:rPr>
        <w:t>R. c. Chaplin</w:t>
      </w:r>
      <w:r w:rsidRPr="00944B7A">
        <w:rPr>
          <w:rFonts w:cs="Times New Roman"/>
          <w:lang w:val="fr-CA"/>
        </w:rPr>
        <w:t xml:space="preserve">, [1995] 1 R.C.S. 727, où le juge </w:t>
      </w:r>
      <w:proofErr w:type="spellStart"/>
      <w:r w:rsidRPr="00944B7A">
        <w:rPr>
          <w:rFonts w:cs="Times New Roman"/>
          <w:lang w:val="fr-CA"/>
        </w:rPr>
        <w:t>Sopinka</w:t>
      </w:r>
      <w:proofErr w:type="spellEnd"/>
      <w:r w:rsidRPr="00944B7A">
        <w:rPr>
          <w:rFonts w:cs="Times New Roman"/>
          <w:lang w:val="fr-CA"/>
        </w:rPr>
        <w:t xml:space="preserve"> a décrit la procédure suivante, au </w:t>
      </w:r>
      <w:r>
        <w:rPr>
          <w:rFonts w:cs="Times New Roman"/>
          <w:lang w:val="fr-CA"/>
        </w:rPr>
        <w:t>par. </w:t>
      </w:r>
      <w:r w:rsidRPr="00944B7A">
        <w:rPr>
          <w:rFonts w:cs="Times New Roman"/>
          <w:lang w:val="fr-CA"/>
        </w:rPr>
        <w:t>30</w:t>
      </w:r>
      <w:r>
        <w:rPr>
          <w:rFonts w:cs="Times New Roman"/>
          <w:lang w:val="fr-CA"/>
        </w:rPr>
        <w:t> :</w:t>
      </w:r>
    </w:p>
    <w:p w:rsidR="00D36E2F" w:rsidRPr="00944B7A" w:rsidRDefault="00D36E2F" w:rsidP="00D36E2F">
      <w:pPr>
        <w:pStyle w:val="Citation-AltC"/>
        <w:ind w:hanging="1166"/>
        <w:rPr>
          <w:lang w:val="fr-CA"/>
        </w:rPr>
      </w:pPr>
      <w:r w:rsidRPr="00944B7A">
        <w:rPr>
          <w:lang w:val="fr-CA"/>
        </w:rPr>
        <w:tab/>
        <w:t>Du moment que le ministère public affirme avoir rempli son obligation de produire, on ne saurait le contraindre à justifier la non</w:t>
      </w:r>
      <w:r>
        <w:rPr>
          <w:lang w:val="fr-CA"/>
        </w:rPr>
        <w:noBreakHyphen/>
      </w:r>
      <w:r w:rsidRPr="00944B7A">
        <w:rPr>
          <w:lang w:val="fr-CA"/>
        </w:rPr>
        <w:t>divulgation de renseignements dont il ignore ou nie l</w:t>
      </w:r>
      <w:r>
        <w:rPr>
          <w:lang w:val="fr-CA"/>
        </w:rPr>
        <w:t>’</w:t>
      </w:r>
      <w:r w:rsidRPr="00944B7A">
        <w:rPr>
          <w:lang w:val="fr-CA"/>
        </w:rPr>
        <w:t>existence. Le ministère public n</w:t>
      </w:r>
      <w:r>
        <w:rPr>
          <w:lang w:val="fr-CA"/>
        </w:rPr>
        <w:t>’</w:t>
      </w:r>
      <w:r w:rsidRPr="00944B7A">
        <w:rPr>
          <w:lang w:val="fr-CA"/>
        </w:rPr>
        <w:t>est donc tenu de rien faire d</w:t>
      </w:r>
      <w:r>
        <w:rPr>
          <w:lang w:val="fr-CA"/>
        </w:rPr>
        <w:t>’</w:t>
      </w:r>
      <w:r w:rsidRPr="00944B7A">
        <w:rPr>
          <w:lang w:val="fr-CA"/>
        </w:rPr>
        <w:t>autre tant que la défense n</w:t>
      </w:r>
      <w:r>
        <w:rPr>
          <w:lang w:val="fr-CA"/>
        </w:rPr>
        <w:t>’</w:t>
      </w:r>
      <w:r w:rsidRPr="00944B7A">
        <w:rPr>
          <w:lang w:val="fr-CA"/>
        </w:rPr>
        <w:t>a pas établi des motifs sur lesquels le juge qui préside peut se fonder pour conclure à l</w:t>
      </w:r>
      <w:r>
        <w:rPr>
          <w:lang w:val="fr-CA"/>
        </w:rPr>
        <w:t>’</w:t>
      </w:r>
      <w:r w:rsidRPr="00944B7A">
        <w:rPr>
          <w:lang w:val="fr-CA"/>
        </w:rPr>
        <w:t>existence d</w:t>
      </w:r>
      <w:r>
        <w:rPr>
          <w:lang w:val="fr-CA"/>
        </w:rPr>
        <w:t>’</w:t>
      </w:r>
      <w:r w:rsidRPr="00944B7A">
        <w:rPr>
          <w:lang w:val="fr-CA"/>
        </w:rPr>
        <w:t>autres renseignements qui sont peut</w:t>
      </w:r>
      <w:r>
        <w:rPr>
          <w:lang w:val="fr-CA"/>
        </w:rPr>
        <w:noBreakHyphen/>
      </w:r>
      <w:r w:rsidRPr="00944B7A">
        <w:rPr>
          <w:lang w:val="fr-CA"/>
        </w:rPr>
        <w:t xml:space="preserve">être pertinents. </w:t>
      </w:r>
    </w:p>
    <w:p w:rsidR="00D36E2F" w:rsidRPr="00944B7A" w:rsidRDefault="00D36E2F" w:rsidP="00D36E2F">
      <w:pPr>
        <w:pStyle w:val="ParaNoNdepar-AltN"/>
        <w:rPr>
          <w:rFonts w:cs="Times New Roman"/>
          <w:lang w:val="fr-CA"/>
        </w:rPr>
      </w:pPr>
      <w:r w:rsidRPr="00944B7A">
        <w:rPr>
          <w:rFonts w:cs="Times New Roman"/>
          <w:lang w:val="fr-CA"/>
        </w:rPr>
        <w:t>M</w:t>
      </w:r>
      <w:r w:rsidRPr="00944B7A">
        <w:rPr>
          <w:rFonts w:cs="Times New Roman"/>
          <w:vertAlign w:val="superscript"/>
          <w:lang w:val="fr-CA"/>
        </w:rPr>
        <w:t>me</w:t>
      </w:r>
      <w:r>
        <w:rPr>
          <w:rFonts w:cs="Times New Roman"/>
          <w:lang w:val="fr-CA"/>
        </w:rPr>
        <w:t> </w:t>
      </w:r>
      <w:r w:rsidRPr="00944B7A">
        <w:rPr>
          <w:rFonts w:cs="Times New Roman"/>
          <w:lang w:val="fr-CA"/>
        </w:rPr>
        <w:t>Awashish n</w:t>
      </w:r>
      <w:r>
        <w:rPr>
          <w:rFonts w:cs="Times New Roman"/>
          <w:lang w:val="fr-CA"/>
        </w:rPr>
        <w:t>’</w:t>
      </w:r>
      <w:r w:rsidRPr="00944B7A">
        <w:rPr>
          <w:rFonts w:cs="Times New Roman"/>
          <w:lang w:val="fr-CA"/>
        </w:rPr>
        <w:t>a pas établi des motifs de conclure à l</w:t>
      </w:r>
      <w:r>
        <w:rPr>
          <w:rFonts w:cs="Times New Roman"/>
          <w:lang w:val="fr-CA"/>
        </w:rPr>
        <w:t>’</w:t>
      </w:r>
      <w:r w:rsidRPr="00944B7A">
        <w:rPr>
          <w:rFonts w:cs="Times New Roman"/>
          <w:lang w:val="fr-CA"/>
        </w:rPr>
        <w:t>existence ou à la pertinence des documents. Le ministère public n</w:t>
      </w:r>
      <w:r>
        <w:rPr>
          <w:rFonts w:cs="Times New Roman"/>
          <w:lang w:val="fr-CA"/>
        </w:rPr>
        <w:t>’</w:t>
      </w:r>
      <w:r w:rsidRPr="00944B7A">
        <w:rPr>
          <w:rFonts w:cs="Times New Roman"/>
          <w:lang w:val="fr-CA"/>
        </w:rPr>
        <w:t xml:space="preserve">était donc pas tenu de se pencher sur la question. La juge Paradis a eu tort de conclure le contraire. Toutefois, comme elle </w:t>
      </w:r>
      <w:r w:rsidRPr="00944B7A">
        <w:rPr>
          <w:rFonts w:cs="Times New Roman"/>
          <w:lang w:val="fr-CA"/>
        </w:rPr>
        <w:lastRenderedPageBreak/>
        <w:t>n</w:t>
      </w:r>
      <w:r>
        <w:rPr>
          <w:rFonts w:cs="Times New Roman"/>
          <w:lang w:val="fr-CA"/>
        </w:rPr>
        <w:t>’</w:t>
      </w:r>
      <w:r w:rsidRPr="00944B7A">
        <w:rPr>
          <w:rFonts w:cs="Times New Roman"/>
          <w:lang w:val="fr-CA"/>
        </w:rPr>
        <w:t xml:space="preserve">a commis aucune erreur de compétence, le </w:t>
      </w:r>
      <w:proofErr w:type="spellStart"/>
      <w:r w:rsidRPr="00944B7A">
        <w:rPr>
          <w:rFonts w:cs="Times New Roman"/>
          <w:i/>
          <w:lang w:val="fr-CA"/>
        </w:rPr>
        <w:t>certiorari</w:t>
      </w:r>
      <w:proofErr w:type="spellEnd"/>
      <w:r w:rsidRPr="00944B7A">
        <w:rPr>
          <w:rFonts w:cs="Times New Roman"/>
          <w:lang w:val="fr-CA"/>
        </w:rPr>
        <w:t xml:space="preserve"> ne peut servir à corriger l</w:t>
      </w:r>
      <w:r>
        <w:rPr>
          <w:rFonts w:cs="Times New Roman"/>
          <w:lang w:val="fr-CA"/>
        </w:rPr>
        <w:t>’</w:t>
      </w:r>
      <w:r w:rsidRPr="00944B7A">
        <w:rPr>
          <w:rFonts w:cs="Times New Roman"/>
          <w:lang w:val="fr-CA"/>
        </w:rPr>
        <w:t>erreur en cause.</w:t>
      </w:r>
    </w:p>
    <w:p w:rsidR="00D36E2F" w:rsidRPr="00944B7A" w:rsidRDefault="00D36E2F" w:rsidP="00D36E2F">
      <w:pPr>
        <w:pStyle w:val="Title1LevelTitre1Niveau-AltL"/>
        <w:numPr>
          <w:ilvl w:val="0"/>
          <w:numId w:val="8"/>
        </w:numPr>
        <w:rPr>
          <w:rFonts w:cs="Times New Roman"/>
          <w:lang w:val="en-US"/>
        </w:rPr>
      </w:pPr>
      <w:r w:rsidRPr="00944B7A">
        <w:rPr>
          <w:rFonts w:cs="Times New Roman"/>
          <w:lang w:val="en-US"/>
        </w:rPr>
        <w:t>Conclusion</w:t>
      </w:r>
    </w:p>
    <w:p w:rsidR="00D36E2F" w:rsidRPr="00944B7A" w:rsidRDefault="00D36E2F" w:rsidP="00D36E2F">
      <w:pPr>
        <w:pStyle w:val="ParaNoNdepar-AltN"/>
        <w:rPr>
          <w:rFonts w:cs="Times New Roman"/>
          <w:lang w:val="fr-CA"/>
        </w:rPr>
      </w:pPr>
      <w:r w:rsidRPr="00944B7A">
        <w:rPr>
          <w:rFonts w:cs="Times New Roman"/>
          <w:lang w:val="fr-CA"/>
        </w:rPr>
        <w:t>Le pourvoi du ministère public est rejeté. L</w:t>
      </w:r>
      <w:r>
        <w:rPr>
          <w:rFonts w:cs="Times New Roman"/>
          <w:lang w:val="fr-CA"/>
        </w:rPr>
        <w:t>’</w:t>
      </w:r>
      <w:r w:rsidRPr="00944B7A">
        <w:rPr>
          <w:rFonts w:cs="Times New Roman"/>
          <w:lang w:val="fr-CA"/>
        </w:rPr>
        <w:t>ordonnance de la juge Paradis reste donc en vigueur. Si une demande de communication de la preuve s</w:t>
      </w:r>
      <w:r>
        <w:rPr>
          <w:rFonts w:cs="Times New Roman"/>
          <w:lang w:val="fr-CA"/>
        </w:rPr>
        <w:t>’</w:t>
      </w:r>
      <w:r w:rsidRPr="00944B7A">
        <w:rPr>
          <w:rFonts w:cs="Times New Roman"/>
          <w:lang w:val="fr-CA"/>
        </w:rPr>
        <w:t>ensuit, il conviendra d</w:t>
      </w:r>
      <w:r>
        <w:rPr>
          <w:rFonts w:cs="Times New Roman"/>
          <w:lang w:val="fr-CA"/>
        </w:rPr>
        <w:t>’</w:t>
      </w:r>
      <w:r w:rsidRPr="00944B7A">
        <w:rPr>
          <w:rFonts w:cs="Times New Roman"/>
          <w:lang w:val="fr-CA"/>
        </w:rPr>
        <w:t xml:space="preserve">étudier la pertinence des documents eu égard à la décision rendue par notre Cour dans </w:t>
      </w:r>
      <w:r w:rsidRPr="00944B7A">
        <w:rPr>
          <w:rFonts w:cs="Times New Roman"/>
          <w:i/>
          <w:lang w:val="fr-CA"/>
        </w:rPr>
        <w:t>Gubbins.</w:t>
      </w:r>
    </w:p>
    <w:p w:rsidR="004D7D95" w:rsidRPr="007E7EED" w:rsidRDefault="000400A1" w:rsidP="00CB4886">
      <w:pPr>
        <w:pStyle w:val="SCCNormalDoubleSpacing"/>
        <w:spacing w:after="480"/>
        <w:rPr>
          <w:lang w:val="fr-CA"/>
        </w:rPr>
      </w:pPr>
      <w:r w:rsidRPr="007E7EED">
        <w:rPr>
          <w:lang w:val="fr-CA"/>
        </w:rPr>
        <w:tab/>
      </w:r>
      <w:r w:rsidRPr="007E7EED">
        <w:rPr>
          <w:i/>
          <w:lang w:val="fr-CA"/>
        </w:rPr>
        <w:t xml:space="preserve">Pourvoi </w:t>
      </w:r>
      <w:r w:rsidR="00BA07B9" w:rsidRPr="007E7EED">
        <w:rPr>
          <w:i/>
          <w:lang w:val="fr-CA"/>
        </w:rPr>
        <w:t>rejeté</w:t>
      </w:r>
      <w:r w:rsidRPr="007E7EED">
        <w:rPr>
          <w:i/>
          <w:lang w:val="fr-CA"/>
        </w:rPr>
        <w:t xml:space="preserve">. </w:t>
      </w:r>
    </w:p>
    <w:p w:rsidR="00FA70C1" w:rsidRPr="007E7EED" w:rsidRDefault="007A4FCC" w:rsidP="00CB4886">
      <w:pPr>
        <w:pStyle w:val="SCCLawFirm"/>
        <w:spacing w:after="480"/>
        <w:rPr>
          <w:lang w:val="fr-CA"/>
        </w:rPr>
      </w:pPr>
      <w:r w:rsidRPr="007E7EED">
        <w:rPr>
          <w:lang w:val="fr-CA"/>
        </w:rPr>
        <w:tab/>
        <w:t>Procureur de l</w:t>
      </w:r>
      <w:r w:rsidR="001A43AC">
        <w:rPr>
          <w:lang w:val="fr-CA"/>
        </w:rPr>
        <w:t>’</w:t>
      </w:r>
      <w:r w:rsidRPr="007E7EED">
        <w:rPr>
          <w:lang w:val="fr-CA"/>
        </w:rPr>
        <w:t>appelante</w:t>
      </w:r>
      <w:r w:rsidR="00E048E5">
        <w:rPr>
          <w:lang w:val="fr-CA"/>
        </w:rPr>
        <w:t> :</w:t>
      </w:r>
      <w:r w:rsidR="00CB4886" w:rsidRPr="007E7EED">
        <w:rPr>
          <w:lang w:val="fr-CA"/>
        </w:rPr>
        <w:t> </w:t>
      </w:r>
      <w:r w:rsidR="006741B0" w:rsidRPr="007E7EED">
        <w:rPr>
          <w:lang w:val="fr-CA"/>
        </w:rPr>
        <w:t xml:space="preserve">Directeur des poursuites </w:t>
      </w:r>
      <w:r w:rsidRPr="007E7EED">
        <w:rPr>
          <w:lang w:val="fr-CA"/>
        </w:rPr>
        <w:t>criminelles et pénales, Québec.</w:t>
      </w:r>
    </w:p>
    <w:p w:rsidR="00FA70C1" w:rsidRPr="007E7EED" w:rsidRDefault="000400A1" w:rsidP="00CB4886">
      <w:pPr>
        <w:pStyle w:val="SCCLawFirm"/>
        <w:spacing w:after="480"/>
        <w:rPr>
          <w:lang w:val="fr-CA"/>
        </w:rPr>
      </w:pPr>
      <w:r w:rsidRPr="007E7EED">
        <w:rPr>
          <w:lang w:val="fr-CA"/>
        </w:rPr>
        <w:tab/>
        <w:t>Procureur</w:t>
      </w:r>
      <w:r w:rsidR="007A4FCC" w:rsidRPr="007E7EED">
        <w:rPr>
          <w:lang w:val="fr-CA"/>
        </w:rPr>
        <w:t>s de l</w:t>
      </w:r>
      <w:r w:rsidR="001A43AC">
        <w:rPr>
          <w:lang w:val="fr-CA"/>
        </w:rPr>
        <w:t>’</w:t>
      </w:r>
      <w:r w:rsidRPr="007E7EED">
        <w:rPr>
          <w:lang w:val="fr-CA"/>
        </w:rPr>
        <w:t>intimé</w:t>
      </w:r>
      <w:r w:rsidR="007A4FCC" w:rsidRPr="007E7EED">
        <w:rPr>
          <w:lang w:val="fr-CA"/>
        </w:rPr>
        <w:t>e</w:t>
      </w:r>
      <w:r w:rsidR="00E048E5">
        <w:rPr>
          <w:lang w:val="fr-CA"/>
        </w:rPr>
        <w:t> :</w:t>
      </w:r>
      <w:r w:rsidR="00CB4886" w:rsidRPr="007E7EED">
        <w:rPr>
          <w:lang w:val="fr-CA"/>
        </w:rPr>
        <w:t> </w:t>
      </w:r>
      <w:proofErr w:type="spellStart"/>
      <w:r w:rsidR="007A4FCC" w:rsidRPr="007E7EED">
        <w:rPr>
          <w:lang w:val="fr-CA"/>
        </w:rPr>
        <w:t>Fradette</w:t>
      </w:r>
      <w:proofErr w:type="spellEnd"/>
      <w:r w:rsidR="007A4FCC" w:rsidRPr="007E7EED">
        <w:rPr>
          <w:lang w:val="fr-CA"/>
        </w:rPr>
        <w:t xml:space="preserve"> &amp; Le Bel, Chicoutimi.</w:t>
      </w:r>
    </w:p>
    <w:p w:rsidR="00FA70C1" w:rsidRPr="007E7EED" w:rsidRDefault="000400A1">
      <w:pPr>
        <w:pStyle w:val="SCCLawFirm"/>
        <w:rPr>
          <w:lang w:val="fr-CA"/>
        </w:rPr>
      </w:pPr>
      <w:r w:rsidRPr="007E7EED">
        <w:rPr>
          <w:lang w:val="fr-CA"/>
        </w:rPr>
        <w:tab/>
        <w:t>Procureur</w:t>
      </w:r>
      <w:r w:rsidR="007A4FCC" w:rsidRPr="007E7EED">
        <w:rPr>
          <w:lang w:val="fr-CA"/>
        </w:rPr>
        <w:t xml:space="preserve"> de l</w:t>
      </w:r>
      <w:r w:rsidR="001A43AC">
        <w:rPr>
          <w:lang w:val="fr-CA"/>
        </w:rPr>
        <w:t>’</w:t>
      </w:r>
      <w:r w:rsidR="007A4FCC" w:rsidRPr="007E7EED">
        <w:rPr>
          <w:lang w:val="fr-CA"/>
        </w:rPr>
        <w:t>intervenant</w:t>
      </w:r>
      <w:r w:rsidR="009F7871" w:rsidRPr="007E7EED">
        <w:rPr>
          <w:lang w:val="fr-CA"/>
        </w:rPr>
        <w:t>e</w:t>
      </w:r>
      <w:r w:rsidR="00E048E5">
        <w:rPr>
          <w:lang w:val="fr-CA"/>
        </w:rPr>
        <w:t> :</w:t>
      </w:r>
      <w:r w:rsidR="00CB4886" w:rsidRPr="007E7EED">
        <w:rPr>
          <w:lang w:val="fr-CA"/>
        </w:rPr>
        <w:t> </w:t>
      </w:r>
      <w:r w:rsidRPr="007E7EED">
        <w:rPr>
          <w:lang w:val="fr-CA"/>
        </w:rPr>
        <w:t>Procureur</w:t>
      </w:r>
      <w:r w:rsidR="009F7871" w:rsidRPr="007E7EED">
        <w:rPr>
          <w:lang w:val="fr-CA"/>
        </w:rPr>
        <w:t>e</w:t>
      </w:r>
      <w:r w:rsidRPr="007E7EED">
        <w:rPr>
          <w:lang w:val="fr-CA"/>
        </w:rPr>
        <w:t xml:space="preserve"> général</w:t>
      </w:r>
      <w:r w:rsidR="009F7871" w:rsidRPr="007E7EED">
        <w:rPr>
          <w:lang w:val="fr-CA"/>
        </w:rPr>
        <w:t>e</w:t>
      </w:r>
      <w:r w:rsidRPr="007E7EED">
        <w:rPr>
          <w:lang w:val="fr-CA"/>
        </w:rPr>
        <w:t xml:space="preserve"> de l</w:t>
      </w:r>
      <w:r w:rsidR="001A43AC">
        <w:rPr>
          <w:lang w:val="fr-CA"/>
        </w:rPr>
        <w:t>’</w:t>
      </w:r>
      <w:r w:rsidR="007A4FCC" w:rsidRPr="007E7EED">
        <w:rPr>
          <w:lang w:val="fr-CA"/>
        </w:rPr>
        <w:t>Ontario, Toronto.</w:t>
      </w:r>
    </w:p>
    <w:sectPr w:rsidR="00FA70C1" w:rsidRPr="007E7EED"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EC2" w:rsidRDefault="00834EC2">
      <w:r>
        <w:separator/>
      </w:r>
    </w:p>
  </w:endnote>
  <w:endnote w:type="continuationSeparator" w:id="0">
    <w:p w:rsidR="00834EC2" w:rsidRDefault="0083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D44" w:rsidRDefault="007E7D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D44" w:rsidRDefault="007E7D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D44" w:rsidRDefault="007E7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EC2" w:rsidRDefault="00834EC2">
      <w:r>
        <w:separator/>
      </w:r>
    </w:p>
  </w:footnote>
  <w:footnote w:type="continuationSeparator" w:id="0">
    <w:p w:rsidR="00834EC2" w:rsidRDefault="00834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D44" w:rsidRDefault="007E7D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D44" w:rsidRDefault="007E7D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603130A"/>
    <w:multiLevelType w:val="multilevel"/>
    <w:tmpl w:val="E3C000B4"/>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4"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11"/>
  </w:num>
  <w:num w:numId="3">
    <w:abstractNumId w:val="10"/>
  </w:num>
  <w:num w:numId="4">
    <w:abstractNumId w:val="15"/>
  </w:num>
  <w:num w:numId="5">
    <w:abstractNumId w:val="16"/>
  </w:num>
  <w:num w:numId="6">
    <w:abstractNumId w:val="17"/>
  </w:num>
  <w:num w:numId="7">
    <w:abstractNumId w:val="13"/>
  </w:num>
  <w:num w:numId="8">
    <w:abstractNumId w:val="1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color w:val="auto"/>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756"/>
          </w:tabs>
          <w:ind w:left="75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400A1"/>
    <w:rsid w:val="00052946"/>
    <w:rsid w:val="000578A3"/>
    <w:rsid w:val="000648CC"/>
    <w:rsid w:val="000968A6"/>
    <w:rsid w:val="00096AF4"/>
    <w:rsid w:val="000A0CA1"/>
    <w:rsid w:val="000A6F66"/>
    <w:rsid w:val="000C59B8"/>
    <w:rsid w:val="000C6AF0"/>
    <w:rsid w:val="000D0A77"/>
    <w:rsid w:val="000E7A9F"/>
    <w:rsid w:val="000F7993"/>
    <w:rsid w:val="00104F33"/>
    <w:rsid w:val="00111DE2"/>
    <w:rsid w:val="00116B38"/>
    <w:rsid w:val="0012384E"/>
    <w:rsid w:val="00134013"/>
    <w:rsid w:val="00135406"/>
    <w:rsid w:val="00135972"/>
    <w:rsid w:val="001426A9"/>
    <w:rsid w:val="00154D7C"/>
    <w:rsid w:val="001570B0"/>
    <w:rsid w:val="0015752C"/>
    <w:rsid w:val="00157737"/>
    <w:rsid w:val="00165277"/>
    <w:rsid w:val="00170592"/>
    <w:rsid w:val="001720F7"/>
    <w:rsid w:val="00195D83"/>
    <w:rsid w:val="001A00C1"/>
    <w:rsid w:val="001A43AC"/>
    <w:rsid w:val="001B15E8"/>
    <w:rsid w:val="001B33E0"/>
    <w:rsid w:val="001B4573"/>
    <w:rsid w:val="001C779F"/>
    <w:rsid w:val="001D2AC1"/>
    <w:rsid w:val="001D4E88"/>
    <w:rsid w:val="00220FC2"/>
    <w:rsid w:val="002222F4"/>
    <w:rsid w:val="00224FC0"/>
    <w:rsid w:val="00225EA4"/>
    <w:rsid w:val="00226083"/>
    <w:rsid w:val="002268F7"/>
    <w:rsid w:val="00226EAF"/>
    <w:rsid w:val="00231F3A"/>
    <w:rsid w:val="002406EE"/>
    <w:rsid w:val="00243EC8"/>
    <w:rsid w:val="00264ABC"/>
    <w:rsid w:val="00270D93"/>
    <w:rsid w:val="002745CC"/>
    <w:rsid w:val="002766FB"/>
    <w:rsid w:val="002864A7"/>
    <w:rsid w:val="002B3921"/>
    <w:rsid w:val="002B6968"/>
    <w:rsid w:val="002B6FBE"/>
    <w:rsid w:val="002B7924"/>
    <w:rsid w:val="002C10A6"/>
    <w:rsid w:val="002D28C3"/>
    <w:rsid w:val="002D39A4"/>
    <w:rsid w:val="002E2289"/>
    <w:rsid w:val="002E554F"/>
    <w:rsid w:val="002E6705"/>
    <w:rsid w:val="0030329A"/>
    <w:rsid w:val="0031086F"/>
    <w:rsid w:val="0031414C"/>
    <w:rsid w:val="00314E01"/>
    <w:rsid w:val="0032089D"/>
    <w:rsid w:val="003310DE"/>
    <w:rsid w:val="003323B0"/>
    <w:rsid w:val="00332457"/>
    <w:rsid w:val="00333680"/>
    <w:rsid w:val="00340A49"/>
    <w:rsid w:val="00345D43"/>
    <w:rsid w:val="0035169A"/>
    <w:rsid w:val="0035241E"/>
    <w:rsid w:val="0035259D"/>
    <w:rsid w:val="00364B18"/>
    <w:rsid w:val="003A125D"/>
    <w:rsid w:val="003A2CCB"/>
    <w:rsid w:val="003A4C70"/>
    <w:rsid w:val="003B215F"/>
    <w:rsid w:val="003B2FD1"/>
    <w:rsid w:val="003B798A"/>
    <w:rsid w:val="003C799C"/>
    <w:rsid w:val="003D0399"/>
    <w:rsid w:val="003E1C71"/>
    <w:rsid w:val="003F2D9F"/>
    <w:rsid w:val="003F327B"/>
    <w:rsid w:val="00401BB6"/>
    <w:rsid w:val="00406166"/>
    <w:rsid w:val="0040704B"/>
    <w:rsid w:val="00410A55"/>
    <w:rsid w:val="00411300"/>
    <w:rsid w:val="00413F17"/>
    <w:rsid w:val="00415417"/>
    <w:rsid w:val="00426659"/>
    <w:rsid w:val="00435270"/>
    <w:rsid w:val="00450352"/>
    <w:rsid w:val="00454BDB"/>
    <w:rsid w:val="00465132"/>
    <w:rsid w:val="00480C90"/>
    <w:rsid w:val="00482EE3"/>
    <w:rsid w:val="0048396F"/>
    <w:rsid w:val="0048562C"/>
    <w:rsid w:val="00493C18"/>
    <w:rsid w:val="004A600C"/>
    <w:rsid w:val="004A6118"/>
    <w:rsid w:val="004B3E1B"/>
    <w:rsid w:val="004C3A8C"/>
    <w:rsid w:val="004C478D"/>
    <w:rsid w:val="004D7D95"/>
    <w:rsid w:val="004E2C26"/>
    <w:rsid w:val="004E6D39"/>
    <w:rsid w:val="004F0ABC"/>
    <w:rsid w:val="004F4924"/>
    <w:rsid w:val="005125A8"/>
    <w:rsid w:val="00517549"/>
    <w:rsid w:val="00520ABC"/>
    <w:rsid w:val="00521AE8"/>
    <w:rsid w:val="00527180"/>
    <w:rsid w:val="005307B9"/>
    <w:rsid w:val="00546558"/>
    <w:rsid w:val="00555291"/>
    <w:rsid w:val="00564C2F"/>
    <w:rsid w:val="00566AD1"/>
    <w:rsid w:val="00583EDE"/>
    <w:rsid w:val="005A6079"/>
    <w:rsid w:val="005E3C6B"/>
    <w:rsid w:val="005E4698"/>
    <w:rsid w:val="005F4CCB"/>
    <w:rsid w:val="00603924"/>
    <w:rsid w:val="00610539"/>
    <w:rsid w:val="00613969"/>
    <w:rsid w:val="00625C35"/>
    <w:rsid w:val="00647E49"/>
    <w:rsid w:val="00656313"/>
    <w:rsid w:val="006565F4"/>
    <w:rsid w:val="006741B0"/>
    <w:rsid w:val="00684EEA"/>
    <w:rsid w:val="0069689B"/>
    <w:rsid w:val="006B5FF5"/>
    <w:rsid w:val="006F30AF"/>
    <w:rsid w:val="00701759"/>
    <w:rsid w:val="00705C15"/>
    <w:rsid w:val="00710EFE"/>
    <w:rsid w:val="007110F6"/>
    <w:rsid w:val="007208D1"/>
    <w:rsid w:val="007424E3"/>
    <w:rsid w:val="00744518"/>
    <w:rsid w:val="00747288"/>
    <w:rsid w:val="00747DD3"/>
    <w:rsid w:val="007549C8"/>
    <w:rsid w:val="00766D14"/>
    <w:rsid w:val="00767A0F"/>
    <w:rsid w:val="00771050"/>
    <w:rsid w:val="00791272"/>
    <w:rsid w:val="007A05F6"/>
    <w:rsid w:val="007A4FCC"/>
    <w:rsid w:val="007B6F4A"/>
    <w:rsid w:val="007E1C47"/>
    <w:rsid w:val="007E337A"/>
    <w:rsid w:val="007E5C70"/>
    <w:rsid w:val="007E7D44"/>
    <w:rsid w:val="007E7EED"/>
    <w:rsid w:val="007F2FF5"/>
    <w:rsid w:val="007F3F08"/>
    <w:rsid w:val="00804CC6"/>
    <w:rsid w:val="00817190"/>
    <w:rsid w:val="00824BD2"/>
    <w:rsid w:val="008260E2"/>
    <w:rsid w:val="0083164D"/>
    <w:rsid w:val="008322BD"/>
    <w:rsid w:val="00834EC2"/>
    <w:rsid w:val="00834F73"/>
    <w:rsid w:val="00843D4C"/>
    <w:rsid w:val="008602E2"/>
    <w:rsid w:val="00864C8A"/>
    <w:rsid w:val="00864CF8"/>
    <w:rsid w:val="00871BD9"/>
    <w:rsid w:val="00874914"/>
    <w:rsid w:val="00891422"/>
    <w:rsid w:val="00892E1A"/>
    <w:rsid w:val="008B660A"/>
    <w:rsid w:val="008C01DA"/>
    <w:rsid w:val="008F2674"/>
    <w:rsid w:val="008F6170"/>
    <w:rsid w:val="008F78E9"/>
    <w:rsid w:val="00912EDD"/>
    <w:rsid w:val="009179F9"/>
    <w:rsid w:val="00917C7A"/>
    <w:rsid w:val="00933E5E"/>
    <w:rsid w:val="00935218"/>
    <w:rsid w:val="009368AB"/>
    <w:rsid w:val="00937C52"/>
    <w:rsid w:val="009403F3"/>
    <w:rsid w:val="009435FF"/>
    <w:rsid w:val="009524D8"/>
    <w:rsid w:val="009555B7"/>
    <w:rsid w:val="009567AA"/>
    <w:rsid w:val="009569D5"/>
    <w:rsid w:val="009602C9"/>
    <w:rsid w:val="00967374"/>
    <w:rsid w:val="009A2E8B"/>
    <w:rsid w:val="009A343A"/>
    <w:rsid w:val="009B2F23"/>
    <w:rsid w:val="009B57B3"/>
    <w:rsid w:val="009D2920"/>
    <w:rsid w:val="009D5AEB"/>
    <w:rsid w:val="009F0E33"/>
    <w:rsid w:val="009F7871"/>
    <w:rsid w:val="00A06737"/>
    <w:rsid w:val="00A149DF"/>
    <w:rsid w:val="00A1755C"/>
    <w:rsid w:val="00A21B90"/>
    <w:rsid w:val="00A22AAC"/>
    <w:rsid w:val="00A40CD0"/>
    <w:rsid w:val="00A41805"/>
    <w:rsid w:val="00A51882"/>
    <w:rsid w:val="00A52AFB"/>
    <w:rsid w:val="00A548CB"/>
    <w:rsid w:val="00A5521C"/>
    <w:rsid w:val="00A643E7"/>
    <w:rsid w:val="00A73C38"/>
    <w:rsid w:val="00A8107B"/>
    <w:rsid w:val="00A921A7"/>
    <w:rsid w:val="00AB670D"/>
    <w:rsid w:val="00AC0964"/>
    <w:rsid w:val="00AE61E5"/>
    <w:rsid w:val="00AF03C5"/>
    <w:rsid w:val="00B000D8"/>
    <w:rsid w:val="00B00F75"/>
    <w:rsid w:val="00B145B6"/>
    <w:rsid w:val="00B279EB"/>
    <w:rsid w:val="00B50C81"/>
    <w:rsid w:val="00B557F8"/>
    <w:rsid w:val="00B64C0B"/>
    <w:rsid w:val="00B815FC"/>
    <w:rsid w:val="00B93FBC"/>
    <w:rsid w:val="00B963B5"/>
    <w:rsid w:val="00B96FE0"/>
    <w:rsid w:val="00BA07B9"/>
    <w:rsid w:val="00BA7DA0"/>
    <w:rsid w:val="00BB2EE4"/>
    <w:rsid w:val="00BB4C92"/>
    <w:rsid w:val="00BC2108"/>
    <w:rsid w:val="00BD0E9E"/>
    <w:rsid w:val="00BD1BEC"/>
    <w:rsid w:val="00BD32FF"/>
    <w:rsid w:val="00BD58F5"/>
    <w:rsid w:val="00BF6FE9"/>
    <w:rsid w:val="00C02092"/>
    <w:rsid w:val="00C24D91"/>
    <w:rsid w:val="00C26DB2"/>
    <w:rsid w:val="00C53F14"/>
    <w:rsid w:val="00C600CF"/>
    <w:rsid w:val="00C6084F"/>
    <w:rsid w:val="00C62A66"/>
    <w:rsid w:val="00C6340F"/>
    <w:rsid w:val="00C66359"/>
    <w:rsid w:val="00C71458"/>
    <w:rsid w:val="00C77613"/>
    <w:rsid w:val="00C828E7"/>
    <w:rsid w:val="00C86719"/>
    <w:rsid w:val="00C921DD"/>
    <w:rsid w:val="00CA6391"/>
    <w:rsid w:val="00CB0EB1"/>
    <w:rsid w:val="00CB4886"/>
    <w:rsid w:val="00CE036E"/>
    <w:rsid w:val="00CE3171"/>
    <w:rsid w:val="00CF1601"/>
    <w:rsid w:val="00D0172F"/>
    <w:rsid w:val="00D01E33"/>
    <w:rsid w:val="00D068A7"/>
    <w:rsid w:val="00D1082F"/>
    <w:rsid w:val="00D1307D"/>
    <w:rsid w:val="00D17476"/>
    <w:rsid w:val="00D17B0E"/>
    <w:rsid w:val="00D32086"/>
    <w:rsid w:val="00D36E2F"/>
    <w:rsid w:val="00D37A3F"/>
    <w:rsid w:val="00D4431D"/>
    <w:rsid w:val="00D4667A"/>
    <w:rsid w:val="00D63A1C"/>
    <w:rsid w:val="00D67003"/>
    <w:rsid w:val="00D7516F"/>
    <w:rsid w:val="00D95312"/>
    <w:rsid w:val="00D95F8E"/>
    <w:rsid w:val="00DA0590"/>
    <w:rsid w:val="00DC1739"/>
    <w:rsid w:val="00DC1788"/>
    <w:rsid w:val="00DD4FDD"/>
    <w:rsid w:val="00DE319C"/>
    <w:rsid w:val="00DE7A98"/>
    <w:rsid w:val="00DF0CA8"/>
    <w:rsid w:val="00DF2B48"/>
    <w:rsid w:val="00DF49A7"/>
    <w:rsid w:val="00E048E5"/>
    <w:rsid w:val="00E07EE2"/>
    <w:rsid w:val="00E07FD1"/>
    <w:rsid w:val="00E24573"/>
    <w:rsid w:val="00E25E1E"/>
    <w:rsid w:val="00E27EE7"/>
    <w:rsid w:val="00E35404"/>
    <w:rsid w:val="00E45109"/>
    <w:rsid w:val="00E47B7A"/>
    <w:rsid w:val="00E56A44"/>
    <w:rsid w:val="00E60269"/>
    <w:rsid w:val="00E758B2"/>
    <w:rsid w:val="00E97830"/>
    <w:rsid w:val="00EC1788"/>
    <w:rsid w:val="00ED2C95"/>
    <w:rsid w:val="00EE0830"/>
    <w:rsid w:val="00EE6CB8"/>
    <w:rsid w:val="00EF0683"/>
    <w:rsid w:val="00F0070C"/>
    <w:rsid w:val="00F00EB7"/>
    <w:rsid w:val="00F05ED2"/>
    <w:rsid w:val="00F308A9"/>
    <w:rsid w:val="00F36AB6"/>
    <w:rsid w:val="00F37A09"/>
    <w:rsid w:val="00F409CE"/>
    <w:rsid w:val="00F4379D"/>
    <w:rsid w:val="00F50D2D"/>
    <w:rsid w:val="00F56C8B"/>
    <w:rsid w:val="00F62639"/>
    <w:rsid w:val="00F66810"/>
    <w:rsid w:val="00F84DF4"/>
    <w:rsid w:val="00F85AE4"/>
    <w:rsid w:val="00F85C97"/>
    <w:rsid w:val="00F96FA7"/>
    <w:rsid w:val="00FA70C1"/>
    <w:rsid w:val="00FB37D2"/>
    <w:rsid w:val="00FC4998"/>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36E2F"/>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D36E2F"/>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D36E2F"/>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D36E2F"/>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D36E2F"/>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D36E2F"/>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D36E2F"/>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name">
    <w:name w:val="name"/>
    <w:basedOn w:val="DefaultParagraphFont"/>
    <w:rsid w:val="00D1082F"/>
  </w:style>
  <w:style w:type="character" w:customStyle="1" w:styleId="Heading3Char">
    <w:name w:val="Heading 3 Char"/>
    <w:basedOn w:val="DefaultParagraphFont"/>
    <w:link w:val="Heading3"/>
    <w:uiPriority w:val="9"/>
    <w:semiHidden/>
    <w:rsid w:val="00D36E2F"/>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D36E2F"/>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D36E2F"/>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D36E2F"/>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D36E2F"/>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D36E2F"/>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D36E2F"/>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D36E2F"/>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D36E2F"/>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D36E2F"/>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D36E2F"/>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D36E2F"/>
    <w:rPr>
      <w:b/>
      <w:sz w:val="24"/>
    </w:rPr>
  </w:style>
  <w:style w:type="table" w:styleId="TableGrid">
    <w:name w:val="Table Grid"/>
    <w:basedOn w:val="TableNormal"/>
    <w:uiPriority w:val="59"/>
    <w:rsid w:val="00D36E2F"/>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D36E2F"/>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D36E2F"/>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D36E2F"/>
    <w:pPr>
      <w:tabs>
        <w:tab w:val="left" w:pos="1260"/>
      </w:tabs>
      <w:spacing w:after="480" w:line="480" w:lineRule="auto"/>
    </w:pPr>
    <w:rPr>
      <w:smallCaps/>
      <w:sz w:val="24"/>
    </w:rPr>
  </w:style>
  <w:style w:type="paragraph" w:customStyle="1" w:styleId="ParaNoNdepar-AltN">
    <w:name w:val="Para. No. / Nº de par. - Alt N"/>
    <w:qFormat/>
    <w:rsid w:val="00D36E2F"/>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D36E2F"/>
    <w:pPr>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D36E2F"/>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D36E2F"/>
    <w:pPr>
      <w:numPr>
        <w:ilvl w:val="2"/>
      </w:numPr>
      <w:outlineLvl w:val="2"/>
    </w:pPr>
  </w:style>
  <w:style w:type="paragraph" w:customStyle="1" w:styleId="Title4LevelTitre4Niveau">
    <w:name w:val="Title 4 Level / Titre 4 Niveau"/>
    <w:basedOn w:val="Title3LevelTitre3Niveau"/>
    <w:next w:val="ParaNoNdepar-AltN"/>
    <w:uiPriority w:val="4"/>
    <w:qFormat/>
    <w:rsid w:val="00D36E2F"/>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D36E2F"/>
    <w:pPr>
      <w:numPr>
        <w:ilvl w:val="4"/>
      </w:numPr>
      <w:tabs>
        <w:tab w:val="clear" w:pos="1728"/>
        <w:tab w:val="num" w:pos="1440"/>
      </w:tabs>
      <w:outlineLvl w:val="4"/>
    </w:pPr>
  </w:style>
  <w:style w:type="paragraph" w:styleId="TOC1">
    <w:name w:val="toc 1"/>
    <w:basedOn w:val="Normal"/>
    <w:next w:val="Normal"/>
    <w:autoRedefine/>
    <w:uiPriority w:val="39"/>
    <w:unhideWhenUsed/>
    <w:rsid w:val="00D36E2F"/>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D36E2F"/>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D36E2F"/>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D36E2F"/>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D36E2F"/>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D36E2F"/>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D36E2F"/>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D36E2F"/>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D36E2F"/>
    <w:pPr>
      <w:numPr>
        <w:ilvl w:val="5"/>
      </w:numPr>
      <w:jc w:val="both"/>
      <w:outlineLvl w:val="5"/>
    </w:pPr>
    <w:rPr>
      <w:i/>
      <w:u w:val="none"/>
    </w:rPr>
  </w:style>
  <w:style w:type="paragraph" w:styleId="FootnoteText">
    <w:name w:val="footnote text"/>
    <w:basedOn w:val="Normal"/>
    <w:link w:val="FootnoteTextChar"/>
    <w:uiPriority w:val="99"/>
    <w:unhideWhenUsed/>
    <w:rsid w:val="00D36E2F"/>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D36E2F"/>
  </w:style>
  <w:style w:type="character" w:styleId="FootnoteReference">
    <w:name w:val="footnote reference"/>
    <w:basedOn w:val="DefaultParagraphFont"/>
    <w:uiPriority w:val="99"/>
    <w:semiHidden/>
    <w:unhideWhenUsed/>
    <w:rsid w:val="00D36E2F"/>
    <w:rPr>
      <w:vertAlign w:val="superscript"/>
    </w:rPr>
  </w:style>
  <w:style w:type="character" w:styleId="CommentReference">
    <w:name w:val="annotation reference"/>
    <w:basedOn w:val="DefaultParagraphFont"/>
    <w:uiPriority w:val="99"/>
    <w:semiHidden/>
    <w:unhideWhenUsed/>
    <w:rsid w:val="00D36E2F"/>
    <w:rPr>
      <w:sz w:val="16"/>
      <w:szCs w:val="16"/>
    </w:rPr>
  </w:style>
  <w:style w:type="paragraph" w:styleId="CommentText">
    <w:name w:val="annotation text"/>
    <w:basedOn w:val="Normal"/>
    <w:link w:val="CommentTextChar"/>
    <w:uiPriority w:val="99"/>
    <w:semiHidden/>
    <w:unhideWhenUsed/>
    <w:rsid w:val="00D36E2F"/>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D36E2F"/>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D36E2F"/>
    <w:rPr>
      <w:b/>
      <w:bCs/>
    </w:rPr>
  </w:style>
  <w:style w:type="character" w:customStyle="1" w:styleId="CommentSubjectChar">
    <w:name w:val="Comment Subject Char"/>
    <w:basedOn w:val="CommentTextChar"/>
    <w:link w:val="CommentSubject"/>
    <w:uiPriority w:val="99"/>
    <w:semiHidden/>
    <w:rsid w:val="00D36E2F"/>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D36E2F"/>
    <w:rPr>
      <w:smallCaps/>
      <w:sz w:val="24"/>
    </w:rPr>
  </w:style>
  <w:style w:type="paragraph" w:styleId="NoSpacing">
    <w:name w:val="No Spacing"/>
    <w:uiPriority w:val="1"/>
    <w:rsid w:val="00D36E2F"/>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D36E2F"/>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D36E2F"/>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D36E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D36E2F"/>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D36E2F"/>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D36E2F"/>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D36E2F"/>
    <w:rPr>
      <w:i/>
      <w:iCs/>
    </w:rPr>
  </w:style>
  <w:style w:type="paragraph" w:styleId="ListParagraph">
    <w:name w:val="List Paragraph"/>
    <w:basedOn w:val="Normal"/>
    <w:uiPriority w:val="34"/>
    <w:rsid w:val="00D36E2F"/>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D36E2F"/>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D36E2F"/>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D36E2F"/>
    <w:rPr>
      <w:i/>
      <w:iCs/>
      <w:color w:val="808080" w:themeColor="text1" w:themeTint="7F"/>
    </w:rPr>
  </w:style>
  <w:style w:type="character" w:styleId="IntenseEmphasis">
    <w:name w:val="Intense Emphasis"/>
    <w:basedOn w:val="DefaultParagraphFont"/>
    <w:uiPriority w:val="21"/>
    <w:rsid w:val="00D36E2F"/>
    <w:rPr>
      <w:b/>
      <w:bCs/>
      <w:i/>
      <w:iCs/>
      <w:color w:val="4F81BD" w:themeColor="accent1"/>
    </w:rPr>
  </w:style>
  <w:style w:type="character" w:styleId="SubtleReference">
    <w:name w:val="Subtle Reference"/>
    <w:basedOn w:val="DefaultParagraphFont"/>
    <w:uiPriority w:val="31"/>
    <w:rsid w:val="00D36E2F"/>
    <w:rPr>
      <w:smallCaps/>
      <w:color w:val="C0504D" w:themeColor="accent2"/>
      <w:u w:val="single"/>
    </w:rPr>
  </w:style>
  <w:style w:type="character" w:styleId="IntenseReference">
    <w:name w:val="Intense Reference"/>
    <w:basedOn w:val="DefaultParagraphFont"/>
    <w:uiPriority w:val="32"/>
    <w:rsid w:val="00D36E2F"/>
    <w:rPr>
      <w:b/>
      <w:bCs/>
      <w:smallCaps/>
      <w:color w:val="C0504D" w:themeColor="accent2"/>
      <w:spacing w:val="5"/>
      <w:u w:val="single"/>
    </w:rPr>
  </w:style>
  <w:style w:type="character" w:styleId="BookTitle">
    <w:name w:val="Book Title"/>
    <w:basedOn w:val="DefaultParagraphFont"/>
    <w:uiPriority w:val="33"/>
    <w:rsid w:val="00D36E2F"/>
    <w:rPr>
      <w:b/>
      <w:bCs/>
      <w:smallCaps/>
      <w:spacing w:val="5"/>
    </w:rPr>
  </w:style>
  <w:style w:type="paragraph" w:styleId="Revision">
    <w:name w:val="Revision"/>
    <w:hidden/>
    <w:uiPriority w:val="99"/>
    <w:semiHidden/>
    <w:rsid w:val="00D36E2F"/>
    <w:rPr>
      <w:rFonts w:eastAsiaTheme="minorHAnsi" w:cstheme="minorBidi"/>
      <w:sz w:val="24"/>
      <w:szCs w:val="22"/>
      <w:lang w:val="en-US" w:eastAsia="en-US" w:bidi="en-US"/>
    </w:rPr>
  </w:style>
  <w:style w:type="character" w:styleId="Hyperlink">
    <w:name w:val="Hyperlink"/>
    <w:basedOn w:val="DefaultParagraphFont"/>
    <w:uiPriority w:val="99"/>
    <w:unhideWhenUsed/>
    <w:rsid w:val="00D36E2F"/>
    <w:rPr>
      <w:color w:val="0000FF" w:themeColor="hyperlink"/>
      <w:u w:val="single"/>
    </w:rPr>
  </w:style>
  <w:style w:type="table" w:customStyle="1" w:styleId="TableGrid2">
    <w:name w:val="Table Grid2"/>
    <w:basedOn w:val="TableNormal"/>
    <w:next w:val="TableGrid"/>
    <w:uiPriority w:val="59"/>
    <w:rsid w:val="00D36E2F"/>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48562C"/>
    <w:rPr>
      <w:lang w:val="fr-CA"/>
    </w:rPr>
  </w:style>
  <w:style w:type="paragraph" w:customStyle="1" w:styleId="SCCLsocPrefix">
    <w:name w:val="SCC.Lsoc.Prefix"/>
    <w:basedOn w:val="Normal"/>
    <w:next w:val="Normal"/>
    <w:link w:val="SCCLsocPrefixChar"/>
    <w:rsid w:val="0048562C"/>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48562C"/>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4337</Words>
  <Characters>24726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2018-10-31T18:57:00Z</dcterms:created>
  <dcterms:modified xsi:type="dcterms:W3CDTF">2019-07-25T19:37:00Z</dcterms:modified>
</cp:coreProperties>
</file>