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E1" w:rsidRDefault="00124EE1" w:rsidP="00124EE1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9pt" o:ole="">
            <v:imagedata r:id="rId7" o:title=""/>
          </v:shape>
          <o:OLEObject Type="Embed" ProgID="Presentations.Drawing.13" ShapeID="_x0000_i1025" DrawAspect="Content" ObjectID="_1625901171" r:id="rId8"/>
        </w:object>
      </w:r>
      <w:r>
        <w:t xml:space="preserve"> </w:t>
      </w:r>
      <w:r>
        <w:ptab w:relativeTo="margin" w:alignment="right" w:leader="none"/>
      </w:r>
    </w:p>
    <w:p w:rsidR="00124EE1" w:rsidRDefault="00124EE1" w:rsidP="00124EE1">
      <w:pPr>
        <w:pStyle w:val="Header"/>
      </w:pPr>
    </w:p>
    <w:p w:rsidR="00124EE1" w:rsidRPr="001E12E2" w:rsidRDefault="00124EE1" w:rsidP="00124EE1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124EE1" w:rsidRDefault="00124EE1" w:rsidP="00124EE1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4266"/>
      </w:tblGrid>
      <w:tr w:rsidR="00124EE1" w:rsidRPr="001E12E2" w:rsidTr="00E520B0">
        <w:trPr>
          <w:cantSplit/>
        </w:trPr>
        <w:tc>
          <w:tcPr>
            <w:tcW w:w="5310" w:type="dxa"/>
          </w:tcPr>
          <w:p w:rsidR="00124EE1" w:rsidRPr="00124EE1" w:rsidRDefault="00124EE1" w:rsidP="00124EE1">
            <w:pPr>
              <w:rPr>
                <w:lang w:val="fr-CA"/>
              </w:rPr>
            </w:pPr>
            <w:r w:rsidRPr="00124EE1">
              <w:rPr>
                <w:b/>
                <w:smallCaps/>
                <w:lang w:val="fr-CA"/>
              </w:rPr>
              <w:t>Référence :</w:t>
            </w:r>
            <w:r w:rsidRPr="00124EE1">
              <w:rPr>
                <w:lang w:val="fr-CA"/>
              </w:rPr>
              <w:t xml:space="preserve"> </w:t>
            </w:r>
            <w:bookmarkStart w:id="0" w:name="_GoBack"/>
            <w:bookmarkEnd w:id="0"/>
            <w:r w:rsidRPr="00124EE1">
              <w:rPr>
                <w:rStyle w:val="SCCAppellantForRunningHeadChar"/>
                <w:smallCaps w:val="0"/>
                <w:lang w:val="fr-CA"/>
              </w:rPr>
              <w:t xml:space="preserve">R. </w:t>
            </w:r>
            <w:r w:rsidRPr="00124EE1">
              <w:rPr>
                <w:rStyle w:val="SCCAppellantForRunningHeadChar"/>
                <w:i/>
                <w:smallCaps w:val="0"/>
                <w:lang w:val="fr-CA"/>
              </w:rPr>
              <w:t>c.</w:t>
            </w:r>
            <w:r w:rsidRPr="00124EE1">
              <w:rPr>
                <w:rStyle w:val="SCCAppellantForRunningHeadChar"/>
                <w:smallCaps w:val="0"/>
                <w:lang w:val="fr-CA"/>
              </w:rPr>
              <w:t xml:space="preserve"> Youssef</w:t>
            </w:r>
            <w:r w:rsidRPr="006A4755">
              <w:rPr>
                <w:rStyle w:val="SCCAppellantForRunningHeadChar"/>
                <w:lang w:val="fr-CA"/>
              </w:rPr>
              <w:t xml:space="preserve">, </w:t>
            </w:r>
            <w:r w:rsidRPr="00124EE1">
              <w:rPr>
                <w:lang w:val="fr-CA"/>
              </w:rPr>
              <w:t xml:space="preserve">2018 CSC 49, [2018] 3 R.C.S. </w:t>
            </w:r>
            <w:r>
              <w:rPr>
                <w:lang w:val="fr-CA"/>
              </w:rPr>
              <w:t>259</w:t>
            </w:r>
          </w:p>
        </w:tc>
        <w:tc>
          <w:tcPr>
            <w:tcW w:w="4266" w:type="dxa"/>
          </w:tcPr>
          <w:p w:rsidR="00124EE1" w:rsidRPr="00124EE1" w:rsidRDefault="00124EE1" w:rsidP="00E520B0">
            <w:pPr>
              <w:rPr>
                <w:lang w:val="fr-CA"/>
              </w:rPr>
            </w:pPr>
            <w:r w:rsidRPr="00124EE1">
              <w:rPr>
                <w:b/>
                <w:smallCaps/>
                <w:lang w:val="fr-CA"/>
              </w:rPr>
              <w:t>Appel entendu:</w:t>
            </w:r>
            <w:r w:rsidRPr="00124EE1">
              <w:rPr>
                <w:lang w:val="fr-CA"/>
              </w:rPr>
              <w:t xml:space="preserve"> 9 novembre 2018</w:t>
            </w:r>
          </w:p>
          <w:p w:rsidR="00124EE1" w:rsidRPr="00124EE1" w:rsidRDefault="00124EE1" w:rsidP="00E520B0">
            <w:pPr>
              <w:rPr>
                <w:b/>
                <w:smallCaps/>
                <w:lang w:val="fr-CA"/>
              </w:rPr>
            </w:pPr>
            <w:r w:rsidRPr="00124EE1">
              <w:rPr>
                <w:b/>
                <w:smallCaps/>
                <w:lang w:val="fr-CA"/>
              </w:rPr>
              <w:t>Jugement rendu :</w:t>
            </w:r>
            <w:r w:rsidRPr="00124EE1">
              <w:rPr>
                <w:lang w:val="fr-CA"/>
              </w:rPr>
              <w:t xml:space="preserve"> 9 novembre 2018</w:t>
            </w:r>
          </w:p>
          <w:p w:rsidR="00124EE1" w:rsidRPr="001E12E2" w:rsidRDefault="00124EE1" w:rsidP="00E520B0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ssiers :</w:t>
            </w:r>
            <w:r w:rsidRPr="001E12E2">
              <w:t xml:space="preserve"> </w:t>
            </w:r>
            <w:r>
              <w:t>38036</w:t>
            </w:r>
          </w:p>
        </w:tc>
      </w:tr>
    </w:tbl>
    <w:p w:rsidR="00124EE1" w:rsidRDefault="00124EE1" w:rsidP="00124EE1">
      <w:pPr>
        <w:pStyle w:val="SCCLsocPrefix"/>
      </w:pPr>
    </w:p>
    <w:p w:rsidR="00124EE1" w:rsidRDefault="00124EE1" w:rsidP="00124EE1">
      <w:pPr>
        <w:pStyle w:val="SCCLsocPrefix"/>
      </w:pPr>
    </w:p>
    <w:p w:rsidR="00124EE1" w:rsidRDefault="00124EE1" w:rsidP="00124EE1">
      <w:pPr>
        <w:pStyle w:val="SCCLsocPrefix"/>
      </w:pPr>
      <w:r>
        <w:t>Entre :</w:t>
      </w:r>
    </w:p>
    <w:p w:rsidR="00124EE1" w:rsidRPr="00EB0F77" w:rsidRDefault="00124EE1" w:rsidP="00124EE1">
      <w:pPr>
        <w:jc w:val="center"/>
        <w:rPr>
          <w:b/>
        </w:rPr>
      </w:pPr>
      <w:r w:rsidRPr="00EB0F77">
        <w:rPr>
          <w:b/>
        </w:rPr>
        <w:t>Abdullah Youssef</w:t>
      </w:r>
    </w:p>
    <w:p w:rsidR="00124EE1" w:rsidRPr="00D85283" w:rsidRDefault="00124EE1" w:rsidP="00124EE1">
      <w:pPr>
        <w:jc w:val="center"/>
      </w:pPr>
      <w:proofErr w:type="spellStart"/>
      <w:r w:rsidRPr="00D85283">
        <w:t>Appelant</w:t>
      </w:r>
      <w:proofErr w:type="spellEnd"/>
    </w:p>
    <w:p w:rsidR="00124EE1" w:rsidRPr="00D85283" w:rsidRDefault="00124EE1" w:rsidP="00124EE1">
      <w:pPr>
        <w:jc w:val="center"/>
      </w:pPr>
    </w:p>
    <w:p w:rsidR="00124EE1" w:rsidRPr="00124EE1" w:rsidRDefault="00124EE1" w:rsidP="00124EE1">
      <w:pPr>
        <w:pStyle w:val="SCCLsocVersus"/>
        <w:spacing w:after="0"/>
        <w:jc w:val="center"/>
        <w:rPr>
          <w:i w:val="0"/>
        </w:rPr>
      </w:pPr>
      <w:proofErr w:type="gramStart"/>
      <w:r w:rsidRPr="00124EE1">
        <w:rPr>
          <w:i w:val="0"/>
        </w:rPr>
        <w:t>et</w:t>
      </w:r>
      <w:proofErr w:type="gramEnd"/>
    </w:p>
    <w:p w:rsidR="00124EE1" w:rsidRPr="0033260A" w:rsidRDefault="00124EE1" w:rsidP="00124EE1">
      <w:pPr>
        <w:jc w:val="center"/>
      </w:pPr>
    </w:p>
    <w:p w:rsidR="00124EE1" w:rsidRDefault="00124EE1" w:rsidP="00124EE1">
      <w:pPr>
        <w:pStyle w:val="SCCLsocParty"/>
        <w:jc w:val="center"/>
      </w:pPr>
      <w:r w:rsidRPr="00BE0133">
        <w:t xml:space="preserve">Sa </w:t>
      </w:r>
      <w:proofErr w:type="spellStart"/>
      <w:r w:rsidRPr="00BE0133">
        <w:t>Majesté</w:t>
      </w:r>
      <w:proofErr w:type="spellEnd"/>
      <w:r w:rsidRPr="00BE0133">
        <w:t xml:space="preserve"> la </w:t>
      </w:r>
      <w:proofErr w:type="spellStart"/>
      <w:r w:rsidRPr="00BE0133">
        <w:t>Reine</w:t>
      </w:r>
      <w:proofErr w:type="spellEnd"/>
    </w:p>
    <w:p w:rsidR="00124EE1" w:rsidRDefault="00124EE1" w:rsidP="00124EE1">
      <w:pPr>
        <w:jc w:val="center"/>
      </w:pPr>
      <w:proofErr w:type="spellStart"/>
      <w:r>
        <w:t>Intimée</w:t>
      </w:r>
      <w:proofErr w:type="spellEnd"/>
    </w:p>
    <w:p w:rsidR="00124EE1" w:rsidRDefault="00124EE1" w:rsidP="00124EE1">
      <w:pPr>
        <w:jc w:val="center"/>
      </w:pPr>
    </w:p>
    <w:p w:rsidR="00124EE1" w:rsidRDefault="00124EE1" w:rsidP="00124EE1">
      <w:pPr>
        <w:jc w:val="center"/>
      </w:pPr>
    </w:p>
    <w:p w:rsidR="00124EE1" w:rsidRDefault="00124EE1" w:rsidP="00124EE1"/>
    <w:p w:rsidR="00124EE1" w:rsidRDefault="00124EE1" w:rsidP="00124EE1"/>
    <w:p w:rsidR="00124EE1" w:rsidRDefault="00124EE1" w:rsidP="00124EE1"/>
    <w:p w:rsidR="00124EE1" w:rsidRPr="00124EE1" w:rsidRDefault="00124EE1" w:rsidP="00124EE1">
      <w:pPr>
        <w:jc w:val="center"/>
        <w:rPr>
          <w:b/>
          <w:smallCaps/>
          <w:lang w:val="fr-CA"/>
        </w:rPr>
      </w:pPr>
      <w:r w:rsidRPr="00124EE1">
        <w:rPr>
          <w:b/>
          <w:smallCaps/>
          <w:lang w:val="fr-CA"/>
        </w:rPr>
        <w:t>Traduction française officielle</w:t>
      </w:r>
    </w:p>
    <w:p w:rsidR="00124EE1" w:rsidRPr="00124EE1" w:rsidRDefault="00124EE1" w:rsidP="00124EE1">
      <w:pPr>
        <w:rPr>
          <w:lang w:val="fr-CA"/>
        </w:rPr>
      </w:pPr>
    </w:p>
    <w:p w:rsidR="00124EE1" w:rsidRPr="00124EE1" w:rsidRDefault="00124EE1" w:rsidP="00124EE1">
      <w:pPr>
        <w:rPr>
          <w:lang w:val="fr-CA"/>
        </w:rPr>
      </w:pPr>
      <w:r w:rsidRPr="00124EE1">
        <w:rPr>
          <w:b/>
          <w:smallCaps/>
          <w:lang w:val="fr-CA"/>
        </w:rPr>
        <w:t>Coram :</w:t>
      </w:r>
      <w:r w:rsidRPr="00124EE1">
        <w:rPr>
          <w:lang w:val="fr-CA"/>
        </w:rPr>
        <w:t xml:space="preserve"> Les juges </w:t>
      </w:r>
      <w:proofErr w:type="spellStart"/>
      <w:r w:rsidRPr="00124EE1">
        <w:rPr>
          <w:lang w:val="fr-CA"/>
        </w:rPr>
        <w:t>Moldaver</w:t>
      </w:r>
      <w:proofErr w:type="spellEnd"/>
      <w:r w:rsidRPr="00124EE1">
        <w:rPr>
          <w:lang w:val="fr-CA"/>
        </w:rPr>
        <w:t>, Côté, Brown, Rowe et Martin</w:t>
      </w:r>
    </w:p>
    <w:p w:rsidR="00124EE1" w:rsidRPr="00124EE1" w:rsidRDefault="00124EE1" w:rsidP="00124EE1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124EE1" w:rsidRPr="00124EE1" w:rsidTr="00E520B0">
        <w:trPr>
          <w:cantSplit/>
        </w:trPr>
        <w:tc>
          <w:tcPr>
            <w:tcW w:w="3618" w:type="dxa"/>
          </w:tcPr>
          <w:p w:rsidR="00124EE1" w:rsidRPr="00124EE1" w:rsidRDefault="00124EE1" w:rsidP="00E520B0">
            <w:pPr>
              <w:rPr>
                <w:b/>
                <w:smallCaps/>
                <w:lang w:val="fr-CA"/>
              </w:rPr>
            </w:pPr>
            <w:r w:rsidRPr="00124EE1">
              <w:rPr>
                <w:b/>
                <w:smallCaps/>
                <w:lang w:val="fr-CA"/>
              </w:rPr>
              <w:t>Motifs de jugement :</w:t>
            </w:r>
          </w:p>
          <w:p w:rsidR="00124EE1" w:rsidRPr="00124EE1" w:rsidRDefault="00124EE1" w:rsidP="00E520B0">
            <w:pPr>
              <w:rPr>
                <w:lang w:val="fr-CA"/>
              </w:rPr>
            </w:pPr>
            <w:r w:rsidRPr="00124EE1">
              <w:rPr>
                <w:lang w:val="fr-CA"/>
              </w:rPr>
              <w:t>(par. 1 à 2)</w:t>
            </w:r>
          </w:p>
        </w:tc>
        <w:tc>
          <w:tcPr>
            <w:tcW w:w="5958" w:type="dxa"/>
          </w:tcPr>
          <w:p w:rsidR="00124EE1" w:rsidRPr="00124EE1" w:rsidRDefault="00124EE1" w:rsidP="00E520B0">
            <w:pPr>
              <w:rPr>
                <w:lang w:val="fr-CA"/>
              </w:rPr>
            </w:pPr>
            <w:r w:rsidRPr="00124EE1">
              <w:rPr>
                <w:lang w:val="fr-CA"/>
              </w:rPr>
              <w:t xml:space="preserve">La juge Côté (avec l’accord des juges </w:t>
            </w:r>
            <w:proofErr w:type="spellStart"/>
            <w:r w:rsidRPr="00124EE1">
              <w:rPr>
                <w:lang w:val="fr-CA"/>
              </w:rPr>
              <w:t>Moldaver</w:t>
            </w:r>
            <w:proofErr w:type="spellEnd"/>
            <w:r w:rsidRPr="00124EE1">
              <w:rPr>
                <w:lang w:val="fr-CA"/>
              </w:rPr>
              <w:t>, Brown, Rowe et Martin)</w:t>
            </w:r>
          </w:p>
        </w:tc>
      </w:tr>
    </w:tbl>
    <w:p w:rsidR="00124EE1" w:rsidRPr="00124EE1" w:rsidRDefault="00124EE1" w:rsidP="00124EE1">
      <w:pPr>
        <w:rPr>
          <w:lang w:val="fr-CA"/>
        </w:rPr>
      </w:pPr>
    </w:p>
    <w:p w:rsidR="00124EE1" w:rsidRPr="00124EE1" w:rsidRDefault="00124EE1" w:rsidP="00124EE1">
      <w:pPr>
        <w:rPr>
          <w:lang w:val="fr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54E30" wp14:editId="66055596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CCA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124EE1" w:rsidRPr="00124EE1" w:rsidRDefault="00124EE1" w:rsidP="00124EE1">
      <w:pPr>
        <w:rPr>
          <w:lang w:val="fr-CA"/>
        </w:rPr>
      </w:pPr>
    </w:p>
    <w:p w:rsidR="00124EE1" w:rsidRPr="00124EE1" w:rsidRDefault="00124EE1" w:rsidP="00124EE1">
      <w:pPr>
        <w:rPr>
          <w:lang w:val="fr-CA"/>
        </w:rPr>
      </w:pPr>
    </w:p>
    <w:p w:rsidR="00124EE1" w:rsidRPr="00124EE1" w:rsidRDefault="00124EE1" w:rsidP="00124EE1">
      <w:pPr>
        <w:rPr>
          <w:lang w:val="fr-CA"/>
        </w:rPr>
      </w:pPr>
    </w:p>
    <w:p w:rsidR="004D7D95" w:rsidRPr="00124EE1" w:rsidRDefault="00364777" w:rsidP="004D7D95">
      <w:pPr>
        <w:spacing w:line="480" w:lineRule="auto"/>
        <w:jc w:val="both"/>
        <w:rPr>
          <w:smallCaps/>
          <w:lang w:val="en-US"/>
        </w:rPr>
      </w:pPr>
      <w:r w:rsidRPr="00124EE1">
        <w:rPr>
          <w:rStyle w:val="SCCAppellantForRunningHeadChar"/>
          <w:smallCaps w:val="0"/>
          <w:lang w:val="en-US"/>
        </w:rPr>
        <w:t>R</w:t>
      </w:r>
      <w:r w:rsidR="0062046A" w:rsidRPr="00124EE1">
        <w:rPr>
          <w:rStyle w:val="SCCAppellantForRunningHeadChar"/>
          <w:smallCaps w:val="0"/>
          <w:lang w:val="en-US"/>
        </w:rPr>
        <w:t xml:space="preserve">. </w:t>
      </w:r>
      <w:r w:rsidR="0062046A" w:rsidRPr="00124EE1">
        <w:rPr>
          <w:rStyle w:val="SCCAppellantForRunningHeadChar"/>
          <w:i/>
          <w:smallCaps w:val="0"/>
          <w:lang w:val="en-US"/>
        </w:rPr>
        <w:t>c.</w:t>
      </w:r>
      <w:r w:rsidR="0062046A" w:rsidRPr="00124EE1">
        <w:rPr>
          <w:rStyle w:val="SCCAppellantForRunningHeadChar"/>
          <w:smallCaps w:val="0"/>
          <w:lang w:val="en-US"/>
        </w:rPr>
        <w:t xml:space="preserve"> </w:t>
      </w:r>
      <w:r w:rsidRPr="00124EE1">
        <w:rPr>
          <w:rStyle w:val="SCCAppellantForRunningHeadChar"/>
          <w:smallCaps w:val="0"/>
          <w:lang w:val="en-US"/>
        </w:rPr>
        <w:t>Y</w:t>
      </w:r>
      <w:r w:rsidR="0062046A" w:rsidRPr="00124EE1">
        <w:rPr>
          <w:rStyle w:val="SCCAppellantForRunningHeadChar"/>
          <w:smallCaps w:val="0"/>
          <w:lang w:val="en-US"/>
        </w:rPr>
        <w:t>oussef</w:t>
      </w:r>
      <w:r w:rsidRPr="00124EE1">
        <w:rPr>
          <w:rStyle w:val="SCCAppellantForRunningHeadChar"/>
          <w:smallCaps w:val="0"/>
          <w:lang w:val="en-US"/>
        </w:rPr>
        <w:t xml:space="preserve">, </w:t>
      </w:r>
      <w:r w:rsidRPr="00124EE1">
        <w:rPr>
          <w:lang w:val="en-US"/>
        </w:rPr>
        <w:t>2018 CSC 49, [2018] 3 R.C.S. 259</w:t>
      </w:r>
    </w:p>
    <w:p w:rsidR="004D7D95" w:rsidRPr="00124EE1" w:rsidRDefault="004D7D95" w:rsidP="004D7D95">
      <w:pPr>
        <w:jc w:val="both"/>
        <w:rPr>
          <w:lang w:val="en-US"/>
        </w:rPr>
      </w:pPr>
    </w:p>
    <w:p w:rsidR="004D7D95" w:rsidRPr="00124EE1" w:rsidRDefault="004D7D95" w:rsidP="004D7D95">
      <w:pPr>
        <w:jc w:val="both"/>
        <w:rPr>
          <w:lang w:val="en-US"/>
        </w:rPr>
      </w:pPr>
    </w:p>
    <w:p w:rsidR="004D7D95" w:rsidRPr="00124EE1" w:rsidRDefault="004D7D95" w:rsidP="004D7D95">
      <w:pPr>
        <w:jc w:val="both"/>
        <w:rPr>
          <w:lang w:val="en-US"/>
        </w:rPr>
      </w:pPr>
    </w:p>
    <w:p w:rsidR="00FB1472" w:rsidRPr="006C7824" w:rsidRDefault="006C7824">
      <w:pPr>
        <w:pStyle w:val="SCCLsocLastPartyInRole"/>
        <w:rPr>
          <w:lang w:val="fr-CA"/>
        </w:rPr>
      </w:pPr>
      <w:r w:rsidRPr="006C7824">
        <w:rPr>
          <w:lang w:val="fr-CA"/>
        </w:rPr>
        <w:t>Abdullah Youssef</w:t>
      </w:r>
      <w:r w:rsidRPr="006C7824">
        <w:rPr>
          <w:rStyle w:val="SCCLsocPartyRole"/>
          <w:lang w:val="fr-CA"/>
        </w:rPr>
        <w:tab/>
        <w:t>Appelant</w:t>
      </w:r>
    </w:p>
    <w:p w:rsidR="00FB1472" w:rsidRPr="006C7824" w:rsidRDefault="006C7824">
      <w:pPr>
        <w:pStyle w:val="SCCLsocVersus"/>
        <w:rPr>
          <w:lang w:val="fr-CA"/>
        </w:rPr>
      </w:pPr>
      <w:proofErr w:type="gramStart"/>
      <w:r w:rsidRPr="006C7824">
        <w:rPr>
          <w:lang w:val="fr-CA"/>
        </w:rPr>
        <w:t>c</w:t>
      </w:r>
      <w:proofErr w:type="gramEnd"/>
      <w:r w:rsidRPr="006C7824">
        <w:rPr>
          <w:lang w:val="fr-CA"/>
        </w:rPr>
        <w:t>.</w:t>
      </w:r>
    </w:p>
    <w:p w:rsidR="00FB1472" w:rsidRPr="006C7824" w:rsidRDefault="006C7824">
      <w:pPr>
        <w:pStyle w:val="SCCLsocLastPartyInRole"/>
        <w:rPr>
          <w:lang w:val="fr-CA"/>
        </w:rPr>
      </w:pPr>
      <w:r w:rsidRPr="006C7824">
        <w:rPr>
          <w:lang w:val="fr-CA"/>
        </w:rPr>
        <w:lastRenderedPageBreak/>
        <w:t>Sa Majesté la Reine</w:t>
      </w:r>
      <w:r w:rsidR="0062046A">
        <w:rPr>
          <w:rStyle w:val="SCCLsocPartyRole"/>
          <w:lang w:val="fr-CA"/>
        </w:rPr>
        <w:tab/>
        <w:t>Intimée</w:t>
      </w:r>
    </w:p>
    <w:p w:rsidR="004D7D95" w:rsidRPr="006C7824" w:rsidRDefault="004D7D95" w:rsidP="004D7D95">
      <w:pPr>
        <w:jc w:val="both"/>
        <w:rPr>
          <w:lang w:val="fr-CA"/>
        </w:rPr>
      </w:pPr>
    </w:p>
    <w:p w:rsidR="004D7D95" w:rsidRPr="006C7824" w:rsidRDefault="004D7D95" w:rsidP="004D7D95">
      <w:pPr>
        <w:jc w:val="both"/>
        <w:rPr>
          <w:lang w:val="fr-CA"/>
        </w:rPr>
      </w:pPr>
    </w:p>
    <w:p w:rsidR="004D7D95" w:rsidRPr="006C7824" w:rsidRDefault="004D7D95" w:rsidP="004D7D95">
      <w:pPr>
        <w:jc w:val="both"/>
        <w:rPr>
          <w:lang w:val="fr-CA"/>
        </w:rPr>
      </w:pPr>
    </w:p>
    <w:p w:rsidR="004D7D95" w:rsidRPr="006C7824" w:rsidRDefault="004D7D95" w:rsidP="004D7D95">
      <w:pPr>
        <w:jc w:val="both"/>
        <w:rPr>
          <w:b/>
          <w:lang w:val="fr-CA"/>
        </w:rPr>
      </w:pPr>
      <w:r w:rsidRPr="00BB4C92">
        <w:rPr>
          <w:b/>
          <w:lang w:val="fr-CA"/>
        </w:rPr>
        <w:t>Répertorié : </w:t>
      </w:r>
      <w:r w:rsidR="0062046A">
        <w:rPr>
          <w:b/>
          <w:lang w:val="fr-CA"/>
        </w:rPr>
        <w:t xml:space="preserve">R. </w:t>
      </w:r>
      <w:r w:rsidR="0062046A" w:rsidRPr="0062046A">
        <w:rPr>
          <w:b/>
          <w:i/>
          <w:lang w:val="fr-CA"/>
        </w:rPr>
        <w:t>c.</w:t>
      </w:r>
      <w:r w:rsidR="0062046A">
        <w:rPr>
          <w:b/>
          <w:lang w:val="fr-CA"/>
        </w:rPr>
        <w:t xml:space="preserve"> Youssef</w:t>
      </w:r>
    </w:p>
    <w:p w:rsidR="004D7D95" w:rsidRPr="006C7824" w:rsidRDefault="004D7D95" w:rsidP="004D7D95">
      <w:pPr>
        <w:jc w:val="both"/>
        <w:rPr>
          <w:lang w:val="fr-CA"/>
        </w:rPr>
      </w:pPr>
    </w:p>
    <w:p w:rsidR="004D7D95" w:rsidRPr="006C7824" w:rsidRDefault="004D7D95" w:rsidP="004D7D95">
      <w:pPr>
        <w:jc w:val="both"/>
        <w:rPr>
          <w:lang w:val="fr-CA"/>
        </w:rPr>
      </w:pPr>
    </w:p>
    <w:p w:rsidR="004D7D95" w:rsidRPr="006C7824" w:rsidRDefault="004D7D95" w:rsidP="004D7D95">
      <w:pPr>
        <w:jc w:val="both"/>
        <w:rPr>
          <w:lang w:val="fr-CA"/>
        </w:rPr>
      </w:pPr>
    </w:p>
    <w:p w:rsidR="004D7D95" w:rsidRPr="006C7824" w:rsidRDefault="00D17B0E" w:rsidP="004D7D95">
      <w:pPr>
        <w:pStyle w:val="SCCSystemYear"/>
        <w:jc w:val="both"/>
        <w:rPr>
          <w:lang w:val="fr-CA"/>
        </w:rPr>
      </w:pPr>
      <w:r w:rsidRPr="006C7824">
        <w:rPr>
          <w:lang w:val="fr-CA"/>
        </w:rPr>
        <w:t>2018</w:t>
      </w:r>
      <w:r w:rsidR="004D7D95" w:rsidRPr="006C7824">
        <w:rPr>
          <w:lang w:val="fr-CA"/>
        </w:rPr>
        <w:t xml:space="preserve"> CSC </w:t>
      </w:r>
      <w:r w:rsidR="0062046A">
        <w:rPr>
          <w:lang w:val="fr-CA"/>
        </w:rPr>
        <w:t>49</w:t>
      </w:r>
    </w:p>
    <w:p w:rsidR="004D7D95" w:rsidRPr="006C7824" w:rsidRDefault="004D7D95" w:rsidP="004D7D95">
      <w:pPr>
        <w:jc w:val="both"/>
        <w:rPr>
          <w:lang w:val="fr-CA"/>
        </w:rPr>
      </w:pPr>
    </w:p>
    <w:p w:rsidR="004D7D95" w:rsidRPr="006C7824" w:rsidRDefault="004D7D95" w:rsidP="004D7D95">
      <w:pPr>
        <w:jc w:val="both"/>
        <w:rPr>
          <w:lang w:val="fr-CA"/>
        </w:rPr>
      </w:pPr>
    </w:p>
    <w:p w:rsidR="004D7D95" w:rsidRPr="006C7824" w:rsidRDefault="004D7D95" w:rsidP="004D7D95">
      <w:pPr>
        <w:jc w:val="both"/>
        <w:rPr>
          <w:lang w:val="fr-CA"/>
        </w:rPr>
      </w:pPr>
    </w:p>
    <w:p w:rsidR="004D7D95" w:rsidRPr="006C7824" w:rsidRDefault="004D7D95" w:rsidP="004D7D95">
      <w:pPr>
        <w:jc w:val="both"/>
        <w:rPr>
          <w:lang w:val="fr-CA"/>
        </w:rPr>
      </w:pPr>
      <w:r w:rsidRPr="006C7824">
        <w:rPr>
          <w:lang w:val="fr-CA"/>
        </w:rPr>
        <w:t>N</w:t>
      </w:r>
      <w:r w:rsidRPr="006C7824">
        <w:rPr>
          <w:vertAlign w:val="superscript"/>
          <w:lang w:val="fr-CA"/>
        </w:rPr>
        <w:t>o</w:t>
      </w:r>
      <w:r w:rsidRPr="006C7824">
        <w:rPr>
          <w:lang w:val="fr-CA"/>
        </w:rPr>
        <w:t xml:space="preserve"> du greffe : 38036.</w:t>
      </w:r>
    </w:p>
    <w:p w:rsidR="004D7D95" w:rsidRPr="006C7824" w:rsidRDefault="004D7D95" w:rsidP="004D7D95">
      <w:pPr>
        <w:jc w:val="both"/>
        <w:rPr>
          <w:lang w:val="fr-CA"/>
        </w:rPr>
      </w:pPr>
    </w:p>
    <w:p w:rsidR="004D7D95" w:rsidRPr="006C7824" w:rsidRDefault="004D7D95" w:rsidP="004D7D95">
      <w:pPr>
        <w:jc w:val="both"/>
        <w:rPr>
          <w:lang w:val="fr-CA"/>
        </w:rPr>
      </w:pPr>
    </w:p>
    <w:p w:rsidR="004D7D95" w:rsidRPr="006C7824" w:rsidRDefault="004D7D95" w:rsidP="004D7D95">
      <w:pPr>
        <w:jc w:val="both"/>
        <w:rPr>
          <w:lang w:val="fr-CA"/>
        </w:rPr>
      </w:pPr>
    </w:p>
    <w:p w:rsidR="004D7D95" w:rsidRPr="006C7824" w:rsidRDefault="00D17B0E" w:rsidP="004D7D95">
      <w:pPr>
        <w:jc w:val="both"/>
        <w:rPr>
          <w:lang w:val="fr-CA"/>
        </w:rPr>
      </w:pPr>
      <w:r w:rsidRPr="006C7824">
        <w:rPr>
          <w:lang w:val="fr-CA"/>
        </w:rPr>
        <w:t>2018 : 9 novembre</w:t>
      </w:r>
      <w:r w:rsidR="006F61CD">
        <w:rPr>
          <w:lang w:val="fr-CA"/>
        </w:rPr>
        <w:t>.</w:t>
      </w:r>
    </w:p>
    <w:p w:rsidR="004D7D95" w:rsidRPr="006C7824" w:rsidRDefault="004D7D95" w:rsidP="004D7D95">
      <w:pPr>
        <w:jc w:val="both"/>
        <w:rPr>
          <w:lang w:val="fr-CA"/>
        </w:rPr>
      </w:pPr>
    </w:p>
    <w:p w:rsidR="004D7D95" w:rsidRPr="006C7824" w:rsidRDefault="004D7D95" w:rsidP="004D7D95">
      <w:pPr>
        <w:jc w:val="both"/>
        <w:rPr>
          <w:lang w:val="fr-CA"/>
        </w:rPr>
      </w:pPr>
    </w:p>
    <w:p w:rsidR="004D7D95" w:rsidRPr="006C7824" w:rsidRDefault="004D7D95" w:rsidP="004D7D95">
      <w:pPr>
        <w:jc w:val="both"/>
        <w:rPr>
          <w:lang w:val="fr-CA"/>
        </w:rPr>
      </w:pPr>
      <w:r w:rsidRPr="006C7824">
        <w:rPr>
          <w:lang w:val="fr-CA"/>
        </w:rPr>
        <w:t xml:space="preserve">Présents : Les juges </w:t>
      </w:r>
      <w:proofErr w:type="spellStart"/>
      <w:r w:rsidRPr="006C7824">
        <w:rPr>
          <w:lang w:val="fr-CA"/>
        </w:rPr>
        <w:t>Moldaver</w:t>
      </w:r>
      <w:proofErr w:type="spellEnd"/>
      <w:r w:rsidRPr="006C7824">
        <w:rPr>
          <w:lang w:val="fr-CA"/>
        </w:rPr>
        <w:t>, Côté, Brown, Rowe et Martin.</w:t>
      </w:r>
    </w:p>
    <w:p w:rsidR="004D7D95" w:rsidRPr="006C7824" w:rsidRDefault="004D7D95" w:rsidP="004D7D95">
      <w:pPr>
        <w:jc w:val="both"/>
        <w:rPr>
          <w:lang w:val="fr-CA"/>
        </w:rPr>
      </w:pPr>
    </w:p>
    <w:p w:rsidR="00EE0830" w:rsidRPr="006C7824" w:rsidRDefault="00EE0830" w:rsidP="004D7D95">
      <w:pPr>
        <w:jc w:val="both"/>
        <w:rPr>
          <w:lang w:val="fr-CA"/>
        </w:rPr>
      </w:pPr>
    </w:p>
    <w:p w:rsidR="00BF6FE9" w:rsidRPr="006C7824" w:rsidRDefault="00BF6FE9" w:rsidP="000F7993">
      <w:pPr>
        <w:jc w:val="both"/>
        <w:rPr>
          <w:lang w:val="fr-CA"/>
        </w:rPr>
      </w:pPr>
    </w:p>
    <w:p w:rsidR="00FB1472" w:rsidRPr="006C7824" w:rsidRDefault="00FB1472">
      <w:pPr>
        <w:rPr>
          <w:lang w:val="fr-CA"/>
        </w:rPr>
      </w:pPr>
    </w:p>
    <w:p w:rsidR="004D7D95" w:rsidRPr="00C92D53" w:rsidRDefault="004D7D95" w:rsidP="000F7993">
      <w:pPr>
        <w:jc w:val="both"/>
        <w:rPr>
          <w:smallCaps/>
          <w:lang w:val="fr-CA"/>
        </w:rPr>
      </w:pPr>
      <w:r w:rsidRPr="00C92D53">
        <w:rPr>
          <w:smallCaps/>
          <w:lang w:val="fr-CA"/>
        </w:rPr>
        <w:t xml:space="preserve">en appel de la cour d’appel de </w:t>
      </w:r>
      <w:proofErr w:type="spellStart"/>
      <w:r w:rsidRPr="00C92D53">
        <w:rPr>
          <w:smallCaps/>
          <w:lang w:val="fr-CA"/>
        </w:rPr>
        <w:t>l’ontario</w:t>
      </w:r>
      <w:proofErr w:type="spellEnd"/>
    </w:p>
    <w:p w:rsidR="004D7D95" w:rsidRPr="00BB4C92" w:rsidRDefault="004D7D95" w:rsidP="004D7D95">
      <w:pPr>
        <w:pStyle w:val="SCCNormalDoubleSpacing"/>
        <w:rPr>
          <w:lang w:val="fr-CA"/>
        </w:rPr>
      </w:pPr>
    </w:p>
    <w:p w:rsidR="004D7D95" w:rsidRPr="008A1162" w:rsidRDefault="004D7D95" w:rsidP="004D7D95">
      <w:pPr>
        <w:pStyle w:val="SCCNormalDoubleSpacing"/>
        <w:rPr>
          <w:lang w:val="fr-CA"/>
        </w:rPr>
      </w:pPr>
      <w:r w:rsidRPr="00BB4C92">
        <w:rPr>
          <w:lang w:val="fr-CA"/>
        </w:rPr>
        <w:tab/>
      </w:r>
      <w:r w:rsidR="0042717E" w:rsidRPr="008A1162">
        <w:rPr>
          <w:i/>
          <w:lang w:val="fr-CA"/>
        </w:rPr>
        <w:t>Droit criminel — Preuve — Preuve circonstancielle — Verdict déraisonnable — Accus</w:t>
      </w:r>
      <w:r w:rsidR="008A1162" w:rsidRPr="008A1162">
        <w:rPr>
          <w:i/>
          <w:lang w:val="fr-CA"/>
        </w:rPr>
        <w:t xml:space="preserve">é déclaré coupable de plusieurs infractions découlant d’un vol de banque à main armée </w:t>
      </w:r>
      <w:r w:rsidR="0042717E" w:rsidRPr="008A1162">
        <w:rPr>
          <w:i/>
          <w:lang w:val="fr-CA"/>
        </w:rPr>
        <w:t xml:space="preserve">— </w:t>
      </w:r>
      <w:r w:rsidR="008A1162" w:rsidRPr="008A1162">
        <w:rPr>
          <w:i/>
          <w:lang w:val="fr-CA"/>
        </w:rPr>
        <w:t xml:space="preserve">Déclarations de culpabilité basées sur </w:t>
      </w:r>
      <w:r w:rsidR="008A1162">
        <w:rPr>
          <w:i/>
          <w:lang w:val="fr-CA"/>
        </w:rPr>
        <w:t>une preuve circonstancielle quant à l’identité</w:t>
      </w:r>
      <w:r w:rsidR="0042717E" w:rsidRPr="008A1162">
        <w:rPr>
          <w:i/>
          <w:lang w:val="fr-CA"/>
        </w:rPr>
        <w:t xml:space="preserve"> — Co</w:t>
      </w:r>
      <w:r w:rsidR="008A1162">
        <w:rPr>
          <w:i/>
          <w:lang w:val="fr-CA"/>
        </w:rPr>
        <w:t>nclusion de la Cour d’appel portant que considérés globalement les éléments de preuve circonstancielle appuient le caractère raisonnable du verdict et excluent toute autre inférence raisonnable que la culpabilité</w:t>
      </w:r>
      <w:r w:rsidR="0042717E" w:rsidRPr="008A1162">
        <w:rPr>
          <w:i/>
          <w:lang w:val="fr-CA"/>
        </w:rPr>
        <w:t xml:space="preserve"> — </w:t>
      </w:r>
      <w:r w:rsidR="008A1162">
        <w:rPr>
          <w:i/>
          <w:lang w:val="fr-CA"/>
        </w:rPr>
        <w:t>Déclarations de culpabilité confirmées</w:t>
      </w:r>
      <w:r w:rsidR="0042717E" w:rsidRPr="008A1162">
        <w:rPr>
          <w:i/>
          <w:lang w:val="fr-CA"/>
        </w:rPr>
        <w:t>.</w:t>
      </w:r>
    </w:p>
    <w:p w:rsidR="004D7D95" w:rsidRPr="008A1162" w:rsidRDefault="004D7D95" w:rsidP="004D7D95">
      <w:pPr>
        <w:pStyle w:val="SCCNormalDoubleSpacing"/>
        <w:rPr>
          <w:lang w:val="fr-CA"/>
        </w:rPr>
      </w:pPr>
    </w:p>
    <w:p w:rsidR="004D7D95" w:rsidRPr="008A1162" w:rsidRDefault="004D7D95" w:rsidP="004D7D95">
      <w:pPr>
        <w:pStyle w:val="SCCNormalDoubleSpacing"/>
        <w:rPr>
          <w:lang w:val="fr-CA"/>
        </w:rPr>
      </w:pPr>
    </w:p>
    <w:p w:rsidR="004D7D95" w:rsidRPr="004D7D95" w:rsidRDefault="004D7D95" w:rsidP="004D7D95">
      <w:pPr>
        <w:pStyle w:val="SCCNormalDoubleSpacing"/>
        <w:keepNext/>
        <w:keepLines/>
        <w:rPr>
          <w:b/>
          <w:lang w:val="fr-CA"/>
        </w:rPr>
      </w:pPr>
      <w:r w:rsidRPr="004D7D95">
        <w:rPr>
          <w:b/>
          <w:lang w:val="fr-CA"/>
        </w:rPr>
        <w:lastRenderedPageBreak/>
        <w:t>Jurisprudence</w:t>
      </w:r>
    </w:p>
    <w:p w:rsidR="004D7D95" w:rsidRPr="004D7D95" w:rsidRDefault="004D7D95" w:rsidP="004D7D95">
      <w:pPr>
        <w:pStyle w:val="SCCNormalDoubleSpacing"/>
        <w:keepNext/>
        <w:keepLines/>
        <w:rPr>
          <w:lang w:val="fr-CA"/>
        </w:rPr>
      </w:pPr>
    </w:p>
    <w:p w:rsidR="004D7D95" w:rsidRPr="004D7D95" w:rsidRDefault="004D7D95" w:rsidP="004D7D95">
      <w:pPr>
        <w:pStyle w:val="SCCNormalDoubleSpacing"/>
        <w:keepNext/>
        <w:keepLines/>
        <w:rPr>
          <w:b/>
          <w:lang w:val="fr-CA"/>
        </w:rPr>
      </w:pPr>
      <w:r w:rsidRPr="004D7D95">
        <w:rPr>
          <w:lang w:val="fr-CA"/>
        </w:rPr>
        <w:tab/>
      </w:r>
      <w:r w:rsidRPr="004D7D95">
        <w:rPr>
          <w:b/>
          <w:lang w:val="fr-CA"/>
        </w:rPr>
        <w:t>Arrêt</w:t>
      </w:r>
      <w:r w:rsidR="00146645">
        <w:rPr>
          <w:b/>
          <w:lang w:val="fr-CA"/>
        </w:rPr>
        <w:t xml:space="preserve"> mentionné</w:t>
      </w:r>
      <w:r w:rsidRPr="004D7D95">
        <w:rPr>
          <w:b/>
          <w:lang w:val="fr-CA"/>
        </w:rPr>
        <w:t> :</w:t>
      </w:r>
      <w:r w:rsidRPr="004D7D95">
        <w:rPr>
          <w:lang w:val="fr-CA"/>
        </w:rPr>
        <w:t xml:space="preserve"> </w:t>
      </w:r>
      <w:r w:rsidR="00C8106A" w:rsidRPr="003754E6">
        <w:rPr>
          <w:i/>
          <w:lang w:val="fr-CA"/>
        </w:rPr>
        <w:t xml:space="preserve">R. c. </w:t>
      </w:r>
      <w:proofErr w:type="spellStart"/>
      <w:r w:rsidR="00C8106A" w:rsidRPr="003754E6">
        <w:rPr>
          <w:i/>
          <w:lang w:val="fr-CA"/>
        </w:rPr>
        <w:t>Villaroman</w:t>
      </w:r>
      <w:proofErr w:type="spellEnd"/>
      <w:r w:rsidR="00C8106A" w:rsidRPr="003754E6">
        <w:rPr>
          <w:lang w:val="fr-CA"/>
        </w:rPr>
        <w:t>, 2016 CSC 33,</w:t>
      </w:r>
      <w:r w:rsidR="00C8106A">
        <w:rPr>
          <w:lang w:val="fr-CA"/>
        </w:rPr>
        <w:t xml:space="preserve"> [2016] 1 R.C.S. 1000.</w:t>
      </w:r>
    </w:p>
    <w:p w:rsidR="004D7D95" w:rsidRPr="004D7D95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Pr="004D7D95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Pr="004D7D95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Pr="004D7D95" w:rsidRDefault="004D7D95" w:rsidP="004D7D95">
      <w:pPr>
        <w:pStyle w:val="SCCNormalDoubleSpacing"/>
        <w:rPr>
          <w:lang w:val="fr-CA"/>
        </w:rPr>
      </w:pPr>
      <w:r w:rsidRPr="004D7D95">
        <w:rPr>
          <w:lang w:val="fr-CA"/>
        </w:rPr>
        <w:tab/>
        <w:t xml:space="preserve">POURVOI contre un arrêt de la </w:t>
      </w:r>
      <w:r w:rsidRPr="006C7824">
        <w:rPr>
          <w:lang w:val="fr-CA"/>
        </w:rPr>
        <w:t>Cour d’appel de l’Ontario</w:t>
      </w:r>
      <w:r w:rsidR="00C92D53">
        <w:rPr>
          <w:lang w:val="fr-CA"/>
        </w:rPr>
        <w:t xml:space="preserve"> (les juges </w:t>
      </w:r>
      <w:proofErr w:type="spellStart"/>
      <w:r w:rsidR="00C92D53">
        <w:rPr>
          <w:lang w:val="fr-CA"/>
        </w:rPr>
        <w:t>Laskin</w:t>
      </w:r>
      <w:proofErr w:type="spellEnd"/>
      <w:r w:rsidR="00C92D53">
        <w:rPr>
          <w:lang w:val="fr-CA"/>
        </w:rPr>
        <w:t xml:space="preserve">, </w:t>
      </w:r>
      <w:proofErr w:type="spellStart"/>
      <w:r w:rsidR="00C92D53">
        <w:rPr>
          <w:lang w:val="fr-CA"/>
        </w:rPr>
        <w:t>Feldman</w:t>
      </w:r>
      <w:proofErr w:type="spellEnd"/>
      <w:r w:rsidR="00C92D53">
        <w:rPr>
          <w:lang w:val="fr-CA"/>
        </w:rPr>
        <w:t xml:space="preserve"> et Blair), 2018 ONCA 16, [2018] O.J. No. 140 (QL), 2018 </w:t>
      </w:r>
      <w:proofErr w:type="spellStart"/>
      <w:r w:rsidR="00C92D53">
        <w:rPr>
          <w:lang w:val="fr-CA"/>
        </w:rPr>
        <w:t>CarswellOnt</w:t>
      </w:r>
      <w:proofErr w:type="spellEnd"/>
      <w:r w:rsidR="00C92D53">
        <w:rPr>
          <w:lang w:val="fr-CA"/>
        </w:rPr>
        <w:t xml:space="preserve"> 227 (WL Can.), qui a confirmé </w:t>
      </w:r>
      <w:r w:rsidR="00FD2B1E">
        <w:rPr>
          <w:lang w:val="fr-CA"/>
        </w:rPr>
        <w:t>les</w:t>
      </w:r>
      <w:r w:rsidR="00C8106A">
        <w:rPr>
          <w:lang w:val="fr-CA"/>
        </w:rPr>
        <w:t xml:space="preserve"> déclaration</w:t>
      </w:r>
      <w:r w:rsidR="00FD2B1E">
        <w:rPr>
          <w:lang w:val="fr-CA"/>
        </w:rPr>
        <w:t>s</w:t>
      </w:r>
      <w:r w:rsidR="00C92D53">
        <w:rPr>
          <w:lang w:val="fr-CA"/>
        </w:rPr>
        <w:t xml:space="preserve"> de culpabilité prononcé</w:t>
      </w:r>
      <w:r w:rsidR="00C8106A">
        <w:rPr>
          <w:lang w:val="fr-CA"/>
        </w:rPr>
        <w:t>e</w:t>
      </w:r>
      <w:r w:rsidR="00FD2B1E">
        <w:rPr>
          <w:lang w:val="fr-CA"/>
        </w:rPr>
        <w:t xml:space="preserve">s </w:t>
      </w:r>
      <w:r w:rsidR="00C92D53">
        <w:rPr>
          <w:lang w:val="fr-CA"/>
        </w:rPr>
        <w:t>contre l’accusé.  Pourvoi</w:t>
      </w:r>
      <w:r w:rsidR="00146645">
        <w:rPr>
          <w:lang w:val="fr-CA"/>
        </w:rPr>
        <w:t xml:space="preserve"> rejeté.</w:t>
      </w:r>
    </w:p>
    <w:p w:rsidR="004D7D95" w:rsidRPr="004D7D95" w:rsidRDefault="004D7D95" w:rsidP="004D7D95">
      <w:pPr>
        <w:pStyle w:val="SCCNormalDoubleSpacing"/>
        <w:rPr>
          <w:lang w:val="fr-CA"/>
        </w:rPr>
      </w:pPr>
    </w:p>
    <w:p w:rsidR="00FB1472" w:rsidRPr="006C7824" w:rsidRDefault="006C7824">
      <w:pPr>
        <w:pStyle w:val="SCCNormalDoubleSpacing"/>
        <w:rPr>
          <w:lang w:val="fr-CA"/>
        </w:rPr>
      </w:pPr>
      <w:r w:rsidRPr="006C7824">
        <w:rPr>
          <w:rStyle w:val="SCCCounselNameChar"/>
          <w:lang w:val="fr-CA"/>
        </w:rPr>
        <w:tab/>
        <w:t xml:space="preserve">Richard </w:t>
      </w:r>
      <w:proofErr w:type="spellStart"/>
      <w:r w:rsidRPr="006C7824">
        <w:rPr>
          <w:rStyle w:val="SCCCounselNameChar"/>
          <w:lang w:val="fr-CA"/>
        </w:rPr>
        <w:t>Litkowski</w:t>
      </w:r>
      <w:proofErr w:type="spellEnd"/>
      <w:r w:rsidRPr="006C7824">
        <w:rPr>
          <w:rStyle w:val="SCCCounselSeparatorChar"/>
          <w:lang w:val="fr-CA"/>
        </w:rPr>
        <w:t xml:space="preserve"> et </w:t>
      </w:r>
      <w:r w:rsidRPr="006C7824">
        <w:rPr>
          <w:rStyle w:val="SCCCounselNameChar"/>
          <w:lang w:val="fr-CA"/>
        </w:rPr>
        <w:t>Jessica Zita</w:t>
      </w:r>
      <w:r w:rsidR="00C92D53">
        <w:rPr>
          <w:rStyle w:val="SCCCounselPartyRoleChar"/>
          <w:lang w:val="fr-CA"/>
        </w:rPr>
        <w:t>, pour l’</w:t>
      </w:r>
      <w:r w:rsidR="00C8106A">
        <w:rPr>
          <w:rStyle w:val="SCCCounselPartyRoleChar"/>
          <w:lang w:val="fr-CA"/>
        </w:rPr>
        <w:t>appelant</w:t>
      </w:r>
      <w:r w:rsidRPr="006C7824">
        <w:rPr>
          <w:rStyle w:val="SCCCounselPartyRoleChar"/>
          <w:lang w:val="fr-CA"/>
        </w:rPr>
        <w:t>.</w:t>
      </w:r>
    </w:p>
    <w:p w:rsidR="00FB1472" w:rsidRPr="006C7824" w:rsidRDefault="00FB1472">
      <w:pPr>
        <w:pStyle w:val="SCCNormalDoubleSpacing"/>
        <w:rPr>
          <w:lang w:val="fr-CA"/>
        </w:rPr>
      </w:pPr>
    </w:p>
    <w:p w:rsidR="00FB1472" w:rsidRPr="006C7824" w:rsidRDefault="006C7824">
      <w:pPr>
        <w:pStyle w:val="SCCNormalDoubleSpacing"/>
        <w:rPr>
          <w:lang w:val="fr-CA"/>
        </w:rPr>
      </w:pPr>
      <w:r w:rsidRPr="006C7824">
        <w:rPr>
          <w:rStyle w:val="SCCCounselNameChar"/>
          <w:lang w:val="fr-CA"/>
        </w:rPr>
        <w:tab/>
        <w:t xml:space="preserve">Kevin </w:t>
      </w:r>
      <w:proofErr w:type="spellStart"/>
      <w:r w:rsidRPr="006C7824">
        <w:rPr>
          <w:rStyle w:val="SCCCounselNameChar"/>
          <w:lang w:val="fr-CA"/>
        </w:rPr>
        <w:t>Rawluk</w:t>
      </w:r>
      <w:proofErr w:type="spellEnd"/>
      <w:r w:rsidR="00C92D53">
        <w:rPr>
          <w:rStyle w:val="SCCCounselPartyRoleChar"/>
          <w:lang w:val="fr-CA"/>
        </w:rPr>
        <w:t>, pour l’</w:t>
      </w:r>
      <w:r w:rsidR="00C8106A">
        <w:rPr>
          <w:rStyle w:val="SCCCounselPartyRoleChar"/>
          <w:lang w:val="fr-CA"/>
        </w:rPr>
        <w:t>intimée</w:t>
      </w:r>
      <w:r w:rsidRPr="006C7824">
        <w:rPr>
          <w:rStyle w:val="SCCCounselPartyRoleChar"/>
          <w:lang w:val="fr-CA"/>
        </w:rPr>
        <w:t>.</w:t>
      </w:r>
    </w:p>
    <w:p w:rsidR="00FB1472" w:rsidRDefault="00FB1472">
      <w:pPr>
        <w:pStyle w:val="SCCNormalDoubleSpacing"/>
        <w:rPr>
          <w:lang w:val="fr-CA"/>
        </w:rPr>
      </w:pPr>
    </w:p>
    <w:p w:rsidR="008445A7" w:rsidRDefault="008445A7">
      <w:pPr>
        <w:pStyle w:val="SCCNormalDoubleSpacing"/>
        <w:rPr>
          <w:lang w:val="fr-CA"/>
        </w:rPr>
      </w:pPr>
      <w:r>
        <w:rPr>
          <w:lang w:val="fr-CA"/>
        </w:rPr>
        <w:tab/>
        <w:t>Version française du jugement de la Cour rendu oralement par</w:t>
      </w:r>
    </w:p>
    <w:p w:rsidR="00302E2F" w:rsidRPr="00D35D2F" w:rsidRDefault="00302E2F" w:rsidP="006B3D67">
      <w:pPr>
        <w:pStyle w:val="SCCNormalDoubleSpacing"/>
        <w:numPr>
          <w:ilvl w:val="0"/>
          <w:numId w:val="1"/>
        </w:numPr>
        <w:spacing w:before="480" w:after="480"/>
        <w:ind w:left="0" w:firstLine="0"/>
        <w:rPr>
          <w:lang w:val="fr-CA"/>
        </w:rPr>
      </w:pPr>
      <w:r w:rsidRPr="0062046A">
        <w:rPr>
          <w:smallCaps/>
          <w:lang w:val="fr-CA"/>
        </w:rPr>
        <w:t>La</w:t>
      </w:r>
      <w:r w:rsidRPr="0095713E">
        <w:rPr>
          <w:smallCaps/>
          <w:lang w:val="fr-CA"/>
        </w:rPr>
        <w:t xml:space="preserve"> juge Côté</w:t>
      </w:r>
      <w:r w:rsidRPr="0095713E">
        <w:rPr>
          <w:lang w:val="fr-CA"/>
        </w:rPr>
        <w:t xml:space="preserve"> — </w:t>
      </w:r>
      <w:r>
        <w:rPr>
          <w:lang w:val="fr-CA"/>
        </w:rPr>
        <w:t>À notre avis, eu ég</w:t>
      </w:r>
      <w:r w:rsidRPr="003754E6">
        <w:rPr>
          <w:lang w:val="fr-CA"/>
        </w:rPr>
        <w:t xml:space="preserve">ard aux principes énoncés par notre Cour dans </w:t>
      </w:r>
      <w:r w:rsidRPr="003754E6">
        <w:rPr>
          <w:i/>
          <w:lang w:val="fr-CA"/>
        </w:rPr>
        <w:t xml:space="preserve">R. c. </w:t>
      </w:r>
      <w:proofErr w:type="spellStart"/>
      <w:r w:rsidRPr="003754E6">
        <w:rPr>
          <w:i/>
          <w:lang w:val="fr-CA"/>
        </w:rPr>
        <w:t>Villaroman</w:t>
      </w:r>
      <w:proofErr w:type="spellEnd"/>
      <w:r w:rsidRPr="003754E6">
        <w:rPr>
          <w:lang w:val="fr-CA"/>
        </w:rPr>
        <w:t>, 2016 CSC 33,</w:t>
      </w:r>
      <w:r>
        <w:rPr>
          <w:lang w:val="fr-CA"/>
        </w:rPr>
        <w:t xml:space="preserve"> [2016] 1 R.C.S. 1000,</w:t>
      </w:r>
      <w:r w:rsidR="0062046A">
        <w:rPr>
          <w:lang w:val="fr-CA"/>
        </w:rPr>
        <w:t xml:space="preserve"> </w:t>
      </w:r>
      <w:r w:rsidRPr="003754E6">
        <w:rPr>
          <w:lang w:val="fr-CA"/>
        </w:rPr>
        <w:t xml:space="preserve">par. 55, il n’était pas déraisonnable pour le juge du procès de conclure que l’ensemble de la preuve excluait toute </w:t>
      </w:r>
      <w:r>
        <w:rPr>
          <w:lang w:val="fr-CA"/>
        </w:rPr>
        <w:t>autre inférence</w:t>
      </w:r>
      <w:r w:rsidRPr="003754E6">
        <w:rPr>
          <w:lang w:val="fr-CA"/>
        </w:rPr>
        <w:t xml:space="preserve"> raisonnable que la culpabilité, </w:t>
      </w:r>
      <w:r>
        <w:rPr>
          <w:lang w:val="fr-CA"/>
        </w:rPr>
        <w:t>particulièrement en raison d</w:t>
      </w:r>
      <w:r w:rsidRPr="003754E6">
        <w:rPr>
          <w:lang w:val="fr-CA"/>
        </w:rPr>
        <w:t>e la présence de l’AD</w:t>
      </w:r>
      <w:r>
        <w:rPr>
          <w:lang w:val="fr-CA"/>
        </w:rPr>
        <w:t>N</w:t>
      </w:r>
      <w:r w:rsidRPr="003754E6">
        <w:rPr>
          <w:lang w:val="fr-CA"/>
        </w:rPr>
        <w:t xml:space="preserve"> de M. Youssef sur deux éléments de </w:t>
      </w:r>
      <w:r>
        <w:rPr>
          <w:lang w:val="fr-CA"/>
        </w:rPr>
        <w:t xml:space="preserve">preuve différents, dont l’un était lié à la scène du vol de banque, et l’autre à la voiture utilisée par le voleur pour prendre la fuite. Après avoir considéré les motifs du juge du procès globalement et au </w:t>
      </w:r>
      <w:r>
        <w:rPr>
          <w:lang w:val="fr-CA"/>
        </w:rPr>
        <w:lastRenderedPageBreak/>
        <w:t>regard de la preuve et des arguments présentés au procès, nous ne sommes pas persuadés que ce dernier a fait abstraction d’autres explications possibles</w:t>
      </w:r>
      <w:r w:rsidRPr="00D35D2F">
        <w:rPr>
          <w:lang w:val="fr-CA"/>
        </w:rPr>
        <w:t>.</w:t>
      </w:r>
    </w:p>
    <w:p w:rsidR="00302E2F" w:rsidRPr="0095713E" w:rsidRDefault="00302E2F" w:rsidP="006B3D67">
      <w:pPr>
        <w:pStyle w:val="SCCNormalDoubleSpacing"/>
        <w:numPr>
          <w:ilvl w:val="0"/>
          <w:numId w:val="1"/>
        </w:numPr>
        <w:spacing w:before="480" w:after="480"/>
        <w:ind w:left="0" w:firstLine="0"/>
        <w:rPr>
          <w:lang w:val="fr-CA"/>
        </w:rPr>
      </w:pPr>
      <w:r>
        <w:rPr>
          <w:lang w:val="fr-CA"/>
        </w:rPr>
        <w:t xml:space="preserve">Nous sommes par conséquent </w:t>
      </w:r>
      <w:r w:rsidRPr="003754E6">
        <w:rPr>
          <w:lang w:val="fr-CA"/>
        </w:rPr>
        <w:t>d’avis de rejeter le pourvoi.</w:t>
      </w:r>
    </w:p>
    <w:p w:rsidR="00FB1472" w:rsidRPr="006C7824" w:rsidRDefault="0062046A" w:rsidP="00C8106A">
      <w:pPr>
        <w:pStyle w:val="SCCLawFirm"/>
        <w:spacing w:before="480" w:after="480"/>
        <w:rPr>
          <w:lang w:val="fr-CA"/>
        </w:rPr>
      </w:pPr>
      <w:r>
        <w:rPr>
          <w:lang w:val="fr-CA"/>
        </w:rPr>
        <w:tab/>
      </w:r>
      <w:r w:rsidRPr="0062046A">
        <w:rPr>
          <w:lang w:val="fr-CA"/>
        </w:rPr>
        <w:t>Jugement en conséquence.</w:t>
      </w:r>
    </w:p>
    <w:p w:rsidR="00FB1472" w:rsidRDefault="006C7824" w:rsidP="00C8106A">
      <w:pPr>
        <w:pStyle w:val="SCCLawFirm"/>
        <w:rPr>
          <w:lang w:val="fr-CA"/>
        </w:rPr>
      </w:pPr>
      <w:r w:rsidRPr="006C7824">
        <w:rPr>
          <w:lang w:val="fr-CA"/>
        </w:rPr>
        <w:tab/>
        <w:t>Procureur</w:t>
      </w:r>
      <w:r w:rsidR="0062046A">
        <w:rPr>
          <w:lang w:val="fr-CA"/>
        </w:rPr>
        <w:t>s de l’</w:t>
      </w:r>
      <w:r w:rsidRPr="006C7824">
        <w:rPr>
          <w:lang w:val="fr-CA"/>
        </w:rPr>
        <w:t>appelant : Hicks Ada</w:t>
      </w:r>
      <w:r w:rsidR="0062046A">
        <w:rPr>
          <w:lang w:val="fr-CA"/>
        </w:rPr>
        <w:t>ms</w:t>
      </w:r>
      <w:r w:rsidRPr="006C7824">
        <w:rPr>
          <w:lang w:val="fr-CA"/>
        </w:rPr>
        <w:t>, Toronto.</w:t>
      </w:r>
    </w:p>
    <w:p w:rsidR="00C8106A" w:rsidRPr="00C8106A" w:rsidRDefault="00C8106A" w:rsidP="00C8106A">
      <w:pPr>
        <w:pStyle w:val="SCCNormalDoubleSpacing"/>
        <w:rPr>
          <w:lang w:val="fr-CA"/>
        </w:rPr>
      </w:pPr>
    </w:p>
    <w:p w:rsidR="00FB1472" w:rsidRPr="006C7824" w:rsidRDefault="0062046A" w:rsidP="0062046A">
      <w:pPr>
        <w:pStyle w:val="SCCLawFirm"/>
        <w:rPr>
          <w:lang w:val="fr-CA"/>
        </w:rPr>
      </w:pPr>
      <w:r>
        <w:rPr>
          <w:lang w:val="fr-CA"/>
        </w:rPr>
        <w:tab/>
        <w:t>Procureur de l’intimée</w:t>
      </w:r>
      <w:r w:rsidR="006C7824" w:rsidRPr="006C7824">
        <w:rPr>
          <w:lang w:val="fr-CA"/>
        </w:rPr>
        <w:t xml:space="preserve"> : </w:t>
      </w:r>
      <w:r w:rsidR="00E92C59">
        <w:rPr>
          <w:lang w:val="fr-CA"/>
        </w:rPr>
        <w:t>Bureau des avocats de la Couronne —</w:t>
      </w:r>
      <w:r w:rsidR="006C7824" w:rsidRPr="006C7824">
        <w:rPr>
          <w:lang w:val="fr-CA"/>
        </w:rPr>
        <w:t xml:space="preserve"> </w:t>
      </w:r>
      <w:r w:rsidR="00E92C59">
        <w:rPr>
          <w:lang w:val="fr-CA"/>
        </w:rPr>
        <w:t>Droit criminel</w:t>
      </w:r>
      <w:r w:rsidR="006C7824" w:rsidRPr="006C7824">
        <w:rPr>
          <w:lang w:val="fr-CA"/>
        </w:rPr>
        <w:t>, Toronto.</w:t>
      </w:r>
    </w:p>
    <w:p w:rsidR="004D7D95" w:rsidRDefault="004D7D95" w:rsidP="004D7D95">
      <w:pPr>
        <w:pStyle w:val="SCCItalic"/>
        <w:rPr>
          <w:lang w:val="fr-CA"/>
        </w:rPr>
      </w:pPr>
    </w:p>
    <w:p w:rsidR="006B3D67" w:rsidRPr="006B3D67" w:rsidRDefault="006B3D67" w:rsidP="006B3D67">
      <w:pPr>
        <w:pStyle w:val="SCCNormalDoubleSpacing"/>
        <w:rPr>
          <w:lang w:val="fr-CA"/>
        </w:rPr>
      </w:pPr>
    </w:p>
    <w:p w:rsidR="004D7D95" w:rsidRPr="006C7824" w:rsidRDefault="004D7D95" w:rsidP="004D7D95">
      <w:pPr>
        <w:pStyle w:val="SCCItalic"/>
        <w:rPr>
          <w:lang w:val="fr-CA"/>
        </w:rPr>
      </w:pPr>
    </w:p>
    <w:p w:rsidR="009B57B3" w:rsidRPr="006C040C" w:rsidRDefault="009B57B3" w:rsidP="006C040C">
      <w:pPr>
        <w:rPr>
          <w:lang w:val="fr-CA"/>
        </w:rPr>
      </w:pPr>
    </w:p>
    <w:sectPr w:rsidR="009B57B3" w:rsidRPr="006C040C" w:rsidSect="000648CC">
      <w:headerReference w:type="default" r:id="rId9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82" w:rsidRDefault="00BC0582">
      <w:r>
        <w:separator/>
      </w:r>
    </w:p>
  </w:endnote>
  <w:endnote w:type="continuationSeparator" w:id="0">
    <w:p w:rsidR="00BC0582" w:rsidRDefault="00BC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82" w:rsidRDefault="00BC0582">
      <w:r>
        <w:separator/>
      </w:r>
    </w:p>
  </w:footnote>
  <w:footnote w:type="continuationSeparator" w:id="0">
    <w:p w:rsidR="00BC0582" w:rsidRDefault="00BC0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5F0A"/>
    <w:multiLevelType w:val="hybridMultilevel"/>
    <w:tmpl w:val="87DC71A6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5198"/>
    <w:rsid w:val="000578A3"/>
    <w:rsid w:val="000648CC"/>
    <w:rsid w:val="000C59B8"/>
    <w:rsid w:val="000C6AF0"/>
    <w:rsid w:val="000D0A77"/>
    <w:rsid w:val="000F7993"/>
    <w:rsid w:val="00104F33"/>
    <w:rsid w:val="00111DE2"/>
    <w:rsid w:val="00116B38"/>
    <w:rsid w:val="00124EE1"/>
    <w:rsid w:val="00135406"/>
    <w:rsid w:val="00135972"/>
    <w:rsid w:val="001426A9"/>
    <w:rsid w:val="00146645"/>
    <w:rsid w:val="00154D7C"/>
    <w:rsid w:val="001570B0"/>
    <w:rsid w:val="0015752C"/>
    <w:rsid w:val="00157737"/>
    <w:rsid w:val="00165277"/>
    <w:rsid w:val="00170592"/>
    <w:rsid w:val="001720F7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406EE"/>
    <w:rsid w:val="00243EC8"/>
    <w:rsid w:val="00265F78"/>
    <w:rsid w:val="00270D93"/>
    <w:rsid w:val="002745CC"/>
    <w:rsid w:val="002B6FBE"/>
    <w:rsid w:val="002B7924"/>
    <w:rsid w:val="002C10A6"/>
    <w:rsid w:val="002D28C3"/>
    <w:rsid w:val="002D39A4"/>
    <w:rsid w:val="002E6705"/>
    <w:rsid w:val="00302E2F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64777"/>
    <w:rsid w:val="00364B18"/>
    <w:rsid w:val="003A0DB7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2717E"/>
    <w:rsid w:val="00450352"/>
    <w:rsid w:val="00454BDB"/>
    <w:rsid w:val="00465132"/>
    <w:rsid w:val="00480C90"/>
    <w:rsid w:val="0048396F"/>
    <w:rsid w:val="00493C18"/>
    <w:rsid w:val="004A600C"/>
    <w:rsid w:val="004A6118"/>
    <w:rsid w:val="004C478D"/>
    <w:rsid w:val="004D7D95"/>
    <w:rsid w:val="004E2C26"/>
    <w:rsid w:val="005125A8"/>
    <w:rsid w:val="00517549"/>
    <w:rsid w:val="00520ABC"/>
    <w:rsid w:val="00521AE8"/>
    <w:rsid w:val="00527180"/>
    <w:rsid w:val="00555291"/>
    <w:rsid w:val="00566AD1"/>
    <w:rsid w:val="00583EDE"/>
    <w:rsid w:val="005A6079"/>
    <w:rsid w:val="005E4698"/>
    <w:rsid w:val="00603924"/>
    <w:rsid w:val="00610539"/>
    <w:rsid w:val="00613969"/>
    <w:rsid w:val="0062046A"/>
    <w:rsid w:val="00625C35"/>
    <w:rsid w:val="00647E49"/>
    <w:rsid w:val="00656313"/>
    <w:rsid w:val="006565F4"/>
    <w:rsid w:val="00684EEA"/>
    <w:rsid w:val="0069689B"/>
    <w:rsid w:val="006B3D67"/>
    <w:rsid w:val="006B5FF5"/>
    <w:rsid w:val="006C040C"/>
    <w:rsid w:val="006C7824"/>
    <w:rsid w:val="006F30AF"/>
    <w:rsid w:val="006F61CD"/>
    <w:rsid w:val="00701759"/>
    <w:rsid w:val="00705C15"/>
    <w:rsid w:val="007110F6"/>
    <w:rsid w:val="007208D1"/>
    <w:rsid w:val="00744518"/>
    <w:rsid w:val="00747288"/>
    <w:rsid w:val="00747DD3"/>
    <w:rsid w:val="007549C8"/>
    <w:rsid w:val="00766D14"/>
    <w:rsid w:val="00767A0F"/>
    <w:rsid w:val="00791272"/>
    <w:rsid w:val="007A05F6"/>
    <w:rsid w:val="007B6F4A"/>
    <w:rsid w:val="007D7639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445A7"/>
    <w:rsid w:val="00864C8A"/>
    <w:rsid w:val="00864CF8"/>
    <w:rsid w:val="00874914"/>
    <w:rsid w:val="00891422"/>
    <w:rsid w:val="00892E1A"/>
    <w:rsid w:val="008A1162"/>
    <w:rsid w:val="008B660A"/>
    <w:rsid w:val="008C01DA"/>
    <w:rsid w:val="008F2674"/>
    <w:rsid w:val="008F78E9"/>
    <w:rsid w:val="009179F9"/>
    <w:rsid w:val="00917C7A"/>
    <w:rsid w:val="00933E5E"/>
    <w:rsid w:val="00935218"/>
    <w:rsid w:val="00937C52"/>
    <w:rsid w:val="009403F3"/>
    <w:rsid w:val="009555B7"/>
    <w:rsid w:val="009567AA"/>
    <w:rsid w:val="009602C9"/>
    <w:rsid w:val="00967374"/>
    <w:rsid w:val="009A343A"/>
    <w:rsid w:val="009B2F23"/>
    <w:rsid w:val="009B57B3"/>
    <w:rsid w:val="009D2920"/>
    <w:rsid w:val="009D5AEB"/>
    <w:rsid w:val="009F0E33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921A7"/>
    <w:rsid w:val="00AB670D"/>
    <w:rsid w:val="00AF03C5"/>
    <w:rsid w:val="00B000D8"/>
    <w:rsid w:val="00B00F75"/>
    <w:rsid w:val="00B145B6"/>
    <w:rsid w:val="00B279EB"/>
    <w:rsid w:val="00B50C81"/>
    <w:rsid w:val="00B557F8"/>
    <w:rsid w:val="00B815FC"/>
    <w:rsid w:val="00B93FBC"/>
    <w:rsid w:val="00BA7DA0"/>
    <w:rsid w:val="00BB2EE4"/>
    <w:rsid w:val="00BB4C92"/>
    <w:rsid w:val="00BC0582"/>
    <w:rsid w:val="00BC2108"/>
    <w:rsid w:val="00BD0E9E"/>
    <w:rsid w:val="00BD1BEC"/>
    <w:rsid w:val="00BD32FF"/>
    <w:rsid w:val="00BF6FE9"/>
    <w:rsid w:val="00C02092"/>
    <w:rsid w:val="00C24D91"/>
    <w:rsid w:val="00C26DB2"/>
    <w:rsid w:val="00C53F14"/>
    <w:rsid w:val="00C600CF"/>
    <w:rsid w:val="00C6084F"/>
    <w:rsid w:val="00C62A66"/>
    <w:rsid w:val="00C66359"/>
    <w:rsid w:val="00C71458"/>
    <w:rsid w:val="00C77613"/>
    <w:rsid w:val="00C8106A"/>
    <w:rsid w:val="00C828E7"/>
    <w:rsid w:val="00C86719"/>
    <w:rsid w:val="00C921DD"/>
    <w:rsid w:val="00C92D53"/>
    <w:rsid w:val="00CA6391"/>
    <w:rsid w:val="00CE036E"/>
    <w:rsid w:val="00CE3171"/>
    <w:rsid w:val="00CF1601"/>
    <w:rsid w:val="00D0172F"/>
    <w:rsid w:val="00D01E33"/>
    <w:rsid w:val="00D068A7"/>
    <w:rsid w:val="00D17476"/>
    <w:rsid w:val="00D17B0E"/>
    <w:rsid w:val="00D32086"/>
    <w:rsid w:val="00D37A3F"/>
    <w:rsid w:val="00D4431D"/>
    <w:rsid w:val="00D4667A"/>
    <w:rsid w:val="00D63A1C"/>
    <w:rsid w:val="00D7516F"/>
    <w:rsid w:val="00D95F8E"/>
    <w:rsid w:val="00DA0590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92C59"/>
    <w:rsid w:val="00E97830"/>
    <w:rsid w:val="00EE0830"/>
    <w:rsid w:val="00EE6CB8"/>
    <w:rsid w:val="00EF0683"/>
    <w:rsid w:val="00F0070C"/>
    <w:rsid w:val="00F00EB7"/>
    <w:rsid w:val="00F36AB6"/>
    <w:rsid w:val="00F37A09"/>
    <w:rsid w:val="00F409CE"/>
    <w:rsid w:val="00F4379D"/>
    <w:rsid w:val="00F50D2D"/>
    <w:rsid w:val="00F56C8B"/>
    <w:rsid w:val="00F62639"/>
    <w:rsid w:val="00F66810"/>
    <w:rsid w:val="00F84DF4"/>
    <w:rsid w:val="00F85C97"/>
    <w:rsid w:val="00FB1472"/>
    <w:rsid w:val="00FB37D2"/>
    <w:rsid w:val="00FC4EFB"/>
    <w:rsid w:val="00FD068D"/>
    <w:rsid w:val="00FD2B1E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table" w:styleId="TableGrid">
    <w:name w:val="Table Grid"/>
    <w:basedOn w:val="TableNormal"/>
    <w:uiPriority w:val="59"/>
    <w:rsid w:val="00124EE1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124EE1"/>
    <w:rPr>
      <w:rFonts w:ascii="Times New Roman" w:hAnsi="Times New Roman"/>
      <w:sz w:val="24"/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124EE1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124EE1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2018-11-19T15:02:00Z</dcterms:created>
  <dcterms:modified xsi:type="dcterms:W3CDTF">2019-07-29T14:26:00Z</dcterms:modified>
</cp:coreProperties>
</file>