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66C" w:rsidRDefault="0031166C" w:rsidP="0031166C">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pt;height:64.9pt" o:ole="">
            <v:imagedata r:id="rId8" o:title=""/>
          </v:shape>
          <o:OLEObject Type="Embed" ProgID="Presentations.Drawing.13" ShapeID="_x0000_i1025" DrawAspect="Content" ObjectID="_1625904385" r:id="rId9"/>
        </w:object>
      </w:r>
      <w:r>
        <w:t xml:space="preserve"> </w:t>
      </w:r>
      <w:r>
        <w:ptab w:relativeTo="margin" w:alignment="right" w:leader="none"/>
      </w:r>
    </w:p>
    <w:p w:rsidR="0031166C" w:rsidRDefault="0031166C" w:rsidP="0031166C">
      <w:pPr>
        <w:pStyle w:val="Header"/>
      </w:pPr>
    </w:p>
    <w:p w:rsidR="0031166C" w:rsidRPr="001E12E2" w:rsidRDefault="0031166C" w:rsidP="0031166C">
      <w:pPr>
        <w:jc w:val="center"/>
        <w:rPr>
          <w:b/>
        </w:rPr>
      </w:pPr>
      <w:r w:rsidRPr="001E12E2">
        <w:rPr>
          <w:b/>
        </w:rPr>
        <w:t>COUR SUPRÊME DU CANADA</w:t>
      </w:r>
    </w:p>
    <w:p w:rsidR="0031166C" w:rsidRDefault="0031166C" w:rsidP="0031166C"/>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10"/>
        <w:gridCol w:w="4266"/>
      </w:tblGrid>
      <w:tr w:rsidR="0031166C" w:rsidRPr="00250B32" w:rsidTr="00E520B0">
        <w:trPr>
          <w:cantSplit/>
        </w:trPr>
        <w:tc>
          <w:tcPr>
            <w:tcW w:w="5310" w:type="dxa"/>
          </w:tcPr>
          <w:p w:rsidR="0031166C" w:rsidRPr="0031166C" w:rsidRDefault="0031166C" w:rsidP="0031166C">
            <w:pPr>
              <w:rPr>
                <w:lang w:val="fr-CA"/>
              </w:rPr>
            </w:pPr>
            <w:r w:rsidRPr="0031166C">
              <w:rPr>
                <w:b/>
                <w:smallCaps/>
                <w:lang w:val="fr-CA"/>
              </w:rPr>
              <w:t>Référence :</w:t>
            </w:r>
            <w:r w:rsidRPr="0031166C">
              <w:rPr>
                <w:lang w:val="fr-CA"/>
              </w:rPr>
              <w:t xml:space="preserve"> </w:t>
            </w:r>
            <w:r w:rsidRPr="00834D63">
              <w:rPr>
                <w:rStyle w:val="SCCAppellantForRunningHeadChar"/>
                <w:smallCaps w:val="0"/>
                <w:lang w:val="fr-CA"/>
              </w:rPr>
              <w:t xml:space="preserve">R. </w:t>
            </w:r>
            <w:r w:rsidRPr="00834D63">
              <w:rPr>
                <w:rStyle w:val="SCCAppellantForRunningHeadChar"/>
                <w:i/>
                <w:smallCaps w:val="0"/>
                <w:lang w:val="fr-CA"/>
              </w:rPr>
              <w:t>c.</w:t>
            </w:r>
            <w:r w:rsidRPr="00834D63">
              <w:rPr>
                <w:rStyle w:val="SCCAppellantForRunningHeadChar"/>
                <w:smallCaps w:val="0"/>
                <w:lang w:val="fr-CA"/>
              </w:rPr>
              <w:t xml:space="preserve"> Aji</w:t>
            </w:r>
            <w:r w:rsidR="00250B32">
              <w:rPr>
                <w:rStyle w:val="SCCAppellantForRunningHeadChar"/>
                <w:smallCaps w:val="0"/>
                <w:lang w:val="fr-CA"/>
              </w:rPr>
              <w:t>se</w:t>
            </w:r>
            <w:bookmarkStart w:id="0" w:name="_GoBack"/>
            <w:bookmarkEnd w:id="0"/>
            <w:r w:rsidRPr="006A4755">
              <w:rPr>
                <w:rStyle w:val="SCCAppellantForRunningHeadChar"/>
                <w:lang w:val="fr-CA"/>
              </w:rPr>
              <w:t xml:space="preserve">, </w:t>
            </w:r>
            <w:r w:rsidRPr="0031166C">
              <w:rPr>
                <w:lang w:val="fr-CA"/>
              </w:rPr>
              <w:t xml:space="preserve">2018 CSC 51, [2018] 3 R.C.S. </w:t>
            </w:r>
            <w:r>
              <w:rPr>
                <w:lang w:val="fr-CA"/>
              </w:rPr>
              <w:t>301</w:t>
            </w:r>
          </w:p>
        </w:tc>
        <w:tc>
          <w:tcPr>
            <w:tcW w:w="4266" w:type="dxa"/>
          </w:tcPr>
          <w:p w:rsidR="0031166C" w:rsidRPr="0031166C" w:rsidRDefault="0031166C" w:rsidP="00E520B0">
            <w:pPr>
              <w:rPr>
                <w:lang w:val="fr-CA"/>
              </w:rPr>
            </w:pPr>
            <w:r w:rsidRPr="0031166C">
              <w:rPr>
                <w:b/>
                <w:smallCaps/>
                <w:lang w:val="fr-CA"/>
              </w:rPr>
              <w:t>Appel entendu:</w:t>
            </w:r>
            <w:r w:rsidRPr="0031166C">
              <w:rPr>
                <w:lang w:val="fr-CA"/>
              </w:rPr>
              <w:t xml:space="preserve"> 16 novembre 2018</w:t>
            </w:r>
          </w:p>
          <w:p w:rsidR="0031166C" w:rsidRPr="0031166C" w:rsidRDefault="0031166C" w:rsidP="00E520B0">
            <w:pPr>
              <w:rPr>
                <w:b/>
                <w:smallCaps/>
                <w:lang w:val="fr-CA"/>
              </w:rPr>
            </w:pPr>
            <w:r w:rsidRPr="0031166C">
              <w:rPr>
                <w:b/>
                <w:smallCaps/>
                <w:lang w:val="fr-CA"/>
              </w:rPr>
              <w:t>Jugement rendu :</w:t>
            </w:r>
            <w:r w:rsidRPr="0031166C">
              <w:rPr>
                <w:lang w:val="fr-CA"/>
              </w:rPr>
              <w:t xml:space="preserve"> 16 novembre 2018</w:t>
            </w:r>
          </w:p>
          <w:p w:rsidR="0031166C" w:rsidRPr="00250B32" w:rsidRDefault="0031166C" w:rsidP="00E520B0">
            <w:pPr>
              <w:rPr>
                <w:lang w:val="fr-CA"/>
              </w:rPr>
            </w:pPr>
            <w:r w:rsidRPr="00250B32">
              <w:rPr>
                <w:b/>
                <w:smallCaps/>
                <w:lang w:val="fr-CA"/>
              </w:rPr>
              <w:t>Dossiers :</w:t>
            </w:r>
            <w:r w:rsidRPr="00250B32">
              <w:rPr>
                <w:lang w:val="fr-CA"/>
              </w:rPr>
              <w:t xml:space="preserve"> 38149</w:t>
            </w:r>
          </w:p>
        </w:tc>
      </w:tr>
    </w:tbl>
    <w:p w:rsidR="0031166C" w:rsidRDefault="0031166C" w:rsidP="0031166C">
      <w:pPr>
        <w:pStyle w:val="SCCLsocPrefix"/>
      </w:pPr>
    </w:p>
    <w:p w:rsidR="0031166C" w:rsidRDefault="0031166C" w:rsidP="0031166C">
      <w:pPr>
        <w:pStyle w:val="SCCLsocPrefix"/>
      </w:pPr>
    </w:p>
    <w:p w:rsidR="0031166C" w:rsidRDefault="0031166C" w:rsidP="0031166C">
      <w:pPr>
        <w:pStyle w:val="SCCLsocPrefix"/>
      </w:pPr>
      <w:r>
        <w:t>Entre :</w:t>
      </w:r>
    </w:p>
    <w:p w:rsidR="0031166C" w:rsidRPr="00250B32" w:rsidRDefault="0031166C" w:rsidP="00834D63">
      <w:pPr>
        <w:jc w:val="center"/>
        <w:rPr>
          <w:b/>
          <w:lang w:val="fr-CA"/>
        </w:rPr>
      </w:pPr>
      <w:r w:rsidRPr="00250B32">
        <w:rPr>
          <w:b/>
          <w:lang w:val="fr-CA"/>
        </w:rPr>
        <w:t>David Ajise</w:t>
      </w:r>
    </w:p>
    <w:p w:rsidR="0031166C" w:rsidRPr="00250B32" w:rsidRDefault="0031166C" w:rsidP="00834D63">
      <w:pPr>
        <w:jc w:val="center"/>
        <w:rPr>
          <w:lang w:val="fr-CA"/>
        </w:rPr>
      </w:pPr>
      <w:r w:rsidRPr="00250B32">
        <w:rPr>
          <w:lang w:val="fr-CA"/>
        </w:rPr>
        <w:t>Appelant</w:t>
      </w:r>
    </w:p>
    <w:p w:rsidR="0031166C" w:rsidRPr="00250B32" w:rsidRDefault="0031166C" w:rsidP="00834D63">
      <w:pPr>
        <w:jc w:val="center"/>
        <w:rPr>
          <w:lang w:val="fr-CA"/>
        </w:rPr>
      </w:pPr>
    </w:p>
    <w:p w:rsidR="0031166C" w:rsidRPr="00250B32" w:rsidRDefault="0031166C" w:rsidP="00834D63">
      <w:pPr>
        <w:pStyle w:val="SCCLsocVersus"/>
        <w:spacing w:after="0"/>
        <w:jc w:val="center"/>
        <w:rPr>
          <w:i w:val="0"/>
          <w:lang w:val="fr-CA"/>
        </w:rPr>
      </w:pPr>
      <w:r w:rsidRPr="00250B32">
        <w:rPr>
          <w:i w:val="0"/>
          <w:lang w:val="fr-CA"/>
        </w:rPr>
        <w:t>et</w:t>
      </w:r>
    </w:p>
    <w:p w:rsidR="0031166C" w:rsidRPr="00250B32" w:rsidRDefault="0031166C" w:rsidP="00834D63">
      <w:pPr>
        <w:jc w:val="center"/>
        <w:rPr>
          <w:lang w:val="fr-CA"/>
        </w:rPr>
      </w:pPr>
    </w:p>
    <w:p w:rsidR="0031166C" w:rsidRDefault="0031166C" w:rsidP="00834D63">
      <w:pPr>
        <w:pStyle w:val="SCCLsocParty"/>
        <w:jc w:val="center"/>
      </w:pPr>
      <w:r w:rsidRPr="00250B32">
        <w:rPr>
          <w:lang w:val="fr-CA"/>
        </w:rPr>
        <w:t>Sa Majes</w:t>
      </w:r>
      <w:r w:rsidRPr="00BE0133">
        <w:t>té la Reine</w:t>
      </w:r>
    </w:p>
    <w:p w:rsidR="0031166C" w:rsidRDefault="0031166C" w:rsidP="00834D63">
      <w:pPr>
        <w:jc w:val="center"/>
      </w:pPr>
      <w:r>
        <w:t>Intimée</w:t>
      </w:r>
    </w:p>
    <w:p w:rsidR="0031166C" w:rsidRDefault="0031166C" w:rsidP="00834D63">
      <w:pPr>
        <w:jc w:val="center"/>
      </w:pPr>
    </w:p>
    <w:p w:rsidR="0031166C" w:rsidRDefault="0031166C" w:rsidP="0031166C"/>
    <w:p w:rsidR="0031166C" w:rsidRDefault="0031166C" w:rsidP="0031166C"/>
    <w:p w:rsidR="0031166C" w:rsidRDefault="0031166C" w:rsidP="0031166C"/>
    <w:p w:rsidR="0031166C" w:rsidRPr="0031166C" w:rsidRDefault="0031166C" w:rsidP="0031166C">
      <w:pPr>
        <w:jc w:val="center"/>
        <w:rPr>
          <w:b/>
          <w:smallCaps/>
          <w:lang w:val="fr-CA"/>
        </w:rPr>
      </w:pPr>
      <w:r w:rsidRPr="0031166C">
        <w:rPr>
          <w:b/>
          <w:smallCaps/>
          <w:lang w:val="fr-CA"/>
        </w:rPr>
        <w:t>Traduction française officielle</w:t>
      </w:r>
    </w:p>
    <w:p w:rsidR="0031166C" w:rsidRPr="0031166C" w:rsidRDefault="0031166C" w:rsidP="0031166C">
      <w:pPr>
        <w:rPr>
          <w:lang w:val="fr-CA"/>
        </w:rPr>
      </w:pPr>
    </w:p>
    <w:p w:rsidR="0031166C" w:rsidRPr="0031166C" w:rsidRDefault="0031166C" w:rsidP="0031166C">
      <w:pPr>
        <w:rPr>
          <w:lang w:val="fr-CA"/>
        </w:rPr>
      </w:pPr>
      <w:r w:rsidRPr="0031166C">
        <w:rPr>
          <w:b/>
          <w:smallCaps/>
          <w:lang w:val="fr-CA"/>
        </w:rPr>
        <w:t>Coram :</w:t>
      </w:r>
      <w:r w:rsidRPr="0031166C">
        <w:rPr>
          <w:lang w:val="fr-CA"/>
        </w:rPr>
        <w:t xml:space="preserve"> Les juges Abella, Karakatsanis, Côté, Brown et Rowe</w:t>
      </w:r>
    </w:p>
    <w:p w:rsidR="0031166C" w:rsidRPr="0031166C" w:rsidRDefault="0031166C" w:rsidP="0031166C">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31166C" w:rsidRPr="00250B32" w:rsidTr="00E520B0">
        <w:trPr>
          <w:cantSplit/>
        </w:trPr>
        <w:tc>
          <w:tcPr>
            <w:tcW w:w="3618" w:type="dxa"/>
          </w:tcPr>
          <w:p w:rsidR="0031166C" w:rsidRPr="0031166C" w:rsidRDefault="0031166C" w:rsidP="00E520B0">
            <w:pPr>
              <w:rPr>
                <w:b/>
                <w:smallCaps/>
                <w:lang w:val="fr-CA"/>
              </w:rPr>
            </w:pPr>
            <w:r w:rsidRPr="0031166C">
              <w:rPr>
                <w:b/>
                <w:smallCaps/>
                <w:lang w:val="fr-CA"/>
              </w:rPr>
              <w:t>Motifs de jugement :</w:t>
            </w:r>
          </w:p>
          <w:p w:rsidR="0031166C" w:rsidRPr="0031166C" w:rsidRDefault="0031166C" w:rsidP="00E520B0">
            <w:pPr>
              <w:rPr>
                <w:lang w:val="fr-CA"/>
              </w:rPr>
            </w:pPr>
            <w:r w:rsidRPr="0031166C">
              <w:rPr>
                <w:lang w:val="fr-CA"/>
              </w:rPr>
              <w:t>(par. 1 à 2)</w:t>
            </w:r>
          </w:p>
        </w:tc>
        <w:tc>
          <w:tcPr>
            <w:tcW w:w="5958" w:type="dxa"/>
          </w:tcPr>
          <w:p w:rsidR="0031166C" w:rsidRPr="0031166C" w:rsidRDefault="0031166C" w:rsidP="00E520B0">
            <w:pPr>
              <w:rPr>
                <w:lang w:val="fr-CA"/>
              </w:rPr>
            </w:pPr>
            <w:r w:rsidRPr="0031166C">
              <w:rPr>
                <w:lang w:val="fr-CA"/>
              </w:rPr>
              <w:t>Le juge Rowe (avec l’accord des juges Abella, Karakatsanis, Côté et Brown)</w:t>
            </w:r>
          </w:p>
        </w:tc>
      </w:tr>
    </w:tbl>
    <w:p w:rsidR="0031166C" w:rsidRPr="0031166C" w:rsidRDefault="0031166C" w:rsidP="0031166C">
      <w:pPr>
        <w:rPr>
          <w:lang w:val="fr-CA"/>
        </w:rPr>
      </w:pPr>
    </w:p>
    <w:p w:rsidR="0031166C" w:rsidRPr="0031166C" w:rsidRDefault="0031166C" w:rsidP="0031166C">
      <w:pPr>
        <w:rPr>
          <w:lang w:val="fr-CA"/>
        </w:rPr>
      </w:pPr>
      <w:r>
        <w:rPr>
          <w:noProof/>
          <w:lang w:val="en-US" w:eastAsia="en-US"/>
        </w:rPr>
        <mc:AlternateContent>
          <mc:Choice Requires="wps">
            <w:drawing>
              <wp:anchor distT="0" distB="0" distL="114300" distR="114300" simplePos="0" relativeHeight="251659264" behindDoc="0" locked="0" layoutInCell="1" allowOverlap="1" wp14:anchorId="14E4EE62" wp14:editId="2D99F181">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B2604D"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31166C" w:rsidRPr="0031166C" w:rsidRDefault="0031166C" w:rsidP="0031166C">
      <w:pPr>
        <w:rPr>
          <w:lang w:val="fr-CA"/>
        </w:rPr>
      </w:pPr>
    </w:p>
    <w:p w:rsidR="0031166C" w:rsidRPr="0031166C" w:rsidRDefault="0031166C" w:rsidP="0031166C">
      <w:pPr>
        <w:rPr>
          <w:lang w:val="fr-CA"/>
        </w:rPr>
      </w:pPr>
    </w:p>
    <w:p w:rsidR="0031166C" w:rsidRDefault="0031166C" w:rsidP="004D7D95">
      <w:pPr>
        <w:spacing w:line="480" w:lineRule="auto"/>
        <w:jc w:val="both"/>
        <w:rPr>
          <w:rStyle w:val="SCCAppellantForRunningHeadChar"/>
          <w:smallCaps w:val="0"/>
          <w:lang w:val="fr-CA"/>
        </w:rPr>
      </w:pPr>
    </w:p>
    <w:p w:rsidR="004D7D95" w:rsidRPr="004C2E60" w:rsidRDefault="004C2E60" w:rsidP="004D7D95">
      <w:pPr>
        <w:spacing w:line="480" w:lineRule="auto"/>
        <w:jc w:val="both"/>
        <w:rPr>
          <w:smallCaps/>
          <w:lang w:val="fr-CA"/>
        </w:rPr>
      </w:pPr>
      <w:r>
        <w:rPr>
          <w:rStyle w:val="SCCAppellantForRunningHeadChar"/>
          <w:smallCaps w:val="0"/>
          <w:lang w:val="fr-CA"/>
        </w:rPr>
        <w:t>R</w:t>
      </w:r>
      <w:r w:rsidR="0062046A" w:rsidRPr="004C2E60">
        <w:rPr>
          <w:rStyle w:val="SCCAppellantForRunningHeadChar"/>
          <w:smallCaps w:val="0"/>
          <w:lang w:val="fr-CA"/>
        </w:rPr>
        <w:t xml:space="preserve">. </w:t>
      </w:r>
      <w:r w:rsidR="0062046A" w:rsidRPr="004C2E60">
        <w:rPr>
          <w:rStyle w:val="SCCAppellantForRunningHeadChar"/>
          <w:i/>
          <w:smallCaps w:val="0"/>
          <w:lang w:val="fr-CA"/>
        </w:rPr>
        <w:t>c.</w:t>
      </w:r>
      <w:r w:rsidR="0062046A" w:rsidRPr="004C2E60">
        <w:rPr>
          <w:rStyle w:val="SCCAppellantForRunningHeadChar"/>
          <w:smallCaps w:val="0"/>
          <w:lang w:val="fr-CA"/>
        </w:rPr>
        <w:t xml:space="preserve"> </w:t>
      </w:r>
      <w:r>
        <w:rPr>
          <w:rStyle w:val="SCCAppellantForRunningHeadChar"/>
          <w:smallCaps w:val="0"/>
          <w:lang w:val="fr-CA"/>
        </w:rPr>
        <w:t>A</w:t>
      </w:r>
      <w:r w:rsidR="00551C96" w:rsidRPr="004C2E60">
        <w:rPr>
          <w:rStyle w:val="SCCAppellantForRunningHeadChar"/>
          <w:smallCaps w:val="0"/>
          <w:lang w:val="fr-CA"/>
        </w:rPr>
        <w:t>jise</w:t>
      </w:r>
      <w:r>
        <w:rPr>
          <w:rStyle w:val="SCCAppellantForRunningHeadChar"/>
          <w:smallCaps w:val="0"/>
          <w:lang w:val="fr-CA"/>
        </w:rPr>
        <w:t xml:space="preserve">, </w:t>
      </w:r>
      <w:r w:rsidRPr="006C7824">
        <w:rPr>
          <w:lang w:val="fr-CA"/>
        </w:rPr>
        <w:t>2018 CSC </w:t>
      </w:r>
      <w:r>
        <w:rPr>
          <w:lang w:val="fr-CA"/>
        </w:rPr>
        <w:t>51, [2018] 3 R.C.S. 301</w:t>
      </w: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4D7D95" w:rsidP="004D7D95">
      <w:pPr>
        <w:jc w:val="both"/>
        <w:rPr>
          <w:lang w:val="fr-CA"/>
        </w:rPr>
      </w:pPr>
    </w:p>
    <w:p w:rsidR="00FB1472" w:rsidRPr="006C7824" w:rsidRDefault="00551C96">
      <w:pPr>
        <w:pStyle w:val="SCCLsocLastPartyInRole"/>
        <w:rPr>
          <w:lang w:val="fr-CA"/>
        </w:rPr>
      </w:pPr>
      <w:r>
        <w:rPr>
          <w:lang w:val="fr-CA"/>
        </w:rPr>
        <w:t>David Ajise</w:t>
      </w:r>
      <w:r w:rsidR="006C7824" w:rsidRPr="006C7824">
        <w:rPr>
          <w:rStyle w:val="SCCLsocPartyRole"/>
          <w:lang w:val="fr-CA"/>
        </w:rPr>
        <w:tab/>
        <w:t>Appelant</w:t>
      </w:r>
    </w:p>
    <w:p w:rsidR="00FB1472" w:rsidRPr="006C7824" w:rsidRDefault="006C7824">
      <w:pPr>
        <w:pStyle w:val="SCCLsocVersus"/>
        <w:rPr>
          <w:lang w:val="fr-CA"/>
        </w:rPr>
      </w:pPr>
      <w:r w:rsidRPr="006C7824">
        <w:rPr>
          <w:lang w:val="fr-CA"/>
        </w:rPr>
        <w:t>c.</w:t>
      </w:r>
    </w:p>
    <w:p w:rsidR="00FB1472" w:rsidRPr="006C7824" w:rsidRDefault="006C7824">
      <w:pPr>
        <w:pStyle w:val="SCCLsocLastPartyInRole"/>
        <w:rPr>
          <w:lang w:val="fr-CA"/>
        </w:rPr>
      </w:pPr>
      <w:r w:rsidRPr="006C7824">
        <w:rPr>
          <w:lang w:val="fr-CA"/>
        </w:rPr>
        <w:lastRenderedPageBreak/>
        <w:t>Sa Majesté la Reine</w:t>
      </w:r>
      <w:r w:rsidR="0062046A">
        <w:rPr>
          <w:rStyle w:val="SCCLsocPartyRole"/>
          <w:lang w:val="fr-CA"/>
        </w:rPr>
        <w:tab/>
        <w:t>Intimée</w:t>
      </w: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4D7D95" w:rsidP="004D7D95">
      <w:pPr>
        <w:jc w:val="both"/>
        <w:rPr>
          <w:b/>
          <w:lang w:val="fr-CA"/>
        </w:rPr>
      </w:pPr>
      <w:r w:rsidRPr="00BB4C92">
        <w:rPr>
          <w:b/>
          <w:lang w:val="fr-CA"/>
        </w:rPr>
        <w:t>Répertorié : </w:t>
      </w:r>
      <w:r w:rsidR="0062046A">
        <w:rPr>
          <w:b/>
          <w:lang w:val="fr-CA"/>
        </w:rPr>
        <w:t xml:space="preserve">R. </w:t>
      </w:r>
      <w:r w:rsidR="0062046A" w:rsidRPr="0062046A">
        <w:rPr>
          <w:b/>
          <w:i/>
          <w:lang w:val="fr-CA"/>
        </w:rPr>
        <w:t>c.</w:t>
      </w:r>
      <w:r w:rsidR="0062046A">
        <w:rPr>
          <w:b/>
          <w:lang w:val="fr-CA"/>
        </w:rPr>
        <w:t xml:space="preserve"> </w:t>
      </w:r>
      <w:r w:rsidR="006C1522">
        <w:rPr>
          <w:b/>
          <w:lang w:val="fr-CA"/>
        </w:rPr>
        <w:t>Ajise</w:t>
      </w: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D17B0E" w:rsidP="004D7D95">
      <w:pPr>
        <w:pStyle w:val="SCCSystemYear"/>
        <w:jc w:val="both"/>
        <w:rPr>
          <w:lang w:val="fr-CA"/>
        </w:rPr>
      </w:pPr>
      <w:r w:rsidRPr="006C7824">
        <w:rPr>
          <w:lang w:val="fr-CA"/>
        </w:rPr>
        <w:t>2018</w:t>
      </w:r>
      <w:r w:rsidR="004D7D95" w:rsidRPr="006C7824">
        <w:rPr>
          <w:lang w:val="fr-CA"/>
        </w:rPr>
        <w:t xml:space="preserve"> CSC </w:t>
      </w:r>
      <w:r w:rsidR="003441F4">
        <w:rPr>
          <w:lang w:val="fr-CA"/>
        </w:rPr>
        <w:t>51</w:t>
      </w: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4D7D95" w:rsidP="004D7D95">
      <w:pPr>
        <w:jc w:val="both"/>
        <w:rPr>
          <w:lang w:val="fr-CA"/>
        </w:rPr>
      </w:pPr>
      <w:r w:rsidRPr="006C7824">
        <w:rPr>
          <w:lang w:val="fr-CA"/>
        </w:rPr>
        <w:t>N</w:t>
      </w:r>
      <w:r w:rsidRPr="006C7824">
        <w:rPr>
          <w:vertAlign w:val="superscript"/>
          <w:lang w:val="fr-CA"/>
        </w:rPr>
        <w:t>o</w:t>
      </w:r>
      <w:r w:rsidRPr="006C7824">
        <w:rPr>
          <w:lang w:val="fr-CA"/>
        </w:rPr>
        <w:t xml:space="preserve"> du greffe : 38</w:t>
      </w:r>
      <w:r w:rsidR="00641D92">
        <w:rPr>
          <w:lang w:val="fr-CA"/>
        </w:rPr>
        <w:t>149</w:t>
      </w:r>
      <w:r w:rsidRPr="006C7824">
        <w:rPr>
          <w:lang w:val="fr-CA"/>
        </w:rPr>
        <w:t>.</w:t>
      </w: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4D7D95" w:rsidP="004D7D95">
      <w:pPr>
        <w:jc w:val="both"/>
        <w:rPr>
          <w:lang w:val="fr-CA"/>
        </w:rPr>
      </w:pPr>
    </w:p>
    <w:p w:rsidR="004D7D95" w:rsidRPr="006C7824" w:rsidRDefault="00D17B0E" w:rsidP="004D7D95">
      <w:pPr>
        <w:jc w:val="both"/>
        <w:rPr>
          <w:lang w:val="fr-CA"/>
        </w:rPr>
      </w:pPr>
      <w:r w:rsidRPr="006C7824">
        <w:rPr>
          <w:lang w:val="fr-CA"/>
        </w:rPr>
        <w:t xml:space="preserve">2018 : </w:t>
      </w:r>
      <w:r w:rsidR="006636D2">
        <w:rPr>
          <w:lang w:val="fr-CA"/>
        </w:rPr>
        <w:t>16</w:t>
      </w:r>
      <w:r w:rsidRPr="006C7824">
        <w:rPr>
          <w:lang w:val="fr-CA"/>
        </w:rPr>
        <w:t xml:space="preserve"> novembre</w:t>
      </w:r>
      <w:r w:rsidR="006F61CD">
        <w:rPr>
          <w:lang w:val="fr-CA"/>
        </w:rPr>
        <w:t>.</w:t>
      </w:r>
    </w:p>
    <w:p w:rsidR="004D7D95" w:rsidRPr="006C7824" w:rsidRDefault="004D7D95" w:rsidP="004D7D95">
      <w:pPr>
        <w:jc w:val="both"/>
        <w:rPr>
          <w:lang w:val="fr-CA"/>
        </w:rPr>
      </w:pPr>
    </w:p>
    <w:p w:rsidR="004D7D95" w:rsidRDefault="004D7D95" w:rsidP="004D7D95">
      <w:pPr>
        <w:jc w:val="both"/>
        <w:rPr>
          <w:lang w:val="fr-CA"/>
        </w:rPr>
      </w:pPr>
    </w:p>
    <w:p w:rsidR="0053292E" w:rsidRPr="006C7824" w:rsidRDefault="0053292E" w:rsidP="004D7D95">
      <w:pPr>
        <w:jc w:val="both"/>
        <w:rPr>
          <w:lang w:val="fr-CA"/>
        </w:rPr>
      </w:pPr>
    </w:p>
    <w:p w:rsidR="004D7D95" w:rsidRPr="006C7824" w:rsidRDefault="004D7D95" w:rsidP="004D7D95">
      <w:pPr>
        <w:jc w:val="both"/>
        <w:rPr>
          <w:lang w:val="fr-CA"/>
        </w:rPr>
      </w:pPr>
      <w:r w:rsidRPr="006C7824">
        <w:rPr>
          <w:lang w:val="fr-CA"/>
        </w:rPr>
        <w:t>Présents : Les</w:t>
      </w:r>
      <w:r w:rsidR="00C97D23">
        <w:rPr>
          <w:lang w:val="fr-CA"/>
        </w:rPr>
        <w:t xml:space="preserve"> juges</w:t>
      </w:r>
      <w:r w:rsidRPr="006C7824">
        <w:rPr>
          <w:lang w:val="fr-CA"/>
        </w:rPr>
        <w:t xml:space="preserve"> </w:t>
      </w:r>
      <w:r w:rsidR="00C97D23">
        <w:rPr>
          <w:lang w:val="fr-CA"/>
        </w:rPr>
        <w:t>Abella, Karakatsanis, Côté, Brown et Rowe</w:t>
      </w:r>
      <w:r w:rsidRPr="006C7824">
        <w:rPr>
          <w:lang w:val="fr-CA"/>
        </w:rPr>
        <w:t>.</w:t>
      </w:r>
    </w:p>
    <w:p w:rsidR="004D7D95" w:rsidRPr="006C7824" w:rsidRDefault="004D7D95" w:rsidP="004D7D95">
      <w:pPr>
        <w:jc w:val="both"/>
        <w:rPr>
          <w:lang w:val="fr-CA"/>
        </w:rPr>
      </w:pPr>
    </w:p>
    <w:p w:rsidR="00EE0830" w:rsidRPr="006C7824" w:rsidRDefault="00EE0830" w:rsidP="004D7D95">
      <w:pPr>
        <w:jc w:val="both"/>
        <w:rPr>
          <w:lang w:val="fr-CA"/>
        </w:rPr>
      </w:pPr>
    </w:p>
    <w:p w:rsidR="00BF6FE9" w:rsidRPr="006C7824" w:rsidRDefault="00BF6FE9" w:rsidP="000F7993">
      <w:pPr>
        <w:jc w:val="both"/>
        <w:rPr>
          <w:lang w:val="fr-CA"/>
        </w:rPr>
      </w:pPr>
    </w:p>
    <w:p w:rsidR="00FB1472" w:rsidRPr="006C7824" w:rsidRDefault="00FB1472">
      <w:pPr>
        <w:rPr>
          <w:lang w:val="fr-CA"/>
        </w:rPr>
      </w:pPr>
    </w:p>
    <w:p w:rsidR="004D7D95" w:rsidRPr="00C92D53" w:rsidRDefault="004D7D95" w:rsidP="000F7993">
      <w:pPr>
        <w:jc w:val="both"/>
        <w:rPr>
          <w:smallCaps/>
          <w:lang w:val="fr-CA"/>
        </w:rPr>
      </w:pPr>
      <w:r w:rsidRPr="00C92D53">
        <w:rPr>
          <w:smallCaps/>
          <w:lang w:val="fr-CA"/>
        </w:rPr>
        <w:t>en appel de la cour d’appel de l’ontario</w:t>
      </w:r>
    </w:p>
    <w:p w:rsidR="004D7D95" w:rsidRPr="00BB4C92" w:rsidRDefault="004D7D95" w:rsidP="004D7D95">
      <w:pPr>
        <w:pStyle w:val="SCCNormalDoubleSpacing"/>
        <w:rPr>
          <w:lang w:val="fr-CA"/>
        </w:rPr>
      </w:pPr>
    </w:p>
    <w:p w:rsidR="004D7D95" w:rsidRPr="00FF1C37" w:rsidRDefault="004D7D95" w:rsidP="004D7D95">
      <w:pPr>
        <w:pStyle w:val="SCCNormalDoubleSpacing"/>
        <w:rPr>
          <w:lang w:val="fr-CA"/>
        </w:rPr>
      </w:pPr>
      <w:r w:rsidRPr="00BB4C92">
        <w:rPr>
          <w:lang w:val="fr-CA"/>
        </w:rPr>
        <w:tab/>
      </w:r>
      <w:r w:rsidR="000F794D" w:rsidRPr="00FF1C37">
        <w:rPr>
          <w:i/>
          <w:lang w:val="fr-CA"/>
        </w:rPr>
        <w:t>Droit criminel</w:t>
      </w:r>
      <w:r w:rsidR="002E5AF3" w:rsidRPr="00FF1C37">
        <w:rPr>
          <w:i/>
          <w:lang w:val="fr-CA"/>
        </w:rPr>
        <w:t xml:space="preserve"> — Appels — Po</w:t>
      </w:r>
      <w:r w:rsidR="00BA1435" w:rsidRPr="00FF1C37">
        <w:rPr>
          <w:i/>
          <w:lang w:val="fr-CA"/>
        </w:rPr>
        <w:t>uvoirs de la cour d’appel</w:t>
      </w:r>
      <w:r w:rsidR="002E5AF3" w:rsidRPr="00FF1C37">
        <w:rPr>
          <w:i/>
          <w:lang w:val="fr-CA"/>
        </w:rPr>
        <w:t xml:space="preserve"> — Application </w:t>
      </w:r>
      <w:r w:rsidR="00BA1435" w:rsidRPr="00FF1C37">
        <w:rPr>
          <w:i/>
          <w:lang w:val="fr-CA"/>
        </w:rPr>
        <w:t>de la disposition réparatrice</w:t>
      </w:r>
      <w:r w:rsidR="002E5AF3" w:rsidRPr="00FF1C37">
        <w:rPr>
          <w:i/>
          <w:lang w:val="fr-CA"/>
        </w:rPr>
        <w:t xml:space="preserve"> — A</w:t>
      </w:r>
      <w:r w:rsidR="00BA1435" w:rsidRPr="00FF1C37">
        <w:rPr>
          <w:i/>
          <w:lang w:val="fr-CA"/>
        </w:rPr>
        <w:t xml:space="preserve">ppel </w:t>
      </w:r>
      <w:r w:rsidR="003A4BB3">
        <w:rPr>
          <w:i/>
          <w:lang w:val="fr-CA"/>
        </w:rPr>
        <w:t xml:space="preserve">formé </w:t>
      </w:r>
      <w:r w:rsidR="00BA1435" w:rsidRPr="00FF1C37">
        <w:rPr>
          <w:i/>
          <w:lang w:val="fr-CA"/>
        </w:rPr>
        <w:t xml:space="preserve">par l’accusé </w:t>
      </w:r>
      <w:r w:rsidR="003A4BB3">
        <w:rPr>
          <w:i/>
          <w:lang w:val="fr-CA"/>
        </w:rPr>
        <w:t xml:space="preserve">contre </w:t>
      </w:r>
      <w:r w:rsidR="00BA1435" w:rsidRPr="00FF1C37">
        <w:rPr>
          <w:i/>
          <w:lang w:val="fr-CA"/>
        </w:rPr>
        <w:t xml:space="preserve">sa déclaration de culpabilité pour fraude au motif que le juge du procès a fait erreur en admettant </w:t>
      </w:r>
      <w:r w:rsidR="00FF1C37" w:rsidRPr="00FF1C37">
        <w:rPr>
          <w:i/>
          <w:lang w:val="fr-CA"/>
        </w:rPr>
        <w:t>un témoignage d’opinion fourni par un non-expert</w:t>
      </w:r>
      <w:r w:rsidR="002E5AF3" w:rsidRPr="00FF1C37">
        <w:rPr>
          <w:i/>
          <w:lang w:val="fr-CA"/>
        </w:rPr>
        <w:t xml:space="preserve"> — </w:t>
      </w:r>
      <w:r w:rsidR="00FF1C37">
        <w:rPr>
          <w:i/>
          <w:lang w:val="fr-CA"/>
        </w:rPr>
        <w:t>Absence de mention explicite par la Couronne de la disposition réparatrice dans son mémoire ou sa plaidoirie en appel</w:t>
      </w:r>
      <w:r w:rsidR="002E5AF3" w:rsidRPr="00FF1C37">
        <w:rPr>
          <w:i/>
          <w:lang w:val="fr-CA"/>
        </w:rPr>
        <w:t xml:space="preserve"> — C</w:t>
      </w:r>
      <w:r w:rsidR="00FF1C37">
        <w:rPr>
          <w:i/>
          <w:lang w:val="fr-CA"/>
        </w:rPr>
        <w:t xml:space="preserve">onclusion de la Cour d’appel portant que la façon dont la preuve a été </w:t>
      </w:r>
      <w:r w:rsidR="003A4BB3">
        <w:rPr>
          <w:i/>
          <w:lang w:val="fr-CA"/>
        </w:rPr>
        <w:t>traitée ne constituait pas une erreur donnant ouverture à révision et que, même si le juge du procès avait commis une erreur,</w:t>
      </w:r>
      <w:r w:rsidR="003A4BB3" w:rsidRPr="00C135BC">
        <w:rPr>
          <w:i/>
          <w:lang w:val="fr-CA"/>
        </w:rPr>
        <w:t xml:space="preserve"> </w:t>
      </w:r>
      <w:r w:rsidR="00C135BC" w:rsidRPr="00C135BC">
        <w:rPr>
          <w:i/>
          <w:szCs w:val="24"/>
          <w:lang w:val="fr-CA"/>
        </w:rPr>
        <w:t xml:space="preserve">l’essence de </w:t>
      </w:r>
      <w:r w:rsidR="00C135BC">
        <w:rPr>
          <w:i/>
          <w:szCs w:val="24"/>
          <w:lang w:val="fr-CA"/>
        </w:rPr>
        <w:t xml:space="preserve">la </w:t>
      </w:r>
      <w:r w:rsidR="00C135BC" w:rsidRPr="00C135BC">
        <w:rPr>
          <w:i/>
          <w:szCs w:val="24"/>
          <w:lang w:val="fr-CA"/>
        </w:rPr>
        <w:t xml:space="preserve">disposition </w:t>
      </w:r>
      <w:r w:rsidR="00950417">
        <w:rPr>
          <w:i/>
          <w:szCs w:val="24"/>
          <w:lang w:val="fr-CA"/>
        </w:rPr>
        <w:t xml:space="preserve">réparatrice </w:t>
      </w:r>
      <w:r w:rsidR="00C135BC" w:rsidRPr="00C135BC">
        <w:rPr>
          <w:i/>
          <w:szCs w:val="24"/>
          <w:lang w:val="fr-CA"/>
        </w:rPr>
        <w:t>a</w:t>
      </w:r>
      <w:r w:rsidR="00096E1D">
        <w:rPr>
          <w:i/>
          <w:szCs w:val="24"/>
          <w:lang w:val="fr-CA"/>
        </w:rPr>
        <w:t>vait</w:t>
      </w:r>
      <w:r w:rsidR="00C135BC" w:rsidRPr="00C135BC">
        <w:rPr>
          <w:i/>
          <w:szCs w:val="24"/>
          <w:lang w:val="fr-CA"/>
        </w:rPr>
        <w:t xml:space="preserve"> été soulevée</w:t>
      </w:r>
      <w:r w:rsidR="00C135BC">
        <w:rPr>
          <w:i/>
          <w:szCs w:val="24"/>
          <w:lang w:val="fr-CA"/>
        </w:rPr>
        <w:t xml:space="preserve"> par la Couronne</w:t>
      </w:r>
      <w:r w:rsidR="002E5AF3" w:rsidRPr="00FF1C37">
        <w:rPr>
          <w:i/>
          <w:lang w:val="fr-CA"/>
        </w:rPr>
        <w:t xml:space="preserve"> — </w:t>
      </w:r>
      <w:r w:rsidR="00B3166F">
        <w:rPr>
          <w:i/>
          <w:lang w:val="fr-CA"/>
        </w:rPr>
        <w:t xml:space="preserve">Disposition réparatrice appliquée à juste titre par la Cour </w:t>
      </w:r>
      <w:r w:rsidR="00B3166F">
        <w:rPr>
          <w:i/>
          <w:lang w:val="fr-CA"/>
        </w:rPr>
        <w:lastRenderedPageBreak/>
        <w:t>d’appel</w:t>
      </w:r>
      <w:r w:rsidR="002E5AF3" w:rsidRPr="00FF1C37">
        <w:rPr>
          <w:i/>
          <w:lang w:val="fr-CA"/>
        </w:rPr>
        <w:t xml:space="preserve"> — </w:t>
      </w:r>
      <w:r w:rsidR="00B3166F">
        <w:rPr>
          <w:i/>
          <w:lang w:val="fr-CA"/>
        </w:rPr>
        <w:t>Déclaration de culpabilité confirmée</w:t>
      </w:r>
      <w:r w:rsidR="002E5AF3" w:rsidRPr="00FF1C37">
        <w:rPr>
          <w:i/>
          <w:lang w:val="fr-CA"/>
        </w:rPr>
        <w:t xml:space="preserve"> — C</w:t>
      </w:r>
      <w:r w:rsidR="00B3166F">
        <w:rPr>
          <w:i/>
          <w:lang w:val="fr-CA"/>
        </w:rPr>
        <w:t>ode criminel</w:t>
      </w:r>
      <w:r w:rsidR="002E5AF3" w:rsidRPr="00FF1C37">
        <w:rPr>
          <w:i/>
          <w:lang w:val="fr-CA"/>
        </w:rPr>
        <w:t xml:space="preserve">, </w:t>
      </w:r>
      <w:r w:rsidR="00B3166F">
        <w:rPr>
          <w:i/>
          <w:lang w:val="fr-CA"/>
        </w:rPr>
        <w:t>L.R.C.</w:t>
      </w:r>
      <w:r w:rsidR="002E5AF3" w:rsidRPr="00FF1C37">
        <w:rPr>
          <w:i/>
          <w:lang w:val="fr-CA"/>
        </w:rPr>
        <w:t xml:space="preserve"> 1985, c. C-46, </w:t>
      </w:r>
      <w:r w:rsidR="00B3166F">
        <w:rPr>
          <w:i/>
          <w:lang w:val="fr-CA"/>
        </w:rPr>
        <w:t>art</w:t>
      </w:r>
      <w:r w:rsidR="002E5AF3" w:rsidRPr="00FF1C37">
        <w:rPr>
          <w:i/>
          <w:lang w:val="fr-CA"/>
        </w:rPr>
        <w:t>. 686(1)b)(iii).</w:t>
      </w:r>
    </w:p>
    <w:p w:rsidR="004D7D95" w:rsidRPr="00FF1C37" w:rsidRDefault="004D7D95" w:rsidP="004D7D95">
      <w:pPr>
        <w:pStyle w:val="SCCNormalDoubleSpacing"/>
        <w:rPr>
          <w:lang w:val="fr-CA"/>
        </w:rPr>
      </w:pPr>
    </w:p>
    <w:p w:rsidR="004D7D95" w:rsidRPr="004D7D95" w:rsidRDefault="004D7D95" w:rsidP="004D7D95">
      <w:pPr>
        <w:pStyle w:val="SCCNormalDoubleSpacing"/>
        <w:rPr>
          <w:lang w:val="fr-CA"/>
        </w:rPr>
      </w:pPr>
      <w:r w:rsidRPr="00FF1C37">
        <w:rPr>
          <w:lang w:val="fr-CA"/>
        </w:rPr>
        <w:tab/>
      </w:r>
      <w:r w:rsidRPr="004D7D95">
        <w:rPr>
          <w:lang w:val="fr-CA"/>
        </w:rPr>
        <w:t xml:space="preserve">POURVOI contre un arrêt de la </w:t>
      </w:r>
      <w:r w:rsidRPr="006C7824">
        <w:rPr>
          <w:lang w:val="fr-CA"/>
        </w:rPr>
        <w:t>Cour d’appel de l’Ontario</w:t>
      </w:r>
      <w:r w:rsidR="00C92D53">
        <w:rPr>
          <w:lang w:val="fr-CA"/>
        </w:rPr>
        <w:t xml:space="preserve"> (les juges </w:t>
      </w:r>
      <w:r w:rsidR="006A727F">
        <w:rPr>
          <w:lang w:val="fr-CA"/>
        </w:rPr>
        <w:t>Sharpe</w:t>
      </w:r>
      <w:r w:rsidR="00C92D53">
        <w:rPr>
          <w:lang w:val="fr-CA"/>
        </w:rPr>
        <w:t xml:space="preserve">, </w:t>
      </w:r>
      <w:r w:rsidR="006A727F">
        <w:rPr>
          <w:lang w:val="fr-CA"/>
        </w:rPr>
        <w:t>Pardu</w:t>
      </w:r>
      <w:r w:rsidR="00C92D53">
        <w:rPr>
          <w:lang w:val="fr-CA"/>
        </w:rPr>
        <w:t xml:space="preserve"> et </w:t>
      </w:r>
      <w:r w:rsidR="006A727F">
        <w:rPr>
          <w:lang w:val="fr-CA"/>
        </w:rPr>
        <w:t>Fairburn</w:t>
      </w:r>
      <w:r w:rsidR="00C92D53">
        <w:rPr>
          <w:lang w:val="fr-CA"/>
        </w:rPr>
        <w:t xml:space="preserve">), </w:t>
      </w:r>
      <w:r w:rsidR="00AC3291" w:rsidRPr="00AC3291">
        <w:rPr>
          <w:lang w:val="fr-CA"/>
        </w:rPr>
        <w:t>2018 ONCA 494, 3</w:t>
      </w:r>
      <w:r w:rsidR="00A6607E">
        <w:rPr>
          <w:lang w:val="fr-CA"/>
        </w:rPr>
        <w:t>61</w:t>
      </w:r>
      <w:r w:rsidR="00AC3291" w:rsidRPr="00AC3291">
        <w:rPr>
          <w:lang w:val="fr-CA"/>
        </w:rPr>
        <w:t xml:space="preserve"> C.C.C. (3d) 384</w:t>
      </w:r>
      <w:r w:rsidR="00AC3291" w:rsidRPr="0059737E">
        <w:rPr>
          <w:lang w:val="fr-CA"/>
        </w:rPr>
        <w:t>,</w:t>
      </w:r>
      <w:r w:rsidR="00B27B67" w:rsidRPr="0059737E">
        <w:rPr>
          <w:lang w:val="fr-CA"/>
        </w:rPr>
        <w:t xml:space="preserve"> 48 C.R. (7th) 263,</w:t>
      </w:r>
      <w:r w:rsidR="00AC3291" w:rsidRPr="00AC3291">
        <w:rPr>
          <w:lang w:val="fr-CA"/>
        </w:rPr>
        <w:t xml:space="preserve"> [2018</w:t>
      </w:r>
      <w:r w:rsidR="004567DB">
        <w:rPr>
          <w:lang w:val="fr-CA"/>
        </w:rPr>
        <w:t>] 5 C.T.C. 123, 2018 D.T.C. 5065</w:t>
      </w:r>
      <w:r w:rsidR="00AC3291" w:rsidRPr="00AC3291">
        <w:rPr>
          <w:lang w:val="fr-CA"/>
        </w:rPr>
        <w:t>, [2018] O.J. No. 2896 (QL)</w:t>
      </w:r>
      <w:r w:rsidR="00C92D53">
        <w:rPr>
          <w:lang w:val="fr-CA"/>
        </w:rPr>
        <w:t>,</w:t>
      </w:r>
      <w:r w:rsidR="00AC3291">
        <w:rPr>
          <w:lang w:val="fr-CA"/>
        </w:rPr>
        <w:t xml:space="preserve"> 2018 CarswellOnt 8628 (WL Can.), </w:t>
      </w:r>
      <w:r w:rsidR="00C92D53">
        <w:rPr>
          <w:lang w:val="fr-CA"/>
        </w:rPr>
        <w:t xml:space="preserve">qui a confirmé </w:t>
      </w:r>
      <w:r w:rsidR="00C8106A">
        <w:rPr>
          <w:lang w:val="fr-CA"/>
        </w:rPr>
        <w:t>la déclaration</w:t>
      </w:r>
      <w:r w:rsidR="00C92D53">
        <w:rPr>
          <w:lang w:val="fr-CA"/>
        </w:rPr>
        <w:t xml:space="preserve"> de culpabilité</w:t>
      </w:r>
      <w:r w:rsidR="00AC3291">
        <w:rPr>
          <w:lang w:val="fr-CA"/>
        </w:rPr>
        <w:t xml:space="preserve"> </w:t>
      </w:r>
      <w:r w:rsidR="005B1616">
        <w:rPr>
          <w:lang w:val="fr-CA"/>
        </w:rPr>
        <w:t xml:space="preserve">pour fraude prononcée contre </w:t>
      </w:r>
      <w:r w:rsidR="00AC3291">
        <w:rPr>
          <w:lang w:val="fr-CA"/>
        </w:rPr>
        <w:t>l’accusé</w:t>
      </w:r>
      <w:r w:rsidR="00630411">
        <w:rPr>
          <w:lang w:val="fr-CA"/>
        </w:rPr>
        <w:t xml:space="preserve">. </w:t>
      </w:r>
      <w:r w:rsidR="00C92D53">
        <w:rPr>
          <w:lang w:val="fr-CA"/>
        </w:rPr>
        <w:t>Pourvoi</w:t>
      </w:r>
      <w:r w:rsidR="00E900BA">
        <w:rPr>
          <w:lang w:val="fr-CA"/>
        </w:rPr>
        <w:t xml:space="preserve"> rejeté</w:t>
      </w:r>
      <w:r w:rsidR="00146645">
        <w:rPr>
          <w:lang w:val="fr-CA"/>
        </w:rPr>
        <w:t>.</w:t>
      </w:r>
    </w:p>
    <w:p w:rsidR="004D7D95" w:rsidRPr="004D7D95" w:rsidRDefault="004D7D95" w:rsidP="004D7D95">
      <w:pPr>
        <w:pStyle w:val="SCCNormalDoubleSpacing"/>
        <w:rPr>
          <w:lang w:val="fr-CA"/>
        </w:rPr>
      </w:pPr>
    </w:p>
    <w:p w:rsidR="00FB1472" w:rsidRPr="006C7824" w:rsidRDefault="006C7824">
      <w:pPr>
        <w:pStyle w:val="SCCNormalDoubleSpacing"/>
        <w:rPr>
          <w:lang w:val="fr-CA"/>
        </w:rPr>
      </w:pPr>
      <w:r w:rsidRPr="006C7824">
        <w:rPr>
          <w:rStyle w:val="SCCCounselNameChar"/>
          <w:lang w:val="fr-CA"/>
        </w:rPr>
        <w:tab/>
      </w:r>
      <w:r w:rsidR="00FC2B41">
        <w:rPr>
          <w:rStyle w:val="SCCCounselNameChar"/>
          <w:lang w:val="fr-CA"/>
        </w:rPr>
        <w:t>R. Craig Bottom</w:t>
      </w:r>
      <w:r w:rsidR="008F297B">
        <w:rPr>
          <w:rStyle w:val="SCCCounselNameChar"/>
          <w:lang w:val="fr-CA"/>
        </w:rPr>
        <w:t>ley</w:t>
      </w:r>
      <w:r w:rsidR="008F297B" w:rsidRPr="008F297B">
        <w:rPr>
          <w:rStyle w:val="SCCCounselNameChar"/>
          <w:i w:val="0"/>
          <w:lang w:val="fr-CA"/>
        </w:rPr>
        <w:t xml:space="preserve"> </w:t>
      </w:r>
      <w:r w:rsidR="00722DFD">
        <w:rPr>
          <w:rStyle w:val="SCCCounselNameChar"/>
          <w:i w:val="0"/>
          <w:lang w:val="fr-CA"/>
        </w:rPr>
        <w:t>et</w:t>
      </w:r>
      <w:r w:rsidR="008F297B">
        <w:rPr>
          <w:rStyle w:val="SCCCounselNameChar"/>
          <w:lang w:val="fr-CA"/>
        </w:rPr>
        <w:t xml:space="preserve"> Mayleah Quenneville</w:t>
      </w:r>
      <w:r w:rsidR="00C92D53">
        <w:rPr>
          <w:rStyle w:val="SCCCounselPartyRoleChar"/>
          <w:lang w:val="fr-CA"/>
        </w:rPr>
        <w:t>, pour l’</w:t>
      </w:r>
      <w:r w:rsidR="00C8106A">
        <w:rPr>
          <w:rStyle w:val="SCCCounselPartyRoleChar"/>
          <w:lang w:val="fr-CA"/>
        </w:rPr>
        <w:t>appelant</w:t>
      </w:r>
      <w:r w:rsidRPr="006C7824">
        <w:rPr>
          <w:rStyle w:val="SCCCounselPartyRoleChar"/>
          <w:lang w:val="fr-CA"/>
        </w:rPr>
        <w:t>.</w:t>
      </w:r>
    </w:p>
    <w:p w:rsidR="00FB1472" w:rsidRPr="006C7824" w:rsidRDefault="00FB1472">
      <w:pPr>
        <w:pStyle w:val="SCCNormalDoubleSpacing"/>
        <w:rPr>
          <w:lang w:val="fr-CA"/>
        </w:rPr>
      </w:pPr>
    </w:p>
    <w:p w:rsidR="00FB1472" w:rsidRPr="006C7824" w:rsidRDefault="006C7824">
      <w:pPr>
        <w:pStyle w:val="SCCNormalDoubleSpacing"/>
        <w:rPr>
          <w:lang w:val="fr-CA"/>
        </w:rPr>
      </w:pPr>
      <w:r w:rsidRPr="006C7824">
        <w:rPr>
          <w:rStyle w:val="SCCCounselNameChar"/>
          <w:lang w:val="fr-CA"/>
        </w:rPr>
        <w:tab/>
      </w:r>
      <w:r w:rsidR="008F297B">
        <w:rPr>
          <w:rStyle w:val="SCCCounselNameChar"/>
          <w:lang w:val="fr-CA"/>
        </w:rPr>
        <w:t>Kevin Wilson</w:t>
      </w:r>
      <w:r w:rsidR="008F297B" w:rsidRPr="008F297B">
        <w:rPr>
          <w:rStyle w:val="SCCCounselNameChar"/>
          <w:i w:val="0"/>
          <w:lang w:val="fr-CA"/>
        </w:rPr>
        <w:t xml:space="preserve"> </w:t>
      </w:r>
      <w:r w:rsidR="00722DFD">
        <w:rPr>
          <w:rStyle w:val="SCCCounselNameChar"/>
          <w:i w:val="0"/>
          <w:lang w:val="fr-CA"/>
        </w:rPr>
        <w:t>et</w:t>
      </w:r>
      <w:r w:rsidR="008F297B">
        <w:rPr>
          <w:rStyle w:val="SCCCounselNameChar"/>
          <w:lang w:val="fr-CA"/>
        </w:rPr>
        <w:t xml:space="preserve"> Xenia Proestos</w:t>
      </w:r>
      <w:r w:rsidR="00C92D53">
        <w:rPr>
          <w:rStyle w:val="SCCCounselPartyRoleChar"/>
          <w:lang w:val="fr-CA"/>
        </w:rPr>
        <w:t>, pour l’</w:t>
      </w:r>
      <w:r w:rsidR="00C8106A">
        <w:rPr>
          <w:rStyle w:val="SCCCounselPartyRoleChar"/>
          <w:lang w:val="fr-CA"/>
        </w:rPr>
        <w:t>intimée</w:t>
      </w:r>
      <w:r w:rsidRPr="006C7824">
        <w:rPr>
          <w:rStyle w:val="SCCCounselPartyRoleChar"/>
          <w:lang w:val="fr-CA"/>
        </w:rPr>
        <w:t>.</w:t>
      </w:r>
    </w:p>
    <w:p w:rsidR="00FB1472" w:rsidRDefault="00FB1472">
      <w:pPr>
        <w:pStyle w:val="SCCNormalDoubleSpacing"/>
        <w:rPr>
          <w:lang w:val="fr-CA"/>
        </w:rPr>
      </w:pPr>
    </w:p>
    <w:p w:rsidR="008445A7" w:rsidRDefault="008445A7">
      <w:pPr>
        <w:pStyle w:val="SCCNormalDoubleSpacing"/>
        <w:rPr>
          <w:lang w:val="fr-CA"/>
        </w:rPr>
      </w:pPr>
      <w:r>
        <w:rPr>
          <w:lang w:val="fr-CA"/>
        </w:rPr>
        <w:tab/>
        <w:t>Version française du jugement de la Cour rendu oralement par</w:t>
      </w:r>
    </w:p>
    <w:p w:rsidR="00E900BA" w:rsidRDefault="00E900BA" w:rsidP="00E900BA">
      <w:pPr>
        <w:pStyle w:val="SCCNormalDoubleSpacing"/>
        <w:numPr>
          <w:ilvl w:val="0"/>
          <w:numId w:val="1"/>
        </w:numPr>
        <w:spacing w:before="480" w:after="480"/>
        <w:ind w:left="0" w:firstLine="0"/>
        <w:rPr>
          <w:lang w:val="fr-CA"/>
        </w:rPr>
      </w:pPr>
      <w:r w:rsidRPr="00E900BA">
        <w:rPr>
          <w:smallCaps/>
          <w:lang w:val="fr-CA"/>
        </w:rPr>
        <w:t xml:space="preserve">Le juge Rowe </w:t>
      </w:r>
      <w:r w:rsidRPr="00E900BA">
        <w:rPr>
          <w:lang w:val="fr-CA"/>
        </w:rPr>
        <w:t xml:space="preserve">— Nous sommes tous d’avis de rejeter le pourvoi. Nous faisons nôtres les conclusions </w:t>
      </w:r>
      <w:r w:rsidRPr="00E900BA">
        <w:rPr>
          <w:rFonts w:eastAsia="Calibri"/>
          <w:szCs w:val="28"/>
          <w:lang w:val="fr-CA"/>
        </w:rPr>
        <w:t>suivantes</w:t>
      </w:r>
      <w:r w:rsidRPr="00E900BA">
        <w:rPr>
          <w:lang w:val="fr-CA"/>
        </w:rPr>
        <w:t xml:space="preserve"> formulées par le juge Sharpe au par. 3</w:t>
      </w:r>
      <w:r w:rsidR="00731C2F">
        <w:rPr>
          <w:lang w:val="fr-CA"/>
        </w:rPr>
        <w:t>2 de l’arrêt de la Cour d’appel </w:t>
      </w:r>
      <w:r w:rsidRPr="00E900BA">
        <w:rPr>
          <w:lang w:val="fr-CA"/>
        </w:rPr>
        <w:t>:</w:t>
      </w:r>
    </w:p>
    <w:p w:rsidR="00302E2F" w:rsidRPr="00827C8A" w:rsidRDefault="00827C8A" w:rsidP="00827C8A">
      <w:pPr>
        <w:pStyle w:val="SCCNormalDoubleSpacing"/>
        <w:spacing w:before="240" w:after="720" w:line="240" w:lineRule="auto"/>
        <w:ind w:left="1166"/>
        <w:rPr>
          <w:szCs w:val="24"/>
          <w:lang w:val="fr-CA"/>
        </w:rPr>
      </w:pPr>
      <w:r w:rsidRPr="00827C8A">
        <w:rPr>
          <w:szCs w:val="24"/>
          <w:lang w:val="fr-CA"/>
        </w:rPr>
        <w:t>[</w:t>
      </w:r>
      <w:r w:rsidRPr="00827C8A">
        <w:rPr>
          <w:smallCaps/>
          <w:szCs w:val="24"/>
          <w:lang w:val="fr-CA"/>
        </w:rPr>
        <w:t>traduction</w:t>
      </w:r>
      <w:r w:rsidRPr="00827C8A">
        <w:rPr>
          <w:szCs w:val="24"/>
          <w:lang w:val="fr-CA"/>
        </w:rPr>
        <w:t>]</w:t>
      </w:r>
      <w:r w:rsidR="00E900BA" w:rsidRPr="00827C8A">
        <w:rPr>
          <w:szCs w:val="24"/>
          <w:lang w:val="fr-CA"/>
        </w:rPr>
        <w:t xml:space="preserve"> </w:t>
      </w:r>
      <w:r>
        <w:rPr>
          <w:szCs w:val="24"/>
          <w:lang w:val="fr-CA"/>
        </w:rPr>
        <w:t>. . .</w:t>
      </w:r>
      <w:r w:rsidR="00E900BA" w:rsidRPr="00827C8A">
        <w:rPr>
          <w:szCs w:val="24"/>
          <w:lang w:val="fr-CA"/>
        </w:rPr>
        <w:t xml:space="preserve"> en supposant que le recours à la disposition [réparatrice] s’impose en l’espèce, je suis d’avis que l’essence de cette disposition a été soulevée. Dans sa plaidoirie devant notre cour, l’avocate de la Couronne s’est considérablement appuyée sur l’argument voulant que la défense ait effectivement concédé durant le procès que les déductions pour dons de bienfaisance avaient un caractère frauduleux et se soit plutôt fondée exclusivement sur la prétention de l’appelant selon laquelle ce dernier n’était pas au courant de la fraude. Sur la base de cet argument, la Couronne a fait valoir que, même si la preuve contestée équivalait à un témoignage d’opinion, cette preuve ne portait pas sur la seule question en litige au procès. La Couronne a également souligné que les déclarations contestées de Maraj ne représentaient qu’une petite partie de la preuve présentée </w:t>
      </w:r>
      <w:r w:rsidR="00E900BA" w:rsidRPr="00827C8A">
        <w:rPr>
          <w:szCs w:val="24"/>
          <w:lang w:val="fr-CA"/>
        </w:rPr>
        <w:lastRenderedPageBreak/>
        <w:t>pendant le procès, lequel a duré plusieurs jours, et que les déclarations en question ont été admises sans opposition de la part de l’avocate de la défense. À mon avis, ces différents arguments revenaient essentiellement à prétendre que, même si l’admission de cette preuve ou le fait de ne pas avoir tenu de voir dire constituait une erreur, il ne s’était produit aucun tort important ou aucune erreur judiciaire grave et que, pour cette raison, le pourvoi devrait être rejeté.</w:t>
      </w:r>
    </w:p>
    <w:p w:rsidR="00302E2F" w:rsidRPr="0095713E" w:rsidRDefault="00827C8A" w:rsidP="006B3D67">
      <w:pPr>
        <w:pStyle w:val="SCCNormalDoubleSpacing"/>
        <w:numPr>
          <w:ilvl w:val="0"/>
          <w:numId w:val="1"/>
        </w:numPr>
        <w:spacing w:before="480" w:after="480"/>
        <w:ind w:left="0" w:firstLine="0"/>
        <w:rPr>
          <w:lang w:val="fr-CA"/>
        </w:rPr>
      </w:pPr>
      <w:r w:rsidRPr="00CD31EB">
        <w:rPr>
          <w:lang w:val="fr-CA"/>
        </w:rPr>
        <w:t>Vu l’absence d’erreur judiciaire, la disposition réparatrice a été invoquée</w:t>
      </w:r>
      <w:r>
        <w:rPr>
          <w:lang w:val="fr-CA"/>
        </w:rPr>
        <w:t xml:space="preserve"> de façon régulière en l’espèce</w:t>
      </w:r>
      <w:r w:rsidR="00302E2F" w:rsidRPr="003754E6">
        <w:rPr>
          <w:lang w:val="fr-CA"/>
        </w:rPr>
        <w:t>.</w:t>
      </w:r>
    </w:p>
    <w:p w:rsidR="00FB1472" w:rsidRPr="006C7824" w:rsidRDefault="0062046A" w:rsidP="00C8106A">
      <w:pPr>
        <w:pStyle w:val="SCCLawFirm"/>
        <w:spacing w:before="480" w:after="480"/>
        <w:rPr>
          <w:lang w:val="fr-CA"/>
        </w:rPr>
      </w:pPr>
      <w:r>
        <w:rPr>
          <w:lang w:val="fr-CA"/>
        </w:rPr>
        <w:tab/>
      </w:r>
      <w:r w:rsidRPr="0062046A">
        <w:rPr>
          <w:lang w:val="fr-CA"/>
        </w:rPr>
        <w:t>Jugement en conséquence.</w:t>
      </w:r>
    </w:p>
    <w:p w:rsidR="00FB1472" w:rsidRDefault="006C7824" w:rsidP="00C8106A">
      <w:pPr>
        <w:pStyle w:val="SCCLawFirm"/>
        <w:rPr>
          <w:lang w:val="fr-CA"/>
        </w:rPr>
      </w:pPr>
      <w:r w:rsidRPr="006C7824">
        <w:rPr>
          <w:lang w:val="fr-CA"/>
        </w:rPr>
        <w:tab/>
        <w:t>Procureur</w:t>
      </w:r>
      <w:r w:rsidR="0062046A">
        <w:rPr>
          <w:lang w:val="fr-CA"/>
        </w:rPr>
        <w:t>s de l’</w:t>
      </w:r>
      <w:r w:rsidRPr="006C7824">
        <w:rPr>
          <w:lang w:val="fr-CA"/>
        </w:rPr>
        <w:t xml:space="preserve">appelant : </w:t>
      </w:r>
      <w:r w:rsidR="008F297B">
        <w:rPr>
          <w:lang w:val="fr-CA"/>
        </w:rPr>
        <w:t>Bottomley</w:t>
      </w:r>
      <w:r w:rsidRPr="006C7824">
        <w:rPr>
          <w:lang w:val="fr-CA"/>
        </w:rPr>
        <w:t>, Toronto.</w:t>
      </w:r>
    </w:p>
    <w:p w:rsidR="00C8106A" w:rsidRPr="00C8106A" w:rsidRDefault="00C8106A" w:rsidP="00C8106A">
      <w:pPr>
        <w:pStyle w:val="SCCNormalDoubleSpacing"/>
        <w:rPr>
          <w:lang w:val="fr-CA"/>
        </w:rPr>
      </w:pPr>
    </w:p>
    <w:p w:rsidR="00FB1472" w:rsidRPr="006C7824" w:rsidRDefault="0062046A" w:rsidP="0062046A">
      <w:pPr>
        <w:pStyle w:val="SCCLawFirm"/>
        <w:rPr>
          <w:lang w:val="fr-CA"/>
        </w:rPr>
      </w:pPr>
      <w:r>
        <w:rPr>
          <w:lang w:val="fr-CA"/>
        </w:rPr>
        <w:tab/>
        <w:t>Procureur de l’intimée</w:t>
      </w:r>
      <w:r w:rsidR="006C7824" w:rsidRPr="006C7824">
        <w:rPr>
          <w:lang w:val="fr-CA"/>
        </w:rPr>
        <w:t xml:space="preserve"> : </w:t>
      </w:r>
      <w:r w:rsidR="008F297B">
        <w:rPr>
          <w:lang w:val="fr-CA"/>
        </w:rPr>
        <w:t>Service des poursuites pénales du Canada</w:t>
      </w:r>
      <w:r w:rsidR="006C7824" w:rsidRPr="006C7824">
        <w:rPr>
          <w:lang w:val="fr-CA"/>
        </w:rPr>
        <w:t>, Toronto.</w:t>
      </w:r>
    </w:p>
    <w:p w:rsidR="004D7D95" w:rsidRDefault="004D7D95" w:rsidP="004D7D95">
      <w:pPr>
        <w:pStyle w:val="SCCItalic"/>
        <w:rPr>
          <w:lang w:val="fr-CA"/>
        </w:rPr>
      </w:pPr>
    </w:p>
    <w:sectPr w:rsidR="004D7D95"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F82" w:rsidRDefault="00D40F82">
      <w:r>
        <w:separator/>
      </w:r>
    </w:p>
  </w:endnote>
  <w:endnote w:type="continuationSeparator" w:id="0">
    <w:p w:rsidR="00D40F82" w:rsidRDefault="00D40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F82" w:rsidRDefault="00D40F82">
      <w:r>
        <w:separator/>
      </w:r>
    </w:p>
  </w:footnote>
  <w:footnote w:type="continuationSeparator" w:id="0">
    <w:p w:rsidR="00D40F82" w:rsidRDefault="00D40F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05F0A"/>
    <w:multiLevelType w:val="hybridMultilevel"/>
    <w:tmpl w:val="87DC71A6"/>
    <w:lvl w:ilvl="0" w:tplc="BD564518">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bordersDoNotSurroundHeader/>
  <w:bordersDoNotSurroundFooter/>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2AF1"/>
    <w:rsid w:val="00023FC7"/>
    <w:rsid w:val="00025198"/>
    <w:rsid w:val="000578A3"/>
    <w:rsid w:val="000648CC"/>
    <w:rsid w:val="00096E1D"/>
    <w:rsid w:val="000C036B"/>
    <w:rsid w:val="000C59B8"/>
    <w:rsid w:val="000C6AF0"/>
    <w:rsid w:val="000D0A77"/>
    <w:rsid w:val="000F794D"/>
    <w:rsid w:val="000F7993"/>
    <w:rsid w:val="00104F33"/>
    <w:rsid w:val="00111DE2"/>
    <w:rsid w:val="00116B38"/>
    <w:rsid w:val="00135406"/>
    <w:rsid w:val="00135972"/>
    <w:rsid w:val="001426A9"/>
    <w:rsid w:val="00146645"/>
    <w:rsid w:val="00154D7C"/>
    <w:rsid w:val="001570B0"/>
    <w:rsid w:val="0015752C"/>
    <w:rsid w:val="00157737"/>
    <w:rsid w:val="00165277"/>
    <w:rsid w:val="00170592"/>
    <w:rsid w:val="001720F7"/>
    <w:rsid w:val="001733AC"/>
    <w:rsid w:val="00195D83"/>
    <w:rsid w:val="001A00C1"/>
    <w:rsid w:val="001B33E0"/>
    <w:rsid w:val="001B4573"/>
    <w:rsid w:val="001C779F"/>
    <w:rsid w:val="001D2AC1"/>
    <w:rsid w:val="001D36BE"/>
    <w:rsid w:val="001D4E88"/>
    <w:rsid w:val="00220FC2"/>
    <w:rsid w:val="002222F4"/>
    <w:rsid w:val="00224FC0"/>
    <w:rsid w:val="00225EA4"/>
    <w:rsid w:val="00226EAF"/>
    <w:rsid w:val="00231F3A"/>
    <w:rsid w:val="002406EE"/>
    <w:rsid w:val="00243EC8"/>
    <w:rsid w:val="00250B32"/>
    <w:rsid w:val="00265F78"/>
    <w:rsid w:val="00270D93"/>
    <w:rsid w:val="002745CC"/>
    <w:rsid w:val="002B6FBE"/>
    <w:rsid w:val="002B7924"/>
    <w:rsid w:val="002C10A6"/>
    <w:rsid w:val="002D28C3"/>
    <w:rsid w:val="002D39A4"/>
    <w:rsid w:val="002E3F2A"/>
    <w:rsid w:val="002E5AF3"/>
    <w:rsid w:val="002E6705"/>
    <w:rsid w:val="00302E2F"/>
    <w:rsid w:val="0030329A"/>
    <w:rsid w:val="0031086F"/>
    <w:rsid w:val="0031166C"/>
    <w:rsid w:val="0031414C"/>
    <w:rsid w:val="00314E01"/>
    <w:rsid w:val="0032089D"/>
    <w:rsid w:val="003310DE"/>
    <w:rsid w:val="003323B0"/>
    <w:rsid w:val="00340A49"/>
    <w:rsid w:val="003441F4"/>
    <w:rsid w:val="0035169A"/>
    <w:rsid w:val="0035259D"/>
    <w:rsid w:val="00364B18"/>
    <w:rsid w:val="003A0DB7"/>
    <w:rsid w:val="003A125D"/>
    <w:rsid w:val="003A4BB3"/>
    <w:rsid w:val="003A4C70"/>
    <w:rsid w:val="003B215F"/>
    <w:rsid w:val="003C799C"/>
    <w:rsid w:val="003D0399"/>
    <w:rsid w:val="003E1C71"/>
    <w:rsid w:val="003F327B"/>
    <w:rsid w:val="00406166"/>
    <w:rsid w:val="0040704B"/>
    <w:rsid w:val="00410A55"/>
    <w:rsid w:val="00411300"/>
    <w:rsid w:val="00413F17"/>
    <w:rsid w:val="00415417"/>
    <w:rsid w:val="00426659"/>
    <w:rsid w:val="00450352"/>
    <w:rsid w:val="00454BDB"/>
    <w:rsid w:val="004567DB"/>
    <w:rsid w:val="00465132"/>
    <w:rsid w:val="00480C90"/>
    <w:rsid w:val="0048396F"/>
    <w:rsid w:val="00493C18"/>
    <w:rsid w:val="004A600C"/>
    <w:rsid w:val="004A6118"/>
    <w:rsid w:val="004C2E60"/>
    <w:rsid w:val="004C478D"/>
    <w:rsid w:val="004D7D95"/>
    <w:rsid w:val="004E2C26"/>
    <w:rsid w:val="005125A8"/>
    <w:rsid w:val="00517549"/>
    <w:rsid w:val="00520ABC"/>
    <w:rsid w:val="00521AE8"/>
    <w:rsid w:val="00527180"/>
    <w:rsid w:val="0053292E"/>
    <w:rsid w:val="00551C96"/>
    <w:rsid w:val="00555291"/>
    <w:rsid w:val="00566AD1"/>
    <w:rsid w:val="00583EDE"/>
    <w:rsid w:val="0059737E"/>
    <w:rsid w:val="005A6079"/>
    <w:rsid w:val="005B1616"/>
    <w:rsid w:val="005E4698"/>
    <w:rsid w:val="00603924"/>
    <w:rsid w:val="00610539"/>
    <w:rsid w:val="00613969"/>
    <w:rsid w:val="0062046A"/>
    <w:rsid w:val="00625C35"/>
    <w:rsid w:val="00630411"/>
    <w:rsid w:val="00641D92"/>
    <w:rsid w:val="00647E49"/>
    <w:rsid w:val="00656313"/>
    <w:rsid w:val="006565F4"/>
    <w:rsid w:val="006636D2"/>
    <w:rsid w:val="00684EEA"/>
    <w:rsid w:val="0069689B"/>
    <w:rsid w:val="006A727F"/>
    <w:rsid w:val="006B3D67"/>
    <w:rsid w:val="006B5FF5"/>
    <w:rsid w:val="006C1522"/>
    <w:rsid w:val="006C7824"/>
    <w:rsid w:val="006F30AF"/>
    <w:rsid w:val="006F61CD"/>
    <w:rsid w:val="00701759"/>
    <w:rsid w:val="00705C15"/>
    <w:rsid w:val="007110F6"/>
    <w:rsid w:val="007208D1"/>
    <w:rsid w:val="00722DFD"/>
    <w:rsid w:val="00731C2F"/>
    <w:rsid w:val="00735A06"/>
    <w:rsid w:val="00744518"/>
    <w:rsid w:val="00747288"/>
    <w:rsid w:val="00747DD3"/>
    <w:rsid w:val="007549C8"/>
    <w:rsid w:val="00766D14"/>
    <w:rsid w:val="00767A0F"/>
    <w:rsid w:val="00791272"/>
    <w:rsid w:val="007A05F6"/>
    <w:rsid w:val="007B6F4A"/>
    <w:rsid w:val="007D3E41"/>
    <w:rsid w:val="007E1C47"/>
    <w:rsid w:val="007E337A"/>
    <w:rsid w:val="007E5C70"/>
    <w:rsid w:val="007F2FF5"/>
    <w:rsid w:val="007F3F08"/>
    <w:rsid w:val="00804CC6"/>
    <w:rsid w:val="00817190"/>
    <w:rsid w:val="008260E2"/>
    <w:rsid w:val="00827C8A"/>
    <w:rsid w:val="008322BD"/>
    <w:rsid w:val="00834D63"/>
    <w:rsid w:val="00834F73"/>
    <w:rsid w:val="008445A7"/>
    <w:rsid w:val="00864C8A"/>
    <w:rsid w:val="00864CF8"/>
    <w:rsid w:val="00874914"/>
    <w:rsid w:val="00891422"/>
    <w:rsid w:val="00892E1A"/>
    <w:rsid w:val="008B660A"/>
    <w:rsid w:val="008C01DA"/>
    <w:rsid w:val="008F2674"/>
    <w:rsid w:val="008F297B"/>
    <w:rsid w:val="008F78E9"/>
    <w:rsid w:val="009179F9"/>
    <w:rsid w:val="00917C7A"/>
    <w:rsid w:val="00933E5E"/>
    <w:rsid w:val="00935218"/>
    <w:rsid w:val="00937C52"/>
    <w:rsid w:val="009403F3"/>
    <w:rsid w:val="00950417"/>
    <w:rsid w:val="009555B7"/>
    <w:rsid w:val="009567AA"/>
    <w:rsid w:val="009602C9"/>
    <w:rsid w:val="00967374"/>
    <w:rsid w:val="009A343A"/>
    <w:rsid w:val="009B2F23"/>
    <w:rsid w:val="009B57B3"/>
    <w:rsid w:val="009D2920"/>
    <w:rsid w:val="009D5AEB"/>
    <w:rsid w:val="009F0E33"/>
    <w:rsid w:val="00A149DF"/>
    <w:rsid w:val="00A1755C"/>
    <w:rsid w:val="00A21B90"/>
    <w:rsid w:val="00A22AAC"/>
    <w:rsid w:val="00A41805"/>
    <w:rsid w:val="00A51882"/>
    <w:rsid w:val="00A52AFB"/>
    <w:rsid w:val="00A548CB"/>
    <w:rsid w:val="00A5521C"/>
    <w:rsid w:val="00A643E7"/>
    <w:rsid w:val="00A6607E"/>
    <w:rsid w:val="00A73C38"/>
    <w:rsid w:val="00A921A7"/>
    <w:rsid w:val="00AB670D"/>
    <w:rsid w:val="00AC3291"/>
    <w:rsid w:val="00AF03C5"/>
    <w:rsid w:val="00B000D8"/>
    <w:rsid w:val="00B00F75"/>
    <w:rsid w:val="00B145B6"/>
    <w:rsid w:val="00B2139F"/>
    <w:rsid w:val="00B279EB"/>
    <w:rsid w:val="00B27B67"/>
    <w:rsid w:val="00B3166F"/>
    <w:rsid w:val="00B50C81"/>
    <w:rsid w:val="00B557F8"/>
    <w:rsid w:val="00B7453A"/>
    <w:rsid w:val="00B815FC"/>
    <w:rsid w:val="00B93FBC"/>
    <w:rsid w:val="00BA1435"/>
    <w:rsid w:val="00BA7DA0"/>
    <w:rsid w:val="00BB2EE4"/>
    <w:rsid w:val="00BB4C92"/>
    <w:rsid w:val="00BC2108"/>
    <w:rsid w:val="00BD0E9E"/>
    <w:rsid w:val="00BD1BEC"/>
    <w:rsid w:val="00BD32FF"/>
    <w:rsid w:val="00BF6FE9"/>
    <w:rsid w:val="00C02092"/>
    <w:rsid w:val="00C135BC"/>
    <w:rsid w:val="00C24D91"/>
    <w:rsid w:val="00C26DB2"/>
    <w:rsid w:val="00C53F14"/>
    <w:rsid w:val="00C600CF"/>
    <w:rsid w:val="00C6084F"/>
    <w:rsid w:val="00C62A66"/>
    <w:rsid w:val="00C66359"/>
    <w:rsid w:val="00C66C96"/>
    <w:rsid w:val="00C71458"/>
    <w:rsid w:val="00C77613"/>
    <w:rsid w:val="00C8106A"/>
    <w:rsid w:val="00C828E7"/>
    <w:rsid w:val="00C86719"/>
    <w:rsid w:val="00C921DD"/>
    <w:rsid w:val="00C92D53"/>
    <w:rsid w:val="00C97D23"/>
    <w:rsid w:val="00CA6391"/>
    <w:rsid w:val="00CE036E"/>
    <w:rsid w:val="00CE3171"/>
    <w:rsid w:val="00CF1601"/>
    <w:rsid w:val="00D0172F"/>
    <w:rsid w:val="00D01E33"/>
    <w:rsid w:val="00D068A7"/>
    <w:rsid w:val="00D17476"/>
    <w:rsid w:val="00D17B0E"/>
    <w:rsid w:val="00D32086"/>
    <w:rsid w:val="00D37A3F"/>
    <w:rsid w:val="00D40F82"/>
    <w:rsid w:val="00D4431D"/>
    <w:rsid w:val="00D4667A"/>
    <w:rsid w:val="00D54ED5"/>
    <w:rsid w:val="00D63A1C"/>
    <w:rsid w:val="00D7516F"/>
    <w:rsid w:val="00D95F8E"/>
    <w:rsid w:val="00DA0590"/>
    <w:rsid w:val="00DC1739"/>
    <w:rsid w:val="00DC1788"/>
    <w:rsid w:val="00DE319C"/>
    <w:rsid w:val="00DF0CA8"/>
    <w:rsid w:val="00DF2B48"/>
    <w:rsid w:val="00DF49A7"/>
    <w:rsid w:val="00E07EE2"/>
    <w:rsid w:val="00E07FD1"/>
    <w:rsid w:val="00E24573"/>
    <w:rsid w:val="00E25E1E"/>
    <w:rsid w:val="00E27EE7"/>
    <w:rsid w:val="00E35404"/>
    <w:rsid w:val="00E45109"/>
    <w:rsid w:val="00E47B7A"/>
    <w:rsid w:val="00E56A44"/>
    <w:rsid w:val="00E60269"/>
    <w:rsid w:val="00E900BA"/>
    <w:rsid w:val="00E92C59"/>
    <w:rsid w:val="00E97830"/>
    <w:rsid w:val="00EE0830"/>
    <w:rsid w:val="00EE6CB8"/>
    <w:rsid w:val="00EF0683"/>
    <w:rsid w:val="00F0070C"/>
    <w:rsid w:val="00F00EB7"/>
    <w:rsid w:val="00F36AB6"/>
    <w:rsid w:val="00F37A09"/>
    <w:rsid w:val="00F409CE"/>
    <w:rsid w:val="00F4379D"/>
    <w:rsid w:val="00F50D2D"/>
    <w:rsid w:val="00F56C8B"/>
    <w:rsid w:val="00F62639"/>
    <w:rsid w:val="00F66810"/>
    <w:rsid w:val="00F84DF4"/>
    <w:rsid w:val="00F85C97"/>
    <w:rsid w:val="00F9143D"/>
    <w:rsid w:val="00FB1472"/>
    <w:rsid w:val="00FB37D2"/>
    <w:rsid w:val="00FC2B41"/>
    <w:rsid w:val="00FC4EFB"/>
    <w:rsid w:val="00FD068D"/>
    <w:rsid w:val="00FD4F28"/>
    <w:rsid w:val="00FE6784"/>
    <w:rsid w:val="00FE7A8B"/>
    <w:rsid w:val="00FF1C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paragraph" w:styleId="ListParagraph">
    <w:name w:val="List Paragraph"/>
    <w:basedOn w:val="Normal"/>
    <w:uiPriority w:val="34"/>
    <w:qFormat/>
    <w:rsid w:val="00E900BA"/>
    <w:pPr>
      <w:ind w:left="720"/>
      <w:contextualSpacing/>
    </w:pPr>
  </w:style>
  <w:style w:type="table" w:styleId="TableGrid">
    <w:name w:val="Table Grid"/>
    <w:basedOn w:val="TableNormal"/>
    <w:uiPriority w:val="59"/>
    <w:rsid w:val="0031166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31166C"/>
    <w:rPr>
      <w:rFonts w:ascii="Times New Roman" w:hAnsi="Times New Roman"/>
      <w:sz w:val="24"/>
      <w:szCs w:val="24"/>
      <w:lang w:val="fr-CA"/>
    </w:rPr>
  </w:style>
  <w:style w:type="paragraph" w:customStyle="1" w:styleId="SCCLsocPrefix">
    <w:name w:val="SCC.Lsoc.Prefix"/>
    <w:basedOn w:val="Normal"/>
    <w:next w:val="Normal"/>
    <w:link w:val="SCCLsocPrefixChar"/>
    <w:rsid w:val="0031166C"/>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31166C"/>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73F9B9-11E6-423B-B2DB-E3006CFB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2018-12-13T14:15:00Z</dcterms:created>
  <dcterms:modified xsi:type="dcterms:W3CDTF">2019-07-29T15:19:00Z</dcterms:modified>
</cp:coreProperties>
</file>