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63" w:rsidRDefault="00036063" w:rsidP="00036063">
      <w:pPr>
        <w:pStyle w:val="Header"/>
      </w:pPr>
      <w:bookmarkStart w:id="0" w:name="_GoBack"/>
      <w:bookmarkEnd w:id="0"/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5pt" o:ole="">
            <v:imagedata r:id="rId7" o:title=""/>
          </v:shape>
          <o:OLEObject Type="Embed" ProgID="Presentations.Drawing.13" ShapeID="_x0000_i1025" DrawAspect="Content" ObjectID="_1636293411" r:id="rId8"/>
        </w:object>
      </w:r>
      <w:r>
        <w:t xml:space="preserve"> </w:t>
      </w:r>
      <w:r>
        <w:ptab w:relativeTo="margin" w:alignment="right" w:leader="none"/>
      </w:r>
    </w:p>
    <w:p w:rsidR="00036063" w:rsidRDefault="00036063" w:rsidP="00036063">
      <w:pPr>
        <w:pStyle w:val="Header"/>
      </w:pPr>
    </w:p>
    <w:p w:rsidR="00036063" w:rsidRPr="001E12E2" w:rsidRDefault="00036063" w:rsidP="00036063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036063" w:rsidRDefault="00036063" w:rsidP="00036063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4266"/>
      </w:tblGrid>
      <w:tr w:rsidR="00036063" w:rsidRPr="001E12E2" w:rsidTr="001C72ED">
        <w:trPr>
          <w:cantSplit/>
        </w:trPr>
        <w:tc>
          <w:tcPr>
            <w:tcW w:w="5310" w:type="dxa"/>
          </w:tcPr>
          <w:p w:rsidR="00036063" w:rsidRPr="00036063" w:rsidRDefault="00036063" w:rsidP="001C72ED">
            <w:pPr>
              <w:rPr>
                <w:lang w:val="fr-CA"/>
              </w:rPr>
            </w:pPr>
            <w:r w:rsidRPr="00036063">
              <w:rPr>
                <w:b/>
                <w:smallCaps/>
                <w:lang w:val="fr-CA"/>
              </w:rPr>
              <w:t>Référence :</w:t>
            </w:r>
            <w:r w:rsidRPr="00036063">
              <w:rPr>
                <w:lang w:val="fr-CA"/>
              </w:rPr>
              <w:t xml:space="preserve"> </w:t>
            </w:r>
            <w:r w:rsidRPr="00036063">
              <w:rPr>
                <w:rStyle w:val="SCCAppellantForRunningHeadChar"/>
                <w:smallCaps w:val="0"/>
                <w:lang w:val="fr-CA"/>
              </w:rPr>
              <w:t xml:space="preserve">R. </w:t>
            </w:r>
            <w:r w:rsidRPr="00036063">
              <w:rPr>
                <w:rStyle w:val="SCCAppellantForRunningHeadChar"/>
                <w:i/>
                <w:smallCaps w:val="0"/>
                <w:lang w:val="fr-CA"/>
              </w:rPr>
              <w:t>c</w:t>
            </w:r>
            <w:r w:rsidRPr="00036063">
              <w:rPr>
                <w:rStyle w:val="SCCAppellantForRunningHeadChar"/>
                <w:smallCaps w:val="0"/>
                <w:lang w:val="fr-CA"/>
              </w:rPr>
              <w:t>. Quartey</w:t>
            </w:r>
            <w:r w:rsidRPr="00691EC6">
              <w:rPr>
                <w:rStyle w:val="SCCAppellantForRunningHeadChar"/>
                <w:lang w:val="fr-CA"/>
              </w:rPr>
              <w:t xml:space="preserve">, </w:t>
            </w:r>
            <w:r w:rsidRPr="00036063">
              <w:rPr>
                <w:lang w:val="fr-CA"/>
              </w:rPr>
              <w:t>2018 CSC 59, [2018] 3 R.C.S. 687</w:t>
            </w:r>
          </w:p>
        </w:tc>
        <w:tc>
          <w:tcPr>
            <w:tcW w:w="4266" w:type="dxa"/>
          </w:tcPr>
          <w:p w:rsidR="00036063" w:rsidRPr="00036063" w:rsidRDefault="00036063" w:rsidP="001C72ED">
            <w:pPr>
              <w:rPr>
                <w:lang w:val="fr-CA"/>
              </w:rPr>
            </w:pPr>
            <w:r w:rsidRPr="00036063">
              <w:rPr>
                <w:b/>
                <w:smallCaps/>
                <w:lang w:val="fr-CA"/>
              </w:rPr>
              <w:t>Appel entendu:</w:t>
            </w:r>
            <w:r w:rsidRPr="00036063">
              <w:rPr>
                <w:lang w:val="fr-CA"/>
              </w:rPr>
              <w:t xml:space="preserve"> 14 décembre 2018</w:t>
            </w:r>
          </w:p>
          <w:p w:rsidR="00036063" w:rsidRPr="00036063" w:rsidRDefault="00036063" w:rsidP="001C72ED">
            <w:pPr>
              <w:rPr>
                <w:b/>
                <w:smallCaps/>
                <w:lang w:val="fr-CA"/>
              </w:rPr>
            </w:pPr>
            <w:r w:rsidRPr="00036063">
              <w:rPr>
                <w:b/>
                <w:smallCaps/>
                <w:lang w:val="fr-CA"/>
              </w:rPr>
              <w:t>Jugement rendu :</w:t>
            </w:r>
            <w:r w:rsidRPr="00036063">
              <w:rPr>
                <w:lang w:val="fr-CA"/>
              </w:rPr>
              <w:t xml:space="preserve"> 14 décembre 2018</w:t>
            </w:r>
          </w:p>
          <w:p w:rsidR="00036063" w:rsidRPr="001E12E2" w:rsidRDefault="00036063" w:rsidP="001C72ED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 :</w:t>
            </w:r>
            <w:r w:rsidRPr="001E12E2">
              <w:t xml:space="preserve"> </w:t>
            </w:r>
            <w:r>
              <w:t>38026</w:t>
            </w:r>
          </w:p>
        </w:tc>
      </w:tr>
    </w:tbl>
    <w:p w:rsidR="00036063" w:rsidRDefault="00036063" w:rsidP="00036063">
      <w:pPr>
        <w:pStyle w:val="SCCLsocPrefix"/>
      </w:pPr>
    </w:p>
    <w:p w:rsidR="00036063" w:rsidRDefault="00036063" w:rsidP="00036063">
      <w:pPr>
        <w:pStyle w:val="SCCLsocPrefix"/>
      </w:pPr>
    </w:p>
    <w:p w:rsidR="00036063" w:rsidRDefault="00036063" w:rsidP="00036063">
      <w:pPr>
        <w:pStyle w:val="SCCLsocPrefix"/>
      </w:pPr>
      <w:r>
        <w:t>Entre :</w:t>
      </w:r>
    </w:p>
    <w:p w:rsidR="00036063" w:rsidRPr="00F01019" w:rsidRDefault="00036063" w:rsidP="00036063">
      <w:pPr>
        <w:jc w:val="center"/>
        <w:rPr>
          <w:b/>
          <w:lang w:val="en-US"/>
        </w:rPr>
      </w:pPr>
      <w:r w:rsidRPr="00F01019">
        <w:rPr>
          <w:b/>
          <w:lang w:val="en-US"/>
        </w:rPr>
        <w:t>Kingsley Yianomah Quartey</w:t>
      </w:r>
    </w:p>
    <w:p w:rsidR="00036063" w:rsidRPr="00D85283" w:rsidRDefault="00036063" w:rsidP="00036063">
      <w:pPr>
        <w:jc w:val="center"/>
      </w:pPr>
      <w:r w:rsidRPr="00D85283">
        <w:t>Appelant</w:t>
      </w:r>
    </w:p>
    <w:p w:rsidR="00036063" w:rsidRPr="00D85283" w:rsidRDefault="00036063" w:rsidP="00036063">
      <w:pPr>
        <w:jc w:val="center"/>
      </w:pPr>
    </w:p>
    <w:p w:rsidR="00036063" w:rsidRPr="00036063" w:rsidRDefault="00036063" w:rsidP="00036063">
      <w:pPr>
        <w:pStyle w:val="SCCLsocVersus"/>
        <w:spacing w:after="0"/>
        <w:jc w:val="center"/>
        <w:rPr>
          <w:i w:val="0"/>
        </w:rPr>
      </w:pPr>
      <w:r w:rsidRPr="00036063">
        <w:rPr>
          <w:i w:val="0"/>
        </w:rPr>
        <w:t>et</w:t>
      </w:r>
    </w:p>
    <w:p w:rsidR="00036063" w:rsidRPr="0033260A" w:rsidRDefault="00036063" w:rsidP="00036063">
      <w:pPr>
        <w:jc w:val="center"/>
      </w:pPr>
    </w:p>
    <w:p w:rsidR="00036063" w:rsidRDefault="00036063" w:rsidP="00036063">
      <w:pPr>
        <w:pStyle w:val="SCCLsocParty"/>
        <w:jc w:val="center"/>
      </w:pPr>
      <w:r w:rsidRPr="00BE0133">
        <w:t>Sa Majesté la Reine</w:t>
      </w:r>
    </w:p>
    <w:p w:rsidR="00036063" w:rsidRDefault="00036063" w:rsidP="00036063">
      <w:pPr>
        <w:jc w:val="center"/>
      </w:pPr>
      <w:r>
        <w:t>Intimée</w:t>
      </w:r>
    </w:p>
    <w:p w:rsidR="00036063" w:rsidRDefault="00036063" w:rsidP="00036063">
      <w:pPr>
        <w:jc w:val="center"/>
      </w:pPr>
    </w:p>
    <w:p w:rsidR="00036063" w:rsidRDefault="00036063" w:rsidP="00036063">
      <w:pPr>
        <w:jc w:val="center"/>
      </w:pPr>
    </w:p>
    <w:p w:rsidR="00036063" w:rsidRDefault="00036063" w:rsidP="00036063"/>
    <w:p w:rsidR="00036063" w:rsidRPr="00036063" w:rsidRDefault="00036063" w:rsidP="00036063">
      <w:pPr>
        <w:jc w:val="center"/>
        <w:rPr>
          <w:b/>
          <w:smallCaps/>
          <w:lang w:val="fr-CA"/>
        </w:rPr>
      </w:pPr>
      <w:r w:rsidRPr="00036063">
        <w:rPr>
          <w:b/>
          <w:smallCaps/>
          <w:lang w:val="fr-CA"/>
        </w:rPr>
        <w:t>Traduction française officielle</w:t>
      </w:r>
    </w:p>
    <w:p w:rsidR="00036063" w:rsidRPr="00036063" w:rsidRDefault="00036063" w:rsidP="00036063">
      <w:pPr>
        <w:rPr>
          <w:lang w:val="fr-CA"/>
        </w:rPr>
      </w:pPr>
    </w:p>
    <w:p w:rsidR="00036063" w:rsidRPr="00036063" w:rsidRDefault="00036063" w:rsidP="00036063">
      <w:pPr>
        <w:rPr>
          <w:lang w:val="fr-CA"/>
        </w:rPr>
      </w:pPr>
      <w:r w:rsidRPr="00036063">
        <w:rPr>
          <w:b/>
          <w:smallCaps/>
          <w:lang w:val="fr-CA"/>
        </w:rPr>
        <w:t>Coram :</w:t>
      </w:r>
      <w:r w:rsidRPr="00036063">
        <w:rPr>
          <w:lang w:val="fr-CA"/>
        </w:rPr>
        <w:t xml:space="preserve"> Les juges Moldaver, Karakatsanis, Côté, Brown et Martin </w:t>
      </w:r>
    </w:p>
    <w:p w:rsidR="00036063" w:rsidRPr="00036063" w:rsidRDefault="00036063" w:rsidP="00036063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036063" w:rsidRPr="00B54160" w:rsidTr="001C72ED">
        <w:trPr>
          <w:cantSplit/>
        </w:trPr>
        <w:tc>
          <w:tcPr>
            <w:tcW w:w="3618" w:type="dxa"/>
          </w:tcPr>
          <w:p w:rsidR="00036063" w:rsidRPr="00036063" w:rsidRDefault="00036063" w:rsidP="001C72ED">
            <w:pPr>
              <w:rPr>
                <w:b/>
                <w:smallCaps/>
                <w:lang w:val="fr-CA"/>
              </w:rPr>
            </w:pPr>
            <w:r w:rsidRPr="00036063">
              <w:rPr>
                <w:b/>
                <w:smallCaps/>
                <w:lang w:val="fr-CA"/>
              </w:rPr>
              <w:t>Motifs de jugement :</w:t>
            </w:r>
          </w:p>
          <w:p w:rsidR="00036063" w:rsidRPr="00036063" w:rsidRDefault="00036063" w:rsidP="001C72ED">
            <w:pPr>
              <w:rPr>
                <w:lang w:val="fr-CA"/>
              </w:rPr>
            </w:pPr>
            <w:r w:rsidRPr="00036063">
              <w:rPr>
                <w:lang w:val="fr-CA"/>
              </w:rPr>
              <w:t>(par. 1 à 3)</w:t>
            </w:r>
          </w:p>
        </w:tc>
        <w:tc>
          <w:tcPr>
            <w:tcW w:w="5958" w:type="dxa"/>
          </w:tcPr>
          <w:p w:rsidR="00036063" w:rsidRPr="00036063" w:rsidRDefault="00036063" w:rsidP="001C72ED">
            <w:pPr>
              <w:rPr>
                <w:lang w:val="fr-CA"/>
              </w:rPr>
            </w:pPr>
            <w:r w:rsidRPr="00036063">
              <w:rPr>
                <w:lang w:val="fr-CA"/>
              </w:rPr>
              <w:t>Le juge Brown (avec l’accord des juges Moldaver, Karakatsanis, Côté et Martin)</w:t>
            </w:r>
          </w:p>
        </w:tc>
      </w:tr>
    </w:tbl>
    <w:p w:rsidR="00036063" w:rsidRPr="00036063" w:rsidRDefault="00036063" w:rsidP="00036063">
      <w:pPr>
        <w:rPr>
          <w:lang w:val="fr-CA"/>
        </w:rPr>
      </w:pPr>
    </w:p>
    <w:p w:rsidR="00036063" w:rsidRDefault="00036063" w:rsidP="00036063">
      <w:pPr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8D958" wp14:editId="3FC6AD0E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FB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036063" w:rsidRDefault="00036063" w:rsidP="00036063">
      <w:pPr>
        <w:rPr>
          <w:lang w:val="fr-CA"/>
        </w:rPr>
      </w:pPr>
    </w:p>
    <w:p w:rsidR="00036063" w:rsidRDefault="00036063" w:rsidP="00036063">
      <w:pPr>
        <w:rPr>
          <w:lang w:val="fr-CA"/>
        </w:rPr>
      </w:pPr>
    </w:p>
    <w:p w:rsidR="00036063" w:rsidRDefault="00036063" w:rsidP="00036063">
      <w:pPr>
        <w:rPr>
          <w:lang w:val="fr-CA"/>
        </w:rPr>
      </w:pPr>
    </w:p>
    <w:p w:rsidR="00036063" w:rsidRPr="00036063" w:rsidRDefault="00036063" w:rsidP="00036063">
      <w:pPr>
        <w:rPr>
          <w:lang w:val="fr-CA"/>
        </w:rPr>
      </w:pPr>
    </w:p>
    <w:p w:rsidR="004D7D95" w:rsidRPr="000F2898" w:rsidRDefault="000F2898" w:rsidP="00A95EF1">
      <w:pPr>
        <w:spacing w:after="480" w:line="480" w:lineRule="auto"/>
        <w:jc w:val="both"/>
        <w:rPr>
          <w:lang w:val="en-US"/>
        </w:rPr>
      </w:pPr>
      <w:r>
        <w:rPr>
          <w:lang w:val="en-US"/>
        </w:rPr>
        <w:t>R</w:t>
      </w:r>
      <w:r w:rsidR="007C1C23" w:rsidRPr="000F2898">
        <w:rPr>
          <w:lang w:val="en-US"/>
        </w:rPr>
        <w:t xml:space="preserve">. </w:t>
      </w:r>
      <w:r w:rsidR="007C1C23" w:rsidRPr="000F2898">
        <w:rPr>
          <w:i/>
          <w:lang w:val="en-US"/>
        </w:rPr>
        <w:t>c</w:t>
      </w:r>
      <w:r w:rsidR="007C1C23" w:rsidRPr="000F2898">
        <w:rPr>
          <w:lang w:val="en-US"/>
        </w:rPr>
        <w:t xml:space="preserve">. </w:t>
      </w:r>
      <w:r>
        <w:rPr>
          <w:rStyle w:val="SCCAppellantForRunningHeadChar"/>
          <w:smallCaps w:val="0"/>
          <w:lang w:val="en-US"/>
        </w:rPr>
        <w:t>Q</w:t>
      </w:r>
      <w:r w:rsidR="004D7D95" w:rsidRPr="000F2898">
        <w:rPr>
          <w:rStyle w:val="SCCAppellantForRunningHeadChar"/>
          <w:smallCaps w:val="0"/>
          <w:lang w:val="en-US"/>
        </w:rPr>
        <w:t>uartey</w:t>
      </w:r>
      <w:r>
        <w:rPr>
          <w:rStyle w:val="SCCAppellantForRunningHeadChar"/>
          <w:smallCaps w:val="0"/>
          <w:lang w:val="en-US"/>
        </w:rPr>
        <w:t>, 2018 CSC 59, [2018] 3 R.C.S. 687</w:t>
      </w:r>
    </w:p>
    <w:p w:rsidR="00CB7F31" w:rsidRPr="007C1C23" w:rsidRDefault="007C1C23">
      <w:pPr>
        <w:pStyle w:val="SCCLsocLastPartyInRole"/>
        <w:rPr>
          <w:lang w:val="en-US"/>
        </w:rPr>
      </w:pPr>
      <w:r w:rsidRPr="007C1C23">
        <w:rPr>
          <w:lang w:val="en-US"/>
        </w:rPr>
        <w:t>Kingsley Yianomah Quartey</w:t>
      </w:r>
      <w:r>
        <w:rPr>
          <w:rStyle w:val="SCCLsocPartyRole"/>
          <w:lang w:val="en-US"/>
        </w:rPr>
        <w:tab/>
        <w:t>Appelant</w:t>
      </w:r>
    </w:p>
    <w:p w:rsidR="00CB7F31" w:rsidRPr="00036063" w:rsidRDefault="007C1C23">
      <w:pPr>
        <w:pStyle w:val="SCCLsocVersus"/>
        <w:rPr>
          <w:lang w:val="en-US"/>
        </w:rPr>
      </w:pPr>
      <w:r w:rsidRPr="00036063">
        <w:rPr>
          <w:lang w:val="en-US"/>
        </w:rPr>
        <w:t>c.</w:t>
      </w:r>
    </w:p>
    <w:p w:rsidR="00CB7F31" w:rsidRPr="007C1C23" w:rsidRDefault="007C1C23">
      <w:pPr>
        <w:pStyle w:val="SCCLsocLastPartyInRole"/>
        <w:rPr>
          <w:lang w:val="fr-CA"/>
        </w:rPr>
      </w:pPr>
      <w:r w:rsidRPr="007C1C23">
        <w:rPr>
          <w:lang w:val="fr-CA"/>
        </w:rPr>
        <w:t>Sa Majesté la Reine</w:t>
      </w:r>
      <w:r>
        <w:rPr>
          <w:rStyle w:val="SCCLsocPartyRole"/>
          <w:lang w:val="fr-CA"/>
        </w:rPr>
        <w:tab/>
        <w:t>Intimée</w:t>
      </w:r>
    </w:p>
    <w:p w:rsidR="00E12625" w:rsidRDefault="00E12625" w:rsidP="00E12625">
      <w:pPr>
        <w:jc w:val="both"/>
        <w:rPr>
          <w:b/>
          <w:lang w:val="fr-CA"/>
        </w:rPr>
      </w:pPr>
    </w:p>
    <w:p w:rsidR="00E12625" w:rsidRDefault="007C1C23" w:rsidP="00A95EF1">
      <w:pPr>
        <w:pStyle w:val="SCCLsocLastPartyInRole"/>
        <w:rPr>
          <w:rStyle w:val="SCCAppellantForIndexChar"/>
          <w:lang w:val="fr-CA"/>
        </w:rPr>
      </w:pPr>
      <w:r>
        <w:rPr>
          <w:lang w:val="fr-CA"/>
        </w:rPr>
        <w:t xml:space="preserve">Répertorié : R. </w:t>
      </w:r>
      <w:r w:rsidRPr="007C1C23">
        <w:rPr>
          <w:i/>
          <w:lang w:val="fr-CA"/>
        </w:rPr>
        <w:t>c</w:t>
      </w:r>
      <w:r w:rsidRPr="00A95EF1">
        <w:rPr>
          <w:b w:val="0"/>
          <w:i/>
          <w:lang w:val="fr-CA"/>
        </w:rPr>
        <w:t>.</w:t>
      </w:r>
      <w:r w:rsidRPr="00A95EF1">
        <w:rPr>
          <w:b w:val="0"/>
          <w:lang w:val="fr-CA"/>
        </w:rPr>
        <w:t xml:space="preserve"> </w:t>
      </w:r>
      <w:r w:rsidR="004D7D95" w:rsidRPr="00A95EF1">
        <w:rPr>
          <w:rStyle w:val="SCCAppellantForIndexChar"/>
          <w:b/>
          <w:lang w:val="fr-CA"/>
        </w:rPr>
        <w:t>Quartey</w:t>
      </w:r>
    </w:p>
    <w:p w:rsidR="00A95EF1" w:rsidRPr="00A95EF1" w:rsidRDefault="00A95EF1" w:rsidP="00A95EF1">
      <w:pPr>
        <w:jc w:val="both"/>
        <w:rPr>
          <w:b/>
          <w:lang w:val="fr-CA"/>
        </w:rPr>
      </w:pPr>
    </w:p>
    <w:p w:rsidR="00E12625" w:rsidRDefault="00D17B0E" w:rsidP="00E12625">
      <w:pPr>
        <w:pStyle w:val="SCCSystemYear"/>
        <w:spacing w:after="480"/>
        <w:jc w:val="both"/>
        <w:rPr>
          <w:lang w:val="fr-CA"/>
        </w:rPr>
      </w:pPr>
      <w:r w:rsidRPr="007C1C23">
        <w:rPr>
          <w:lang w:val="fr-CA"/>
        </w:rPr>
        <w:t>2018</w:t>
      </w:r>
      <w:r w:rsidR="004D7D95" w:rsidRPr="007C1C23">
        <w:rPr>
          <w:lang w:val="fr-CA"/>
        </w:rPr>
        <w:t xml:space="preserve"> CSC </w:t>
      </w:r>
      <w:r w:rsidR="007C1C23">
        <w:rPr>
          <w:lang w:val="fr-CA"/>
        </w:rPr>
        <w:t>59</w:t>
      </w:r>
    </w:p>
    <w:p w:rsidR="00E12625" w:rsidRDefault="00E12625" w:rsidP="00E12625">
      <w:pPr>
        <w:spacing w:after="480"/>
        <w:jc w:val="both"/>
        <w:rPr>
          <w:lang w:val="fr-CA"/>
        </w:rPr>
      </w:pPr>
    </w:p>
    <w:p w:rsidR="00E12625" w:rsidRDefault="004D7D95" w:rsidP="00E12625">
      <w:pPr>
        <w:spacing w:after="480"/>
        <w:jc w:val="both"/>
        <w:rPr>
          <w:lang w:val="fr-CA"/>
        </w:rPr>
      </w:pPr>
      <w:r w:rsidRPr="007C1C23">
        <w:rPr>
          <w:lang w:val="fr-CA"/>
        </w:rPr>
        <w:t>N</w:t>
      </w:r>
      <w:r w:rsidRPr="007C1C23">
        <w:rPr>
          <w:vertAlign w:val="superscript"/>
          <w:lang w:val="fr-CA"/>
        </w:rPr>
        <w:t>o</w:t>
      </w:r>
      <w:r w:rsidRPr="007C1C23">
        <w:rPr>
          <w:lang w:val="fr-CA"/>
        </w:rPr>
        <w:t xml:space="preserve"> du greffe : 38026.</w:t>
      </w:r>
    </w:p>
    <w:p w:rsidR="00E12625" w:rsidRDefault="00E12625" w:rsidP="00E12625">
      <w:pPr>
        <w:spacing w:after="480"/>
        <w:jc w:val="both"/>
        <w:rPr>
          <w:lang w:val="fr-CA"/>
        </w:rPr>
      </w:pPr>
    </w:p>
    <w:p w:rsidR="004D7D95" w:rsidRPr="007C1C23" w:rsidRDefault="00D17B0E" w:rsidP="00E12625">
      <w:pPr>
        <w:spacing w:after="480"/>
        <w:jc w:val="both"/>
        <w:rPr>
          <w:lang w:val="fr-CA"/>
        </w:rPr>
      </w:pPr>
      <w:r w:rsidRPr="007C1C23">
        <w:rPr>
          <w:lang w:val="fr-CA"/>
        </w:rPr>
        <w:t>2018 : 14 décembre</w:t>
      </w:r>
      <w:r w:rsidR="007C1C23">
        <w:rPr>
          <w:lang w:val="fr-CA"/>
        </w:rPr>
        <w:t>.</w:t>
      </w:r>
    </w:p>
    <w:p w:rsidR="004D7D95" w:rsidRPr="007C1C23" w:rsidRDefault="004D7D95" w:rsidP="00E12625">
      <w:pPr>
        <w:spacing w:after="480"/>
        <w:jc w:val="both"/>
        <w:rPr>
          <w:lang w:val="fr-CA"/>
        </w:rPr>
      </w:pPr>
    </w:p>
    <w:p w:rsidR="004D7D95" w:rsidRPr="007C1C23" w:rsidRDefault="004D7D95" w:rsidP="00E12625">
      <w:pPr>
        <w:spacing w:after="480"/>
        <w:jc w:val="both"/>
        <w:rPr>
          <w:lang w:val="fr-CA"/>
        </w:rPr>
      </w:pPr>
      <w:r w:rsidRPr="007C1C23">
        <w:rPr>
          <w:lang w:val="fr-CA"/>
        </w:rPr>
        <w:t>Présents : Les juges Moldaver, Karakatsanis, Côté, Brown et Martin.</w:t>
      </w:r>
    </w:p>
    <w:p w:rsidR="00BF6FE9" w:rsidRPr="007C1C23" w:rsidRDefault="00BF6FE9" w:rsidP="00E12625">
      <w:pPr>
        <w:spacing w:after="480"/>
        <w:jc w:val="both"/>
        <w:rPr>
          <w:lang w:val="fr-CA"/>
        </w:rPr>
      </w:pPr>
    </w:p>
    <w:p w:rsidR="00CB7F31" w:rsidRPr="00E12625" w:rsidRDefault="00CB7F31">
      <w:pPr>
        <w:rPr>
          <w:smallCaps/>
          <w:lang w:val="fr-CA"/>
        </w:rPr>
      </w:pPr>
    </w:p>
    <w:p w:rsidR="004D7D95" w:rsidRPr="00E12625" w:rsidRDefault="004D7D95" w:rsidP="000F7993">
      <w:pPr>
        <w:jc w:val="both"/>
        <w:rPr>
          <w:smallCaps/>
          <w:lang w:val="fr-CA"/>
        </w:rPr>
      </w:pPr>
      <w:r w:rsidRPr="00E12625">
        <w:rPr>
          <w:smallCaps/>
          <w:lang w:val="fr-CA"/>
        </w:rPr>
        <w:t xml:space="preserve">en appel de la </w:t>
      </w:r>
      <w:r w:rsidR="00E12625" w:rsidRPr="00E12625">
        <w:rPr>
          <w:smallCaps/>
          <w:lang w:val="fr-CA"/>
        </w:rPr>
        <w:t>cour d’appel de l’alberta</w:t>
      </w:r>
    </w:p>
    <w:p w:rsidR="004D7D95" w:rsidRPr="00BB4C92" w:rsidRDefault="004D7D95" w:rsidP="004D7D95">
      <w:pPr>
        <w:pStyle w:val="SCCNormalDoubleSpacing"/>
        <w:rPr>
          <w:lang w:val="fr-CA"/>
        </w:rPr>
      </w:pPr>
    </w:p>
    <w:p w:rsidR="00C8575E" w:rsidRDefault="00C8575E" w:rsidP="004D7D95">
      <w:pPr>
        <w:pStyle w:val="SCCNormalDoubleSpacing"/>
        <w:rPr>
          <w:lang w:val="fr-CA"/>
        </w:rPr>
      </w:pPr>
    </w:p>
    <w:p w:rsidR="004D7D95" w:rsidRPr="008F72A0" w:rsidRDefault="004D7D95" w:rsidP="004D7D95">
      <w:pPr>
        <w:pStyle w:val="SCCNormalDoubleSpacing"/>
        <w:rPr>
          <w:i/>
          <w:lang w:val="fr-CA"/>
        </w:rPr>
      </w:pPr>
      <w:r w:rsidRPr="00BB4C92">
        <w:rPr>
          <w:lang w:val="fr-CA"/>
        </w:rPr>
        <w:tab/>
      </w:r>
      <w:r w:rsidR="00E402EE" w:rsidRPr="008F72A0">
        <w:rPr>
          <w:i/>
          <w:lang w:val="fr-CA"/>
        </w:rPr>
        <w:t xml:space="preserve">Droit criminel — Preuve — Appréciation — Crédibilité — Fardeau de la preuve — Généralisations et stéréotypes — Accusé déclaré coupable d’agression sexuelle — Conclusion de la Cour d’appel portant que l’appréciation de la crédibilité par le juge du procès était raisonnablement appuyée </w:t>
      </w:r>
      <w:r w:rsidR="0033557A">
        <w:rPr>
          <w:i/>
          <w:lang w:val="fr-CA"/>
        </w:rPr>
        <w:t xml:space="preserve">par </w:t>
      </w:r>
      <w:r w:rsidR="00E402EE" w:rsidRPr="008F72A0">
        <w:rPr>
          <w:i/>
          <w:lang w:val="fr-CA"/>
        </w:rPr>
        <w:t xml:space="preserve">les éléments au dossier, et que ce celui-ci n’avait ni appliqué de généralisations et de stéréotypes en rejetant </w:t>
      </w:r>
      <w:r w:rsidR="00E402EE" w:rsidRPr="001D000B">
        <w:rPr>
          <w:i/>
          <w:lang w:val="fr-CA"/>
        </w:rPr>
        <w:t>le témoignage</w:t>
      </w:r>
      <w:r w:rsidR="00E402EE" w:rsidRPr="008F72A0">
        <w:rPr>
          <w:i/>
          <w:lang w:val="fr-CA"/>
        </w:rPr>
        <w:t xml:space="preserve"> de l’accusé ni déplacé sur les épaules de ce dernier le fardeau de la preuve — Déclaration de culpabilité confirmée. </w:t>
      </w:r>
    </w:p>
    <w:p w:rsidR="004D7D95" w:rsidRPr="00E402EE" w:rsidRDefault="004D7D95" w:rsidP="004D7D95">
      <w:pPr>
        <w:pStyle w:val="SCCNormalDoubleSpacing"/>
        <w:rPr>
          <w:lang w:val="fr-CA"/>
        </w:rPr>
      </w:pPr>
    </w:p>
    <w:p w:rsidR="004D7D95" w:rsidRPr="004D7D95" w:rsidRDefault="004D7D95" w:rsidP="00967D5D">
      <w:pPr>
        <w:pStyle w:val="SCCNormalDoubleSpacing"/>
        <w:spacing w:after="720" w:line="240" w:lineRule="auto"/>
        <w:rPr>
          <w:b/>
          <w:lang w:val="fr-CA"/>
        </w:rPr>
      </w:pPr>
      <w:r w:rsidRPr="004D7D95">
        <w:rPr>
          <w:b/>
          <w:lang w:val="fr-CA"/>
        </w:rPr>
        <w:lastRenderedPageBreak/>
        <w:t>Jurisprudence</w:t>
      </w:r>
    </w:p>
    <w:p w:rsidR="004D7D95" w:rsidRPr="004D7D95" w:rsidRDefault="004D7D95" w:rsidP="00967D5D">
      <w:pPr>
        <w:pStyle w:val="SCCNormalDoubleSpacing"/>
        <w:spacing w:after="480"/>
        <w:rPr>
          <w:b/>
          <w:lang w:val="fr-CA"/>
        </w:rPr>
      </w:pPr>
      <w:r w:rsidRPr="004D7D95">
        <w:rPr>
          <w:lang w:val="fr-CA"/>
        </w:rPr>
        <w:tab/>
      </w:r>
      <w:r w:rsidR="00C1622B">
        <w:rPr>
          <w:b/>
          <w:lang w:val="fr-CA"/>
        </w:rPr>
        <w:t>Arrêt mentionné</w:t>
      </w:r>
      <w:r w:rsidRPr="004D7D95">
        <w:rPr>
          <w:b/>
          <w:lang w:val="fr-CA"/>
        </w:rPr>
        <w:t> :</w:t>
      </w:r>
      <w:r w:rsidRPr="004D7D95">
        <w:rPr>
          <w:lang w:val="fr-CA"/>
        </w:rPr>
        <w:t xml:space="preserve"> </w:t>
      </w:r>
      <w:r w:rsidR="00C1622B" w:rsidRPr="00D9010E">
        <w:rPr>
          <w:i/>
          <w:lang w:val="fr-CA"/>
        </w:rPr>
        <w:t>R. c.</w:t>
      </w:r>
      <w:r w:rsidR="00C1622B">
        <w:rPr>
          <w:lang w:val="fr-CA"/>
        </w:rPr>
        <w:t xml:space="preserve"> </w:t>
      </w:r>
      <w:r w:rsidR="00C1622B" w:rsidRPr="00591F74">
        <w:rPr>
          <w:i/>
          <w:lang w:val="fr-CA"/>
        </w:rPr>
        <w:t>W</w:t>
      </w:r>
      <w:r w:rsidR="00C1622B">
        <w:rPr>
          <w:i/>
          <w:lang w:val="fr-CA"/>
        </w:rPr>
        <w:t>. (</w:t>
      </w:r>
      <w:r w:rsidR="00C1622B" w:rsidRPr="00591F74">
        <w:rPr>
          <w:i/>
          <w:lang w:val="fr-CA"/>
        </w:rPr>
        <w:t>D</w:t>
      </w:r>
      <w:r w:rsidR="00C1622B">
        <w:rPr>
          <w:i/>
          <w:lang w:val="fr-CA"/>
        </w:rPr>
        <w:t>.)</w:t>
      </w:r>
      <w:r w:rsidR="00C1622B">
        <w:rPr>
          <w:lang w:val="fr-CA"/>
        </w:rPr>
        <w:t xml:space="preserve">, </w:t>
      </w:r>
      <w:r w:rsidR="00C1622B" w:rsidRPr="00D9010E">
        <w:rPr>
          <w:lang w:val="fr-CA"/>
        </w:rPr>
        <w:t>[1991] 1 R.C.S. 742</w:t>
      </w:r>
      <w:r w:rsidR="001C3490">
        <w:rPr>
          <w:lang w:val="fr-CA"/>
        </w:rPr>
        <w:t>.</w:t>
      </w:r>
    </w:p>
    <w:p w:rsidR="007C1C23" w:rsidRDefault="00E12625" w:rsidP="004D7D95">
      <w:pPr>
        <w:pStyle w:val="SCCNormalDoubleSpacing"/>
        <w:rPr>
          <w:lang w:val="fr-CA"/>
        </w:rPr>
      </w:pPr>
      <w:r>
        <w:rPr>
          <w:lang w:val="fr-CA"/>
        </w:rPr>
        <w:tab/>
      </w:r>
      <w:r w:rsidR="004D7D95" w:rsidRPr="004D7D95">
        <w:rPr>
          <w:lang w:val="fr-CA"/>
        </w:rPr>
        <w:t xml:space="preserve">POURVOI contre un arrêt de la </w:t>
      </w:r>
      <w:r>
        <w:rPr>
          <w:lang w:val="fr-CA"/>
        </w:rPr>
        <w:t>Cour d’</w:t>
      </w:r>
      <w:r w:rsidR="007C1C23">
        <w:rPr>
          <w:lang w:val="fr-CA"/>
        </w:rPr>
        <w:t xml:space="preserve">appel de l’Alberta </w:t>
      </w:r>
      <w:r>
        <w:rPr>
          <w:lang w:val="fr-CA"/>
        </w:rPr>
        <w:t xml:space="preserve">(les juges Berger, Wakeling et Strekaf), </w:t>
      </w:r>
      <w:r w:rsidR="007E721C">
        <w:rPr>
          <w:lang w:val="fr-CA"/>
        </w:rPr>
        <w:t xml:space="preserve">2018 ABCA 12, </w:t>
      </w:r>
      <w:r w:rsidR="007E721C" w:rsidRPr="007E721C">
        <w:rPr>
          <w:lang w:val="fr-CA"/>
        </w:rPr>
        <w:t>43 C.R. (7th) 359,</w:t>
      </w:r>
      <w:r w:rsidR="007E721C">
        <w:rPr>
          <w:lang w:val="fr-CA"/>
        </w:rPr>
        <w:t xml:space="preserve"> [2018] A.J. No. 55 (QL), </w:t>
      </w:r>
      <w:r w:rsidR="007E721C" w:rsidRPr="007E721C">
        <w:rPr>
          <w:lang w:val="fr-CA"/>
        </w:rPr>
        <w:t>2018 CarswellAlta 70 (WL Can.),</w:t>
      </w:r>
      <w:r w:rsidR="00967998">
        <w:rPr>
          <w:lang w:val="fr-CA"/>
        </w:rPr>
        <w:t xml:space="preserve"> </w:t>
      </w:r>
      <w:r w:rsidR="00C2073E">
        <w:rPr>
          <w:lang w:val="fr-CA"/>
        </w:rPr>
        <w:t xml:space="preserve">qui a confirmé la déclaration de culpabilité pour agression sexuelle prononcée contre l’accusé. Pourvoi </w:t>
      </w:r>
      <w:r w:rsidR="001C3490">
        <w:rPr>
          <w:lang w:val="fr-CA"/>
        </w:rPr>
        <w:t>rejeté.</w:t>
      </w:r>
    </w:p>
    <w:p w:rsidR="00E12625" w:rsidRPr="004D7D95" w:rsidRDefault="00E12625" w:rsidP="004D7D95">
      <w:pPr>
        <w:pStyle w:val="SCCNormalDoubleSpacing"/>
        <w:rPr>
          <w:lang w:val="fr-CA"/>
        </w:rPr>
      </w:pPr>
    </w:p>
    <w:p w:rsidR="00CB7F31" w:rsidRPr="007C1C23" w:rsidRDefault="007C1C23">
      <w:pPr>
        <w:pStyle w:val="SCCNormalDoubleSpacing"/>
        <w:rPr>
          <w:lang w:val="fr-CA"/>
        </w:rPr>
      </w:pPr>
      <w:r w:rsidRPr="007C1C23">
        <w:rPr>
          <w:rStyle w:val="SCCCounselNameChar"/>
          <w:lang w:val="fr-CA"/>
        </w:rPr>
        <w:tab/>
        <w:t>Kathryn Quinlan</w:t>
      </w:r>
      <w:r w:rsidR="00E12625">
        <w:rPr>
          <w:rStyle w:val="SCCCounselPartyRoleChar"/>
          <w:lang w:val="fr-CA"/>
        </w:rPr>
        <w:t>, pour l’</w:t>
      </w:r>
      <w:r>
        <w:rPr>
          <w:rStyle w:val="SCCCounselPartyRoleChar"/>
          <w:lang w:val="fr-CA"/>
        </w:rPr>
        <w:t>appelant</w:t>
      </w:r>
      <w:r w:rsidRPr="007C1C23">
        <w:rPr>
          <w:rStyle w:val="SCCCounselPartyRoleChar"/>
          <w:lang w:val="fr-CA"/>
        </w:rPr>
        <w:t>.</w:t>
      </w:r>
    </w:p>
    <w:p w:rsidR="00CB7F31" w:rsidRPr="007C1C23" w:rsidRDefault="00CB7F31">
      <w:pPr>
        <w:pStyle w:val="SCCNormalDoubleSpacing"/>
        <w:rPr>
          <w:lang w:val="fr-CA"/>
        </w:rPr>
      </w:pPr>
    </w:p>
    <w:p w:rsidR="00CB7F31" w:rsidRDefault="007C1C23" w:rsidP="00C8575E">
      <w:pPr>
        <w:pStyle w:val="SCCNormalDoubleSpacing"/>
        <w:rPr>
          <w:lang w:val="fr-CA"/>
        </w:rPr>
      </w:pPr>
      <w:r w:rsidRPr="007C1C23">
        <w:rPr>
          <w:rStyle w:val="SCCCounselNameChar"/>
          <w:lang w:val="fr-CA"/>
        </w:rPr>
        <w:tab/>
        <w:t>Troy Couillard</w:t>
      </w:r>
      <w:r w:rsidR="00E12625">
        <w:rPr>
          <w:rStyle w:val="SCCCounselPartyRoleChar"/>
          <w:lang w:val="fr-CA"/>
        </w:rPr>
        <w:t>, pour l’</w:t>
      </w:r>
      <w:r>
        <w:rPr>
          <w:rStyle w:val="SCCCounselPartyRoleChar"/>
          <w:lang w:val="fr-CA"/>
        </w:rPr>
        <w:t>intimée</w:t>
      </w:r>
      <w:r w:rsidRPr="007C1C23">
        <w:rPr>
          <w:rStyle w:val="SCCCounselPartyRoleChar"/>
          <w:lang w:val="fr-CA"/>
        </w:rPr>
        <w:t>.</w:t>
      </w:r>
    </w:p>
    <w:p w:rsidR="00C8575E" w:rsidRDefault="00C8575E" w:rsidP="00C8575E">
      <w:pPr>
        <w:pStyle w:val="SCCNormalDoubleSpacing"/>
        <w:rPr>
          <w:lang w:val="fr-CA"/>
        </w:rPr>
      </w:pPr>
    </w:p>
    <w:p w:rsidR="00C8575E" w:rsidRDefault="00C8575E" w:rsidP="00C8575E">
      <w:pPr>
        <w:pStyle w:val="SCCNormalDoubleSpacing"/>
        <w:spacing w:after="480"/>
        <w:rPr>
          <w:lang w:val="fr-CA"/>
        </w:rPr>
      </w:pPr>
      <w:r>
        <w:rPr>
          <w:lang w:val="fr-CA"/>
        </w:rPr>
        <w:tab/>
        <w:t>Version française du jugement de la Cour rendu oralement par</w:t>
      </w:r>
    </w:p>
    <w:p w:rsidR="00B0070E" w:rsidRPr="005F4753" w:rsidRDefault="00B0070E" w:rsidP="00B0070E">
      <w:pPr>
        <w:pStyle w:val="SCCNormalDoubleSpacing"/>
        <w:numPr>
          <w:ilvl w:val="0"/>
          <w:numId w:val="1"/>
        </w:numPr>
        <w:spacing w:before="480" w:after="480"/>
        <w:ind w:left="0" w:firstLine="0"/>
        <w:rPr>
          <w:lang w:val="fr-CA"/>
        </w:rPr>
      </w:pPr>
      <w:r>
        <w:rPr>
          <w:smallCaps/>
          <w:lang w:val="fr-CA"/>
        </w:rPr>
        <w:t>Le j</w:t>
      </w:r>
      <w:r w:rsidRPr="00097F3D">
        <w:rPr>
          <w:smallCaps/>
          <w:lang w:val="fr-CA"/>
        </w:rPr>
        <w:t>uge Brown</w:t>
      </w:r>
      <w:r w:rsidRPr="00097F3D">
        <w:rPr>
          <w:lang w:val="fr-CA"/>
        </w:rPr>
        <w:t xml:space="preserve"> </w:t>
      </w:r>
      <w:r w:rsidRPr="00D70724">
        <w:rPr>
          <w:lang w:val="fr-CA"/>
        </w:rPr>
        <w:t xml:space="preserve">— </w:t>
      </w:r>
      <w:r w:rsidRPr="00C8575E">
        <w:rPr>
          <w:lang w:val="fr-CA"/>
        </w:rPr>
        <w:t>Nous</w:t>
      </w:r>
      <w:r w:rsidRPr="00517055">
        <w:rPr>
          <w:lang w:val="fr-CA"/>
        </w:rPr>
        <w:t xml:space="preserve"> souscrivons pour l’essentiel à l’opinion des juges majoritaires de la Cour d’appel, et nous sommes d’avis de rejeter l’appel. </w:t>
      </w:r>
      <w:r w:rsidRPr="005F4753">
        <w:rPr>
          <w:lang w:val="fr-CA"/>
        </w:rPr>
        <w:t xml:space="preserve">L’analyse de la </w:t>
      </w:r>
      <w:r w:rsidRPr="00BC5277">
        <w:rPr>
          <w:lang w:val="fr-CA"/>
        </w:rPr>
        <w:t>preuve</w:t>
      </w:r>
      <w:r w:rsidRPr="005F4753">
        <w:rPr>
          <w:lang w:val="fr-CA"/>
        </w:rPr>
        <w:t xml:space="preserve"> effectuée par le juge du procès révè</w:t>
      </w:r>
      <w:r>
        <w:rPr>
          <w:lang w:val="fr-CA"/>
        </w:rPr>
        <w:t>le le raisonnement qui l’a amené à conclure à la culpabilité, et elle permet une révision effective de sa décision en appel</w:t>
      </w:r>
      <w:r w:rsidRPr="005F4753">
        <w:rPr>
          <w:lang w:val="fr-CA"/>
        </w:rPr>
        <w:t>.</w:t>
      </w:r>
    </w:p>
    <w:p w:rsidR="00B0070E" w:rsidRPr="009F6E29" w:rsidRDefault="00B0070E" w:rsidP="00B0070E">
      <w:pPr>
        <w:pStyle w:val="SCCNormalDoubleSpacing"/>
        <w:numPr>
          <w:ilvl w:val="0"/>
          <w:numId w:val="1"/>
        </w:numPr>
        <w:spacing w:before="480" w:after="480"/>
        <w:ind w:left="0" w:firstLine="0"/>
        <w:rPr>
          <w:lang w:val="fr-CA"/>
        </w:rPr>
      </w:pPr>
      <w:r w:rsidRPr="003634AF">
        <w:rPr>
          <w:lang w:val="fr-CA"/>
        </w:rPr>
        <w:t xml:space="preserve">Qui plus </w:t>
      </w:r>
      <w:r w:rsidRPr="005E267F">
        <w:rPr>
          <w:lang w:val="fr-CA"/>
        </w:rPr>
        <w:t>est</w:t>
      </w:r>
      <w:r w:rsidRPr="003634AF">
        <w:rPr>
          <w:lang w:val="fr-CA"/>
        </w:rPr>
        <w:t xml:space="preserve">, le premier juge n’a pas commis d’erreur dans son analyse de la crédibilité. </w:t>
      </w:r>
      <w:r w:rsidRPr="00BB1101">
        <w:rPr>
          <w:lang w:val="fr-CA"/>
        </w:rPr>
        <w:t xml:space="preserve">Il n’a pas déplacé le fardeau de la preuve ni </w:t>
      </w:r>
      <w:r w:rsidRPr="0032612F">
        <w:rPr>
          <w:lang w:val="fr-CA"/>
        </w:rPr>
        <w:t>assujetti la preuve de l’appelant à un degré d’examen plus rigoureux que celui appliqué</w:t>
      </w:r>
      <w:r>
        <w:rPr>
          <w:lang w:val="fr-CA"/>
        </w:rPr>
        <w:t xml:space="preserve"> à la preuve de la plaignante. </w:t>
      </w:r>
      <w:r w:rsidRPr="009F6E29">
        <w:rPr>
          <w:lang w:val="fr-CA"/>
        </w:rPr>
        <w:t xml:space="preserve">Comme l’ont souligné les juges majoritaires de la Cour d’appel, </w:t>
      </w:r>
      <w:r>
        <w:rPr>
          <w:lang w:val="fr-CA"/>
        </w:rPr>
        <w:t xml:space="preserve">le juge du procès </w:t>
      </w:r>
      <w:r w:rsidRPr="0032612F">
        <w:rPr>
          <w:lang w:val="fr-CA"/>
        </w:rPr>
        <w:t>a exposé les</w:t>
      </w:r>
      <w:r>
        <w:rPr>
          <w:lang w:val="fr-CA"/>
        </w:rPr>
        <w:t xml:space="preserve"> principes énoncés dans l’arrêt </w:t>
      </w:r>
      <w:r w:rsidRPr="00D9010E">
        <w:rPr>
          <w:i/>
          <w:lang w:val="fr-CA"/>
        </w:rPr>
        <w:t>R. c.</w:t>
      </w:r>
      <w:r>
        <w:rPr>
          <w:lang w:val="fr-CA"/>
        </w:rPr>
        <w:t xml:space="preserve"> </w:t>
      </w:r>
      <w:r w:rsidRPr="00591F74">
        <w:rPr>
          <w:i/>
          <w:lang w:val="fr-CA"/>
        </w:rPr>
        <w:t>W</w:t>
      </w:r>
      <w:r>
        <w:rPr>
          <w:i/>
          <w:lang w:val="fr-CA"/>
        </w:rPr>
        <w:t>. (</w:t>
      </w:r>
      <w:r w:rsidRPr="00591F74">
        <w:rPr>
          <w:i/>
          <w:lang w:val="fr-CA"/>
        </w:rPr>
        <w:t>D</w:t>
      </w:r>
      <w:r>
        <w:rPr>
          <w:i/>
          <w:lang w:val="fr-CA"/>
        </w:rPr>
        <w:t>.)</w:t>
      </w:r>
      <w:r>
        <w:rPr>
          <w:lang w:val="fr-CA"/>
        </w:rPr>
        <w:t xml:space="preserve">, </w:t>
      </w:r>
      <w:r w:rsidRPr="00D9010E">
        <w:rPr>
          <w:lang w:val="fr-CA"/>
        </w:rPr>
        <w:t xml:space="preserve">[1991] 1 R.C.S. 742, </w:t>
      </w:r>
      <w:r>
        <w:rPr>
          <w:lang w:val="fr-CA"/>
        </w:rPr>
        <w:t>et</w:t>
      </w:r>
      <w:r w:rsidRPr="009F6E29">
        <w:rPr>
          <w:lang w:val="fr-CA"/>
        </w:rPr>
        <w:t xml:space="preserve">, </w:t>
      </w:r>
      <w:r>
        <w:rPr>
          <w:lang w:val="fr-CA"/>
        </w:rPr>
        <w:t xml:space="preserve">à la lumière des contradictions internes du témoignage de l’appelant et de la solidité </w:t>
      </w:r>
      <w:r>
        <w:rPr>
          <w:lang w:val="fr-CA"/>
        </w:rPr>
        <w:lastRenderedPageBreak/>
        <w:t>de celui de la plaignante</w:t>
      </w:r>
      <w:r w:rsidRPr="009F6E29">
        <w:rPr>
          <w:lang w:val="fr-CA"/>
        </w:rPr>
        <w:t xml:space="preserve">, il </w:t>
      </w:r>
      <w:r>
        <w:rPr>
          <w:lang w:val="fr-CA"/>
        </w:rPr>
        <w:t xml:space="preserve">était en droit de </w:t>
      </w:r>
      <w:r w:rsidRPr="009F6E29">
        <w:rPr>
          <w:lang w:val="fr-CA"/>
        </w:rPr>
        <w:t xml:space="preserve">conclure que la Couronne s’était acquittée du fardeau qui lui incombait de </w:t>
      </w:r>
      <w:r>
        <w:rPr>
          <w:lang w:val="fr-CA"/>
        </w:rPr>
        <w:t xml:space="preserve">prouver la culpabilité de l’appelant au-delà de tout doute raisonnable. </w:t>
      </w:r>
    </w:p>
    <w:p w:rsidR="00C2073E" w:rsidRPr="00B0070E" w:rsidRDefault="00B0070E" w:rsidP="00B0070E">
      <w:pPr>
        <w:pStyle w:val="SCCNormalDoubleSpacing"/>
        <w:numPr>
          <w:ilvl w:val="0"/>
          <w:numId w:val="1"/>
        </w:numPr>
        <w:spacing w:before="480" w:after="480"/>
        <w:ind w:left="0" w:firstLine="0"/>
        <w:rPr>
          <w:lang w:val="fr-CA"/>
        </w:rPr>
      </w:pPr>
      <w:r w:rsidRPr="005E267F">
        <w:rPr>
          <w:smallCaps/>
          <w:lang w:val="fr-CA"/>
        </w:rPr>
        <w:t>L</w:t>
      </w:r>
      <w:r w:rsidRPr="005E267F">
        <w:rPr>
          <w:lang w:val="fr-CA"/>
        </w:rPr>
        <w:t>e</w:t>
      </w:r>
      <w:r w:rsidRPr="00884247">
        <w:rPr>
          <w:lang w:val="fr-CA"/>
        </w:rPr>
        <w:t xml:space="preserve"> </w:t>
      </w:r>
      <w:r w:rsidRPr="005E267F">
        <w:rPr>
          <w:lang w:val="fr-CA"/>
        </w:rPr>
        <w:t>juge</w:t>
      </w:r>
      <w:r w:rsidRPr="00884247">
        <w:rPr>
          <w:lang w:val="fr-CA"/>
        </w:rPr>
        <w:t xml:space="preserve"> du procès n’a pas non plus rejeté </w:t>
      </w:r>
      <w:r>
        <w:rPr>
          <w:lang w:val="fr-CA"/>
        </w:rPr>
        <w:t xml:space="preserve">erronément </w:t>
      </w:r>
      <w:r w:rsidRPr="00884247">
        <w:rPr>
          <w:lang w:val="fr-CA"/>
        </w:rPr>
        <w:t>le témoignage de l</w:t>
      </w:r>
      <w:r>
        <w:rPr>
          <w:lang w:val="fr-CA"/>
        </w:rPr>
        <w:t>’</w:t>
      </w:r>
      <w:r w:rsidRPr="00884247">
        <w:rPr>
          <w:lang w:val="fr-CA"/>
        </w:rPr>
        <w:t xml:space="preserve">appelant sur la </w:t>
      </w:r>
      <w:r>
        <w:rPr>
          <w:lang w:val="fr-CA"/>
        </w:rPr>
        <w:t>base de généralisations et de stéréotypes</w:t>
      </w:r>
      <w:r w:rsidRPr="00884247">
        <w:rPr>
          <w:lang w:val="fr-CA"/>
        </w:rPr>
        <w:t xml:space="preserve">. </w:t>
      </w:r>
      <w:r>
        <w:rPr>
          <w:lang w:val="fr-CA"/>
        </w:rPr>
        <w:t xml:space="preserve">Tout comme les juges </w:t>
      </w:r>
      <w:r w:rsidRPr="004F0DD3">
        <w:rPr>
          <w:lang w:val="fr-CA"/>
        </w:rPr>
        <w:t>majoritaires de la Cour d’appel, nous sommes d’avis que les affirmations du premier juge à cet égard visaient l</w:t>
      </w:r>
      <w:r>
        <w:rPr>
          <w:lang w:val="fr-CA"/>
        </w:rPr>
        <w:t xml:space="preserve">a preuve </w:t>
      </w:r>
      <w:r w:rsidRPr="00C02FF1">
        <w:rPr>
          <w:i/>
          <w:lang w:val="fr-CA"/>
        </w:rPr>
        <w:t>propre à</w:t>
      </w:r>
      <w:r>
        <w:rPr>
          <w:lang w:val="fr-CA"/>
        </w:rPr>
        <w:t xml:space="preserve"> </w:t>
      </w:r>
      <w:r w:rsidRPr="004F0DD3">
        <w:rPr>
          <w:lang w:val="fr-CA"/>
        </w:rPr>
        <w:t xml:space="preserve">l’appelant </w:t>
      </w:r>
      <w:r>
        <w:rPr>
          <w:i/>
          <w:lang w:val="fr-CA"/>
        </w:rPr>
        <w:t>lui-même</w:t>
      </w:r>
      <w:r>
        <w:rPr>
          <w:lang w:val="fr-CA"/>
        </w:rPr>
        <w:t xml:space="preserve"> ainsi que </w:t>
      </w:r>
      <w:r w:rsidRPr="004F0DD3">
        <w:rPr>
          <w:lang w:val="fr-CA"/>
        </w:rPr>
        <w:t xml:space="preserve">la crédibilité des prétentions de </w:t>
      </w:r>
      <w:r>
        <w:rPr>
          <w:i/>
          <w:lang w:val="fr-CA"/>
        </w:rPr>
        <w:t>celui-ci</w:t>
      </w:r>
      <w:r w:rsidRPr="004F0DD3">
        <w:rPr>
          <w:lang w:val="fr-CA"/>
        </w:rPr>
        <w:t xml:space="preserve"> quant à la façon dont </w:t>
      </w:r>
      <w:r w:rsidRPr="004F0DD3">
        <w:rPr>
          <w:i/>
          <w:lang w:val="fr-CA"/>
        </w:rPr>
        <w:t>il</w:t>
      </w:r>
      <w:r w:rsidRPr="004F0DD3">
        <w:rPr>
          <w:lang w:val="fr-CA"/>
        </w:rPr>
        <w:t xml:space="preserve"> avait réagi dans les circonstances </w:t>
      </w:r>
      <w:r>
        <w:rPr>
          <w:lang w:val="fr-CA"/>
        </w:rPr>
        <w:t xml:space="preserve">particulières </w:t>
      </w:r>
      <w:r w:rsidRPr="004F0DD3">
        <w:rPr>
          <w:lang w:val="fr-CA"/>
        </w:rPr>
        <w:t>de l’e</w:t>
      </w:r>
      <w:r>
        <w:rPr>
          <w:lang w:val="fr-CA"/>
        </w:rPr>
        <w:t>spèce</w:t>
      </w:r>
      <w:r w:rsidRPr="004F0DD3">
        <w:rPr>
          <w:lang w:val="fr-CA"/>
        </w:rPr>
        <w:t xml:space="preserve">, </w:t>
      </w:r>
      <w:r>
        <w:rPr>
          <w:lang w:val="fr-CA"/>
        </w:rPr>
        <w:t xml:space="preserve">et non quelque conception stéréotypée de la façon dont les </w:t>
      </w:r>
      <w:r>
        <w:rPr>
          <w:i/>
          <w:lang w:val="fr-CA"/>
        </w:rPr>
        <w:t>hommes</w:t>
      </w:r>
      <w:r w:rsidRPr="004F0DD3">
        <w:rPr>
          <w:lang w:val="fr-CA"/>
        </w:rPr>
        <w:t xml:space="preserve"> </w:t>
      </w:r>
      <w:r>
        <w:rPr>
          <w:lang w:val="fr-CA"/>
        </w:rPr>
        <w:t>se conduiraient dans de telles circonstances</w:t>
      </w:r>
      <w:r w:rsidRPr="004F0DD3">
        <w:rPr>
          <w:lang w:val="fr-CA"/>
        </w:rPr>
        <w:t>.</w:t>
      </w:r>
    </w:p>
    <w:p w:rsidR="004D7D95" w:rsidRPr="007C1C23" w:rsidRDefault="004D7D95" w:rsidP="004D7D95">
      <w:pPr>
        <w:pStyle w:val="SCCNormalDoubleSpacing"/>
        <w:rPr>
          <w:i/>
          <w:lang w:val="fr-CA"/>
        </w:rPr>
      </w:pPr>
      <w:r w:rsidRPr="007C1C23">
        <w:rPr>
          <w:lang w:val="fr-CA"/>
        </w:rPr>
        <w:tab/>
      </w:r>
      <w:r w:rsidR="00C2073E">
        <w:rPr>
          <w:i/>
          <w:lang w:val="fr-CA"/>
        </w:rPr>
        <w:t>Jugement en conséquence</w:t>
      </w:r>
      <w:r w:rsidR="007C1C23" w:rsidRPr="007C1C23">
        <w:rPr>
          <w:i/>
          <w:lang w:val="fr-CA"/>
        </w:rPr>
        <w:t>.</w:t>
      </w:r>
    </w:p>
    <w:p w:rsidR="004D7D95" w:rsidRPr="007C1C23" w:rsidRDefault="004D7D95" w:rsidP="004D7D95">
      <w:pPr>
        <w:pStyle w:val="SCCNormalDoubleSpacing"/>
        <w:rPr>
          <w:lang w:val="fr-CA"/>
        </w:rPr>
      </w:pPr>
    </w:p>
    <w:p w:rsidR="00CB7F31" w:rsidRPr="007C1C23" w:rsidRDefault="007C1C23">
      <w:pPr>
        <w:pStyle w:val="SCCLawFirm"/>
        <w:rPr>
          <w:lang w:val="fr-CA"/>
        </w:rPr>
      </w:pPr>
      <w:r>
        <w:rPr>
          <w:lang w:val="fr-CA"/>
        </w:rPr>
        <w:tab/>
        <w:t>Procureurs de l’appelant</w:t>
      </w:r>
      <w:r w:rsidRPr="007C1C23">
        <w:rPr>
          <w:lang w:val="fr-CA"/>
        </w:rPr>
        <w:t> : Dawson Duckett Garcia &amp; Johnson, Edmonton.</w:t>
      </w:r>
    </w:p>
    <w:p w:rsidR="00CB7F31" w:rsidRPr="007C1C23" w:rsidRDefault="00CB7F31">
      <w:pPr>
        <w:pStyle w:val="SCCLawFirm"/>
        <w:rPr>
          <w:lang w:val="fr-CA"/>
        </w:rPr>
      </w:pPr>
    </w:p>
    <w:p w:rsidR="00CB7F31" w:rsidRPr="00415776" w:rsidRDefault="007C1C23">
      <w:pPr>
        <w:pStyle w:val="SCCLawFirm"/>
        <w:rPr>
          <w:lang w:val="fr-CA"/>
        </w:rPr>
      </w:pPr>
      <w:r w:rsidRPr="007C1C23">
        <w:rPr>
          <w:lang w:val="fr-CA"/>
        </w:rPr>
        <w:tab/>
      </w:r>
      <w:r w:rsidRPr="00D553BF">
        <w:rPr>
          <w:lang w:val="fr-CA"/>
        </w:rPr>
        <w:t>Procureur de l’intimé</w:t>
      </w:r>
      <w:r w:rsidR="00415776" w:rsidRPr="00D553BF">
        <w:rPr>
          <w:lang w:val="fr-CA"/>
        </w:rPr>
        <w:t>e</w:t>
      </w:r>
      <w:r w:rsidRPr="00D553BF">
        <w:rPr>
          <w:lang w:val="fr-CA"/>
        </w:rPr>
        <w:t xml:space="preserve"> : </w:t>
      </w:r>
      <w:r w:rsidR="00415776" w:rsidRPr="00D553BF">
        <w:rPr>
          <w:lang w:val="fr-CA"/>
        </w:rPr>
        <w:t>Ministère de la Justice de l’Alberta</w:t>
      </w:r>
      <w:r w:rsidRPr="00D553BF">
        <w:rPr>
          <w:lang w:val="fr-CA"/>
        </w:rPr>
        <w:t>,</w:t>
      </w:r>
      <w:r w:rsidRPr="00415776">
        <w:rPr>
          <w:lang w:val="fr-CA"/>
        </w:rPr>
        <w:t xml:space="preserve"> Edmonton.</w:t>
      </w:r>
    </w:p>
    <w:p w:rsidR="00B0070E" w:rsidRPr="005E267F" w:rsidRDefault="00B0070E" w:rsidP="004D7D95">
      <w:pPr>
        <w:rPr>
          <w:lang w:val="fr-CA"/>
        </w:rPr>
      </w:pPr>
    </w:p>
    <w:sectPr w:rsidR="00B0070E" w:rsidRPr="005E267F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F84" w:rsidRDefault="002A6F84">
      <w:r>
        <w:separator/>
      </w:r>
    </w:p>
  </w:endnote>
  <w:endnote w:type="continuationSeparator" w:id="0">
    <w:p w:rsidR="002A6F84" w:rsidRDefault="002A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F84" w:rsidRDefault="002A6F84">
      <w:r>
        <w:separator/>
      </w:r>
    </w:p>
  </w:footnote>
  <w:footnote w:type="continuationSeparator" w:id="0">
    <w:p w:rsidR="002A6F84" w:rsidRDefault="002A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5F0A"/>
    <w:multiLevelType w:val="hybridMultilevel"/>
    <w:tmpl w:val="87DC71A6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36063"/>
    <w:rsid w:val="000578A3"/>
    <w:rsid w:val="000648CC"/>
    <w:rsid w:val="000C59B8"/>
    <w:rsid w:val="000C6AF0"/>
    <w:rsid w:val="000D0A77"/>
    <w:rsid w:val="000F2898"/>
    <w:rsid w:val="000F7993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178B"/>
    <w:rsid w:val="00165277"/>
    <w:rsid w:val="00170592"/>
    <w:rsid w:val="001720F7"/>
    <w:rsid w:val="00195D83"/>
    <w:rsid w:val="001A00C1"/>
    <w:rsid w:val="001B33E0"/>
    <w:rsid w:val="001B4573"/>
    <w:rsid w:val="001C3490"/>
    <w:rsid w:val="001C779F"/>
    <w:rsid w:val="001D000B"/>
    <w:rsid w:val="001D2AC1"/>
    <w:rsid w:val="001D4E88"/>
    <w:rsid w:val="00220FC2"/>
    <w:rsid w:val="002222F4"/>
    <w:rsid w:val="00224FC0"/>
    <w:rsid w:val="00225EA4"/>
    <w:rsid w:val="00226EAF"/>
    <w:rsid w:val="00231F3A"/>
    <w:rsid w:val="002406EE"/>
    <w:rsid w:val="00243EC8"/>
    <w:rsid w:val="00270D93"/>
    <w:rsid w:val="002745CC"/>
    <w:rsid w:val="002A6F84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3557A"/>
    <w:rsid w:val="00340A49"/>
    <w:rsid w:val="0035169A"/>
    <w:rsid w:val="0035259D"/>
    <w:rsid w:val="00364B18"/>
    <w:rsid w:val="003A125D"/>
    <w:rsid w:val="003A4C70"/>
    <w:rsid w:val="003B215F"/>
    <w:rsid w:val="003C105F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417"/>
    <w:rsid w:val="00415776"/>
    <w:rsid w:val="00426659"/>
    <w:rsid w:val="00450352"/>
    <w:rsid w:val="00454BDB"/>
    <w:rsid w:val="00465132"/>
    <w:rsid w:val="00480C90"/>
    <w:rsid w:val="0048396F"/>
    <w:rsid w:val="00493C18"/>
    <w:rsid w:val="004A600C"/>
    <w:rsid w:val="004A6118"/>
    <w:rsid w:val="004C478D"/>
    <w:rsid w:val="004D7D95"/>
    <w:rsid w:val="004E2C26"/>
    <w:rsid w:val="005125A8"/>
    <w:rsid w:val="00517549"/>
    <w:rsid w:val="00520ABC"/>
    <w:rsid w:val="00521AE8"/>
    <w:rsid w:val="00527180"/>
    <w:rsid w:val="00555291"/>
    <w:rsid w:val="00566AD1"/>
    <w:rsid w:val="00583EDE"/>
    <w:rsid w:val="005914E3"/>
    <w:rsid w:val="005A6079"/>
    <w:rsid w:val="005E267F"/>
    <w:rsid w:val="005E4698"/>
    <w:rsid w:val="00603924"/>
    <w:rsid w:val="00610539"/>
    <w:rsid w:val="00613969"/>
    <w:rsid w:val="00625C35"/>
    <w:rsid w:val="00647E49"/>
    <w:rsid w:val="00656313"/>
    <w:rsid w:val="006565F4"/>
    <w:rsid w:val="00684EEA"/>
    <w:rsid w:val="0069689B"/>
    <w:rsid w:val="006B5FF5"/>
    <w:rsid w:val="006F30AF"/>
    <w:rsid w:val="00701759"/>
    <w:rsid w:val="00705C15"/>
    <w:rsid w:val="007110F6"/>
    <w:rsid w:val="007208D1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C1C23"/>
    <w:rsid w:val="007E1C47"/>
    <w:rsid w:val="007E337A"/>
    <w:rsid w:val="007E5C70"/>
    <w:rsid w:val="007E721C"/>
    <w:rsid w:val="007F2FF5"/>
    <w:rsid w:val="007F3F08"/>
    <w:rsid w:val="00804CC6"/>
    <w:rsid w:val="00817190"/>
    <w:rsid w:val="008260E2"/>
    <w:rsid w:val="008322BD"/>
    <w:rsid w:val="00834F73"/>
    <w:rsid w:val="00864C8A"/>
    <w:rsid w:val="00864CF8"/>
    <w:rsid w:val="00874914"/>
    <w:rsid w:val="00891422"/>
    <w:rsid w:val="00892E1A"/>
    <w:rsid w:val="008B660A"/>
    <w:rsid w:val="008C01DA"/>
    <w:rsid w:val="008F2674"/>
    <w:rsid w:val="008F72A0"/>
    <w:rsid w:val="008F78E9"/>
    <w:rsid w:val="009179F9"/>
    <w:rsid w:val="00917C7A"/>
    <w:rsid w:val="00933E5E"/>
    <w:rsid w:val="00935218"/>
    <w:rsid w:val="00937C52"/>
    <w:rsid w:val="009403F3"/>
    <w:rsid w:val="009555B7"/>
    <w:rsid w:val="009567AA"/>
    <w:rsid w:val="009602C9"/>
    <w:rsid w:val="00967374"/>
    <w:rsid w:val="00967998"/>
    <w:rsid w:val="00967D5D"/>
    <w:rsid w:val="009A343A"/>
    <w:rsid w:val="009B2F23"/>
    <w:rsid w:val="009B57B3"/>
    <w:rsid w:val="009D2920"/>
    <w:rsid w:val="009D5AEB"/>
    <w:rsid w:val="009F0E33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921A7"/>
    <w:rsid w:val="00A95EF1"/>
    <w:rsid w:val="00AB670D"/>
    <w:rsid w:val="00AF03C5"/>
    <w:rsid w:val="00B000D8"/>
    <w:rsid w:val="00B0070E"/>
    <w:rsid w:val="00B00F75"/>
    <w:rsid w:val="00B145B6"/>
    <w:rsid w:val="00B279EB"/>
    <w:rsid w:val="00B50C81"/>
    <w:rsid w:val="00B54160"/>
    <w:rsid w:val="00B557F8"/>
    <w:rsid w:val="00B815FC"/>
    <w:rsid w:val="00B93FBC"/>
    <w:rsid w:val="00BA7DA0"/>
    <w:rsid w:val="00BB2EE4"/>
    <w:rsid w:val="00BB4C92"/>
    <w:rsid w:val="00BC2108"/>
    <w:rsid w:val="00BD0E9E"/>
    <w:rsid w:val="00BD1BEC"/>
    <w:rsid w:val="00BD32FF"/>
    <w:rsid w:val="00BF6FE9"/>
    <w:rsid w:val="00C02092"/>
    <w:rsid w:val="00C1622B"/>
    <w:rsid w:val="00C2073E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28E7"/>
    <w:rsid w:val="00C8575E"/>
    <w:rsid w:val="00C86719"/>
    <w:rsid w:val="00C921DD"/>
    <w:rsid w:val="00CA6391"/>
    <w:rsid w:val="00CB7F31"/>
    <w:rsid w:val="00CE036E"/>
    <w:rsid w:val="00CE3171"/>
    <w:rsid w:val="00CE5168"/>
    <w:rsid w:val="00CF1601"/>
    <w:rsid w:val="00D0172F"/>
    <w:rsid w:val="00D01E33"/>
    <w:rsid w:val="00D068A7"/>
    <w:rsid w:val="00D17476"/>
    <w:rsid w:val="00D17B0E"/>
    <w:rsid w:val="00D32086"/>
    <w:rsid w:val="00D37A3F"/>
    <w:rsid w:val="00D4431D"/>
    <w:rsid w:val="00D4667A"/>
    <w:rsid w:val="00D553BF"/>
    <w:rsid w:val="00D63A1C"/>
    <w:rsid w:val="00D7516F"/>
    <w:rsid w:val="00D95F8E"/>
    <w:rsid w:val="00DA0590"/>
    <w:rsid w:val="00DC1739"/>
    <w:rsid w:val="00DC1788"/>
    <w:rsid w:val="00DE319C"/>
    <w:rsid w:val="00DF0CA8"/>
    <w:rsid w:val="00DF2B48"/>
    <w:rsid w:val="00DF49A7"/>
    <w:rsid w:val="00E07EE2"/>
    <w:rsid w:val="00E07FD1"/>
    <w:rsid w:val="00E12625"/>
    <w:rsid w:val="00E24573"/>
    <w:rsid w:val="00E25E1E"/>
    <w:rsid w:val="00E27EE7"/>
    <w:rsid w:val="00E35404"/>
    <w:rsid w:val="00E402EE"/>
    <w:rsid w:val="00E45109"/>
    <w:rsid w:val="00E47B7A"/>
    <w:rsid w:val="00E56A44"/>
    <w:rsid w:val="00E60269"/>
    <w:rsid w:val="00E97830"/>
    <w:rsid w:val="00EE0830"/>
    <w:rsid w:val="00EE6CB8"/>
    <w:rsid w:val="00EF0683"/>
    <w:rsid w:val="00F0070C"/>
    <w:rsid w:val="00F00EB7"/>
    <w:rsid w:val="00F36AB6"/>
    <w:rsid w:val="00F37A09"/>
    <w:rsid w:val="00F409CE"/>
    <w:rsid w:val="00F4379D"/>
    <w:rsid w:val="00F50D2D"/>
    <w:rsid w:val="00F56C8B"/>
    <w:rsid w:val="00F62639"/>
    <w:rsid w:val="00F66810"/>
    <w:rsid w:val="00F84DF4"/>
    <w:rsid w:val="00F85C97"/>
    <w:rsid w:val="00FB37D2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table" w:styleId="TableGrid">
    <w:name w:val="Table Grid"/>
    <w:basedOn w:val="TableNormal"/>
    <w:uiPriority w:val="59"/>
    <w:rsid w:val="00036063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036063"/>
    <w:rPr>
      <w:rFonts w:ascii="Times New Roman" w:hAnsi="Times New Roman"/>
      <w:sz w:val="24"/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036063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036063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3045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2019-11-26T22:10:00Z</dcterms:created>
  <dcterms:modified xsi:type="dcterms:W3CDTF">2019-11-26T22:10:00Z</dcterms:modified>
</cp:coreProperties>
</file>