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F7B" w:rsidRDefault="00AA3F7B" w:rsidP="00AA3F7B">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4pt" o:ole="">
            <v:imagedata r:id="rId7" o:title=""/>
          </v:shape>
          <o:OLEObject Type="Embed" ProgID="Presentations.Drawing.13" ShapeID="_x0000_i1025" DrawAspect="Content" ObjectID="_1643088097" r:id="rId8"/>
        </w:object>
      </w:r>
      <w:r>
        <w:t xml:space="preserve"> </w:t>
      </w:r>
      <w:r>
        <w:ptab w:relativeTo="margin" w:alignment="right" w:leader="none"/>
      </w:r>
    </w:p>
    <w:p w:rsidR="00AA3F7B" w:rsidRDefault="00AA3F7B" w:rsidP="00AA3F7B">
      <w:pPr>
        <w:pStyle w:val="Header"/>
      </w:pPr>
    </w:p>
    <w:p w:rsidR="00AA3F7B" w:rsidRPr="001E12E2" w:rsidRDefault="00AA3F7B" w:rsidP="00AA3F7B">
      <w:pPr>
        <w:jc w:val="center"/>
        <w:rPr>
          <w:b/>
        </w:rPr>
      </w:pPr>
      <w:r w:rsidRPr="001E12E2">
        <w:rPr>
          <w:b/>
        </w:rPr>
        <w:t>COUR SUPRÊME DU CANADA</w:t>
      </w:r>
    </w:p>
    <w:p w:rsidR="00AA3F7B" w:rsidRDefault="00AA3F7B" w:rsidP="00AA3F7B"/>
    <w:tbl>
      <w:tblPr>
        <w:tblStyle w:val="TableGrid"/>
        <w:tblW w:w="12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760"/>
        <w:gridCol w:w="3690"/>
        <w:gridCol w:w="2808"/>
      </w:tblGrid>
      <w:tr w:rsidR="00AA3F7B" w:rsidRPr="001E12E2" w:rsidTr="000C4458">
        <w:trPr>
          <w:cantSplit/>
          <w:trHeight w:val="1508"/>
        </w:trPr>
        <w:tc>
          <w:tcPr>
            <w:tcW w:w="5760" w:type="dxa"/>
          </w:tcPr>
          <w:p w:rsidR="00AA3F7B" w:rsidRPr="00AA3F7B" w:rsidRDefault="00AA3F7B" w:rsidP="000C4458">
            <w:pPr>
              <w:rPr>
                <w:lang w:val="fr-CA"/>
              </w:rPr>
            </w:pPr>
            <w:r w:rsidRPr="00AA3F7B">
              <w:rPr>
                <w:b/>
                <w:smallCaps/>
                <w:lang w:val="fr-CA"/>
              </w:rPr>
              <w:t>Référence :</w:t>
            </w:r>
            <w:r w:rsidRPr="00AA3F7B">
              <w:rPr>
                <w:lang w:val="fr-CA"/>
              </w:rPr>
              <w:t xml:space="preserve"> Frank </w:t>
            </w:r>
            <w:r w:rsidRPr="00AA3F7B">
              <w:rPr>
                <w:i/>
                <w:lang w:val="fr-CA"/>
              </w:rPr>
              <w:t xml:space="preserve">c. </w:t>
            </w:r>
            <w:r w:rsidRPr="00AA3F7B">
              <w:rPr>
                <w:lang w:val="fr-CA"/>
              </w:rPr>
              <w:t xml:space="preserve">Canada (Procureur général), </w:t>
            </w:r>
          </w:p>
          <w:p w:rsidR="00AA3F7B" w:rsidRPr="001E12E2" w:rsidRDefault="00AA3F7B" w:rsidP="000C4458">
            <w:r>
              <w:t>2019 CSC 1</w:t>
            </w:r>
            <w:r>
              <w:t xml:space="preserve">, </w:t>
            </w:r>
            <w:r>
              <w:rPr>
                <w:lang w:val="fr-CA"/>
              </w:rPr>
              <w:t>[2019] 1 R.C.S. 3</w:t>
            </w:r>
          </w:p>
        </w:tc>
        <w:tc>
          <w:tcPr>
            <w:tcW w:w="3690" w:type="dxa"/>
          </w:tcPr>
          <w:p w:rsidR="00AA3F7B" w:rsidRPr="00AA3F7B" w:rsidRDefault="00AA3F7B" w:rsidP="000C4458">
            <w:pPr>
              <w:ind w:left="32"/>
              <w:rPr>
                <w:lang w:val="fr-CA"/>
              </w:rPr>
            </w:pPr>
            <w:r w:rsidRPr="00AA3F7B">
              <w:rPr>
                <w:b/>
                <w:smallCaps/>
                <w:lang w:val="fr-CA"/>
              </w:rPr>
              <w:t>Appel entendu :</w:t>
            </w:r>
            <w:r w:rsidRPr="00AA3F7B">
              <w:rPr>
                <w:lang w:val="fr-CA"/>
              </w:rPr>
              <w:t xml:space="preserve"> 21 mars 2018</w:t>
            </w:r>
          </w:p>
          <w:p w:rsidR="00AA3F7B" w:rsidRPr="00AA3F7B" w:rsidRDefault="00AA3F7B" w:rsidP="000C4458">
            <w:pPr>
              <w:ind w:left="32"/>
              <w:rPr>
                <w:lang w:val="fr-CA"/>
              </w:rPr>
            </w:pPr>
            <w:r w:rsidRPr="00AA3F7B">
              <w:rPr>
                <w:b/>
                <w:smallCaps/>
                <w:lang w:val="fr-CA"/>
              </w:rPr>
              <w:t>Jugement rendu </w:t>
            </w:r>
            <w:r w:rsidRPr="00AA3F7B">
              <w:rPr>
                <w:b/>
                <w:lang w:val="fr-CA"/>
              </w:rPr>
              <w:t>:</w:t>
            </w:r>
            <w:r w:rsidRPr="00AA3F7B">
              <w:rPr>
                <w:lang w:val="fr-CA"/>
              </w:rPr>
              <w:t xml:space="preserve"> 11 janvier 2019</w:t>
            </w:r>
          </w:p>
          <w:p w:rsidR="00AA3F7B" w:rsidRPr="006B210C" w:rsidRDefault="00AA3F7B" w:rsidP="000C4458">
            <w:pPr>
              <w:ind w:left="32"/>
            </w:pPr>
            <w:r w:rsidRPr="006B210C">
              <w:rPr>
                <w:b/>
                <w:smallCaps/>
              </w:rPr>
              <w:t>Do</w:t>
            </w:r>
            <w:r>
              <w:rPr>
                <w:b/>
                <w:smallCaps/>
              </w:rPr>
              <w:t>ssier :</w:t>
            </w:r>
            <w:r w:rsidRPr="006B210C">
              <w:t xml:space="preserve"> </w:t>
            </w:r>
            <w:r>
              <w:t>36645</w:t>
            </w:r>
          </w:p>
        </w:tc>
        <w:tc>
          <w:tcPr>
            <w:tcW w:w="2808" w:type="dxa"/>
          </w:tcPr>
          <w:p w:rsidR="00AA3F7B" w:rsidRPr="001E12E2" w:rsidRDefault="00AA3F7B" w:rsidP="000C4458"/>
        </w:tc>
      </w:tr>
    </w:tbl>
    <w:p w:rsidR="00AA3F7B" w:rsidRPr="001E12E2" w:rsidRDefault="00AA3F7B" w:rsidP="00AA3F7B"/>
    <w:p w:rsidR="00AA3F7B" w:rsidRDefault="00AA3F7B" w:rsidP="00AA3F7B">
      <w:pPr>
        <w:pStyle w:val="SCCLsocPrefix"/>
      </w:pPr>
      <w:r>
        <w:t>Entre :</w:t>
      </w:r>
    </w:p>
    <w:p w:rsidR="00AA3F7B" w:rsidRDefault="00AA3F7B" w:rsidP="00AA3F7B">
      <w:pPr>
        <w:pStyle w:val="SCCLsocParty"/>
        <w:jc w:val="center"/>
      </w:pPr>
      <w:r>
        <w:t xml:space="preserve">Gillian Frank </w:t>
      </w:r>
      <w:proofErr w:type="gramStart"/>
      <w:r>
        <w:t>et</w:t>
      </w:r>
      <w:proofErr w:type="gramEnd"/>
      <w:r>
        <w:t xml:space="preserve"> Jamie Duong</w:t>
      </w:r>
    </w:p>
    <w:p w:rsidR="00AA3F7B" w:rsidRDefault="00AA3F7B" w:rsidP="00AA3F7B">
      <w:pPr>
        <w:jc w:val="center"/>
      </w:pPr>
      <w:proofErr w:type="spellStart"/>
      <w:r>
        <w:t>Appelants</w:t>
      </w:r>
      <w:proofErr w:type="spellEnd"/>
    </w:p>
    <w:p w:rsidR="00AA3F7B" w:rsidRDefault="00AA3F7B" w:rsidP="00AA3F7B">
      <w:pPr>
        <w:pStyle w:val="SCCLsocVersus"/>
        <w:spacing w:after="0"/>
        <w:jc w:val="center"/>
      </w:pPr>
    </w:p>
    <w:p w:rsidR="00AA3F7B" w:rsidRPr="00AA3F7B" w:rsidRDefault="00AA3F7B" w:rsidP="00AA3F7B">
      <w:pPr>
        <w:pStyle w:val="SCCLsocVersus"/>
        <w:spacing w:after="0"/>
        <w:jc w:val="center"/>
        <w:rPr>
          <w:i w:val="0"/>
        </w:rPr>
      </w:pPr>
      <w:proofErr w:type="gramStart"/>
      <w:r w:rsidRPr="00AA3F7B">
        <w:rPr>
          <w:i w:val="0"/>
        </w:rPr>
        <w:t>et</w:t>
      </w:r>
      <w:proofErr w:type="gramEnd"/>
    </w:p>
    <w:p w:rsidR="00AA3F7B" w:rsidRPr="00AA3F7B" w:rsidRDefault="00AA3F7B" w:rsidP="00AA3F7B">
      <w:pPr>
        <w:jc w:val="center"/>
      </w:pPr>
    </w:p>
    <w:p w:rsidR="00AA3F7B" w:rsidRDefault="00AA3F7B" w:rsidP="00AA3F7B">
      <w:pPr>
        <w:pStyle w:val="SCCLsocParty"/>
        <w:jc w:val="center"/>
      </w:pPr>
      <w:proofErr w:type="spellStart"/>
      <w:r>
        <w:t>Procureur</w:t>
      </w:r>
      <w:proofErr w:type="spellEnd"/>
      <w:r>
        <w:t xml:space="preserve"> </w:t>
      </w:r>
      <w:proofErr w:type="spellStart"/>
      <w:r>
        <w:t>général</w:t>
      </w:r>
      <w:proofErr w:type="spellEnd"/>
      <w:r>
        <w:t xml:space="preserve"> du Canada</w:t>
      </w:r>
    </w:p>
    <w:p w:rsidR="00AA3F7B" w:rsidRPr="009B02BD" w:rsidRDefault="00AA3F7B" w:rsidP="00AA3F7B">
      <w:pPr>
        <w:jc w:val="center"/>
      </w:pPr>
      <w:proofErr w:type="spellStart"/>
      <w:r w:rsidRPr="009B02BD">
        <w:t>Intimé</w:t>
      </w:r>
      <w:proofErr w:type="spellEnd"/>
    </w:p>
    <w:p w:rsidR="00AA3F7B" w:rsidRPr="009B02BD" w:rsidRDefault="00AA3F7B" w:rsidP="00AA3F7B">
      <w:pPr>
        <w:jc w:val="center"/>
      </w:pPr>
    </w:p>
    <w:p w:rsidR="00AA3F7B" w:rsidRPr="009B02BD" w:rsidRDefault="00AA3F7B" w:rsidP="00AA3F7B">
      <w:pPr>
        <w:pStyle w:val="SCCLsocOtherPartySeparator"/>
        <w:spacing w:after="0"/>
        <w:jc w:val="center"/>
      </w:pPr>
      <w:r w:rsidRPr="009B02BD">
        <w:t xml:space="preserve">- </w:t>
      </w:r>
      <w:proofErr w:type="gramStart"/>
      <w:r w:rsidRPr="009B02BD">
        <w:t>et</w:t>
      </w:r>
      <w:proofErr w:type="gramEnd"/>
      <w:r w:rsidRPr="009B02BD">
        <w:t xml:space="preserve"> -</w:t>
      </w:r>
    </w:p>
    <w:p w:rsidR="00AA3F7B" w:rsidRPr="009B02BD" w:rsidRDefault="00AA3F7B" w:rsidP="00AA3F7B">
      <w:pPr>
        <w:jc w:val="center"/>
      </w:pPr>
    </w:p>
    <w:p w:rsidR="00AA3F7B" w:rsidRPr="00AA3F7B" w:rsidRDefault="00AA3F7B" w:rsidP="00AA3F7B">
      <w:pPr>
        <w:pStyle w:val="SCCLsocParty"/>
        <w:ind w:left="720" w:right="630"/>
        <w:jc w:val="center"/>
        <w:rPr>
          <w:lang w:val="fr-CA"/>
        </w:rPr>
      </w:pPr>
      <w:r w:rsidRPr="00AA3F7B">
        <w:rPr>
          <w:lang w:val="fr-CA"/>
        </w:rPr>
        <w:t xml:space="preserve">Procureure générale du Québec, Canadian American Bar Association, Canadian </w:t>
      </w:r>
      <w:proofErr w:type="spellStart"/>
      <w:r w:rsidRPr="00AA3F7B">
        <w:rPr>
          <w:lang w:val="fr-CA"/>
        </w:rPr>
        <w:t>Expat</w:t>
      </w:r>
      <w:proofErr w:type="spellEnd"/>
      <w:r w:rsidRPr="00AA3F7B">
        <w:rPr>
          <w:lang w:val="fr-CA"/>
        </w:rPr>
        <w:t xml:space="preserve"> Association, David </w:t>
      </w:r>
      <w:proofErr w:type="spellStart"/>
      <w:r w:rsidRPr="00AA3F7B">
        <w:rPr>
          <w:lang w:val="fr-CA"/>
        </w:rPr>
        <w:t>Asper</w:t>
      </w:r>
      <w:proofErr w:type="spellEnd"/>
      <w:r w:rsidRPr="00AA3F7B">
        <w:rPr>
          <w:lang w:val="fr-CA"/>
        </w:rPr>
        <w:t xml:space="preserve"> Centre for </w:t>
      </w:r>
      <w:proofErr w:type="spellStart"/>
      <w:r w:rsidRPr="00AA3F7B">
        <w:rPr>
          <w:lang w:val="fr-CA"/>
        </w:rPr>
        <w:t>Constitutional</w:t>
      </w:r>
      <w:proofErr w:type="spellEnd"/>
      <w:r w:rsidRPr="00AA3F7B">
        <w:rPr>
          <w:lang w:val="fr-CA"/>
        </w:rPr>
        <w:t xml:space="preserve"> </w:t>
      </w:r>
      <w:proofErr w:type="spellStart"/>
      <w:r w:rsidRPr="00AA3F7B">
        <w:rPr>
          <w:lang w:val="fr-CA"/>
        </w:rPr>
        <w:t>Rights</w:t>
      </w:r>
      <w:proofErr w:type="spellEnd"/>
      <w:r w:rsidRPr="00AA3F7B">
        <w:rPr>
          <w:lang w:val="fr-CA"/>
        </w:rPr>
        <w:t xml:space="preserve">, Association canadienne des libertés civiles, </w:t>
      </w:r>
      <w:proofErr w:type="spellStart"/>
      <w:r w:rsidRPr="00AA3F7B">
        <w:rPr>
          <w:lang w:val="fr-CA"/>
        </w:rPr>
        <w:t>Chinese</w:t>
      </w:r>
      <w:proofErr w:type="spellEnd"/>
      <w:r w:rsidRPr="00AA3F7B">
        <w:rPr>
          <w:lang w:val="fr-CA"/>
        </w:rPr>
        <w:t xml:space="preserve"> and </w:t>
      </w:r>
      <w:proofErr w:type="spellStart"/>
      <w:r w:rsidRPr="00AA3F7B">
        <w:rPr>
          <w:lang w:val="fr-CA"/>
        </w:rPr>
        <w:t>Southeast</w:t>
      </w:r>
      <w:proofErr w:type="spellEnd"/>
      <w:r w:rsidRPr="00AA3F7B">
        <w:rPr>
          <w:lang w:val="fr-CA"/>
        </w:rPr>
        <w:t xml:space="preserve"> Asian </w:t>
      </w:r>
      <w:proofErr w:type="spellStart"/>
      <w:r w:rsidRPr="00AA3F7B">
        <w:rPr>
          <w:lang w:val="fr-CA"/>
        </w:rPr>
        <w:t>Legal</w:t>
      </w:r>
      <w:proofErr w:type="spellEnd"/>
      <w:r w:rsidRPr="00AA3F7B">
        <w:rPr>
          <w:lang w:val="fr-CA"/>
        </w:rPr>
        <w:t xml:space="preserve"> </w:t>
      </w:r>
      <w:proofErr w:type="spellStart"/>
      <w:r w:rsidRPr="00AA3F7B">
        <w:rPr>
          <w:lang w:val="fr-CA"/>
        </w:rPr>
        <w:t>Clinic</w:t>
      </w:r>
      <w:proofErr w:type="spellEnd"/>
      <w:r w:rsidRPr="00AA3F7B">
        <w:rPr>
          <w:lang w:val="fr-CA"/>
        </w:rPr>
        <w:t xml:space="preserve"> et Association des libertés civiles de la Colombie-Britannique</w:t>
      </w:r>
    </w:p>
    <w:p w:rsidR="00AA3F7B" w:rsidRPr="00AA3F7B" w:rsidRDefault="00AA3F7B" w:rsidP="00AA3F7B">
      <w:pPr>
        <w:jc w:val="center"/>
        <w:rPr>
          <w:lang w:val="fr-CA"/>
        </w:rPr>
      </w:pPr>
      <w:r w:rsidRPr="00AA3F7B">
        <w:rPr>
          <w:lang w:val="fr-CA"/>
        </w:rPr>
        <w:t>Intervenants</w:t>
      </w:r>
    </w:p>
    <w:p w:rsidR="00AA3F7B" w:rsidRPr="00AA3F7B" w:rsidRDefault="00AA3F7B" w:rsidP="00AA3F7B">
      <w:pPr>
        <w:jc w:val="center"/>
        <w:rPr>
          <w:lang w:val="fr-CA"/>
        </w:rPr>
      </w:pPr>
    </w:p>
    <w:p w:rsidR="00AA3F7B" w:rsidRPr="00AA3F7B" w:rsidRDefault="00AA3F7B" w:rsidP="00AA3F7B">
      <w:pPr>
        <w:jc w:val="center"/>
        <w:rPr>
          <w:lang w:val="fr-CA"/>
        </w:rPr>
      </w:pPr>
    </w:p>
    <w:p w:rsidR="00AA3F7B" w:rsidRPr="00AA3F7B" w:rsidRDefault="00AA3F7B" w:rsidP="00AA3F7B">
      <w:pPr>
        <w:jc w:val="center"/>
        <w:rPr>
          <w:b/>
          <w:smallCaps/>
          <w:lang w:val="fr-CA"/>
        </w:rPr>
      </w:pPr>
      <w:r w:rsidRPr="00AA3F7B">
        <w:rPr>
          <w:b/>
          <w:smallCaps/>
          <w:lang w:val="fr-CA"/>
        </w:rPr>
        <w:t>Traduction française officielle</w:t>
      </w:r>
    </w:p>
    <w:p w:rsidR="00AA3F7B" w:rsidRPr="00AA3F7B" w:rsidRDefault="00AA3F7B" w:rsidP="00AA3F7B">
      <w:pPr>
        <w:rPr>
          <w:lang w:val="fr-CA"/>
        </w:rPr>
      </w:pPr>
    </w:p>
    <w:p w:rsidR="00AA3F7B" w:rsidRPr="00AA3F7B" w:rsidRDefault="00AA3F7B" w:rsidP="00AA3F7B">
      <w:pPr>
        <w:rPr>
          <w:lang w:val="fr-CA"/>
        </w:rPr>
      </w:pPr>
      <w:r w:rsidRPr="00AA3F7B">
        <w:rPr>
          <w:b/>
          <w:smallCaps/>
          <w:lang w:val="fr-CA"/>
        </w:rPr>
        <w:t>Coram :</w:t>
      </w:r>
      <w:r w:rsidRPr="00AA3F7B">
        <w:rPr>
          <w:lang w:val="fr-CA"/>
        </w:rPr>
        <w:t xml:space="preserve"> Le juge en chef Wagner et les juges </w:t>
      </w:r>
      <w:proofErr w:type="spellStart"/>
      <w:r w:rsidRPr="00AA3F7B">
        <w:rPr>
          <w:lang w:val="fr-CA"/>
        </w:rPr>
        <w:t>Moldaver</w:t>
      </w:r>
      <w:proofErr w:type="spellEnd"/>
      <w:r w:rsidRPr="00AA3F7B">
        <w:rPr>
          <w:lang w:val="fr-CA"/>
        </w:rPr>
        <w:t xml:space="preserve">, </w:t>
      </w:r>
      <w:proofErr w:type="spellStart"/>
      <w:r w:rsidRPr="00AA3F7B">
        <w:rPr>
          <w:lang w:val="fr-CA"/>
        </w:rPr>
        <w:t>Karakatsanis</w:t>
      </w:r>
      <w:proofErr w:type="spellEnd"/>
      <w:r w:rsidRPr="00AA3F7B">
        <w:rPr>
          <w:lang w:val="fr-CA"/>
        </w:rPr>
        <w:t>, Gascon, Côté, Brown et Rowe</w:t>
      </w:r>
    </w:p>
    <w:p w:rsidR="00AA3F7B" w:rsidRPr="00AA3F7B" w:rsidRDefault="00AA3F7B" w:rsidP="00AA3F7B">
      <w:pPr>
        <w:rPr>
          <w:lang w:val="fr-CA"/>
        </w:rPr>
      </w:pP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4140"/>
        <w:gridCol w:w="5760"/>
      </w:tblGrid>
      <w:tr w:rsidR="00AA3F7B" w:rsidRPr="00AA3F7B" w:rsidTr="000C4458">
        <w:trPr>
          <w:cantSplit/>
        </w:trPr>
        <w:tc>
          <w:tcPr>
            <w:tcW w:w="4140" w:type="dxa"/>
          </w:tcPr>
          <w:p w:rsidR="00AA3F7B" w:rsidRPr="00AA3F7B" w:rsidRDefault="00AA3F7B" w:rsidP="000C4458">
            <w:pPr>
              <w:rPr>
                <w:b/>
                <w:smallCaps/>
                <w:lang w:val="fr-CA"/>
              </w:rPr>
            </w:pPr>
            <w:r w:rsidRPr="00AA3F7B">
              <w:rPr>
                <w:b/>
                <w:smallCaps/>
                <w:lang w:val="fr-CA"/>
              </w:rPr>
              <w:t>Motifs de jugement :</w:t>
            </w:r>
          </w:p>
          <w:p w:rsidR="00AA3F7B" w:rsidRPr="00AA3F7B" w:rsidRDefault="00AA3F7B" w:rsidP="000C4458">
            <w:pPr>
              <w:rPr>
                <w:lang w:val="fr-CA"/>
              </w:rPr>
            </w:pPr>
            <w:r w:rsidRPr="00AA3F7B">
              <w:rPr>
                <w:lang w:val="fr-CA"/>
              </w:rPr>
              <w:t>(par. 1 à 83)</w:t>
            </w:r>
          </w:p>
        </w:tc>
        <w:tc>
          <w:tcPr>
            <w:tcW w:w="5760" w:type="dxa"/>
          </w:tcPr>
          <w:p w:rsidR="00AA3F7B" w:rsidRPr="00AA3F7B" w:rsidRDefault="00AA3F7B" w:rsidP="000C4458">
            <w:pPr>
              <w:rPr>
                <w:lang w:val="fr-CA"/>
              </w:rPr>
            </w:pPr>
            <w:r w:rsidRPr="00AA3F7B">
              <w:rPr>
                <w:lang w:val="fr-CA"/>
              </w:rPr>
              <w:t xml:space="preserve">Le juge en chef Wagner (avec l’accord des juges </w:t>
            </w:r>
            <w:proofErr w:type="spellStart"/>
            <w:r w:rsidRPr="00AA3F7B">
              <w:rPr>
                <w:lang w:val="fr-CA"/>
              </w:rPr>
              <w:t>Moldaver</w:t>
            </w:r>
            <w:proofErr w:type="spellEnd"/>
            <w:r w:rsidRPr="00AA3F7B">
              <w:rPr>
                <w:lang w:val="fr-CA"/>
              </w:rPr>
              <w:t xml:space="preserve">, </w:t>
            </w:r>
            <w:proofErr w:type="spellStart"/>
            <w:r w:rsidRPr="00AA3F7B">
              <w:rPr>
                <w:lang w:val="fr-CA"/>
              </w:rPr>
              <w:t>Karakatsanis</w:t>
            </w:r>
            <w:proofErr w:type="spellEnd"/>
            <w:r w:rsidRPr="00AA3F7B">
              <w:rPr>
                <w:lang w:val="fr-CA"/>
              </w:rPr>
              <w:t xml:space="preserve"> et Gascon)</w:t>
            </w:r>
          </w:p>
          <w:p w:rsidR="00AA3F7B" w:rsidRPr="00AA3F7B" w:rsidRDefault="00AA3F7B" w:rsidP="000C4458">
            <w:pPr>
              <w:rPr>
                <w:lang w:val="fr-CA"/>
              </w:rPr>
            </w:pPr>
          </w:p>
        </w:tc>
      </w:tr>
      <w:tr w:rsidR="00AA3F7B" w:rsidRPr="009B02BD" w:rsidTr="000C4458">
        <w:trPr>
          <w:cantSplit/>
        </w:trPr>
        <w:tc>
          <w:tcPr>
            <w:tcW w:w="4140" w:type="dxa"/>
          </w:tcPr>
          <w:p w:rsidR="00AA3F7B" w:rsidRPr="009B02BD" w:rsidRDefault="00AA3F7B" w:rsidP="000C4458">
            <w:pPr>
              <w:rPr>
                <w:b/>
                <w:smallCaps/>
              </w:rPr>
            </w:pPr>
            <w:r w:rsidRPr="009B02BD">
              <w:rPr>
                <w:b/>
                <w:smallCaps/>
              </w:rPr>
              <w:t xml:space="preserve">Motifs </w:t>
            </w:r>
            <w:proofErr w:type="spellStart"/>
            <w:r w:rsidRPr="009B02BD">
              <w:rPr>
                <w:b/>
                <w:smallCaps/>
              </w:rPr>
              <w:t>concordants</w:t>
            </w:r>
            <w:proofErr w:type="spellEnd"/>
            <w:r w:rsidRPr="009B02BD">
              <w:rPr>
                <w:b/>
                <w:smallCaps/>
              </w:rPr>
              <w:t> :</w:t>
            </w:r>
          </w:p>
          <w:p w:rsidR="00AA3F7B" w:rsidRDefault="00AA3F7B" w:rsidP="000C4458">
            <w:r w:rsidRPr="009B02BD">
              <w:t xml:space="preserve">(par. 84 à </w:t>
            </w:r>
            <w:r>
              <w:t>110</w:t>
            </w:r>
            <w:r w:rsidRPr="009B02BD">
              <w:t>)</w:t>
            </w:r>
          </w:p>
          <w:p w:rsidR="00AA3F7B" w:rsidRPr="009B02BD" w:rsidRDefault="00AA3F7B" w:rsidP="000C4458"/>
        </w:tc>
        <w:tc>
          <w:tcPr>
            <w:tcW w:w="5760" w:type="dxa"/>
          </w:tcPr>
          <w:p w:rsidR="00AA3F7B" w:rsidRPr="009B02BD" w:rsidRDefault="00AA3F7B" w:rsidP="000C4458">
            <w:r w:rsidRPr="009B02BD">
              <w:t xml:space="preserve">Le </w:t>
            </w:r>
            <w:proofErr w:type="spellStart"/>
            <w:r w:rsidRPr="009B02BD">
              <w:t>juge</w:t>
            </w:r>
            <w:proofErr w:type="spellEnd"/>
            <w:r w:rsidRPr="009B02BD">
              <w:t xml:space="preserve"> Rowe </w:t>
            </w:r>
          </w:p>
        </w:tc>
      </w:tr>
      <w:tr w:rsidR="00AA3F7B" w:rsidRPr="006B210C" w:rsidTr="000C4458">
        <w:trPr>
          <w:cantSplit/>
        </w:trPr>
        <w:tc>
          <w:tcPr>
            <w:tcW w:w="4140" w:type="dxa"/>
          </w:tcPr>
          <w:p w:rsidR="00AA3F7B" w:rsidRPr="00AA3F7B" w:rsidRDefault="00AA3F7B" w:rsidP="000C4458">
            <w:pPr>
              <w:rPr>
                <w:b/>
                <w:smallCaps/>
                <w:lang w:val="fr-CA"/>
              </w:rPr>
            </w:pPr>
            <w:r w:rsidRPr="00AA3F7B">
              <w:rPr>
                <w:b/>
                <w:smallCaps/>
                <w:lang w:val="fr-CA"/>
              </w:rPr>
              <w:lastRenderedPageBreak/>
              <w:t>Motifs conjoints dissidents :</w:t>
            </w:r>
          </w:p>
          <w:p w:rsidR="00AA3F7B" w:rsidRPr="00AA3F7B" w:rsidRDefault="00AA3F7B" w:rsidP="000C4458">
            <w:pPr>
              <w:rPr>
                <w:lang w:val="fr-CA"/>
              </w:rPr>
            </w:pPr>
            <w:r w:rsidRPr="00AA3F7B">
              <w:rPr>
                <w:lang w:val="fr-CA"/>
              </w:rPr>
              <w:t>(par. 111 à 173)</w:t>
            </w:r>
          </w:p>
          <w:p w:rsidR="00AA3F7B" w:rsidRPr="00AA3F7B" w:rsidRDefault="00AA3F7B" w:rsidP="000C4458">
            <w:pPr>
              <w:rPr>
                <w:lang w:val="fr-CA"/>
              </w:rPr>
            </w:pPr>
          </w:p>
        </w:tc>
        <w:tc>
          <w:tcPr>
            <w:tcW w:w="5760" w:type="dxa"/>
          </w:tcPr>
          <w:p w:rsidR="00AA3F7B" w:rsidRDefault="00AA3F7B" w:rsidP="000C4458">
            <w:r w:rsidRPr="009B02BD">
              <w:t xml:space="preserve">Les </w:t>
            </w:r>
            <w:proofErr w:type="spellStart"/>
            <w:r w:rsidRPr="009B02BD">
              <w:t>juges</w:t>
            </w:r>
            <w:proofErr w:type="spellEnd"/>
            <w:r w:rsidRPr="009B02BD">
              <w:t xml:space="preserve"> </w:t>
            </w:r>
            <w:proofErr w:type="spellStart"/>
            <w:r w:rsidRPr="009B02BD">
              <w:t>Côté</w:t>
            </w:r>
            <w:proofErr w:type="spellEnd"/>
            <w:r w:rsidRPr="009B02BD">
              <w:t xml:space="preserve"> et Brown</w:t>
            </w:r>
          </w:p>
          <w:p w:rsidR="00AA3F7B" w:rsidRPr="006B210C" w:rsidRDefault="00AA3F7B" w:rsidP="000C4458"/>
        </w:tc>
      </w:tr>
    </w:tbl>
    <w:p w:rsidR="00AA3F7B" w:rsidRDefault="00AA3F7B" w:rsidP="00AA3F7B"/>
    <w:p w:rsidR="00AA3F7B" w:rsidRPr="00AA3F7B" w:rsidRDefault="00AA3F7B" w:rsidP="00AA3F7B">
      <w:pPr>
        <w:rPr>
          <w:lang w:val="fr-CA"/>
        </w:rPr>
      </w:pPr>
      <w:bookmarkStart w:id="0" w:name="_GoBack"/>
      <w:bookmarkEnd w:id="0"/>
      <w:r>
        <w:rPr>
          <w:noProof/>
          <w:lang w:val="en-US"/>
        </w:rPr>
        <mc:AlternateContent>
          <mc:Choice Requires="wps">
            <w:drawing>
              <wp:anchor distT="0" distB="0" distL="114300" distR="114300" simplePos="0" relativeHeight="251659264" behindDoc="0" locked="0" layoutInCell="1" allowOverlap="1" wp14:anchorId="7DA13B2F" wp14:editId="2D6882AC">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9D1CE4"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AA3F7B" w:rsidRDefault="00AA3F7B" w:rsidP="00382AA5">
      <w:pPr>
        <w:spacing w:after="720"/>
        <w:jc w:val="both"/>
        <w:rPr>
          <w:lang w:val="fr-CA"/>
        </w:rPr>
      </w:pPr>
    </w:p>
    <w:p w:rsidR="004D7D95" w:rsidRPr="00707274" w:rsidRDefault="00707274" w:rsidP="00382AA5">
      <w:pPr>
        <w:spacing w:after="720"/>
        <w:jc w:val="both"/>
        <w:rPr>
          <w:lang w:val="fr-CA"/>
        </w:rPr>
      </w:pPr>
      <w:r>
        <w:rPr>
          <w:lang w:val="fr-CA"/>
        </w:rPr>
        <w:t>F</w:t>
      </w:r>
      <w:r w:rsidR="004D7D95" w:rsidRPr="00707274">
        <w:rPr>
          <w:rStyle w:val="SCCAppellantForRunningHeadChar"/>
          <w:smallCaps w:val="0"/>
          <w:lang w:val="fr-CA"/>
        </w:rPr>
        <w:t>rank</w:t>
      </w:r>
      <w:r w:rsidR="004D7D95" w:rsidRPr="00707274">
        <w:rPr>
          <w:rStyle w:val="SCCAppellantForRunningHeadChar"/>
          <w:lang w:val="fr-CA"/>
        </w:rPr>
        <w:t xml:space="preserve"> </w:t>
      </w:r>
      <w:r w:rsidR="004D7D95" w:rsidRPr="00707274">
        <w:rPr>
          <w:i/>
          <w:lang w:val="fr-CA"/>
        </w:rPr>
        <w:t>c.</w:t>
      </w:r>
      <w:r w:rsidR="004D7D95" w:rsidRPr="00707274">
        <w:rPr>
          <w:lang w:val="fr-CA"/>
        </w:rPr>
        <w:t xml:space="preserve"> </w:t>
      </w:r>
      <w:r>
        <w:rPr>
          <w:lang w:val="fr-CA"/>
        </w:rPr>
        <w:t>C</w:t>
      </w:r>
      <w:r w:rsidR="00462C4D" w:rsidRPr="00707274">
        <w:rPr>
          <w:lang w:val="fr-CA"/>
        </w:rPr>
        <w:t>anada (</w:t>
      </w:r>
      <w:r>
        <w:rPr>
          <w:rStyle w:val="SCCRespondentForRunningHeadChar"/>
          <w:smallCaps w:val="0"/>
          <w:lang w:val="fr-CA"/>
        </w:rPr>
        <w:t>P</w:t>
      </w:r>
      <w:r w:rsidR="004D7D95" w:rsidRPr="00707274">
        <w:rPr>
          <w:rStyle w:val="SCCRespondentForRunningHeadChar"/>
          <w:smallCaps w:val="0"/>
          <w:lang w:val="fr-CA"/>
        </w:rPr>
        <w:t>rocureur général</w:t>
      </w:r>
      <w:r w:rsidR="00462C4D" w:rsidRPr="00707274">
        <w:rPr>
          <w:rStyle w:val="SCCRespondentForRunningHeadChar"/>
          <w:smallCaps w:val="0"/>
          <w:lang w:val="fr-CA"/>
        </w:rPr>
        <w:t>)</w:t>
      </w:r>
      <w:r>
        <w:rPr>
          <w:rStyle w:val="SCCRespondentForRunningHeadChar"/>
          <w:smallCaps w:val="0"/>
          <w:lang w:val="fr-CA"/>
        </w:rPr>
        <w:t xml:space="preserve">, </w:t>
      </w:r>
      <w:r>
        <w:rPr>
          <w:lang w:val="fr-CA"/>
        </w:rPr>
        <w:t>2019</w:t>
      </w:r>
      <w:r w:rsidRPr="0063681A">
        <w:rPr>
          <w:lang w:val="fr-CA"/>
        </w:rPr>
        <w:t xml:space="preserve"> CSC</w:t>
      </w:r>
      <w:r>
        <w:rPr>
          <w:lang w:val="fr-CA"/>
        </w:rPr>
        <w:t xml:space="preserve"> 1, [2019] 1 R.C.S. 3</w:t>
      </w:r>
      <w:r w:rsidR="004D7D95" w:rsidRPr="00707274">
        <w:rPr>
          <w:rStyle w:val="SCCRespondentForRunningHeadChar"/>
          <w:smallCaps w:val="0"/>
          <w:lang w:val="fr-CA"/>
        </w:rPr>
        <w:t xml:space="preserve"> </w:t>
      </w:r>
    </w:p>
    <w:p w:rsidR="001871C7" w:rsidRPr="00462C4D" w:rsidRDefault="000172A6">
      <w:pPr>
        <w:pStyle w:val="SCCLsocParty"/>
        <w:rPr>
          <w:lang w:val="fr-CA"/>
        </w:rPr>
      </w:pPr>
      <w:r w:rsidRPr="00462C4D">
        <w:rPr>
          <w:lang w:val="fr-CA"/>
        </w:rPr>
        <w:t>Gillian Frank</w:t>
      </w:r>
      <w:r w:rsidR="00462C4D">
        <w:rPr>
          <w:lang w:val="fr-CA"/>
        </w:rPr>
        <w:t xml:space="preserve"> et</w:t>
      </w:r>
    </w:p>
    <w:p w:rsidR="001871C7" w:rsidRPr="00462C4D" w:rsidRDefault="000172A6">
      <w:pPr>
        <w:pStyle w:val="SCCLsocLastPartyInRole"/>
        <w:rPr>
          <w:lang w:val="fr-CA"/>
        </w:rPr>
      </w:pPr>
      <w:r w:rsidRPr="00462C4D">
        <w:rPr>
          <w:lang w:val="fr-CA"/>
        </w:rPr>
        <w:t xml:space="preserve">Jamie </w:t>
      </w:r>
      <w:proofErr w:type="spellStart"/>
      <w:r w:rsidRPr="00462C4D">
        <w:rPr>
          <w:lang w:val="fr-CA"/>
        </w:rPr>
        <w:t>Duong</w:t>
      </w:r>
      <w:proofErr w:type="spellEnd"/>
      <w:r w:rsidR="00462C4D">
        <w:rPr>
          <w:rStyle w:val="SCCLsocPartyRole"/>
          <w:lang w:val="fr-CA"/>
        </w:rPr>
        <w:tab/>
        <w:t>Appelant</w:t>
      </w:r>
      <w:r w:rsidRPr="00462C4D">
        <w:rPr>
          <w:rStyle w:val="SCCLsocPartyRole"/>
          <w:lang w:val="fr-CA"/>
        </w:rPr>
        <w:t>s</w:t>
      </w:r>
    </w:p>
    <w:p w:rsidR="001871C7" w:rsidRPr="00462C4D" w:rsidRDefault="000172A6">
      <w:pPr>
        <w:pStyle w:val="SCCLsocVersus"/>
        <w:rPr>
          <w:lang w:val="fr-CA"/>
        </w:rPr>
      </w:pPr>
      <w:proofErr w:type="gramStart"/>
      <w:r w:rsidRPr="00462C4D">
        <w:rPr>
          <w:lang w:val="fr-CA"/>
        </w:rPr>
        <w:t>c</w:t>
      </w:r>
      <w:proofErr w:type="gramEnd"/>
      <w:r w:rsidRPr="00462C4D">
        <w:rPr>
          <w:lang w:val="fr-CA"/>
        </w:rPr>
        <w:t>.</w:t>
      </w:r>
    </w:p>
    <w:p w:rsidR="001871C7" w:rsidRPr="0063681A" w:rsidRDefault="000172A6">
      <w:pPr>
        <w:pStyle w:val="SCCLsocLastPartyInRole"/>
        <w:rPr>
          <w:lang w:val="fr-CA"/>
        </w:rPr>
      </w:pPr>
      <w:r w:rsidRPr="0063681A">
        <w:rPr>
          <w:lang w:val="fr-CA"/>
        </w:rPr>
        <w:t>Procureur général du Canada</w:t>
      </w:r>
      <w:r w:rsidR="00462C4D">
        <w:rPr>
          <w:rStyle w:val="SCCLsocPartyRole"/>
          <w:lang w:val="fr-CA"/>
        </w:rPr>
        <w:tab/>
        <w:t>Intimé</w:t>
      </w:r>
    </w:p>
    <w:p w:rsidR="001871C7" w:rsidRPr="0063681A" w:rsidRDefault="000172A6">
      <w:pPr>
        <w:pStyle w:val="SCCLsocOtherPartySeparator"/>
        <w:rPr>
          <w:lang w:val="fr-CA"/>
        </w:rPr>
      </w:pPr>
      <w:proofErr w:type="gramStart"/>
      <w:r w:rsidRPr="0063681A">
        <w:rPr>
          <w:lang w:val="fr-CA"/>
        </w:rPr>
        <w:t>et</w:t>
      </w:r>
      <w:proofErr w:type="gramEnd"/>
    </w:p>
    <w:p w:rsidR="00400226" w:rsidRDefault="000172A6">
      <w:pPr>
        <w:pStyle w:val="SCCLsocParty"/>
        <w:rPr>
          <w:lang w:val="fr-CA"/>
        </w:rPr>
      </w:pPr>
      <w:r w:rsidRPr="0063681A">
        <w:rPr>
          <w:lang w:val="fr-CA"/>
        </w:rPr>
        <w:t>Procureure générale du Québec,</w:t>
      </w:r>
    </w:p>
    <w:p w:rsidR="001871C7" w:rsidRPr="00DB6F22" w:rsidRDefault="000172A6">
      <w:pPr>
        <w:pStyle w:val="SCCLsocParty"/>
        <w:rPr>
          <w:lang w:val="en-US"/>
        </w:rPr>
      </w:pPr>
      <w:r w:rsidRPr="00DB6F22">
        <w:rPr>
          <w:lang w:val="en-US"/>
        </w:rPr>
        <w:t>Canadian American Bar Association,</w:t>
      </w:r>
    </w:p>
    <w:p w:rsidR="001871C7" w:rsidRDefault="000172A6">
      <w:pPr>
        <w:pStyle w:val="SCCLsocParty"/>
      </w:pPr>
      <w:r>
        <w:t>Canadian Expat Association,</w:t>
      </w:r>
    </w:p>
    <w:p w:rsidR="001871C7" w:rsidRPr="00EA143C" w:rsidRDefault="000172A6">
      <w:pPr>
        <w:pStyle w:val="SCCLsocParty"/>
      </w:pPr>
      <w:r w:rsidRPr="00EA143C">
        <w:t>David Asper Centre for Constitutional Rights,</w:t>
      </w:r>
    </w:p>
    <w:p w:rsidR="001871C7" w:rsidRPr="00F77246" w:rsidRDefault="00F77246">
      <w:pPr>
        <w:pStyle w:val="SCCLsocParty"/>
        <w:rPr>
          <w:lang w:val="fr-CA"/>
        </w:rPr>
      </w:pPr>
      <w:r w:rsidRPr="00EA143C">
        <w:rPr>
          <w:lang w:val="fr-CA"/>
        </w:rPr>
        <w:t>Association canadienne des libertés civiles</w:t>
      </w:r>
      <w:r w:rsidR="000172A6" w:rsidRPr="00EA143C">
        <w:rPr>
          <w:lang w:val="fr-CA"/>
        </w:rPr>
        <w:t>,</w:t>
      </w:r>
    </w:p>
    <w:p w:rsidR="00400226" w:rsidRPr="00E24043" w:rsidRDefault="00E24043" w:rsidP="00452EC6">
      <w:pPr>
        <w:pStyle w:val="SCCLsocParty"/>
        <w:rPr>
          <w:highlight w:val="yellow"/>
          <w:lang w:val="en-US"/>
        </w:rPr>
      </w:pPr>
      <w:r w:rsidRPr="00E24043">
        <w:rPr>
          <w:lang w:val="en-US"/>
        </w:rPr>
        <w:t xml:space="preserve">Chinese and Southeast Asian Legal Clinic </w:t>
      </w:r>
      <w:proofErr w:type="gramStart"/>
      <w:r w:rsidR="003469F8" w:rsidRPr="00E24043">
        <w:rPr>
          <w:lang w:val="en-US"/>
        </w:rPr>
        <w:t>et</w:t>
      </w:r>
      <w:proofErr w:type="gramEnd"/>
      <w:r w:rsidR="00452EC6" w:rsidRPr="00E24043">
        <w:rPr>
          <w:lang w:val="en-US"/>
        </w:rPr>
        <w:t xml:space="preserve"> </w:t>
      </w:r>
    </w:p>
    <w:p w:rsidR="001871C7" w:rsidRPr="00400226" w:rsidRDefault="006734D6" w:rsidP="00B05028">
      <w:pPr>
        <w:pStyle w:val="SCCLsocParty"/>
        <w:spacing w:after="720"/>
        <w:rPr>
          <w:lang w:val="fr-CA"/>
        </w:rPr>
      </w:pPr>
      <w:r w:rsidRPr="006734D6">
        <w:rPr>
          <w:lang w:val="fr-CA"/>
        </w:rPr>
        <w:t>Association des libertés civiles</w:t>
      </w:r>
      <w:r>
        <w:rPr>
          <w:lang w:val="fr-CA"/>
        </w:rPr>
        <w:t xml:space="preserve"> de la Colombie-Britannique</w:t>
      </w:r>
      <w:r w:rsidR="00462C4D" w:rsidRPr="00462C4D">
        <w:rPr>
          <w:rStyle w:val="SCCLsocPartyRole"/>
          <w:lang w:val="fr-CA"/>
        </w:rPr>
        <w:tab/>
        <w:t>Intervenant</w:t>
      </w:r>
      <w:r w:rsidR="000172A6" w:rsidRPr="00462C4D">
        <w:rPr>
          <w:rStyle w:val="SCCLsocPartyRole"/>
          <w:lang w:val="fr-CA"/>
        </w:rPr>
        <w:t>s</w:t>
      </w:r>
    </w:p>
    <w:p w:rsidR="004D7D95" w:rsidRPr="0063681A" w:rsidRDefault="00462C4D" w:rsidP="00382AA5">
      <w:pPr>
        <w:spacing w:after="720"/>
        <w:jc w:val="both"/>
        <w:rPr>
          <w:b/>
          <w:lang w:val="fr-CA"/>
        </w:rPr>
      </w:pPr>
      <w:r>
        <w:rPr>
          <w:b/>
          <w:lang w:val="fr-CA"/>
        </w:rPr>
        <w:t>Répertorié</w:t>
      </w:r>
      <w:r w:rsidR="00382AA5">
        <w:rPr>
          <w:b/>
          <w:lang w:val="fr-CA"/>
        </w:rPr>
        <w:t> :</w:t>
      </w:r>
      <w:r>
        <w:rPr>
          <w:b/>
          <w:lang w:val="fr-CA"/>
        </w:rPr>
        <w:t> </w:t>
      </w:r>
      <w:r>
        <w:rPr>
          <w:rStyle w:val="SCCAppellantForIndexChar"/>
          <w:lang w:val="fr-CA"/>
        </w:rPr>
        <w:t>Frank</w:t>
      </w:r>
      <w:r w:rsidR="004D7D95" w:rsidRPr="00BB4C92">
        <w:rPr>
          <w:b/>
          <w:lang w:val="fr-CA"/>
        </w:rPr>
        <w:t xml:space="preserve"> </w:t>
      </w:r>
      <w:r w:rsidR="004D7D95" w:rsidRPr="00BB4C92">
        <w:rPr>
          <w:b/>
          <w:i/>
          <w:lang w:val="fr-CA"/>
        </w:rPr>
        <w:t>c.</w:t>
      </w:r>
      <w:r w:rsidR="004D7D95" w:rsidRPr="00BB4C92">
        <w:rPr>
          <w:b/>
          <w:lang w:val="fr-CA"/>
        </w:rPr>
        <w:t xml:space="preserve"> </w:t>
      </w:r>
      <w:r>
        <w:rPr>
          <w:b/>
          <w:lang w:val="fr-CA"/>
        </w:rPr>
        <w:t>Canada (</w:t>
      </w:r>
      <w:r w:rsidR="004D7D95" w:rsidRPr="0063681A">
        <w:rPr>
          <w:rStyle w:val="SCCRespondentForIndexChar"/>
          <w:lang w:val="fr-CA"/>
        </w:rPr>
        <w:t>Procureur général</w:t>
      </w:r>
      <w:r>
        <w:rPr>
          <w:rStyle w:val="SCCRespondentForIndexChar"/>
          <w:lang w:val="fr-CA"/>
        </w:rPr>
        <w:t>)</w:t>
      </w:r>
    </w:p>
    <w:p w:rsidR="004D7D95" w:rsidRPr="0063681A" w:rsidRDefault="006734D6" w:rsidP="00382AA5">
      <w:pPr>
        <w:pStyle w:val="SCCSystemYear"/>
        <w:spacing w:after="720"/>
        <w:jc w:val="both"/>
        <w:rPr>
          <w:lang w:val="fr-CA"/>
        </w:rPr>
      </w:pPr>
      <w:r>
        <w:rPr>
          <w:lang w:val="fr-CA"/>
        </w:rPr>
        <w:t>20</w:t>
      </w:r>
      <w:r w:rsidR="00034367">
        <w:rPr>
          <w:lang w:val="fr-CA"/>
        </w:rPr>
        <w:t>1</w:t>
      </w:r>
      <w:r>
        <w:rPr>
          <w:lang w:val="fr-CA"/>
        </w:rPr>
        <w:t>9</w:t>
      </w:r>
      <w:r w:rsidR="004D7D95" w:rsidRPr="0063681A">
        <w:rPr>
          <w:lang w:val="fr-CA"/>
        </w:rPr>
        <w:t xml:space="preserve"> CSC</w:t>
      </w:r>
      <w:r>
        <w:rPr>
          <w:lang w:val="fr-CA"/>
        </w:rPr>
        <w:t xml:space="preserve"> 1</w:t>
      </w:r>
    </w:p>
    <w:p w:rsidR="004D7D95" w:rsidRPr="0063681A" w:rsidRDefault="004D7D95" w:rsidP="00382AA5">
      <w:pPr>
        <w:spacing w:after="720"/>
        <w:jc w:val="both"/>
        <w:rPr>
          <w:lang w:val="fr-CA"/>
        </w:rPr>
      </w:pPr>
      <w:r w:rsidRPr="0063681A">
        <w:rPr>
          <w:lang w:val="fr-CA"/>
        </w:rPr>
        <w:t>N</w:t>
      </w:r>
      <w:r w:rsidRPr="0063681A">
        <w:rPr>
          <w:vertAlign w:val="superscript"/>
          <w:lang w:val="fr-CA"/>
        </w:rPr>
        <w:t>o</w:t>
      </w:r>
      <w:r w:rsidRPr="0063681A">
        <w:rPr>
          <w:lang w:val="fr-CA"/>
        </w:rPr>
        <w:t xml:space="preserve"> du greffe</w:t>
      </w:r>
      <w:r w:rsidR="00382AA5">
        <w:rPr>
          <w:lang w:val="fr-CA"/>
        </w:rPr>
        <w:t> :</w:t>
      </w:r>
      <w:r w:rsidRPr="0063681A">
        <w:rPr>
          <w:lang w:val="fr-CA"/>
        </w:rPr>
        <w:t> 36645.</w:t>
      </w:r>
    </w:p>
    <w:p w:rsidR="004D7D95" w:rsidRPr="0063681A" w:rsidRDefault="00382AA5" w:rsidP="00382AA5">
      <w:pPr>
        <w:spacing w:after="720"/>
        <w:jc w:val="both"/>
        <w:rPr>
          <w:lang w:val="fr-CA"/>
        </w:rPr>
      </w:pPr>
      <w:r>
        <w:rPr>
          <w:lang w:val="fr-CA"/>
        </w:rPr>
        <w:lastRenderedPageBreak/>
        <w:t>2018 : 21 </w:t>
      </w:r>
      <w:r w:rsidR="00D17B0E" w:rsidRPr="0063681A">
        <w:rPr>
          <w:lang w:val="fr-CA"/>
        </w:rPr>
        <w:t>mars</w:t>
      </w:r>
      <w:r w:rsidR="004D7D95" w:rsidRPr="0063681A">
        <w:rPr>
          <w:lang w:val="fr-CA"/>
        </w:rPr>
        <w:t>;</w:t>
      </w:r>
      <w:r w:rsidR="00EA143C">
        <w:rPr>
          <w:lang w:val="fr-CA"/>
        </w:rPr>
        <w:t xml:space="preserve"> </w:t>
      </w:r>
      <w:r w:rsidR="00805B11">
        <w:rPr>
          <w:lang w:val="fr-CA"/>
        </w:rPr>
        <w:t>2019 : 11 </w:t>
      </w:r>
      <w:r w:rsidR="00EA143C">
        <w:rPr>
          <w:lang w:val="fr-CA"/>
        </w:rPr>
        <w:t>janvier</w:t>
      </w:r>
      <w:r w:rsidR="004D7D95" w:rsidRPr="00EA143C">
        <w:rPr>
          <w:lang w:val="fr-CA"/>
        </w:rPr>
        <w:t>.</w:t>
      </w:r>
    </w:p>
    <w:p w:rsidR="004D7D95" w:rsidRPr="0063681A" w:rsidRDefault="004D7D95" w:rsidP="00382AA5">
      <w:pPr>
        <w:spacing w:after="720"/>
        <w:jc w:val="both"/>
        <w:rPr>
          <w:lang w:val="fr-CA"/>
        </w:rPr>
      </w:pPr>
      <w:r w:rsidRPr="0063681A">
        <w:rPr>
          <w:lang w:val="fr-CA"/>
        </w:rPr>
        <w:t>Présents</w:t>
      </w:r>
      <w:r w:rsidR="00382AA5">
        <w:rPr>
          <w:lang w:val="fr-CA"/>
        </w:rPr>
        <w:t> :</w:t>
      </w:r>
      <w:r w:rsidRPr="0063681A">
        <w:rPr>
          <w:lang w:val="fr-CA"/>
        </w:rPr>
        <w:t xml:space="preserve"> Le juge en chef Wagner et les juges </w:t>
      </w:r>
      <w:proofErr w:type="spellStart"/>
      <w:r w:rsidRPr="0063681A">
        <w:rPr>
          <w:lang w:val="fr-CA"/>
        </w:rPr>
        <w:t>Moldaver</w:t>
      </w:r>
      <w:proofErr w:type="spellEnd"/>
      <w:r w:rsidRPr="0063681A">
        <w:rPr>
          <w:lang w:val="fr-CA"/>
        </w:rPr>
        <w:t xml:space="preserve">, </w:t>
      </w:r>
      <w:proofErr w:type="spellStart"/>
      <w:r w:rsidRPr="0063681A">
        <w:rPr>
          <w:lang w:val="fr-CA"/>
        </w:rPr>
        <w:t>Karakatsanis</w:t>
      </w:r>
      <w:proofErr w:type="spellEnd"/>
      <w:r w:rsidRPr="0063681A">
        <w:rPr>
          <w:lang w:val="fr-CA"/>
        </w:rPr>
        <w:t>, Gascon, Côté, Brown et Rowe.</w:t>
      </w:r>
    </w:p>
    <w:p w:rsidR="004D7D95" w:rsidRPr="00BB4C92" w:rsidRDefault="004D7D95" w:rsidP="00382AA5">
      <w:pPr>
        <w:spacing w:after="720"/>
        <w:jc w:val="both"/>
        <w:rPr>
          <w:lang w:val="fr-CA"/>
        </w:rPr>
      </w:pPr>
      <w:r w:rsidRPr="00462C4D">
        <w:rPr>
          <w:smallCaps/>
          <w:lang w:val="fr-CA"/>
        </w:rPr>
        <w:t>en appel de la cour d</w:t>
      </w:r>
      <w:r w:rsidR="00805B11">
        <w:rPr>
          <w:smallCaps/>
          <w:lang w:val="fr-CA"/>
        </w:rPr>
        <w:t>’</w:t>
      </w:r>
      <w:r w:rsidRPr="00462C4D">
        <w:rPr>
          <w:smallCaps/>
          <w:lang w:val="fr-CA"/>
        </w:rPr>
        <w:t xml:space="preserve">appel de </w:t>
      </w:r>
      <w:proofErr w:type="spellStart"/>
      <w:r w:rsidRPr="00462C4D">
        <w:rPr>
          <w:smallCaps/>
          <w:lang w:val="fr-CA"/>
        </w:rPr>
        <w:t>l</w:t>
      </w:r>
      <w:r w:rsidR="00805B11">
        <w:rPr>
          <w:smallCaps/>
          <w:lang w:val="fr-CA"/>
        </w:rPr>
        <w:t>’</w:t>
      </w:r>
      <w:r w:rsidRPr="00462C4D">
        <w:rPr>
          <w:smallCaps/>
          <w:lang w:val="fr-CA"/>
        </w:rPr>
        <w:t>ontario</w:t>
      </w:r>
      <w:proofErr w:type="spellEnd"/>
    </w:p>
    <w:p w:rsidR="00834A8E" w:rsidRPr="003430AA" w:rsidRDefault="004D7D95" w:rsidP="00805B11">
      <w:pPr>
        <w:pStyle w:val="SCCNormalDoubleSpacing"/>
        <w:spacing w:after="480"/>
        <w:rPr>
          <w:i/>
          <w:iCs/>
          <w:lang w:val="fr-CA"/>
        </w:rPr>
      </w:pPr>
      <w:r w:rsidRPr="00BB4C92">
        <w:rPr>
          <w:lang w:val="fr-CA"/>
        </w:rPr>
        <w:tab/>
      </w:r>
      <w:r w:rsidR="00834A8E">
        <w:rPr>
          <w:i/>
          <w:lang w:val="fr-CA"/>
        </w:rPr>
        <w:t>Droit c</w:t>
      </w:r>
      <w:r w:rsidR="00834A8E" w:rsidRPr="00CC1B94">
        <w:rPr>
          <w:i/>
          <w:lang w:val="fr-CA"/>
        </w:rPr>
        <w:t>onstitution</w:t>
      </w:r>
      <w:r w:rsidR="00834A8E">
        <w:rPr>
          <w:i/>
          <w:lang w:val="fr-CA"/>
        </w:rPr>
        <w:t>nel</w:t>
      </w:r>
      <w:r w:rsidR="00834A8E" w:rsidRPr="00CC1B94">
        <w:rPr>
          <w:i/>
          <w:lang w:val="fr-CA"/>
        </w:rPr>
        <w:t xml:space="preserve"> — Charte</w:t>
      </w:r>
      <w:r w:rsidR="00834A8E">
        <w:rPr>
          <w:i/>
          <w:lang w:val="fr-CA"/>
        </w:rPr>
        <w:t xml:space="preserve"> des droits</w:t>
      </w:r>
      <w:r w:rsidR="00834A8E" w:rsidRPr="00CC1B94">
        <w:rPr>
          <w:i/>
          <w:lang w:val="fr-CA"/>
        </w:rPr>
        <w:t xml:space="preserve"> — </w:t>
      </w:r>
      <w:r w:rsidR="00834A8E">
        <w:rPr>
          <w:i/>
          <w:lang w:val="fr-CA"/>
        </w:rPr>
        <w:t>Droit de</w:t>
      </w:r>
      <w:r w:rsidR="00834A8E" w:rsidRPr="00CC1B94">
        <w:rPr>
          <w:i/>
          <w:lang w:val="fr-CA"/>
        </w:rPr>
        <w:t xml:space="preserve"> vote — R</w:t>
      </w:r>
      <w:r w:rsidR="00834A8E">
        <w:rPr>
          <w:i/>
          <w:lang w:val="fr-CA"/>
        </w:rPr>
        <w:t>é</w:t>
      </w:r>
      <w:r w:rsidR="00834A8E" w:rsidRPr="00CC1B94">
        <w:rPr>
          <w:i/>
          <w:lang w:val="fr-CA"/>
        </w:rPr>
        <w:t xml:space="preserve">sidence — </w:t>
      </w:r>
      <w:r w:rsidR="00834A8E">
        <w:rPr>
          <w:i/>
          <w:lang w:val="fr-CA"/>
        </w:rPr>
        <w:t xml:space="preserve">Loi électorale du </w:t>
      </w:r>
      <w:r w:rsidR="00834A8E" w:rsidRPr="00CC1B94">
        <w:rPr>
          <w:i/>
          <w:lang w:val="fr-CA"/>
        </w:rPr>
        <w:t>Canada</w:t>
      </w:r>
      <w:r w:rsidR="00834A8E">
        <w:rPr>
          <w:i/>
          <w:lang w:val="fr-CA"/>
        </w:rPr>
        <w:t xml:space="preserve"> privant</w:t>
      </w:r>
      <w:r w:rsidR="00834A8E" w:rsidRPr="003430AA">
        <w:rPr>
          <w:i/>
          <w:lang w:val="fr-CA"/>
        </w:rPr>
        <w:t xml:space="preserve"> </w:t>
      </w:r>
      <w:r w:rsidR="00834A8E">
        <w:rPr>
          <w:i/>
          <w:lang w:val="fr-CA"/>
        </w:rPr>
        <w:t>du droit de voter à une élection fédérale les citoyens canadie</w:t>
      </w:r>
      <w:r w:rsidR="00A4187A">
        <w:rPr>
          <w:i/>
          <w:lang w:val="fr-CA"/>
        </w:rPr>
        <w:t>ns résidant à l</w:t>
      </w:r>
      <w:r w:rsidR="00805B11">
        <w:rPr>
          <w:i/>
          <w:lang w:val="fr-CA"/>
        </w:rPr>
        <w:t>’</w:t>
      </w:r>
      <w:r w:rsidR="00A4187A">
        <w:rPr>
          <w:i/>
          <w:lang w:val="fr-CA"/>
        </w:rPr>
        <w:t>étranger depuis</w:t>
      </w:r>
      <w:r w:rsidR="00834A8E">
        <w:rPr>
          <w:i/>
          <w:lang w:val="fr-CA"/>
        </w:rPr>
        <w:t xml:space="preserve"> cinq années consécutives</w:t>
      </w:r>
      <w:r w:rsidR="00A4187A">
        <w:rPr>
          <w:i/>
          <w:lang w:val="fr-CA"/>
        </w:rPr>
        <w:t xml:space="preserve"> ou plus</w:t>
      </w:r>
      <w:r w:rsidR="00834A8E" w:rsidRPr="00CC1B94">
        <w:rPr>
          <w:i/>
          <w:lang w:val="fr-CA"/>
        </w:rPr>
        <w:t xml:space="preserve"> — </w:t>
      </w:r>
      <w:r w:rsidR="00834A8E">
        <w:rPr>
          <w:i/>
          <w:lang w:val="fr-CA"/>
        </w:rPr>
        <w:t>Reconnaissance par le procureur général du</w:t>
      </w:r>
      <w:r w:rsidR="00834A8E" w:rsidRPr="00CC1B94">
        <w:rPr>
          <w:i/>
          <w:iCs/>
          <w:lang w:val="fr-CA"/>
        </w:rPr>
        <w:t xml:space="preserve"> Canada </w:t>
      </w:r>
      <w:r w:rsidR="00834A8E">
        <w:rPr>
          <w:i/>
          <w:iCs/>
          <w:lang w:val="fr-CA"/>
        </w:rPr>
        <w:t>de l</w:t>
      </w:r>
      <w:r w:rsidR="00805B11">
        <w:rPr>
          <w:i/>
          <w:iCs/>
          <w:lang w:val="fr-CA"/>
        </w:rPr>
        <w:t>’</w:t>
      </w:r>
      <w:r w:rsidR="00834A8E">
        <w:rPr>
          <w:i/>
          <w:iCs/>
          <w:lang w:val="fr-CA"/>
        </w:rPr>
        <w:t>atteinte au droit de vote</w:t>
      </w:r>
      <w:r w:rsidR="00834A8E" w:rsidRPr="00CC1B94">
        <w:rPr>
          <w:i/>
          <w:iCs/>
          <w:lang w:val="fr-CA"/>
        </w:rPr>
        <w:t xml:space="preserve"> — </w:t>
      </w:r>
      <w:r w:rsidR="00834A8E">
        <w:rPr>
          <w:i/>
          <w:iCs/>
          <w:lang w:val="fr-CA"/>
        </w:rPr>
        <w:t>L</w:t>
      </w:r>
      <w:r w:rsidR="00805B11">
        <w:rPr>
          <w:i/>
          <w:iCs/>
          <w:lang w:val="fr-CA"/>
        </w:rPr>
        <w:t>’</w:t>
      </w:r>
      <w:r w:rsidR="00834A8E">
        <w:rPr>
          <w:i/>
          <w:iCs/>
          <w:lang w:val="fr-CA"/>
        </w:rPr>
        <w:t>atteinte est-elle justifiée?</w:t>
      </w:r>
      <w:r w:rsidR="00834A8E" w:rsidRPr="00CC1B94">
        <w:rPr>
          <w:i/>
          <w:iCs/>
          <w:lang w:val="fr-CA"/>
        </w:rPr>
        <w:t xml:space="preserve"> — C</w:t>
      </w:r>
      <w:r w:rsidR="00834A8E">
        <w:rPr>
          <w:i/>
          <w:iCs/>
          <w:lang w:val="fr-CA"/>
        </w:rPr>
        <w:t>harte c</w:t>
      </w:r>
      <w:r w:rsidR="00834A8E" w:rsidRPr="00CC1B94">
        <w:rPr>
          <w:i/>
          <w:iCs/>
          <w:lang w:val="fr-CA"/>
        </w:rPr>
        <w:t>anadi</w:t>
      </w:r>
      <w:r w:rsidR="00834A8E">
        <w:rPr>
          <w:i/>
          <w:iCs/>
          <w:lang w:val="fr-CA"/>
        </w:rPr>
        <w:t>e</w:t>
      </w:r>
      <w:r w:rsidR="00834A8E" w:rsidRPr="00CC1B94">
        <w:rPr>
          <w:i/>
          <w:iCs/>
          <w:lang w:val="fr-CA"/>
        </w:rPr>
        <w:t>n</w:t>
      </w:r>
      <w:r w:rsidR="00834A8E">
        <w:rPr>
          <w:i/>
          <w:iCs/>
          <w:lang w:val="fr-CA"/>
        </w:rPr>
        <w:t>ne des droits et libertés, art</w:t>
      </w:r>
      <w:r w:rsidR="00805B11">
        <w:rPr>
          <w:i/>
          <w:iCs/>
          <w:lang w:val="fr-CA"/>
        </w:rPr>
        <w:t>. </w:t>
      </w:r>
      <w:r w:rsidR="00834A8E" w:rsidRPr="00CC1B94">
        <w:rPr>
          <w:i/>
          <w:iCs/>
          <w:lang w:val="fr-CA"/>
        </w:rPr>
        <w:t xml:space="preserve">1, 3 — </w:t>
      </w:r>
      <w:r w:rsidR="00834A8E">
        <w:rPr>
          <w:i/>
          <w:iCs/>
          <w:lang w:val="fr-CA"/>
        </w:rPr>
        <w:t>Loi électorale du Canada</w:t>
      </w:r>
      <w:r w:rsidR="00834A8E" w:rsidRPr="00CC1B94">
        <w:rPr>
          <w:i/>
          <w:iCs/>
          <w:lang w:val="fr-CA"/>
        </w:rPr>
        <w:t xml:space="preserve">, </w:t>
      </w:r>
      <w:r w:rsidR="00834A8E">
        <w:rPr>
          <w:i/>
          <w:iCs/>
          <w:lang w:val="fr-CA"/>
        </w:rPr>
        <w:t>L</w:t>
      </w:r>
      <w:r w:rsidR="00805B11">
        <w:rPr>
          <w:i/>
          <w:iCs/>
          <w:lang w:val="fr-CA"/>
        </w:rPr>
        <w:t>.C. 2000, c. </w:t>
      </w:r>
      <w:r w:rsidR="00834A8E" w:rsidRPr="00CC1B94">
        <w:rPr>
          <w:i/>
          <w:iCs/>
          <w:lang w:val="fr-CA"/>
        </w:rPr>
        <w:t xml:space="preserve">9, </w:t>
      </w:r>
      <w:r w:rsidR="00805B11">
        <w:rPr>
          <w:i/>
          <w:iCs/>
          <w:lang w:val="fr-CA"/>
        </w:rPr>
        <w:t>art. </w:t>
      </w:r>
      <w:r w:rsidR="00834A8E">
        <w:rPr>
          <w:i/>
          <w:iCs/>
          <w:lang w:val="fr-CA"/>
        </w:rPr>
        <w:t>11</w:t>
      </w:r>
      <w:r w:rsidR="00834A8E" w:rsidRPr="00CC1B94">
        <w:rPr>
          <w:i/>
          <w:iCs/>
          <w:lang w:val="fr-CA"/>
        </w:rPr>
        <w:t xml:space="preserve">d), 222. </w:t>
      </w:r>
    </w:p>
    <w:p w:rsidR="00834A8E" w:rsidRPr="00CC1B94" w:rsidRDefault="00834A8E" w:rsidP="00805B11">
      <w:pPr>
        <w:pStyle w:val="SCCNormalDoubleSpacing"/>
        <w:spacing w:after="480"/>
        <w:rPr>
          <w:lang w:val="fr-CA"/>
        </w:rPr>
      </w:pPr>
      <w:r w:rsidRPr="00CC1B94">
        <w:rPr>
          <w:lang w:val="fr-CA"/>
        </w:rPr>
        <w:tab/>
      </w:r>
      <w:r w:rsidRPr="00BC2D48">
        <w:rPr>
          <w:lang w:val="fr-CA"/>
        </w:rPr>
        <w:t>Par l</w:t>
      </w:r>
      <w:r w:rsidR="00805B11">
        <w:rPr>
          <w:lang w:val="fr-CA"/>
        </w:rPr>
        <w:t>’</w:t>
      </w:r>
      <w:r w:rsidRPr="00BC2D48">
        <w:rPr>
          <w:lang w:val="fr-CA"/>
        </w:rPr>
        <w:t>effet combiné de l</w:t>
      </w:r>
      <w:r w:rsidR="00805B11">
        <w:rPr>
          <w:lang w:val="fr-CA"/>
        </w:rPr>
        <w:t>’al. </w:t>
      </w:r>
      <w:r w:rsidRPr="00BC2D48">
        <w:rPr>
          <w:lang w:val="fr-CA"/>
        </w:rPr>
        <w:t>11d)</w:t>
      </w:r>
      <w:r>
        <w:rPr>
          <w:lang w:val="fr-CA"/>
        </w:rPr>
        <w:t>,</w:t>
      </w:r>
      <w:r w:rsidRPr="00BC2D48">
        <w:rPr>
          <w:lang w:val="fr-CA"/>
        </w:rPr>
        <w:t xml:space="preserve"> de l</w:t>
      </w:r>
      <w:r w:rsidR="00805B11">
        <w:rPr>
          <w:lang w:val="fr-CA"/>
        </w:rPr>
        <w:t>’</w:t>
      </w:r>
      <w:r w:rsidRPr="00BC2D48">
        <w:rPr>
          <w:lang w:val="fr-CA"/>
        </w:rPr>
        <w:t>art.</w:t>
      </w:r>
      <w:r w:rsidR="00805B11">
        <w:rPr>
          <w:lang w:val="fr-CA"/>
        </w:rPr>
        <w:t> </w:t>
      </w:r>
      <w:r w:rsidRPr="00BC2D48">
        <w:rPr>
          <w:lang w:val="fr-CA"/>
        </w:rPr>
        <w:t xml:space="preserve">222 </w:t>
      </w:r>
      <w:r>
        <w:rPr>
          <w:lang w:val="fr-CA"/>
        </w:rPr>
        <w:t>et d</w:t>
      </w:r>
      <w:r w:rsidR="00805B11">
        <w:rPr>
          <w:lang w:val="fr-CA"/>
        </w:rPr>
        <w:t>’</w:t>
      </w:r>
      <w:r>
        <w:rPr>
          <w:lang w:val="fr-CA"/>
        </w:rPr>
        <w:t xml:space="preserve">autres dispositions connexes </w:t>
      </w:r>
      <w:r w:rsidRPr="00BC2D48">
        <w:rPr>
          <w:lang w:val="fr-CA"/>
        </w:rPr>
        <w:t xml:space="preserve">de la </w:t>
      </w:r>
      <w:r w:rsidRPr="009237C3">
        <w:rPr>
          <w:i/>
          <w:lang w:val="fr-CA"/>
        </w:rPr>
        <w:t>Loi électorale du Canada</w:t>
      </w:r>
      <w:r w:rsidRPr="00BC2D48">
        <w:rPr>
          <w:lang w:val="fr-CA"/>
        </w:rPr>
        <w:t>,</w:t>
      </w:r>
      <w:r w:rsidRPr="00BC2D48">
        <w:rPr>
          <w:i/>
          <w:lang w:val="fr-CA"/>
        </w:rPr>
        <w:t xml:space="preserve"> </w:t>
      </w:r>
      <w:r>
        <w:rPr>
          <w:lang w:val="fr-CA"/>
        </w:rPr>
        <w:t xml:space="preserve">les </w:t>
      </w:r>
      <w:r w:rsidRPr="00BC2D48">
        <w:rPr>
          <w:lang w:val="fr-CA"/>
        </w:rPr>
        <w:t>citoyen</w:t>
      </w:r>
      <w:r>
        <w:rPr>
          <w:lang w:val="fr-CA"/>
        </w:rPr>
        <w:t>s</w:t>
      </w:r>
      <w:r w:rsidRPr="00BC2D48">
        <w:rPr>
          <w:lang w:val="fr-CA"/>
        </w:rPr>
        <w:t xml:space="preserve"> canadien</w:t>
      </w:r>
      <w:r>
        <w:rPr>
          <w:lang w:val="fr-CA"/>
        </w:rPr>
        <w:t>s</w:t>
      </w:r>
      <w:r w:rsidRPr="00BC2D48">
        <w:rPr>
          <w:lang w:val="fr-CA"/>
        </w:rPr>
        <w:t xml:space="preserve"> qui </w:t>
      </w:r>
      <w:r>
        <w:rPr>
          <w:lang w:val="fr-CA"/>
        </w:rPr>
        <w:t>ont</w:t>
      </w:r>
      <w:r w:rsidRPr="00BC2D48">
        <w:rPr>
          <w:lang w:val="fr-CA"/>
        </w:rPr>
        <w:t xml:space="preserve"> résidé à l</w:t>
      </w:r>
      <w:r w:rsidR="00805B11">
        <w:rPr>
          <w:lang w:val="fr-CA"/>
        </w:rPr>
        <w:t>’</w:t>
      </w:r>
      <w:r w:rsidRPr="00BC2D48">
        <w:rPr>
          <w:lang w:val="fr-CA"/>
        </w:rPr>
        <w:t xml:space="preserve">étranger pendant cinq ans </w:t>
      </w:r>
      <w:r>
        <w:rPr>
          <w:lang w:val="fr-CA"/>
        </w:rPr>
        <w:t>ou plus</w:t>
      </w:r>
      <w:r w:rsidRPr="00BC2D48">
        <w:rPr>
          <w:lang w:val="fr-CA"/>
        </w:rPr>
        <w:t xml:space="preserve"> </w:t>
      </w:r>
      <w:r>
        <w:rPr>
          <w:lang w:val="fr-CA"/>
        </w:rPr>
        <w:t xml:space="preserve">se voient privés du </w:t>
      </w:r>
      <w:r w:rsidRPr="00BC2D48">
        <w:rPr>
          <w:lang w:val="fr-CA"/>
        </w:rPr>
        <w:t xml:space="preserve">droit de voter </w:t>
      </w:r>
      <w:r>
        <w:rPr>
          <w:lang w:val="fr-CA"/>
        </w:rPr>
        <w:t>à</w:t>
      </w:r>
      <w:r w:rsidRPr="00BC2D48">
        <w:rPr>
          <w:lang w:val="fr-CA"/>
        </w:rPr>
        <w:t xml:space="preserve"> une élection fédérale tant qu</w:t>
      </w:r>
      <w:r w:rsidR="00805B11">
        <w:rPr>
          <w:lang w:val="fr-CA"/>
        </w:rPr>
        <w:t>’</w:t>
      </w:r>
      <w:r w:rsidRPr="00BC2D48">
        <w:rPr>
          <w:lang w:val="fr-CA"/>
        </w:rPr>
        <w:t>il</w:t>
      </w:r>
      <w:r>
        <w:rPr>
          <w:lang w:val="fr-CA"/>
        </w:rPr>
        <w:t>s</w:t>
      </w:r>
      <w:r w:rsidRPr="00BC2D48">
        <w:rPr>
          <w:lang w:val="fr-CA"/>
        </w:rPr>
        <w:t xml:space="preserve"> ne rentre</w:t>
      </w:r>
      <w:r>
        <w:rPr>
          <w:lang w:val="fr-CA"/>
        </w:rPr>
        <w:t>nt</w:t>
      </w:r>
      <w:r w:rsidRPr="00BC2D48">
        <w:rPr>
          <w:lang w:val="fr-CA"/>
        </w:rPr>
        <w:t xml:space="preserve"> pas au Canada pour y résider</w:t>
      </w:r>
      <w:r>
        <w:rPr>
          <w:lang w:val="fr-CA"/>
        </w:rPr>
        <w:t>.</w:t>
      </w:r>
      <w:r w:rsidRPr="00CC1B94">
        <w:rPr>
          <w:lang w:val="fr-CA"/>
        </w:rPr>
        <w:t xml:space="preserve"> </w:t>
      </w:r>
      <w:r>
        <w:rPr>
          <w:lang w:val="fr-CA"/>
        </w:rPr>
        <w:t xml:space="preserve">La constitutionnalité de ces dispositions a été contestée par deux citoyens canadiens </w:t>
      </w:r>
      <w:proofErr w:type="spellStart"/>
      <w:r>
        <w:rPr>
          <w:lang w:val="fr-CA"/>
        </w:rPr>
        <w:t>non résidents</w:t>
      </w:r>
      <w:proofErr w:type="spellEnd"/>
      <w:r>
        <w:rPr>
          <w:lang w:val="fr-CA"/>
        </w:rPr>
        <w:t>, qui ont demandé un jugement déclaratoire portant qu</w:t>
      </w:r>
      <w:r w:rsidR="00805B11">
        <w:rPr>
          <w:lang w:val="fr-CA"/>
        </w:rPr>
        <w:t>’</w:t>
      </w:r>
      <w:r>
        <w:rPr>
          <w:lang w:val="fr-CA"/>
        </w:rPr>
        <w:t>il y a eu atteinte à leur droit de vote garanti par l</w:t>
      </w:r>
      <w:r w:rsidR="00805B11">
        <w:rPr>
          <w:lang w:val="fr-CA"/>
        </w:rPr>
        <w:t>’art. </w:t>
      </w:r>
      <w:r>
        <w:rPr>
          <w:lang w:val="fr-CA"/>
        </w:rPr>
        <w:t xml:space="preserve">3 de la </w:t>
      </w:r>
      <w:r w:rsidRPr="00FB378C">
        <w:rPr>
          <w:i/>
          <w:lang w:val="fr-CA"/>
        </w:rPr>
        <w:t>Charte</w:t>
      </w:r>
      <w:r>
        <w:rPr>
          <w:lang w:val="fr-CA"/>
        </w:rPr>
        <w:t xml:space="preserve"> et que les dispositions contestées sont inconstitutionnelles. Le juge de première instance leur a donné raison, a conclu que les dispositions contestées ne </w:t>
      </w:r>
      <w:r w:rsidRPr="00BC2D48">
        <w:rPr>
          <w:lang w:val="fr-CA"/>
        </w:rPr>
        <w:t>p</w:t>
      </w:r>
      <w:r>
        <w:rPr>
          <w:lang w:val="fr-CA"/>
        </w:rPr>
        <w:t>e</w:t>
      </w:r>
      <w:r w:rsidRPr="00BC2D48">
        <w:rPr>
          <w:lang w:val="fr-CA"/>
        </w:rPr>
        <w:t>u</w:t>
      </w:r>
      <w:r>
        <w:rPr>
          <w:lang w:val="fr-CA"/>
        </w:rPr>
        <w:t>vent pas être sauvegardées par application de l</w:t>
      </w:r>
      <w:r w:rsidR="00805B11">
        <w:rPr>
          <w:lang w:val="fr-CA"/>
        </w:rPr>
        <w:t>’</w:t>
      </w:r>
      <w:r w:rsidRPr="00BC2D48">
        <w:rPr>
          <w:lang w:val="fr-CA"/>
        </w:rPr>
        <w:t>article premier</w:t>
      </w:r>
      <w:r>
        <w:rPr>
          <w:lang w:val="fr-CA"/>
        </w:rPr>
        <w:t xml:space="preserve"> de la </w:t>
      </w:r>
      <w:r w:rsidRPr="00FB378C">
        <w:rPr>
          <w:i/>
          <w:lang w:val="fr-CA"/>
        </w:rPr>
        <w:t>Charte</w:t>
      </w:r>
      <w:r>
        <w:rPr>
          <w:lang w:val="fr-CA"/>
        </w:rPr>
        <w:t xml:space="preserve"> et a</w:t>
      </w:r>
      <w:r w:rsidRPr="00BC2D48">
        <w:rPr>
          <w:lang w:val="fr-CA"/>
        </w:rPr>
        <w:t xml:space="preserve"> prononcé une déclaration immédiate d</w:t>
      </w:r>
      <w:r w:rsidR="00805B11">
        <w:rPr>
          <w:lang w:val="fr-CA"/>
        </w:rPr>
        <w:t>’</w:t>
      </w:r>
      <w:r w:rsidRPr="00BC2D48">
        <w:rPr>
          <w:lang w:val="fr-CA"/>
        </w:rPr>
        <w:t>invalidité</w:t>
      </w:r>
      <w:r>
        <w:rPr>
          <w:lang w:val="fr-CA"/>
        </w:rPr>
        <w:t xml:space="preserve">. </w:t>
      </w:r>
      <w:r w:rsidRPr="00BC2D48">
        <w:rPr>
          <w:lang w:val="fr-CA"/>
        </w:rPr>
        <w:t xml:space="preserve">Les juges </w:t>
      </w:r>
      <w:r w:rsidRPr="00BC2D48">
        <w:rPr>
          <w:lang w:val="fr-CA"/>
        </w:rPr>
        <w:lastRenderedPageBreak/>
        <w:t>maj</w:t>
      </w:r>
      <w:r>
        <w:rPr>
          <w:lang w:val="fr-CA"/>
        </w:rPr>
        <w:t>oritaires de la Cour d</w:t>
      </w:r>
      <w:r w:rsidR="00805B11">
        <w:rPr>
          <w:lang w:val="fr-CA"/>
        </w:rPr>
        <w:t>’</w:t>
      </w:r>
      <w:r>
        <w:rPr>
          <w:lang w:val="fr-CA"/>
        </w:rPr>
        <w:t xml:space="preserve">appel </w:t>
      </w:r>
      <w:r w:rsidRPr="00BC2D48">
        <w:rPr>
          <w:lang w:val="fr-CA"/>
        </w:rPr>
        <w:t>ont accueilli l</w:t>
      </w:r>
      <w:r w:rsidR="00805B11">
        <w:rPr>
          <w:lang w:val="fr-CA"/>
        </w:rPr>
        <w:t>’</w:t>
      </w:r>
      <w:r w:rsidRPr="00BC2D48">
        <w:rPr>
          <w:lang w:val="fr-CA"/>
        </w:rPr>
        <w:t>appel</w:t>
      </w:r>
      <w:r>
        <w:rPr>
          <w:lang w:val="fr-CA"/>
        </w:rPr>
        <w:t xml:space="preserve"> du procureur général du Canada. Bien que </w:t>
      </w:r>
      <w:r w:rsidR="000B2BD0">
        <w:rPr>
          <w:lang w:val="fr-CA"/>
        </w:rPr>
        <w:t>celui</w:t>
      </w:r>
      <w:r w:rsidR="000B2BD0">
        <w:rPr>
          <w:lang w:val="fr-CA"/>
        </w:rPr>
        <w:noBreakHyphen/>
      </w:r>
      <w:r w:rsidR="00A4187A">
        <w:rPr>
          <w:lang w:val="fr-CA"/>
        </w:rPr>
        <w:t>ci</w:t>
      </w:r>
      <w:r w:rsidRPr="00BC2D48">
        <w:rPr>
          <w:lang w:val="fr-CA"/>
        </w:rPr>
        <w:t xml:space="preserve"> </w:t>
      </w:r>
      <w:r>
        <w:rPr>
          <w:lang w:val="fr-CA"/>
        </w:rPr>
        <w:t>reconnaiss</w:t>
      </w:r>
      <w:r w:rsidR="00A4187A">
        <w:rPr>
          <w:lang w:val="fr-CA"/>
        </w:rPr>
        <w:t>e</w:t>
      </w:r>
      <w:r w:rsidRPr="00BC2D48">
        <w:rPr>
          <w:lang w:val="fr-CA"/>
        </w:rPr>
        <w:t xml:space="preserve"> que l</w:t>
      </w:r>
      <w:r>
        <w:rPr>
          <w:lang w:val="fr-CA"/>
        </w:rPr>
        <w:t>es</w:t>
      </w:r>
      <w:r w:rsidRPr="00BC2D48">
        <w:rPr>
          <w:lang w:val="fr-CA"/>
        </w:rPr>
        <w:t xml:space="preserve"> </w:t>
      </w:r>
      <w:r>
        <w:rPr>
          <w:lang w:val="fr-CA"/>
        </w:rPr>
        <w:t>dispositions</w:t>
      </w:r>
      <w:r w:rsidRPr="00BC2D48">
        <w:rPr>
          <w:lang w:val="fr-CA"/>
        </w:rPr>
        <w:t xml:space="preserve"> contestée</w:t>
      </w:r>
      <w:r>
        <w:rPr>
          <w:lang w:val="fr-CA"/>
        </w:rPr>
        <w:t>s</w:t>
      </w:r>
      <w:r w:rsidRPr="00BC2D48">
        <w:rPr>
          <w:lang w:val="fr-CA"/>
        </w:rPr>
        <w:t xml:space="preserve"> </w:t>
      </w:r>
      <w:r>
        <w:rPr>
          <w:lang w:val="fr-CA"/>
        </w:rPr>
        <w:t>constituent une violation de</w:t>
      </w:r>
      <w:r w:rsidRPr="00BC2D48">
        <w:rPr>
          <w:lang w:val="fr-CA"/>
        </w:rPr>
        <w:t xml:space="preserve"> l</w:t>
      </w:r>
      <w:r w:rsidR="00805B11">
        <w:rPr>
          <w:lang w:val="fr-CA"/>
        </w:rPr>
        <w:t>’</w:t>
      </w:r>
      <w:r w:rsidRPr="00BC2D48">
        <w:rPr>
          <w:lang w:val="fr-CA"/>
        </w:rPr>
        <w:t xml:space="preserve">art. 3 de la </w:t>
      </w:r>
      <w:r w:rsidRPr="00BC2D48">
        <w:rPr>
          <w:i/>
          <w:lang w:val="fr-CA"/>
        </w:rPr>
        <w:t>Charte</w:t>
      </w:r>
      <w:r w:rsidRPr="00FB378C">
        <w:rPr>
          <w:lang w:val="fr-CA"/>
        </w:rPr>
        <w:t xml:space="preserve">, </w:t>
      </w:r>
      <w:r>
        <w:rPr>
          <w:lang w:val="fr-CA"/>
        </w:rPr>
        <w:t xml:space="preserve">il a été conclu que </w:t>
      </w:r>
      <w:r w:rsidR="00A4187A">
        <w:rPr>
          <w:lang w:val="fr-CA"/>
        </w:rPr>
        <w:t>cette</w:t>
      </w:r>
      <w:r>
        <w:rPr>
          <w:lang w:val="fr-CA"/>
        </w:rPr>
        <w:t xml:space="preserve"> violation</w:t>
      </w:r>
      <w:r w:rsidRPr="00BC2D48">
        <w:rPr>
          <w:lang w:val="fr-CA"/>
        </w:rPr>
        <w:t xml:space="preserve"> </w:t>
      </w:r>
      <w:r>
        <w:rPr>
          <w:lang w:val="fr-CA"/>
        </w:rPr>
        <w:t>est</w:t>
      </w:r>
      <w:r w:rsidRPr="00BC2D48">
        <w:rPr>
          <w:lang w:val="fr-CA"/>
        </w:rPr>
        <w:t xml:space="preserve"> justifi</w:t>
      </w:r>
      <w:r>
        <w:rPr>
          <w:lang w:val="fr-CA"/>
        </w:rPr>
        <w:t>é</w:t>
      </w:r>
      <w:r w:rsidRPr="00BC2D48">
        <w:rPr>
          <w:lang w:val="fr-CA"/>
        </w:rPr>
        <w:t>e</w:t>
      </w:r>
      <w:r>
        <w:rPr>
          <w:lang w:val="fr-CA"/>
        </w:rPr>
        <w:t>.</w:t>
      </w:r>
      <w:r w:rsidRPr="00CC1B94">
        <w:rPr>
          <w:lang w:val="fr-CA"/>
        </w:rPr>
        <w:t xml:space="preserve"> </w:t>
      </w:r>
    </w:p>
    <w:p w:rsidR="00834A8E" w:rsidRPr="00CC1B94" w:rsidRDefault="00834A8E" w:rsidP="00805B11">
      <w:pPr>
        <w:pStyle w:val="SCCNormalDoubleSpacing"/>
        <w:spacing w:before="240" w:after="480"/>
        <w:rPr>
          <w:lang w:val="fr-CA"/>
        </w:rPr>
      </w:pPr>
      <w:r w:rsidRPr="00CC1B94">
        <w:rPr>
          <w:rStyle w:val="QuoteChar"/>
          <w:color w:val="auto"/>
          <w:lang w:val="fr-CA"/>
        </w:rPr>
        <w:tab/>
      </w:r>
      <w:r>
        <w:rPr>
          <w:rStyle w:val="QuoteChar"/>
          <w:color w:val="auto"/>
          <w:lang w:val="fr-CA"/>
        </w:rPr>
        <w:t>Arrêt</w:t>
      </w:r>
      <w:r w:rsidRPr="00CC1B94">
        <w:rPr>
          <w:rStyle w:val="QuoteChar"/>
          <w:color w:val="auto"/>
          <w:lang w:val="fr-CA"/>
        </w:rPr>
        <w:t xml:space="preserve"> </w:t>
      </w:r>
      <w:r w:rsidRPr="00CC1B94">
        <w:rPr>
          <w:rStyle w:val="QuoteChar"/>
          <w:i w:val="0"/>
          <w:color w:val="auto"/>
          <w:lang w:val="fr-CA"/>
        </w:rPr>
        <w:t>(</w:t>
      </w:r>
      <w:r>
        <w:rPr>
          <w:rStyle w:val="QuoteChar"/>
          <w:i w:val="0"/>
          <w:color w:val="auto"/>
          <w:lang w:val="fr-CA"/>
        </w:rPr>
        <w:t xml:space="preserve">les juges </w:t>
      </w:r>
      <w:r w:rsidRPr="00CC1B94">
        <w:rPr>
          <w:rStyle w:val="QuoteChar"/>
          <w:i w:val="0"/>
          <w:color w:val="auto"/>
          <w:lang w:val="fr-CA"/>
        </w:rPr>
        <w:t xml:space="preserve">Côté </w:t>
      </w:r>
      <w:r>
        <w:rPr>
          <w:rStyle w:val="QuoteChar"/>
          <w:i w:val="0"/>
          <w:color w:val="auto"/>
          <w:lang w:val="fr-CA"/>
        </w:rPr>
        <w:t>et</w:t>
      </w:r>
      <w:r w:rsidRPr="00CC1B94">
        <w:rPr>
          <w:rStyle w:val="QuoteChar"/>
          <w:i w:val="0"/>
          <w:color w:val="auto"/>
          <w:lang w:val="fr-CA"/>
        </w:rPr>
        <w:t xml:space="preserve"> Brown </w:t>
      </w:r>
      <w:r>
        <w:rPr>
          <w:rStyle w:val="QuoteChar"/>
          <w:i w:val="0"/>
          <w:color w:val="auto"/>
          <w:lang w:val="fr-CA"/>
        </w:rPr>
        <w:t>sont</w:t>
      </w:r>
      <w:r w:rsidRPr="00CC1B94">
        <w:rPr>
          <w:rStyle w:val="QuoteChar"/>
          <w:i w:val="0"/>
          <w:color w:val="auto"/>
          <w:lang w:val="fr-CA"/>
        </w:rPr>
        <w:t xml:space="preserve"> diss</w:t>
      </w:r>
      <w:r>
        <w:rPr>
          <w:rStyle w:val="QuoteChar"/>
          <w:i w:val="0"/>
          <w:color w:val="auto"/>
          <w:lang w:val="fr-CA"/>
        </w:rPr>
        <w:t>id</w:t>
      </w:r>
      <w:r w:rsidRPr="00CC1B94">
        <w:rPr>
          <w:rStyle w:val="QuoteChar"/>
          <w:i w:val="0"/>
          <w:color w:val="auto"/>
          <w:lang w:val="fr-CA"/>
        </w:rPr>
        <w:t>ent</w:t>
      </w:r>
      <w:r>
        <w:rPr>
          <w:rStyle w:val="QuoteChar"/>
          <w:i w:val="0"/>
          <w:color w:val="auto"/>
          <w:lang w:val="fr-CA"/>
        </w:rPr>
        <w:t>s</w:t>
      </w:r>
      <w:r w:rsidRPr="00CC1B94">
        <w:rPr>
          <w:rStyle w:val="QuoteChar"/>
          <w:i w:val="0"/>
          <w:color w:val="auto"/>
          <w:lang w:val="fr-CA"/>
        </w:rPr>
        <w:t>)</w:t>
      </w:r>
      <w:r w:rsidR="0064253A">
        <w:rPr>
          <w:rStyle w:val="QuoteChar"/>
          <w:i w:val="0"/>
          <w:color w:val="auto"/>
          <w:lang w:val="fr-CA"/>
        </w:rPr>
        <w:t> :</w:t>
      </w:r>
      <w:r w:rsidRPr="00CC1B94">
        <w:rPr>
          <w:lang w:val="fr-CA"/>
        </w:rPr>
        <w:t xml:space="preserve"> </w:t>
      </w:r>
      <w:r>
        <w:rPr>
          <w:lang w:val="fr-CA"/>
        </w:rPr>
        <w:t>L</w:t>
      </w:r>
      <w:r w:rsidR="00805B11">
        <w:rPr>
          <w:lang w:val="fr-CA"/>
        </w:rPr>
        <w:t>’</w:t>
      </w:r>
      <w:r w:rsidRPr="00CC1B94">
        <w:rPr>
          <w:lang w:val="fr-CA"/>
        </w:rPr>
        <w:t xml:space="preserve">appel </w:t>
      </w:r>
      <w:r>
        <w:rPr>
          <w:lang w:val="fr-CA"/>
        </w:rPr>
        <w:t>e</w:t>
      </w:r>
      <w:r w:rsidRPr="00CC1B94">
        <w:rPr>
          <w:lang w:val="fr-CA"/>
        </w:rPr>
        <w:t>s</w:t>
      </w:r>
      <w:r>
        <w:rPr>
          <w:lang w:val="fr-CA"/>
        </w:rPr>
        <w:t>t accueilli</w:t>
      </w:r>
      <w:r w:rsidRPr="00CC1B94">
        <w:rPr>
          <w:lang w:val="fr-CA"/>
        </w:rPr>
        <w:t xml:space="preserve">. </w:t>
      </w:r>
      <w:r w:rsidR="00D904D8">
        <w:rPr>
          <w:lang w:val="fr-CA"/>
        </w:rPr>
        <w:t>Les al</w:t>
      </w:r>
      <w:r w:rsidR="006B6F0D">
        <w:rPr>
          <w:lang w:val="fr-CA"/>
        </w:rPr>
        <w:t>inéas</w:t>
      </w:r>
      <w:r w:rsidR="00D904D8">
        <w:rPr>
          <w:lang w:val="fr-CA"/>
        </w:rPr>
        <w:t> </w:t>
      </w:r>
      <w:r w:rsidR="006B6F0D">
        <w:rPr>
          <w:lang w:val="fr-CA"/>
        </w:rPr>
        <w:t>222(1)b) et c), 223(1)f) et 226</w:t>
      </w:r>
      <w:r w:rsidR="00953783">
        <w:rPr>
          <w:lang w:val="fr-CA"/>
        </w:rPr>
        <w:t xml:space="preserve">f) de la </w:t>
      </w:r>
      <w:r w:rsidR="00953783">
        <w:rPr>
          <w:i/>
          <w:lang w:val="fr-CA"/>
        </w:rPr>
        <w:t>Loi électorale du Canada</w:t>
      </w:r>
      <w:r w:rsidR="00953783" w:rsidRPr="00C61CD1">
        <w:rPr>
          <w:lang w:val="fr-CA"/>
        </w:rPr>
        <w:t xml:space="preserve"> sont </w:t>
      </w:r>
      <w:r w:rsidR="00953783">
        <w:rPr>
          <w:lang w:val="fr-CA"/>
        </w:rPr>
        <w:t xml:space="preserve">déclarés </w:t>
      </w:r>
      <w:r w:rsidR="00953783" w:rsidRPr="00C61CD1">
        <w:rPr>
          <w:lang w:val="fr-CA"/>
        </w:rPr>
        <w:t>inopérants</w:t>
      </w:r>
      <w:r w:rsidR="00953783">
        <w:rPr>
          <w:lang w:val="fr-CA"/>
        </w:rPr>
        <w:t>; les mots « les électeurs qui sont absents du Canada depuis moins de cinq années consécutives et qui ont l</w:t>
      </w:r>
      <w:r w:rsidR="00805B11">
        <w:rPr>
          <w:lang w:val="fr-CA"/>
        </w:rPr>
        <w:t>’</w:t>
      </w:r>
      <w:r w:rsidR="00953783">
        <w:rPr>
          <w:lang w:val="fr-CA"/>
        </w:rPr>
        <w:t>intention de revenir résider au Canada » sont supprimés de l</w:t>
      </w:r>
      <w:r w:rsidR="00805B11">
        <w:rPr>
          <w:lang w:val="fr-CA"/>
        </w:rPr>
        <w:t>’</w:t>
      </w:r>
      <w:r w:rsidR="00046519">
        <w:rPr>
          <w:lang w:val="fr-CA"/>
        </w:rPr>
        <w:t>al. </w:t>
      </w:r>
      <w:r w:rsidR="00953783">
        <w:rPr>
          <w:lang w:val="fr-CA"/>
        </w:rPr>
        <w:t>11d) de la Loi et sont remplacés par les mots « les électeurs qui résident à l</w:t>
      </w:r>
      <w:r w:rsidR="00805B11">
        <w:rPr>
          <w:lang w:val="fr-CA"/>
        </w:rPr>
        <w:t>’</w:t>
      </w:r>
      <w:r w:rsidR="00953783">
        <w:rPr>
          <w:lang w:val="fr-CA"/>
        </w:rPr>
        <w:t>extérieur du Canada »; et le mot « temporairement » est supprimé de l</w:t>
      </w:r>
      <w:r w:rsidR="00805B11">
        <w:rPr>
          <w:lang w:val="fr-CA"/>
        </w:rPr>
        <w:t>’</w:t>
      </w:r>
      <w:r w:rsidR="00D904D8">
        <w:rPr>
          <w:lang w:val="fr-CA"/>
        </w:rPr>
        <w:t>art. </w:t>
      </w:r>
      <w:r w:rsidR="00953783">
        <w:rPr>
          <w:lang w:val="fr-CA"/>
        </w:rPr>
        <w:t>220, du par. 222(1) et de l</w:t>
      </w:r>
      <w:r w:rsidR="00805B11">
        <w:rPr>
          <w:lang w:val="fr-CA"/>
        </w:rPr>
        <w:t>’</w:t>
      </w:r>
      <w:r w:rsidR="00D904D8">
        <w:rPr>
          <w:lang w:val="fr-CA"/>
        </w:rPr>
        <w:t>al. </w:t>
      </w:r>
      <w:r w:rsidR="00953783">
        <w:rPr>
          <w:lang w:val="fr-CA"/>
        </w:rPr>
        <w:t>223(1)e) de la Loi.</w:t>
      </w:r>
    </w:p>
    <w:p w:rsidR="00834A8E" w:rsidRPr="00CC1B94" w:rsidRDefault="00834A8E" w:rsidP="00805B11">
      <w:pPr>
        <w:pStyle w:val="SCCNormalDoubleSpacing"/>
        <w:spacing w:before="240" w:after="480"/>
        <w:rPr>
          <w:lang w:val="fr-CA"/>
        </w:rPr>
      </w:pPr>
      <w:r w:rsidRPr="00CC1B94">
        <w:rPr>
          <w:lang w:val="fr-CA"/>
        </w:rPr>
        <w:tab/>
      </w:r>
      <w:r>
        <w:rPr>
          <w:i/>
          <w:lang w:val="fr-CA"/>
        </w:rPr>
        <w:t>L</w:t>
      </w:r>
      <w:r w:rsidRPr="00CC1B94">
        <w:rPr>
          <w:i/>
          <w:lang w:val="fr-CA"/>
        </w:rPr>
        <w:t>e</w:t>
      </w:r>
      <w:r w:rsidRPr="00CC1B94">
        <w:rPr>
          <w:lang w:val="fr-CA"/>
        </w:rPr>
        <w:t xml:space="preserve"> </w:t>
      </w:r>
      <w:r>
        <w:rPr>
          <w:lang w:val="fr-CA"/>
        </w:rPr>
        <w:t xml:space="preserve">juge en chef </w:t>
      </w:r>
      <w:r w:rsidRPr="00DF702A">
        <w:rPr>
          <w:lang w:val="fr-CA"/>
        </w:rPr>
        <w:t>Wagner</w:t>
      </w:r>
      <w:r w:rsidRPr="00CC1B94">
        <w:rPr>
          <w:lang w:val="fr-CA"/>
        </w:rPr>
        <w:t xml:space="preserve"> </w:t>
      </w:r>
      <w:r>
        <w:rPr>
          <w:lang w:val="fr-CA"/>
        </w:rPr>
        <w:t>et les juges</w:t>
      </w:r>
      <w:r w:rsidRPr="00CC1B94">
        <w:rPr>
          <w:lang w:val="fr-CA"/>
        </w:rPr>
        <w:t xml:space="preserve"> </w:t>
      </w:r>
      <w:proofErr w:type="spellStart"/>
      <w:r w:rsidRPr="00CC1B94">
        <w:rPr>
          <w:lang w:val="fr-CA"/>
        </w:rPr>
        <w:t>Moldaver</w:t>
      </w:r>
      <w:proofErr w:type="spellEnd"/>
      <w:r w:rsidRPr="00CC1B94">
        <w:rPr>
          <w:lang w:val="fr-CA"/>
        </w:rPr>
        <w:t xml:space="preserve">, </w:t>
      </w:r>
      <w:proofErr w:type="spellStart"/>
      <w:r w:rsidRPr="00CC1B94">
        <w:rPr>
          <w:lang w:val="fr-CA"/>
        </w:rPr>
        <w:t>Karakatsanis</w:t>
      </w:r>
      <w:proofErr w:type="spellEnd"/>
      <w:r w:rsidRPr="00CC1B94">
        <w:rPr>
          <w:lang w:val="fr-CA"/>
        </w:rPr>
        <w:t xml:space="preserve"> </w:t>
      </w:r>
      <w:r>
        <w:rPr>
          <w:lang w:val="fr-CA"/>
        </w:rPr>
        <w:t>et Gascon </w:t>
      </w:r>
      <w:r w:rsidRPr="00CC1B94">
        <w:rPr>
          <w:lang w:val="fr-CA"/>
        </w:rPr>
        <w:t>:</w:t>
      </w:r>
      <w:r>
        <w:rPr>
          <w:lang w:val="fr-CA"/>
        </w:rPr>
        <w:t xml:space="preserve"> Comme le reconnaît le procureur général du Canada, la restriction</w:t>
      </w:r>
      <w:r w:rsidRPr="00BC2D48">
        <w:rPr>
          <w:lang w:val="fr-CA"/>
        </w:rPr>
        <w:t xml:space="preserve"> des droits de vote de</w:t>
      </w:r>
      <w:r>
        <w:rPr>
          <w:lang w:val="fr-CA"/>
        </w:rPr>
        <w:t>s citoyens</w:t>
      </w:r>
      <w:r w:rsidRPr="00BC2D48">
        <w:rPr>
          <w:lang w:val="fr-CA"/>
        </w:rPr>
        <w:t xml:space="preserve"> </w:t>
      </w:r>
      <w:proofErr w:type="spellStart"/>
      <w:r w:rsidRPr="00BC2D48">
        <w:rPr>
          <w:lang w:val="fr-CA"/>
        </w:rPr>
        <w:t>non</w:t>
      </w:r>
      <w:r>
        <w:rPr>
          <w:lang w:val="fr-CA"/>
        </w:rPr>
        <w:t xml:space="preserve"> </w:t>
      </w:r>
      <w:r w:rsidRPr="00BC2D48">
        <w:rPr>
          <w:lang w:val="fr-CA"/>
        </w:rPr>
        <w:t>résidents</w:t>
      </w:r>
      <w:proofErr w:type="spellEnd"/>
      <w:r>
        <w:rPr>
          <w:lang w:val="fr-CA"/>
        </w:rPr>
        <w:t xml:space="preserve"> à long terme</w:t>
      </w:r>
      <w:r w:rsidRPr="00BC2D48">
        <w:rPr>
          <w:lang w:val="fr-CA"/>
        </w:rPr>
        <w:t xml:space="preserve"> </w:t>
      </w:r>
      <w:r>
        <w:rPr>
          <w:lang w:val="fr-CA"/>
        </w:rPr>
        <w:t>contrevient</w:t>
      </w:r>
      <w:r w:rsidRPr="00BC2D48">
        <w:rPr>
          <w:lang w:val="fr-CA"/>
        </w:rPr>
        <w:t xml:space="preserve"> à l</w:t>
      </w:r>
      <w:r w:rsidR="00805B11">
        <w:rPr>
          <w:lang w:val="fr-CA"/>
        </w:rPr>
        <w:t>’</w:t>
      </w:r>
      <w:r w:rsidR="006A5B7F">
        <w:rPr>
          <w:lang w:val="fr-CA"/>
        </w:rPr>
        <w:t>art. </w:t>
      </w:r>
      <w:r w:rsidRPr="00BC2D48">
        <w:rPr>
          <w:lang w:val="fr-CA"/>
        </w:rPr>
        <w:t xml:space="preserve">3 de la </w:t>
      </w:r>
      <w:r w:rsidRPr="00BC2D48">
        <w:rPr>
          <w:i/>
          <w:lang w:val="fr-CA"/>
        </w:rPr>
        <w:t>Charte</w:t>
      </w:r>
      <w:r w:rsidRPr="00BC2D48">
        <w:rPr>
          <w:lang w:val="fr-CA"/>
        </w:rPr>
        <w:t>.</w:t>
      </w:r>
      <w:r>
        <w:rPr>
          <w:lang w:val="fr-CA"/>
        </w:rPr>
        <w:t xml:space="preserve"> Cette limite ne peut se justifier en vertu de l</w:t>
      </w:r>
      <w:r w:rsidR="00805B11">
        <w:rPr>
          <w:lang w:val="fr-CA"/>
        </w:rPr>
        <w:t>’</w:t>
      </w:r>
      <w:r>
        <w:rPr>
          <w:lang w:val="fr-CA"/>
        </w:rPr>
        <w:t xml:space="preserve">article premier. </w:t>
      </w:r>
      <w:r w:rsidRPr="00BC2D48">
        <w:rPr>
          <w:lang w:val="fr-CA"/>
        </w:rPr>
        <w:t xml:space="preserve">En particulier, le </w:t>
      </w:r>
      <w:r>
        <w:rPr>
          <w:lang w:val="fr-CA"/>
        </w:rPr>
        <w:t>procureur général du Canada</w:t>
      </w:r>
      <w:r w:rsidRPr="00BC2D48">
        <w:rPr>
          <w:lang w:val="fr-CA"/>
        </w:rPr>
        <w:t xml:space="preserve"> n</w:t>
      </w:r>
      <w:r w:rsidR="00805B11">
        <w:rPr>
          <w:lang w:val="fr-CA"/>
        </w:rPr>
        <w:t>’</w:t>
      </w:r>
      <w:r w:rsidRPr="00BC2D48">
        <w:rPr>
          <w:lang w:val="fr-CA"/>
        </w:rPr>
        <w:t>a pas</w:t>
      </w:r>
      <w:r>
        <w:rPr>
          <w:lang w:val="fr-CA"/>
        </w:rPr>
        <w:t xml:space="preserve"> réussi à</w:t>
      </w:r>
      <w:r w:rsidRPr="00BC2D48">
        <w:rPr>
          <w:lang w:val="fr-CA"/>
        </w:rPr>
        <w:t xml:space="preserve"> </w:t>
      </w:r>
      <w:r>
        <w:rPr>
          <w:lang w:val="fr-CA"/>
        </w:rPr>
        <w:t>établir</w:t>
      </w:r>
      <w:r w:rsidRPr="00BC2D48">
        <w:rPr>
          <w:lang w:val="fr-CA"/>
        </w:rPr>
        <w:t xml:space="preserve"> que la limitation des droits de vote de citoyens </w:t>
      </w:r>
      <w:proofErr w:type="spellStart"/>
      <w:r w:rsidRPr="00BC2D48">
        <w:rPr>
          <w:lang w:val="fr-CA"/>
        </w:rPr>
        <w:t>non</w:t>
      </w:r>
      <w:r>
        <w:rPr>
          <w:lang w:val="fr-CA"/>
        </w:rPr>
        <w:t xml:space="preserve"> </w:t>
      </w:r>
      <w:r w:rsidRPr="00BC2D48">
        <w:rPr>
          <w:lang w:val="fr-CA"/>
        </w:rPr>
        <w:t>résidents</w:t>
      </w:r>
      <w:proofErr w:type="spellEnd"/>
      <w:r w:rsidRPr="00BC2D48">
        <w:rPr>
          <w:lang w:val="fr-CA"/>
        </w:rPr>
        <w:t xml:space="preserve"> </w:t>
      </w:r>
      <w:r>
        <w:rPr>
          <w:lang w:val="fr-CA"/>
        </w:rPr>
        <w:t xml:space="preserve">constitue </w:t>
      </w:r>
      <w:r w:rsidRPr="00BC2D48">
        <w:rPr>
          <w:lang w:val="fr-CA"/>
        </w:rPr>
        <w:t>une atteinte minimale</w:t>
      </w:r>
      <w:r>
        <w:rPr>
          <w:lang w:val="fr-CA"/>
        </w:rPr>
        <w:t>.</w:t>
      </w:r>
    </w:p>
    <w:p w:rsidR="00A4187A" w:rsidRDefault="00834A8E" w:rsidP="00805B11">
      <w:pPr>
        <w:pStyle w:val="SCCNormalDoubleSpacing"/>
        <w:spacing w:before="240" w:after="480"/>
        <w:rPr>
          <w:lang w:val="fr-CA"/>
        </w:rPr>
      </w:pPr>
      <w:r w:rsidRPr="00CC1B94">
        <w:rPr>
          <w:lang w:val="fr-CA"/>
        </w:rPr>
        <w:tab/>
      </w:r>
      <w:r>
        <w:rPr>
          <w:lang w:val="fr-CA"/>
        </w:rPr>
        <w:t>Étant donné que l</w:t>
      </w:r>
      <w:r w:rsidRPr="00BC2D48">
        <w:rPr>
          <w:lang w:val="fr-CA"/>
        </w:rPr>
        <w:t>e vote est un droit politique fondamental</w:t>
      </w:r>
      <w:r>
        <w:rPr>
          <w:lang w:val="fr-CA"/>
        </w:rPr>
        <w:t>,</w:t>
      </w:r>
      <w:r w:rsidRPr="00BC2D48">
        <w:rPr>
          <w:lang w:val="fr-CA"/>
        </w:rPr>
        <w:t xml:space="preserve"> et </w:t>
      </w:r>
      <w:r>
        <w:rPr>
          <w:lang w:val="fr-CA"/>
        </w:rPr>
        <w:t>que le droit de vote</w:t>
      </w:r>
      <w:r w:rsidR="00A4187A">
        <w:rPr>
          <w:lang w:val="fr-CA"/>
        </w:rPr>
        <w:t>r</w:t>
      </w:r>
      <w:r>
        <w:rPr>
          <w:lang w:val="fr-CA"/>
        </w:rPr>
        <w:t xml:space="preserve"> est </w:t>
      </w:r>
      <w:r w:rsidRPr="00BC2D48">
        <w:rPr>
          <w:lang w:val="fr-CA"/>
        </w:rPr>
        <w:t xml:space="preserve">un </w:t>
      </w:r>
      <w:r>
        <w:rPr>
          <w:lang w:val="fr-CA"/>
        </w:rPr>
        <w:t>principe de base de la</w:t>
      </w:r>
      <w:r w:rsidRPr="00BC2D48">
        <w:rPr>
          <w:lang w:val="fr-CA"/>
        </w:rPr>
        <w:t xml:space="preserve"> démocratie</w:t>
      </w:r>
      <w:r w:rsidRPr="00CC1B94">
        <w:rPr>
          <w:lang w:val="fr-CA"/>
        </w:rPr>
        <w:t xml:space="preserve"> </w:t>
      </w:r>
      <w:r>
        <w:rPr>
          <w:lang w:val="fr-CA"/>
        </w:rPr>
        <w:t>canadienne, t</w:t>
      </w:r>
      <w:r w:rsidRPr="00BC2D48">
        <w:rPr>
          <w:lang w:val="fr-CA"/>
        </w:rPr>
        <w:t xml:space="preserve">oute </w:t>
      </w:r>
      <w:r>
        <w:rPr>
          <w:lang w:val="fr-CA"/>
        </w:rPr>
        <w:t>restriction</w:t>
      </w:r>
      <w:r w:rsidRPr="00BC2D48">
        <w:rPr>
          <w:lang w:val="fr-CA"/>
        </w:rPr>
        <w:t xml:space="preserve"> du droit de vote doit </w:t>
      </w:r>
      <w:r>
        <w:rPr>
          <w:lang w:val="fr-CA"/>
        </w:rPr>
        <w:t>faire l</w:t>
      </w:r>
      <w:r w:rsidR="00805B11">
        <w:rPr>
          <w:lang w:val="fr-CA"/>
        </w:rPr>
        <w:t>’</w:t>
      </w:r>
      <w:r>
        <w:rPr>
          <w:lang w:val="fr-CA"/>
        </w:rPr>
        <w:t>objet d</w:t>
      </w:r>
      <w:r w:rsidR="00805B11">
        <w:rPr>
          <w:lang w:val="fr-CA"/>
        </w:rPr>
        <w:t>’</w:t>
      </w:r>
      <w:r>
        <w:rPr>
          <w:lang w:val="fr-CA"/>
        </w:rPr>
        <w:t>un examen</w:t>
      </w:r>
      <w:r w:rsidRPr="00BC2D48">
        <w:rPr>
          <w:lang w:val="fr-CA"/>
        </w:rPr>
        <w:t xml:space="preserve"> minutieu</w:t>
      </w:r>
      <w:r>
        <w:rPr>
          <w:lang w:val="fr-CA"/>
        </w:rPr>
        <w:t>x e</w:t>
      </w:r>
      <w:r w:rsidRPr="00BC2D48">
        <w:rPr>
          <w:lang w:val="fr-CA"/>
        </w:rPr>
        <w:t xml:space="preserve">t ne saurait être tolérée sans justification </w:t>
      </w:r>
      <w:r>
        <w:rPr>
          <w:lang w:val="fr-CA"/>
        </w:rPr>
        <w:t>impérieuse</w:t>
      </w:r>
      <w:r w:rsidRPr="00BC2D48">
        <w:rPr>
          <w:lang w:val="fr-CA"/>
        </w:rPr>
        <w:t>.</w:t>
      </w:r>
      <w:r w:rsidRPr="003B3FC6">
        <w:rPr>
          <w:lang w:val="fr-CA"/>
        </w:rPr>
        <w:t xml:space="preserve"> </w:t>
      </w:r>
      <w:r>
        <w:rPr>
          <w:lang w:val="fr-CA"/>
        </w:rPr>
        <w:t>Les</w:t>
      </w:r>
      <w:r w:rsidRPr="00BC2D48">
        <w:rPr>
          <w:lang w:val="fr-CA"/>
        </w:rPr>
        <w:t xml:space="preserve"> dérogation</w:t>
      </w:r>
      <w:r>
        <w:rPr>
          <w:lang w:val="fr-CA"/>
        </w:rPr>
        <w:t>s</w:t>
      </w:r>
      <w:r w:rsidRPr="00BC2D48">
        <w:rPr>
          <w:lang w:val="fr-CA"/>
        </w:rPr>
        <w:t xml:space="preserve"> à ce droit démocratique fondamental doi</w:t>
      </w:r>
      <w:r>
        <w:rPr>
          <w:lang w:val="fr-CA"/>
        </w:rPr>
        <w:t>ven</w:t>
      </w:r>
      <w:r w:rsidRPr="00BC2D48">
        <w:rPr>
          <w:lang w:val="fr-CA"/>
        </w:rPr>
        <w:t>t être examinée</w:t>
      </w:r>
      <w:r>
        <w:rPr>
          <w:lang w:val="fr-CA"/>
        </w:rPr>
        <w:t xml:space="preserve">s </w:t>
      </w:r>
      <w:r w:rsidRPr="00BC2D48">
        <w:rPr>
          <w:lang w:val="fr-CA"/>
        </w:rPr>
        <w:t xml:space="preserve">en </w:t>
      </w:r>
      <w:r>
        <w:rPr>
          <w:lang w:val="fr-CA"/>
        </w:rPr>
        <w:t>fonction d</w:t>
      </w:r>
      <w:r w:rsidR="00805B11">
        <w:rPr>
          <w:lang w:val="fr-CA"/>
        </w:rPr>
        <w:t>’</w:t>
      </w:r>
      <w:r w:rsidRPr="00BC2D48">
        <w:rPr>
          <w:lang w:val="fr-CA"/>
        </w:rPr>
        <w:t>une norme stricte en matière de justification</w:t>
      </w:r>
      <w:r>
        <w:rPr>
          <w:lang w:val="fr-CA"/>
        </w:rPr>
        <w:t>. L</w:t>
      </w:r>
      <w:r w:rsidRPr="00BC2D48">
        <w:rPr>
          <w:lang w:val="fr-CA"/>
        </w:rPr>
        <w:t xml:space="preserve">es cours </w:t>
      </w:r>
      <w:r w:rsidRPr="00BC2D48">
        <w:rPr>
          <w:lang w:val="fr-CA"/>
        </w:rPr>
        <w:lastRenderedPageBreak/>
        <w:t xml:space="preserve">de révision doivent soigneusement et rigoureusement examiner la justification </w:t>
      </w:r>
      <w:r>
        <w:rPr>
          <w:lang w:val="fr-CA"/>
        </w:rPr>
        <w:t>donnée</w:t>
      </w:r>
      <w:r w:rsidRPr="00BC2D48">
        <w:rPr>
          <w:lang w:val="fr-CA"/>
        </w:rPr>
        <w:t xml:space="preserve"> plutôt que d</w:t>
      </w:r>
      <w:r w:rsidR="00805B11">
        <w:rPr>
          <w:lang w:val="fr-CA"/>
        </w:rPr>
        <w:t>’</w:t>
      </w:r>
      <w:r w:rsidRPr="00BC2D48">
        <w:rPr>
          <w:lang w:val="fr-CA"/>
        </w:rPr>
        <w:t xml:space="preserve">adopter une attitude </w:t>
      </w:r>
      <w:r>
        <w:rPr>
          <w:lang w:val="fr-CA"/>
        </w:rPr>
        <w:t xml:space="preserve">empreinte de </w:t>
      </w:r>
      <w:r w:rsidRPr="00BC2D48">
        <w:rPr>
          <w:lang w:val="fr-CA"/>
        </w:rPr>
        <w:t>déféren</w:t>
      </w:r>
      <w:r>
        <w:rPr>
          <w:lang w:val="fr-CA"/>
        </w:rPr>
        <w:t>c</w:t>
      </w:r>
      <w:r w:rsidRPr="00BC2D48">
        <w:rPr>
          <w:lang w:val="fr-CA"/>
        </w:rPr>
        <w:t>e</w:t>
      </w:r>
      <w:r>
        <w:rPr>
          <w:lang w:val="fr-CA"/>
        </w:rPr>
        <w:t>.</w:t>
      </w:r>
      <w:r w:rsidRPr="00DF1E0E">
        <w:rPr>
          <w:lang w:val="fr-CA"/>
        </w:rPr>
        <w:t xml:space="preserve"> </w:t>
      </w:r>
      <w:r>
        <w:rPr>
          <w:lang w:val="fr-CA"/>
        </w:rPr>
        <w:t>D</w:t>
      </w:r>
      <w:r w:rsidRPr="00BC2D48">
        <w:rPr>
          <w:lang w:val="fr-CA"/>
        </w:rPr>
        <w:t xml:space="preserve">eux critères fondamentaux </w:t>
      </w:r>
      <w:r>
        <w:rPr>
          <w:lang w:val="fr-CA"/>
        </w:rPr>
        <w:t xml:space="preserve">doivent être respectés </w:t>
      </w:r>
      <w:r w:rsidRPr="00BC2D48">
        <w:rPr>
          <w:lang w:val="fr-CA"/>
        </w:rPr>
        <w:t xml:space="preserve">pour </w:t>
      </w:r>
      <w:r>
        <w:rPr>
          <w:lang w:val="fr-CA"/>
        </w:rPr>
        <w:t>que la restric</w:t>
      </w:r>
      <w:r w:rsidRPr="00BC2D48">
        <w:rPr>
          <w:lang w:val="fr-CA"/>
        </w:rPr>
        <w:t>tion d</w:t>
      </w:r>
      <w:r w:rsidR="00805B11">
        <w:rPr>
          <w:lang w:val="fr-CA"/>
        </w:rPr>
        <w:t>’</w:t>
      </w:r>
      <w:r w:rsidRPr="00BC2D48">
        <w:rPr>
          <w:lang w:val="fr-CA"/>
        </w:rPr>
        <w:t xml:space="preserve">un droit garanti par la </w:t>
      </w:r>
      <w:r w:rsidRPr="00BC2D48">
        <w:rPr>
          <w:i/>
          <w:lang w:val="fr-CA"/>
        </w:rPr>
        <w:t>Charte</w:t>
      </w:r>
      <w:r w:rsidRPr="00BC2D48">
        <w:rPr>
          <w:lang w:val="fr-CA"/>
        </w:rPr>
        <w:t xml:space="preserve"> soit justifiée en vertu de l</w:t>
      </w:r>
      <w:r w:rsidR="00805B11">
        <w:rPr>
          <w:lang w:val="fr-CA"/>
        </w:rPr>
        <w:t>’</w:t>
      </w:r>
      <w:r w:rsidRPr="00BC2D48">
        <w:rPr>
          <w:lang w:val="fr-CA"/>
        </w:rPr>
        <w:t>article premier</w:t>
      </w:r>
      <w:r>
        <w:rPr>
          <w:lang w:val="fr-CA"/>
        </w:rPr>
        <w:t xml:space="preserve">. </w:t>
      </w:r>
      <w:r w:rsidRPr="00BC2D48">
        <w:rPr>
          <w:lang w:val="fr-CA"/>
        </w:rPr>
        <w:t>En premier lieu, l</w:t>
      </w:r>
      <w:r w:rsidR="00805B11">
        <w:rPr>
          <w:lang w:val="fr-CA"/>
        </w:rPr>
        <w:t>’</w:t>
      </w:r>
      <w:r w:rsidRPr="00BC2D48">
        <w:rPr>
          <w:lang w:val="fr-CA"/>
        </w:rPr>
        <w:t xml:space="preserve">objectif de la mesure </w:t>
      </w:r>
      <w:r>
        <w:rPr>
          <w:lang w:val="fr-CA"/>
        </w:rPr>
        <w:t xml:space="preserve">doit être urgent et réel. </w:t>
      </w:r>
      <w:r w:rsidRPr="00BC2D48">
        <w:rPr>
          <w:lang w:val="fr-CA"/>
        </w:rPr>
        <w:t>En deuxième lieu, le moyen par lequel l</w:t>
      </w:r>
      <w:r w:rsidR="00805B11">
        <w:rPr>
          <w:lang w:val="fr-CA"/>
        </w:rPr>
        <w:t>’</w:t>
      </w:r>
      <w:r w:rsidRPr="00BC2D48">
        <w:rPr>
          <w:lang w:val="fr-CA"/>
        </w:rPr>
        <w:t>objectif est réalisé doit être proportionné</w:t>
      </w:r>
      <w:r>
        <w:rPr>
          <w:lang w:val="fr-CA"/>
        </w:rPr>
        <w:t>, ce qui exige un</w:t>
      </w:r>
      <w:r w:rsidRPr="00BC2D48">
        <w:rPr>
          <w:lang w:val="fr-CA"/>
        </w:rPr>
        <w:t xml:space="preserve"> lien rationnel</w:t>
      </w:r>
      <w:r>
        <w:rPr>
          <w:lang w:val="fr-CA"/>
        </w:rPr>
        <w:t xml:space="preserve"> avec l</w:t>
      </w:r>
      <w:r w:rsidR="00805B11">
        <w:rPr>
          <w:lang w:val="fr-CA"/>
        </w:rPr>
        <w:t>’</w:t>
      </w:r>
      <w:r>
        <w:rPr>
          <w:lang w:val="fr-CA"/>
        </w:rPr>
        <w:t>objectif</w:t>
      </w:r>
      <w:r w:rsidRPr="00BC2D48">
        <w:rPr>
          <w:lang w:val="fr-CA"/>
        </w:rPr>
        <w:t xml:space="preserve">, </w:t>
      </w:r>
      <w:r>
        <w:rPr>
          <w:lang w:val="fr-CA"/>
        </w:rPr>
        <w:t xml:space="preserve">une </w:t>
      </w:r>
      <w:r w:rsidRPr="00BC2D48">
        <w:rPr>
          <w:lang w:val="fr-CA"/>
        </w:rPr>
        <w:t>atteinte minimale</w:t>
      </w:r>
      <w:r>
        <w:rPr>
          <w:lang w:val="fr-CA"/>
        </w:rPr>
        <w:t xml:space="preserve"> au droit</w:t>
      </w:r>
      <w:r w:rsidRPr="00BC2D48">
        <w:rPr>
          <w:lang w:val="fr-CA"/>
        </w:rPr>
        <w:t xml:space="preserve"> et la proportionnalité entre les effets </w:t>
      </w:r>
      <w:r>
        <w:rPr>
          <w:lang w:val="fr-CA"/>
        </w:rPr>
        <w:t>de la mesure et l</w:t>
      </w:r>
      <w:r w:rsidR="00805B11">
        <w:rPr>
          <w:lang w:val="fr-CA"/>
        </w:rPr>
        <w:t>’</w:t>
      </w:r>
      <w:r>
        <w:rPr>
          <w:lang w:val="fr-CA"/>
        </w:rPr>
        <w:t xml:space="preserve">objectif. </w:t>
      </w:r>
      <w:r w:rsidRPr="00BC2D48">
        <w:rPr>
          <w:lang w:val="fr-CA"/>
        </w:rPr>
        <w:t>L</w:t>
      </w:r>
      <w:r w:rsidR="00805B11">
        <w:rPr>
          <w:lang w:val="fr-CA"/>
        </w:rPr>
        <w:t>’</w:t>
      </w:r>
      <w:r w:rsidRPr="00BC2D48">
        <w:rPr>
          <w:lang w:val="fr-CA"/>
        </w:rPr>
        <w:t xml:space="preserve">examen de la proportionnalité se veut à la fois normatif et contextuel, </w:t>
      </w:r>
      <w:r>
        <w:rPr>
          <w:lang w:val="fr-CA"/>
        </w:rPr>
        <w:t>et oblige</w:t>
      </w:r>
      <w:r w:rsidRPr="00BC2D48">
        <w:rPr>
          <w:lang w:val="fr-CA"/>
        </w:rPr>
        <w:t xml:space="preserve"> les tribunaux à soupeser les intérêts de la société et ceux de particuliers et de groupes</w:t>
      </w:r>
      <w:r>
        <w:rPr>
          <w:lang w:val="fr-CA"/>
        </w:rPr>
        <w:t>.</w:t>
      </w:r>
    </w:p>
    <w:p w:rsidR="00834A8E" w:rsidRPr="00CC1B94" w:rsidRDefault="00A4187A" w:rsidP="00805B11">
      <w:pPr>
        <w:pStyle w:val="SCCNormalDoubleSpacing"/>
        <w:spacing w:before="240" w:after="480"/>
        <w:rPr>
          <w:lang w:val="fr-CA"/>
        </w:rPr>
      </w:pPr>
      <w:r>
        <w:rPr>
          <w:lang w:val="fr-CA"/>
        </w:rPr>
        <w:tab/>
      </w:r>
      <w:r w:rsidR="00834A8E" w:rsidRPr="00BC2D48">
        <w:rPr>
          <w:lang w:val="fr-CA"/>
        </w:rPr>
        <w:t>L</w:t>
      </w:r>
      <w:r w:rsidR="00805B11">
        <w:rPr>
          <w:lang w:val="fr-CA"/>
        </w:rPr>
        <w:t>’</w:t>
      </w:r>
      <w:r w:rsidR="00834A8E" w:rsidRPr="00BC2D48">
        <w:rPr>
          <w:lang w:val="fr-CA"/>
        </w:rPr>
        <w:t>intégrité de l</w:t>
      </w:r>
      <w:r w:rsidR="00805B11">
        <w:rPr>
          <w:lang w:val="fr-CA"/>
        </w:rPr>
        <w:t>’</w:t>
      </w:r>
      <w:r w:rsidR="00834A8E" w:rsidRPr="00BC2D48">
        <w:rPr>
          <w:lang w:val="fr-CA"/>
        </w:rPr>
        <w:t xml:space="preserve">analyse de la justification </w:t>
      </w:r>
      <w:r w:rsidR="00834A8E">
        <w:rPr>
          <w:lang w:val="fr-CA"/>
        </w:rPr>
        <w:t>exige que l</w:t>
      </w:r>
      <w:r w:rsidR="00805B11">
        <w:rPr>
          <w:lang w:val="fr-CA"/>
        </w:rPr>
        <w:t>’</w:t>
      </w:r>
      <w:r w:rsidR="00834A8E">
        <w:rPr>
          <w:lang w:val="fr-CA"/>
        </w:rPr>
        <w:t>objectif législatif soit</w:t>
      </w:r>
      <w:r w:rsidR="00834A8E" w:rsidRPr="00BC2D48">
        <w:rPr>
          <w:lang w:val="fr-CA"/>
        </w:rPr>
        <w:t xml:space="preserve"> formul</w:t>
      </w:r>
      <w:r w:rsidR="00834A8E">
        <w:rPr>
          <w:lang w:val="fr-CA"/>
        </w:rPr>
        <w:t xml:space="preserve">é correctement. </w:t>
      </w:r>
      <w:r w:rsidR="00834A8E" w:rsidRPr="00BC2D48">
        <w:rPr>
          <w:lang w:val="fr-CA"/>
        </w:rPr>
        <w:t>L</w:t>
      </w:r>
      <w:r w:rsidR="00805B11">
        <w:rPr>
          <w:lang w:val="fr-CA"/>
        </w:rPr>
        <w:t>’</w:t>
      </w:r>
      <w:r w:rsidR="00834A8E" w:rsidRPr="00BC2D48">
        <w:rPr>
          <w:lang w:val="fr-CA"/>
        </w:rPr>
        <w:t xml:space="preserve">objectif à considérer est celui de la mesure attentatoire, </w:t>
      </w:r>
      <w:r w:rsidR="00834A8E">
        <w:rPr>
          <w:lang w:val="fr-CA"/>
        </w:rPr>
        <w:t xml:space="preserve">et non, de façon </w:t>
      </w:r>
      <w:r w:rsidR="00834A8E" w:rsidRPr="00BC2D48">
        <w:rPr>
          <w:lang w:val="fr-CA"/>
        </w:rPr>
        <w:t>plus générale</w:t>
      </w:r>
      <w:r w:rsidR="00834A8E">
        <w:rPr>
          <w:lang w:val="fr-CA"/>
        </w:rPr>
        <w:t>,</w:t>
      </w:r>
      <w:r w:rsidR="00834A8E" w:rsidRPr="00BC2D48">
        <w:rPr>
          <w:lang w:val="fr-CA"/>
        </w:rPr>
        <w:t xml:space="preserve"> celui de la disposition</w:t>
      </w:r>
      <w:r w:rsidR="00834A8E">
        <w:rPr>
          <w:lang w:val="fr-CA"/>
        </w:rPr>
        <w:t>. En l</w:t>
      </w:r>
      <w:r w:rsidR="00805B11">
        <w:rPr>
          <w:lang w:val="fr-CA"/>
        </w:rPr>
        <w:t>’</w:t>
      </w:r>
      <w:r w:rsidR="00834A8E">
        <w:rPr>
          <w:lang w:val="fr-CA"/>
        </w:rPr>
        <w:t xml:space="preserve">espèce, le procureur général du Canada </w:t>
      </w:r>
      <w:r w:rsidR="00834A8E" w:rsidRPr="00BC2D48">
        <w:rPr>
          <w:lang w:val="fr-CA"/>
        </w:rPr>
        <w:t xml:space="preserve">a principalement et constamment fait valoir que les restrictions relatives au </w:t>
      </w:r>
      <w:r w:rsidR="00834A8E">
        <w:rPr>
          <w:lang w:val="fr-CA"/>
        </w:rPr>
        <w:t xml:space="preserve">droit de </w:t>
      </w:r>
      <w:r w:rsidR="00834A8E" w:rsidRPr="00BC2D48">
        <w:rPr>
          <w:lang w:val="fr-CA"/>
        </w:rPr>
        <w:t>vote en question</w:t>
      </w:r>
      <w:r w:rsidR="00834A8E">
        <w:rPr>
          <w:lang w:val="fr-CA"/>
        </w:rPr>
        <w:t xml:space="preserve"> permett</w:t>
      </w:r>
      <w:r w:rsidR="00834A8E" w:rsidRPr="00BC2D48">
        <w:rPr>
          <w:lang w:val="fr-CA"/>
        </w:rPr>
        <w:t>ent de réaliser l</w:t>
      </w:r>
      <w:r w:rsidR="00805B11">
        <w:rPr>
          <w:lang w:val="fr-CA"/>
        </w:rPr>
        <w:t>’</w:t>
      </w:r>
      <w:r w:rsidR="00834A8E" w:rsidRPr="00BC2D48">
        <w:rPr>
          <w:lang w:val="fr-CA"/>
        </w:rPr>
        <w:t>objectif de maintenir l</w:t>
      </w:r>
      <w:r w:rsidR="00805B11">
        <w:rPr>
          <w:lang w:val="fr-CA"/>
        </w:rPr>
        <w:t>’</w:t>
      </w:r>
      <w:r w:rsidR="00834A8E" w:rsidRPr="00BC2D48">
        <w:rPr>
          <w:lang w:val="fr-CA"/>
        </w:rPr>
        <w:t>équité du système électoral à l</w:t>
      </w:r>
      <w:r w:rsidR="00805B11">
        <w:rPr>
          <w:lang w:val="fr-CA"/>
        </w:rPr>
        <w:t>’</w:t>
      </w:r>
      <w:r w:rsidR="00834A8E" w:rsidRPr="00BC2D48">
        <w:rPr>
          <w:lang w:val="fr-CA"/>
        </w:rPr>
        <w:t>égard des Canadiens résidents</w:t>
      </w:r>
      <w:r w:rsidR="00834A8E">
        <w:rPr>
          <w:lang w:val="fr-CA"/>
        </w:rPr>
        <w:t>. Il s</w:t>
      </w:r>
      <w:r w:rsidR="00805B11">
        <w:rPr>
          <w:lang w:val="fr-CA"/>
        </w:rPr>
        <w:t>’</w:t>
      </w:r>
      <w:r w:rsidR="00834A8E">
        <w:rPr>
          <w:lang w:val="fr-CA"/>
        </w:rPr>
        <w:t>agit d</w:t>
      </w:r>
      <w:r w:rsidR="00805B11">
        <w:rPr>
          <w:lang w:val="fr-CA"/>
        </w:rPr>
        <w:t>’</w:t>
      </w:r>
      <w:r w:rsidR="00834A8E" w:rsidRPr="00BC2D48">
        <w:rPr>
          <w:lang w:val="fr-CA"/>
        </w:rPr>
        <w:t>un objectif législatif suffisamment important pour justifier l</w:t>
      </w:r>
      <w:r w:rsidR="00805B11">
        <w:rPr>
          <w:lang w:val="fr-CA"/>
        </w:rPr>
        <w:t>’</w:t>
      </w:r>
      <w:r w:rsidR="00834A8E" w:rsidRPr="00BC2D48">
        <w:rPr>
          <w:lang w:val="fr-CA"/>
        </w:rPr>
        <w:t>analyse fondée sur l</w:t>
      </w:r>
      <w:r w:rsidR="00805B11">
        <w:rPr>
          <w:lang w:val="fr-CA"/>
        </w:rPr>
        <w:t>’</w:t>
      </w:r>
      <w:r w:rsidR="00834A8E" w:rsidRPr="00BC2D48">
        <w:rPr>
          <w:lang w:val="fr-CA"/>
        </w:rPr>
        <w:t>article premier</w:t>
      </w:r>
      <w:r w:rsidR="00834A8E">
        <w:rPr>
          <w:lang w:val="fr-CA"/>
        </w:rPr>
        <w:t>, et il peut constituer</w:t>
      </w:r>
      <w:r w:rsidR="00834A8E" w:rsidRPr="00BC2D48">
        <w:rPr>
          <w:lang w:val="fr-CA"/>
        </w:rPr>
        <w:t xml:space="preserve"> une préoccupation urgente et réelle</w:t>
      </w:r>
      <w:r w:rsidR="00834A8E">
        <w:rPr>
          <w:lang w:val="fr-CA"/>
        </w:rPr>
        <w:t xml:space="preserve"> même si les mesures prises pour atteindre cet objectif portent atteinte aux droits démocratiques d</w:t>
      </w:r>
      <w:r w:rsidR="00805B11">
        <w:rPr>
          <w:lang w:val="fr-CA"/>
        </w:rPr>
        <w:t>’</w:t>
      </w:r>
      <w:r w:rsidR="00834A8E">
        <w:rPr>
          <w:lang w:val="fr-CA"/>
        </w:rPr>
        <w:t>autres citoyens. Cet objectif est</w:t>
      </w:r>
      <w:r w:rsidR="00834A8E" w:rsidRPr="00BC2D48">
        <w:rPr>
          <w:lang w:val="fr-CA"/>
        </w:rPr>
        <w:t xml:space="preserve"> suffisamment précis pour</w:t>
      </w:r>
      <w:r w:rsidR="00834A8E">
        <w:rPr>
          <w:lang w:val="fr-CA"/>
        </w:rPr>
        <w:t xml:space="preserve"> que se poursuive </w:t>
      </w:r>
      <w:r w:rsidR="00834A8E" w:rsidRPr="00BC2D48">
        <w:rPr>
          <w:lang w:val="fr-CA"/>
        </w:rPr>
        <w:t>l</w:t>
      </w:r>
      <w:r w:rsidR="00805B11">
        <w:rPr>
          <w:lang w:val="fr-CA"/>
        </w:rPr>
        <w:t>’</w:t>
      </w:r>
      <w:r w:rsidR="00834A8E" w:rsidRPr="00BC2D48">
        <w:rPr>
          <w:lang w:val="fr-CA"/>
        </w:rPr>
        <w:t>analyse de la justification</w:t>
      </w:r>
      <w:r w:rsidR="00834A8E">
        <w:rPr>
          <w:lang w:val="fr-CA"/>
        </w:rPr>
        <w:t>.</w:t>
      </w:r>
      <w:r w:rsidR="00834A8E" w:rsidRPr="00CC1B94">
        <w:rPr>
          <w:lang w:val="fr-CA"/>
        </w:rPr>
        <w:t xml:space="preserve"> </w:t>
      </w:r>
    </w:p>
    <w:p w:rsidR="00834A8E" w:rsidRPr="00CC1B94" w:rsidRDefault="00834A8E" w:rsidP="00805B11">
      <w:pPr>
        <w:pStyle w:val="SCCNormalDoubleSpacing"/>
        <w:spacing w:before="240" w:after="480"/>
        <w:rPr>
          <w:lang w:val="fr-CA"/>
        </w:rPr>
      </w:pPr>
      <w:r w:rsidRPr="00CC1B94">
        <w:rPr>
          <w:lang w:val="fr-CA"/>
        </w:rPr>
        <w:tab/>
      </w:r>
      <w:r w:rsidRPr="00BC2D48">
        <w:rPr>
          <w:lang w:val="fr-CA"/>
        </w:rPr>
        <w:t>La</w:t>
      </w:r>
      <w:r>
        <w:rPr>
          <w:lang w:val="fr-CA"/>
        </w:rPr>
        <w:t xml:space="preserve"> question à la</w:t>
      </w:r>
      <w:r w:rsidRPr="00BC2D48">
        <w:rPr>
          <w:lang w:val="fr-CA"/>
        </w:rPr>
        <w:t xml:space="preserve"> première étape de l</w:t>
      </w:r>
      <w:r w:rsidR="00805B11">
        <w:rPr>
          <w:lang w:val="fr-CA"/>
        </w:rPr>
        <w:t>’</w:t>
      </w:r>
      <w:r w:rsidRPr="00BC2D48">
        <w:rPr>
          <w:lang w:val="fr-CA"/>
        </w:rPr>
        <w:t>examen</w:t>
      </w:r>
      <w:r>
        <w:rPr>
          <w:lang w:val="fr-CA"/>
        </w:rPr>
        <w:t xml:space="preserve"> de la proportionnalité est de savoir</w:t>
      </w:r>
      <w:r w:rsidRPr="00BC2D48">
        <w:rPr>
          <w:lang w:val="fr-CA"/>
        </w:rPr>
        <w:t xml:space="preserve"> si </w:t>
      </w:r>
      <w:r>
        <w:rPr>
          <w:lang w:val="fr-CA"/>
        </w:rPr>
        <w:t>la</w:t>
      </w:r>
      <w:r w:rsidRPr="00BC2D48">
        <w:rPr>
          <w:lang w:val="fr-CA"/>
        </w:rPr>
        <w:t xml:space="preserve"> mesure </w:t>
      </w:r>
      <w:r>
        <w:rPr>
          <w:lang w:val="fr-CA"/>
        </w:rPr>
        <w:t xml:space="preserve">qui a été </w:t>
      </w:r>
      <w:r w:rsidRPr="00BC2D48">
        <w:rPr>
          <w:lang w:val="fr-CA"/>
        </w:rPr>
        <w:t xml:space="preserve">adoptée </w:t>
      </w:r>
      <w:r>
        <w:rPr>
          <w:lang w:val="fr-CA"/>
        </w:rPr>
        <w:t>a</w:t>
      </w:r>
      <w:r w:rsidRPr="00BC2D48">
        <w:rPr>
          <w:lang w:val="fr-CA"/>
        </w:rPr>
        <w:t xml:space="preserve"> un lien rationnel avec </w:t>
      </w:r>
      <w:r>
        <w:rPr>
          <w:lang w:val="fr-CA"/>
        </w:rPr>
        <w:t xml:space="preserve">cet </w:t>
      </w:r>
      <w:r w:rsidRPr="00BC2D48">
        <w:rPr>
          <w:lang w:val="fr-CA"/>
        </w:rPr>
        <w:t>objectif.</w:t>
      </w:r>
      <w:r>
        <w:rPr>
          <w:lang w:val="fr-CA"/>
        </w:rPr>
        <w:t xml:space="preserve"> </w:t>
      </w:r>
      <w:r w:rsidRPr="00BC2D48">
        <w:rPr>
          <w:lang w:val="fr-CA"/>
        </w:rPr>
        <w:t xml:space="preserve">Dans les cas </w:t>
      </w:r>
      <w:r w:rsidRPr="00BC2D48">
        <w:rPr>
          <w:lang w:val="fr-CA"/>
        </w:rPr>
        <w:lastRenderedPageBreak/>
        <w:t>où un tel lien</w:t>
      </w:r>
      <w:r w:rsidR="00A4187A">
        <w:rPr>
          <w:lang w:val="fr-CA"/>
        </w:rPr>
        <w:t xml:space="preserve"> de causalité</w:t>
      </w:r>
      <w:r w:rsidRPr="00BC2D48">
        <w:rPr>
          <w:lang w:val="fr-CA"/>
        </w:rPr>
        <w:t xml:space="preserve"> n</w:t>
      </w:r>
      <w:r w:rsidR="00805B11">
        <w:rPr>
          <w:lang w:val="fr-CA"/>
        </w:rPr>
        <w:t>’</w:t>
      </w:r>
      <w:r w:rsidRPr="00BC2D48">
        <w:rPr>
          <w:lang w:val="fr-CA"/>
        </w:rPr>
        <w:t xml:space="preserve">est pas </w:t>
      </w:r>
      <w:r>
        <w:rPr>
          <w:lang w:val="fr-CA"/>
        </w:rPr>
        <w:t>scientifiquement mesurable, son existence</w:t>
      </w:r>
      <w:r w:rsidRPr="00BC2D48">
        <w:rPr>
          <w:lang w:val="fr-CA"/>
        </w:rPr>
        <w:t xml:space="preserve"> peut être établi</w:t>
      </w:r>
      <w:r>
        <w:rPr>
          <w:lang w:val="fr-CA"/>
        </w:rPr>
        <w:t>e</w:t>
      </w:r>
      <w:r w:rsidRPr="00BC2D48">
        <w:rPr>
          <w:lang w:val="fr-CA"/>
        </w:rPr>
        <w:t xml:space="preserve"> sur le fondement de la</w:t>
      </w:r>
      <w:r>
        <w:rPr>
          <w:lang w:val="fr-CA"/>
        </w:rPr>
        <w:t xml:space="preserve"> raison ou de la logique. Dans un tel cas, il </w:t>
      </w:r>
      <w:r w:rsidRPr="00BC2D48">
        <w:rPr>
          <w:lang w:val="fr-CA"/>
        </w:rPr>
        <w:t>doit</w:t>
      </w:r>
      <w:r>
        <w:rPr>
          <w:lang w:val="fr-CA"/>
        </w:rPr>
        <w:t xml:space="preserve"> être</w:t>
      </w:r>
      <w:r w:rsidRPr="00BC2D48">
        <w:rPr>
          <w:lang w:val="fr-CA"/>
        </w:rPr>
        <w:t xml:space="preserve"> démontr</w:t>
      </w:r>
      <w:r>
        <w:rPr>
          <w:lang w:val="fr-CA"/>
        </w:rPr>
        <w:t>é</w:t>
      </w:r>
      <w:r w:rsidRPr="00BC2D48">
        <w:rPr>
          <w:lang w:val="fr-CA"/>
        </w:rPr>
        <w:t xml:space="preserve"> que l</w:t>
      </w:r>
      <w:r w:rsidR="00805B11">
        <w:rPr>
          <w:lang w:val="fr-CA"/>
        </w:rPr>
        <w:t>’</w:t>
      </w:r>
      <w:r w:rsidRPr="00BC2D48">
        <w:rPr>
          <w:lang w:val="fr-CA"/>
        </w:rPr>
        <w:t>atteinte aux droits de vote de non</w:t>
      </w:r>
      <w:r w:rsidR="00046519">
        <w:rPr>
          <w:lang w:val="fr-CA"/>
        </w:rPr>
        <w:noBreakHyphen/>
      </w:r>
      <w:r w:rsidRPr="00BC2D48">
        <w:rPr>
          <w:lang w:val="fr-CA"/>
        </w:rPr>
        <w:t>résidents a un lien rationnel avec l</w:t>
      </w:r>
      <w:r w:rsidR="00805B11">
        <w:rPr>
          <w:lang w:val="fr-CA"/>
        </w:rPr>
        <w:t>’</w:t>
      </w:r>
      <w:r w:rsidRPr="00BC2D48">
        <w:rPr>
          <w:lang w:val="fr-CA"/>
        </w:rPr>
        <w:t xml:space="preserve">objectif législatif </w:t>
      </w:r>
      <w:r>
        <w:rPr>
          <w:lang w:val="fr-CA"/>
        </w:rPr>
        <w:t xml:space="preserve">consistant à </w:t>
      </w:r>
      <w:r w:rsidRPr="00BC2D48">
        <w:rPr>
          <w:lang w:val="fr-CA"/>
        </w:rPr>
        <w:t>assurer l</w:t>
      </w:r>
      <w:r w:rsidR="00805B11">
        <w:rPr>
          <w:lang w:val="fr-CA"/>
        </w:rPr>
        <w:t>’</w:t>
      </w:r>
      <w:r w:rsidRPr="00BC2D48">
        <w:rPr>
          <w:lang w:val="fr-CA"/>
        </w:rPr>
        <w:t>équité électorale à l</w:t>
      </w:r>
      <w:r w:rsidR="00805B11">
        <w:rPr>
          <w:lang w:val="fr-CA"/>
        </w:rPr>
        <w:t>’</w:t>
      </w:r>
      <w:r w:rsidRPr="00BC2D48">
        <w:rPr>
          <w:lang w:val="fr-CA"/>
        </w:rPr>
        <w:t>égard des électeurs résidents</w:t>
      </w:r>
      <w:r>
        <w:rPr>
          <w:lang w:val="fr-CA"/>
        </w:rPr>
        <w:t>. En l</w:t>
      </w:r>
      <w:r w:rsidR="00805B11">
        <w:rPr>
          <w:lang w:val="fr-CA"/>
        </w:rPr>
        <w:t>’</w:t>
      </w:r>
      <w:r>
        <w:rPr>
          <w:lang w:val="fr-CA"/>
        </w:rPr>
        <w:t xml:space="preserve">espèce, </w:t>
      </w:r>
      <w:r w:rsidRPr="00461FB4">
        <w:rPr>
          <w:lang w:val="fr-CA"/>
        </w:rPr>
        <w:t>il n</w:t>
      </w:r>
      <w:r w:rsidR="00805B11">
        <w:rPr>
          <w:lang w:val="fr-CA"/>
        </w:rPr>
        <w:t>’</w:t>
      </w:r>
      <w:r w:rsidRPr="00461FB4">
        <w:rPr>
          <w:lang w:val="fr-CA"/>
        </w:rPr>
        <w:t xml:space="preserve">y a aucune preuve du </w:t>
      </w:r>
      <w:r>
        <w:rPr>
          <w:lang w:val="fr-CA"/>
        </w:rPr>
        <w:t>préjudice</w:t>
      </w:r>
      <w:r w:rsidRPr="00461FB4">
        <w:rPr>
          <w:lang w:val="fr-CA"/>
        </w:rPr>
        <w:t xml:space="preserve"> que ces restrictions </w:t>
      </w:r>
      <w:r>
        <w:rPr>
          <w:lang w:val="fr-CA"/>
        </w:rPr>
        <w:t>d</w:t>
      </w:r>
      <w:r w:rsidRPr="00461FB4">
        <w:rPr>
          <w:lang w:val="fr-CA"/>
        </w:rPr>
        <w:t>u vote sont censées redresser</w:t>
      </w:r>
      <w:r>
        <w:rPr>
          <w:lang w:val="fr-CA"/>
        </w:rPr>
        <w:t xml:space="preserve">. </w:t>
      </w:r>
      <w:r w:rsidR="00B97D70">
        <w:rPr>
          <w:lang w:val="fr-CA"/>
        </w:rPr>
        <w:t>A</w:t>
      </w:r>
      <w:r>
        <w:rPr>
          <w:lang w:val="fr-CA"/>
        </w:rPr>
        <w:t>ucune plainte</w:t>
      </w:r>
      <w:r w:rsidR="00046519">
        <w:rPr>
          <w:lang w:val="fr-CA"/>
        </w:rPr>
        <w:t xml:space="preserve"> concernant le vote par des non</w:t>
      </w:r>
      <w:r w:rsidR="00046519">
        <w:rPr>
          <w:lang w:val="fr-CA"/>
        </w:rPr>
        <w:noBreakHyphen/>
      </w:r>
      <w:r>
        <w:rPr>
          <w:lang w:val="fr-CA"/>
        </w:rPr>
        <w:t>résidents</w:t>
      </w:r>
      <w:r w:rsidR="00B97D70">
        <w:rPr>
          <w:lang w:val="fr-CA"/>
        </w:rPr>
        <w:t xml:space="preserve"> n</w:t>
      </w:r>
      <w:r w:rsidR="00805B11">
        <w:rPr>
          <w:lang w:val="fr-CA"/>
        </w:rPr>
        <w:t>’</w:t>
      </w:r>
      <w:r w:rsidR="00B97D70">
        <w:rPr>
          <w:lang w:val="fr-CA"/>
        </w:rPr>
        <w:t>a été signalée</w:t>
      </w:r>
      <w:r>
        <w:rPr>
          <w:lang w:val="fr-CA"/>
        </w:rPr>
        <w:t>, et aucune preuve</w:t>
      </w:r>
      <w:r w:rsidRPr="002F4570">
        <w:rPr>
          <w:lang w:val="fr-CA"/>
        </w:rPr>
        <w:t xml:space="preserve"> </w:t>
      </w:r>
      <w:r>
        <w:rPr>
          <w:lang w:val="fr-CA"/>
        </w:rPr>
        <w:t>n</w:t>
      </w:r>
      <w:r w:rsidR="00805B11">
        <w:rPr>
          <w:lang w:val="fr-CA"/>
        </w:rPr>
        <w:t>’</w:t>
      </w:r>
      <w:r>
        <w:rPr>
          <w:lang w:val="fr-CA"/>
        </w:rPr>
        <w:t xml:space="preserve">a été présentée </w:t>
      </w:r>
      <w:r w:rsidRPr="002F4570">
        <w:rPr>
          <w:lang w:val="fr-CA"/>
        </w:rPr>
        <w:t xml:space="preserve">pour démontrer comment le vote de citoyens </w:t>
      </w:r>
      <w:proofErr w:type="spellStart"/>
      <w:r w:rsidRPr="002F4570">
        <w:rPr>
          <w:lang w:val="fr-CA"/>
        </w:rPr>
        <w:t>non</w:t>
      </w:r>
      <w:r>
        <w:rPr>
          <w:lang w:val="fr-CA"/>
        </w:rPr>
        <w:t xml:space="preserve"> </w:t>
      </w:r>
      <w:r w:rsidRPr="002F4570">
        <w:rPr>
          <w:lang w:val="fr-CA"/>
        </w:rPr>
        <w:t>résidents</w:t>
      </w:r>
      <w:proofErr w:type="spellEnd"/>
      <w:r w:rsidRPr="002F4570">
        <w:rPr>
          <w:lang w:val="fr-CA"/>
        </w:rPr>
        <w:t xml:space="preserve"> </w:t>
      </w:r>
      <w:r>
        <w:rPr>
          <w:lang w:val="fr-CA"/>
        </w:rPr>
        <w:t>est</w:t>
      </w:r>
      <w:r w:rsidRPr="002F4570">
        <w:rPr>
          <w:lang w:val="fr-CA"/>
        </w:rPr>
        <w:t xml:space="preserve"> suscepti</w:t>
      </w:r>
      <w:r>
        <w:rPr>
          <w:lang w:val="fr-CA"/>
        </w:rPr>
        <w:t>ble de compromettre l</w:t>
      </w:r>
      <w:r w:rsidR="00805B11">
        <w:rPr>
          <w:lang w:val="fr-CA"/>
        </w:rPr>
        <w:t>’</w:t>
      </w:r>
      <w:r>
        <w:rPr>
          <w:lang w:val="fr-CA"/>
        </w:rPr>
        <w:t>équité du régime électoral. De plus, il n</w:t>
      </w:r>
      <w:r w:rsidR="00805B11">
        <w:rPr>
          <w:lang w:val="fr-CA"/>
        </w:rPr>
        <w:t>’</w:t>
      </w:r>
      <w:r>
        <w:rPr>
          <w:lang w:val="fr-CA"/>
        </w:rPr>
        <w:t xml:space="preserve">a pas vraiment été démontré que </w:t>
      </w:r>
      <w:r w:rsidRPr="00BC2D48">
        <w:rPr>
          <w:lang w:val="fr-CA"/>
        </w:rPr>
        <w:t>l</w:t>
      </w:r>
      <w:r w:rsidR="00805B11">
        <w:rPr>
          <w:lang w:val="fr-CA"/>
        </w:rPr>
        <w:t>’</w:t>
      </w:r>
      <w:r w:rsidRPr="00BC2D48">
        <w:rPr>
          <w:lang w:val="fr-CA"/>
        </w:rPr>
        <w:t xml:space="preserve">imposition </w:t>
      </w:r>
      <w:r>
        <w:rPr>
          <w:lang w:val="fr-CA"/>
        </w:rPr>
        <w:t>d</w:t>
      </w:r>
      <w:r w:rsidR="00805B11">
        <w:rPr>
          <w:lang w:val="fr-CA"/>
        </w:rPr>
        <w:t>’</w:t>
      </w:r>
      <w:r>
        <w:rPr>
          <w:lang w:val="fr-CA"/>
        </w:rPr>
        <w:t xml:space="preserve">une </w:t>
      </w:r>
      <w:r w:rsidRPr="00BC2D48">
        <w:rPr>
          <w:lang w:val="fr-CA"/>
        </w:rPr>
        <w:t>limite</w:t>
      </w:r>
      <w:r>
        <w:rPr>
          <w:lang w:val="fr-CA"/>
        </w:rPr>
        <w:t xml:space="preserve">, </w:t>
      </w:r>
      <w:r w:rsidRPr="00F03A6B">
        <w:rPr>
          <w:lang w:val="fr-CA"/>
        </w:rPr>
        <w:t>quelle qu</w:t>
      </w:r>
      <w:r w:rsidR="00805B11">
        <w:rPr>
          <w:lang w:val="fr-CA"/>
        </w:rPr>
        <w:t>’</w:t>
      </w:r>
      <w:r w:rsidRPr="00F03A6B">
        <w:rPr>
          <w:lang w:val="fr-CA"/>
        </w:rPr>
        <w:t>en soit</w:t>
      </w:r>
      <w:r>
        <w:rPr>
          <w:lang w:val="fr-CA"/>
        </w:rPr>
        <w:t xml:space="preserve"> la</w:t>
      </w:r>
      <w:r>
        <w:rPr>
          <w:i/>
          <w:lang w:val="fr-CA"/>
        </w:rPr>
        <w:t xml:space="preserve"> </w:t>
      </w:r>
      <w:r w:rsidRPr="00EB0508">
        <w:rPr>
          <w:lang w:val="fr-CA"/>
        </w:rPr>
        <w:t>durée</w:t>
      </w:r>
      <w:r>
        <w:rPr>
          <w:lang w:val="fr-CA"/>
        </w:rPr>
        <w:t>,</w:t>
      </w:r>
      <w:r w:rsidRPr="00BC2D48">
        <w:rPr>
          <w:lang w:val="fr-CA"/>
        </w:rPr>
        <w:t xml:space="preserve"> a</w:t>
      </w:r>
      <w:r>
        <w:rPr>
          <w:lang w:val="fr-CA"/>
        </w:rPr>
        <w:t>urait un lien rationnel avec l</w:t>
      </w:r>
      <w:r w:rsidR="00805B11">
        <w:rPr>
          <w:lang w:val="fr-CA"/>
        </w:rPr>
        <w:t>’</w:t>
      </w:r>
      <w:r w:rsidRPr="00BC2D48">
        <w:rPr>
          <w:lang w:val="fr-CA"/>
        </w:rPr>
        <w:t>objectif d</w:t>
      </w:r>
      <w:r w:rsidR="00805B11">
        <w:rPr>
          <w:lang w:val="fr-CA"/>
        </w:rPr>
        <w:t>’</w:t>
      </w:r>
      <w:r w:rsidRPr="00BC2D48">
        <w:rPr>
          <w:lang w:val="fr-CA"/>
        </w:rPr>
        <w:t>équité électorale</w:t>
      </w:r>
      <w:r>
        <w:rPr>
          <w:lang w:val="fr-CA"/>
        </w:rPr>
        <w:t>. Dans l</w:t>
      </w:r>
      <w:r w:rsidR="00805B11">
        <w:rPr>
          <w:lang w:val="fr-CA"/>
        </w:rPr>
        <w:t>’</w:t>
      </w:r>
      <w:r>
        <w:rPr>
          <w:lang w:val="fr-CA"/>
        </w:rPr>
        <w:t>ensemble, toutefois, il n</w:t>
      </w:r>
      <w:r w:rsidR="00805B11">
        <w:rPr>
          <w:lang w:val="fr-CA"/>
        </w:rPr>
        <w:t>’</w:t>
      </w:r>
      <w:r>
        <w:rPr>
          <w:lang w:val="fr-CA"/>
        </w:rPr>
        <w:t>est pas nécessaire d</w:t>
      </w:r>
      <w:r w:rsidR="00805B11">
        <w:rPr>
          <w:lang w:val="fr-CA"/>
        </w:rPr>
        <w:t>’</w:t>
      </w:r>
      <w:r>
        <w:rPr>
          <w:lang w:val="fr-CA"/>
        </w:rPr>
        <w:t xml:space="preserve">arriver à une conclusion ferme sur ce point compte tenu du résultat </w:t>
      </w:r>
      <w:r w:rsidRPr="00BC2D48">
        <w:rPr>
          <w:lang w:val="fr-CA"/>
        </w:rPr>
        <w:t>à l</w:t>
      </w:r>
      <w:r w:rsidR="00805B11">
        <w:rPr>
          <w:lang w:val="fr-CA"/>
        </w:rPr>
        <w:t>’</w:t>
      </w:r>
      <w:r w:rsidRPr="00BC2D48">
        <w:rPr>
          <w:lang w:val="fr-CA"/>
        </w:rPr>
        <w:t>étape de l</w:t>
      </w:r>
      <w:r w:rsidR="00805B11">
        <w:rPr>
          <w:lang w:val="fr-CA"/>
        </w:rPr>
        <w:t>’</w:t>
      </w:r>
      <w:r w:rsidRPr="00BC2D48">
        <w:rPr>
          <w:lang w:val="fr-CA"/>
        </w:rPr>
        <w:t>atteinte minimale</w:t>
      </w:r>
      <w:r>
        <w:rPr>
          <w:lang w:val="fr-CA"/>
        </w:rPr>
        <w:t>.</w:t>
      </w:r>
      <w:r w:rsidRPr="00CC1B94">
        <w:rPr>
          <w:lang w:val="fr-CA"/>
        </w:rPr>
        <w:t xml:space="preserve"> </w:t>
      </w:r>
    </w:p>
    <w:p w:rsidR="00834A8E" w:rsidRPr="00CC1B94" w:rsidRDefault="00834A8E" w:rsidP="00805B11">
      <w:pPr>
        <w:pStyle w:val="SCCNormalDoubleSpacing"/>
        <w:spacing w:before="240" w:after="480"/>
        <w:rPr>
          <w:lang w:val="fr-CA"/>
        </w:rPr>
      </w:pPr>
      <w:r w:rsidRPr="00CC1B94">
        <w:rPr>
          <w:lang w:val="fr-CA"/>
        </w:rPr>
        <w:tab/>
      </w:r>
      <w:r w:rsidRPr="00BC2D48">
        <w:rPr>
          <w:lang w:val="fr-CA"/>
        </w:rPr>
        <w:t>Au regard d</w:t>
      </w:r>
      <w:r>
        <w:rPr>
          <w:lang w:val="fr-CA"/>
        </w:rPr>
        <w:t xml:space="preserve">u deuxième </w:t>
      </w:r>
      <w:r w:rsidRPr="00BC2D48">
        <w:rPr>
          <w:lang w:val="fr-CA"/>
        </w:rPr>
        <w:t xml:space="preserve">élément du critère de </w:t>
      </w:r>
      <w:r>
        <w:rPr>
          <w:lang w:val="fr-CA"/>
        </w:rPr>
        <w:t xml:space="preserve">la </w:t>
      </w:r>
      <w:r w:rsidRPr="00BC2D48">
        <w:rPr>
          <w:lang w:val="fr-CA"/>
        </w:rPr>
        <w:t xml:space="preserve">proportionnalité, </w:t>
      </w:r>
      <w:r w:rsidR="00B97D70">
        <w:rPr>
          <w:lang w:val="fr-CA"/>
        </w:rPr>
        <w:t>i</w:t>
      </w:r>
      <w:r w:rsidRPr="00BC2D48">
        <w:rPr>
          <w:lang w:val="fr-CA"/>
        </w:rPr>
        <w:t>l</w:t>
      </w:r>
      <w:r w:rsidR="00B97D70">
        <w:rPr>
          <w:lang w:val="fr-CA"/>
        </w:rPr>
        <w:t xml:space="preserve"> faut </w:t>
      </w:r>
      <w:r w:rsidRPr="00BC2D48">
        <w:rPr>
          <w:lang w:val="fr-CA"/>
        </w:rPr>
        <w:t>établir</w:t>
      </w:r>
      <w:r>
        <w:rPr>
          <w:lang w:val="fr-CA"/>
        </w:rPr>
        <w:t xml:space="preserve"> que la</w:t>
      </w:r>
      <w:r w:rsidRPr="00BC2D48">
        <w:rPr>
          <w:lang w:val="fr-CA"/>
        </w:rPr>
        <w:t xml:space="preserve"> mesure en cause restrei</w:t>
      </w:r>
      <w:r>
        <w:rPr>
          <w:lang w:val="fr-CA"/>
        </w:rPr>
        <w:t>n</w:t>
      </w:r>
      <w:r w:rsidRPr="00BC2D48">
        <w:rPr>
          <w:lang w:val="fr-CA"/>
        </w:rPr>
        <w:t>t le droit aussi peu que cela est raisonnablement possible</w:t>
      </w:r>
      <w:r>
        <w:rPr>
          <w:lang w:val="fr-CA"/>
        </w:rPr>
        <w:t>. En l</w:t>
      </w:r>
      <w:r w:rsidR="00805B11">
        <w:rPr>
          <w:lang w:val="fr-CA"/>
        </w:rPr>
        <w:t>’</w:t>
      </w:r>
      <w:r>
        <w:rPr>
          <w:lang w:val="fr-CA"/>
        </w:rPr>
        <w:t>espèce, la restriction</w:t>
      </w:r>
      <w:r w:rsidRPr="00BC2D48">
        <w:rPr>
          <w:lang w:val="fr-CA"/>
        </w:rPr>
        <w:t xml:space="preserve"> du droit de vote </w:t>
      </w:r>
      <w:r>
        <w:rPr>
          <w:lang w:val="fr-CA"/>
        </w:rPr>
        <w:t xml:space="preserve">des non-résidents </w:t>
      </w:r>
      <w:r w:rsidRPr="00BC2D48">
        <w:rPr>
          <w:lang w:val="fr-CA"/>
        </w:rPr>
        <w:t>n</w:t>
      </w:r>
      <w:r w:rsidR="00805B11">
        <w:rPr>
          <w:lang w:val="fr-CA"/>
        </w:rPr>
        <w:t>’</w:t>
      </w:r>
      <w:r w:rsidRPr="00BC2D48">
        <w:rPr>
          <w:lang w:val="fr-CA"/>
        </w:rPr>
        <w:t>e</w:t>
      </w:r>
      <w:r>
        <w:rPr>
          <w:lang w:val="fr-CA"/>
        </w:rPr>
        <w:t>st pas une atteinte</w:t>
      </w:r>
      <w:r w:rsidRPr="00BC2D48">
        <w:rPr>
          <w:lang w:val="fr-CA"/>
        </w:rPr>
        <w:t xml:space="preserve"> minimale</w:t>
      </w:r>
      <w:r>
        <w:rPr>
          <w:lang w:val="fr-CA"/>
        </w:rPr>
        <w:t>. Peu d</w:t>
      </w:r>
      <w:r w:rsidR="00805B11">
        <w:rPr>
          <w:lang w:val="fr-CA"/>
        </w:rPr>
        <w:t>’</w:t>
      </w:r>
      <w:r>
        <w:rPr>
          <w:lang w:val="fr-CA"/>
        </w:rPr>
        <w:t xml:space="preserve">éléments permettent de </w:t>
      </w:r>
      <w:r w:rsidRPr="00BC2D48">
        <w:rPr>
          <w:lang w:val="fr-CA"/>
        </w:rPr>
        <w:t>justifi</w:t>
      </w:r>
      <w:r>
        <w:rPr>
          <w:lang w:val="fr-CA"/>
        </w:rPr>
        <w:t>er le</w:t>
      </w:r>
      <w:r w:rsidRPr="00BC2D48">
        <w:rPr>
          <w:lang w:val="fr-CA"/>
        </w:rPr>
        <w:t xml:space="preserve"> choix de la durée de cinq ans </w:t>
      </w:r>
      <w:r>
        <w:rPr>
          <w:lang w:val="fr-CA"/>
        </w:rPr>
        <w:t>en tant que seuil ou d</w:t>
      </w:r>
      <w:r w:rsidR="00805B11">
        <w:rPr>
          <w:lang w:val="fr-CA"/>
        </w:rPr>
        <w:t>’</w:t>
      </w:r>
      <w:r>
        <w:rPr>
          <w:lang w:val="fr-CA"/>
        </w:rPr>
        <w:t>établir que celui-ci a été conçu pour</w:t>
      </w:r>
      <w:r w:rsidRPr="00BC2D48">
        <w:rPr>
          <w:lang w:val="fr-CA"/>
        </w:rPr>
        <w:t xml:space="preserve"> répondre à un problème </w:t>
      </w:r>
      <w:r>
        <w:rPr>
          <w:lang w:val="fr-CA"/>
        </w:rPr>
        <w:t>précis</w:t>
      </w:r>
      <w:r w:rsidRPr="00BC2D48">
        <w:rPr>
          <w:lang w:val="fr-CA"/>
        </w:rPr>
        <w:t>.</w:t>
      </w:r>
      <w:r>
        <w:rPr>
          <w:lang w:val="fr-CA"/>
        </w:rPr>
        <w:t xml:space="preserve"> De plus, la limite de cinq ans a une port</w:t>
      </w:r>
      <w:r w:rsidR="00B97D70">
        <w:rPr>
          <w:lang w:val="fr-CA"/>
        </w:rPr>
        <w:t>ée excessive</w:t>
      </w:r>
      <w:r>
        <w:rPr>
          <w:lang w:val="fr-CA"/>
        </w:rPr>
        <w:t>. Elle s</w:t>
      </w:r>
      <w:r w:rsidR="00805B11">
        <w:rPr>
          <w:lang w:val="fr-CA"/>
        </w:rPr>
        <w:t>’</w:t>
      </w:r>
      <w:r>
        <w:rPr>
          <w:lang w:val="fr-CA"/>
        </w:rPr>
        <w:t xml:space="preserve">applique à tort à </w:t>
      </w:r>
      <w:r w:rsidRPr="00BC2D48">
        <w:rPr>
          <w:lang w:val="fr-CA"/>
        </w:rPr>
        <w:t xml:space="preserve">des personnes </w:t>
      </w:r>
      <w:r>
        <w:rPr>
          <w:lang w:val="fr-CA"/>
        </w:rPr>
        <w:t>auxquelles</w:t>
      </w:r>
      <w:r w:rsidRPr="00BC2D48">
        <w:rPr>
          <w:lang w:val="fr-CA"/>
        </w:rPr>
        <w:t xml:space="preserve"> </w:t>
      </w:r>
      <w:r>
        <w:rPr>
          <w:lang w:val="fr-CA"/>
        </w:rPr>
        <w:t>elle</w:t>
      </w:r>
      <w:r w:rsidRPr="00BC2D48">
        <w:rPr>
          <w:lang w:val="fr-CA"/>
        </w:rPr>
        <w:t xml:space="preserve"> n</w:t>
      </w:r>
      <w:r w:rsidR="00805B11">
        <w:rPr>
          <w:lang w:val="fr-CA"/>
        </w:rPr>
        <w:t>’</w:t>
      </w:r>
      <w:r w:rsidRPr="00BC2D48">
        <w:rPr>
          <w:lang w:val="fr-CA"/>
        </w:rPr>
        <w:t xml:space="preserve">est pas censée </w:t>
      </w:r>
      <w:r>
        <w:rPr>
          <w:lang w:val="fr-CA"/>
        </w:rPr>
        <w:t>s</w:t>
      </w:r>
      <w:r w:rsidR="00805B11">
        <w:rPr>
          <w:lang w:val="fr-CA"/>
        </w:rPr>
        <w:t>’</w:t>
      </w:r>
      <w:r>
        <w:rPr>
          <w:lang w:val="fr-CA"/>
        </w:rPr>
        <w:t>appliquer, et ce, d</w:t>
      </w:r>
      <w:r w:rsidR="00805B11">
        <w:rPr>
          <w:lang w:val="fr-CA"/>
        </w:rPr>
        <w:t>’</w:t>
      </w:r>
      <w:r>
        <w:rPr>
          <w:lang w:val="fr-CA"/>
        </w:rPr>
        <w:t>une manière qui est beaucoup plus large que nécessaire. Bien qu</w:t>
      </w:r>
      <w:r w:rsidR="00805B11">
        <w:rPr>
          <w:lang w:val="fr-CA"/>
        </w:rPr>
        <w:t>’</w:t>
      </w:r>
      <w:r>
        <w:rPr>
          <w:lang w:val="fr-CA"/>
        </w:rPr>
        <w:t xml:space="preserve">elle </w:t>
      </w:r>
      <w:r w:rsidRPr="00BC2D48">
        <w:rPr>
          <w:lang w:val="fr-CA"/>
        </w:rPr>
        <w:t xml:space="preserve">cherche à empêcher </w:t>
      </w:r>
      <w:r>
        <w:rPr>
          <w:lang w:val="fr-CA"/>
        </w:rPr>
        <w:t>les personnes</w:t>
      </w:r>
      <w:r w:rsidRPr="00BC2D48">
        <w:rPr>
          <w:lang w:val="fr-CA"/>
        </w:rPr>
        <w:t xml:space="preserve"> qui n</w:t>
      </w:r>
      <w:r w:rsidR="00805B11">
        <w:rPr>
          <w:lang w:val="fr-CA"/>
        </w:rPr>
        <w:t>’</w:t>
      </w:r>
      <w:r w:rsidRPr="00BC2D48">
        <w:rPr>
          <w:lang w:val="fr-CA"/>
        </w:rPr>
        <w:t>ont pas un rattachement suffisant au Canada</w:t>
      </w:r>
      <w:r w:rsidRPr="000234D4">
        <w:rPr>
          <w:lang w:val="fr-CA"/>
        </w:rPr>
        <w:t xml:space="preserve"> </w:t>
      </w:r>
      <w:r w:rsidRPr="00BC2D48">
        <w:rPr>
          <w:lang w:val="fr-CA"/>
        </w:rPr>
        <w:t>de voter</w:t>
      </w:r>
      <w:r>
        <w:rPr>
          <w:lang w:val="fr-CA"/>
        </w:rPr>
        <w:t>, aucune corrélation n</w:t>
      </w:r>
      <w:r w:rsidR="00805B11">
        <w:rPr>
          <w:lang w:val="fr-CA"/>
        </w:rPr>
        <w:t>’</w:t>
      </w:r>
      <w:r>
        <w:rPr>
          <w:lang w:val="fr-CA"/>
        </w:rPr>
        <w:t>a été établie entre, d</w:t>
      </w:r>
      <w:r w:rsidR="00805B11">
        <w:rPr>
          <w:lang w:val="fr-CA"/>
        </w:rPr>
        <w:t>’</w:t>
      </w:r>
      <w:r>
        <w:rPr>
          <w:lang w:val="fr-CA"/>
        </w:rPr>
        <w:t>une part, le nombre d</w:t>
      </w:r>
      <w:r w:rsidR="00805B11">
        <w:rPr>
          <w:lang w:val="fr-CA"/>
        </w:rPr>
        <w:t>’</w:t>
      </w:r>
      <w:r>
        <w:rPr>
          <w:lang w:val="fr-CA"/>
        </w:rPr>
        <w:t>années</w:t>
      </w:r>
      <w:r w:rsidRPr="002E2E22">
        <w:rPr>
          <w:lang w:val="fr-CA"/>
        </w:rPr>
        <w:t xml:space="preserve"> qu</w:t>
      </w:r>
      <w:r w:rsidR="00805B11">
        <w:rPr>
          <w:lang w:val="fr-CA"/>
        </w:rPr>
        <w:t>’</w:t>
      </w:r>
      <w:r w:rsidRPr="002E2E22">
        <w:rPr>
          <w:lang w:val="fr-CA"/>
        </w:rPr>
        <w:t xml:space="preserve">un citoyen canadien a </w:t>
      </w:r>
      <w:r>
        <w:rPr>
          <w:lang w:val="fr-CA"/>
        </w:rPr>
        <w:t>résidé</w:t>
      </w:r>
      <w:r w:rsidRPr="002E2E22">
        <w:rPr>
          <w:lang w:val="fr-CA"/>
        </w:rPr>
        <w:t xml:space="preserve"> à </w:t>
      </w:r>
      <w:r w:rsidRPr="002E2E22">
        <w:rPr>
          <w:lang w:val="fr-CA"/>
        </w:rPr>
        <w:lastRenderedPageBreak/>
        <w:t>l</w:t>
      </w:r>
      <w:r w:rsidR="00805B11">
        <w:rPr>
          <w:lang w:val="fr-CA"/>
        </w:rPr>
        <w:t>’</w:t>
      </w:r>
      <w:r w:rsidRPr="002E2E22">
        <w:rPr>
          <w:lang w:val="fr-CA"/>
        </w:rPr>
        <w:t xml:space="preserve">étranger </w:t>
      </w:r>
      <w:r>
        <w:rPr>
          <w:lang w:val="fr-CA"/>
        </w:rPr>
        <w:t>et, d</w:t>
      </w:r>
      <w:r w:rsidR="00805B11">
        <w:rPr>
          <w:lang w:val="fr-CA"/>
        </w:rPr>
        <w:t>’</w:t>
      </w:r>
      <w:r>
        <w:rPr>
          <w:lang w:val="fr-CA"/>
        </w:rPr>
        <w:t>autre part, l</w:t>
      </w:r>
      <w:r w:rsidR="00805B11">
        <w:rPr>
          <w:lang w:val="fr-CA"/>
        </w:rPr>
        <w:t>’</w:t>
      </w:r>
      <w:r>
        <w:rPr>
          <w:lang w:val="fr-CA"/>
        </w:rPr>
        <w:t>ampleur de son</w:t>
      </w:r>
      <w:r w:rsidRPr="002E2E22">
        <w:rPr>
          <w:lang w:val="fr-CA"/>
        </w:rPr>
        <w:t xml:space="preserve"> engagement subjectif </w:t>
      </w:r>
      <w:r>
        <w:rPr>
          <w:lang w:val="fr-CA"/>
        </w:rPr>
        <w:t>envers le Canada. Bon nombre de</w:t>
      </w:r>
      <w:r w:rsidRPr="002E2E22">
        <w:rPr>
          <w:lang w:val="fr-CA"/>
        </w:rPr>
        <w:t xml:space="preserve"> citoyens </w:t>
      </w:r>
      <w:proofErr w:type="spellStart"/>
      <w:r w:rsidRPr="002E2E22">
        <w:rPr>
          <w:lang w:val="fr-CA"/>
        </w:rPr>
        <w:t>non</w:t>
      </w:r>
      <w:r>
        <w:rPr>
          <w:lang w:val="fr-CA"/>
        </w:rPr>
        <w:t xml:space="preserve"> résidents</w:t>
      </w:r>
      <w:proofErr w:type="spellEnd"/>
      <w:r>
        <w:rPr>
          <w:lang w:val="fr-CA"/>
        </w:rPr>
        <w:t xml:space="preserve"> </w:t>
      </w:r>
      <w:r w:rsidRPr="002E2E22">
        <w:rPr>
          <w:lang w:val="fr-CA"/>
        </w:rPr>
        <w:t>maintiennent des</w:t>
      </w:r>
      <w:r>
        <w:rPr>
          <w:lang w:val="fr-CA"/>
        </w:rPr>
        <w:t xml:space="preserve"> liens</w:t>
      </w:r>
      <w:r w:rsidRPr="002E2E22">
        <w:rPr>
          <w:lang w:val="fr-CA"/>
        </w:rPr>
        <w:t xml:space="preserve"> </w:t>
      </w:r>
      <w:r>
        <w:rPr>
          <w:lang w:val="fr-CA"/>
        </w:rPr>
        <w:t>profonds et durables</w:t>
      </w:r>
      <w:r w:rsidRPr="002E2E22">
        <w:rPr>
          <w:lang w:val="fr-CA"/>
        </w:rPr>
        <w:t xml:space="preserve"> avec </w:t>
      </w:r>
      <w:r>
        <w:rPr>
          <w:lang w:val="fr-CA"/>
        </w:rPr>
        <w:t xml:space="preserve">le Canada </w:t>
      </w:r>
      <w:r w:rsidRPr="00FA5703">
        <w:rPr>
          <w:lang w:val="fr-CA"/>
        </w:rPr>
        <w:t>par la famille, les médias en ligne</w:t>
      </w:r>
      <w:r>
        <w:rPr>
          <w:lang w:val="fr-CA"/>
        </w:rPr>
        <w:t xml:space="preserve"> et</w:t>
      </w:r>
      <w:r w:rsidRPr="00FA5703">
        <w:rPr>
          <w:lang w:val="fr-CA"/>
        </w:rPr>
        <w:t xml:space="preserve"> les séjours au pays, </w:t>
      </w:r>
      <w:r>
        <w:rPr>
          <w:lang w:val="fr-CA"/>
        </w:rPr>
        <w:t xml:space="preserve">et en payant des </w:t>
      </w:r>
      <w:r w:rsidRPr="00FA5703">
        <w:rPr>
          <w:lang w:val="fr-CA"/>
        </w:rPr>
        <w:t xml:space="preserve">impôts et </w:t>
      </w:r>
      <w:r>
        <w:rPr>
          <w:lang w:val="fr-CA"/>
        </w:rPr>
        <w:t>en touchant</w:t>
      </w:r>
      <w:r w:rsidRPr="00FA5703">
        <w:rPr>
          <w:lang w:val="fr-CA"/>
        </w:rPr>
        <w:t xml:space="preserve"> de</w:t>
      </w:r>
      <w:r>
        <w:rPr>
          <w:lang w:val="fr-CA"/>
        </w:rPr>
        <w:t>s prestations sociales</w:t>
      </w:r>
      <w:r w:rsidRPr="002E2E22">
        <w:rPr>
          <w:lang w:val="fr-CA"/>
        </w:rPr>
        <w:t>.</w:t>
      </w:r>
      <w:r>
        <w:rPr>
          <w:lang w:val="fr-CA"/>
        </w:rPr>
        <w:t xml:space="preserve"> De la même façon, aucune corrélation n</w:t>
      </w:r>
      <w:r w:rsidR="00805B11">
        <w:rPr>
          <w:lang w:val="fr-CA"/>
        </w:rPr>
        <w:t>’</w:t>
      </w:r>
      <w:r>
        <w:rPr>
          <w:lang w:val="fr-CA"/>
        </w:rPr>
        <w:t>a été démontrée entre la résidence et la mesure dans laquelle l</w:t>
      </w:r>
      <w:r w:rsidRPr="00BC2D48">
        <w:rPr>
          <w:lang w:val="fr-CA"/>
        </w:rPr>
        <w:t>es cito</w:t>
      </w:r>
      <w:r>
        <w:rPr>
          <w:lang w:val="fr-CA"/>
        </w:rPr>
        <w:t>yens s</w:t>
      </w:r>
      <w:r w:rsidRPr="00BC2D48">
        <w:rPr>
          <w:lang w:val="fr-CA"/>
        </w:rPr>
        <w:t>ont touchés par des lois</w:t>
      </w:r>
      <w:r>
        <w:rPr>
          <w:lang w:val="fr-CA"/>
        </w:rPr>
        <w:t xml:space="preserve">. Les </w:t>
      </w:r>
      <w:r w:rsidRPr="00BC2D48">
        <w:rPr>
          <w:lang w:val="fr-CA"/>
        </w:rPr>
        <w:t xml:space="preserve">citoyens </w:t>
      </w:r>
      <w:proofErr w:type="spellStart"/>
      <w:r w:rsidRPr="00BC2D48">
        <w:rPr>
          <w:lang w:val="fr-CA"/>
        </w:rPr>
        <w:t>non</w:t>
      </w:r>
      <w:r>
        <w:rPr>
          <w:lang w:val="fr-CA"/>
        </w:rPr>
        <w:t xml:space="preserve"> </w:t>
      </w:r>
      <w:r w:rsidRPr="00BC2D48">
        <w:rPr>
          <w:lang w:val="fr-CA"/>
        </w:rPr>
        <w:t>résidents</w:t>
      </w:r>
      <w:proofErr w:type="spellEnd"/>
      <w:r w:rsidRPr="00BC2D48">
        <w:rPr>
          <w:lang w:val="fr-CA"/>
        </w:rPr>
        <w:t xml:space="preserve"> vivent </w:t>
      </w:r>
      <w:r w:rsidRPr="00E667B6">
        <w:rPr>
          <w:lang w:val="fr-CA"/>
        </w:rPr>
        <w:t>bel et bien</w:t>
      </w:r>
      <w:r w:rsidRPr="00BC2D48">
        <w:rPr>
          <w:lang w:val="fr-CA"/>
        </w:rPr>
        <w:t xml:space="preserve"> avec les conséquences des lois canadiennes</w:t>
      </w:r>
      <w:r>
        <w:rPr>
          <w:lang w:val="fr-CA"/>
        </w:rPr>
        <w:t xml:space="preserve"> : ils </w:t>
      </w:r>
      <w:r w:rsidRPr="00BC2D48">
        <w:rPr>
          <w:lang w:val="fr-CA"/>
        </w:rPr>
        <w:t>sont assujettis au</w:t>
      </w:r>
      <w:r>
        <w:rPr>
          <w:lang w:val="fr-CA"/>
        </w:rPr>
        <w:t>x lois canadiennes lorsqu</w:t>
      </w:r>
      <w:r w:rsidR="00805B11">
        <w:rPr>
          <w:lang w:val="fr-CA"/>
        </w:rPr>
        <w:t>’</w:t>
      </w:r>
      <w:r>
        <w:rPr>
          <w:lang w:val="fr-CA"/>
        </w:rPr>
        <w:t xml:space="preserve">ils reviennent au pays; </w:t>
      </w:r>
      <w:r w:rsidRPr="00BC2D48">
        <w:rPr>
          <w:lang w:val="fr-CA"/>
        </w:rPr>
        <w:t>les lois canadiennes touchent les familles résidentes de</w:t>
      </w:r>
      <w:r>
        <w:rPr>
          <w:lang w:val="fr-CA"/>
        </w:rPr>
        <w:t xml:space="preserve">s Canadiens </w:t>
      </w:r>
      <w:proofErr w:type="spellStart"/>
      <w:r>
        <w:rPr>
          <w:lang w:val="fr-CA"/>
        </w:rPr>
        <w:t>non résidents</w:t>
      </w:r>
      <w:proofErr w:type="spellEnd"/>
      <w:r>
        <w:rPr>
          <w:lang w:val="fr-CA"/>
        </w:rPr>
        <w:t>; certaines lois</w:t>
      </w:r>
      <w:r w:rsidRPr="00E667B6">
        <w:rPr>
          <w:lang w:val="fr-CA"/>
        </w:rPr>
        <w:t xml:space="preserve"> </w:t>
      </w:r>
      <w:r w:rsidRPr="00BC2D48">
        <w:rPr>
          <w:lang w:val="fr-CA"/>
        </w:rPr>
        <w:t>canadiennes</w:t>
      </w:r>
      <w:r w:rsidRPr="00E667B6">
        <w:rPr>
          <w:lang w:val="fr-CA"/>
        </w:rPr>
        <w:t xml:space="preserve"> </w:t>
      </w:r>
      <w:r w:rsidRPr="00BC2D48">
        <w:rPr>
          <w:lang w:val="fr-CA"/>
        </w:rPr>
        <w:t>sont d</w:t>
      </w:r>
      <w:r w:rsidR="00805B11">
        <w:rPr>
          <w:lang w:val="fr-CA"/>
        </w:rPr>
        <w:t>’</w:t>
      </w:r>
      <w:r w:rsidRPr="00BC2D48">
        <w:rPr>
          <w:lang w:val="fr-CA"/>
        </w:rPr>
        <w:t>application extraterritoriale</w:t>
      </w:r>
      <w:r>
        <w:rPr>
          <w:lang w:val="fr-CA"/>
        </w:rPr>
        <w:t>; les</w:t>
      </w:r>
      <w:r w:rsidRPr="00BC2D48">
        <w:rPr>
          <w:lang w:val="fr-CA"/>
        </w:rPr>
        <w:t xml:space="preserve"> politique</w:t>
      </w:r>
      <w:r>
        <w:rPr>
          <w:lang w:val="fr-CA"/>
        </w:rPr>
        <w:t>s</w:t>
      </w:r>
      <w:r w:rsidRPr="00BC2D48">
        <w:rPr>
          <w:lang w:val="fr-CA"/>
        </w:rPr>
        <w:t xml:space="preserve"> du gouvernement peu</w:t>
      </w:r>
      <w:r>
        <w:rPr>
          <w:lang w:val="fr-CA"/>
        </w:rPr>
        <w:t>ven</w:t>
      </w:r>
      <w:r w:rsidRPr="00BC2D48">
        <w:rPr>
          <w:lang w:val="fr-CA"/>
        </w:rPr>
        <w:t xml:space="preserve">t avoir des conséquences </w:t>
      </w:r>
      <w:r>
        <w:rPr>
          <w:lang w:val="fr-CA"/>
        </w:rPr>
        <w:t>à l</w:t>
      </w:r>
      <w:r w:rsidR="00805B11">
        <w:rPr>
          <w:lang w:val="fr-CA"/>
        </w:rPr>
        <w:t>’</w:t>
      </w:r>
      <w:r>
        <w:rPr>
          <w:lang w:val="fr-CA"/>
        </w:rPr>
        <w:t xml:space="preserve">échelle </w:t>
      </w:r>
      <w:r w:rsidRPr="00BC2D48">
        <w:rPr>
          <w:lang w:val="fr-CA"/>
        </w:rPr>
        <w:t>mondiale</w:t>
      </w:r>
      <w:r>
        <w:rPr>
          <w:lang w:val="fr-CA"/>
        </w:rPr>
        <w:t>; et le législateur</w:t>
      </w:r>
      <w:r w:rsidRPr="00BC2D48">
        <w:rPr>
          <w:lang w:val="fr-CA"/>
        </w:rPr>
        <w:t xml:space="preserve"> </w:t>
      </w:r>
      <w:r>
        <w:rPr>
          <w:lang w:val="fr-CA"/>
        </w:rPr>
        <w:t>peut changer</w:t>
      </w:r>
      <w:r w:rsidRPr="00BC2D48">
        <w:rPr>
          <w:lang w:val="fr-CA"/>
        </w:rPr>
        <w:t xml:space="preserve"> l</w:t>
      </w:r>
      <w:r>
        <w:rPr>
          <w:lang w:val="fr-CA"/>
        </w:rPr>
        <w:t>a mesure dans laquelle</w:t>
      </w:r>
      <w:r w:rsidRPr="00BC2D48">
        <w:rPr>
          <w:lang w:val="fr-CA"/>
        </w:rPr>
        <w:t xml:space="preserve"> les lois </w:t>
      </w:r>
      <w:r>
        <w:rPr>
          <w:lang w:val="fr-CA"/>
        </w:rPr>
        <w:t xml:space="preserve">électorales </w:t>
      </w:r>
      <w:r w:rsidRPr="00BC2D48">
        <w:rPr>
          <w:lang w:val="fr-CA"/>
        </w:rPr>
        <w:t xml:space="preserve">canadiennes </w:t>
      </w:r>
      <w:r>
        <w:rPr>
          <w:lang w:val="fr-CA"/>
        </w:rPr>
        <w:t>s</w:t>
      </w:r>
      <w:r w:rsidR="00805B11">
        <w:rPr>
          <w:lang w:val="fr-CA"/>
        </w:rPr>
        <w:t>’</w:t>
      </w:r>
      <w:r>
        <w:rPr>
          <w:lang w:val="fr-CA"/>
        </w:rPr>
        <w:t xml:space="preserve">appliquent aux </w:t>
      </w:r>
      <w:r w:rsidRPr="00BC2D48">
        <w:rPr>
          <w:lang w:val="fr-CA"/>
        </w:rPr>
        <w:t xml:space="preserve">citoyens </w:t>
      </w:r>
      <w:proofErr w:type="spellStart"/>
      <w:r w:rsidRPr="00BC2D48">
        <w:rPr>
          <w:lang w:val="fr-CA"/>
        </w:rPr>
        <w:t>non</w:t>
      </w:r>
      <w:r>
        <w:rPr>
          <w:lang w:val="fr-CA"/>
        </w:rPr>
        <w:t xml:space="preserve"> résidents</w:t>
      </w:r>
      <w:proofErr w:type="spellEnd"/>
      <w:r>
        <w:rPr>
          <w:lang w:val="fr-CA"/>
        </w:rPr>
        <w:t>, ce qui aurait pour effet d</w:t>
      </w:r>
      <w:r w:rsidRPr="00BC2D48">
        <w:rPr>
          <w:lang w:val="fr-CA"/>
        </w:rPr>
        <w:t>e rendre le droit constitutionnel de voter tributaire de choix de politique changeants</w:t>
      </w:r>
      <w:r>
        <w:rPr>
          <w:lang w:val="fr-CA"/>
        </w:rPr>
        <w:t>.</w:t>
      </w:r>
      <w:r w:rsidRPr="00CC1B94">
        <w:rPr>
          <w:lang w:val="fr-CA"/>
        </w:rPr>
        <w:t xml:space="preserve"> </w:t>
      </w:r>
    </w:p>
    <w:p w:rsidR="00834A8E" w:rsidRDefault="00805B11" w:rsidP="00805B11">
      <w:pPr>
        <w:pStyle w:val="SCCNormalDoubleSpacing"/>
        <w:spacing w:before="240" w:after="480"/>
        <w:rPr>
          <w:lang w:val="fr-CA"/>
        </w:rPr>
      </w:pPr>
      <w:r>
        <w:rPr>
          <w:lang w:val="fr-CA"/>
        </w:rPr>
        <w:tab/>
      </w:r>
      <w:r w:rsidR="00834A8E">
        <w:rPr>
          <w:lang w:val="fr-CA"/>
        </w:rPr>
        <w:t>Lors de la</w:t>
      </w:r>
      <w:r w:rsidR="00834A8E" w:rsidRPr="00BC2D48">
        <w:rPr>
          <w:lang w:val="fr-CA"/>
        </w:rPr>
        <w:t xml:space="preserve"> derni</w:t>
      </w:r>
      <w:r w:rsidR="00834A8E">
        <w:rPr>
          <w:lang w:val="fr-CA"/>
        </w:rPr>
        <w:t>è</w:t>
      </w:r>
      <w:r w:rsidR="00834A8E" w:rsidRPr="00BC2D48">
        <w:rPr>
          <w:lang w:val="fr-CA"/>
        </w:rPr>
        <w:t>r</w:t>
      </w:r>
      <w:r w:rsidR="00834A8E">
        <w:rPr>
          <w:lang w:val="fr-CA"/>
        </w:rPr>
        <w:t>e étape</w:t>
      </w:r>
      <w:r w:rsidR="00834A8E" w:rsidRPr="00BC2D48">
        <w:rPr>
          <w:lang w:val="fr-CA"/>
        </w:rPr>
        <w:t xml:space="preserve"> </w:t>
      </w:r>
      <w:r w:rsidR="00834A8E">
        <w:rPr>
          <w:lang w:val="fr-CA"/>
        </w:rPr>
        <w:t>de l</w:t>
      </w:r>
      <w:r>
        <w:rPr>
          <w:lang w:val="fr-CA"/>
        </w:rPr>
        <w:t>’</w:t>
      </w:r>
      <w:r w:rsidR="00834A8E">
        <w:rPr>
          <w:lang w:val="fr-CA"/>
        </w:rPr>
        <w:t>analyse fondée sur l</w:t>
      </w:r>
      <w:r>
        <w:rPr>
          <w:lang w:val="fr-CA"/>
        </w:rPr>
        <w:t>’</w:t>
      </w:r>
      <w:r w:rsidR="00834A8E">
        <w:rPr>
          <w:lang w:val="fr-CA"/>
        </w:rPr>
        <w:t>article premier, il faut</w:t>
      </w:r>
      <w:r w:rsidR="00834A8E" w:rsidRPr="00BC2D48">
        <w:rPr>
          <w:lang w:val="fr-CA"/>
        </w:rPr>
        <w:t xml:space="preserve"> se demander si, dans l</w:t>
      </w:r>
      <w:r>
        <w:rPr>
          <w:lang w:val="fr-CA"/>
        </w:rPr>
        <w:t>’</w:t>
      </w:r>
      <w:r w:rsidR="00834A8E" w:rsidRPr="00BC2D48">
        <w:rPr>
          <w:lang w:val="fr-CA"/>
        </w:rPr>
        <w:t>ensemble, il y a proportionnalité entre les effets de</w:t>
      </w:r>
      <w:r w:rsidR="00834A8E">
        <w:rPr>
          <w:lang w:val="fr-CA"/>
        </w:rPr>
        <w:t xml:space="preserve"> la</w:t>
      </w:r>
      <w:r w:rsidR="00834A8E" w:rsidRPr="00BC2D48">
        <w:rPr>
          <w:lang w:val="fr-CA"/>
        </w:rPr>
        <w:t xml:space="preserve"> mesure qui port</w:t>
      </w:r>
      <w:r w:rsidR="00834A8E">
        <w:rPr>
          <w:lang w:val="fr-CA"/>
        </w:rPr>
        <w:t>e</w:t>
      </w:r>
      <w:r w:rsidR="00834A8E" w:rsidRPr="00BC2D48">
        <w:rPr>
          <w:lang w:val="fr-CA"/>
        </w:rPr>
        <w:t xml:space="preserve"> atteinte à la </w:t>
      </w:r>
      <w:r w:rsidR="00834A8E" w:rsidRPr="00BC2D48">
        <w:rPr>
          <w:i/>
          <w:lang w:val="fr-CA"/>
        </w:rPr>
        <w:t xml:space="preserve">Charte </w:t>
      </w:r>
      <w:r w:rsidR="00834A8E">
        <w:rPr>
          <w:lang w:val="fr-CA"/>
        </w:rPr>
        <w:t>et l</w:t>
      </w:r>
      <w:r>
        <w:rPr>
          <w:lang w:val="fr-CA"/>
        </w:rPr>
        <w:t>’</w:t>
      </w:r>
      <w:r w:rsidR="00834A8E">
        <w:rPr>
          <w:lang w:val="fr-CA"/>
        </w:rPr>
        <w:t>objectif législatif. En l</w:t>
      </w:r>
      <w:r>
        <w:rPr>
          <w:lang w:val="fr-CA"/>
        </w:rPr>
        <w:t>’</w:t>
      </w:r>
      <w:r w:rsidR="00834A8E">
        <w:rPr>
          <w:lang w:val="fr-CA"/>
        </w:rPr>
        <w:t xml:space="preserve">espèce, </w:t>
      </w:r>
      <w:r w:rsidR="00834A8E" w:rsidRPr="00BC2D48">
        <w:rPr>
          <w:lang w:val="fr-CA"/>
        </w:rPr>
        <w:t>les ef</w:t>
      </w:r>
      <w:r w:rsidR="00834A8E">
        <w:rPr>
          <w:lang w:val="fr-CA"/>
        </w:rPr>
        <w:t>fets préjudiciables découlant du fait de priver</w:t>
      </w:r>
      <w:r w:rsidR="00834A8E" w:rsidRPr="00BC2D48">
        <w:rPr>
          <w:lang w:val="fr-CA"/>
        </w:rPr>
        <w:t xml:space="preserve"> du droit de vote l</w:t>
      </w:r>
      <w:r w:rsidR="00B97D70">
        <w:rPr>
          <w:lang w:val="fr-CA"/>
        </w:rPr>
        <w:t>es</w:t>
      </w:r>
      <w:r w:rsidR="00834A8E" w:rsidRPr="00BC2D48">
        <w:rPr>
          <w:lang w:val="fr-CA"/>
        </w:rPr>
        <w:t xml:space="preserve"> Canadiens </w:t>
      </w:r>
      <w:proofErr w:type="spellStart"/>
      <w:r w:rsidR="00834A8E" w:rsidRPr="00BC2D48">
        <w:rPr>
          <w:lang w:val="fr-CA"/>
        </w:rPr>
        <w:t>non</w:t>
      </w:r>
      <w:r w:rsidR="00834A8E">
        <w:rPr>
          <w:lang w:val="fr-CA"/>
        </w:rPr>
        <w:t xml:space="preserve"> </w:t>
      </w:r>
      <w:r w:rsidR="00834A8E" w:rsidRPr="00BC2D48">
        <w:rPr>
          <w:lang w:val="fr-CA"/>
        </w:rPr>
        <w:t>résidents</w:t>
      </w:r>
      <w:proofErr w:type="spellEnd"/>
      <w:r w:rsidR="00834A8E" w:rsidRPr="00BC2D48">
        <w:rPr>
          <w:lang w:val="fr-CA"/>
        </w:rPr>
        <w:t xml:space="preserve"> qui se trouvent à l</w:t>
      </w:r>
      <w:r>
        <w:rPr>
          <w:lang w:val="fr-CA"/>
        </w:rPr>
        <w:t>’</w:t>
      </w:r>
      <w:r w:rsidR="00834A8E" w:rsidRPr="00BC2D48">
        <w:rPr>
          <w:lang w:val="fr-CA"/>
        </w:rPr>
        <w:t xml:space="preserve">étranger </w:t>
      </w:r>
      <w:r w:rsidR="00834A8E">
        <w:rPr>
          <w:lang w:val="fr-CA"/>
        </w:rPr>
        <w:t>depuis</w:t>
      </w:r>
      <w:r w:rsidR="00834A8E" w:rsidRPr="00BC2D48">
        <w:rPr>
          <w:lang w:val="fr-CA"/>
        </w:rPr>
        <w:t xml:space="preserve"> cinq ans ou plus l</w:t>
      </w:r>
      <w:r>
        <w:rPr>
          <w:lang w:val="fr-CA"/>
        </w:rPr>
        <w:t>’</w:t>
      </w:r>
      <w:r w:rsidR="00834A8E" w:rsidRPr="00BC2D48">
        <w:rPr>
          <w:lang w:val="fr-CA"/>
        </w:rPr>
        <w:t xml:space="preserve">emportent manifestement sur les éventuels effets bénéfiques </w:t>
      </w:r>
      <w:r w:rsidR="00834A8E">
        <w:rPr>
          <w:lang w:val="fr-CA"/>
        </w:rPr>
        <w:t xml:space="preserve">du maintien </w:t>
      </w:r>
      <w:r w:rsidR="00834A8E" w:rsidRPr="00BC2D48">
        <w:rPr>
          <w:lang w:val="fr-CA"/>
        </w:rPr>
        <w:t>de l</w:t>
      </w:r>
      <w:r>
        <w:rPr>
          <w:lang w:val="fr-CA"/>
        </w:rPr>
        <w:t>’</w:t>
      </w:r>
      <w:r w:rsidR="00834A8E" w:rsidRPr="00BC2D48">
        <w:rPr>
          <w:lang w:val="fr-CA"/>
        </w:rPr>
        <w:t>équité électorale.</w:t>
      </w:r>
      <w:r w:rsidR="00834A8E" w:rsidRPr="008F785B">
        <w:rPr>
          <w:lang w:val="fr-CA"/>
        </w:rPr>
        <w:t xml:space="preserve"> </w:t>
      </w:r>
      <w:r w:rsidR="00834A8E" w:rsidRPr="00BC2D48">
        <w:rPr>
          <w:lang w:val="fr-CA"/>
        </w:rPr>
        <w:t>Les effets bénéfiques de la mesure législative contestée sont illusoires</w:t>
      </w:r>
      <w:r w:rsidR="00834A8E">
        <w:rPr>
          <w:lang w:val="fr-CA"/>
        </w:rPr>
        <w:t xml:space="preserve"> et hypothétiques.</w:t>
      </w:r>
      <w:r w:rsidR="00834A8E" w:rsidRPr="008F785B">
        <w:rPr>
          <w:lang w:val="fr-CA"/>
        </w:rPr>
        <w:t xml:space="preserve"> </w:t>
      </w:r>
      <w:r w:rsidR="00834A8E">
        <w:rPr>
          <w:lang w:val="fr-CA"/>
        </w:rPr>
        <w:t xml:space="preserve">Il est difficile de voir </w:t>
      </w:r>
      <w:r w:rsidR="00834A8E" w:rsidRPr="00BC2D48">
        <w:rPr>
          <w:lang w:val="fr-CA"/>
        </w:rPr>
        <w:t>comment l</w:t>
      </w:r>
      <w:r>
        <w:rPr>
          <w:lang w:val="fr-CA"/>
        </w:rPr>
        <w:t>’</w:t>
      </w:r>
      <w:r w:rsidR="00834A8E" w:rsidRPr="00BC2D48">
        <w:rPr>
          <w:lang w:val="fr-CA"/>
        </w:rPr>
        <w:t xml:space="preserve">équité du système électoral est accrue lorsque des citoyens </w:t>
      </w:r>
      <w:proofErr w:type="spellStart"/>
      <w:r w:rsidR="00834A8E" w:rsidRPr="00BC2D48">
        <w:rPr>
          <w:lang w:val="fr-CA"/>
        </w:rPr>
        <w:t>non</w:t>
      </w:r>
      <w:r w:rsidR="00834A8E">
        <w:rPr>
          <w:lang w:val="fr-CA"/>
        </w:rPr>
        <w:t xml:space="preserve"> </w:t>
      </w:r>
      <w:r w:rsidR="00834A8E" w:rsidRPr="00BC2D48">
        <w:rPr>
          <w:lang w:val="fr-CA"/>
        </w:rPr>
        <w:t>résidents</w:t>
      </w:r>
      <w:proofErr w:type="spellEnd"/>
      <w:r w:rsidR="00834A8E" w:rsidRPr="00BC2D48">
        <w:rPr>
          <w:lang w:val="fr-CA"/>
        </w:rPr>
        <w:t xml:space="preserve"> </w:t>
      </w:r>
      <w:r w:rsidR="00834A8E">
        <w:rPr>
          <w:lang w:val="fr-CA"/>
        </w:rPr>
        <w:t>à long terme</w:t>
      </w:r>
      <w:r w:rsidR="00834A8E" w:rsidRPr="00BC2D48">
        <w:rPr>
          <w:lang w:val="fr-CA"/>
        </w:rPr>
        <w:t xml:space="preserve"> se voient priv</w:t>
      </w:r>
      <w:r w:rsidR="00834A8E">
        <w:rPr>
          <w:lang w:val="fr-CA"/>
        </w:rPr>
        <w:t>és</w:t>
      </w:r>
      <w:r w:rsidR="00834A8E" w:rsidRPr="00BC2D48">
        <w:rPr>
          <w:lang w:val="fr-CA"/>
        </w:rPr>
        <w:t xml:space="preserve"> du droit de vote.</w:t>
      </w:r>
      <w:r w:rsidR="00834A8E" w:rsidRPr="008F785B">
        <w:rPr>
          <w:lang w:val="fr-CA"/>
        </w:rPr>
        <w:t xml:space="preserve"> </w:t>
      </w:r>
      <w:r w:rsidR="00834A8E" w:rsidRPr="00BC2D48">
        <w:rPr>
          <w:lang w:val="fr-CA"/>
        </w:rPr>
        <w:t>En revanche, les effets préjudiciables de l</w:t>
      </w:r>
      <w:r>
        <w:rPr>
          <w:lang w:val="fr-CA"/>
        </w:rPr>
        <w:t>’</w:t>
      </w:r>
      <w:r w:rsidR="00834A8E" w:rsidRPr="00BC2D48">
        <w:rPr>
          <w:lang w:val="fr-CA"/>
        </w:rPr>
        <w:t xml:space="preserve">atteinte sur </w:t>
      </w:r>
      <w:r w:rsidR="00834A8E" w:rsidRPr="00BC2D48">
        <w:rPr>
          <w:lang w:val="fr-CA"/>
        </w:rPr>
        <w:lastRenderedPageBreak/>
        <w:t xml:space="preserve">les citoyens </w:t>
      </w:r>
      <w:proofErr w:type="spellStart"/>
      <w:r w:rsidR="00834A8E" w:rsidRPr="00BC2D48">
        <w:rPr>
          <w:lang w:val="fr-CA"/>
        </w:rPr>
        <w:t>non</w:t>
      </w:r>
      <w:r w:rsidR="00834A8E">
        <w:rPr>
          <w:lang w:val="fr-CA"/>
        </w:rPr>
        <w:t xml:space="preserve"> </w:t>
      </w:r>
      <w:r w:rsidR="00834A8E" w:rsidRPr="00BC2D48">
        <w:rPr>
          <w:lang w:val="fr-CA"/>
        </w:rPr>
        <w:t>résidents</w:t>
      </w:r>
      <w:proofErr w:type="spellEnd"/>
      <w:r w:rsidR="00834A8E" w:rsidRPr="00BC2D48">
        <w:rPr>
          <w:lang w:val="fr-CA"/>
        </w:rPr>
        <w:t xml:space="preserve"> touchés</w:t>
      </w:r>
      <w:r w:rsidR="00834A8E">
        <w:rPr>
          <w:lang w:val="fr-CA"/>
        </w:rPr>
        <w:t xml:space="preserve"> par la mesure</w:t>
      </w:r>
      <w:r w:rsidR="00834A8E" w:rsidRPr="00BC2D48">
        <w:rPr>
          <w:lang w:val="fr-CA"/>
        </w:rPr>
        <w:t xml:space="preserve"> sont graves</w:t>
      </w:r>
      <w:r w:rsidR="00834A8E">
        <w:rPr>
          <w:lang w:val="fr-CA"/>
        </w:rPr>
        <w:t>. La privation d</w:t>
      </w:r>
      <w:r w:rsidR="00834A8E" w:rsidRPr="00BC2D48">
        <w:rPr>
          <w:lang w:val="fr-CA"/>
        </w:rPr>
        <w:t xml:space="preserve">u droit de voter </w:t>
      </w:r>
      <w:r w:rsidR="00834A8E">
        <w:rPr>
          <w:lang w:val="fr-CA"/>
        </w:rPr>
        <w:t>entraîne,</w:t>
      </w:r>
      <w:r w:rsidR="00834A8E" w:rsidRPr="00BC2D48">
        <w:rPr>
          <w:lang w:val="fr-CA"/>
        </w:rPr>
        <w:t xml:space="preserve"> </w:t>
      </w:r>
      <w:r w:rsidR="00834A8E" w:rsidRPr="008F785B">
        <w:rPr>
          <w:lang w:val="fr-CA"/>
        </w:rPr>
        <w:t>en soi</w:t>
      </w:r>
      <w:r w:rsidR="00834A8E">
        <w:rPr>
          <w:lang w:val="fr-CA"/>
        </w:rPr>
        <w:t>, un préjudice</w:t>
      </w:r>
      <w:r w:rsidR="00834A8E" w:rsidRPr="00BC2D48">
        <w:rPr>
          <w:lang w:val="fr-CA"/>
        </w:rPr>
        <w:t xml:space="preserve"> </w:t>
      </w:r>
      <w:r w:rsidR="00B97D70">
        <w:rPr>
          <w:lang w:val="fr-CA"/>
        </w:rPr>
        <w:t>pour les</w:t>
      </w:r>
      <w:r w:rsidR="00834A8E" w:rsidRPr="00BC2D48">
        <w:rPr>
          <w:lang w:val="fr-CA"/>
        </w:rPr>
        <w:t xml:space="preserve"> citoyens touchés</w:t>
      </w:r>
      <w:r w:rsidR="00834A8E">
        <w:rPr>
          <w:lang w:val="fr-CA"/>
        </w:rPr>
        <w:t xml:space="preserve">; </w:t>
      </w:r>
      <w:r w:rsidR="00834A8E" w:rsidRPr="00BC2D48">
        <w:rPr>
          <w:lang w:val="fr-CA"/>
        </w:rPr>
        <w:t>la preuve d</w:t>
      </w:r>
      <w:r>
        <w:rPr>
          <w:lang w:val="fr-CA"/>
        </w:rPr>
        <w:t>’</w:t>
      </w:r>
      <w:r w:rsidR="00834A8E" w:rsidRPr="00BC2D48">
        <w:rPr>
          <w:lang w:val="fr-CA"/>
        </w:rPr>
        <w:t>un préjudice additionnel n</w:t>
      </w:r>
      <w:r>
        <w:rPr>
          <w:lang w:val="fr-CA"/>
        </w:rPr>
        <w:t>’</w:t>
      </w:r>
      <w:r w:rsidR="00834A8E" w:rsidRPr="00BC2D48">
        <w:rPr>
          <w:lang w:val="fr-CA"/>
        </w:rPr>
        <w:t>est pas nécessaire</w:t>
      </w:r>
      <w:r w:rsidR="00834A8E">
        <w:rPr>
          <w:lang w:val="fr-CA"/>
        </w:rPr>
        <w:t>. Le fait de priver du droit de vote</w:t>
      </w:r>
      <w:r w:rsidR="00834A8E" w:rsidRPr="00BC2D48">
        <w:rPr>
          <w:lang w:val="fr-CA"/>
        </w:rPr>
        <w:t xml:space="preserve"> </w:t>
      </w:r>
      <w:r w:rsidR="00834A8E">
        <w:rPr>
          <w:lang w:val="fr-CA"/>
        </w:rPr>
        <w:t xml:space="preserve">les citoyens </w:t>
      </w:r>
      <w:proofErr w:type="spellStart"/>
      <w:r w:rsidR="00834A8E">
        <w:rPr>
          <w:lang w:val="fr-CA"/>
        </w:rPr>
        <w:t>non résidents</w:t>
      </w:r>
      <w:proofErr w:type="spellEnd"/>
      <w:r w:rsidR="00834A8E">
        <w:rPr>
          <w:lang w:val="fr-CA"/>
        </w:rPr>
        <w:t xml:space="preserve"> à long terme les prive</w:t>
      </w:r>
      <w:r w:rsidR="00834A8E" w:rsidRPr="00BC2D48">
        <w:rPr>
          <w:lang w:val="fr-CA"/>
        </w:rPr>
        <w:t xml:space="preserve"> non se</w:t>
      </w:r>
      <w:r w:rsidR="00834A8E">
        <w:rPr>
          <w:lang w:val="fr-CA"/>
        </w:rPr>
        <w:t>ulement</w:t>
      </w:r>
      <w:r w:rsidR="00834A8E" w:rsidRPr="00BC2D48">
        <w:rPr>
          <w:lang w:val="fr-CA"/>
        </w:rPr>
        <w:t xml:space="preserve"> d</w:t>
      </w:r>
      <w:r>
        <w:rPr>
          <w:lang w:val="fr-CA"/>
        </w:rPr>
        <w:t>’</w:t>
      </w:r>
      <w:r w:rsidR="00834A8E" w:rsidRPr="00BC2D48">
        <w:rPr>
          <w:lang w:val="fr-CA"/>
        </w:rPr>
        <w:t xml:space="preserve">un droit démocratique fondamental, mais </w:t>
      </w:r>
      <w:r w:rsidR="00834A8E">
        <w:rPr>
          <w:lang w:val="fr-CA"/>
        </w:rPr>
        <w:t>cette privation</w:t>
      </w:r>
      <w:r w:rsidR="00834A8E" w:rsidRPr="00BC2D48">
        <w:rPr>
          <w:lang w:val="fr-CA"/>
        </w:rPr>
        <w:t xml:space="preserve"> se fait également aux dépens de </w:t>
      </w:r>
      <w:r w:rsidR="00834A8E">
        <w:rPr>
          <w:lang w:val="fr-CA"/>
        </w:rPr>
        <w:t>leur</w:t>
      </w:r>
      <w:r w:rsidR="00834A8E" w:rsidRPr="00BC2D48">
        <w:rPr>
          <w:lang w:val="fr-CA"/>
        </w:rPr>
        <w:t xml:space="preserve"> valeur et de</w:t>
      </w:r>
      <w:r w:rsidR="00834A8E">
        <w:rPr>
          <w:lang w:val="fr-CA"/>
        </w:rPr>
        <w:t xml:space="preserve"> leur</w:t>
      </w:r>
      <w:r w:rsidR="00834A8E" w:rsidRPr="00BC2D48">
        <w:rPr>
          <w:lang w:val="fr-CA"/>
        </w:rPr>
        <w:t xml:space="preserve"> dignité</w:t>
      </w:r>
      <w:r w:rsidR="00834A8E">
        <w:rPr>
          <w:lang w:val="fr-CA"/>
        </w:rPr>
        <w:t xml:space="preserve"> intrinsèques.</w:t>
      </w:r>
      <w:r w:rsidR="00834A8E" w:rsidRPr="000A133B">
        <w:rPr>
          <w:lang w:val="fr-CA"/>
        </w:rPr>
        <w:t xml:space="preserve"> </w:t>
      </w:r>
    </w:p>
    <w:p w:rsidR="00834A8E" w:rsidRPr="00DF19BB" w:rsidRDefault="00B97D70" w:rsidP="00805B11">
      <w:pPr>
        <w:pStyle w:val="SCCNormalDoubleSpacing"/>
        <w:spacing w:before="240" w:after="480"/>
        <w:rPr>
          <w:lang w:val="fr-CA"/>
        </w:rPr>
      </w:pPr>
      <w:r>
        <w:rPr>
          <w:i/>
          <w:lang w:val="fr-CA"/>
        </w:rPr>
        <w:tab/>
      </w:r>
      <w:r w:rsidR="00834A8E">
        <w:rPr>
          <w:i/>
          <w:lang w:val="fr-CA"/>
        </w:rPr>
        <w:t>L</w:t>
      </w:r>
      <w:r w:rsidR="00834A8E" w:rsidRPr="00DF19BB">
        <w:rPr>
          <w:i/>
          <w:lang w:val="fr-CA"/>
        </w:rPr>
        <w:t>e</w:t>
      </w:r>
      <w:r w:rsidR="00834A8E" w:rsidRPr="00DF19BB">
        <w:rPr>
          <w:lang w:val="fr-CA"/>
        </w:rPr>
        <w:t xml:space="preserve"> </w:t>
      </w:r>
      <w:r w:rsidR="00834A8E">
        <w:rPr>
          <w:lang w:val="fr-CA"/>
        </w:rPr>
        <w:t xml:space="preserve">juge </w:t>
      </w:r>
      <w:r w:rsidR="00834A8E" w:rsidRPr="00DF702A">
        <w:rPr>
          <w:lang w:val="fr-CA"/>
        </w:rPr>
        <w:t>Rowe</w:t>
      </w:r>
      <w:r w:rsidR="00834A8E">
        <w:rPr>
          <w:b/>
          <w:lang w:val="fr-CA"/>
        </w:rPr>
        <w:t> </w:t>
      </w:r>
      <w:r w:rsidR="00834A8E" w:rsidRPr="00DF19BB">
        <w:rPr>
          <w:lang w:val="fr-CA"/>
        </w:rPr>
        <w:t xml:space="preserve">: </w:t>
      </w:r>
      <w:r w:rsidR="00834A8E">
        <w:rPr>
          <w:lang w:val="fr-CA"/>
        </w:rPr>
        <w:t>Il y a accord quant au fait que le pourvoi devrait être accueilli. La limite restreignant le droit de vote aux élections fédérales des citoyens qui n</w:t>
      </w:r>
      <w:r w:rsidR="00805B11">
        <w:rPr>
          <w:lang w:val="fr-CA"/>
        </w:rPr>
        <w:t>’</w:t>
      </w:r>
      <w:r w:rsidR="00834A8E">
        <w:rPr>
          <w:lang w:val="fr-CA"/>
        </w:rPr>
        <w:t>ont pas résidé au Canada depuis cinq années ou plus constitue une violation injustifiée de l</w:t>
      </w:r>
      <w:r w:rsidR="00805B11">
        <w:rPr>
          <w:lang w:val="fr-CA"/>
        </w:rPr>
        <w:t>’</w:t>
      </w:r>
      <w:r w:rsidR="00834A8E">
        <w:rPr>
          <w:lang w:val="fr-CA"/>
        </w:rPr>
        <w:t xml:space="preserve">art. 3 de la </w:t>
      </w:r>
      <w:r w:rsidR="00834A8E">
        <w:rPr>
          <w:i/>
          <w:lang w:val="fr-CA"/>
        </w:rPr>
        <w:t>Charte</w:t>
      </w:r>
      <w:r w:rsidR="00834A8E">
        <w:rPr>
          <w:lang w:val="fr-CA"/>
        </w:rPr>
        <w:t>. Toutefois, toute évaluation de ce type de limites doit tenir compte du caractère important et central de l</w:t>
      </w:r>
      <w:r w:rsidR="00805B11">
        <w:rPr>
          <w:lang w:val="fr-CA"/>
        </w:rPr>
        <w:t>’</w:t>
      </w:r>
      <w:r w:rsidR="00834A8E">
        <w:rPr>
          <w:lang w:val="fr-CA"/>
        </w:rPr>
        <w:t>obligation de résidence dans le système de démocratie représentative du Canada, et ne doit pas écarter la possibilité que, dans un autre contexte, des exigences en la matière puissent être constitutionnelles</w:t>
      </w:r>
      <w:r w:rsidR="00805B11">
        <w:rPr>
          <w:lang w:val="fr-CA"/>
        </w:rPr>
        <w:t xml:space="preserve">. </w:t>
      </w:r>
    </w:p>
    <w:p w:rsidR="00834A8E" w:rsidRPr="00DF19BB" w:rsidRDefault="00834A8E" w:rsidP="00805B11">
      <w:pPr>
        <w:pStyle w:val="SCCNormalDoubleSpacing"/>
        <w:spacing w:before="240" w:after="480"/>
        <w:rPr>
          <w:lang w:val="fr-CA"/>
        </w:rPr>
      </w:pPr>
      <w:r w:rsidRPr="00DF19BB">
        <w:rPr>
          <w:lang w:val="fr-CA"/>
        </w:rPr>
        <w:tab/>
      </w:r>
      <w:r>
        <w:rPr>
          <w:lang w:val="fr-CA"/>
        </w:rPr>
        <w:t>La notion de résidence revêt de l</w:t>
      </w:r>
      <w:r w:rsidR="00805B11">
        <w:rPr>
          <w:lang w:val="fr-CA"/>
        </w:rPr>
        <w:t>’</w:t>
      </w:r>
      <w:r>
        <w:rPr>
          <w:lang w:val="fr-CA"/>
        </w:rPr>
        <w:t xml:space="preserve">importance </w:t>
      </w:r>
      <w:r w:rsidRPr="00B97D70">
        <w:rPr>
          <w:lang w:val="fr-CA"/>
        </w:rPr>
        <w:t>du point de vue des liens</w:t>
      </w:r>
      <w:r>
        <w:rPr>
          <w:lang w:val="fr-CA"/>
        </w:rPr>
        <w:t xml:space="preserve"> qui rattachent l</w:t>
      </w:r>
      <w:r w:rsidR="00805B11">
        <w:rPr>
          <w:lang w:val="fr-CA"/>
        </w:rPr>
        <w:t>’</w:t>
      </w:r>
      <w:r>
        <w:rPr>
          <w:lang w:val="fr-CA"/>
        </w:rPr>
        <w:t>électeur à une circonscription électorale donnée et des questions qui sont importantes pour les personnes qui y vivent.</w:t>
      </w:r>
      <w:r w:rsidRPr="001009C8">
        <w:rPr>
          <w:lang w:val="fr-CA"/>
        </w:rPr>
        <w:t xml:space="preserve"> </w:t>
      </w:r>
      <w:r>
        <w:rPr>
          <w:lang w:val="fr-CA"/>
        </w:rPr>
        <w:t>Bien que cet aspect de la démocratie représentative du Canada ne soit pas inscrit dans la Constitution, la notion de résidence a toujours été et demeure aujourd</w:t>
      </w:r>
      <w:r w:rsidR="00805B11">
        <w:rPr>
          <w:lang w:val="fr-CA"/>
        </w:rPr>
        <w:t>’</w:t>
      </w:r>
      <w:r>
        <w:rPr>
          <w:lang w:val="fr-CA"/>
        </w:rPr>
        <w:t>hui davantage qu</w:t>
      </w:r>
      <w:r w:rsidR="00805B11">
        <w:rPr>
          <w:lang w:val="fr-CA"/>
        </w:rPr>
        <w:t>’</w:t>
      </w:r>
      <w:r w:rsidR="00D904D8">
        <w:rPr>
          <w:lang w:val="fr-CA"/>
        </w:rPr>
        <w:t xml:space="preserve">un simple </w:t>
      </w:r>
      <w:r w:rsidR="00046519">
        <w:rPr>
          <w:lang w:val="fr-CA"/>
        </w:rPr>
        <w:t xml:space="preserve">mécanisme </w:t>
      </w:r>
      <w:r w:rsidR="00DD584C">
        <w:rPr>
          <w:lang w:val="fr-CA"/>
        </w:rPr>
        <w:t>d’organisation</w:t>
      </w:r>
      <w:r w:rsidR="00046519">
        <w:rPr>
          <w:lang w:val="fr-CA"/>
        </w:rPr>
        <w:t xml:space="preserve">. </w:t>
      </w:r>
      <w:r>
        <w:rPr>
          <w:lang w:val="fr-CA"/>
        </w:rPr>
        <w:t>Elle fait partie des assises du système électoral canadien. Cependant, l</w:t>
      </w:r>
      <w:r w:rsidR="00805B11">
        <w:rPr>
          <w:lang w:val="fr-CA"/>
        </w:rPr>
        <w:t>’</w:t>
      </w:r>
      <w:r>
        <w:rPr>
          <w:lang w:val="fr-CA"/>
        </w:rPr>
        <w:t>importance du lieu de résidence n</w:t>
      </w:r>
      <w:r w:rsidR="00805B11">
        <w:rPr>
          <w:lang w:val="fr-CA"/>
        </w:rPr>
        <w:t>’</w:t>
      </w:r>
      <w:r>
        <w:rPr>
          <w:lang w:val="fr-CA"/>
        </w:rPr>
        <w:t>élève pas celui</w:t>
      </w:r>
      <w:r>
        <w:rPr>
          <w:lang w:val="fr-CA"/>
        </w:rPr>
        <w:noBreakHyphen/>
        <w:t>ci au rang de limite intrinsèque du droit de vote garanti par l</w:t>
      </w:r>
      <w:r w:rsidR="00805B11">
        <w:rPr>
          <w:lang w:val="fr-CA"/>
        </w:rPr>
        <w:t>’</w:t>
      </w:r>
      <w:r>
        <w:rPr>
          <w:lang w:val="fr-CA"/>
        </w:rPr>
        <w:t>art. 3.</w:t>
      </w:r>
      <w:r w:rsidRPr="00DF19BB">
        <w:rPr>
          <w:lang w:val="fr-CA"/>
        </w:rPr>
        <w:t xml:space="preserve"> </w:t>
      </w:r>
    </w:p>
    <w:p w:rsidR="00834A8E" w:rsidRPr="00DF19BB" w:rsidRDefault="00834A8E" w:rsidP="00805B11">
      <w:pPr>
        <w:pStyle w:val="SCCNormalDoubleSpacing"/>
        <w:spacing w:before="240" w:after="480"/>
        <w:rPr>
          <w:lang w:val="fr-CA"/>
        </w:rPr>
      </w:pPr>
      <w:r w:rsidRPr="00DF19BB">
        <w:rPr>
          <w:lang w:val="fr-CA"/>
        </w:rPr>
        <w:lastRenderedPageBreak/>
        <w:tab/>
      </w:r>
      <w:r>
        <w:rPr>
          <w:lang w:val="fr-CA"/>
        </w:rPr>
        <w:t>L</w:t>
      </w:r>
      <w:r w:rsidR="00805B11">
        <w:rPr>
          <w:lang w:val="fr-CA"/>
        </w:rPr>
        <w:t>’</w:t>
      </w:r>
      <w:r w:rsidR="00D904D8">
        <w:rPr>
          <w:lang w:val="fr-CA"/>
        </w:rPr>
        <w:t>article </w:t>
      </w:r>
      <w:r>
        <w:rPr>
          <w:lang w:val="fr-CA"/>
        </w:rPr>
        <w:t>3 protège le droit des citoyens canadiens de voter, mais il ne s</w:t>
      </w:r>
      <w:r w:rsidR="00805B11">
        <w:rPr>
          <w:lang w:val="fr-CA"/>
        </w:rPr>
        <w:t>’</w:t>
      </w:r>
      <w:r>
        <w:rPr>
          <w:lang w:val="fr-CA"/>
        </w:rPr>
        <w:t>ensuit pas, corollairement, que ceux</w:t>
      </w:r>
      <w:r>
        <w:rPr>
          <w:lang w:val="fr-CA"/>
        </w:rPr>
        <w:noBreakHyphen/>
        <w:t>ci ont le droit de voter dans la circonscription ou la province de leur choix. Chaque province et territoire a établi, en matière de résidence, des exigences reflétant les préoccupations et circonstances qui lui sont propres.</w:t>
      </w:r>
      <w:r w:rsidRPr="00DF19BB">
        <w:rPr>
          <w:lang w:val="fr-CA"/>
        </w:rPr>
        <w:t xml:space="preserve"> </w:t>
      </w:r>
      <w:r>
        <w:rPr>
          <w:lang w:val="fr-CA"/>
        </w:rPr>
        <w:t>La concession du procureur général du Canada selon laquelle les exigences contestées en matière de résidence violent l</w:t>
      </w:r>
      <w:r w:rsidR="00805B11">
        <w:rPr>
          <w:lang w:val="fr-CA"/>
        </w:rPr>
        <w:t>’</w:t>
      </w:r>
      <w:r>
        <w:rPr>
          <w:lang w:val="fr-CA"/>
        </w:rPr>
        <w:t>art. 3 n</w:t>
      </w:r>
      <w:r w:rsidR="00805B11">
        <w:rPr>
          <w:lang w:val="fr-CA"/>
        </w:rPr>
        <w:t>’</w:t>
      </w:r>
      <w:r>
        <w:rPr>
          <w:lang w:val="fr-CA"/>
        </w:rPr>
        <w:t>empêche pas les gouvernements des provinces ou des territoires de plaider que leurs lois n</w:t>
      </w:r>
      <w:r w:rsidR="00805B11">
        <w:rPr>
          <w:lang w:val="fr-CA"/>
        </w:rPr>
        <w:t>’</w:t>
      </w:r>
      <w:r>
        <w:rPr>
          <w:lang w:val="fr-CA"/>
        </w:rPr>
        <w:t>ont pas cet effet. Diverses considérations s</w:t>
      </w:r>
      <w:r w:rsidR="00805B11">
        <w:rPr>
          <w:lang w:val="fr-CA"/>
        </w:rPr>
        <w:t>’</w:t>
      </w:r>
      <w:r>
        <w:rPr>
          <w:lang w:val="fr-CA"/>
        </w:rPr>
        <w:t>appliqueront lors de l</w:t>
      </w:r>
      <w:r w:rsidR="00805B11">
        <w:rPr>
          <w:lang w:val="fr-CA"/>
        </w:rPr>
        <w:t>’</w:t>
      </w:r>
      <w:r>
        <w:rPr>
          <w:lang w:val="fr-CA"/>
        </w:rPr>
        <w:t>analyse, au regard de l</w:t>
      </w:r>
      <w:r w:rsidR="00805B11">
        <w:rPr>
          <w:lang w:val="fr-CA"/>
        </w:rPr>
        <w:t>’</w:t>
      </w:r>
      <w:r>
        <w:rPr>
          <w:lang w:val="fr-CA"/>
        </w:rPr>
        <w:t>article premier, de toute violation établie ou concédée de l</w:t>
      </w:r>
      <w:r w:rsidR="00805B11">
        <w:rPr>
          <w:lang w:val="fr-CA"/>
        </w:rPr>
        <w:t>’</w:t>
      </w:r>
      <w:r>
        <w:rPr>
          <w:lang w:val="fr-CA"/>
        </w:rPr>
        <w:t>art. 3 à l</w:t>
      </w:r>
      <w:r w:rsidR="00805B11">
        <w:rPr>
          <w:lang w:val="fr-CA"/>
        </w:rPr>
        <w:t>’</w:t>
      </w:r>
      <w:r>
        <w:rPr>
          <w:lang w:val="fr-CA"/>
        </w:rPr>
        <w:t>échelle provinciale ou territoriale, et il est fort possible que la preuve des circonstances relatives aux diverses exigences en matière de résidence dans chaque province ou territoire influe sur l</w:t>
      </w:r>
      <w:r w:rsidR="00805B11">
        <w:rPr>
          <w:lang w:val="fr-CA"/>
        </w:rPr>
        <w:t>’</w:t>
      </w:r>
      <w:r>
        <w:rPr>
          <w:lang w:val="fr-CA"/>
        </w:rPr>
        <w:t>analyse.</w:t>
      </w:r>
    </w:p>
    <w:p w:rsidR="00834A8E" w:rsidRPr="00DF19BB" w:rsidRDefault="00834A8E" w:rsidP="00805B11">
      <w:pPr>
        <w:pStyle w:val="SCCNormalDoubleSpacing"/>
        <w:spacing w:before="240" w:after="480"/>
        <w:rPr>
          <w:lang w:val="fr-CA"/>
        </w:rPr>
      </w:pPr>
      <w:r w:rsidRPr="00DF19BB">
        <w:rPr>
          <w:lang w:val="fr-CA"/>
        </w:rPr>
        <w:tab/>
      </w:r>
      <w:r>
        <w:rPr>
          <w:lang w:val="fr-CA"/>
        </w:rPr>
        <w:t>En l</w:t>
      </w:r>
      <w:r w:rsidR="00805B11">
        <w:rPr>
          <w:lang w:val="fr-CA"/>
        </w:rPr>
        <w:t>’</w:t>
      </w:r>
      <w:r>
        <w:rPr>
          <w:lang w:val="fr-CA"/>
        </w:rPr>
        <w:t>espèce, la promotion de l</w:t>
      </w:r>
      <w:r w:rsidR="00805B11">
        <w:rPr>
          <w:lang w:val="fr-CA"/>
        </w:rPr>
        <w:t>’</w:t>
      </w:r>
      <w:r>
        <w:rPr>
          <w:lang w:val="fr-CA"/>
        </w:rPr>
        <w:t>équité électorale pour les Canadiens résidents constitue un objectif urgent et réel, et les mesures contestées ont un lien rationnel avec cet objectif.</w:t>
      </w:r>
      <w:r w:rsidRPr="00791AA1">
        <w:rPr>
          <w:lang w:val="fr-CA"/>
        </w:rPr>
        <w:t xml:space="preserve"> </w:t>
      </w:r>
      <w:r>
        <w:rPr>
          <w:lang w:val="fr-CA"/>
        </w:rPr>
        <w:t>Si la légitimité d</w:t>
      </w:r>
      <w:r w:rsidR="00805B11">
        <w:rPr>
          <w:lang w:val="fr-CA"/>
        </w:rPr>
        <w:t>’</w:t>
      </w:r>
      <w:r>
        <w:rPr>
          <w:lang w:val="fr-CA"/>
        </w:rPr>
        <w:t>une loi découle du fait que les personnes qui y sont assujetties sont celles qui l</w:t>
      </w:r>
      <w:r w:rsidR="00805B11">
        <w:rPr>
          <w:lang w:val="fr-CA"/>
        </w:rPr>
        <w:t>’</w:t>
      </w:r>
      <w:r>
        <w:rPr>
          <w:lang w:val="fr-CA"/>
        </w:rPr>
        <w:t xml:space="preserve">ont indirectement </w:t>
      </w:r>
      <w:r w:rsidR="00B97D70">
        <w:rPr>
          <w:lang w:val="fr-CA"/>
        </w:rPr>
        <w:t>élaborée, il est donc injuste</w:t>
      </w:r>
      <w:r>
        <w:rPr>
          <w:lang w:val="fr-CA"/>
        </w:rPr>
        <w:t xml:space="preserve"> que des personnes qui ne sont pas assujetties à une telle loi ou touchées par celle</w:t>
      </w:r>
      <w:r>
        <w:rPr>
          <w:lang w:val="fr-CA"/>
        </w:rPr>
        <w:noBreakHyphen/>
        <w:t>ci puissent se prononcer au même titre que celles qui le seront. Les non</w:t>
      </w:r>
      <w:r>
        <w:rPr>
          <w:lang w:val="fr-CA"/>
        </w:rPr>
        <w:noBreakHyphen/>
        <w:t>résidents à long terme sont susceptibles de posséder moins de liens avec toute communauté canadienne. Les personnes qui n</w:t>
      </w:r>
      <w:r w:rsidR="00805B11">
        <w:rPr>
          <w:lang w:val="fr-CA"/>
        </w:rPr>
        <w:t>’</w:t>
      </w:r>
      <w:r>
        <w:rPr>
          <w:lang w:val="fr-CA"/>
        </w:rPr>
        <w:t>ont pas vécu dans une circonscription depuis plus de cinq ans sont moins susceptibles d</w:t>
      </w:r>
      <w:r w:rsidR="00805B11">
        <w:rPr>
          <w:lang w:val="fr-CA"/>
        </w:rPr>
        <w:t>’</w:t>
      </w:r>
      <w:r>
        <w:rPr>
          <w:lang w:val="fr-CA"/>
        </w:rPr>
        <w:t xml:space="preserve">être au fait des enjeux touchant cette circonscription, et les électeurs </w:t>
      </w:r>
      <w:proofErr w:type="spellStart"/>
      <w:r>
        <w:rPr>
          <w:lang w:val="fr-CA"/>
        </w:rPr>
        <w:t>non résidents</w:t>
      </w:r>
      <w:proofErr w:type="spellEnd"/>
      <w:r>
        <w:rPr>
          <w:lang w:val="fr-CA"/>
        </w:rPr>
        <w:t xml:space="preserve"> à long terme qui n</w:t>
      </w:r>
      <w:r w:rsidR="00805B11">
        <w:rPr>
          <w:lang w:val="fr-CA"/>
        </w:rPr>
        <w:t>’</w:t>
      </w:r>
      <w:r>
        <w:rPr>
          <w:lang w:val="fr-CA"/>
        </w:rPr>
        <w:t>ont pas l</w:t>
      </w:r>
      <w:r w:rsidR="00805B11">
        <w:rPr>
          <w:lang w:val="fr-CA"/>
        </w:rPr>
        <w:t>’</w:t>
      </w:r>
      <w:r>
        <w:rPr>
          <w:lang w:val="fr-CA"/>
        </w:rPr>
        <w:t xml:space="preserve">intention de retourner dans cette circonscription ne ressentiront pas les effets des lois et politiques fédérales de la </w:t>
      </w:r>
      <w:r>
        <w:rPr>
          <w:lang w:val="fr-CA"/>
        </w:rPr>
        <w:lastRenderedPageBreak/>
        <w:t>manière dont elles se manifestent au niveau local. De la même façon, à l</w:t>
      </w:r>
      <w:r w:rsidR="00805B11">
        <w:rPr>
          <w:lang w:val="fr-CA"/>
        </w:rPr>
        <w:t>’</w:t>
      </w:r>
      <w:r>
        <w:rPr>
          <w:lang w:val="fr-CA"/>
        </w:rPr>
        <w:t>échelle nationale, les personnes qui n</w:t>
      </w:r>
      <w:r w:rsidR="00805B11">
        <w:rPr>
          <w:lang w:val="fr-CA"/>
        </w:rPr>
        <w:t>’</w:t>
      </w:r>
      <w:r>
        <w:rPr>
          <w:lang w:val="fr-CA"/>
        </w:rPr>
        <w:t>ont pas vécu au pays depuis longtemps sont susceptibles d</w:t>
      </w:r>
      <w:r w:rsidR="00805B11">
        <w:rPr>
          <w:lang w:val="fr-CA"/>
        </w:rPr>
        <w:t>’</w:t>
      </w:r>
      <w:r>
        <w:rPr>
          <w:lang w:val="fr-CA"/>
        </w:rPr>
        <w:t>avoir des liens moins forts avec le Canada que celles qui y résident et sont touché</w:t>
      </w:r>
      <w:r w:rsidR="0069752A">
        <w:rPr>
          <w:lang w:val="fr-CA"/>
        </w:rPr>
        <w:t>e</w:t>
      </w:r>
      <w:r>
        <w:rPr>
          <w:lang w:val="fr-CA"/>
        </w:rPr>
        <w:t>s par les lois canadiennes à un degré bien moindre que les Canadiens résidents.</w:t>
      </w:r>
    </w:p>
    <w:p w:rsidR="00834A8E" w:rsidRDefault="00834A8E" w:rsidP="00805B11">
      <w:pPr>
        <w:pStyle w:val="SCCNormalDoubleSpacing"/>
        <w:spacing w:before="240" w:after="480"/>
        <w:rPr>
          <w:lang w:val="fr-CA"/>
        </w:rPr>
      </w:pPr>
      <w:r w:rsidRPr="00DF19BB">
        <w:rPr>
          <w:lang w:val="fr-CA"/>
        </w:rPr>
        <w:tab/>
      </w:r>
      <w:r w:rsidR="00B97D70">
        <w:rPr>
          <w:lang w:val="fr-CA"/>
        </w:rPr>
        <w:t>En définitive, t</w:t>
      </w:r>
      <w:r>
        <w:rPr>
          <w:lang w:val="fr-CA"/>
        </w:rPr>
        <w:t>outefois, les mesures contestées ne résistent pas à l</w:t>
      </w:r>
      <w:r w:rsidR="00805B11">
        <w:rPr>
          <w:lang w:val="fr-CA"/>
        </w:rPr>
        <w:t>’</w:t>
      </w:r>
      <w:r>
        <w:rPr>
          <w:lang w:val="fr-CA"/>
        </w:rPr>
        <w:t>examen fondé sur l</w:t>
      </w:r>
      <w:r w:rsidR="00805B11">
        <w:rPr>
          <w:lang w:val="fr-CA"/>
        </w:rPr>
        <w:t>’</w:t>
      </w:r>
      <w:r>
        <w:rPr>
          <w:lang w:val="fr-CA"/>
        </w:rPr>
        <w:t>article premier, car les</w:t>
      </w:r>
      <w:r w:rsidRPr="00DF19BB">
        <w:rPr>
          <w:lang w:val="fr-CA"/>
        </w:rPr>
        <w:t xml:space="preserve"> </w:t>
      </w:r>
      <w:r>
        <w:rPr>
          <w:lang w:val="fr-CA"/>
        </w:rPr>
        <w:t xml:space="preserve">effets préjudiciables découlant du fait de priver les Canadiens </w:t>
      </w:r>
      <w:proofErr w:type="spellStart"/>
      <w:r>
        <w:rPr>
          <w:lang w:val="fr-CA"/>
        </w:rPr>
        <w:t>non résidents</w:t>
      </w:r>
      <w:proofErr w:type="spellEnd"/>
      <w:r>
        <w:rPr>
          <w:lang w:val="fr-CA"/>
        </w:rPr>
        <w:t xml:space="preserve"> à long terme du droit de voter aux élections fédérales l</w:t>
      </w:r>
      <w:r w:rsidR="00805B11">
        <w:rPr>
          <w:lang w:val="fr-CA"/>
        </w:rPr>
        <w:t>’</w:t>
      </w:r>
      <w:r>
        <w:rPr>
          <w:lang w:val="fr-CA"/>
        </w:rPr>
        <w:t>emportent sur les effets bénéfiques d</w:t>
      </w:r>
      <w:r w:rsidR="00805B11">
        <w:rPr>
          <w:lang w:val="fr-CA"/>
        </w:rPr>
        <w:t>’</w:t>
      </w:r>
      <w:r>
        <w:rPr>
          <w:lang w:val="fr-CA"/>
        </w:rPr>
        <w:t>une mesure visant à promouvoir l</w:t>
      </w:r>
      <w:r w:rsidR="00805B11">
        <w:rPr>
          <w:lang w:val="fr-CA"/>
        </w:rPr>
        <w:t>’</w:t>
      </w:r>
      <w:r>
        <w:rPr>
          <w:lang w:val="fr-CA"/>
        </w:rPr>
        <w:t>équité en faveur des Canadiens qui résident au pays. Le principal effet bénéfique des mesures contestées est que les non-résidents à long terme n</w:t>
      </w:r>
      <w:r w:rsidR="00805B11">
        <w:rPr>
          <w:lang w:val="fr-CA"/>
        </w:rPr>
        <w:t>’</w:t>
      </w:r>
      <w:r>
        <w:rPr>
          <w:lang w:val="fr-CA"/>
        </w:rPr>
        <w:t xml:space="preserve">exprimeront pas un vote décisif dans une circonscription où elles ne résident pas, et par conséquent, le représentant local ne sera pas choisi </w:t>
      </w:r>
      <w:r w:rsidR="00B97D70">
        <w:rPr>
          <w:lang w:val="fr-CA"/>
        </w:rPr>
        <w:t>(</w:t>
      </w:r>
      <w:r>
        <w:rPr>
          <w:lang w:val="fr-CA"/>
        </w:rPr>
        <w:t>en partie</w:t>
      </w:r>
      <w:r w:rsidR="00B97D70">
        <w:rPr>
          <w:lang w:val="fr-CA"/>
        </w:rPr>
        <w:t>)</w:t>
      </w:r>
      <w:r>
        <w:rPr>
          <w:lang w:val="fr-CA"/>
        </w:rPr>
        <w:t xml:space="preserve"> par des personnes de l</w:t>
      </w:r>
      <w:r w:rsidR="00805B11">
        <w:rPr>
          <w:lang w:val="fr-CA"/>
        </w:rPr>
        <w:t>’</w:t>
      </w:r>
      <w:r>
        <w:rPr>
          <w:lang w:val="fr-CA"/>
        </w:rPr>
        <w:t>extérieur de la circonscription. Cependant, cet effet bénéfique est sans conséquence : il n</w:t>
      </w:r>
      <w:r w:rsidR="00805B11">
        <w:rPr>
          <w:lang w:val="fr-CA"/>
        </w:rPr>
        <w:t>’</w:t>
      </w:r>
      <w:r>
        <w:rPr>
          <w:lang w:val="fr-CA"/>
        </w:rPr>
        <w:t>y a presqu</w:t>
      </w:r>
      <w:r w:rsidR="0069752A">
        <w:rPr>
          <w:lang w:val="fr-CA"/>
        </w:rPr>
        <w:t xml:space="preserve">e </w:t>
      </w:r>
      <w:r>
        <w:rPr>
          <w:lang w:val="fr-CA"/>
        </w:rPr>
        <w:t>aucune preuve de l</w:t>
      </w:r>
      <w:r w:rsidR="00805B11">
        <w:rPr>
          <w:lang w:val="fr-CA"/>
        </w:rPr>
        <w:t>’</w:t>
      </w:r>
      <w:r>
        <w:rPr>
          <w:lang w:val="fr-CA"/>
        </w:rPr>
        <w:t>incidence qu</w:t>
      </w:r>
      <w:r w:rsidR="00805B11">
        <w:rPr>
          <w:lang w:val="fr-CA"/>
        </w:rPr>
        <w:t>’</w:t>
      </w:r>
      <w:r>
        <w:rPr>
          <w:lang w:val="fr-CA"/>
        </w:rPr>
        <w:t>auraient eue ou qu</w:t>
      </w:r>
      <w:r w:rsidR="00805B11">
        <w:rPr>
          <w:lang w:val="fr-CA"/>
        </w:rPr>
        <w:t>’</w:t>
      </w:r>
      <w:r>
        <w:rPr>
          <w:lang w:val="fr-CA"/>
        </w:rPr>
        <w:t>auraient pu avoir les résidents à long terme, soit à l</w:t>
      </w:r>
      <w:r w:rsidR="00805B11">
        <w:rPr>
          <w:lang w:val="fr-CA"/>
        </w:rPr>
        <w:t>’</w:t>
      </w:r>
      <w:r>
        <w:rPr>
          <w:lang w:val="fr-CA"/>
        </w:rPr>
        <w:t>échelle locale soit à l</w:t>
      </w:r>
      <w:r w:rsidR="00805B11">
        <w:rPr>
          <w:lang w:val="fr-CA"/>
        </w:rPr>
        <w:t>’</w:t>
      </w:r>
      <w:r>
        <w:rPr>
          <w:lang w:val="fr-CA"/>
        </w:rPr>
        <w:t>échelle nationale, s</w:t>
      </w:r>
      <w:r w:rsidR="00805B11">
        <w:rPr>
          <w:lang w:val="fr-CA"/>
        </w:rPr>
        <w:t>’</w:t>
      </w:r>
      <w:r>
        <w:rPr>
          <w:lang w:val="fr-CA"/>
        </w:rPr>
        <w:t>ils avaient été autorisés à voter, et il ressort de la preuve existante que l</w:t>
      </w:r>
      <w:r w:rsidR="00805B11">
        <w:rPr>
          <w:lang w:val="fr-CA"/>
        </w:rPr>
        <w:t>’</w:t>
      </w:r>
      <w:r>
        <w:rPr>
          <w:lang w:val="fr-CA"/>
        </w:rPr>
        <w:t>incidence serait vraisemblablement négligeable, puisqu</w:t>
      </w:r>
      <w:r w:rsidR="00805B11">
        <w:rPr>
          <w:lang w:val="fr-CA"/>
        </w:rPr>
        <w:t>’</w:t>
      </w:r>
      <w:r>
        <w:rPr>
          <w:lang w:val="fr-CA"/>
        </w:rPr>
        <w:t>un très petit nombre de Canadiens qui vivent à l</w:t>
      </w:r>
      <w:r w:rsidR="00805B11">
        <w:rPr>
          <w:lang w:val="fr-CA"/>
        </w:rPr>
        <w:t>’</w:t>
      </w:r>
      <w:r>
        <w:rPr>
          <w:lang w:val="fr-CA"/>
        </w:rPr>
        <w:t xml:space="preserve">étranger et </w:t>
      </w:r>
      <w:r w:rsidR="00B97D70">
        <w:rPr>
          <w:lang w:val="fr-CA"/>
        </w:rPr>
        <w:t xml:space="preserve">qui </w:t>
      </w:r>
      <w:r>
        <w:rPr>
          <w:lang w:val="fr-CA"/>
        </w:rPr>
        <w:t>ont actuellement le droit de voter choisissent d</w:t>
      </w:r>
      <w:r w:rsidR="00805B11">
        <w:rPr>
          <w:lang w:val="fr-CA"/>
        </w:rPr>
        <w:t>’</w:t>
      </w:r>
      <w:r>
        <w:rPr>
          <w:lang w:val="fr-CA"/>
        </w:rPr>
        <w:t>exercer ce droit. En revanche, les effets préjudiciables des dispositions sur les non</w:t>
      </w:r>
      <w:r>
        <w:rPr>
          <w:lang w:val="fr-CA"/>
        </w:rPr>
        <w:noBreakHyphen/>
        <w:t>résidents à long terme sont évidents : ces personnes ne peuvent pas voter. Bien qu</w:t>
      </w:r>
      <w:r w:rsidR="00805B11">
        <w:rPr>
          <w:lang w:val="fr-CA"/>
        </w:rPr>
        <w:t>’</w:t>
      </w:r>
      <w:r>
        <w:rPr>
          <w:lang w:val="fr-CA"/>
        </w:rPr>
        <w:t>il soit possible qu</w:t>
      </w:r>
      <w:r w:rsidR="00805B11">
        <w:rPr>
          <w:lang w:val="fr-CA"/>
        </w:rPr>
        <w:t>’</w:t>
      </w:r>
      <w:r>
        <w:rPr>
          <w:lang w:val="fr-CA"/>
        </w:rPr>
        <w:t>elles ne ressentent pas les conséquences à l</w:t>
      </w:r>
      <w:r w:rsidR="00805B11">
        <w:rPr>
          <w:lang w:val="fr-CA"/>
        </w:rPr>
        <w:t>’</w:t>
      </w:r>
      <w:r>
        <w:rPr>
          <w:lang w:val="fr-CA"/>
        </w:rPr>
        <w:t>échelle locale de politiques fédérales particulières dans les circonscriptions où leurs votes seraient comptés, elles sont néanmoins susceptibles d</w:t>
      </w:r>
      <w:r w:rsidR="00805B11">
        <w:rPr>
          <w:lang w:val="fr-CA"/>
        </w:rPr>
        <w:t>’</w:t>
      </w:r>
      <w:r>
        <w:rPr>
          <w:lang w:val="fr-CA"/>
        </w:rPr>
        <w:t xml:space="preserve">être touchées par certaines </w:t>
      </w:r>
      <w:r>
        <w:rPr>
          <w:lang w:val="fr-CA"/>
        </w:rPr>
        <w:lastRenderedPageBreak/>
        <w:t>lois et politiques fédérales. De plus, le droit de voter n</w:t>
      </w:r>
      <w:r w:rsidR="00805B11">
        <w:rPr>
          <w:lang w:val="fr-CA"/>
        </w:rPr>
        <w:t>’</w:t>
      </w:r>
      <w:r>
        <w:rPr>
          <w:lang w:val="fr-CA"/>
        </w:rPr>
        <w:t>a pas seulement un caractère fonctionnel. Refuser le droit de vote aux non</w:t>
      </w:r>
      <w:r>
        <w:rPr>
          <w:lang w:val="fr-CA"/>
        </w:rPr>
        <w:noBreakHyphen/>
        <w:t>résidents à long terme revient à nier à ces citoyens la possibilité de participer, par l</w:t>
      </w:r>
      <w:r w:rsidR="00805B11">
        <w:rPr>
          <w:lang w:val="fr-CA"/>
        </w:rPr>
        <w:t>’</w:t>
      </w:r>
      <w:r>
        <w:rPr>
          <w:lang w:val="fr-CA"/>
        </w:rPr>
        <w:t>exercice de leur droit de vote, à l</w:t>
      </w:r>
      <w:r w:rsidR="00805B11">
        <w:rPr>
          <w:lang w:val="fr-CA"/>
        </w:rPr>
        <w:t>’</w:t>
      </w:r>
      <w:r>
        <w:rPr>
          <w:lang w:val="fr-CA"/>
        </w:rPr>
        <w:t>élaboration de la politique et au fonctionnement des institutions publiques.</w:t>
      </w:r>
    </w:p>
    <w:p w:rsidR="00834A8E" w:rsidRPr="00190928" w:rsidRDefault="00B97D70" w:rsidP="00805B11">
      <w:pPr>
        <w:pStyle w:val="SCCNormalDoubleSpacing"/>
        <w:spacing w:before="240" w:after="480"/>
        <w:rPr>
          <w:lang w:val="fr-CA"/>
        </w:rPr>
      </w:pPr>
      <w:r>
        <w:rPr>
          <w:i/>
          <w:lang w:val="fr-CA"/>
        </w:rPr>
        <w:tab/>
      </w:r>
      <w:r w:rsidR="00834A8E">
        <w:rPr>
          <w:i/>
          <w:lang w:val="fr-CA"/>
        </w:rPr>
        <w:t>L</w:t>
      </w:r>
      <w:r w:rsidR="00834A8E" w:rsidRPr="00190928">
        <w:rPr>
          <w:i/>
          <w:lang w:val="fr-CA"/>
        </w:rPr>
        <w:t>e</w:t>
      </w:r>
      <w:r w:rsidR="00834A8E">
        <w:rPr>
          <w:i/>
          <w:lang w:val="fr-CA"/>
        </w:rPr>
        <w:t>s</w:t>
      </w:r>
      <w:r w:rsidR="00834A8E" w:rsidRPr="00190928">
        <w:rPr>
          <w:lang w:val="fr-CA"/>
        </w:rPr>
        <w:t xml:space="preserve"> </w:t>
      </w:r>
      <w:r w:rsidR="00834A8E">
        <w:rPr>
          <w:lang w:val="fr-CA"/>
        </w:rPr>
        <w:t xml:space="preserve">juges </w:t>
      </w:r>
      <w:r w:rsidR="00834A8E" w:rsidRPr="00DF702A">
        <w:rPr>
          <w:lang w:val="fr-CA"/>
        </w:rPr>
        <w:t>Côté et Brown</w:t>
      </w:r>
      <w:r w:rsidR="001F6807">
        <w:rPr>
          <w:b/>
          <w:lang w:val="fr-CA"/>
        </w:rPr>
        <w:t xml:space="preserve"> </w:t>
      </w:r>
      <w:r w:rsidR="001F6807">
        <w:rPr>
          <w:lang w:val="fr-CA"/>
        </w:rPr>
        <w:t>(dissidents)</w:t>
      </w:r>
      <w:r w:rsidR="00834A8E">
        <w:rPr>
          <w:b/>
          <w:lang w:val="fr-CA"/>
        </w:rPr>
        <w:t> </w:t>
      </w:r>
      <w:r w:rsidR="00834A8E" w:rsidRPr="00190928">
        <w:rPr>
          <w:lang w:val="fr-CA"/>
        </w:rPr>
        <w:t xml:space="preserve">: </w:t>
      </w:r>
      <w:r w:rsidR="00834A8E">
        <w:rPr>
          <w:lang w:val="fr-CA"/>
        </w:rPr>
        <w:t>Le pourvoi devrait être rejeté. L</w:t>
      </w:r>
      <w:r w:rsidR="00834A8E" w:rsidRPr="00820901">
        <w:rPr>
          <w:lang w:val="fr-CA"/>
        </w:rPr>
        <w:t xml:space="preserve">a </w:t>
      </w:r>
      <w:r w:rsidR="00834A8E">
        <w:rPr>
          <w:lang w:val="fr-CA"/>
        </w:rPr>
        <w:t>restriction au droit de vote</w:t>
      </w:r>
      <w:r w:rsidR="00834A8E" w:rsidRPr="00820901">
        <w:rPr>
          <w:lang w:val="fr-CA"/>
        </w:rPr>
        <w:t xml:space="preserve"> des non</w:t>
      </w:r>
      <w:r w:rsidR="00834A8E">
        <w:rPr>
          <w:lang w:val="fr-CA"/>
        </w:rPr>
        <w:noBreakHyphen/>
      </w:r>
      <w:r w:rsidR="00834A8E" w:rsidRPr="00820901">
        <w:rPr>
          <w:lang w:val="fr-CA"/>
        </w:rPr>
        <w:t xml:space="preserve">résidents représente une limite raisonnable du droit </w:t>
      </w:r>
      <w:r>
        <w:rPr>
          <w:lang w:val="fr-CA"/>
        </w:rPr>
        <w:t xml:space="preserve">de voter </w:t>
      </w:r>
      <w:r w:rsidR="00834A8E" w:rsidRPr="00820901">
        <w:rPr>
          <w:lang w:val="fr-CA"/>
        </w:rPr>
        <w:t>garanti par l</w:t>
      </w:r>
      <w:r w:rsidR="00805B11">
        <w:rPr>
          <w:lang w:val="fr-CA"/>
        </w:rPr>
        <w:t>’</w:t>
      </w:r>
      <w:r w:rsidR="00834A8E">
        <w:rPr>
          <w:lang w:val="fr-CA"/>
        </w:rPr>
        <w:t>art. </w:t>
      </w:r>
      <w:r w:rsidR="00834A8E" w:rsidRPr="00820901">
        <w:rPr>
          <w:lang w:val="fr-CA"/>
        </w:rPr>
        <w:t>3</w:t>
      </w:r>
      <w:r w:rsidR="00834A8E">
        <w:rPr>
          <w:lang w:val="fr-CA"/>
        </w:rPr>
        <w:t xml:space="preserve"> de la </w:t>
      </w:r>
      <w:r w:rsidR="00834A8E" w:rsidRPr="007336C2">
        <w:rPr>
          <w:i/>
          <w:lang w:val="fr-CA"/>
        </w:rPr>
        <w:t>Charte</w:t>
      </w:r>
      <w:r w:rsidR="00834A8E">
        <w:rPr>
          <w:lang w:val="fr-CA"/>
        </w:rPr>
        <w:t>.</w:t>
      </w:r>
      <w:r w:rsidR="00834A8E" w:rsidRPr="00190928">
        <w:rPr>
          <w:lang w:val="fr-CA"/>
        </w:rPr>
        <w:t xml:space="preserve"> </w:t>
      </w:r>
    </w:p>
    <w:p w:rsidR="00834A8E" w:rsidRPr="00D50315" w:rsidRDefault="00805B11" w:rsidP="00805B11">
      <w:pPr>
        <w:pStyle w:val="SCCNormalDoubleSpacing"/>
        <w:spacing w:before="240" w:after="480"/>
        <w:rPr>
          <w:lang w:val="fr-CA"/>
        </w:rPr>
      </w:pPr>
      <w:r>
        <w:rPr>
          <w:lang w:val="fr-CA"/>
        </w:rPr>
        <w:tab/>
      </w:r>
      <w:r w:rsidR="00834A8E">
        <w:rPr>
          <w:lang w:val="fr-CA"/>
        </w:rPr>
        <w:t>Le point fondamental de</w:t>
      </w:r>
      <w:r w:rsidR="00834A8E" w:rsidRPr="00820901">
        <w:rPr>
          <w:lang w:val="fr-CA"/>
        </w:rPr>
        <w:t xml:space="preserve"> désaccord </w:t>
      </w:r>
      <w:r w:rsidR="00834A8E">
        <w:rPr>
          <w:lang w:val="fr-CA"/>
        </w:rPr>
        <w:t xml:space="preserve">avec les juges majoritaires </w:t>
      </w:r>
      <w:r w:rsidR="00834A8E" w:rsidRPr="00820901">
        <w:rPr>
          <w:lang w:val="fr-CA"/>
        </w:rPr>
        <w:t xml:space="preserve">se situe dans la </w:t>
      </w:r>
      <w:r w:rsidR="00834A8E">
        <w:rPr>
          <w:lang w:val="fr-CA"/>
        </w:rPr>
        <w:t>démarche</w:t>
      </w:r>
      <w:r w:rsidR="00834A8E" w:rsidRPr="00820901">
        <w:rPr>
          <w:lang w:val="fr-CA"/>
        </w:rPr>
        <w:t xml:space="preserve"> qu</w:t>
      </w:r>
      <w:r>
        <w:rPr>
          <w:lang w:val="fr-CA"/>
        </w:rPr>
        <w:t>’</w:t>
      </w:r>
      <w:r w:rsidR="00834A8E" w:rsidRPr="00820901">
        <w:rPr>
          <w:lang w:val="fr-CA"/>
        </w:rPr>
        <w:t xml:space="preserve">il convient </w:t>
      </w:r>
      <w:r w:rsidR="00834A8E">
        <w:rPr>
          <w:lang w:val="fr-CA"/>
        </w:rPr>
        <w:t>d</w:t>
      </w:r>
      <w:r>
        <w:rPr>
          <w:lang w:val="fr-CA"/>
        </w:rPr>
        <w:t>’</w:t>
      </w:r>
      <w:r w:rsidR="00834A8E">
        <w:rPr>
          <w:lang w:val="fr-CA"/>
        </w:rPr>
        <w:t>adopter relativement à</w:t>
      </w:r>
      <w:r w:rsidR="00834A8E" w:rsidRPr="00820901">
        <w:rPr>
          <w:lang w:val="fr-CA"/>
        </w:rPr>
        <w:t xml:space="preserve"> l</w:t>
      </w:r>
      <w:r>
        <w:rPr>
          <w:lang w:val="fr-CA"/>
        </w:rPr>
        <w:t>’</w:t>
      </w:r>
      <w:r w:rsidR="00834A8E">
        <w:rPr>
          <w:lang w:val="fr-CA"/>
        </w:rPr>
        <w:t xml:space="preserve">analyse des </w:t>
      </w:r>
      <w:r w:rsidR="00834A8E" w:rsidRPr="001B6310">
        <w:rPr>
          <w:lang w:val="fr-CA"/>
        </w:rPr>
        <w:t>restrictions</w:t>
      </w:r>
      <w:r w:rsidR="00834A8E">
        <w:rPr>
          <w:lang w:val="fr-CA"/>
        </w:rPr>
        <w:t xml:space="preserve"> au regard de l</w:t>
      </w:r>
      <w:r>
        <w:rPr>
          <w:lang w:val="fr-CA"/>
        </w:rPr>
        <w:t>’</w:t>
      </w:r>
      <w:r w:rsidR="00834A8E">
        <w:rPr>
          <w:lang w:val="fr-CA"/>
        </w:rPr>
        <w:t xml:space="preserve">article premier de la </w:t>
      </w:r>
      <w:r w:rsidR="00834A8E" w:rsidRPr="00C521DA">
        <w:rPr>
          <w:i/>
          <w:lang w:val="fr-CA"/>
        </w:rPr>
        <w:t>Charte</w:t>
      </w:r>
      <w:r w:rsidR="00834A8E">
        <w:rPr>
          <w:lang w:val="fr-CA"/>
        </w:rPr>
        <w:t>. A</w:t>
      </w:r>
      <w:r w:rsidR="00834A8E" w:rsidRPr="00820901">
        <w:rPr>
          <w:lang w:val="fr-CA"/>
        </w:rPr>
        <w:t>ucun droit n</w:t>
      </w:r>
      <w:r>
        <w:rPr>
          <w:lang w:val="fr-CA"/>
        </w:rPr>
        <w:t>’</w:t>
      </w:r>
      <w:r w:rsidR="00834A8E" w:rsidRPr="00820901">
        <w:rPr>
          <w:lang w:val="fr-CA"/>
        </w:rPr>
        <w:t xml:space="preserve">est absolu, y compris les droits garantis par la </w:t>
      </w:r>
      <w:r w:rsidR="00834A8E" w:rsidRPr="00820901">
        <w:rPr>
          <w:i/>
          <w:lang w:val="fr-CA"/>
        </w:rPr>
        <w:t>Charte</w:t>
      </w:r>
      <w:r w:rsidR="00834A8E" w:rsidRPr="00820901">
        <w:rPr>
          <w:lang w:val="fr-CA"/>
        </w:rPr>
        <w:t>, comme le droit de vote prévu à l</w:t>
      </w:r>
      <w:r>
        <w:rPr>
          <w:lang w:val="fr-CA"/>
        </w:rPr>
        <w:t>’</w:t>
      </w:r>
      <w:r w:rsidR="00834A8E">
        <w:rPr>
          <w:lang w:val="fr-CA"/>
        </w:rPr>
        <w:t>art. </w:t>
      </w:r>
      <w:r w:rsidR="00834A8E" w:rsidRPr="00820901">
        <w:rPr>
          <w:lang w:val="fr-CA"/>
        </w:rPr>
        <w:t>3</w:t>
      </w:r>
      <w:r w:rsidR="00834A8E">
        <w:rPr>
          <w:lang w:val="fr-CA"/>
        </w:rPr>
        <w:t>. Cependant, parler d</w:t>
      </w:r>
      <w:r>
        <w:rPr>
          <w:lang w:val="fr-CA"/>
        </w:rPr>
        <w:t>’</w:t>
      </w:r>
      <w:r w:rsidR="00834A8E">
        <w:rPr>
          <w:lang w:val="fr-CA"/>
        </w:rPr>
        <w:t>une « atteinte</w:t>
      </w:r>
      <w:r w:rsidR="00834A8E" w:rsidRPr="00820901">
        <w:rPr>
          <w:lang w:val="fr-CA"/>
        </w:rPr>
        <w:t> » uniquement parce qu</w:t>
      </w:r>
      <w:r>
        <w:rPr>
          <w:lang w:val="fr-CA"/>
        </w:rPr>
        <w:t>’</w:t>
      </w:r>
      <w:r w:rsidR="00834A8E" w:rsidRPr="00820901">
        <w:rPr>
          <w:lang w:val="fr-CA"/>
        </w:rPr>
        <w:t xml:space="preserve">une mesure </w:t>
      </w:r>
      <w:r w:rsidR="00834A8E">
        <w:rPr>
          <w:lang w:val="fr-CA"/>
        </w:rPr>
        <w:t xml:space="preserve">contestée </w:t>
      </w:r>
      <w:r w:rsidR="00834A8E" w:rsidRPr="00820901">
        <w:rPr>
          <w:lang w:val="fr-CA"/>
        </w:rPr>
        <w:t xml:space="preserve">impose une limite à un droit garanti par la </w:t>
      </w:r>
      <w:r w:rsidR="00834A8E" w:rsidRPr="00820901">
        <w:rPr>
          <w:i/>
          <w:lang w:val="fr-CA"/>
        </w:rPr>
        <w:t>Charte</w:t>
      </w:r>
      <w:r w:rsidR="00834A8E">
        <w:rPr>
          <w:i/>
          <w:lang w:val="fr-CA"/>
        </w:rPr>
        <w:t xml:space="preserve"> </w:t>
      </w:r>
      <w:r w:rsidR="00834A8E" w:rsidRPr="00C521DA">
        <w:rPr>
          <w:lang w:val="fr-CA"/>
        </w:rPr>
        <w:t>déforme</w:t>
      </w:r>
      <w:r w:rsidR="00834A8E">
        <w:rPr>
          <w:lang w:val="fr-CA"/>
        </w:rPr>
        <w:t xml:space="preserve"> l</w:t>
      </w:r>
      <w:r>
        <w:rPr>
          <w:lang w:val="fr-CA"/>
        </w:rPr>
        <w:t>’</w:t>
      </w:r>
      <w:r w:rsidR="00834A8E">
        <w:rPr>
          <w:lang w:val="fr-CA"/>
        </w:rPr>
        <w:t>analyse fondée sur l</w:t>
      </w:r>
      <w:r>
        <w:rPr>
          <w:lang w:val="fr-CA"/>
        </w:rPr>
        <w:t>’</w:t>
      </w:r>
      <w:r w:rsidR="00834A8E">
        <w:rPr>
          <w:lang w:val="fr-CA"/>
        </w:rPr>
        <w:t>article premier. L</w:t>
      </w:r>
      <w:r w:rsidR="00834A8E" w:rsidRPr="00820901">
        <w:rPr>
          <w:color w:val="000000" w:themeColor="text1"/>
          <w:lang w:val="fr-CA"/>
        </w:rPr>
        <w:t xml:space="preserve">a </w:t>
      </w:r>
      <w:r w:rsidR="00834A8E" w:rsidRPr="00820901">
        <w:rPr>
          <w:i/>
          <w:color w:val="000000" w:themeColor="text1"/>
          <w:lang w:val="fr-CA"/>
        </w:rPr>
        <w:t xml:space="preserve">Charte </w:t>
      </w:r>
      <w:r w:rsidR="00834A8E">
        <w:rPr>
          <w:color w:val="000000" w:themeColor="text1"/>
          <w:lang w:val="fr-CA"/>
        </w:rPr>
        <w:t>ne peut</w:t>
      </w:r>
      <w:r w:rsidR="00834A8E" w:rsidRPr="00820901">
        <w:rPr>
          <w:color w:val="000000" w:themeColor="text1"/>
          <w:lang w:val="fr-CA"/>
        </w:rPr>
        <w:t xml:space="preserve"> </w:t>
      </w:r>
      <w:r w:rsidR="00834A8E">
        <w:rPr>
          <w:color w:val="000000" w:themeColor="text1"/>
          <w:lang w:val="fr-CA"/>
        </w:rPr>
        <w:t>et ne</w:t>
      </w:r>
      <w:r w:rsidR="00834A8E" w:rsidRPr="00820901">
        <w:rPr>
          <w:color w:val="000000" w:themeColor="text1"/>
          <w:lang w:val="fr-CA"/>
        </w:rPr>
        <w:t xml:space="preserve"> d</w:t>
      </w:r>
      <w:r w:rsidR="00834A8E">
        <w:rPr>
          <w:color w:val="000000" w:themeColor="text1"/>
          <w:lang w:val="fr-CA"/>
        </w:rPr>
        <w:t>oit jamais</w:t>
      </w:r>
      <w:r w:rsidR="00834A8E" w:rsidRPr="00820901">
        <w:rPr>
          <w:color w:val="000000" w:themeColor="text1"/>
          <w:lang w:val="fr-CA"/>
        </w:rPr>
        <w:t xml:space="preserve"> être interprétée de manière à permettre des </w:t>
      </w:r>
      <w:r w:rsidR="00834A8E" w:rsidRPr="001B6310">
        <w:rPr>
          <w:color w:val="000000" w:themeColor="text1"/>
          <w:lang w:val="fr-CA"/>
        </w:rPr>
        <w:t>atteintes</w:t>
      </w:r>
      <w:r w:rsidR="00834A8E" w:rsidRPr="00820901">
        <w:rPr>
          <w:color w:val="000000" w:themeColor="text1"/>
          <w:lang w:val="fr-CA"/>
        </w:rPr>
        <w:t xml:space="preserve"> justifiées</w:t>
      </w:r>
      <w:r w:rsidR="00834A8E">
        <w:rPr>
          <w:color w:val="000000" w:themeColor="text1"/>
          <w:lang w:val="fr-CA"/>
        </w:rPr>
        <w:t>.</w:t>
      </w:r>
      <w:r w:rsidR="00834A8E" w:rsidRPr="0028440E">
        <w:rPr>
          <w:color w:val="000000" w:themeColor="text1"/>
          <w:lang w:val="fr-CA"/>
        </w:rPr>
        <w:t xml:space="preserve"> </w:t>
      </w:r>
      <w:r w:rsidR="00834A8E">
        <w:rPr>
          <w:color w:val="000000" w:themeColor="text1"/>
          <w:lang w:val="fr-CA"/>
        </w:rPr>
        <w:t>Il est question dans l</w:t>
      </w:r>
      <w:r w:rsidR="00834A8E" w:rsidRPr="00820901">
        <w:rPr>
          <w:color w:val="000000" w:themeColor="text1"/>
          <w:lang w:val="fr-CA"/>
        </w:rPr>
        <w:t>e texte de l</w:t>
      </w:r>
      <w:r>
        <w:rPr>
          <w:color w:val="000000" w:themeColor="text1"/>
          <w:lang w:val="fr-CA"/>
        </w:rPr>
        <w:t>’</w:t>
      </w:r>
      <w:r w:rsidR="00834A8E">
        <w:rPr>
          <w:color w:val="000000" w:themeColor="text1"/>
          <w:lang w:val="fr-CA"/>
        </w:rPr>
        <w:t>article premier</w:t>
      </w:r>
      <w:r w:rsidR="00834A8E" w:rsidRPr="00820901">
        <w:rPr>
          <w:color w:val="000000" w:themeColor="text1"/>
          <w:lang w:val="fr-CA"/>
        </w:rPr>
        <w:t xml:space="preserve"> non pas </w:t>
      </w:r>
      <w:r w:rsidR="00834A8E" w:rsidRPr="005A02E0">
        <w:rPr>
          <w:color w:val="000000" w:themeColor="text1"/>
          <w:lang w:val="fr-CA"/>
        </w:rPr>
        <w:t>d</w:t>
      </w:r>
      <w:r>
        <w:rPr>
          <w:color w:val="000000" w:themeColor="text1"/>
          <w:lang w:val="fr-CA"/>
        </w:rPr>
        <w:t>’</w:t>
      </w:r>
      <w:r w:rsidR="00834A8E" w:rsidRPr="005A02E0">
        <w:rPr>
          <w:color w:val="000000" w:themeColor="text1"/>
          <w:lang w:val="fr-CA"/>
        </w:rPr>
        <w:t>atteintes</w:t>
      </w:r>
      <w:r w:rsidR="00834A8E" w:rsidRPr="00820901">
        <w:rPr>
          <w:color w:val="000000" w:themeColor="text1"/>
          <w:lang w:val="fr-CA"/>
        </w:rPr>
        <w:t xml:space="preserve"> mais de </w:t>
      </w:r>
      <w:r w:rsidR="00834A8E" w:rsidRPr="005A02E0">
        <w:rPr>
          <w:color w:val="000000" w:themeColor="text1"/>
          <w:lang w:val="fr-CA"/>
        </w:rPr>
        <w:t>limites</w:t>
      </w:r>
      <w:r w:rsidR="00834A8E" w:rsidRPr="00820901">
        <w:rPr>
          <w:color w:val="000000" w:themeColor="text1"/>
          <w:lang w:val="fr-CA"/>
        </w:rPr>
        <w:t xml:space="preserve"> qui soient raisonnables et dont la ju</w:t>
      </w:r>
      <w:r w:rsidR="00834A8E">
        <w:rPr>
          <w:color w:val="000000" w:themeColor="text1"/>
          <w:lang w:val="fr-CA"/>
        </w:rPr>
        <w:t>stification puisse se démontrer</w:t>
      </w:r>
      <w:r w:rsidR="00834A8E" w:rsidRPr="00820901">
        <w:rPr>
          <w:color w:val="000000" w:themeColor="text1"/>
          <w:lang w:val="fr-CA"/>
        </w:rPr>
        <w:t>.</w:t>
      </w:r>
      <w:r w:rsidR="00834A8E" w:rsidRPr="005C6B30">
        <w:rPr>
          <w:lang w:val="fr-CA"/>
        </w:rPr>
        <w:t xml:space="preserve"> </w:t>
      </w:r>
      <w:r w:rsidR="00834A8E">
        <w:rPr>
          <w:lang w:val="fr-CA"/>
        </w:rPr>
        <w:t xml:space="preserve">Une limite raisonnable </w:t>
      </w:r>
      <w:r w:rsidR="00834A8E" w:rsidRPr="00820901">
        <w:rPr>
          <w:lang w:val="fr-CA"/>
        </w:rPr>
        <w:t>est inhérente au droit lui</w:t>
      </w:r>
      <w:r w:rsidR="00834A8E">
        <w:rPr>
          <w:lang w:val="fr-CA"/>
        </w:rPr>
        <w:noBreakHyphen/>
      </w:r>
      <w:r w:rsidR="00834A8E" w:rsidRPr="00820901">
        <w:rPr>
          <w:lang w:val="fr-CA"/>
        </w:rPr>
        <w:t xml:space="preserve">même </w:t>
      </w:r>
      <w:r w:rsidR="00834A8E">
        <w:rPr>
          <w:lang w:val="fr-CA"/>
        </w:rPr>
        <w:t>puisqu</w:t>
      </w:r>
      <w:r>
        <w:rPr>
          <w:lang w:val="fr-CA"/>
        </w:rPr>
        <w:t>’</w:t>
      </w:r>
      <w:r w:rsidR="00834A8E">
        <w:rPr>
          <w:lang w:val="fr-CA"/>
        </w:rPr>
        <w:t>elle définit les contours du</w:t>
      </w:r>
      <w:r w:rsidR="00834A8E" w:rsidRPr="00820901">
        <w:rPr>
          <w:lang w:val="fr-CA"/>
        </w:rPr>
        <w:t xml:space="preserve"> droit</w:t>
      </w:r>
      <w:r w:rsidR="00834A8E">
        <w:rPr>
          <w:lang w:val="fr-CA"/>
        </w:rPr>
        <w:t>.</w:t>
      </w:r>
      <w:r w:rsidR="00834A8E" w:rsidRPr="005C6B30">
        <w:rPr>
          <w:lang w:val="fr-CA"/>
        </w:rPr>
        <w:t xml:space="preserve"> </w:t>
      </w:r>
      <w:r w:rsidR="00834A8E">
        <w:rPr>
          <w:lang w:val="fr-CA"/>
        </w:rPr>
        <w:t>I</w:t>
      </w:r>
      <w:r w:rsidR="00834A8E" w:rsidRPr="00820901">
        <w:rPr>
          <w:lang w:val="fr-CA"/>
        </w:rPr>
        <w:t xml:space="preserve">l y a atteinte à un droit seulement si </w:t>
      </w:r>
      <w:r w:rsidR="00834A8E">
        <w:rPr>
          <w:lang w:val="fr-CA"/>
        </w:rPr>
        <w:t>celui-ci,</w:t>
      </w:r>
      <w:r w:rsidR="00834A8E">
        <w:rPr>
          <w:i/>
          <w:lang w:val="fr-CA"/>
        </w:rPr>
        <w:t xml:space="preserve"> </w:t>
      </w:r>
      <w:r w:rsidR="00834A8E" w:rsidRPr="005C6B30">
        <w:rPr>
          <w:lang w:val="fr-CA"/>
        </w:rPr>
        <w:t>raisonnablement limité</w:t>
      </w:r>
      <w:r w:rsidR="00834A8E" w:rsidRPr="00820901">
        <w:rPr>
          <w:lang w:val="fr-CA"/>
        </w:rPr>
        <w:t>, est violé</w:t>
      </w:r>
      <w:r w:rsidR="00834A8E">
        <w:rPr>
          <w:lang w:val="fr-CA"/>
        </w:rPr>
        <w:t>; de cette façon, u</w:t>
      </w:r>
      <w:r w:rsidR="00834A8E" w:rsidRPr="00820901">
        <w:rPr>
          <w:color w:val="000000" w:themeColor="text1"/>
          <w:lang w:val="fr-CA"/>
        </w:rPr>
        <w:t xml:space="preserve">ne « atteinte » </w:t>
      </w:r>
      <w:r w:rsidR="00834A8E">
        <w:rPr>
          <w:color w:val="000000" w:themeColor="text1"/>
          <w:lang w:val="fr-CA"/>
        </w:rPr>
        <w:t xml:space="preserve">est </w:t>
      </w:r>
      <w:r w:rsidR="00834A8E" w:rsidRPr="00820901">
        <w:rPr>
          <w:color w:val="000000" w:themeColor="text1"/>
          <w:lang w:val="fr-CA"/>
        </w:rPr>
        <w:t xml:space="preserve">une </w:t>
      </w:r>
      <w:r w:rsidR="00834A8E">
        <w:rPr>
          <w:color w:val="000000" w:themeColor="text1"/>
          <w:lang w:val="fr-CA"/>
        </w:rPr>
        <w:t>limite</w:t>
      </w:r>
      <w:r w:rsidR="00834A8E" w:rsidRPr="00820901">
        <w:rPr>
          <w:color w:val="000000" w:themeColor="text1"/>
          <w:lang w:val="fr-CA"/>
        </w:rPr>
        <w:t xml:space="preserve"> qui n</w:t>
      </w:r>
      <w:r>
        <w:rPr>
          <w:color w:val="000000" w:themeColor="text1"/>
          <w:lang w:val="fr-CA"/>
        </w:rPr>
        <w:t>’</w:t>
      </w:r>
      <w:r w:rsidR="00834A8E" w:rsidRPr="00820901">
        <w:rPr>
          <w:color w:val="000000" w:themeColor="text1"/>
          <w:lang w:val="fr-CA"/>
        </w:rPr>
        <w:t>est pas justifiée</w:t>
      </w:r>
      <w:r w:rsidR="00834A8E">
        <w:rPr>
          <w:color w:val="000000" w:themeColor="text1"/>
          <w:lang w:val="fr-CA"/>
        </w:rPr>
        <w:t xml:space="preserve">. </w:t>
      </w:r>
      <w:r w:rsidR="00834A8E" w:rsidRPr="00820901">
        <w:rPr>
          <w:color w:val="000000" w:themeColor="text1"/>
          <w:lang w:val="fr-CA"/>
        </w:rPr>
        <w:t>Une analyse fondée sur l</w:t>
      </w:r>
      <w:r>
        <w:rPr>
          <w:color w:val="000000" w:themeColor="text1"/>
          <w:lang w:val="fr-CA"/>
        </w:rPr>
        <w:t>’</w:t>
      </w:r>
      <w:r w:rsidR="00834A8E" w:rsidRPr="00820901">
        <w:rPr>
          <w:color w:val="000000" w:themeColor="text1"/>
          <w:lang w:val="fr-CA"/>
        </w:rPr>
        <w:t>article premier</w:t>
      </w:r>
      <w:r w:rsidR="00834A8E">
        <w:rPr>
          <w:color w:val="000000" w:themeColor="text1"/>
          <w:lang w:val="fr-CA"/>
        </w:rPr>
        <w:t xml:space="preserve">, </w:t>
      </w:r>
      <w:r w:rsidR="00834A8E" w:rsidRPr="00820901">
        <w:rPr>
          <w:color w:val="000000" w:themeColor="text1"/>
          <w:lang w:val="fr-CA"/>
        </w:rPr>
        <w:t>logique et fidèle au texte</w:t>
      </w:r>
      <w:r w:rsidR="00834A8E">
        <w:rPr>
          <w:color w:val="000000" w:themeColor="text1"/>
          <w:lang w:val="fr-CA"/>
        </w:rPr>
        <w:t>,</w:t>
      </w:r>
      <w:r w:rsidR="00834A8E" w:rsidRPr="00820901">
        <w:rPr>
          <w:color w:val="000000" w:themeColor="text1"/>
          <w:lang w:val="fr-CA"/>
        </w:rPr>
        <w:t xml:space="preserve"> vise</w:t>
      </w:r>
      <w:r w:rsidR="00834A8E">
        <w:rPr>
          <w:color w:val="000000" w:themeColor="text1"/>
          <w:lang w:val="fr-CA"/>
        </w:rPr>
        <w:t xml:space="preserve"> donc</w:t>
      </w:r>
      <w:r w:rsidR="00834A8E" w:rsidRPr="00820901">
        <w:rPr>
          <w:color w:val="000000" w:themeColor="text1"/>
          <w:lang w:val="fr-CA"/>
        </w:rPr>
        <w:t xml:space="preserve"> </w:t>
      </w:r>
      <w:r w:rsidR="00834A8E">
        <w:rPr>
          <w:color w:val="000000" w:themeColor="text1"/>
          <w:lang w:val="fr-CA"/>
        </w:rPr>
        <w:t xml:space="preserve">principalement </w:t>
      </w:r>
      <w:r w:rsidR="00834A8E" w:rsidRPr="00820901">
        <w:rPr>
          <w:color w:val="000000" w:themeColor="text1"/>
          <w:lang w:val="fr-CA"/>
        </w:rPr>
        <w:t xml:space="preserve">à </w:t>
      </w:r>
      <w:r w:rsidR="00834A8E">
        <w:rPr>
          <w:color w:val="000000" w:themeColor="text1"/>
          <w:lang w:val="fr-CA"/>
        </w:rPr>
        <w:t>établir</w:t>
      </w:r>
      <w:r w:rsidR="00834A8E" w:rsidRPr="00820901">
        <w:rPr>
          <w:color w:val="000000" w:themeColor="text1"/>
          <w:lang w:val="fr-CA"/>
        </w:rPr>
        <w:t xml:space="preserve"> si une </w:t>
      </w:r>
      <w:r w:rsidR="00834A8E" w:rsidRPr="002209CF">
        <w:rPr>
          <w:color w:val="000000" w:themeColor="text1"/>
          <w:lang w:val="fr-CA"/>
        </w:rPr>
        <w:t>limite</w:t>
      </w:r>
      <w:r w:rsidR="00834A8E">
        <w:rPr>
          <w:color w:val="000000" w:themeColor="text1"/>
          <w:lang w:val="fr-CA"/>
        </w:rPr>
        <w:t xml:space="preserve"> à </w:t>
      </w:r>
      <w:r w:rsidR="00834A8E" w:rsidRPr="00820901">
        <w:rPr>
          <w:color w:val="000000" w:themeColor="text1"/>
          <w:lang w:val="fr-CA"/>
        </w:rPr>
        <w:t xml:space="preserve">un droit garanti par la </w:t>
      </w:r>
      <w:r w:rsidR="00834A8E" w:rsidRPr="00A46AA1">
        <w:rPr>
          <w:i/>
          <w:color w:val="000000" w:themeColor="text1"/>
          <w:lang w:val="fr-CA"/>
        </w:rPr>
        <w:t>Charte</w:t>
      </w:r>
      <w:r w:rsidR="00834A8E" w:rsidRPr="00820901">
        <w:rPr>
          <w:color w:val="000000" w:themeColor="text1"/>
          <w:lang w:val="fr-CA"/>
        </w:rPr>
        <w:t xml:space="preserve"> est justifiée.</w:t>
      </w:r>
      <w:r w:rsidR="00834A8E" w:rsidRPr="00652BBF">
        <w:rPr>
          <w:lang w:val="fr-CA"/>
        </w:rPr>
        <w:t xml:space="preserve"> </w:t>
      </w:r>
      <w:r w:rsidR="00834A8E" w:rsidRPr="00820901">
        <w:rPr>
          <w:lang w:val="fr-CA"/>
        </w:rPr>
        <w:t>La question que soulève le présent pourvoi n</w:t>
      </w:r>
      <w:r>
        <w:rPr>
          <w:lang w:val="fr-CA"/>
        </w:rPr>
        <w:t>’</w:t>
      </w:r>
      <w:r w:rsidR="00834A8E" w:rsidRPr="00820901">
        <w:rPr>
          <w:lang w:val="fr-CA"/>
        </w:rPr>
        <w:t xml:space="preserve">est </w:t>
      </w:r>
      <w:r w:rsidR="00834A8E" w:rsidRPr="00820901">
        <w:rPr>
          <w:lang w:val="fr-CA"/>
        </w:rPr>
        <w:lastRenderedPageBreak/>
        <w:t xml:space="preserve">donc </w:t>
      </w:r>
      <w:r w:rsidR="00834A8E" w:rsidRPr="00652BBF">
        <w:rPr>
          <w:lang w:val="fr-CA"/>
        </w:rPr>
        <w:t>pas</w:t>
      </w:r>
      <w:r w:rsidR="00834A8E" w:rsidRPr="00820901">
        <w:rPr>
          <w:lang w:val="fr-CA"/>
        </w:rPr>
        <w:t xml:space="preserve"> de savoir si la limite au droit de vote créée par la </w:t>
      </w:r>
      <w:r w:rsidR="00834A8E">
        <w:rPr>
          <w:lang w:val="fr-CA"/>
        </w:rPr>
        <w:t>restriction à l</w:t>
      </w:r>
      <w:r>
        <w:rPr>
          <w:lang w:val="fr-CA"/>
        </w:rPr>
        <w:t>’</w:t>
      </w:r>
      <w:r w:rsidR="00834A8E">
        <w:rPr>
          <w:lang w:val="fr-CA"/>
        </w:rPr>
        <w:t>égard</w:t>
      </w:r>
      <w:r w:rsidR="00834A8E" w:rsidRPr="00820901">
        <w:rPr>
          <w:lang w:val="fr-CA"/>
        </w:rPr>
        <w:t xml:space="preserve"> des non</w:t>
      </w:r>
      <w:r w:rsidR="00834A8E">
        <w:rPr>
          <w:lang w:val="fr-CA"/>
        </w:rPr>
        <w:noBreakHyphen/>
      </w:r>
      <w:r w:rsidR="00834A8E" w:rsidRPr="00820901">
        <w:rPr>
          <w:lang w:val="fr-CA"/>
        </w:rPr>
        <w:t xml:space="preserve">résidents </w:t>
      </w:r>
      <w:r w:rsidR="00834A8E">
        <w:rPr>
          <w:lang w:val="fr-CA"/>
        </w:rPr>
        <w:t>à long terme</w:t>
      </w:r>
      <w:r w:rsidR="00834A8E" w:rsidRPr="00820901">
        <w:rPr>
          <w:lang w:val="fr-CA"/>
        </w:rPr>
        <w:t xml:space="preserve"> justifie une atteinte </w:t>
      </w:r>
      <w:r w:rsidR="00A803DF">
        <w:rPr>
          <w:lang w:val="fr-CA"/>
        </w:rPr>
        <w:t>à</w:t>
      </w:r>
      <w:r w:rsidR="00834A8E" w:rsidRPr="00820901">
        <w:rPr>
          <w:lang w:val="fr-CA"/>
        </w:rPr>
        <w:t xml:space="preserve"> l</w:t>
      </w:r>
      <w:r>
        <w:rPr>
          <w:lang w:val="fr-CA"/>
        </w:rPr>
        <w:t>’</w:t>
      </w:r>
      <w:r w:rsidR="00834A8E">
        <w:rPr>
          <w:lang w:val="fr-CA"/>
        </w:rPr>
        <w:t>art. </w:t>
      </w:r>
      <w:r w:rsidR="00834A8E" w:rsidRPr="00820901">
        <w:rPr>
          <w:lang w:val="fr-CA"/>
        </w:rPr>
        <w:t xml:space="preserve">3, mais </w:t>
      </w:r>
      <w:r w:rsidR="00834A8E">
        <w:rPr>
          <w:lang w:val="fr-CA"/>
        </w:rPr>
        <w:t xml:space="preserve">plutôt </w:t>
      </w:r>
      <w:r w:rsidR="00834A8E" w:rsidRPr="00820901">
        <w:rPr>
          <w:lang w:val="fr-CA"/>
        </w:rPr>
        <w:t>de savoir si cette limite est déraisonnable, si bien qu</w:t>
      </w:r>
      <w:r>
        <w:rPr>
          <w:lang w:val="fr-CA"/>
        </w:rPr>
        <w:t>’</w:t>
      </w:r>
      <w:r w:rsidR="00834A8E" w:rsidRPr="00820901">
        <w:rPr>
          <w:lang w:val="fr-CA"/>
        </w:rPr>
        <w:t xml:space="preserve">il y a atteinte </w:t>
      </w:r>
      <w:r w:rsidR="00A803DF">
        <w:rPr>
          <w:lang w:val="fr-CA"/>
        </w:rPr>
        <w:t>à</w:t>
      </w:r>
      <w:r w:rsidR="00834A8E" w:rsidRPr="00820901">
        <w:rPr>
          <w:lang w:val="fr-CA"/>
        </w:rPr>
        <w:t xml:space="preserve"> l</w:t>
      </w:r>
      <w:r>
        <w:rPr>
          <w:lang w:val="fr-CA"/>
        </w:rPr>
        <w:t>’</w:t>
      </w:r>
      <w:r w:rsidR="00834A8E">
        <w:rPr>
          <w:lang w:val="fr-CA"/>
        </w:rPr>
        <w:t>art. </w:t>
      </w:r>
      <w:r w:rsidR="00834A8E" w:rsidRPr="00820901">
        <w:rPr>
          <w:lang w:val="fr-CA"/>
        </w:rPr>
        <w:t>3</w:t>
      </w:r>
      <w:r>
        <w:rPr>
          <w:lang w:val="fr-CA"/>
        </w:rPr>
        <w:t xml:space="preserve">. </w:t>
      </w:r>
    </w:p>
    <w:p w:rsidR="00834A8E" w:rsidRDefault="00834A8E" w:rsidP="00805B11">
      <w:pPr>
        <w:pStyle w:val="SCCNormalDoubleSpacing"/>
        <w:spacing w:before="240" w:after="480"/>
        <w:rPr>
          <w:lang w:val="fr-CA"/>
        </w:rPr>
      </w:pPr>
      <w:r w:rsidRPr="00190928">
        <w:rPr>
          <w:lang w:val="fr-CA"/>
        </w:rPr>
        <w:tab/>
      </w:r>
      <w:r>
        <w:rPr>
          <w:lang w:val="fr-CA"/>
        </w:rPr>
        <w:t>La première étape de l</w:t>
      </w:r>
      <w:r w:rsidR="00805B11">
        <w:rPr>
          <w:lang w:val="fr-CA"/>
        </w:rPr>
        <w:t>’</w:t>
      </w:r>
      <w:r>
        <w:rPr>
          <w:lang w:val="fr-CA"/>
        </w:rPr>
        <w:t>analyse des limites est de cerner</w:t>
      </w:r>
      <w:r w:rsidRPr="00820901">
        <w:rPr>
          <w:lang w:val="fr-CA"/>
        </w:rPr>
        <w:t xml:space="preserve"> l</w:t>
      </w:r>
      <w:r w:rsidR="00805B11">
        <w:rPr>
          <w:lang w:val="fr-CA"/>
        </w:rPr>
        <w:t>’</w:t>
      </w:r>
      <w:r w:rsidRPr="00820901">
        <w:rPr>
          <w:lang w:val="fr-CA"/>
        </w:rPr>
        <w:t>objectif qui sous</w:t>
      </w:r>
      <w:r>
        <w:rPr>
          <w:lang w:val="fr-CA"/>
        </w:rPr>
        <w:noBreakHyphen/>
      </w:r>
      <w:r w:rsidRPr="00820901">
        <w:rPr>
          <w:lang w:val="fr-CA"/>
        </w:rPr>
        <w:t xml:space="preserve">tend la </w:t>
      </w:r>
      <w:r>
        <w:rPr>
          <w:lang w:val="fr-CA"/>
        </w:rPr>
        <w:t>mesure contestée et de déterminer</w:t>
      </w:r>
      <w:r w:rsidRPr="00820901">
        <w:rPr>
          <w:lang w:val="fr-CA"/>
        </w:rPr>
        <w:t xml:space="preserve"> s</w:t>
      </w:r>
      <w:r w:rsidR="00805B11">
        <w:rPr>
          <w:lang w:val="fr-CA"/>
        </w:rPr>
        <w:t>’</w:t>
      </w:r>
      <w:r w:rsidRPr="00820901">
        <w:rPr>
          <w:lang w:val="fr-CA"/>
        </w:rPr>
        <w:t>il est suffisamment important pour</w:t>
      </w:r>
      <w:r>
        <w:rPr>
          <w:lang w:val="fr-CA"/>
        </w:rPr>
        <w:t xml:space="preserve"> justifier la limite </w:t>
      </w:r>
      <w:r w:rsidR="00A803DF">
        <w:rPr>
          <w:lang w:val="fr-CA"/>
        </w:rPr>
        <w:t>à un</w:t>
      </w:r>
      <w:r w:rsidRPr="00820901">
        <w:rPr>
          <w:lang w:val="fr-CA"/>
        </w:rPr>
        <w:t xml:space="preserve"> droit garanti par la </w:t>
      </w:r>
      <w:r w:rsidRPr="00820901">
        <w:rPr>
          <w:i/>
          <w:lang w:val="fr-CA"/>
        </w:rPr>
        <w:t>Charte</w:t>
      </w:r>
      <w:r w:rsidRPr="00820901">
        <w:rPr>
          <w:lang w:val="fr-CA"/>
        </w:rPr>
        <w:t>.</w:t>
      </w:r>
      <w:r w:rsidRPr="006550DD">
        <w:rPr>
          <w:lang w:val="fr-CA"/>
        </w:rPr>
        <w:t xml:space="preserve"> </w:t>
      </w:r>
      <w:r w:rsidRPr="00820901">
        <w:rPr>
          <w:lang w:val="fr-CA"/>
        </w:rPr>
        <w:t>L</w:t>
      </w:r>
      <w:r w:rsidR="00805B11">
        <w:rPr>
          <w:lang w:val="fr-CA"/>
        </w:rPr>
        <w:t>’</w:t>
      </w:r>
      <w:r>
        <w:rPr>
          <w:lang w:val="fr-CA"/>
        </w:rPr>
        <w:t>identifica</w:t>
      </w:r>
      <w:r w:rsidRPr="00820901">
        <w:rPr>
          <w:lang w:val="fr-CA"/>
        </w:rPr>
        <w:t>tion de l</w:t>
      </w:r>
      <w:r w:rsidR="00805B11">
        <w:rPr>
          <w:lang w:val="fr-CA"/>
        </w:rPr>
        <w:t>’</w:t>
      </w:r>
      <w:r w:rsidRPr="00820901">
        <w:rPr>
          <w:lang w:val="fr-CA"/>
        </w:rPr>
        <w:t>objectif d</w:t>
      </w:r>
      <w:r w:rsidR="00805B11">
        <w:rPr>
          <w:lang w:val="fr-CA"/>
        </w:rPr>
        <w:t>’</w:t>
      </w:r>
      <w:r w:rsidRPr="00820901">
        <w:rPr>
          <w:lang w:val="fr-CA"/>
        </w:rPr>
        <w:t>une mesure</w:t>
      </w:r>
      <w:r w:rsidR="005872B8">
        <w:rPr>
          <w:lang w:val="fr-CA"/>
        </w:rPr>
        <w:t>,</w:t>
      </w:r>
      <w:r w:rsidRPr="00820901">
        <w:rPr>
          <w:lang w:val="fr-CA"/>
        </w:rPr>
        <w:t xml:space="preserve"> </w:t>
      </w:r>
      <w:r w:rsidR="005872B8">
        <w:rPr>
          <w:lang w:val="fr-CA"/>
        </w:rPr>
        <w:t xml:space="preserve">édictée </w:t>
      </w:r>
      <w:r w:rsidR="005872B8" w:rsidRPr="00820901">
        <w:rPr>
          <w:lang w:val="fr-CA"/>
        </w:rPr>
        <w:t>par le législateur</w:t>
      </w:r>
      <w:r w:rsidR="005872B8">
        <w:rPr>
          <w:lang w:val="fr-CA"/>
        </w:rPr>
        <w:t>,</w:t>
      </w:r>
      <w:r w:rsidR="005872B8" w:rsidRPr="00820901">
        <w:rPr>
          <w:lang w:val="fr-CA"/>
        </w:rPr>
        <w:t xml:space="preserve"> </w:t>
      </w:r>
      <w:r>
        <w:rPr>
          <w:lang w:val="fr-CA"/>
        </w:rPr>
        <w:t>qui limite un</w:t>
      </w:r>
      <w:r w:rsidRPr="00820901">
        <w:rPr>
          <w:lang w:val="fr-CA"/>
        </w:rPr>
        <w:t xml:space="preserve"> droit soulève une difficulté méthodologique, à savoir que l</w:t>
      </w:r>
      <w:r w:rsidR="00805B11">
        <w:rPr>
          <w:lang w:val="fr-CA"/>
        </w:rPr>
        <w:t>’</w:t>
      </w:r>
      <w:r w:rsidRPr="00820901">
        <w:rPr>
          <w:lang w:val="fr-CA"/>
        </w:rPr>
        <w:t>objectif en question n</w:t>
      </w:r>
      <w:r w:rsidR="00805B11">
        <w:rPr>
          <w:lang w:val="fr-CA"/>
        </w:rPr>
        <w:t>’</w:t>
      </w:r>
      <w:r w:rsidRPr="00820901">
        <w:rPr>
          <w:lang w:val="fr-CA"/>
        </w:rPr>
        <w:t>est peut</w:t>
      </w:r>
      <w:r>
        <w:rPr>
          <w:lang w:val="fr-CA"/>
        </w:rPr>
        <w:noBreakHyphen/>
      </w:r>
      <w:r w:rsidRPr="00820901">
        <w:rPr>
          <w:lang w:val="fr-CA"/>
        </w:rPr>
        <w:t xml:space="preserve">être pas </w:t>
      </w:r>
      <w:r>
        <w:rPr>
          <w:lang w:val="fr-CA"/>
        </w:rPr>
        <w:t>manifeste</w:t>
      </w:r>
      <w:r w:rsidRPr="00820901">
        <w:rPr>
          <w:lang w:val="fr-CA"/>
        </w:rPr>
        <w:t xml:space="preserve"> à première vue</w:t>
      </w:r>
      <w:r>
        <w:rPr>
          <w:lang w:val="fr-CA"/>
        </w:rPr>
        <w:t>. La</w:t>
      </w:r>
      <w:r w:rsidRPr="00820901">
        <w:rPr>
          <w:lang w:val="fr-CA"/>
        </w:rPr>
        <w:t xml:space="preserve"> difficulté </w:t>
      </w:r>
      <w:r>
        <w:rPr>
          <w:lang w:val="fr-CA"/>
        </w:rPr>
        <w:t>s</w:t>
      </w:r>
      <w:r w:rsidR="00805B11">
        <w:rPr>
          <w:lang w:val="fr-CA"/>
        </w:rPr>
        <w:t>’</w:t>
      </w:r>
      <w:r>
        <w:rPr>
          <w:lang w:val="fr-CA"/>
        </w:rPr>
        <w:t>accroît lorsque</w:t>
      </w:r>
      <w:r w:rsidRPr="00820901">
        <w:rPr>
          <w:lang w:val="fr-CA"/>
        </w:rPr>
        <w:t xml:space="preserve"> la </w:t>
      </w:r>
      <w:r>
        <w:rPr>
          <w:lang w:val="fr-CA"/>
        </w:rPr>
        <w:t>limite</w:t>
      </w:r>
      <w:r w:rsidRPr="00820901">
        <w:rPr>
          <w:lang w:val="fr-CA"/>
        </w:rPr>
        <w:t xml:space="preserve"> contestée découle de l</w:t>
      </w:r>
      <w:r w:rsidR="00805B11">
        <w:rPr>
          <w:lang w:val="fr-CA"/>
        </w:rPr>
        <w:t>’</w:t>
      </w:r>
      <w:r w:rsidRPr="00820901">
        <w:rPr>
          <w:lang w:val="fr-CA"/>
        </w:rPr>
        <w:t>absence d</w:t>
      </w:r>
      <w:r w:rsidR="00805B11">
        <w:rPr>
          <w:lang w:val="fr-CA"/>
        </w:rPr>
        <w:t>’</w:t>
      </w:r>
      <w:r w:rsidRPr="00820901">
        <w:rPr>
          <w:lang w:val="fr-CA"/>
        </w:rPr>
        <w:t>une mesure</w:t>
      </w:r>
      <w:r>
        <w:rPr>
          <w:lang w:val="fr-CA"/>
        </w:rPr>
        <w:t xml:space="preserve"> législative. Le contexte</w:t>
      </w:r>
      <w:r w:rsidR="00A803DF">
        <w:rPr>
          <w:lang w:val="fr-CA"/>
        </w:rPr>
        <w:t xml:space="preserve"> —</w:t>
      </w:r>
      <w:r>
        <w:rPr>
          <w:lang w:val="fr-CA"/>
        </w:rPr>
        <w:t xml:space="preserve"> soit l</w:t>
      </w:r>
      <w:r w:rsidR="00805B11">
        <w:rPr>
          <w:lang w:val="fr-CA"/>
        </w:rPr>
        <w:t>’</w:t>
      </w:r>
      <w:r>
        <w:rPr>
          <w:lang w:val="fr-CA"/>
        </w:rPr>
        <w:t>état actuel et passé du droit</w:t>
      </w:r>
      <w:r w:rsidR="00A803DF">
        <w:rPr>
          <w:lang w:val="fr-CA"/>
        </w:rPr>
        <w:t xml:space="preserve"> —</w:t>
      </w:r>
      <w:r>
        <w:rPr>
          <w:lang w:val="fr-CA"/>
        </w:rPr>
        <w:t xml:space="preserve"> est essentiel pour bien qualifier l</w:t>
      </w:r>
      <w:r w:rsidR="00805B11">
        <w:rPr>
          <w:lang w:val="fr-CA"/>
        </w:rPr>
        <w:t>’</w:t>
      </w:r>
      <w:r>
        <w:rPr>
          <w:lang w:val="fr-CA"/>
        </w:rPr>
        <w:t>objectif. Toutefois, il faut</w:t>
      </w:r>
      <w:r w:rsidRPr="00820901">
        <w:rPr>
          <w:lang w:val="fr-CA"/>
        </w:rPr>
        <w:t xml:space="preserve"> </w:t>
      </w:r>
      <w:r>
        <w:rPr>
          <w:lang w:val="fr-CA"/>
        </w:rPr>
        <w:t>faire preuve de circonspection lorsque l</w:t>
      </w:r>
      <w:r w:rsidR="00805B11">
        <w:rPr>
          <w:lang w:val="fr-CA"/>
        </w:rPr>
        <w:t>’</w:t>
      </w:r>
      <w:r>
        <w:rPr>
          <w:lang w:val="fr-CA"/>
        </w:rPr>
        <w:t>on s</w:t>
      </w:r>
      <w:r w:rsidR="00805B11">
        <w:rPr>
          <w:lang w:val="fr-CA"/>
        </w:rPr>
        <w:t>’</w:t>
      </w:r>
      <w:r>
        <w:rPr>
          <w:lang w:val="fr-CA"/>
        </w:rPr>
        <w:t xml:space="preserve">appuie sur </w:t>
      </w:r>
      <w:r w:rsidRPr="00820901">
        <w:rPr>
          <w:lang w:val="fr-CA"/>
        </w:rPr>
        <w:t xml:space="preserve">les </w:t>
      </w:r>
      <w:r>
        <w:rPr>
          <w:lang w:val="fr-CA"/>
        </w:rPr>
        <w:t>débats parlementaires afin</w:t>
      </w:r>
      <w:r w:rsidRPr="00820901">
        <w:rPr>
          <w:lang w:val="fr-CA"/>
        </w:rPr>
        <w:t xml:space="preserve"> </w:t>
      </w:r>
      <w:r>
        <w:rPr>
          <w:lang w:val="fr-CA"/>
        </w:rPr>
        <w:t>d</w:t>
      </w:r>
      <w:r w:rsidR="00805B11">
        <w:rPr>
          <w:lang w:val="fr-CA"/>
        </w:rPr>
        <w:t>’</w:t>
      </w:r>
      <w:r>
        <w:rPr>
          <w:lang w:val="fr-CA"/>
        </w:rPr>
        <w:t xml:space="preserve">identifier </w:t>
      </w:r>
      <w:r w:rsidRPr="00820901">
        <w:rPr>
          <w:lang w:val="fr-CA"/>
        </w:rPr>
        <w:t>l</w:t>
      </w:r>
      <w:r w:rsidR="00805B11">
        <w:rPr>
          <w:lang w:val="fr-CA"/>
        </w:rPr>
        <w:t>’</w:t>
      </w:r>
      <w:r w:rsidRPr="00820901">
        <w:rPr>
          <w:lang w:val="fr-CA"/>
        </w:rPr>
        <w:t>objectif législatif d</w:t>
      </w:r>
      <w:r w:rsidR="00805B11">
        <w:rPr>
          <w:lang w:val="fr-CA"/>
        </w:rPr>
        <w:t>’</w:t>
      </w:r>
      <w:r w:rsidRPr="00820901">
        <w:rPr>
          <w:lang w:val="fr-CA"/>
        </w:rPr>
        <w:t>une disposition</w:t>
      </w:r>
      <w:r>
        <w:rPr>
          <w:lang w:val="fr-CA"/>
        </w:rPr>
        <w:t xml:space="preserve">, car </w:t>
      </w:r>
      <w:r w:rsidRPr="00820901">
        <w:rPr>
          <w:lang w:val="fr-CA"/>
        </w:rPr>
        <w:t>l</w:t>
      </w:r>
      <w:r w:rsidR="00805B11">
        <w:rPr>
          <w:lang w:val="fr-CA"/>
        </w:rPr>
        <w:t>’</w:t>
      </w:r>
      <w:r>
        <w:rPr>
          <w:lang w:val="fr-CA"/>
        </w:rPr>
        <w:t>intention de certains députés n</w:t>
      </w:r>
      <w:r w:rsidR="00805B11">
        <w:rPr>
          <w:lang w:val="fr-CA"/>
        </w:rPr>
        <w:t>’</w:t>
      </w:r>
      <w:r w:rsidRPr="00820901">
        <w:rPr>
          <w:lang w:val="fr-CA"/>
        </w:rPr>
        <w:t xml:space="preserve">est pas </w:t>
      </w:r>
      <w:r>
        <w:rPr>
          <w:lang w:val="fr-CA"/>
        </w:rPr>
        <w:t>toujours la même que celle de l</w:t>
      </w:r>
      <w:r w:rsidR="00805B11">
        <w:rPr>
          <w:lang w:val="fr-CA"/>
        </w:rPr>
        <w:t>’</w:t>
      </w:r>
      <w:r>
        <w:rPr>
          <w:lang w:val="fr-CA"/>
        </w:rPr>
        <w:t>ensemble du Parlement.</w:t>
      </w:r>
      <w:r w:rsidRPr="00544FBF">
        <w:rPr>
          <w:lang w:val="fr-CA"/>
        </w:rPr>
        <w:t xml:space="preserve"> </w:t>
      </w:r>
    </w:p>
    <w:p w:rsidR="00834A8E" w:rsidRPr="0053508C" w:rsidRDefault="00805B11" w:rsidP="00805B11">
      <w:pPr>
        <w:pStyle w:val="SCCNormalDoubleSpacing"/>
        <w:spacing w:before="240" w:after="480"/>
        <w:rPr>
          <w:lang w:val="fr-CA"/>
        </w:rPr>
      </w:pPr>
      <w:r>
        <w:rPr>
          <w:lang w:val="fr-CA"/>
        </w:rPr>
        <w:tab/>
      </w:r>
      <w:r w:rsidR="00834A8E">
        <w:rPr>
          <w:lang w:val="fr-CA"/>
        </w:rPr>
        <w:t>En l</w:t>
      </w:r>
      <w:r>
        <w:rPr>
          <w:lang w:val="fr-CA"/>
        </w:rPr>
        <w:t>’</w:t>
      </w:r>
      <w:r w:rsidR="00834A8E">
        <w:rPr>
          <w:lang w:val="fr-CA"/>
        </w:rPr>
        <w:t xml:space="preserve">espèce, il existe un </w:t>
      </w:r>
      <w:r w:rsidR="00834A8E" w:rsidRPr="00820901">
        <w:rPr>
          <w:lang w:val="fr-CA"/>
        </w:rPr>
        <w:t>objectif clair et f</w:t>
      </w:r>
      <w:r w:rsidR="00834A8E">
        <w:rPr>
          <w:lang w:val="fr-CA"/>
        </w:rPr>
        <w:t>acile à déceler qui sous</w:t>
      </w:r>
      <w:r w:rsidR="00834A8E">
        <w:rPr>
          <w:lang w:val="fr-CA"/>
        </w:rPr>
        <w:noBreakHyphen/>
        <w:t xml:space="preserve">tend </w:t>
      </w:r>
      <w:r w:rsidR="00834A8E" w:rsidRPr="00820901">
        <w:rPr>
          <w:lang w:val="fr-CA"/>
        </w:rPr>
        <w:t>l</w:t>
      </w:r>
      <w:r>
        <w:rPr>
          <w:lang w:val="fr-CA"/>
        </w:rPr>
        <w:t>’</w:t>
      </w:r>
      <w:r w:rsidR="00834A8E" w:rsidRPr="00820901">
        <w:rPr>
          <w:lang w:val="fr-CA"/>
        </w:rPr>
        <w:t>intention du législateur dans son ensemble</w:t>
      </w:r>
      <w:r w:rsidR="00834A8E">
        <w:rPr>
          <w:lang w:val="fr-CA"/>
        </w:rPr>
        <w:t> :</w:t>
      </w:r>
      <w:r w:rsidR="00834A8E" w:rsidRPr="00820901">
        <w:rPr>
          <w:lang w:val="fr-CA"/>
        </w:rPr>
        <w:t xml:space="preserve"> le P</w:t>
      </w:r>
      <w:r w:rsidR="00834A8E">
        <w:rPr>
          <w:lang w:val="fr-CA"/>
        </w:rPr>
        <w:t>arlement a voulu privilégier un</w:t>
      </w:r>
      <w:r w:rsidR="00834A8E" w:rsidRPr="00820901">
        <w:rPr>
          <w:lang w:val="fr-CA"/>
        </w:rPr>
        <w:t xml:space="preserve"> certain</w:t>
      </w:r>
      <w:r w:rsidR="00834A8E">
        <w:rPr>
          <w:lang w:val="fr-CA"/>
        </w:rPr>
        <w:t xml:space="preserve"> lien </w:t>
      </w:r>
      <w:r w:rsidR="00834A8E" w:rsidRPr="00046519">
        <w:rPr>
          <w:lang w:val="fr-CA"/>
        </w:rPr>
        <w:t>suffisant</w:t>
      </w:r>
      <w:r w:rsidR="00834A8E" w:rsidRPr="00820901">
        <w:rPr>
          <w:lang w:val="fr-CA"/>
        </w:rPr>
        <w:t xml:space="preserve"> entre les électeurs et le</w:t>
      </w:r>
      <w:r w:rsidR="00834A8E">
        <w:rPr>
          <w:lang w:val="fr-CA"/>
        </w:rPr>
        <w:t>ur</w:t>
      </w:r>
      <w:r w:rsidR="00834A8E" w:rsidRPr="00820901">
        <w:rPr>
          <w:lang w:val="fr-CA"/>
        </w:rPr>
        <w:t>s collectivités.</w:t>
      </w:r>
      <w:r w:rsidR="00834A8E" w:rsidRPr="00190928">
        <w:rPr>
          <w:color w:val="FF0000"/>
          <w:lang w:val="fr-CA"/>
        </w:rPr>
        <w:t xml:space="preserve"> </w:t>
      </w:r>
      <w:r w:rsidR="00834A8E" w:rsidRPr="002C72F1">
        <w:rPr>
          <w:lang w:val="fr-CA"/>
        </w:rPr>
        <w:t>C</w:t>
      </w:r>
      <w:r w:rsidR="00834A8E" w:rsidRPr="00820901">
        <w:rPr>
          <w:lang w:val="fr-CA"/>
        </w:rPr>
        <w:t xml:space="preserve">et objectif est suffisamment urgent et réel pour résister à un examen </w:t>
      </w:r>
      <w:r w:rsidR="00834A8E">
        <w:rPr>
          <w:lang w:val="fr-CA"/>
        </w:rPr>
        <w:t>fondé sur</w:t>
      </w:r>
      <w:r w:rsidR="00834A8E" w:rsidRPr="00820901">
        <w:rPr>
          <w:lang w:val="fr-CA"/>
        </w:rPr>
        <w:t xml:space="preserve"> l</w:t>
      </w:r>
      <w:r>
        <w:rPr>
          <w:lang w:val="fr-CA"/>
        </w:rPr>
        <w:t>’</w:t>
      </w:r>
      <w:r w:rsidR="00834A8E" w:rsidRPr="00820901">
        <w:rPr>
          <w:lang w:val="fr-CA"/>
        </w:rPr>
        <w:t>article premier</w:t>
      </w:r>
      <w:r w:rsidR="00834A8E">
        <w:rPr>
          <w:lang w:val="fr-CA"/>
        </w:rPr>
        <w:t>. L</w:t>
      </w:r>
      <w:r w:rsidR="00834A8E" w:rsidRPr="00820901">
        <w:rPr>
          <w:lang w:val="fr-CA"/>
        </w:rPr>
        <w:t xml:space="preserve">e Parlement tentait de façon tout à fait appropriée de circonscrire les </w:t>
      </w:r>
      <w:r w:rsidR="00834A8E">
        <w:rPr>
          <w:lang w:val="fr-CA"/>
        </w:rPr>
        <w:t>frontières</w:t>
      </w:r>
      <w:r w:rsidR="00834A8E" w:rsidRPr="00820901">
        <w:rPr>
          <w:lang w:val="fr-CA"/>
        </w:rPr>
        <w:t xml:space="preserve"> du droit en édictant une </w:t>
      </w:r>
      <w:r w:rsidR="00834A8E">
        <w:rPr>
          <w:lang w:val="fr-CA"/>
        </w:rPr>
        <w:t>loi</w:t>
      </w:r>
      <w:r w:rsidR="00834A8E" w:rsidRPr="00820901">
        <w:rPr>
          <w:lang w:val="fr-CA"/>
        </w:rPr>
        <w:t xml:space="preserve"> régissant les conditions </w:t>
      </w:r>
      <w:r w:rsidR="00834A8E">
        <w:rPr>
          <w:lang w:val="fr-CA"/>
        </w:rPr>
        <w:t>relatives aux élections</w:t>
      </w:r>
      <w:r w:rsidR="00834A8E" w:rsidRPr="00820901">
        <w:rPr>
          <w:lang w:val="fr-CA"/>
        </w:rPr>
        <w:t xml:space="preserve">, en traçant une ligne de démarcation </w:t>
      </w:r>
      <w:r w:rsidR="00834A8E">
        <w:rPr>
          <w:lang w:val="fr-CA"/>
        </w:rPr>
        <w:t>qui s</w:t>
      </w:r>
      <w:r>
        <w:rPr>
          <w:lang w:val="fr-CA"/>
        </w:rPr>
        <w:t>’</w:t>
      </w:r>
      <w:r w:rsidR="00834A8E">
        <w:rPr>
          <w:lang w:val="fr-CA"/>
        </w:rPr>
        <w:t>arrête aux</w:t>
      </w:r>
      <w:r w:rsidR="00834A8E" w:rsidRPr="00820901">
        <w:rPr>
          <w:lang w:val="fr-CA"/>
        </w:rPr>
        <w:t xml:space="preserve"> citoyens qui </w:t>
      </w:r>
      <w:r w:rsidR="00834A8E">
        <w:rPr>
          <w:lang w:val="fr-CA"/>
        </w:rPr>
        <w:t>entretiennent</w:t>
      </w:r>
      <w:r w:rsidR="00834A8E" w:rsidRPr="00820901">
        <w:rPr>
          <w:lang w:val="fr-CA"/>
        </w:rPr>
        <w:t xml:space="preserve"> un</w:t>
      </w:r>
      <w:r w:rsidR="00834A8E">
        <w:rPr>
          <w:lang w:val="fr-CA"/>
        </w:rPr>
        <w:t xml:space="preserve"> lien </w:t>
      </w:r>
      <w:r w:rsidR="00834A8E" w:rsidRPr="00046519">
        <w:rPr>
          <w:lang w:val="fr-CA"/>
        </w:rPr>
        <w:t>suffisant</w:t>
      </w:r>
      <w:r w:rsidR="00834A8E" w:rsidRPr="00820901">
        <w:rPr>
          <w:lang w:val="fr-CA"/>
        </w:rPr>
        <w:t xml:space="preserve"> avec la </w:t>
      </w:r>
      <w:r w:rsidR="00834A8E">
        <w:rPr>
          <w:lang w:val="fr-CA"/>
        </w:rPr>
        <w:t>collectivité</w:t>
      </w:r>
      <w:r w:rsidR="00834A8E" w:rsidRPr="00820901">
        <w:rPr>
          <w:lang w:val="fr-CA"/>
        </w:rPr>
        <w:t xml:space="preserve"> dans laquelle </w:t>
      </w:r>
      <w:r w:rsidR="00834A8E" w:rsidRPr="00820901">
        <w:rPr>
          <w:lang w:val="fr-CA"/>
        </w:rPr>
        <w:lastRenderedPageBreak/>
        <w:t>ils veulent exprimer leur suffrage</w:t>
      </w:r>
      <w:r w:rsidR="00834A8E">
        <w:rPr>
          <w:lang w:val="fr-CA"/>
        </w:rPr>
        <w:t>. Le</w:t>
      </w:r>
      <w:r w:rsidR="00834A8E" w:rsidRPr="00820901">
        <w:rPr>
          <w:lang w:val="fr-CA"/>
        </w:rPr>
        <w:t xml:space="preserve"> Parlement</w:t>
      </w:r>
      <w:r w:rsidR="00834A8E">
        <w:rPr>
          <w:lang w:val="fr-CA"/>
        </w:rPr>
        <w:t xml:space="preserve"> peut</w:t>
      </w:r>
      <w:r w:rsidR="00834A8E" w:rsidRPr="00820901">
        <w:rPr>
          <w:lang w:val="fr-CA"/>
        </w:rPr>
        <w:t xml:space="preserve">, </w:t>
      </w:r>
      <w:r w:rsidR="00834A8E">
        <w:rPr>
          <w:lang w:val="fr-CA"/>
        </w:rPr>
        <w:t>à l</w:t>
      </w:r>
      <w:r>
        <w:rPr>
          <w:lang w:val="fr-CA"/>
        </w:rPr>
        <w:t>’</w:t>
      </w:r>
      <w:r w:rsidR="00834A8E">
        <w:rPr>
          <w:lang w:val="fr-CA"/>
        </w:rPr>
        <w:t>intérieur de</w:t>
      </w:r>
      <w:r w:rsidR="00834A8E" w:rsidRPr="00820901">
        <w:rPr>
          <w:lang w:val="fr-CA"/>
        </w:rPr>
        <w:t xml:space="preserve"> certaines limites, circonscrire la portée des droits de vote en application de l</w:t>
      </w:r>
      <w:r>
        <w:rPr>
          <w:lang w:val="fr-CA"/>
        </w:rPr>
        <w:t>’</w:t>
      </w:r>
      <w:r w:rsidR="00834A8E" w:rsidRPr="00820901">
        <w:rPr>
          <w:lang w:val="fr-CA"/>
        </w:rPr>
        <w:t>article premier</w:t>
      </w:r>
      <w:r w:rsidR="00834A8E">
        <w:rPr>
          <w:lang w:val="fr-CA"/>
        </w:rPr>
        <w:t>. A</w:t>
      </w:r>
      <w:r w:rsidR="00834A8E" w:rsidRPr="00820901">
        <w:rPr>
          <w:lang w:val="fr-CA"/>
        </w:rPr>
        <w:t xml:space="preserve">lors que la plupart des droits garantis par la </w:t>
      </w:r>
      <w:r w:rsidR="00834A8E" w:rsidRPr="00820901">
        <w:rPr>
          <w:i/>
          <w:iCs/>
          <w:lang w:val="fr-CA"/>
        </w:rPr>
        <w:t>Charte</w:t>
      </w:r>
      <w:r w:rsidR="00834A8E" w:rsidRPr="00820901">
        <w:rPr>
          <w:lang w:val="fr-CA"/>
        </w:rPr>
        <w:t xml:space="preserve"> sont </w:t>
      </w:r>
      <w:r w:rsidR="00834A8E" w:rsidRPr="00A75CE1">
        <w:rPr>
          <w:iCs/>
          <w:lang w:val="fr-CA"/>
        </w:rPr>
        <w:t>négatifs</w:t>
      </w:r>
      <w:r w:rsidR="00834A8E" w:rsidRPr="00820901">
        <w:rPr>
          <w:lang w:val="fr-CA"/>
        </w:rPr>
        <w:t xml:space="preserve"> en ce qu</w:t>
      </w:r>
      <w:r>
        <w:rPr>
          <w:lang w:val="fr-CA"/>
        </w:rPr>
        <w:t>’</w:t>
      </w:r>
      <w:r w:rsidR="00834A8E" w:rsidRPr="00820901">
        <w:rPr>
          <w:lang w:val="fr-CA"/>
        </w:rPr>
        <w:t>ils empêchent l</w:t>
      </w:r>
      <w:r>
        <w:rPr>
          <w:lang w:val="fr-CA"/>
        </w:rPr>
        <w:t>’</w:t>
      </w:r>
      <w:r w:rsidR="00834A8E" w:rsidRPr="00820901">
        <w:rPr>
          <w:lang w:val="fr-CA"/>
        </w:rPr>
        <w:t>État d</w:t>
      </w:r>
      <w:r>
        <w:rPr>
          <w:lang w:val="fr-CA"/>
        </w:rPr>
        <w:t>’</w:t>
      </w:r>
      <w:r w:rsidR="00834A8E" w:rsidRPr="00820901">
        <w:rPr>
          <w:lang w:val="fr-CA"/>
        </w:rPr>
        <w:t>agir d</w:t>
      </w:r>
      <w:r>
        <w:rPr>
          <w:lang w:val="fr-CA"/>
        </w:rPr>
        <w:t>’</w:t>
      </w:r>
      <w:r w:rsidR="00834A8E" w:rsidRPr="00820901">
        <w:rPr>
          <w:lang w:val="fr-CA"/>
        </w:rPr>
        <w:t xml:space="preserve">une façon qui y porterait atteinte, le droit de vote est un droit </w:t>
      </w:r>
      <w:r w:rsidR="00834A8E" w:rsidRPr="00A75CE1">
        <w:rPr>
          <w:lang w:val="fr-CA"/>
        </w:rPr>
        <w:t>positif</w:t>
      </w:r>
      <w:r w:rsidR="00834A8E" w:rsidRPr="00820901">
        <w:rPr>
          <w:lang w:val="fr-CA"/>
        </w:rPr>
        <w:t>.</w:t>
      </w:r>
      <w:r w:rsidR="00834A8E">
        <w:rPr>
          <w:lang w:val="fr-CA"/>
        </w:rPr>
        <w:t xml:space="preserve"> Il doit </w:t>
      </w:r>
      <w:r w:rsidR="00834A8E" w:rsidRPr="00820901">
        <w:rPr>
          <w:lang w:val="fr-CA"/>
        </w:rPr>
        <w:t xml:space="preserve">être précisé par voie législative pour </w:t>
      </w:r>
      <w:r w:rsidR="00834A8E" w:rsidRPr="00670B74">
        <w:rPr>
          <w:lang w:val="fr-CA"/>
        </w:rPr>
        <w:t>produire des effets</w:t>
      </w:r>
      <w:r w:rsidR="00834A8E" w:rsidRPr="00820901">
        <w:rPr>
          <w:lang w:val="fr-CA"/>
        </w:rPr>
        <w:t>.</w:t>
      </w:r>
      <w:r w:rsidR="00834A8E">
        <w:rPr>
          <w:lang w:val="fr-CA"/>
        </w:rPr>
        <w:t xml:space="preserve"> L</w:t>
      </w:r>
      <w:r w:rsidR="00834A8E" w:rsidRPr="00820901">
        <w:rPr>
          <w:lang w:val="fr-CA"/>
        </w:rPr>
        <w:t xml:space="preserve">es </w:t>
      </w:r>
      <w:r w:rsidR="00834A8E">
        <w:rPr>
          <w:lang w:val="fr-CA"/>
        </w:rPr>
        <w:t>limites</w:t>
      </w:r>
      <w:r w:rsidR="00834A8E" w:rsidRPr="00820901">
        <w:rPr>
          <w:lang w:val="fr-CA"/>
        </w:rPr>
        <w:t xml:space="preserve"> </w:t>
      </w:r>
      <w:r w:rsidR="00834A8E">
        <w:rPr>
          <w:lang w:val="fr-CA"/>
        </w:rPr>
        <w:t>a</w:t>
      </w:r>
      <w:r w:rsidR="00834A8E" w:rsidRPr="00820901">
        <w:rPr>
          <w:lang w:val="fr-CA"/>
        </w:rPr>
        <w:t xml:space="preserve">u droit de vote </w:t>
      </w:r>
      <w:r w:rsidR="00834A8E">
        <w:rPr>
          <w:lang w:val="fr-CA"/>
        </w:rPr>
        <w:t>peuvent</w:t>
      </w:r>
      <w:r w:rsidR="00834A8E" w:rsidRPr="00820901">
        <w:rPr>
          <w:lang w:val="fr-CA"/>
        </w:rPr>
        <w:t xml:space="preserve"> être justifiées</w:t>
      </w:r>
      <w:r w:rsidR="00834A8E">
        <w:rPr>
          <w:lang w:val="fr-CA"/>
        </w:rPr>
        <w:t>,</w:t>
      </w:r>
      <w:r w:rsidR="00834A8E" w:rsidRPr="00820901">
        <w:rPr>
          <w:lang w:val="fr-CA"/>
        </w:rPr>
        <w:t xml:space="preserve"> </w:t>
      </w:r>
      <w:r w:rsidR="00834A8E">
        <w:rPr>
          <w:lang w:val="fr-CA"/>
        </w:rPr>
        <w:t xml:space="preserve">parce </w:t>
      </w:r>
      <w:r w:rsidR="00834A8E" w:rsidRPr="00820901">
        <w:rPr>
          <w:lang w:val="fr-CA"/>
        </w:rPr>
        <w:t>qu</w:t>
      </w:r>
      <w:r>
        <w:rPr>
          <w:lang w:val="fr-CA"/>
        </w:rPr>
        <w:t>’</w:t>
      </w:r>
      <w:r w:rsidR="00834A8E" w:rsidRPr="00820901">
        <w:rPr>
          <w:lang w:val="fr-CA"/>
        </w:rPr>
        <w:t xml:space="preserve">il </w:t>
      </w:r>
      <w:r w:rsidR="00834A8E">
        <w:rPr>
          <w:lang w:val="fr-CA"/>
        </w:rPr>
        <w:t>est nécessaire de préciser</w:t>
      </w:r>
      <w:r w:rsidR="00834A8E" w:rsidRPr="00820901">
        <w:rPr>
          <w:lang w:val="fr-CA"/>
        </w:rPr>
        <w:t xml:space="preserve"> </w:t>
      </w:r>
      <w:r w:rsidR="00834A8E">
        <w:rPr>
          <w:lang w:val="fr-CA"/>
        </w:rPr>
        <w:t xml:space="preserve">dans une certaine mesure </w:t>
      </w:r>
      <w:r w:rsidR="00834A8E" w:rsidRPr="00820901">
        <w:rPr>
          <w:lang w:val="fr-CA"/>
        </w:rPr>
        <w:t>la portée du droit de vote (</w:t>
      </w:r>
      <w:r w:rsidR="00834A8E">
        <w:rPr>
          <w:lang w:val="fr-CA"/>
        </w:rPr>
        <w:t>que ce soit en lien avec</w:t>
      </w:r>
      <w:r w:rsidR="00834A8E" w:rsidRPr="00820901">
        <w:rPr>
          <w:lang w:val="fr-CA"/>
        </w:rPr>
        <w:t xml:space="preserve"> l</w:t>
      </w:r>
      <w:r>
        <w:rPr>
          <w:lang w:val="fr-CA"/>
        </w:rPr>
        <w:t>’</w:t>
      </w:r>
      <w:r w:rsidR="00834A8E" w:rsidRPr="00820901">
        <w:rPr>
          <w:lang w:val="fr-CA"/>
        </w:rPr>
        <w:t xml:space="preserve">âge ou </w:t>
      </w:r>
      <w:r w:rsidR="00834A8E">
        <w:rPr>
          <w:lang w:val="fr-CA"/>
        </w:rPr>
        <w:t>avec</w:t>
      </w:r>
      <w:r w:rsidR="00834A8E" w:rsidRPr="00820901">
        <w:rPr>
          <w:lang w:val="fr-CA"/>
        </w:rPr>
        <w:t xml:space="preserve"> </w:t>
      </w:r>
      <w:r w:rsidR="00834A8E">
        <w:rPr>
          <w:lang w:val="fr-CA"/>
        </w:rPr>
        <w:t>le caractère suffisant du lien</w:t>
      </w:r>
      <w:r w:rsidR="00834A8E" w:rsidRPr="00820901">
        <w:rPr>
          <w:lang w:val="fr-CA"/>
        </w:rPr>
        <w:t xml:space="preserve"> entre les électeurs et les collectivités</w:t>
      </w:r>
      <w:r w:rsidR="00834A8E">
        <w:rPr>
          <w:lang w:val="fr-CA"/>
        </w:rPr>
        <w:t xml:space="preserve">). De plus, </w:t>
      </w:r>
      <w:r w:rsidR="00834A8E" w:rsidRPr="00820901">
        <w:rPr>
          <w:lang w:val="fr-CA"/>
        </w:rPr>
        <w:t xml:space="preserve">la </w:t>
      </w:r>
      <w:r w:rsidR="00834A8E" w:rsidRPr="00EA0F9C">
        <w:rPr>
          <w:lang w:val="fr-CA"/>
        </w:rPr>
        <w:t>Loi</w:t>
      </w:r>
      <w:r w:rsidR="00834A8E" w:rsidRPr="00820901">
        <w:rPr>
          <w:i/>
          <w:lang w:val="fr-CA"/>
        </w:rPr>
        <w:t xml:space="preserve"> </w:t>
      </w:r>
      <w:r w:rsidR="00834A8E">
        <w:rPr>
          <w:lang w:val="fr-CA"/>
        </w:rPr>
        <w:t>contient</w:t>
      </w:r>
      <w:r w:rsidR="00834A8E" w:rsidRPr="00820901">
        <w:rPr>
          <w:lang w:val="fr-CA"/>
        </w:rPr>
        <w:t xml:space="preserve"> une gamme de restrictions </w:t>
      </w:r>
      <w:r w:rsidR="00834A8E">
        <w:rPr>
          <w:lang w:val="fr-CA"/>
        </w:rPr>
        <w:t>au droit de</w:t>
      </w:r>
      <w:r w:rsidR="00834A8E" w:rsidRPr="00820901">
        <w:rPr>
          <w:lang w:val="fr-CA"/>
        </w:rPr>
        <w:t xml:space="preserve"> vote</w:t>
      </w:r>
      <w:r w:rsidR="00834A8E">
        <w:rPr>
          <w:lang w:val="fr-CA"/>
        </w:rPr>
        <w:t xml:space="preserve"> — elle empêche notamment</w:t>
      </w:r>
      <w:r w:rsidR="00834A8E" w:rsidRPr="00820901">
        <w:rPr>
          <w:lang w:val="fr-CA"/>
        </w:rPr>
        <w:t xml:space="preserve"> de voter les citoyens canadiens qui n</w:t>
      </w:r>
      <w:r>
        <w:rPr>
          <w:lang w:val="fr-CA"/>
        </w:rPr>
        <w:t>’</w:t>
      </w:r>
      <w:r w:rsidR="00834A8E" w:rsidRPr="00820901">
        <w:rPr>
          <w:lang w:val="fr-CA"/>
        </w:rPr>
        <w:t>ont jamais vécu au Canada</w:t>
      </w:r>
      <w:r w:rsidR="00834A8E">
        <w:rPr>
          <w:lang w:val="fr-CA"/>
        </w:rPr>
        <w:t xml:space="preserve"> et les </w:t>
      </w:r>
      <w:r w:rsidR="00834A8E" w:rsidRPr="00820901">
        <w:rPr>
          <w:lang w:val="fr-CA"/>
        </w:rPr>
        <w:t>citoyen</w:t>
      </w:r>
      <w:r w:rsidR="00EF2D02">
        <w:rPr>
          <w:lang w:val="fr-CA"/>
        </w:rPr>
        <w:t>s canadiens âgés de moins de 18</w:t>
      </w:r>
      <w:r w:rsidR="00834A8E" w:rsidRPr="00820901">
        <w:rPr>
          <w:lang w:val="fr-CA"/>
        </w:rPr>
        <w:t xml:space="preserve"> ans</w:t>
      </w:r>
      <w:r w:rsidR="00834A8E">
        <w:rPr>
          <w:lang w:val="fr-CA"/>
        </w:rPr>
        <w:t xml:space="preserve"> — qui ne sont pas moins</w:t>
      </w:r>
      <w:r w:rsidR="00834A8E" w:rsidRPr="00820901">
        <w:rPr>
          <w:lang w:val="fr-CA"/>
        </w:rPr>
        <w:t xml:space="preserve"> le fruit d</w:t>
      </w:r>
      <w:r>
        <w:rPr>
          <w:lang w:val="fr-CA"/>
        </w:rPr>
        <w:t>’</w:t>
      </w:r>
      <w:r w:rsidR="00834A8E" w:rsidRPr="00820901">
        <w:rPr>
          <w:lang w:val="fr-CA"/>
        </w:rPr>
        <w:t>un raisonnement</w:t>
      </w:r>
      <w:r w:rsidR="00834A8E">
        <w:rPr>
          <w:lang w:val="fr-CA"/>
        </w:rPr>
        <w:t xml:space="preserve"> </w:t>
      </w:r>
      <w:r w:rsidR="00834A8E" w:rsidRPr="00820901">
        <w:rPr>
          <w:lang w:val="fr-CA"/>
        </w:rPr>
        <w:t xml:space="preserve">inévitablement philosophique </w:t>
      </w:r>
      <w:r w:rsidR="00834A8E">
        <w:rPr>
          <w:lang w:val="fr-CA"/>
        </w:rPr>
        <w:t>et fondé sur d</w:t>
      </w:r>
      <w:r w:rsidR="00834A8E" w:rsidRPr="00820901">
        <w:rPr>
          <w:lang w:val="fr-CA"/>
        </w:rPr>
        <w:t xml:space="preserve">es principes </w:t>
      </w:r>
      <w:r w:rsidR="00834A8E">
        <w:rPr>
          <w:lang w:val="fr-CA"/>
        </w:rPr>
        <w:t>que</w:t>
      </w:r>
      <w:r w:rsidR="00834A8E" w:rsidRPr="00820901">
        <w:rPr>
          <w:lang w:val="fr-CA"/>
        </w:rPr>
        <w:t xml:space="preserve"> la restriction touchant le</w:t>
      </w:r>
      <w:r w:rsidR="00834A8E">
        <w:rPr>
          <w:lang w:val="fr-CA"/>
        </w:rPr>
        <w:t xml:space="preserve"> droit de vote des</w:t>
      </w:r>
      <w:r w:rsidR="00834A8E" w:rsidRPr="00820901">
        <w:rPr>
          <w:lang w:val="fr-CA"/>
        </w:rPr>
        <w:t xml:space="preserve"> non</w:t>
      </w:r>
      <w:r w:rsidR="00834A8E">
        <w:rPr>
          <w:lang w:val="fr-CA"/>
        </w:rPr>
        <w:noBreakHyphen/>
      </w:r>
      <w:r w:rsidR="00834A8E" w:rsidRPr="00820901">
        <w:rPr>
          <w:lang w:val="fr-CA"/>
        </w:rPr>
        <w:t xml:space="preserve">résidents </w:t>
      </w:r>
      <w:r w:rsidR="00834A8E">
        <w:rPr>
          <w:lang w:val="fr-CA"/>
        </w:rPr>
        <w:t>à long terme. L</w:t>
      </w:r>
      <w:r>
        <w:rPr>
          <w:lang w:val="fr-CA"/>
        </w:rPr>
        <w:t>’</w:t>
      </w:r>
      <w:r w:rsidR="00834A8E" w:rsidRPr="00820901">
        <w:rPr>
          <w:lang w:val="fr-CA"/>
        </w:rPr>
        <w:t xml:space="preserve">analyse des </w:t>
      </w:r>
      <w:r w:rsidR="00834A8E">
        <w:rPr>
          <w:lang w:val="fr-CA"/>
        </w:rPr>
        <w:t>limites</w:t>
      </w:r>
      <w:r w:rsidR="00834A8E" w:rsidRPr="00820901">
        <w:rPr>
          <w:lang w:val="fr-CA"/>
        </w:rPr>
        <w:t xml:space="preserve"> doit être assez souple pour </w:t>
      </w:r>
      <w:r w:rsidR="00834A8E">
        <w:rPr>
          <w:lang w:val="fr-CA"/>
        </w:rPr>
        <w:t>tenir</w:t>
      </w:r>
      <w:r w:rsidR="00834A8E" w:rsidRPr="00820901">
        <w:rPr>
          <w:lang w:val="fr-CA"/>
        </w:rPr>
        <w:t xml:space="preserve"> compte </w:t>
      </w:r>
      <w:r w:rsidR="00834A8E">
        <w:rPr>
          <w:lang w:val="fr-CA"/>
        </w:rPr>
        <w:t xml:space="preserve">de </w:t>
      </w:r>
      <w:r w:rsidR="00834A8E" w:rsidRPr="00820901">
        <w:rPr>
          <w:lang w:val="fr-CA"/>
        </w:rPr>
        <w:t>la faculté qu</w:t>
      </w:r>
      <w:r>
        <w:rPr>
          <w:lang w:val="fr-CA"/>
        </w:rPr>
        <w:t>’</w:t>
      </w:r>
      <w:r w:rsidR="00834A8E" w:rsidRPr="00820901">
        <w:rPr>
          <w:lang w:val="fr-CA"/>
        </w:rPr>
        <w:t xml:space="preserve">a le Parlement de légiférer </w:t>
      </w:r>
      <w:r w:rsidR="00834A8E">
        <w:rPr>
          <w:lang w:val="fr-CA"/>
        </w:rPr>
        <w:t>en fonction de</w:t>
      </w:r>
      <w:r w:rsidR="00834A8E" w:rsidRPr="00820901">
        <w:rPr>
          <w:lang w:val="fr-CA"/>
        </w:rPr>
        <w:t xml:space="preserve"> considérations philosophiques, morales ou autrement normatives</w:t>
      </w:r>
      <w:r w:rsidR="00834A8E">
        <w:rPr>
          <w:lang w:val="fr-CA"/>
        </w:rPr>
        <w:t xml:space="preserve">. </w:t>
      </w:r>
      <w:r w:rsidR="00834A8E" w:rsidRPr="00820901">
        <w:rPr>
          <w:lang w:val="fr-CA"/>
        </w:rPr>
        <w:t>En conséquence, dans le cadre de l</w:t>
      </w:r>
      <w:r>
        <w:rPr>
          <w:lang w:val="fr-CA"/>
        </w:rPr>
        <w:t>’</w:t>
      </w:r>
      <w:r w:rsidR="00834A8E" w:rsidRPr="00820901">
        <w:rPr>
          <w:lang w:val="fr-CA"/>
        </w:rPr>
        <w:t>analyse des restrictions, la question qu</w:t>
      </w:r>
      <w:r>
        <w:rPr>
          <w:lang w:val="fr-CA"/>
        </w:rPr>
        <w:t>’</w:t>
      </w:r>
      <w:r w:rsidR="00834A8E" w:rsidRPr="00820901">
        <w:rPr>
          <w:lang w:val="fr-CA"/>
        </w:rPr>
        <w:t>il faut se poser n</w:t>
      </w:r>
      <w:r>
        <w:rPr>
          <w:lang w:val="fr-CA"/>
        </w:rPr>
        <w:t>’</w:t>
      </w:r>
      <w:r w:rsidR="00834A8E" w:rsidRPr="00820901">
        <w:rPr>
          <w:lang w:val="fr-CA"/>
        </w:rPr>
        <w:t>est pas de savoir si l</w:t>
      </w:r>
      <w:r>
        <w:rPr>
          <w:lang w:val="fr-CA"/>
        </w:rPr>
        <w:t>’</w:t>
      </w:r>
      <w:r w:rsidR="00834A8E" w:rsidRPr="00820901">
        <w:rPr>
          <w:lang w:val="fr-CA"/>
        </w:rPr>
        <w:t>objectif législatif du Parlement repose sur de</w:t>
      </w:r>
      <w:r w:rsidR="00834A8E">
        <w:rPr>
          <w:lang w:val="fr-CA"/>
        </w:rPr>
        <w:t xml:space="preserve"> telles</w:t>
      </w:r>
      <w:r w:rsidR="00834A8E" w:rsidRPr="00820901">
        <w:rPr>
          <w:lang w:val="fr-CA"/>
        </w:rPr>
        <w:t xml:space="preserve"> considérations, mais plutôt de savoir si l</w:t>
      </w:r>
      <w:r>
        <w:rPr>
          <w:lang w:val="fr-CA"/>
        </w:rPr>
        <w:t>’</w:t>
      </w:r>
      <w:r w:rsidR="00834A8E" w:rsidRPr="00820901">
        <w:rPr>
          <w:lang w:val="fr-CA"/>
        </w:rPr>
        <w:t xml:space="preserve">objectif </w:t>
      </w:r>
      <w:r w:rsidR="00834A8E">
        <w:rPr>
          <w:lang w:val="fr-CA"/>
        </w:rPr>
        <w:t>qu</w:t>
      </w:r>
      <w:r>
        <w:rPr>
          <w:lang w:val="fr-CA"/>
        </w:rPr>
        <w:t>’</w:t>
      </w:r>
      <w:r w:rsidR="00834A8E">
        <w:rPr>
          <w:lang w:val="fr-CA"/>
        </w:rPr>
        <w:t xml:space="preserve">il vise </w:t>
      </w:r>
      <w:r w:rsidR="00834A8E" w:rsidRPr="00820901">
        <w:rPr>
          <w:lang w:val="fr-CA"/>
        </w:rPr>
        <w:t>e</w:t>
      </w:r>
      <w:r w:rsidR="00834A8E">
        <w:rPr>
          <w:lang w:val="fr-CA"/>
        </w:rPr>
        <w:t>s</w:t>
      </w:r>
      <w:r w:rsidR="00834A8E" w:rsidRPr="00820901">
        <w:rPr>
          <w:lang w:val="fr-CA"/>
        </w:rPr>
        <w:t xml:space="preserve">t urgent et réel. </w:t>
      </w:r>
    </w:p>
    <w:p w:rsidR="00834A8E" w:rsidRPr="00190928" w:rsidRDefault="00834A8E" w:rsidP="00805B11">
      <w:pPr>
        <w:pStyle w:val="SCCNormalDoubleSpacing"/>
        <w:spacing w:before="240" w:after="480"/>
        <w:rPr>
          <w:lang w:val="fr-CA"/>
        </w:rPr>
      </w:pPr>
      <w:r w:rsidRPr="00190928">
        <w:rPr>
          <w:lang w:val="fr-CA"/>
        </w:rPr>
        <w:tab/>
      </w:r>
      <w:r>
        <w:rPr>
          <w:lang w:val="fr-CA"/>
        </w:rPr>
        <w:t>En l</w:t>
      </w:r>
      <w:r w:rsidR="00805B11">
        <w:rPr>
          <w:lang w:val="fr-CA"/>
        </w:rPr>
        <w:t>’</w:t>
      </w:r>
      <w:r>
        <w:rPr>
          <w:lang w:val="fr-CA"/>
        </w:rPr>
        <w:t xml:space="preserve">espèce, </w:t>
      </w:r>
      <w:r w:rsidRPr="00820901">
        <w:rPr>
          <w:lang w:val="fr-CA"/>
        </w:rPr>
        <w:t>la restriction en cause</w:t>
      </w:r>
      <w:r>
        <w:rPr>
          <w:lang w:val="fr-CA"/>
        </w:rPr>
        <w:t xml:space="preserve"> est une </w:t>
      </w:r>
      <w:r w:rsidRPr="00820901">
        <w:rPr>
          <w:lang w:val="fr-CA"/>
        </w:rPr>
        <w:t>exigence fondée sur la résidence</w:t>
      </w:r>
      <w:r>
        <w:rPr>
          <w:lang w:val="fr-CA"/>
        </w:rPr>
        <w:t>. La résidence a été qualifiée de</w:t>
      </w:r>
      <w:r w:rsidRPr="0053508C">
        <w:rPr>
          <w:color w:val="000000" w:themeColor="text1"/>
          <w:lang w:val="fr-CA"/>
        </w:rPr>
        <w:t xml:space="preserve"> </w:t>
      </w:r>
      <w:r>
        <w:rPr>
          <w:color w:val="000000" w:themeColor="text1"/>
          <w:lang w:val="fr-CA"/>
        </w:rPr>
        <w:t>condition</w:t>
      </w:r>
      <w:r w:rsidRPr="00820901">
        <w:rPr>
          <w:color w:val="000000" w:themeColor="text1"/>
          <w:lang w:val="fr-CA"/>
        </w:rPr>
        <w:t xml:space="preserve"> </w:t>
      </w:r>
      <w:r>
        <w:rPr>
          <w:color w:val="000000" w:themeColor="text1"/>
          <w:lang w:val="fr-CA"/>
        </w:rPr>
        <w:t>fondamentale</w:t>
      </w:r>
      <w:r w:rsidRPr="0053508C">
        <w:rPr>
          <w:color w:val="000000" w:themeColor="text1"/>
          <w:lang w:val="fr-CA"/>
        </w:rPr>
        <w:t xml:space="preserve"> </w:t>
      </w:r>
      <w:r>
        <w:rPr>
          <w:color w:val="000000" w:themeColor="text1"/>
          <w:lang w:val="fr-CA"/>
        </w:rPr>
        <w:t>à l</w:t>
      </w:r>
      <w:r w:rsidR="00805B11">
        <w:rPr>
          <w:color w:val="000000" w:themeColor="text1"/>
          <w:lang w:val="fr-CA"/>
        </w:rPr>
        <w:t>’</w:t>
      </w:r>
      <w:r>
        <w:rPr>
          <w:color w:val="000000" w:themeColor="text1"/>
          <w:lang w:val="fr-CA"/>
        </w:rPr>
        <w:t>exercice du droit de vote. Bien</w:t>
      </w:r>
      <w:r w:rsidRPr="00820901">
        <w:rPr>
          <w:color w:val="000000" w:themeColor="text1"/>
          <w:lang w:val="fr-CA"/>
        </w:rPr>
        <w:t xml:space="preserve"> que la citoyenneté </w:t>
      </w:r>
      <w:r>
        <w:rPr>
          <w:color w:val="000000" w:themeColor="text1"/>
          <w:lang w:val="fr-CA"/>
        </w:rPr>
        <w:t>constitue une condition</w:t>
      </w:r>
      <w:r w:rsidRPr="00820901">
        <w:rPr>
          <w:color w:val="000000" w:themeColor="text1"/>
          <w:lang w:val="fr-CA"/>
        </w:rPr>
        <w:t xml:space="preserve"> nécessaire </w:t>
      </w:r>
      <w:r>
        <w:rPr>
          <w:color w:val="000000" w:themeColor="text1"/>
          <w:lang w:val="fr-CA"/>
        </w:rPr>
        <w:t>à l</w:t>
      </w:r>
      <w:r w:rsidR="00805B11">
        <w:rPr>
          <w:color w:val="000000" w:themeColor="text1"/>
          <w:lang w:val="fr-CA"/>
        </w:rPr>
        <w:t>’</w:t>
      </w:r>
      <w:r>
        <w:rPr>
          <w:color w:val="000000" w:themeColor="text1"/>
          <w:lang w:val="fr-CA"/>
        </w:rPr>
        <w:t>exercice du droit de vote</w:t>
      </w:r>
      <w:r w:rsidRPr="00820901">
        <w:rPr>
          <w:color w:val="000000" w:themeColor="text1"/>
          <w:lang w:val="fr-CA"/>
        </w:rPr>
        <w:t>, il ne s</w:t>
      </w:r>
      <w:r w:rsidR="00805B11">
        <w:rPr>
          <w:color w:val="000000" w:themeColor="text1"/>
          <w:lang w:val="fr-CA"/>
        </w:rPr>
        <w:t>’</w:t>
      </w:r>
      <w:r>
        <w:rPr>
          <w:color w:val="000000" w:themeColor="text1"/>
          <w:lang w:val="fr-CA"/>
        </w:rPr>
        <w:t>agi</w:t>
      </w:r>
      <w:r w:rsidRPr="00820901">
        <w:rPr>
          <w:color w:val="000000" w:themeColor="text1"/>
          <w:lang w:val="fr-CA"/>
        </w:rPr>
        <w:t xml:space="preserve">t pas </w:t>
      </w:r>
      <w:r>
        <w:rPr>
          <w:color w:val="000000" w:themeColor="text1"/>
          <w:lang w:val="fr-CA"/>
        </w:rPr>
        <w:t>de</w:t>
      </w:r>
      <w:r w:rsidRPr="00820901">
        <w:rPr>
          <w:color w:val="000000" w:themeColor="text1"/>
          <w:lang w:val="fr-CA"/>
        </w:rPr>
        <w:t xml:space="preserve"> la </w:t>
      </w:r>
      <w:r w:rsidRPr="003147C4">
        <w:rPr>
          <w:color w:val="000000" w:themeColor="text1"/>
          <w:lang w:val="fr-CA"/>
        </w:rPr>
        <w:t>seule</w:t>
      </w:r>
      <w:r w:rsidRPr="00820901">
        <w:rPr>
          <w:color w:val="000000" w:themeColor="text1"/>
          <w:lang w:val="fr-CA"/>
        </w:rPr>
        <w:t xml:space="preserve"> </w:t>
      </w:r>
      <w:r w:rsidRPr="008A69AB">
        <w:rPr>
          <w:color w:val="000000" w:themeColor="text1"/>
          <w:lang w:val="fr-CA"/>
        </w:rPr>
        <w:t>restriction</w:t>
      </w:r>
      <w:r w:rsidRPr="00820901">
        <w:rPr>
          <w:color w:val="000000" w:themeColor="text1"/>
          <w:lang w:val="fr-CA"/>
        </w:rPr>
        <w:t xml:space="preserve"> constitutionnellement acceptable</w:t>
      </w:r>
      <w:r>
        <w:rPr>
          <w:color w:val="000000" w:themeColor="text1"/>
          <w:lang w:val="fr-CA"/>
        </w:rPr>
        <w:t xml:space="preserve">. La </w:t>
      </w:r>
      <w:r w:rsidRPr="00820901">
        <w:rPr>
          <w:lang w:val="fr-CA"/>
        </w:rPr>
        <w:t xml:space="preserve">citoyenneté </w:t>
      </w:r>
      <w:r w:rsidRPr="00820901">
        <w:rPr>
          <w:lang w:val="fr-CA"/>
        </w:rPr>
        <w:lastRenderedPageBreak/>
        <w:t xml:space="preserve">est un </w:t>
      </w:r>
      <w:r w:rsidRPr="003147C4">
        <w:rPr>
          <w:lang w:val="fr-CA"/>
        </w:rPr>
        <w:t>statut</w:t>
      </w:r>
      <w:r>
        <w:rPr>
          <w:lang w:val="fr-CA"/>
        </w:rPr>
        <w:t>.</w:t>
      </w:r>
      <w:r w:rsidRPr="003147C4">
        <w:rPr>
          <w:lang w:val="fr-CA"/>
        </w:rPr>
        <w:t xml:space="preserve"> </w:t>
      </w:r>
      <w:r w:rsidRPr="00820901">
        <w:rPr>
          <w:lang w:val="fr-CA"/>
        </w:rPr>
        <w:t xml:space="preserve">En soi, </w:t>
      </w:r>
      <w:r w:rsidR="00A803DF">
        <w:rPr>
          <w:lang w:val="fr-CA"/>
        </w:rPr>
        <w:t>elle</w:t>
      </w:r>
      <w:r w:rsidRPr="00820901">
        <w:rPr>
          <w:lang w:val="fr-CA"/>
        </w:rPr>
        <w:t xml:space="preserve"> ne </w:t>
      </w:r>
      <w:r>
        <w:rPr>
          <w:lang w:val="fr-CA"/>
        </w:rPr>
        <w:t>reflète pas l</w:t>
      </w:r>
      <w:r w:rsidR="00805B11">
        <w:rPr>
          <w:lang w:val="fr-CA"/>
        </w:rPr>
        <w:t>’</w:t>
      </w:r>
      <w:r>
        <w:rPr>
          <w:lang w:val="fr-CA"/>
        </w:rPr>
        <w:t>existence</w:t>
      </w:r>
      <w:r w:rsidRPr="00820901">
        <w:rPr>
          <w:lang w:val="fr-CA"/>
        </w:rPr>
        <w:t xml:space="preserve"> de quelque </w:t>
      </w:r>
      <w:r>
        <w:rPr>
          <w:lang w:val="fr-CA"/>
        </w:rPr>
        <w:t xml:space="preserve">lien </w:t>
      </w:r>
      <w:r w:rsidRPr="00046519">
        <w:rPr>
          <w:lang w:val="fr-CA"/>
        </w:rPr>
        <w:t>suffisant</w:t>
      </w:r>
      <w:r w:rsidRPr="00820901">
        <w:rPr>
          <w:lang w:val="fr-CA"/>
        </w:rPr>
        <w:t xml:space="preserve"> avec une collectivité canadienne </w:t>
      </w:r>
      <w:r>
        <w:rPr>
          <w:lang w:val="fr-CA"/>
        </w:rPr>
        <w:t>particulière. D</w:t>
      </w:r>
      <w:r w:rsidR="00805B11">
        <w:rPr>
          <w:lang w:val="fr-CA"/>
        </w:rPr>
        <w:t>’</w:t>
      </w:r>
      <w:r>
        <w:rPr>
          <w:lang w:val="fr-CA"/>
        </w:rPr>
        <w:t xml:space="preserve">une </w:t>
      </w:r>
      <w:r w:rsidRPr="00820901">
        <w:rPr>
          <w:lang w:val="fr-CA"/>
        </w:rPr>
        <w:t>manière</w:t>
      </w:r>
      <w:r>
        <w:rPr>
          <w:lang w:val="fr-CA"/>
        </w:rPr>
        <w:t xml:space="preserve"> qui n</w:t>
      </w:r>
      <w:r w:rsidR="00805B11">
        <w:rPr>
          <w:lang w:val="fr-CA"/>
        </w:rPr>
        <w:t>’</w:t>
      </w:r>
      <w:r>
        <w:rPr>
          <w:lang w:val="fr-CA"/>
        </w:rPr>
        <w:t>est pas</w:t>
      </w:r>
      <w:r w:rsidRPr="00820901">
        <w:rPr>
          <w:lang w:val="fr-CA"/>
        </w:rPr>
        <w:t xml:space="preserve"> déraisonnable, </w:t>
      </w:r>
      <w:r>
        <w:rPr>
          <w:lang w:val="fr-CA"/>
        </w:rPr>
        <w:t>le Parlement</w:t>
      </w:r>
      <w:r w:rsidRPr="00820901">
        <w:rPr>
          <w:lang w:val="fr-CA"/>
        </w:rPr>
        <w:t xml:space="preserve"> a estimé que </w:t>
      </w:r>
      <w:r>
        <w:rPr>
          <w:lang w:val="fr-CA"/>
        </w:rPr>
        <w:t xml:space="preserve">le fait de </w:t>
      </w:r>
      <w:r w:rsidRPr="00820901">
        <w:rPr>
          <w:lang w:val="fr-CA"/>
        </w:rPr>
        <w:t>réside</w:t>
      </w:r>
      <w:r>
        <w:rPr>
          <w:lang w:val="fr-CA"/>
        </w:rPr>
        <w:t>r</w:t>
      </w:r>
      <w:r w:rsidRPr="00820901">
        <w:rPr>
          <w:lang w:val="fr-CA"/>
        </w:rPr>
        <w:t xml:space="preserve"> </w:t>
      </w:r>
      <w:r>
        <w:rPr>
          <w:lang w:val="fr-CA"/>
        </w:rPr>
        <w:t>(</w:t>
      </w:r>
      <w:r w:rsidRPr="00820901">
        <w:rPr>
          <w:lang w:val="fr-CA"/>
        </w:rPr>
        <w:t>ou</w:t>
      </w:r>
      <w:r>
        <w:rPr>
          <w:lang w:val="fr-CA"/>
        </w:rPr>
        <w:t xml:space="preserve"> d</w:t>
      </w:r>
      <w:r w:rsidR="00805B11">
        <w:rPr>
          <w:lang w:val="fr-CA"/>
        </w:rPr>
        <w:t>’</w:t>
      </w:r>
      <w:r>
        <w:rPr>
          <w:lang w:val="fr-CA"/>
        </w:rPr>
        <w:t>avoir résidé récemment) au Canada</w:t>
      </w:r>
      <w:r w:rsidRPr="00820901">
        <w:rPr>
          <w:lang w:val="fr-CA"/>
        </w:rPr>
        <w:t xml:space="preserve"> </w:t>
      </w:r>
      <w:r>
        <w:rPr>
          <w:lang w:val="fr-CA"/>
        </w:rPr>
        <w:t>est indicatif</w:t>
      </w:r>
      <w:r w:rsidRPr="00820901">
        <w:rPr>
          <w:lang w:val="fr-CA"/>
        </w:rPr>
        <w:t xml:space="preserve"> </w:t>
      </w:r>
      <w:r>
        <w:rPr>
          <w:lang w:val="fr-CA"/>
        </w:rPr>
        <w:t>d</w:t>
      </w:r>
      <w:r w:rsidR="00805B11">
        <w:rPr>
          <w:lang w:val="fr-CA"/>
        </w:rPr>
        <w:t>’</w:t>
      </w:r>
      <w:r>
        <w:rPr>
          <w:lang w:val="fr-CA"/>
        </w:rPr>
        <w:t xml:space="preserve">un tel lien. </w:t>
      </w:r>
      <w:r w:rsidRPr="00820901">
        <w:rPr>
          <w:lang w:val="fr-CA"/>
        </w:rPr>
        <w:t xml:space="preserve">Le fait que la </w:t>
      </w:r>
      <w:r w:rsidRPr="00706362">
        <w:rPr>
          <w:lang w:val="fr-CA"/>
        </w:rPr>
        <w:t>Loi</w:t>
      </w:r>
      <w:r w:rsidRPr="00820901">
        <w:rPr>
          <w:i/>
          <w:lang w:val="fr-CA"/>
        </w:rPr>
        <w:t xml:space="preserve"> </w:t>
      </w:r>
      <w:r>
        <w:rPr>
          <w:lang w:val="fr-CA"/>
        </w:rPr>
        <w:t>comporte</w:t>
      </w:r>
      <w:r w:rsidRPr="00820901">
        <w:rPr>
          <w:lang w:val="fr-CA"/>
        </w:rPr>
        <w:t xml:space="preserve"> </w:t>
      </w:r>
      <w:r w:rsidR="00A803DF">
        <w:rPr>
          <w:lang w:val="fr-CA"/>
        </w:rPr>
        <w:t>certaines exceptions à la règle</w:t>
      </w:r>
      <w:r>
        <w:rPr>
          <w:lang w:val="fr-CA"/>
        </w:rPr>
        <w:t xml:space="preserve"> relative à la résidence</w:t>
      </w:r>
      <w:r w:rsidRPr="00820901">
        <w:rPr>
          <w:lang w:val="fr-CA"/>
        </w:rPr>
        <w:t xml:space="preserve"> </w:t>
      </w:r>
      <w:r>
        <w:rPr>
          <w:lang w:val="fr-CA"/>
        </w:rPr>
        <w:t>appuie</w:t>
      </w:r>
      <w:r w:rsidRPr="00820901">
        <w:rPr>
          <w:lang w:val="fr-CA"/>
        </w:rPr>
        <w:t xml:space="preserve"> la thèse </w:t>
      </w:r>
      <w:r>
        <w:rPr>
          <w:lang w:val="fr-CA"/>
        </w:rPr>
        <w:t>selon laquelle l</w:t>
      </w:r>
      <w:r w:rsidR="00805B11">
        <w:rPr>
          <w:lang w:val="fr-CA"/>
        </w:rPr>
        <w:t>’</w:t>
      </w:r>
      <w:r>
        <w:rPr>
          <w:lang w:val="fr-CA"/>
        </w:rPr>
        <w:t>existence d</w:t>
      </w:r>
      <w:r w:rsidR="00805B11">
        <w:rPr>
          <w:lang w:val="fr-CA"/>
        </w:rPr>
        <w:t>’</w:t>
      </w:r>
      <w:r w:rsidRPr="00820901">
        <w:rPr>
          <w:lang w:val="fr-CA"/>
        </w:rPr>
        <w:t>un</w:t>
      </w:r>
      <w:r>
        <w:rPr>
          <w:lang w:val="fr-CA"/>
        </w:rPr>
        <w:t xml:space="preserve"> lien </w:t>
      </w:r>
      <w:r w:rsidRPr="00046519">
        <w:rPr>
          <w:lang w:val="fr-CA"/>
        </w:rPr>
        <w:t>suffisant</w:t>
      </w:r>
      <w:r>
        <w:rPr>
          <w:lang w:val="fr-CA"/>
        </w:rPr>
        <w:t xml:space="preserve"> </w:t>
      </w:r>
      <w:r w:rsidRPr="00820901">
        <w:rPr>
          <w:lang w:val="fr-CA"/>
        </w:rPr>
        <w:t>est essentielle</w:t>
      </w:r>
      <w:r>
        <w:rPr>
          <w:lang w:val="fr-CA"/>
        </w:rPr>
        <w:t xml:space="preserve">. Le fait de maintenir </w:t>
      </w:r>
      <w:r w:rsidRPr="00820901">
        <w:rPr>
          <w:lang w:val="fr-CA"/>
        </w:rPr>
        <w:t>un</w:t>
      </w:r>
      <w:r>
        <w:rPr>
          <w:lang w:val="fr-CA"/>
        </w:rPr>
        <w:t xml:space="preserve"> lien </w:t>
      </w:r>
      <w:r w:rsidRPr="00046519">
        <w:rPr>
          <w:lang w:val="fr-CA"/>
        </w:rPr>
        <w:t>suffisant</w:t>
      </w:r>
      <w:r w:rsidRPr="00820901">
        <w:rPr>
          <w:lang w:val="fr-CA"/>
        </w:rPr>
        <w:t xml:space="preserve"> entre les électeurs et leurs collectivités</w:t>
      </w:r>
      <w:r>
        <w:rPr>
          <w:lang w:val="fr-CA"/>
        </w:rPr>
        <w:t xml:space="preserve"> au moyen d</w:t>
      </w:r>
      <w:r w:rsidR="00805B11">
        <w:rPr>
          <w:lang w:val="fr-CA"/>
        </w:rPr>
        <w:t>’</w:t>
      </w:r>
      <w:r>
        <w:rPr>
          <w:lang w:val="fr-CA"/>
        </w:rPr>
        <w:t>une restriction au droit de vote</w:t>
      </w:r>
      <w:r w:rsidRPr="00820901">
        <w:rPr>
          <w:lang w:val="fr-CA"/>
        </w:rPr>
        <w:t xml:space="preserve"> des non</w:t>
      </w:r>
      <w:r>
        <w:rPr>
          <w:lang w:val="fr-CA"/>
        </w:rPr>
        <w:noBreakHyphen/>
      </w:r>
      <w:r w:rsidRPr="00820901">
        <w:rPr>
          <w:lang w:val="fr-CA"/>
        </w:rPr>
        <w:t xml:space="preserve">résidents </w:t>
      </w:r>
      <w:r>
        <w:rPr>
          <w:lang w:val="fr-CA"/>
        </w:rPr>
        <w:t>à long terme</w:t>
      </w:r>
      <w:r w:rsidRPr="00820901">
        <w:rPr>
          <w:lang w:val="fr-CA"/>
        </w:rPr>
        <w:t xml:space="preserve"> assure </w:t>
      </w:r>
      <w:r>
        <w:rPr>
          <w:lang w:val="fr-CA"/>
        </w:rPr>
        <w:t>un rapport de mutualité</w:t>
      </w:r>
      <w:r w:rsidRPr="00820901">
        <w:rPr>
          <w:lang w:val="fr-CA"/>
        </w:rPr>
        <w:t xml:space="preserve"> entre l</w:t>
      </w:r>
      <w:r w:rsidR="00805B11">
        <w:rPr>
          <w:lang w:val="fr-CA"/>
        </w:rPr>
        <w:t>’</w:t>
      </w:r>
      <w:r>
        <w:rPr>
          <w:lang w:val="fr-CA"/>
        </w:rPr>
        <w:t>exercice de ce</w:t>
      </w:r>
      <w:r w:rsidRPr="00820901">
        <w:rPr>
          <w:lang w:val="fr-CA"/>
        </w:rPr>
        <w:t xml:space="preserve"> droit et </w:t>
      </w:r>
      <w:r>
        <w:rPr>
          <w:lang w:val="fr-CA"/>
        </w:rPr>
        <w:t>le fait d</w:t>
      </w:r>
      <w:r w:rsidR="00805B11">
        <w:rPr>
          <w:lang w:val="fr-CA"/>
        </w:rPr>
        <w:t>’</w:t>
      </w:r>
      <w:r>
        <w:rPr>
          <w:lang w:val="fr-CA"/>
        </w:rPr>
        <w:t>être assujetti</w:t>
      </w:r>
      <w:r w:rsidRPr="00820901">
        <w:rPr>
          <w:lang w:val="fr-CA"/>
        </w:rPr>
        <w:t xml:space="preserve"> aux lois canadiennes.</w:t>
      </w:r>
      <w:r>
        <w:rPr>
          <w:lang w:val="fr-CA"/>
        </w:rPr>
        <w:t xml:space="preserve"> L</w:t>
      </w:r>
      <w:r w:rsidRPr="00820901">
        <w:rPr>
          <w:lang w:val="fr-CA"/>
        </w:rPr>
        <w:t xml:space="preserve">e principe de </w:t>
      </w:r>
      <w:r>
        <w:rPr>
          <w:lang w:val="fr-CA"/>
        </w:rPr>
        <w:t>la mutualité</w:t>
      </w:r>
      <w:r w:rsidRPr="00820901">
        <w:rPr>
          <w:lang w:val="fr-CA"/>
        </w:rPr>
        <w:t xml:space="preserve"> justifie la </w:t>
      </w:r>
      <w:r>
        <w:rPr>
          <w:lang w:val="fr-CA"/>
        </w:rPr>
        <w:t>limite au droit de vote</w:t>
      </w:r>
      <w:r w:rsidRPr="00820901">
        <w:rPr>
          <w:lang w:val="fr-CA"/>
        </w:rPr>
        <w:t xml:space="preserve"> des non</w:t>
      </w:r>
      <w:r>
        <w:rPr>
          <w:lang w:val="fr-CA"/>
        </w:rPr>
        <w:noBreakHyphen/>
      </w:r>
      <w:r w:rsidRPr="00820901">
        <w:rPr>
          <w:lang w:val="fr-CA"/>
        </w:rPr>
        <w:t xml:space="preserve">résidents </w:t>
      </w:r>
      <w:r w:rsidRPr="00C51D8C">
        <w:rPr>
          <w:lang w:val="fr-CA"/>
        </w:rPr>
        <w:t>justement</w:t>
      </w:r>
      <w:r w:rsidRPr="00820901">
        <w:rPr>
          <w:lang w:val="fr-CA"/>
        </w:rPr>
        <w:t xml:space="preserve"> parce les non</w:t>
      </w:r>
      <w:r>
        <w:rPr>
          <w:lang w:val="fr-CA"/>
        </w:rPr>
        <w:noBreakHyphen/>
      </w:r>
      <w:r w:rsidRPr="00820901">
        <w:rPr>
          <w:lang w:val="fr-CA"/>
        </w:rPr>
        <w:t xml:space="preserve">résidents </w:t>
      </w:r>
      <w:r>
        <w:rPr>
          <w:lang w:val="fr-CA"/>
        </w:rPr>
        <w:t>à long terme</w:t>
      </w:r>
      <w:r w:rsidRPr="00820901">
        <w:rPr>
          <w:lang w:val="fr-CA"/>
        </w:rPr>
        <w:t xml:space="preserve"> ne sont généralement pas assujettis aux lois canadiennes</w:t>
      </w:r>
      <w:r>
        <w:rPr>
          <w:lang w:val="fr-CA"/>
        </w:rPr>
        <w:t>.</w:t>
      </w:r>
      <w:r w:rsidRPr="00C51D8C">
        <w:rPr>
          <w:lang w:val="fr-CA"/>
        </w:rPr>
        <w:t xml:space="preserve"> </w:t>
      </w:r>
      <w:r>
        <w:rPr>
          <w:lang w:val="fr-CA"/>
        </w:rPr>
        <w:t>I</w:t>
      </w:r>
      <w:r w:rsidRPr="00820901">
        <w:rPr>
          <w:lang w:val="fr-CA"/>
        </w:rPr>
        <w:t>l est</w:t>
      </w:r>
      <w:r>
        <w:rPr>
          <w:lang w:val="fr-CA"/>
        </w:rPr>
        <w:t xml:space="preserve"> </w:t>
      </w:r>
      <w:r w:rsidRPr="00820901">
        <w:rPr>
          <w:lang w:val="fr-CA"/>
        </w:rPr>
        <w:t>injuste envers les résidents canadiens que leurs législateurs soient élus par des non</w:t>
      </w:r>
      <w:r>
        <w:rPr>
          <w:lang w:val="fr-CA"/>
        </w:rPr>
        <w:noBreakHyphen/>
      </w:r>
      <w:r w:rsidRPr="00820901">
        <w:rPr>
          <w:lang w:val="fr-CA"/>
        </w:rPr>
        <w:t xml:space="preserve">résidents </w:t>
      </w:r>
      <w:r>
        <w:rPr>
          <w:lang w:val="fr-CA"/>
        </w:rPr>
        <w:t>à long terme</w:t>
      </w:r>
      <w:r w:rsidRPr="00820901">
        <w:rPr>
          <w:lang w:val="fr-CA"/>
        </w:rPr>
        <w:t xml:space="preserve"> qui n</w:t>
      </w:r>
      <w:r w:rsidR="00805B11">
        <w:rPr>
          <w:lang w:val="fr-CA"/>
        </w:rPr>
        <w:t>’</w:t>
      </w:r>
      <w:r>
        <w:rPr>
          <w:lang w:val="fr-CA"/>
        </w:rPr>
        <w:t xml:space="preserve">ont aucun lien </w:t>
      </w:r>
      <w:r w:rsidRPr="00046519">
        <w:rPr>
          <w:lang w:val="fr-CA"/>
        </w:rPr>
        <w:t>suffisant</w:t>
      </w:r>
      <w:r w:rsidRPr="00820901">
        <w:rPr>
          <w:lang w:val="fr-CA"/>
        </w:rPr>
        <w:t xml:space="preserve"> avec leur </w:t>
      </w:r>
      <w:r>
        <w:rPr>
          <w:lang w:val="fr-CA"/>
        </w:rPr>
        <w:t>circonscription.</w:t>
      </w:r>
      <w:r w:rsidRPr="001F121C">
        <w:rPr>
          <w:lang w:val="fr-CA"/>
        </w:rPr>
        <w:t xml:space="preserve"> </w:t>
      </w:r>
      <w:r>
        <w:rPr>
          <w:lang w:val="fr-CA"/>
        </w:rPr>
        <w:t>Faire en sorte que l</w:t>
      </w:r>
      <w:r w:rsidRPr="00820901">
        <w:rPr>
          <w:lang w:val="fr-CA"/>
        </w:rPr>
        <w:t xml:space="preserve">es électeurs </w:t>
      </w:r>
      <w:r>
        <w:rPr>
          <w:lang w:val="fr-CA"/>
        </w:rPr>
        <w:t xml:space="preserve">conservent un lien </w:t>
      </w:r>
      <w:r w:rsidRPr="00046519">
        <w:rPr>
          <w:lang w:val="fr-CA"/>
        </w:rPr>
        <w:t>suffisant</w:t>
      </w:r>
      <w:r w:rsidRPr="00820901">
        <w:rPr>
          <w:lang w:val="fr-CA"/>
        </w:rPr>
        <w:t xml:space="preserve"> </w:t>
      </w:r>
      <w:r>
        <w:rPr>
          <w:lang w:val="fr-CA"/>
        </w:rPr>
        <w:t>avec</w:t>
      </w:r>
      <w:r w:rsidRPr="00820901">
        <w:rPr>
          <w:lang w:val="fr-CA"/>
        </w:rPr>
        <w:t xml:space="preserve"> leurs collectivités </w:t>
      </w:r>
      <w:r>
        <w:rPr>
          <w:lang w:val="fr-CA"/>
        </w:rPr>
        <w:t>au moyen</w:t>
      </w:r>
      <w:r w:rsidRPr="00820901">
        <w:rPr>
          <w:lang w:val="fr-CA"/>
        </w:rPr>
        <w:t xml:space="preserve"> de </w:t>
      </w:r>
      <w:r>
        <w:rPr>
          <w:lang w:val="fr-CA"/>
        </w:rPr>
        <w:t>restrictions au droit de vote</w:t>
      </w:r>
      <w:r w:rsidRPr="00820901">
        <w:rPr>
          <w:lang w:val="fr-CA"/>
        </w:rPr>
        <w:t xml:space="preserve"> des non</w:t>
      </w:r>
      <w:r>
        <w:rPr>
          <w:lang w:val="fr-CA"/>
        </w:rPr>
        <w:noBreakHyphen/>
      </w:r>
      <w:r w:rsidRPr="00820901">
        <w:rPr>
          <w:lang w:val="fr-CA"/>
        </w:rPr>
        <w:t xml:space="preserve">résidents </w:t>
      </w:r>
      <w:r>
        <w:rPr>
          <w:lang w:val="fr-CA"/>
        </w:rPr>
        <w:t>à long terme</w:t>
      </w:r>
      <w:r w:rsidRPr="00820901">
        <w:rPr>
          <w:lang w:val="fr-CA"/>
        </w:rPr>
        <w:t xml:space="preserve"> protège </w:t>
      </w:r>
      <w:r w:rsidR="00A803DF">
        <w:rPr>
          <w:lang w:val="fr-CA"/>
        </w:rPr>
        <w:t xml:space="preserve">aussi </w:t>
      </w:r>
      <w:r w:rsidRPr="00820901">
        <w:rPr>
          <w:lang w:val="fr-CA"/>
        </w:rPr>
        <w:t>l</w:t>
      </w:r>
      <w:r w:rsidR="00805B11">
        <w:rPr>
          <w:lang w:val="fr-CA"/>
        </w:rPr>
        <w:t>’</w:t>
      </w:r>
      <w:r w:rsidRPr="00820901">
        <w:rPr>
          <w:lang w:val="fr-CA"/>
        </w:rPr>
        <w:t>intégrité du système électoral canadien, qui est fondé sur la représentation géographique</w:t>
      </w:r>
      <w:r>
        <w:rPr>
          <w:lang w:val="fr-CA"/>
        </w:rPr>
        <w:t>.</w:t>
      </w:r>
      <w:r w:rsidRPr="001F121C">
        <w:rPr>
          <w:lang w:val="fr-CA"/>
        </w:rPr>
        <w:t xml:space="preserve"> </w:t>
      </w:r>
      <w:r>
        <w:rPr>
          <w:lang w:val="fr-CA"/>
        </w:rPr>
        <w:t>L</w:t>
      </w:r>
      <w:r w:rsidRPr="00820901">
        <w:rPr>
          <w:lang w:val="fr-CA"/>
        </w:rPr>
        <w:t>e droit de vote garanti par l</w:t>
      </w:r>
      <w:r w:rsidR="00805B11">
        <w:rPr>
          <w:lang w:val="fr-CA"/>
        </w:rPr>
        <w:t>’</w:t>
      </w:r>
      <w:r>
        <w:rPr>
          <w:lang w:val="fr-CA"/>
        </w:rPr>
        <w:t>art. </w:t>
      </w:r>
      <w:r w:rsidRPr="00820901">
        <w:rPr>
          <w:lang w:val="fr-CA"/>
        </w:rPr>
        <w:t xml:space="preserve">3 </w:t>
      </w:r>
      <w:proofErr w:type="gramStart"/>
      <w:r w:rsidRPr="00820901">
        <w:rPr>
          <w:lang w:val="fr-CA"/>
        </w:rPr>
        <w:t>repose</w:t>
      </w:r>
      <w:proofErr w:type="gramEnd"/>
      <w:r w:rsidRPr="00820901">
        <w:rPr>
          <w:lang w:val="fr-CA"/>
        </w:rPr>
        <w:t xml:space="preserve"> sur le</w:t>
      </w:r>
      <w:r>
        <w:rPr>
          <w:lang w:val="fr-CA"/>
        </w:rPr>
        <w:t xml:space="preserve"> </w:t>
      </w:r>
      <w:r w:rsidRPr="00820901">
        <w:rPr>
          <w:lang w:val="fr-CA"/>
        </w:rPr>
        <w:t>principe voulant que les électeurs votent pour un représentant de leur collectivité</w:t>
      </w:r>
      <w:r>
        <w:rPr>
          <w:lang w:val="fr-CA"/>
        </w:rPr>
        <w:t xml:space="preserve">. </w:t>
      </w:r>
      <w:r w:rsidRPr="00820901">
        <w:rPr>
          <w:lang w:val="fr-CA"/>
        </w:rPr>
        <w:t xml:space="preserve">Cette structure régionale doit donc guider tout examen du système électoral et de la participation des Canadiens </w:t>
      </w:r>
      <w:r>
        <w:rPr>
          <w:lang w:val="fr-CA"/>
        </w:rPr>
        <w:t>à celui-ci</w:t>
      </w:r>
      <w:r w:rsidRPr="00820901">
        <w:rPr>
          <w:lang w:val="fr-CA"/>
        </w:rPr>
        <w:t>.</w:t>
      </w:r>
      <w:r w:rsidRPr="004872A1">
        <w:rPr>
          <w:lang w:val="fr-CA"/>
        </w:rPr>
        <w:t xml:space="preserve"> </w:t>
      </w:r>
      <w:r w:rsidRPr="00820901">
        <w:rPr>
          <w:lang w:val="fr-CA"/>
        </w:rPr>
        <w:t xml:space="preserve">La </w:t>
      </w:r>
      <w:r>
        <w:rPr>
          <w:lang w:val="fr-CA"/>
        </w:rPr>
        <w:t>restriction au droit de vote</w:t>
      </w:r>
      <w:r w:rsidRPr="00820901">
        <w:rPr>
          <w:lang w:val="fr-CA"/>
        </w:rPr>
        <w:t xml:space="preserve"> des non</w:t>
      </w:r>
      <w:r>
        <w:rPr>
          <w:lang w:val="fr-CA"/>
        </w:rPr>
        <w:noBreakHyphen/>
      </w:r>
      <w:r w:rsidRPr="00820901">
        <w:rPr>
          <w:lang w:val="fr-CA"/>
        </w:rPr>
        <w:t xml:space="preserve">résidents </w:t>
      </w:r>
      <w:r>
        <w:rPr>
          <w:lang w:val="fr-CA"/>
        </w:rPr>
        <w:t>à long terme</w:t>
      </w:r>
      <w:r w:rsidRPr="00820901">
        <w:rPr>
          <w:lang w:val="fr-CA"/>
        </w:rPr>
        <w:t xml:space="preserve"> </w:t>
      </w:r>
      <w:r>
        <w:rPr>
          <w:lang w:val="fr-CA"/>
        </w:rPr>
        <w:t xml:space="preserve">fait donc </w:t>
      </w:r>
      <w:r w:rsidRPr="00820901">
        <w:rPr>
          <w:lang w:val="fr-CA"/>
        </w:rPr>
        <w:t>en sorte que les électeurs résid</w:t>
      </w:r>
      <w:r>
        <w:rPr>
          <w:lang w:val="fr-CA"/>
        </w:rPr>
        <w:t>a</w:t>
      </w:r>
      <w:r w:rsidRPr="00820901">
        <w:rPr>
          <w:lang w:val="fr-CA"/>
        </w:rPr>
        <w:t xml:space="preserve">nt dans une circonscription </w:t>
      </w:r>
      <w:r>
        <w:rPr>
          <w:lang w:val="fr-CA"/>
        </w:rPr>
        <w:t>donnée</w:t>
      </w:r>
      <w:r w:rsidRPr="00820901">
        <w:rPr>
          <w:lang w:val="fr-CA"/>
        </w:rPr>
        <w:t>, qui partagent une communauté d</w:t>
      </w:r>
      <w:r w:rsidR="00805B11">
        <w:rPr>
          <w:lang w:val="fr-CA"/>
        </w:rPr>
        <w:t>’</w:t>
      </w:r>
      <w:r>
        <w:rPr>
          <w:lang w:val="fr-CA"/>
        </w:rPr>
        <w:t>intérêts</w:t>
      </w:r>
      <w:r w:rsidRPr="00820901">
        <w:rPr>
          <w:lang w:val="fr-CA"/>
        </w:rPr>
        <w:t xml:space="preserve"> découl</w:t>
      </w:r>
      <w:r>
        <w:rPr>
          <w:lang w:val="fr-CA"/>
        </w:rPr>
        <w:t>ant</w:t>
      </w:r>
      <w:r w:rsidRPr="00820901">
        <w:rPr>
          <w:lang w:val="fr-CA"/>
        </w:rPr>
        <w:t xml:space="preserve"> </w:t>
      </w:r>
      <w:r>
        <w:rPr>
          <w:lang w:val="fr-CA"/>
        </w:rPr>
        <w:t xml:space="preserve">généralement </w:t>
      </w:r>
      <w:r w:rsidRPr="00820901">
        <w:rPr>
          <w:lang w:val="fr-CA"/>
        </w:rPr>
        <w:t>du moins en partie de la proximité géographique, conservent le pouvoir de décider pour eux</w:t>
      </w:r>
      <w:r>
        <w:rPr>
          <w:lang w:val="fr-CA"/>
        </w:rPr>
        <w:noBreakHyphen/>
      </w:r>
      <w:r w:rsidRPr="00820901">
        <w:rPr>
          <w:lang w:val="fr-CA"/>
        </w:rPr>
        <w:t>mêmes qui sera en mesure de</w:t>
      </w:r>
      <w:r>
        <w:rPr>
          <w:lang w:val="fr-CA"/>
        </w:rPr>
        <w:t xml:space="preserve"> mieux</w:t>
      </w:r>
      <w:r w:rsidRPr="00820901">
        <w:rPr>
          <w:lang w:val="fr-CA"/>
        </w:rPr>
        <w:t xml:space="preserve"> faire valoir ces intérêts partagés en leur nom à la Chambre des communes</w:t>
      </w:r>
      <w:r>
        <w:rPr>
          <w:lang w:val="fr-CA"/>
        </w:rPr>
        <w:t>.</w:t>
      </w:r>
      <w:r w:rsidRPr="00190928">
        <w:rPr>
          <w:lang w:val="fr-CA"/>
        </w:rPr>
        <w:t xml:space="preserve"> </w:t>
      </w:r>
    </w:p>
    <w:p w:rsidR="00834A8E" w:rsidRPr="00E60B2F" w:rsidRDefault="00834A8E" w:rsidP="00805B11">
      <w:pPr>
        <w:pStyle w:val="SCCNormalDoubleSpacing"/>
        <w:spacing w:before="240" w:after="480"/>
        <w:rPr>
          <w:lang w:val="fr-CA"/>
        </w:rPr>
      </w:pPr>
      <w:r w:rsidRPr="00190928">
        <w:rPr>
          <w:lang w:val="fr-CA"/>
        </w:rPr>
        <w:lastRenderedPageBreak/>
        <w:tab/>
      </w:r>
      <w:r w:rsidRPr="00820901">
        <w:rPr>
          <w:lang w:val="fr-CA"/>
        </w:rPr>
        <w:t>La deuxième question qui se pose dans l</w:t>
      </w:r>
      <w:r w:rsidR="00805B11">
        <w:rPr>
          <w:lang w:val="fr-CA"/>
        </w:rPr>
        <w:t>’</w:t>
      </w:r>
      <w:r w:rsidRPr="00820901">
        <w:rPr>
          <w:lang w:val="fr-CA"/>
        </w:rPr>
        <w:t xml:space="preserve">analyse des restrictions </w:t>
      </w:r>
      <w:r>
        <w:rPr>
          <w:lang w:val="fr-CA"/>
        </w:rPr>
        <w:t>est celle de savoir si les moyens qu</w:t>
      </w:r>
      <w:r w:rsidR="00805B11">
        <w:rPr>
          <w:lang w:val="fr-CA"/>
        </w:rPr>
        <w:t>’</w:t>
      </w:r>
      <w:r w:rsidRPr="00820901">
        <w:rPr>
          <w:lang w:val="fr-CA"/>
        </w:rPr>
        <w:t>a choisi</w:t>
      </w:r>
      <w:r>
        <w:rPr>
          <w:lang w:val="fr-CA"/>
        </w:rPr>
        <w:t>s</w:t>
      </w:r>
      <w:r w:rsidRPr="00820901">
        <w:rPr>
          <w:lang w:val="fr-CA"/>
        </w:rPr>
        <w:t xml:space="preserve"> le Parlement pour atteindre son objectif </w:t>
      </w:r>
      <w:r>
        <w:rPr>
          <w:lang w:val="fr-CA"/>
        </w:rPr>
        <w:t>son</w:t>
      </w:r>
      <w:r w:rsidRPr="00820901">
        <w:rPr>
          <w:lang w:val="fr-CA"/>
        </w:rPr>
        <w:t>t proportionné</w:t>
      </w:r>
      <w:r>
        <w:rPr>
          <w:lang w:val="fr-CA"/>
        </w:rPr>
        <w:t>s</w:t>
      </w:r>
      <w:r w:rsidRPr="00820901">
        <w:rPr>
          <w:lang w:val="fr-CA"/>
        </w:rPr>
        <w:t xml:space="preserve"> à la </w:t>
      </w:r>
      <w:r w:rsidRPr="00051AF7">
        <w:rPr>
          <w:lang w:val="fr-CA"/>
        </w:rPr>
        <w:t>restriction</w:t>
      </w:r>
      <w:r w:rsidRPr="00820901">
        <w:rPr>
          <w:lang w:val="fr-CA"/>
        </w:rPr>
        <w:t xml:space="preserve"> des droits</w:t>
      </w:r>
      <w:r>
        <w:rPr>
          <w:lang w:val="fr-CA"/>
        </w:rPr>
        <w:t xml:space="preserve"> — c</w:t>
      </w:r>
      <w:r w:rsidR="00805B11">
        <w:rPr>
          <w:lang w:val="fr-CA"/>
        </w:rPr>
        <w:t>’</w:t>
      </w:r>
      <w:r>
        <w:rPr>
          <w:lang w:val="fr-CA"/>
        </w:rPr>
        <w:t xml:space="preserve">est-à-dire </w:t>
      </w:r>
      <w:r w:rsidRPr="00820901">
        <w:rPr>
          <w:lang w:val="fr-CA"/>
        </w:rPr>
        <w:t>si la mesure a un lien rationnel avec l</w:t>
      </w:r>
      <w:r w:rsidR="00805B11">
        <w:rPr>
          <w:lang w:val="fr-CA"/>
        </w:rPr>
        <w:t>’</w:t>
      </w:r>
      <w:r w:rsidR="00A803DF">
        <w:rPr>
          <w:lang w:val="fr-CA"/>
        </w:rPr>
        <w:t>objectif;</w:t>
      </w:r>
      <w:r w:rsidRPr="00820901">
        <w:rPr>
          <w:lang w:val="fr-CA"/>
        </w:rPr>
        <w:t xml:space="preserve"> si la mesure constitue une atteinte minimale aux droits que garantit la </w:t>
      </w:r>
      <w:r w:rsidRPr="00820901">
        <w:rPr>
          <w:i/>
          <w:lang w:val="fr-CA"/>
        </w:rPr>
        <w:t>Charte</w:t>
      </w:r>
      <w:r w:rsidRPr="00820901">
        <w:rPr>
          <w:lang w:val="fr-CA"/>
        </w:rPr>
        <w:t xml:space="preserve"> </w:t>
      </w:r>
      <w:r>
        <w:rPr>
          <w:lang w:val="fr-CA"/>
        </w:rPr>
        <w:t>à celui qui les revendique</w:t>
      </w:r>
      <w:r w:rsidR="00A803DF">
        <w:rPr>
          <w:lang w:val="fr-CA"/>
        </w:rPr>
        <w:t>;</w:t>
      </w:r>
      <w:r w:rsidRPr="00820901">
        <w:rPr>
          <w:lang w:val="fr-CA"/>
        </w:rPr>
        <w:t xml:space="preserve"> et s</w:t>
      </w:r>
      <w:r w:rsidR="00805B11">
        <w:rPr>
          <w:lang w:val="fr-CA"/>
        </w:rPr>
        <w:t>’</w:t>
      </w:r>
      <w:r w:rsidRPr="00820901">
        <w:rPr>
          <w:lang w:val="fr-CA"/>
        </w:rPr>
        <w:t>il y a proportionnalité entre les effets de la mesure et l</w:t>
      </w:r>
      <w:r w:rsidR="00805B11">
        <w:rPr>
          <w:lang w:val="fr-CA"/>
        </w:rPr>
        <w:t>’</w:t>
      </w:r>
      <w:r>
        <w:rPr>
          <w:lang w:val="fr-CA"/>
        </w:rPr>
        <w:t xml:space="preserve">objectif. </w:t>
      </w:r>
      <w:r w:rsidRPr="00820901">
        <w:rPr>
          <w:lang w:val="fr-CA"/>
        </w:rPr>
        <w:t>L</w:t>
      </w:r>
      <w:r w:rsidR="00805B11">
        <w:rPr>
          <w:lang w:val="fr-CA"/>
        </w:rPr>
        <w:t>’</w:t>
      </w:r>
      <w:r w:rsidRPr="00820901">
        <w:rPr>
          <w:lang w:val="fr-CA"/>
        </w:rPr>
        <w:t xml:space="preserve">examen consiste non pas à se demander ce que préfèreraient les membres de la Cour, mais </w:t>
      </w:r>
      <w:r>
        <w:rPr>
          <w:lang w:val="fr-CA"/>
        </w:rPr>
        <w:t>à</w:t>
      </w:r>
      <w:r w:rsidRPr="00820901">
        <w:rPr>
          <w:lang w:val="fr-CA"/>
        </w:rPr>
        <w:t xml:space="preserve"> savoir si la limite en </w:t>
      </w:r>
      <w:r>
        <w:rPr>
          <w:lang w:val="fr-CA"/>
        </w:rPr>
        <w:t>est</w:t>
      </w:r>
      <w:r w:rsidRPr="00820901">
        <w:rPr>
          <w:lang w:val="fr-CA"/>
        </w:rPr>
        <w:t xml:space="preserve"> une que le Parlement pouvait raisonnablement imposer</w:t>
      </w:r>
      <w:r>
        <w:rPr>
          <w:lang w:val="fr-CA"/>
        </w:rPr>
        <w:t xml:space="preserve">. </w:t>
      </w:r>
      <w:r w:rsidRPr="00DA59C5">
        <w:rPr>
          <w:lang w:val="fr-CA"/>
        </w:rPr>
        <w:t>Cela</w:t>
      </w:r>
      <w:r w:rsidRPr="00820901">
        <w:rPr>
          <w:lang w:val="fr-CA"/>
        </w:rPr>
        <w:t xml:space="preserve"> est particulièrement vrai </w:t>
      </w:r>
      <w:r>
        <w:rPr>
          <w:lang w:val="fr-CA"/>
        </w:rPr>
        <w:t>dans le cas</w:t>
      </w:r>
      <w:r w:rsidRPr="00820901">
        <w:rPr>
          <w:lang w:val="fr-CA"/>
        </w:rPr>
        <w:t xml:space="preserve"> d</w:t>
      </w:r>
      <w:r w:rsidR="00805B11">
        <w:rPr>
          <w:lang w:val="fr-CA"/>
        </w:rPr>
        <w:t>’</w:t>
      </w:r>
      <w:r w:rsidRPr="00820901">
        <w:rPr>
          <w:lang w:val="fr-CA"/>
        </w:rPr>
        <w:t xml:space="preserve">une contestation </w:t>
      </w:r>
      <w:r>
        <w:rPr>
          <w:lang w:val="fr-CA"/>
        </w:rPr>
        <w:t>relative aux</w:t>
      </w:r>
      <w:r w:rsidRPr="00820901">
        <w:rPr>
          <w:lang w:val="fr-CA"/>
        </w:rPr>
        <w:t xml:space="preserve"> lois électorales du Canada, un ensemble de loi</w:t>
      </w:r>
      <w:r>
        <w:rPr>
          <w:lang w:val="fr-CA"/>
        </w:rPr>
        <w:t>s</w:t>
      </w:r>
      <w:r w:rsidRPr="00820901">
        <w:rPr>
          <w:lang w:val="fr-CA"/>
        </w:rPr>
        <w:t xml:space="preserve"> </w:t>
      </w:r>
      <w:r>
        <w:rPr>
          <w:lang w:val="fr-CA"/>
        </w:rPr>
        <w:t>envers le</w:t>
      </w:r>
      <w:r w:rsidRPr="00820901">
        <w:rPr>
          <w:lang w:val="fr-CA"/>
        </w:rPr>
        <w:t>quel</w:t>
      </w:r>
      <w:r>
        <w:rPr>
          <w:lang w:val="fr-CA"/>
        </w:rPr>
        <w:t xml:space="preserve">, selon la Cour, les tribunaux </w:t>
      </w:r>
      <w:r w:rsidRPr="00820901">
        <w:rPr>
          <w:lang w:val="fr-CA"/>
        </w:rPr>
        <w:t>doivent naturellement faire preuve de déférence</w:t>
      </w:r>
      <w:r>
        <w:rPr>
          <w:lang w:val="fr-CA"/>
        </w:rPr>
        <w:t xml:space="preserve">. Dans le présent pourvoi, </w:t>
      </w:r>
      <w:r w:rsidRPr="00820901">
        <w:rPr>
          <w:lang w:val="fr-CA"/>
        </w:rPr>
        <w:t>le moyen par lequel l</w:t>
      </w:r>
      <w:r>
        <w:rPr>
          <w:lang w:val="fr-CA"/>
        </w:rPr>
        <w:t>e Parlement</w:t>
      </w:r>
      <w:r w:rsidRPr="00820901">
        <w:rPr>
          <w:lang w:val="fr-CA"/>
        </w:rPr>
        <w:t xml:space="preserve"> a choisi d</w:t>
      </w:r>
      <w:r w:rsidR="00805B11">
        <w:rPr>
          <w:lang w:val="fr-CA"/>
        </w:rPr>
        <w:t>’</w:t>
      </w:r>
      <w:r w:rsidRPr="00820901">
        <w:rPr>
          <w:lang w:val="fr-CA"/>
        </w:rPr>
        <w:t xml:space="preserve">atteindre </w:t>
      </w:r>
      <w:r>
        <w:rPr>
          <w:lang w:val="fr-CA"/>
        </w:rPr>
        <w:t>son</w:t>
      </w:r>
      <w:r w:rsidRPr="00820901">
        <w:rPr>
          <w:lang w:val="fr-CA"/>
        </w:rPr>
        <w:t xml:space="preserve"> objectif </w:t>
      </w:r>
      <w:r w:rsidRPr="00A803DF">
        <w:rPr>
          <w:lang w:val="fr-CA"/>
        </w:rPr>
        <w:t>est</w:t>
      </w:r>
      <w:r w:rsidRPr="00820901">
        <w:rPr>
          <w:lang w:val="fr-CA"/>
        </w:rPr>
        <w:t xml:space="preserve"> proportionné</w:t>
      </w:r>
      <w:r>
        <w:rPr>
          <w:lang w:val="fr-CA"/>
        </w:rPr>
        <w:t>. U</w:t>
      </w:r>
      <w:r w:rsidRPr="00820901">
        <w:rPr>
          <w:lang w:val="fr-CA"/>
        </w:rPr>
        <w:t xml:space="preserve">ne période </w:t>
      </w:r>
      <w:r>
        <w:rPr>
          <w:lang w:val="fr-CA"/>
        </w:rPr>
        <w:t>limite</w:t>
      </w:r>
      <w:r w:rsidRPr="00820901">
        <w:rPr>
          <w:lang w:val="fr-CA"/>
        </w:rPr>
        <w:t xml:space="preserve"> de </w:t>
      </w:r>
      <w:proofErr w:type="spellStart"/>
      <w:r w:rsidRPr="00820901">
        <w:rPr>
          <w:lang w:val="fr-CA"/>
        </w:rPr>
        <w:t>non</w:t>
      </w:r>
      <w:r>
        <w:rPr>
          <w:lang w:val="fr-CA"/>
        </w:rPr>
        <w:noBreakHyphen/>
      </w:r>
      <w:r w:rsidRPr="00820901">
        <w:rPr>
          <w:lang w:val="fr-CA"/>
        </w:rPr>
        <w:t>résidence</w:t>
      </w:r>
      <w:proofErr w:type="spellEnd"/>
      <w:r w:rsidRPr="00820901">
        <w:rPr>
          <w:lang w:val="fr-CA"/>
        </w:rPr>
        <w:t xml:space="preserve"> de cinq ans</w:t>
      </w:r>
      <w:r>
        <w:rPr>
          <w:lang w:val="fr-CA"/>
        </w:rPr>
        <w:t xml:space="preserve"> est</w:t>
      </w:r>
      <w:r w:rsidRPr="00820901">
        <w:rPr>
          <w:lang w:val="fr-CA"/>
        </w:rPr>
        <w:t xml:space="preserve"> une </w:t>
      </w:r>
      <w:r>
        <w:rPr>
          <w:lang w:val="fr-CA"/>
        </w:rPr>
        <w:t xml:space="preserve">ligne de </w:t>
      </w:r>
      <w:r w:rsidRPr="00820901">
        <w:rPr>
          <w:lang w:val="fr-CA"/>
        </w:rPr>
        <w:t xml:space="preserve">démarcation raisonnable </w:t>
      </w:r>
      <w:r>
        <w:rPr>
          <w:lang w:val="fr-CA"/>
        </w:rPr>
        <w:t>et constitutionnelle</w:t>
      </w:r>
      <w:r w:rsidRPr="00820901">
        <w:rPr>
          <w:lang w:val="fr-CA"/>
        </w:rPr>
        <w:t xml:space="preserve">. La mesure a un lien rationnel avec </w:t>
      </w:r>
      <w:r w:rsidRPr="003B3737">
        <w:rPr>
          <w:lang w:val="fr-CA"/>
        </w:rPr>
        <w:t>l</w:t>
      </w:r>
      <w:r w:rsidR="00805B11">
        <w:rPr>
          <w:lang w:val="fr-CA"/>
        </w:rPr>
        <w:t>’</w:t>
      </w:r>
      <w:r w:rsidRPr="003B3737">
        <w:rPr>
          <w:lang w:val="fr-CA"/>
        </w:rPr>
        <w:t xml:space="preserve">objectif visant </w:t>
      </w:r>
      <w:r>
        <w:rPr>
          <w:lang w:val="fr-CA"/>
        </w:rPr>
        <w:t>à faire en sorte que</w:t>
      </w:r>
      <w:r w:rsidRPr="00820901">
        <w:rPr>
          <w:lang w:val="fr-CA"/>
        </w:rPr>
        <w:t xml:space="preserve"> les électeurs </w:t>
      </w:r>
      <w:r>
        <w:rPr>
          <w:lang w:val="fr-CA"/>
        </w:rPr>
        <w:t xml:space="preserve">conservent un lien </w:t>
      </w:r>
      <w:r w:rsidRPr="00046519">
        <w:rPr>
          <w:lang w:val="fr-CA"/>
        </w:rPr>
        <w:t>suffisant</w:t>
      </w:r>
      <w:r>
        <w:rPr>
          <w:lang w:val="fr-CA"/>
        </w:rPr>
        <w:t xml:space="preserve"> avec</w:t>
      </w:r>
      <w:r w:rsidRPr="00820901">
        <w:rPr>
          <w:lang w:val="fr-CA"/>
        </w:rPr>
        <w:t xml:space="preserve"> leurs collectivités parce qu</w:t>
      </w:r>
      <w:r w:rsidR="00805B11">
        <w:rPr>
          <w:lang w:val="fr-CA"/>
        </w:rPr>
        <w:t>’</w:t>
      </w:r>
      <w:r w:rsidRPr="00820901">
        <w:rPr>
          <w:lang w:val="fr-CA"/>
        </w:rPr>
        <w:t xml:space="preserve">elle </w:t>
      </w:r>
      <w:r>
        <w:rPr>
          <w:lang w:val="fr-CA"/>
        </w:rPr>
        <w:t>établit</w:t>
      </w:r>
      <w:r w:rsidRPr="00820901">
        <w:rPr>
          <w:lang w:val="fr-CA"/>
        </w:rPr>
        <w:t xml:space="preserve"> une distinction logique entre les non</w:t>
      </w:r>
      <w:r>
        <w:rPr>
          <w:lang w:val="fr-CA"/>
        </w:rPr>
        <w:noBreakHyphen/>
      </w:r>
      <w:r w:rsidRPr="00820901">
        <w:rPr>
          <w:lang w:val="fr-CA"/>
        </w:rPr>
        <w:t>résidents depuis peu et les non</w:t>
      </w:r>
      <w:r>
        <w:rPr>
          <w:lang w:val="fr-CA"/>
        </w:rPr>
        <w:noBreakHyphen/>
      </w:r>
      <w:r w:rsidRPr="00820901">
        <w:rPr>
          <w:lang w:val="fr-CA"/>
        </w:rPr>
        <w:t xml:space="preserve">résidents </w:t>
      </w:r>
      <w:r>
        <w:rPr>
          <w:lang w:val="fr-CA"/>
        </w:rPr>
        <w:t>à long terme.</w:t>
      </w:r>
      <w:r w:rsidRPr="00225DDB">
        <w:rPr>
          <w:lang w:val="fr-CA"/>
        </w:rPr>
        <w:t xml:space="preserve"> </w:t>
      </w:r>
      <w:r>
        <w:rPr>
          <w:lang w:val="fr-CA"/>
        </w:rPr>
        <w:t xml:space="preserve">La période de </w:t>
      </w:r>
      <w:r w:rsidRPr="00820901">
        <w:rPr>
          <w:lang w:val="fr-CA"/>
        </w:rPr>
        <w:t>cinq ans correspond à la durée maximale d</w:t>
      </w:r>
      <w:r w:rsidR="00805B11">
        <w:rPr>
          <w:lang w:val="fr-CA"/>
        </w:rPr>
        <w:t>’</w:t>
      </w:r>
      <w:r w:rsidRPr="00820901">
        <w:rPr>
          <w:lang w:val="fr-CA"/>
        </w:rPr>
        <w:t>un</w:t>
      </w:r>
      <w:r>
        <w:rPr>
          <w:lang w:val="fr-CA"/>
        </w:rPr>
        <w:t>e législature; de cette façon,</w:t>
      </w:r>
      <w:r w:rsidRPr="00820901">
        <w:rPr>
          <w:lang w:val="fr-CA"/>
        </w:rPr>
        <w:t xml:space="preserve"> tous les non</w:t>
      </w:r>
      <w:r>
        <w:rPr>
          <w:lang w:val="fr-CA"/>
        </w:rPr>
        <w:noBreakHyphen/>
      </w:r>
      <w:r w:rsidRPr="00820901">
        <w:rPr>
          <w:lang w:val="fr-CA"/>
        </w:rPr>
        <w:t>résidents p</w:t>
      </w:r>
      <w:r>
        <w:rPr>
          <w:lang w:val="fr-CA"/>
        </w:rPr>
        <w:t>euv</w:t>
      </w:r>
      <w:r w:rsidRPr="00820901">
        <w:rPr>
          <w:lang w:val="fr-CA"/>
        </w:rPr>
        <w:t xml:space="preserve">ent voter </w:t>
      </w:r>
      <w:r>
        <w:rPr>
          <w:lang w:val="fr-CA"/>
        </w:rPr>
        <w:t>à</w:t>
      </w:r>
      <w:r w:rsidRPr="00820901">
        <w:rPr>
          <w:lang w:val="fr-CA"/>
        </w:rPr>
        <w:t xml:space="preserve"> au moins une élection après avoir quitté le Canada</w:t>
      </w:r>
      <w:r>
        <w:rPr>
          <w:lang w:val="fr-CA"/>
        </w:rPr>
        <w:t>, et une telle période</w:t>
      </w:r>
      <w:r w:rsidRPr="00820901">
        <w:rPr>
          <w:lang w:val="fr-CA"/>
        </w:rPr>
        <w:t xml:space="preserve"> est suffisamment longue pour permet</w:t>
      </w:r>
      <w:r>
        <w:rPr>
          <w:lang w:val="fr-CA"/>
        </w:rPr>
        <w:t>tre</w:t>
      </w:r>
      <w:r w:rsidRPr="00820901">
        <w:rPr>
          <w:lang w:val="fr-CA"/>
        </w:rPr>
        <w:t xml:space="preserve"> aux étudiants qui vont </w:t>
      </w:r>
      <w:r>
        <w:rPr>
          <w:lang w:val="fr-CA"/>
        </w:rPr>
        <w:t xml:space="preserve">étudier </w:t>
      </w:r>
      <w:r w:rsidRPr="00820901">
        <w:rPr>
          <w:lang w:val="fr-CA"/>
        </w:rPr>
        <w:t>à l</w:t>
      </w:r>
      <w:r w:rsidR="00805B11">
        <w:rPr>
          <w:lang w:val="fr-CA"/>
        </w:rPr>
        <w:t>’</w:t>
      </w:r>
      <w:r>
        <w:rPr>
          <w:lang w:val="fr-CA"/>
        </w:rPr>
        <w:t>étranger de terminer</w:t>
      </w:r>
      <w:r w:rsidRPr="00820901">
        <w:rPr>
          <w:lang w:val="fr-CA"/>
        </w:rPr>
        <w:t xml:space="preserve"> leur programme sans perdre la </w:t>
      </w:r>
      <w:r>
        <w:rPr>
          <w:lang w:val="fr-CA"/>
        </w:rPr>
        <w:t>capaci</w:t>
      </w:r>
      <w:r w:rsidRPr="00820901">
        <w:rPr>
          <w:lang w:val="fr-CA"/>
        </w:rPr>
        <w:t>té de voter.</w:t>
      </w:r>
      <w:r>
        <w:rPr>
          <w:lang w:val="fr-CA"/>
        </w:rPr>
        <w:t xml:space="preserve"> </w:t>
      </w:r>
      <w:r w:rsidRPr="00820901">
        <w:rPr>
          <w:lang w:val="fr-CA"/>
        </w:rPr>
        <w:t xml:space="preserve">La limite </w:t>
      </w:r>
      <w:r>
        <w:rPr>
          <w:lang w:val="fr-CA"/>
        </w:rPr>
        <w:t>constitue aussi une atteinte minimale</w:t>
      </w:r>
      <w:r w:rsidRPr="00820901">
        <w:rPr>
          <w:lang w:val="fr-CA"/>
        </w:rPr>
        <w:t xml:space="preserve"> car, tout bien considéré, une période de cinq ans fait partie des options raisonnables qui étaient à la disposition du Parlement</w:t>
      </w:r>
      <w:r>
        <w:rPr>
          <w:lang w:val="fr-CA"/>
        </w:rPr>
        <w:t xml:space="preserve"> et elle se situe dans la gamme</w:t>
      </w:r>
      <w:r w:rsidRPr="00820901">
        <w:rPr>
          <w:lang w:val="fr-CA"/>
        </w:rPr>
        <w:t xml:space="preserve"> des limites adoptées par d</w:t>
      </w:r>
      <w:r w:rsidR="00805B11">
        <w:rPr>
          <w:lang w:val="fr-CA"/>
        </w:rPr>
        <w:t>’</w:t>
      </w:r>
      <w:r w:rsidRPr="00820901">
        <w:rPr>
          <w:lang w:val="fr-CA"/>
        </w:rPr>
        <w:t>autres démocraties</w:t>
      </w:r>
      <w:r>
        <w:rPr>
          <w:lang w:val="fr-CA"/>
        </w:rPr>
        <w:t xml:space="preserve"> </w:t>
      </w:r>
      <w:r w:rsidRPr="00820901">
        <w:rPr>
          <w:lang w:val="fr-CA"/>
        </w:rPr>
        <w:t xml:space="preserve">libérales respectées </w:t>
      </w:r>
      <w:r>
        <w:rPr>
          <w:lang w:val="fr-CA"/>
        </w:rPr>
        <w:t>à l</w:t>
      </w:r>
      <w:r w:rsidR="00805B11">
        <w:rPr>
          <w:lang w:val="fr-CA"/>
        </w:rPr>
        <w:t>’</w:t>
      </w:r>
      <w:r>
        <w:rPr>
          <w:lang w:val="fr-CA"/>
        </w:rPr>
        <w:t xml:space="preserve">échelle internationale </w:t>
      </w:r>
      <w:r>
        <w:rPr>
          <w:lang w:val="fr-CA"/>
        </w:rPr>
        <w:lastRenderedPageBreak/>
        <w:t>ayant le même</w:t>
      </w:r>
      <w:r w:rsidRPr="00820901">
        <w:rPr>
          <w:lang w:val="fr-CA"/>
        </w:rPr>
        <w:t xml:space="preserve"> cadre parlementaire </w:t>
      </w:r>
      <w:r>
        <w:rPr>
          <w:lang w:val="fr-CA"/>
        </w:rPr>
        <w:t>que le Canada. Permettre à des non-résidents à long terme d</w:t>
      </w:r>
      <w:r w:rsidR="00805B11">
        <w:rPr>
          <w:lang w:val="fr-CA"/>
        </w:rPr>
        <w:t>’</w:t>
      </w:r>
      <w:r>
        <w:rPr>
          <w:lang w:val="fr-CA"/>
        </w:rPr>
        <w:t>avoir le droit de vote ne serait pas un exemple d</w:t>
      </w:r>
      <w:r w:rsidR="00805B11">
        <w:rPr>
          <w:lang w:val="fr-CA"/>
        </w:rPr>
        <w:t>’</w:t>
      </w:r>
      <w:r>
        <w:rPr>
          <w:lang w:val="fr-CA"/>
        </w:rPr>
        <w:t xml:space="preserve">octroi progressif du droit de vote; </w:t>
      </w:r>
      <w:r w:rsidRPr="00820901">
        <w:rPr>
          <w:lang w:val="fr-CA"/>
        </w:rPr>
        <w:t>un tel</w:t>
      </w:r>
      <w:r>
        <w:rPr>
          <w:lang w:val="fr-CA"/>
        </w:rPr>
        <w:t xml:space="preserve"> changement constituerait un recul</w:t>
      </w:r>
      <w:r w:rsidRPr="00820901">
        <w:rPr>
          <w:lang w:val="fr-CA"/>
        </w:rPr>
        <w:t xml:space="preserve">, </w:t>
      </w:r>
      <w:r>
        <w:rPr>
          <w:lang w:val="fr-CA"/>
        </w:rPr>
        <w:t xml:space="preserve">et </w:t>
      </w:r>
      <w:r w:rsidRPr="00820901">
        <w:rPr>
          <w:lang w:val="fr-CA"/>
        </w:rPr>
        <w:t>min</w:t>
      </w:r>
      <w:r>
        <w:rPr>
          <w:lang w:val="fr-CA"/>
        </w:rPr>
        <w:t>erait</w:t>
      </w:r>
      <w:r w:rsidRPr="00820901">
        <w:rPr>
          <w:lang w:val="fr-CA"/>
        </w:rPr>
        <w:t xml:space="preserve"> la pratique de longue date et éminemment </w:t>
      </w:r>
      <w:r>
        <w:rPr>
          <w:lang w:val="fr-CA"/>
        </w:rPr>
        <w:t>bénéfique</w:t>
      </w:r>
      <w:r w:rsidRPr="00820901">
        <w:rPr>
          <w:lang w:val="fr-CA"/>
        </w:rPr>
        <w:t xml:space="preserve"> des démocraties parlementaires de</w:t>
      </w:r>
      <w:r>
        <w:rPr>
          <w:lang w:val="fr-CA"/>
        </w:rPr>
        <w:t xml:space="preserve"> type</w:t>
      </w:r>
      <w:r w:rsidRPr="00820901">
        <w:rPr>
          <w:lang w:val="fr-CA"/>
        </w:rPr>
        <w:t xml:space="preserve"> Westminster </w:t>
      </w:r>
      <w:r>
        <w:rPr>
          <w:lang w:val="fr-CA"/>
        </w:rPr>
        <w:t>qu</w:t>
      </w:r>
      <w:r w:rsidR="00A803DF">
        <w:rPr>
          <w:lang w:val="fr-CA"/>
        </w:rPr>
        <w:t>i</w:t>
      </w:r>
      <w:r>
        <w:rPr>
          <w:lang w:val="fr-CA"/>
        </w:rPr>
        <w:t xml:space="preserve"> consiste à privilégier l</w:t>
      </w:r>
      <w:r w:rsidRPr="00820901">
        <w:rPr>
          <w:lang w:val="fr-CA"/>
        </w:rPr>
        <w:t>es liens locaux lorsqu</w:t>
      </w:r>
      <w:r w:rsidR="00805B11">
        <w:rPr>
          <w:lang w:val="fr-CA"/>
        </w:rPr>
        <w:t>’</w:t>
      </w:r>
      <w:r w:rsidRPr="00820901">
        <w:rPr>
          <w:lang w:val="fr-CA"/>
        </w:rPr>
        <w:t>il s</w:t>
      </w:r>
      <w:r w:rsidR="00805B11">
        <w:rPr>
          <w:lang w:val="fr-CA"/>
        </w:rPr>
        <w:t>’</w:t>
      </w:r>
      <w:r w:rsidRPr="00820901">
        <w:rPr>
          <w:lang w:val="fr-CA"/>
        </w:rPr>
        <w:t>agit de décider qui peut élire des représentants locaux</w:t>
      </w:r>
      <w:r>
        <w:rPr>
          <w:lang w:val="fr-CA"/>
        </w:rPr>
        <w:t>.</w:t>
      </w:r>
    </w:p>
    <w:p w:rsidR="00834A8E" w:rsidRPr="000A133B" w:rsidRDefault="00834A8E" w:rsidP="00805B11">
      <w:pPr>
        <w:pStyle w:val="SCCNormalDoubleSpacing"/>
        <w:spacing w:before="240" w:after="480"/>
        <w:rPr>
          <w:lang w:val="fr-CA"/>
        </w:rPr>
      </w:pPr>
      <w:r w:rsidRPr="00190928">
        <w:rPr>
          <w:lang w:val="fr-CA"/>
        </w:rPr>
        <w:tab/>
      </w:r>
      <w:r>
        <w:rPr>
          <w:lang w:val="fr-CA"/>
        </w:rPr>
        <w:t>D</w:t>
      </w:r>
      <w:r w:rsidRPr="00820901">
        <w:rPr>
          <w:lang w:val="fr-CA"/>
        </w:rPr>
        <w:t xml:space="preserve">ans la mise en balance finale, les effets bénéfiques de </w:t>
      </w:r>
      <w:r>
        <w:rPr>
          <w:lang w:val="fr-CA"/>
        </w:rPr>
        <w:t>la préservation de</w:t>
      </w:r>
      <w:r w:rsidRPr="00820901">
        <w:rPr>
          <w:lang w:val="fr-CA"/>
        </w:rPr>
        <w:t xml:space="preserve"> l</w:t>
      </w:r>
      <w:r w:rsidR="00805B11">
        <w:rPr>
          <w:lang w:val="fr-CA"/>
        </w:rPr>
        <w:t>’</w:t>
      </w:r>
      <w:r w:rsidRPr="00820901">
        <w:rPr>
          <w:lang w:val="fr-CA"/>
        </w:rPr>
        <w:t>intégrité du système électoral canadien</w:t>
      </w:r>
      <w:r>
        <w:rPr>
          <w:lang w:val="fr-CA"/>
        </w:rPr>
        <w:t>, axé sur la géographie, et du</w:t>
      </w:r>
      <w:r w:rsidRPr="00820901">
        <w:rPr>
          <w:lang w:val="fr-CA"/>
        </w:rPr>
        <w:t xml:space="preserve"> maint</w:t>
      </w:r>
      <w:r>
        <w:rPr>
          <w:lang w:val="fr-CA"/>
        </w:rPr>
        <w:t>i</w:t>
      </w:r>
      <w:r w:rsidRPr="00820901">
        <w:rPr>
          <w:lang w:val="fr-CA"/>
        </w:rPr>
        <w:t xml:space="preserve">en </w:t>
      </w:r>
      <w:r>
        <w:rPr>
          <w:lang w:val="fr-CA"/>
        </w:rPr>
        <w:t>d</w:t>
      </w:r>
      <w:r w:rsidR="00805B11">
        <w:rPr>
          <w:lang w:val="fr-CA"/>
        </w:rPr>
        <w:t>’</w:t>
      </w:r>
      <w:r w:rsidRPr="00820901">
        <w:rPr>
          <w:lang w:val="fr-CA"/>
        </w:rPr>
        <w:t>une conception démocratiquement édictée de la portée du droit de vote au Canada, sont importants.</w:t>
      </w:r>
      <w:r w:rsidRPr="00190928">
        <w:rPr>
          <w:lang w:val="fr-CA"/>
        </w:rPr>
        <w:t xml:space="preserve"> </w:t>
      </w:r>
      <w:r w:rsidRPr="00820901">
        <w:rPr>
          <w:lang w:val="fr-CA"/>
        </w:rPr>
        <w:t>L</w:t>
      </w:r>
      <w:r w:rsidR="00805B11">
        <w:rPr>
          <w:lang w:val="fr-CA"/>
        </w:rPr>
        <w:t>’</w:t>
      </w:r>
      <w:r w:rsidRPr="00820901">
        <w:rPr>
          <w:lang w:val="fr-CA"/>
        </w:rPr>
        <w:t>effet préjudiciable d</w:t>
      </w:r>
      <w:r>
        <w:rPr>
          <w:lang w:val="fr-CA"/>
        </w:rPr>
        <w:t xml:space="preserve">u fait de priver certains citoyens du droit de vote </w:t>
      </w:r>
      <w:r w:rsidRPr="00820901">
        <w:rPr>
          <w:lang w:val="fr-CA"/>
        </w:rPr>
        <w:t>n</w:t>
      </w:r>
      <w:r w:rsidR="00805B11">
        <w:rPr>
          <w:lang w:val="fr-CA"/>
        </w:rPr>
        <w:t>’</w:t>
      </w:r>
      <w:r w:rsidRPr="00820901">
        <w:rPr>
          <w:lang w:val="fr-CA"/>
        </w:rPr>
        <w:t>est pas sans importance, mais il est atténué par le fait que la restriction est réversible plutôt que permanente</w:t>
      </w:r>
      <w:r>
        <w:rPr>
          <w:lang w:val="fr-CA"/>
        </w:rPr>
        <w:t xml:space="preserve">, puisque </w:t>
      </w:r>
      <w:r w:rsidRPr="00820901">
        <w:rPr>
          <w:lang w:val="fr-CA"/>
        </w:rPr>
        <w:t xml:space="preserve">tout citoyen canadien adulte peut encore exercer </w:t>
      </w:r>
      <w:r>
        <w:rPr>
          <w:lang w:val="fr-CA"/>
        </w:rPr>
        <w:t>son</w:t>
      </w:r>
      <w:r w:rsidRPr="00820901">
        <w:rPr>
          <w:lang w:val="fr-CA"/>
        </w:rPr>
        <w:t xml:space="preserve"> droit de vote à tout moment, pourvu qu</w:t>
      </w:r>
      <w:r w:rsidR="00805B11">
        <w:rPr>
          <w:lang w:val="fr-CA"/>
        </w:rPr>
        <w:t>’</w:t>
      </w:r>
      <w:r w:rsidRPr="00820901">
        <w:rPr>
          <w:lang w:val="fr-CA"/>
        </w:rPr>
        <w:t>il</w:t>
      </w:r>
      <w:r w:rsidR="00A803DF">
        <w:rPr>
          <w:lang w:val="fr-CA"/>
        </w:rPr>
        <w:t xml:space="preserve"> ou elle</w:t>
      </w:r>
      <w:r w:rsidRPr="00820901">
        <w:rPr>
          <w:lang w:val="fr-CA"/>
        </w:rPr>
        <w:t xml:space="preserve"> revienne réside</w:t>
      </w:r>
      <w:r>
        <w:rPr>
          <w:lang w:val="fr-CA"/>
        </w:rPr>
        <w:t>r</w:t>
      </w:r>
      <w:r w:rsidRPr="00820901">
        <w:rPr>
          <w:lang w:val="fr-CA"/>
        </w:rPr>
        <w:t xml:space="preserve"> </w:t>
      </w:r>
      <w:r>
        <w:rPr>
          <w:lang w:val="fr-CA"/>
        </w:rPr>
        <w:t>a</w:t>
      </w:r>
      <w:r w:rsidRPr="00820901">
        <w:rPr>
          <w:lang w:val="fr-CA"/>
        </w:rPr>
        <w:t>u Canada</w:t>
      </w:r>
      <w:r>
        <w:rPr>
          <w:lang w:val="fr-CA"/>
        </w:rPr>
        <w:t>.</w:t>
      </w:r>
      <w:r w:rsidRPr="00C4221F">
        <w:rPr>
          <w:lang w:val="fr-CA"/>
        </w:rPr>
        <w:t xml:space="preserve"> </w:t>
      </w:r>
      <w:r w:rsidRPr="00820901">
        <w:rPr>
          <w:lang w:val="fr-CA"/>
        </w:rPr>
        <w:t>En conséquence, la restriction en cause n</w:t>
      </w:r>
      <w:r w:rsidR="00805B11">
        <w:rPr>
          <w:lang w:val="fr-CA"/>
        </w:rPr>
        <w:t>’</w:t>
      </w:r>
      <w:r w:rsidRPr="00820901">
        <w:rPr>
          <w:lang w:val="fr-CA"/>
        </w:rPr>
        <w:t>est pas un</w:t>
      </w:r>
      <w:r>
        <w:rPr>
          <w:lang w:val="fr-CA"/>
        </w:rPr>
        <w:t>e privation</w:t>
      </w:r>
      <w:r w:rsidRPr="00820901">
        <w:rPr>
          <w:lang w:val="fr-CA"/>
        </w:rPr>
        <w:t xml:space="preserve"> permanent</w:t>
      </w:r>
      <w:r>
        <w:rPr>
          <w:lang w:val="fr-CA"/>
        </w:rPr>
        <w:t>e</w:t>
      </w:r>
      <w:r w:rsidRPr="00820901">
        <w:rPr>
          <w:lang w:val="fr-CA"/>
        </w:rPr>
        <w:t xml:space="preserve"> du droit de vote</w:t>
      </w:r>
      <w:r>
        <w:rPr>
          <w:lang w:val="fr-CA"/>
        </w:rPr>
        <w:t>.</w:t>
      </w:r>
      <w:r w:rsidRPr="00C4221F">
        <w:rPr>
          <w:lang w:val="fr-CA"/>
        </w:rPr>
        <w:t xml:space="preserve"> </w:t>
      </w:r>
      <w:r w:rsidRPr="00820901">
        <w:rPr>
          <w:lang w:val="fr-CA"/>
        </w:rPr>
        <w:t>Tout comme l</w:t>
      </w:r>
      <w:r w:rsidR="00805B11">
        <w:rPr>
          <w:lang w:val="fr-CA"/>
        </w:rPr>
        <w:t>’</w:t>
      </w:r>
      <w:r w:rsidRPr="00820901">
        <w:rPr>
          <w:lang w:val="fr-CA"/>
        </w:rPr>
        <w:t>exigence fondée sur l</w:t>
      </w:r>
      <w:r w:rsidR="00805B11">
        <w:rPr>
          <w:lang w:val="fr-CA"/>
        </w:rPr>
        <w:t>’</w:t>
      </w:r>
      <w:r w:rsidRPr="00820901">
        <w:rPr>
          <w:lang w:val="fr-CA"/>
        </w:rPr>
        <w:t>âge, elle représente une distinction fondée sur la situation expérientielle dans laquell</w:t>
      </w:r>
      <w:r>
        <w:rPr>
          <w:lang w:val="fr-CA"/>
        </w:rPr>
        <w:t>e se trouvent tous les citoyens</w:t>
      </w:r>
      <w:r w:rsidRPr="00820901">
        <w:rPr>
          <w:lang w:val="fr-CA"/>
        </w:rPr>
        <w:t xml:space="preserve"> dans cette catégorie</w:t>
      </w:r>
      <w:r>
        <w:rPr>
          <w:lang w:val="fr-CA"/>
        </w:rPr>
        <w:t>; il ne s</w:t>
      </w:r>
      <w:r w:rsidR="00805B11">
        <w:rPr>
          <w:lang w:val="fr-CA"/>
        </w:rPr>
        <w:t>’</w:t>
      </w:r>
      <w:r>
        <w:rPr>
          <w:lang w:val="fr-CA"/>
        </w:rPr>
        <w:t>agit pas</w:t>
      </w:r>
      <w:r w:rsidRPr="00820901">
        <w:rPr>
          <w:lang w:val="fr-CA"/>
        </w:rPr>
        <w:t xml:space="preserve"> d</w:t>
      </w:r>
      <w:r w:rsidR="00805B11">
        <w:rPr>
          <w:lang w:val="fr-CA"/>
        </w:rPr>
        <w:t>’</w:t>
      </w:r>
      <w:r w:rsidRPr="00820901">
        <w:rPr>
          <w:lang w:val="fr-CA"/>
        </w:rPr>
        <w:t>une distinction fondée sur la valeur morale</w:t>
      </w:r>
      <w:r>
        <w:rPr>
          <w:lang w:val="fr-CA"/>
        </w:rPr>
        <w:t>.</w:t>
      </w:r>
      <w:r w:rsidRPr="00402DF7">
        <w:rPr>
          <w:lang w:val="fr-CA"/>
        </w:rPr>
        <w:t xml:space="preserve"> </w:t>
      </w:r>
      <w:r w:rsidRPr="00820901">
        <w:rPr>
          <w:lang w:val="fr-CA"/>
        </w:rPr>
        <w:t>Les effets préjudiciables de la restriction sont donc de moindre importance, et les autres effets béné</w:t>
      </w:r>
      <w:r>
        <w:rPr>
          <w:lang w:val="fr-CA"/>
        </w:rPr>
        <w:t xml:space="preserve">fiques </w:t>
      </w:r>
      <w:r w:rsidRPr="00820901">
        <w:rPr>
          <w:lang w:val="fr-CA"/>
        </w:rPr>
        <w:t>l</w:t>
      </w:r>
      <w:r w:rsidR="00805B11">
        <w:rPr>
          <w:lang w:val="fr-CA"/>
        </w:rPr>
        <w:t>’</w:t>
      </w:r>
      <w:r w:rsidRPr="00820901">
        <w:rPr>
          <w:lang w:val="fr-CA"/>
        </w:rPr>
        <w:t xml:space="preserve">emportent sur </w:t>
      </w:r>
      <w:r>
        <w:rPr>
          <w:lang w:val="fr-CA"/>
        </w:rPr>
        <w:t>c</w:t>
      </w:r>
      <w:r w:rsidRPr="00820901">
        <w:rPr>
          <w:lang w:val="fr-CA"/>
        </w:rPr>
        <w:t>eux</w:t>
      </w:r>
      <w:r>
        <w:rPr>
          <w:lang w:val="fr-CA"/>
        </w:rPr>
        <w:t>-ci</w:t>
      </w:r>
      <w:r w:rsidRPr="00820901">
        <w:rPr>
          <w:lang w:val="fr-CA"/>
        </w:rPr>
        <w:t>.</w:t>
      </w:r>
      <w:r w:rsidRPr="003D24AF">
        <w:rPr>
          <w:lang w:val="fr-CA"/>
        </w:rPr>
        <w:tab/>
      </w:r>
    </w:p>
    <w:p w:rsidR="00372E12" w:rsidRDefault="004D7D95" w:rsidP="00834A8E">
      <w:pPr>
        <w:pStyle w:val="SCCNormalDoubleSpacing"/>
        <w:spacing w:after="480"/>
        <w:rPr>
          <w:lang w:val="fr-CA"/>
        </w:rPr>
      </w:pPr>
      <w:r w:rsidRPr="004D7D95">
        <w:rPr>
          <w:b/>
          <w:lang w:val="fr-CA"/>
        </w:rPr>
        <w:t>Jurisprudence</w:t>
      </w:r>
    </w:p>
    <w:p w:rsidR="00372E12" w:rsidRDefault="005B1CDC" w:rsidP="00382AA5">
      <w:pPr>
        <w:pStyle w:val="SCCNormalDoubleSpacing"/>
        <w:spacing w:after="720" w:line="240" w:lineRule="auto"/>
        <w:rPr>
          <w:lang w:val="fr-CA"/>
        </w:rPr>
      </w:pPr>
      <w:r>
        <w:rPr>
          <w:lang w:val="fr-CA"/>
        </w:rPr>
        <w:t>Citée</w:t>
      </w:r>
      <w:r w:rsidR="00372E12">
        <w:rPr>
          <w:lang w:val="fr-CA"/>
        </w:rPr>
        <w:t xml:space="preserve"> par le juge en chef Wagner</w:t>
      </w:r>
    </w:p>
    <w:p w:rsidR="00372E12" w:rsidRDefault="00372E12" w:rsidP="00805B11">
      <w:pPr>
        <w:pStyle w:val="SCCNormalDoubleSpacing"/>
        <w:spacing w:after="480"/>
        <w:rPr>
          <w:lang w:val="fr-CA"/>
        </w:rPr>
      </w:pPr>
      <w:r>
        <w:rPr>
          <w:lang w:val="fr-CA"/>
        </w:rPr>
        <w:lastRenderedPageBreak/>
        <w:tab/>
      </w:r>
      <w:r w:rsidR="0074459A" w:rsidRPr="0074459A">
        <w:rPr>
          <w:b/>
          <w:lang w:val="fr-CA"/>
        </w:rPr>
        <w:t>A</w:t>
      </w:r>
      <w:r w:rsidR="0074459A" w:rsidRPr="00372E12">
        <w:rPr>
          <w:b/>
          <w:lang w:val="fr-CA"/>
        </w:rPr>
        <w:t xml:space="preserve">rrêt </w:t>
      </w:r>
      <w:r w:rsidR="0074459A">
        <w:rPr>
          <w:b/>
          <w:lang w:val="fr-CA"/>
        </w:rPr>
        <w:t>appliqu</w:t>
      </w:r>
      <w:r w:rsidR="0074459A" w:rsidRPr="00372E12">
        <w:rPr>
          <w:b/>
          <w:lang w:val="fr-CA"/>
        </w:rPr>
        <w:t>é</w:t>
      </w:r>
      <w:r w:rsidR="0074459A">
        <w:rPr>
          <w:b/>
          <w:lang w:val="fr-CA"/>
        </w:rPr>
        <w:t xml:space="preserve"> : </w:t>
      </w:r>
      <w:r w:rsidR="0074459A">
        <w:rPr>
          <w:i/>
          <w:lang w:val="fr-CA"/>
        </w:rPr>
        <w:t>R. c</w:t>
      </w:r>
      <w:r w:rsidR="0074459A" w:rsidRPr="00372E12">
        <w:rPr>
          <w:i/>
          <w:lang w:val="fr-CA"/>
        </w:rPr>
        <w:t xml:space="preserve">. </w:t>
      </w:r>
      <w:proofErr w:type="spellStart"/>
      <w:r w:rsidR="0074459A" w:rsidRPr="00372E12">
        <w:rPr>
          <w:i/>
          <w:lang w:val="fr-CA"/>
        </w:rPr>
        <w:t>Oakes</w:t>
      </w:r>
      <w:proofErr w:type="spellEnd"/>
      <w:r w:rsidR="0074459A">
        <w:rPr>
          <w:lang w:val="fr-CA"/>
        </w:rPr>
        <w:t>, [1986] 1 R.C.S</w:t>
      </w:r>
      <w:r w:rsidR="0074459A" w:rsidRPr="00372E12">
        <w:rPr>
          <w:lang w:val="fr-CA"/>
        </w:rPr>
        <w:t>. 103;</w:t>
      </w:r>
      <w:r w:rsidR="0074459A" w:rsidRPr="00372E12">
        <w:rPr>
          <w:b/>
          <w:lang w:val="fr-CA"/>
        </w:rPr>
        <w:t xml:space="preserve"> </w:t>
      </w:r>
      <w:r w:rsidR="0074459A">
        <w:rPr>
          <w:b/>
          <w:lang w:val="fr-CA"/>
        </w:rPr>
        <w:t xml:space="preserve">distinction d’avec l’arrêt : </w:t>
      </w:r>
      <w:r w:rsidR="0074459A">
        <w:rPr>
          <w:i/>
          <w:lang w:val="fr-CA"/>
        </w:rPr>
        <w:t>Opitz c</w:t>
      </w:r>
      <w:r w:rsidR="0074459A" w:rsidRPr="00372E12">
        <w:rPr>
          <w:i/>
          <w:lang w:val="fr-CA"/>
        </w:rPr>
        <w:t xml:space="preserve">. </w:t>
      </w:r>
      <w:proofErr w:type="spellStart"/>
      <w:r w:rsidR="0074459A" w:rsidRPr="00372E12">
        <w:rPr>
          <w:i/>
          <w:lang w:val="fr-CA"/>
        </w:rPr>
        <w:t>Wrzesnewskyj</w:t>
      </w:r>
      <w:proofErr w:type="spellEnd"/>
      <w:r w:rsidR="0074459A">
        <w:rPr>
          <w:lang w:val="fr-CA"/>
        </w:rPr>
        <w:t xml:space="preserve">, 2012 </w:t>
      </w:r>
      <w:r w:rsidR="0074459A" w:rsidRPr="00372E12">
        <w:rPr>
          <w:lang w:val="fr-CA"/>
        </w:rPr>
        <w:t>C</w:t>
      </w:r>
      <w:r w:rsidR="0074459A">
        <w:rPr>
          <w:lang w:val="fr-CA"/>
        </w:rPr>
        <w:t>SC 55, [2012] 3 R.C.S</w:t>
      </w:r>
      <w:r w:rsidR="0074459A" w:rsidRPr="00372E12">
        <w:rPr>
          <w:lang w:val="fr-CA"/>
        </w:rPr>
        <w:t>. 76;</w:t>
      </w:r>
      <w:r w:rsidR="0074459A" w:rsidRPr="00372E12">
        <w:rPr>
          <w:i/>
          <w:lang w:val="fr-CA"/>
        </w:rPr>
        <w:t xml:space="preserve"> </w:t>
      </w:r>
      <w:r w:rsidR="0074459A">
        <w:rPr>
          <w:b/>
          <w:lang w:val="fr-CA"/>
        </w:rPr>
        <w:t xml:space="preserve">arrêt expliqué : </w:t>
      </w:r>
      <w:r w:rsidR="0074459A">
        <w:rPr>
          <w:i/>
          <w:lang w:val="fr-CA"/>
        </w:rPr>
        <w:t>Sauvé c</w:t>
      </w:r>
      <w:r w:rsidR="0074459A" w:rsidRPr="00372E12">
        <w:rPr>
          <w:i/>
          <w:lang w:val="fr-CA"/>
        </w:rPr>
        <w:t>. Canada (</w:t>
      </w:r>
      <w:r w:rsidR="0074459A">
        <w:rPr>
          <w:i/>
          <w:lang w:val="fr-CA"/>
        </w:rPr>
        <w:t>Directeur général des élections</w:t>
      </w:r>
      <w:r w:rsidR="0074459A" w:rsidRPr="00372E12">
        <w:rPr>
          <w:i/>
          <w:lang w:val="fr-CA"/>
        </w:rPr>
        <w:t>)</w:t>
      </w:r>
      <w:r w:rsidR="0074459A">
        <w:rPr>
          <w:lang w:val="fr-CA"/>
        </w:rPr>
        <w:t xml:space="preserve">, 2002 </w:t>
      </w:r>
      <w:r w:rsidR="0074459A" w:rsidRPr="00372E12">
        <w:rPr>
          <w:lang w:val="fr-CA"/>
        </w:rPr>
        <w:t>C</w:t>
      </w:r>
      <w:r w:rsidR="0074459A">
        <w:rPr>
          <w:lang w:val="fr-CA"/>
        </w:rPr>
        <w:t>SC 68, [2002] 3 R</w:t>
      </w:r>
      <w:r w:rsidR="0074459A" w:rsidRPr="00372E12">
        <w:rPr>
          <w:lang w:val="fr-CA"/>
        </w:rPr>
        <w:t>.C.</w:t>
      </w:r>
      <w:r w:rsidR="0074459A">
        <w:rPr>
          <w:lang w:val="fr-CA"/>
        </w:rPr>
        <w:t>S</w:t>
      </w:r>
      <w:r w:rsidR="0074459A" w:rsidRPr="00372E12">
        <w:rPr>
          <w:lang w:val="fr-CA"/>
        </w:rPr>
        <w:t>. 519;</w:t>
      </w:r>
      <w:r w:rsidR="0074459A" w:rsidRPr="00372E12">
        <w:rPr>
          <w:i/>
          <w:lang w:val="fr-CA"/>
        </w:rPr>
        <w:t xml:space="preserve"> </w:t>
      </w:r>
      <w:r w:rsidR="0074459A">
        <w:rPr>
          <w:b/>
          <w:lang w:val="fr-CA"/>
        </w:rPr>
        <w:t>a</w:t>
      </w:r>
      <w:r w:rsidRPr="00372E12">
        <w:rPr>
          <w:b/>
          <w:lang w:val="fr-CA"/>
        </w:rPr>
        <w:t>rrêts mentionnés</w:t>
      </w:r>
      <w:r w:rsidR="00382AA5">
        <w:rPr>
          <w:b/>
          <w:lang w:val="fr-CA"/>
        </w:rPr>
        <w:t> :</w:t>
      </w:r>
      <w:r w:rsidRPr="00372E12">
        <w:rPr>
          <w:lang w:val="fr-CA"/>
        </w:rPr>
        <w:t xml:space="preserve"> </w:t>
      </w:r>
      <w:r w:rsidR="00105F22">
        <w:rPr>
          <w:i/>
          <w:lang w:val="fr-CA"/>
        </w:rPr>
        <w:t xml:space="preserve">Toronto Star </w:t>
      </w:r>
      <w:proofErr w:type="spellStart"/>
      <w:r w:rsidR="00105F22">
        <w:rPr>
          <w:i/>
          <w:lang w:val="fr-CA"/>
        </w:rPr>
        <w:t>Newspapers</w:t>
      </w:r>
      <w:proofErr w:type="spellEnd"/>
      <w:r w:rsidR="00105F22">
        <w:rPr>
          <w:i/>
          <w:lang w:val="fr-CA"/>
        </w:rPr>
        <w:t xml:space="preserve"> Ltd. c</w:t>
      </w:r>
      <w:r w:rsidRPr="00372E12">
        <w:rPr>
          <w:i/>
          <w:lang w:val="fr-CA"/>
        </w:rPr>
        <w:t>. Canada</w:t>
      </w:r>
      <w:r w:rsidR="00105F22">
        <w:rPr>
          <w:lang w:val="fr-CA"/>
        </w:rPr>
        <w:t>, 2010 CS</w:t>
      </w:r>
      <w:r w:rsidRPr="00372E12">
        <w:rPr>
          <w:lang w:val="fr-CA"/>
        </w:rPr>
        <w:t>C 21</w:t>
      </w:r>
      <w:r w:rsidR="00105F22">
        <w:rPr>
          <w:lang w:val="fr-CA"/>
        </w:rPr>
        <w:t>, [2010] 1 R.C.S</w:t>
      </w:r>
      <w:r w:rsidRPr="00372E12">
        <w:rPr>
          <w:lang w:val="fr-CA"/>
        </w:rPr>
        <w:t>. 721;</w:t>
      </w:r>
      <w:r w:rsidRPr="00372E12">
        <w:rPr>
          <w:i/>
          <w:lang w:val="fr-CA"/>
        </w:rPr>
        <w:t xml:space="preserve"> </w:t>
      </w:r>
      <w:proofErr w:type="spellStart"/>
      <w:r w:rsidRPr="00372E12">
        <w:rPr>
          <w:i/>
          <w:lang w:val="fr-CA"/>
        </w:rPr>
        <w:t>Figuero</w:t>
      </w:r>
      <w:r w:rsidR="00EF5DA4">
        <w:rPr>
          <w:i/>
          <w:lang w:val="fr-CA"/>
        </w:rPr>
        <w:t>a</w:t>
      </w:r>
      <w:proofErr w:type="spellEnd"/>
      <w:r w:rsidR="00EF5DA4">
        <w:rPr>
          <w:i/>
          <w:lang w:val="fr-CA"/>
        </w:rPr>
        <w:t xml:space="preserve"> c</w:t>
      </w:r>
      <w:r w:rsidRPr="00372E12">
        <w:rPr>
          <w:i/>
          <w:lang w:val="fr-CA"/>
        </w:rPr>
        <w:t>. Canada (</w:t>
      </w:r>
      <w:r w:rsidR="00EF5DA4">
        <w:rPr>
          <w:i/>
          <w:lang w:val="fr-CA"/>
        </w:rPr>
        <w:t>Procureur général</w:t>
      </w:r>
      <w:r w:rsidRPr="00372E12">
        <w:rPr>
          <w:i/>
          <w:lang w:val="fr-CA"/>
        </w:rPr>
        <w:t>)</w:t>
      </w:r>
      <w:r w:rsidR="00EF5DA4">
        <w:rPr>
          <w:lang w:val="fr-CA"/>
        </w:rPr>
        <w:t>, 2003 CS</w:t>
      </w:r>
      <w:r w:rsidRPr="00372E12">
        <w:rPr>
          <w:lang w:val="fr-CA"/>
        </w:rPr>
        <w:t>C 37</w:t>
      </w:r>
      <w:r w:rsidR="00EF5DA4">
        <w:rPr>
          <w:lang w:val="fr-CA"/>
        </w:rPr>
        <w:t>, [2003] 1 R.C.S</w:t>
      </w:r>
      <w:r w:rsidRPr="00372E12">
        <w:rPr>
          <w:lang w:val="fr-CA"/>
        </w:rPr>
        <w:t>. 912;</w:t>
      </w:r>
      <w:r w:rsidRPr="00372E12">
        <w:rPr>
          <w:i/>
          <w:lang w:val="fr-CA"/>
        </w:rPr>
        <w:t xml:space="preserve"> </w:t>
      </w:r>
      <w:r w:rsidR="00EF5DA4">
        <w:rPr>
          <w:i/>
          <w:lang w:val="fr-CA"/>
        </w:rPr>
        <w:t>Haig c</w:t>
      </w:r>
      <w:r w:rsidRPr="00372E12">
        <w:rPr>
          <w:i/>
          <w:lang w:val="fr-CA"/>
        </w:rPr>
        <w:t>. Canada (</w:t>
      </w:r>
      <w:r w:rsidR="00EF5DA4">
        <w:rPr>
          <w:i/>
          <w:lang w:val="fr-CA"/>
        </w:rPr>
        <w:t>Directeur général des élections</w:t>
      </w:r>
      <w:r w:rsidRPr="00372E12">
        <w:rPr>
          <w:i/>
          <w:lang w:val="fr-CA"/>
        </w:rPr>
        <w:t>)</w:t>
      </w:r>
      <w:r w:rsidR="00EF5DA4">
        <w:rPr>
          <w:lang w:val="fr-CA"/>
        </w:rPr>
        <w:t>, [1993] 2 R.C.S</w:t>
      </w:r>
      <w:r w:rsidRPr="00372E12">
        <w:rPr>
          <w:lang w:val="fr-CA"/>
        </w:rPr>
        <w:t xml:space="preserve">. 995; </w:t>
      </w:r>
      <w:r w:rsidRPr="00372E12">
        <w:rPr>
          <w:i/>
          <w:lang w:val="fr-CA"/>
        </w:rPr>
        <w:t xml:space="preserve">R. </w:t>
      </w:r>
      <w:r w:rsidR="00EF5DA4">
        <w:rPr>
          <w:i/>
          <w:lang w:val="fr-CA"/>
        </w:rPr>
        <w:t>c</w:t>
      </w:r>
      <w:r w:rsidRPr="00372E12">
        <w:rPr>
          <w:i/>
          <w:lang w:val="fr-CA"/>
        </w:rPr>
        <w:t>. K.R.J.</w:t>
      </w:r>
      <w:r w:rsidR="00EF5DA4">
        <w:rPr>
          <w:lang w:val="fr-CA"/>
        </w:rPr>
        <w:t>, 2016 CS</w:t>
      </w:r>
      <w:r w:rsidRPr="00372E12">
        <w:rPr>
          <w:lang w:val="fr-CA"/>
        </w:rPr>
        <w:t>C 31</w:t>
      </w:r>
      <w:r w:rsidR="00EF5DA4">
        <w:rPr>
          <w:lang w:val="fr-CA"/>
        </w:rPr>
        <w:t>, [2016] 1 R.C.S</w:t>
      </w:r>
      <w:r w:rsidRPr="00372E12">
        <w:rPr>
          <w:lang w:val="fr-CA"/>
        </w:rPr>
        <w:t>. 906;</w:t>
      </w:r>
      <w:r w:rsidRPr="00372E12">
        <w:rPr>
          <w:i/>
          <w:lang w:val="fr-CA"/>
        </w:rPr>
        <w:t xml:space="preserve"> </w:t>
      </w:r>
      <w:r w:rsidR="00105F22">
        <w:rPr>
          <w:i/>
          <w:lang w:val="fr-CA"/>
        </w:rPr>
        <w:t>Association de la police montée de l</w:t>
      </w:r>
      <w:r w:rsidR="00805B11">
        <w:rPr>
          <w:i/>
          <w:lang w:val="fr-CA"/>
        </w:rPr>
        <w:t>’</w:t>
      </w:r>
      <w:r w:rsidR="00105F22">
        <w:rPr>
          <w:i/>
          <w:lang w:val="fr-CA"/>
        </w:rPr>
        <w:t>Ontario c</w:t>
      </w:r>
      <w:r w:rsidRPr="00372E12">
        <w:rPr>
          <w:i/>
          <w:lang w:val="fr-CA"/>
        </w:rPr>
        <w:t>. Canada (</w:t>
      </w:r>
      <w:r w:rsidR="00105F22">
        <w:rPr>
          <w:i/>
          <w:lang w:val="fr-CA"/>
        </w:rPr>
        <w:t>Procureur général</w:t>
      </w:r>
      <w:r w:rsidRPr="00372E12">
        <w:rPr>
          <w:i/>
          <w:lang w:val="fr-CA"/>
        </w:rPr>
        <w:t>)</w:t>
      </w:r>
      <w:r w:rsidR="00105F22">
        <w:rPr>
          <w:lang w:val="fr-CA"/>
        </w:rPr>
        <w:t xml:space="preserve">, 2015 </w:t>
      </w:r>
      <w:r w:rsidRPr="00372E12">
        <w:rPr>
          <w:lang w:val="fr-CA"/>
        </w:rPr>
        <w:t>C</w:t>
      </w:r>
      <w:r w:rsidR="00105F22">
        <w:rPr>
          <w:lang w:val="fr-CA"/>
        </w:rPr>
        <w:t>S</w:t>
      </w:r>
      <w:r w:rsidRPr="00372E12">
        <w:rPr>
          <w:lang w:val="fr-CA"/>
        </w:rPr>
        <w:t>C 1</w:t>
      </w:r>
      <w:r w:rsidR="00105F22">
        <w:rPr>
          <w:lang w:val="fr-CA"/>
        </w:rPr>
        <w:t>, [2015] 1 R.C.S</w:t>
      </w:r>
      <w:r w:rsidRPr="00372E12">
        <w:rPr>
          <w:lang w:val="fr-CA"/>
        </w:rPr>
        <w:t>. 3;</w:t>
      </w:r>
      <w:r w:rsidRPr="00372E12">
        <w:rPr>
          <w:i/>
          <w:lang w:val="fr-CA"/>
        </w:rPr>
        <w:t xml:space="preserve"> </w:t>
      </w:r>
      <w:r w:rsidR="00105F22">
        <w:rPr>
          <w:i/>
          <w:lang w:val="fr-CA"/>
        </w:rPr>
        <w:t>RJR</w:t>
      </w:r>
      <w:r w:rsidR="00382AA5">
        <w:rPr>
          <w:i/>
          <w:lang w:val="fr-CA"/>
        </w:rPr>
        <w:noBreakHyphen/>
      </w:r>
      <w:proofErr w:type="spellStart"/>
      <w:r w:rsidR="00105F22">
        <w:rPr>
          <w:i/>
          <w:lang w:val="fr-CA"/>
        </w:rPr>
        <w:t>MacDonald</w:t>
      </w:r>
      <w:proofErr w:type="spellEnd"/>
      <w:r w:rsidR="00105F22">
        <w:rPr>
          <w:i/>
          <w:lang w:val="fr-CA"/>
        </w:rPr>
        <w:t xml:space="preserve"> Inc. c</w:t>
      </w:r>
      <w:r w:rsidRPr="00372E12">
        <w:rPr>
          <w:i/>
          <w:lang w:val="fr-CA"/>
        </w:rPr>
        <w:t>. Canada</w:t>
      </w:r>
      <w:r w:rsidR="00034367">
        <w:rPr>
          <w:i/>
          <w:lang w:val="fr-CA"/>
        </w:rPr>
        <w:t xml:space="preserve"> (Procureur général)</w:t>
      </w:r>
      <w:r w:rsidR="00105F22">
        <w:rPr>
          <w:lang w:val="fr-CA"/>
        </w:rPr>
        <w:t>, [1995] 3 R.C.S</w:t>
      </w:r>
      <w:r w:rsidRPr="00372E12">
        <w:rPr>
          <w:lang w:val="fr-CA"/>
        </w:rPr>
        <w:t>. 199;</w:t>
      </w:r>
      <w:r w:rsidRPr="00372E12">
        <w:rPr>
          <w:i/>
          <w:lang w:val="fr-CA"/>
        </w:rPr>
        <w:t xml:space="preserve"> </w:t>
      </w:r>
      <w:r w:rsidR="00EF5DA4">
        <w:rPr>
          <w:i/>
          <w:lang w:val="fr-CA"/>
        </w:rPr>
        <w:t>Harvey c</w:t>
      </w:r>
      <w:r w:rsidRPr="00372E12">
        <w:rPr>
          <w:i/>
          <w:lang w:val="fr-CA"/>
        </w:rPr>
        <w:t>. N</w:t>
      </w:r>
      <w:r w:rsidR="00EF5DA4">
        <w:rPr>
          <w:i/>
          <w:lang w:val="fr-CA"/>
        </w:rPr>
        <w:t>ouveau</w:t>
      </w:r>
      <w:r w:rsidR="00382AA5">
        <w:rPr>
          <w:i/>
          <w:lang w:val="fr-CA"/>
        </w:rPr>
        <w:noBreakHyphen/>
      </w:r>
      <w:r w:rsidRPr="00372E12">
        <w:rPr>
          <w:i/>
          <w:lang w:val="fr-CA"/>
        </w:rPr>
        <w:t>Brunswick (</w:t>
      </w:r>
      <w:r w:rsidR="00EF5DA4">
        <w:rPr>
          <w:i/>
          <w:lang w:val="fr-CA"/>
        </w:rPr>
        <w:t>Procureur général</w:t>
      </w:r>
      <w:r w:rsidRPr="00372E12">
        <w:rPr>
          <w:i/>
          <w:lang w:val="fr-CA"/>
        </w:rPr>
        <w:t>)</w:t>
      </w:r>
      <w:r w:rsidR="00EF5DA4">
        <w:rPr>
          <w:lang w:val="fr-CA"/>
        </w:rPr>
        <w:t>, [1996] 2 R.C.S</w:t>
      </w:r>
      <w:r w:rsidRPr="00372E12">
        <w:rPr>
          <w:lang w:val="fr-CA"/>
        </w:rPr>
        <w:t>. 876;</w:t>
      </w:r>
      <w:r w:rsidRPr="00372E12">
        <w:rPr>
          <w:i/>
          <w:lang w:val="fr-CA"/>
        </w:rPr>
        <w:t xml:space="preserve"> </w:t>
      </w:r>
      <w:proofErr w:type="spellStart"/>
      <w:r w:rsidR="009201B3" w:rsidRPr="009201B3">
        <w:rPr>
          <w:i/>
          <w:lang w:val="fr-CA"/>
        </w:rPr>
        <w:t>Vriend</w:t>
      </w:r>
      <w:proofErr w:type="spellEnd"/>
      <w:r w:rsidR="009201B3" w:rsidRPr="009201B3">
        <w:rPr>
          <w:i/>
          <w:lang w:val="fr-CA"/>
        </w:rPr>
        <w:t xml:space="preserve"> c</w:t>
      </w:r>
      <w:r w:rsidRPr="009201B3">
        <w:rPr>
          <w:i/>
          <w:lang w:val="fr-CA"/>
        </w:rPr>
        <w:t>. Alberta</w:t>
      </w:r>
      <w:r w:rsidRPr="009201B3">
        <w:rPr>
          <w:lang w:val="fr-CA"/>
        </w:rPr>
        <w:t xml:space="preserve">, [1998] 1 </w:t>
      </w:r>
      <w:r w:rsidR="009201B3" w:rsidRPr="009201B3">
        <w:rPr>
          <w:lang w:val="fr-CA"/>
        </w:rPr>
        <w:t>R.C.S</w:t>
      </w:r>
      <w:r w:rsidRPr="009201B3">
        <w:rPr>
          <w:lang w:val="fr-CA"/>
        </w:rPr>
        <w:t xml:space="preserve">. 493; </w:t>
      </w:r>
      <w:r w:rsidRPr="009201B3">
        <w:rPr>
          <w:i/>
          <w:lang w:val="fr-CA"/>
        </w:rPr>
        <w:t xml:space="preserve">Thomson </w:t>
      </w:r>
      <w:proofErr w:type="spellStart"/>
      <w:r w:rsidRPr="009201B3">
        <w:rPr>
          <w:i/>
          <w:lang w:val="fr-CA"/>
        </w:rPr>
        <w:t>Newspapers</w:t>
      </w:r>
      <w:proofErr w:type="spellEnd"/>
      <w:r w:rsidRPr="009201B3">
        <w:rPr>
          <w:i/>
          <w:lang w:val="fr-CA"/>
        </w:rPr>
        <w:t xml:space="preserve"> Co. </w:t>
      </w:r>
      <w:r w:rsidR="009201B3" w:rsidRPr="009201B3">
        <w:rPr>
          <w:i/>
          <w:lang w:val="fr-CA"/>
        </w:rPr>
        <w:t>c</w:t>
      </w:r>
      <w:r w:rsidRPr="009201B3">
        <w:rPr>
          <w:i/>
          <w:lang w:val="fr-CA"/>
        </w:rPr>
        <w:t>. Canada (</w:t>
      </w:r>
      <w:r w:rsidR="009201B3" w:rsidRPr="009201B3">
        <w:rPr>
          <w:i/>
          <w:lang w:val="fr-CA"/>
        </w:rPr>
        <w:t>Procureur général</w:t>
      </w:r>
      <w:r w:rsidRPr="009201B3">
        <w:rPr>
          <w:i/>
          <w:lang w:val="fr-CA"/>
        </w:rPr>
        <w:t>)</w:t>
      </w:r>
      <w:r w:rsidRPr="009201B3">
        <w:rPr>
          <w:lang w:val="fr-CA"/>
        </w:rPr>
        <w:t xml:space="preserve">, [1998] 1 </w:t>
      </w:r>
      <w:r w:rsidR="009201B3" w:rsidRPr="009201B3">
        <w:rPr>
          <w:lang w:val="fr-CA"/>
        </w:rPr>
        <w:t>R.C.S</w:t>
      </w:r>
      <w:r w:rsidRPr="009201B3">
        <w:rPr>
          <w:lang w:val="fr-CA"/>
        </w:rPr>
        <w:t xml:space="preserve">. 877; </w:t>
      </w:r>
      <w:proofErr w:type="spellStart"/>
      <w:r w:rsidRPr="009201B3">
        <w:rPr>
          <w:i/>
          <w:lang w:val="fr-CA"/>
        </w:rPr>
        <w:t>Dunmore</w:t>
      </w:r>
      <w:proofErr w:type="spellEnd"/>
      <w:r w:rsidRPr="009201B3">
        <w:rPr>
          <w:i/>
          <w:lang w:val="fr-CA"/>
        </w:rPr>
        <w:t xml:space="preserve"> </w:t>
      </w:r>
      <w:r w:rsidR="009201B3" w:rsidRPr="009201B3">
        <w:rPr>
          <w:i/>
          <w:lang w:val="fr-CA"/>
        </w:rPr>
        <w:t>c</w:t>
      </w:r>
      <w:r w:rsidRPr="009201B3">
        <w:rPr>
          <w:i/>
          <w:lang w:val="fr-CA"/>
        </w:rPr>
        <w:t>. Ontario (</w:t>
      </w:r>
      <w:r w:rsidR="009201B3" w:rsidRPr="009201B3">
        <w:rPr>
          <w:i/>
          <w:lang w:val="fr-CA"/>
        </w:rPr>
        <w:t>Procureur général</w:t>
      </w:r>
      <w:r w:rsidRPr="009201B3">
        <w:rPr>
          <w:i/>
          <w:lang w:val="fr-CA"/>
        </w:rPr>
        <w:t>)</w:t>
      </w:r>
      <w:r w:rsidR="009201B3" w:rsidRPr="009201B3">
        <w:rPr>
          <w:lang w:val="fr-CA"/>
        </w:rPr>
        <w:t>, 2001 CS</w:t>
      </w:r>
      <w:r w:rsidRPr="009201B3">
        <w:rPr>
          <w:lang w:val="fr-CA"/>
        </w:rPr>
        <w:t xml:space="preserve">C 94, [2001] </w:t>
      </w:r>
      <w:r w:rsidR="009201B3" w:rsidRPr="009201B3">
        <w:rPr>
          <w:lang w:val="fr-CA"/>
        </w:rPr>
        <w:t>3 R</w:t>
      </w:r>
      <w:r w:rsidRPr="009201B3">
        <w:rPr>
          <w:lang w:val="fr-CA"/>
        </w:rPr>
        <w:t>.C.</w:t>
      </w:r>
      <w:r w:rsidR="009201B3" w:rsidRPr="009201B3">
        <w:rPr>
          <w:lang w:val="fr-CA"/>
        </w:rPr>
        <w:t>S</w:t>
      </w:r>
      <w:r w:rsidRPr="009201B3">
        <w:rPr>
          <w:lang w:val="fr-CA"/>
        </w:rPr>
        <w:t xml:space="preserve">. </w:t>
      </w:r>
      <w:r w:rsidR="009201B3" w:rsidRPr="009201B3">
        <w:rPr>
          <w:lang w:val="fr-CA"/>
        </w:rPr>
        <w:t>1016</w:t>
      </w:r>
      <w:r w:rsidRPr="009201B3">
        <w:rPr>
          <w:lang w:val="fr-CA"/>
        </w:rPr>
        <w:t xml:space="preserve">; </w:t>
      </w:r>
      <w:proofErr w:type="spellStart"/>
      <w:r w:rsidRPr="009201B3">
        <w:rPr>
          <w:i/>
          <w:lang w:val="fr-CA"/>
        </w:rPr>
        <w:t>Greater</w:t>
      </w:r>
      <w:proofErr w:type="spellEnd"/>
      <w:r w:rsidRPr="009201B3">
        <w:rPr>
          <w:i/>
          <w:lang w:val="fr-CA"/>
        </w:rPr>
        <w:t xml:space="preserve"> Vancouver Transportation </w:t>
      </w:r>
      <w:proofErr w:type="spellStart"/>
      <w:r w:rsidRPr="009201B3">
        <w:rPr>
          <w:i/>
          <w:lang w:val="fr-CA"/>
        </w:rPr>
        <w:t>Authority</w:t>
      </w:r>
      <w:proofErr w:type="spellEnd"/>
      <w:r w:rsidRPr="009201B3">
        <w:rPr>
          <w:i/>
          <w:lang w:val="fr-CA"/>
        </w:rPr>
        <w:t xml:space="preserve"> </w:t>
      </w:r>
      <w:r w:rsidR="009201B3" w:rsidRPr="009201B3">
        <w:rPr>
          <w:i/>
          <w:lang w:val="fr-CA"/>
        </w:rPr>
        <w:t>c</w:t>
      </w:r>
      <w:r w:rsidRPr="009201B3">
        <w:rPr>
          <w:i/>
          <w:lang w:val="fr-CA"/>
        </w:rPr>
        <w:t xml:space="preserve">. </w:t>
      </w:r>
      <w:r w:rsidR="009201B3" w:rsidRPr="009201B3">
        <w:rPr>
          <w:i/>
          <w:lang w:val="fr-CA"/>
        </w:rPr>
        <w:t>Fédération canadienne des étudiantes et étudiants — Section Colombie</w:t>
      </w:r>
      <w:r w:rsidR="00382AA5">
        <w:rPr>
          <w:i/>
          <w:lang w:val="fr-CA"/>
        </w:rPr>
        <w:noBreakHyphen/>
      </w:r>
      <w:r w:rsidR="009201B3" w:rsidRPr="009201B3">
        <w:rPr>
          <w:i/>
          <w:lang w:val="fr-CA"/>
        </w:rPr>
        <w:t>Britannique</w:t>
      </w:r>
      <w:r w:rsidR="009201B3" w:rsidRPr="0010163F">
        <w:rPr>
          <w:lang w:val="fr-CA"/>
        </w:rPr>
        <w:t>,</w:t>
      </w:r>
      <w:r w:rsidR="009201B3" w:rsidRPr="009201B3">
        <w:rPr>
          <w:lang w:val="fr-CA"/>
        </w:rPr>
        <w:t xml:space="preserve"> 2009 </w:t>
      </w:r>
      <w:r w:rsidRPr="009201B3">
        <w:rPr>
          <w:lang w:val="fr-CA"/>
        </w:rPr>
        <w:t>C</w:t>
      </w:r>
      <w:r w:rsidR="009201B3" w:rsidRPr="009201B3">
        <w:rPr>
          <w:lang w:val="fr-CA"/>
        </w:rPr>
        <w:t>S</w:t>
      </w:r>
      <w:r w:rsidRPr="009201B3">
        <w:rPr>
          <w:lang w:val="fr-CA"/>
        </w:rPr>
        <w:t xml:space="preserve">C 31, [2009] </w:t>
      </w:r>
      <w:r w:rsidR="009201B3" w:rsidRPr="009201B3">
        <w:rPr>
          <w:lang w:val="fr-CA"/>
        </w:rPr>
        <w:t>2 R.C.S</w:t>
      </w:r>
      <w:r w:rsidRPr="009201B3">
        <w:rPr>
          <w:lang w:val="fr-CA"/>
        </w:rPr>
        <w:t xml:space="preserve">. </w:t>
      </w:r>
      <w:r w:rsidR="009201B3" w:rsidRPr="009201B3">
        <w:rPr>
          <w:lang w:val="fr-CA"/>
        </w:rPr>
        <w:t>295;</w:t>
      </w:r>
      <w:r w:rsidRPr="009201B3">
        <w:rPr>
          <w:lang w:val="fr-CA"/>
        </w:rPr>
        <w:t xml:space="preserve"> </w:t>
      </w:r>
      <w:r w:rsidRPr="009201B3">
        <w:rPr>
          <w:i/>
          <w:lang w:val="fr-CA"/>
        </w:rPr>
        <w:t>Canada (</w:t>
      </w:r>
      <w:r w:rsidR="009201B3" w:rsidRPr="009201B3">
        <w:rPr>
          <w:i/>
          <w:lang w:val="fr-CA"/>
        </w:rPr>
        <w:t>Procureur général</w:t>
      </w:r>
      <w:r w:rsidRPr="009201B3">
        <w:rPr>
          <w:i/>
          <w:lang w:val="fr-CA"/>
        </w:rPr>
        <w:t xml:space="preserve">) </w:t>
      </w:r>
      <w:r w:rsidR="009201B3" w:rsidRPr="009201B3">
        <w:rPr>
          <w:i/>
          <w:lang w:val="fr-CA"/>
        </w:rPr>
        <w:t>c</w:t>
      </w:r>
      <w:r w:rsidRPr="009201B3">
        <w:rPr>
          <w:i/>
          <w:lang w:val="fr-CA"/>
        </w:rPr>
        <w:t>. Bedford</w:t>
      </w:r>
      <w:r w:rsidRPr="009201B3">
        <w:rPr>
          <w:lang w:val="fr-CA"/>
        </w:rPr>
        <w:t xml:space="preserve">, 2013 </w:t>
      </w:r>
      <w:r w:rsidR="009201B3" w:rsidRPr="009201B3">
        <w:rPr>
          <w:lang w:val="fr-CA"/>
        </w:rPr>
        <w:t>CS</w:t>
      </w:r>
      <w:r w:rsidRPr="009201B3">
        <w:rPr>
          <w:lang w:val="fr-CA"/>
        </w:rPr>
        <w:t xml:space="preserve">C 72, [2013] </w:t>
      </w:r>
      <w:r w:rsidR="009201B3" w:rsidRPr="009201B3">
        <w:rPr>
          <w:lang w:val="fr-CA"/>
        </w:rPr>
        <w:t>3 R.C.S</w:t>
      </w:r>
      <w:r w:rsidRPr="009201B3">
        <w:rPr>
          <w:lang w:val="fr-CA"/>
        </w:rPr>
        <w:t xml:space="preserve">. </w:t>
      </w:r>
      <w:r w:rsidR="009201B3" w:rsidRPr="009201B3">
        <w:rPr>
          <w:lang w:val="fr-CA"/>
        </w:rPr>
        <w:t>1101</w:t>
      </w:r>
      <w:r w:rsidRPr="009201B3">
        <w:rPr>
          <w:lang w:val="fr-CA"/>
        </w:rPr>
        <w:t>;</w:t>
      </w:r>
      <w:r w:rsidRPr="009201B3">
        <w:rPr>
          <w:i/>
          <w:lang w:val="fr-CA"/>
        </w:rPr>
        <w:t xml:space="preserve"> Carter </w:t>
      </w:r>
      <w:r w:rsidR="009201B3" w:rsidRPr="009201B3">
        <w:rPr>
          <w:i/>
          <w:lang w:val="fr-CA"/>
        </w:rPr>
        <w:t>c</w:t>
      </w:r>
      <w:r w:rsidRPr="009201B3">
        <w:rPr>
          <w:i/>
          <w:lang w:val="fr-CA"/>
        </w:rPr>
        <w:t>. Canada (</w:t>
      </w:r>
      <w:r w:rsidR="009201B3" w:rsidRPr="009201B3">
        <w:rPr>
          <w:i/>
          <w:lang w:val="fr-CA"/>
        </w:rPr>
        <w:t>Procureur général</w:t>
      </w:r>
      <w:r w:rsidRPr="009201B3">
        <w:rPr>
          <w:i/>
          <w:lang w:val="fr-CA"/>
        </w:rPr>
        <w:t>)</w:t>
      </w:r>
      <w:r w:rsidR="009201B3" w:rsidRPr="009201B3">
        <w:rPr>
          <w:lang w:val="fr-CA"/>
        </w:rPr>
        <w:t xml:space="preserve">, 2015 </w:t>
      </w:r>
      <w:r w:rsidRPr="009201B3">
        <w:rPr>
          <w:lang w:val="fr-CA"/>
        </w:rPr>
        <w:t>C</w:t>
      </w:r>
      <w:r w:rsidR="009201B3" w:rsidRPr="009201B3">
        <w:rPr>
          <w:lang w:val="fr-CA"/>
        </w:rPr>
        <w:t>S</w:t>
      </w:r>
      <w:r w:rsidRPr="009201B3">
        <w:rPr>
          <w:lang w:val="fr-CA"/>
        </w:rPr>
        <w:t xml:space="preserve">C 5, [2015] </w:t>
      </w:r>
      <w:r w:rsidR="009201B3" w:rsidRPr="009201B3">
        <w:rPr>
          <w:lang w:val="fr-CA"/>
        </w:rPr>
        <w:t>1</w:t>
      </w:r>
      <w:r w:rsidR="0071239F">
        <w:rPr>
          <w:lang w:val="fr-CA"/>
        </w:rPr>
        <w:t xml:space="preserve"> R.C.S</w:t>
      </w:r>
      <w:r w:rsidRPr="009201B3">
        <w:rPr>
          <w:lang w:val="fr-CA"/>
        </w:rPr>
        <w:t xml:space="preserve">. </w:t>
      </w:r>
      <w:r w:rsidR="009201B3" w:rsidRPr="009201B3">
        <w:rPr>
          <w:lang w:val="fr-CA"/>
        </w:rPr>
        <w:t>331</w:t>
      </w:r>
      <w:r w:rsidRPr="009201B3">
        <w:rPr>
          <w:lang w:val="fr-CA"/>
        </w:rPr>
        <w:t xml:space="preserve">; </w:t>
      </w:r>
      <w:r w:rsidRPr="009201B3">
        <w:rPr>
          <w:i/>
          <w:lang w:val="fr-CA"/>
        </w:rPr>
        <w:t xml:space="preserve">B.C. </w:t>
      </w:r>
      <w:proofErr w:type="spellStart"/>
      <w:r w:rsidRPr="009201B3">
        <w:rPr>
          <w:i/>
          <w:lang w:val="fr-CA"/>
        </w:rPr>
        <w:t>Freedom</w:t>
      </w:r>
      <w:proofErr w:type="spellEnd"/>
      <w:r w:rsidRPr="009201B3">
        <w:rPr>
          <w:i/>
          <w:lang w:val="fr-CA"/>
        </w:rPr>
        <w:t xml:space="preserve"> of Information and </w:t>
      </w:r>
      <w:proofErr w:type="spellStart"/>
      <w:r w:rsidRPr="009201B3">
        <w:rPr>
          <w:i/>
          <w:lang w:val="fr-CA"/>
        </w:rPr>
        <w:t>Privacy</w:t>
      </w:r>
      <w:proofErr w:type="spellEnd"/>
      <w:r w:rsidRPr="009201B3">
        <w:rPr>
          <w:i/>
          <w:lang w:val="fr-CA"/>
        </w:rPr>
        <w:t xml:space="preserve"> Association c. Colombie</w:t>
      </w:r>
      <w:r w:rsidR="00382AA5">
        <w:rPr>
          <w:i/>
          <w:lang w:val="fr-CA"/>
        </w:rPr>
        <w:noBreakHyphen/>
      </w:r>
      <w:r w:rsidRPr="009201B3">
        <w:rPr>
          <w:i/>
          <w:lang w:val="fr-CA"/>
        </w:rPr>
        <w:t>Britannique (Procureur général)</w:t>
      </w:r>
      <w:r w:rsidR="00EF5DA4" w:rsidRPr="009201B3">
        <w:rPr>
          <w:lang w:val="fr-CA"/>
        </w:rPr>
        <w:t>, 2017 CS</w:t>
      </w:r>
      <w:r w:rsidRPr="009201B3">
        <w:rPr>
          <w:lang w:val="fr-CA"/>
        </w:rPr>
        <w:t xml:space="preserve">C 6, [2017] </w:t>
      </w:r>
      <w:r w:rsidR="00EF5DA4" w:rsidRPr="009201B3">
        <w:rPr>
          <w:lang w:val="fr-CA"/>
        </w:rPr>
        <w:t>1 R</w:t>
      </w:r>
      <w:r w:rsidRPr="009201B3">
        <w:rPr>
          <w:lang w:val="fr-CA"/>
        </w:rPr>
        <w:t>.C.</w:t>
      </w:r>
      <w:r w:rsidR="00EF5DA4" w:rsidRPr="009201B3">
        <w:rPr>
          <w:lang w:val="fr-CA"/>
        </w:rPr>
        <w:t>S</w:t>
      </w:r>
      <w:r w:rsidRPr="009201B3">
        <w:rPr>
          <w:lang w:val="fr-CA"/>
        </w:rPr>
        <w:t xml:space="preserve">. </w:t>
      </w:r>
      <w:r w:rsidR="00EF5DA4" w:rsidRPr="009201B3">
        <w:rPr>
          <w:lang w:val="fr-CA"/>
        </w:rPr>
        <w:t>93</w:t>
      </w:r>
      <w:r w:rsidRPr="009201B3">
        <w:rPr>
          <w:lang w:val="fr-CA"/>
        </w:rPr>
        <w:t>;</w:t>
      </w:r>
      <w:r w:rsidRPr="009201B3">
        <w:rPr>
          <w:i/>
          <w:lang w:val="fr-CA"/>
        </w:rPr>
        <w:t xml:space="preserve"> Andrews </w:t>
      </w:r>
      <w:r w:rsidR="009201B3" w:rsidRPr="009201B3">
        <w:rPr>
          <w:i/>
          <w:lang w:val="fr-CA"/>
        </w:rPr>
        <w:t>c</w:t>
      </w:r>
      <w:r w:rsidRPr="009201B3">
        <w:rPr>
          <w:i/>
          <w:lang w:val="fr-CA"/>
        </w:rPr>
        <w:t>. Law Society of British Columbia</w:t>
      </w:r>
      <w:r w:rsidR="00C42FCE">
        <w:rPr>
          <w:lang w:val="fr-CA"/>
        </w:rPr>
        <w:t>,</w:t>
      </w:r>
      <w:r w:rsidR="009201B3" w:rsidRPr="009201B3">
        <w:rPr>
          <w:lang w:val="fr-CA"/>
        </w:rPr>
        <w:t xml:space="preserve"> </w:t>
      </w:r>
      <w:r w:rsidR="00CA7108">
        <w:rPr>
          <w:lang w:val="fr-CA"/>
        </w:rPr>
        <w:t xml:space="preserve"> </w:t>
      </w:r>
      <w:r w:rsidR="009201B3" w:rsidRPr="009201B3">
        <w:rPr>
          <w:lang w:val="fr-CA"/>
        </w:rPr>
        <w:t>[1989] 1 R.C.S. 143</w:t>
      </w:r>
      <w:r w:rsidRPr="009201B3">
        <w:rPr>
          <w:lang w:val="fr-CA"/>
        </w:rPr>
        <w:t xml:space="preserve">; </w:t>
      </w:r>
      <w:r w:rsidRPr="009201B3">
        <w:rPr>
          <w:i/>
          <w:lang w:val="fr-CA"/>
        </w:rPr>
        <w:t xml:space="preserve">Alberta </w:t>
      </w:r>
      <w:r w:rsidR="00EF5DA4" w:rsidRPr="009201B3">
        <w:rPr>
          <w:i/>
          <w:lang w:val="fr-CA"/>
        </w:rPr>
        <w:t>c</w:t>
      </w:r>
      <w:r w:rsidRPr="009201B3">
        <w:rPr>
          <w:i/>
          <w:lang w:val="fr-CA"/>
        </w:rPr>
        <w:t xml:space="preserve">. </w:t>
      </w:r>
      <w:proofErr w:type="spellStart"/>
      <w:r w:rsidRPr="009201B3">
        <w:rPr>
          <w:i/>
          <w:lang w:val="fr-CA"/>
        </w:rPr>
        <w:t>Hutterian</w:t>
      </w:r>
      <w:proofErr w:type="spellEnd"/>
      <w:r w:rsidRPr="009201B3">
        <w:rPr>
          <w:i/>
          <w:lang w:val="fr-CA"/>
        </w:rPr>
        <w:t xml:space="preserve"> </w:t>
      </w:r>
      <w:proofErr w:type="spellStart"/>
      <w:r w:rsidRPr="009201B3">
        <w:rPr>
          <w:i/>
          <w:lang w:val="fr-CA"/>
        </w:rPr>
        <w:t>Brethren</w:t>
      </w:r>
      <w:proofErr w:type="spellEnd"/>
      <w:r w:rsidRPr="009201B3">
        <w:rPr>
          <w:i/>
          <w:lang w:val="fr-CA"/>
        </w:rPr>
        <w:t xml:space="preserve"> of Wilson </w:t>
      </w:r>
      <w:proofErr w:type="spellStart"/>
      <w:r w:rsidRPr="009201B3">
        <w:rPr>
          <w:i/>
          <w:lang w:val="fr-CA"/>
        </w:rPr>
        <w:t>Colony</w:t>
      </w:r>
      <w:proofErr w:type="spellEnd"/>
      <w:r w:rsidR="00EF5DA4" w:rsidRPr="009201B3">
        <w:rPr>
          <w:lang w:val="fr-CA"/>
        </w:rPr>
        <w:t>, 2009 CS</w:t>
      </w:r>
      <w:r w:rsidRPr="009201B3">
        <w:rPr>
          <w:lang w:val="fr-CA"/>
        </w:rPr>
        <w:t>C 37</w:t>
      </w:r>
      <w:r w:rsidR="00EF5DA4" w:rsidRPr="009201B3">
        <w:rPr>
          <w:lang w:val="fr-CA"/>
        </w:rPr>
        <w:t>, [2009] 2 R.C.S</w:t>
      </w:r>
      <w:r w:rsidRPr="009201B3">
        <w:rPr>
          <w:lang w:val="fr-CA"/>
        </w:rPr>
        <w:t xml:space="preserve">. 567; </w:t>
      </w:r>
      <w:r w:rsidR="00105F22" w:rsidRPr="009201B3">
        <w:rPr>
          <w:i/>
          <w:lang w:val="fr-CA"/>
        </w:rPr>
        <w:t>R. c</w:t>
      </w:r>
      <w:r w:rsidRPr="009201B3">
        <w:rPr>
          <w:i/>
          <w:lang w:val="fr-CA"/>
        </w:rPr>
        <w:t>. Bryan</w:t>
      </w:r>
      <w:r w:rsidR="00EF5DA4" w:rsidRPr="009201B3">
        <w:rPr>
          <w:lang w:val="fr-CA"/>
        </w:rPr>
        <w:t>, 2007 CSC 12, [2007] 1 R.C.S</w:t>
      </w:r>
      <w:r w:rsidRPr="009201B3">
        <w:rPr>
          <w:lang w:val="fr-CA"/>
        </w:rPr>
        <w:t xml:space="preserve">. 527; </w:t>
      </w:r>
      <w:r w:rsidRPr="009201B3">
        <w:rPr>
          <w:i/>
          <w:lang w:val="fr-CA"/>
        </w:rPr>
        <w:t>H</w:t>
      </w:r>
      <w:r w:rsidR="00EF5DA4" w:rsidRPr="009201B3">
        <w:rPr>
          <w:i/>
          <w:lang w:val="fr-CA"/>
        </w:rPr>
        <w:t>arper c</w:t>
      </w:r>
      <w:r w:rsidRPr="009201B3">
        <w:rPr>
          <w:i/>
          <w:lang w:val="fr-CA"/>
        </w:rPr>
        <w:t>. Canada (</w:t>
      </w:r>
      <w:r w:rsidR="00EF5DA4" w:rsidRPr="009201B3">
        <w:rPr>
          <w:i/>
          <w:lang w:val="fr-CA"/>
        </w:rPr>
        <w:t>Procureur général</w:t>
      </w:r>
      <w:r w:rsidRPr="009201B3">
        <w:rPr>
          <w:i/>
          <w:lang w:val="fr-CA"/>
        </w:rPr>
        <w:t>)</w:t>
      </w:r>
      <w:r w:rsidR="00EF5DA4" w:rsidRPr="009201B3">
        <w:rPr>
          <w:lang w:val="fr-CA"/>
        </w:rPr>
        <w:t>, 2004 CS</w:t>
      </w:r>
      <w:r w:rsidRPr="009201B3">
        <w:rPr>
          <w:lang w:val="fr-CA"/>
        </w:rPr>
        <w:t>C 33, [200</w:t>
      </w:r>
      <w:r w:rsidR="00EF5DA4" w:rsidRPr="009201B3">
        <w:rPr>
          <w:lang w:val="fr-CA"/>
        </w:rPr>
        <w:t>4] 1 R.C.S</w:t>
      </w:r>
      <w:r w:rsidRPr="009201B3">
        <w:rPr>
          <w:lang w:val="fr-CA"/>
        </w:rPr>
        <w:t>. 827;</w:t>
      </w:r>
      <w:r w:rsidRPr="009201B3">
        <w:rPr>
          <w:i/>
          <w:lang w:val="fr-CA"/>
        </w:rPr>
        <w:t xml:space="preserve"> </w:t>
      </w:r>
      <w:r w:rsidR="00EF5DA4" w:rsidRPr="009201B3">
        <w:rPr>
          <w:i/>
          <w:lang w:val="fr-CA"/>
        </w:rPr>
        <w:t>R. c</w:t>
      </w:r>
      <w:r w:rsidRPr="009201B3">
        <w:rPr>
          <w:i/>
          <w:lang w:val="fr-CA"/>
        </w:rPr>
        <w:t xml:space="preserve">. </w:t>
      </w:r>
      <w:proofErr w:type="spellStart"/>
      <w:r w:rsidRPr="009201B3">
        <w:rPr>
          <w:i/>
          <w:lang w:val="fr-CA"/>
        </w:rPr>
        <w:t>Moriar</w:t>
      </w:r>
      <w:r w:rsidR="00EF5DA4" w:rsidRPr="009201B3">
        <w:rPr>
          <w:i/>
          <w:lang w:val="fr-CA"/>
        </w:rPr>
        <w:t>i</w:t>
      </w:r>
      <w:r w:rsidRPr="009201B3">
        <w:rPr>
          <w:i/>
          <w:lang w:val="fr-CA"/>
        </w:rPr>
        <w:t>ty</w:t>
      </w:r>
      <w:proofErr w:type="spellEnd"/>
      <w:r w:rsidR="00EF5DA4" w:rsidRPr="009201B3">
        <w:rPr>
          <w:lang w:val="fr-CA"/>
        </w:rPr>
        <w:t xml:space="preserve">, 2015 </w:t>
      </w:r>
      <w:r w:rsidRPr="009201B3">
        <w:rPr>
          <w:lang w:val="fr-CA"/>
        </w:rPr>
        <w:t>C</w:t>
      </w:r>
      <w:r w:rsidR="00EF5DA4" w:rsidRPr="009201B3">
        <w:rPr>
          <w:lang w:val="fr-CA"/>
        </w:rPr>
        <w:t>S</w:t>
      </w:r>
      <w:r w:rsidRPr="009201B3">
        <w:rPr>
          <w:lang w:val="fr-CA"/>
        </w:rPr>
        <w:t>C 55</w:t>
      </w:r>
      <w:r w:rsidR="00EF5DA4" w:rsidRPr="009201B3">
        <w:rPr>
          <w:lang w:val="fr-CA"/>
        </w:rPr>
        <w:t>, [2015] 3 R.C.S</w:t>
      </w:r>
      <w:r w:rsidRPr="009201B3">
        <w:rPr>
          <w:lang w:val="fr-CA"/>
        </w:rPr>
        <w:t>. 485;</w:t>
      </w:r>
      <w:r w:rsidRPr="009201B3">
        <w:rPr>
          <w:i/>
          <w:lang w:val="fr-CA"/>
        </w:rPr>
        <w:t xml:space="preserve"> </w:t>
      </w:r>
      <w:r w:rsidR="00EF5DA4" w:rsidRPr="009201B3">
        <w:rPr>
          <w:i/>
          <w:lang w:val="fr-CA"/>
        </w:rPr>
        <w:t>R. c</w:t>
      </w:r>
      <w:r w:rsidRPr="009201B3">
        <w:rPr>
          <w:i/>
          <w:lang w:val="fr-CA"/>
        </w:rPr>
        <w:t xml:space="preserve">. </w:t>
      </w:r>
      <w:proofErr w:type="spellStart"/>
      <w:r w:rsidRPr="009201B3">
        <w:rPr>
          <w:i/>
          <w:lang w:val="fr-CA"/>
        </w:rPr>
        <w:t>Big</w:t>
      </w:r>
      <w:proofErr w:type="spellEnd"/>
      <w:r w:rsidRPr="009201B3">
        <w:rPr>
          <w:i/>
          <w:lang w:val="fr-CA"/>
        </w:rPr>
        <w:t xml:space="preserve"> M Drug </w:t>
      </w:r>
      <w:proofErr w:type="spellStart"/>
      <w:r w:rsidRPr="009201B3">
        <w:rPr>
          <w:i/>
          <w:lang w:val="fr-CA"/>
        </w:rPr>
        <w:t>Mart</w:t>
      </w:r>
      <w:proofErr w:type="spellEnd"/>
      <w:r w:rsidRPr="009201B3">
        <w:rPr>
          <w:i/>
          <w:lang w:val="fr-CA"/>
        </w:rPr>
        <w:t xml:space="preserve"> Ltd.</w:t>
      </w:r>
      <w:r w:rsidRPr="009201B3">
        <w:rPr>
          <w:lang w:val="fr-CA"/>
        </w:rPr>
        <w:t>, [1985</w:t>
      </w:r>
      <w:r w:rsidR="00EF5DA4" w:rsidRPr="009201B3">
        <w:rPr>
          <w:lang w:val="fr-CA"/>
        </w:rPr>
        <w:t>] 1 R.C.S</w:t>
      </w:r>
      <w:r w:rsidRPr="009201B3">
        <w:rPr>
          <w:lang w:val="fr-CA"/>
        </w:rPr>
        <w:t xml:space="preserve">. 295; </w:t>
      </w:r>
      <w:r w:rsidRPr="009201B3">
        <w:rPr>
          <w:i/>
          <w:lang w:val="fr-CA"/>
        </w:rPr>
        <w:t xml:space="preserve">R. </w:t>
      </w:r>
      <w:r w:rsidR="00EF5DA4" w:rsidRPr="009201B3">
        <w:rPr>
          <w:i/>
          <w:lang w:val="fr-CA"/>
        </w:rPr>
        <w:t>c</w:t>
      </w:r>
      <w:r w:rsidRPr="009201B3">
        <w:rPr>
          <w:i/>
          <w:lang w:val="fr-CA"/>
        </w:rPr>
        <w:t>. Butler</w:t>
      </w:r>
      <w:r w:rsidR="00EF5DA4" w:rsidRPr="009201B3">
        <w:rPr>
          <w:lang w:val="fr-CA"/>
        </w:rPr>
        <w:t>, [1992] 1 R.C.S</w:t>
      </w:r>
      <w:r w:rsidRPr="009201B3">
        <w:rPr>
          <w:lang w:val="fr-CA"/>
        </w:rPr>
        <w:t xml:space="preserve">. 452; </w:t>
      </w:r>
      <w:r w:rsidR="00105F22" w:rsidRPr="009201B3">
        <w:rPr>
          <w:i/>
          <w:lang w:val="fr-CA"/>
        </w:rPr>
        <w:t>R. c</w:t>
      </w:r>
      <w:r w:rsidRPr="009201B3">
        <w:rPr>
          <w:i/>
          <w:lang w:val="fr-CA"/>
        </w:rPr>
        <w:t>. Zundel</w:t>
      </w:r>
      <w:r w:rsidR="00105F22" w:rsidRPr="009201B3">
        <w:rPr>
          <w:lang w:val="fr-CA"/>
        </w:rPr>
        <w:t>, [1992] 2 R.C.S</w:t>
      </w:r>
      <w:r w:rsidRPr="009201B3">
        <w:rPr>
          <w:lang w:val="fr-CA"/>
        </w:rPr>
        <w:t>. 731;</w:t>
      </w:r>
      <w:r w:rsidRPr="009201B3">
        <w:rPr>
          <w:i/>
          <w:lang w:val="fr-CA"/>
        </w:rPr>
        <w:t xml:space="preserve"> </w:t>
      </w:r>
      <w:proofErr w:type="spellStart"/>
      <w:r w:rsidRPr="009201B3">
        <w:rPr>
          <w:i/>
          <w:lang w:val="fr-CA"/>
        </w:rPr>
        <w:t>Storey</w:t>
      </w:r>
      <w:proofErr w:type="spellEnd"/>
      <w:r w:rsidRPr="009201B3">
        <w:rPr>
          <w:i/>
          <w:lang w:val="fr-CA"/>
        </w:rPr>
        <w:t xml:space="preserve"> </w:t>
      </w:r>
      <w:r w:rsidR="009201B3" w:rsidRPr="009201B3">
        <w:rPr>
          <w:i/>
          <w:lang w:val="fr-CA"/>
        </w:rPr>
        <w:t>c</w:t>
      </w:r>
      <w:r w:rsidRPr="009201B3">
        <w:rPr>
          <w:i/>
          <w:lang w:val="fr-CA"/>
        </w:rPr>
        <w:t xml:space="preserve">. </w:t>
      </w:r>
      <w:proofErr w:type="spellStart"/>
      <w:r w:rsidRPr="009201B3">
        <w:rPr>
          <w:i/>
          <w:lang w:val="fr-CA"/>
        </w:rPr>
        <w:t>Zazelenchuk</w:t>
      </w:r>
      <w:proofErr w:type="spellEnd"/>
      <w:r w:rsidR="009201B3" w:rsidRPr="009201B3">
        <w:rPr>
          <w:i/>
          <w:lang w:val="fr-CA"/>
        </w:rPr>
        <w:t xml:space="preserve"> </w:t>
      </w:r>
      <w:r w:rsidR="009201B3" w:rsidRPr="009201B3">
        <w:rPr>
          <w:lang w:val="fr-CA"/>
        </w:rPr>
        <w:t xml:space="preserve">(1984), </w:t>
      </w:r>
      <w:r w:rsidR="009201B3" w:rsidRPr="009201B3">
        <w:rPr>
          <w:lang w:val="fr-CA"/>
        </w:rPr>
        <w:lastRenderedPageBreak/>
        <w:t xml:space="preserve">36 </w:t>
      </w:r>
      <w:proofErr w:type="spellStart"/>
      <w:r w:rsidR="009201B3" w:rsidRPr="009201B3">
        <w:rPr>
          <w:lang w:val="fr-CA"/>
        </w:rPr>
        <w:t>Sask</w:t>
      </w:r>
      <w:proofErr w:type="spellEnd"/>
      <w:r w:rsidR="009201B3" w:rsidRPr="009201B3">
        <w:rPr>
          <w:lang w:val="fr-CA"/>
        </w:rPr>
        <w:t xml:space="preserve">. R. 103; </w:t>
      </w:r>
      <w:r w:rsidRPr="009201B3">
        <w:rPr>
          <w:i/>
          <w:lang w:val="fr-CA"/>
        </w:rPr>
        <w:t xml:space="preserve">Reference </w:t>
      </w:r>
      <w:proofErr w:type="spellStart"/>
      <w:r w:rsidRPr="009201B3">
        <w:rPr>
          <w:i/>
          <w:lang w:val="fr-CA"/>
        </w:rPr>
        <w:t>Re</w:t>
      </w:r>
      <w:proofErr w:type="spellEnd"/>
      <w:r w:rsidRPr="009201B3">
        <w:rPr>
          <w:i/>
          <w:lang w:val="fr-CA"/>
        </w:rPr>
        <w:t xml:space="preserve"> Yukon </w:t>
      </w:r>
      <w:proofErr w:type="spellStart"/>
      <w:r w:rsidRPr="009201B3">
        <w:rPr>
          <w:i/>
          <w:lang w:val="fr-CA"/>
        </w:rPr>
        <w:t>Election</w:t>
      </w:r>
      <w:proofErr w:type="spellEnd"/>
      <w:r w:rsidRPr="009201B3">
        <w:rPr>
          <w:i/>
          <w:lang w:val="fr-CA"/>
        </w:rPr>
        <w:t xml:space="preserve"> </w:t>
      </w:r>
      <w:proofErr w:type="spellStart"/>
      <w:r w:rsidRPr="009201B3">
        <w:rPr>
          <w:i/>
          <w:lang w:val="fr-CA"/>
        </w:rPr>
        <w:t>Residency</w:t>
      </w:r>
      <w:proofErr w:type="spellEnd"/>
      <w:r w:rsidRPr="009201B3">
        <w:rPr>
          <w:i/>
          <w:lang w:val="fr-CA"/>
        </w:rPr>
        <w:t xml:space="preserve"> </w:t>
      </w:r>
      <w:proofErr w:type="spellStart"/>
      <w:r w:rsidRPr="009201B3">
        <w:rPr>
          <w:i/>
          <w:lang w:val="fr-CA"/>
        </w:rPr>
        <w:t>Requirement</w:t>
      </w:r>
      <w:r w:rsidR="00CA7108">
        <w:rPr>
          <w:i/>
          <w:lang w:val="fr-CA"/>
        </w:rPr>
        <w:t>s</w:t>
      </w:r>
      <w:proofErr w:type="spellEnd"/>
      <w:r w:rsidR="00EF2D02">
        <w:rPr>
          <w:lang w:val="fr-CA"/>
        </w:rPr>
        <w:t xml:space="preserve"> (1986), 1 Y.R. 23</w:t>
      </w:r>
      <w:r w:rsidRPr="009201B3">
        <w:rPr>
          <w:lang w:val="fr-CA"/>
        </w:rPr>
        <w:t xml:space="preserve">; </w:t>
      </w:r>
      <w:proofErr w:type="spellStart"/>
      <w:r w:rsidR="009201B3" w:rsidRPr="009201B3">
        <w:rPr>
          <w:i/>
          <w:lang w:val="fr-CA"/>
        </w:rPr>
        <w:t>Anawak</w:t>
      </w:r>
      <w:proofErr w:type="spellEnd"/>
      <w:r w:rsidR="009201B3" w:rsidRPr="009201B3">
        <w:rPr>
          <w:i/>
          <w:lang w:val="fr-CA"/>
        </w:rPr>
        <w:t xml:space="preserve"> c</w:t>
      </w:r>
      <w:r w:rsidRPr="009201B3">
        <w:rPr>
          <w:i/>
          <w:lang w:val="fr-CA"/>
        </w:rPr>
        <w:t>. Nunavut (</w:t>
      </w:r>
      <w:r w:rsidR="009201B3" w:rsidRPr="009201B3">
        <w:rPr>
          <w:i/>
          <w:lang w:val="fr-CA"/>
        </w:rPr>
        <w:t>Directeur général des élections)</w:t>
      </w:r>
      <w:r w:rsidRPr="00CA7108">
        <w:rPr>
          <w:lang w:val="fr-CA"/>
        </w:rPr>
        <w:t>,</w:t>
      </w:r>
      <w:r w:rsidRPr="009201B3">
        <w:rPr>
          <w:i/>
          <w:lang w:val="fr-CA"/>
        </w:rPr>
        <w:t xml:space="preserve"> </w:t>
      </w:r>
      <w:r w:rsidRPr="009201B3">
        <w:rPr>
          <w:lang w:val="fr-CA"/>
        </w:rPr>
        <w:t>2008 NUCJ 26</w:t>
      </w:r>
      <w:r w:rsidR="009201B3" w:rsidRPr="009201B3">
        <w:rPr>
          <w:lang w:val="fr-CA"/>
        </w:rPr>
        <w:t>, 172 A.C.W.S. (3d) 391</w:t>
      </w:r>
      <w:r w:rsidRPr="009201B3">
        <w:rPr>
          <w:lang w:val="fr-CA"/>
        </w:rPr>
        <w:t>.</w:t>
      </w:r>
    </w:p>
    <w:p w:rsidR="00D6557C" w:rsidRPr="0076623F" w:rsidRDefault="00D6557C" w:rsidP="00D6557C">
      <w:pPr>
        <w:pStyle w:val="SCCNormalDoubleSpacing"/>
        <w:spacing w:after="720" w:line="240" w:lineRule="auto"/>
        <w:rPr>
          <w:lang w:val="fr-CA"/>
        </w:rPr>
      </w:pPr>
      <w:r>
        <w:rPr>
          <w:lang w:val="fr-CA"/>
        </w:rPr>
        <w:t>Citée</w:t>
      </w:r>
      <w:r w:rsidR="00CA7108">
        <w:rPr>
          <w:lang w:val="fr-CA"/>
        </w:rPr>
        <w:t xml:space="preserve"> par le juge Rowe</w:t>
      </w:r>
    </w:p>
    <w:p w:rsidR="00D6557C" w:rsidRPr="009201B3" w:rsidRDefault="00D6557C" w:rsidP="00805B11">
      <w:pPr>
        <w:pStyle w:val="SCCNormalDoubleSpacing"/>
        <w:spacing w:after="480"/>
        <w:rPr>
          <w:lang w:val="fr-CA"/>
        </w:rPr>
      </w:pPr>
      <w:r w:rsidRPr="0076623F">
        <w:rPr>
          <w:lang w:val="fr-CA"/>
        </w:rPr>
        <w:tab/>
      </w:r>
      <w:r w:rsidR="00E82B1A">
        <w:rPr>
          <w:b/>
          <w:lang w:val="fr-CA"/>
        </w:rPr>
        <w:t xml:space="preserve">Distinction d’avec l’arrêt : </w:t>
      </w:r>
      <w:r w:rsidR="00E82B1A">
        <w:rPr>
          <w:i/>
          <w:lang w:val="fr-CA"/>
        </w:rPr>
        <w:t>Harper c</w:t>
      </w:r>
      <w:r w:rsidR="00E82B1A" w:rsidRPr="0076623F">
        <w:rPr>
          <w:i/>
          <w:lang w:val="fr-CA"/>
        </w:rPr>
        <w:t>. Canada (</w:t>
      </w:r>
      <w:r w:rsidR="00E82B1A">
        <w:rPr>
          <w:i/>
          <w:lang w:val="fr-CA"/>
        </w:rPr>
        <w:t>Procureur général</w:t>
      </w:r>
      <w:r w:rsidR="00E82B1A" w:rsidRPr="0076623F">
        <w:rPr>
          <w:i/>
          <w:lang w:val="fr-CA"/>
        </w:rPr>
        <w:t>)</w:t>
      </w:r>
      <w:r w:rsidR="00E82B1A">
        <w:rPr>
          <w:lang w:val="fr-CA"/>
        </w:rPr>
        <w:t xml:space="preserve">, 2004 </w:t>
      </w:r>
      <w:r w:rsidR="00E82B1A" w:rsidRPr="0076623F">
        <w:rPr>
          <w:lang w:val="fr-CA"/>
        </w:rPr>
        <w:t>C</w:t>
      </w:r>
      <w:r w:rsidR="00E82B1A">
        <w:rPr>
          <w:lang w:val="fr-CA"/>
        </w:rPr>
        <w:t>S</w:t>
      </w:r>
      <w:r w:rsidR="00E82B1A" w:rsidRPr="0076623F">
        <w:rPr>
          <w:lang w:val="fr-CA"/>
        </w:rPr>
        <w:t>C 33, [200</w:t>
      </w:r>
      <w:r w:rsidR="00E82B1A">
        <w:rPr>
          <w:lang w:val="fr-CA"/>
        </w:rPr>
        <w:t>4] 1 R.C.S</w:t>
      </w:r>
      <w:r w:rsidR="00E82B1A" w:rsidRPr="0076623F">
        <w:rPr>
          <w:lang w:val="fr-CA"/>
        </w:rPr>
        <w:t xml:space="preserve">. 827; </w:t>
      </w:r>
      <w:r w:rsidR="00E82B1A">
        <w:rPr>
          <w:b/>
          <w:lang w:val="fr-CA"/>
        </w:rPr>
        <w:t xml:space="preserve">arrêt examiné : </w:t>
      </w:r>
      <w:r w:rsidR="00E82B1A" w:rsidRPr="00E82B1A">
        <w:rPr>
          <w:i/>
          <w:lang w:val="fr-CA"/>
        </w:rPr>
        <w:t>R</w:t>
      </w:r>
      <w:r w:rsidRPr="00E82B1A">
        <w:rPr>
          <w:i/>
          <w:lang w:val="fr-CA"/>
        </w:rPr>
        <w:t>eference</w:t>
      </w:r>
      <w:r w:rsidRPr="008859F7">
        <w:rPr>
          <w:i/>
          <w:lang w:val="fr-CA"/>
        </w:rPr>
        <w:t xml:space="preserve"> </w:t>
      </w:r>
      <w:proofErr w:type="spellStart"/>
      <w:r w:rsidRPr="008859F7">
        <w:rPr>
          <w:i/>
          <w:lang w:val="fr-CA"/>
        </w:rPr>
        <w:t>re</w:t>
      </w:r>
      <w:proofErr w:type="spellEnd"/>
      <w:r w:rsidRPr="008859F7">
        <w:rPr>
          <w:i/>
          <w:lang w:val="fr-CA"/>
        </w:rPr>
        <w:t xml:space="preserve"> Yukon </w:t>
      </w:r>
      <w:proofErr w:type="spellStart"/>
      <w:r w:rsidRPr="008859F7">
        <w:rPr>
          <w:i/>
          <w:lang w:val="fr-CA"/>
        </w:rPr>
        <w:t>Election</w:t>
      </w:r>
      <w:proofErr w:type="spellEnd"/>
      <w:r w:rsidRPr="008859F7">
        <w:rPr>
          <w:i/>
          <w:lang w:val="fr-CA"/>
        </w:rPr>
        <w:t xml:space="preserve"> </w:t>
      </w:r>
      <w:proofErr w:type="spellStart"/>
      <w:r w:rsidRPr="008859F7">
        <w:rPr>
          <w:i/>
          <w:lang w:val="fr-CA"/>
        </w:rPr>
        <w:t>Residency</w:t>
      </w:r>
      <w:proofErr w:type="spellEnd"/>
      <w:r w:rsidRPr="008859F7">
        <w:rPr>
          <w:i/>
          <w:lang w:val="fr-CA"/>
        </w:rPr>
        <w:t xml:space="preserve"> </w:t>
      </w:r>
      <w:proofErr w:type="spellStart"/>
      <w:r w:rsidRPr="008859F7">
        <w:rPr>
          <w:i/>
          <w:lang w:val="fr-CA"/>
        </w:rPr>
        <w:t>Requirements</w:t>
      </w:r>
      <w:proofErr w:type="spellEnd"/>
      <w:r w:rsidRPr="008859F7">
        <w:rPr>
          <w:i/>
          <w:lang w:val="fr-CA"/>
        </w:rPr>
        <w:t xml:space="preserve"> </w:t>
      </w:r>
      <w:r w:rsidRPr="008859F7">
        <w:rPr>
          <w:lang w:val="fr-CA"/>
        </w:rPr>
        <w:t xml:space="preserve">(1986), </w:t>
      </w:r>
      <w:r w:rsidR="00EF2D02">
        <w:rPr>
          <w:rStyle w:val="nowrap"/>
          <w:lang w:val="fr-CA"/>
        </w:rPr>
        <w:t>1 Y.R. 23</w:t>
      </w:r>
      <w:r w:rsidRPr="008859F7">
        <w:rPr>
          <w:rStyle w:val="nowrap"/>
          <w:lang w:val="fr-CA"/>
        </w:rPr>
        <w:t>;</w:t>
      </w:r>
      <w:r>
        <w:rPr>
          <w:rStyle w:val="nowrap"/>
          <w:lang w:val="fr-CA"/>
        </w:rPr>
        <w:t xml:space="preserve"> </w:t>
      </w:r>
      <w:r w:rsidR="00E82B1A">
        <w:rPr>
          <w:rStyle w:val="nowrap"/>
          <w:b/>
          <w:lang w:val="fr-CA"/>
        </w:rPr>
        <w:t xml:space="preserve">arrêts mentionnés : </w:t>
      </w:r>
      <w:r w:rsidRPr="0076623F">
        <w:rPr>
          <w:i/>
          <w:lang w:val="fr-CA"/>
        </w:rPr>
        <w:t xml:space="preserve">Haig </w:t>
      </w:r>
      <w:r>
        <w:rPr>
          <w:i/>
          <w:lang w:val="fr-CA"/>
        </w:rPr>
        <w:t>c</w:t>
      </w:r>
      <w:r w:rsidRPr="0076623F">
        <w:rPr>
          <w:i/>
          <w:lang w:val="fr-CA"/>
        </w:rPr>
        <w:t>. Canada (</w:t>
      </w:r>
      <w:r>
        <w:rPr>
          <w:i/>
          <w:lang w:val="fr-CA"/>
        </w:rPr>
        <w:t>Directeur général des élections</w:t>
      </w:r>
      <w:r w:rsidRPr="0076623F">
        <w:rPr>
          <w:i/>
          <w:lang w:val="fr-CA"/>
        </w:rPr>
        <w:t>)</w:t>
      </w:r>
      <w:r>
        <w:rPr>
          <w:lang w:val="fr-CA"/>
        </w:rPr>
        <w:t>, [1993] 2 R.C.S</w:t>
      </w:r>
      <w:r w:rsidRPr="0076623F">
        <w:rPr>
          <w:lang w:val="fr-CA"/>
        </w:rPr>
        <w:t>. 995;</w:t>
      </w:r>
      <w:r w:rsidRPr="0076623F">
        <w:rPr>
          <w:i/>
          <w:lang w:val="fr-CA"/>
        </w:rPr>
        <w:t xml:space="preserve"> </w:t>
      </w:r>
      <w:r>
        <w:rPr>
          <w:i/>
          <w:lang w:val="fr-CA"/>
        </w:rPr>
        <w:t>RJR</w:t>
      </w:r>
      <w:r>
        <w:rPr>
          <w:i/>
          <w:lang w:val="fr-CA"/>
        </w:rPr>
        <w:noBreakHyphen/>
      </w:r>
      <w:proofErr w:type="spellStart"/>
      <w:r>
        <w:rPr>
          <w:i/>
          <w:lang w:val="fr-CA"/>
        </w:rPr>
        <w:t>MacDonald</w:t>
      </w:r>
      <w:proofErr w:type="spellEnd"/>
      <w:r>
        <w:rPr>
          <w:i/>
          <w:lang w:val="fr-CA"/>
        </w:rPr>
        <w:t xml:space="preserve"> Inc. c</w:t>
      </w:r>
      <w:r w:rsidRPr="0076623F">
        <w:rPr>
          <w:i/>
          <w:lang w:val="fr-CA"/>
        </w:rPr>
        <w:t>. Canada</w:t>
      </w:r>
      <w:r w:rsidR="009C6729">
        <w:rPr>
          <w:i/>
          <w:lang w:val="fr-CA"/>
        </w:rPr>
        <w:t xml:space="preserve"> (Procureur général)</w:t>
      </w:r>
      <w:r>
        <w:rPr>
          <w:lang w:val="fr-CA"/>
        </w:rPr>
        <w:t>, [1995] 3 R.</w:t>
      </w:r>
      <w:r w:rsidRPr="009201B3">
        <w:rPr>
          <w:lang w:val="fr-CA"/>
        </w:rPr>
        <w:t xml:space="preserve">C.S. 199; </w:t>
      </w:r>
      <w:r w:rsidRPr="009201B3">
        <w:rPr>
          <w:i/>
          <w:lang w:val="fr-CA"/>
        </w:rPr>
        <w:t>Lavigne c. Syndicat des employés de la fonction publique de l</w:t>
      </w:r>
      <w:r w:rsidR="00805B11">
        <w:rPr>
          <w:i/>
          <w:lang w:val="fr-CA"/>
        </w:rPr>
        <w:t>’</w:t>
      </w:r>
      <w:r w:rsidRPr="009201B3">
        <w:rPr>
          <w:i/>
          <w:lang w:val="fr-CA"/>
        </w:rPr>
        <w:t>Ontario</w:t>
      </w:r>
      <w:r w:rsidRPr="009201B3">
        <w:rPr>
          <w:lang w:val="fr-CA"/>
        </w:rPr>
        <w:t xml:space="preserve">, [1991] 2 R.C.S. 211; </w:t>
      </w:r>
      <w:r w:rsidRPr="009201B3">
        <w:rPr>
          <w:i/>
          <w:lang w:val="fr-CA"/>
        </w:rPr>
        <w:t>Sauvé c. Canada (Directeur général des élections)</w:t>
      </w:r>
      <w:r w:rsidRPr="009201B3">
        <w:rPr>
          <w:lang w:val="fr-CA"/>
        </w:rPr>
        <w:t>, 2002 CSC 68, [2002] 3 R.C.S. 519;</w:t>
      </w:r>
      <w:r w:rsidRPr="009201B3">
        <w:rPr>
          <w:i/>
          <w:lang w:val="fr-CA"/>
        </w:rPr>
        <w:t xml:space="preserve"> </w:t>
      </w:r>
      <w:proofErr w:type="spellStart"/>
      <w:r w:rsidRPr="009201B3">
        <w:rPr>
          <w:i/>
          <w:lang w:val="fr-CA"/>
        </w:rPr>
        <w:t>Figueroa</w:t>
      </w:r>
      <w:proofErr w:type="spellEnd"/>
      <w:r w:rsidRPr="009201B3">
        <w:rPr>
          <w:i/>
          <w:lang w:val="fr-CA"/>
        </w:rPr>
        <w:t xml:space="preserve"> c. Canada (Procureur général)</w:t>
      </w:r>
      <w:r w:rsidRPr="009201B3">
        <w:rPr>
          <w:lang w:val="fr-CA"/>
        </w:rPr>
        <w:t>, 2003 CSC 37, [2003] 1 R.C.S. 912.</w:t>
      </w:r>
    </w:p>
    <w:p w:rsidR="00FA0845" w:rsidRDefault="005B1CDC" w:rsidP="00382AA5">
      <w:pPr>
        <w:pStyle w:val="SCCNormalDoubleSpacing"/>
        <w:spacing w:after="720" w:line="240" w:lineRule="auto"/>
        <w:rPr>
          <w:lang w:val="fr-CA"/>
        </w:rPr>
      </w:pPr>
      <w:r>
        <w:rPr>
          <w:lang w:val="fr-CA"/>
        </w:rPr>
        <w:t>Citée</w:t>
      </w:r>
      <w:r w:rsidR="00C7366F" w:rsidRPr="00C7366F">
        <w:rPr>
          <w:lang w:val="fr-CA"/>
        </w:rPr>
        <w:t xml:space="preserve"> </w:t>
      </w:r>
      <w:r w:rsidR="00CA7108">
        <w:rPr>
          <w:lang w:val="fr-CA"/>
        </w:rPr>
        <w:t>par les juges Côté et Brown</w:t>
      </w:r>
      <w:r w:rsidR="00966F42">
        <w:rPr>
          <w:lang w:val="fr-CA"/>
        </w:rPr>
        <w:t xml:space="preserve"> (dissidents)</w:t>
      </w:r>
    </w:p>
    <w:p w:rsidR="004D7D95" w:rsidRDefault="004D7D95" w:rsidP="00805B11">
      <w:pPr>
        <w:pStyle w:val="SCCNormalDoubleSpacing"/>
        <w:spacing w:after="480"/>
        <w:rPr>
          <w:lang w:val="fr-CA"/>
        </w:rPr>
      </w:pPr>
      <w:r w:rsidRPr="00F65599">
        <w:rPr>
          <w:lang w:val="fr-CA"/>
        </w:rPr>
        <w:tab/>
      </w:r>
      <w:r w:rsidR="00C7366F" w:rsidRPr="00F65599">
        <w:rPr>
          <w:i/>
          <w:lang w:val="fr-CA"/>
        </w:rPr>
        <w:t>Sauvé c. Canada (</w:t>
      </w:r>
      <w:r w:rsidR="00F65599" w:rsidRPr="00F65599">
        <w:rPr>
          <w:i/>
          <w:lang w:val="fr-CA"/>
        </w:rPr>
        <w:t>Directeur général des élections</w:t>
      </w:r>
      <w:r w:rsidR="00C7366F" w:rsidRPr="00F65599">
        <w:rPr>
          <w:i/>
          <w:lang w:val="fr-CA"/>
        </w:rPr>
        <w:t>)</w:t>
      </w:r>
      <w:r w:rsidR="00C7366F" w:rsidRPr="00F65599">
        <w:rPr>
          <w:lang w:val="fr-CA"/>
        </w:rPr>
        <w:t xml:space="preserve">, </w:t>
      </w:r>
      <w:r w:rsidR="00F65599">
        <w:rPr>
          <w:lang w:val="fr-CA"/>
        </w:rPr>
        <w:t>2002 CS</w:t>
      </w:r>
      <w:r w:rsidR="00C7366F" w:rsidRPr="00F65599">
        <w:rPr>
          <w:lang w:val="fr-CA"/>
        </w:rPr>
        <w:t xml:space="preserve">C 68, </w:t>
      </w:r>
      <w:r w:rsidR="00F65599">
        <w:rPr>
          <w:lang w:val="fr-CA"/>
        </w:rPr>
        <w:t>[2002] 3 R.C.S</w:t>
      </w:r>
      <w:r w:rsidR="00C7366F" w:rsidRPr="00F65599">
        <w:rPr>
          <w:lang w:val="fr-CA"/>
        </w:rPr>
        <w:t>. 519;</w:t>
      </w:r>
      <w:r w:rsidR="00C7366F" w:rsidRPr="00F65599">
        <w:rPr>
          <w:i/>
          <w:lang w:val="fr-CA"/>
        </w:rPr>
        <w:t xml:space="preserve"> R. </w:t>
      </w:r>
      <w:r w:rsidR="00F65599">
        <w:rPr>
          <w:i/>
          <w:lang w:val="fr-CA"/>
        </w:rPr>
        <w:t>c</w:t>
      </w:r>
      <w:r w:rsidR="00C7366F" w:rsidRPr="00F65599">
        <w:rPr>
          <w:i/>
          <w:lang w:val="fr-CA"/>
        </w:rPr>
        <w:t xml:space="preserve">. </w:t>
      </w:r>
      <w:proofErr w:type="spellStart"/>
      <w:r w:rsidR="00C7366F" w:rsidRPr="00F65599">
        <w:rPr>
          <w:i/>
          <w:lang w:val="fr-CA"/>
        </w:rPr>
        <w:t>Oakes</w:t>
      </w:r>
      <w:proofErr w:type="spellEnd"/>
      <w:r w:rsidR="00F65599">
        <w:rPr>
          <w:lang w:val="fr-CA"/>
        </w:rPr>
        <w:t>, [1986] 1 R</w:t>
      </w:r>
      <w:r w:rsidR="00C7366F" w:rsidRPr="00F65599">
        <w:rPr>
          <w:lang w:val="fr-CA"/>
        </w:rPr>
        <w:t>.C.</w:t>
      </w:r>
      <w:r w:rsidR="00F65599">
        <w:rPr>
          <w:lang w:val="fr-CA"/>
        </w:rPr>
        <w:t>S</w:t>
      </w:r>
      <w:r w:rsidR="00C7366F" w:rsidRPr="00F65599">
        <w:rPr>
          <w:lang w:val="fr-CA"/>
        </w:rPr>
        <w:t>. 103;</w:t>
      </w:r>
      <w:r w:rsidR="00C7366F" w:rsidRPr="00F65599">
        <w:rPr>
          <w:i/>
          <w:lang w:val="fr-CA"/>
        </w:rPr>
        <w:t xml:space="preserve"> R. </w:t>
      </w:r>
      <w:r w:rsidR="00105F22">
        <w:rPr>
          <w:i/>
          <w:lang w:val="fr-CA"/>
        </w:rPr>
        <w:t>c</w:t>
      </w:r>
      <w:r w:rsidR="00C7366F" w:rsidRPr="00F65599">
        <w:rPr>
          <w:i/>
          <w:lang w:val="fr-CA"/>
        </w:rPr>
        <w:t>. K.R.J.</w:t>
      </w:r>
      <w:r w:rsidR="00C7366F" w:rsidRPr="00F65599">
        <w:rPr>
          <w:lang w:val="fr-CA"/>
        </w:rPr>
        <w:t xml:space="preserve">, </w:t>
      </w:r>
      <w:r w:rsidR="00F65599">
        <w:rPr>
          <w:lang w:val="fr-CA"/>
        </w:rPr>
        <w:t>2016 CS</w:t>
      </w:r>
      <w:r w:rsidR="00C7366F" w:rsidRPr="00F65599">
        <w:rPr>
          <w:lang w:val="fr-CA"/>
        </w:rPr>
        <w:t xml:space="preserve">C 31, </w:t>
      </w:r>
      <w:r w:rsidR="00F65599">
        <w:rPr>
          <w:lang w:val="fr-CA"/>
        </w:rPr>
        <w:t>[2016] 1 R.C.S</w:t>
      </w:r>
      <w:r w:rsidR="00C7366F" w:rsidRPr="00F65599">
        <w:rPr>
          <w:lang w:val="fr-CA"/>
        </w:rPr>
        <w:t>. 906;</w:t>
      </w:r>
      <w:r w:rsidR="00C7366F" w:rsidRPr="00F65599">
        <w:rPr>
          <w:i/>
          <w:lang w:val="fr-CA"/>
        </w:rPr>
        <w:t xml:space="preserve"> Law Society of British Columbia </w:t>
      </w:r>
      <w:r w:rsidR="00F65599">
        <w:rPr>
          <w:i/>
          <w:iCs/>
          <w:lang w:val="fr-CA"/>
        </w:rPr>
        <w:t>c</w:t>
      </w:r>
      <w:r w:rsidR="00C7366F" w:rsidRPr="00F65599">
        <w:rPr>
          <w:i/>
          <w:iCs/>
          <w:lang w:val="fr-CA"/>
        </w:rPr>
        <w:t>.</w:t>
      </w:r>
      <w:r w:rsidR="00C7366F" w:rsidRPr="00F65599">
        <w:rPr>
          <w:i/>
          <w:lang w:val="fr-CA"/>
        </w:rPr>
        <w:t xml:space="preserve"> Trinity Western </w:t>
      </w:r>
      <w:proofErr w:type="spellStart"/>
      <w:r w:rsidR="00C7366F" w:rsidRPr="00F65599">
        <w:rPr>
          <w:i/>
          <w:lang w:val="fr-CA"/>
        </w:rPr>
        <w:t>University</w:t>
      </w:r>
      <w:proofErr w:type="spellEnd"/>
      <w:r w:rsidR="00F65599">
        <w:rPr>
          <w:lang w:val="fr-CA"/>
        </w:rPr>
        <w:t xml:space="preserve">, 2018 </w:t>
      </w:r>
      <w:r w:rsidR="00C7366F" w:rsidRPr="00F65599">
        <w:rPr>
          <w:lang w:val="fr-CA"/>
        </w:rPr>
        <w:t>C</w:t>
      </w:r>
      <w:r w:rsidR="00F65599">
        <w:rPr>
          <w:lang w:val="fr-CA"/>
        </w:rPr>
        <w:t>S</w:t>
      </w:r>
      <w:r w:rsidR="00C7366F" w:rsidRPr="00F65599">
        <w:rPr>
          <w:lang w:val="fr-CA"/>
        </w:rPr>
        <w:t>C 32</w:t>
      </w:r>
      <w:r w:rsidR="000A0705">
        <w:rPr>
          <w:lang w:val="fr-CA"/>
        </w:rPr>
        <w:t>, [2018] 2 R.C.S. 453</w:t>
      </w:r>
      <w:r w:rsidR="00C7366F" w:rsidRPr="00F65599">
        <w:rPr>
          <w:lang w:val="fr-CA"/>
        </w:rPr>
        <w:t xml:space="preserve">; </w:t>
      </w:r>
      <w:proofErr w:type="spellStart"/>
      <w:r w:rsidR="00FA0845">
        <w:rPr>
          <w:i/>
          <w:lang w:val="fr-CA"/>
        </w:rPr>
        <w:t>Bracken</w:t>
      </w:r>
      <w:proofErr w:type="spellEnd"/>
      <w:r w:rsidR="00FA0845">
        <w:rPr>
          <w:i/>
          <w:lang w:val="fr-CA"/>
        </w:rPr>
        <w:t xml:space="preserve"> c</w:t>
      </w:r>
      <w:r w:rsidR="00FA0845" w:rsidRPr="00FA0845">
        <w:rPr>
          <w:i/>
          <w:lang w:val="fr-CA"/>
        </w:rPr>
        <w:t>. Niagara Parks Police</w:t>
      </w:r>
      <w:r w:rsidR="00FA0845" w:rsidRPr="00FA0845">
        <w:rPr>
          <w:lang w:val="fr-CA"/>
        </w:rPr>
        <w:t>, 2018 ONCA 261, 141 O.R. (3d) 168</w:t>
      </w:r>
      <w:r w:rsidR="00FA0845">
        <w:rPr>
          <w:lang w:val="fr-CA"/>
        </w:rPr>
        <w:t xml:space="preserve">; </w:t>
      </w:r>
      <w:r w:rsidR="00C7366F" w:rsidRPr="00F65599">
        <w:rPr>
          <w:i/>
          <w:lang w:val="fr-CA"/>
        </w:rPr>
        <w:t>R</w:t>
      </w:r>
      <w:r w:rsidR="002E2CCF">
        <w:rPr>
          <w:i/>
          <w:lang w:val="fr-CA"/>
        </w:rPr>
        <w:t>.</w:t>
      </w:r>
      <w:r w:rsidR="00C7366F" w:rsidRPr="00F65599">
        <w:rPr>
          <w:i/>
          <w:lang w:val="fr-CA"/>
        </w:rPr>
        <w:t xml:space="preserve"> </w:t>
      </w:r>
      <w:r w:rsidR="00F65599">
        <w:rPr>
          <w:i/>
          <w:lang w:val="fr-CA"/>
        </w:rPr>
        <w:t>c</w:t>
      </w:r>
      <w:r w:rsidR="00C7366F" w:rsidRPr="00F65599">
        <w:rPr>
          <w:i/>
          <w:lang w:val="fr-CA"/>
        </w:rPr>
        <w:t xml:space="preserve">. </w:t>
      </w:r>
      <w:proofErr w:type="spellStart"/>
      <w:r w:rsidR="00C7366F" w:rsidRPr="00F65599">
        <w:rPr>
          <w:i/>
          <w:lang w:val="fr-CA"/>
        </w:rPr>
        <w:t>Keegstra</w:t>
      </w:r>
      <w:proofErr w:type="spellEnd"/>
      <w:r w:rsidR="00C7366F" w:rsidRPr="00F65599">
        <w:rPr>
          <w:lang w:val="fr-CA"/>
        </w:rPr>
        <w:t xml:space="preserve">, [1990] 3 </w:t>
      </w:r>
      <w:r w:rsidR="00F65599">
        <w:rPr>
          <w:lang w:val="fr-CA"/>
        </w:rPr>
        <w:t>R.C.S</w:t>
      </w:r>
      <w:r w:rsidR="00C7366F" w:rsidRPr="00F65599">
        <w:rPr>
          <w:lang w:val="fr-CA"/>
        </w:rPr>
        <w:t xml:space="preserve">. 697; </w:t>
      </w:r>
      <w:r w:rsidR="00C7366F" w:rsidRPr="00F65599">
        <w:rPr>
          <w:i/>
          <w:lang w:val="fr-CA"/>
        </w:rPr>
        <w:t xml:space="preserve">R. </w:t>
      </w:r>
      <w:r w:rsidR="00F2171D">
        <w:rPr>
          <w:i/>
          <w:lang w:val="fr-CA"/>
        </w:rPr>
        <w:t>c</w:t>
      </w:r>
      <w:r w:rsidR="00C7366F" w:rsidRPr="00F65599">
        <w:rPr>
          <w:i/>
          <w:lang w:val="fr-CA"/>
        </w:rPr>
        <w:t>. Sharpe</w:t>
      </w:r>
      <w:r w:rsidR="00C7366F" w:rsidRPr="00F65599">
        <w:rPr>
          <w:lang w:val="fr-CA"/>
        </w:rPr>
        <w:t xml:space="preserve">, </w:t>
      </w:r>
      <w:r w:rsidR="00F65599">
        <w:rPr>
          <w:lang w:val="fr-CA"/>
        </w:rPr>
        <w:t>2001 CS</w:t>
      </w:r>
      <w:r w:rsidR="00C7366F" w:rsidRPr="00F65599">
        <w:rPr>
          <w:lang w:val="fr-CA"/>
        </w:rPr>
        <w:t xml:space="preserve">C </w:t>
      </w:r>
      <w:r w:rsidR="00C7366F" w:rsidRPr="007933D2">
        <w:rPr>
          <w:lang w:val="fr-CA"/>
        </w:rPr>
        <w:t xml:space="preserve">2, </w:t>
      </w:r>
      <w:r w:rsidR="00F65599" w:rsidRPr="007933D2">
        <w:rPr>
          <w:lang w:val="fr-CA"/>
        </w:rPr>
        <w:t>[2001] 1 R.C.S</w:t>
      </w:r>
      <w:r w:rsidR="00C7366F" w:rsidRPr="007933D2">
        <w:rPr>
          <w:lang w:val="fr-CA"/>
        </w:rPr>
        <w:t xml:space="preserve">. 45; </w:t>
      </w:r>
      <w:r w:rsidR="00C7366F" w:rsidRPr="007933D2">
        <w:rPr>
          <w:i/>
          <w:lang w:val="fr-CA"/>
        </w:rPr>
        <w:t xml:space="preserve">Thomson </w:t>
      </w:r>
      <w:proofErr w:type="spellStart"/>
      <w:r w:rsidR="00C7366F" w:rsidRPr="007933D2">
        <w:rPr>
          <w:i/>
          <w:lang w:val="fr-CA"/>
        </w:rPr>
        <w:t>Newspapers</w:t>
      </w:r>
      <w:proofErr w:type="spellEnd"/>
      <w:r w:rsidR="002E2CCF" w:rsidRPr="007933D2">
        <w:rPr>
          <w:i/>
          <w:lang w:val="fr-CA"/>
        </w:rPr>
        <w:t xml:space="preserve"> Co. </w:t>
      </w:r>
      <w:r w:rsidR="00F2171D" w:rsidRPr="007933D2">
        <w:rPr>
          <w:i/>
          <w:lang w:val="fr-CA"/>
        </w:rPr>
        <w:t>c</w:t>
      </w:r>
      <w:r w:rsidR="00C7366F" w:rsidRPr="007933D2">
        <w:rPr>
          <w:i/>
          <w:lang w:val="fr-CA"/>
        </w:rPr>
        <w:t xml:space="preserve">. </w:t>
      </w:r>
      <w:r w:rsidR="00F65599" w:rsidRPr="007933D2">
        <w:rPr>
          <w:i/>
          <w:lang w:val="fr-CA"/>
        </w:rPr>
        <w:t>Canada (Procureur général</w:t>
      </w:r>
      <w:r w:rsidR="00C7366F" w:rsidRPr="007933D2">
        <w:rPr>
          <w:i/>
          <w:lang w:val="fr-CA"/>
        </w:rPr>
        <w:t>)</w:t>
      </w:r>
      <w:r w:rsidR="00C7366F" w:rsidRPr="007933D2">
        <w:rPr>
          <w:lang w:val="fr-CA"/>
        </w:rPr>
        <w:t xml:space="preserve">, [1998] 1 </w:t>
      </w:r>
      <w:r w:rsidR="00F65599" w:rsidRPr="007933D2">
        <w:rPr>
          <w:lang w:val="fr-CA"/>
        </w:rPr>
        <w:t>R.C.S</w:t>
      </w:r>
      <w:r w:rsidR="00C7366F" w:rsidRPr="007933D2">
        <w:rPr>
          <w:lang w:val="fr-CA"/>
        </w:rPr>
        <w:t>. 877;</w:t>
      </w:r>
      <w:r w:rsidR="00C7366F" w:rsidRPr="007933D2">
        <w:rPr>
          <w:i/>
          <w:lang w:val="fr-CA"/>
        </w:rPr>
        <w:t xml:space="preserve"> R</w:t>
      </w:r>
      <w:r w:rsidR="002E2CCF" w:rsidRPr="007933D2">
        <w:rPr>
          <w:i/>
          <w:lang w:val="fr-CA"/>
        </w:rPr>
        <w:t>.</w:t>
      </w:r>
      <w:r w:rsidR="00C7366F" w:rsidRPr="007933D2">
        <w:rPr>
          <w:i/>
          <w:lang w:val="fr-CA"/>
        </w:rPr>
        <w:t xml:space="preserve"> </w:t>
      </w:r>
      <w:r w:rsidR="00F2171D" w:rsidRPr="007933D2">
        <w:rPr>
          <w:i/>
          <w:lang w:val="fr-CA"/>
        </w:rPr>
        <w:t>c</w:t>
      </w:r>
      <w:r w:rsidR="00C7366F" w:rsidRPr="007933D2">
        <w:rPr>
          <w:i/>
          <w:lang w:val="fr-CA"/>
        </w:rPr>
        <w:t>. Heywood</w:t>
      </w:r>
      <w:r w:rsidR="00C7366F" w:rsidRPr="007933D2">
        <w:rPr>
          <w:lang w:val="fr-CA"/>
        </w:rPr>
        <w:t xml:space="preserve">, [1994] 3 </w:t>
      </w:r>
      <w:r w:rsidR="00F2171D" w:rsidRPr="007933D2">
        <w:rPr>
          <w:lang w:val="fr-CA"/>
        </w:rPr>
        <w:t>R.C.S</w:t>
      </w:r>
      <w:r w:rsidR="00C7366F" w:rsidRPr="007933D2">
        <w:rPr>
          <w:lang w:val="fr-CA"/>
        </w:rPr>
        <w:t>. 761;</w:t>
      </w:r>
      <w:r w:rsidR="00C7366F" w:rsidRPr="007933D2">
        <w:rPr>
          <w:i/>
          <w:lang w:val="fr-CA"/>
        </w:rPr>
        <w:t xml:space="preserve"> </w:t>
      </w:r>
      <w:proofErr w:type="spellStart"/>
      <w:r w:rsidR="00C7366F" w:rsidRPr="007933D2">
        <w:rPr>
          <w:i/>
          <w:lang w:val="fr-CA"/>
        </w:rPr>
        <w:t>Ruparel</w:t>
      </w:r>
      <w:proofErr w:type="spellEnd"/>
      <w:r w:rsidR="00C7366F" w:rsidRPr="007933D2">
        <w:rPr>
          <w:i/>
          <w:lang w:val="fr-CA"/>
        </w:rPr>
        <w:t xml:space="preserve"> </w:t>
      </w:r>
      <w:r w:rsidR="00F2171D" w:rsidRPr="007933D2">
        <w:rPr>
          <w:i/>
          <w:lang w:val="fr-CA"/>
        </w:rPr>
        <w:t>c</w:t>
      </w:r>
      <w:r w:rsidR="00C7366F" w:rsidRPr="007933D2">
        <w:rPr>
          <w:i/>
          <w:lang w:val="fr-CA"/>
        </w:rPr>
        <w:t>. Canada (Ministr</w:t>
      </w:r>
      <w:r w:rsidR="00F2171D" w:rsidRPr="007933D2">
        <w:rPr>
          <w:i/>
          <w:lang w:val="fr-CA"/>
        </w:rPr>
        <w:t>e de l</w:t>
      </w:r>
      <w:r w:rsidR="00805B11">
        <w:rPr>
          <w:i/>
          <w:lang w:val="fr-CA"/>
        </w:rPr>
        <w:t>’</w:t>
      </w:r>
      <w:r w:rsidR="00F2171D" w:rsidRPr="007933D2">
        <w:rPr>
          <w:i/>
          <w:lang w:val="fr-CA"/>
        </w:rPr>
        <w:t xml:space="preserve">Emploi et </w:t>
      </w:r>
      <w:r w:rsidR="00F2171D" w:rsidRPr="007933D2">
        <w:rPr>
          <w:i/>
          <w:lang w:val="fr-CA"/>
        </w:rPr>
        <w:lastRenderedPageBreak/>
        <w:t>de l</w:t>
      </w:r>
      <w:r w:rsidR="00805B11">
        <w:rPr>
          <w:i/>
          <w:lang w:val="fr-CA"/>
        </w:rPr>
        <w:t>’</w:t>
      </w:r>
      <w:r w:rsidR="00F2171D" w:rsidRPr="007933D2">
        <w:rPr>
          <w:i/>
          <w:lang w:val="fr-CA"/>
        </w:rPr>
        <w:t>Immigration)</w:t>
      </w:r>
      <w:r w:rsidR="00F2171D" w:rsidRPr="007933D2">
        <w:rPr>
          <w:lang w:val="fr-CA"/>
        </w:rPr>
        <w:t>, [1990] 3 C.F</w:t>
      </w:r>
      <w:r w:rsidR="00C7366F" w:rsidRPr="007933D2">
        <w:rPr>
          <w:lang w:val="fr-CA"/>
        </w:rPr>
        <w:t xml:space="preserve">. 615; </w:t>
      </w:r>
      <w:r w:rsidR="001B5DB0">
        <w:rPr>
          <w:i/>
          <w:lang w:val="fr-CA"/>
        </w:rPr>
        <w:t xml:space="preserve">Renvoi sur la </w:t>
      </w:r>
      <w:proofErr w:type="spellStart"/>
      <w:r w:rsidR="00C7366F" w:rsidRPr="007933D2">
        <w:rPr>
          <w:i/>
          <w:lang w:val="fr-CA"/>
        </w:rPr>
        <w:t>Motor</w:t>
      </w:r>
      <w:proofErr w:type="spellEnd"/>
      <w:r w:rsidR="00C7366F" w:rsidRPr="007933D2">
        <w:rPr>
          <w:i/>
          <w:lang w:val="fr-CA"/>
        </w:rPr>
        <w:t xml:space="preserve"> </w:t>
      </w:r>
      <w:proofErr w:type="spellStart"/>
      <w:r w:rsidR="00C7366F" w:rsidRPr="007933D2">
        <w:rPr>
          <w:i/>
          <w:lang w:val="fr-CA"/>
        </w:rPr>
        <w:t>Vehicle</w:t>
      </w:r>
      <w:proofErr w:type="spellEnd"/>
      <w:r w:rsidR="00C7366F" w:rsidRPr="007933D2">
        <w:rPr>
          <w:i/>
          <w:lang w:val="fr-CA"/>
        </w:rPr>
        <w:t xml:space="preserve"> </w:t>
      </w:r>
      <w:proofErr w:type="spellStart"/>
      <w:r w:rsidR="00C7366F" w:rsidRPr="007933D2">
        <w:rPr>
          <w:i/>
          <w:lang w:val="fr-CA"/>
        </w:rPr>
        <w:t>Act</w:t>
      </w:r>
      <w:proofErr w:type="spellEnd"/>
      <w:r w:rsidR="001B5DB0">
        <w:rPr>
          <w:i/>
          <w:lang w:val="fr-CA"/>
        </w:rPr>
        <w:t xml:space="preserve"> (C.</w:t>
      </w:r>
      <w:r w:rsidR="001B5DB0">
        <w:rPr>
          <w:i/>
          <w:lang w:val="fr-CA"/>
        </w:rPr>
        <w:noBreakHyphen/>
        <w:t>B.)</w:t>
      </w:r>
      <w:r w:rsidR="00C7366F" w:rsidRPr="007933D2">
        <w:rPr>
          <w:lang w:val="fr-CA"/>
        </w:rPr>
        <w:t xml:space="preserve">, [1985] 2 </w:t>
      </w:r>
      <w:r w:rsidR="00F2171D" w:rsidRPr="007933D2">
        <w:rPr>
          <w:lang w:val="fr-CA"/>
        </w:rPr>
        <w:t>R</w:t>
      </w:r>
      <w:r w:rsidR="00C7366F" w:rsidRPr="007933D2">
        <w:rPr>
          <w:lang w:val="fr-CA"/>
        </w:rPr>
        <w:t>.C</w:t>
      </w:r>
      <w:r w:rsidR="00F2171D" w:rsidRPr="007933D2">
        <w:rPr>
          <w:lang w:val="fr-CA"/>
        </w:rPr>
        <w:t>.S</w:t>
      </w:r>
      <w:r w:rsidR="00D6557C">
        <w:rPr>
          <w:lang w:val="fr-CA"/>
        </w:rPr>
        <w:t>. 4</w:t>
      </w:r>
      <w:r w:rsidR="00C7366F" w:rsidRPr="007933D2">
        <w:rPr>
          <w:lang w:val="fr-CA"/>
        </w:rPr>
        <w:t>8</w:t>
      </w:r>
      <w:r w:rsidR="00D6557C">
        <w:rPr>
          <w:lang w:val="fr-CA"/>
        </w:rPr>
        <w:t>6</w:t>
      </w:r>
      <w:r w:rsidR="00C7366F" w:rsidRPr="007933D2">
        <w:rPr>
          <w:lang w:val="fr-CA"/>
        </w:rPr>
        <w:t>;</w:t>
      </w:r>
      <w:r w:rsidR="00C7366F" w:rsidRPr="007933D2">
        <w:rPr>
          <w:i/>
          <w:lang w:val="fr-CA"/>
        </w:rPr>
        <w:t xml:space="preserve"> </w:t>
      </w:r>
      <w:r w:rsidR="00516111">
        <w:rPr>
          <w:i/>
          <w:lang w:val="fr-CA"/>
        </w:rPr>
        <w:t xml:space="preserve">Renvoi relatif à la </w:t>
      </w:r>
      <w:proofErr w:type="spellStart"/>
      <w:r w:rsidR="00C7366F" w:rsidRPr="007933D2">
        <w:rPr>
          <w:i/>
          <w:lang w:val="fr-CA"/>
        </w:rPr>
        <w:t>Upper</w:t>
      </w:r>
      <w:proofErr w:type="spellEnd"/>
      <w:r w:rsidR="00C7366F" w:rsidRPr="007933D2">
        <w:rPr>
          <w:i/>
          <w:lang w:val="fr-CA"/>
        </w:rPr>
        <w:t xml:space="preserve"> Churchill Water </w:t>
      </w:r>
      <w:proofErr w:type="spellStart"/>
      <w:r w:rsidR="00C7366F" w:rsidRPr="007933D2">
        <w:rPr>
          <w:i/>
          <w:lang w:val="fr-CA"/>
        </w:rPr>
        <w:t>Rights</w:t>
      </w:r>
      <w:proofErr w:type="spellEnd"/>
      <w:r w:rsidR="00C7366F" w:rsidRPr="007933D2">
        <w:rPr>
          <w:i/>
          <w:lang w:val="fr-CA"/>
        </w:rPr>
        <w:t xml:space="preserve"> </w:t>
      </w:r>
      <w:proofErr w:type="spellStart"/>
      <w:r w:rsidR="00C7366F" w:rsidRPr="007933D2">
        <w:rPr>
          <w:i/>
          <w:lang w:val="fr-CA"/>
        </w:rPr>
        <w:t>Reversion</w:t>
      </w:r>
      <w:proofErr w:type="spellEnd"/>
      <w:r w:rsidR="00C7366F" w:rsidRPr="007933D2">
        <w:rPr>
          <w:i/>
          <w:lang w:val="fr-CA"/>
        </w:rPr>
        <w:t xml:space="preserve"> </w:t>
      </w:r>
      <w:proofErr w:type="spellStart"/>
      <w:r w:rsidR="00C7366F" w:rsidRPr="007933D2">
        <w:rPr>
          <w:i/>
          <w:lang w:val="fr-CA"/>
        </w:rPr>
        <w:t>Act</w:t>
      </w:r>
      <w:proofErr w:type="spellEnd"/>
      <w:r w:rsidR="00C7366F" w:rsidRPr="007933D2">
        <w:rPr>
          <w:lang w:val="fr-CA"/>
        </w:rPr>
        <w:t xml:space="preserve">, [1984] 1 </w:t>
      </w:r>
      <w:r w:rsidR="00F2171D" w:rsidRPr="007933D2">
        <w:rPr>
          <w:lang w:val="fr-CA"/>
        </w:rPr>
        <w:t>R.C.S</w:t>
      </w:r>
      <w:r w:rsidR="00C7366F" w:rsidRPr="007933D2">
        <w:rPr>
          <w:lang w:val="fr-CA"/>
        </w:rPr>
        <w:t xml:space="preserve">. 297; </w:t>
      </w:r>
      <w:proofErr w:type="spellStart"/>
      <w:r w:rsidR="00C7366F" w:rsidRPr="007933D2">
        <w:rPr>
          <w:i/>
          <w:lang w:val="fr-CA"/>
        </w:rPr>
        <w:t>Rizzo</w:t>
      </w:r>
      <w:proofErr w:type="spellEnd"/>
      <w:r w:rsidR="00C7366F" w:rsidRPr="007933D2">
        <w:rPr>
          <w:i/>
          <w:lang w:val="fr-CA"/>
        </w:rPr>
        <w:t xml:space="preserve"> &amp; </w:t>
      </w:r>
      <w:proofErr w:type="spellStart"/>
      <w:r w:rsidR="00C7366F" w:rsidRPr="007933D2">
        <w:rPr>
          <w:i/>
          <w:lang w:val="fr-CA"/>
        </w:rPr>
        <w:t>Rizzo</w:t>
      </w:r>
      <w:proofErr w:type="spellEnd"/>
      <w:r w:rsidR="00C7366F" w:rsidRPr="007933D2">
        <w:rPr>
          <w:i/>
          <w:lang w:val="fr-CA"/>
        </w:rPr>
        <w:t xml:space="preserve"> </w:t>
      </w:r>
      <w:proofErr w:type="spellStart"/>
      <w:r w:rsidR="00C7366F" w:rsidRPr="007933D2">
        <w:rPr>
          <w:i/>
          <w:lang w:val="fr-CA"/>
        </w:rPr>
        <w:t>Shoes</w:t>
      </w:r>
      <w:proofErr w:type="spellEnd"/>
      <w:r w:rsidR="00C7366F" w:rsidRPr="007933D2">
        <w:rPr>
          <w:i/>
          <w:lang w:val="fr-CA"/>
        </w:rPr>
        <w:t xml:space="preserve"> Ltd.</w:t>
      </w:r>
      <w:r w:rsidR="00516111">
        <w:rPr>
          <w:i/>
          <w:lang w:val="fr-CA"/>
        </w:rPr>
        <w:t xml:space="preserve"> (</w:t>
      </w:r>
      <w:proofErr w:type="spellStart"/>
      <w:r w:rsidR="00516111" w:rsidRPr="007933D2">
        <w:rPr>
          <w:i/>
          <w:lang w:val="fr-CA"/>
        </w:rPr>
        <w:t>Re</w:t>
      </w:r>
      <w:proofErr w:type="spellEnd"/>
      <w:r w:rsidR="00516111">
        <w:rPr>
          <w:i/>
          <w:lang w:val="fr-CA"/>
        </w:rPr>
        <w:t>)</w:t>
      </w:r>
      <w:r w:rsidR="00C7366F" w:rsidRPr="007933D2">
        <w:rPr>
          <w:lang w:val="fr-CA"/>
        </w:rPr>
        <w:t xml:space="preserve">, [1998] 1 </w:t>
      </w:r>
      <w:r w:rsidR="00F2171D" w:rsidRPr="007933D2">
        <w:rPr>
          <w:lang w:val="fr-CA"/>
        </w:rPr>
        <w:t>R.C.S</w:t>
      </w:r>
      <w:r w:rsidR="00C7366F" w:rsidRPr="007933D2">
        <w:rPr>
          <w:lang w:val="fr-CA"/>
        </w:rPr>
        <w:t xml:space="preserve">. 27; </w:t>
      </w:r>
      <w:r w:rsidR="00C7366F" w:rsidRPr="007933D2">
        <w:rPr>
          <w:i/>
          <w:lang w:val="fr-CA"/>
        </w:rPr>
        <w:t xml:space="preserve">Placer </w:t>
      </w:r>
      <w:proofErr w:type="spellStart"/>
      <w:r w:rsidR="00C7366F" w:rsidRPr="007933D2">
        <w:rPr>
          <w:i/>
          <w:lang w:val="fr-CA"/>
        </w:rPr>
        <w:t>Dome</w:t>
      </w:r>
      <w:proofErr w:type="spellEnd"/>
      <w:r w:rsidR="00C7366F" w:rsidRPr="007933D2">
        <w:rPr>
          <w:i/>
          <w:lang w:val="fr-CA"/>
        </w:rPr>
        <w:t xml:space="preserve"> Canada Ltd</w:t>
      </w:r>
      <w:r w:rsidR="00F2171D" w:rsidRPr="007933D2">
        <w:rPr>
          <w:i/>
          <w:lang w:val="fr-CA"/>
        </w:rPr>
        <w:t>. c</w:t>
      </w:r>
      <w:r w:rsidR="00C7366F" w:rsidRPr="007933D2">
        <w:rPr>
          <w:i/>
          <w:lang w:val="fr-CA"/>
        </w:rPr>
        <w:t xml:space="preserve">. </w:t>
      </w:r>
      <w:r w:rsidR="00F2171D" w:rsidRPr="007933D2">
        <w:rPr>
          <w:i/>
          <w:lang w:val="fr-CA"/>
        </w:rPr>
        <w:t>Ontario (Minist</w:t>
      </w:r>
      <w:r w:rsidR="00C7366F" w:rsidRPr="007933D2">
        <w:rPr>
          <w:i/>
          <w:lang w:val="fr-CA"/>
        </w:rPr>
        <w:t>r</w:t>
      </w:r>
      <w:r w:rsidR="00F2171D" w:rsidRPr="007933D2">
        <w:rPr>
          <w:i/>
          <w:lang w:val="fr-CA"/>
        </w:rPr>
        <w:t>e des Finances</w:t>
      </w:r>
      <w:r w:rsidR="00C7366F" w:rsidRPr="007933D2">
        <w:rPr>
          <w:i/>
          <w:lang w:val="fr-CA"/>
        </w:rPr>
        <w:t>)</w:t>
      </w:r>
      <w:r w:rsidR="00C7366F" w:rsidRPr="007933D2">
        <w:rPr>
          <w:lang w:val="fr-CA"/>
        </w:rPr>
        <w:t xml:space="preserve">, </w:t>
      </w:r>
      <w:r w:rsidR="00F2171D" w:rsidRPr="007933D2">
        <w:rPr>
          <w:lang w:val="fr-CA"/>
        </w:rPr>
        <w:t>2006 CS</w:t>
      </w:r>
      <w:r w:rsidR="00C7366F" w:rsidRPr="007933D2">
        <w:rPr>
          <w:lang w:val="fr-CA"/>
        </w:rPr>
        <w:t xml:space="preserve">C 20, [2006] 1 </w:t>
      </w:r>
      <w:r w:rsidR="00F2171D" w:rsidRPr="007933D2">
        <w:rPr>
          <w:lang w:val="fr-CA"/>
        </w:rPr>
        <w:t>R.C.S</w:t>
      </w:r>
      <w:r w:rsidR="00C7366F" w:rsidRPr="007933D2">
        <w:rPr>
          <w:lang w:val="fr-CA"/>
        </w:rPr>
        <w:t xml:space="preserve">. 715; </w:t>
      </w:r>
      <w:r w:rsidR="00EF2D02">
        <w:rPr>
          <w:i/>
          <w:lang w:val="fr-CA"/>
        </w:rPr>
        <w:t xml:space="preserve">Compagnie de chemins de fer nationaux du Canada c. Canada </w:t>
      </w:r>
      <w:r w:rsidR="00C7366F" w:rsidRPr="007933D2">
        <w:rPr>
          <w:i/>
          <w:lang w:val="fr-CA"/>
        </w:rPr>
        <w:t>(</w:t>
      </w:r>
      <w:r w:rsidR="00F2171D" w:rsidRPr="007933D2">
        <w:rPr>
          <w:i/>
          <w:lang w:val="fr-CA"/>
        </w:rPr>
        <w:t>Procureur général</w:t>
      </w:r>
      <w:r w:rsidR="00C7366F" w:rsidRPr="007933D2">
        <w:rPr>
          <w:i/>
          <w:lang w:val="fr-CA"/>
        </w:rPr>
        <w:t>)</w:t>
      </w:r>
      <w:r w:rsidR="00C7366F" w:rsidRPr="007933D2">
        <w:rPr>
          <w:lang w:val="fr-CA"/>
        </w:rPr>
        <w:t xml:space="preserve">, </w:t>
      </w:r>
      <w:r w:rsidR="00F2171D" w:rsidRPr="007933D2">
        <w:rPr>
          <w:lang w:val="fr-CA"/>
        </w:rPr>
        <w:t>2014 CS</w:t>
      </w:r>
      <w:r w:rsidR="00C7366F" w:rsidRPr="007933D2">
        <w:rPr>
          <w:lang w:val="fr-CA"/>
        </w:rPr>
        <w:t xml:space="preserve">C 40, [2014] 2 </w:t>
      </w:r>
      <w:r w:rsidR="00F2171D" w:rsidRPr="007933D2">
        <w:rPr>
          <w:lang w:val="fr-CA"/>
        </w:rPr>
        <w:t>R.C.S</w:t>
      </w:r>
      <w:r w:rsidR="00C7366F" w:rsidRPr="007933D2">
        <w:rPr>
          <w:lang w:val="fr-CA"/>
        </w:rPr>
        <w:t>. 135;</w:t>
      </w:r>
      <w:r w:rsidR="00C7366F" w:rsidRPr="007933D2">
        <w:rPr>
          <w:i/>
          <w:lang w:val="fr-CA"/>
        </w:rPr>
        <w:t xml:space="preserve"> </w:t>
      </w:r>
      <w:r w:rsidR="00D6557C" w:rsidRPr="007933D2">
        <w:rPr>
          <w:i/>
          <w:lang w:val="fr-CA"/>
        </w:rPr>
        <w:t>R. c. Morgentaler</w:t>
      </w:r>
      <w:r w:rsidR="00D6557C" w:rsidRPr="007933D2">
        <w:rPr>
          <w:lang w:val="fr-CA"/>
        </w:rPr>
        <w:t>, [1993] 3 R.C.S. 463;</w:t>
      </w:r>
      <w:r w:rsidR="00D6557C">
        <w:rPr>
          <w:lang w:val="fr-CA"/>
        </w:rPr>
        <w:t xml:space="preserve"> </w:t>
      </w:r>
      <w:r w:rsidR="00C7366F" w:rsidRPr="007933D2">
        <w:rPr>
          <w:i/>
          <w:lang w:val="fr-CA"/>
        </w:rPr>
        <w:t>R</w:t>
      </w:r>
      <w:r w:rsidR="002E2CCF" w:rsidRPr="007933D2">
        <w:rPr>
          <w:i/>
          <w:lang w:val="fr-CA"/>
        </w:rPr>
        <w:t>.</w:t>
      </w:r>
      <w:r w:rsidR="00C7366F" w:rsidRPr="007933D2">
        <w:rPr>
          <w:i/>
          <w:lang w:val="fr-CA"/>
        </w:rPr>
        <w:t xml:space="preserve"> </w:t>
      </w:r>
      <w:r w:rsidR="00F2171D" w:rsidRPr="007933D2">
        <w:rPr>
          <w:i/>
          <w:lang w:val="fr-CA"/>
        </w:rPr>
        <w:t>c</w:t>
      </w:r>
      <w:r w:rsidR="00C7366F" w:rsidRPr="007933D2">
        <w:rPr>
          <w:i/>
          <w:lang w:val="fr-CA"/>
        </w:rPr>
        <w:t>. Butler</w:t>
      </w:r>
      <w:r w:rsidR="00C7366F" w:rsidRPr="007933D2">
        <w:rPr>
          <w:lang w:val="fr-CA"/>
        </w:rPr>
        <w:t xml:space="preserve">, [1992] 1 </w:t>
      </w:r>
      <w:r w:rsidR="00F2171D" w:rsidRPr="007933D2">
        <w:rPr>
          <w:lang w:val="fr-CA"/>
        </w:rPr>
        <w:t>R.C.S</w:t>
      </w:r>
      <w:r w:rsidR="00C7366F" w:rsidRPr="007933D2">
        <w:rPr>
          <w:lang w:val="fr-CA"/>
        </w:rPr>
        <w:t>. 452;</w:t>
      </w:r>
      <w:r w:rsidR="00C7366F" w:rsidRPr="007933D2">
        <w:rPr>
          <w:i/>
          <w:lang w:val="fr-CA"/>
        </w:rPr>
        <w:t xml:space="preserve"> Harper</w:t>
      </w:r>
      <w:r w:rsidR="00C7366F" w:rsidRPr="00F65599">
        <w:rPr>
          <w:i/>
          <w:lang w:val="fr-CA"/>
        </w:rPr>
        <w:t xml:space="preserve"> </w:t>
      </w:r>
      <w:r w:rsidR="00F2171D">
        <w:rPr>
          <w:i/>
          <w:lang w:val="fr-CA"/>
        </w:rPr>
        <w:t>c</w:t>
      </w:r>
      <w:r w:rsidR="00C7366F" w:rsidRPr="00F65599">
        <w:rPr>
          <w:i/>
          <w:lang w:val="fr-CA"/>
        </w:rPr>
        <w:t>. Canada (</w:t>
      </w:r>
      <w:r w:rsidR="00F2171D">
        <w:rPr>
          <w:i/>
          <w:lang w:val="fr-CA"/>
        </w:rPr>
        <w:t>Procureur général</w:t>
      </w:r>
      <w:r w:rsidR="00C7366F" w:rsidRPr="00F65599">
        <w:rPr>
          <w:i/>
          <w:lang w:val="fr-CA"/>
        </w:rPr>
        <w:t>)</w:t>
      </w:r>
      <w:r w:rsidR="00C7366F" w:rsidRPr="00F65599">
        <w:rPr>
          <w:lang w:val="fr-CA"/>
        </w:rPr>
        <w:t xml:space="preserve">, </w:t>
      </w:r>
      <w:r w:rsidR="00F2171D">
        <w:rPr>
          <w:lang w:val="fr-CA"/>
        </w:rPr>
        <w:t xml:space="preserve">2004 </w:t>
      </w:r>
      <w:r w:rsidR="00C7366F" w:rsidRPr="00F65599">
        <w:rPr>
          <w:lang w:val="fr-CA"/>
        </w:rPr>
        <w:t>C</w:t>
      </w:r>
      <w:r w:rsidR="00F2171D">
        <w:rPr>
          <w:lang w:val="fr-CA"/>
        </w:rPr>
        <w:t>S</w:t>
      </w:r>
      <w:r w:rsidR="002E2CCF">
        <w:rPr>
          <w:lang w:val="fr-CA"/>
        </w:rPr>
        <w:t>C 33, [200</w:t>
      </w:r>
      <w:r w:rsidR="00C7366F" w:rsidRPr="00F65599">
        <w:rPr>
          <w:lang w:val="fr-CA"/>
        </w:rPr>
        <w:t xml:space="preserve">4] 1 </w:t>
      </w:r>
      <w:r w:rsidR="00F2171D">
        <w:rPr>
          <w:lang w:val="fr-CA"/>
        </w:rPr>
        <w:t>R.C.S</w:t>
      </w:r>
      <w:r w:rsidR="00C7366F" w:rsidRPr="00F65599">
        <w:rPr>
          <w:lang w:val="fr-CA"/>
        </w:rPr>
        <w:t>. 827;</w:t>
      </w:r>
      <w:r w:rsidR="00C7366F" w:rsidRPr="00F65599">
        <w:rPr>
          <w:i/>
          <w:lang w:val="fr-CA"/>
        </w:rPr>
        <w:t xml:space="preserve"> </w:t>
      </w:r>
      <w:r w:rsidR="00EF2D02">
        <w:rPr>
          <w:i/>
          <w:lang w:val="fr-CA"/>
        </w:rPr>
        <w:t>Renvoi : Circ. Électorales provinciales</w:t>
      </w:r>
      <w:r w:rsidR="00C7366F" w:rsidRPr="00F65599">
        <w:rPr>
          <w:i/>
          <w:lang w:val="fr-CA"/>
        </w:rPr>
        <w:t xml:space="preserve"> (</w:t>
      </w:r>
      <w:proofErr w:type="spellStart"/>
      <w:r w:rsidR="00C7366F" w:rsidRPr="00F65599">
        <w:rPr>
          <w:i/>
          <w:lang w:val="fr-CA"/>
        </w:rPr>
        <w:t>Sask</w:t>
      </w:r>
      <w:proofErr w:type="spellEnd"/>
      <w:r w:rsidR="00C7366F" w:rsidRPr="00F65599">
        <w:rPr>
          <w:i/>
          <w:lang w:val="fr-CA"/>
        </w:rPr>
        <w:t>.)</w:t>
      </w:r>
      <w:r w:rsidR="00C7366F" w:rsidRPr="00F65599">
        <w:rPr>
          <w:lang w:val="fr-CA"/>
        </w:rPr>
        <w:t xml:space="preserve">, [1991] 2 </w:t>
      </w:r>
      <w:r w:rsidR="00F2171D">
        <w:rPr>
          <w:lang w:val="fr-CA"/>
        </w:rPr>
        <w:t>R.C.S</w:t>
      </w:r>
      <w:r w:rsidR="00C7366F" w:rsidRPr="00F65599">
        <w:rPr>
          <w:lang w:val="fr-CA"/>
        </w:rPr>
        <w:t xml:space="preserve">. 158; </w:t>
      </w:r>
      <w:r w:rsidR="00CA7108">
        <w:rPr>
          <w:i/>
          <w:lang w:val="fr-CA"/>
        </w:rPr>
        <w:t>Opitz c</w:t>
      </w:r>
      <w:r w:rsidR="00C7366F" w:rsidRPr="00F65599">
        <w:rPr>
          <w:i/>
          <w:lang w:val="fr-CA"/>
        </w:rPr>
        <w:t xml:space="preserve">. </w:t>
      </w:r>
      <w:proofErr w:type="spellStart"/>
      <w:r w:rsidR="00C7366F" w:rsidRPr="00F65599">
        <w:rPr>
          <w:i/>
          <w:lang w:val="fr-CA"/>
        </w:rPr>
        <w:t>Wrzesnewskyj</w:t>
      </w:r>
      <w:proofErr w:type="spellEnd"/>
      <w:r w:rsidR="00C7366F" w:rsidRPr="00F65599">
        <w:rPr>
          <w:lang w:val="fr-CA"/>
        </w:rPr>
        <w:t xml:space="preserve">, </w:t>
      </w:r>
      <w:r w:rsidR="00F2171D">
        <w:rPr>
          <w:lang w:val="fr-CA"/>
        </w:rPr>
        <w:t xml:space="preserve">2012 </w:t>
      </w:r>
      <w:r w:rsidR="00C7366F" w:rsidRPr="00F65599">
        <w:rPr>
          <w:lang w:val="fr-CA"/>
        </w:rPr>
        <w:t>C</w:t>
      </w:r>
      <w:r w:rsidR="00F2171D">
        <w:rPr>
          <w:lang w:val="fr-CA"/>
        </w:rPr>
        <w:t>S</w:t>
      </w:r>
      <w:r w:rsidR="00C7366F" w:rsidRPr="00F65599">
        <w:rPr>
          <w:lang w:val="fr-CA"/>
        </w:rPr>
        <w:t xml:space="preserve">C 55, </w:t>
      </w:r>
      <w:r w:rsidR="00F2171D">
        <w:rPr>
          <w:lang w:val="fr-CA"/>
        </w:rPr>
        <w:t>[2012] 3 R</w:t>
      </w:r>
      <w:r w:rsidR="00C7366F" w:rsidRPr="00F65599">
        <w:rPr>
          <w:lang w:val="fr-CA"/>
        </w:rPr>
        <w:t>.C.</w:t>
      </w:r>
      <w:r w:rsidR="00F2171D">
        <w:rPr>
          <w:lang w:val="fr-CA"/>
        </w:rPr>
        <w:t>S</w:t>
      </w:r>
      <w:r w:rsidR="00C7366F" w:rsidRPr="00F65599">
        <w:rPr>
          <w:lang w:val="fr-CA"/>
        </w:rPr>
        <w:t>. 76;</w:t>
      </w:r>
      <w:r w:rsidR="00C7366F" w:rsidRPr="00F65599">
        <w:rPr>
          <w:i/>
          <w:lang w:val="fr-CA"/>
        </w:rPr>
        <w:t xml:space="preserve"> Haig </w:t>
      </w:r>
      <w:r w:rsidR="00F2171D">
        <w:rPr>
          <w:i/>
          <w:lang w:val="fr-CA"/>
        </w:rPr>
        <w:t>c</w:t>
      </w:r>
      <w:r w:rsidR="00C7366F" w:rsidRPr="00F65599">
        <w:rPr>
          <w:i/>
          <w:lang w:val="fr-CA"/>
        </w:rPr>
        <w:t>. Canada (</w:t>
      </w:r>
      <w:r w:rsidR="00F2171D">
        <w:rPr>
          <w:i/>
          <w:lang w:val="fr-CA"/>
        </w:rPr>
        <w:t>Directeur général des élections)</w:t>
      </w:r>
      <w:r w:rsidR="00F2171D">
        <w:rPr>
          <w:lang w:val="fr-CA"/>
        </w:rPr>
        <w:t>, [1993] 2 R</w:t>
      </w:r>
      <w:r w:rsidR="00C7366F" w:rsidRPr="00F65599">
        <w:rPr>
          <w:lang w:val="fr-CA"/>
        </w:rPr>
        <w:t>.C.</w:t>
      </w:r>
      <w:r w:rsidR="00F2171D">
        <w:rPr>
          <w:lang w:val="fr-CA"/>
        </w:rPr>
        <w:t>S</w:t>
      </w:r>
      <w:r w:rsidR="00C7366F" w:rsidRPr="00F65599">
        <w:rPr>
          <w:lang w:val="fr-CA"/>
        </w:rPr>
        <w:t>. 995;</w:t>
      </w:r>
      <w:r w:rsidR="00C7366F" w:rsidRPr="00F65599">
        <w:rPr>
          <w:i/>
          <w:lang w:val="fr-CA"/>
        </w:rPr>
        <w:t xml:space="preserve"> </w:t>
      </w:r>
      <w:r w:rsidR="00F2171D">
        <w:rPr>
          <w:i/>
          <w:lang w:val="fr-CA"/>
        </w:rPr>
        <w:t>R. c</w:t>
      </w:r>
      <w:r w:rsidR="00C7366F" w:rsidRPr="00F65599">
        <w:rPr>
          <w:i/>
          <w:lang w:val="fr-CA"/>
        </w:rPr>
        <w:t>. Edwards Book</w:t>
      </w:r>
      <w:r w:rsidR="002E2CCF">
        <w:rPr>
          <w:i/>
          <w:lang w:val="fr-CA"/>
        </w:rPr>
        <w:t>s and Art Ltd.</w:t>
      </w:r>
      <w:r w:rsidR="00C7366F" w:rsidRPr="00F65599">
        <w:rPr>
          <w:lang w:val="fr-CA"/>
        </w:rPr>
        <w:t xml:space="preserve">, [1986] 2 </w:t>
      </w:r>
      <w:r w:rsidR="00F2171D">
        <w:rPr>
          <w:lang w:val="fr-CA"/>
        </w:rPr>
        <w:t>R.C.S</w:t>
      </w:r>
      <w:r w:rsidR="00C7366F" w:rsidRPr="00F65599">
        <w:rPr>
          <w:lang w:val="fr-CA"/>
        </w:rPr>
        <w:t xml:space="preserve">. 713; </w:t>
      </w:r>
      <w:proofErr w:type="spellStart"/>
      <w:r w:rsidR="00C7366F" w:rsidRPr="00F65599">
        <w:rPr>
          <w:i/>
          <w:lang w:val="fr-CA"/>
        </w:rPr>
        <w:t>Stoffman</w:t>
      </w:r>
      <w:proofErr w:type="spellEnd"/>
      <w:r w:rsidR="00C7366F" w:rsidRPr="00F65599">
        <w:rPr>
          <w:i/>
          <w:lang w:val="fr-CA"/>
        </w:rPr>
        <w:t xml:space="preserve"> </w:t>
      </w:r>
      <w:r w:rsidR="00F2171D">
        <w:rPr>
          <w:i/>
          <w:lang w:val="fr-CA"/>
        </w:rPr>
        <w:t>c</w:t>
      </w:r>
      <w:r w:rsidR="00C7366F" w:rsidRPr="00F65599">
        <w:rPr>
          <w:i/>
          <w:lang w:val="fr-CA"/>
        </w:rPr>
        <w:t xml:space="preserve">. Vancouver General </w:t>
      </w:r>
      <w:proofErr w:type="spellStart"/>
      <w:r w:rsidR="00C7366F" w:rsidRPr="00F65599">
        <w:rPr>
          <w:i/>
          <w:lang w:val="fr-CA"/>
        </w:rPr>
        <w:t>Hospital</w:t>
      </w:r>
      <w:proofErr w:type="spellEnd"/>
      <w:r w:rsidR="00C7366F" w:rsidRPr="00F65599">
        <w:rPr>
          <w:lang w:val="fr-CA"/>
        </w:rPr>
        <w:t xml:space="preserve">, [1990] 3 </w:t>
      </w:r>
      <w:r w:rsidR="00F2171D">
        <w:rPr>
          <w:lang w:val="fr-CA"/>
        </w:rPr>
        <w:t>R.C.S</w:t>
      </w:r>
      <w:r w:rsidR="00C7366F" w:rsidRPr="00F65599">
        <w:rPr>
          <w:lang w:val="fr-CA"/>
        </w:rPr>
        <w:t xml:space="preserve">. 483; </w:t>
      </w:r>
      <w:r w:rsidR="00C7366F" w:rsidRPr="00F65599">
        <w:rPr>
          <w:i/>
          <w:lang w:val="fr-CA"/>
        </w:rPr>
        <w:t>Irwin Toy Ltd</w:t>
      </w:r>
      <w:r w:rsidR="00F2171D">
        <w:rPr>
          <w:i/>
          <w:lang w:val="fr-CA"/>
        </w:rPr>
        <w:t>. c</w:t>
      </w:r>
      <w:r w:rsidR="00C7366F" w:rsidRPr="00F65599">
        <w:rPr>
          <w:i/>
          <w:lang w:val="fr-CA"/>
        </w:rPr>
        <w:t xml:space="preserve">. </w:t>
      </w:r>
      <w:r w:rsidR="00F2171D">
        <w:rPr>
          <w:i/>
          <w:lang w:val="fr-CA"/>
        </w:rPr>
        <w:t>Qué</w:t>
      </w:r>
      <w:r w:rsidR="00C7366F" w:rsidRPr="00F65599">
        <w:rPr>
          <w:i/>
          <w:lang w:val="fr-CA"/>
        </w:rPr>
        <w:t>bec (</w:t>
      </w:r>
      <w:r w:rsidR="007933D2">
        <w:rPr>
          <w:i/>
          <w:lang w:val="fr-CA"/>
        </w:rPr>
        <w:t>Procureur g</w:t>
      </w:r>
      <w:r w:rsidR="00F2171D">
        <w:rPr>
          <w:i/>
          <w:lang w:val="fr-CA"/>
        </w:rPr>
        <w:t>énéral)</w:t>
      </w:r>
      <w:r w:rsidR="00C7366F" w:rsidRPr="00F65599">
        <w:rPr>
          <w:lang w:val="fr-CA"/>
        </w:rPr>
        <w:t xml:space="preserve">, [1989] 1 </w:t>
      </w:r>
      <w:r w:rsidR="00F2171D">
        <w:rPr>
          <w:lang w:val="fr-CA"/>
        </w:rPr>
        <w:t>R.C.S</w:t>
      </w:r>
      <w:r w:rsidR="00C7366F" w:rsidRPr="00F65599">
        <w:rPr>
          <w:lang w:val="fr-CA"/>
        </w:rPr>
        <w:t>. 927;</w:t>
      </w:r>
      <w:r w:rsidR="00C7366F" w:rsidRPr="00F65599">
        <w:rPr>
          <w:i/>
          <w:lang w:val="fr-CA"/>
        </w:rPr>
        <w:t xml:space="preserve"> R</w:t>
      </w:r>
      <w:r w:rsidR="00F2171D">
        <w:rPr>
          <w:i/>
          <w:lang w:val="fr-CA"/>
        </w:rPr>
        <w:t>. c</w:t>
      </w:r>
      <w:r w:rsidR="00C7366F" w:rsidRPr="00F65599">
        <w:rPr>
          <w:i/>
          <w:lang w:val="fr-CA"/>
        </w:rPr>
        <w:t>. Bryan</w:t>
      </w:r>
      <w:r w:rsidR="00C7366F" w:rsidRPr="00F65599">
        <w:rPr>
          <w:lang w:val="fr-CA"/>
        </w:rPr>
        <w:t xml:space="preserve">, </w:t>
      </w:r>
      <w:r w:rsidR="00F2171D">
        <w:rPr>
          <w:lang w:val="fr-CA"/>
        </w:rPr>
        <w:t>2007 CS</w:t>
      </w:r>
      <w:r w:rsidR="00C7366F" w:rsidRPr="00F65599">
        <w:rPr>
          <w:lang w:val="fr-CA"/>
        </w:rPr>
        <w:t xml:space="preserve">C 12, [2007] 1 </w:t>
      </w:r>
      <w:r w:rsidR="00F2171D">
        <w:rPr>
          <w:lang w:val="fr-CA"/>
        </w:rPr>
        <w:t>R.C.S</w:t>
      </w:r>
      <w:r w:rsidR="00C7366F" w:rsidRPr="00F65599">
        <w:rPr>
          <w:lang w:val="fr-CA"/>
        </w:rPr>
        <w:t>. 527.</w:t>
      </w:r>
    </w:p>
    <w:p w:rsidR="004D7D95" w:rsidRPr="00F65599" w:rsidRDefault="004D7D95" w:rsidP="00382AA5">
      <w:pPr>
        <w:pStyle w:val="SCCNormalDoubleSpacing"/>
        <w:spacing w:after="720" w:line="240" w:lineRule="auto"/>
        <w:rPr>
          <w:b/>
          <w:lang w:val="fr-CA"/>
        </w:rPr>
      </w:pPr>
      <w:r w:rsidRPr="00F65599">
        <w:rPr>
          <w:b/>
          <w:lang w:val="fr-CA"/>
        </w:rPr>
        <w:t>Lois et règlements cités</w:t>
      </w:r>
    </w:p>
    <w:p w:rsidR="00372E12" w:rsidRDefault="00372E12" w:rsidP="00805B11">
      <w:pPr>
        <w:pStyle w:val="SCCNormalDoubleSpacing"/>
        <w:spacing w:after="240" w:line="240" w:lineRule="auto"/>
        <w:ind w:left="540" w:hanging="540"/>
        <w:rPr>
          <w:lang w:val="fr-CA"/>
        </w:rPr>
      </w:pPr>
      <w:r w:rsidRPr="00F65599">
        <w:rPr>
          <w:i/>
          <w:lang w:val="fr-CA"/>
        </w:rPr>
        <w:t xml:space="preserve">Charte canadienne des </w:t>
      </w:r>
      <w:r w:rsidR="00527C08">
        <w:rPr>
          <w:i/>
          <w:lang w:val="fr-CA"/>
        </w:rPr>
        <w:t xml:space="preserve">droits </w:t>
      </w:r>
      <w:r w:rsidRPr="00F65599">
        <w:rPr>
          <w:i/>
          <w:lang w:val="fr-CA"/>
        </w:rPr>
        <w:t>et libertés</w:t>
      </w:r>
      <w:r w:rsidRPr="00F65599">
        <w:rPr>
          <w:lang w:val="fr-CA"/>
        </w:rPr>
        <w:t xml:space="preserve">, </w:t>
      </w:r>
      <w:r w:rsidR="00382AA5">
        <w:rPr>
          <w:lang w:val="fr-CA"/>
        </w:rPr>
        <w:t>art. </w:t>
      </w:r>
      <w:r>
        <w:rPr>
          <w:lang w:val="fr-CA"/>
        </w:rPr>
        <w:t xml:space="preserve">1, </w:t>
      </w:r>
      <w:r w:rsidRPr="00F65599">
        <w:rPr>
          <w:lang w:val="fr-CA"/>
        </w:rPr>
        <w:t>3</w:t>
      </w:r>
      <w:r w:rsidR="00E31E2E">
        <w:rPr>
          <w:lang w:val="fr-CA"/>
        </w:rPr>
        <w:t>, 33</w:t>
      </w:r>
      <w:r w:rsidR="00AE5658">
        <w:rPr>
          <w:lang w:val="fr-CA"/>
        </w:rPr>
        <w:t>.</w:t>
      </w:r>
    </w:p>
    <w:p w:rsidR="00E31E2E" w:rsidRDefault="00E417DD" w:rsidP="00805B11">
      <w:pPr>
        <w:pStyle w:val="SCCNormalDoubleSpacing"/>
        <w:spacing w:after="240" w:line="240" w:lineRule="auto"/>
        <w:ind w:left="540" w:hanging="540"/>
        <w:rPr>
          <w:lang w:val="fr-CA"/>
        </w:rPr>
      </w:pPr>
      <w:r>
        <w:rPr>
          <w:i/>
          <w:lang w:val="fr-CA"/>
        </w:rPr>
        <w:t>Loi constitutionnelle de</w:t>
      </w:r>
      <w:r w:rsidR="00E31E2E" w:rsidRPr="0048174C">
        <w:rPr>
          <w:i/>
          <w:lang w:val="fr-CA"/>
        </w:rPr>
        <w:t xml:space="preserve"> 1867</w:t>
      </w:r>
      <w:r w:rsidR="00E31E2E">
        <w:rPr>
          <w:lang w:val="fr-CA"/>
        </w:rPr>
        <w:t xml:space="preserve">, </w:t>
      </w:r>
      <w:r>
        <w:rPr>
          <w:lang w:val="fr-CA"/>
        </w:rPr>
        <w:t xml:space="preserve">préambule, </w:t>
      </w:r>
      <w:r w:rsidR="00E31E2E">
        <w:rPr>
          <w:lang w:val="fr-CA"/>
        </w:rPr>
        <w:t>art. </w:t>
      </w:r>
      <w:r w:rsidR="001D63E0">
        <w:rPr>
          <w:lang w:val="fr-CA"/>
        </w:rPr>
        <w:t>21,</w:t>
      </w:r>
      <w:r w:rsidR="00E31E2E">
        <w:rPr>
          <w:lang w:val="fr-CA"/>
        </w:rPr>
        <w:t xml:space="preserve"> 22, 37 à 40, 52, 69 à </w:t>
      </w:r>
      <w:r w:rsidR="00E31E2E" w:rsidRPr="00F65599">
        <w:rPr>
          <w:lang w:val="fr-CA"/>
        </w:rPr>
        <w:t>72</w:t>
      </w:r>
      <w:r w:rsidR="00E31E2E">
        <w:rPr>
          <w:lang w:val="fr-CA"/>
        </w:rPr>
        <w:t>.</w:t>
      </w:r>
    </w:p>
    <w:p w:rsidR="000A3797" w:rsidRPr="000A3797" w:rsidRDefault="000A3797" w:rsidP="000A3797">
      <w:pPr>
        <w:pStyle w:val="SCCNormalDoubleSpacing"/>
        <w:spacing w:after="240" w:line="240" w:lineRule="auto"/>
        <w:ind w:left="540" w:hanging="540"/>
        <w:rPr>
          <w:lang w:val="fr-CA"/>
        </w:rPr>
      </w:pPr>
      <w:r w:rsidRPr="00F65599">
        <w:rPr>
          <w:i/>
          <w:lang w:val="fr-CA"/>
        </w:rPr>
        <w:t>Loi constitutionnelle</w:t>
      </w:r>
      <w:r>
        <w:rPr>
          <w:i/>
          <w:lang w:val="fr-CA"/>
        </w:rPr>
        <w:t xml:space="preserve"> de</w:t>
      </w:r>
      <w:r w:rsidRPr="00E31E2E">
        <w:rPr>
          <w:i/>
          <w:lang w:val="fr-CA"/>
        </w:rPr>
        <w:t xml:space="preserve"> 1982</w:t>
      </w:r>
      <w:r>
        <w:rPr>
          <w:lang w:val="fr-CA"/>
        </w:rPr>
        <w:t>, art. 52.</w:t>
      </w:r>
    </w:p>
    <w:p w:rsidR="00E31E2E" w:rsidRDefault="00E31E2E" w:rsidP="00805B11">
      <w:pPr>
        <w:pStyle w:val="SCCNormalDoubleSpacing"/>
        <w:spacing w:after="240" w:line="240" w:lineRule="auto"/>
        <w:ind w:left="540" w:hanging="540"/>
        <w:rPr>
          <w:lang w:val="fr-CA"/>
        </w:rPr>
      </w:pPr>
      <w:r w:rsidRPr="009C6729">
        <w:rPr>
          <w:i/>
          <w:lang w:val="fr-CA"/>
        </w:rPr>
        <w:t>Loi des élections fédérales</w:t>
      </w:r>
      <w:r w:rsidRPr="009C6729">
        <w:rPr>
          <w:lang w:val="fr-CA"/>
        </w:rPr>
        <w:t xml:space="preserve">, </w:t>
      </w:r>
      <w:r w:rsidR="009914A1">
        <w:rPr>
          <w:lang w:val="fr-CA"/>
        </w:rPr>
        <w:t>S</w:t>
      </w:r>
      <w:r w:rsidRPr="009C6729">
        <w:rPr>
          <w:lang w:val="fr-CA"/>
        </w:rPr>
        <w:t>.C. 1920, c. 46.</w:t>
      </w:r>
    </w:p>
    <w:p w:rsidR="00DF2410" w:rsidRDefault="00DF2410" w:rsidP="00DF2410">
      <w:pPr>
        <w:pStyle w:val="SCCNormalDoubleSpacing"/>
        <w:spacing w:after="240" w:line="240" w:lineRule="auto"/>
        <w:ind w:left="540" w:hanging="540"/>
        <w:rPr>
          <w:lang w:val="fr-CA"/>
        </w:rPr>
      </w:pPr>
      <w:r w:rsidRPr="003F465B">
        <w:rPr>
          <w:i/>
          <w:lang w:val="fr-CA"/>
        </w:rPr>
        <w:t>Loi électorale</w:t>
      </w:r>
      <w:r>
        <w:rPr>
          <w:lang w:val="fr-CA"/>
        </w:rPr>
        <w:t>, L.R.O. 1990, c. </w:t>
      </w:r>
      <w:r w:rsidRPr="003F465B">
        <w:rPr>
          <w:lang w:val="fr-CA"/>
        </w:rPr>
        <w:t xml:space="preserve">E.6, </w:t>
      </w:r>
      <w:r>
        <w:rPr>
          <w:lang w:val="fr-CA"/>
        </w:rPr>
        <w:t>art. </w:t>
      </w:r>
      <w:r w:rsidRPr="003F465B">
        <w:rPr>
          <w:lang w:val="fr-CA"/>
        </w:rPr>
        <w:t>15(1.1)</w:t>
      </w:r>
      <w:r>
        <w:rPr>
          <w:lang w:val="fr-CA"/>
        </w:rPr>
        <w:t>.</w:t>
      </w:r>
    </w:p>
    <w:p w:rsidR="00DF2410" w:rsidRDefault="00DF2410" w:rsidP="00B516D3">
      <w:pPr>
        <w:pStyle w:val="SCCNormalDoubleSpacing"/>
        <w:spacing w:after="240" w:line="240" w:lineRule="auto"/>
        <w:ind w:left="540" w:hanging="540"/>
        <w:rPr>
          <w:lang w:val="fr-CA"/>
        </w:rPr>
      </w:pPr>
      <w:r w:rsidRPr="007B0952">
        <w:rPr>
          <w:i/>
          <w:lang w:val="fr-CA"/>
        </w:rPr>
        <w:t>Loi électorale</w:t>
      </w:r>
      <w:r>
        <w:rPr>
          <w:lang w:val="fr-CA"/>
        </w:rPr>
        <w:t>, L.R.Q., c. E</w:t>
      </w:r>
      <w:r>
        <w:rPr>
          <w:lang w:val="fr-CA"/>
        </w:rPr>
        <w:noBreakHyphen/>
        <w:t>3.3, art. 1.</w:t>
      </w:r>
    </w:p>
    <w:p w:rsidR="009C6729" w:rsidRPr="009C6729" w:rsidRDefault="009C6729" w:rsidP="00805B11">
      <w:pPr>
        <w:pStyle w:val="SCCNormalDoubleSpacing"/>
        <w:spacing w:after="240" w:line="240" w:lineRule="auto"/>
        <w:ind w:left="547" w:hanging="547"/>
        <w:rPr>
          <w:lang w:val="fr-CA"/>
        </w:rPr>
      </w:pPr>
      <w:r>
        <w:rPr>
          <w:i/>
          <w:lang w:val="fr-CA"/>
        </w:rPr>
        <w:t>Loi électorale du Canada</w:t>
      </w:r>
      <w:r>
        <w:rPr>
          <w:lang w:val="fr-CA"/>
        </w:rPr>
        <w:t>, L.</w:t>
      </w:r>
      <w:r w:rsidR="00415465">
        <w:rPr>
          <w:lang w:val="fr-CA"/>
        </w:rPr>
        <w:t>R.C. 1985, c. E-2, art. 51</w:t>
      </w:r>
      <w:r w:rsidRPr="00AA5CD4">
        <w:rPr>
          <w:lang w:val="fr-CA"/>
        </w:rPr>
        <w:t>e</w:t>
      </w:r>
      <w:r>
        <w:rPr>
          <w:lang w:val="fr-CA"/>
        </w:rPr>
        <w:t>)</w:t>
      </w:r>
      <w:r w:rsidR="00AA5CD4">
        <w:rPr>
          <w:lang w:val="fr-CA"/>
        </w:rPr>
        <w:t>.</w:t>
      </w:r>
    </w:p>
    <w:p w:rsidR="00372E12" w:rsidRDefault="00372E12" w:rsidP="00805B11">
      <w:pPr>
        <w:pStyle w:val="SCCNormalDoubleSpacing"/>
        <w:spacing w:after="240" w:line="240" w:lineRule="auto"/>
        <w:ind w:left="547" w:hanging="547"/>
        <w:rPr>
          <w:lang w:val="fr-CA"/>
        </w:rPr>
      </w:pPr>
      <w:r w:rsidRPr="00F65599">
        <w:rPr>
          <w:i/>
          <w:lang w:val="fr-CA"/>
        </w:rPr>
        <w:lastRenderedPageBreak/>
        <w:t>Loi électorale du Canada</w:t>
      </w:r>
      <w:r w:rsidR="00AB6CA4">
        <w:rPr>
          <w:lang w:val="fr-CA"/>
        </w:rPr>
        <w:t>, L.C.</w:t>
      </w:r>
      <w:r w:rsidR="00842071">
        <w:rPr>
          <w:lang w:val="fr-CA"/>
        </w:rPr>
        <w:t xml:space="preserve"> 2000, c. </w:t>
      </w:r>
      <w:r w:rsidRPr="00F65599">
        <w:rPr>
          <w:lang w:val="fr-CA"/>
        </w:rPr>
        <w:t xml:space="preserve">9, </w:t>
      </w:r>
      <w:r w:rsidR="00382AA5">
        <w:rPr>
          <w:lang w:val="fr-CA"/>
        </w:rPr>
        <w:t>art. </w:t>
      </w:r>
      <w:r w:rsidR="00E417DD">
        <w:rPr>
          <w:lang w:val="fr-CA"/>
        </w:rPr>
        <w:t xml:space="preserve">3, </w:t>
      </w:r>
      <w:r w:rsidRPr="00372E12">
        <w:rPr>
          <w:lang w:val="fr-CA"/>
        </w:rPr>
        <w:t xml:space="preserve">6, </w:t>
      </w:r>
      <w:r w:rsidR="00E31E2E">
        <w:rPr>
          <w:lang w:val="fr-CA"/>
        </w:rPr>
        <w:t xml:space="preserve">8, </w:t>
      </w:r>
      <w:r w:rsidRPr="00372E12">
        <w:rPr>
          <w:lang w:val="fr-CA"/>
        </w:rPr>
        <w:t>11</w:t>
      </w:r>
      <w:r w:rsidR="00D45ABC">
        <w:rPr>
          <w:lang w:val="fr-CA"/>
        </w:rPr>
        <w:t>d)</w:t>
      </w:r>
      <w:r w:rsidRPr="00372E12">
        <w:rPr>
          <w:lang w:val="fr-CA"/>
        </w:rPr>
        <w:t>, 127, 191</w:t>
      </w:r>
      <w:r w:rsidR="00E31E2E">
        <w:rPr>
          <w:lang w:val="fr-CA"/>
        </w:rPr>
        <w:t>d)</w:t>
      </w:r>
      <w:r w:rsidRPr="00372E12">
        <w:rPr>
          <w:lang w:val="fr-CA"/>
        </w:rPr>
        <w:t>, 220, 222, 223</w:t>
      </w:r>
      <w:r w:rsidR="00DF2410">
        <w:rPr>
          <w:lang w:val="fr-CA"/>
        </w:rPr>
        <w:t xml:space="preserve">(1)e), </w:t>
      </w:r>
      <w:r w:rsidR="00E31E2E">
        <w:rPr>
          <w:lang w:val="fr-CA"/>
        </w:rPr>
        <w:t>f)</w:t>
      </w:r>
      <w:r w:rsidRPr="00372E12">
        <w:rPr>
          <w:lang w:val="fr-CA"/>
        </w:rPr>
        <w:t>, 226</w:t>
      </w:r>
      <w:r w:rsidR="00423ABF">
        <w:rPr>
          <w:lang w:val="fr-CA"/>
        </w:rPr>
        <w:t>f), p</w:t>
      </w:r>
      <w:r w:rsidR="00E31E2E">
        <w:rPr>
          <w:lang w:val="fr-CA"/>
        </w:rPr>
        <w:t>artie 11</w:t>
      </w:r>
      <w:r w:rsidR="00AE5658">
        <w:rPr>
          <w:lang w:val="fr-CA"/>
        </w:rPr>
        <w:t>.</w:t>
      </w:r>
    </w:p>
    <w:p w:rsidR="00423ABF" w:rsidRPr="009201B3" w:rsidRDefault="00423ABF" w:rsidP="00805B11">
      <w:pPr>
        <w:pStyle w:val="SCCNormalDoubleSpacing"/>
        <w:spacing w:after="240" w:line="240" w:lineRule="auto"/>
        <w:ind w:left="540" w:hanging="540"/>
        <w:rPr>
          <w:lang w:val="fr-CA"/>
        </w:rPr>
      </w:pPr>
      <w:r w:rsidRPr="009201B3">
        <w:rPr>
          <w:i/>
          <w:lang w:val="fr-CA"/>
        </w:rPr>
        <w:t>Loi électorale du Nunavut</w:t>
      </w:r>
      <w:r>
        <w:rPr>
          <w:lang w:val="fr-CA"/>
        </w:rPr>
        <w:t xml:space="preserve">, L. </w:t>
      </w:r>
      <w:proofErr w:type="spellStart"/>
      <w:r>
        <w:rPr>
          <w:lang w:val="fr-CA"/>
        </w:rPr>
        <w:t>Nun</w:t>
      </w:r>
      <w:proofErr w:type="spellEnd"/>
      <w:r>
        <w:rPr>
          <w:lang w:val="fr-CA"/>
        </w:rPr>
        <w:t>. 2002, c. </w:t>
      </w:r>
      <w:r w:rsidRPr="009201B3">
        <w:rPr>
          <w:lang w:val="fr-CA"/>
        </w:rPr>
        <w:t xml:space="preserve">17, </w:t>
      </w:r>
      <w:r>
        <w:rPr>
          <w:lang w:val="fr-CA"/>
        </w:rPr>
        <w:t>art. </w:t>
      </w:r>
      <w:r w:rsidRPr="009201B3">
        <w:rPr>
          <w:lang w:val="fr-CA"/>
        </w:rPr>
        <w:t>4(12), 7(1)</w:t>
      </w:r>
      <w:r>
        <w:rPr>
          <w:lang w:val="fr-CA"/>
        </w:rPr>
        <w:t>.</w:t>
      </w:r>
    </w:p>
    <w:p w:rsidR="00C7366F" w:rsidRPr="00F65599" w:rsidRDefault="00C7366F" w:rsidP="00805B11">
      <w:pPr>
        <w:pStyle w:val="SCCNormalDoubleSpacing"/>
        <w:spacing w:after="240" w:line="240" w:lineRule="auto"/>
        <w:rPr>
          <w:lang w:val="fr-CA"/>
        </w:rPr>
      </w:pPr>
      <w:r w:rsidRPr="00F65599">
        <w:rPr>
          <w:i/>
          <w:lang w:val="fr-CA"/>
        </w:rPr>
        <w:t>Loi sur la citoyenneté</w:t>
      </w:r>
      <w:r w:rsidR="0048174C">
        <w:rPr>
          <w:lang w:val="fr-CA"/>
        </w:rPr>
        <w:t>, L.R.C.</w:t>
      </w:r>
      <w:r w:rsidRPr="00F65599">
        <w:rPr>
          <w:lang w:val="fr-CA"/>
        </w:rPr>
        <w:t xml:space="preserve"> 1985, c.</w:t>
      </w:r>
      <w:r w:rsidR="00382AA5">
        <w:rPr>
          <w:lang w:val="fr-CA"/>
        </w:rPr>
        <w:t> </w:t>
      </w:r>
      <w:r w:rsidRPr="00F65599">
        <w:rPr>
          <w:lang w:val="fr-CA"/>
        </w:rPr>
        <w:t>C</w:t>
      </w:r>
      <w:r w:rsidR="00382AA5">
        <w:rPr>
          <w:lang w:val="fr-CA"/>
        </w:rPr>
        <w:noBreakHyphen/>
      </w:r>
      <w:r w:rsidRPr="00F65599">
        <w:rPr>
          <w:lang w:val="fr-CA"/>
        </w:rPr>
        <w:t xml:space="preserve">29, </w:t>
      </w:r>
      <w:r w:rsidR="00382AA5">
        <w:rPr>
          <w:lang w:val="fr-CA"/>
        </w:rPr>
        <w:t>art. </w:t>
      </w:r>
      <w:r w:rsidRPr="00F65599">
        <w:rPr>
          <w:lang w:val="fr-CA"/>
        </w:rPr>
        <w:t>3</w:t>
      </w:r>
      <w:r w:rsidR="00AE5658">
        <w:rPr>
          <w:lang w:val="fr-CA"/>
        </w:rPr>
        <w:t>.</w:t>
      </w:r>
    </w:p>
    <w:p w:rsidR="00423ABF" w:rsidRDefault="00C7366F" w:rsidP="00805B11">
      <w:pPr>
        <w:pStyle w:val="SCCNormalDoubleSpacing"/>
        <w:spacing w:after="240" w:line="240" w:lineRule="auto"/>
        <w:rPr>
          <w:lang w:val="fr-CA"/>
        </w:rPr>
      </w:pPr>
      <w:r w:rsidRPr="00F65599">
        <w:rPr>
          <w:i/>
          <w:lang w:val="fr-CA"/>
        </w:rPr>
        <w:t>Loi sur la révision des limites des circonscriptions électorales</w:t>
      </w:r>
      <w:r w:rsidR="0048174C">
        <w:rPr>
          <w:lang w:val="fr-CA"/>
        </w:rPr>
        <w:t>, L.R.C.</w:t>
      </w:r>
      <w:r w:rsidRPr="00F65599">
        <w:rPr>
          <w:lang w:val="fr-CA"/>
        </w:rPr>
        <w:t xml:space="preserve"> 1985, c.</w:t>
      </w:r>
      <w:r w:rsidR="00382AA5">
        <w:rPr>
          <w:lang w:val="fr-CA"/>
        </w:rPr>
        <w:t> </w:t>
      </w:r>
      <w:r w:rsidRPr="00F65599">
        <w:rPr>
          <w:lang w:val="fr-CA"/>
        </w:rPr>
        <w:t>E</w:t>
      </w:r>
      <w:r w:rsidR="00382AA5">
        <w:rPr>
          <w:lang w:val="fr-CA"/>
        </w:rPr>
        <w:noBreakHyphen/>
      </w:r>
      <w:r w:rsidRPr="00F65599">
        <w:rPr>
          <w:lang w:val="fr-CA"/>
        </w:rPr>
        <w:t>3</w:t>
      </w:r>
      <w:r w:rsidR="00AE5658">
        <w:rPr>
          <w:lang w:val="fr-CA"/>
        </w:rPr>
        <w:t>.</w:t>
      </w:r>
    </w:p>
    <w:p w:rsidR="00C21633" w:rsidRDefault="007B0952" w:rsidP="00805B11">
      <w:pPr>
        <w:pStyle w:val="SCCNormalDoubleSpacing"/>
        <w:spacing w:after="720" w:line="240" w:lineRule="auto"/>
        <w:rPr>
          <w:lang w:val="fr-CA"/>
        </w:rPr>
      </w:pPr>
      <w:r w:rsidRPr="009C0A10">
        <w:rPr>
          <w:i/>
          <w:lang w:val="fr-CA"/>
        </w:rPr>
        <w:t>Loi sur les brevets</w:t>
      </w:r>
      <w:r w:rsidR="002D06CF" w:rsidRPr="009C0A10">
        <w:rPr>
          <w:lang w:val="fr-CA"/>
        </w:rPr>
        <w:t>, L.R.C.</w:t>
      </w:r>
      <w:r w:rsidR="00842071">
        <w:rPr>
          <w:lang w:val="fr-CA"/>
        </w:rPr>
        <w:t xml:space="preserve"> 1985, c. </w:t>
      </w:r>
      <w:r w:rsidRPr="009C0A10">
        <w:rPr>
          <w:lang w:val="fr-CA"/>
        </w:rPr>
        <w:t>P</w:t>
      </w:r>
      <w:r w:rsidR="00382AA5">
        <w:rPr>
          <w:lang w:val="fr-CA"/>
        </w:rPr>
        <w:noBreakHyphen/>
      </w:r>
      <w:r w:rsidRPr="009C0A10">
        <w:rPr>
          <w:lang w:val="fr-CA"/>
        </w:rPr>
        <w:t>4</w:t>
      </w:r>
      <w:r w:rsidR="00AE5658" w:rsidRPr="009C0A10">
        <w:rPr>
          <w:lang w:val="fr-CA"/>
        </w:rPr>
        <w:t>.</w:t>
      </w:r>
    </w:p>
    <w:p w:rsidR="004D7D95" w:rsidRPr="00C21633" w:rsidRDefault="004D7D95" w:rsidP="00382AA5">
      <w:pPr>
        <w:pStyle w:val="SCCNormalDoubleSpacing"/>
        <w:tabs>
          <w:tab w:val="clear" w:pos="1168"/>
          <w:tab w:val="left" w:pos="6372"/>
        </w:tabs>
        <w:spacing w:after="720" w:line="240" w:lineRule="auto"/>
        <w:rPr>
          <w:b/>
          <w:lang w:val="fr-CA"/>
        </w:rPr>
      </w:pPr>
      <w:r w:rsidRPr="00C21633">
        <w:rPr>
          <w:b/>
          <w:lang w:val="fr-CA"/>
        </w:rPr>
        <w:t>Doctrine et autres documents cités</w:t>
      </w:r>
    </w:p>
    <w:p w:rsidR="00873E2E" w:rsidRPr="009201B3" w:rsidRDefault="00873E2E" w:rsidP="00873E2E">
      <w:pPr>
        <w:pStyle w:val="SCCNormalDoubleSpacing"/>
        <w:spacing w:after="240" w:line="240" w:lineRule="auto"/>
        <w:ind w:left="540" w:hanging="540"/>
        <w:rPr>
          <w:lang w:val="en-US"/>
        </w:rPr>
      </w:pPr>
      <w:proofErr w:type="spellStart"/>
      <w:r w:rsidRPr="001244E7">
        <w:rPr>
          <w:lang w:val="fr-CA"/>
        </w:rPr>
        <w:t>Ajzenstat</w:t>
      </w:r>
      <w:proofErr w:type="spellEnd"/>
      <w:r w:rsidRPr="001244E7">
        <w:rPr>
          <w:lang w:val="fr-CA"/>
        </w:rPr>
        <w:t>, Janet</w:t>
      </w:r>
      <w:r w:rsidR="003F6326" w:rsidRPr="001244E7">
        <w:rPr>
          <w:lang w:val="fr-CA"/>
        </w:rPr>
        <w:t>.</w:t>
      </w:r>
      <w:r w:rsidRPr="001244E7">
        <w:rPr>
          <w:lang w:val="fr-CA"/>
        </w:rPr>
        <w:t xml:space="preserve"> </w:t>
      </w:r>
      <w:r w:rsidRPr="009201B3">
        <w:rPr>
          <w:i/>
          <w:lang w:val="en-US"/>
        </w:rPr>
        <w:t>The Canadian Founding: John Locke and Parliament</w:t>
      </w:r>
      <w:r w:rsidRPr="009201B3">
        <w:rPr>
          <w:lang w:val="en-US"/>
        </w:rPr>
        <w:t>, Montréal, McGill</w:t>
      </w:r>
      <w:r w:rsidR="00382AA5">
        <w:rPr>
          <w:lang w:val="en-US"/>
        </w:rPr>
        <w:noBreakHyphen/>
      </w:r>
      <w:r w:rsidRPr="009201B3">
        <w:rPr>
          <w:lang w:val="en-US"/>
        </w:rPr>
        <w:t>Queen</w:t>
      </w:r>
      <w:r w:rsidR="00805B11">
        <w:rPr>
          <w:lang w:val="en-US"/>
        </w:rPr>
        <w:t>’</w:t>
      </w:r>
      <w:r w:rsidRPr="009201B3">
        <w:rPr>
          <w:lang w:val="en-US"/>
        </w:rPr>
        <w:t xml:space="preserve">s University Press, 2007. </w:t>
      </w:r>
    </w:p>
    <w:p w:rsidR="00FD7F80" w:rsidRPr="00FD7F80" w:rsidRDefault="00FD7F80" w:rsidP="00FD7F80">
      <w:pPr>
        <w:pStyle w:val="SCCNormalDoubleSpacing"/>
        <w:tabs>
          <w:tab w:val="left" w:pos="2132"/>
        </w:tabs>
        <w:spacing w:after="240" w:line="240" w:lineRule="auto"/>
        <w:ind w:left="540" w:hanging="540"/>
        <w:rPr>
          <w:szCs w:val="24"/>
          <w:lang w:val="en-US"/>
        </w:rPr>
      </w:pPr>
      <w:r w:rsidRPr="00CD5791">
        <w:rPr>
          <w:szCs w:val="24"/>
          <w:lang w:val="en-US"/>
        </w:rPr>
        <w:t>Atkinson, Neill.</w:t>
      </w:r>
      <w:r w:rsidR="00B036C3" w:rsidRPr="00CD5791">
        <w:rPr>
          <w:szCs w:val="24"/>
          <w:lang w:val="en-US"/>
        </w:rPr>
        <w:t xml:space="preserve"> « </w:t>
      </w:r>
      <w:r w:rsidRPr="00CD5791">
        <w:t>Voting rights</w:t>
      </w:r>
      <w:r w:rsidR="00EC47F3" w:rsidRPr="00CD5791">
        <w:rPr>
          <w:szCs w:val="24"/>
          <w:lang w:val="en-US"/>
        </w:rPr>
        <w:t> »</w:t>
      </w:r>
      <w:r w:rsidRPr="00CD5791">
        <w:t xml:space="preserve">, in </w:t>
      </w:r>
      <w:proofErr w:type="spellStart"/>
      <w:r w:rsidRPr="00CD5791">
        <w:rPr>
          <w:i/>
        </w:rPr>
        <w:t>Te</w:t>
      </w:r>
      <w:proofErr w:type="spellEnd"/>
      <w:r w:rsidRPr="00CD5791">
        <w:rPr>
          <w:i/>
        </w:rPr>
        <w:t xml:space="preserve"> Ara — The</w:t>
      </w:r>
      <w:r w:rsidRPr="00CD5791">
        <w:t xml:space="preserve"> </w:t>
      </w:r>
      <w:r w:rsidRPr="00CD5791">
        <w:rPr>
          <w:i/>
        </w:rPr>
        <w:t>Encyclopedia of New Zealand</w:t>
      </w:r>
      <w:r w:rsidRPr="00CD5791">
        <w:t xml:space="preserve">, 2015 </w:t>
      </w:r>
      <w:r w:rsidRPr="00CD5791">
        <w:rPr>
          <w:lang w:val="en-US"/>
        </w:rPr>
        <w:t>(</w:t>
      </w:r>
      <w:proofErr w:type="spellStart"/>
      <w:r w:rsidRPr="00CD5791">
        <w:rPr>
          <w:lang w:val="en-US"/>
        </w:rPr>
        <w:t>e</w:t>
      </w:r>
      <w:r w:rsidRPr="00CD5791">
        <w:rPr>
          <w:szCs w:val="24"/>
          <w:lang w:val="en-US"/>
        </w:rPr>
        <w:t>n</w:t>
      </w:r>
      <w:proofErr w:type="spellEnd"/>
      <w:r w:rsidRPr="00CD5791">
        <w:rPr>
          <w:szCs w:val="24"/>
          <w:lang w:val="en-US"/>
        </w:rPr>
        <w:t xml:space="preserve"> </w:t>
      </w:r>
      <w:proofErr w:type="spellStart"/>
      <w:proofErr w:type="gramStart"/>
      <w:r w:rsidRPr="00CD5791">
        <w:rPr>
          <w:szCs w:val="24"/>
          <w:lang w:val="en-US"/>
        </w:rPr>
        <w:t>ligne</w:t>
      </w:r>
      <w:proofErr w:type="spellEnd"/>
      <w:r w:rsidR="00382AA5" w:rsidRPr="00CD5791">
        <w:rPr>
          <w:szCs w:val="24"/>
          <w:lang w:val="en-US"/>
        </w:rPr>
        <w:t> :</w:t>
      </w:r>
      <w:proofErr w:type="gramEnd"/>
      <w:r w:rsidRPr="00CD5791">
        <w:rPr>
          <w:szCs w:val="24"/>
          <w:lang w:val="en-US"/>
        </w:rPr>
        <w:t xml:space="preserve"> </w:t>
      </w:r>
      <w:r w:rsidR="00382AA5" w:rsidRPr="00876662">
        <w:rPr>
          <w:rStyle w:val="Hyperlink"/>
          <w:color w:val="auto"/>
          <w:szCs w:val="24"/>
          <w:u w:val="none"/>
          <w:lang w:val="en-US"/>
        </w:rPr>
        <w:t>https://teara.govt.nz/en/voting-rights/print</w:t>
      </w:r>
      <w:r w:rsidRPr="00CD5791">
        <w:rPr>
          <w:szCs w:val="24"/>
          <w:lang w:val="en-US"/>
        </w:rPr>
        <w:t xml:space="preserve">; version </w:t>
      </w:r>
      <w:proofErr w:type="spellStart"/>
      <w:r w:rsidRPr="00CD5791">
        <w:rPr>
          <w:szCs w:val="24"/>
          <w:lang w:val="en-US"/>
        </w:rPr>
        <w:t>archivée</w:t>
      </w:r>
      <w:proofErr w:type="spellEnd"/>
      <w:r w:rsidR="00382AA5" w:rsidRPr="00CD5791">
        <w:rPr>
          <w:szCs w:val="24"/>
          <w:lang w:val="en-US"/>
        </w:rPr>
        <w:t> :</w:t>
      </w:r>
      <w:r w:rsidRPr="00CD5791">
        <w:rPr>
          <w:rStyle w:val="nowrap"/>
          <w:lang w:val="en-US" w:bidi="en-US"/>
        </w:rPr>
        <w:t xml:space="preserve"> </w:t>
      </w:r>
      <w:hyperlink r:id="rId9" w:history="1">
        <w:r w:rsidR="00A70D95" w:rsidRPr="00AA5CD4">
          <w:rPr>
            <w:rStyle w:val="Hyperlink"/>
            <w:color w:val="auto"/>
            <w:u w:val="none"/>
            <w:lang w:val="en-US" w:bidi="en-US"/>
          </w:rPr>
          <w:t>https://www.scc-csc.ca/cso-dce/2019SCC-CSC1_1_eng.pdf</w:t>
        </w:r>
      </w:hyperlink>
      <w:r w:rsidRPr="00CD5791">
        <w:rPr>
          <w:lang w:val="en-US" w:bidi="en-US"/>
        </w:rPr>
        <w:t>).</w:t>
      </w:r>
    </w:p>
    <w:p w:rsidR="00873E2E" w:rsidRPr="009201B3" w:rsidRDefault="00675A2A" w:rsidP="00873E2E">
      <w:pPr>
        <w:pStyle w:val="SCCNormalDoubleSpacing"/>
        <w:spacing w:after="240" w:line="240" w:lineRule="auto"/>
        <w:ind w:left="540" w:hanging="540"/>
        <w:rPr>
          <w:szCs w:val="24"/>
          <w:lang w:val="en-US"/>
        </w:rPr>
      </w:pPr>
      <w:r>
        <w:rPr>
          <w:szCs w:val="24"/>
          <w:lang w:val="en-US"/>
        </w:rPr>
        <w:t>Baker, John H.</w:t>
      </w:r>
      <w:r w:rsidR="00873E2E" w:rsidRPr="009201B3">
        <w:rPr>
          <w:szCs w:val="24"/>
          <w:lang w:val="en-US"/>
        </w:rPr>
        <w:t xml:space="preserve"> « </w:t>
      </w:r>
      <w:r w:rsidR="004F02D7">
        <w:rPr>
          <w:szCs w:val="24"/>
          <w:lang w:val="en-US"/>
        </w:rPr>
        <w:t xml:space="preserve">Case and </w:t>
      </w:r>
      <w:proofErr w:type="gramStart"/>
      <w:r w:rsidR="004F02D7">
        <w:rPr>
          <w:szCs w:val="24"/>
          <w:lang w:val="en-US"/>
        </w:rPr>
        <w:t>Comment</w:t>
      </w:r>
      <w:r w:rsidR="00382AA5">
        <w:rPr>
          <w:szCs w:val="24"/>
          <w:lang w:val="en-US"/>
        </w:rPr>
        <w:t> :</w:t>
      </w:r>
      <w:proofErr w:type="gramEnd"/>
      <w:r w:rsidR="004F02D7">
        <w:rPr>
          <w:szCs w:val="24"/>
          <w:lang w:val="en-US"/>
        </w:rPr>
        <w:t> </w:t>
      </w:r>
      <w:r w:rsidR="00873E2E" w:rsidRPr="009201B3">
        <w:rPr>
          <w:szCs w:val="24"/>
          <w:lang w:val="en-US"/>
        </w:rPr>
        <w:t>Statutory Interpretation and Par</w:t>
      </w:r>
      <w:r w:rsidR="00B036C3">
        <w:rPr>
          <w:szCs w:val="24"/>
          <w:lang w:val="en-US"/>
        </w:rPr>
        <w:t xml:space="preserve">liamentary Intention » (1993), </w:t>
      </w:r>
      <w:r w:rsidR="00873E2E" w:rsidRPr="009201B3">
        <w:rPr>
          <w:szCs w:val="24"/>
          <w:lang w:val="en-US"/>
        </w:rPr>
        <w:t>5</w:t>
      </w:r>
      <w:r w:rsidR="00B036C3">
        <w:rPr>
          <w:szCs w:val="24"/>
          <w:lang w:val="en-US"/>
        </w:rPr>
        <w:t>2</w:t>
      </w:r>
      <w:r w:rsidR="00873E2E" w:rsidRPr="009201B3">
        <w:rPr>
          <w:szCs w:val="24"/>
          <w:lang w:val="en-US"/>
        </w:rPr>
        <w:t xml:space="preserve"> </w:t>
      </w:r>
      <w:r w:rsidR="00F075C5">
        <w:rPr>
          <w:i/>
          <w:szCs w:val="24"/>
          <w:lang w:val="en-US"/>
        </w:rPr>
        <w:t xml:space="preserve">Cambridge </w:t>
      </w:r>
      <w:r w:rsidR="00873E2E" w:rsidRPr="009201B3">
        <w:rPr>
          <w:i/>
          <w:szCs w:val="24"/>
          <w:lang w:val="en-US"/>
        </w:rPr>
        <w:t xml:space="preserve">L.J. </w:t>
      </w:r>
      <w:r w:rsidR="00873E2E" w:rsidRPr="009201B3">
        <w:rPr>
          <w:szCs w:val="24"/>
          <w:lang w:val="en-US"/>
        </w:rPr>
        <w:t xml:space="preserve">353. </w:t>
      </w:r>
    </w:p>
    <w:p w:rsidR="00873E2E" w:rsidRPr="009201B3" w:rsidRDefault="00873E2E" w:rsidP="00873E2E">
      <w:pPr>
        <w:pStyle w:val="SCCNormalDoubleSpacing"/>
        <w:spacing w:after="240" w:line="240" w:lineRule="auto"/>
        <w:ind w:left="540" w:hanging="540"/>
        <w:rPr>
          <w:szCs w:val="24"/>
          <w:lang w:val="en-US"/>
        </w:rPr>
      </w:pPr>
      <w:proofErr w:type="spellStart"/>
      <w:r w:rsidRPr="00F075C5">
        <w:rPr>
          <w:szCs w:val="24"/>
          <w:lang w:val="en-US"/>
        </w:rPr>
        <w:t>Blais</w:t>
      </w:r>
      <w:proofErr w:type="spellEnd"/>
      <w:r w:rsidRPr="00F075C5">
        <w:rPr>
          <w:szCs w:val="24"/>
          <w:lang w:val="en-US"/>
        </w:rPr>
        <w:t>, André</w:t>
      </w:r>
      <w:r w:rsidR="00AB6CA4">
        <w:rPr>
          <w:szCs w:val="24"/>
          <w:lang w:val="en-US"/>
        </w:rPr>
        <w:t>,</w:t>
      </w:r>
      <w:r w:rsidR="00F075C5" w:rsidRPr="00F075C5">
        <w:rPr>
          <w:szCs w:val="24"/>
          <w:lang w:val="en-US"/>
        </w:rPr>
        <w:t xml:space="preserve"> et </w:t>
      </w:r>
      <w:r w:rsidR="00382AA5">
        <w:rPr>
          <w:szCs w:val="24"/>
          <w:lang w:val="en-US"/>
        </w:rPr>
        <w:t>al. </w:t>
      </w:r>
      <w:r w:rsidRPr="009201B3">
        <w:rPr>
          <w:szCs w:val="24"/>
          <w:lang w:val="en-US"/>
        </w:rPr>
        <w:t xml:space="preserve">« Deciding Who Has the Right to </w:t>
      </w:r>
      <w:proofErr w:type="gramStart"/>
      <w:r w:rsidRPr="009201B3">
        <w:rPr>
          <w:szCs w:val="24"/>
          <w:lang w:val="en-US"/>
        </w:rPr>
        <w:t>Vote</w:t>
      </w:r>
      <w:r w:rsidR="00382AA5">
        <w:rPr>
          <w:szCs w:val="24"/>
          <w:lang w:val="en-US"/>
        </w:rPr>
        <w:t> :</w:t>
      </w:r>
      <w:proofErr w:type="gramEnd"/>
      <w:r w:rsidR="004F02D7">
        <w:rPr>
          <w:szCs w:val="24"/>
          <w:lang w:val="en-US"/>
        </w:rPr>
        <w:t> </w:t>
      </w:r>
      <w:r w:rsidRPr="009201B3">
        <w:rPr>
          <w:szCs w:val="24"/>
          <w:lang w:val="en-US"/>
        </w:rPr>
        <w:t>A Comparative Analysis of Election Laws »</w:t>
      </w:r>
      <w:r w:rsidR="00C84060">
        <w:rPr>
          <w:szCs w:val="24"/>
          <w:lang w:val="en-US"/>
        </w:rPr>
        <w:t xml:space="preserve"> (2001)</w:t>
      </w:r>
      <w:r w:rsidRPr="009201B3">
        <w:rPr>
          <w:szCs w:val="24"/>
          <w:lang w:val="en-US"/>
        </w:rPr>
        <w:t xml:space="preserve">, </w:t>
      </w:r>
      <w:r w:rsidRPr="009201B3">
        <w:rPr>
          <w:i/>
          <w:szCs w:val="24"/>
          <w:lang w:val="en-US"/>
        </w:rPr>
        <w:t xml:space="preserve">Electoral Studies </w:t>
      </w:r>
      <w:r w:rsidR="00C84060">
        <w:rPr>
          <w:szCs w:val="24"/>
          <w:lang w:val="en-US"/>
        </w:rPr>
        <w:t>20</w:t>
      </w:r>
      <w:r w:rsidRPr="009201B3">
        <w:rPr>
          <w:szCs w:val="24"/>
          <w:lang w:val="en-US"/>
        </w:rPr>
        <w:t>.</w:t>
      </w:r>
    </w:p>
    <w:p w:rsidR="00873E2E" w:rsidRPr="009201B3" w:rsidRDefault="00873E2E" w:rsidP="00873E2E">
      <w:pPr>
        <w:pStyle w:val="SCCNormalDoubleSpacing"/>
        <w:spacing w:after="240" w:line="240" w:lineRule="auto"/>
        <w:ind w:left="540" w:hanging="540"/>
        <w:rPr>
          <w:lang w:val="en-US"/>
        </w:rPr>
      </w:pPr>
      <w:proofErr w:type="spellStart"/>
      <w:r w:rsidRPr="00F075C5">
        <w:rPr>
          <w:lang w:val="en-US"/>
        </w:rPr>
        <w:t>Bogdanor</w:t>
      </w:r>
      <w:proofErr w:type="spellEnd"/>
      <w:r w:rsidRPr="00F075C5">
        <w:rPr>
          <w:lang w:val="en-US"/>
        </w:rPr>
        <w:t>, Vernon</w:t>
      </w:r>
      <w:r w:rsidR="003F6326" w:rsidRPr="00F075C5">
        <w:rPr>
          <w:lang w:val="en-US"/>
        </w:rPr>
        <w:t>.</w:t>
      </w:r>
      <w:r w:rsidR="00F075C5">
        <w:rPr>
          <w:lang w:val="en-US"/>
        </w:rPr>
        <w:t xml:space="preserve"> </w:t>
      </w:r>
      <w:r w:rsidR="00F075C5" w:rsidRPr="009201B3">
        <w:rPr>
          <w:szCs w:val="24"/>
          <w:lang w:val="en-US"/>
        </w:rPr>
        <w:t>« </w:t>
      </w:r>
      <w:r w:rsidR="00F075C5">
        <w:rPr>
          <w:szCs w:val="24"/>
          <w:lang w:val="en-US"/>
        </w:rPr>
        <w:t>Introduction</w:t>
      </w:r>
      <w:r w:rsidR="00F075C5" w:rsidRPr="009201B3">
        <w:rPr>
          <w:szCs w:val="24"/>
          <w:lang w:val="en-US"/>
        </w:rPr>
        <w:t> »</w:t>
      </w:r>
      <w:r w:rsidR="00AB6CA4">
        <w:rPr>
          <w:szCs w:val="24"/>
          <w:lang w:val="en-US"/>
        </w:rPr>
        <w:t>,</w:t>
      </w:r>
      <w:r w:rsidR="00F075C5">
        <w:rPr>
          <w:szCs w:val="24"/>
          <w:lang w:val="en-US"/>
        </w:rPr>
        <w:t xml:space="preserve"> in</w:t>
      </w:r>
      <w:r w:rsidR="004F02D7">
        <w:rPr>
          <w:szCs w:val="24"/>
          <w:lang w:val="en-US"/>
        </w:rPr>
        <w:t xml:space="preserve"> </w:t>
      </w:r>
      <w:r w:rsidR="00382AA5">
        <w:rPr>
          <w:lang w:val="en-US"/>
        </w:rPr>
        <w:t>V. </w:t>
      </w:r>
      <w:proofErr w:type="spellStart"/>
      <w:r w:rsidR="004F02D7" w:rsidRPr="00322942">
        <w:rPr>
          <w:lang w:val="en-US"/>
        </w:rPr>
        <w:t>Bogdanor</w:t>
      </w:r>
      <w:proofErr w:type="spellEnd"/>
      <w:r w:rsidR="004F02D7" w:rsidRPr="00322942">
        <w:rPr>
          <w:lang w:val="en-US"/>
        </w:rPr>
        <w:t xml:space="preserve"> and David Butler</w:t>
      </w:r>
      <w:r w:rsidR="00B036C3">
        <w:rPr>
          <w:lang w:val="en-US"/>
        </w:rPr>
        <w:t>, eds.</w:t>
      </w:r>
      <w:r w:rsidR="004F02D7">
        <w:rPr>
          <w:lang w:val="en-US"/>
        </w:rPr>
        <w:t>,</w:t>
      </w:r>
      <w:r w:rsidRPr="00F075C5">
        <w:rPr>
          <w:lang w:val="en-US"/>
        </w:rPr>
        <w:t xml:space="preserve"> </w:t>
      </w:r>
      <w:r w:rsidRPr="009201B3">
        <w:rPr>
          <w:i/>
          <w:lang w:val="en-US"/>
        </w:rPr>
        <w:t>Demo</w:t>
      </w:r>
      <w:r w:rsidR="00B036C3">
        <w:rPr>
          <w:i/>
          <w:lang w:val="en-US"/>
        </w:rPr>
        <w:t>cracy and Elections: Electoral Systems and T</w:t>
      </w:r>
      <w:r w:rsidRPr="009201B3">
        <w:rPr>
          <w:i/>
          <w:lang w:val="en-US"/>
        </w:rPr>
        <w:t xml:space="preserve">heir </w:t>
      </w:r>
      <w:r w:rsidR="00B036C3">
        <w:rPr>
          <w:i/>
          <w:lang w:val="en-US"/>
        </w:rPr>
        <w:t>Political C</w:t>
      </w:r>
      <w:r w:rsidRPr="009201B3">
        <w:rPr>
          <w:i/>
          <w:lang w:val="en-US"/>
        </w:rPr>
        <w:t>onsequences</w:t>
      </w:r>
      <w:r w:rsidR="004F02D7">
        <w:rPr>
          <w:lang w:val="en-US"/>
        </w:rPr>
        <w:t xml:space="preserve">, Cambridge, </w:t>
      </w:r>
      <w:r w:rsidRPr="009201B3">
        <w:rPr>
          <w:lang w:val="en-US"/>
        </w:rPr>
        <w:t xml:space="preserve">Cambridge University Press, 1983. </w:t>
      </w:r>
    </w:p>
    <w:p w:rsidR="00873E2E" w:rsidRPr="001E5850" w:rsidRDefault="003F6326" w:rsidP="00873E2E">
      <w:pPr>
        <w:pStyle w:val="SCCNormalDoubleSpacing"/>
        <w:spacing w:after="240" w:line="240" w:lineRule="auto"/>
        <w:ind w:left="540" w:hanging="540"/>
        <w:rPr>
          <w:szCs w:val="24"/>
          <w:lang w:val="fr-CA"/>
        </w:rPr>
      </w:pPr>
      <w:r>
        <w:rPr>
          <w:szCs w:val="24"/>
          <w:lang w:val="en-US"/>
        </w:rPr>
        <w:t>Boyer, J. Patrick.</w:t>
      </w:r>
      <w:r w:rsidR="00873E2E" w:rsidRPr="009201B3">
        <w:rPr>
          <w:szCs w:val="24"/>
          <w:lang w:val="en-US"/>
        </w:rPr>
        <w:t xml:space="preserve"> </w:t>
      </w:r>
      <w:r w:rsidR="00873E2E" w:rsidRPr="009201B3">
        <w:rPr>
          <w:i/>
          <w:lang w:val="en-US"/>
        </w:rPr>
        <w:t>Election Law in Canada: The Law and Procedure of Federal, Provincial and Territorial Elections</w:t>
      </w:r>
      <w:r w:rsidR="004F02D7">
        <w:rPr>
          <w:szCs w:val="24"/>
          <w:lang w:val="en-US"/>
        </w:rPr>
        <w:t xml:space="preserve">, </w:t>
      </w:r>
      <w:r w:rsidR="00382AA5">
        <w:rPr>
          <w:szCs w:val="24"/>
          <w:lang w:val="en-US"/>
        </w:rPr>
        <w:t>vol. </w:t>
      </w:r>
      <w:r w:rsidR="004F02D7">
        <w:rPr>
          <w:szCs w:val="24"/>
          <w:lang w:val="en-US"/>
        </w:rPr>
        <w:t>1.</w:t>
      </w:r>
      <w:r w:rsidR="00873E2E" w:rsidRPr="009201B3">
        <w:rPr>
          <w:szCs w:val="24"/>
          <w:lang w:val="en-US"/>
        </w:rPr>
        <w:t xml:space="preserve"> </w:t>
      </w:r>
      <w:r w:rsidR="00873E2E" w:rsidRPr="001E5850">
        <w:rPr>
          <w:szCs w:val="24"/>
          <w:lang w:val="fr-CA"/>
        </w:rPr>
        <w:t xml:space="preserve">Toronto, </w:t>
      </w:r>
      <w:proofErr w:type="spellStart"/>
      <w:r w:rsidR="00873E2E" w:rsidRPr="001E5850">
        <w:rPr>
          <w:szCs w:val="24"/>
          <w:lang w:val="fr-CA"/>
        </w:rPr>
        <w:t>Butterworths</w:t>
      </w:r>
      <w:proofErr w:type="spellEnd"/>
      <w:r w:rsidR="00873E2E" w:rsidRPr="001E5850">
        <w:rPr>
          <w:szCs w:val="24"/>
          <w:lang w:val="fr-CA"/>
        </w:rPr>
        <w:t xml:space="preserve">, 1987. </w:t>
      </w:r>
    </w:p>
    <w:p w:rsidR="00AA5CD4" w:rsidRDefault="00AA5CD4" w:rsidP="00AA5CD4">
      <w:pPr>
        <w:pStyle w:val="SCCNormalDoubleSpacing"/>
        <w:spacing w:after="240" w:line="240" w:lineRule="auto"/>
        <w:ind w:left="540" w:hanging="540"/>
        <w:rPr>
          <w:lang w:val="fr-CA"/>
        </w:rPr>
      </w:pPr>
      <w:r>
        <w:rPr>
          <w:lang w:val="fr-CA"/>
        </w:rPr>
        <w:t>Canada. Chambre des communes. Comité sp</w:t>
      </w:r>
      <w:r w:rsidR="00DF2410">
        <w:rPr>
          <w:lang w:val="fr-CA"/>
        </w:rPr>
        <w:t>écial sur la réforme électorale.</w:t>
      </w:r>
      <w:r>
        <w:rPr>
          <w:lang w:val="fr-CA"/>
        </w:rPr>
        <w:t xml:space="preserve"> </w:t>
      </w:r>
      <w:r w:rsidRPr="00762D7F">
        <w:rPr>
          <w:i/>
          <w:lang w:val="fr-CA"/>
        </w:rPr>
        <w:t>Troisième rapport à la Chambre des communes</w:t>
      </w:r>
      <w:r>
        <w:rPr>
          <w:lang w:val="fr-CA"/>
        </w:rPr>
        <w:t>, n</w:t>
      </w:r>
      <w:r w:rsidRPr="00AB6CA4">
        <w:rPr>
          <w:vertAlign w:val="superscript"/>
          <w:lang w:val="fr-CA"/>
        </w:rPr>
        <w:t>o</w:t>
      </w:r>
      <w:r>
        <w:rPr>
          <w:lang w:val="fr-CA"/>
        </w:rPr>
        <w:t xml:space="preserve"> 7, 3</w:t>
      </w:r>
      <w:r w:rsidRPr="00762D7F">
        <w:rPr>
          <w:vertAlign w:val="superscript"/>
          <w:lang w:val="fr-CA"/>
        </w:rPr>
        <w:t>e</w:t>
      </w:r>
      <w:r>
        <w:rPr>
          <w:lang w:val="fr-CA"/>
        </w:rPr>
        <w:t xml:space="preserve"> </w:t>
      </w:r>
      <w:proofErr w:type="spellStart"/>
      <w:proofErr w:type="gramStart"/>
      <w:r>
        <w:rPr>
          <w:lang w:val="fr-CA"/>
        </w:rPr>
        <w:t>sess</w:t>
      </w:r>
      <w:proofErr w:type="spellEnd"/>
      <w:r>
        <w:rPr>
          <w:lang w:val="fr-CA"/>
        </w:rPr>
        <w:t>.,</w:t>
      </w:r>
      <w:proofErr w:type="gramEnd"/>
      <w:r>
        <w:rPr>
          <w:lang w:val="fr-CA"/>
        </w:rPr>
        <w:t xml:space="preserve"> 34</w:t>
      </w:r>
      <w:r w:rsidRPr="00762D7F">
        <w:rPr>
          <w:vertAlign w:val="superscript"/>
          <w:lang w:val="fr-CA"/>
        </w:rPr>
        <w:t>e</w:t>
      </w:r>
      <w:r>
        <w:rPr>
          <w:lang w:val="fr-CA"/>
        </w:rPr>
        <w:t xml:space="preserve"> </w:t>
      </w:r>
      <w:proofErr w:type="spellStart"/>
      <w:r>
        <w:rPr>
          <w:lang w:val="fr-CA"/>
        </w:rPr>
        <w:t>lég</w:t>
      </w:r>
      <w:proofErr w:type="spellEnd"/>
      <w:r>
        <w:rPr>
          <w:lang w:val="fr-CA"/>
        </w:rPr>
        <w:t>., 11 décembre 1992.</w:t>
      </w:r>
    </w:p>
    <w:p w:rsidR="00AA5CD4" w:rsidRDefault="00AA5CD4" w:rsidP="00AA5CD4">
      <w:pPr>
        <w:pStyle w:val="SCCNormalDoubleSpacing"/>
        <w:spacing w:after="240" w:line="240" w:lineRule="auto"/>
        <w:ind w:left="540" w:hanging="540"/>
        <w:rPr>
          <w:lang w:val="fr-CA"/>
        </w:rPr>
      </w:pPr>
      <w:r>
        <w:rPr>
          <w:szCs w:val="24"/>
          <w:lang w:val="fr-CA"/>
        </w:rPr>
        <w:t>Canada. Chambre des communes.</w:t>
      </w:r>
      <w:r w:rsidRPr="00873E2E">
        <w:rPr>
          <w:szCs w:val="24"/>
          <w:lang w:val="fr-CA"/>
        </w:rPr>
        <w:t xml:space="preserve"> </w:t>
      </w:r>
      <w:r>
        <w:rPr>
          <w:i/>
          <w:lang w:val="fr-CA"/>
        </w:rPr>
        <w:t>Procè</w:t>
      </w:r>
      <w:r w:rsidRPr="00873E2E">
        <w:rPr>
          <w:i/>
          <w:lang w:val="fr-CA"/>
        </w:rPr>
        <w:t>s</w:t>
      </w:r>
      <w:r>
        <w:rPr>
          <w:i/>
          <w:lang w:val="fr-CA"/>
        </w:rPr>
        <w:noBreakHyphen/>
        <w:t>verbaux et témoignages du Comité permanent des privilèges et élections</w:t>
      </w:r>
      <w:r w:rsidRPr="00873E2E">
        <w:rPr>
          <w:lang w:val="fr-CA"/>
        </w:rPr>
        <w:t xml:space="preserve">, </w:t>
      </w:r>
      <w:r>
        <w:rPr>
          <w:lang w:val="fr-CA"/>
        </w:rPr>
        <w:t>n</w:t>
      </w:r>
      <w:r w:rsidRPr="000360A6">
        <w:rPr>
          <w:vertAlign w:val="superscript"/>
          <w:lang w:val="fr-CA"/>
        </w:rPr>
        <w:t>o</w:t>
      </w:r>
      <w:r>
        <w:rPr>
          <w:lang w:val="fr-CA"/>
        </w:rPr>
        <w:t> </w:t>
      </w:r>
      <w:r w:rsidR="005F4E1B">
        <w:rPr>
          <w:lang w:val="fr-CA"/>
        </w:rPr>
        <w:t>1</w:t>
      </w:r>
      <w:r w:rsidRPr="00873E2E">
        <w:rPr>
          <w:lang w:val="fr-CA"/>
        </w:rPr>
        <w:t>, 2</w:t>
      </w:r>
      <w:r w:rsidRPr="00C84060">
        <w:rPr>
          <w:vertAlign w:val="superscript"/>
          <w:lang w:val="fr-CA"/>
        </w:rPr>
        <w:t>e</w:t>
      </w:r>
      <w:r>
        <w:rPr>
          <w:lang w:val="fr-CA"/>
        </w:rPr>
        <w:t> </w:t>
      </w:r>
      <w:proofErr w:type="spellStart"/>
      <w:proofErr w:type="gramStart"/>
      <w:r>
        <w:rPr>
          <w:lang w:val="fr-CA"/>
        </w:rPr>
        <w:t>s</w:t>
      </w:r>
      <w:r w:rsidRPr="00873E2E">
        <w:rPr>
          <w:lang w:val="fr-CA"/>
        </w:rPr>
        <w:t>ess</w:t>
      </w:r>
      <w:proofErr w:type="spellEnd"/>
      <w:r w:rsidRPr="00873E2E">
        <w:rPr>
          <w:lang w:val="fr-CA"/>
        </w:rPr>
        <w:t>.,</w:t>
      </w:r>
      <w:proofErr w:type="gramEnd"/>
      <w:r w:rsidRPr="00873E2E">
        <w:rPr>
          <w:lang w:val="fr-CA"/>
        </w:rPr>
        <w:t xml:space="preserve"> 32</w:t>
      </w:r>
      <w:r w:rsidRPr="00C84060">
        <w:rPr>
          <w:vertAlign w:val="superscript"/>
          <w:lang w:val="fr-CA"/>
        </w:rPr>
        <w:t>e</w:t>
      </w:r>
      <w:r>
        <w:rPr>
          <w:lang w:val="fr-CA"/>
        </w:rPr>
        <w:t> </w:t>
      </w:r>
      <w:proofErr w:type="spellStart"/>
      <w:r>
        <w:rPr>
          <w:lang w:val="fr-CA"/>
        </w:rPr>
        <w:t>lég</w:t>
      </w:r>
      <w:proofErr w:type="spellEnd"/>
      <w:r>
        <w:rPr>
          <w:lang w:val="fr-CA"/>
        </w:rPr>
        <w:t>.</w:t>
      </w:r>
      <w:r w:rsidRPr="00873E2E">
        <w:rPr>
          <w:lang w:val="fr-CA"/>
        </w:rPr>
        <w:t xml:space="preserve">, </w:t>
      </w:r>
      <w:r>
        <w:rPr>
          <w:lang w:val="fr-CA"/>
        </w:rPr>
        <w:t>27 m</w:t>
      </w:r>
      <w:r w:rsidRPr="00873E2E">
        <w:rPr>
          <w:lang w:val="fr-CA"/>
        </w:rPr>
        <w:t>ar</w:t>
      </w:r>
      <w:r>
        <w:rPr>
          <w:lang w:val="fr-CA"/>
        </w:rPr>
        <w:t>s</w:t>
      </w:r>
      <w:r w:rsidRPr="00873E2E">
        <w:rPr>
          <w:lang w:val="fr-CA"/>
        </w:rPr>
        <w:t xml:space="preserve"> 1984.</w:t>
      </w:r>
    </w:p>
    <w:p w:rsidR="00873E2E" w:rsidRPr="00C21633" w:rsidRDefault="00873E2E" w:rsidP="00873E2E">
      <w:pPr>
        <w:pStyle w:val="SCCNormalDoubleSpacing"/>
        <w:spacing w:after="240" w:line="240" w:lineRule="auto"/>
        <w:ind w:left="540" w:hanging="540"/>
        <w:rPr>
          <w:lang w:val="fr-CA"/>
        </w:rPr>
      </w:pPr>
      <w:r w:rsidRPr="005B1CDC">
        <w:rPr>
          <w:szCs w:val="24"/>
          <w:lang w:val="fr-CA"/>
        </w:rPr>
        <w:t xml:space="preserve">Canada. </w:t>
      </w:r>
      <w:r w:rsidR="003F6326" w:rsidRPr="005B1CDC">
        <w:rPr>
          <w:szCs w:val="24"/>
          <w:lang w:val="fr-CA"/>
        </w:rPr>
        <w:t>Chambre des communes.</w:t>
      </w:r>
      <w:r w:rsidRPr="005B1CDC">
        <w:rPr>
          <w:szCs w:val="24"/>
          <w:lang w:val="fr-CA"/>
        </w:rPr>
        <w:t xml:space="preserve"> </w:t>
      </w:r>
      <w:r w:rsidR="000360A6" w:rsidRPr="005B1CDC">
        <w:rPr>
          <w:i/>
          <w:lang w:val="fr-CA"/>
        </w:rPr>
        <w:t>Procès</w:t>
      </w:r>
      <w:r w:rsidR="00382AA5">
        <w:rPr>
          <w:i/>
          <w:lang w:val="fr-CA"/>
        </w:rPr>
        <w:noBreakHyphen/>
      </w:r>
      <w:r w:rsidR="000360A6" w:rsidRPr="005B1CDC">
        <w:rPr>
          <w:i/>
          <w:lang w:val="fr-CA"/>
        </w:rPr>
        <w:t>verbaux et témoignages du Comité spécial sur la réforme électorale</w:t>
      </w:r>
      <w:r w:rsidR="000360A6" w:rsidRPr="005B1CDC">
        <w:rPr>
          <w:lang w:val="fr-CA"/>
        </w:rPr>
        <w:t xml:space="preserve">, </w:t>
      </w:r>
      <w:r w:rsidR="00AA5CD4">
        <w:rPr>
          <w:lang w:val="fr-CA"/>
        </w:rPr>
        <w:t>n</w:t>
      </w:r>
      <w:r w:rsidR="00AA5CD4" w:rsidRPr="00AB6CA4">
        <w:rPr>
          <w:vertAlign w:val="superscript"/>
          <w:lang w:val="fr-CA"/>
        </w:rPr>
        <w:t>o</w:t>
      </w:r>
      <w:r w:rsidR="00382AA5">
        <w:rPr>
          <w:lang w:val="fr-CA"/>
        </w:rPr>
        <w:t> </w:t>
      </w:r>
      <w:r w:rsidRPr="00C21633">
        <w:rPr>
          <w:lang w:val="fr-CA"/>
        </w:rPr>
        <w:t>3, 3</w:t>
      </w:r>
      <w:r w:rsidR="000360A6" w:rsidRPr="00C84060">
        <w:rPr>
          <w:vertAlign w:val="superscript"/>
          <w:lang w:val="fr-CA"/>
        </w:rPr>
        <w:t>e</w:t>
      </w:r>
      <w:r w:rsidR="00C84060">
        <w:rPr>
          <w:lang w:val="fr-CA"/>
        </w:rPr>
        <w:t xml:space="preserve"> </w:t>
      </w:r>
      <w:proofErr w:type="spellStart"/>
      <w:proofErr w:type="gramStart"/>
      <w:r w:rsidR="00C84060">
        <w:rPr>
          <w:lang w:val="fr-CA"/>
        </w:rPr>
        <w:t>s</w:t>
      </w:r>
      <w:r w:rsidR="00B036C3">
        <w:rPr>
          <w:lang w:val="fr-CA"/>
        </w:rPr>
        <w:t>ess</w:t>
      </w:r>
      <w:proofErr w:type="spellEnd"/>
      <w:r w:rsidR="00B036C3">
        <w:rPr>
          <w:lang w:val="fr-CA"/>
        </w:rPr>
        <w:t>.,</w:t>
      </w:r>
      <w:proofErr w:type="gramEnd"/>
      <w:r w:rsidR="00B036C3">
        <w:rPr>
          <w:lang w:val="fr-CA"/>
        </w:rPr>
        <w:t xml:space="preserve"> 3</w:t>
      </w:r>
      <w:r w:rsidRPr="00C21633">
        <w:rPr>
          <w:lang w:val="fr-CA"/>
        </w:rPr>
        <w:t>4</w:t>
      </w:r>
      <w:r w:rsidR="00C84060" w:rsidRPr="00C84060">
        <w:rPr>
          <w:vertAlign w:val="superscript"/>
          <w:lang w:val="fr-CA"/>
        </w:rPr>
        <w:t>e</w:t>
      </w:r>
      <w:r w:rsidR="00C84060">
        <w:rPr>
          <w:lang w:val="fr-CA"/>
        </w:rPr>
        <w:t xml:space="preserve"> </w:t>
      </w:r>
      <w:proofErr w:type="spellStart"/>
      <w:r w:rsidR="00C84060">
        <w:rPr>
          <w:lang w:val="fr-CA"/>
        </w:rPr>
        <w:t>lég</w:t>
      </w:r>
      <w:proofErr w:type="spellEnd"/>
      <w:r w:rsidR="00C84060">
        <w:rPr>
          <w:lang w:val="fr-CA"/>
        </w:rPr>
        <w:t>.</w:t>
      </w:r>
      <w:r w:rsidRPr="00C21633">
        <w:rPr>
          <w:lang w:val="fr-CA"/>
        </w:rPr>
        <w:t xml:space="preserve">, </w:t>
      </w:r>
      <w:r w:rsidR="000360A6" w:rsidRPr="00C21633">
        <w:rPr>
          <w:lang w:val="fr-CA"/>
        </w:rPr>
        <w:t>25</w:t>
      </w:r>
      <w:r w:rsidR="00382AA5">
        <w:rPr>
          <w:lang w:val="fr-CA"/>
        </w:rPr>
        <w:t> </w:t>
      </w:r>
      <w:r w:rsidR="000360A6" w:rsidRPr="00C21633">
        <w:rPr>
          <w:lang w:val="fr-CA"/>
        </w:rPr>
        <w:t>mars</w:t>
      </w:r>
      <w:r w:rsidRPr="00C21633">
        <w:rPr>
          <w:lang w:val="fr-CA"/>
        </w:rPr>
        <w:t xml:space="preserve"> 1992.</w:t>
      </w:r>
    </w:p>
    <w:p w:rsidR="00873E2E" w:rsidRPr="00873E2E" w:rsidRDefault="00873E2E" w:rsidP="00873E2E">
      <w:pPr>
        <w:pStyle w:val="SCCNormalDoubleSpacing"/>
        <w:spacing w:after="240" w:line="240" w:lineRule="auto"/>
        <w:ind w:left="540" w:hanging="540"/>
        <w:rPr>
          <w:lang w:val="fr-CA"/>
        </w:rPr>
      </w:pPr>
      <w:r w:rsidRPr="00C21633">
        <w:rPr>
          <w:szCs w:val="24"/>
          <w:lang w:val="fr-CA"/>
        </w:rPr>
        <w:t>Canada.</w:t>
      </w:r>
      <w:r w:rsidR="003F6326">
        <w:rPr>
          <w:szCs w:val="24"/>
          <w:lang w:val="fr-CA"/>
        </w:rPr>
        <w:t xml:space="preserve"> Chambre des communes.</w:t>
      </w:r>
      <w:r w:rsidRPr="00873E2E">
        <w:rPr>
          <w:szCs w:val="24"/>
          <w:lang w:val="fr-CA"/>
        </w:rPr>
        <w:t xml:space="preserve"> </w:t>
      </w:r>
      <w:r w:rsidR="000360A6">
        <w:rPr>
          <w:i/>
          <w:lang w:val="fr-CA"/>
        </w:rPr>
        <w:t>Procè</w:t>
      </w:r>
      <w:r w:rsidR="000360A6" w:rsidRPr="00873E2E">
        <w:rPr>
          <w:i/>
          <w:lang w:val="fr-CA"/>
        </w:rPr>
        <w:t>s</w:t>
      </w:r>
      <w:r w:rsidR="00382AA5">
        <w:rPr>
          <w:i/>
          <w:lang w:val="fr-CA"/>
        </w:rPr>
        <w:noBreakHyphen/>
      </w:r>
      <w:r w:rsidR="000360A6">
        <w:rPr>
          <w:i/>
          <w:lang w:val="fr-CA"/>
        </w:rPr>
        <w:t>verbaux et témoignages du Comité spécial sur la réforme électorale</w:t>
      </w:r>
      <w:r w:rsidRPr="00873E2E">
        <w:rPr>
          <w:lang w:val="fr-CA"/>
        </w:rPr>
        <w:t xml:space="preserve">, </w:t>
      </w:r>
      <w:r w:rsidR="000360A6">
        <w:rPr>
          <w:lang w:val="fr-CA"/>
        </w:rPr>
        <w:t>n</w:t>
      </w:r>
      <w:r w:rsidRPr="000360A6">
        <w:rPr>
          <w:vertAlign w:val="superscript"/>
          <w:lang w:val="fr-CA"/>
        </w:rPr>
        <w:t>o</w:t>
      </w:r>
      <w:r w:rsidR="00842071">
        <w:rPr>
          <w:lang w:val="fr-CA"/>
        </w:rPr>
        <w:t> </w:t>
      </w:r>
      <w:r w:rsidRPr="00873E2E">
        <w:rPr>
          <w:lang w:val="fr-CA"/>
        </w:rPr>
        <w:t>5, 3</w:t>
      </w:r>
      <w:r w:rsidR="00C84060" w:rsidRPr="00C84060">
        <w:rPr>
          <w:vertAlign w:val="superscript"/>
          <w:lang w:val="fr-CA"/>
        </w:rPr>
        <w:t>e</w:t>
      </w:r>
      <w:r w:rsidR="00842071">
        <w:rPr>
          <w:lang w:val="fr-CA"/>
        </w:rPr>
        <w:t> </w:t>
      </w:r>
      <w:proofErr w:type="spellStart"/>
      <w:proofErr w:type="gramStart"/>
      <w:r w:rsidR="00C84060">
        <w:rPr>
          <w:lang w:val="fr-CA"/>
        </w:rPr>
        <w:t>s</w:t>
      </w:r>
      <w:r w:rsidR="00B036C3">
        <w:rPr>
          <w:lang w:val="fr-CA"/>
        </w:rPr>
        <w:t>ess</w:t>
      </w:r>
      <w:proofErr w:type="spellEnd"/>
      <w:r w:rsidR="00B036C3">
        <w:rPr>
          <w:lang w:val="fr-CA"/>
        </w:rPr>
        <w:t>.,</w:t>
      </w:r>
      <w:proofErr w:type="gramEnd"/>
      <w:r w:rsidR="00B036C3">
        <w:rPr>
          <w:lang w:val="fr-CA"/>
        </w:rPr>
        <w:t xml:space="preserve"> 3</w:t>
      </w:r>
      <w:r w:rsidRPr="00873E2E">
        <w:rPr>
          <w:lang w:val="fr-CA"/>
        </w:rPr>
        <w:t>4</w:t>
      </w:r>
      <w:r w:rsidR="00C84060" w:rsidRPr="00C84060">
        <w:rPr>
          <w:vertAlign w:val="superscript"/>
          <w:lang w:val="fr-CA"/>
        </w:rPr>
        <w:t>e</w:t>
      </w:r>
      <w:r w:rsidR="00842071">
        <w:rPr>
          <w:lang w:val="fr-CA"/>
        </w:rPr>
        <w:t> </w:t>
      </w:r>
      <w:proofErr w:type="spellStart"/>
      <w:r w:rsidR="00C84060">
        <w:rPr>
          <w:lang w:val="fr-CA"/>
        </w:rPr>
        <w:t>lég</w:t>
      </w:r>
      <w:proofErr w:type="spellEnd"/>
      <w:r w:rsidR="00C84060">
        <w:rPr>
          <w:lang w:val="fr-CA"/>
        </w:rPr>
        <w:t>.</w:t>
      </w:r>
      <w:r w:rsidRPr="00873E2E">
        <w:rPr>
          <w:lang w:val="fr-CA"/>
        </w:rPr>
        <w:t xml:space="preserve">, </w:t>
      </w:r>
      <w:r w:rsidR="000360A6">
        <w:rPr>
          <w:lang w:val="fr-CA"/>
        </w:rPr>
        <w:t>24</w:t>
      </w:r>
      <w:r w:rsidR="00382AA5">
        <w:rPr>
          <w:lang w:val="fr-CA"/>
        </w:rPr>
        <w:t> </w:t>
      </w:r>
      <w:r w:rsidR="000360A6">
        <w:rPr>
          <w:lang w:val="fr-CA"/>
        </w:rPr>
        <w:t>novemb</w:t>
      </w:r>
      <w:r w:rsidRPr="00873E2E">
        <w:rPr>
          <w:lang w:val="fr-CA"/>
        </w:rPr>
        <w:t>r</w:t>
      </w:r>
      <w:r w:rsidR="000360A6">
        <w:rPr>
          <w:lang w:val="fr-CA"/>
        </w:rPr>
        <w:t>e</w:t>
      </w:r>
      <w:r w:rsidRPr="00873E2E">
        <w:rPr>
          <w:lang w:val="fr-CA"/>
        </w:rPr>
        <w:t xml:space="preserve"> 1992.</w:t>
      </w:r>
    </w:p>
    <w:p w:rsidR="006C6324" w:rsidRDefault="006C6324" w:rsidP="00805B11">
      <w:pPr>
        <w:pStyle w:val="SCCNormalDoubleSpacing"/>
        <w:spacing w:after="240" w:line="240" w:lineRule="auto"/>
        <w:ind w:left="540" w:hanging="540"/>
        <w:rPr>
          <w:lang w:val="fr-CA"/>
        </w:rPr>
      </w:pPr>
      <w:r>
        <w:rPr>
          <w:lang w:val="fr-CA"/>
        </w:rPr>
        <w:lastRenderedPageBreak/>
        <w:t xml:space="preserve">Canada. Commission royale sur la réforme électorale et le financement des partis. </w:t>
      </w:r>
      <w:r w:rsidRPr="00C72442">
        <w:rPr>
          <w:i/>
          <w:lang w:val="fr-CA"/>
        </w:rPr>
        <w:t>Pour une démocratie électorale renouvelée</w:t>
      </w:r>
      <w:r>
        <w:rPr>
          <w:i/>
          <w:lang w:val="fr-CA"/>
        </w:rPr>
        <w:t> :</w:t>
      </w:r>
      <w:r w:rsidRPr="00C72442">
        <w:rPr>
          <w:i/>
          <w:lang w:val="fr-CA"/>
        </w:rPr>
        <w:t xml:space="preserve"> Rapport final</w:t>
      </w:r>
      <w:r>
        <w:rPr>
          <w:lang w:val="fr-CA"/>
        </w:rPr>
        <w:t>, vol. 1, Ottawa, La Commission, 1991.</w:t>
      </w:r>
    </w:p>
    <w:p w:rsidR="006C6324" w:rsidRPr="00C72442" w:rsidRDefault="006C6324" w:rsidP="00805B11">
      <w:pPr>
        <w:pStyle w:val="SCCNormalDoubleSpacing"/>
        <w:spacing w:after="240" w:line="240" w:lineRule="auto"/>
        <w:ind w:left="540" w:hanging="540"/>
        <w:rPr>
          <w:lang w:val="fr-CA"/>
        </w:rPr>
      </w:pPr>
      <w:r>
        <w:rPr>
          <w:lang w:val="fr-CA"/>
        </w:rPr>
        <w:t xml:space="preserve">Canada. Conseil privé. </w:t>
      </w:r>
      <w:r w:rsidRPr="00C72442">
        <w:rPr>
          <w:i/>
          <w:lang w:val="fr-CA"/>
        </w:rPr>
        <w:t>Livre blanc sur la réforme de la loi électorale</w:t>
      </w:r>
      <w:r w:rsidR="00D37C25">
        <w:rPr>
          <w:lang w:val="fr-CA"/>
        </w:rPr>
        <w:t>,</w:t>
      </w:r>
      <w:r>
        <w:rPr>
          <w:lang w:val="fr-CA"/>
        </w:rPr>
        <w:t xml:space="preserve"> Ottawa, 1986.</w:t>
      </w:r>
    </w:p>
    <w:p w:rsidR="00161049" w:rsidRPr="00161049" w:rsidRDefault="00161049" w:rsidP="00805B11">
      <w:pPr>
        <w:pStyle w:val="SCCNormalDoubleSpacing"/>
        <w:spacing w:after="240" w:line="240" w:lineRule="auto"/>
        <w:ind w:left="540" w:hanging="540"/>
        <w:rPr>
          <w:szCs w:val="24"/>
          <w:lang w:val="fr-CA"/>
        </w:rPr>
      </w:pPr>
      <w:r w:rsidRPr="00161049">
        <w:rPr>
          <w:lang w:val="fr-CA"/>
        </w:rPr>
        <w:t xml:space="preserve">Canada. Ministère de la Justice. </w:t>
      </w:r>
      <w:r w:rsidR="00703A47">
        <w:rPr>
          <w:i/>
          <w:lang w:val="fr-CA"/>
        </w:rPr>
        <w:t>Princip</w:t>
      </w:r>
      <w:r w:rsidRPr="00161049">
        <w:rPr>
          <w:i/>
          <w:lang w:val="fr-CA"/>
        </w:rPr>
        <w:t>es guid</w:t>
      </w:r>
      <w:r>
        <w:rPr>
          <w:i/>
          <w:lang w:val="fr-CA"/>
        </w:rPr>
        <w:t xml:space="preserve">ant le procureur général du Canada </w:t>
      </w:r>
      <w:r w:rsidRPr="00CD5791">
        <w:rPr>
          <w:i/>
          <w:lang w:val="fr-CA"/>
        </w:rPr>
        <w:t>dans les litiges fondés sur la Charte</w:t>
      </w:r>
      <w:r w:rsidRPr="00CD5791">
        <w:rPr>
          <w:lang w:val="fr-CA"/>
        </w:rPr>
        <w:t>,</w:t>
      </w:r>
      <w:r w:rsidRPr="00CD5791">
        <w:rPr>
          <w:i/>
          <w:lang w:val="fr-CA"/>
        </w:rPr>
        <w:t xml:space="preserve"> </w:t>
      </w:r>
      <w:r w:rsidRPr="00CD5791">
        <w:rPr>
          <w:lang w:val="fr-CA"/>
        </w:rPr>
        <w:t>2017 (e</w:t>
      </w:r>
      <w:r w:rsidRPr="00CD5791">
        <w:rPr>
          <w:szCs w:val="24"/>
          <w:lang w:val="fr-CA"/>
        </w:rPr>
        <w:t>n ligne</w:t>
      </w:r>
      <w:r w:rsidR="00382AA5" w:rsidRPr="00CD5791">
        <w:rPr>
          <w:szCs w:val="24"/>
          <w:lang w:val="fr-CA"/>
        </w:rPr>
        <w:t> :</w:t>
      </w:r>
      <w:r w:rsidRPr="00CD5791">
        <w:rPr>
          <w:szCs w:val="24"/>
          <w:lang w:val="fr-CA"/>
        </w:rPr>
        <w:t xml:space="preserve"> </w:t>
      </w:r>
      <w:r w:rsidR="00382AA5" w:rsidRPr="00876662">
        <w:rPr>
          <w:rStyle w:val="Hyperlink"/>
          <w:color w:val="auto"/>
          <w:szCs w:val="24"/>
          <w:u w:val="none"/>
          <w:lang w:val="fr-CA"/>
        </w:rPr>
        <w:t>https://www.justice.gc.ca/fra/sjc-csj/principes2-fra.pdf</w:t>
      </w:r>
      <w:r w:rsidRPr="00CD5791">
        <w:rPr>
          <w:szCs w:val="24"/>
          <w:lang w:val="fr-CA"/>
        </w:rPr>
        <w:t>; version archivée</w:t>
      </w:r>
      <w:r w:rsidR="00382AA5" w:rsidRPr="00CD5791">
        <w:rPr>
          <w:szCs w:val="24"/>
          <w:lang w:val="fr-CA"/>
        </w:rPr>
        <w:t> :</w:t>
      </w:r>
      <w:r w:rsidRPr="00CD5791">
        <w:rPr>
          <w:rStyle w:val="nowrap"/>
          <w:lang w:val="fr-CA" w:bidi="en-US"/>
        </w:rPr>
        <w:t xml:space="preserve"> </w:t>
      </w:r>
      <w:hyperlink r:id="rId10" w:history="1">
        <w:r w:rsidR="00876662" w:rsidRPr="00AA5CD4">
          <w:rPr>
            <w:rStyle w:val="Hyperlink"/>
            <w:color w:val="auto"/>
            <w:u w:val="none"/>
            <w:lang w:val="fr-CA" w:bidi="en-US"/>
          </w:rPr>
          <w:t>https://www.scc-csc.ca/cso-dce/2019SCC-CSC1_2_fra.pdf</w:t>
        </w:r>
      </w:hyperlink>
      <w:r w:rsidRPr="00CD5791">
        <w:rPr>
          <w:lang w:val="fr-CA" w:bidi="en-US"/>
        </w:rPr>
        <w:t>).</w:t>
      </w:r>
    </w:p>
    <w:p w:rsidR="00873E2E" w:rsidRPr="005B1CDC" w:rsidRDefault="003F6326" w:rsidP="00873E2E">
      <w:pPr>
        <w:pStyle w:val="SCCNormalDoubleSpacing"/>
        <w:spacing w:after="240" w:line="240" w:lineRule="auto"/>
        <w:ind w:left="540" w:hanging="540"/>
        <w:rPr>
          <w:lang w:val="en-US"/>
        </w:rPr>
      </w:pPr>
      <w:proofErr w:type="spellStart"/>
      <w:r w:rsidRPr="005B1CDC">
        <w:rPr>
          <w:szCs w:val="24"/>
          <w:lang w:val="en-US"/>
        </w:rPr>
        <w:t>Dodek</w:t>
      </w:r>
      <w:proofErr w:type="spellEnd"/>
      <w:r w:rsidRPr="005B1CDC">
        <w:rPr>
          <w:szCs w:val="24"/>
          <w:lang w:val="en-US"/>
        </w:rPr>
        <w:t>, Adam.</w:t>
      </w:r>
      <w:r w:rsidR="00873E2E" w:rsidRPr="005B1CDC">
        <w:rPr>
          <w:szCs w:val="24"/>
          <w:lang w:val="en-US"/>
        </w:rPr>
        <w:t xml:space="preserve"> </w:t>
      </w:r>
      <w:r w:rsidR="00873E2E" w:rsidRPr="005B1CDC">
        <w:rPr>
          <w:i/>
          <w:lang w:val="en-US"/>
        </w:rPr>
        <w:t>The Canadian Constitution</w:t>
      </w:r>
      <w:r w:rsidR="00C84060">
        <w:rPr>
          <w:lang w:val="en-US"/>
        </w:rPr>
        <w:t>, 2nd e</w:t>
      </w:r>
      <w:r w:rsidR="00873E2E" w:rsidRPr="005B1CDC">
        <w:rPr>
          <w:lang w:val="en-US"/>
        </w:rPr>
        <w:t>d.</w:t>
      </w:r>
      <w:r w:rsidR="00D37C25">
        <w:rPr>
          <w:lang w:val="en-US"/>
        </w:rPr>
        <w:t>,</w:t>
      </w:r>
      <w:r w:rsidR="00AA5CD4">
        <w:rPr>
          <w:lang w:val="en-US"/>
        </w:rPr>
        <w:t xml:space="preserve"> Toronto, Dundur</w:t>
      </w:r>
      <w:r w:rsidR="00873E2E" w:rsidRPr="005B1CDC">
        <w:rPr>
          <w:lang w:val="en-US"/>
        </w:rPr>
        <w:t>n, 2016.</w:t>
      </w:r>
    </w:p>
    <w:p w:rsidR="00AA5CD4" w:rsidRPr="00372E12" w:rsidRDefault="00AA5CD4" w:rsidP="00AA5CD4">
      <w:pPr>
        <w:pStyle w:val="SCCNormalDoubleSpacing"/>
        <w:spacing w:after="240" w:line="240" w:lineRule="auto"/>
        <w:ind w:left="540" w:hanging="540"/>
        <w:rPr>
          <w:lang w:val="en-US"/>
        </w:rPr>
      </w:pPr>
      <w:r>
        <w:rPr>
          <w:szCs w:val="24"/>
          <w:lang w:val="en-US"/>
        </w:rPr>
        <w:t>Ekins, Richard.</w:t>
      </w:r>
      <w:r w:rsidRPr="00372E12">
        <w:rPr>
          <w:szCs w:val="24"/>
          <w:lang w:val="en-US"/>
        </w:rPr>
        <w:t xml:space="preserve"> « </w:t>
      </w:r>
      <w:r w:rsidRPr="00372E12">
        <w:rPr>
          <w:lang w:val="en-US"/>
        </w:rPr>
        <w:t>Legislation as Reasoned Action</w:t>
      </w:r>
      <w:r w:rsidRPr="00372E12">
        <w:rPr>
          <w:szCs w:val="24"/>
          <w:lang w:val="en-US"/>
        </w:rPr>
        <w:t> »</w:t>
      </w:r>
      <w:r w:rsidRPr="00372E12">
        <w:rPr>
          <w:lang w:val="en-US"/>
        </w:rPr>
        <w:t>, in G.</w:t>
      </w:r>
      <w:r>
        <w:rPr>
          <w:lang w:val="en-US"/>
        </w:rPr>
        <w:t> </w:t>
      </w:r>
      <w:r w:rsidRPr="00372E12">
        <w:rPr>
          <w:lang w:val="en-US"/>
        </w:rPr>
        <w:t xml:space="preserve">Webber et al., </w:t>
      </w:r>
      <w:r w:rsidRPr="00372E12">
        <w:rPr>
          <w:i/>
          <w:lang w:val="en-US"/>
        </w:rPr>
        <w:t>Legislated Rights: Securing Human Rights through Legislation</w:t>
      </w:r>
      <w:r>
        <w:rPr>
          <w:lang w:val="en-US"/>
        </w:rPr>
        <w:t>, Cambridge</w:t>
      </w:r>
      <w:r w:rsidRPr="00372E12">
        <w:rPr>
          <w:lang w:val="en-US"/>
        </w:rPr>
        <w:t xml:space="preserve">, Cambridge University Press, 2018. </w:t>
      </w:r>
    </w:p>
    <w:p w:rsidR="00873E2E" w:rsidRPr="000360A6" w:rsidRDefault="003F6326" w:rsidP="00873E2E">
      <w:pPr>
        <w:pStyle w:val="SCCNormalDoubleSpacing"/>
        <w:spacing w:after="240" w:line="240" w:lineRule="auto"/>
        <w:ind w:left="540" w:hanging="540"/>
        <w:rPr>
          <w:lang w:val="en-US"/>
        </w:rPr>
      </w:pPr>
      <w:r w:rsidRPr="005B1CDC">
        <w:rPr>
          <w:lang w:val="en-US"/>
        </w:rPr>
        <w:t>Ekins, Richard.</w:t>
      </w:r>
      <w:r w:rsidR="00873E2E" w:rsidRPr="005B1CDC">
        <w:rPr>
          <w:lang w:val="en-US"/>
        </w:rPr>
        <w:t xml:space="preserve"> </w:t>
      </w:r>
      <w:r w:rsidR="00873E2E" w:rsidRPr="005B1CDC">
        <w:rPr>
          <w:i/>
          <w:lang w:val="en-US"/>
        </w:rPr>
        <w:t>The Nature of Legislative Intent</w:t>
      </w:r>
      <w:r w:rsidR="00873E2E" w:rsidRPr="000360A6">
        <w:rPr>
          <w:lang w:val="en-US"/>
        </w:rPr>
        <w:t xml:space="preserve">, Oxford, Oxford University Press, 2012. </w:t>
      </w:r>
    </w:p>
    <w:p w:rsidR="00873E2E" w:rsidRPr="00372E12" w:rsidRDefault="003F6326" w:rsidP="00873E2E">
      <w:pPr>
        <w:pStyle w:val="SCCNormalDoubleSpacing"/>
        <w:spacing w:after="240" w:line="240" w:lineRule="auto"/>
        <w:ind w:left="540" w:hanging="540"/>
        <w:rPr>
          <w:szCs w:val="24"/>
          <w:lang w:val="en-US"/>
        </w:rPr>
      </w:pPr>
      <w:r>
        <w:rPr>
          <w:szCs w:val="24"/>
          <w:lang w:val="en-US"/>
        </w:rPr>
        <w:t>Eskridge</w:t>
      </w:r>
      <w:r w:rsidR="00382AA5">
        <w:rPr>
          <w:szCs w:val="24"/>
          <w:lang w:val="en-US"/>
        </w:rPr>
        <w:t>, William </w:t>
      </w:r>
      <w:r w:rsidR="004F02D7">
        <w:rPr>
          <w:szCs w:val="24"/>
          <w:lang w:val="en-US"/>
        </w:rPr>
        <w:t>N</w:t>
      </w:r>
      <w:r w:rsidR="006C6324">
        <w:rPr>
          <w:szCs w:val="24"/>
          <w:lang w:val="en-US"/>
        </w:rPr>
        <w:t>.</w:t>
      </w:r>
      <w:r w:rsidR="004F02D7">
        <w:rPr>
          <w:szCs w:val="24"/>
          <w:lang w:val="en-US"/>
        </w:rPr>
        <w:t>,</w:t>
      </w:r>
      <w:r>
        <w:rPr>
          <w:szCs w:val="24"/>
          <w:lang w:val="en-US"/>
        </w:rPr>
        <w:t xml:space="preserve"> Jr.</w:t>
      </w:r>
      <w:r w:rsidR="00873E2E" w:rsidRPr="00372E12">
        <w:rPr>
          <w:szCs w:val="24"/>
          <w:lang w:val="en-US"/>
        </w:rPr>
        <w:t xml:space="preserve"> </w:t>
      </w:r>
      <w:r w:rsidR="00873E2E" w:rsidRPr="00372E12">
        <w:rPr>
          <w:i/>
          <w:lang w:val="en-US"/>
        </w:rPr>
        <w:t>Dynamic Statutory Interpretation</w:t>
      </w:r>
      <w:r w:rsidR="00873E2E" w:rsidRPr="00372E12">
        <w:rPr>
          <w:lang w:val="en-US"/>
        </w:rPr>
        <w:t>, Cambridge (Mass</w:t>
      </w:r>
      <w:r w:rsidR="006C6324">
        <w:rPr>
          <w:lang w:val="en-US"/>
        </w:rPr>
        <w:t>.</w:t>
      </w:r>
      <w:r w:rsidR="00873E2E" w:rsidRPr="00372E12">
        <w:rPr>
          <w:lang w:val="en-US"/>
        </w:rPr>
        <w:t>), Harvard University Press, 1994.</w:t>
      </w:r>
    </w:p>
    <w:p w:rsidR="00873E2E" w:rsidRPr="00372E12" w:rsidRDefault="00382AA5" w:rsidP="00873E2E">
      <w:pPr>
        <w:pStyle w:val="SCCNormalDoubleSpacing"/>
        <w:spacing w:after="240" w:line="240" w:lineRule="auto"/>
        <w:ind w:left="540" w:hanging="540"/>
        <w:rPr>
          <w:lang w:val="en-US"/>
        </w:rPr>
      </w:pPr>
      <w:r>
        <w:rPr>
          <w:lang w:val="en-US"/>
        </w:rPr>
        <w:t>Hogg, Peter </w:t>
      </w:r>
      <w:r w:rsidR="003F6326">
        <w:rPr>
          <w:lang w:val="en-US"/>
        </w:rPr>
        <w:t>W.</w:t>
      </w:r>
      <w:r w:rsidR="00873E2E" w:rsidRPr="00372E12">
        <w:rPr>
          <w:lang w:val="en-US"/>
        </w:rPr>
        <w:t xml:space="preserve"> </w:t>
      </w:r>
      <w:r w:rsidR="00873E2E" w:rsidRPr="00372E12">
        <w:rPr>
          <w:i/>
          <w:lang w:val="en-US"/>
        </w:rPr>
        <w:t>Constitutional Law of Canada</w:t>
      </w:r>
      <w:r w:rsidR="00873E2E" w:rsidRPr="00372E12">
        <w:rPr>
          <w:lang w:val="en-US"/>
        </w:rPr>
        <w:t xml:space="preserve">, </w:t>
      </w:r>
      <w:r>
        <w:rPr>
          <w:lang w:val="en-US"/>
        </w:rPr>
        <w:t>vol. </w:t>
      </w:r>
      <w:r w:rsidR="00D37C25">
        <w:rPr>
          <w:lang w:val="en-US"/>
        </w:rPr>
        <w:t>2,</w:t>
      </w:r>
      <w:r w:rsidR="000360A6" w:rsidRPr="00372E12">
        <w:rPr>
          <w:lang w:val="en-US"/>
        </w:rPr>
        <w:t xml:space="preserve"> 5</w:t>
      </w:r>
      <w:r w:rsidR="00C84060">
        <w:rPr>
          <w:lang w:val="en-US"/>
        </w:rPr>
        <w:t>th</w:t>
      </w:r>
      <w:r w:rsidR="00873E2E" w:rsidRPr="00372E12">
        <w:rPr>
          <w:lang w:val="en-US"/>
        </w:rPr>
        <w:t xml:space="preserve"> </w:t>
      </w:r>
      <w:r w:rsidR="00C84060">
        <w:rPr>
          <w:lang w:val="en-US"/>
        </w:rPr>
        <w:t>e</w:t>
      </w:r>
      <w:r w:rsidR="004F02D7">
        <w:rPr>
          <w:lang w:val="en-US"/>
        </w:rPr>
        <w:t>d.</w:t>
      </w:r>
      <w:r w:rsidR="00D37C25">
        <w:rPr>
          <w:lang w:val="en-US"/>
        </w:rPr>
        <w:t>,</w:t>
      </w:r>
      <w:r w:rsidR="00873E2E" w:rsidRPr="00372E12">
        <w:rPr>
          <w:lang w:val="en-US"/>
        </w:rPr>
        <w:t xml:space="preserve"> Scarborou</w:t>
      </w:r>
      <w:r w:rsidR="00AA5CD4">
        <w:rPr>
          <w:lang w:val="en-US"/>
        </w:rPr>
        <w:t>gh (Ont.), Thomson/Carswell, 201</w:t>
      </w:r>
      <w:r w:rsidR="00873E2E" w:rsidRPr="00372E12">
        <w:rPr>
          <w:lang w:val="en-US"/>
        </w:rPr>
        <w:t xml:space="preserve">7. </w:t>
      </w:r>
    </w:p>
    <w:p w:rsidR="00AA5CD4" w:rsidRPr="00372E12" w:rsidRDefault="00AA5CD4" w:rsidP="00AA5CD4">
      <w:pPr>
        <w:pStyle w:val="SCCNormalDoubleSpacing"/>
        <w:spacing w:after="240" w:line="240" w:lineRule="auto"/>
        <w:ind w:left="540" w:hanging="540"/>
        <w:rPr>
          <w:lang w:val="en-US"/>
        </w:rPr>
      </w:pPr>
      <w:r>
        <w:rPr>
          <w:lang w:val="en-US"/>
        </w:rPr>
        <w:t>MacGregor Dawson, Robert.</w:t>
      </w:r>
      <w:r w:rsidRPr="00372E12">
        <w:rPr>
          <w:lang w:val="en-US"/>
        </w:rPr>
        <w:t xml:space="preserve"> </w:t>
      </w:r>
      <w:r w:rsidRPr="00372E12">
        <w:rPr>
          <w:i/>
          <w:lang w:val="en-US"/>
        </w:rPr>
        <w:t>The Government of Canada</w:t>
      </w:r>
      <w:r w:rsidRPr="00372E12">
        <w:rPr>
          <w:lang w:val="en-US"/>
        </w:rPr>
        <w:t>, 4th ed.</w:t>
      </w:r>
      <w:r>
        <w:rPr>
          <w:lang w:val="en-US"/>
        </w:rPr>
        <w:t>,</w:t>
      </w:r>
      <w:r w:rsidRPr="00372E12">
        <w:rPr>
          <w:lang w:val="en-US"/>
        </w:rPr>
        <w:t xml:space="preserve"> Tor</w:t>
      </w:r>
      <w:r>
        <w:rPr>
          <w:lang w:val="en-US"/>
        </w:rPr>
        <w:t>onto, University of Toronto</w:t>
      </w:r>
      <w:r w:rsidR="005F4E1B">
        <w:rPr>
          <w:lang w:val="en-US"/>
        </w:rPr>
        <w:t xml:space="preserve"> Press</w:t>
      </w:r>
      <w:r>
        <w:rPr>
          <w:lang w:val="en-US"/>
        </w:rPr>
        <w:t>, 1963</w:t>
      </w:r>
      <w:r w:rsidRPr="00372E12">
        <w:rPr>
          <w:lang w:val="en-US"/>
        </w:rPr>
        <w:t>.</w:t>
      </w:r>
    </w:p>
    <w:p w:rsidR="00873E2E" w:rsidRPr="00372E12" w:rsidRDefault="00382AA5" w:rsidP="00873E2E">
      <w:pPr>
        <w:pStyle w:val="SCCNormalDoubleSpacing"/>
        <w:spacing w:after="240" w:line="240" w:lineRule="auto"/>
        <w:ind w:left="540" w:hanging="540"/>
        <w:rPr>
          <w:lang w:val="en-US"/>
        </w:rPr>
      </w:pPr>
      <w:r>
        <w:rPr>
          <w:lang w:val="en-US"/>
        </w:rPr>
        <w:t>Miller, Bradley </w:t>
      </w:r>
      <w:r w:rsidR="00675A2A">
        <w:rPr>
          <w:lang w:val="en-US"/>
        </w:rPr>
        <w:t>W.</w:t>
      </w:r>
      <w:r w:rsidR="00873E2E" w:rsidRPr="00372E12">
        <w:rPr>
          <w:lang w:val="en-US"/>
        </w:rPr>
        <w:t xml:space="preserve"> </w:t>
      </w:r>
      <w:r w:rsidR="00873E2E" w:rsidRPr="00372E12">
        <w:rPr>
          <w:szCs w:val="24"/>
          <w:lang w:val="en-US"/>
        </w:rPr>
        <w:t>« </w:t>
      </w:r>
      <w:r w:rsidR="00873E2E" w:rsidRPr="00372E12">
        <w:rPr>
          <w:lang w:val="en-US"/>
        </w:rPr>
        <w:t>Justification and Rights Limitations</w:t>
      </w:r>
      <w:r w:rsidR="000360A6" w:rsidRPr="00372E12">
        <w:rPr>
          <w:szCs w:val="24"/>
          <w:lang w:val="en-US"/>
        </w:rPr>
        <w:t> »</w:t>
      </w:r>
      <w:r w:rsidR="00873E2E" w:rsidRPr="00372E12">
        <w:rPr>
          <w:lang w:val="en-US"/>
        </w:rPr>
        <w:t xml:space="preserve">, in G. </w:t>
      </w:r>
      <w:proofErr w:type="spellStart"/>
      <w:r w:rsidR="00873E2E" w:rsidRPr="00372E12">
        <w:rPr>
          <w:lang w:val="en-US"/>
        </w:rPr>
        <w:t>Huscroft</w:t>
      </w:r>
      <w:proofErr w:type="spellEnd"/>
      <w:r w:rsidR="00873E2E" w:rsidRPr="00372E12">
        <w:rPr>
          <w:lang w:val="en-US"/>
        </w:rPr>
        <w:t xml:space="preserve">, </w:t>
      </w:r>
      <w:r w:rsidR="004F02D7">
        <w:rPr>
          <w:lang w:val="en-US"/>
        </w:rPr>
        <w:t>ed.</w:t>
      </w:r>
      <w:r w:rsidR="00873E2E" w:rsidRPr="00372E12">
        <w:rPr>
          <w:lang w:val="en-US"/>
        </w:rPr>
        <w:t xml:space="preserve"> </w:t>
      </w:r>
      <w:r w:rsidR="00873E2E" w:rsidRPr="00372E12">
        <w:rPr>
          <w:i/>
          <w:lang w:val="en-US"/>
        </w:rPr>
        <w:t>Expounding the Constitution: Essays in Constitutional Theory</w:t>
      </w:r>
      <w:r w:rsidR="004F02D7">
        <w:rPr>
          <w:lang w:val="en-US"/>
        </w:rPr>
        <w:t xml:space="preserve">, Cambridge, </w:t>
      </w:r>
      <w:r w:rsidR="00873E2E" w:rsidRPr="00372E12">
        <w:rPr>
          <w:lang w:val="en-US"/>
        </w:rPr>
        <w:t>Cambridge University Press, 20</w:t>
      </w:r>
      <w:r w:rsidR="006C6324">
        <w:rPr>
          <w:lang w:val="en-US"/>
        </w:rPr>
        <w:t>08</w:t>
      </w:r>
      <w:r w:rsidR="00873E2E" w:rsidRPr="00372E12">
        <w:rPr>
          <w:lang w:val="en-US"/>
        </w:rPr>
        <w:t>.</w:t>
      </w:r>
    </w:p>
    <w:p w:rsidR="00873E2E" w:rsidRPr="00372E12" w:rsidRDefault="00675A2A" w:rsidP="00873E2E">
      <w:pPr>
        <w:pStyle w:val="SCCNormalDoubleSpacing"/>
        <w:spacing w:after="240" w:line="240" w:lineRule="auto"/>
        <w:ind w:left="540" w:hanging="540"/>
        <w:rPr>
          <w:lang w:val="en-US"/>
        </w:rPr>
      </w:pPr>
      <w:r>
        <w:rPr>
          <w:lang w:val="en-US"/>
        </w:rPr>
        <w:t>Pound, Roscoe.</w:t>
      </w:r>
      <w:r w:rsidR="00873E2E" w:rsidRPr="00873E2E">
        <w:rPr>
          <w:lang w:val="en-US"/>
        </w:rPr>
        <w:t xml:space="preserve"> </w:t>
      </w:r>
      <w:r w:rsidR="00873E2E" w:rsidRPr="00873E2E">
        <w:rPr>
          <w:szCs w:val="24"/>
          <w:lang w:val="en-US"/>
        </w:rPr>
        <w:t>« </w:t>
      </w:r>
      <w:r w:rsidR="00873E2E" w:rsidRPr="00873E2E">
        <w:rPr>
          <w:lang w:val="en-US"/>
        </w:rPr>
        <w:t>Mechanical Jurisprudence</w:t>
      </w:r>
      <w:r w:rsidR="000360A6" w:rsidRPr="000360A6">
        <w:rPr>
          <w:szCs w:val="24"/>
          <w:lang w:val="en-US"/>
        </w:rPr>
        <w:t xml:space="preserve"> » </w:t>
      </w:r>
      <w:r w:rsidR="00873E2E" w:rsidRPr="00873E2E">
        <w:rPr>
          <w:lang w:val="en-US"/>
        </w:rPr>
        <w:t xml:space="preserve">(1908), 8 </w:t>
      </w:r>
      <w:r w:rsidR="00873E2E" w:rsidRPr="00873E2E">
        <w:rPr>
          <w:i/>
          <w:iCs/>
          <w:lang w:val="en-US"/>
        </w:rPr>
        <w:t xml:space="preserve">Colum. </w:t>
      </w:r>
      <w:r w:rsidR="00873E2E" w:rsidRPr="00372E12">
        <w:rPr>
          <w:i/>
          <w:iCs/>
          <w:lang w:val="en-US"/>
        </w:rPr>
        <w:t>L. Rev.</w:t>
      </w:r>
      <w:r w:rsidR="00873E2E" w:rsidRPr="00372E12">
        <w:rPr>
          <w:lang w:val="en-US"/>
        </w:rPr>
        <w:t xml:space="preserve"> 605.</w:t>
      </w:r>
    </w:p>
    <w:p w:rsidR="00873E2E" w:rsidRPr="00372E12" w:rsidRDefault="00873E2E" w:rsidP="00873E2E">
      <w:pPr>
        <w:pStyle w:val="SCCNormalDoubleSpacing"/>
        <w:spacing w:after="240" w:line="240" w:lineRule="auto"/>
        <w:ind w:left="540" w:hanging="540"/>
        <w:rPr>
          <w:lang w:val="en-US"/>
        </w:rPr>
      </w:pPr>
      <w:r w:rsidRPr="00372E12">
        <w:rPr>
          <w:lang w:val="en-US"/>
        </w:rPr>
        <w:t>Scal</w:t>
      </w:r>
      <w:r w:rsidR="003F6326">
        <w:rPr>
          <w:lang w:val="en-US"/>
        </w:rPr>
        <w:t>ia, Antonin and Bryan A. Garner.</w:t>
      </w:r>
      <w:r w:rsidRPr="00372E12">
        <w:rPr>
          <w:lang w:val="en-US"/>
        </w:rPr>
        <w:t xml:space="preserve"> </w:t>
      </w:r>
      <w:r w:rsidRPr="00372E12">
        <w:rPr>
          <w:i/>
          <w:lang w:val="en-US"/>
        </w:rPr>
        <w:t>Reading Law: The Interpretation of Legal Texts</w:t>
      </w:r>
      <w:r w:rsidRPr="00372E12">
        <w:rPr>
          <w:lang w:val="en-US"/>
        </w:rPr>
        <w:t>, St. Paul (Minn.), Thomson/West, 2012.</w:t>
      </w:r>
    </w:p>
    <w:p w:rsidR="009201B3" w:rsidRPr="009F66F1" w:rsidRDefault="00675A2A" w:rsidP="009201B3">
      <w:pPr>
        <w:pStyle w:val="SCCNormalDoubleSpacing"/>
        <w:spacing w:after="240" w:line="240" w:lineRule="auto"/>
        <w:ind w:left="540" w:hanging="540"/>
      </w:pPr>
      <w:proofErr w:type="spellStart"/>
      <w:r>
        <w:t>Sikkema</w:t>
      </w:r>
      <w:proofErr w:type="spellEnd"/>
      <w:r>
        <w:t>, John.</w:t>
      </w:r>
      <w:r w:rsidR="009201B3">
        <w:t xml:space="preserve"> </w:t>
      </w:r>
      <w:r w:rsidR="009201B3" w:rsidRPr="00873E2E">
        <w:rPr>
          <w:szCs w:val="24"/>
          <w:lang w:val="en-US"/>
        </w:rPr>
        <w:t>« </w:t>
      </w:r>
      <w:r w:rsidR="009201B3">
        <w:t xml:space="preserve">The </w:t>
      </w:r>
      <w:r w:rsidR="00DF2410">
        <w:t>“</w:t>
      </w:r>
      <w:r w:rsidR="009201B3">
        <w:t>Basic Bedford Rule</w:t>
      </w:r>
      <w:r w:rsidR="00DF2410">
        <w:t>”</w:t>
      </w:r>
      <w:r w:rsidR="009201B3">
        <w:t xml:space="preserve"> and Substantive Review of Criminal</w:t>
      </w:r>
      <w:r w:rsidR="00382AA5">
        <w:t xml:space="preserve"> Law Prohibitions </w:t>
      </w:r>
      <w:proofErr w:type="gramStart"/>
      <w:r w:rsidR="00382AA5">
        <w:t>Under</w:t>
      </w:r>
      <w:proofErr w:type="gramEnd"/>
      <w:r w:rsidR="00382AA5">
        <w:t xml:space="preserve"> Section </w:t>
      </w:r>
      <w:r w:rsidR="009201B3">
        <w:t>7 of the Charter</w:t>
      </w:r>
      <w:r w:rsidR="009201B3" w:rsidRPr="000360A6">
        <w:rPr>
          <w:szCs w:val="24"/>
          <w:lang w:val="en-US"/>
        </w:rPr>
        <w:t> »</w:t>
      </w:r>
      <w:r w:rsidR="009B2E22">
        <w:t>, in D.</w:t>
      </w:r>
      <w:r w:rsidR="00382AA5">
        <w:t> </w:t>
      </w:r>
      <w:r w:rsidR="009B2E22">
        <w:t>B.</w:t>
      </w:r>
      <w:r w:rsidR="00382AA5">
        <w:t> M. </w:t>
      </w:r>
      <w:r w:rsidR="009B2E22">
        <w:t>Ross, ed</w:t>
      </w:r>
      <w:r w:rsidR="009201B3">
        <w:t xml:space="preserve">., </w:t>
      </w:r>
      <w:r w:rsidR="009201B3" w:rsidRPr="009F66F1">
        <w:rPr>
          <w:i/>
        </w:rPr>
        <w:t>Assisted Death: Legal, Social and Ethical Issues after Carter</w:t>
      </w:r>
      <w:r w:rsidR="009201B3" w:rsidRPr="009F66F1">
        <w:t xml:space="preserve">, </w:t>
      </w:r>
      <w:r w:rsidR="009201B3">
        <w:t>Toronto, LexisNexis, 2018.</w:t>
      </w:r>
    </w:p>
    <w:p w:rsidR="00873E2E" w:rsidRPr="00372E12" w:rsidRDefault="003F6326" w:rsidP="00873E2E">
      <w:pPr>
        <w:pStyle w:val="SCCNormalDoubleSpacing"/>
        <w:spacing w:after="240" w:line="240" w:lineRule="auto"/>
        <w:ind w:left="540" w:hanging="540"/>
        <w:rPr>
          <w:lang w:val="en-US"/>
        </w:rPr>
      </w:pPr>
      <w:r>
        <w:rPr>
          <w:lang w:val="en-US"/>
        </w:rPr>
        <w:t>Sullivan, Ruth.</w:t>
      </w:r>
      <w:r w:rsidR="00873E2E" w:rsidRPr="00372E12">
        <w:rPr>
          <w:lang w:val="en-US"/>
        </w:rPr>
        <w:t xml:space="preserve"> </w:t>
      </w:r>
      <w:r w:rsidR="00873E2E" w:rsidRPr="00372E12">
        <w:rPr>
          <w:i/>
          <w:lang w:val="en-US"/>
        </w:rPr>
        <w:t>Sullivan on the Construction of Statutes</w:t>
      </w:r>
      <w:r w:rsidR="00873E2E" w:rsidRPr="00372E12">
        <w:rPr>
          <w:lang w:val="en-US"/>
        </w:rPr>
        <w:t xml:space="preserve">, </w:t>
      </w:r>
      <w:r w:rsidR="000360A6" w:rsidRPr="00372E12">
        <w:rPr>
          <w:lang w:val="en-US"/>
        </w:rPr>
        <w:t>6</w:t>
      </w:r>
      <w:r w:rsidR="009B2E22">
        <w:rPr>
          <w:lang w:val="en-US"/>
        </w:rPr>
        <w:t>th e</w:t>
      </w:r>
      <w:r w:rsidR="004F02D7">
        <w:rPr>
          <w:lang w:val="en-US"/>
        </w:rPr>
        <w:t>d.</w:t>
      </w:r>
      <w:r w:rsidR="00873E2E" w:rsidRPr="00372E12">
        <w:rPr>
          <w:lang w:val="en-US"/>
        </w:rPr>
        <w:t xml:space="preserve"> Markham (Ont.), LexisNexis, 2014.</w:t>
      </w:r>
    </w:p>
    <w:p w:rsidR="00873E2E" w:rsidRPr="00372E12" w:rsidRDefault="00873E2E" w:rsidP="00873E2E">
      <w:pPr>
        <w:pStyle w:val="SCCNormalDoubleSpacing"/>
        <w:spacing w:after="240" w:line="240" w:lineRule="auto"/>
        <w:ind w:left="540" w:hanging="540"/>
        <w:rPr>
          <w:lang w:val="en-US"/>
        </w:rPr>
      </w:pPr>
      <w:proofErr w:type="spellStart"/>
      <w:r w:rsidRPr="00372E12">
        <w:rPr>
          <w:lang w:val="en-US"/>
        </w:rPr>
        <w:t>Sunstein</w:t>
      </w:r>
      <w:proofErr w:type="spellEnd"/>
      <w:r w:rsidRPr="00372E12">
        <w:rPr>
          <w:lang w:val="en-US"/>
        </w:rPr>
        <w:t>, Cass R.</w:t>
      </w:r>
      <w:r w:rsidRPr="00372E12">
        <w:rPr>
          <w:i/>
          <w:lang w:val="en-US"/>
        </w:rPr>
        <w:t xml:space="preserve"> </w:t>
      </w:r>
      <w:r w:rsidRPr="00372E12">
        <w:rPr>
          <w:szCs w:val="24"/>
          <w:lang w:val="en-US"/>
        </w:rPr>
        <w:t>« </w:t>
      </w:r>
      <w:r w:rsidRPr="00372E12">
        <w:rPr>
          <w:lang w:val="en-US"/>
        </w:rPr>
        <w:t>Interpreting Statutes in the Regulatory State</w:t>
      </w:r>
      <w:r w:rsidR="000360A6" w:rsidRPr="00372E12">
        <w:rPr>
          <w:szCs w:val="24"/>
          <w:lang w:val="en-US"/>
        </w:rPr>
        <w:t xml:space="preserve"> » </w:t>
      </w:r>
      <w:r w:rsidRPr="00372E12">
        <w:rPr>
          <w:lang w:val="en-US"/>
        </w:rPr>
        <w:t xml:space="preserve">(1989), 103 </w:t>
      </w:r>
      <w:proofErr w:type="spellStart"/>
      <w:r w:rsidRPr="00372E12">
        <w:rPr>
          <w:i/>
          <w:lang w:val="en-US"/>
        </w:rPr>
        <w:t>Harv</w:t>
      </w:r>
      <w:proofErr w:type="spellEnd"/>
      <w:r w:rsidRPr="00372E12">
        <w:rPr>
          <w:i/>
          <w:lang w:val="en-US"/>
        </w:rPr>
        <w:t>. L. Rev.</w:t>
      </w:r>
      <w:r w:rsidRPr="00372E12">
        <w:rPr>
          <w:lang w:val="en-US"/>
        </w:rPr>
        <w:t xml:space="preserve"> 405.</w:t>
      </w:r>
    </w:p>
    <w:p w:rsidR="00873E2E" w:rsidRPr="00372E12" w:rsidRDefault="00873E2E" w:rsidP="00873E2E">
      <w:pPr>
        <w:pStyle w:val="SCCNormalDoubleSpacing"/>
        <w:spacing w:after="240" w:line="240" w:lineRule="auto"/>
        <w:ind w:left="540" w:hanging="540"/>
        <w:rPr>
          <w:lang w:val="en-US"/>
        </w:rPr>
      </w:pPr>
      <w:r w:rsidRPr="00372E12">
        <w:rPr>
          <w:lang w:val="en-US"/>
        </w:rPr>
        <w:lastRenderedPageBreak/>
        <w:t>Waldron, Jeremy</w:t>
      </w:r>
      <w:r w:rsidR="003F6326">
        <w:rPr>
          <w:lang w:val="en-US"/>
        </w:rPr>
        <w:t>.</w:t>
      </w:r>
      <w:r w:rsidRPr="00372E12">
        <w:rPr>
          <w:lang w:val="en-US"/>
        </w:rPr>
        <w:t xml:space="preserve"> </w:t>
      </w:r>
      <w:r w:rsidRPr="00372E12">
        <w:rPr>
          <w:i/>
          <w:lang w:val="en-US"/>
        </w:rPr>
        <w:t>Law and Disagreement</w:t>
      </w:r>
      <w:r w:rsidRPr="00372E12">
        <w:rPr>
          <w:lang w:val="en-US"/>
        </w:rPr>
        <w:t>, New York, Oxford University Press,</w:t>
      </w:r>
      <w:r w:rsidRPr="00372E12">
        <w:rPr>
          <w:i/>
          <w:lang w:val="en-US"/>
        </w:rPr>
        <w:t xml:space="preserve"> </w:t>
      </w:r>
      <w:r w:rsidRPr="00372E12">
        <w:rPr>
          <w:lang w:val="en-US"/>
        </w:rPr>
        <w:t>2001.</w:t>
      </w:r>
    </w:p>
    <w:p w:rsidR="00873E2E" w:rsidRDefault="00382AA5" w:rsidP="00805B11">
      <w:pPr>
        <w:pStyle w:val="SCCNormalDoubleSpacing"/>
        <w:spacing w:after="720" w:line="240" w:lineRule="auto"/>
        <w:ind w:left="539" w:hanging="539"/>
        <w:rPr>
          <w:lang w:val="en-US"/>
        </w:rPr>
      </w:pPr>
      <w:r>
        <w:rPr>
          <w:lang w:val="en-US"/>
        </w:rPr>
        <w:t xml:space="preserve">Webber, </w:t>
      </w:r>
      <w:proofErr w:type="spellStart"/>
      <w:r>
        <w:rPr>
          <w:lang w:val="en-US"/>
        </w:rPr>
        <w:t>Grégoire</w:t>
      </w:r>
      <w:proofErr w:type="spellEnd"/>
      <w:r>
        <w:rPr>
          <w:lang w:val="en-US"/>
        </w:rPr>
        <w:t> </w:t>
      </w:r>
      <w:r w:rsidR="003F6326">
        <w:rPr>
          <w:lang w:val="en-US"/>
        </w:rPr>
        <w:t>C.</w:t>
      </w:r>
      <w:r>
        <w:rPr>
          <w:lang w:val="en-US"/>
        </w:rPr>
        <w:t> </w:t>
      </w:r>
      <w:r w:rsidR="003F6326">
        <w:rPr>
          <w:lang w:val="en-US"/>
        </w:rPr>
        <w:t>N.</w:t>
      </w:r>
      <w:r w:rsidR="00873E2E" w:rsidRPr="00372E12">
        <w:rPr>
          <w:i/>
          <w:iCs/>
          <w:lang w:val="en-US"/>
        </w:rPr>
        <w:t xml:space="preserve"> The Negotiable Constitution: On the Limitation of Rights</w:t>
      </w:r>
      <w:r w:rsidR="00873E2E" w:rsidRPr="00372E12">
        <w:rPr>
          <w:lang w:val="en-US"/>
        </w:rPr>
        <w:t>, New York, Cambridge University Press, 2009.</w:t>
      </w:r>
    </w:p>
    <w:p w:rsidR="004D7D95" w:rsidRPr="00F65599" w:rsidRDefault="004D7D95" w:rsidP="00805B11">
      <w:pPr>
        <w:pStyle w:val="SCCNormalDoubleSpacing"/>
        <w:spacing w:after="480"/>
        <w:rPr>
          <w:lang w:val="fr-CA"/>
        </w:rPr>
      </w:pPr>
      <w:r w:rsidRPr="004C14C9">
        <w:rPr>
          <w:lang w:val="en-US"/>
        </w:rPr>
        <w:tab/>
      </w:r>
      <w:r w:rsidRPr="008740DB">
        <w:rPr>
          <w:lang w:val="en-US"/>
        </w:rPr>
        <w:t xml:space="preserve">POURVOI </w:t>
      </w:r>
      <w:proofErr w:type="spellStart"/>
      <w:r w:rsidRPr="008740DB">
        <w:rPr>
          <w:lang w:val="en-US"/>
        </w:rPr>
        <w:t>contre</w:t>
      </w:r>
      <w:proofErr w:type="spellEnd"/>
      <w:r w:rsidRPr="008740DB">
        <w:rPr>
          <w:lang w:val="en-US"/>
        </w:rPr>
        <w:t xml:space="preserve"> un </w:t>
      </w:r>
      <w:proofErr w:type="spellStart"/>
      <w:r w:rsidRPr="008740DB">
        <w:rPr>
          <w:lang w:val="en-US"/>
        </w:rPr>
        <w:t>arrêt</w:t>
      </w:r>
      <w:proofErr w:type="spellEnd"/>
      <w:r w:rsidRPr="008740DB">
        <w:rPr>
          <w:lang w:val="en-US"/>
        </w:rPr>
        <w:t xml:space="preserve"> de la </w:t>
      </w:r>
      <w:proofErr w:type="spellStart"/>
      <w:r w:rsidRPr="008740DB">
        <w:rPr>
          <w:lang w:val="en-US"/>
        </w:rPr>
        <w:t>Cour</w:t>
      </w:r>
      <w:proofErr w:type="spellEnd"/>
      <w:r w:rsidRPr="008740DB">
        <w:rPr>
          <w:lang w:val="en-US"/>
        </w:rPr>
        <w:t xml:space="preserve"> </w:t>
      </w:r>
      <w:proofErr w:type="spellStart"/>
      <w:r w:rsidRPr="008740DB">
        <w:rPr>
          <w:lang w:val="en-US"/>
        </w:rPr>
        <w:t>d</w:t>
      </w:r>
      <w:r w:rsidR="00805B11">
        <w:rPr>
          <w:lang w:val="en-US"/>
        </w:rPr>
        <w:t>’</w:t>
      </w:r>
      <w:r w:rsidRPr="008740DB">
        <w:rPr>
          <w:lang w:val="en-US"/>
        </w:rPr>
        <w:t>appel</w:t>
      </w:r>
      <w:proofErr w:type="spellEnd"/>
      <w:r w:rsidRPr="008740DB">
        <w:rPr>
          <w:lang w:val="en-US"/>
        </w:rPr>
        <w:t xml:space="preserve"> de </w:t>
      </w:r>
      <w:proofErr w:type="spellStart"/>
      <w:r w:rsidRPr="008740DB">
        <w:rPr>
          <w:lang w:val="en-US"/>
        </w:rPr>
        <w:t>l</w:t>
      </w:r>
      <w:r w:rsidR="00805B11">
        <w:rPr>
          <w:lang w:val="en-US"/>
        </w:rPr>
        <w:t>’</w:t>
      </w:r>
      <w:r w:rsidRPr="008740DB">
        <w:rPr>
          <w:lang w:val="en-US"/>
        </w:rPr>
        <w:t>Ontario</w:t>
      </w:r>
      <w:proofErr w:type="spellEnd"/>
      <w:r w:rsidR="00F145B1">
        <w:rPr>
          <w:lang w:val="en-US"/>
        </w:rPr>
        <w:t xml:space="preserve"> </w:t>
      </w:r>
      <w:r w:rsidR="000172A6" w:rsidRPr="008740DB">
        <w:rPr>
          <w:lang w:val="en-US"/>
        </w:rPr>
        <w:t xml:space="preserve">(le </w:t>
      </w:r>
      <w:proofErr w:type="spellStart"/>
      <w:r w:rsidR="000172A6" w:rsidRPr="008740DB">
        <w:rPr>
          <w:lang w:val="en-US"/>
        </w:rPr>
        <w:t>juge</w:t>
      </w:r>
      <w:proofErr w:type="spellEnd"/>
      <w:r w:rsidR="000172A6" w:rsidRPr="008740DB">
        <w:rPr>
          <w:lang w:val="en-US"/>
        </w:rPr>
        <w:t xml:space="preserve"> </w:t>
      </w:r>
      <w:proofErr w:type="spellStart"/>
      <w:r w:rsidR="000172A6" w:rsidRPr="008740DB">
        <w:rPr>
          <w:lang w:val="en-US"/>
        </w:rPr>
        <w:t>en</w:t>
      </w:r>
      <w:proofErr w:type="spellEnd"/>
      <w:r w:rsidR="000172A6" w:rsidRPr="008740DB">
        <w:rPr>
          <w:lang w:val="en-US"/>
        </w:rPr>
        <w:t xml:space="preserve"> chef Strathy et les </w:t>
      </w:r>
      <w:proofErr w:type="spellStart"/>
      <w:r w:rsidR="000172A6" w:rsidRPr="008740DB">
        <w:rPr>
          <w:lang w:val="en-US"/>
        </w:rPr>
        <w:t>juges</w:t>
      </w:r>
      <w:proofErr w:type="spellEnd"/>
      <w:r w:rsidR="000172A6" w:rsidRPr="008740DB">
        <w:rPr>
          <w:lang w:val="en-US"/>
        </w:rPr>
        <w:t xml:space="preserve"> </w:t>
      </w:r>
      <w:proofErr w:type="spellStart"/>
      <w:r w:rsidR="000172A6" w:rsidRPr="008740DB">
        <w:rPr>
          <w:lang w:val="en-US"/>
        </w:rPr>
        <w:t>Laskin</w:t>
      </w:r>
      <w:proofErr w:type="spellEnd"/>
      <w:r w:rsidR="000172A6" w:rsidRPr="008740DB">
        <w:rPr>
          <w:lang w:val="en-US"/>
        </w:rPr>
        <w:t xml:space="preserve"> et Brown), 2015 ONCA 536, 126 O.R. (3d) 321, 338 O.A.C. 218, 388 D.L.R. (4th) 1, 340 C.R.R. (2d) 323, [2015] O.J. </w:t>
      </w:r>
      <w:r w:rsidR="00382AA5" w:rsidRPr="008740DB">
        <w:rPr>
          <w:lang w:val="en-US"/>
        </w:rPr>
        <w:t>No. </w:t>
      </w:r>
      <w:r w:rsidR="000172A6" w:rsidRPr="008740DB">
        <w:rPr>
          <w:lang w:val="en-US"/>
        </w:rPr>
        <w:t xml:space="preserve">3820 (QL), 2015 </w:t>
      </w:r>
      <w:proofErr w:type="spellStart"/>
      <w:r w:rsidR="000172A6" w:rsidRPr="008740DB">
        <w:rPr>
          <w:lang w:val="en-US"/>
        </w:rPr>
        <w:t>CarswellOnt</w:t>
      </w:r>
      <w:proofErr w:type="spellEnd"/>
      <w:r w:rsidR="000172A6" w:rsidRPr="008740DB">
        <w:rPr>
          <w:lang w:val="en-US"/>
        </w:rPr>
        <w:t xml:space="preserve"> 10870 (WL Can.), </w:t>
      </w:r>
      <w:r w:rsidR="00801C69" w:rsidRPr="008740DB">
        <w:rPr>
          <w:lang w:val="en-US"/>
        </w:rPr>
        <w:t xml:space="preserve">qui a </w:t>
      </w:r>
      <w:proofErr w:type="spellStart"/>
      <w:r w:rsidR="00801C69" w:rsidRPr="008740DB">
        <w:rPr>
          <w:lang w:val="en-US"/>
        </w:rPr>
        <w:t>infirmé</w:t>
      </w:r>
      <w:proofErr w:type="spellEnd"/>
      <w:r w:rsidR="00801C69" w:rsidRPr="008740DB">
        <w:rPr>
          <w:lang w:val="en-US"/>
        </w:rPr>
        <w:t xml:space="preserve"> </w:t>
      </w:r>
      <w:proofErr w:type="spellStart"/>
      <w:r w:rsidR="00801C69" w:rsidRPr="008740DB">
        <w:rPr>
          <w:lang w:val="en-US"/>
        </w:rPr>
        <w:t>une</w:t>
      </w:r>
      <w:proofErr w:type="spellEnd"/>
      <w:r w:rsidR="00801C69" w:rsidRPr="008740DB">
        <w:rPr>
          <w:lang w:val="en-US"/>
        </w:rPr>
        <w:t xml:space="preserve"> </w:t>
      </w:r>
      <w:proofErr w:type="spellStart"/>
      <w:r w:rsidR="00801C69" w:rsidRPr="008740DB">
        <w:rPr>
          <w:lang w:val="en-US"/>
        </w:rPr>
        <w:t>décision</w:t>
      </w:r>
      <w:proofErr w:type="spellEnd"/>
      <w:r w:rsidR="00801C69" w:rsidRPr="008740DB">
        <w:rPr>
          <w:lang w:val="en-US"/>
        </w:rPr>
        <w:t xml:space="preserve"> du </w:t>
      </w:r>
      <w:proofErr w:type="spellStart"/>
      <w:r w:rsidR="000172A6" w:rsidRPr="008740DB">
        <w:rPr>
          <w:lang w:val="en-US"/>
        </w:rPr>
        <w:t>juge</w:t>
      </w:r>
      <w:proofErr w:type="spellEnd"/>
      <w:r w:rsidR="000172A6" w:rsidRPr="008740DB">
        <w:rPr>
          <w:lang w:val="en-US"/>
        </w:rPr>
        <w:t xml:space="preserve"> Penny, 2014 ONSC 907, 119 O.R. (3d) 662, 372 D.L.R. (4th) 681, 310 C.R.R. (2d) 17, [2014] O.J. </w:t>
      </w:r>
      <w:r w:rsidR="00382AA5" w:rsidRPr="008740DB">
        <w:rPr>
          <w:lang w:val="en-US"/>
        </w:rPr>
        <w:t>No. </w:t>
      </w:r>
      <w:r w:rsidR="000172A6" w:rsidRPr="008740DB">
        <w:rPr>
          <w:lang w:val="en-US"/>
        </w:rPr>
        <w:t xml:space="preserve">2098 (QL), 2014 </w:t>
      </w:r>
      <w:proofErr w:type="spellStart"/>
      <w:r w:rsidR="000172A6" w:rsidRPr="008740DB">
        <w:rPr>
          <w:lang w:val="en-US"/>
        </w:rPr>
        <w:t>CarswellOnt</w:t>
      </w:r>
      <w:proofErr w:type="spellEnd"/>
      <w:r w:rsidR="000172A6" w:rsidRPr="008740DB">
        <w:rPr>
          <w:lang w:val="en-US"/>
        </w:rPr>
        <w:t xml:space="preserve"> 5850</w:t>
      </w:r>
      <w:r w:rsidR="003E4FE1" w:rsidRPr="008740DB">
        <w:rPr>
          <w:lang w:val="en-US"/>
        </w:rPr>
        <w:t xml:space="preserve"> (WL Can.)</w:t>
      </w:r>
      <w:r w:rsidR="000172A6" w:rsidRPr="008740DB">
        <w:rPr>
          <w:lang w:val="en-US"/>
        </w:rPr>
        <w:t xml:space="preserve">. </w:t>
      </w:r>
      <w:r w:rsidR="000172A6" w:rsidRPr="00F65599">
        <w:rPr>
          <w:lang w:val="fr-CA"/>
        </w:rPr>
        <w:t xml:space="preserve">Pourvoi </w:t>
      </w:r>
      <w:r w:rsidR="00801C69">
        <w:rPr>
          <w:lang w:val="fr-CA"/>
        </w:rPr>
        <w:t>accueilli, les juges Côté et Brown sont dissidents</w:t>
      </w:r>
      <w:r w:rsidR="00842071">
        <w:rPr>
          <w:lang w:val="fr-CA"/>
        </w:rPr>
        <w:t>.</w:t>
      </w:r>
    </w:p>
    <w:p w:rsidR="001871C7" w:rsidRPr="00F65599" w:rsidRDefault="000172A6" w:rsidP="00805B11">
      <w:pPr>
        <w:pStyle w:val="SCCNormalDoubleSpacing"/>
        <w:spacing w:after="480"/>
        <w:rPr>
          <w:lang w:val="fr-CA"/>
        </w:rPr>
      </w:pPr>
      <w:r w:rsidRPr="00F65599">
        <w:rPr>
          <w:rStyle w:val="SCCCounselNameChar"/>
          <w:lang w:val="fr-CA"/>
        </w:rPr>
        <w:tab/>
      </w:r>
      <w:proofErr w:type="spellStart"/>
      <w:r w:rsidRPr="00F65599">
        <w:rPr>
          <w:rStyle w:val="SCCCounselNameChar"/>
          <w:lang w:val="fr-CA"/>
        </w:rPr>
        <w:t>Shaun</w:t>
      </w:r>
      <w:proofErr w:type="spellEnd"/>
      <w:r w:rsidRPr="00F65599">
        <w:rPr>
          <w:rStyle w:val="SCCCounselNameChar"/>
          <w:lang w:val="fr-CA"/>
        </w:rPr>
        <w:t xml:space="preserve"> O</w:t>
      </w:r>
      <w:r w:rsidR="00805B11">
        <w:rPr>
          <w:rStyle w:val="SCCCounselNameChar"/>
          <w:lang w:val="fr-CA"/>
        </w:rPr>
        <w:t>’</w:t>
      </w:r>
      <w:r w:rsidRPr="00F65599">
        <w:rPr>
          <w:rStyle w:val="SCCCounselNameChar"/>
          <w:lang w:val="fr-CA"/>
        </w:rPr>
        <w:t>Brien</w:t>
      </w:r>
      <w:r w:rsidRPr="00F65599">
        <w:rPr>
          <w:rStyle w:val="SCCCounselSeparatorChar"/>
          <w:lang w:val="fr-CA"/>
        </w:rPr>
        <w:t xml:space="preserve"> et </w:t>
      </w:r>
      <w:r w:rsidRPr="00F65599">
        <w:rPr>
          <w:rStyle w:val="SCCCounselNameChar"/>
          <w:lang w:val="fr-CA"/>
        </w:rPr>
        <w:t xml:space="preserve">Amanda </w:t>
      </w:r>
      <w:proofErr w:type="spellStart"/>
      <w:r w:rsidRPr="00F65599">
        <w:rPr>
          <w:rStyle w:val="SCCCounselNameChar"/>
          <w:lang w:val="fr-CA"/>
        </w:rPr>
        <w:t>Darrach</w:t>
      </w:r>
      <w:proofErr w:type="spellEnd"/>
      <w:r w:rsidRPr="00F65599">
        <w:rPr>
          <w:rStyle w:val="SCCCounselPartyRoleChar"/>
          <w:lang w:val="fr-CA"/>
        </w:rPr>
        <w:t>, pour les appelants.</w:t>
      </w:r>
    </w:p>
    <w:p w:rsidR="001871C7" w:rsidRPr="00F65599" w:rsidRDefault="000172A6" w:rsidP="00805B11">
      <w:pPr>
        <w:pStyle w:val="SCCNormalDoubleSpacing"/>
        <w:spacing w:after="480"/>
        <w:rPr>
          <w:lang w:val="fr-CA"/>
        </w:rPr>
      </w:pPr>
      <w:r w:rsidRPr="00F65599">
        <w:rPr>
          <w:rStyle w:val="SCCCounselNameChar"/>
          <w:lang w:val="fr-CA"/>
        </w:rPr>
        <w:tab/>
        <w:t>Sean Gaudet</w:t>
      </w:r>
      <w:r w:rsidRPr="00F65599">
        <w:rPr>
          <w:rStyle w:val="SCCCounselSeparatorChar"/>
          <w:lang w:val="fr-CA"/>
        </w:rPr>
        <w:t xml:space="preserve"> </w:t>
      </w:r>
      <w:r w:rsidR="00CD5D55" w:rsidRPr="00F65599">
        <w:rPr>
          <w:rStyle w:val="SCCCounselSeparatorChar"/>
          <w:lang w:val="fr-CA"/>
        </w:rPr>
        <w:t>et</w:t>
      </w:r>
      <w:r w:rsidRPr="00F65599">
        <w:rPr>
          <w:rStyle w:val="SCCCounselSeparatorChar"/>
          <w:lang w:val="fr-CA"/>
        </w:rPr>
        <w:t xml:space="preserve"> </w:t>
      </w:r>
      <w:r w:rsidRPr="00F65599">
        <w:rPr>
          <w:rStyle w:val="SCCCounselNameChar"/>
          <w:lang w:val="fr-CA"/>
        </w:rPr>
        <w:t>Gail Sinclair</w:t>
      </w:r>
      <w:r w:rsidRPr="00F65599">
        <w:rPr>
          <w:rStyle w:val="SCCCounselPartyRoleChar"/>
          <w:lang w:val="fr-CA"/>
        </w:rPr>
        <w:t>, pour l</w:t>
      </w:r>
      <w:r w:rsidR="00805B11">
        <w:rPr>
          <w:rStyle w:val="SCCCounselPartyRoleChar"/>
          <w:lang w:val="fr-CA"/>
        </w:rPr>
        <w:t>’</w:t>
      </w:r>
      <w:r w:rsidRPr="00F65599">
        <w:rPr>
          <w:rStyle w:val="SCCCounselPartyRoleChar"/>
          <w:lang w:val="fr-CA"/>
        </w:rPr>
        <w:t>intimé.</w:t>
      </w:r>
    </w:p>
    <w:p w:rsidR="001871C7" w:rsidRPr="00F65599" w:rsidRDefault="000172A6" w:rsidP="00805B11">
      <w:pPr>
        <w:pStyle w:val="SCCNormalDoubleSpacing"/>
        <w:spacing w:after="480"/>
        <w:rPr>
          <w:lang w:val="fr-CA"/>
        </w:rPr>
      </w:pPr>
      <w:r w:rsidRPr="00F65599">
        <w:rPr>
          <w:rStyle w:val="SCCCounselNameChar"/>
          <w:lang w:val="fr-CA"/>
        </w:rPr>
        <w:tab/>
      </w:r>
      <w:r w:rsidR="00CD5D55" w:rsidRPr="00F65599">
        <w:rPr>
          <w:rStyle w:val="SCCCounselNameChar"/>
          <w:lang w:val="fr-CA"/>
        </w:rPr>
        <w:t>Jean</w:t>
      </w:r>
      <w:r w:rsidR="00382AA5">
        <w:rPr>
          <w:rStyle w:val="SCCCounselNameChar"/>
          <w:lang w:val="fr-CA"/>
        </w:rPr>
        <w:noBreakHyphen/>
      </w:r>
      <w:r w:rsidR="00CD5D55" w:rsidRPr="00F65599">
        <w:rPr>
          <w:rStyle w:val="SCCCounselNameChar"/>
          <w:lang w:val="fr-CA"/>
        </w:rPr>
        <w:t xml:space="preserve">Vincent Lacroix </w:t>
      </w:r>
      <w:r w:rsidR="00CD5D55" w:rsidRPr="00F65599">
        <w:rPr>
          <w:rStyle w:val="SCCCounselSeparatorChar"/>
          <w:lang w:val="fr-CA"/>
        </w:rPr>
        <w:t>et</w:t>
      </w:r>
      <w:r w:rsidR="00842071">
        <w:rPr>
          <w:rStyle w:val="SCCCounselNameChar"/>
          <w:lang w:val="fr-CA"/>
        </w:rPr>
        <w:t xml:space="preserve"> Dominique </w:t>
      </w:r>
      <w:r w:rsidR="00CD5D55" w:rsidRPr="00F65599">
        <w:rPr>
          <w:rStyle w:val="SCCCounselNameChar"/>
          <w:lang w:val="fr-CA"/>
        </w:rPr>
        <w:t xml:space="preserve">A. </w:t>
      </w:r>
      <w:proofErr w:type="spellStart"/>
      <w:r w:rsidR="00CD5D55" w:rsidRPr="00F65599">
        <w:rPr>
          <w:rStyle w:val="SCCCounselNameChar"/>
          <w:lang w:val="fr-CA"/>
        </w:rPr>
        <w:t>Jobin</w:t>
      </w:r>
      <w:proofErr w:type="spellEnd"/>
      <w:r w:rsidR="00CD5D55" w:rsidRPr="00F65599">
        <w:rPr>
          <w:rStyle w:val="SCCCounselPartyRoleChar"/>
          <w:lang w:val="fr-CA"/>
        </w:rPr>
        <w:t xml:space="preserve">, </w:t>
      </w:r>
      <w:r w:rsidRPr="00F65599">
        <w:rPr>
          <w:rStyle w:val="SCCCounselPartyRoleChar"/>
          <w:lang w:val="fr-CA"/>
        </w:rPr>
        <w:t>pour l</w:t>
      </w:r>
      <w:r w:rsidR="00805B11">
        <w:rPr>
          <w:rStyle w:val="SCCCounselPartyRoleChar"/>
          <w:lang w:val="fr-CA"/>
        </w:rPr>
        <w:t>’</w:t>
      </w:r>
      <w:r w:rsidRPr="00F65599">
        <w:rPr>
          <w:rStyle w:val="SCCCounselPartyRoleChar"/>
          <w:lang w:val="fr-CA"/>
        </w:rPr>
        <w:t>intervenante</w:t>
      </w:r>
      <w:r w:rsidR="00CD5D55" w:rsidRPr="00F65599">
        <w:rPr>
          <w:rStyle w:val="SCCCounselPartyRoleChar"/>
          <w:lang w:val="fr-CA"/>
        </w:rPr>
        <w:t xml:space="preserve"> la p</w:t>
      </w:r>
      <w:r w:rsidRPr="00F65599">
        <w:rPr>
          <w:rStyle w:val="SCCCounselPartyRoleChar"/>
          <w:lang w:val="fr-CA"/>
        </w:rPr>
        <w:t>rocureure générale du Québec.</w:t>
      </w:r>
    </w:p>
    <w:p w:rsidR="001871C7" w:rsidRPr="00F65599" w:rsidRDefault="000172A6" w:rsidP="00805B11">
      <w:pPr>
        <w:pStyle w:val="SCCNormalDoubleSpacing"/>
        <w:spacing w:after="480"/>
        <w:rPr>
          <w:lang w:val="fr-CA"/>
        </w:rPr>
      </w:pPr>
      <w:r w:rsidRPr="00F65599">
        <w:rPr>
          <w:rStyle w:val="SCCCounselNameChar"/>
          <w:lang w:val="fr-CA"/>
        </w:rPr>
        <w:tab/>
        <w:t>Bradley</w:t>
      </w:r>
      <w:r w:rsidR="00842071">
        <w:rPr>
          <w:rStyle w:val="SCCCounselNameChar"/>
          <w:lang w:val="fr-CA"/>
        </w:rPr>
        <w:t> </w:t>
      </w:r>
      <w:r w:rsidRPr="00F65599">
        <w:rPr>
          <w:rStyle w:val="SCCCounselNameChar"/>
          <w:lang w:val="fr-CA"/>
        </w:rPr>
        <w:t>E. Berg</w:t>
      </w:r>
      <w:r w:rsidRPr="00F65599">
        <w:rPr>
          <w:rStyle w:val="SCCCounselSeparatorChar"/>
          <w:lang w:val="fr-CA"/>
        </w:rPr>
        <w:t xml:space="preserve"> </w:t>
      </w:r>
      <w:r w:rsidR="00CD5D55" w:rsidRPr="00F65599">
        <w:rPr>
          <w:rStyle w:val="SCCCounselSeparatorChar"/>
          <w:lang w:val="fr-CA"/>
        </w:rPr>
        <w:t xml:space="preserve">et </w:t>
      </w:r>
      <w:r w:rsidRPr="00F65599">
        <w:rPr>
          <w:rStyle w:val="SCCCounselNameChar"/>
          <w:lang w:val="fr-CA"/>
        </w:rPr>
        <w:t>Max Shapiro</w:t>
      </w:r>
      <w:r w:rsidRPr="00F65599">
        <w:rPr>
          <w:rStyle w:val="SCCCounselPartyRoleChar"/>
          <w:lang w:val="fr-CA"/>
        </w:rPr>
        <w:t>, pour l</w:t>
      </w:r>
      <w:r w:rsidR="00805B11">
        <w:rPr>
          <w:rStyle w:val="SCCCounselPartyRoleChar"/>
          <w:lang w:val="fr-CA"/>
        </w:rPr>
        <w:t>’</w:t>
      </w:r>
      <w:r w:rsidR="00CD5D55" w:rsidRPr="00F65599">
        <w:rPr>
          <w:rStyle w:val="SCCCounselPartyRoleChar"/>
          <w:lang w:val="fr-CA"/>
        </w:rPr>
        <w:t xml:space="preserve">intervenante </w:t>
      </w:r>
      <w:r w:rsidRPr="00F65599">
        <w:rPr>
          <w:rStyle w:val="SCCCounselPartyRoleChar"/>
          <w:lang w:val="fr-CA"/>
        </w:rPr>
        <w:t>Canadian American Bar Association.</w:t>
      </w:r>
    </w:p>
    <w:p w:rsidR="001871C7" w:rsidRPr="00F65599" w:rsidRDefault="000172A6" w:rsidP="00805B11">
      <w:pPr>
        <w:pStyle w:val="SCCNormalDoubleSpacing"/>
        <w:spacing w:after="480"/>
        <w:rPr>
          <w:lang w:val="fr-CA"/>
        </w:rPr>
      </w:pPr>
      <w:r w:rsidRPr="00F65599">
        <w:rPr>
          <w:rStyle w:val="SCCCounselNameChar"/>
          <w:lang w:val="fr-CA"/>
        </w:rPr>
        <w:tab/>
        <w:t xml:space="preserve">Sean </w:t>
      </w:r>
      <w:r w:rsidRPr="00801C69">
        <w:rPr>
          <w:rStyle w:val="SCCCounselNameChar"/>
          <w:lang w:val="fr-CA"/>
        </w:rPr>
        <w:t>Sutherland</w:t>
      </w:r>
      <w:r w:rsidR="004C520C" w:rsidRPr="00801C69">
        <w:rPr>
          <w:rStyle w:val="SCCCounselNameChar"/>
          <w:lang w:val="fr-CA"/>
        </w:rPr>
        <w:t xml:space="preserve"> </w:t>
      </w:r>
      <w:r w:rsidR="004C520C" w:rsidRPr="00801C69">
        <w:rPr>
          <w:rStyle w:val="SCCCounselNameChar"/>
          <w:i w:val="0"/>
          <w:lang w:val="fr-CA"/>
        </w:rPr>
        <w:t xml:space="preserve">et </w:t>
      </w:r>
      <w:r w:rsidR="004C520C" w:rsidRPr="00801C69">
        <w:rPr>
          <w:rStyle w:val="SCCCounselNameChar"/>
          <w:lang w:val="fr-CA"/>
        </w:rPr>
        <w:t xml:space="preserve">Colin </w:t>
      </w:r>
      <w:proofErr w:type="spellStart"/>
      <w:r w:rsidR="004C520C" w:rsidRPr="00801C69">
        <w:rPr>
          <w:rStyle w:val="SCCCounselNameChar"/>
          <w:lang w:val="fr-CA"/>
        </w:rPr>
        <w:t>Feasby</w:t>
      </w:r>
      <w:proofErr w:type="spellEnd"/>
      <w:r w:rsidR="004C520C" w:rsidRPr="00801C69">
        <w:rPr>
          <w:rStyle w:val="SCCCounselSeparatorChar"/>
          <w:lang w:val="fr-CA"/>
        </w:rPr>
        <w:t xml:space="preserve">, </w:t>
      </w:r>
      <w:r w:rsidRPr="00801C69">
        <w:rPr>
          <w:rStyle w:val="SCCCounselPartyRoleChar"/>
          <w:lang w:val="fr-CA"/>
        </w:rPr>
        <w:t>pour l</w:t>
      </w:r>
      <w:r w:rsidR="00805B11">
        <w:rPr>
          <w:rStyle w:val="SCCCounselPartyRoleChar"/>
          <w:lang w:val="fr-CA"/>
        </w:rPr>
        <w:t>’</w:t>
      </w:r>
      <w:r w:rsidRPr="00801C69">
        <w:rPr>
          <w:rStyle w:val="SCCCounselPartyRoleChar"/>
          <w:lang w:val="fr-CA"/>
        </w:rPr>
        <w:t>interven</w:t>
      </w:r>
      <w:r w:rsidR="004C520C" w:rsidRPr="00801C69">
        <w:rPr>
          <w:rStyle w:val="SCCCounselPartyRoleChar"/>
          <w:lang w:val="fr-CA"/>
        </w:rPr>
        <w:t>ante</w:t>
      </w:r>
      <w:r w:rsidR="004C520C" w:rsidRPr="00F65599">
        <w:rPr>
          <w:rStyle w:val="SCCCounselPartyRoleChar"/>
          <w:lang w:val="fr-CA"/>
        </w:rPr>
        <w:t xml:space="preserve"> </w:t>
      </w:r>
      <w:r w:rsidRPr="00F65599">
        <w:rPr>
          <w:rStyle w:val="SCCCounselPartyRoleChar"/>
          <w:lang w:val="fr-CA"/>
        </w:rPr>
        <w:t xml:space="preserve">Canadian </w:t>
      </w:r>
      <w:proofErr w:type="spellStart"/>
      <w:r w:rsidRPr="00F65599">
        <w:rPr>
          <w:rStyle w:val="SCCCounselPartyRoleChar"/>
          <w:lang w:val="fr-CA"/>
        </w:rPr>
        <w:t>Expat</w:t>
      </w:r>
      <w:proofErr w:type="spellEnd"/>
      <w:r w:rsidRPr="00F65599">
        <w:rPr>
          <w:rStyle w:val="SCCCounselPartyRoleChar"/>
          <w:lang w:val="fr-CA"/>
        </w:rPr>
        <w:t xml:space="preserve"> Association.</w:t>
      </w:r>
    </w:p>
    <w:p w:rsidR="001871C7" w:rsidRPr="00F65599" w:rsidRDefault="000172A6" w:rsidP="00805B11">
      <w:pPr>
        <w:pStyle w:val="SCCNormalDoubleSpacing"/>
        <w:spacing w:after="480"/>
        <w:rPr>
          <w:lang w:val="fr-CA"/>
        </w:rPr>
      </w:pPr>
      <w:r w:rsidRPr="00F65599">
        <w:rPr>
          <w:rStyle w:val="SCCCounselNameChar"/>
          <w:lang w:val="fr-CA"/>
        </w:rPr>
        <w:lastRenderedPageBreak/>
        <w:tab/>
        <w:t>Louis Century</w:t>
      </w:r>
      <w:r w:rsidR="004C520C" w:rsidRPr="00F65599">
        <w:rPr>
          <w:rStyle w:val="SCCCounselPartyRoleChar"/>
          <w:lang w:val="fr-CA"/>
        </w:rPr>
        <w:t xml:space="preserve"> et </w:t>
      </w:r>
      <w:r w:rsidR="004C520C" w:rsidRPr="00F65599">
        <w:rPr>
          <w:rStyle w:val="SCCCounselPartyRoleChar"/>
          <w:i/>
          <w:lang w:val="fr-CA"/>
        </w:rPr>
        <w:t xml:space="preserve">Cheryl </w:t>
      </w:r>
      <w:proofErr w:type="spellStart"/>
      <w:r w:rsidR="004C520C" w:rsidRPr="00F65599">
        <w:rPr>
          <w:rStyle w:val="SCCCounselPartyRoleChar"/>
          <w:i/>
          <w:lang w:val="fr-CA"/>
        </w:rPr>
        <w:t>Milne</w:t>
      </w:r>
      <w:proofErr w:type="spellEnd"/>
      <w:r w:rsidR="004C520C" w:rsidRPr="00F65599">
        <w:rPr>
          <w:rStyle w:val="SCCCounselPartyRoleChar"/>
          <w:lang w:val="fr-CA"/>
        </w:rPr>
        <w:t>,</w:t>
      </w:r>
      <w:r w:rsidRPr="00F65599">
        <w:rPr>
          <w:rStyle w:val="SCCCounselPartyRoleChar"/>
          <w:lang w:val="fr-CA"/>
        </w:rPr>
        <w:t xml:space="preserve"> pour l</w:t>
      </w:r>
      <w:r w:rsidR="00805B11">
        <w:rPr>
          <w:rStyle w:val="SCCCounselPartyRoleChar"/>
          <w:lang w:val="fr-CA"/>
        </w:rPr>
        <w:t>’</w:t>
      </w:r>
      <w:r w:rsidR="004C520C" w:rsidRPr="00F65599">
        <w:rPr>
          <w:rStyle w:val="SCCCounselPartyRoleChar"/>
          <w:lang w:val="fr-CA"/>
        </w:rPr>
        <w:t>intervenant</w:t>
      </w:r>
      <w:r w:rsidRPr="00F65599">
        <w:rPr>
          <w:rStyle w:val="SCCCounselPartyRoleChar"/>
          <w:lang w:val="fr-CA"/>
        </w:rPr>
        <w:t xml:space="preserve"> David </w:t>
      </w:r>
      <w:proofErr w:type="spellStart"/>
      <w:r w:rsidRPr="00F65599">
        <w:rPr>
          <w:rStyle w:val="SCCCounselPartyRoleChar"/>
          <w:lang w:val="fr-CA"/>
        </w:rPr>
        <w:t>Asper</w:t>
      </w:r>
      <w:proofErr w:type="spellEnd"/>
      <w:r w:rsidRPr="00F65599">
        <w:rPr>
          <w:rStyle w:val="SCCCounselPartyRoleChar"/>
          <w:lang w:val="fr-CA"/>
        </w:rPr>
        <w:t xml:space="preserve"> Centre for </w:t>
      </w:r>
      <w:proofErr w:type="spellStart"/>
      <w:r w:rsidRPr="00F65599">
        <w:rPr>
          <w:rStyle w:val="SCCCounselPartyRoleChar"/>
          <w:lang w:val="fr-CA"/>
        </w:rPr>
        <w:t>Constitutional</w:t>
      </w:r>
      <w:proofErr w:type="spellEnd"/>
      <w:r w:rsidRPr="00F65599">
        <w:rPr>
          <w:rStyle w:val="SCCCounselPartyRoleChar"/>
          <w:lang w:val="fr-CA"/>
        </w:rPr>
        <w:t xml:space="preserve"> </w:t>
      </w:r>
      <w:proofErr w:type="spellStart"/>
      <w:r w:rsidRPr="00F65599">
        <w:rPr>
          <w:rStyle w:val="SCCCounselPartyRoleChar"/>
          <w:lang w:val="fr-CA"/>
        </w:rPr>
        <w:t>Rights</w:t>
      </w:r>
      <w:proofErr w:type="spellEnd"/>
      <w:r w:rsidRPr="00F65599">
        <w:rPr>
          <w:rStyle w:val="SCCCounselPartyRoleChar"/>
          <w:lang w:val="fr-CA"/>
        </w:rPr>
        <w:t>.</w:t>
      </w:r>
    </w:p>
    <w:p w:rsidR="001871C7" w:rsidRPr="00F65599" w:rsidRDefault="000172A6" w:rsidP="00805B11">
      <w:pPr>
        <w:pStyle w:val="SCCNormalDoubleSpacing"/>
        <w:spacing w:after="480"/>
        <w:rPr>
          <w:rStyle w:val="SCCCounselPartyRoleChar"/>
          <w:lang w:val="fr-CA"/>
        </w:rPr>
      </w:pPr>
      <w:r w:rsidRPr="00F65599">
        <w:rPr>
          <w:rStyle w:val="SCCCounselNameChar"/>
          <w:lang w:val="fr-CA"/>
        </w:rPr>
        <w:tab/>
        <w:t>Mark</w:t>
      </w:r>
      <w:r w:rsidR="00842071">
        <w:rPr>
          <w:rStyle w:val="SCCCounselNameChar"/>
          <w:lang w:val="fr-CA"/>
        </w:rPr>
        <w:t> </w:t>
      </w:r>
      <w:r w:rsidRPr="00F65599">
        <w:rPr>
          <w:rStyle w:val="SCCCounselNameChar"/>
          <w:lang w:val="fr-CA"/>
        </w:rPr>
        <w:t xml:space="preserve">J. </w:t>
      </w:r>
      <w:proofErr w:type="spellStart"/>
      <w:r w:rsidRPr="00F65599">
        <w:rPr>
          <w:rStyle w:val="SCCCounselNameChar"/>
          <w:lang w:val="fr-CA"/>
        </w:rPr>
        <w:t>Freiman</w:t>
      </w:r>
      <w:proofErr w:type="spellEnd"/>
      <w:r w:rsidRPr="00F65599">
        <w:rPr>
          <w:rStyle w:val="SCCCounselSeparatorChar"/>
          <w:lang w:val="fr-CA"/>
        </w:rPr>
        <w:t xml:space="preserve"> et </w:t>
      </w:r>
      <w:proofErr w:type="spellStart"/>
      <w:r w:rsidRPr="00F65599">
        <w:rPr>
          <w:rStyle w:val="SCCCounselNameChar"/>
          <w:lang w:val="fr-CA"/>
        </w:rPr>
        <w:t>Jameel</w:t>
      </w:r>
      <w:proofErr w:type="spellEnd"/>
      <w:r w:rsidRPr="00F65599">
        <w:rPr>
          <w:rStyle w:val="SCCCounselNameChar"/>
          <w:lang w:val="fr-CA"/>
        </w:rPr>
        <w:t xml:space="preserve"> </w:t>
      </w:r>
      <w:proofErr w:type="spellStart"/>
      <w:r w:rsidRPr="00F65599">
        <w:rPr>
          <w:rStyle w:val="SCCCounselNameChar"/>
          <w:lang w:val="fr-CA"/>
        </w:rPr>
        <w:t>Madhany</w:t>
      </w:r>
      <w:proofErr w:type="spellEnd"/>
      <w:r w:rsidRPr="00F65599">
        <w:rPr>
          <w:rStyle w:val="SCCCounselPartyRoleChar"/>
          <w:lang w:val="fr-CA"/>
        </w:rPr>
        <w:t>, pour l</w:t>
      </w:r>
      <w:r w:rsidR="00805B11">
        <w:rPr>
          <w:rStyle w:val="SCCCounselPartyRoleChar"/>
          <w:lang w:val="fr-CA"/>
        </w:rPr>
        <w:t>’</w:t>
      </w:r>
      <w:r w:rsidR="00F77246" w:rsidRPr="00F65599">
        <w:rPr>
          <w:rStyle w:val="SCCCounselPartyRoleChar"/>
          <w:lang w:val="fr-CA"/>
        </w:rPr>
        <w:t>intervenante</w:t>
      </w:r>
      <w:r w:rsidRPr="00F65599">
        <w:rPr>
          <w:rStyle w:val="SCCCounselPartyRoleChar"/>
          <w:lang w:val="fr-CA"/>
        </w:rPr>
        <w:t xml:space="preserve"> </w:t>
      </w:r>
      <w:r w:rsidR="00F77246" w:rsidRPr="00F65599">
        <w:rPr>
          <w:rStyle w:val="SCCCounselPartyRoleChar"/>
          <w:lang w:val="fr-CA"/>
        </w:rPr>
        <w:t>l</w:t>
      </w:r>
      <w:r w:rsidR="00805B11">
        <w:rPr>
          <w:rStyle w:val="SCCCounselPartyRoleChar"/>
          <w:lang w:val="fr-CA"/>
        </w:rPr>
        <w:t>’</w:t>
      </w:r>
      <w:r w:rsidR="00F77246" w:rsidRPr="00F65599">
        <w:rPr>
          <w:rStyle w:val="SCCCounselPartyRoleChar"/>
          <w:lang w:val="fr-CA"/>
        </w:rPr>
        <w:t>Association canadienne des libertés civiles.</w:t>
      </w:r>
    </w:p>
    <w:p w:rsidR="001871C7" w:rsidRPr="00E24043" w:rsidRDefault="000172A6" w:rsidP="00805B11">
      <w:pPr>
        <w:pStyle w:val="SCCNormalDoubleSpacing"/>
        <w:spacing w:after="480"/>
        <w:rPr>
          <w:lang w:val="en-US"/>
        </w:rPr>
      </w:pPr>
      <w:r w:rsidRPr="00F65599">
        <w:rPr>
          <w:rStyle w:val="SCCCounselNameChar"/>
          <w:lang w:val="fr-CA"/>
        </w:rPr>
        <w:tab/>
      </w:r>
      <w:proofErr w:type="spellStart"/>
      <w:r w:rsidR="00F77246" w:rsidRPr="00E24043">
        <w:rPr>
          <w:rStyle w:val="SCCCounselNameChar"/>
          <w:lang w:val="en-US"/>
        </w:rPr>
        <w:t>Avvy</w:t>
      </w:r>
      <w:proofErr w:type="spellEnd"/>
      <w:r w:rsidR="00F77246" w:rsidRPr="00E24043">
        <w:rPr>
          <w:rStyle w:val="SCCCounselNameChar"/>
          <w:lang w:val="en-US"/>
        </w:rPr>
        <w:t xml:space="preserve"> Yao</w:t>
      </w:r>
      <w:r w:rsidR="00382AA5" w:rsidRPr="00E24043">
        <w:rPr>
          <w:rStyle w:val="SCCCounselNameChar"/>
          <w:lang w:val="en-US"/>
        </w:rPr>
        <w:noBreakHyphen/>
      </w:r>
      <w:r w:rsidRPr="00E24043">
        <w:rPr>
          <w:rStyle w:val="SCCCounselNameChar"/>
          <w:lang w:val="en-US"/>
        </w:rPr>
        <w:t>Yao Go</w:t>
      </w:r>
      <w:r w:rsidR="00F77246" w:rsidRPr="00E24043">
        <w:rPr>
          <w:rStyle w:val="SCCCounselSeparatorChar"/>
          <w:lang w:val="en-US"/>
        </w:rPr>
        <w:t>,</w:t>
      </w:r>
      <w:r w:rsidRPr="00E24043">
        <w:rPr>
          <w:rStyle w:val="SCCCounselPartyRoleChar"/>
          <w:lang w:val="en-US"/>
        </w:rPr>
        <w:t xml:space="preserve"> pour </w:t>
      </w:r>
      <w:proofErr w:type="spellStart"/>
      <w:r w:rsidRPr="00E24043">
        <w:rPr>
          <w:rStyle w:val="SCCCounselPartyRoleChar"/>
          <w:lang w:val="en-US"/>
        </w:rPr>
        <w:t>l</w:t>
      </w:r>
      <w:r w:rsidR="00805B11" w:rsidRPr="00E24043">
        <w:rPr>
          <w:rStyle w:val="SCCCounselPartyRoleChar"/>
          <w:lang w:val="en-US"/>
        </w:rPr>
        <w:t>’</w:t>
      </w:r>
      <w:r w:rsidR="00F77246" w:rsidRPr="00E24043">
        <w:rPr>
          <w:rStyle w:val="SCCCounselPartyRoleChar"/>
          <w:lang w:val="en-US"/>
        </w:rPr>
        <w:t>intervenante</w:t>
      </w:r>
      <w:proofErr w:type="spellEnd"/>
      <w:r w:rsidR="00E24043" w:rsidRPr="00E24043">
        <w:rPr>
          <w:rStyle w:val="SCCCounselPartyRoleChar"/>
          <w:lang w:val="en-US"/>
        </w:rPr>
        <w:t xml:space="preserve"> </w:t>
      </w:r>
      <w:r w:rsidR="00E24043" w:rsidRPr="00E24043">
        <w:rPr>
          <w:lang w:val="en-US"/>
        </w:rPr>
        <w:t>Chinese and Southeast Asian Legal Clinic</w:t>
      </w:r>
      <w:r w:rsidR="00E24043">
        <w:rPr>
          <w:lang w:val="en-US"/>
        </w:rPr>
        <w:t>.</w:t>
      </w:r>
    </w:p>
    <w:p w:rsidR="001871C7" w:rsidRPr="00F65599" w:rsidRDefault="000172A6" w:rsidP="00382AA5">
      <w:pPr>
        <w:pStyle w:val="SCCNormalDoubleSpacing"/>
        <w:spacing w:after="480"/>
        <w:rPr>
          <w:lang w:val="fr-CA"/>
        </w:rPr>
      </w:pPr>
      <w:r w:rsidRPr="00E24043">
        <w:rPr>
          <w:rStyle w:val="SCCCounselNameChar"/>
          <w:lang w:val="en-US"/>
        </w:rPr>
        <w:tab/>
      </w:r>
      <w:r w:rsidR="0006117D" w:rsidRPr="00F65599">
        <w:rPr>
          <w:rStyle w:val="SCCCounselNameChar"/>
          <w:lang w:val="fr-CA"/>
        </w:rPr>
        <w:t>Brendan v</w:t>
      </w:r>
      <w:r w:rsidRPr="00F65599">
        <w:rPr>
          <w:rStyle w:val="SCCCounselNameChar"/>
          <w:lang w:val="fr-CA"/>
        </w:rPr>
        <w:t xml:space="preserve">an </w:t>
      </w:r>
      <w:proofErr w:type="spellStart"/>
      <w:r w:rsidRPr="00F65599">
        <w:rPr>
          <w:rStyle w:val="SCCCounselNameChar"/>
          <w:lang w:val="fr-CA"/>
        </w:rPr>
        <w:t>Niejenhuis</w:t>
      </w:r>
      <w:proofErr w:type="spellEnd"/>
      <w:r w:rsidR="0006117D" w:rsidRPr="00F65599">
        <w:rPr>
          <w:rStyle w:val="SCCCounselSeparatorChar"/>
          <w:lang w:val="fr-CA"/>
        </w:rPr>
        <w:t xml:space="preserve">, </w:t>
      </w:r>
      <w:r w:rsidR="0006117D" w:rsidRPr="00F65599">
        <w:rPr>
          <w:rStyle w:val="SCCCounselSeparatorChar"/>
          <w:i/>
          <w:lang w:val="fr-CA"/>
        </w:rPr>
        <w:t xml:space="preserve">Michael </w:t>
      </w:r>
      <w:proofErr w:type="spellStart"/>
      <w:r w:rsidR="0006117D" w:rsidRPr="00F65599">
        <w:rPr>
          <w:rStyle w:val="SCCCounselSeparatorChar"/>
          <w:i/>
          <w:lang w:val="fr-CA"/>
        </w:rPr>
        <w:t>Sobkin</w:t>
      </w:r>
      <w:proofErr w:type="spellEnd"/>
      <w:r w:rsidR="0006117D" w:rsidRPr="00F65599">
        <w:rPr>
          <w:rStyle w:val="SCCCounselSeparatorChar"/>
          <w:lang w:val="fr-CA"/>
        </w:rPr>
        <w:t xml:space="preserve"> et </w:t>
      </w:r>
      <w:r w:rsidRPr="00F65599">
        <w:rPr>
          <w:rStyle w:val="SCCCounselNameChar"/>
          <w:lang w:val="fr-CA"/>
        </w:rPr>
        <w:t xml:space="preserve">Stephen </w:t>
      </w:r>
      <w:proofErr w:type="spellStart"/>
      <w:r w:rsidRPr="00F65599">
        <w:rPr>
          <w:rStyle w:val="SCCCounselNameChar"/>
          <w:lang w:val="fr-CA"/>
        </w:rPr>
        <w:t>Aylward</w:t>
      </w:r>
      <w:proofErr w:type="spellEnd"/>
      <w:r w:rsidRPr="00F65599">
        <w:rPr>
          <w:rStyle w:val="SCCCounselPartyRoleChar"/>
          <w:lang w:val="fr-CA"/>
        </w:rPr>
        <w:t>, pour l</w:t>
      </w:r>
      <w:r w:rsidR="00805B11">
        <w:rPr>
          <w:rStyle w:val="SCCCounselPartyRoleChar"/>
          <w:lang w:val="fr-CA"/>
        </w:rPr>
        <w:t>’</w:t>
      </w:r>
      <w:r w:rsidR="0006117D" w:rsidRPr="00F65599">
        <w:rPr>
          <w:rStyle w:val="SCCCounselPartyRoleChar"/>
          <w:lang w:val="fr-CA"/>
        </w:rPr>
        <w:t>intervenante</w:t>
      </w:r>
      <w:r w:rsidRPr="00F65599">
        <w:rPr>
          <w:rStyle w:val="SCCCounselPartyRoleChar"/>
          <w:lang w:val="fr-CA"/>
        </w:rPr>
        <w:t xml:space="preserve"> </w:t>
      </w:r>
      <w:r w:rsidR="00801C69">
        <w:rPr>
          <w:rStyle w:val="SCCCounselPartyRoleChar"/>
          <w:lang w:val="fr-CA"/>
        </w:rPr>
        <w:t>l</w:t>
      </w:r>
      <w:r w:rsidR="00805B11">
        <w:rPr>
          <w:rStyle w:val="SCCCounselPartyRoleChar"/>
          <w:lang w:val="fr-CA"/>
        </w:rPr>
        <w:t>’</w:t>
      </w:r>
      <w:r w:rsidRPr="00F65599">
        <w:rPr>
          <w:rStyle w:val="SCCCounselPartyRoleChar"/>
          <w:lang w:val="fr-CA"/>
        </w:rPr>
        <w:t>Association</w:t>
      </w:r>
      <w:r w:rsidR="00801C69">
        <w:rPr>
          <w:rStyle w:val="SCCCounselPartyRoleChar"/>
          <w:lang w:val="fr-CA"/>
        </w:rPr>
        <w:t xml:space="preserve"> des libertés civiles de la Colombie-Britannique</w:t>
      </w:r>
      <w:r w:rsidRPr="00F65599">
        <w:rPr>
          <w:rStyle w:val="SCCCounselPartyRoleChar"/>
          <w:lang w:val="fr-CA"/>
        </w:rPr>
        <w:t>.</w:t>
      </w:r>
    </w:p>
    <w:p w:rsidR="001244E7" w:rsidRDefault="001244E7" w:rsidP="00805B11">
      <w:pPr>
        <w:pStyle w:val="SCCNormalDoubleSpacing"/>
        <w:spacing w:after="480"/>
        <w:rPr>
          <w:lang w:val="fr-CA"/>
        </w:rPr>
      </w:pPr>
    </w:p>
    <w:p w:rsidR="001244E7" w:rsidRDefault="001244E7" w:rsidP="00F563CA">
      <w:pPr>
        <w:spacing w:after="480" w:line="480" w:lineRule="auto"/>
        <w:ind w:firstLine="1166"/>
        <w:jc w:val="both"/>
        <w:rPr>
          <w:szCs w:val="24"/>
          <w:lang w:val="fr-CA"/>
        </w:rPr>
      </w:pPr>
      <w:r w:rsidRPr="00CB0DCB">
        <w:rPr>
          <w:szCs w:val="24"/>
          <w:lang w:val="fr-CA"/>
        </w:rPr>
        <w:t xml:space="preserve">Version française du jugement du juge en chef Wagner et des juges </w:t>
      </w:r>
      <w:proofErr w:type="spellStart"/>
      <w:r w:rsidRPr="00CB0DCB">
        <w:rPr>
          <w:szCs w:val="24"/>
          <w:lang w:val="fr-CA"/>
        </w:rPr>
        <w:t>Moldaver</w:t>
      </w:r>
      <w:proofErr w:type="spellEnd"/>
      <w:r w:rsidRPr="00CB0DCB">
        <w:rPr>
          <w:szCs w:val="24"/>
          <w:lang w:val="fr-CA"/>
        </w:rPr>
        <w:t xml:space="preserve">, </w:t>
      </w:r>
      <w:proofErr w:type="spellStart"/>
      <w:r w:rsidRPr="00CB0DCB">
        <w:rPr>
          <w:szCs w:val="24"/>
          <w:lang w:val="fr-CA"/>
        </w:rPr>
        <w:t>Karakatsanis</w:t>
      </w:r>
      <w:proofErr w:type="spellEnd"/>
      <w:r w:rsidRPr="00CB0DCB">
        <w:rPr>
          <w:szCs w:val="24"/>
          <w:lang w:val="fr-CA"/>
        </w:rPr>
        <w:t xml:space="preserve"> et Gascon rendu par </w:t>
      </w:r>
    </w:p>
    <w:p w:rsidR="001244E7" w:rsidRPr="00BC2D48" w:rsidRDefault="001244E7" w:rsidP="001244E7">
      <w:pPr>
        <w:pStyle w:val="JudgeJuge"/>
        <w:spacing w:before="480"/>
        <w:rPr>
          <w:lang w:val="fr-CA"/>
        </w:rPr>
      </w:pPr>
      <w:r w:rsidRPr="00BC2D48">
        <w:rPr>
          <w:lang w:val="fr-CA"/>
        </w:rPr>
        <w:tab/>
        <w:t xml:space="preserve">Le juge en chef — </w:t>
      </w:r>
    </w:p>
    <w:p w:rsidR="001244E7" w:rsidRPr="00BC2D48" w:rsidRDefault="001244E7" w:rsidP="001244E7">
      <w:pPr>
        <w:pStyle w:val="Title1LevelTitre1Niveau-AltL"/>
        <w:rPr>
          <w:lang w:val="fr-CA"/>
        </w:rPr>
      </w:pPr>
      <w:r w:rsidRPr="00BC2D48">
        <w:rPr>
          <w:lang w:val="fr-CA"/>
        </w:rPr>
        <w:t>Aperçu</w:t>
      </w:r>
    </w:p>
    <w:p w:rsidR="001244E7" w:rsidRPr="00BC2D48" w:rsidRDefault="001244E7" w:rsidP="001244E7">
      <w:pPr>
        <w:pStyle w:val="ParaNoNdepar-AltN"/>
        <w:rPr>
          <w:lang w:val="fr-CA"/>
        </w:rPr>
      </w:pPr>
      <w:r w:rsidRPr="00BC2D48">
        <w:rPr>
          <w:lang w:val="fr-CA"/>
        </w:rPr>
        <w:t>Le vote est un droit politique fondamental</w:t>
      </w:r>
      <w:r>
        <w:rPr>
          <w:lang w:val="fr-CA"/>
        </w:rPr>
        <w:t>,</w:t>
      </w:r>
      <w:r w:rsidRPr="00BC2D48">
        <w:rPr>
          <w:lang w:val="fr-CA"/>
        </w:rPr>
        <w:t xml:space="preserve"> et </w:t>
      </w:r>
      <w:r>
        <w:rPr>
          <w:lang w:val="fr-CA"/>
        </w:rPr>
        <w:t xml:space="preserve">le droit de voter est </w:t>
      </w:r>
      <w:r w:rsidRPr="00BC2D48">
        <w:rPr>
          <w:lang w:val="fr-CA"/>
        </w:rPr>
        <w:t xml:space="preserve">un </w:t>
      </w:r>
      <w:r>
        <w:rPr>
          <w:lang w:val="fr-CA"/>
        </w:rPr>
        <w:t>principe de base</w:t>
      </w:r>
      <w:r w:rsidRPr="00BC2D48">
        <w:rPr>
          <w:lang w:val="fr-CA"/>
        </w:rPr>
        <w:t xml:space="preserve"> de notre démocratie. Sa primauté est </w:t>
      </w:r>
      <w:r>
        <w:rPr>
          <w:lang w:val="fr-CA"/>
        </w:rPr>
        <w:t>enchâssée</w:t>
      </w:r>
      <w:r w:rsidRPr="00BC2D48">
        <w:rPr>
          <w:lang w:val="fr-CA"/>
        </w:rPr>
        <w:t xml:space="preserve"> à l</w:t>
      </w:r>
      <w:r>
        <w:rPr>
          <w:lang w:val="fr-CA"/>
        </w:rPr>
        <w:t>’art. </w:t>
      </w:r>
      <w:r w:rsidRPr="00BC2D48">
        <w:rPr>
          <w:lang w:val="fr-CA"/>
        </w:rPr>
        <w:t xml:space="preserve">3 de la </w:t>
      </w:r>
      <w:r w:rsidRPr="00BC2D48">
        <w:rPr>
          <w:i/>
          <w:lang w:val="fr-CA"/>
        </w:rPr>
        <w:t>Charte canadienne des droits et libertés</w:t>
      </w:r>
      <w:r w:rsidRPr="00BC2D48">
        <w:rPr>
          <w:lang w:val="fr-CA"/>
        </w:rPr>
        <w:t>, qui dispose</w:t>
      </w:r>
      <w:r>
        <w:rPr>
          <w:lang w:val="fr-CA"/>
        </w:rPr>
        <w:t> :</w:t>
      </w:r>
      <w:r w:rsidRPr="00BC2D48">
        <w:rPr>
          <w:lang w:val="fr-CA"/>
        </w:rPr>
        <w:t xml:space="preserve"> « Tout citoyen canadien a le droit de </w:t>
      </w:r>
      <w:r w:rsidRPr="00BC2D48">
        <w:rPr>
          <w:lang w:val="fr-CA"/>
        </w:rPr>
        <w:lastRenderedPageBreak/>
        <w:t>vote et est éligible aux élections législati</w:t>
      </w:r>
      <w:r w:rsidR="00B048BC">
        <w:rPr>
          <w:lang w:val="fr-CA"/>
        </w:rPr>
        <w:t>ves fédérales ou provinciales. »</w:t>
      </w:r>
      <w:r w:rsidRPr="00BC2D48">
        <w:rPr>
          <w:lang w:val="fr-CA"/>
        </w:rPr>
        <w:t xml:space="preserve"> Toute </w:t>
      </w:r>
      <w:r>
        <w:rPr>
          <w:lang w:val="fr-CA"/>
        </w:rPr>
        <w:t>restriction</w:t>
      </w:r>
      <w:r w:rsidRPr="00BC2D48">
        <w:rPr>
          <w:lang w:val="fr-CA"/>
        </w:rPr>
        <w:t xml:space="preserve"> du droit de vote doit </w:t>
      </w:r>
      <w:r>
        <w:rPr>
          <w:lang w:val="fr-CA"/>
        </w:rPr>
        <w:t>faire l’objet d’un examen</w:t>
      </w:r>
      <w:r w:rsidRPr="00BC2D48">
        <w:rPr>
          <w:lang w:val="fr-CA"/>
        </w:rPr>
        <w:t xml:space="preserve"> minutieu</w:t>
      </w:r>
      <w:r>
        <w:rPr>
          <w:lang w:val="fr-CA"/>
        </w:rPr>
        <w:t>x e</w:t>
      </w:r>
      <w:r w:rsidRPr="00BC2D48">
        <w:rPr>
          <w:lang w:val="fr-CA"/>
        </w:rPr>
        <w:t xml:space="preserve">t ne saurait être tolérée sans justification </w:t>
      </w:r>
      <w:r>
        <w:rPr>
          <w:lang w:val="fr-CA"/>
        </w:rPr>
        <w:t>impérieuse</w:t>
      </w:r>
      <w:r w:rsidRPr="00BC2D48">
        <w:rPr>
          <w:lang w:val="fr-CA"/>
        </w:rPr>
        <w:t>.</w:t>
      </w:r>
    </w:p>
    <w:p w:rsidR="001244E7" w:rsidRPr="00BC2D48" w:rsidRDefault="001244E7" w:rsidP="001244E7">
      <w:pPr>
        <w:pStyle w:val="ParaNoNdepar-AltN"/>
        <w:rPr>
          <w:lang w:val="fr-CA"/>
        </w:rPr>
      </w:pPr>
      <w:r>
        <w:rPr>
          <w:lang w:val="fr-CA"/>
        </w:rPr>
        <w:t>Historiquement, l’accès a</w:t>
      </w:r>
      <w:r w:rsidRPr="00BC2D48">
        <w:rPr>
          <w:lang w:val="fr-CA"/>
        </w:rPr>
        <w:t>u droit de vote</w:t>
      </w:r>
      <w:r>
        <w:rPr>
          <w:lang w:val="fr-CA"/>
        </w:rPr>
        <w:t xml:space="preserve"> s’est fait progressivement au Canada</w:t>
      </w:r>
      <w:r w:rsidRPr="00BC2D48">
        <w:rPr>
          <w:lang w:val="fr-CA"/>
        </w:rPr>
        <w:t xml:space="preserve">. </w:t>
      </w:r>
      <w:r>
        <w:rPr>
          <w:lang w:val="fr-CA"/>
        </w:rPr>
        <w:t>À l’origine, l</w:t>
      </w:r>
      <w:r w:rsidRPr="00BC2D48">
        <w:rPr>
          <w:lang w:val="fr-CA"/>
        </w:rPr>
        <w:t>e droit de vote</w:t>
      </w:r>
      <w:r>
        <w:rPr>
          <w:lang w:val="fr-CA"/>
        </w:rPr>
        <w:t>r aux élections fédérales</w:t>
      </w:r>
      <w:r w:rsidRPr="00BC2D48">
        <w:rPr>
          <w:lang w:val="fr-CA"/>
        </w:rPr>
        <w:t xml:space="preserve"> était réservé aux propriétaires fonciers de sexe masculin âgés de 21 ans ou plus, </w:t>
      </w:r>
      <w:r>
        <w:rPr>
          <w:lang w:val="fr-CA"/>
        </w:rPr>
        <w:t>mais le droit de vote</w:t>
      </w:r>
      <w:r w:rsidRPr="00BC2D48">
        <w:rPr>
          <w:lang w:val="fr-CA"/>
        </w:rPr>
        <w:t xml:space="preserve"> a graduellement été étendu</w:t>
      </w:r>
      <w:r>
        <w:rPr>
          <w:lang w:val="fr-CA"/>
        </w:rPr>
        <w:t xml:space="preserve"> pour inclure presque tous les citoyens âgés de 18 ans ou plus. Les</w:t>
      </w:r>
      <w:r w:rsidRPr="00BC2D48">
        <w:rPr>
          <w:lang w:val="fr-CA"/>
        </w:rPr>
        <w:t xml:space="preserve"> femmes, </w:t>
      </w:r>
      <w:r>
        <w:rPr>
          <w:lang w:val="fr-CA"/>
        </w:rPr>
        <w:t>les</w:t>
      </w:r>
      <w:r w:rsidRPr="00BC2D48">
        <w:rPr>
          <w:lang w:val="fr-CA"/>
        </w:rPr>
        <w:t xml:space="preserve"> minorités raciales, </w:t>
      </w:r>
      <w:r>
        <w:rPr>
          <w:lang w:val="fr-CA"/>
        </w:rPr>
        <w:t>les</w:t>
      </w:r>
      <w:r w:rsidRPr="00BC2D48">
        <w:rPr>
          <w:lang w:val="fr-CA"/>
        </w:rPr>
        <w:t xml:space="preserve"> personnes </w:t>
      </w:r>
      <w:r>
        <w:rPr>
          <w:lang w:val="fr-CA"/>
        </w:rPr>
        <w:t>décrites autrefois comme éta</w:t>
      </w:r>
      <w:r w:rsidRPr="00BC2D48">
        <w:rPr>
          <w:lang w:val="fr-CA"/>
        </w:rPr>
        <w:t>nt</w:t>
      </w:r>
      <w:r>
        <w:rPr>
          <w:lang w:val="fr-CA"/>
        </w:rPr>
        <w:t xml:space="preserve"> atteintes de « maladie</w:t>
      </w:r>
      <w:r w:rsidRPr="00BC2D48">
        <w:rPr>
          <w:lang w:val="fr-CA"/>
        </w:rPr>
        <w:t xml:space="preserve"> mentale</w:t>
      </w:r>
      <w:r>
        <w:rPr>
          <w:lang w:val="fr-CA"/>
        </w:rPr>
        <w:t> »</w:t>
      </w:r>
      <w:r w:rsidRPr="00BC2D48">
        <w:rPr>
          <w:lang w:val="fr-CA"/>
        </w:rPr>
        <w:t xml:space="preserve">, </w:t>
      </w:r>
      <w:r>
        <w:rPr>
          <w:lang w:val="fr-CA"/>
        </w:rPr>
        <w:t>les</w:t>
      </w:r>
      <w:r w:rsidRPr="00BC2D48">
        <w:rPr>
          <w:lang w:val="fr-CA"/>
        </w:rPr>
        <w:t xml:space="preserve"> détenus et </w:t>
      </w:r>
      <w:r>
        <w:rPr>
          <w:lang w:val="fr-CA"/>
        </w:rPr>
        <w:t>les</w:t>
      </w:r>
      <w:r w:rsidRPr="00BC2D48">
        <w:rPr>
          <w:lang w:val="fr-CA"/>
        </w:rPr>
        <w:t xml:space="preserve"> résidents canadiens en poste à l</w:t>
      </w:r>
      <w:r>
        <w:rPr>
          <w:lang w:val="fr-CA"/>
        </w:rPr>
        <w:t>’</w:t>
      </w:r>
      <w:r w:rsidRPr="00BC2D48">
        <w:rPr>
          <w:lang w:val="fr-CA"/>
        </w:rPr>
        <w:t>étranger qui sont membres des forces armées ou qui appartiennent à l</w:t>
      </w:r>
      <w:r>
        <w:rPr>
          <w:lang w:val="fr-CA"/>
        </w:rPr>
        <w:t>’</w:t>
      </w:r>
      <w:r w:rsidRPr="00BC2D48">
        <w:rPr>
          <w:lang w:val="fr-CA"/>
        </w:rPr>
        <w:t>administration publique du Canada</w:t>
      </w:r>
      <w:r>
        <w:rPr>
          <w:lang w:val="fr-CA"/>
        </w:rPr>
        <w:t xml:space="preserve"> en ont déjà été privés, mais ont maintenant le droit de voter</w:t>
      </w:r>
      <w:r w:rsidRPr="00BC2D48">
        <w:rPr>
          <w:lang w:val="fr-CA"/>
        </w:rPr>
        <w:t>.</w:t>
      </w:r>
    </w:p>
    <w:p w:rsidR="001244E7" w:rsidRPr="00BC2D48" w:rsidRDefault="001244E7" w:rsidP="001244E7">
      <w:pPr>
        <w:pStyle w:val="ParaNoNdepar-AltN"/>
        <w:rPr>
          <w:lang w:val="fr-CA"/>
        </w:rPr>
      </w:pPr>
      <w:r>
        <w:rPr>
          <w:lang w:val="fr-CA"/>
        </w:rPr>
        <w:t>C</w:t>
      </w:r>
      <w:r w:rsidRPr="00BC2D48">
        <w:rPr>
          <w:lang w:val="fr-CA"/>
        </w:rPr>
        <w:t xml:space="preserve">e pourvoi met en </w:t>
      </w:r>
      <w:r>
        <w:rPr>
          <w:lang w:val="fr-CA"/>
        </w:rPr>
        <w:t>cause</w:t>
      </w:r>
      <w:r w:rsidRPr="00BC2D48">
        <w:rPr>
          <w:lang w:val="fr-CA"/>
        </w:rPr>
        <w:t xml:space="preserve"> une des dernières restrictions </w:t>
      </w:r>
      <w:r>
        <w:rPr>
          <w:lang w:val="fr-CA"/>
        </w:rPr>
        <w:t>a</w:t>
      </w:r>
      <w:r w:rsidRPr="00BC2D48">
        <w:rPr>
          <w:lang w:val="fr-CA"/>
        </w:rPr>
        <w:t>u droit de voter aux élections fédérales</w:t>
      </w:r>
      <w:r>
        <w:rPr>
          <w:lang w:val="fr-CA"/>
        </w:rPr>
        <w:t> :</w:t>
      </w:r>
      <w:r w:rsidRPr="00BC2D48">
        <w:rPr>
          <w:lang w:val="fr-CA"/>
        </w:rPr>
        <w:t xml:space="preserve"> celle liée à la résidence. Les citoyens canadiens qui résident à l</w:t>
      </w:r>
      <w:r>
        <w:rPr>
          <w:lang w:val="fr-CA"/>
        </w:rPr>
        <w:t>’</w:t>
      </w:r>
      <w:r w:rsidRPr="00BC2D48">
        <w:rPr>
          <w:lang w:val="fr-CA"/>
        </w:rPr>
        <w:t xml:space="preserve">étranger </w:t>
      </w:r>
      <w:r>
        <w:rPr>
          <w:lang w:val="fr-CA"/>
        </w:rPr>
        <w:t>depuis</w:t>
      </w:r>
      <w:r w:rsidRPr="00BC2D48">
        <w:rPr>
          <w:lang w:val="fr-CA"/>
        </w:rPr>
        <w:t xml:space="preserve"> moins de cinq années consécutives et qui ont l</w:t>
      </w:r>
      <w:r>
        <w:rPr>
          <w:lang w:val="fr-CA"/>
        </w:rPr>
        <w:t>’</w:t>
      </w:r>
      <w:r w:rsidRPr="00BC2D48">
        <w:rPr>
          <w:lang w:val="fr-CA"/>
        </w:rPr>
        <w:t xml:space="preserve">intention de revenir </w:t>
      </w:r>
      <w:r>
        <w:rPr>
          <w:lang w:val="fr-CA"/>
        </w:rPr>
        <w:t xml:space="preserve">résider </w:t>
      </w:r>
      <w:r w:rsidRPr="00BC2D48">
        <w:rPr>
          <w:lang w:val="fr-CA"/>
        </w:rPr>
        <w:t xml:space="preserve">au Canada conservent leur droit de voter aux élections fédérales canadiennes. </w:t>
      </w:r>
      <w:r>
        <w:rPr>
          <w:lang w:val="fr-CA"/>
        </w:rPr>
        <w:t>Cependant</w:t>
      </w:r>
      <w:r w:rsidRPr="00BC2D48">
        <w:rPr>
          <w:lang w:val="fr-CA"/>
        </w:rPr>
        <w:t>, dès qu</w:t>
      </w:r>
      <w:r>
        <w:rPr>
          <w:lang w:val="fr-CA"/>
        </w:rPr>
        <w:t>’</w:t>
      </w:r>
      <w:r w:rsidRPr="00BC2D48">
        <w:rPr>
          <w:lang w:val="fr-CA"/>
        </w:rPr>
        <w:t>un citoyen non</w:t>
      </w:r>
      <w:r>
        <w:rPr>
          <w:lang w:val="fr-CA"/>
        </w:rPr>
        <w:t xml:space="preserve"> </w:t>
      </w:r>
      <w:r w:rsidRPr="00BC2D48">
        <w:rPr>
          <w:lang w:val="fr-CA"/>
        </w:rPr>
        <w:t>résident vit à l</w:t>
      </w:r>
      <w:r>
        <w:rPr>
          <w:lang w:val="fr-CA"/>
        </w:rPr>
        <w:t>’</w:t>
      </w:r>
      <w:r w:rsidRPr="00BC2D48">
        <w:rPr>
          <w:lang w:val="fr-CA"/>
        </w:rPr>
        <w:t xml:space="preserve">étranger plus de cinq ans, il </w:t>
      </w:r>
      <w:r>
        <w:rPr>
          <w:lang w:val="fr-CA"/>
        </w:rPr>
        <w:t>est privé du droit de vote</w:t>
      </w:r>
      <w:r w:rsidRPr="00BC2D48">
        <w:rPr>
          <w:lang w:val="fr-CA"/>
        </w:rPr>
        <w:t>.</w:t>
      </w:r>
    </w:p>
    <w:p w:rsidR="001244E7" w:rsidRPr="00BC2D48" w:rsidRDefault="001244E7" w:rsidP="001244E7">
      <w:pPr>
        <w:pStyle w:val="ParaNoNdepar-AltN"/>
        <w:rPr>
          <w:lang w:val="fr-CA"/>
        </w:rPr>
      </w:pPr>
      <w:r w:rsidRPr="00BC2D48">
        <w:rPr>
          <w:lang w:val="fr-CA"/>
        </w:rPr>
        <w:t>Le procureur général du Canada</w:t>
      </w:r>
      <w:r>
        <w:rPr>
          <w:lang w:val="fr-CA"/>
        </w:rPr>
        <w:t xml:space="preserve"> (« PGC »), ayant ici qualité d’intimé,</w:t>
      </w:r>
      <w:r w:rsidRPr="00BC2D48">
        <w:rPr>
          <w:lang w:val="fr-CA"/>
        </w:rPr>
        <w:t xml:space="preserve"> </w:t>
      </w:r>
      <w:r>
        <w:rPr>
          <w:lang w:val="fr-CA"/>
        </w:rPr>
        <w:t>reconnaît que la restriction</w:t>
      </w:r>
      <w:r w:rsidRPr="00BC2D48">
        <w:rPr>
          <w:lang w:val="fr-CA"/>
        </w:rPr>
        <w:t xml:space="preserve"> des droits de vote de non</w:t>
      </w:r>
      <w:r>
        <w:rPr>
          <w:lang w:val="fr-CA"/>
        </w:rPr>
        <w:noBreakHyphen/>
      </w:r>
      <w:r w:rsidRPr="00BC2D48">
        <w:rPr>
          <w:lang w:val="fr-CA"/>
        </w:rPr>
        <w:t xml:space="preserve">résidents </w:t>
      </w:r>
      <w:r>
        <w:rPr>
          <w:lang w:val="fr-CA"/>
        </w:rPr>
        <w:t>contrevient</w:t>
      </w:r>
      <w:r w:rsidRPr="00BC2D48">
        <w:rPr>
          <w:lang w:val="fr-CA"/>
        </w:rPr>
        <w:t xml:space="preserve"> à l</w:t>
      </w:r>
      <w:r>
        <w:rPr>
          <w:lang w:val="fr-CA"/>
        </w:rPr>
        <w:t>’art. </w:t>
      </w:r>
      <w:r w:rsidRPr="00BC2D48">
        <w:rPr>
          <w:lang w:val="fr-CA"/>
        </w:rPr>
        <w:t xml:space="preserve">3 de la </w:t>
      </w:r>
      <w:r w:rsidRPr="00BC2D48">
        <w:rPr>
          <w:i/>
          <w:lang w:val="fr-CA"/>
        </w:rPr>
        <w:t>Charte</w:t>
      </w:r>
      <w:r w:rsidRPr="00BC2D48">
        <w:rPr>
          <w:lang w:val="fr-CA"/>
        </w:rPr>
        <w:t>. Il s</w:t>
      </w:r>
      <w:r>
        <w:rPr>
          <w:lang w:val="fr-CA"/>
        </w:rPr>
        <w:t>’</w:t>
      </w:r>
      <w:r w:rsidRPr="00BC2D48">
        <w:rPr>
          <w:lang w:val="fr-CA"/>
        </w:rPr>
        <w:t xml:space="preserve">ensuit que la question centrale que soulève le pourvoi est de savoir si cette restriction constitue une limite raisonnable dont la justification peut se démontrer </w:t>
      </w:r>
      <w:r w:rsidRPr="00BC2D48">
        <w:rPr>
          <w:lang w:val="fr-CA"/>
        </w:rPr>
        <w:lastRenderedPageBreak/>
        <w:t xml:space="preserve">au </w:t>
      </w:r>
      <w:r>
        <w:rPr>
          <w:lang w:val="fr-CA"/>
        </w:rPr>
        <w:t>regard</w:t>
      </w:r>
      <w:r w:rsidRPr="00BC2D48">
        <w:rPr>
          <w:lang w:val="fr-CA"/>
        </w:rPr>
        <w:t xml:space="preserve"> de l</w:t>
      </w:r>
      <w:r>
        <w:rPr>
          <w:lang w:val="fr-CA"/>
        </w:rPr>
        <w:t>’</w:t>
      </w:r>
      <w:r w:rsidRPr="00BC2D48">
        <w:rPr>
          <w:lang w:val="fr-CA"/>
        </w:rPr>
        <w:t xml:space="preserve">article premier. </w:t>
      </w:r>
      <w:r>
        <w:rPr>
          <w:lang w:val="fr-CA"/>
        </w:rPr>
        <w:t>Je conclus</w:t>
      </w:r>
      <w:r w:rsidRPr="00BC2D48">
        <w:rPr>
          <w:lang w:val="fr-CA"/>
        </w:rPr>
        <w:t xml:space="preserve"> qu</w:t>
      </w:r>
      <w:r>
        <w:rPr>
          <w:lang w:val="fr-CA"/>
        </w:rPr>
        <w:t>’</w:t>
      </w:r>
      <w:r w:rsidRPr="00BC2D48">
        <w:rPr>
          <w:lang w:val="fr-CA"/>
        </w:rPr>
        <w:t>elle ne</w:t>
      </w:r>
      <w:r>
        <w:rPr>
          <w:lang w:val="fr-CA"/>
        </w:rPr>
        <w:t xml:space="preserve"> peut</w:t>
      </w:r>
      <w:r w:rsidRPr="00BC2D48">
        <w:rPr>
          <w:lang w:val="fr-CA"/>
        </w:rPr>
        <w:t xml:space="preserve"> l</w:t>
      </w:r>
      <w:r>
        <w:rPr>
          <w:lang w:val="fr-CA"/>
        </w:rPr>
        <w:t>’être</w:t>
      </w:r>
      <w:r w:rsidRPr="00BC2D48">
        <w:rPr>
          <w:lang w:val="fr-CA"/>
        </w:rPr>
        <w:t>. L</w:t>
      </w:r>
      <w:r>
        <w:rPr>
          <w:lang w:val="fr-CA"/>
        </w:rPr>
        <w:t>’</w:t>
      </w:r>
      <w:r w:rsidRPr="00BC2D48">
        <w:rPr>
          <w:lang w:val="fr-CA"/>
        </w:rPr>
        <w:t xml:space="preserve">objectif vague et non </w:t>
      </w:r>
      <w:r>
        <w:rPr>
          <w:lang w:val="fr-CA"/>
        </w:rPr>
        <w:t>fondé</w:t>
      </w:r>
      <w:r w:rsidRPr="00BC2D48">
        <w:rPr>
          <w:lang w:val="fr-CA"/>
        </w:rPr>
        <w:t xml:space="preserve"> d</w:t>
      </w:r>
      <w:r>
        <w:rPr>
          <w:lang w:val="fr-CA"/>
        </w:rPr>
        <w:t>’</w:t>
      </w:r>
      <w:r w:rsidRPr="00BC2D48">
        <w:rPr>
          <w:lang w:val="fr-CA"/>
        </w:rPr>
        <w:t xml:space="preserve">équité électorale </w:t>
      </w:r>
      <w:r>
        <w:rPr>
          <w:lang w:val="fr-CA"/>
        </w:rPr>
        <w:t>que viserait le fait de nier</w:t>
      </w:r>
      <w:r w:rsidRPr="00BC2D48">
        <w:rPr>
          <w:lang w:val="fr-CA"/>
        </w:rPr>
        <w:t xml:space="preserve"> </w:t>
      </w:r>
      <w:r>
        <w:rPr>
          <w:lang w:val="fr-CA"/>
        </w:rPr>
        <w:t>l</w:t>
      </w:r>
      <w:r w:rsidRPr="00BC2D48">
        <w:rPr>
          <w:lang w:val="fr-CA"/>
        </w:rPr>
        <w:t xml:space="preserve">es droits de vote de citoyens </w:t>
      </w:r>
      <w:proofErr w:type="spellStart"/>
      <w:r w:rsidRPr="00BC2D48">
        <w:rPr>
          <w:lang w:val="fr-CA"/>
        </w:rPr>
        <w:t>non</w:t>
      </w:r>
      <w:r>
        <w:rPr>
          <w:lang w:val="fr-CA"/>
        </w:rPr>
        <w:t xml:space="preserve"> </w:t>
      </w:r>
      <w:r w:rsidRPr="00BC2D48">
        <w:rPr>
          <w:lang w:val="fr-CA"/>
        </w:rPr>
        <w:t>résidents</w:t>
      </w:r>
      <w:proofErr w:type="spellEnd"/>
      <w:r w:rsidRPr="00BC2D48">
        <w:rPr>
          <w:lang w:val="fr-CA"/>
        </w:rPr>
        <w:t xml:space="preserve"> simplement parce que ce</w:t>
      </w:r>
      <w:r>
        <w:rPr>
          <w:lang w:val="fr-CA"/>
        </w:rPr>
        <w:t>ux</w:t>
      </w:r>
      <w:r>
        <w:rPr>
          <w:lang w:val="fr-CA"/>
        </w:rPr>
        <w:noBreakHyphen/>
        <w:t>ci</w:t>
      </w:r>
      <w:r w:rsidRPr="00BC2D48">
        <w:rPr>
          <w:lang w:val="fr-CA"/>
        </w:rPr>
        <w:t xml:space="preserve"> ont dépassé un seuil arbitraire de cinq ans</w:t>
      </w:r>
      <w:r>
        <w:rPr>
          <w:lang w:val="fr-CA"/>
        </w:rPr>
        <w:t xml:space="preserve"> ne résiste</w:t>
      </w:r>
      <w:r w:rsidRPr="00BC2D48">
        <w:rPr>
          <w:lang w:val="fr-CA"/>
        </w:rPr>
        <w:t xml:space="preserve"> pas à l</w:t>
      </w:r>
      <w:r>
        <w:rPr>
          <w:lang w:val="fr-CA"/>
        </w:rPr>
        <w:t>’</w:t>
      </w:r>
      <w:r w:rsidRPr="00BC2D48">
        <w:rPr>
          <w:lang w:val="fr-CA"/>
        </w:rPr>
        <w:t>analyse.</w:t>
      </w:r>
    </w:p>
    <w:p w:rsidR="001244E7" w:rsidRPr="00BC2D48" w:rsidRDefault="001244E7" w:rsidP="001244E7">
      <w:pPr>
        <w:pStyle w:val="ParaNoNdepar-AltN"/>
        <w:rPr>
          <w:lang w:val="fr-CA"/>
        </w:rPr>
      </w:pPr>
      <w:r w:rsidRPr="00BC2D48">
        <w:rPr>
          <w:lang w:val="fr-CA"/>
        </w:rPr>
        <w:t xml:space="preserve">En particulier, le </w:t>
      </w:r>
      <w:r>
        <w:rPr>
          <w:lang w:val="fr-CA"/>
        </w:rPr>
        <w:t>PGC</w:t>
      </w:r>
      <w:r w:rsidRPr="00BC2D48">
        <w:rPr>
          <w:lang w:val="fr-CA"/>
        </w:rPr>
        <w:t xml:space="preserve"> n</w:t>
      </w:r>
      <w:r>
        <w:rPr>
          <w:lang w:val="fr-CA"/>
        </w:rPr>
        <w:t>’</w:t>
      </w:r>
      <w:r w:rsidRPr="00BC2D48">
        <w:rPr>
          <w:lang w:val="fr-CA"/>
        </w:rPr>
        <w:t>a pas</w:t>
      </w:r>
      <w:r>
        <w:rPr>
          <w:lang w:val="fr-CA"/>
        </w:rPr>
        <w:t xml:space="preserve"> réussi à</w:t>
      </w:r>
      <w:r w:rsidRPr="00BC2D48">
        <w:rPr>
          <w:lang w:val="fr-CA"/>
        </w:rPr>
        <w:t xml:space="preserve"> </w:t>
      </w:r>
      <w:r>
        <w:rPr>
          <w:lang w:val="fr-CA"/>
        </w:rPr>
        <w:t>établir</w:t>
      </w:r>
      <w:r w:rsidRPr="00BC2D48">
        <w:rPr>
          <w:lang w:val="fr-CA"/>
        </w:rPr>
        <w:t xml:space="preserve"> que la limitation des droits de vote de citoyens </w:t>
      </w:r>
      <w:proofErr w:type="spellStart"/>
      <w:r w:rsidRPr="00BC2D48">
        <w:rPr>
          <w:lang w:val="fr-CA"/>
        </w:rPr>
        <w:t>non</w:t>
      </w:r>
      <w:r>
        <w:rPr>
          <w:lang w:val="fr-CA"/>
        </w:rPr>
        <w:t xml:space="preserve"> </w:t>
      </w:r>
      <w:r w:rsidRPr="00BC2D48">
        <w:rPr>
          <w:lang w:val="fr-CA"/>
        </w:rPr>
        <w:t>résidents</w:t>
      </w:r>
      <w:proofErr w:type="spellEnd"/>
      <w:r w:rsidRPr="00BC2D48">
        <w:rPr>
          <w:lang w:val="fr-CA"/>
        </w:rPr>
        <w:t xml:space="preserve"> </w:t>
      </w:r>
      <w:r>
        <w:rPr>
          <w:lang w:val="fr-CA"/>
        </w:rPr>
        <w:t xml:space="preserve">constitue </w:t>
      </w:r>
      <w:r w:rsidRPr="00BC2D48">
        <w:rPr>
          <w:lang w:val="fr-CA"/>
        </w:rPr>
        <w:t>une atteinte minimale</w:t>
      </w:r>
      <w:r>
        <w:rPr>
          <w:lang w:val="fr-CA"/>
        </w:rPr>
        <w:t>.</w:t>
      </w:r>
      <w:r w:rsidRPr="00BC2D48">
        <w:rPr>
          <w:lang w:val="fr-CA"/>
        </w:rPr>
        <w:t xml:space="preserve"> </w:t>
      </w:r>
      <w:r>
        <w:rPr>
          <w:lang w:val="fr-CA"/>
        </w:rPr>
        <w:t xml:space="preserve">Peu d’éléments permettent de </w:t>
      </w:r>
      <w:r w:rsidRPr="00BC2D48">
        <w:rPr>
          <w:lang w:val="fr-CA"/>
        </w:rPr>
        <w:t>justifi</w:t>
      </w:r>
      <w:r>
        <w:rPr>
          <w:lang w:val="fr-CA"/>
        </w:rPr>
        <w:t>er le</w:t>
      </w:r>
      <w:r w:rsidRPr="00BC2D48">
        <w:rPr>
          <w:lang w:val="fr-CA"/>
        </w:rPr>
        <w:t xml:space="preserve"> choix de la durée de cinq ans </w:t>
      </w:r>
      <w:r>
        <w:rPr>
          <w:lang w:val="fr-CA"/>
        </w:rPr>
        <w:t>en tant que seuil ou d’établir que celui</w:t>
      </w:r>
      <w:r>
        <w:rPr>
          <w:lang w:val="fr-CA"/>
        </w:rPr>
        <w:noBreakHyphen/>
        <w:t>ci a été conçu pour</w:t>
      </w:r>
      <w:r w:rsidRPr="00BC2D48">
        <w:rPr>
          <w:lang w:val="fr-CA"/>
        </w:rPr>
        <w:t xml:space="preserve"> répondre à un problème </w:t>
      </w:r>
      <w:r>
        <w:rPr>
          <w:lang w:val="fr-CA"/>
        </w:rPr>
        <w:t>précis</w:t>
      </w:r>
      <w:r w:rsidRPr="00BC2D48">
        <w:rPr>
          <w:lang w:val="fr-CA"/>
        </w:rPr>
        <w:t xml:space="preserve">. </w:t>
      </w:r>
      <w:r>
        <w:rPr>
          <w:lang w:val="fr-CA"/>
        </w:rPr>
        <w:t>En outre, il est manifeste que la mesure s’applique à tort à de nombreuses personnes ayant des liens profonds et durables avec le Canada et les lois canadiennes et ce, d’une manière qui est beaucoup plus large que nécessaire pour atteindre l’objectif d’équité électorale que fait valoir le PGC. Le fait de priver ces citoyens du droit de vote</w:t>
      </w:r>
      <w:r w:rsidRPr="00BC2D48">
        <w:rPr>
          <w:lang w:val="fr-CA"/>
        </w:rPr>
        <w:t xml:space="preserve"> </w:t>
      </w:r>
      <w:r>
        <w:rPr>
          <w:lang w:val="fr-CA"/>
        </w:rPr>
        <w:t>les prive</w:t>
      </w:r>
      <w:r w:rsidRPr="00BC2D48">
        <w:rPr>
          <w:lang w:val="fr-CA"/>
        </w:rPr>
        <w:t xml:space="preserve"> non se</w:t>
      </w:r>
      <w:r>
        <w:rPr>
          <w:lang w:val="fr-CA"/>
        </w:rPr>
        <w:t>ulement</w:t>
      </w:r>
      <w:r w:rsidRPr="00BC2D48">
        <w:rPr>
          <w:lang w:val="fr-CA"/>
        </w:rPr>
        <w:t xml:space="preserve"> d</w:t>
      </w:r>
      <w:r>
        <w:rPr>
          <w:lang w:val="fr-CA"/>
        </w:rPr>
        <w:t>’</w:t>
      </w:r>
      <w:r w:rsidRPr="00BC2D48">
        <w:rPr>
          <w:lang w:val="fr-CA"/>
        </w:rPr>
        <w:t xml:space="preserve">un droit démocratique fondamental, mais </w:t>
      </w:r>
      <w:r>
        <w:rPr>
          <w:lang w:val="fr-CA"/>
        </w:rPr>
        <w:t>cette privation</w:t>
      </w:r>
      <w:r w:rsidRPr="00BC2D48">
        <w:rPr>
          <w:lang w:val="fr-CA"/>
        </w:rPr>
        <w:t xml:space="preserve"> se fait également aux dépens de </w:t>
      </w:r>
      <w:r>
        <w:rPr>
          <w:lang w:val="fr-CA"/>
        </w:rPr>
        <w:t>leur</w:t>
      </w:r>
      <w:r w:rsidRPr="00BC2D48">
        <w:rPr>
          <w:lang w:val="fr-CA"/>
        </w:rPr>
        <w:t xml:space="preserve"> valeur et de</w:t>
      </w:r>
      <w:r>
        <w:rPr>
          <w:lang w:val="fr-CA"/>
        </w:rPr>
        <w:t xml:space="preserve"> </w:t>
      </w:r>
      <w:proofErr w:type="gramStart"/>
      <w:r>
        <w:rPr>
          <w:lang w:val="fr-CA"/>
        </w:rPr>
        <w:t>leur</w:t>
      </w:r>
      <w:r w:rsidRPr="00BC2D48">
        <w:rPr>
          <w:lang w:val="fr-CA"/>
        </w:rPr>
        <w:t xml:space="preserve"> dignité</w:t>
      </w:r>
      <w:r>
        <w:rPr>
          <w:lang w:val="fr-CA"/>
        </w:rPr>
        <w:t xml:space="preserve"> intrinsèques</w:t>
      </w:r>
      <w:proofErr w:type="gramEnd"/>
      <w:r w:rsidRPr="00BC2D48">
        <w:rPr>
          <w:lang w:val="fr-CA"/>
        </w:rPr>
        <w:t>. Ces effets préjudiciables</w:t>
      </w:r>
      <w:r>
        <w:rPr>
          <w:lang w:val="fr-CA"/>
        </w:rPr>
        <w:t xml:space="preserve"> l’emportent de loin sur tout avantage spéculatif</w:t>
      </w:r>
      <w:r w:rsidRPr="00BC2D48">
        <w:rPr>
          <w:lang w:val="fr-CA"/>
        </w:rPr>
        <w:t xml:space="preserve"> que pourrait </w:t>
      </w:r>
      <w:r>
        <w:rPr>
          <w:lang w:val="fr-CA"/>
        </w:rPr>
        <w:t>apporter la mesure</w:t>
      </w:r>
      <w:r w:rsidRPr="00BC2D48">
        <w:rPr>
          <w:lang w:val="fr-CA"/>
        </w:rPr>
        <w:t xml:space="preserve">. </w:t>
      </w:r>
    </w:p>
    <w:p w:rsidR="001244E7" w:rsidRPr="00BC2D48" w:rsidRDefault="001244E7" w:rsidP="001244E7">
      <w:pPr>
        <w:pStyle w:val="ParaNoNdepar-AltN"/>
        <w:rPr>
          <w:lang w:val="fr-CA"/>
        </w:rPr>
      </w:pPr>
      <w:r>
        <w:rPr>
          <w:lang w:val="fr-CA"/>
        </w:rPr>
        <w:t>En</w:t>
      </w:r>
      <w:r w:rsidRPr="00BC2D48">
        <w:rPr>
          <w:lang w:val="fr-CA"/>
        </w:rPr>
        <w:t xml:space="preserve"> conséquen</w:t>
      </w:r>
      <w:r>
        <w:rPr>
          <w:lang w:val="fr-CA"/>
        </w:rPr>
        <w:t>ce</w:t>
      </w:r>
      <w:r w:rsidRPr="00BC2D48">
        <w:rPr>
          <w:lang w:val="fr-CA"/>
        </w:rPr>
        <w:t>, je suis d</w:t>
      </w:r>
      <w:r>
        <w:rPr>
          <w:lang w:val="fr-CA"/>
        </w:rPr>
        <w:t>’</w:t>
      </w:r>
      <w:r w:rsidRPr="00BC2D48">
        <w:rPr>
          <w:lang w:val="fr-CA"/>
        </w:rPr>
        <w:t>avis d</w:t>
      </w:r>
      <w:r>
        <w:rPr>
          <w:lang w:val="fr-CA"/>
        </w:rPr>
        <w:t>’</w:t>
      </w:r>
      <w:r w:rsidRPr="00BC2D48">
        <w:rPr>
          <w:lang w:val="fr-CA"/>
        </w:rPr>
        <w:t>accueillir le pourvoi</w:t>
      </w:r>
      <w:r>
        <w:rPr>
          <w:lang w:val="fr-CA"/>
        </w:rPr>
        <w:t>. La restriction des droits de vote de non</w:t>
      </w:r>
      <w:r>
        <w:rPr>
          <w:lang w:val="fr-CA"/>
        </w:rPr>
        <w:noBreakHyphen/>
        <w:t>résidents</w:t>
      </w:r>
      <w:r w:rsidRPr="00BC2D48">
        <w:rPr>
          <w:lang w:val="fr-CA"/>
        </w:rPr>
        <w:t xml:space="preserve"> </w:t>
      </w:r>
      <w:r>
        <w:rPr>
          <w:lang w:val="fr-CA"/>
        </w:rPr>
        <w:t>constitue une violation</w:t>
      </w:r>
      <w:r w:rsidRPr="00BC2D48">
        <w:rPr>
          <w:lang w:val="fr-CA"/>
        </w:rPr>
        <w:t xml:space="preserve"> </w:t>
      </w:r>
      <w:r>
        <w:rPr>
          <w:lang w:val="fr-CA"/>
        </w:rPr>
        <w:t>de</w:t>
      </w:r>
      <w:r w:rsidRPr="00BC2D48">
        <w:rPr>
          <w:lang w:val="fr-CA"/>
        </w:rPr>
        <w:t xml:space="preserve"> l</w:t>
      </w:r>
      <w:r>
        <w:rPr>
          <w:lang w:val="fr-CA"/>
        </w:rPr>
        <w:t>’art. </w:t>
      </w:r>
      <w:r w:rsidRPr="00BC2D48">
        <w:rPr>
          <w:lang w:val="fr-CA"/>
        </w:rPr>
        <w:t xml:space="preserve">3 de la </w:t>
      </w:r>
      <w:r w:rsidRPr="00BC2D48">
        <w:rPr>
          <w:i/>
          <w:lang w:val="fr-CA"/>
        </w:rPr>
        <w:t>Charte</w:t>
      </w:r>
      <w:r w:rsidRPr="00BC2D48">
        <w:rPr>
          <w:lang w:val="fr-CA"/>
        </w:rPr>
        <w:t xml:space="preserve"> </w:t>
      </w:r>
      <w:r>
        <w:rPr>
          <w:lang w:val="fr-CA"/>
        </w:rPr>
        <w:t>et n’est</w:t>
      </w:r>
      <w:r w:rsidRPr="00BC2D48">
        <w:rPr>
          <w:lang w:val="fr-CA"/>
        </w:rPr>
        <w:t xml:space="preserve"> pas sauvegardée par l</w:t>
      </w:r>
      <w:r>
        <w:rPr>
          <w:lang w:val="fr-CA"/>
        </w:rPr>
        <w:t>’</w:t>
      </w:r>
      <w:r w:rsidRPr="00BC2D48">
        <w:rPr>
          <w:lang w:val="fr-CA"/>
        </w:rPr>
        <w:t>article premier.</w:t>
      </w:r>
    </w:p>
    <w:p w:rsidR="001244E7" w:rsidRPr="00BC2D48" w:rsidRDefault="001244E7" w:rsidP="001244E7">
      <w:pPr>
        <w:pStyle w:val="Title1LevelTitre1Niveau-AltL"/>
        <w:rPr>
          <w:lang w:val="fr-CA"/>
        </w:rPr>
      </w:pPr>
      <w:r w:rsidRPr="00BC2D48">
        <w:rPr>
          <w:lang w:val="fr-CA"/>
        </w:rPr>
        <w:t>Contexte</w:t>
      </w:r>
    </w:p>
    <w:p w:rsidR="001244E7" w:rsidRPr="00BC2D48" w:rsidRDefault="001244E7" w:rsidP="001244E7">
      <w:pPr>
        <w:pStyle w:val="ParaNoNdepar-AltN"/>
        <w:rPr>
          <w:lang w:val="fr-CA"/>
        </w:rPr>
      </w:pPr>
      <w:r w:rsidRPr="00BC2D48">
        <w:rPr>
          <w:lang w:val="fr-CA"/>
        </w:rPr>
        <w:lastRenderedPageBreak/>
        <w:t xml:space="preserve">Le pourvoi a pour origine </w:t>
      </w:r>
      <w:r>
        <w:rPr>
          <w:lang w:val="fr-CA"/>
        </w:rPr>
        <w:t>une</w:t>
      </w:r>
      <w:r w:rsidRPr="00BC2D48">
        <w:rPr>
          <w:lang w:val="fr-CA"/>
        </w:rPr>
        <w:t xml:space="preserve"> contestation par deux citoyens canadiens, MM. Gillian Frank et Jamie </w:t>
      </w:r>
      <w:proofErr w:type="spellStart"/>
      <w:r w:rsidRPr="00BC2D48">
        <w:rPr>
          <w:lang w:val="fr-CA"/>
        </w:rPr>
        <w:t>Duong</w:t>
      </w:r>
      <w:proofErr w:type="spellEnd"/>
      <w:r w:rsidRPr="00BC2D48">
        <w:rPr>
          <w:lang w:val="fr-CA"/>
        </w:rPr>
        <w:t xml:space="preserve">, </w:t>
      </w:r>
      <w:r>
        <w:rPr>
          <w:lang w:val="fr-CA"/>
        </w:rPr>
        <w:t xml:space="preserve">les appelants en l’espèce, </w:t>
      </w:r>
      <w:r w:rsidRPr="00BC2D48">
        <w:rPr>
          <w:lang w:val="fr-CA"/>
        </w:rPr>
        <w:t>d</w:t>
      </w:r>
      <w:r>
        <w:rPr>
          <w:lang w:val="fr-CA"/>
        </w:rPr>
        <w:t>u fait qu’ils ont été privés</w:t>
      </w:r>
      <w:r w:rsidRPr="00BC2D48">
        <w:rPr>
          <w:lang w:val="fr-CA"/>
        </w:rPr>
        <w:t xml:space="preserve"> de leur droit de voter à une élection fédérale canadienne </w:t>
      </w:r>
      <w:r>
        <w:rPr>
          <w:lang w:val="fr-CA"/>
        </w:rPr>
        <w:t>au motif qu’ils vivaient</w:t>
      </w:r>
      <w:r w:rsidRPr="00BC2D48">
        <w:rPr>
          <w:lang w:val="fr-CA"/>
        </w:rPr>
        <w:t xml:space="preserve"> à l</w:t>
      </w:r>
      <w:r>
        <w:rPr>
          <w:lang w:val="fr-CA"/>
        </w:rPr>
        <w:t>’</w:t>
      </w:r>
      <w:r w:rsidRPr="00BC2D48">
        <w:rPr>
          <w:lang w:val="fr-CA"/>
        </w:rPr>
        <w:t xml:space="preserve">étranger </w:t>
      </w:r>
      <w:r>
        <w:rPr>
          <w:lang w:val="fr-CA"/>
        </w:rPr>
        <w:t>depuis</w:t>
      </w:r>
      <w:r w:rsidRPr="00BC2D48">
        <w:rPr>
          <w:lang w:val="fr-CA"/>
        </w:rPr>
        <w:t xml:space="preserve"> plus de cinq ans.</w:t>
      </w:r>
    </w:p>
    <w:p w:rsidR="001244E7" w:rsidRPr="00BC2D48" w:rsidRDefault="001244E7" w:rsidP="001244E7">
      <w:pPr>
        <w:pStyle w:val="ParaNoNdepar-AltN"/>
        <w:rPr>
          <w:lang w:val="fr-CA"/>
        </w:rPr>
      </w:pPr>
      <w:r w:rsidRPr="00BC2D48">
        <w:rPr>
          <w:lang w:val="fr-CA"/>
        </w:rPr>
        <w:t>Monsieur Frank réside aux États</w:t>
      </w:r>
      <w:r>
        <w:rPr>
          <w:lang w:val="fr-CA"/>
        </w:rPr>
        <w:noBreakHyphen/>
      </w:r>
      <w:r w:rsidRPr="00BC2D48">
        <w:rPr>
          <w:lang w:val="fr-CA"/>
        </w:rPr>
        <w:t>Unis. Il a vécu à Toronto jusqu</w:t>
      </w:r>
      <w:r>
        <w:rPr>
          <w:lang w:val="fr-CA"/>
        </w:rPr>
        <w:t>’</w:t>
      </w:r>
      <w:r w:rsidRPr="00BC2D48">
        <w:rPr>
          <w:lang w:val="fr-CA"/>
        </w:rPr>
        <w:t>à l</w:t>
      </w:r>
      <w:r>
        <w:rPr>
          <w:lang w:val="fr-CA"/>
        </w:rPr>
        <w:t>’</w:t>
      </w:r>
      <w:r w:rsidRPr="00BC2D48">
        <w:rPr>
          <w:lang w:val="fr-CA"/>
        </w:rPr>
        <w:t>âge de 21 ans</w:t>
      </w:r>
      <w:r>
        <w:rPr>
          <w:lang w:val="fr-CA"/>
        </w:rPr>
        <w:t>. Après avoir</w:t>
      </w:r>
      <w:r w:rsidRPr="00BC2D48">
        <w:rPr>
          <w:lang w:val="fr-CA"/>
        </w:rPr>
        <w:t xml:space="preserve"> obtenu son </w:t>
      </w:r>
      <w:r>
        <w:rPr>
          <w:lang w:val="fr-CA"/>
        </w:rPr>
        <w:t>diplôme</w:t>
      </w:r>
      <w:r w:rsidRPr="00BC2D48">
        <w:rPr>
          <w:lang w:val="fr-CA"/>
        </w:rPr>
        <w:t xml:space="preserve"> </w:t>
      </w:r>
      <w:r>
        <w:rPr>
          <w:lang w:val="fr-CA"/>
        </w:rPr>
        <w:t>universitaire</w:t>
      </w:r>
      <w:r w:rsidRPr="00BC2D48">
        <w:rPr>
          <w:lang w:val="fr-CA"/>
        </w:rPr>
        <w:t xml:space="preserve"> au Canada, </w:t>
      </w:r>
      <w:r>
        <w:rPr>
          <w:lang w:val="fr-CA"/>
        </w:rPr>
        <w:t>il a été</w:t>
      </w:r>
      <w:r w:rsidRPr="00BC2D48">
        <w:rPr>
          <w:lang w:val="fr-CA"/>
        </w:rPr>
        <w:t xml:space="preserve"> admis à titre de boursier complet aux cycles supérieurs à l</w:t>
      </w:r>
      <w:r>
        <w:rPr>
          <w:lang w:val="fr-CA"/>
        </w:rPr>
        <w:t>’</w:t>
      </w:r>
      <w:r w:rsidRPr="00BC2D48">
        <w:rPr>
          <w:lang w:val="fr-CA"/>
        </w:rPr>
        <w:t>Université Brown, à Providence</w:t>
      </w:r>
      <w:r>
        <w:rPr>
          <w:lang w:val="fr-CA"/>
        </w:rPr>
        <w:t xml:space="preserve">, au </w:t>
      </w:r>
      <w:proofErr w:type="spellStart"/>
      <w:r w:rsidRPr="00BC2D48">
        <w:rPr>
          <w:lang w:val="fr-CA"/>
        </w:rPr>
        <w:t>Rhode</w:t>
      </w:r>
      <w:proofErr w:type="spellEnd"/>
      <w:r w:rsidRPr="00BC2D48">
        <w:rPr>
          <w:lang w:val="fr-CA"/>
        </w:rPr>
        <w:t xml:space="preserve"> Island. Il </w:t>
      </w:r>
      <w:r>
        <w:rPr>
          <w:lang w:val="fr-CA"/>
        </w:rPr>
        <w:t>effectue</w:t>
      </w:r>
      <w:r w:rsidRPr="00BC2D48">
        <w:rPr>
          <w:lang w:val="fr-CA"/>
        </w:rPr>
        <w:t xml:space="preserve"> actuellement des études post doctorales </w:t>
      </w:r>
      <w:r>
        <w:rPr>
          <w:lang w:val="fr-CA"/>
        </w:rPr>
        <w:t xml:space="preserve">et vit à Princeton, au </w:t>
      </w:r>
      <w:r w:rsidRPr="00BC2D48">
        <w:rPr>
          <w:lang w:val="fr-CA"/>
        </w:rPr>
        <w:t>New Jersey. L</w:t>
      </w:r>
      <w:r>
        <w:rPr>
          <w:lang w:val="fr-CA"/>
        </w:rPr>
        <w:t>’</w:t>
      </w:r>
      <w:r w:rsidRPr="00BC2D48">
        <w:rPr>
          <w:lang w:val="fr-CA"/>
        </w:rPr>
        <w:t xml:space="preserve">épouse de </w:t>
      </w:r>
      <w:r>
        <w:rPr>
          <w:lang w:val="fr-CA"/>
        </w:rPr>
        <w:t>M. Frank</w:t>
      </w:r>
      <w:r w:rsidRPr="00BC2D48">
        <w:rPr>
          <w:lang w:val="fr-CA"/>
        </w:rPr>
        <w:t xml:space="preserve"> est</w:t>
      </w:r>
      <w:r w:rsidRPr="00DF13CD">
        <w:rPr>
          <w:lang w:val="fr-CA"/>
        </w:rPr>
        <w:t xml:space="preserve"> </w:t>
      </w:r>
      <w:r w:rsidRPr="00BC2D48">
        <w:rPr>
          <w:lang w:val="fr-CA"/>
        </w:rPr>
        <w:t>elle aussi citoyenne canadienne</w:t>
      </w:r>
      <w:r>
        <w:rPr>
          <w:lang w:val="fr-CA"/>
        </w:rPr>
        <w:t>,</w:t>
      </w:r>
      <w:r w:rsidRPr="00BC2D48">
        <w:rPr>
          <w:lang w:val="fr-CA"/>
        </w:rPr>
        <w:t xml:space="preserve"> et l</w:t>
      </w:r>
      <w:r>
        <w:rPr>
          <w:lang w:val="fr-CA"/>
        </w:rPr>
        <w:t>es membres de l</w:t>
      </w:r>
      <w:r w:rsidRPr="00BC2D48">
        <w:rPr>
          <w:lang w:val="fr-CA"/>
        </w:rPr>
        <w:t>a famille immédiate</w:t>
      </w:r>
      <w:r>
        <w:rPr>
          <w:lang w:val="fr-CA"/>
        </w:rPr>
        <w:t xml:space="preserve"> de M. Frank </w:t>
      </w:r>
      <w:r w:rsidRPr="00BC2D48">
        <w:rPr>
          <w:lang w:val="fr-CA"/>
        </w:rPr>
        <w:t>vi</w:t>
      </w:r>
      <w:r>
        <w:rPr>
          <w:lang w:val="fr-CA"/>
        </w:rPr>
        <w:t>ven</w:t>
      </w:r>
      <w:r w:rsidRPr="00BC2D48">
        <w:rPr>
          <w:lang w:val="fr-CA"/>
        </w:rPr>
        <w:t>t à Toronto. Il voyage muni d</w:t>
      </w:r>
      <w:r>
        <w:rPr>
          <w:lang w:val="fr-CA"/>
        </w:rPr>
        <w:t>’</w:t>
      </w:r>
      <w:r w:rsidRPr="00BC2D48">
        <w:rPr>
          <w:lang w:val="fr-CA"/>
        </w:rPr>
        <w:t>un passeport canadien et il n</w:t>
      </w:r>
      <w:r>
        <w:rPr>
          <w:lang w:val="fr-CA"/>
        </w:rPr>
        <w:t>’</w:t>
      </w:r>
      <w:r w:rsidRPr="00BC2D48">
        <w:rPr>
          <w:lang w:val="fr-CA"/>
        </w:rPr>
        <w:t>a pas le droit de voter aux États</w:t>
      </w:r>
      <w:r>
        <w:rPr>
          <w:lang w:val="fr-CA"/>
        </w:rPr>
        <w:noBreakHyphen/>
      </w:r>
      <w:r w:rsidRPr="00BC2D48">
        <w:rPr>
          <w:lang w:val="fr-CA"/>
        </w:rPr>
        <w:t>Unis. Monsieur Frank a fait des demandes d</w:t>
      </w:r>
      <w:r>
        <w:rPr>
          <w:lang w:val="fr-CA"/>
        </w:rPr>
        <w:t>’</w:t>
      </w:r>
      <w:r w:rsidRPr="00BC2D48">
        <w:rPr>
          <w:lang w:val="fr-CA"/>
        </w:rPr>
        <w:t>emploi au Canada, sans succès pour le moment. Selon ses dires, il reviendrait au Canada sans hésitation s</w:t>
      </w:r>
      <w:r>
        <w:rPr>
          <w:lang w:val="fr-CA"/>
        </w:rPr>
        <w:t>’</w:t>
      </w:r>
      <w:r w:rsidRPr="00BC2D48">
        <w:rPr>
          <w:lang w:val="fr-CA"/>
        </w:rPr>
        <w:t xml:space="preserve">il </w:t>
      </w:r>
      <w:r>
        <w:rPr>
          <w:lang w:val="fr-CA"/>
        </w:rPr>
        <w:t xml:space="preserve">y </w:t>
      </w:r>
      <w:r w:rsidRPr="00BC2D48">
        <w:rPr>
          <w:lang w:val="fr-CA"/>
        </w:rPr>
        <w:t xml:space="preserve">trouvait un poste universitaire </w:t>
      </w:r>
      <w:r>
        <w:rPr>
          <w:lang w:val="fr-CA"/>
        </w:rPr>
        <w:t xml:space="preserve">qui lui </w:t>
      </w:r>
      <w:r w:rsidRPr="00BC2D48">
        <w:rPr>
          <w:lang w:val="fr-CA"/>
        </w:rPr>
        <w:t>conv</w:t>
      </w:r>
      <w:r>
        <w:rPr>
          <w:lang w:val="fr-CA"/>
        </w:rPr>
        <w:t>i</w:t>
      </w:r>
      <w:r w:rsidRPr="00BC2D48">
        <w:rPr>
          <w:lang w:val="fr-CA"/>
        </w:rPr>
        <w:t>en</w:t>
      </w:r>
      <w:r>
        <w:rPr>
          <w:lang w:val="fr-CA"/>
        </w:rPr>
        <w:t>t</w:t>
      </w:r>
      <w:r w:rsidRPr="00BC2D48">
        <w:rPr>
          <w:lang w:val="fr-CA"/>
        </w:rPr>
        <w:t>.</w:t>
      </w:r>
    </w:p>
    <w:p w:rsidR="001244E7" w:rsidRPr="00BC2D48" w:rsidRDefault="001244E7" w:rsidP="001244E7">
      <w:pPr>
        <w:pStyle w:val="ParaNoNdepar-AltN"/>
        <w:rPr>
          <w:lang w:val="fr-CA"/>
        </w:rPr>
      </w:pPr>
      <w:r w:rsidRPr="00BC2D48">
        <w:rPr>
          <w:lang w:val="fr-CA"/>
        </w:rPr>
        <w:t xml:space="preserve">Monsieur </w:t>
      </w:r>
      <w:proofErr w:type="spellStart"/>
      <w:r w:rsidRPr="00BC2D48">
        <w:rPr>
          <w:lang w:val="fr-CA"/>
        </w:rPr>
        <w:t>Duong</w:t>
      </w:r>
      <w:proofErr w:type="spellEnd"/>
      <w:r>
        <w:rPr>
          <w:lang w:val="fr-CA"/>
        </w:rPr>
        <w:t xml:space="preserve"> est né à Montréal. Il</w:t>
      </w:r>
      <w:r w:rsidRPr="00BC2D48">
        <w:rPr>
          <w:lang w:val="fr-CA"/>
        </w:rPr>
        <w:t xml:space="preserve"> a fréquenté l</w:t>
      </w:r>
      <w:r>
        <w:rPr>
          <w:lang w:val="fr-CA"/>
        </w:rPr>
        <w:t>’</w:t>
      </w:r>
      <w:r w:rsidRPr="00BC2D48">
        <w:rPr>
          <w:lang w:val="fr-CA"/>
        </w:rPr>
        <w:t>Université Cornell à</w:t>
      </w:r>
      <w:r>
        <w:rPr>
          <w:lang w:val="fr-CA"/>
        </w:rPr>
        <w:t xml:space="preserve"> Itha</w:t>
      </w:r>
      <w:r w:rsidRPr="00BC2D48">
        <w:rPr>
          <w:lang w:val="fr-CA"/>
        </w:rPr>
        <w:t>ca</w:t>
      </w:r>
      <w:r>
        <w:rPr>
          <w:lang w:val="fr-CA"/>
        </w:rPr>
        <w:t>, dans l’État de</w:t>
      </w:r>
      <w:r w:rsidRPr="00BC2D48">
        <w:rPr>
          <w:lang w:val="fr-CA"/>
        </w:rPr>
        <w:t xml:space="preserve"> New York</w:t>
      </w:r>
      <w:r>
        <w:rPr>
          <w:lang w:val="fr-CA"/>
        </w:rPr>
        <w:t>, où i</w:t>
      </w:r>
      <w:r w:rsidRPr="00BC2D48">
        <w:rPr>
          <w:lang w:val="fr-CA"/>
        </w:rPr>
        <w:t xml:space="preserve">l a travaillé à temps partiel </w:t>
      </w:r>
      <w:r>
        <w:rPr>
          <w:lang w:val="fr-CA"/>
        </w:rPr>
        <w:t>en tant qu’étudiant, emploi qu’</w:t>
      </w:r>
      <w:r w:rsidRPr="00BC2D48">
        <w:rPr>
          <w:lang w:val="fr-CA"/>
        </w:rPr>
        <w:t>il a</w:t>
      </w:r>
      <w:r>
        <w:rPr>
          <w:lang w:val="fr-CA"/>
        </w:rPr>
        <w:t xml:space="preserve"> ensuite converti</w:t>
      </w:r>
      <w:r w:rsidRPr="00BC2D48">
        <w:rPr>
          <w:lang w:val="fr-CA"/>
        </w:rPr>
        <w:t xml:space="preserve"> en poste </w:t>
      </w:r>
      <w:r>
        <w:rPr>
          <w:lang w:val="fr-CA"/>
        </w:rPr>
        <w:t>permanent</w:t>
      </w:r>
      <w:r w:rsidRPr="00BC2D48">
        <w:rPr>
          <w:lang w:val="fr-CA"/>
        </w:rPr>
        <w:t>. Il vit actuellement à Fairfax</w:t>
      </w:r>
      <w:r>
        <w:rPr>
          <w:lang w:val="fr-CA"/>
        </w:rPr>
        <w:t xml:space="preserve">, en </w:t>
      </w:r>
      <w:r w:rsidRPr="00BC2D48">
        <w:rPr>
          <w:lang w:val="fr-CA"/>
        </w:rPr>
        <w:t xml:space="preserve">Virginie. </w:t>
      </w:r>
      <w:r>
        <w:rPr>
          <w:lang w:val="fr-CA"/>
        </w:rPr>
        <w:t>Les membres de s</w:t>
      </w:r>
      <w:r w:rsidRPr="00BC2D48">
        <w:rPr>
          <w:lang w:val="fr-CA"/>
        </w:rPr>
        <w:t>a famille immédiate vi</w:t>
      </w:r>
      <w:r>
        <w:rPr>
          <w:lang w:val="fr-CA"/>
        </w:rPr>
        <w:t>ven</w:t>
      </w:r>
      <w:r w:rsidRPr="00BC2D48">
        <w:rPr>
          <w:lang w:val="fr-CA"/>
        </w:rPr>
        <w:t>t à Montréal</w:t>
      </w:r>
      <w:r>
        <w:rPr>
          <w:lang w:val="fr-CA"/>
        </w:rPr>
        <w:t>,</w:t>
      </w:r>
      <w:r w:rsidRPr="00BC2D48">
        <w:rPr>
          <w:lang w:val="fr-CA"/>
        </w:rPr>
        <w:t xml:space="preserve"> et il </w:t>
      </w:r>
      <w:r>
        <w:rPr>
          <w:lang w:val="fr-CA"/>
        </w:rPr>
        <w:t>se rend</w:t>
      </w:r>
      <w:r w:rsidRPr="00BC2D48">
        <w:rPr>
          <w:lang w:val="fr-CA"/>
        </w:rPr>
        <w:t xml:space="preserve"> régulièrement au Canada. Il s</w:t>
      </w:r>
      <w:r>
        <w:rPr>
          <w:lang w:val="fr-CA"/>
        </w:rPr>
        <w:t>’</w:t>
      </w:r>
      <w:r w:rsidRPr="00BC2D48">
        <w:rPr>
          <w:lang w:val="fr-CA"/>
        </w:rPr>
        <w:t xml:space="preserve">attend aussi à ce que la propriété partielle de plusieurs immeubles que possède </w:t>
      </w:r>
      <w:r>
        <w:rPr>
          <w:lang w:val="fr-CA"/>
        </w:rPr>
        <w:t>s</w:t>
      </w:r>
      <w:r w:rsidRPr="00BC2D48">
        <w:rPr>
          <w:lang w:val="fr-CA"/>
        </w:rPr>
        <w:t xml:space="preserve">a famille au Canada lui soit transférée dans un </w:t>
      </w:r>
      <w:r>
        <w:rPr>
          <w:lang w:val="fr-CA"/>
        </w:rPr>
        <w:t>proche avenir</w:t>
      </w:r>
      <w:r w:rsidRPr="00BC2D48">
        <w:rPr>
          <w:lang w:val="fr-CA"/>
        </w:rPr>
        <w:t xml:space="preserve">. Monsieur </w:t>
      </w:r>
      <w:proofErr w:type="spellStart"/>
      <w:r w:rsidRPr="00BC2D48">
        <w:rPr>
          <w:lang w:val="fr-CA"/>
        </w:rPr>
        <w:t>Duong</w:t>
      </w:r>
      <w:proofErr w:type="spellEnd"/>
      <w:r w:rsidRPr="00BC2D48">
        <w:rPr>
          <w:lang w:val="fr-CA"/>
        </w:rPr>
        <w:t xml:space="preserve"> a fait des demandes d</w:t>
      </w:r>
      <w:r>
        <w:rPr>
          <w:lang w:val="fr-CA"/>
        </w:rPr>
        <w:t>’</w:t>
      </w:r>
      <w:r w:rsidRPr="00BC2D48">
        <w:rPr>
          <w:lang w:val="fr-CA"/>
        </w:rPr>
        <w:t xml:space="preserve">emploi au Canada </w:t>
      </w:r>
      <w:r>
        <w:rPr>
          <w:lang w:val="fr-CA"/>
        </w:rPr>
        <w:t xml:space="preserve">en vue d’obtenir un poste </w:t>
      </w:r>
      <w:r>
        <w:rPr>
          <w:lang w:val="fr-CA"/>
        </w:rPr>
        <w:lastRenderedPageBreak/>
        <w:t>qui lui convient</w:t>
      </w:r>
      <w:r w:rsidRPr="00BC2D48">
        <w:rPr>
          <w:lang w:val="fr-CA"/>
        </w:rPr>
        <w:t xml:space="preserve">, mais sans succès. Comme </w:t>
      </w:r>
      <w:r>
        <w:rPr>
          <w:lang w:val="fr-CA"/>
        </w:rPr>
        <w:t>M. Frank</w:t>
      </w:r>
      <w:r w:rsidRPr="00BC2D48">
        <w:rPr>
          <w:lang w:val="fr-CA"/>
        </w:rPr>
        <w:t xml:space="preserve">, M. </w:t>
      </w:r>
      <w:proofErr w:type="spellStart"/>
      <w:r w:rsidRPr="00BC2D48">
        <w:rPr>
          <w:lang w:val="fr-CA"/>
        </w:rPr>
        <w:t>Duong</w:t>
      </w:r>
      <w:proofErr w:type="spellEnd"/>
      <w:r w:rsidRPr="00BC2D48">
        <w:rPr>
          <w:lang w:val="fr-CA"/>
        </w:rPr>
        <w:t xml:space="preserve"> a exprimé le désir de revenir au Canada s</w:t>
      </w:r>
      <w:r>
        <w:rPr>
          <w:lang w:val="fr-CA"/>
        </w:rPr>
        <w:t>’</w:t>
      </w:r>
      <w:r w:rsidRPr="00BC2D48">
        <w:rPr>
          <w:lang w:val="fr-CA"/>
        </w:rPr>
        <w:t xml:space="preserve">il </w:t>
      </w:r>
      <w:r>
        <w:rPr>
          <w:lang w:val="fr-CA"/>
        </w:rPr>
        <w:t xml:space="preserve">y </w:t>
      </w:r>
      <w:r w:rsidRPr="00BC2D48">
        <w:rPr>
          <w:lang w:val="fr-CA"/>
        </w:rPr>
        <w:t>trouv</w:t>
      </w:r>
      <w:r>
        <w:rPr>
          <w:lang w:val="fr-CA"/>
        </w:rPr>
        <w:t>e</w:t>
      </w:r>
      <w:r w:rsidRPr="00BC2D48">
        <w:rPr>
          <w:lang w:val="fr-CA"/>
        </w:rPr>
        <w:t xml:space="preserve"> un </w:t>
      </w:r>
      <w:r>
        <w:rPr>
          <w:lang w:val="fr-CA"/>
        </w:rPr>
        <w:t>emploi approprié</w:t>
      </w:r>
      <w:r w:rsidRPr="00BC2D48">
        <w:rPr>
          <w:lang w:val="fr-CA"/>
        </w:rPr>
        <w:t>.</w:t>
      </w:r>
    </w:p>
    <w:p w:rsidR="001244E7" w:rsidRPr="00BC2D48" w:rsidRDefault="001244E7" w:rsidP="001244E7">
      <w:pPr>
        <w:pStyle w:val="ParaNoNdepar-AltN"/>
        <w:rPr>
          <w:lang w:val="fr-CA"/>
        </w:rPr>
      </w:pPr>
      <w:r w:rsidRPr="00BC2D48">
        <w:rPr>
          <w:lang w:val="fr-CA"/>
        </w:rPr>
        <w:t xml:space="preserve">Messieurs Frank et </w:t>
      </w:r>
      <w:proofErr w:type="spellStart"/>
      <w:r w:rsidRPr="00BC2D48">
        <w:rPr>
          <w:lang w:val="fr-CA"/>
        </w:rPr>
        <w:t>Duong</w:t>
      </w:r>
      <w:proofErr w:type="spellEnd"/>
      <w:r w:rsidRPr="00BC2D48">
        <w:rPr>
          <w:lang w:val="fr-CA"/>
        </w:rPr>
        <w:t xml:space="preserve"> ont tous les deux essayé de voter à l</w:t>
      </w:r>
      <w:r>
        <w:rPr>
          <w:lang w:val="fr-CA"/>
        </w:rPr>
        <w:t>’</w:t>
      </w:r>
      <w:r w:rsidRPr="00BC2D48">
        <w:rPr>
          <w:lang w:val="fr-CA"/>
        </w:rPr>
        <w:t xml:space="preserve">élection fédérale canadienne de mai 2011. </w:t>
      </w:r>
      <w:r>
        <w:rPr>
          <w:lang w:val="fr-CA"/>
        </w:rPr>
        <w:t>Tous deux ont été avisés qu’ils n’étaient pas autorisés à</w:t>
      </w:r>
      <w:r w:rsidRPr="00BC2D48">
        <w:rPr>
          <w:lang w:val="fr-CA"/>
        </w:rPr>
        <w:t xml:space="preserve"> recevoir </w:t>
      </w:r>
      <w:r>
        <w:rPr>
          <w:lang w:val="fr-CA"/>
        </w:rPr>
        <w:t>un</w:t>
      </w:r>
      <w:r w:rsidRPr="00BC2D48">
        <w:rPr>
          <w:lang w:val="fr-CA"/>
        </w:rPr>
        <w:t xml:space="preserve"> bulletin de vote, p</w:t>
      </w:r>
      <w:r>
        <w:rPr>
          <w:lang w:val="fr-CA"/>
        </w:rPr>
        <w:t>arce qu’ils</w:t>
      </w:r>
      <w:r w:rsidRPr="00BC2D48">
        <w:rPr>
          <w:lang w:val="fr-CA"/>
        </w:rPr>
        <w:t xml:space="preserve"> </w:t>
      </w:r>
      <w:r>
        <w:rPr>
          <w:lang w:val="fr-CA"/>
        </w:rPr>
        <w:t>résidaient</w:t>
      </w:r>
      <w:r w:rsidRPr="00BC2D48">
        <w:rPr>
          <w:lang w:val="fr-CA"/>
        </w:rPr>
        <w:t xml:space="preserve"> à l</w:t>
      </w:r>
      <w:r>
        <w:rPr>
          <w:lang w:val="fr-CA"/>
        </w:rPr>
        <w:t>’</w:t>
      </w:r>
      <w:r w:rsidRPr="00BC2D48">
        <w:rPr>
          <w:lang w:val="fr-CA"/>
        </w:rPr>
        <w:t xml:space="preserve">extérieur du Canada </w:t>
      </w:r>
      <w:r>
        <w:rPr>
          <w:lang w:val="fr-CA"/>
        </w:rPr>
        <w:t>depuis</w:t>
      </w:r>
      <w:r w:rsidRPr="00BC2D48">
        <w:rPr>
          <w:lang w:val="fr-CA"/>
        </w:rPr>
        <w:t xml:space="preserve"> plus de cinq ans. </w:t>
      </w:r>
      <w:r>
        <w:rPr>
          <w:lang w:val="fr-CA"/>
        </w:rPr>
        <w:t>Ces derniers ont réagi en co</w:t>
      </w:r>
      <w:r w:rsidRPr="00BC2D48">
        <w:rPr>
          <w:lang w:val="fr-CA"/>
        </w:rPr>
        <w:t>ntest</w:t>
      </w:r>
      <w:r>
        <w:rPr>
          <w:lang w:val="fr-CA"/>
        </w:rPr>
        <w:t>ant</w:t>
      </w:r>
      <w:r w:rsidRPr="00BC2D48">
        <w:rPr>
          <w:lang w:val="fr-CA"/>
        </w:rPr>
        <w:t xml:space="preserve"> les dispositions de la </w:t>
      </w:r>
      <w:r w:rsidRPr="00BC2D48">
        <w:rPr>
          <w:i/>
          <w:lang w:val="fr-CA"/>
        </w:rPr>
        <w:t>Loi électorale du Canada</w:t>
      </w:r>
      <w:r w:rsidRPr="00BC2D48">
        <w:rPr>
          <w:lang w:val="fr-CA"/>
        </w:rPr>
        <w:t>, L</w:t>
      </w:r>
      <w:r>
        <w:rPr>
          <w:lang w:val="fr-CA"/>
        </w:rPr>
        <w:t>.C. 2000, c. </w:t>
      </w:r>
      <w:r w:rsidRPr="00BC2D48">
        <w:rPr>
          <w:lang w:val="fr-CA"/>
        </w:rPr>
        <w:t>9 (« </w:t>
      </w:r>
      <w:r w:rsidRPr="009D22E1">
        <w:rPr>
          <w:lang w:val="fr-CA"/>
        </w:rPr>
        <w:t>Loi</w:t>
      </w:r>
      <w:r w:rsidRPr="00BC2D48">
        <w:rPr>
          <w:lang w:val="fr-CA"/>
        </w:rPr>
        <w:t> »)</w:t>
      </w:r>
      <w:r>
        <w:rPr>
          <w:lang w:val="fr-CA"/>
        </w:rPr>
        <w:t>,</w:t>
      </w:r>
      <w:r w:rsidRPr="00BC2D48">
        <w:rPr>
          <w:lang w:val="fr-CA"/>
        </w:rPr>
        <w:t xml:space="preserve"> qui les privent d</w:t>
      </w:r>
      <w:r>
        <w:rPr>
          <w:lang w:val="fr-CA"/>
        </w:rPr>
        <w:t>u</w:t>
      </w:r>
      <w:r w:rsidRPr="00BC2D48">
        <w:rPr>
          <w:lang w:val="fr-CA"/>
        </w:rPr>
        <w:t xml:space="preserve"> droit de vote</w:t>
      </w:r>
      <w:r>
        <w:rPr>
          <w:lang w:val="fr-CA"/>
        </w:rPr>
        <w:t xml:space="preserve"> — c.</w:t>
      </w:r>
      <w:r>
        <w:rPr>
          <w:lang w:val="fr-CA"/>
        </w:rPr>
        <w:noBreakHyphen/>
        <w:t>à</w:t>
      </w:r>
      <w:r>
        <w:rPr>
          <w:lang w:val="fr-CA"/>
        </w:rPr>
        <w:noBreakHyphen/>
        <w:t>d. les al. 11d), 222(1)b) et c), 223(1)f), 226f) et le mot « temporairement » à l’art. 220, au par. 222(1) et à l’al. 223(1)e).</w:t>
      </w:r>
      <w:r w:rsidRPr="00BC2D48">
        <w:rPr>
          <w:lang w:val="fr-CA"/>
        </w:rPr>
        <w:t xml:space="preserve"> En particulier, les appelants plaident que </w:t>
      </w:r>
      <w:r>
        <w:rPr>
          <w:lang w:val="fr-CA"/>
        </w:rPr>
        <w:t>les exigences selon lesquelles ils doivent</w:t>
      </w:r>
      <w:r w:rsidRPr="00BC2D48">
        <w:rPr>
          <w:lang w:val="fr-CA"/>
        </w:rPr>
        <w:t xml:space="preserve"> résider à l</w:t>
      </w:r>
      <w:r>
        <w:rPr>
          <w:lang w:val="fr-CA"/>
        </w:rPr>
        <w:t>’</w:t>
      </w:r>
      <w:r w:rsidRPr="00BC2D48">
        <w:rPr>
          <w:lang w:val="fr-CA"/>
        </w:rPr>
        <w:t xml:space="preserve">extérieur du Canada </w:t>
      </w:r>
      <w:r>
        <w:rPr>
          <w:lang w:val="fr-CA"/>
        </w:rPr>
        <w:t>depuis</w:t>
      </w:r>
      <w:r w:rsidRPr="00BC2D48">
        <w:rPr>
          <w:lang w:val="fr-CA"/>
        </w:rPr>
        <w:t xml:space="preserve"> moins de cinq années consécutives et avoir l</w:t>
      </w:r>
      <w:r>
        <w:rPr>
          <w:lang w:val="fr-CA"/>
        </w:rPr>
        <w:t>’</w:t>
      </w:r>
      <w:r w:rsidRPr="00BC2D48">
        <w:rPr>
          <w:lang w:val="fr-CA"/>
        </w:rPr>
        <w:t xml:space="preserve">intention de </w:t>
      </w:r>
      <w:r>
        <w:rPr>
          <w:lang w:val="fr-CA"/>
        </w:rPr>
        <w:t>revenir résider</w:t>
      </w:r>
      <w:r w:rsidRPr="00BC2D48">
        <w:rPr>
          <w:lang w:val="fr-CA"/>
        </w:rPr>
        <w:t xml:space="preserve"> au Cana</w:t>
      </w:r>
      <w:r>
        <w:rPr>
          <w:lang w:val="fr-CA"/>
        </w:rPr>
        <w:t>da</w:t>
      </w:r>
      <w:r w:rsidRPr="00BC2D48">
        <w:rPr>
          <w:lang w:val="fr-CA"/>
        </w:rPr>
        <w:t xml:space="preserve"> </w:t>
      </w:r>
      <w:r>
        <w:rPr>
          <w:lang w:val="fr-CA"/>
        </w:rPr>
        <w:t xml:space="preserve">constituent une violation </w:t>
      </w:r>
      <w:r w:rsidRPr="00BC2D48">
        <w:rPr>
          <w:lang w:val="fr-CA"/>
        </w:rPr>
        <w:t xml:space="preserve">injustifiable </w:t>
      </w:r>
      <w:r>
        <w:rPr>
          <w:lang w:val="fr-CA"/>
        </w:rPr>
        <w:t>des</w:t>
      </w:r>
      <w:r w:rsidRPr="00BC2D48">
        <w:rPr>
          <w:lang w:val="fr-CA"/>
        </w:rPr>
        <w:t xml:space="preserve"> droits que leur garantit l</w:t>
      </w:r>
      <w:r>
        <w:rPr>
          <w:lang w:val="fr-CA"/>
        </w:rPr>
        <w:t>’art. </w:t>
      </w:r>
      <w:r w:rsidRPr="00BC2D48">
        <w:rPr>
          <w:lang w:val="fr-CA"/>
        </w:rPr>
        <w:t xml:space="preserve">3 de la </w:t>
      </w:r>
      <w:r w:rsidRPr="00BC2D48">
        <w:rPr>
          <w:i/>
          <w:lang w:val="fr-CA"/>
        </w:rPr>
        <w:t>Charte</w:t>
      </w:r>
      <w:r w:rsidRPr="00BC2D48">
        <w:rPr>
          <w:lang w:val="fr-CA"/>
        </w:rPr>
        <w:t>.</w:t>
      </w:r>
    </w:p>
    <w:p w:rsidR="001244E7" w:rsidRPr="00BC2D48" w:rsidRDefault="001244E7" w:rsidP="001244E7">
      <w:pPr>
        <w:pStyle w:val="ParaNoNdepar-AltN"/>
        <w:rPr>
          <w:lang w:val="fr-CA"/>
        </w:rPr>
      </w:pPr>
      <w:r w:rsidRPr="00BC2D48">
        <w:rPr>
          <w:lang w:val="fr-CA"/>
        </w:rPr>
        <w:t xml:space="preserve">La </w:t>
      </w:r>
      <w:r w:rsidRPr="00F47CDF">
        <w:rPr>
          <w:lang w:val="fr-CA"/>
        </w:rPr>
        <w:t>Loi</w:t>
      </w:r>
      <w:r w:rsidRPr="00BC2D48">
        <w:rPr>
          <w:lang w:val="fr-CA"/>
        </w:rPr>
        <w:t xml:space="preserve"> réglemente les élections fédérales au Canada</w:t>
      </w:r>
      <w:r>
        <w:rPr>
          <w:lang w:val="fr-CA"/>
        </w:rPr>
        <w:t xml:space="preserve"> de façon exhaustive</w:t>
      </w:r>
      <w:r w:rsidRPr="00BC2D48">
        <w:rPr>
          <w:lang w:val="fr-CA"/>
        </w:rPr>
        <w:t>. S</w:t>
      </w:r>
      <w:r>
        <w:rPr>
          <w:lang w:val="fr-CA"/>
        </w:rPr>
        <w:t>es</w:t>
      </w:r>
      <w:r w:rsidRPr="00BC2D48">
        <w:rPr>
          <w:lang w:val="fr-CA"/>
        </w:rPr>
        <w:t xml:space="preserve"> principa</w:t>
      </w:r>
      <w:r>
        <w:rPr>
          <w:lang w:val="fr-CA"/>
        </w:rPr>
        <w:t>ux</w:t>
      </w:r>
      <w:r w:rsidRPr="00BC2D48">
        <w:rPr>
          <w:lang w:val="fr-CA"/>
        </w:rPr>
        <w:t xml:space="preserve"> objet</w:t>
      </w:r>
      <w:r>
        <w:rPr>
          <w:lang w:val="fr-CA"/>
        </w:rPr>
        <w:t>s</w:t>
      </w:r>
      <w:r w:rsidRPr="00BC2D48">
        <w:rPr>
          <w:lang w:val="fr-CA"/>
        </w:rPr>
        <w:t xml:space="preserve"> s</w:t>
      </w:r>
      <w:r>
        <w:rPr>
          <w:lang w:val="fr-CA"/>
        </w:rPr>
        <w:t>on</w:t>
      </w:r>
      <w:r w:rsidRPr="00BC2D48">
        <w:rPr>
          <w:lang w:val="fr-CA"/>
        </w:rPr>
        <w:t>t de permettre à toutes les personnes ayant le droit de voter de participer au scrutin et de préserver l</w:t>
      </w:r>
      <w:r>
        <w:rPr>
          <w:lang w:val="fr-CA"/>
        </w:rPr>
        <w:t>’</w:t>
      </w:r>
      <w:r w:rsidRPr="00BC2D48">
        <w:rPr>
          <w:lang w:val="fr-CA"/>
        </w:rPr>
        <w:t>intégrité du processus démocratique (</w:t>
      </w:r>
      <w:r w:rsidRPr="00BC2D48">
        <w:rPr>
          <w:i/>
          <w:lang w:val="fr-CA"/>
        </w:rPr>
        <w:t xml:space="preserve">Opitz c. </w:t>
      </w:r>
      <w:proofErr w:type="spellStart"/>
      <w:r w:rsidRPr="00BC2D48">
        <w:rPr>
          <w:i/>
          <w:lang w:val="fr-CA"/>
        </w:rPr>
        <w:t>Wrzesnewskyj</w:t>
      </w:r>
      <w:proofErr w:type="spellEnd"/>
      <w:r w:rsidRPr="00BC2D48">
        <w:rPr>
          <w:lang w:val="fr-CA"/>
        </w:rPr>
        <w:t xml:space="preserve">, 2012 CSC 55, [2012] 3 R.C.S. 76, </w:t>
      </w:r>
      <w:r>
        <w:rPr>
          <w:lang w:val="fr-CA"/>
        </w:rPr>
        <w:t>par. 35 et</w:t>
      </w:r>
      <w:r w:rsidRPr="00BC2D48">
        <w:rPr>
          <w:lang w:val="fr-CA"/>
        </w:rPr>
        <w:t xml:space="preserve"> 38). À la différence de l</w:t>
      </w:r>
      <w:r>
        <w:rPr>
          <w:lang w:val="fr-CA"/>
        </w:rPr>
        <w:t>’art. </w:t>
      </w:r>
      <w:r w:rsidRPr="00BC2D48">
        <w:rPr>
          <w:lang w:val="fr-CA"/>
        </w:rPr>
        <w:t xml:space="preserve">3 de la </w:t>
      </w:r>
      <w:r w:rsidRPr="00BC2D48">
        <w:rPr>
          <w:i/>
          <w:lang w:val="fr-CA"/>
        </w:rPr>
        <w:t>Charte</w:t>
      </w:r>
      <w:r w:rsidRPr="00BC2D48">
        <w:rPr>
          <w:lang w:val="fr-CA"/>
        </w:rPr>
        <w:t xml:space="preserve">, qui </w:t>
      </w:r>
      <w:r>
        <w:rPr>
          <w:lang w:val="fr-CA"/>
        </w:rPr>
        <w:t>enchâsse</w:t>
      </w:r>
      <w:r w:rsidRPr="00BC2D48">
        <w:rPr>
          <w:lang w:val="fr-CA"/>
        </w:rPr>
        <w:t xml:space="preserve"> le droit</w:t>
      </w:r>
      <w:r>
        <w:rPr>
          <w:lang w:val="fr-CA"/>
        </w:rPr>
        <w:t xml:space="preserve"> constitutionnel</w:t>
      </w:r>
      <w:r w:rsidRPr="00BC2D48">
        <w:rPr>
          <w:lang w:val="fr-CA"/>
        </w:rPr>
        <w:t xml:space="preserve"> de voter de tout citoyen canadien, la </w:t>
      </w:r>
      <w:r w:rsidRPr="00F47CDF">
        <w:rPr>
          <w:lang w:val="fr-CA"/>
        </w:rPr>
        <w:t>Loi</w:t>
      </w:r>
      <w:r w:rsidRPr="00BC2D48">
        <w:rPr>
          <w:lang w:val="fr-CA"/>
        </w:rPr>
        <w:t xml:space="preserve"> établit </w:t>
      </w:r>
      <w:r>
        <w:rPr>
          <w:lang w:val="fr-CA"/>
        </w:rPr>
        <w:t>d</w:t>
      </w:r>
      <w:r w:rsidRPr="00BC2D48">
        <w:rPr>
          <w:lang w:val="fr-CA"/>
        </w:rPr>
        <w:t xml:space="preserve">es </w:t>
      </w:r>
      <w:r>
        <w:rPr>
          <w:lang w:val="fr-CA"/>
        </w:rPr>
        <w:t>règles spécifiques relatives à la qualité d’</w:t>
      </w:r>
      <w:r w:rsidRPr="00BC2D48">
        <w:rPr>
          <w:lang w:val="fr-CA"/>
        </w:rPr>
        <w:t>élect</w:t>
      </w:r>
      <w:r>
        <w:rPr>
          <w:lang w:val="fr-CA"/>
        </w:rPr>
        <w:t>eu</w:t>
      </w:r>
      <w:r w:rsidRPr="00BC2D48">
        <w:rPr>
          <w:lang w:val="fr-CA"/>
        </w:rPr>
        <w:t>r</w:t>
      </w:r>
      <w:r>
        <w:rPr>
          <w:lang w:val="fr-CA"/>
        </w:rPr>
        <w:t xml:space="preserve"> et aux</w:t>
      </w:r>
      <w:r w:rsidRPr="00BC2D48">
        <w:rPr>
          <w:lang w:val="fr-CA"/>
        </w:rPr>
        <w:t xml:space="preserve"> droits </w:t>
      </w:r>
      <w:r>
        <w:rPr>
          <w:lang w:val="fr-CA"/>
        </w:rPr>
        <w:t>de vote, ainsi que</w:t>
      </w:r>
      <w:r w:rsidRPr="00BC2D48">
        <w:rPr>
          <w:lang w:val="fr-CA"/>
        </w:rPr>
        <w:t xml:space="preserve"> </w:t>
      </w:r>
      <w:r>
        <w:rPr>
          <w:lang w:val="fr-CA"/>
        </w:rPr>
        <w:t>d</w:t>
      </w:r>
      <w:r w:rsidRPr="00BC2D48">
        <w:rPr>
          <w:lang w:val="fr-CA"/>
        </w:rPr>
        <w:t>es mécanismes de scrutin particuliers</w:t>
      </w:r>
      <w:r>
        <w:rPr>
          <w:lang w:val="fr-CA"/>
        </w:rPr>
        <w:t>,</w:t>
      </w:r>
      <w:r w:rsidRPr="00BC2D48">
        <w:rPr>
          <w:lang w:val="fr-CA"/>
        </w:rPr>
        <w:t xml:space="preserve"> </w:t>
      </w:r>
      <w:r>
        <w:rPr>
          <w:lang w:val="fr-CA"/>
        </w:rPr>
        <w:t xml:space="preserve">en vue de </w:t>
      </w:r>
      <w:r w:rsidRPr="00AF5796">
        <w:rPr>
          <w:lang w:val="fr-CA"/>
        </w:rPr>
        <w:t>la réalisation de</w:t>
      </w:r>
      <w:r w:rsidRPr="00BC2D48">
        <w:rPr>
          <w:lang w:val="fr-CA"/>
        </w:rPr>
        <w:t xml:space="preserve"> son objet </w:t>
      </w:r>
      <w:r>
        <w:rPr>
          <w:lang w:val="fr-CA"/>
        </w:rPr>
        <w:t xml:space="preserve">général qui consiste </w:t>
      </w:r>
      <w:r w:rsidRPr="008129E9">
        <w:rPr>
          <w:lang w:val="fr-CA"/>
        </w:rPr>
        <w:t>à permettre à toutes les personnes ayant le droit de voter de participer au scrutin</w:t>
      </w:r>
      <w:r w:rsidRPr="00BC2D48">
        <w:rPr>
          <w:lang w:val="fr-CA"/>
        </w:rPr>
        <w:t>.</w:t>
      </w:r>
    </w:p>
    <w:p w:rsidR="001244E7" w:rsidRPr="00BC2D48" w:rsidRDefault="001244E7" w:rsidP="001244E7">
      <w:pPr>
        <w:pStyle w:val="ParaNoNdepar-AltN"/>
        <w:rPr>
          <w:lang w:val="fr-CA"/>
        </w:rPr>
      </w:pPr>
      <w:r w:rsidRPr="00BC2D48">
        <w:rPr>
          <w:lang w:val="fr-CA"/>
        </w:rPr>
        <w:lastRenderedPageBreak/>
        <w:t xml:space="preserve">En vertu de la </w:t>
      </w:r>
      <w:r w:rsidRPr="00F47CDF">
        <w:rPr>
          <w:lang w:val="fr-CA"/>
        </w:rPr>
        <w:t>Loi</w:t>
      </w:r>
      <w:r w:rsidRPr="00BC2D48">
        <w:rPr>
          <w:lang w:val="fr-CA"/>
        </w:rPr>
        <w:t>, a qualité</w:t>
      </w:r>
      <w:r>
        <w:rPr>
          <w:lang w:val="fr-CA"/>
        </w:rPr>
        <w:t xml:space="preserve"> d’électeur toute personne qui</w:t>
      </w:r>
      <w:r w:rsidRPr="00BC2D48">
        <w:rPr>
          <w:lang w:val="fr-CA"/>
        </w:rPr>
        <w:t xml:space="preserve"> est citoyen canadien et a atteint l</w:t>
      </w:r>
      <w:r>
        <w:rPr>
          <w:lang w:val="fr-CA"/>
        </w:rPr>
        <w:t>’</w:t>
      </w:r>
      <w:r w:rsidR="00AA5CD4">
        <w:rPr>
          <w:lang w:val="fr-CA"/>
        </w:rPr>
        <w:t>âge de 18</w:t>
      </w:r>
      <w:r w:rsidRPr="00BC2D48">
        <w:rPr>
          <w:lang w:val="fr-CA"/>
        </w:rPr>
        <w:t xml:space="preserve"> ans (</w:t>
      </w:r>
      <w:r>
        <w:rPr>
          <w:lang w:val="fr-CA"/>
        </w:rPr>
        <w:t>art. </w:t>
      </w:r>
      <w:r w:rsidRPr="00BC2D48">
        <w:rPr>
          <w:lang w:val="fr-CA"/>
        </w:rPr>
        <w:t>3). Toute personne qui a qualité d</w:t>
      </w:r>
      <w:r>
        <w:rPr>
          <w:lang w:val="fr-CA"/>
        </w:rPr>
        <w:t>’</w:t>
      </w:r>
      <w:r w:rsidRPr="00BC2D48">
        <w:rPr>
          <w:lang w:val="fr-CA"/>
        </w:rPr>
        <w:t>électeur a le droit de voter au bureau de scrutin établi dans la section de vote où elle réside habituellement (</w:t>
      </w:r>
      <w:r>
        <w:rPr>
          <w:lang w:val="fr-CA"/>
        </w:rPr>
        <w:t>art. </w:t>
      </w:r>
      <w:r w:rsidRPr="00BC2D48">
        <w:rPr>
          <w:lang w:val="fr-CA"/>
        </w:rPr>
        <w:t>6). Autrement dit, la personne ayant qualité d</w:t>
      </w:r>
      <w:r>
        <w:rPr>
          <w:lang w:val="fr-CA"/>
        </w:rPr>
        <w:t>’</w:t>
      </w:r>
      <w:r w:rsidRPr="00BC2D48">
        <w:rPr>
          <w:lang w:val="fr-CA"/>
        </w:rPr>
        <w:t>électeur a le droit de voter à l</w:t>
      </w:r>
      <w:r>
        <w:rPr>
          <w:lang w:val="fr-CA"/>
        </w:rPr>
        <w:t>’</w:t>
      </w:r>
      <w:r w:rsidRPr="00BC2D48">
        <w:rPr>
          <w:lang w:val="fr-CA"/>
        </w:rPr>
        <w:t>endroit au Canada où elle réside habituellement. C</w:t>
      </w:r>
      <w:r>
        <w:rPr>
          <w:lang w:val="fr-CA"/>
        </w:rPr>
        <w:t>’</w:t>
      </w:r>
      <w:r w:rsidRPr="00BC2D48">
        <w:rPr>
          <w:lang w:val="fr-CA"/>
        </w:rPr>
        <w:t>est ce qu</w:t>
      </w:r>
      <w:r>
        <w:rPr>
          <w:lang w:val="fr-CA"/>
        </w:rPr>
        <w:t>’</w:t>
      </w:r>
      <w:r w:rsidRPr="00BC2D48">
        <w:rPr>
          <w:lang w:val="fr-CA"/>
        </w:rPr>
        <w:t>on appelle « la condition de résidence ».</w:t>
      </w:r>
    </w:p>
    <w:p w:rsidR="001244E7" w:rsidRPr="00BC2D48" w:rsidRDefault="001244E7" w:rsidP="001244E7">
      <w:pPr>
        <w:pStyle w:val="ParaNoNdepar-AltN"/>
        <w:rPr>
          <w:lang w:val="fr-CA"/>
        </w:rPr>
      </w:pPr>
      <w:r w:rsidRPr="00BC2D48">
        <w:rPr>
          <w:lang w:val="fr-CA"/>
        </w:rPr>
        <w:t xml:space="preserve">Malgré </w:t>
      </w:r>
      <w:r>
        <w:rPr>
          <w:lang w:val="fr-CA"/>
        </w:rPr>
        <w:t>la condition</w:t>
      </w:r>
      <w:r w:rsidRPr="00BC2D48">
        <w:rPr>
          <w:lang w:val="fr-CA"/>
        </w:rPr>
        <w:t xml:space="preserve"> de résidence, </w:t>
      </w:r>
      <w:r>
        <w:rPr>
          <w:lang w:val="fr-CA"/>
        </w:rPr>
        <w:t>la Loi prévoit une procédure</w:t>
      </w:r>
      <w:r w:rsidRPr="00BC2D48">
        <w:rPr>
          <w:lang w:val="fr-CA"/>
        </w:rPr>
        <w:t xml:space="preserve"> qui permet à certains citoyens </w:t>
      </w:r>
      <w:proofErr w:type="spellStart"/>
      <w:r w:rsidRPr="00BC2D48">
        <w:rPr>
          <w:lang w:val="fr-CA"/>
        </w:rPr>
        <w:t>non</w:t>
      </w:r>
      <w:r>
        <w:rPr>
          <w:lang w:val="fr-CA"/>
        </w:rPr>
        <w:t xml:space="preserve"> </w:t>
      </w:r>
      <w:r w:rsidRPr="00BC2D48">
        <w:rPr>
          <w:lang w:val="fr-CA"/>
        </w:rPr>
        <w:t>résidents</w:t>
      </w:r>
      <w:proofErr w:type="spellEnd"/>
      <w:r w:rsidRPr="00BC2D48">
        <w:rPr>
          <w:lang w:val="fr-CA"/>
        </w:rPr>
        <w:t xml:space="preserve"> de voter à partir de l</w:t>
      </w:r>
      <w:r>
        <w:rPr>
          <w:lang w:val="fr-CA"/>
        </w:rPr>
        <w:t>’</w:t>
      </w:r>
      <w:r w:rsidRPr="00BC2D48">
        <w:rPr>
          <w:lang w:val="fr-CA"/>
        </w:rPr>
        <w:t>étranger au moyen d</w:t>
      </w:r>
      <w:r>
        <w:rPr>
          <w:lang w:val="fr-CA"/>
        </w:rPr>
        <w:t>’</w:t>
      </w:r>
      <w:r w:rsidRPr="00BC2D48">
        <w:rPr>
          <w:lang w:val="fr-CA"/>
        </w:rPr>
        <w:t xml:space="preserve">un </w:t>
      </w:r>
      <w:r>
        <w:rPr>
          <w:lang w:val="fr-CA"/>
        </w:rPr>
        <w:t>« </w:t>
      </w:r>
      <w:r w:rsidRPr="00BC2D48">
        <w:rPr>
          <w:lang w:val="fr-CA"/>
        </w:rPr>
        <w:t>bulletin de vote spécial</w:t>
      </w:r>
      <w:r>
        <w:rPr>
          <w:lang w:val="fr-CA"/>
        </w:rPr>
        <w:t> »</w:t>
      </w:r>
      <w:r w:rsidRPr="00BC2D48">
        <w:rPr>
          <w:lang w:val="fr-CA"/>
        </w:rPr>
        <w:t xml:space="preserve"> (</w:t>
      </w:r>
      <w:r>
        <w:rPr>
          <w:lang w:val="fr-CA"/>
        </w:rPr>
        <w:t>art. </w:t>
      </w:r>
      <w:r w:rsidRPr="00BC2D48">
        <w:rPr>
          <w:lang w:val="fr-CA"/>
        </w:rPr>
        <w:t xml:space="preserve">127). </w:t>
      </w:r>
      <w:r>
        <w:rPr>
          <w:lang w:val="fr-CA"/>
        </w:rPr>
        <w:t xml:space="preserve">Il s’agit du </w:t>
      </w:r>
      <w:r w:rsidRPr="00BC2D48">
        <w:rPr>
          <w:lang w:val="fr-CA"/>
        </w:rPr>
        <w:t xml:space="preserve">seul mécanisme par lequel des citoyens </w:t>
      </w:r>
      <w:r>
        <w:rPr>
          <w:lang w:val="fr-CA"/>
        </w:rPr>
        <w:t>qui</w:t>
      </w:r>
      <w:r w:rsidRPr="00BC2D48">
        <w:rPr>
          <w:lang w:val="fr-CA"/>
        </w:rPr>
        <w:t xml:space="preserve"> ne résident pas au Canada</w:t>
      </w:r>
      <w:r>
        <w:rPr>
          <w:lang w:val="fr-CA"/>
        </w:rPr>
        <w:t xml:space="preserve"> peuvent voter</w:t>
      </w:r>
      <w:r w:rsidRPr="00BC2D48">
        <w:rPr>
          <w:lang w:val="fr-CA"/>
        </w:rPr>
        <w:t>.</w:t>
      </w:r>
    </w:p>
    <w:p w:rsidR="001244E7" w:rsidRPr="00BC2D48" w:rsidRDefault="001244E7" w:rsidP="001244E7">
      <w:pPr>
        <w:pStyle w:val="ParaNoNdepar-AltN"/>
        <w:rPr>
          <w:lang w:val="fr-CA"/>
        </w:rPr>
      </w:pPr>
      <w:r>
        <w:rPr>
          <w:lang w:val="fr-CA"/>
        </w:rPr>
        <w:t>L’habilité à</w:t>
      </w:r>
      <w:r w:rsidRPr="00BC2D48">
        <w:rPr>
          <w:lang w:val="fr-CA"/>
        </w:rPr>
        <w:t xml:space="preserve"> voter </w:t>
      </w:r>
      <w:r>
        <w:rPr>
          <w:lang w:val="fr-CA"/>
        </w:rPr>
        <w:t>au moyen de ce</w:t>
      </w:r>
      <w:r w:rsidRPr="00BC2D48">
        <w:rPr>
          <w:lang w:val="fr-CA"/>
        </w:rPr>
        <w:t xml:space="preserve"> bulletin de vote spécial est prévu</w:t>
      </w:r>
      <w:r>
        <w:rPr>
          <w:lang w:val="fr-CA"/>
        </w:rPr>
        <w:t>e</w:t>
      </w:r>
      <w:r w:rsidRPr="00BC2D48">
        <w:rPr>
          <w:lang w:val="fr-CA"/>
        </w:rPr>
        <w:t xml:space="preserve"> à  l</w:t>
      </w:r>
      <w:r>
        <w:rPr>
          <w:lang w:val="fr-CA"/>
        </w:rPr>
        <w:t>’art. </w:t>
      </w:r>
      <w:r w:rsidRPr="00BC2D48">
        <w:rPr>
          <w:lang w:val="fr-CA"/>
        </w:rPr>
        <w:t xml:space="preserve">11 de la </w:t>
      </w:r>
      <w:r w:rsidRPr="00F47CDF">
        <w:rPr>
          <w:lang w:val="fr-CA"/>
        </w:rPr>
        <w:t>Loi</w:t>
      </w:r>
      <w:r w:rsidRPr="00BC2D48">
        <w:rPr>
          <w:lang w:val="fr-CA"/>
        </w:rPr>
        <w:t>, dont voici le libellé</w:t>
      </w:r>
      <w:r>
        <w:rPr>
          <w:lang w:val="fr-CA"/>
        </w:rPr>
        <w:t> :</w:t>
      </w:r>
    </w:p>
    <w:p w:rsidR="001244E7" w:rsidRPr="00BC2D48" w:rsidRDefault="001244E7" w:rsidP="001244E7">
      <w:pPr>
        <w:pStyle w:val="ContinueParaSuitedupar-AltP"/>
        <w:spacing w:before="0" w:line="240" w:lineRule="auto"/>
        <w:ind w:left="1134" w:hanging="1134"/>
        <w:rPr>
          <w:rFonts w:cs="Times New Roman"/>
          <w:szCs w:val="24"/>
          <w:lang w:val="fr-CA"/>
        </w:rPr>
      </w:pPr>
      <w:r>
        <w:rPr>
          <w:lang w:val="fr-CA"/>
        </w:rPr>
        <w:tab/>
      </w:r>
      <w:r w:rsidRPr="00BC2D48">
        <w:rPr>
          <w:lang w:val="fr-CA"/>
        </w:rPr>
        <w:t>Peuvent voter dans le cadre de la partie 11:</w:t>
      </w:r>
    </w:p>
    <w:p w:rsidR="001244E7" w:rsidRPr="00BC2D48" w:rsidRDefault="001244E7" w:rsidP="001244E7">
      <w:pPr>
        <w:pStyle w:val="Citation-AltC"/>
        <w:spacing w:after="240"/>
        <w:ind w:left="1168" w:hanging="1168"/>
        <w:contextualSpacing w:val="0"/>
        <w:rPr>
          <w:lang w:val="fr-CA"/>
        </w:rPr>
      </w:pPr>
      <w:r>
        <w:rPr>
          <w:rStyle w:val="lawlabel"/>
          <w:bCs/>
          <w:color w:val="000000"/>
          <w:lang w:val="fr-CA"/>
        </w:rPr>
        <w:tab/>
      </w:r>
      <w:r w:rsidRPr="00BC2D48">
        <w:rPr>
          <w:rStyle w:val="lawlabel"/>
          <w:bCs/>
          <w:color w:val="000000"/>
          <w:lang w:val="fr-CA"/>
        </w:rPr>
        <w:t>a)</w:t>
      </w:r>
      <w:r w:rsidRPr="00BC2D48">
        <w:rPr>
          <w:lang w:val="fr-CA"/>
        </w:rPr>
        <w:t> les électeurs des Forces canadiennes;</w:t>
      </w:r>
    </w:p>
    <w:p w:rsidR="001244E7" w:rsidRPr="00BC2D48" w:rsidRDefault="001244E7" w:rsidP="001244E7">
      <w:pPr>
        <w:pStyle w:val="Citation-AltC"/>
        <w:spacing w:after="240"/>
        <w:ind w:left="1168" w:hanging="1168"/>
        <w:contextualSpacing w:val="0"/>
        <w:rPr>
          <w:color w:val="000000"/>
          <w:lang w:val="fr-CA"/>
        </w:rPr>
      </w:pPr>
      <w:r>
        <w:rPr>
          <w:rStyle w:val="lawlabel"/>
          <w:bCs/>
          <w:color w:val="000000"/>
          <w:lang w:val="fr-CA"/>
        </w:rPr>
        <w:tab/>
      </w:r>
      <w:r w:rsidRPr="00BC2D48">
        <w:rPr>
          <w:rStyle w:val="lawlabel"/>
          <w:bCs/>
          <w:color w:val="000000"/>
          <w:lang w:val="fr-CA"/>
        </w:rPr>
        <w:t>b)</w:t>
      </w:r>
      <w:r w:rsidRPr="00BC2D48">
        <w:rPr>
          <w:color w:val="000000"/>
          <w:lang w:val="fr-CA"/>
        </w:rPr>
        <w:t xml:space="preserve"> les </w:t>
      </w:r>
      <w:r w:rsidRPr="004A348D">
        <w:rPr>
          <w:lang w:val="fr-CA"/>
        </w:rPr>
        <w:t>électeurs</w:t>
      </w:r>
      <w:r w:rsidRPr="00BC2D48">
        <w:rPr>
          <w:color w:val="000000"/>
          <w:lang w:val="fr-CA"/>
        </w:rPr>
        <w:t xml:space="preserve"> qui appartiennent à l</w:t>
      </w:r>
      <w:r>
        <w:rPr>
          <w:color w:val="000000"/>
          <w:lang w:val="fr-CA"/>
        </w:rPr>
        <w:t>’</w:t>
      </w:r>
      <w:r w:rsidRPr="00BC2D48">
        <w:rPr>
          <w:color w:val="000000"/>
          <w:lang w:val="fr-CA"/>
        </w:rPr>
        <w:t>administration publique fédérale ou d</w:t>
      </w:r>
      <w:r>
        <w:rPr>
          <w:color w:val="000000"/>
          <w:lang w:val="fr-CA"/>
        </w:rPr>
        <w:t>’</w:t>
      </w:r>
      <w:r w:rsidRPr="00BC2D48">
        <w:rPr>
          <w:color w:val="000000"/>
          <w:lang w:val="fr-CA"/>
        </w:rPr>
        <w:t>une province en poste à l</w:t>
      </w:r>
      <w:r>
        <w:rPr>
          <w:color w:val="000000"/>
          <w:lang w:val="fr-CA"/>
        </w:rPr>
        <w:t>’</w:t>
      </w:r>
      <w:r w:rsidRPr="00BC2D48">
        <w:rPr>
          <w:color w:val="000000"/>
          <w:lang w:val="fr-CA"/>
        </w:rPr>
        <w:t>étranger;</w:t>
      </w:r>
    </w:p>
    <w:p w:rsidR="001244E7" w:rsidRPr="00BC2D48" w:rsidRDefault="001244E7" w:rsidP="001244E7">
      <w:pPr>
        <w:pStyle w:val="Citation-AltC"/>
        <w:spacing w:after="240"/>
        <w:ind w:left="1168" w:hanging="1168"/>
        <w:contextualSpacing w:val="0"/>
        <w:rPr>
          <w:color w:val="000000"/>
          <w:lang w:val="fr-CA"/>
        </w:rPr>
      </w:pPr>
      <w:r>
        <w:rPr>
          <w:rStyle w:val="lawlabel"/>
          <w:bCs/>
          <w:color w:val="000000"/>
          <w:lang w:val="fr-CA"/>
        </w:rPr>
        <w:tab/>
      </w:r>
      <w:r w:rsidRPr="00BC2D48">
        <w:rPr>
          <w:rStyle w:val="lawlabel"/>
          <w:bCs/>
          <w:color w:val="000000"/>
          <w:lang w:val="fr-CA"/>
        </w:rPr>
        <w:t>c)</w:t>
      </w:r>
      <w:r w:rsidRPr="00BC2D48">
        <w:rPr>
          <w:color w:val="000000"/>
          <w:lang w:val="fr-CA"/>
        </w:rPr>
        <w:t xml:space="preserve"> les </w:t>
      </w:r>
      <w:r w:rsidRPr="004A348D">
        <w:rPr>
          <w:lang w:val="fr-CA"/>
        </w:rPr>
        <w:t>électeurs</w:t>
      </w:r>
      <w:r w:rsidRPr="00BC2D48">
        <w:rPr>
          <w:color w:val="000000"/>
          <w:lang w:val="fr-CA"/>
        </w:rPr>
        <w:t xml:space="preserve"> qui sont en poste à l</w:t>
      </w:r>
      <w:r>
        <w:rPr>
          <w:color w:val="000000"/>
          <w:lang w:val="fr-CA"/>
        </w:rPr>
        <w:t>’</w:t>
      </w:r>
      <w:r w:rsidRPr="00BC2D48">
        <w:rPr>
          <w:color w:val="000000"/>
          <w:lang w:val="fr-CA"/>
        </w:rPr>
        <w:t>étranger auprès d</w:t>
      </w:r>
      <w:r>
        <w:rPr>
          <w:color w:val="000000"/>
          <w:lang w:val="fr-CA"/>
        </w:rPr>
        <w:t>’</w:t>
      </w:r>
      <w:r w:rsidRPr="00BC2D48">
        <w:rPr>
          <w:color w:val="000000"/>
          <w:lang w:val="fr-CA"/>
        </w:rPr>
        <w:t>organismes internationaux dont le Canada est membre et auxquels il verse une contribution;</w:t>
      </w:r>
    </w:p>
    <w:p w:rsidR="001244E7" w:rsidRPr="00BC2D48" w:rsidRDefault="001244E7" w:rsidP="001244E7">
      <w:pPr>
        <w:pStyle w:val="Citation-AltC"/>
        <w:spacing w:after="240"/>
        <w:ind w:left="1168" w:hanging="1168"/>
        <w:contextualSpacing w:val="0"/>
        <w:rPr>
          <w:color w:val="000000"/>
          <w:lang w:val="fr-CA"/>
        </w:rPr>
      </w:pPr>
      <w:r>
        <w:rPr>
          <w:rStyle w:val="lawlabel"/>
          <w:bCs/>
          <w:color w:val="000000"/>
          <w:lang w:val="fr-CA"/>
        </w:rPr>
        <w:tab/>
      </w:r>
      <w:r w:rsidRPr="00BC2D48">
        <w:rPr>
          <w:rStyle w:val="lawlabel"/>
          <w:bCs/>
          <w:color w:val="000000"/>
          <w:lang w:val="fr-CA"/>
        </w:rPr>
        <w:t>d)</w:t>
      </w:r>
      <w:r w:rsidRPr="00BC2D48">
        <w:rPr>
          <w:color w:val="000000"/>
          <w:lang w:val="fr-CA"/>
        </w:rPr>
        <w:t> </w:t>
      </w:r>
      <w:r w:rsidRPr="00BC2D48">
        <w:rPr>
          <w:color w:val="000000"/>
          <w:u w:val="single"/>
          <w:lang w:val="fr-CA"/>
        </w:rPr>
        <w:t xml:space="preserve">les </w:t>
      </w:r>
      <w:r w:rsidRPr="004A348D">
        <w:rPr>
          <w:u w:val="single"/>
          <w:lang w:val="fr-CA"/>
        </w:rPr>
        <w:t>électeurs</w:t>
      </w:r>
      <w:r w:rsidRPr="004A348D">
        <w:rPr>
          <w:color w:val="000000"/>
          <w:u w:val="single"/>
          <w:lang w:val="fr-CA"/>
        </w:rPr>
        <w:t xml:space="preserve"> qui</w:t>
      </w:r>
      <w:r w:rsidRPr="00BC2D48">
        <w:rPr>
          <w:color w:val="000000"/>
          <w:u w:val="single"/>
          <w:lang w:val="fr-CA"/>
        </w:rPr>
        <w:t xml:space="preserve"> sont absents du Canada depuis moins de cinq années consécutives et qui ont l</w:t>
      </w:r>
      <w:r>
        <w:rPr>
          <w:color w:val="000000"/>
          <w:u w:val="single"/>
          <w:lang w:val="fr-CA"/>
        </w:rPr>
        <w:t>’</w:t>
      </w:r>
      <w:r w:rsidRPr="00BC2D48">
        <w:rPr>
          <w:color w:val="000000"/>
          <w:u w:val="single"/>
          <w:lang w:val="fr-CA"/>
        </w:rPr>
        <w:t>intention de revenir résider au Canada</w:t>
      </w:r>
      <w:r w:rsidRPr="00BC2D48">
        <w:rPr>
          <w:color w:val="000000"/>
          <w:lang w:val="fr-CA"/>
        </w:rPr>
        <w:t>;</w:t>
      </w:r>
    </w:p>
    <w:p w:rsidR="001244E7" w:rsidRPr="00BC2D48" w:rsidRDefault="001244E7" w:rsidP="001244E7">
      <w:pPr>
        <w:pStyle w:val="Citation-AltC"/>
        <w:spacing w:after="240"/>
        <w:ind w:left="1168" w:hanging="1168"/>
        <w:contextualSpacing w:val="0"/>
        <w:rPr>
          <w:color w:val="000000"/>
          <w:lang w:val="fr-CA"/>
        </w:rPr>
      </w:pPr>
      <w:r>
        <w:rPr>
          <w:rStyle w:val="lawlabel"/>
          <w:bCs/>
          <w:color w:val="000000"/>
          <w:lang w:val="fr-CA"/>
        </w:rPr>
        <w:tab/>
      </w:r>
      <w:r w:rsidRPr="00BC2D48">
        <w:rPr>
          <w:rStyle w:val="lawlabel"/>
          <w:bCs/>
          <w:color w:val="000000"/>
          <w:lang w:val="fr-CA"/>
        </w:rPr>
        <w:t>e)</w:t>
      </w:r>
      <w:r w:rsidRPr="00BC2D48">
        <w:rPr>
          <w:color w:val="000000"/>
          <w:lang w:val="fr-CA"/>
        </w:rPr>
        <w:t xml:space="preserve"> les </w:t>
      </w:r>
      <w:r w:rsidRPr="004A348D">
        <w:rPr>
          <w:lang w:val="fr-CA"/>
        </w:rPr>
        <w:t>électeurs</w:t>
      </w:r>
      <w:r w:rsidRPr="00BC2D48">
        <w:rPr>
          <w:color w:val="000000"/>
          <w:lang w:val="fr-CA"/>
        </w:rPr>
        <w:t xml:space="preserve"> incarcérés au sens de cette partie; </w:t>
      </w:r>
    </w:p>
    <w:p w:rsidR="001244E7" w:rsidRPr="00BC2D48" w:rsidRDefault="001244E7" w:rsidP="001244E7">
      <w:pPr>
        <w:pStyle w:val="Citation-AltC"/>
        <w:ind w:left="1168" w:hanging="448"/>
        <w:contextualSpacing w:val="0"/>
        <w:rPr>
          <w:color w:val="000000"/>
          <w:lang w:val="fr-CA"/>
        </w:rPr>
      </w:pPr>
      <w:r>
        <w:rPr>
          <w:rStyle w:val="lawlabel"/>
          <w:bCs/>
          <w:color w:val="000000"/>
          <w:lang w:val="fr-CA"/>
        </w:rPr>
        <w:lastRenderedPageBreak/>
        <w:tab/>
      </w:r>
      <w:r w:rsidRPr="00BC2D48">
        <w:rPr>
          <w:rStyle w:val="lawlabel"/>
          <w:bCs/>
          <w:color w:val="000000"/>
          <w:lang w:val="fr-CA"/>
        </w:rPr>
        <w:t>f)</w:t>
      </w:r>
      <w:r w:rsidRPr="00BC2D48">
        <w:rPr>
          <w:color w:val="000000"/>
          <w:lang w:val="fr-CA"/>
        </w:rPr>
        <w:t xml:space="preserve"> tout </w:t>
      </w:r>
      <w:r w:rsidRPr="004A348D">
        <w:rPr>
          <w:lang w:val="fr-CA"/>
        </w:rPr>
        <w:t>autre</w:t>
      </w:r>
      <w:r w:rsidRPr="00BC2D48">
        <w:rPr>
          <w:color w:val="000000"/>
          <w:lang w:val="fr-CA"/>
        </w:rPr>
        <w:t xml:space="preserve"> électeur au Canada qui désire se prévaloir des dispositions de cette partie</w:t>
      </w:r>
      <w:r>
        <w:rPr>
          <w:color w:val="000000"/>
          <w:lang w:val="fr-CA"/>
        </w:rPr>
        <w:t>.</w:t>
      </w:r>
    </w:p>
    <w:p w:rsidR="001244E7" w:rsidRPr="00BC2D48" w:rsidRDefault="001244E7" w:rsidP="001244E7">
      <w:pPr>
        <w:pStyle w:val="ParaNoNdepar-AltN"/>
        <w:rPr>
          <w:lang w:val="fr-CA"/>
        </w:rPr>
      </w:pPr>
      <w:r>
        <w:rPr>
          <w:lang w:val="fr-CA"/>
        </w:rPr>
        <w:t>Le pourvoi porte sur la</w:t>
      </w:r>
      <w:r w:rsidRPr="00BC2D48">
        <w:rPr>
          <w:lang w:val="fr-CA"/>
        </w:rPr>
        <w:t xml:space="preserve"> restriction </w:t>
      </w:r>
      <w:r>
        <w:rPr>
          <w:lang w:val="fr-CA"/>
        </w:rPr>
        <w:t>des</w:t>
      </w:r>
      <w:r w:rsidRPr="00BC2D48">
        <w:rPr>
          <w:lang w:val="fr-CA"/>
        </w:rPr>
        <w:t xml:space="preserve"> droits de vote de non</w:t>
      </w:r>
      <w:r>
        <w:rPr>
          <w:lang w:val="fr-CA"/>
        </w:rPr>
        <w:noBreakHyphen/>
      </w:r>
      <w:r w:rsidRPr="00BC2D48">
        <w:rPr>
          <w:lang w:val="fr-CA"/>
        </w:rPr>
        <w:t>résidents établie à l</w:t>
      </w:r>
      <w:r>
        <w:rPr>
          <w:lang w:val="fr-CA"/>
        </w:rPr>
        <w:t>’al. </w:t>
      </w:r>
      <w:r w:rsidRPr="00BC2D48">
        <w:rPr>
          <w:lang w:val="fr-CA"/>
        </w:rPr>
        <w:t xml:space="preserve">11d) de la </w:t>
      </w:r>
      <w:r w:rsidRPr="00F47CDF">
        <w:rPr>
          <w:lang w:val="fr-CA"/>
        </w:rPr>
        <w:t>Loi</w:t>
      </w:r>
      <w:r w:rsidRPr="00BC2D48">
        <w:rPr>
          <w:lang w:val="fr-CA"/>
        </w:rPr>
        <w:t>. Ce</w:t>
      </w:r>
      <w:r>
        <w:rPr>
          <w:lang w:val="fr-CA"/>
        </w:rPr>
        <w:t>tte</w:t>
      </w:r>
      <w:r w:rsidRPr="00BC2D48">
        <w:rPr>
          <w:lang w:val="fr-CA"/>
        </w:rPr>
        <w:t xml:space="preserve"> restriction </w:t>
      </w:r>
      <w:r>
        <w:rPr>
          <w:lang w:val="fr-CA"/>
        </w:rPr>
        <w:t>est également mentionnée</w:t>
      </w:r>
      <w:r w:rsidRPr="00BC2D48">
        <w:rPr>
          <w:lang w:val="fr-CA"/>
        </w:rPr>
        <w:t xml:space="preserve"> dans les « Règles électorales spéciales » </w:t>
      </w:r>
      <w:r>
        <w:rPr>
          <w:lang w:val="fr-CA"/>
        </w:rPr>
        <w:t>énoncées à</w:t>
      </w:r>
      <w:r w:rsidRPr="00BC2D48">
        <w:rPr>
          <w:lang w:val="fr-CA"/>
        </w:rPr>
        <w:t xml:space="preserve"> la </w:t>
      </w:r>
      <w:r>
        <w:rPr>
          <w:lang w:val="fr-CA"/>
        </w:rPr>
        <w:t>p</w:t>
      </w:r>
      <w:r w:rsidRPr="00BC2D48">
        <w:rPr>
          <w:lang w:val="fr-CA"/>
        </w:rPr>
        <w:t xml:space="preserve">artie 11 de la </w:t>
      </w:r>
      <w:r w:rsidRPr="00F47CDF">
        <w:rPr>
          <w:lang w:val="fr-CA"/>
        </w:rPr>
        <w:t>Loi</w:t>
      </w:r>
      <w:r w:rsidRPr="00BC2D48">
        <w:rPr>
          <w:lang w:val="fr-CA"/>
        </w:rPr>
        <w:t>, qui régissent la procédure du bulletin de vote spéci</w:t>
      </w:r>
      <w:r>
        <w:rPr>
          <w:lang w:val="fr-CA"/>
        </w:rPr>
        <w:t xml:space="preserve">al. </w:t>
      </w:r>
      <w:r w:rsidRPr="00BC2D48">
        <w:rPr>
          <w:lang w:val="fr-CA"/>
        </w:rPr>
        <w:t xml:space="preserve">La </w:t>
      </w:r>
      <w:r>
        <w:rPr>
          <w:lang w:val="fr-CA"/>
        </w:rPr>
        <w:t>p</w:t>
      </w:r>
      <w:r w:rsidRPr="00BC2D48">
        <w:rPr>
          <w:lang w:val="fr-CA"/>
        </w:rPr>
        <w:t xml:space="preserve">artie 11 </w:t>
      </w:r>
      <w:r>
        <w:rPr>
          <w:lang w:val="fr-CA"/>
        </w:rPr>
        <w:t>exige</w:t>
      </w:r>
      <w:r w:rsidRPr="00BC2D48">
        <w:rPr>
          <w:lang w:val="fr-CA"/>
        </w:rPr>
        <w:t xml:space="preserve"> que le directeur général des élections t</w:t>
      </w:r>
      <w:r>
        <w:rPr>
          <w:lang w:val="fr-CA"/>
        </w:rPr>
        <w:t>ienne</w:t>
      </w:r>
      <w:r w:rsidRPr="00BC2D48">
        <w:rPr>
          <w:lang w:val="fr-CA"/>
        </w:rPr>
        <w:t xml:space="preserve"> un registre des électeurs </w:t>
      </w:r>
      <w:r>
        <w:rPr>
          <w:lang w:val="fr-CA"/>
        </w:rPr>
        <w:t xml:space="preserve">qui </w:t>
      </w:r>
      <w:r w:rsidRPr="00BC2D48">
        <w:rPr>
          <w:lang w:val="fr-CA"/>
        </w:rPr>
        <w:t>résid</w:t>
      </w:r>
      <w:r>
        <w:rPr>
          <w:lang w:val="fr-CA"/>
        </w:rPr>
        <w:t>e</w:t>
      </w:r>
      <w:r w:rsidRPr="00BC2D48">
        <w:rPr>
          <w:lang w:val="fr-CA"/>
        </w:rPr>
        <w:t>nt temporairement à l</w:t>
      </w:r>
      <w:r>
        <w:rPr>
          <w:lang w:val="fr-CA"/>
        </w:rPr>
        <w:t>’</w:t>
      </w:r>
      <w:r w:rsidRPr="00BC2D48">
        <w:rPr>
          <w:lang w:val="fr-CA"/>
        </w:rPr>
        <w:t>étranger et qui ont présenté une demande de bulletin de vote spéci</w:t>
      </w:r>
      <w:r>
        <w:rPr>
          <w:lang w:val="fr-CA"/>
        </w:rPr>
        <w:t>al. </w:t>
      </w:r>
      <w:r w:rsidRPr="00BC2D48">
        <w:rPr>
          <w:lang w:val="fr-CA"/>
        </w:rPr>
        <w:t xml:space="preserve">Pour être inscrits au registre, ces électeurs </w:t>
      </w:r>
      <w:proofErr w:type="spellStart"/>
      <w:r w:rsidRPr="00BC2D48">
        <w:rPr>
          <w:lang w:val="fr-CA"/>
        </w:rPr>
        <w:t>non</w:t>
      </w:r>
      <w:r>
        <w:rPr>
          <w:lang w:val="fr-CA"/>
        </w:rPr>
        <w:t xml:space="preserve"> </w:t>
      </w:r>
      <w:r w:rsidRPr="00BC2D48">
        <w:rPr>
          <w:lang w:val="fr-CA"/>
        </w:rPr>
        <w:t>résidents</w:t>
      </w:r>
      <w:proofErr w:type="spellEnd"/>
      <w:r w:rsidRPr="00BC2D48">
        <w:rPr>
          <w:lang w:val="fr-CA"/>
        </w:rPr>
        <w:t xml:space="preserve"> doivent avoir résidé au Canada antérieurement, résid</w:t>
      </w:r>
      <w:r>
        <w:rPr>
          <w:lang w:val="fr-CA"/>
        </w:rPr>
        <w:t>er</w:t>
      </w:r>
      <w:r w:rsidRPr="00BC2D48">
        <w:rPr>
          <w:lang w:val="fr-CA"/>
        </w:rPr>
        <w:t xml:space="preserve"> à l</w:t>
      </w:r>
      <w:r>
        <w:rPr>
          <w:lang w:val="fr-CA"/>
        </w:rPr>
        <w:t>’</w:t>
      </w:r>
      <w:r w:rsidRPr="00BC2D48">
        <w:rPr>
          <w:lang w:val="fr-CA"/>
        </w:rPr>
        <w:t>étranger depuis moins de cinq années consécutives au moment de la présentation de la demande et avoir l</w:t>
      </w:r>
      <w:r>
        <w:rPr>
          <w:lang w:val="fr-CA"/>
        </w:rPr>
        <w:t>’</w:t>
      </w:r>
      <w:r w:rsidRPr="00BC2D48">
        <w:rPr>
          <w:lang w:val="fr-CA"/>
        </w:rPr>
        <w:t>intention de rentrer au Canada pour y résider (</w:t>
      </w:r>
      <w:r>
        <w:rPr>
          <w:lang w:val="fr-CA"/>
        </w:rPr>
        <w:t>par. </w:t>
      </w:r>
      <w:r w:rsidRPr="00BC2D48">
        <w:rPr>
          <w:lang w:val="fr-CA"/>
        </w:rPr>
        <w:t>222(1)).</w:t>
      </w:r>
    </w:p>
    <w:p w:rsidR="001244E7" w:rsidRPr="00BC2D48" w:rsidRDefault="001244E7" w:rsidP="001244E7">
      <w:pPr>
        <w:pStyle w:val="ParaNoNdepar-AltN"/>
        <w:rPr>
          <w:lang w:val="fr-CA"/>
        </w:rPr>
      </w:pPr>
      <w:r w:rsidRPr="00BC2D48">
        <w:rPr>
          <w:lang w:val="fr-CA"/>
        </w:rPr>
        <w:t xml:space="preserve">La </w:t>
      </w:r>
      <w:r w:rsidRPr="00F47CDF">
        <w:rPr>
          <w:lang w:val="fr-CA"/>
        </w:rPr>
        <w:t>Loi</w:t>
      </w:r>
      <w:r w:rsidRPr="00BC2D48">
        <w:rPr>
          <w:lang w:val="fr-CA"/>
        </w:rPr>
        <w:t xml:space="preserve"> établit des exceptions à la règle des cinq ans pour les membres des Forces canadiennes, y compris les personnes employées </w:t>
      </w:r>
      <w:r>
        <w:rPr>
          <w:lang w:val="fr-CA"/>
        </w:rPr>
        <w:t>à titre de</w:t>
      </w:r>
      <w:r w:rsidRPr="00BC2D48">
        <w:rPr>
          <w:lang w:val="fr-CA"/>
        </w:rPr>
        <w:t xml:space="preserve"> professeurs ou </w:t>
      </w:r>
      <w:r>
        <w:rPr>
          <w:lang w:val="fr-CA"/>
        </w:rPr>
        <w:t xml:space="preserve">de </w:t>
      </w:r>
      <w:r w:rsidRPr="00BC2D48">
        <w:rPr>
          <w:lang w:val="fr-CA"/>
        </w:rPr>
        <w:t>membres du personnel de soutien dans les écoles des Forces canadiennes</w:t>
      </w:r>
      <w:r>
        <w:rPr>
          <w:lang w:val="fr-CA"/>
        </w:rPr>
        <w:t>,</w:t>
      </w:r>
      <w:r w:rsidRPr="00BC2D48">
        <w:rPr>
          <w:lang w:val="fr-CA"/>
        </w:rPr>
        <w:t xml:space="preserve"> en poste à l</w:t>
      </w:r>
      <w:r>
        <w:rPr>
          <w:lang w:val="fr-CA"/>
        </w:rPr>
        <w:t>’</w:t>
      </w:r>
      <w:r w:rsidRPr="00BC2D48">
        <w:rPr>
          <w:lang w:val="fr-CA"/>
        </w:rPr>
        <w:t>étranger</w:t>
      </w:r>
      <w:r>
        <w:rPr>
          <w:lang w:val="fr-CA"/>
        </w:rPr>
        <w:t>;</w:t>
      </w:r>
      <w:r w:rsidRPr="00BC2D48">
        <w:rPr>
          <w:lang w:val="fr-CA"/>
        </w:rPr>
        <w:t xml:space="preserve"> les employés qui appartiennent à l</w:t>
      </w:r>
      <w:r>
        <w:rPr>
          <w:lang w:val="fr-CA"/>
        </w:rPr>
        <w:t>’</w:t>
      </w:r>
      <w:r w:rsidRPr="00BC2D48">
        <w:rPr>
          <w:lang w:val="fr-CA"/>
        </w:rPr>
        <w:t>administration publique fédérale ou d</w:t>
      </w:r>
      <w:r>
        <w:rPr>
          <w:lang w:val="fr-CA"/>
        </w:rPr>
        <w:t>’</w:t>
      </w:r>
      <w:r w:rsidRPr="00BC2D48">
        <w:rPr>
          <w:lang w:val="fr-CA"/>
        </w:rPr>
        <w:t>une province</w:t>
      </w:r>
      <w:r>
        <w:rPr>
          <w:lang w:val="fr-CA"/>
        </w:rPr>
        <w:t>,</w:t>
      </w:r>
      <w:r w:rsidRPr="00BC2D48">
        <w:rPr>
          <w:lang w:val="fr-CA"/>
        </w:rPr>
        <w:t xml:space="preserve"> en poste à l</w:t>
      </w:r>
      <w:r>
        <w:rPr>
          <w:lang w:val="fr-CA"/>
        </w:rPr>
        <w:t>’</w:t>
      </w:r>
      <w:r w:rsidRPr="00BC2D48">
        <w:rPr>
          <w:lang w:val="fr-CA"/>
        </w:rPr>
        <w:t>étranger</w:t>
      </w:r>
      <w:r>
        <w:rPr>
          <w:lang w:val="fr-CA"/>
        </w:rPr>
        <w:t>;</w:t>
      </w:r>
      <w:r w:rsidRPr="00BC2D48">
        <w:rPr>
          <w:lang w:val="fr-CA"/>
        </w:rPr>
        <w:t xml:space="preserve"> les employés qui sont en poste à l</w:t>
      </w:r>
      <w:r>
        <w:rPr>
          <w:lang w:val="fr-CA"/>
        </w:rPr>
        <w:t>’</w:t>
      </w:r>
      <w:r w:rsidRPr="00BC2D48">
        <w:rPr>
          <w:lang w:val="fr-CA"/>
        </w:rPr>
        <w:t>étranger auprès d</w:t>
      </w:r>
      <w:r>
        <w:rPr>
          <w:lang w:val="fr-CA"/>
        </w:rPr>
        <w:t>’</w:t>
      </w:r>
      <w:r w:rsidRPr="00BC2D48">
        <w:rPr>
          <w:lang w:val="fr-CA"/>
        </w:rPr>
        <w:t>organismes internationaux dont le Canada est membre</w:t>
      </w:r>
      <w:r>
        <w:rPr>
          <w:lang w:val="fr-CA"/>
        </w:rPr>
        <w:t>;</w:t>
      </w:r>
      <w:r w:rsidRPr="00BC2D48">
        <w:rPr>
          <w:lang w:val="fr-CA"/>
        </w:rPr>
        <w:t xml:space="preserve"> et les </w:t>
      </w:r>
      <w:r>
        <w:rPr>
          <w:lang w:val="fr-CA"/>
        </w:rPr>
        <w:t>électeurs</w:t>
      </w:r>
      <w:r w:rsidRPr="00BC2D48">
        <w:rPr>
          <w:lang w:val="fr-CA"/>
        </w:rPr>
        <w:t xml:space="preserve"> qui demeurent avec un citoyen canadien qui fait partie de l</w:t>
      </w:r>
      <w:r>
        <w:rPr>
          <w:lang w:val="fr-CA"/>
        </w:rPr>
        <w:t>’</w:t>
      </w:r>
      <w:r w:rsidRPr="00BC2D48">
        <w:rPr>
          <w:lang w:val="fr-CA"/>
        </w:rPr>
        <w:t>un de ces groupes exemptés (</w:t>
      </w:r>
      <w:r>
        <w:rPr>
          <w:lang w:val="fr-CA"/>
        </w:rPr>
        <w:t>art. </w:t>
      </w:r>
      <w:r w:rsidRPr="00BC2D48">
        <w:rPr>
          <w:lang w:val="fr-CA"/>
        </w:rPr>
        <w:t xml:space="preserve">11, </w:t>
      </w:r>
      <w:r>
        <w:rPr>
          <w:lang w:val="fr-CA"/>
        </w:rPr>
        <w:t>al. </w:t>
      </w:r>
      <w:r w:rsidRPr="00BC2D48">
        <w:rPr>
          <w:lang w:val="fr-CA"/>
        </w:rPr>
        <w:t>191</w:t>
      </w:r>
      <w:r>
        <w:rPr>
          <w:lang w:val="fr-CA"/>
        </w:rPr>
        <w:t>d) et</w:t>
      </w:r>
      <w:r w:rsidRPr="00BC2D48">
        <w:rPr>
          <w:lang w:val="fr-CA"/>
        </w:rPr>
        <w:t xml:space="preserve"> </w:t>
      </w:r>
      <w:r>
        <w:rPr>
          <w:lang w:val="fr-CA"/>
        </w:rPr>
        <w:t>par. </w:t>
      </w:r>
      <w:r w:rsidRPr="00BC2D48">
        <w:rPr>
          <w:lang w:val="fr-CA"/>
        </w:rPr>
        <w:t xml:space="preserve">222(2)). </w:t>
      </w:r>
      <w:r>
        <w:rPr>
          <w:lang w:val="fr-CA"/>
        </w:rPr>
        <w:t>Tout autre citoyen</w:t>
      </w:r>
      <w:r w:rsidRPr="00BC2D48">
        <w:rPr>
          <w:lang w:val="fr-CA"/>
        </w:rPr>
        <w:t xml:space="preserve"> qui a résidé à l</w:t>
      </w:r>
      <w:r>
        <w:rPr>
          <w:lang w:val="fr-CA"/>
        </w:rPr>
        <w:t>’</w:t>
      </w:r>
      <w:r w:rsidRPr="00BC2D48">
        <w:rPr>
          <w:lang w:val="fr-CA"/>
        </w:rPr>
        <w:t>étranger pendant cinq années consécutives ou plus verra son nom radié du registre (</w:t>
      </w:r>
      <w:r>
        <w:rPr>
          <w:lang w:val="fr-CA"/>
        </w:rPr>
        <w:t>al. </w:t>
      </w:r>
      <w:r w:rsidRPr="00BC2D48">
        <w:rPr>
          <w:lang w:val="fr-CA"/>
        </w:rPr>
        <w:t>226f)).</w:t>
      </w:r>
    </w:p>
    <w:p w:rsidR="001244E7" w:rsidRPr="00BC2D48" w:rsidRDefault="001244E7" w:rsidP="001244E7">
      <w:pPr>
        <w:pStyle w:val="ParaNoNdepar-AltN"/>
        <w:rPr>
          <w:lang w:val="fr-CA"/>
        </w:rPr>
      </w:pPr>
      <w:r w:rsidRPr="00BC2D48">
        <w:rPr>
          <w:lang w:val="fr-CA"/>
        </w:rPr>
        <w:lastRenderedPageBreak/>
        <w:t>Par l</w:t>
      </w:r>
      <w:r>
        <w:rPr>
          <w:lang w:val="fr-CA"/>
        </w:rPr>
        <w:t>’</w:t>
      </w:r>
      <w:r w:rsidRPr="00BC2D48">
        <w:rPr>
          <w:lang w:val="fr-CA"/>
        </w:rPr>
        <w:t>effet combiné de l</w:t>
      </w:r>
      <w:r>
        <w:rPr>
          <w:lang w:val="fr-CA"/>
        </w:rPr>
        <w:t>’al. </w:t>
      </w:r>
      <w:r w:rsidRPr="00BC2D48">
        <w:rPr>
          <w:lang w:val="fr-CA"/>
        </w:rPr>
        <w:t>11d) et de l</w:t>
      </w:r>
      <w:r>
        <w:rPr>
          <w:lang w:val="fr-CA"/>
        </w:rPr>
        <w:t>’art. </w:t>
      </w:r>
      <w:r w:rsidRPr="00BC2D48">
        <w:rPr>
          <w:lang w:val="fr-CA"/>
        </w:rPr>
        <w:t xml:space="preserve">222 de la </w:t>
      </w:r>
      <w:r w:rsidRPr="00F47CDF">
        <w:rPr>
          <w:lang w:val="fr-CA"/>
        </w:rPr>
        <w:t>Loi</w:t>
      </w:r>
      <w:r>
        <w:rPr>
          <w:lang w:val="fr-CA"/>
        </w:rPr>
        <w:t xml:space="preserve"> </w:t>
      </w:r>
      <w:r w:rsidRPr="00BC2D48">
        <w:rPr>
          <w:rFonts w:cs="Times New Roman"/>
          <w:lang w:val="fr-CA"/>
        </w:rPr>
        <w:t>—</w:t>
      </w:r>
      <w:r w:rsidRPr="00BC2D48">
        <w:rPr>
          <w:lang w:val="fr-CA"/>
        </w:rPr>
        <w:t xml:space="preserve"> </w:t>
      </w:r>
      <w:r>
        <w:rPr>
          <w:lang w:val="fr-CA"/>
        </w:rPr>
        <w:t>sous réserve des</w:t>
      </w:r>
      <w:r w:rsidRPr="00BC2D48">
        <w:rPr>
          <w:lang w:val="fr-CA"/>
        </w:rPr>
        <w:t xml:space="preserve"> exceptions énumérées au </w:t>
      </w:r>
      <w:r>
        <w:rPr>
          <w:lang w:val="fr-CA"/>
        </w:rPr>
        <w:t>par. </w:t>
      </w:r>
      <w:r w:rsidRPr="00BC2D48">
        <w:rPr>
          <w:lang w:val="fr-CA"/>
        </w:rPr>
        <w:t xml:space="preserve">222(2) </w:t>
      </w:r>
      <w:r w:rsidRPr="00BC2D48">
        <w:rPr>
          <w:rFonts w:cs="Times New Roman"/>
          <w:lang w:val="fr-CA"/>
        </w:rPr>
        <w:t>—</w:t>
      </w:r>
      <w:r w:rsidRPr="00BC2D48">
        <w:rPr>
          <w:i/>
          <w:lang w:val="fr-CA"/>
        </w:rPr>
        <w:t xml:space="preserve"> </w:t>
      </w:r>
      <w:r w:rsidRPr="00BC2D48">
        <w:rPr>
          <w:lang w:val="fr-CA"/>
        </w:rPr>
        <w:t>un citoyen canadien qui a résidé à l</w:t>
      </w:r>
      <w:r>
        <w:rPr>
          <w:lang w:val="fr-CA"/>
        </w:rPr>
        <w:t>’</w:t>
      </w:r>
      <w:r w:rsidRPr="00BC2D48">
        <w:rPr>
          <w:lang w:val="fr-CA"/>
        </w:rPr>
        <w:t>étranger pendant cinq ans ou plus n</w:t>
      </w:r>
      <w:r>
        <w:rPr>
          <w:lang w:val="fr-CA"/>
        </w:rPr>
        <w:t>’</w:t>
      </w:r>
      <w:r w:rsidRPr="00BC2D48">
        <w:rPr>
          <w:lang w:val="fr-CA"/>
        </w:rPr>
        <w:t xml:space="preserve">a pas le droit de voter </w:t>
      </w:r>
      <w:r>
        <w:rPr>
          <w:lang w:val="fr-CA"/>
        </w:rPr>
        <w:t>à</w:t>
      </w:r>
      <w:r w:rsidRPr="00BC2D48">
        <w:rPr>
          <w:lang w:val="fr-CA"/>
        </w:rPr>
        <w:t xml:space="preserve"> une élection fédérale tant qu</w:t>
      </w:r>
      <w:r>
        <w:rPr>
          <w:lang w:val="fr-CA"/>
        </w:rPr>
        <w:t>’</w:t>
      </w:r>
      <w:r w:rsidRPr="00BC2D48">
        <w:rPr>
          <w:lang w:val="fr-CA"/>
        </w:rPr>
        <w:t>il ne rentre pas au Canada pour y résider.</w:t>
      </w:r>
    </w:p>
    <w:p w:rsidR="001244E7" w:rsidRPr="00BC2D48" w:rsidRDefault="001244E7" w:rsidP="001244E7">
      <w:pPr>
        <w:pStyle w:val="Title1LevelTitre1Niveau-AltL"/>
        <w:rPr>
          <w:lang w:val="fr-CA"/>
        </w:rPr>
      </w:pPr>
      <w:r w:rsidRPr="00BC2D48">
        <w:rPr>
          <w:lang w:val="fr-CA"/>
        </w:rPr>
        <w:t>Historique judiciaire</w:t>
      </w:r>
    </w:p>
    <w:p w:rsidR="001244E7" w:rsidRPr="00BC2D48" w:rsidRDefault="001244E7" w:rsidP="001244E7">
      <w:pPr>
        <w:pStyle w:val="Title2LevelTitre2Niveau"/>
        <w:rPr>
          <w:lang w:val="fr-CA"/>
        </w:rPr>
      </w:pPr>
      <w:r w:rsidRPr="00BC2D48">
        <w:rPr>
          <w:lang w:val="fr-CA"/>
        </w:rPr>
        <w:t>Cour supérieure de justice de l</w:t>
      </w:r>
      <w:r>
        <w:rPr>
          <w:lang w:val="fr-CA"/>
        </w:rPr>
        <w:t>’</w:t>
      </w:r>
      <w:r w:rsidRPr="00BC2D48">
        <w:rPr>
          <w:lang w:val="fr-CA"/>
        </w:rPr>
        <w:t>Ontario, 2014 ONSC 907</w:t>
      </w:r>
      <w:r>
        <w:rPr>
          <w:lang w:val="fr-CA"/>
        </w:rPr>
        <w:t>, 119 O.R. (3d) 662</w:t>
      </w:r>
    </w:p>
    <w:p w:rsidR="001244E7" w:rsidRPr="00BC2D48" w:rsidRDefault="001244E7" w:rsidP="001244E7">
      <w:pPr>
        <w:pStyle w:val="ParaNoNdepar-AltN"/>
        <w:rPr>
          <w:lang w:val="fr-CA"/>
        </w:rPr>
      </w:pPr>
      <w:r>
        <w:rPr>
          <w:lang w:val="fr-CA"/>
        </w:rPr>
        <w:t>Les appelants ont demandé</w:t>
      </w:r>
      <w:r w:rsidRPr="00BC2D48">
        <w:rPr>
          <w:lang w:val="fr-CA"/>
        </w:rPr>
        <w:t xml:space="preserve"> à la Cour supérieure de justice de l</w:t>
      </w:r>
      <w:r>
        <w:rPr>
          <w:lang w:val="fr-CA"/>
        </w:rPr>
        <w:t>’</w:t>
      </w:r>
      <w:r w:rsidRPr="00BC2D48">
        <w:rPr>
          <w:lang w:val="fr-CA"/>
        </w:rPr>
        <w:t>Ontario</w:t>
      </w:r>
      <w:r>
        <w:rPr>
          <w:lang w:val="fr-CA"/>
        </w:rPr>
        <w:t xml:space="preserve"> de déclarer</w:t>
      </w:r>
      <w:r w:rsidRPr="00BC2D48">
        <w:rPr>
          <w:lang w:val="fr-CA"/>
        </w:rPr>
        <w:t xml:space="preserve"> que les dispositions de la </w:t>
      </w:r>
      <w:r w:rsidRPr="00F47CDF">
        <w:rPr>
          <w:lang w:val="fr-CA"/>
        </w:rPr>
        <w:t>Loi</w:t>
      </w:r>
      <w:r w:rsidRPr="00BC2D48">
        <w:rPr>
          <w:lang w:val="fr-CA"/>
        </w:rPr>
        <w:t xml:space="preserve"> qui </w:t>
      </w:r>
      <w:r>
        <w:rPr>
          <w:lang w:val="fr-CA"/>
        </w:rPr>
        <w:t>les privent de</w:t>
      </w:r>
      <w:r w:rsidRPr="00BC2D48">
        <w:rPr>
          <w:lang w:val="fr-CA"/>
        </w:rPr>
        <w:t xml:space="preserve"> leur droit de vote </w:t>
      </w:r>
      <w:r>
        <w:rPr>
          <w:lang w:val="fr-CA"/>
        </w:rPr>
        <w:t>son</w:t>
      </w:r>
      <w:r w:rsidRPr="00BC2D48">
        <w:rPr>
          <w:lang w:val="fr-CA"/>
        </w:rPr>
        <w:t xml:space="preserve">t inconstitutionnelles, inopérantes et sans effet. Le juge Penny a conclu que les dispositions contestées </w:t>
      </w:r>
      <w:r>
        <w:rPr>
          <w:lang w:val="fr-CA"/>
        </w:rPr>
        <w:t>constituent une violation de</w:t>
      </w:r>
      <w:r w:rsidRPr="00BC2D48">
        <w:rPr>
          <w:lang w:val="fr-CA"/>
        </w:rPr>
        <w:t xml:space="preserve"> l</w:t>
      </w:r>
      <w:r>
        <w:rPr>
          <w:lang w:val="fr-CA"/>
        </w:rPr>
        <w:t>’art. </w:t>
      </w:r>
      <w:r w:rsidRPr="00BC2D48">
        <w:rPr>
          <w:lang w:val="fr-CA"/>
        </w:rPr>
        <w:t xml:space="preserve">3 de la </w:t>
      </w:r>
      <w:r w:rsidRPr="00BC2D48">
        <w:rPr>
          <w:i/>
          <w:lang w:val="fr-CA"/>
        </w:rPr>
        <w:t xml:space="preserve">Charte </w:t>
      </w:r>
      <w:r w:rsidRPr="00BC2D48">
        <w:rPr>
          <w:lang w:val="fr-CA"/>
        </w:rPr>
        <w:t>et qu</w:t>
      </w:r>
      <w:r>
        <w:rPr>
          <w:lang w:val="fr-CA"/>
        </w:rPr>
        <w:t>’</w:t>
      </w:r>
      <w:r w:rsidRPr="00BC2D48">
        <w:rPr>
          <w:lang w:val="fr-CA"/>
        </w:rPr>
        <w:t>elles ne p</w:t>
      </w:r>
      <w:r>
        <w:rPr>
          <w:lang w:val="fr-CA"/>
        </w:rPr>
        <w:t>e</w:t>
      </w:r>
      <w:r w:rsidRPr="00BC2D48">
        <w:rPr>
          <w:lang w:val="fr-CA"/>
        </w:rPr>
        <w:t>u</w:t>
      </w:r>
      <w:r>
        <w:rPr>
          <w:lang w:val="fr-CA"/>
        </w:rPr>
        <w:t>vent pas être sauvegardées par application de l’</w:t>
      </w:r>
      <w:r w:rsidRPr="00BC2D48">
        <w:rPr>
          <w:lang w:val="fr-CA"/>
        </w:rPr>
        <w:t>article premier. Le gouvernement a</w:t>
      </w:r>
      <w:r>
        <w:rPr>
          <w:lang w:val="fr-CA"/>
        </w:rPr>
        <w:t>vait</w:t>
      </w:r>
      <w:r w:rsidRPr="00BC2D48">
        <w:rPr>
          <w:lang w:val="fr-CA"/>
        </w:rPr>
        <w:t xml:space="preserve"> fait valoir que la restriction </w:t>
      </w:r>
      <w:r>
        <w:rPr>
          <w:lang w:val="fr-CA"/>
        </w:rPr>
        <w:t>visait, de façon</w:t>
      </w:r>
      <w:r w:rsidRPr="00BC2D48">
        <w:rPr>
          <w:lang w:val="fr-CA"/>
        </w:rPr>
        <w:t xml:space="preserve"> généra</w:t>
      </w:r>
      <w:r>
        <w:rPr>
          <w:lang w:val="fr-CA"/>
        </w:rPr>
        <w:t>le,</w:t>
      </w:r>
      <w:r w:rsidRPr="00BC2D48">
        <w:rPr>
          <w:lang w:val="fr-CA"/>
        </w:rPr>
        <w:t xml:space="preserve"> </w:t>
      </w:r>
      <w:r>
        <w:rPr>
          <w:lang w:val="fr-CA"/>
        </w:rPr>
        <w:t xml:space="preserve">à </w:t>
      </w:r>
      <w:r w:rsidRPr="00BC2D48">
        <w:rPr>
          <w:lang w:val="fr-CA"/>
        </w:rPr>
        <w:t>assurer l</w:t>
      </w:r>
      <w:r>
        <w:rPr>
          <w:lang w:val="fr-CA"/>
        </w:rPr>
        <w:t>’</w:t>
      </w:r>
      <w:r w:rsidRPr="00BC2D48">
        <w:rPr>
          <w:lang w:val="fr-CA"/>
        </w:rPr>
        <w:t>équité aux électeurs résident</w:t>
      </w:r>
      <w:r>
        <w:rPr>
          <w:lang w:val="fr-CA"/>
        </w:rPr>
        <w:t>s</w:t>
      </w:r>
      <w:r w:rsidRPr="00BC2D48">
        <w:rPr>
          <w:lang w:val="fr-CA"/>
        </w:rPr>
        <w:t xml:space="preserve"> et </w:t>
      </w:r>
      <w:r>
        <w:rPr>
          <w:lang w:val="fr-CA"/>
        </w:rPr>
        <w:t>à</w:t>
      </w:r>
      <w:r w:rsidRPr="00BC2D48">
        <w:rPr>
          <w:lang w:val="fr-CA"/>
        </w:rPr>
        <w:t xml:space="preserve"> maintenir le </w:t>
      </w:r>
      <w:r>
        <w:rPr>
          <w:lang w:val="fr-CA"/>
        </w:rPr>
        <w:t xml:space="preserve">bon </w:t>
      </w:r>
      <w:r w:rsidRPr="00BC2D48">
        <w:rPr>
          <w:lang w:val="fr-CA"/>
        </w:rPr>
        <w:t>fonctionnement et l</w:t>
      </w:r>
      <w:r>
        <w:rPr>
          <w:lang w:val="fr-CA"/>
        </w:rPr>
        <w:t>’</w:t>
      </w:r>
      <w:r w:rsidRPr="00BC2D48">
        <w:rPr>
          <w:lang w:val="fr-CA"/>
        </w:rPr>
        <w:t xml:space="preserve">intégrité du système électoral canadien. Le juge Penny </w:t>
      </w:r>
      <w:r>
        <w:rPr>
          <w:lang w:val="fr-CA"/>
        </w:rPr>
        <w:t>s’est dit préoccupé par le</w:t>
      </w:r>
      <w:r w:rsidRPr="00BC2D48">
        <w:rPr>
          <w:lang w:val="fr-CA"/>
        </w:rPr>
        <w:t xml:space="preserve"> caractère rhétorique de</w:t>
      </w:r>
      <w:r>
        <w:rPr>
          <w:lang w:val="fr-CA"/>
        </w:rPr>
        <w:t xml:space="preserve"> ces objectifs</w:t>
      </w:r>
      <w:r w:rsidRPr="00BC2D48">
        <w:rPr>
          <w:lang w:val="fr-CA"/>
        </w:rPr>
        <w:t xml:space="preserve">, </w:t>
      </w:r>
      <w:r>
        <w:rPr>
          <w:lang w:val="fr-CA"/>
        </w:rPr>
        <w:t>qui n’étaient pas</w:t>
      </w:r>
      <w:r w:rsidRPr="00BC2D48">
        <w:rPr>
          <w:lang w:val="fr-CA"/>
        </w:rPr>
        <w:t xml:space="preserve"> fondés sur une preuve </w:t>
      </w:r>
      <w:r>
        <w:rPr>
          <w:lang w:val="fr-CA"/>
        </w:rPr>
        <w:t>concrète</w:t>
      </w:r>
      <w:r w:rsidRPr="00BC2D48">
        <w:rPr>
          <w:lang w:val="fr-CA"/>
        </w:rPr>
        <w:t>. Toutefois, par prudence, il n</w:t>
      </w:r>
      <w:r>
        <w:rPr>
          <w:lang w:val="fr-CA"/>
        </w:rPr>
        <w:t xml:space="preserve">e les </w:t>
      </w:r>
      <w:r w:rsidRPr="00BC2D48">
        <w:rPr>
          <w:lang w:val="fr-CA"/>
        </w:rPr>
        <w:t>a pas rejeté</w:t>
      </w:r>
      <w:r>
        <w:rPr>
          <w:lang w:val="fr-CA"/>
        </w:rPr>
        <w:t>s d’emblée</w:t>
      </w:r>
      <w:r w:rsidRPr="00BC2D48">
        <w:rPr>
          <w:lang w:val="fr-CA"/>
        </w:rPr>
        <w:t xml:space="preserve"> et a procédé à l</w:t>
      </w:r>
      <w:r>
        <w:rPr>
          <w:lang w:val="fr-CA"/>
        </w:rPr>
        <w:t>’</w:t>
      </w:r>
      <w:r w:rsidRPr="00BC2D48">
        <w:rPr>
          <w:lang w:val="fr-CA"/>
        </w:rPr>
        <w:t xml:space="preserve">analyse de la proportionnalité </w:t>
      </w:r>
      <w:r>
        <w:rPr>
          <w:lang w:val="fr-CA"/>
        </w:rPr>
        <w:t>selon</w:t>
      </w:r>
      <w:r w:rsidRPr="00BC2D48">
        <w:rPr>
          <w:lang w:val="fr-CA"/>
        </w:rPr>
        <w:t xml:space="preserve"> l</w:t>
      </w:r>
      <w:r>
        <w:rPr>
          <w:lang w:val="fr-CA"/>
        </w:rPr>
        <w:t>’</w:t>
      </w:r>
      <w:r w:rsidRPr="00BC2D48">
        <w:rPr>
          <w:lang w:val="fr-CA"/>
        </w:rPr>
        <w:t xml:space="preserve">arrêt </w:t>
      </w:r>
      <w:r w:rsidRPr="00BC2D48">
        <w:rPr>
          <w:i/>
          <w:lang w:val="fr-CA"/>
        </w:rPr>
        <w:t xml:space="preserve">R. c. </w:t>
      </w:r>
      <w:proofErr w:type="spellStart"/>
      <w:r w:rsidRPr="00BC2D48">
        <w:rPr>
          <w:i/>
          <w:lang w:val="fr-CA"/>
        </w:rPr>
        <w:t>Oakes</w:t>
      </w:r>
      <w:proofErr w:type="spellEnd"/>
      <w:r w:rsidRPr="00BC2D48">
        <w:rPr>
          <w:lang w:val="fr-CA"/>
        </w:rPr>
        <w:t>, [1986] 1 R.C.S. 103. Il a conclu que les objectifs é</w:t>
      </w:r>
      <w:r>
        <w:rPr>
          <w:lang w:val="fr-CA"/>
        </w:rPr>
        <w:t>nonc</w:t>
      </w:r>
      <w:r w:rsidRPr="00BC2D48">
        <w:rPr>
          <w:lang w:val="fr-CA"/>
        </w:rPr>
        <w:t>és ne satisfaisaient à aucun critère de l</w:t>
      </w:r>
      <w:r>
        <w:rPr>
          <w:lang w:val="fr-CA"/>
        </w:rPr>
        <w:t>’</w:t>
      </w:r>
      <w:r w:rsidRPr="00BC2D48">
        <w:rPr>
          <w:lang w:val="fr-CA"/>
        </w:rPr>
        <w:t>analyse et a prononcé une déclaration immédiate d</w:t>
      </w:r>
      <w:r>
        <w:rPr>
          <w:lang w:val="fr-CA"/>
        </w:rPr>
        <w:t>’</w:t>
      </w:r>
      <w:r w:rsidRPr="00BC2D48">
        <w:rPr>
          <w:lang w:val="fr-CA"/>
        </w:rPr>
        <w:t>invalidité.</w:t>
      </w:r>
    </w:p>
    <w:p w:rsidR="001244E7" w:rsidRPr="00BC2D48" w:rsidRDefault="001244E7" w:rsidP="001244E7">
      <w:pPr>
        <w:pStyle w:val="Title2LevelTitre2Niveau"/>
        <w:rPr>
          <w:lang w:val="fr-CA"/>
        </w:rPr>
      </w:pPr>
      <w:r w:rsidRPr="00BC2D48">
        <w:rPr>
          <w:lang w:val="fr-CA"/>
        </w:rPr>
        <w:t>Cour d</w:t>
      </w:r>
      <w:r>
        <w:rPr>
          <w:lang w:val="fr-CA"/>
        </w:rPr>
        <w:t>’</w:t>
      </w:r>
      <w:r w:rsidRPr="00BC2D48">
        <w:rPr>
          <w:lang w:val="fr-CA"/>
        </w:rPr>
        <w:t>appel de l</w:t>
      </w:r>
      <w:r>
        <w:rPr>
          <w:lang w:val="fr-CA"/>
        </w:rPr>
        <w:t>’</w:t>
      </w:r>
      <w:r w:rsidRPr="00BC2D48">
        <w:rPr>
          <w:lang w:val="fr-CA"/>
        </w:rPr>
        <w:t>Ontario (</w:t>
      </w:r>
      <w:r>
        <w:rPr>
          <w:lang w:val="fr-CA"/>
        </w:rPr>
        <w:t>le j</w:t>
      </w:r>
      <w:r w:rsidRPr="00BC2D48">
        <w:rPr>
          <w:lang w:val="fr-CA"/>
        </w:rPr>
        <w:t xml:space="preserve">uge en chef </w:t>
      </w:r>
      <w:proofErr w:type="spellStart"/>
      <w:r w:rsidRPr="00BC2D48">
        <w:rPr>
          <w:lang w:val="fr-CA"/>
        </w:rPr>
        <w:t>Strathy</w:t>
      </w:r>
      <w:proofErr w:type="spellEnd"/>
      <w:r w:rsidRPr="00BC2D48">
        <w:rPr>
          <w:lang w:val="fr-CA"/>
        </w:rPr>
        <w:t>, avec l</w:t>
      </w:r>
      <w:r>
        <w:rPr>
          <w:lang w:val="fr-CA"/>
        </w:rPr>
        <w:t>’</w:t>
      </w:r>
      <w:r w:rsidRPr="00BC2D48">
        <w:rPr>
          <w:lang w:val="fr-CA"/>
        </w:rPr>
        <w:t xml:space="preserve">accord du juge Brown; le juge </w:t>
      </w:r>
      <w:proofErr w:type="spellStart"/>
      <w:r w:rsidRPr="00BC2D48">
        <w:rPr>
          <w:lang w:val="fr-CA"/>
        </w:rPr>
        <w:t>Laskin</w:t>
      </w:r>
      <w:proofErr w:type="spellEnd"/>
      <w:r w:rsidRPr="00BC2D48">
        <w:rPr>
          <w:lang w:val="fr-CA"/>
        </w:rPr>
        <w:t>, dissident)</w:t>
      </w:r>
      <w:r>
        <w:rPr>
          <w:lang w:val="fr-CA"/>
        </w:rPr>
        <w:t>, 2015 ONCA 536, 126 O.R. (3d) 321</w:t>
      </w:r>
    </w:p>
    <w:p w:rsidR="001244E7" w:rsidRPr="00BC2D48" w:rsidRDefault="001244E7" w:rsidP="001244E7">
      <w:pPr>
        <w:pStyle w:val="ParaNoNdepar-AltN"/>
        <w:rPr>
          <w:lang w:val="fr-CA"/>
        </w:rPr>
      </w:pPr>
      <w:r w:rsidRPr="00BC2D48">
        <w:rPr>
          <w:lang w:val="fr-CA"/>
        </w:rPr>
        <w:lastRenderedPageBreak/>
        <w:t>Les juges majoritaires de la Cour d</w:t>
      </w:r>
      <w:r>
        <w:rPr>
          <w:lang w:val="fr-CA"/>
        </w:rPr>
        <w:t>’</w:t>
      </w:r>
      <w:r w:rsidRPr="00BC2D48">
        <w:rPr>
          <w:lang w:val="fr-CA"/>
        </w:rPr>
        <w:t>appel de l</w:t>
      </w:r>
      <w:r>
        <w:rPr>
          <w:lang w:val="fr-CA"/>
        </w:rPr>
        <w:t>’</w:t>
      </w:r>
      <w:r w:rsidRPr="00BC2D48">
        <w:rPr>
          <w:lang w:val="fr-CA"/>
        </w:rPr>
        <w:t>Ontario ont accueilli l</w:t>
      </w:r>
      <w:r>
        <w:rPr>
          <w:lang w:val="fr-CA"/>
        </w:rPr>
        <w:t>’</w:t>
      </w:r>
      <w:r w:rsidRPr="00BC2D48">
        <w:rPr>
          <w:lang w:val="fr-CA"/>
        </w:rPr>
        <w:t xml:space="preserve">appel. </w:t>
      </w:r>
      <w:r>
        <w:rPr>
          <w:lang w:val="fr-CA"/>
        </w:rPr>
        <w:t>Vu que le PGC</w:t>
      </w:r>
      <w:r w:rsidRPr="00BC2D48">
        <w:rPr>
          <w:lang w:val="fr-CA"/>
        </w:rPr>
        <w:t xml:space="preserve"> </w:t>
      </w:r>
      <w:r>
        <w:rPr>
          <w:lang w:val="fr-CA"/>
        </w:rPr>
        <w:t>reconnaissait alors</w:t>
      </w:r>
      <w:r w:rsidRPr="00BC2D48">
        <w:rPr>
          <w:lang w:val="fr-CA"/>
        </w:rPr>
        <w:t xml:space="preserve"> que la </w:t>
      </w:r>
      <w:r>
        <w:rPr>
          <w:lang w:val="fr-CA"/>
        </w:rPr>
        <w:t>disposition</w:t>
      </w:r>
      <w:r w:rsidRPr="00BC2D48">
        <w:rPr>
          <w:lang w:val="fr-CA"/>
        </w:rPr>
        <w:t xml:space="preserve"> législative contestée </w:t>
      </w:r>
      <w:r>
        <w:rPr>
          <w:lang w:val="fr-CA"/>
        </w:rPr>
        <w:t>constitue une violation de</w:t>
      </w:r>
      <w:r w:rsidRPr="00BC2D48">
        <w:rPr>
          <w:lang w:val="fr-CA"/>
        </w:rPr>
        <w:t xml:space="preserve"> l</w:t>
      </w:r>
      <w:r>
        <w:rPr>
          <w:lang w:val="fr-CA"/>
        </w:rPr>
        <w:t>’art. </w:t>
      </w:r>
      <w:r w:rsidRPr="00BC2D48">
        <w:rPr>
          <w:lang w:val="fr-CA"/>
        </w:rPr>
        <w:t xml:space="preserve">3 de la </w:t>
      </w:r>
      <w:r w:rsidRPr="00BC2D48">
        <w:rPr>
          <w:i/>
          <w:lang w:val="fr-CA"/>
        </w:rPr>
        <w:t>Charte</w:t>
      </w:r>
      <w:r w:rsidRPr="00BC2D48">
        <w:rPr>
          <w:lang w:val="fr-CA"/>
        </w:rPr>
        <w:t>, l</w:t>
      </w:r>
      <w:r>
        <w:rPr>
          <w:lang w:val="fr-CA"/>
        </w:rPr>
        <w:t>’</w:t>
      </w:r>
      <w:r w:rsidRPr="00BC2D48">
        <w:rPr>
          <w:lang w:val="fr-CA"/>
        </w:rPr>
        <w:t xml:space="preserve">appel portait uniquement sur la question de savoir si </w:t>
      </w:r>
      <w:r>
        <w:rPr>
          <w:lang w:val="fr-CA"/>
        </w:rPr>
        <w:t>la violation peu</w:t>
      </w:r>
      <w:r w:rsidRPr="00BC2D48">
        <w:rPr>
          <w:lang w:val="fr-CA"/>
        </w:rPr>
        <w:t xml:space="preserve">t se justifier </w:t>
      </w:r>
      <w:r>
        <w:rPr>
          <w:lang w:val="fr-CA"/>
        </w:rPr>
        <w:t>au regard</w:t>
      </w:r>
      <w:r w:rsidRPr="00BC2D48">
        <w:rPr>
          <w:lang w:val="fr-CA"/>
        </w:rPr>
        <w:t xml:space="preserve"> de l</w:t>
      </w:r>
      <w:r>
        <w:rPr>
          <w:lang w:val="fr-CA"/>
        </w:rPr>
        <w:t>’</w:t>
      </w:r>
      <w:r w:rsidRPr="00BC2D48">
        <w:rPr>
          <w:lang w:val="fr-CA"/>
        </w:rPr>
        <w:t>article premier.</w:t>
      </w:r>
    </w:p>
    <w:p w:rsidR="001244E7" w:rsidRPr="00BC2D48" w:rsidRDefault="001244E7" w:rsidP="001244E7">
      <w:pPr>
        <w:pStyle w:val="ParaNoNdepar-AltN"/>
        <w:rPr>
          <w:lang w:val="fr-CA"/>
        </w:rPr>
      </w:pPr>
      <w:r>
        <w:rPr>
          <w:lang w:val="fr-CA"/>
        </w:rPr>
        <w:t xml:space="preserve">Devant </w:t>
      </w:r>
      <w:r w:rsidRPr="00BC2D48">
        <w:rPr>
          <w:lang w:val="fr-CA"/>
        </w:rPr>
        <w:t>la Cour d</w:t>
      </w:r>
      <w:r>
        <w:rPr>
          <w:lang w:val="fr-CA"/>
        </w:rPr>
        <w:t>’</w:t>
      </w:r>
      <w:r w:rsidRPr="00BC2D48">
        <w:rPr>
          <w:lang w:val="fr-CA"/>
        </w:rPr>
        <w:t xml:space="preserve">appel, le </w:t>
      </w:r>
      <w:r>
        <w:rPr>
          <w:lang w:val="fr-CA"/>
        </w:rPr>
        <w:t>PGC</w:t>
      </w:r>
      <w:r w:rsidRPr="00BC2D48">
        <w:rPr>
          <w:lang w:val="fr-CA"/>
        </w:rPr>
        <w:t xml:space="preserve"> a considérablement reformulé les objectifs législatifs, plaidant que [</w:t>
      </w:r>
      <w:r w:rsidRPr="00BC2D48">
        <w:rPr>
          <w:smallCaps/>
          <w:lang w:val="fr-CA"/>
        </w:rPr>
        <w:t>traduction</w:t>
      </w:r>
      <w:r w:rsidRPr="00BC2D48">
        <w:rPr>
          <w:lang w:val="fr-CA"/>
        </w:rPr>
        <w:t>] « </w:t>
      </w:r>
      <w:r>
        <w:rPr>
          <w:lang w:val="fr-CA"/>
        </w:rPr>
        <w:t>la condition</w:t>
      </w:r>
      <w:r w:rsidRPr="00BC2D48">
        <w:rPr>
          <w:lang w:val="fr-CA"/>
        </w:rPr>
        <w:t xml:space="preserve"> de résidence permet de réaliser l</w:t>
      </w:r>
      <w:r>
        <w:rPr>
          <w:lang w:val="fr-CA"/>
        </w:rPr>
        <w:t>’</w:t>
      </w:r>
      <w:r w:rsidRPr="00BC2D48">
        <w:rPr>
          <w:lang w:val="fr-CA"/>
        </w:rPr>
        <w:t>objectif urgent et réel</w:t>
      </w:r>
      <w:r>
        <w:rPr>
          <w:lang w:val="fr-CA"/>
        </w:rPr>
        <w:t xml:space="preserve"> de préservation du</w:t>
      </w:r>
      <w:r w:rsidRPr="00BC2D48">
        <w:rPr>
          <w:lang w:val="fr-CA"/>
        </w:rPr>
        <w:t xml:space="preserve"> contrat social au cœur du système canadien de démocratie constitutionnelle » </w:t>
      </w:r>
      <w:r>
        <w:rPr>
          <w:lang w:val="fr-CA"/>
        </w:rPr>
        <w:t>(par. 51)</w:t>
      </w:r>
      <w:r w:rsidRPr="00BC2D48">
        <w:rPr>
          <w:lang w:val="fr-CA"/>
        </w:rPr>
        <w:t xml:space="preserve">. </w:t>
      </w:r>
      <w:r>
        <w:rPr>
          <w:lang w:val="fr-CA"/>
        </w:rPr>
        <w:t>L</w:t>
      </w:r>
      <w:r w:rsidRPr="00BC2D48">
        <w:rPr>
          <w:lang w:val="fr-CA"/>
        </w:rPr>
        <w:t xml:space="preserve">e </w:t>
      </w:r>
      <w:r>
        <w:rPr>
          <w:lang w:val="fr-CA"/>
        </w:rPr>
        <w:t>PGC a expliqué que le contrat social fait en sorte</w:t>
      </w:r>
      <w:r w:rsidRPr="00BC2D48">
        <w:rPr>
          <w:lang w:val="fr-CA"/>
        </w:rPr>
        <w:t xml:space="preserve"> que les citoyens sont subjectivement liés au Canada par </w:t>
      </w:r>
      <w:r>
        <w:rPr>
          <w:lang w:val="fr-CA"/>
        </w:rPr>
        <w:t>leurs</w:t>
      </w:r>
      <w:r w:rsidRPr="00BC2D48">
        <w:rPr>
          <w:lang w:val="fr-CA"/>
        </w:rPr>
        <w:t xml:space="preserve"> connaissances et affiliation</w:t>
      </w:r>
      <w:r>
        <w:rPr>
          <w:lang w:val="fr-CA"/>
        </w:rPr>
        <w:t>s</w:t>
      </w:r>
      <w:r w:rsidRPr="00BC2D48">
        <w:rPr>
          <w:lang w:val="fr-CA"/>
        </w:rPr>
        <w:t>, et objectivement liés par les responsabilités de la citoyenneté et l</w:t>
      </w:r>
      <w:r>
        <w:rPr>
          <w:lang w:val="fr-CA"/>
        </w:rPr>
        <w:t>’</w:t>
      </w:r>
      <w:r w:rsidRPr="00BC2D48">
        <w:rPr>
          <w:lang w:val="fr-CA"/>
        </w:rPr>
        <w:t>obligation d</w:t>
      </w:r>
      <w:r>
        <w:rPr>
          <w:lang w:val="fr-CA"/>
        </w:rPr>
        <w:t>’</w:t>
      </w:r>
      <w:r w:rsidRPr="00BC2D48">
        <w:rPr>
          <w:lang w:val="fr-CA"/>
        </w:rPr>
        <w:t xml:space="preserve">observer les lois nationales. Au nom des juges majoritaires, </w:t>
      </w:r>
      <w:r>
        <w:rPr>
          <w:lang w:val="fr-CA"/>
        </w:rPr>
        <w:t>le juge</w:t>
      </w:r>
      <w:r w:rsidRPr="00BC2D48">
        <w:rPr>
          <w:lang w:val="fr-CA"/>
        </w:rPr>
        <w:t xml:space="preserve"> </w:t>
      </w:r>
      <w:r>
        <w:rPr>
          <w:lang w:val="fr-CA"/>
        </w:rPr>
        <w:t xml:space="preserve">en chef </w:t>
      </w:r>
      <w:proofErr w:type="spellStart"/>
      <w:r>
        <w:rPr>
          <w:lang w:val="fr-CA"/>
        </w:rPr>
        <w:t>Strathy</w:t>
      </w:r>
      <w:proofErr w:type="spellEnd"/>
      <w:r w:rsidRPr="00BC2D48">
        <w:rPr>
          <w:lang w:val="fr-CA"/>
        </w:rPr>
        <w:t xml:space="preserve"> s</w:t>
      </w:r>
      <w:r>
        <w:rPr>
          <w:lang w:val="fr-CA"/>
        </w:rPr>
        <w:t xml:space="preserve">’est </w:t>
      </w:r>
      <w:r w:rsidRPr="00BC2D48">
        <w:rPr>
          <w:lang w:val="fr-CA"/>
        </w:rPr>
        <w:t>appuy</w:t>
      </w:r>
      <w:r>
        <w:rPr>
          <w:lang w:val="fr-CA"/>
        </w:rPr>
        <w:t>é</w:t>
      </w:r>
      <w:r w:rsidRPr="00BC2D48">
        <w:rPr>
          <w:lang w:val="fr-CA"/>
        </w:rPr>
        <w:t xml:space="preserve"> </w:t>
      </w:r>
      <w:r>
        <w:rPr>
          <w:lang w:val="fr-CA"/>
        </w:rPr>
        <w:t>en grande partie</w:t>
      </w:r>
      <w:r w:rsidRPr="00BC2D48">
        <w:rPr>
          <w:lang w:val="fr-CA"/>
        </w:rPr>
        <w:t xml:space="preserve"> sur l</w:t>
      </w:r>
      <w:r>
        <w:rPr>
          <w:lang w:val="fr-CA"/>
        </w:rPr>
        <w:t>’</w:t>
      </w:r>
      <w:r w:rsidRPr="00BC2D48">
        <w:rPr>
          <w:lang w:val="fr-CA"/>
        </w:rPr>
        <w:t xml:space="preserve">arrêt </w:t>
      </w:r>
      <w:r w:rsidRPr="00BC2D48">
        <w:rPr>
          <w:i/>
          <w:lang w:val="fr-CA"/>
        </w:rPr>
        <w:t>Sauvé c. Canada (Directeur général des élections)</w:t>
      </w:r>
      <w:r w:rsidRPr="00BC2D48">
        <w:rPr>
          <w:lang w:val="fr-CA"/>
        </w:rPr>
        <w:t>, 2002 CSC 68, [200</w:t>
      </w:r>
      <w:r>
        <w:rPr>
          <w:lang w:val="fr-CA"/>
        </w:rPr>
        <w:t>2</w:t>
      </w:r>
      <w:r w:rsidRPr="00BC2D48">
        <w:rPr>
          <w:lang w:val="fr-CA"/>
        </w:rPr>
        <w:t xml:space="preserve">] </w:t>
      </w:r>
      <w:r>
        <w:rPr>
          <w:lang w:val="fr-CA"/>
        </w:rPr>
        <w:t>3 R.C.</w:t>
      </w:r>
      <w:r w:rsidRPr="00BC2D48">
        <w:rPr>
          <w:lang w:val="fr-CA"/>
        </w:rPr>
        <w:t>S.</w:t>
      </w:r>
      <w:r>
        <w:rPr>
          <w:lang w:val="fr-CA"/>
        </w:rPr>
        <w:t xml:space="preserve"> 519</w:t>
      </w:r>
      <w:r w:rsidRPr="00BC2D48">
        <w:rPr>
          <w:lang w:val="fr-CA"/>
        </w:rPr>
        <w:t xml:space="preserve"> (« </w:t>
      </w:r>
      <w:r w:rsidRPr="00BC2D48">
        <w:rPr>
          <w:i/>
          <w:lang w:val="fr-CA"/>
        </w:rPr>
        <w:t>Sauvé n</w:t>
      </w:r>
      <w:r w:rsidRPr="00BC2D48">
        <w:rPr>
          <w:i/>
          <w:vertAlign w:val="superscript"/>
          <w:lang w:val="fr-CA"/>
        </w:rPr>
        <w:t>o</w:t>
      </w:r>
      <w:r w:rsidRPr="00BC2D48">
        <w:rPr>
          <w:i/>
          <w:lang w:val="fr-CA"/>
        </w:rPr>
        <w:t xml:space="preserve"> 2</w:t>
      </w:r>
      <w:r w:rsidRPr="00BC2D48">
        <w:rPr>
          <w:lang w:val="fr-CA"/>
        </w:rPr>
        <w:t xml:space="preserve"> »), </w:t>
      </w:r>
      <w:r>
        <w:rPr>
          <w:lang w:val="fr-CA"/>
        </w:rPr>
        <w:t>pour</w:t>
      </w:r>
      <w:r w:rsidRPr="00BC2D48">
        <w:rPr>
          <w:lang w:val="fr-CA"/>
        </w:rPr>
        <w:t xml:space="preserve"> conclu</w:t>
      </w:r>
      <w:r>
        <w:rPr>
          <w:lang w:val="fr-CA"/>
        </w:rPr>
        <w:t>re</w:t>
      </w:r>
      <w:r w:rsidRPr="00BC2D48">
        <w:rPr>
          <w:lang w:val="fr-CA"/>
        </w:rPr>
        <w:t xml:space="preserve"> que l</w:t>
      </w:r>
      <w:r>
        <w:rPr>
          <w:lang w:val="fr-CA"/>
        </w:rPr>
        <w:t>’</w:t>
      </w:r>
      <w:r w:rsidRPr="00BC2D48">
        <w:rPr>
          <w:lang w:val="fr-CA"/>
        </w:rPr>
        <w:t>argument du contrat social avait une assise solide en théorie politique et dans la jurispru</w:t>
      </w:r>
      <w:r>
        <w:rPr>
          <w:lang w:val="fr-CA"/>
        </w:rPr>
        <w:t xml:space="preserve">dence de notre Cour, et que la préservation du contrat social est </w:t>
      </w:r>
      <w:r w:rsidRPr="00BC2D48">
        <w:rPr>
          <w:lang w:val="fr-CA"/>
        </w:rPr>
        <w:t>un objectif valide aux fins de l</w:t>
      </w:r>
      <w:r>
        <w:rPr>
          <w:lang w:val="fr-CA"/>
        </w:rPr>
        <w:t>’</w:t>
      </w:r>
      <w:r w:rsidRPr="00BC2D48">
        <w:rPr>
          <w:lang w:val="fr-CA"/>
        </w:rPr>
        <w:t>analyse fondée sur l</w:t>
      </w:r>
      <w:r>
        <w:rPr>
          <w:lang w:val="fr-CA"/>
        </w:rPr>
        <w:t>’</w:t>
      </w:r>
      <w:r w:rsidRPr="00BC2D48">
        <w:rPr>
          <w:lang w:val="fr-CA"/>
        </w:rPr>
        <w:t>article premier.</w:t>
      </w:r>
    </w:p>
    <w:p w:rsidR="001244E7" w:rsidRPr="00BC2D48" w:rsidRDefault="001244E7" w:rsidP="001244E7">
      <w:pPr>
        <w:pStyle w:val="ParaNoNdepar-AltN"/>
        <w:rPr>
          <w:lang w:val="fr-CA"/>
        </w:rPr>
      </w:pPr>
      <w:r w:rsidRPr="00BC2D48">
        <w:rPr>
          <w:lang w:val="fr-CA"/>
        </w:rPr>
        <w:t>Passant ensuite à l</w:t>
      </w:r>
      <w:r>
        <w:rPr>
          <w:lang w:val="fr-CA"/>
        </w:rPr>
        <w:t>’</w:t>
      </w:r>
      <w:r w:rsidRPr="00BC2D48">
        <w:rPr>
          <w:lang w:val="fr-CA"/>
        </w:rPr>
        <w:t xml:space="preserve">analyse de la proportionnalité </w:t>
      </w:r>
      <w:r>
        <w:rPr>
          <w:lang w:val="fr-CA"/>
        </w:rPr>
        <w:t xml:space="preserve">du test </w:t>
      </w:r>
      <w:r w:rsidRPr="00BC2D48">
        <w:rPr>
          <w:lang w:val="fr-CA"/>
        </w:rPr>
        <w:t>de l</w:t>
      </w:r>
      <w:r>
        <w:rPr>
          <w:lang w:val="fr-CA"/>
        </w:rPr>
        <w:t>’</w:t>
      </w:r>
      <w:r w:rsidRPr="00BC2D48">
        <w:rPr>
          <w:lang w:val="fr-CA"/>
        </w:rPr>
        <w:t xml:space="preserve">arrêt </w:t>
      </w:r>
      <w:proofErr w:type="spellStart"/>
      <w:r w:rsidRPr="00BC2D48">
        <w:rPr>
          <w:i/>
          <w:lang w:val="fr-CA"/>
        </w:rPr>
        <w:t>Oakes</w:t>
      </w:r>
      <w:proofErr w:type="spellEnd"/>
      <w:r w:rsidRPr="00BC2D48">
        <w:rPr>
          <w:lang w:val="fr-CA"/>
        </w:rPr>
        <w:t xml:space="preserve">, </w:t>
      </w:r>
      <w:r>
        <w:rPr>
          <w:lang w:val="fr-CA"/>
        </w:rPr>
        <w:t xml:space="preserve">le juge en chef </w:t>
      </w:r>
      <w:proofErr w:type="spellStart"/>
      <w:r w:rsidRPr="00BC2D48">
        <w:rPr>
          <w:lang w:val="fr-CA"/>
        </w:rPr>
        <w:t>Strathy</w:t>
      </w:r>
      <w:proofErr w:type="spellEnd"/>
      <w:r w:rsidRPr="00BC2D48">
        <w:rPr>
          <w:lang w:val="fr-CA"/>
        </w:rPr>
        <w:t xml:space="preserve"> a </w:t>
      </w:r>
      <w:r>
        <w:rPr>
          <w:lang w:val="fr-CA"/>
        </w:rPr>
        <w:t>dé</w:t>
      </w:r>
      <w:r w:rsidRPr="00BC2D48">
        <w:rPr>
          <w:lang w:val="fr-CA"/>
        </w:rPr>
        <w:t>cl</w:t>
      </w:r>
      <w:r>
        <w:rPr>
          <w:lang w:val="fr-CA"/>
        </w:rPr>
        <w:t>aré</w:t>
      </w:r>
      <w:r w:rsidRPr="00BC2D48">
        <w:rPr>
          <w:lang w:val="fr-CA"/>
        </w:rPr>
        <w:t xml:space="preserve"> que les dispositions contestées </w:t>
      </w:r>
      <w:r>
        <w:rPr>
          <w:lang w:val="fr-CA"/>
        </w:rPr>
        <w:t>sont</w:t>
      </w:r>
      <w:r w:rsidRPr="00BC2D48">
        <w:rPr>
          <w:lang w:val="fr-CA"/>
        </w:rPr>
        <w:t xml:space="preserve"> proportionnées</w:t>
      </w:r>
      <w:r>
        <w:rPr>
          <w:lang w:val="fr-CA"/>
        </w:rPr>
        <w:t xml:space="preserve"> à l’objectif</w:t>
      </w:r>
      <w:r w:rsidRPr="00BC2D48">
        <w:rPr>
          <w:lang w:val="fr-CA"/>
        </w:rPr>
        <w:t xml:space="preserve">. À son avis, </w:t>
      </w:r>
      <w:r>
        <w:rPr>
          <w:lang w:val="fr-CA"/>
        </w:rPr>
        <w:t xml:space="preserve">l’exclusion </w:t>
      </w:r>
      <w:r w:rsidRPr="00BC2D48">
        <w:rPr>
          <w:lang w:val="fr-CA"/>
        </w:rPr>
        <w:t xml:space="preserve">de Canadiens </w:t>
      </w:r>
      <w:proofErr w:type="spellStart"/>
      <w:r w:rsidRPr="00BC2D48">
        <w:rPr>
          <w:lang w:val="fr-CA"/>
        </w:rPr>
        <w:t>non</w:t>
      </w:r>
      <w:r>
        <w:rPr>
          <w:lang w:val="fr-CA"/>
        </w:rPr>
        <w:t xml:space="preserve"> </w:t>
      </w:r>
      <w:r w:rsidRPr="00BC2D48">
        <w:rPr>
          <w:lang w:val="fr-CA"/>
        </w:rPr>
        <w:t>résidents</w:t>
      </w:r>
      <w:proofErr w:type="spellEnd"/>
      <w:r w:rsidRPr="00BC2D48">
        <w:rPr>
          <w:lang w:val="fr-CA"/>
        </w:rPr>
        <w:t xml:space="preserve"> </w:t>
      </w:r>
      <w:r>
        <w:rPr>
          <w:lang w:val="fr-CA"/>
        </w:rPr>
        <w:t xml:space="preserve">du scrutin </w:t>
      </w:r>
      <w:r w:rsidRPr="00BC2D48">
        <w:rPr>
          <w:lang w:val="fr-CA"/>
        </w:rPr>
        <w:t xml:space="preserve">renforce le contrat social et accroît la légitimité des lois; </w:t>
      </w:r>
      <w:r>
        <w:rPr>
          <w:lang w:val="fr-CA"/>
        </w:rPr>
        <w:t xml:space="preserve">en conséquence, il était d’avis </w:t>
      </w:r>
      <w:r w:rsidRPr="00BC2D48">
        <w:rPr>
          <w:lang w:val="fr-CA"/>
        </w:rPr>
        <w:t xml:space="preserve">que les dispositions contestées </w:t>
      </w:r>
      <w:r>
        <w:rPr>
          <w:lang w:val="fr-CA"/>
        </w:rPr>
        <w:t>ont</w:t>
      </w:r>
      <w:r w:rsidRPr="00BC2D48">
        <w:rPr>
          <w:lang w:val="fr-CA"/>
        </w:rPr>
        <w:t xml:space="preserve"> un lien rationnel avec l</w:t>
      </w:r>
      <w:r>
        <w:rPr>
          <w:lang w:val="fr-CA"/>
        </w:rPr>
        <w:t>’</w:t>
      </w:r>
      <w:r w:rsidRPr="00BC2D48">
        <w:rPr>
          <w:lang w:val="fr-CA"/>
        </w:rPr>
        <w:t>objectif du contrat soci</w:t>
      </w:r>
      <w:r>
        <w:rPr>
          <w:lang w:val="fr-CA"/>
        </w:rPr>
        <w:t>al. </w:t>
      </w:r>
      <w:r w:rsidRPr="00BC2D48">
        <w:rPr>
          <w:lang w:val="fr-CA"/>
        </w:rPr>
        <w:t xml:space="preserve">Il a jugé </w:t>
      </w:r>
      <w:r w:rsidRPr="00BC2D48">
        <w:rPr>
          <w:lang w:val="fr-CA"/>
        </w:rPr>
        <w:lastRenderedPageBreak/>
        <w:t>que la limit</w:t>
      </w:r>
      <w:r>
        <w:rPr>
          <w:lang w:val="fr-CA"/>
        </w:rPr>
        <w:t>e de cinq ans fai</w:t>
      </w:r>
      <w:r w:rsidRPr="00BC2D48">
        <w:rPr>
          <w:lang w:val="fr-CA"/>
        </w:rPr>
        <w:t xml:space="preserve">t partie des choix de principe raisonnables que pouvait faire le </w:t>
      </w:r>
      <w:r>
        <w:rPr>
          <w:lang w:val="fr-CA"/>
        </w:rPr>
        <w:t>législateur, et qu’elle constitue donc</w:t>
      </w:r>
      <w:r w:rsidRPr="00BC2D48">
        <w:rPr>
          <w:lang w:val="fr-CA"/>
        </w:rPr>
        <w:t xml:space="preserve"> une atteinte minimale. Enfin, </w:t>
      </w:r>
      <w:r>
        <w:rPr>
          <w:lang w:val="fr-CA"/>
        </w:rPr>
        <w:t xml:space="preserve">selon lui, </w:t>
      </w:r>
      <w:r w:rsidRPr="00BC2D48">
        <w:rPr>
          <w:lang w:val="fr-CA"/>
        </w:rPr>
        <w:t xml:space="preserve">il y a proportionnalité entre les effets bénéfiques et les effets préjudiciables de la </w:t>
      </w:r>
      <w:r>
        <w:rPr>
          <w:lang w:val="fr-CA"/>
        </w:rPr>
        <w:t>disposition</w:t>
      </w:r>
      <w:r w:rsidRPr="00BC2D48">
        <w:rPr>
          <w:lang w:val="fr-CA"/>
        </w:rPr>
        <w:t xml:space="preserve">, principalement parce que les citoyens </w:t>
      </w:r>
      <w:proofErr w:type="spellStart"/>
      <w:r w:rsidRPr="00BC2D48">
        <w:rPr>
          <w:lang w:val="fr-CA"/>
        </w:rPr>
        <w:t>non</w:t>
      </w:r>
      <w:r>
        <w:rPr>
          <w:lang w:val="fr-CA"/>
        </w:rPr>
        <w:t xml:space="preserve"> </w:t>
      </w:r>
      <w:r w:rsidRPr="00BC2D48">
        <w:rPr>
          <w:lang w:val="fr-CA"/>
        </w:rPr>
        <w:t>résidents</w:t>
      </w:r>
      <w:proofErr w:type="spellEnd"/>
      <w:r>
        <w:rPr>
          <w:lang w:val="fr-CA"/>
        </w:rPr>
        <w:t xml:space="preserve"> pe</w:t>
      </w:r>
      <w:r w:rsidRPr="00BC2D48">
        <w:rPr>
          <w:lang w:val="fr-CA"/>
        </w:rPr>
        <w:t>u</w:t>
      </w:r>
      <w:r>
        <w:rPr>
          <w:lang w:val="fr-CA"/>
        </w:rPr>
        <w:t>v</w:t>
      </w:r>
      <w:r w:rsidRPr="00BC2D48">
        <w:rPr>
          <w:lang w:val="fr-CA"/>
        </w:rPr>
        <w:t>ent revenir s</w:t>
      </w:r>
      <w:r>
        <w:rPr>
          <w:lang w:val="fr-CA"/>
        </w:rPr>
        <w:t>’</w:t>
      </w:r>
      <w:r w:rsidRPr="00BC2D48">
        <w:rPr>
          <w:lang w:val="fr-CA"/>
        </w:rPr>
        <w:t>établir au Canada en tout temps et</w:t>
      </w:r>
      <w:r>
        <w:rPr>
          <w:lang w:val="fr-CA"/>
        </w:rPr>
        <w:t xml:space="preserve"> donc</w:t>
      </w:r>
      <w:r w:rsidRPr="00BC2D48">
        <w:rPr>
          <w:lang w:val="fr-CA"/>
        </w:rPr>
        <w:t xml:space="preserve"> retrouver leur droit de vote. </w:t>
      </w:r>
      <w:r>
        <w:rPr>
          <w:lang w:val="fr-CA"/>
        </w:rPr>
        <w:t>Comme</w:t>
      </w:r>
      <w:r w:rsidRPr="00BC2D48">
        <w:rPr>
          <w:lang w:val="fr-CA"/>
        </w:rPr>
        <w:t xml:space="preserve"> la </w:t>
      </w:r>
      <w:r>
        <w:rPr>
          <w:lang w:val="fr-CA"/>
        </w:rPr>
        <w:t>restriction</w:t>
      </w:r>
      <w:r w:rsidRPr="00BC2D48">
        <w:rPr>
          <w:lang w:val="fr-CA"/>
        </w:rPr>
        <w:t xml:space="preserve"> en question respect</w:t>
      </w:r>
      <w:r>
        <w:rPr>
          <w:lang w:val="fr-CA"/>
        </w:rPr>
        <w:t>e</w:t>
      </w:r>
      <w:r w:rsidRPr="00BC2D48">
        <w:rPr>
          <w:lang w:val="fr-CA"/>
        </w:rPr>
        <w:t xml:space="preserve"> les trois critères de </w:t>
      </w:r>
      <w:r>
        <w:rPr>
          <w:lang w:val="fr-CA"/>
        </w:rPr>
        <w:t xml:space="preserve">l’analyse de la </w:t>
      </w:r>
      <w:r w:rsidRPr="00BC2D48">
        <w:rPr>
          <w:lang w:val="fr-CA"/>
        </w:rPr>
        <w:t xml:space="preserve">proportionnalité </w:t>
      </w:r>
      <w:r>
        <w:rPr>
          <w:lang w:val="fr-CA"/>
        </w:rPr>
        <w:t xml:space="preserve">du test </w:t>
      </w:r>
      <w:r w:rsidRPr="00BC2D48">
        <w:rPr>
          <w:lang w:val="fr-CA"/>
        </w:rPr>
        <w:t>de l</w:t>
      </w:r>
      <w:r>
        <w:rPr>
          <w:lang w:val="fr-CA"/>
        </w:rPr>
        <w:t>’</w:t>
      </w:r>
      <w:r w:rsidRPr="00BC2D48">
        <w:rPr>
          <w:lang w:val="fr-CA"/>
        </w:rPr>
        <w:t xml:space="preserve">arrêt </w:t>
      </w:r>
      <w:proofErr w:type="spellStart"/>
      <w:r w:rsidRPr="00BC2D48">
        <w:rPr>
          <w:i/>
          <w:lang w:val="fr-CA"/>
        </w:rPr>
        <w:t>Oakes</w:t>
      </w:r>
      <w:proofErr w:type="spellEnd"/>
      <w:r w:rsidRPr="00BC2D48">
        <w:rPr>
          <w:lang w:val="fr-CA"/>
        </w:rPr>
        <w:t xml:space="preserve">, les juges majoritaires de la Cour </w:t>
      </w:r>
      <w:proofErr w:type="gramStart"/>
      <w:r w:rsidRPr="00BC2D48">
        <w:rPr>
          <w:lang w:val="fr-CA"/>
        </w:rPr>
        <w:t>d</w:t>
      </w:r>
      <w:r>
        <w:rPr>
          <w:lang w:val="fr-CA"/>
        </w:rPr>
        <w:t>’</w:t>
      </w:r>
      <w:r w:rsidRPr="00BC2D48">
        <w:rPr>
          <w:lang w:val="fr-CA"/>
        </w:rPr>
        <w:t>appel ont</w:t>
      </w:r>
      <w:proofErr w:type="gramEnd"/>
      <w:r w:rsidRPr="00BC2D48">
        <w:rPr>
          <w:lang w:val="fr-CA"/>
        </w:rPr>
        <w:t xml:space="preserve"> conclu que </w:t>
      </w:r>
      <w:r>
        <w:rPr>
          <w:lang w:val="fr-CA"/>
        </w:rPr>
        <w:t>la violation</w:t>
      </w:r>
      <w:r w:rsidRPr="00BC2D48">
        <w:rPr>
          <w:lang w:val="fr-CA"/>
        </w:rPr>
        <w:t xml:space="preserve"> </w:t>
      </w:r>
      <w:r>
        <w:rPr>
          <w:lang w:val="fr-CA"/>
        </w:rPr>
        <w:t>de</w:t>
      </w:r>
      <w:r w:rsidRPr="00BC2D48">
        <w:rPr>
          <w:lang w:val="fr-CA"/>
        </w:rPr>
        <w:t xml:space="preserve"> l</w:t>
      </w:r>
      <w:r>
        <w:rPr>
          <w:lang w:val="fr-CA"/>
        </w:rPr>
        <w:t>’art. </w:t>
      </w:r>
      <w:r w:rsidRPr="00BC2D48">
        <w:rPr>
          <w:lang w:val="fr-CA"/>
        </w:rPr>
        <w:t xml:space="preserve">3 de la </w:t>
      </w:r>
      <w:r w:rsidRPr="00BC2D48">
        <w:rPr>
          <w:i/>
          <w:lang w:val="fr-CA"/>
        </w:rPr>
        <w:t xml:space="preserve">Charte </w:t>
      </w:r>
      <w:r>
        <w:rPr>
          <w:lang w:val="fr-CA"/>
        </w:rPr>
        <w:t>est</w:t>
      </w:r>
      <w:r w:rsidRPr="00BC2D48">
        <w:rPr>
          <w:lang w:val="fr-CA"/>
        </w:rPr>
        <w:t xml:space="preserve"> justifi</w:t>
      </w:r>
      <w:r>
        <w:rPr>
          <w:lang w:val="fr-CA"/>
        </w:rPr>
        <w:t>é</w:t>
      </w:r>
      <w:r w:rsidRPr="00BC2D48">
        <w:rPr>
          <w:lang w:val="fr-CA"/>
        </w:rPr>
        <w:t xml:space="preserve">e </w:t>
      </w:r>
      <w:r>
        <w:rPr>
          <w:lang w:val="fr-CA"/>
        </w:rPr>
        <w:t>au regard</w:t>
      </w:r>
      <w:r w:rsidRPr="00BC2D48">
        <w:rPr>
          <w:lang w:val="fr-CA"/>
        </w:rPr>
        <w:t xml:space="preserve"> de l</w:t>
      </w:r>
      <w:r>
        <w:rPr>
          <w:lang w:val="fr-CA"/>
        </w:rPr>
        <w:t>’</w:t>
      </w:r>
      <w:r w:rsidRPr="00BC2D48">
        <w:rPr>
          <w:lang w:val="fr-CA"/>
        </w:rPr>
        <w:t>article premier.</w:t>
      </w:r>
    </w:p>
    <w:p w:rsidR="001244E7" w:rsidRPr="00BC2D48" w:rsidRDefault="001244E7" w:rsidP="001244E7">
      <w:pPr>
        <w:pStyle w:val="ParaNoNdepar-AltN"/>
        <w:rPr>
          <w:lang w:val="fr-CA"/>
        </w:rPr>
      </w:pPr>
      <w:r w:rsidRPr="00BC2D48">
        <w:rPr>
          <w:lang w:val="fr-CA"/>
        </w:rPr>
        <w:t xml:space="preserve">Le juge </w:t>
      </w:r>
      <w:proofErr w:type="spellStart"/>
      <w:r w:rsidRPr="00BC2D48">
        <w:rPr>
          <w:lang w:val="fr-CA"/>
        </w:rPr>
        <w:t>Laskin</w:t>
      </w:r>
      <w:proofErr w:type="spellEnd"/>
      <w:r w:rsidRPr="00BC2D48">
        <w:rPr>
          <w:lang w:val="fr-CA"/>
        </w:rPr>
        <w:t>, dissident, aurait rejeté l</w:t>
      </w:r>
      <w:r>
        <w:rPr>
          <w:lang w:val="fr-CA"/>
        </w:rPr>
        <w:t>’</w:t>
      </w:r>
      <w:r w:rsidRPr="00BC2D48">
        <w:rPr>
          <w:lang w:val="fr-CA"/>
        </w:rPr>
        <w:t>appel. Il a exprimé des réserves à l</w:t>
      </w:r>
      <w:r>
        <w:rPr>
          <w:lang w:val="fr-CA"/>
        </w:rPr>
        <w:t>’</w:t>
      </w:r>
      <w:r w:rsidRPr="00BC2D48">
        <w:rPr>
          <w:lang w:val="fr-CA"/>
        </w:rPr>
        <w:t>égard de l</w:t>
      </w:r>
      <w:r>
        <w:rPr>
          <w:lang w:val="fr-CA"/>
        </w:rPr>
        <w:t>’</w:t>
      </w:r>
      <w:r w:rsidRPr="00BC2D48">
        <w:rPr>
          <w:lang w:val="fr-CA"/>
        </w:rPr>
        <w:t xml:space="preserve">objectif du « contrat social » </w:t>
      </w:r>
      <w:r>
        <w:rPr>
          <w:lang w:val="fr-CA"/>
        </w:rPr>
        <w:t>énoncé</w:t>
      </w:r>
      <w:r w:rsidRPr="00BC2D48">
        <w:rPr>
          <w:lang w:val="fr-CA"/>
        </w:rPr>
        <w:t xml:space="preserve"> par le </w:t>
      </w:r>
      <w:r>
        <w:rPr>
          <w:lang w:val="fr-CA"/>
        </w:rPr>
        <w:t>PGC</w:t>
      </w:r>
      <w:r w:rsidRPr="00BC2D48">
        <w:rPr>
          <w:lang w:val="fr-CA"/>
        </w:rPr>
        <w:t>, estimant qu</w:t>
      </w:r>
      <w:r>
        <w:rPr>
          <w:lang w:val="fr-CA"/>
        </w:rPr>
        <w:t>’</w:t>
      </w:r>
      <w:r w:rsidRPr="00BC2D48">
        <w:rPr>
          <w:lang w:val="fr-CA"/>
        </w:rPr>
        <w:t xml:space="preserve">il </w:t>
      </w:r>
      <w:r>
        <w:rPr>
          <w:lang w:val="fr-CA"/>
        </w:rPr>
        <w:t>s’agissait</w:t>
      </w:r>
      <w:r w:rsidRPr="00BC2D48">
        <w:rPr>
          <w:lang w:val="fr-CA"/>
        </w:rPr>
        <w:t xml:space="preserve"> d</w:t>
      </w:r>
      <w:r>
        <w:rPr>
          <w:lang w:val="fr-CA"/>
        </w:rPr>
        <w:t>’</w:t>
      </w:r>
      <w:r w:rsidRPr="00BC2D48">
        <w:rPr>
          <w:lang w:val="fr-CA"/>
        </w:rPr>
        <w:t>un nouvel argument soulevé sans droit</w:t>
      </w:r>
      <w:r>
        <w:rPr>
          <w:lang w:val="fr-CA"/>
        </w:rPr>
        <w:t xml:space="preserve"> en appel</w:t>
      </w:r>
      <w:r w:rsidRPr="00BC2D48">
        <w:rPr>
          <w:lang w:val="fr-CA"/>
        </w:rPr>
        <w:t xml:space="preserve">. De plus, il </w:t>
      </w:r>
      <w:r>
        <w:rPr>
          <w:lang w:val="fr-CA"/>
        </w:rPr>
        <w:t>était préoccupé par le fait que la préser</w:t>
      </w:r>
      <w:r w:rsidRPr="00BC2D48">
        <w:rPr>
          <w:lang w:val="fr-CA"/>
        </w:rPr>
        <w:t xml:space="preserve">vation du contrat social </w:t>
      </w:r>
      <w:r>
        <w:rPr>
          <w:lang w:val="fr-CA"/>
        </w:rPr>
        <w:t xml:space="preserve">ne </w:t>
      </w:r>
      <w:r w:rsidRPr="00BC2D48">
        <w:rPr>
          <w:lang w:val="fr-CA"/>
        </w:rPr>
        <w:t xml:space="preserve">correspondait </w:t>
      </w:r>
      <w:r>
        <w:rPr>
          <w:lang w:val="fr-CA"/>
        </w:rPr>
        <w:t>pas réellement</w:t>
      </w:r>
      <w:r w:rsidRPr="00BC2D48">
        <w:rPr>
          <w:lang w:val="fr-CA"/>
        </w:rPr>
        <w:t xml:space="preserve"> à l</w:t>
      </w:r>
      <w:r>
        <w:rPr>
          <w:lang w:val="fr-CA"/>
        </w:rPr>
        <w:t>’</w:t>
      </w:r>
      <w:r w:rsidRPr="00BC2D48">
        <w:rPr>
          <w:lang w:val="fr-CA"/>
        </w:rPr>
        <w:t xml:space="preserve">intention du </w:t>
      </w:r>
      <w:r>
        <w:rPr>
          <w:lang w:val="fr-CA"/>
        </w:rPr>
        <w:t>législateur</w:t>
      </w:r>
      <w:r w:rsidRPr="00BC2D48">
        <w:rPr>
          <w:lang w:val="fr-CA"/>
        </w:rPr>
        <w:t xml:space="preserve"> au moment où la </w:t>
      </w:r>
      <w:r>
        <w:rPr>
          <w:lang w:val="fr-CA"/>
        </w:rPr>
        <w:t>loi</w:t>
      </w:r>
      <w:r w:rsidRPr="00BC2D48">
        <w:rPr>
          <w:lang w:val="fr-CA"/>
        </w:rPr>
        <w:t xml:space="preserve"> a été édictée. Enfin, même en admettant que cet argument</w:t>
      </w:r>
      <w:r>
        <w:rPr>
          <w:lang w:val="fr-CA"/>
        </w:rPr>
        <w:t xml:space="preserve"> concernant l’objectif</w:t>
      </w:r>
      <w:r w:rsidRPr="00BC2D48">
        <w:rPr>
          <w:lang w:val="fr-CA"/>
        </w:rPr>
        <w:t xml:space="preserve"> eût été soulevé </w:t>
      </w:r>
      <w:r>
        <w:rPr>
          <w:lang w:val="fr-CA"/>
        </w:rPr>
        <w:t>valablement</w:t>
      </w:r>
      <w:r w:rsidRPr="00BC2D48">
        <w:rPr>
          <w:lang w:val="fr-CA"/>
        </w:rPr>
        <w:t xml:space="preserve">, le juge </w:t>
      </w:r>
      <w:proofErr w:type="spellStart"/>
      <w:r w:rsidRPr="00BC2D48">
        <w:rPr>
          <w:lang w:val="fr-CA"/>
        </w:rPr>
        <w:t>Laskin</w:t>
      </w:r>
      <w:proofErr w:type="spellEnd"/>
      <w:r w:rsidRPr="00BC2D48">
        <w:rPr>
          <w:lang w:val="fr-CA"/>
        </w:rPr>
        <w:t xml:space="preserve"> était d</w:t>
      </w:r>
      <w:r>
        <w:rPr>
          <w:lang w:val="fr-CA"/>
        </w:rPr>
        <w:t>’</w:t>
      </w:r>
      <w:r w:rsidRPr="00BC2D48">
        <w:rPr>
          <w:lang w:val="fr-CA"/>
        </w:rPr>
        <w:t>avis</w:t>
      </w:r>
      <w:r>
        <w:rPr>
          <w:lang w:val="fr-CA"/>
        </w:rPr>
        <w:t xml:space="preserve"> que cet objectif n’aurait pas été urgent et réel et qu’il</w:t>
      </w:r>
      <w:r w:rsidRPr="00BC2D48">
        <w:rPr>
          <w:lang w:val="fr-CA"/>
        </w:rPr>
        <w:t xml:space="preserve"> ne répond</w:t>
      </w:r>
      <w:r>
        <w:rPr>
          <w:lang w:val="fr-CA"/>
        </w:rPr>
        <w:t>r</w:t>
      </w:r>
      <w:r w:rsidRPr="00BC2D48">
        <w:rPr>
          <w:lang w:val="fr-CA"/>
        </w:rPr>
        <w:t xml:space="preserve">ait pas aux exigences de proportionnalité </w:t>
      </w:r>
      <w:r>
        <w:rPr>
          <w:lang w:val="fr-CA"/>
        </w:rPr>
        <w:t xml:space="preserve">du test </w:t>
      </w:r>
      <w:r w:rsidRPr="00BC2D48">
        <w:rPr>
          <w:lang w:val="fr-CA"/>
        </w:rPr>
        <w:t>de l</w:t>
      </w:r>
      <w:r>
        <w:rPr>
          <w:lang w:val="fr-CA"/>
        </w:rPr>
        <w:t>’</w:t>
      </w:r>
      <w:r w:rsidRPr="00BC2D48">
        <w:rPr>
          <w:lang w:val="fr-CA"/>
        </w:rPr>
        <w:t xml:space="preserve">arrêt </w:t>
      </w:r>
      <w:proofErr w:type="spellStart"/>
      <w:r w:rsidRPr="00BC2D48">
        <w:rPr>
          <w:i/>
          <w:lang w:val="fr-CA"/>
        </w:rPr>
        <w:t>Oakes</w:t>
      </w:r>
      <w:proofErr w:type="spellEnd"/>
      <w:r w:rsidRPr="00BC2D48">
        <w:rPr>
          <w:lang w:val="fr-CA"/>
        </w:rPr>
        <w:t>.</w:t>
      </w:r>
    </w:p>
    <w:p w:rsidR="001244E7" w:rsidRPr="00BC2D48" w:rsidRDefault="001244E7" w:rsidP="001244E7">
      <w:pPr>
        <w:pStyle w:val="Title1LevelTitre1Niveau-AltL"/>
        <w:rPr>
          <w:lang w:val="fr-CA"/>
        </w:rPr>
      </w:pPr>
      <w:r w:rsidRPr="00BC2D48">
        <w:rPr>
          <w:lang w:val="fr-CA"/>
        </w:rPr>
        <w:t>Question en litige</w:t>
      </w:r>
    </w:p>
    <w:p w:rsidR="001244E7" w:rsidRPr="00BC2D48" w:rsidRDefault="001244E7" w:rsidP="001244E7">
      <w:pPr>
        <w:pStyle w:val="ParaNoNdepar-AltN"/>
        <w:rPr>
          <w:lang w:val="fr-CA"/>
        </w:rPr>
      </w:pPr>
      <w:r w:rsidRPr="00BC2D48">
        <w:rPr>
          <w:lang w:val="fr-CA"/>
        </w:rPr>
        <w:t xml:space="preserve">Le pourvoi soulève </w:t>
      </w:r>
      <w:r>
        <w:rPr>
          <w:lang w:val="fr-CA"/>
        </w:rPr>
        <w:t>la</w:t>
      </w:r>
      <w:r w:rsidRPr="00BC2D48">
        <w:rPr>
          <w:lang w:val="fr-CA"/>
        </w:rPr>
        <w:t xml:space="preserve"> question</w:t>
      </w:r>
      <w:r>
        <w:rPr>
          <w:lang w:val="fr-CA"/>
        </w:rPr>
        <w:t xml:space="preserve"> de la constitutionnalité des dispositions de la Loi qui limitent le droit de vote de non</w:t>
      </w:r>
      <w:r>
        <w:rPr>
          <w:lang w:val="fr-CA"/>
        </w:rPr>
        <w:noBreakHyphen/>
        <w:t xml:space="preserve">résidents. </w:t>
      </w:r>
      <w:r w:rsidRPr="00BC2D48">
        <w:rPr>
          <w:lang w:val="fr-CA"/>
        </w:rPr>
        <w:t xml:space="preserve">Le </w:t>
      </w:r>
      <w:r>
        <w:rPr>
          <w:lang w:val="fr-CA"/>
        </w:rPr>
        <w:t>PGC</w:t>
      </w:r>
      <w:r w:rsidRPr="00BC2D48">
        <w:rPr>
          <w:lang w:val="fr-CA"/>
        </w:rPr>
        <w:t xml:space="preserve"> a initialement fait valoir que la </w:t>
      </w:r>
      <w:r>
        <w:rPr>
          <w:lang w:val="fr-CA"/>
        </w:rPr>
        <w:t xml:space="preserve">condition de </w:t>
      </w:r>
      <w:r w:rsidRPr="00BC2D48">
        <w:rPr>
          <w:lang w:val="fr-CA"/>
        </w:rPr>
        <w:t>résidence constitu</w:t>
      </w:r>
      <w:r>
        <w:rPr>
          <w:lang w:val="fr-CA"/>
        </w:rPr>
        <w:t>e</w:t>
      </w:r>
      <w:r w:rsidRPr="00BC2D48">
        <w:rPr>
          <w:lang w:val="fr-CA"/>
        </w:rPr>
        <w:t xml:space="preserve"> une </w:t>
      </w:r>
      <w:r>
        <w:rPr>
          <w:lang w:val="fr-CA"/>
        </w:rPr>
        <w:t>limite</w:t>
      </w:r>
      <w:r w:rsidRPr="00BC2D48">
        <w:rPr>
          <w:lang w:val="fr-CA"/>
        </w:rPr>
        <w:t xml:space="preserve"> interne </w:t>
      </w:r>
      <w:r>
        <w:rPr>
          <w:lang w:val="fr-CA"/>
        </w:rPr>
        <w:t>d</w:t>
      </w:r>
      <w:r w:rsidRPr="00BC2D48">
        <w:rPr>
          <w:lang w:val="fr-CA"/>
        </w:rPr>
        <w:t>u droit de vote</w:t>
      </w:r>
      <w:r>
        <w:rPr>
          <w:lang w:val="fr-CA"/>
        </w:rPr>
        <w:t>r</w:t>
      </w:r>
      <w:r w:rsidRPr="00BC2D48">
        <w:rPr>
          <w:lang w:val="fr-CA"/>
        </w:rPr>
        <w:t xml:space="preserve">. Sur le fondement de cet argument, </w:t>
      </w:r>
      <w:r>
        <w:rPr>
          <w:lang w:val="fr-CA"/>
        </w:rPr>
        <w:t>il</w:t>
      </w:r>
      <w:r w:rsidRPr="00BC2D48">
        <w:rPr>
          <w:lang w:val="fr-CA"/>
        </w:rPr>
        <w:t xml:space="preserve"> a </w:t>
      </w:r>
      <w:r>
        <w:rPr>
          <w:lang w:val="fr-CA"/>
        </w:rPr>
        <w:t>soutenu</w:t>
      </w:r>
      <w:r w:rsidRPr="00BC2D48">
        <w:rPr>
          <w:lang w:val="fr-CA"/>
        </w:rPr>
        <w:t xml:space="preserve"> qu</w:t>
      </w:r>
      <w:r>
        <w:rPr>
          <w:lang w:val="fr-CA"/>
        </w:rPr>
        <w:t>’</w:t>
      </w:r>
      <w:r w:rsidRPr="00BC2D48">
        <w:rPr>
          <w:lang w:val="fr-CA"/>
        </w:rPr>
        <w:t>il n</w:t>
      </w:r>
      <w:r>
        <w:rPr>
          <w:lang w:val="fr-CA"/>
        </w:rPr>
        <w:t>’</w:t>
      </w:r>
      <w:r w:rsidRPr="00BC2D48">
        <w:rPr>
          <w:lang w:val="fr-CA"/>
        </w:rPr>
        <w:t xml:space="preserve">y avait pas </w:t>
      </w:r>
      <w:r>
        <w:rPr>
          <w:lang w:val="fr-CA"/>
        </w:rPr>
        <w:t>de violation</w:t>
      </w:r>
      <w:r w:rsidRPr="00BC2D48">
        <w:rPr>
          <w:lang w:val="fr-CA"/>
        </w:rPr>
        <w:t xml:space="preserve"> </w:t>
      </w:r>
      <w:r>
        <w:rPr>
          <w:lang w:val="fr-CA"/>
        </w:rPr>
        <w:t>de</w:t>
      </w:r>
      <w:r w:rsidRPr="00BC2D48">
        <w:rPr>
          <w:lang w:val="fr-CA"/>
        </w:rPr>
        <w:t xml:space="preserve"> l</w:t>
      </w:r>
      <w:r>
        <w:rPr>
          <w:lang w:val="fr-CA"/>
        </w:rPr>
        <w:t>’art. </w:t>
      </w:r>
      <w:r w:rsidRPr="00BC2D48">
        <w:rPr>
          <w:lang w:val="fr-CA"/>
        </w:rPr>
        <w:t xml:space="preserve">3 de la </w:t>
      </w:r>
      <w:r w:rsidRPr="00BC2D48">
        <w:rPr>
          <w:i/>
          <w:lang w:val="fr-CA"/>
        </w:rPr>
        <w:lastRenderedPageBreak/>
        <w:t>Charte</w:t>
      </w:r>
      <w:r w:rsidRPr="00BC2D48">
        <w:rPr>
          <w:lang w:val="fr-CA"/>
        </w:rPr>
        <w:t xml:space="preserve">. Toutefois, le </w:t>
      </w:r>
      <w:r>
        <w:rPr>
          <w:lang w:val="fr-CA"/>
        </w:rPr>
        <w:t>PGC</w:t>
      </w:r>
      <w:r w:rsidRPr="00BC2D48">
        <w:rPr>
          <w:lang w:val="fr-CA"/>
        </w:rPr>
        <w:t xml:space="preserve"> </w:t>
      </w:r>
      <w:r>
        <w:rPr>
          <w:lang w:val="fr-CA"/>
        </w:rPr>
        <w:t>reconnaît</w:t>
      </w:r>
      <w:r w:rsidRPr="00BC2D48">
        <w:rPr>
          <w:lang w:val="fr-CA"/>
        </w:rPr>
        <w:t xml:space="preserve"> maintenant que les dispositions contestées </w:t>
      </w:r>
      <w:r>
        <w:rPr>
          <w:lang w:val="fr-CA"/>
        </w:rPr>
        <w:t>constituent une violation d</w:t>
      </w:r>
      <w:r w:rsidRPr="00BC2D48">
        <w:rPr>
          <w:lang w:val="fr-CA"/>
        </w:rPr>
        <w:t>e l</w:t>
      </w:r>
      <w:r>
        <w:rPr>
          <w:lang w:val="fr-CA"/>
        </w:rPr>
        <w:t>’art. </w:t>
      </w:r>
      <w:r w:rsidRPr="00BC2D48">
        <w:rPr>
          <w:lang w:val="fr-CA"/>
        </w:rPr>
        <w:t xml:space="preserve">3 de la </w:t>
      </w:r>
      <w:r w:rsidRPr="00BC2D48">
        <w:rPr>
          <w:i/>
          <w:lang w:val="fr-CA"/>
        </w:rPr>
        <w:t>Charte</w:t>
      </w:r>
      <w:r w:rsidRPr="00BC2D48">
        <w:rPr>
          <w:lang w:val="fr-CA"/>
        </w:rPr>
        <w:t xml:space="preserve">. En conséquence, la question centrale que soulève le pourvoi est de savoir si cette </w:t>
      </w:r>
      <w:r>
        <w:rPr>
          <w:lang w:val="fr-CA"/>
        </w:rPr>
        <w:t>violation peut se justifier au regard</w:t>
      </w:r>
      <w:r w:rsidRPr="00BC2D48">
        <w:rPr>
          <w:lang w:val="fr-CA"/>
        </w:rPr>
        <w:t xml:space="preserve"> de l</w:t>
      </w:r>
      <w:r>
        <w:rPr>
          <w:lang w:val="fr-CA"/>
        </w:rPr>
        <w:t>’</w:t>
      </w:r>
      <w:r w:rsidRPr="00BC2D48">
        <w:rPr>
          <w:lang w:val="fr-CA"/>
        </w:rPr>
        <w:t>article premier.</w:t>
      </w:r>
    </w:p>
    <w:p w:rsidR="001244E7" w:rsidRPr="00BC2D48" w:rsidRDefault="001244E7" w:rsidP="001244E7">
      <w:pPr>
        <w:pStyle w:val="Title1LevelTitre1Niveau-AltL"/>
        <w:rPr>
          <w:lang w:val="fr-CA"/>
        </w:rPr>
      </w:pPr>
      <w:r w:rsidRPr="00BC2D48">
        <w:rPr>
          <w:lang w:val="fr-CA"/>
        </w:rPr>
        <w:t>Analyse</w:t>
      </w:r>
    </w:p>
    <w:p w:rsidR="001244E7" w:rsidRPr="00BC2D48" w:rsidRDefault="001244E7" w:rsidP="001244E7">
      <w:pPr>
        <w:pStyle w:val="Title2LevelTitre2Niveau"/>
        <w:rPr>
          <w:lang w:val="fr-CA"/>
        </w:rPr>
      </w:pPr>
      <w:r w:rsidRPr="00BC2D48">
        <w:rPr>
          <w:lang w:val="fr-CA"/>
        </w:rPr>
        <w:t>Le droit de vote</w:t>
      </w:r>
    </w:p>
    <w:p w:rsidR="001244E7" w:rsidRPr="00BC2D48" w:rsidRDefault="001244E7" w:rsidP="001244E7">
      <w:pPr>
        <w:pStyle w:val="ParaNoNdepar-AltN"/>
        <w:rPr>
          <w:lang w:val="fr-CA"/>
        </w:rPr>
      </w:pPr>
      <w:r>
        <w:rPr>
          <w:lang w:val="fr-CA"/>
        </w:rPr>
        <w:t>Vu que</w:t>
      </w:r>
      <w:r w:rsidRPr="00BC2D48">
        <w:rPr>
          <w:lang w:val="fr-CA"/>
        </w:rPr>
        <w:t xml:space="preserve"> le contexte est déterminant pour comprendre la portée d</w:t>
      </w:r>
      <w:r>
        <w:rPr>
          <w:lang w:val="fr-CA"/>
        </w:rPr>
        <w:t>’</w:t>
      </w:r>
      <w:r w:rsidRPr="00BC2D48">
        <w:rPr>
          <w:lang w:val="fr-CA"/>
        </w:rPr>
        <w:t xml:space="preserve">une </w:t>
      </w:r>
      <w:r>
        <w:rPr>
          <w:lang w:val="fr-CA"/>
        </w:rPr>
        <w:t>restriction à un droit garanti</w:t>
      </w:r>
      <w:r w:rsidRPr="00BC2D48">
        <w:rPr>
          <w:lang w:val="fr-CA"/>
        </w:rPr>
        <w:t xml:space="preserve"> par la </w:t>
      </w:r>
      <w:r w:rsidRPr="00A34478">
        <w:rPr>
          <w:i/>
          <w:lang w:val="fr-CA"/>
        </w:rPr>
        <w:t>Charte</w:t>
      </w:r>
      <w:r w:rsidRPr="00BC2D48">
        <w:rPr>
          <w:lang w:val="fr-CA"/>
        </w:rPr>
        <w:t xml:space="preserve">, je commencerai par examiner la nature du droit de vote et le rôle de la </w:t>
      </w:r>
      <w:r>
        <w:rPr>
          <w:lang w:val="fr-CA"/>
        </w:rPr>
        <w:t xml:space="preserve">notion de </w:t>
      </w:r>
      <w:r w:rsidRPr="00BC2D48">
        <w:rPr>
          <w:lang w:val="fr-CA"/>
        </w:rPr>
        <w:t>résidence dans notre système électoral afin d</w:t>
      </w:r>
      <w:r>
        <w:rPr>
          <w:lang w:val="fr-CA"/>
        </w:rPr>
        <w:t>’</w:t>
      </w:r>
      <w:r w:rsidRPr="00BC2D48">
        <w:rPr>
          <w:lang w:val="fr-CA"/>
        </w:rPr>
        <w:t xml:space="preserve">établir une assise solide </w:t>
      </w:r>
      <w:r>
        <w:rPr>
          <w:lang w:val="fr-CA"/>
        </w:rPr>
        <w:t>en vue de</w:t>
      </w:r>
      <w:r w:rsidRPr="00BC2D48">
        <w:rPr>
          <w:lang w:val="fr-CA"/>
        </w:rPr>
        <w:t xml:space="preserve"> l</w:t>
      </w:r>
      <w:r>
        <w:rPr>
          <w:lang w:val="fr-CA"/>
        </w:rPr>
        <w:t>’</w:t>
      </w:r>
      <w:r w:rsidRPr="00BC2D48">
        <w:rPr>
          <w:lang w:val="fr-CA"/>
        </w:rPr>
        <w:t>analyse de la justification (</w:t>
      </w:r>
      <w:r w:rsidRPr="00BC2D48">
        <w:rPr>
          <w:i/>
          <w:lang w:val="fr-CA"/>
        </w:rPr>
        <w:t xml:space="preserve">Toronto Star </w:t>
      </w:r>
      <w:proofErr w:type="spellStart"/>
      <w:r w:rsidRPr="00BC2D48">
        <w:rPr>
          <w:i/>
          <w:lang w:val="fr-CA"/>
        </w:rPr>
        <w:t>Newspapers</w:t>
      </w:r>
      <w:proofErr w:type="spellEnd"/>
      <w:r w:rsidRPr="00BC2D48">
        <w:rPr>
          <w:i/>
          <w:lang w:val="fr-CA"/>
        </w:rPr>
        <w:t xml:space="preserve"> Ltd. c. Canada</w:t>
      </w:r>
      <w:r w:rsidRPr="00BC2D48">
        <w:rPr>
          <w:lang w:val="fr-CA"/>
        </w:rPr>
        <w:t>, 2010 CSC 21</w:t>
      </w:r>
      <w:r>
        <w:rPr>
          <w:lang w:val="fr-CA"/>
        </w:rPr>
        <w:t>, [2010] 1 R.C.S. 721,</w:t>
      </w:r>
      <w:r w:rsidRPr="00BC2D48">
        <w:rPr>
          <w:lang w:val="fr-CA"/>
        </w:rPr>
        <w:t xml:space="preserve"> </w:t>
      </w:r>
      <w:r>
        <w:rPr>
          <w:lang w:val="fr-CA"/>
        </w:rPr>
        <w:t>par. </w:t>
      </w:r>
      <w:r w:rsidRPr="00BC2D48">
        <w:rPr>
          <w:lang w:val="fr-CA"/>
        </w:rPr>
        <w:t>3).</w:t>
      </w:r>
    </w:p>
    <w:p w:rsidR="001244E7" w:rsidRPr="00BC2D48" w:rsidRDefault="001244E7" w:rsidP="001244E7">
      <w:pPr>
        <w:pStyle w:val="ParaNoNdepar-AltN"/>
        <w:rPr>
          <w:lang w:val="fr-CA"/>
        </w:rPr>
      </w:pPr>
      <w:r w:rsidRPr="00BC2D48">
        <w:rPr>
          <w:lang w:val="fr-CA"/>
        </w:rPr>
        <w:t>Le droit de vote de tout citoyen se trouve au cœur de la démocratie canadienne (</w:t>
      </w:r>
      <w:r w:rsidRPr="00BC2D48">
        <w:rPr>
          <w:i/>
          <w:lang w:val="fr-CA"/>
        </w:rPr>
        <w:t>Sauvé n</w:t>
      </w:r>
      <w:r w:rsidRPr="00BC2D48">
        <w:rPr>
          <w:i/>
          <w:vertAlign w:val="superscript"/>
          <w:lang w:val="fr-CA"/>
        </w:rPr>
        <w:t>o</w:t>
      </w:r>
      <w:r>
        <w:rPr>
          <w:i/>
          <w:lang w:val="fr-CA"/>
        </w:rPr>
        <w:t> </w:t>
      </w:r>
      <w:r w:rsidRPr="00BC2D48">
        <w:rPr>
          <w:i/>
          <w:lang w:val="fr-CA"/>
        </w:rPr>
        <w:t>2</w:t>
      </w:r>
      <w:r>
        <w:rPr>
          <w:lang w:val="fr-CA"/>
        </w:rPr>
        <w:t>, par. </w:t>
      </w:r>
      <w:r w:rsidRPr="00BC2D48">
        <w:rPr>
          <w:lang w:val="fr-CA"/>
        </w:rPr>
        <w:t>1</w:t>
      </w:r>
      <w:r>
        <w:rPr>
          <w:lang w:val="fr-CA"/>
        </w:rPr>
        <w:t>;</w:t>
      </w:r>
      <w:r w:rsidRPr="00BC2D48">
        <w:rPr>
          <w:lang w:val="fr-CA"/>
        </w:rPr>
        <w:t xml:space="preserve"> </w:t>
      </w:r>
      <w:r w:rsidRPr="00BC2D48">
        <w:rPr>
          <w:i/>
          <w:lang w:val="fr-CA"/>
        </w:rPr>
        <w:t>Opitz</w:t>
      </w:r>
      <w:r>
        <w:rPr>
          <w:lang w:val="fr-CA"/>
        </w:rPr>
        <w:t>, par. </w:t>
      </w:r>
      <w:r w:rsidRPr="00BC2D48">
        <w:rPr>
          <w:lang w:val="fr-CA"/>
        </w:rPr>
        <w:t xml:space="preserve">10). Dans </w:t>
      </w:r>
      <w:r w:rsidRPr="00BC2D48">
        <w:rPr>
          <w:i/>
          <w:lang w:val="fr-CA"/>
        </w:rPr>
        <w:t>Sauvé n</w:t>
      </w:r>
      <w:r w:rsidRPr="00BC2D48">
        <w:rPr>
          <w:i/>
          <w:vertAlign w:val="superscript"/>
          <w:lang w:val="fr-CA"/>
        </w:rPr>
        <w:t>o</w:t>
      </w:r>
      <w:r>
        <w:rPr>
          <w:i/>
          <w:lang w:val="fr-CA"/>
        </w:rPr>
        <w:t> </w:t>
      </w:r>
      <w:r w:rsidRPr="00BC2D48">
        <w:rPr>
          <w:i/>
          <w:lang w:val="fr-CA"/>
        </w:rPr>
        <w:t>2</w:t>
      </w:r>
      <w:r w:rsidRPr="00BC2D48">
        <w:rPr>
          <w:lang w:val="fr-CA"/>
        </w:rPr>
        <w:t xml:space="preserve">, un arrêt de principe sur le droit de vote, </w:t>
      </w:r>
      <w:r>
        <w:rPr>
          <w:lang w:val="fr-CA"/>
        </w:rPr>
        <w:t>notre</w:t>
      </w:r>
      <w:r w:rsidRPr="00BC2D48">
        <w:rPr>
          <w:lang w:val="fr-CA"/>
        </w:rPr>
        <w:t xml:space="preserve"> Cour a examiné </w:t>
      </w:r>
      <w:r>
        <w:rPr>
          <w:lang w:val="fr-CA"/>
        </w:rPr>
        <w:t>longuement</w:t>
      </w:r>
      <w:r w:rsidRPr="00BC2D48">
        <w:rPr>
          <w:lang w:val="fr-CA"/>
        </w:rPr>
        <w:t xml:space="preserve"> la nature et l</w:t>
      </w:r>
      <w:r>
        <w:rPr>
          <w:lang w:val="fr-CA"/>
        </w:rPr>
        <w:t>’</w:t>
      </w:r>
      <w:r w:rsidRPr="00BC2D48">
        <w:rPr>
          <w:lang w:val="fr-CA"/>
        </w:rPr>
        <w:t>objet de l</w:t>
      </w:r>
      <w:r>
        <w:rPr>
          <w:lang w:val="fr-CA"/>
        </w:rPr>
        <w:t>’art. </w:t>
      </w:r>
      <w:r w:rsidRPr="00BC2D48">
        <w:rPr>
          <w:lang w:val="fr-CA"/>
        </w:rPr>
        <w:t xml:space="preserve">3 </w:t>
      </w:r>
      <w:r>
        <w:rPr>
          <w:lang w:val="fr-CA"/>
        </w:rPr>
        <w:t>avant d’</w:t>
      </w:r>
      <w:r w:rsidRPr="00BC2D48">
        <w:rPr>
          <w:lang w:val="fr-CA"/>
        </w:rPr>
        <w:t>annul</w:t>
      </w:r>
      <w:r>
        <w:rPr>
          <w:lang w:val="fr-CA"/>
        </w:rPr>
        <w:t>er</w:t>
      </w:r>
      <w:r w:rsidRPr="00BC2D48">
        <w:rPr>
          <w:lang w:val="fr-CA"/>
        </w:rPr>
        <w:t xml:space="preserve"> une </w:t>
      </w:r>
      <w:r>
        <w:rPr>
          <w:lang w:val="fr-CA"/>
        </w:rPr>
        <w:t>disposition</w:t>
      </w:r>
      <w:r w:rsidRPr="00BC2D48">
        <w:rPr>
          <w:lang w:val="fr-CA"/>
        </w:rPr>
        <w:t xml:space="preserve"> législative qui rendait </w:t>
      </w:r>
      <w:r w:rsidRPr="00BC2D48">
        <w:rPr>
          <w:iCs/>
          <w:lang w:val="fr-CA"/>
        </w:rPr>
        <w:t>inhabiles à voter à une élection fédérale les détenus purgeant une peine de deux ans ou plus</w:t>
      </w:r>
      <w:r w:rsidRPr="00BC2D48">
        <w:rPr>
          <w:lang w:val="fr-CA"/>
        </w:rPr>
        <w:t>. S</w:t>
      </w:r>
      <w:r>
        <w:rPr>
          <w:lang w:val="fr-CA"/>
        </w:rPr>
        <w:t>’</w:t>
      </w:r>
      <w:r w:rsidRPr="00BC2D48">
        <w:rPr>
          <w:lang w:val="fr-CA"/>
        </w:rPr>
        <w:t xml:space="preserve">exprimant au nom des juges majoritaires, la juge en chef </w:t>
      </w:r>
      <w:proofErr w:type="spellStart"/>
      <w:r w:rsidRPr="00BC2D48">
        <w:rPr>
          <w:lang w:val="fr-CA"/>
        </w:rPr>
        <w:t>McLachlin</w:t>
      </w:r>
      <w:proofErr w:type="spellEnd"/>
      <w:r w:rsidRPr="00BC2D48">
        <w:rPr>
          <w:lang w:val="fr-CA"/>
        </w:rPr>
        <w:t xml:space="preserve"> a insisté sur l</w:t>
      </w:r>
      <w:r>
        <w:rPr>
          <w:lang w:val="fr-CA"/>
        </w:rPr>
        <w:t>’</w:t>
      </w:r>
      <w:r w:rsidRPr="00BC2D48">
        <w:rPr>
          <w:lang w:val="fr-CA"/>
        </w:rPr>
        <w:t>importance cruc</w:t>
      </w:r>
      <w:r>
        <w:rPr>
          <w:lang w:val="fr-CA"/>
        </w:rPr>
        <w:t>iale d’une interprétation</w:t>
      </w:r>
      <w:r w:rsidRPr="00BC2D48">
        <w:rPr>
          <w:lang w:val="fr-CA"/>
        </w:rPr>
        <w:t xml:space="preserve"> large et fondée sur l</w:t>
      </w:r>
      <w:r>
        <w:rPr>
          <w:lang w:val="fr-CA"/>
        </w:rPr>
        <w:t>’</w:t>
      </w:r>
      <w:r w:rsidRPr="00BC2D48">
        <w:rPr>
          <w:lang w:val="fr-CA"/>
        </w:rPr>
        <w:t>objet</w:t>
      </w:r>
      <w:r>
        <w:rPr>
          <w:lang w:val="fr-CA"/>
        </w:rPr>
        <w:t xml:space="preserve"> dans le cas</w:t>
      </w:r>
      <w:r w:rsidRPr="00BC2D48">
        <w:rPr>
          <w:lang w:val="fr-CA"/>
        </w:rPr>
        <w:t xml:space="preserve"> du droit de vote. Elle a statué que les rédacteurs de la </w:t>
      </w:r>
      <w:r w:rsidRPr="00BC2D48">
        <w:rPr>
          <w:i/>
          <w:lang w:val="fr-CA"/>
        </w:rPr>
        <w:t>Charte</w:t>
      </w:r>
      <w:r w:rsidRPr="00BC2D48">
        <w:rPr>
          <w:lang w:val="fr-CA"/>
        </w:rPr>
        <w:t xml:space="preserve"> ont </w:t>
      </w:r>
      <w:r>
        <w:rPr>
          <w:lang w:val="fr-CA"/>
        </w:rPr>
        <w:t>« </w:t>
      </w:r>
      <w:r w:rsidRPr="00BC2D48">
        <w:rPr>
          <w:lang w:val="fr-CA"/>
        </w:rPr>
        <w:t>souligné l</w:t>
      </w:r>
      <w:r>
        <w:rPr>
          <w:lang w:val="fr-CA"/>
        </w:rPr>
        <w:t>’</w:t>
      </w:r>
      <w:r w:rsidRPr="00BC2D48">
        <w:rPr>
          <w:lang w:val="fr-CA"/>
        </w:rPr>
        <w:t xml:space="preserve">importance privilégiée que revêt ce droit non seulement en employant des termes généraux et absolus, mais aussi en le </w:t>
      </w:r>
      <w:r w:rsidRPr="00BC2D48">
        <w:rPr>
          <w:lang w:val="fr-CA"/>
        </w:rPr>
        <w:lastRenderedPageBreak/>
        <w:t>soustrayant à l</w:t>
      </w:r>
      <w:r>
        <w:rPr>
          <w:lang w:val="fr-CA"/>
        </w:rPr>
        <w:t>’</w:t>
      </w:r>
      <w:r w:rsidRPr="00BC2D48">
        <w:rPr>
          <w:lang w:val="fr-CA"/>
        </w:rPr>
        <w:t>application de l</w:t>
      </w:r>
      <w:r>
        <w:rPr>
          <w:lang w:val="fr-CA"/>
        </w:rPr>
        <w:t>’art. </w:t>
      </w:r>
      <w:r w:rsidRPr="00BC2D48">
        <w:rPr>
          <w:lang w:val="fr-CA"/>
        </w:rPr>
        <w:t>33 (clause de dérogation) » (</w:t>
      </w:r>
      <w:r>
        <w:rPr>
          <w:lang w:val="fr-CA"/>
        </w:rPr>
        <w:t>par. </w:t>
      </w:r>
      <w:r w:rsidRPr="00BC2D48">
        <w:rPr>
          <w:lang w:val="fr-CA"/>
        </w:rPr>
        <w:t xml:space="preserve">11). En conséquence, toute dérogation à ce droit démocratique fondamental doit être examinée en </w:t>
      </w:r>
      <w:r>
        <w:rPr>
          <w:lang w:val="fr-CA"/>
        </w:rPr>
        <w:t>fonction d’</w:t>
      </w:r>
      <w:r w:rsidRPr="00BC2D48">
        <w:rPr>
          <w:lang w:val="fr-CA"/>
        </w:rPr>
        <w:t>une norme stricte en matière de justification (</w:t>
      </w:r>
      <w:r>
        <w:rPr>
          <w:lang w:val="fr-CA"/>
        </w:rPr>
        <w:t>par. </w:t>
      </w:r>
      <w:r w:rsidRPr="00BC2D48">
        <w:rPr>
          <w:lang w:val="fr-CA"/>
        </w:rPr>
        <w:t xml:space="preserve">14). </w:t>
      </w:r>
    </w:p>
    <w:p w:rsidR="001244E7" w:rsidRPr="00BC2D48" w:rsidRDefault="001244E7" w:rsidP="001244E7">
      <w:pPr>
        <w:pStyle w:val="ParaNoNdepar-AltN"/>
        <w:rPr>
          <w:lang w:val="fr-CA"/>
        </w:rPr>
      </w:pPr>
      <w:r w:rsidRPr="00BC2D48">
        <w:rPr>
          <w:lang w:val="fr-CA"/>
        </w:rPr>
        <w:t>L</w:t>
      </w:r>
      <w:r>
        <w:rPr>
          <w:lang w:val="fr-CA"/>
        </w:rPr>
        <w:t>’</w:t>
      </w:r>
      <w:r w:rsidRPr="00BC2D48">
        <w:rPr>
          <w:lang w:val="fr-CA"/>
        </w:rPr>
        <w:t>objectif principal de l</w:t>
      </w:r>
      <w:r>
        <w:rPr>
          <w:lang w:val="fr-CA"/>
        </w:rPr>
        <w:t>’art. </w:t>
      </w:r>
      <w:r w:rsidRPr="00BC2D48">
        <w:rPr>
          <w:lang w:val="fr-CA"/>
        </w:rPr>
        <w:t>3 est d</w:t>
      </w:r>
      <w:r>
        <w:rPr>
          <w:lang w:val="fr-CA"/>
        </w:rPr>
        <w:t>’</w:t>
      </w:r>
      <w:r w:rsidRPr="00BC2D48">
        <w:rPr>
          <w:lang w:val="fr-CA"/>
        </w:rPr>
        <w:t>a</w:t>
      </w:r>
      <w:r>
        <w:rPr>
          <w:lang w:val="fr-CA"/>
        </w:rPr>
        <w:t>ccorder à tous les citoyens</w:t>
      </w:r>
      <w:r w:rsidRPr="00BC2D48">
        <w:rPr>
          <w:lang w:val="fr-CA"/>
        </w:rPr>
        <w:t xml:space="preserve"> le droit de </w:t>
      </w:r>
      <w:r>
        <w:rPr>
          <w:lang w:val="fr-CA"/>
        </w:rPr>
        <w:t xml:space="preserve">jouer un rôle significatif dans le </w:t>
      </w:r>
      <w:r w:rsidRPr="00BC2D48">
        <w:rPr>
          <w:lang w:val="fr-CA"/>
        </w:rPr>
        <w:t>processus électoral (</w:t>
      </w:r>
      <w:proofErr w:type="spellStart"/>
      <w:r w:rsidRPr="00BC2D48">
        <w:rPr>
          <w:i/>
          <w:lang w:val="fr-CA"/>
        </w:rPr>
        <w:t>Figueroa</w:t>
      </w:r>
      <w:proofErr w:type="spellEnd"/>
      <w:r w:rsidRPr="00BC2D48">
        <w:rPr>
          <w:i/>
          <w:lang w:val="fr-CA"/>
        </w:rPr>
        <w:t xml:space="preserve"> c. Canada (Procureur général)</w:t>
      </w:r>
      <w:r w:rsidRPr="00BC2D48">
        <w:rPr>
          <w:lang w:val="fr-CA"/>
        </w:rPr>
        <w:t>, 2003 CSC 37</w:t>
      </w:r>
      <w:r>
        <w:rPr>
          <w:lang w:val="fr-CA"/>
        </w:rPr>
        <w:t>, [2003] 1 R.C.S. 912,</w:t>
      </w:r>
      <w:r w:rsidRPr="00BC2D48">
        <w:rPr>
          <w:lang w:val="fr-CA"/>
        </w:rPr>
        <w:t xml:space="preserve"> </w:t>
      </w:r>
      <w:r>
        <w:rPr>
          <w:lang w:val="fr-CA"/>
        </w:rPr>
        <w:t>par. </w:t>
      </w:r>
      <w:r w:rsidRPr="00BC2D48">
        <w:rPr>
          <w:lang w:val="fr-CA"/>
        </w:rPr>
        <w:t>25</w:t>
      </w:r>
      <w:r>
        <w:rPr>
          <w:lang w:val="fr-CA"/>
        </w:rPr>
        <w:noBreakHyphen/>
      </w:r>
      <w:r w:rsidRPr="00BC2D48">
        <w:rPr>
          <w:lang w:val="fr-CA"/>
        </w:rPr>
        <w:t>26). La participation citoyenne revêt une importance capitale pour la santé d</w:t>
      </w:r>
      <w:r>
        <w:rPr>
          <w:lang w:val="fr-CA"/>
        </w:rPr>
        <w:t>’</w:t>
      </w:r>
      <w:r w:rsidRPr="00BC2D48">
        <w:rPr>
          <w:lang w:val="fr-CA"/>
        </w:rPr>
        <w:t xml:space="preserve">une société libre et démocratique. La démocratie exige que tout citoyen ait la possibilité réelle de </w:t>
      </w:r>
      <w:r>
        <w:rPr>
          <w:lang w:val="fr-CA"/>
        </w:rPr>
        <w:t xml:space="preserve">prendre part au </w:t>
      </w:r>
      <w:r w:rsidRPr="00BC2D48">
        <w:rPr>
          <w:lang w:val="fr-CA"/>
        </w:rPr>
        <w:t>gouvern</w:t>
      </w:r>
      <w:r>
        <w:rPr>
          <w:lang w:val="fr-CA"/>
        </w:rPr>
        <w:t>ement</w:t>
      </w:r>
      <w:r w:rsidRPr="00BC2D48">
        <w:rPr>
          <w:lang w:val="fr-CA"/>
        </w:rPr>
        <w:t xml:space="preserve"> du pays </w:t>
      </w:r>
      <w:r>
        <w:rPr>
          <w:lang w:val="fr-CA"/>
        </w:rPr>
        <w:t>au moyen du</w:t>
      </w:r>
      <w:r w:rsidRPr="00BC2D48">
        <w:rPr>
          <w:lang w:val="fr-CA"/>
        </w:rPr>
        <w:t xml:space="preserve"> processus élector</w:t>
      </w:r>
      <w:r>
        <w:rPr>
          <w:lang w:val="fr-CA"/>
        </w:rPr>
        <w:t>al. Si</w:t>
      </w:r>
      <w:r w:rsidRPr="00BC2D48">
        <w:rPr>
          <w:lang w:val="fr-CA"/>
        </w:rPr>
        <w:t xml:space="preserve"> ce droit</w:t>
      </w:r>
      <w:r>
        <w:rPr>
          <w:lang w:val="fr-CA"/>
        </w:rPr>
        <w:t xml:space="preserve"> n’est pas protégé</w:t>
      </w:r>
      <w:r w:rsidRPr="00BC2D48">
        <w:rPr>
          <w:lang w:val="fr-CA"/>
        </w:rPr>
        <w:t xml:space="preserve"> adéquatement, notre système n</w:t>
      </w:r>
      <w:r>
        <w:rPr>
          <w:lang w:val="fr-CA"/>
        </w:rPr>
        <w:t>’</w:t>
      </w:r>
      <w:r w:rsidRPr="00BC2D48">
        <w:rPr>
          <w:lang w:val="fr-CA"/>
        </w:rPr>
        <w:t>est pas véritablement démocratique (</w:t>
      </w:r>
      <w:proofErr w:type="spellStart"/>
      <w:r w:rsidRPr="00BC2D48">
        <w:rPr>
          <w:i/>
          <w:lang w:val="fr-CA"/>
        </w:rPr>
        <w:t>Figueroa</w:t>
      </w:r>
      <w:proofErr w:type="spellEnd"/>
      <w:r w:rsidRPr="00BC2D48">
        <w:rPr>
          <w:lang w:val="fr-CA"/>
        </w:rPr>
        <w:t xml:space="preserve">, </w:t>
      </w:r>
      <w:r>
        <w:rPr>
          <w:lang w:val="fr-CA"/>
        </w:rPr>
        <w:t>par. </w:t>
      </w:r>
      <w:r w:rsidRPr="00BC2D48">
        <w:rPr>
          <w:lang w:val="fr-CA"/>
        </w:rPr>
        <w:t>30).</w:t>
      </w:r>
    </w:p>
    <w:p w:rsidR="001244E7" w:rsidRPr="00BC2D48" w:rsidRDefault="001244E7" w:rsidP="001244E7">
      <w:pPr>
        <w:pStyle w:val="ParaNoNdepar-AltN"/>
        <w:rPr>
          <w:lang w:val="fr-CA"/>
        </w:rPr>
      </w:pPr>
      <w:r w:rsidRPr="00BC2D48">
        <w:rPr>
          <w:lang w:val="fr-CA"/>
        </w:rPr>
        <w:t>En conséquence, une interprétation large de l</w:t>
      </w:r>
      <w:r>
        <w:rPr>
          <w:lang w:val="fr-CA"/>
        </w:rPr>
        <w:t>’art. </w:t>
      </w:r>
      <w:r w:rsidRPr="00BC2D48">
        <w:rPr>
          <w:lang w:val="fr-CA"/>
        </w:rPr>
        <w:t>3 accroît la qualité de notre démocratie et renforce les valeurs sur lesquelles repose notre État libre et démocratique (</w:t>
      </w:r>
      <w:proofErr w:type="spellStart"/>
      <w:r w:rsidRPr="00BC2D48">
        <w:rPr>
          <w:i/>
          <w:lang w:val="fr-CA"/>
        </w:rPr>
        <w:t>Figueroa</w:t>
      </w:r>
      <w:proofErr w:type="spellEnd"/>
      <w:r w:rsidRPr="00BC2D48">
        <w:rPr>
          <w:lang w:val="fr-CA"/>
        </w:rPr>
        <w:t xml:space="preserve">, </w:t>
      </w:r>
      <w:r>
        <w:rPr>
          <w:lang w:val="fr-CA"/>
        </w:rPr>
        <w:t>par. </w:t>
      </w:r>
      <w:r w:rsidRPr="00BC2D48">
        <w:rPr>
          <w:lang w:val="fr-CA"/>
        </w:rPr>
        <w:t xml:space="preserve">27). </w:t>
      </w:r>
      <w:r>
        <w:rPr>
          <w:lang w:val="fr-CA"/>
        </w:rPr>
        <w:t>C</w:t>
      </w:r>
      <w:r w:rsidRPr="00BC2D48">
        <w:rPr>
          <w:lang w:val="fr-CA"/>
        </w:rPr>
        <w:t>orollaire</w:t>
      </w:r>
      <w:r>
        <w:rPr>
          <w:lang w:val="fr-CA"/>
        </w:rPr>
        <w:t>ment</w:t>
      </w:r>
      <w:r w:rsidRPr="00BC2D48">
        <w:rPr>
          <w:lang w:val="fr-CA"/>
        </w:rPr>
        <w:t>, une interprétation trop étroite du droit de vote diminue</w:t>
      </w:r>
      <w:r>
        <w:rPr>
          <w:lang w:val="fr-CA"/>
        </w:rPr>
        <w:t>rait</w:t>
      </w:r>
      <w:r w:rsidRPr="00BC2D48">
        <w:rPr>
          <w:lang w:val="fr-CA"/>
        </w:rPr>
        <w:t xml:space="preserve"> la </w:t>
      </w:r>
      <w:r>
        <w:rPr>
          <w:lang w:val="fr-CA"/>
        </w:rPr>
        <w:t xml:space="preserve">qualité de la </w:t>
      </w:r>
      <w:r w:rsidRPr="00BC2D48">
        <w:rPr>
          <w:lang w:val="fr-CA"/>
        </w:rPr>
        <w:t>démocr</w:t>
      </w:r>
      <w:r>
        <w:rPr>
          <w:lang w:val="fr-CA"/>
        </w:rPr>
        <w:t>atie dans</w:t>
      </w:r>
      <w:r w:rsidRPr="00BC2D48">
        <w:rPr>
          <w:lang w:val="fr-CA"/>
        </w:rPr>
        <w:t xml:space="preserve"> notre système de gouvern</w:t>
      </w:r>
      <w:r>
        <w:rPr>
          <w:lang w:val="fr-CA"/>
        </w:rPr>
        <w:t>ement</w:t>
      </w:r>
      <w:r w:rsidRPr="00BC2D48">
        <w:rPr>
          <w:lang w:val="fr-CA"/>
        </w:rPr>
        <w:t xml:space="preserve">. Comme </w:t>
      </w:r>
      <w:r>
        <w:rPr>
          <w:lang w:val="fr-CA"/>
        </w:rPr>
        <w:t>notre</w:t>
      </w:r>
      <w:r w:rsidRPr="00BC2D48">
        <w:rPr>
          <w:lang w:val="fr-CA"/>
        </w:rPr>
        <w:t xml:space="preserve"> Cour l</w:t>
      </w:r>
      <w:r>
        <w:rPr>
          <w:lang w:val="fr-CA"/>
        </w:rPr>
        <w:t>’</w:t>
      </w:r>
      <w:r w:rsidRPr="00BC2D48">
        <w:rPr>
          <w:lang w:val="fr-CA"/>
        </w:rPr>
        <w:t xml:space="preserve">a fait observer dans </w:t>
      </w:r>
      <w:r w:rsidRPr="00BC2D48">
        <w:rPr>
          <w:i/>
          <w:lang w:val="fr-CA"/>
        </w:rPr>
        <w:t>Sauvé n</w:t>
      </w:r>
      <w:r w:rsidRPr="00BC2D48">
        <w:rPr>
          <w:i/>
          <w:vertAlign w:val="superscript"/>
          <w:lang w:val="fr-CA"/>
        </w:rPr>
        <w:t>o</w:t>
      </w:r>
      <w:r w:rsidRPr="00BC2D48">
        <w:rPr>
          <w:i/>
          <w:lang w:val="fr-CA"/>
        </w:rPr>
        <w:t xml:space="preserve"> 2</w:t>
      </w:r>
      <w:r w:rsidRPr="00BC2D48">
        <w:rPr>
          <w:lang w:val="fr-CA"/>
        </w:rPr>
        <w:t>, un gouvernement qui n</w:t>
      </w:r>
      <w:r>
        <w:rPr>
          <w:lang w:val="fr-CA"/>
        </w:rPr>
        <w:t>’</w:t>
      </w:r>
      <w:r w:rsidRPr="00BC2D48">
        <w:rPr>
          <w:lang w:val="fr-CA"/>
        </w:rPr>
        <w:t>accorde le droit de vote qu</w:t>
      </w:r>
      <w:r>
        <w:rPr>
          <w:lang w:val="fr-CA"/>
        </w:rPr>
        <w:t>’</w:t>
      </w:r>
      <w:r w:rsidRPr="00BC2D48">
        <w:rPr>
          <w:lang w:val="fr-CA"/>
        </w:rPr>
        <w:t xml:space="preserve">à </w:t>
      </w:r>
      <w:r>
        <w:rPr>
          <w:lang w:val="fr-CA"/>
        </w:rPr>
        <w:t xml:space="preserve">un groupe de citoyens choisis </w:t>
      </w:r>
      <w:r w:rsidRPr="00BC2D48">
        <w:rPr>
          <w:lang w:val="fr-CA"/>
        </w:rPr>
        <w:t>se trouve</w:t>
      </w:r>
      <w:r>
        <w:rPr>
          <w:lang w:val="fr-CA"/>
        </w:rPr>
        <w:t xml:space="preserve"> dans les faits à affaiblir la légitimité du système</w:t>
      </w:r>
      <w:r w:rsidRPr="00BC2D48">
        <w:rPr>
          <w:lang w:val="fr-CA"/>
        </w:rPr>
        <w:t xml:space="preserve"> démocrati</w:t>
      </w:r>
      <w:r>
        <w:rPr>
          <w:lang w:val="fr-CA"/>
        </w:rPr>
        <w:t>qu</w:t>
      </w:r>
      <w:r w:rsidRPr="00BC2D48">
        <w:rPr>
          <w:lang w:val="fr-CA"/>
        </w:rPr>
        <w:t>e</w:t>
      </w:r>
      <w:r>
        <w:rPr>
          <w:lang w:val="fr-CA"/>
        </w:rPr>
        <w:t xml:space="preserve"> du pays</w:t>
      </w:r>
      <w:r w:rsidRPr="00BC2D48">
        <w:rPr>
          <w:lang w:val="fr-CA"/>
        </w:rPr>
        <w:t xml:space="preserve"> et à saper le pouvoir dont il se réclame (</w:t>
      </w:r>
      <w:r>
        <w:rPr>
          <w:lang w:val="fr-CA"/>
        </w:rPr>
        <w:t>par. </w:t>
      </w:r>
      <w:r w:rsidRPr="00BC2D48">
        <w:rPr>
          <w:lang w:val="fr-CA"/>
        </w:rPr>
        <w:t>34).</w:t>
      </w:r>
    </w:p>
    <w:p w:rsidR="001244E7" w:rsidRPr="00BC2D48" w:rsidRDefault="001244E7" w:rsidP="001244E7">
      <w:pPr>
        <w:pStyle w:val="Title2LevelTitre2Niveau"/>
        <w:rPr>
          <w:lang w:val="fr-CA"/>
        </w:rPr>
      </w:pPr>
      <w:r w:rsidRPr="00BC2D48">
        <w:rPr>
          <w:lang w:val="fr-CA"/>
        </w:rPr>
        <w:t>Le rôle de la résidence dans le système électoral canadien</w:t>
      </w:r>
    </w:p>
    <w:p w:rsidR="001244E7" w:rsidRPr="00BC2D48" w:rsidRDefault="001244E7" w:rsidP="001244E7">
      <w:pPr>
        <w:pStyle w:val="ParaNoNdepar-AltN"/>
        <w:rPr>
          <w:lang w:val="fr-CA"/>
        </w:rPr>
      </w:pPr>
      <w:r w:rsidRPr="00BC2D48">
        <w:rPr>
          <w:lang w:val="fr-CA"/>
        </w:rPr>
        <w:lastRenderedPageBreak/>
        <w:t xml:space="preserve">Le thème dominant du pourvoi est le rôle de la résidence dans le système électoral canadien. Bien que le </w:t>
      </w:r>
      <w:r>
        <w:rPr>
          <w:lang w:val="fr-CA"/>
        </w:rPr>
        <w:t>PGC</w:t>
      </w:r>
      <w:r w:rsidRPr="00BC2D48">
        <w:rPr>
          <w:lang w:val="fr-CA"/>
        </w:rPr>
        <w:t xml:space="preserve"> ait </w:t>
      </w:r>
      <w:r>
        <w:rPr>
          <w:lang w:val="fr-CA"/>
        </w:rPr>
        <w:t>reconnu</w:t>
      </w:r>
      <w:r w:rsidRPr="00BC2D48">
        <w:rPr>
          <w:lang w:val="fr-CA"/>
        </w:rPr>
        <w:t xml:space="preserve"> que les dispositions contestées </w:t>
      </w:r>
      <w:r>
        <w:rPr>
          <w:lang w:val="fr-CA"/>
        </w:rPr>
        <w:t>contreviennent</w:t>
      </w:r>
      <w:r w:rsidRPr="00BC2D48">
        <w:rPr>
          <w:lang w:val="fr-CA"/>
        </w:rPr>
        <w:t xml:space="preserve"> à l</w:t>
      </w:r>
      <w:r>
        <w:rPr>
          <w:lang w:val="fr-CA"/>
        </w:rPr>
        <w:t>’art. </w:t>
      </w:r>
      <w:r w:rsidRPr="00BC2D48">
        <w:rPr>
          <w:lang w:val="fr-CA"/>
        </w:rPr>
        <w:t xml:space="preserve">3 de la </w:t>
      </w:r>
      <w:r w:rsidRPr="00BC2D48">
        <w:rPr>
          <w:i/>
          <w:lang w:val="fr-CA"/>
        </w:rPr>
        <w:t>Charte</w:t>
      </w:r>
      <w:r w:rsidRPr="00BC2D48">
        <w:rPr>
          <w:lang w:val="fr-CA"/>
        </w:rPr>
        <w:t xml:space="preserve">, la théorie du contrat social </w:t>
      </w:r>
      <w:r w:rsidRPr="00F8627B">
        <w:rPr>
          <w:lang w:val="fr-CA"/>
        </w:rPr>
        <w:t>qu</w:t>
      </w:r>
      <w:r>
        <w:rPr>
          <w:lang w:val="fr-CA"/>
        </w:rPr>
        <w:t>’</w:t>
      </w:r>
      <w:r w:rsidRPr="00F8627B">
        <w:rPr>
          <w:lang w:val="fr-CA"/>
        </w:rPr>
        <w:t>il</w:t>
      </w:r>
      <w:r w:rsidRPr="00BC2D48">
        <w:rPr>
          <w:lang w:val="fr-CA"/>
        </w:rPr>
        <w:t xml:space="preserve"> fait valoir soulève néanmoins d</w:t>
      </w:r>
      <w:r>
        <w:rPr>
          <w:lang w:val="fr-CA"/>
        </w:rPr>
        <w:t>’</w:t>
      </w:r>
      <w:r w:rsidRPr="00BC2D48">
        <w:rPr>
          <w:lang w:val="fr-CA"/>
        </w:rPr>
        <w:t xml:space="preserve">importantes questions </w:t>
      </w:r>
      <w:r>
        <w:rPr>
          <w:lang w:val="fr-CA"/>
        </w:rPr>
        <w:t>relatives à</w:t>
      </w:r>
      <w:r w:rsidRPr="00BC2D48">
        <w:rPr>
          <w:lang w:val="fr-CA"/>
        </w:rPr>
        <w:t xml:space="preserve"> la fonction de la résidence dans le système élector</w:t>
      </w:r>
      <w:r>
        <w:rPr>
          <w:lang w:val="fr-CA"/>
        </w:rPr>
        <w:t>al. </w:t>
      </w:r>
      <w:r w:rsidRPr="00BC2D48">
        <w:rPr>
          <w:lang w:val="fr-CA"/>
        </w:rPr>
        <w:t>À mon avis, la résidence revient essentiellement à un mécanisme d</w:t>
      </w:r>
      <w:r>
        <w:rPr>
          <w:lang w:val="fr-CA"/>
        </w:rPr>
        <w:t>’</w:t>
      </w:r>
      <w:r w:rsidRPr="00BC2D48">
        <w:rPr>
          <w:lang w:val="fr-CA"/>
        </w:rPr>
        <w:t xml:space="preserve">organisation aux fins </w:t>
      </w:r>
      <w:r>
        <w:rPr>
          <w:lang w:val="fr-CA"/>
        </w:rPr>
        <w:t xml:space="preserve">de l’exercice </w:t>
      </w:r>
      <w:r w:rsidRPr="00BC2D48">
        <w:rPr>
          <w:lang w:val="fr-CA"/>
        </w:rPr>
        <w:t>du droit de vote. Il s</w:t>
      </w:r>
      <w:r>
        <w:rPr>
          <w:lang w:val="fr-CA"/>
        </w:rPr>
        <w:t>’</w:t>
      </w:r>
      <w:r w:rsidRPr="00BC2D48">
        <w:rPr>
          <w:lang w:val="fr-CA"/>
        </w:rPr>
        <w:t>agit d</w:t>
      </w:r>
      <w:r>
        <w:rPr>
          <w:lang w:val="fr-CA"/>
        </w:rPr>
        <w:t>’</w:t>
      </w:r>
      <w:r w:rsidRPr="00BC2D48">
        <w:rPr>
          <w:lang w:val="fr-CA"/>
        </w:rPr>
        <w:t>un dispositif important qui sous</w:t>
      </w:r>
      <w:r>
        <w:rPr>
          <w:lang w:val="fr-CA"/>
        </w:rPr>
        <w:noBreakHyphen/>
      </w:r>
      <w:r w:rsidRPr="00BC2D48">
        <w:rPr>
          <w:lang w:val="fr-CA"/>
        </w:rPr>
        <w:t xml:space="preserve">tend notre système de représentation électorale déterminé par la géographie et les circonscriptions. Toutefois, </w:t>
      </w:r>
      <w:r>
        <w:rPr>
          <w:lang w:val="fr-CA"/>
        </w:rPr>
        <w:t>le fait qu’elle joue un rôle nécessaire</w:t>
      </w:r>
      <w:r w:rsidRPr="00BC2D48">
        <w:rPr>
          <w:lang w:val="fr-CA"/>
        </w:rPr>
        <w:t xml:space="preserve"> n</w:t>
      </w:r>
      <w:r>
        <w:rPr>
          <w:lang w:val="fr-CA"/>
        </w:rPr>
        <w:t>’</w:t>
      </w:r>
      <w:r w:rsidRPr="00BC2D48">
        <w:rPr>
          <w:lang w:val="fr-CA"/>
        </w:rPr>
        <w:t xml:space="preserve">a pas pour effet </w:t>
      </w:r>
      <w:r>
        <w:rPr>
          <w:lang w:val="fr-CA"/>
        </w:rPr>
        <w:t>de faire de la résidence</w:t>
      </w:r>
      <w:r w:rsidRPr="00BC2D48">
        <w:rPr>
          <w:lang w:val="fr-CA"/>
        </w:rPr>
        <w:t xml:space="preserve"> une </w:t>
      </w:r>
      <w:r>
        <w:rPr>
          <w:lang w:val="fr-CA"/>
        </w:rPr>
        <w:t>exigence</w:t>
      </w:r>
      <w:r w:rsidRPr="00BC2D48">
        <w:rPr>
          <w:lang w:val="fr-CA"/>
        </w:rPr>
        <w:t xml:space="preserve"> essentielle du droit de vote garanti par la </w:t>
      </w:r>
      <w:r w:rsidRPr="00BC2D48">
        <w:rPr>
          <w:i/>
          <w:lang w:val="fr-CA"/>
        </w:rPr>
        <w:t>Charte</w:t>
      </w:r>
      <w:r w:rsidRPr="00BC2D48">
        <w:rPr>
          <w:lang w:val="fr-CA"/>
        </w:rPr>
        <w:t>.</w:t>
      </w:r>
    </w:p>
    <w:p w:rsidR="001244E7" w:rsidRPr="00BC2D48" w:rsidRDefault="001244E7" w:rsidP="001244E7">
      <w:pPr>
        <w:pStyle w:val="ParaNoNdepar-AltN"/>
        <w:rPr>
          <w:lang w:val="fr-CA"/>
        </w:rPr>
      </w:pPr>
      <w:r>
        <w:rPr>
          <w:lang w:val="fr-CA"/>
        </w:rPr>
        <w:t>Il ressort clairement de la</w:t>
      </w:r>
      <w:r w:rsidRPr="00BC2D48">
        <w:rPr>
          <w:lang w:val="fr-CA"/>
        </w:rPr>
        <w:t xml:space="preserve"> </w:t>
      </w:r>
      <w:r w:rsidRPr="00BC2D48">
        <w:rPr>
          <w:i/>
          <w:lang w:val="fr-CA"/>
        </w:rPr>
        <w:t>Charte</w:t>
      </w:r>
      <w:r w:rsidRPr="00BC2D48">
        <w:rPr>
          <w:lang w:val="fr-CA"/>
        </w:rPr>
        <w:t xml:space="preserve"> </w:t>
      </w:r>
      <w:r>
        <w:rPr>
          <w:lang w:val="fr-CA"/>
        </w:rPr>
        <w:t xml:space="preserve">qu’elle </w:t>
      </w:r>
      <w:r w:rsidRPr="00BC2D48">
        <w:rPr>
          <w:lang w:val="fr-CA"/>
        </w:rPr>
        <w:t>rattache les droits de vote à la citoyenneté</w:t>
      </w:r>
      <w:r>
        <w:rPr>
          <w:lang w:val="fr-CA"/>
        </w:rPr>
        <w:t>,</w:t>
      </w:r>
      <w:r w:rsidRPr="00BC2D48">
        <w:rPr>
          <w:lang w:val="fr-CA"/>
        </w:rPr>
        <w:t xml:space="preserve"> et seulement à la citoyenneté. L</w:t>
      </w:r>
      <w:r>
        <w:rPr>
          <w:lang w:val="fr-CA"/>
        </w:rPr>
        <w:t xml:space="preserve">’article 3 </w:t>
      </w:r>
      <w:r w:rsidRPr="00BC2D48">
        <w:rPr>
          <w:lang w:val="fr-CA"/>
        </w:rPr>
        <w:t xml:space="preserve">ne </w:t>
      </w:r>
      <w:r>
        <w:rPr>
          <w:lang w:val="fr-CA"/>
        </w:rPr>
        <w:t>compte</w:t>
      </w:r>
      <w:r w:rsidRPr="00BC2D48">
        <w:rPr>
          <w:lang w:val="fr-CA"/>
        </w:rPr>
        <w:t xml:space="preserve"> aucune</w:t>
      </w:r>
      <w:r>
        <w:rPr>
          <w:lang w:val="fr-CA"/>
        </w:rPr>
        <w:t xml:space="preserve"> mention de la résidence</w:t>
      </w:r>
      <w:r w:rsidRPr="00BC2D48">
        <w:rPr>
          <w:lang w:val="fr-CA"/>
        </w:rPr>
        <w:t xml:space="preserve">. </w:t>
      </w:r>
      <w:r>
        <w:rPr>
          <w:lang w:val="fr-CA"/>
        </w:rPr>
        <w:t>La citoyenneté est l’exigence</w:t>
      </w:r>
      <w:r w:rsidRPr="00BC2D48">
        <w:rPr>
          <w:lang w:val="fr-CA"/>
        </w:rPr>
        <w:t xml:space="preserve"> déterminante du droit de</w:t>
      </w:r>
      <w:r>
        <w:rPr>
          <w:lang w:val="fr-CA"/>
        </w:rPr>
        <w:t xml:space="preserve"> vote, et </w:t>
      </w:r>
      <w:r w:rsidRPr="00BC2D48">
        <w:rPr>
          <w:lang w:val="fr-CA"/>
        </w:rPr>
        <w:t>l</w:t>
      </w:r>
      <w:r>
        <w:rPr>
          <w:lang w:val="fr-CA"/>
        </w:rPr>
        <w:t>e</w:t>
      </w:r>
      <w:r w:rsidRPr="00BC2D48">
        <w:rPr>
          <w:lang w:val="fr-CA"/>
        </w:rPr>
        <w:t xml:space="preserve"> choix des rédacteurs de la </w:t>
      </w:r>
      <w:r w:rsidRPr="00BC2D48">
        <w:rPr>
          <w:i/>
          <w:lang w:val="fr-CA"/>
        </w:rPr>
        <w:t>Charte</w:t>
      </w:r>
      <w:r w:rsidRPr="00BC2D48">
        <w:rPr>
          <w:lang w:val="fr-CA"/>
        </w:rPr>
        <w:t xml:space="preserve"> d</w:t>
      </w:r>
      <w:r>
        <w:rPr>
          <w:lang w:val="fr-CA"/>
        </w:rPr>
        <w:t>’</w:t>
      </w:r>
      <w:r w:rsidRPr="00BC2D48">
        <w:rPr>
          <w:lang w:val="fr-CA"/>
        </w:rPr>
        <w:t>om</w:t>
      </w:r>
      <w:r>
        <w:rPr>
          <w:lang w:val="fr-CA"/>
        </w:rPr>
        <w:t>ettre</w:t>
      </w:r>
      <w:r w:rsidRPr="00BC2D48">
        <w:rPr>
          <w:lang w:val="fr-CA"/>
        </w:rPr>
        <w:t xml:space="preserve"> </w:t>
      </w:r>
      <w:r>
        <w:rPr>
          <w:lang w:val="fr-CA"/>
        </w:rPr>
        <w:t xml:space="preserve">la condition de </w:t>
      </w:r>
      <w:r w:rsidRPr="00BC2D48">
        <w:rPr>
          <w:lang w:val="fr-CA"/>
        </w:rPr>
        <w:t>résidence comme élément de ce droit démocratique fondamental</w:t>
      </w:r>
      <w:r>
        <w:rPr>
          <w:lang w:val="fr-CA"/>
        </w:rPr>
        <w:t xml:space="preserve"> est révélateur</w:t>
      </w:r>
      <w:r w:rsidRPr="00BC2D48">
        <w:rPr>
          <w:lang w:val="fr-CA"/>
        </w:rPr>
        <w:t>.</w:t>
      </w:r>
    </w:p>
    <w:p w:rsidR="001244E7" w:rsidRPr="00BC2D48" w:rsidRDefault="001244E7" w:rsidP="001244E7">
      <w:pPr>
        <w:pStyle w:val="ParaNoNdepar-AltN"/>
        <w:rPr>
          <w:lang w:val="fr-CA"/>
        </w:rPr>
      </w:pPr>
      <w:r w:rsidRPr="00BC2D48">
        <w:rPr>
          <w:lang w:val="fr-CA"/>
        </w:rPr>
        <w:t xml:space="preserve">En outre, la </w:t>
      </w:r>
      <w:r w:rsidRPr="00A03A4C">
        <w:rPr>
          <w:lang w:val="fr-CA"/>
        </w:rPr>
        <w:t>Loi</w:t>
      </w:r>
      <w:r w:rsidRPr="00BC2D48">
        <w:rPr>
          <w:lang w:val="fr-CA"/>
        </w:rPr>
        <w:t xml:space="preserve"> prévoit des exceptions à </w:t>
      </w:r>
      <w:r>
        <w:rPr>
          <w:lang w:val="fr-CA"/>
        </w:rPr>
        <w:t>la condition</w:t>
      </w:r>
      <w:r w:rsidRPr="00BC2D48">
        <w:rPr>
          <w:lang w:val="fr-CA"/>
        </w:rPr>
        <w:t xml:space="preserve"> de résidence </w:t>
      </w:r>
      <w:r>
        <w:rPr>
          <w:lang w:val="fr-CA"/>
        </w:rPr>
        <w:t xml:space="preserve">dans le cas des citoyens </w:t>
      </w:r>
      <w:r w:rsidRPr="00BC2D48">
        <w:rPr>
          <w:lang w:val="fr-CA"/>
        </w:rPr>
        <w:t>qui travaillent à l</w:t>
      </w:r>
      <w:r>
        <w:rPr>
          <w:lang w:val="fr-CA"/>
        </w:rPr>
        <w:t>’</w:t>
      </w:r>
      <w:r w:rsidRPr="00BC2D48">
        <w:rPr>
          <w:lang w:val="fr-CA"/>
        </w:rPr>
        <w:t xml:space="preserve">étranger </w:t>
      </w:r>
      <w:r>
        <w:rPr>
          <w:lang w:val="fr-CA"/>
        </w:rPr>
        <w:t>pour</w:t>
      </w:r>
      <w:r w:rsidRPr="00BC2D48">
        <w:rPr>
          <w:lang w:val="fr-CA"/>
        </w:rPr>
        <w:t xml:space="preserve"> la</w:t>
      </w:r>
      <w:r>
        <w:rPr>
          <w:lang w:val="fr-CA"/>
        </w:rPr>
        <w:t xml:space="preserve"> fonction publique du Canada ou</w:t>
      </w:r>
      <w:r w:rsidRPr="00BC2D48">
        <w:rPr>
          <w:lang w:val="fr-CA"/>
        </w:rPr>
        <w:t xml:space="preserve"> les Forces canadiennes, ainsi que </w:t>
      </w:r>
      <w:r>
        <w:rPr>
          <w:lang w:val="fr-CA"/>
        </w:rPr>
        <w:t>d</w:t>
      </w:r>
      <w:r w:rsidRPr="00BC2D48">
        <w:rPr>
          <w:lang w:val="fr-CA"/>
        </w:rPr>
        <w:t xml:space="preserve">es </w:t>
      </w:r>
      <w:r>
        <w:rPr>
          <w:lang w:val="fr-CA"/>
        </w:rPr>
        <w:t>citoyens</w:t>
      </w:r>
      <w:r w:rsidRPr="00BC2D48">
        <w:rPr>
          <w:lang w:val="fr-CA"/>
        </w:rPr>
        <w:t xml:space="preserve"> en poste à l</w:t>
      </w:r>
      <w:r>
        <w:rPr>
          <w:lang w:val="fr-CA"/>
        </w:rPr>
        <w:t>’</w:t>
      </w:r>
      <w:r w:rsidRPr="00BC2D48">
        <w:rPr>
          <w:lang w:val="fr-CA"/>
        </w:rPr>
        <w:t>étranger auprès d</w:t>
      </w:r>
      <w:r>
        <w:rPr>
          <w:lang w:val="fr-CA"/>
        </w:rPr>
        <w:t>’</w:t>
      </w:r>
      <w:r w:rsidRPr="00BC2D48">
        <w:rPr>
          <w:lang w:val="fr-CA"/>
        </w:rPr>
        <w:t>organismes internationaux qui ont un li</w:t>
      </w:r>
      <w:r>
        <w:rPr>
          <w:lang w:val="fr-CA"/>
        </w:rPr>
        <w:t>en précis avec le Canada, et d</w:t>
      </w:r>
      <w:r w:rsidRPr="00BC2D48">
        <w:rPr>
          <w:lang w:val="fr-CA"/>
        </w:rPr>
        <w:t xml:space="preserve">es </w:t>
      </w:r>
      <w:r>
        <w:rPr>
          <w:lang w:val="fr-CA"/>
        </w:rPr>
        <w:t>citoyens</w:t>
      </w:r>
      <w:r w:rsidRPr="00BC2D48">
        <w:rPr>
          <w:lang w:val="fr-CA"/>
        </w:rPr>
        <w:t xml:space="preserve"> qui habitent avec les membres d</w:t>
      </w:r>
      <w:r>
        <w:rPr>
          <w:lang w:val="fr-CA"/>
        </w:rPr>
        <w:t>’un d</w:t>
      </w:r>
      <w:r w:rsidRPr="00BC2D48">
        <w:rPr>
          <w:lang w:val="fr-CA"/>
        </w:rPr>
        <w:t>e ces groupes. Ces exceptions contredisent l</w:t>
      </w:r>
      <w:r>
        <w:rPr>
          <w:lang w:val="fr-CA"/>
        </w:rPr>
        <w:t>’</w:t>
      </w:r>
      <w:r w:rsidRPr="00BC2D48">
        <w:rPr>
          <w:lang w:val="fr-CA"/>
        </w:rPr>
        <w:t>idée que la résidence est essentielle au droit de vote</w:t>
      </w:r>
      <w:r>
        <w:rPr>
          <w:lang w:val="fr-CA"/>
        </w:rPr>
        <w:t>r</w:t>
      </w:r>
      <w:r w:rsidRPr="00BC2D48">
        <w:rPr>
          <w:lang w:val="fr-CA"/>
        </w:rPr>
        <w:t>.</w:t>
      </w:r>
    </w:p>
    <w:p w:rsidR="001244E7" w:rsidRPr="00BC2D48" w:rsidRDefault="001244E7" w:rsidP="001244E7">
      <w:pPr>
        <w:pStyle w:val="ParaNoNdepar-AltN"/>
        <w:rPr>
          <w:lang w:val="fr-CA"/>
        </w:rPr>
      </w:pPr>
      <w:r w:rsidRPr="00BC2D48">
        <w:rPr>
          <w:lang w:val="fr-CA"/>
        </w:rPr>
        <w:lastRenderedPageBreak/>
        <w:t>Il s</w:t>
      </w:r>
      <w:r>
        <w:rPr>
          <w:lang w:val="fr-CA"/>
        </w:rPr>
        <w:t>’</w:t>
      </w:r>
      <w:r w:rsidRPr="00BC2D48">
        <w:rPr>
          <w:lang w:val="fr-CA"/>
        </w:rPr>
        <w:t>ensuit que selon une interprétation large et fondée sur l</w:t>
      </w:r>
      <w:r>
        <w:rPr>
          <w:lang w:val="fr-CA"/>
        </w:rPr>
        <w:t>’</w:t>
      </w:r>
      <w:r w:rsidRPr="00BC2D48">
        <w:rPr>
          <w:lang w:val="fr-CA"/>
        </w:rPr>
        <w:t>objet de l</w:t>
      </w:r>
      <w:r>
        <w:rPr>
          <w:lang w:val="fr-CA"/>
        </w:rPr>
        <w:t>’art. </w:t>
      </w:r>
      <w:r w:rsidRPr="00BC2D48">
        <w:rPr>
          <w:lang w:val="fr-CA"/>
        </w:rPr>
        <w:t xml:space="preserve">3, la résidence ne saurait servir de limite interne au droit de vote. Comme </w:t>
      </w:r>
      <w:r>
        <w:rPr>
          <w:lang w:val="fr-CA"/>
        </w:rPr>
        <w:t>l’</w:t>
      </w:r>
      <w:r w:rsidRPr="00BC2D48">
        <w:rPr>
          <w:lang w:val="fr-CA"/>
        </w:rPr>
        <w:t xml:space="preserve">a conclu </w:t>
      </w:r>
      <w:r>
        <w:rPr>
          <w:lang w:val="fr-CA"/>
        </w:rPr>
        <w:t>notre</w:t>
      </w:r>
      <w:r w:rsidRPr="00BC2D48">
        <w:rPr>
          <w:lang w:val="fr-CA"/>
        </w:rPr>
        <w:t xml:space="preserve"> Cour dans </w:t>
      </w:r>
      <w:r w:rsidRPr="00BC2D48">
        <w:rPr>
          <w:i/>
          <w:lang w:val="fr-CA"/>
        </w:rPr>
        <w:t>Sauvé n</w:t>
      </w:r>
      <w:r w:rsidRPr="00BC2D48">
        <w:rPr>
          <w:i/>
          <w:vertAlign w:val="superscript"/>
          <w:lang w:val="fr-CA"/>
        </w:rPr>
        <w:t>o</w:t>
      </w:r>
      <w:r>
        <w:rPr>
          <w:i/>
          <w:lang w:val="fr-CA"/>
        </w:rPr>
        <w:t> </w:t>
      </w:r>
      <w:r w:rsidRPr="00BC2D48">
        <w:rPr>
          <w:i/>
          <w:lang w:val="fr-CA"/>
        </w:rPr>
        <w:t>2</w:t>
      </w:r>
      <w:r w:rsidRPr="00BC2D48">
        <w:rPr>
          <w:lang w:val="fr-CA"/>
        </w:rPr>
        <w:t>, la portée du droit de vote garanti par l</w:t>
      </w:r>
      <w:r>
        <w:rPr>
          <w:lang w:val="fr-CA"/>
        </w:rPr>
        <w:t>’art. </w:t>
      </w:r>
      <w:r w:rsidRPr="00BC2D48">
        <w:rPr>
          <w:lang w:val="fr-CA"/>
        </w:rPr>
        <w:t>3 « ne devrait pas être limitée par des intérêts collectifs opposés [.</w:t>
      </w:r>
      <w:r>
        <w:rPr>
          <w:lang w:val="fr-CA"/>
        </w:rPr>
        <w:t> </w:t>
      </w:r>
      <w:r w:rsidRPr="00BC2D48">
        <w:rPr>
          <w:lang w:val="fr-CA"/>
        </w:rPr>
        <w:t>.</w:t>
      </w:r>
      <w:r>
        <w:rPr>
          <w:lang w:val="fr-CA"/>
        </w:rPr>
        <w:t> </w:t>
      </w:r>
      <w:r w:rsidRPr="00BC2D48">
        <w:rPr>
          <w:lang w:val="fr-CA"/>
        </w:rPr>
        <w:t>.] Il appartient [au gouvernement] de soulever la question de ces intérêts lorsque vient le temps de justifier, dans le cadre de l</w:t>
      </w:r>
      <w:r>
        <w:rPr>
          <w:lang w:val="fr-CA"/>
        </w:rPr>
        <w:t>’</w:t>
      </w:r>
      <w:r w:rsidRPr="00BC2D48">
        <w:rPr>
          <w:lang w:val="fr-CA"/>
        </w:rPr>
        <w:t>article premier, les limites qu</w:t>
      </w:r>
      <w:r>
        <w:rPr>
          <w:lang w:val="fr-CA"/>
        </w:rPr>
        <w:t>’</w:t>
      </w:r>
      <w:r w:rsidRPr="00BC2D48">
        <w:rPr>
          <w:lang w:val="fr-CA"/>
        </w:rPr>
        <w:t>il a imposées au droit » (</w:t>
      </w:r>
      <w:r>
        <w:rPr>
          <w:lang w:val="fr-CA"/>
        </w:rPr>
        <w:t>par. </w:t>
      </w:r>
      <w:r w:rsidRPr="00BC2D48">
        <w:rPr>
          <w:lang w:val="fr-CA"/>
        </w:rPr>
        <w:t>11). Bien entendu, il est toujours possible qu</w:t>
      </w:r>
      <w:r>
        <w:rPr>
          <w:lang w:val="fr-CA"/>
        </w:rPr>
        <w:t>’</w:t>
      </w:r>
      <w:r w:rsidRPr="00BC2D48">
        <w:rPr>
          <w:lang w:val="fr-CA"/>
        </w:rPr>
        <w:t xml:space="preserve">une atteinte au droit de vote puisse </w:t>
      </w:r>
      <w:r>
        <w:rPr>
          <w:lang w:val="fr-CA"/>
        </w:rPr>
        <w:t>être justifiée</w:t>
      </w:r>
      <w:r w:rsidRPr="00BC2D48">
        <w:rPr>
          <w:lang w:val="fr-CA"/>
        </w:rPr>
        <w:t xml:space="preserve"> </w:t>
      </w:r>
      <w:r>
        <w:rPr>
          <w:lang w:val="fr-CA"/>
        </w:rPr>
        <w:t>dans le contexte d’une</w:t>
      </w:r>
      <w:r w:rsidRPr="00BC2D48">
        <w:rPr>
          <w:lang w:val="fr-CA"/>
        </w:rPr>
        <w:t xml:space="preserve"> analyse</w:t>
      </w:r>
      <w:r>
        <w:rPr>
          <w:lang w:val="fr-CA"/>
        </w:rPr>
        <w:t xml:space="preserve"> </w:t>
      </w:r>
      <w:r w:rsidRPr="00BC2D48">
        <w:rPr>
          <w:lang w:val="fr-CA"/>
        </w:rPr>
        <w:t xml:space="preserve">des </w:t>
      </w:r>
      <w:r>
        <w:rPr>
          <w:lang w:val="fr-CA"/>
        </w:rPr>
        <w:t>limites raisonnables ou que les restrictions législatives du droit de vote soient nécessairement inconstitutionnelles</w:t>
      </w:r>
      <w:r w:rsidRPr="00BC2D48">
        <w:rPr>
          <w:lang w:val="fr-CA"/>
        </w:rPr>
        <w:t>. Toutefois, il n</w:t>
      </w:r>
      <w:r>
        <w:rPr>
          <w:lang w:val="fr-CA"/>
        </w:rPr>
        <w:t>’</w:t>
      </w:r>
      <w:r w:rsidRPr="00BC2D48">
        <w:rPr>
          <w:lang w:val="fr-CA"/>
        </w:rPr>
        <w:t>en demeure pas moins que les restrictions du droit de vote doivent</w:t>
      </w:r>
      <w:r>
        <w:rPr>
          <w:lang w:val="fr-CA"/>
        </w:rPr>
        <w:t>, si elles sont soulevées, être</w:t>
      </w:r>
      <w:r w:rsidRPr="00BC2D48">
        <w:rPr>
          <w:lang w:val="fr-CA"/>
        </w:rPr>
        <w:t xml:space="preserve"> justifiées en application de l</w:t>
      </w:r>
      <w:r>
        <w:rPr>
          <w:lang w:val="fr-CA"/>
        </w:rPr>
        <w:t>’</w:t>
      </w:r>
      <w:r w:rsidRPr="00BC2D48">
        <w:rPr>
          <w:lang w:val="fr-CA"/>
        </w:rPr>
        <w:t xml:space="preserve">article premier, </w:t>
      </w:r>
      <w:r>
        <w:rPr>
          <w:lang w:val="fr-CA"/>
        </w:rPr>
        <w:t>et non i</w:t>
      </w:r>
      <w:r w:rsidRPr="00BC2D48">
        <w:rPr>
          <w:lang w:val="fr-CA"/>
        </w:rPr>
        <w:t xml:space="preserve">ndirectement incorporées </w:t>
      </w:r>
      <w:r>
        <w:rPr>
          <w:lang w:val="fr-CA"/>
        </w:rPr>
        <w:t>à</w:t>
      </w:r>
      <w:r w:rsidRPr="00BC2D48">
        <w:rPr>
          <w:lang w:val="fr-CA"/>
        </w:rPr>
        <w:t xml:space="preserve"> la portée du droit lui</w:t>
      </w:r>
      <w:r>
        <w:rPr>
          <w:lang w:val="fr-CA"/>
        </w:rPr>
        <w:noBreakHyphen/>
      </w:r>
      <w:r w:rsidRPr="00BC2D48">
        <w:rPr>
          <w:lang w:val="fr-CA"/>
        </w:rPr>
        <w:t>même</w:t>
      </w:r>
      <w:r>
        <w:rPr>
          <w:lang w:val="fr-CA"/>
        </w:rPr>
        <w:t xml:space="preserve">. </w:t>
      </w:r>
      <w:r w:rsidRPr="00BC2D48">
        <w:rPr>
          <w:lang w:val="fr-CA"/>
        </w:rPr>
        <w:t>En conséquence, la résidence n</w:t>
      </w:r>
      <w:r>
        <w:rPr>
          <w:lang w:val="fr-CA"/>
        </w:rPr>
        <w:t>’</w:t>
      </w:r>
      <w:r w:rsidRPr="00BC2D48">
        <w:rPr>
          <w:lang w:val="fr-CA"/>
        </w:rPr>
        <w:t xml:space="preserve">est pas une </w:t>
      </w:r>
      <w:r>
        <w:rPr>
          <w:lang w:val="fr-CA"/>
        </w:rPr>
        <w:t>exigence</w:t>
      </w:r>
      <w:r w:rsidRPr="00BC2D48">
        <w:rPr>
          <w:lang w:val="fr-CA"/>
        </w:rPr>
        <w:t xml:space="preserve"> essentielle du droit de vote; il s</w:t>
      </w:r>
      <w:r>
        <w:rPr>
          <w:lang w:val="fr-CA"/>
        </w:rPr>
        <w:t>’</w:t>
      </w:r>
      <w:r w:rsidRPr="00BC2D48">
        <w:rPr>
          <w:lang w:val="fr-CA"/>
        </w:rPr>
        <w:t>agit plutôt d</w:t>
      </w:r>
      <w:r>
        <w:rPr>
          <w:lang w:val="fr-CA"/>
        </w:rPr>
        <w:t>’</w:t>
      </w:r>
      <w:r w:rsidRPr="00BC2D48">
        <w:rPr>
          <w:lang w:val="fr-CA"/>
        </w:rPr>
        <w:t>une considération</w:t>
      </w:r>
      <w:r>
        <w:rPr>
          <w:lang w:val="fr-CA"/>
        </w:rPr>
        <w:t xml:space="preserve"> </w:t>
      </w:r>
      <w:r w:rsidRPr="00BC2D48">
        <w:rPr>
          <w:lang w:val="fr-CA"/>
        </w:rPr>
        <w:t xml:space="preserve">opposée que doit justifier le </w:t>
      </w:r>
      <w:r>
        <w:rPr>
          <w:lang w:val="fr-CA"/>
        </w:rPr>
        <w:t>PGC</w:t>
      </w:r>
      <w:r w:rsidRPr="00BC2D48">
        <w:rPr>
          <w:lang w:val="fr-CA"/>
        </w:rPr>
        <w:t xml:space="preserve"> en application de l</w:t>
      </w:r>
      <w:r>
        <w:rPr>
          <w:lang w:val="fr-CA"/>
        </w:rPr>
        <w:t>’</w:t>
      </w:r>
      <w:r w:rsidRPr="00BC2D48">
        <w:rPr>
          <w:lang w:val="fr-CA"/>
        </w:rPr>
        <w:t xml:space="preserve">article premier de la </w:t>
      </w:r>
      <w:r w:rsidRPr="00BC2D48">
        <w:rPr>
          <w:i/>
          <w:lang w:val="fr-CA"/>
        </w:rPr>
        <w:t>Charte</w:t>
      </w:r>
      <w:r w:rsidRPr="00BC2D48">
        <w:rPr>
          <w:lang w:val="fr-CA"/>
        </w:rPr>
        <w:t>.</w:t>
      </w:r>
    </w:p>
    <w:p w:rsidR="001244E7" w:rsidRPr="00BC2D48" w:rsidRDefault="001244E7" w:rsidP="001244E7">
      <w:pPr>
        <w:pStyle w:val="ParaNoNdepar-AltN"/>
        <w:rPr>
          <w:lang w:val="fr-CA"/>
        </w:rPr>
      </w:pPr>
      <w:r w:rsidRPr="00BC2D48">
        <w:rPr>
          <w:lang w:val="fr-CA"/>
        </w:rPr>
        <w:t xml:space="preserve">La jurisprudence </w:t>
      </w:r>
      <w:r>
        <w:rPr>
          <w:lang w:val="fr-CA"/>
        </w:rPr>
        <w:t>ne prévoit</w:t>
      </w:r>
      <w:r w:rsidRPr="00BC2D48">
        <w:rPr>
          <w:lang w:val="fr-CA"/>
        </w:rPr>
        <w:t xml:space="preserve"> pas non plus, à mo</w:t>
      </w:r>
      <w:r>
        <w:rPr>
          <w:lang w:val="fr-CA"/>
        </w:rPr>
        <w:t xml:space="preserve">n avis, que la résidence est </w:t>
      </w:r>
      <w:r w:rsidRPr="00BC2D48">
        <w:rPr>
          <w:lang w:val="fr-CA"/>
        </w:rPr>
        <w:t>essentiel</w:t>
      </w:r>
      <w:r>
        <w:rPr>
          <w:lang w:val="fr-CA"/>
        </w:rPr>
        <w:t>le</w:t>
      </w:r>
      <w:r w:rsidRPr="00BC2D48">
        <w:rPr>
          <w:lang w:val="fr-CA"/>
        </w:rPr>
        <w:t xml:space="preserve"> </w:t>
      </w:r>
      <w:r>
        <w:rPr>
          <w:lang w:val="fr-CA"/>
        </w:rPr>
        <w:t>a</w:t>
      </w:r>
      <w:r w:rsidRPr="00BC2D48">
        <w:rPr>
          <w:lang w:val="fr-CA"/>
        </w:rPr>
        <w:t xml:space="preserve">u droit de vote garanti par la </w:t>
      </w:r>
      <w:r w:rsidRPr="00BC2D48">
        <w:rPr>
          <w:i/>
          <w:lang w:val="fr-CA"/>
        </w:rPr>
        <w:t>Charte</w:t>
      </w:r>
      <w:r w:rsidRPr="00BC2D48">
        <w:rPr>
          <w:lang w:val="fr-CA"/>
        </w:rPr>
        <w:t xml:space="preserve">. </w:t>
      </w:r>
      <w:r>
        <w:rPr>
          <w:lang w:val="fr-CA"/>
        </w:rPr>
        <w:t>La</w:t>
      </w:r>
      <w:r w:rsidRPr="00BC2D48">
        <w:rPr>
          <w:lang w:val="fr-CA"/>
        </w:rPr>
        <w:t xml:space="preserve"> Cour n</w:t>
      </w:r>
      <w:r>
        <w:rPr>
          <w:lang w:val="fr-CA"/>
        </w:rPr>
        <w:t>’</w:t>
      </w:r>
      <w:r w:rsidRPr="00BC2D48">
        <w:rPr>
          <w:lang w:val="fr-CA"/>
        </w:rPr>
        <w:t xml:space="preserve">a jamais statué que la résidence </w:t>
      </w:r>
      <w:r>
        <w:rPr>
          <w:lang w:val="fr-CA"/>
        </w:rPr>
        <w:t>est</w:t>
      </w:r>
      <w:r w:rsidRPr="00BC2D48">
        <w:rPr>
          <w:lang w:val="fr-CA"/>
        </w:rPr>
        <w:t xml:space="preserve"> une </w:t>
      </w:r>
      <w:r>
        <w:rPr>
          <w:lang w:val="fr-CA"/>
        </w:rPr>
        <w:t>condition</w:t>
      </w:r>
      <w:r w:rsidRPr="00BC2D48">
        <w:rPr>
          <w:lang w:val="fr-CA"/>
        </w:rPr>
        <w:t xml:space="preserve"> essentielle et implicite du droit de vote. Au contraire, comme nous l</w:t>
      </w:r>
      <w:r>
        <w:rPr>
          <w:lang w:val="fr-CA"/>
        </w:rPr>
        <w:t>’</w:t>
      </w:r>
      <w:r w:rsidRPr="00BC2D48">
        <w:rPr>
          <w:lang w:val="fr-CA"/>
        </w:rPr>
        <w:t xml:space="preserve">avons </w:t>
      </w:r>
      <w:r>
        <w:rPr>
          <w:lang w:val="fr-CA"/>
        </w:rPr>
        <w:t>mentionné</w:t>
      </w:r>
      <w:r w:rsidRPr="00BC2D48">
        <w:rPr>
          <w:lang w:val="fr-CA"/>
        </w:rPr>
        <w:t xml:space="preserve">, </w:t>
      </w:r>
      <w:r>
        <w:rPr>
          <w:lang w:val="fr-CA"/>
        </w:rPr>
        <w:t xml:space="preserve">il ressort clairement de </w:t>
      </w:r>
      <w:r w:rsidRPr="00BC2D48">
        <w:rPr>
          <w:lang w:val="fr-CA"/>
        </w:rPr>
        <w:t>la jurisprudence qu</w:t>
      </w:r>
      <w:r>
        <w:rPr>
          <w:lang w:val="fr-CA"/>
        </w:rPr>
        <w:t>’</w:t>
      </w:r>
      <w:r w:rsidRPr="00BC2D48">
        <w:rPr>
          <w:lang w:val="fr-CA"/>
        </w:rPr>
        <w:t>une interprétation large et libérale est particulièrement importante dans le cas du droit de vote et que l</w:t>
      </w:r>
      <w:r>
        <w:rPr>
          <w:lang w:val="fr-CA"/>
        </w:rPr>
        <w:t>’art. </w:t>
      </w:r>
      <w:r w:rsidRPr="00BC2D48">
        <w:rPr>
          <w:lang w:val="fr-CA"/>
        </w:rPr>
        <w:t>3 doit être « interprété littéralement » (</w:t>
      </w:r>
      <w:r w:rsidRPr="00BC2D48">
        <w:rPr>
          <w:i/>
          <w:lang w:val="fr-CA"/>
        </w:rPr>
        <w:t>Sauvé n</w:t>
      </w:r>
      <w:r w:rsidRPr="00BC2D48">
        <w:rPr>
          <w:i/>
          <w:vertAlign w:val="superscript"/>
          <w:lang w:val="fr-CA"/>
        </w:rPr>
        <w:t>o</w:t>
      </w:r>
      <w:r>
        <w:rPr>
          <w:i/>
          <w:lang w:val="fr-CA"/>
        </w:rPr>
        <w:t> </w:t>
      </w:r>
      <w:r w:rsidRPr="00BC2D48">
        <w:rPr>
          <w:i/>
          <w:lang w:val="fr-CA"/>
        </w:rPr>
        <w:t>2</w:t>
      </w:r>
      <w:r w:rsidRPr="00BC2D48">
        <w:rPr>
          <w:lang w:val="fr-CA"/>
        </w:rPr>
        <w:t xml:space="preserve">, </w:t>
      </w:r>
      <w:r>
        <w:rPr>
          <w:lang w:val="fr-CA"/>
        </w:rPr>
        <w:t>par. </w:t>
      </w:r>
      <w:r w:rsidRPr="00BC2D48">
        <w:rPr>
          <w:lang w:val="fr-CA"/>
        </w:rPr>
        <w:t xml:space="preserve">11). De plus, bien que </w:t>
      </w:r>
      <w:r>
        <w:rPr>
          <w:lang w:val="fr-CA"/>
        </w:rPr>
        <w:t>la</w:t>
      </w:r>
      <w:r w:rsidRPr="00BC2D48">
        <w:rPr>
          <w:lang w:val="fr-CA"/>
        </w:rPr>
        <w:t xml:space="preserve"> Cour ait qualifié la résidence d</w:t>
      </w:r>
      <w:r>
        <w:rPr>
          <w:lang w:val="fr-CA"/>
        </w:rPr>
        <w:t>’</w:t>
      </w:r>
      <w:r w:rsidRPr="00BC2D48">
        <w:rPr>
          <w:lang w:val="fr-CA"/>
        </w:rPr>
        <w:t>« attribut fondamental »</w:t>
      </w:r>
      <w:r w:rsidRPr="00081D30">
        <w:rPr>
          <w:lang w:val="fr-CA"/>
        </w:rPr>
        <w:t xml:space="preserve"> </w:t>
      </w:r>
      <w:r w:rsidRPr="00BC2D48">
        <w:rPr>
          <w:lang w:val="fr-CA"/>
        </w:rPr>
        <w:t>dans l</w:t>
      </w:r>
      <w:r>
        <w:rPr>
          <w:lang w:val="fr-CA"/>
        </w:rPr>
        <w:t>’</w:t>
      </w:r>
      <w:r w:rsidRPr="00BC2D48">
        <w:rPr>
          <w:lang w:val="fr-CA"/>
        </w:rPr>
        <w:t xml:space="preserve">arrêt </w:t>
      </w:r>
      <w:r w:rsidRPr="00BC2D48">
        <w:rPr>
          <w:i/>
          <w:lang w:val="fr-CA"/>
        </w:rPr>
        <w:t>Opitz</w:t>
      </w:r>
      <w:r w:rsidRPr="00BC2D48">
        <w:rPr>
          <w:lang w:val="fr-CA"/>
        </w:rPr>
        <w:t>, elle l</w:t>
      </w:r>
      <w:r>
        <w:rPr>
          <w:lang w:val="fr-CA"/>
        </w:rPr>
        <w:t>’</w:t>
      </w:r>
      <w:r w:rsidRPr="00BC2D48">
        <w:rPr>
          <w:lang w:val="fr-CA"/>
        </w:rPr>
        <w:t xml:space="preserve">a fait </w:t>
      </w:r>
      <w:r>
        <w:rPr>
          <w:lang w:val="fr-CA"/>
        </w:rPr>
        <w:t>en lien avec</w:t>
      </w:r>
      <w:r w:rsidRPr="00BC2D48">
        <w:rPr>
          <w:lang w:val="fr-CA"/>
        </w:rPr>
        <w:t xml:space="preserve"> la définition du droit de vote énoncé à l</w:t>
      </w:r>
      <w:r>
        <w:rPr>
          <w:lang w:val="fr-CA"/>
        </w:rPr>
        <w:t>’art. </w:t>
      </w:r>
      <w:r w:rsidRPr="00BC2D48">
        <w:rPr>
          <w:lang w:val="fr-CA"/>
        </w:rPr>
        <w:t xml:space="preserve">6 de la </w:t>
      </w:r>
      <w:r w:rsidRPr="00A03A4C">
        <w:rPr>
          <w:lang w:val="fr-CA"/>
        </w:rPr>
        <w:t>Loi</w:t>
      </w:r>
      <w:r w:rsidRPr="00BC2D48">
        <w:rPr>
          <w:lang w:val="fr-CA"/>
        </w:rPr>
        <w:t xml:space="preserve">, et non </w:t>
      </w:r>
      <w:r>
        <w:rPr>
          <w:lang w:val="fr-CA"/>
        </w:rPr>
        <w:lastRenderedPageBreak/>
        <w:t>en lien avec</w:t>
      </w:r>
      <w:r w:rsidRPr="00BC2D48">
        <w:rPr>
          <w:lang w:val="fr-CA"/>
        </w:rPr>
        <w:t xml:space="preserve"> la portée du droit de vote garanti par l</w:t>
      </w:r>
      <w:r>
        <w:rPr>
          <w:lang w:val="fr-CA"/>
        </w:rPr>
        <w:t>’art. </w:t>
      </w:r>
      <w:r w:rsidRPr="00BC2D48">
        <w:rPr>
          <w:lang w:val="fr-CA"/>
        </w:rPr>
        <w:t xml:space="preserve">3 de la </w:t>
      </w:r>
      <w:r w:rsidRPr="00BC2D48">
        <w:rPr>
          <w:i/>
          <w:lang w:val="fr-CA"/>
        </w:rPr>
        <w:t>Charte</w:t>
      </w:r>
      <w:r w:rsidRPr="00BC2D48">
        <w:rPr>
          <w:lang w:val="fr-CA"/>
        </w:rPr>
        <w:t xml:space="preserve"> (</w:t>
      </w:r>
      <w:r>
        <w:rPr>
          <w:lang w:val="fr-CA"/>
        </w:rPr>
        <w:t>par. </w:t>
      </w:r>
      <w:r w:rsidRPr="00BC2D48">
        <w:rPr>
          <w:lang w:val="fr-CA"/>
        </w:rPr>
        <w:t xml:space="preserve">32). Qui plus est, </w:t>
      </w:r>
      <w:r>
        <w:rPr>
          <w:lang w:val="fr-CA"/>
        </w:rPr>
        <w:t xml:space="preserve">la question dans </w:t>
      </w:r>
      <w:r w:rsidRPr="00081D30">
        <w:rPr>
          <w:i/>
          <w:lang w:val="fr-CA"/>
        </w:rPr>
        <w:t>Opitz</w:t>
      </w:r>
      <w:r w:rsidRPr="00BC2D48">
        <w:rPr>
          <w:lang w:val="fr-CA"/>
        </w:rPr>
        <w:t xml:space="preserve"> </w:t>
      </w:r>
      <w:r>
        <w:rPr>
          <w:lang w:val="fr-CA"/>
        </w:rPr>
        <w:t>était de savoir si une élection do</w:t>
      </w:r>
      <w:r w:rsidRPr="00BC2D48">
        <w:rPr>
          <w:lang w:val="fr-CA"/>
        </w:rPr>
        <w:t>it être annulée en raison d</w:t>
      </w:r>
      <w:r>
        <w:rPr>
          <w:lang w:val="fr-CA"/>
        </w:rPr>
        <w:t>’</w:t>
      </w:r>
      <w:r w:rsidRPr="00BC2D48">
        <w:rPr>
          <w:lang w:val="fr-CA"/>
        </w:rPr>
        <w:t>erreurs administratives</w:t>
      </w:r>
      <w:r w:rsidR="0066753F">
        <w:rPr>
          <w:lang w:val="fr-CA"/>
        </w:rPr>
        <w:t>, et ne portait pas</w:t>
      </w:r>
      <w:r>
        <w:rPr>
          <w:lang w:val="fr-CA"/>
        </w:rPr>
        <w:t xml:space="preserve"> sur la portée</w:t>
      </w:r>
      <w:r w:rsidRPr="00BC2D48">
        <w:rPr>
          <w:lang w:val="fr-CA"/>
        </w:rPr>
        <w:t xml:space="preserve"> du droit de vote dans le contexte d</w:t>
      </w:r>
      <w:r>
        <w:rPr>
          <w:lang w:val="fr-CA"/>
        </w:rPr>
        <w:t>’</w:t>
      </w:r>
      <w:r w:rsidRPr="00BC2D48">
        <w:rPr>
          <w:lang w:val="fr-CA"/>
        </w:rPr>
        <w:t>une contestation d</w:t>
      </w:r>
      <w:r>
        <w:rPr>
          <w:lang w:val="fr-CA"/>
        </w:rPr>
        <w:t>’</w:t>
      </w:r>
      <w:r w:rsidRPr="00BC2D48">
        <w:rPr>
          <w:lang w:val="fr-CA"/>
        </w:rPr>
        <w:t xml:space="preserve">une loi électorale sur le fondement de la </w:t>
      </w:r>
      <w:r w:rsidRPr="00BC2D48">
        <w:rPr>
          <w:i/>
          <w:lang w:val="fr-CA"/>
        </w:rPr>
        <w:t>Charte</w:t>
      </w:r>
      <w:r w:rsidRPr="00BC2D48">
        <w:rPr>
          <w:lang w:val="fr-CA"/>
        </w:rPr>
        <w:t xml:space="preserve">. En conséquence, </w:t>
      </w:r>
      <w:r>
        <w:rPr>
          <w:lang w:val="fr-CA"/>
        </w:rPr>
        <w:t>je ne conclus pas d</w:t>
      </w:r>
      <w:r w:rsidRPr="00BC2D48">
        <w:rPr>
          <w:lang w:val="fr-CA"/>
        </w:rPr>
        <w:t>e l</w:t>
      </w:r>
      <w:r>
        <w:rPr>
          <w:lang w:val="fr-CA"/>
        </w:rPr>
        <w:t>’</w:t>
      </w:r>
      <w:r w:rsidRPr="00BC2D48">
        <w:rPr>
          <w:lang w:val="fr-CA"/>
        </w:rPr>
        <w:t xml:space="preserve">arrêt </w:t>
      </w:r>
      <w:r w:rsidRPr="00BC2D48">
        <w:rPr>
          <w:i/>
          <w:lang w:val="fr-CA"/>
        </w:rPr>
        <w:t>Opitz</w:t>
      </w:r>
      <w:r w:rsidRPr="00BC2D48">
        <w:rPr>
          <w:lang w:val="fr-CA"/>
        </w:rPr>
        <w:t xml:space="preserve"> </w:t>
      </w:r>
      <w:r>
        <w:rPr>
          <w:lang w:val="fr-CA"/>
        </w:rPr>
        <w:t>que</w:t>
      </w:r>
      <w:r w:rsidRPr="00BC2D48">
        <w:rPr>
          <w:lang w:val="fr-CA"/>
        </w:rPr>
        <w:t xml:space="preserve"> la résidence</w:t>
      </w:r>
      <w:r>
        <w:rPr>
          <w:lang w:val="fr-CA"/>
        </w:rPr>
        <w:t xml:space="preserve"> est</w:t>
      </w:r>
      <w:r w:rsidRPr="00BC2D48">
        <w:rPr>
          <w:lang w:val="fr-CA"/>
        </w:rPr>
        <w:t xml:space="preserve"> une </w:t>
      </w:r>
      <w:r>
        <w:rPr>
          <w:lang w:val="fr-CA"/>
        </w:rPr>
        <w:t xml:space="preserve">condition </w:t>
      </w:r>
      <w:r w:rsidRPr="00BC2D48">
        <w:rPr>
          <w:lang w:val="fr-CA"/>
        </w:rPr>
        <w:t xml:space="preserve">essentielle du droit de vote garanti par la </w:t>
      </w:r>
      <w:r w:rsidRPr="00BC2D48">
        <w:rPr>
          <w:i/>
          <w:lang w:val="fr-CA"/>
        </w:rPr>
        <w:t>Charte</w:t>
      </w:r>
      <w:r w:rsidRPr="00BC2D48">
        <w:rPr>
          <w:lang w:val="fr-CA"/>
        </w:rPr>
        <w:t xml:space="preserve">. </w:t>
      </w:r>
    </w:p>
    <w:p w:rsidR="001244E7" w:rsidRPr="00BC2D48" w:rsidRDefault="001244E7" w:rsidP="001244E7">
      <w:pPr>
        <w:pStyle w:val="ParaNoNdepar-AltN"/>
        <w:rPr>
          <w:lang w:val="fr-CA"/>
        </w:rPr>
      </w:pPr>
      <w:r>
        <w:rPr>
          <w:lang w:val="fr-CA"/>
        </w:rPr>
        <w:t>Quoi qu’il en soit</w:t>
      </w:r>
      <w:r w:rsidRPr="00BC2D48">
        <w:rPr>
          <w:lang w:val="fr-CA"/>
        </w:rPr>
        <w:t xml:space="preserve">, </w:t>
      </w:r>
      <w:r>
        <w:rPr>
          <w:lang w:val="fr-CA"/>
        </w:rPr>
        <w:t xml:space="preserve">il faut situer </w:t>
      </w:r>
      <w:r w:rsidRPr="00BC2D48">
        <w:rPr>
          <w:lang w:val="fr-CA"/>
        </w:rPr>
        <w:t xml:space="preserve">le rôle de la résidence </w:t>
      </w:r>
      <w:r>
        <w:rPr>
          <w:lang w:val="fr-CA"/>
        </w:rPr>
        <w:t>au sein de</w:t>
      </w:r>
      <w:r w:rsidRPr="00BC2D48">
        <w:rPr>
          <w:lang w:val="fr-CA"/>
        </w:rPr>
        <w:t xml:space="preserve"> notre système électoral dans son contexte historique. L</w:t>
      </w:r>
      <w:r>
        <w:rPr>
          <w:lang w:val="fr-CA"/>
        </w:rPr>
        <w:t>’</w:t>
      </w:r>
      <w:r w:rsidRPr="00BC2D48">
        <w:rPr>
          <w:lang w:val="fr-CA"/>
        </w:rPr>
        <w:t>exigence a vu le jour à une époque où les citoyens</w:t>
      </w:r>
      <w:r>
        <w:rPr>
          <w:lang w:val="fr-CA"/>
        </w:rPr>
        <w:t xml:space="preserve"> </w:t>
      </w:r>
      <w:r w:rsidRPr="00BC2D48">
        <w:rPr>
          <w:lang w:val="fr-CA"/>
        </w:rPr>
        <w:t>ne pouvaient pas</w:t>
      </w:r>
      <w:r>
        <w:rPr>
          <w:lang w:val="fr-CA"/>
        </w:rPr>
        <w:t>,</w:t>
      </w:r>
      <w:r w:rsidRPr="0085572D">
        <w:rPr>
          <w:lang w:val="fr-CA"/>
        </w:rPr>
        <w:t xml:space="preserve"> </w:t>
      </w:r>
      <w:r>
        <w:rPr>
          <w:lang w:val="fr-CA"/>
        </w:rPr>
        <w:t>en général,</w:t>
      </w:r>
      <w:r w:rsidRPr="00BC2D48">
        <w:rPr>
          <w:lang w:val="fr-CA"/>
        </w:rPr>
        <w:t xml:space="preserve"> voyager aussi facilement et aussi souvent qu</w:t>
      </w:r>
      <w:r>
        <w:rPr>
          <w:lang w:val="fr-CA"/>
        </w:rPr>
        <w:t>’</w:t>
      </w:r>
      <w:r w:rsidRPr="00BC2D48">
        <w:rPr>
          <w:lang w:val="fr-CA"/>
        </w:rPr>
        <w:t>ils le font aujourd</w:t>
      </w:r>
      <w:r>
        <w:rPr>
          <w:lang w:val="fr-CA"/>
        </w:rPr>
        <w:t>’</w:t>
      </w:r>
      <w:r w:rsidRPr="00BC2D48">
        <w:rPr>
          <w:lang w:val="fr-CA"/>
        </w:rPr>
        <w:t>hui, et où ils</w:t>
      </w:r>
      <w:r>
        <w:rPr>
          <w:lang w:val="fr-CA"/>
        </w:rPr>
        <w:t xml:space="preserve"> avaient tendance à passer leur</w:t>
      </w:r>
      <w:r w:rsidRPr="00BC2D48">
        <w:rPr>
          <w:lang w:val="fr-CA"/>
        </w:rPr>
        <w:t xml:space="preserve"> vie dans une seule collectivité. À cette époque, le droit de vote était rattaché à la propriété foncière</w:t>
      </w:r>
      <w:r>
        <w:rPr>
          <w:lang w:val="fr-CA"/>
        </w:rPr>
        <w:t>,</w:t>
      </w:r>
      <w:r w:rsidRPr="00BC2D48">
        <w:rPr>
          <w:lang w:val="fr-CA"/>
        </w:rPr>
        <w:t xml:space="preserve"> et seuls les propriétaires fonciers de sexe masculin pouvaient voter. </w:t>
      </w:r>
      <w:r>
        <w:rPr>
          <w:lang w:val="fr-CA"/>
        </w:rPr>
        <w:t xml:space="preserve">La condition </w:t>
      </w:r>
      <w:r w:rsidRPr="00BC2D48">
        <w:rPr>
          <w:lang w:val="fr-CA"/>
        </w:rPr>
        <w:t>de résidence v</w:t>
      </w:r>
      <w:r>
        <w:rPr>
          <w:lang w:val="fr-CA"/>
        </w:rPr>
        <w:t>is</w:t>
      </w:r>
      <w:r w:rsidRPr="00BC2D48">
        <w:rPr>
          <w:lang w:val="fr-CA"/>
        </w:rPr>
        <w:t>ait également</w:t>
      </w:r>
      <w:r>
        <w:rPr>
          <w:lang w:val="fr-CA"/>
        </w:rPr>
        <w:t>, en partie, à</w:t>
      </w:r>
      <w:r w:rsidRPr="00BC2D48">
        <w:rPr>
          <w:lang w:val="fr-CA"/>
        </w:rPr>
        <w:t xml:space="preserve"> empêcher le « vote plural », </w:t>
      </w:r>
      <w:r>
        <w:rPr>
          <w:lang w:val="fr-CA"/>
        </w:rPr>
        <w:t>de sorte</w:t>
      </w:r>
      <w:r w:rsidRPr="00BC2D48">
        <w:rPr>
          <w:lang w:val="fr-CA"/>
        </w:rPr>
        <w:t xml:space="preserve"> qu</w:t>
      </w:r>
      <w:r>
        <w:rPr>
          <w:lang w:val="fr-CA"/>
        </w:rPr>
        <w:t>’</w:t>
      </w:r>
      <w:r w:rsidRPr="00BC2D48">
        <w:rPr>
          <w:lang w:val="fr-CA"/>
        </w:rPr>
        <w:t>une personne possédant des propriétés dans plus d</w:t>
      </w:r>
      <w:r>
        <w:rPr>
          <w:lang w:val="fr-CA"/>
        </w:rPr>
        <w:t>’</w:t>
      </w:r>
      <w:r w:rsidRPr="00BC2D48">
        <w:rPr>
          <w:lang w:val="fr-CA"/>
        </w:rPr>
        <w:t>une circonscription ne puisse pas voter dans chacune d</w:t>
      </w:r>
      <w:r>
        <w:rPr>
          <w:lang w:val="fr-CA"/>
        </w:rPr>
        <w:t>’</w:t>
      </w:r>
      <w:r w:rsidRPr="00BC2D48">
        <w:rPr>
          <w:lang w:val="fr-CA"/>
        </w:rPr>
        <w:t>elles (</w:t>
      </w:r>
      <w:r w:rsidRPr="00BC2D48">
        <w:rPr>
          <w:i/>
          <w:lang w:val="fr-CA"/>
        </w:rPr>
        <w:t>Haig c. Canada (Directeur général des élections)</w:t>
      </w:r>
      <w:r w:rsidRPr="00BC2D48">
        <w:rPr>
          <w:lang w:val="fr-CA"/>
        </w:rPr>
        <w:t xml:space="preserve">, [1993] 2 R.C.S. 995, </w:t>
      </w:r>
      <w:r>
        <w:rPr>
          <w:lang w:val="fr-CA"/>
        </w:rPr>
        <w:t>p. </w:t>
      </w:r>
      <w:r w:rsidRPr="00BC2D48">
        <w:rPr>
          <w:lang w:val="fr-CA"/>
        </w:rPr>
        <w:t xml:space="preserve">1052). </w:t>
      </w:r>
    </w:p>
    <w:p w:rsidR="001244E7" w:rsidRPr="00BC2D48" w:rsidRDefault="001244E7" w:rsidP="001244E7">
      <w:pPr>
        <w:pStyle w:val="ParaNoNdepar-AltN"/>
        <w:rPr>
          <w:lang w:val="fr-CA"/>
        </w:rPr>
      </w:pPr>
      <w:r w:rsidRPr="00BC2D48">
        <w:rPr>
          <w:lang w:val="fr-CA"/>
        </w:rPr>
        <w:t>Aujourd</w:t>
      </w:r>
      <w:r>
        <w:rPr>
          <w:lang w:val="fr-CA"/>
        </w:rPr>
        <w:t>’</w:t>
      </w:r>
      <w:r w:rsidRPr="00BC2D48">
        <w:rPr>
          <w:lang w:val="fr-CA"/>
        </w:rPr>
        <w:t xml:space="preserve">hui, </w:t>
      </w:r>
      <w:r>
        <w:rPr>
          <w:lang w:val="fr-CA"/>
        </w:rPr>
        <w:t>en revanche</w:t>
      </w:r>
      <w:r w:rsidRPr="00BC2D48">
        <w:rPr>
          <w:lang w:val="fr-CA"/>
        </w:rPr>
        <w:t xml:space="preserve">, nous vivons </w:t>
      </w:r>
      <w:r>
        <w:rPr>
          <w:lang w:val="fr-CA"/>
        </w:rPr>
        <w:t>dans une société</w:t>
      </w:r>
      <w:r w:rsidRPr="00BC2D48">
        <w:rPr>
          <w:lang w:val="fr-CA"/>
        </w:rPr>
        <w:t xml:space="preserve"> mondialis</w:t>
      </w:r>
      <w:r>
        <w:rPr>
          <w:lang w:val="fr-CA"/>
        </w:rPr>
        <w:t>ée</w:t>
      </w:r>
      <w:r w:rsidRPr="00BC2D48">
        <w:rPr>
          <w:lang w:val="fr-CA"/>
        </w:rPr>
        <w:t>. La possibilité qu</w:t>
      </w:r>
      <w:r>
        <w:rPr>
          <w:lang w:val="fr-CA"/>
        </w:rPr>
        <w:t>’</w:t>
      </w:r>
      <w:r w:rsidRPr="00BC2D48">
        <w:rPr>
          <w:lang w:val="fr-CA"/>
        </w:rPr>
        <w:t xml:space="preserve">ont les citoyens de déménager, tout en </w:t>
      </w:r>
      <w:r>
        <w:rPr>
          <w:lang w:val="fr-CA"/>
        </w:rPr>
        <w:t>gardant</w:t>
      </w:r>
      <w:r w:rsidRPr="00BC2D48">
        <w:rPr>
          <w:lang w:val="fr-CA"/>
        </w:rPr>
        <w:t xml:space="preserve"> des liens et </w:t>
      </w:r>
      <w:r>
        <w:rPr>
          <w:lang w:val="fr-CA"/>
        </w:rPr>
        <w:t>en demeurant en contact avec leur collectivité</w:t>
      </w:r>
      <w:r w:rsidRPr="00BC2D48">
        <w:rPr>
          <w:lang w:val="fr-CA"/>
        </w:rPr>
        <w:t>, est sans précédent. De nombreux Canadiens vivent à l</w:t>
      </w:r>
      <w:r>
        <w:rPr>
          <w:lang w:val="fr-CA"/>
        </w:rPr>
        <w:t>’</w:t>
      </w:r>
      <w:r w:rsidRPr="00BC2D48">
        <w:rPr>
          <w:lang w:val="fr-CA"/>
        </w:rPr>
        <w:t xml:space="preserve">étranger et ils y demeurent souvent pendant cinq ans ou plus. </w:t>
      </w:r>
      <w:r>
        <w:rPr>
          <w:lang w:val="fr-CA"/>
        </w:rPr>
        <w:t>L</w:t>
      </w:r>
      <w:r w:rsidRPr="00BC2D48">
        <w:rPr>
          <w:lang w:val="fr-CA"/>
        </w:rPr>
        <w:t>e juge de première instance</w:t>
      </w:r>
      <w:r>
        <w:rPr>
          <w:lang w:val="fr-CA"/>
        </w:rPr>
        <w:t xml:space="preserve"> a cité un élément de preuve indiquant qu’</w:t>
      </w:r>
      <w:r w:rsidRPr="00BC2D48">
        <w:rPr>
          <w:lang w:val="fr-CA"/>
        </w:rPr>
        <w:t xml:space="preserve">en 2009, environ 2,8 millions de </w:t>
      </w:r>
      <w:r w:rsidRPr="00BC2D48">
        <w:rPr>
          <w:lang w:val="fr-CA"/>
        </w:rPr>
        <w:lastRenderedPageBreak/>
        <w:t xml:space="preserve">Canadiens </w:t>
      </w:r>
      <w:r w:rsidRPr="00BC2D48">
        <w:rPr>
          <w:rFonts w:cs="Times New Roman"/>
          <w:lang w:val="fr-CA"/>
        </w:rPr>
        <w:t>—</w:t>
      </w:r>
      <w:r w:rsidRPr="00BC2D48">
        <w:rPr>
          <w:lang w:val="fr-CA"/>
        </w:rPr>
        <w:t xml:space="preserve"> c</w:t>
      </w:r>
      <w:r>
        <w:rPr>
          <w:lang w:val="fr-CA"/>
        </w:rPr>
        <w:t>’</w:t>
      </w:r>
      <w:r w:rsidRPr="00BC2D48">
        <w:rPr>
          <w:lang w:val="fr-CA"/>
        </w:rPr>
        <w:t>est</w:t>
      </w:r>
      <w:r>
        <w:rPr>
          <w:lang w:val="fr-CA"/>
        </w:rPr>
        <w:noBreakHyphen/>
      </w:r>
      <w:r w:rsidRPr="00BC2D48">
        <w:rPr>
          <w:lang w:val="fr-CA"/>
        </w:rPr>
        <w:t>à</w:t>
      </w:r>
      <w:r>
        <w:rPr>
          <w:lang w:val="fr-CA"/>
        </w:rPr>
        <w:noBreakHyphen/>
      </w:r>
      <w:r w:rsidRPr="00BC2D48">
        <w:rPr>
          <w:lang w:val="fr-CA"/>
        </w:rPr>
        <w:t>dire 8</w:t>
      </w:r>
      <w:r>
        <w:rPr>
          <w:lang w:val="fr-CA"/>
        </w:rPr>
        <w:t> </w:t>
      </w:r>
      <w:r w:rsidR="007B1513">
        <w:rPr>
          <w:lang w:val="fr-CA"/>
        </w:rPr>
        <w:t>p. 100</w:t>
      </w:r>
      <w:r w:rsidRPr="00BC2D48">
        <w:rPr>
          <w:lang w:val="fr-CA"/>
        </w:rPr>
        <w:t xml:space="preserve"> de la population canadienne de l</w:t>
      </w:r>
      <w:r>
        <w:rPr>
          <w:lang w:val="fr-CA"/>
        </w:rPr>
        <w:t>’</w:t>
      </w:r>
      <w:r w:rsidRPr="00BC2D48">
        <w:rPr>
          <w:lang w:val="fr-CA"/>
        </w:rPr>
        <w:t xml:space="preserve">époque </w:t>
      </w:r>
      <w:r w:rsidRPr="00BC2D48">
        <w:rPr>
          <w:rFonts w:cs="Times New Roman"/>
          <w:lang w:val="fr-CA"/>
        </w:rPr>
        <w:t>—</w:t>
      </w:r>
      <w:r w:rsidRPr="00BC2D48">
        <w:rPr>
          <w:lang w:val="fr-CA"/>
        </w:rPr>
        <w:t xml:space="preserve"> vivaient à l</w:t>
      </w:r>
      <w:r>
        <w:rPr>
          <w:lang w:val="fr-CA"/>
        </w:rPr>
        <w:t>’</w:t>
      </w:r>
      <w:r w:rsidRPr="00BC2D48">
        <w:rPr>
          <w:lang w:val="fr-CA"/>
        </w:rPr>
        <w:t xml:space="preserve">étranger depuis un an ou plus, et </w:t>
      </w:r>
      <w:r>
        <w:rPr>
          <w:lang w:val="fr-CA"/>
        </w:rPr>
        <w:t xml:space="preserve">que </w:t>
      </w:r>
      <w:r w:rsidRPr="00BC2D48">
        <w:rPr>
          <w:lang w:val="fr-CA"/>
        </w:rPr>
        <w:t>bien plus d</w:t>
      </w:r>
      <w:r>
        <w:rPr>
          <w:lang w:val="fr-CA"/>
        </w:rPr>
        <w:t>’</w:t>
      </w:r>
      <w:r w:rsidRPr="00BC2D48">
        <w:rPr>
          <w:lang w:val="fr-CA"/>
        </w:rPr>
        <w:t xml:space="preserve">un million de Canadiens </w:t>
      </w:r>
      <w:r>
        <w:rPr>
          <w:lang w:val="fr-CA"/>
        </w:rPr>
        <w:t xml:space="preserve">étaient visés par la restriction liée à la </w:t>
      </w:r>
      <w:proofErr w:type="spellStart"/>
      <w:r>
        <w:rPr>
          <w:lang w:val="fr-CA"/>
        </w:rPr>
        <w:t>non</w:t>
      </w:r>
      <w:r>
        <w:rPr>
          <w:lang w:val="fr-CA"/>
        </w:rPr>
        <w:noBreakHyphen/>
      </w:r>
      <w:r w:rsidRPr="00BC2D48">
        <w:rPr>
          <w:lang w:val="fr-CA"/>
        </w:rPr>
        <w:t>résidence</w:t>
      </w:r>
      <w:proofErr w:type="spellEnd"/>
      <w:r w:rsidRPr="00BC2D48">
        <w:rPr>
          <w:lang w:val="fr-CA"/>
        </w:rPr>
        <w:t xml:space="preserve"> prévue dans la </w:t>
      </w:r>
      <w:r w:rsidRPr="00A03A4C">
        <w:rPr>
          <w:lang w:val="fr-CA"/>
        </w:rPr>
        <w:t>Loi</w:t>
      </w:r>
      <w:r w:rsidRPr="00BC2D48">
        <w:rPr>
          <w:lang w:val="fr-CA"/>
        </w:rPr>
        <w:t xml:space="preserve">. </w:t>
      </w:r>
      <w:r>
        <w:rPr>
          <w:lang w:val="fr-CA"/>
        </w:rPr>
        <w:t>Il a aussi souligné que selon l</w:t>
      </w:r>
      <w:r w:rsidRPr="00BC2D48">
        <w:rPr>
          <w:lang w:val="fr-CA"/>
        </w:rPr>
        <w:t>es</w:t>
      </w:r>
      <w:r>
        <w:rPr>
          <w:lang w:val="fr-CA"/>
        </w:rPr>
        <w:t xml:space="preserve"> résultats d’un projet de</w:t>
      </w:r>
      <w:r w:rsidRPr="00BC2D48">
        <w:rPr>
          <w:lang w:val="fr-CA"/>
        </w:rPr>
        <w:t xml:space="preserve"> recherche</w:t>
      </w:r>
      <w:r>
        <w:rPr>
          <w:lang w:val="fr-CA"/>
        </w:rPr>
        <w:t>,</w:t>
      </w:r>
      <w:r w:rsidRPr="00BC2D48">
        <w:rPr>
          <w:lang w:val="fr-CA"/>
        </w:rPr>
        <w:t xml:space="preserve"> les citoyens canadiens </w:t>
      </w:r>
      <w:proofErr w:type="spellStart"/>
      <w:r w:rsidRPr="00BC2D48">
        <w:rPr>
          <w:lang w:val="fr-CA"/>
        </w:rPr>
        <w:t>non</w:t>
      </w:r>
      <w:r>
        <w:rPr>
          <w:lang w:val="fr-CA"/>
        </w:rPr>
        <w:t xml:space="preserve"> </w:t>
      </w:r>
      <w:r w:rsidRPr="00BC2D48">
        <w:rPr>
          <w:lang w:val="fr-CA"/>
        </w:rPr>
        <w:t>résidents</w:t>
      </w:r>
      <w:proofErr w:type="spellEnd"/>
      <w:r w:rsidRPr="00BC2D48">
        <w:rPr>
          <w:lang w:val="fr-CA"/>
        </w:rPr>
        <w:t xml:space="preserve"> </w:t>
      </w:r>
      <w:r>
        <w:rPr>
          <w:lang w:val="fr-CA"/>
        </w:rPr>
        <w:t>gardent</w:t>
      </w:r>
      <w:r w:rsidRPr="00BC2D48">
        <w:rPr>
          <w:lang w:val="fr-CA"/>
        </w:rPr>
        <w:t xml:space="preserve"> des attaches profondes au Canada, </w:t>
      </w:r>
      <w:r>
        <w:rPr>
          <w:lang w:val="fr-CA"/>
        </w:rPr>
        <w:t>tant familiales que</w:t>
      </w:r>
      <w:r w:rsidRPr="00BC2D48">
        <w:rPr>
          <w:lang w:val="fr-CA"/>
        </w:rPr>
        <w:t xml:space="preserve"> professionnelles, </w:t>
      </w:r>
      <w:r>
        <w:rPr>
          <w:lang w:val="fr-CA"/>
        </w:rPr>
        <w:t>ainsi qu’</w:t>
      </w:r>
      <w:r w:rsidRPr="00BC2D48">
        <w:rPr>
          <w:lang w:val="fr-CA"/>
        </w:rPr>
        <w:t>u</w:t>
      </w:r>
      <w:r>
        <w:rPr>
          <w:lang w:val="fr-CA"/>
        </w:rPr>
        <w:t>n fort sentiment d’appartenance</w:t>
      </w:r>
      <w:r w:rsidRPr="00BC2D48">
        <w:rPr>
          <w:lang w:val="fr-CA"/>
        </w:rPr>
        <w:t xml:space="preserve">. </w:t>
      </w:r>
      <w:r>
        <w:rPr>
          <w:lang w:val="fr-CA"/>
        </w:rPr>
        <w:t>Selon le juge Penny,</w:t>
      </w:r>
      <w:r w:rsidRPr="00BC2D48">
        <w:rPr>
          <w:lang w:val="fr-CA"/>
        </w:rPr>
        <w:t xml:space="preserve"> la preuve</w:t>
      </w:r>
      <w:r>
        <w:rPr>
          <w:lang w:val="fr-CA"/>
        </w:rPr>
        <w:t xml:space="preserve"> indiquait qu’en plus des liens socio</w:t>
      </w:r>
      <w:r w:rsidRPr="00BC2D48">
        <w:rPr>
          <w:lang w:val="fr-CA"/>
        </w:rPr>
        <w:t>culturels</w:t>
      </w:r>
      <w:r>
        <w:rPr>
          <w:lang w:val="fr-CA"/>
        </w:rPr>
        <w:t>,</w:t>
      </w:r>
      <w:r w:rsidRPr="00BC2D48">
        <w:rPr>
          <w:lang w:val="fr-CA"/>
        </w:rPr>
        <w:t xml:space="preserve"> </w:t>
      </w:r>
      <w:r>
        <w:rPr>
          <w:lang w:val="fr-CA"/>
        </w:rPr>
        <w:t>de nombreux</w:t>
      </w:r>
      <w:r w:rsidRPr="00BC2D48">
        <w:rPr>
          <w:lang w:val="fr-CA"/>
        </w:rPr>
        <w:t xml:space="preserve"> non</w:t>
      </w:r>
      <w:r>
        <w:rPr>
          <w:lang w:val="fr-CA"/>
        </w:rPr>
        <w:noBreakHyphen/>
      </w:r>
      <w:r w:rsidRPr="00BC2D48">
        <w:rPr>
          <w:lang w:val="fr-CA"/>
        </w:rPr>
        <w:t xml:space="preserve">résidents </w:t>
      </w:r>
      <w:r>
        <w:rPr>
          <w:lang w:val="fr-CA"/>
        </w:rPr>
        <w:t>conservent</w:t>
      </w:r>
      <w:r w:rsidRPr="00BC2D48">
        <w:rPr>
          <w:lang w:val="fr-CA"/>
        </w:rPr>
        <w:t xml:space="preserve"> de solides liens économiques avec le</w:t>
      </w:r>
      <w:r>
        <w:rPr>
          <w:lang w:val="fr-CA"/>
        </w:rPr>
        <w:t xml:space="preserve"> Canada en</w:t>
      </w:r>
      <w:r w:rsidRPr="00BC2D48">
        <w:rPr>
          <w:lang w:val="fr-CA"/>
        </w:rPr>
        <w:t xml:space="preserve"> cotis</w:t>
      </w:r>
      <w:r>
        <w:rPr>
          <w:lang w:val="fr-CA"/>
        </w:rPr>
        <w:t>ant aux programmes d’assurance sociale, en</w:t>
      </w:r>
      <w:r w:rsidRPr="00BC2D48">
        <w:rPr>
          <w:lang w:val="fr-CA"/>
        </w:rPr>
        <w:t xml:space="preserve"> pa</w:t>
      </w:r>
      <w:r>
        <w:rPr>
          <w:lang w:val="fr-CA"/>
        </w:rPr>
        <w:t>yant</w:t>
      </w:r>
      <w:r w:rsidRPr="00BC2D48">
        <w:rPr>
          <w:lang w:val="fr-CA"/>
        </w:rPr>
        <w:t xml:space="preserve"> d</w:t>
      </w:r>
      <w:r>
        <w:rPr>
          <w:lang w:val="fr-CA"/>
        </w:rPr>
        <w:t xml:space="preserve">es </w:t>
      </w:r>
      <w:r w:rsidRPr="00BC2D48">
        <w:rPr>
          <w:lang w:val="fr-CA"/>
        </w:rPr>
        <w:t xml:space="preserve">impôts et </w:t>
      </w:r>
      <w:r>
        <w:rPr>
          <w:lang w:val="fr-CA"/>
        </w:rPr>
        <w:t>en recevant d</w:t>
      </w:r>
      <w:r w:rsidRPr="00BC2D48">
        <w:rPr>
          <w:lang w:val="fr-CA"/>
        </w:rPr>
        <w:t>es prestations. De plus,</w:t>
      </w:r>
      <w:r>
        <w:rPr>
          <w:lang w:val="fr-CA"/>
        </w:rPr>
        <w:t xml:space="preserve"> il a fait remarquer que</w:t>
      </w:r>
      <w:r w:rsidR="007B1513">
        <w:rPr>
          <w:lang w:val="fr-CA"/>
        </w:rPr>
        <w:t xml:space="preserve"> 60 p. 100</w:t>
      </w:r>
      <w:r w:rsidRPr="00BC2D48">
        <w:rPr>
          <w:lang w:val="fr-CA"/>
        </w:rPr>
        <w:t xml:space="preserve"> des répondants sondés n</w:t>
      </w:r>
      <w:r>
        <w:rPr>
          <w:lang w:val="fr-CA"/>
        </w:rPr>
        <w:t>’</w:t>
      </w:r>
      <w:r w:rsidRPr="00BC2D48">
        <w:rPr>
          <w:lang w:val="fr-CA"/>
        </w:rPr>
        <w:t>avaient que la citoyenneté canadi</w:t>
      </w:r>
      <w:r>
        <w:rPr>
          <w:lang w:val="fr-CA"/>
        </w:rPr>
        <w:t>enne et, s’ils étaient privés du droit de vote au Canada, ils ne pourraient</w:t>
      </w:r>
      <w:r w:rsidRPr="00BC2D48">
        <w:rPr>
          <w:lang w:val="fr-CA"/>
        </w:rPr>
        <w:t xml:space="preserve"> voter dans </w:t>
      </w:r>
      <w:r>
        <w:rPr>
          <w:lang w:val="fr-CA"/>
        </w:rPr>
        <w:t>aucun</w:t>
      </w:r>
      <w:r w:rsidRPr="00BC2D48">
        <w:rPr>
          <w:lang w:val="fr-CA"/>
        </w:rPr>
        <w:t xml:space="preserve"> autre pays</w:t>
      </w:r>
      <w:r>
        <w:rPr>
          <w:lang w:val="fr-CA"/>
        </w:rPr>
        <w:t xml:space="preserve"> (voir les motifs du juge de première instance, par. 19</w:t>
      </w:r>
      <w:r>
        <w:rPr>
          <w:lang w:val="fr-CA"/>
        </w:rPr>
        <w:noBreakHyphen/>
        <w:t>30)</w:t>
      </w:r>
      <w:r w:rsidRPr="00BC2D48">
        <w:rPr>
          <w:lang w:val="fr-CA"/>
        </w:rPr>
        <w:t>.</w:t>
      </w:r>
    </w:p>
    <w:p w:rsidR="001244E7" w:rsidRPr="00BC2D48" w:rsidRDefault="001244E7" w:rsidP="001244E7">
      <w:pPr>
        <w:pStyle w:val="ParaNoNdepar-AltN"/>
        <w:rPr>
          <w:lang w:val="fr-CA"/>
        </w:rPr>
      </w:pPr>
      <w:r w:rsidRPr="00BC2D48">
        <w:rPr>
          <w:lang w:val="fr-CA"/>
        </w:rPr>
        <w:t xml:space="preserve">En somme, le monde a changé. Les Canadiens </w:t>
      </w:r>
      <w:r>
        <w:rPr>
          <w:lang w:val="fr-CA"/>
        </w:rPr>
        <w:t>peuvent</w:t>
      </w:r>
      <w:r w:rsidRPr="00BC2D48">
        <w:rPr>
          <w:lang w:val="fr-CA"/>
        </w:rPr>
        <w:t xml:space="preserve"> vivre à l</w:t>
      </w:r>
      <w:r>
        <w:rPr>
          <w:lang w:val="fr-CA"/>
        </w:rPr>
        <w:t>’</w:t>
      </w:r>
      <w:r w:rsidRPr="00BC2D48">
        <w:rPr>
          <w:lang w:val="fr-CA"/>
        </w:rPr>
        <w:t xml:space="preserve">étranger et </w:t>
      </w:r>
      <w:r>
        <w:rPr>
          <w:lang w:val="fr-CA"/>
        </w:rPr>
        <w:t xml:space="preserve">sont </w:t>
      </w:r>
      <w:r w:rsidRPr="00BC2D48">
        <w:rPr>
          <w:lang w:val="fr-CA"/>
        </w:rPr>
        <w:t>encouragés à le faire,</w:t>
      </w:r>
      <w:r>
        <w:rPr>
          <w:lang w:val="fr-CA"/>
        </w:rPr>
        <w:t xml:space="preserve"> mais</w:t>
      </w:r>
      <w:r w:rsidRPr="00BC2D48">
        <w:rPr>
          <w:lang w:val="fr-CA"/>
        </w:rPr>
        <w:t xml:space="preserve"> </w:t>
      </w:r>
      <w:r>
        <w:rPr>
          <w:lang w:val="fr-CA"/>
        </w:rPr>
        <w:t xml:space="preserve">lorsqu’ils le font, </w:t>
      </w:r>
      <w:r w:rsidRPr="00BC2D48">
        <w:rPr>
          <w:lang w:val="fr-CA"/>
        </w:rPr>
        <w:t xml:space="preserve">ils </w:t>
      </w:r>
      <w:r>
        <w:rPr>
          <w:lang w:val="fr-CA"/>
        </w:rPr>
        <w:t>conservent</w:t>
      </w:r>
      <w:r w:rsidRPr="00BC2D48">
        <w:rPr>
          <w:lang w:val="fr-CA"/>
        </w:rPr>
        <w:t xml:space="preserve"> des</w:t>
      </w:r>
      <w:r>
        <w:rPr>
          <w:lang w:val="fr-CA"/>
        </w:rPr>
        <w:t xml:space="preserve"> liens étroits avec le Canada</w:t>
      </w:r>
      <w:r w:rsidRPr="00BC2D48">
        <w:rPr>
          <w:lang w:val="fr-CA"/>
        </w:rPr>
        <w:t>. Le droit de vote n</w:t>
      </w:r>
      <w:r>
        <w:rPr>
          <w:lang w:val="fr-CA"/>
        </w:rPr>
        <w:t>’</w:t>
      </w:r>
      <w:r w:rsidRPr="00BC2D48">
        <w:rPr>
          <w:lang w:val="fr-CA"/>
        </w:rPr>
        <w:t>est plus rattaché à la propriété foncière et il n</w:t>
      </w:r>
      <w:r>
        <w:rPr>
          <w:lang w:val="fr-CA"/>
        </w:rPr>
        <w:t>’</w:t>
      </w:r>
      <w:r w:rsidRPr="00BC2D48">
        <w:rPr>
          <w:lang w:val="fr-CA"/>
        </w:rPr>
        <w:t xml:space="preserve">est plus conféré exclusivement à certains membres choisis </w:t>
      </w:r>
      <w:r>
        <w:rPr>
          <w:lang w:val="fr-CA"/>
        </w:rPr>
        <w:t>de la société</w:t>
      </w:r>
      <w:r w:rsidRPr="00BC2D48">
        <w:rPr>
          <w:lang w:val="fr-CA"/>
        </w:rPr>
        <w:t>. Qui plus est, la citoyenneté, et non la résidence, définit notre collectivité politique et sous</w:t>
      </w:r>
      <w:r>
        <w:rPr>
          <w:lang w:val="fr-CA"/>
        </w:rPr>
        <w:noBreakHyphen/>
      </w:r>
      <w:r w:rsidRPr="00BC2D48">
        <w:rPr>
          <w:lang w:val="fr-CA"/>
        </w:rPr>
        <w:t>tend le droit de vote.</w:t>
      </w:r>
    </w:p>
    <w:p w:rsidR="001244E7" w:rsidRPr="00BC2D48" w:rsidRDefault="001244E7" w:rsidP="001244E7">
      <w:pPr>
        <w:pStyle w:val="Title2LevelTitre2Niveau"/>
        <w:rPr>
          <w:lang w:val="fr-CA"/>
        </w:rPr>
      </w:pPr>
      <w:r w:rsidRPr="00BC2D48">
        <w:rPr>
          <w:lang w:val="fr-CA"/>
        </w:rPr>
        <w:t>L</w:t>
      </w:r>
      <w:r>
        <w:rPr>
          <w:lang w:val="fr-CA"/>
        </w:rPr>
        <w:t>’</w:t>
      </w:r>
      <w:r w:rsidRPr="00BC2D48">
        <w:rPr>
          <w:lang w:val="fr-CA"/>
        </w:rPr>
        <w:t xml:space="preserve">analyse </w:t>
      </w:r>
      <w:r>
        <w:rPr>
          <w:lang w:val="fr-CA"/>
        </w:rPr>
        <w:t>de</w:t>
      </w:r>
      <w:r w:rsidRPr="00BC2D48">
        <w:rPr>
          <w:lang w:val="fr-CA"/>
        </w:rPr>
        <w:t xml:space="preserve"> la justification</w:t>
      </w:r>
    </w:p>
    <w:p w:rsidR="001244E7" w:rsidRPr="00BC2D48" w:rsidRDefault="001244E7" w:rsidP="001244E7">
      <w:pPr>
        <w:pStyle w:val="ParaNoNdepar-AltN"/>
        <w:rPr>
          <w:lang w:val="fr-CA"/>
        </w:rPr>
      </w:pPr>
      <w:r w:rsidRPr="00BC2D48">
        <w:rPr>
          <w:lang w:val="fr-CA"/>
        </w:rPr>
        <w:t>L</w:t>
      </w:r>
      <w:r>
        <w:rPr>
          <w:lang w:val="fr-CA"/>
        </w:rPr>
        <w:t>’</w:t>
      </w:r>
      <w:r w:rsidRPr="00BC2D48">
        <w:rPr>
          <w:lang w:val="fr-CA"/>
        </w:rPr>
        <w:t xml:space="preserve">article premier de la </w:t>
      </w:r>
      <w:r w:rsidRPr="00BC2D48">
        <w:rPr>
          <w:i/>
          <w:lang w:val="fr-CA"/>
        </w:rPr>
        <w:t>Charte</w:t>
      </w:r>
      <w:r w:rsidRPr="00BC2D48">
        <w:rPr>
          <w:lang w:val="fr-CA"/>
        </w:rPr>
        <w:t xml:space="preserve"> est libellé comme suit</w:t>
      </w:r>
      <w:r>
        <w:rPr>
          <w:lang w:val="fr-CA"/>
        </w:rPr>
        <w:t> :</w:t>
      </w:r>
    </w:p>
    <w:p w:rsidR="001244E7" w:rsidRPr="00BC2D48" w:rsidRDefault="001244E7" w:rsidP="001244E7">
      <w:pPr>
        <w:pStyle w:val="ParaNoNdepar-AltN"/>
        <w:numPr>
          <w:ilvl w:val="0"/>
          <w:numId w:val="0"/>
        </w:numPr>
        <w:spacing w:before="0" w:after="720" w:line="240" w:lineRule="auto"/>
        <w:ind w:left="1134" w:right="720"/>
        <w:rPr>
          <w:lang w:val="fr-CA"/>
        </w:rPr>
      </w:pPr>
      <w:r>
        <w:rPr>
          <w:lang w:val="fr-CA"/>
        </w:rPr>
        <w:lastRenderedPageBreak/>
        <w:tab/>
      </w:r>
      <w:r w:rsidRPr="00BC2D48">
        <w:rPr>
          <w:lang w:val="fr-CA"/>
        </w:rPr>
        <w:t>La </w:t>
      </w:r>
      <w:r w:rsidRPr="00BC2D48">
        <w:rPr>
          <w:i/>
          <w:iCs/>
          <w:lang w:val="fr-CA"/>
        </w:rPr>
        <w:t>Charte canadienne des droits et libertés </w:t>
      </w:r>
      <w:r w:rsidRPr="00BC2D48">
        <w:rPr>
          <w:lang w:val="fr-CA"/>
        </w:rPr>
        <w:t> garantit les droits et libertés qui y sont énoncés</w:t>
      </w:r>
      <w:r>
        <w:rPr>
          <w:lang w:val="fr-CA"/>
        </w:rPr>
        <w:t xml:space="preserve">. </w:t>
      </w:r>
      <w:r w:rsidRPr="00BC2D48">
        <w:rPr>
          <w:lang w:val="fr-CA"/>
        </w:rPr>
        <w:t>Ils ne peuvent être restreints que par une règle de droit, dans des limites qui soient raisonnables et dont la justification puisse se démontrer dans le cadre d</w:t>
      </w:r>
      <w:r>
        <w:rPr>
          <w:lang w:val="fr-CA"/>
        </w:rPr>
        <w:t>’</w:t>
      </w:r>
      <w:r w:rsidRPr="00BC2D48">
        <w:rPr>
          <w:lang w:val="fr-CA"/>
        </w:rPr>
        <w:t>une société libre et démocratique.</w:t>
      </w:r>
    </w:p>
    <w:p w:rsidR="001244E7" w:rsidRPr="00BC2D48" w:rsidRDefault="001244E7" w:rsidP="001244E7">
      <w:pPr>
        <w:pStyle w:val="ParaNoNdepar-AltN"/>
        <w:rPr>
          <w:lang w:val="fr-CA"/>
        </w:rPr>
      </w:pPr>
      <w:r w:rsidRPr="00BC2D48">
        <w:rPr>
          <w:lang w:val="fr-CA"/>
        </w:rPr>
        <w:t xml:space="preserve">Les dispositions contestées de la </w:t>
      </w:r>
      <w:r w:rsidRPr="00A03A4C">
        <w:rPr>
          <w:lang w:val="fr-CA"/>
        </w:rPr>
        <w:t>Loi</w:t>
      </w:r>
      <w:r w:rsidRPr="00BC2D48">
        <w:rPr>
          <w:lang w:val="fr-CA"/>
        </w:rPr>
        <w:t xml:space="preserve"> constituent manifestement une restriction apportée par une règle de droit (</w:t>
      </w:r>
      <w:proofErr w:type="spellStart"/>
      <w:r w:rsidRPr="00BC2D48">
        <w:rPr>
          <w:i/>
          <w:lang w:val="fr-CA"/>
        </w:rPr>
        <w:t>Oakes</w:t>
      </w:r>
      <w:proofErr w:type="spellEnd"/>
      <w:r w:rsidRPr="00BC2D48">
        <w:rPr>
          <w:lang w:val="fr-CA"/>
        </w:rPr>
        <w:t xml:space="preserve">, </w:t>
      </w:r>
      <w:r>
        <w:rPr>
          <w:lang w:val="fr-CA"/>
        </w:rPr>
        <w:t>p. </w:t>
      </w:r>
      <w:r w:rsidRPr="00BC2D48">
        <w:rPr>
          <w:lang w:val="fr-CA"/>
        </w:rPr>
        <w:t>135). Il reste à savoir s</w:t>
      </w:r>
      <w:r>
        <w:rPr>
          <w:lang w:val="fr-CA"/>
        </w:rPr>
        <w:t xml:space="preserve">’il s’agit d’une restriction </w:t>
      </w:r>
      <w:r w:rsidRPr="00BC2D48">
        <w:rPr>
          <w:lang w:val="fr-CA"/>
        </w:rPr>
        <w:t>des droits de vote de non</w:t>
      </w:r>
      <w:r>
        <w:rPr>
          <w:lang w:val="fr-CA"/>
        </w:rPr>
        <w:noBreakHyphen/>
      </w:r>
      <w:r w:rsidRPr="00BC2D48">
        <w:rPr>
          <w:lang w:val="fr-CA"/>
        </w:rPr>
        <w:t>résidents</w:t>
      </w:r>
      <w:r w:rsidRPr="00BC2D48">
        <w:rPr>
          <w:rFonts w:eastAsia="Times New Roman" w:cs="Times New Roman"/>
          <w:szCs w:val="24"/>
          <w:lang w:val="fr-CA" w:eastAsia="en-CA"/>
        </w:rPr>
        <w:t xml:space="preserve"> </w:t>
      </w:r>
      <w:r>
        <w:rPr>
          <w:rFonts w:eastAsia="Times New Roman" w:cs="Times New Roman"/>
          <w:szCs w:val="24"/>
          <w:lang w:val="fr-CA" w:eastAsia="en-CA"/>
        </w:rPr>
        <w:t>dont l</w:t>
      </w:r>
      <w:r w:rsidRPr="00BC2D48">
        <w:rPr>
          <w:rFonts w:eastAsia="Times New Roman" w:cs="Times New Roman"/>
          <w:szCs w:val="24"/>
          <w:lang w:val="fr-CA" w:eastAsia="en-CA"/>
        </w:rPr>
        <w:t xml:space="preserve">a justification </w:t>
      </w:r>
      <w:r w:rsidRPr="00BC2D48">
        <w:rPr>
          <w:lang w:val="fr-CA"/>
        </w:rPr>
        <w:t>peut se démontrer dans le cadre d</w:t>
      </w:r>
      <w:r>
        <w:rPr>
          <w:lang w:val="fr-CA"/>
        </w:rPr>
        <w:t>’</w:t>
      </w:r>
      <w:r w:rsidRPr="00BC2D48">
        <w:rPr>
          <w:lang w:val="fr-CA"/>
        </w:rPr>
        <w:t>une société libre et démocratique.</w:t>
      </w:r>
    </w:p>
    <w:p w:rsidR="001244E7" w:rsidRPr="00BC2D48" w:rsidRDefault="001244E7" w:rsidP="001244E7">
      <w:pPr>
        <w:pStyle w:val="ParaNoNdepar-AltN"/>
        <w:rPr>
          <w:lang w:val="fr-CA"/>
        </w:rPr>
      </w:pPr>
      <w:r>
        <w:rPr>
          <w:lang w:val="fr-CA"/>
        </w:rPr>
        <w:t>D</w:t>
      </w:r>
      <w:r w:rsidRPr="00BC2D48">
        <w:rPr>
          <w:lang w:val="fr-CA"/>
        </w:rPr>
        <w:t xml:space="preserve">eux critères fondamentaux </w:t>
      </w:r>
      <w:r>
        <w:rPr>
          <w:lang w:val="fr-CA"/>
        </w:rPr>
        <w:t xml:space="preserve">doivent être respectés </w:t>
      </w:r>
      <w:r w:rsidRPr="00BC2D48">
        <w:rPr>
          <w:lang w:val="fr-CA"/>
        </w:rPr>
        <w:t xml:space="preserve">pour </w:t>
      </w:r>
      <w:r>
        <w:rPr>
          <w:lang w:val="fr-CA"/>
        </w:rPr>
        <w:t>que la restric</w:t>
      </w:r>
      <w:r w:rsidRPr="00BC2D48">
        <w:rPr>
          <w:lang w:val="fr-CA"/>
        </w:rPr>
        <w:t>tion d</w:t>
      </w:r>
      <w:r>
        <w:rPr>
          <w:lang w:val="fr-CA"/>
        </w:rPr>
        <w:t>’</w:t>
      </w:r>
      <w:r w:rsidRPr="00BC2D48">
        <w:rPr>
          <w:lang w:val="fr-CA"/>
        </w:rPr>
        <w:t xml:space="preserve">un droit garanti par la </w:t>
      </w:r>
      <w:r w:rsidRPr="00BC2D48">
        <w:rPr>
          <w:i/>
          <w:lang w:val="fr-CA"/>
        </w:rPr>
        <w:t>Charte</w:t>
      </w:r>
      <w:r w:rsidRPr="00BC2D48">
        <w:rPr>
          <w:lang w:val="fr-CA"/>
        </w:rPr>
        <w:t xml:space="preserve"> soit justifiée en vertu de l</w:t>
      </w:r>
      <w:r>
        <w:rPr>
          <w:lang w:val="fr-CA"/>
        </w:rPr>
        <w:t>’</w:t>
      </w:r>
      <w:r w:rsidRPr="00BC2D48">
        <w:rPr>
          <w:lang w:val="fr-CA"/>
        </w:rPr>
        <w:t>article premier. En premier lieu, l</w:t>
      </w:r>
      <w:r>
        <w:rPr>
          <w:lang w:val="fr-CA"/>
        </w:rPr>
        <w:t>’</w:t>
      </w:r>
      <w:r w:rsidRPr="00BC2D48">
        <w:rPr>
          <w:lang w:val="fr-CA"/>
        </w:rPr>
        <w:t xml:space="preserve">objectif de la mesure </w:t>
      </w:r>
      <w:r>
        <w:rPr>
          <w:lang w:val="fr-CA"/>
        </w:rPr>
        <w:t>doit être urgent et réel pour</w:t>
      </w:r>
      <w:r w:rsidRPr="00BC2D48">
        <w:rPr>
          <w:lang w:val="fr-CA"/>
        </w:rPr>
        <w:t xml:space="preserve"> justifier l</w:t>
      </w:r>
      <w:r>
        <w:rPr>
          <w:lang w:val="fr-CA"/>
        </w:rPr>
        <w:t>’</w:t>
      </w:r>
      <w:r w:rsidRPr="00BC2D48">
        <w:rPr>
          <w:lang w:val="fr-CA"/>
        </w:rPr>
        <w:t>imposition d</w:t>
      </w:r>
      <w:r>
        <w:rPr>
          <w:lang w:val="fr-CA"/>
        </w:rPr>
        <w:t>’</w:t>
      </w:r>
      <w:r w:rsidRPr="00BC2D48">
        <w:rPr>
          <w:lang w:val="fr-CA"/>
        </w:rPr>
        <w:t xml:space="preserve">une restriction à un droit garanti par la </w:t>
      </w:r>
      <w:r w:rsidRPr="00BC2D48">
        <w:rPr>
          <w:i/>
          <w:lang w:val="fr-CA"/>
        </w:rPr>
        <w:t>Charte</w:t>
      </w:r>
      <w:r w:rsidRPr="00BC2D48">
        <w:rPr>
          <w:lang w:val="fr-CA"/>
        </w:rPr>
        <w:t xml:space="preserve">. </w:t>
      </w:r>
      <w:r>
        <w:rPr>
          <w:lang w:val="fr-CA"/>
        </w:rPr>
        <w:t>Il s’agit</w:t>
      </w:r>
      <w:r w:rsidRPr="00BC2D48">
        <w:rPr>
          <w:lang w:val="fr-CA"/>
        </w:rPr>
        <w:t xml:space="preserve"> d</w:t>
      </w:r>
      <w:r>
        <w:rPr>
          <w:lang w:val="fr-CA"/>
        </w:rPr>
        <w:t>’</w:t>
      </w:r>
      <w:r w:rsidRPr="00BC2D48">
        <w:rPr>
          <w:lang w:val="fr-CA"/>
        </w:rPr>
        <w:t>u</w:t>
      </w:r>
      <w:r>
        <w:rPr>
          <w:lang w:val="fr-CA"/>
        </w:rPr>
        <w:t>ne</w:t>
      </w:r>
      <w:r w:rsidRPr="00BC2D48">
        <w:rPr>
          <w:lang w:val="fr-CA"/>
        </w:rPr>
        <w:t xml:space="preserve"> condition</w:t>
      </w:r>
      <w:r>
        <w:rPr>
          <w:lang w:val="fr-CA"/>
        </w:rPr>
        <w:t xml:space="preserve"> préalable, dont l’analyse</w:t>
      </w:r>
      <w:r w:rsidRPr="00BC2D48">
        <w:rPr>
          <w:lang w:val="fr-CA"/>
        </w:rPr>
        <w:t xml:space="preserve"> s</w:t>
      </w:r>
      <w:r>
        <w:rPr>
          <w:lang w:val="fr-CA"/>
        </w:rPr>
        <w:t>’</w:t>
      </w:r>
      <w:r w:rsidRPr="00BC2D48">
        <w:rPr>
          <w:lang w:val="fr-CA"/>
        </w:rPr>
        <w:t>effectue sans tenir compt</w:t>
      </w:r>
      <w:r>
        <w:rPr>
          <w:lang w:val="fr-CA"/>
        </w:rPr>
        <w:t>e de la portée de l’atteinte</w:t>
      </w:r>
      <w:r w:rsidRPr="00BC2D48">
        <w:rPr>
          <w:lang w:val="fr-CA"/>
        </w:rPr>
        <w:t xml:space="preserve">, du moyen retenu ou des </w:t>
      </w:r>
      <w:r>
        <w:rPr>
          <w:lang w:val="fr-CA"/>
        </w:rPr>
        <w:t>effets</w:t>
      </w:r>
      <w:r w:rsidRPr="00BC2D48">
        <w:rPr>
          <w:lang w:val="fr-CA"/>
        </w:rPr>
        <w:t xml:space="preserve"> de la </w:t>
      </w:r>
      <w:r>
        <w:rPr>
          <w:lang w:val="fr-CA"/>
        </w:rPr>
        <w:t>mesure</w:t>
      </w:r>
      <w:r w:rsidRPr="00BC2D48">
        <w:rPr>
          <w:lang w:val="fr-CA"/>
        </w:rPr>
        <w:t xml:space="preserve"> (</w:t>
      </w:r>
      <w:r w:rsidRPr="00BC2D48">
        <w:rPr>
          <w:i/>
          <w:lang w:val="fr-CA"/>
        </w:rPr>
        <w:t>R. c. K.R.J.</w:t>
      </w:r>
      <w:r w:rsidRPr="00BC2D48">
        <w:rPr>
          <w:lang w:val="fr-CA"/>
        </w:rPr>
        <w:t xml:space="preserve">, 2016 CSC 31, </w:t>
      </w:r>
      <w:r>
        <w:rPr>
          <w:lang w:val="fr-CA"/>
        </w:rPr>
        <w:t>[2016] 1 R.C.S. 906, par. </w:t>
      </w:r>
      <w:r w:rsidRPr="00BC2D48">
        <w:rPr>
          <w:lang w:val="fr-CA"/>
        </w:rPr>
        <w:t>6</w:t>
      </w:r>
      <w:r>
        <w:rPr>
          <w:lang w:val="fr-CA"/>
        </w:rPr>
        <w:t>1</w:t>
      </w:r>
      <w:r w:rsidRPr="00BC2D48">
        <w:rPr>
          <w:lang w:val="fr-CA"/>
        </w:rPr>
        <w:t>). En deuxième lieu, le moyen par lequel l</w:t>
      </w:r>
      <w:r>
        <w:rPr>
          <w:lang w:val="fr-CA"/>
        </w:rPr>
        <w:t>’</w:t>
      </w:r>
      <w:r w:rsidRPr="00BC2D48">
        <w:rPr>
          <w:lang w:val="fr-CA"/>
        </w:rPr>
        <w:t>objectif est réalisé doit être proportionné. L</w:t>
      </w:r>
      <w:r>
        <w:rPr>
          <w:lang w:val="fr-CA"/>
        </w:rPr>
        <w:t>’</w:t>
      </w:r>
      <w:r w:rsidRPr="00BC2D48">
        <w:rPr>
          <w:lang w:val="fr-CA"/>
        </w:rPr>
        <w:t>analyse de la proportionnalité comp</w:t>
      </w:r>
      <w:r>
        <w:rPr>
          <w:lang w:val="fr-CA"/>
        </w:rPr>
        <w:t>o</w:t>
      </w:r>
      <w:r w:rsidRPr="00BC2D48">
        <w:rPr>
          <w:lang w:val="fr-CA"/>
        </w:rPr>
        <w:t>r</w:t>
      </w:r>
      <w:r>
        <w:rPr>
          <w:lang w:val="fr-CA"/>
        </w:rPr>
        <w:t>t</w:t>
      </w:r>
      <w:r w:rsidRPr="00BC2D48">
        <w:rPr>
          <w:lang w:val="fr-CA"/>
        </w:rPr>
        <w:t>e trois éléments</w:t>
      </w:r>
      <w:r>
        <w:rPr>
          <w:lang w:val="fr-CA"/>
        </w:rPr>
        <w:t> :</w:t>
      </w:r>
      <w:r w:rsidRPr="00BC2D48">
        <w:rPr>
          <w:lang w:val="fr-CA"/>
        </w:rPr>
        <w:t xml:space="preserve"> (i)</w:t>
      </w:r>
      <w:r>
        <w:rPr>
          <w:lang w:val="fr-CA"/>
        </w:rPr>
        <w:t> </w:t>
      </w:r>
      <w:r w:rsidRPr="00BC2D48">
        <w:rPr>
          <w:lang w:val="fr-CA"/>
        </w:rPr>
        <w:t>le lien rationnel</w:t>
      </w:r>
      <w:r>
        <w:rPr>
          <w:lang w:val="fr-CA"/>
        </w:rPr>
        <w:t xml:space="preserve"> avec l’objectif</w:t>
      </w:r>
      <w:r w:rsidRPr="00BC2D48">
        <w:rPr>
          <w:lang w:val="fr-CA"/>
        </w:rPr>
        <w:t>, (ii)</w:t>
      </w:r>
      <w:r>
        <w:rPr>
          <w:lang w:val="fr-CA"/>
        </w:rPr>
        <w:t> </w:t>
      </w:r>
      <w:r w:rsidRPr="00BC2D48">
        <w:rPr>
          <w:lang w:val="fr-CA"/>
        </w:rPr>
        <w:t>l</w:t>
      </w:r>
      <w:r>
        <w:rPr>
          <w:lang w:val="fr-CA"/>
        </w:rPr>
        <w:t>’</w:t>
      </w:r>
      <w:r w:rsidRPr="00BC2D48">
        <w:rPr>
          <w:lang w:val="fr-CA"/>
        </w:rPr>
        <w:t>atteinte minimale</w:t>
      </w:r>
      <w:r>
        <w:rPr>
          <w:lang w:val="fr-CA"/>
        </w:rPr>
        <w:t xml:space="preserve"> au droit</w:t>
      </w:r>
      <w:r w:rsidRPr="00BC2D48">
        <w:rPr>
          <w:lang w:val="fr-CA"/>
        </w:rPr>
        <w:t>, et (iii)</w:t>
      </w:r>
      <w:r>
        <w:rPr>
          <w:lang w:val="fr-CA"/>
        </w:rPr>
        <w:t> </w:t>
      </w:r>
      <w:r w:rsidRPr="00BC2D48">
        <w:rPr>
          <w:lang w:val="fr-CA"/>
        </w:rPr>
        <w:t xml:space="preserve">la proportionnalité entre les effets </w:t>
      </w:r>
      <w:r>
        <w:rPr>
          <w:lang w:val="fr-CA"/>
        </w:rPr>
        <w:t>de la mesure</w:t>
      </w:r>
      <w:r w:rsidRPr="00BC2D48">
        <w:rPr>
          <w:lang w:val="fr-CA"/>
        </w:rPr>
        <w:t xml:space="preserve"> </w:t>
      </w:r>
      <w:r>
        <w:rPr>
          <w:lang w:val="fr-CA"/>
        </w:rPr>
        <w:t xml:space="preserve">(y compris une mise en balance de ses effets </w:t>
      </w:r>
      <w:r w:rsidRPr="00BC2D48">
        <w:rPr>
          <w:lang w:val="fr-CA"/>
        </w:rPr>
        <w:t xml:space="preserve">préjudiciables et </w:t>
      </w:r>
      <w:r>
        <w:rPr>
          <w:lang w:val="fr-CA"/>
        </w:rPr>
        <w:t>de s</w:t>
      </w:r>
      <w:r w:rsidRPr="00BC2D48">
        <w:rPr>
          <w:lang w:val="fr-CA"/>
        </w:rPr>
        <w:t>es effets bénéfiques</w:t>
      </w:r>
      <w:r>
        <w:rPr>
          <w:lang w:val="fr-CA"/>
        </w:rPr>
        <w:t xml:space="preserve">) et l’objectif législatif énoncé </w:t>
      </w:r>
      <w:r w:rsidRPr="00BC2D48">
        <w:rPr>
          <w:lang w:val="fr-CA"/>
        </w:rPr>
        <w:t>(</w:t>
      </w:r>
      <w:proofErr w:type="spellStart"/>
      <w:r w:rsidRPr="00BC2D48">
        <w:rPr>
          <w:i/>
          <w:lang w:val="fr-CA"/>
        </w:rPr>
        <w:t>Oakes</w:t>
      </w:r>
      <w:proofErr w:type="spellEnd"/>
      <w:r>
        <w:rPr>
          <w:lang w:val="fr-CA"/>
        </w:rPr>
        <w:t>, p. </w:t>
      </w:r>
      <w:r w:rsidRPr="00BC2D48">
        <w:rPr>
          <w:lang w:val="fr-CA"/>
        </w:rPr>
        <w:t>138</w:t>
      </w:r>
      <w:r>
        <w:rPr>
          <w:lang w:val="fr-CA"/>
        </w:rPr>
        <w:noBreakHyphen/>
      </w:r>
      <w:r w:rsidRPr="00BC2D48">
        <w:rPr>
          <w:lang w:val="fr-CA"/>
        </w:rPr>
        <w:t xml:space="preserve">139; </w:t>
      </w:r>
      <w:r w:rsidRPr="00BC2D48">
        <w:rPr>
          <w:i/>
          <w:lang w:val="fr-CA"/>
        </w:rPr>
        <w:t>Association de la police montée de l</w:t>
      </w:r>
      <w:r>
        <w:rPr>
          <w:i/>
          <w:lang w:val="fr-CA"/>
        </w:rPr>
        <w:t>’</w:t>
      </w:r>
      <w:r w:rsidRPr="00BC2D48">
        <w:rPr>
          <w:i/>
          <w:lang w:val="fr-CA"/>
        </w:rPr>
        <w:t>Ontario c. Canada (Procureur général)</w:t>
      </w:r>
      <w:r w:rsidRPr="00BC2D48">
        <w:rPr>
          <w:lang w:val="fr-CA"/>
        </w:rPr>
        <w:t xml:space="preserve">, 2015 CSC 1, </w:t>
      </w:r>
      <w:r>
        <w:rPr>
          <w:lang w:val="fr-CA"/>
        </w:rPr>
        <w:t>[2015] 1 R.C.S. 3, par. </w:t>
      </w:r>
      <w:r w:rsidRPr="00BC2D48">
        <w:rPr>
          <w:lang w:val="fr-CA"/>
        </w:rPr>
        <w:t>139;</w:t>
      </w:r>
      <w:r w:rsidRPr="00BC2D48">
        <w:rPr>
          <w:i/>
          <w:lang w:val="fr-CA"/>
        </w:rPr>
        <w:t xml:space="preserve"> K.R.J.</w:t>
      </w:r>
      <w:r w:rsidRPr="00BC2D48">
        <w:rPr>
          <w:lang w:val="fr-CA"/>
        </w:rPr>
        <w:t xml:space="preserve">, </w:t>
      </w:r>
      <w:r>
        <w:rPr>
          <w:lang w:val="fr-CA"/>
        </w:rPr>
        <w:t>par. </w:t>
      </w:r>
      <w:r w:rsidRPr="00BC2D48">
        <w:rPr>
          <w:lang w:val="fr-CA"/>
        </w:rPr>
        <w:t>58). L</w:t>
      </w:r>
      <w:r>
        <w:rPr>
          <w:lang w:val="fr-CA"/>
        </w:rPr>
        <w:t>’</w:t>
      </w:r>
      <w:r w:rsidRPr="00BC2D48">
        <w:rPr>
          <w:lang w:val="fr-CA"/>
        </w:rPr>
        <w:t xml:space="preserve">examen de la proportionnalité se veut à la fois normatif et </w:t>
      </w:r>
      <w:r w:rsidRPr="00BC2D48">
        <w:rPr>
          <w:lang w:val="fr-CA"/>
        </w:rPr>
        <w:lastRenderedPageBreak/>
        <w:t xml:space="preserve">contextuel, </w:t>
      </w:r>
      <w:r>
        <w:rPr>
          <w:lang w:val="fr-CA"/>
        </w:rPr>
        <w:t>et oblige</w:t>
      </w:r>
      <w:r w:rsidRPr="00BC2D48">
        <w:rPr>
          <w:lang w:val="fr-CA"/>
        </w:rPr>
        <w:t xml:space="preserve"> les tribunaux à soupeser les intérêts de la société et ceux de particuliers et de groupes (</w:t>
      </w:r>
      <w:r w:rsidRPr="00BC2D48">
        <w:rPr>
          <w:i/>
          <w:lang w:val="fr-CA"/>
        </w:rPr>
        <w:t>K.R.J.</w:t>
      </w:r>
      <w:r w:rsidRPr="00BC2D48">
        <w:rPr>
          <w:lang w:val="fr-CA"/>
        </w:rPr>
        <w:t xml:space="preserve">, </w:t>
      </w:r>
      <w:r>
        <w:rPr>
          <w:lang w:val="fr-CA"/>
        </w:rPr>
        <w:t>par. </w:t>
      </w:r>
      <w:r w:rsidRPr="00BC2D48">
        <w:rPr>
          <w:lang w:val="fr-CA"/>
        </w:rPr>
        <w:t>58</w:t>
      </w:r>
      <w:r>
        <w:rPr>
          <w:lang w:val="fr-CA"/>
        </w:rPr>
        <w:t>;</w:t>
      </w:r>
      <w:r w:rsidRPr="00BC2D48">
        <w:rPr>
          <w:lang w:val="fr-CA"/>
        </w:rPr>
        <w:t xml:space="preserve"> </w:t>
      </w:r>
      <w:proofErr w:type="spellStart"/>
      <w:r w:rsidRPr="00BC2D48">
        <w:rPr>
          <w:i/>
          <w:lang w:val="fr-CA"/>
        </w:rPr>
        <w:t>Oakes</w:t>
      </w:r>
      <w:proofErr w:type="spellEnd"/>
      <w:r w:rsidRPr="00BC2D48">
        <w:rPr>
          <w:lang w:val="fr-CA"/>
        </w:rPr>
        <w:t xml:space="preserve">, </w:t>
      </w:r>
      <w:r>
        <w:rPr>
          <w:lang w:val="fr-CA"/>
        </w:rPr>
        <w:t>p. </w:t>
      </w:r>
      <w:r w:rsidRPr="00BC2D48">
        <w:rPr>
          <w:lang w:val="fr-CA"/>
        </w:rPr>
        <w:t>139).</w:t>
      </w:r>
    </w:p>
    <w:p w:rsidR="001244E7" w:rsidRDefault="001244E7" w:rsidP="001244E7">
      <w:pPr>
        <w:pStyle w:val="ParaNoNdepar-AltN"/>
        <w:rPr>
          <w:lang w:val="fr-CA"/>
        </w:rPr>
      </w:pPr>
      <w:r w:rsidRPr="00BC2D48">
        <w:rPr>
          <w:lang w:val="fr-CA"/>
        </w:rPr>
        <w:t>Lors de l</w:t>
      </w:r>
      <w:r>
        <w:rPr>
          <w:lang w:val="fr-CA"/>
        </w:rPr>
        <w:t>’</w:t>
      </w:r>
      <w:r w:rsidRPr="00BC2D48">
        <w:rPr>
          <w:lang w:val="fr-CA"/>
        </w:rPr>
        <w:t>examen fondé sur l</w:t>
      </w:r>
      <w:r>
        <w:rPr>
          <w:lang w:val="fr-CA"/>
        </w:rPr>
        <w:t>’</w:t>
      </w:r>
      <w:r w:rsidRPr="00BC2D48">
        <w:rPr>
          <w:lang w:val="fr-CA"/>
        </w:rPr>
        <w:t xml:space="preserve">article premier, le fardeau </w:t>
      </w:r>
      <w:r>
        <w:rPr>
          <w:lang w:val="fr-CA"/>
        </w:rPr>
        <w:t>incombe</w:t>
      </w:r>
      <w:r w:rsidRPr="00BC2D48">
        <w:rPr>
          <w:lang w:val="fr-CA"/>
        </w:rPr>
        <w:t xml:space="preserve"> à la partie qui demande le maintien de la restriction</w:t>
      </w:r>
      <w:r>
        <w:rPr>
          <w:lang w:val="fr-CA"/>
        </w:rPr>
        <w:t xml:space="preserve"> —</w:t>
      </w:r>
      <w:r w:rsidRPr="00BC2D48">
        <w:rPr>
          <w:lang w:val="fr-CA"/>
        </w:rPr>
        <w:t xml:space="preserve"> en l</w:t>
      </w:r>
      <w:r>
        <w:rPr>
          <w:lang w:val="fr-CA"/>
        </w:rPr>
        <w:t>’</w:t>
      </w:r>
      <w:r w:rsidRPr="00BC2D48">
        <w:rPr>
          <w:lang w:val="fr-CA"/>
        </w:rPr>
        <w:t xml:space="preserve">espèce, le </w:t>
      </w:r>
      <w:r>
        <w:rPr>
          <w:lang w:val="fr-CA"/>
        </w:rPr>
        <w:t>PGC</w:t>
      </w:r>
      <w:r w:rsidRPr="00BC2D48">
        <w:rPr>
          <w:lang w:val="fr-CA"/>
        </w:rPr>
        <w:t xml:space="preserve"> (</w:t>
      </w:r>
      <w:proofErr w:type="spellStart"/>
      <w:r w:rsidRPr="00BC2D48">
        <w:rPr>
          <w:i/>
          <w:lang w:val="fr-CA"/>
        </w:rPr>
        <w:t>Oakes</w:t>
      </w:r>
      <w:proofErr w:type="spellEnd"/>
      <w:r w:rsidRPr="00BC2D48">
        <w:rPr>
          <w:lang w:val="fr-CA"/>
        </w:rPr>
        <w:t xml:space="preserve">, </w:t>
      </w:r>
      <w:r>
        <w:rPr>
          <w:lang w:val="fr-CA"/>
        </w:rPr>
        <w:t>p. </w:t>
      </w:r>
      <w:r w:rsidRPr="00BC2D48">
        <w:rPr>
          <w:lang w:val="fr-CA"/>
        </w:rPr>
        <w:t>136</w:t>
      </w:r>
      <w:r>
        <w:rPr>
          <w:lang w:val="fr-CA"/>
        </w:rPr>
        <w:noBreakHyphen/>
      </w:r>
      <w:r w:rsidRPr="00BC2D48">
        <w:rPr>
          <w:lang w:val="fr-CA"/>
        </w:rPr>
        <w:t xml:space="preserve">137). </w:t>
      </w:r>
      <w:r>
        <w:rPr>
          <w:lang w:val="fr-CA"/>
        </w:rPr>
        <w:t>Pour s’acquitter de ce fardeau, l</w:t>
      </w:r>
      <w:r w:rsidRPr="00BC2D48">
        <w:rPr>
          <w:lang w:val="fr-CA"/>
        </w:rPr>
        <w:t xml:space="preserve">e </w:t>
      </w:r>
      <w:r>
        <w:rPr>
          <w:lang w:val="fr-CA"/>
        </w:rPr>
        <w:t>PGC</w:t>
      </w:r>
      <w:r w:rsidRPr="00BC2D48">
        <w:rPr>
          <w:lang w:val="fr-CA"/>
        </w:rPr>
        <w:t xml:space="preserve"> doit </w:t>
      </w:r>
      <w:r>
        <w:rPr>
          <w:lang w:val="fr-CA"/>
        </w:rPr>
        <w:t>satisfaire à</w:t>
      </w:r>
      <w:r w:rsidRPr="00BC2D48">
        <w:rPr>
          <w:lang w:val="fr-CA"/>
        </w:rPr>
        <w:t xml:space="preserve"> la norme de preuve qui s</w:t>
      </w:r>
      <w:r>
        <w:rPr>
          <w:lang w:val="fr-CA"/>
        </w:rPr>
        <w:t>’</w:t>
      </w:r>
      <w:r w:rsidRPr="00BC2D48">
        <w:rPr>
          <w:lang w:val="fr-CA"/>
        </w:rPr>
        <w:t>applique en matière civile, c</w:t>
      </w:r>
      <w:r>
        <w:rPr>
          <w:lang w:val="fr-CA"/>
        </w:rPr>
        <w:t>’</w:t>
      </w:r>
      <w:r w:rsidRPr="00BC2D48">
        <w:rPr>
          <w:lang w:val="fr-CA"/>
        </w:rPr>
        <w:t>est</w:t>
      </w:r>
      <w:r>
        <w:rPr>
          <w:lang w:val="fr-CA"/>
        </w:rPr>
        <w:noBreakHyphen/>
      </w:r>
      <w:r w:rsidRPr="00BC2D48">
        <w:rPr>
          <w:lang w:val="fr-CA"/>
        </w:rPr>
        <w:t>à</w:t>
      </w:r>
      <w:r>
        <w:rPr>
          <w:lang w:val="fr-CA"/>
        </w:rPr>
        <w:noBreakHyphen/>
      </w:r>
      <w:r w:rsidRPr="00BC2D48">
        <w:rPr>
          <w:lang w:val="fr-CA"/>
        </w:rPr>
        <w:t>dire la preuve selon la prépondérance des probabilités (</w:t>
      </w:r>
      <w:proofErr w:type="spellStart"/>
      <w:r w:rsidRPr="00BC2D48">
        <w:rPr>
          <w:i/>
          <w:lang w:val="fr-CA"/>
        </w:rPr>
        <w:t>Oakes</w:t>
      </w:r>
      <w:proofErr w:type="spellEnd"/>
      <w:r w:rsidRPr="00BC2D48">
        <w:rPr>
          <w:lang w:val="fr-CA"/>
        </w:rPr>
        <w:t xml:space="preserve">, </w:t>
      </w:r>
      <w:r>
        <w:rPr>
          <w:lang w:val="fr-CA"/>
        </w:rPr>
        <w:t>p. </w:t>
      </w:r>
      <w:r w:rsidRPr="00BC2D48">
        <w:rPr>
          <w:lang w:val="fr-CA"/>
        </w:rPr>
        <w:t xml:space="preserve">137; </w:t>
      </w:r>
      <w:r w:rsidRPr="00BC2D48">
        <w:rPr>
          <w:i/>
          <w:lang w:val="fr-CA"/>
        </w:rPr>
        <w:t>RJR</w:t>
      </w:r>
      <w:r>
        <w:rPr>
          <w:i/>
          <w:lang w:val="fr-CA"/>
        </w:rPr>
        <w:noBreakHyphen/>
      </w:r>
      <w:proofErr w:type="spellStart"/>
      <w:r w:rsidRPr="00BC2D48">
        <w:rPr>
          <w:i/>
          <w:lang w:val="fr-CA"/>
        </w:rPr>
        <w:t>MacDonald</w:t>
      </w:r>
      <w:proofErr w:type="spellEnd"/>
      <w:r w:rsidRPr="00BC2D48">
        <w:rPr>
          <w:i/>
          <w:lang w:val="fr-CA"/>
        </w:rPr>
        <w:t xml:space="preserve"> Inc. c. Canada</w:t>
      </w:r>
      <w:r>
        <w:rPr>
          <w:i/>
          <w:lang w:val="fr-CA"/>
        </w:rPr>
        <w:t xml:space="preserve"> (Procureur général)</w:t>
      </w:r>
      <w:r w:rsidRPr="00BC2D48">
        <w:rPr>
          <w:lang w:val="fr-CA"/>
        </w:rPr>
        <w:t xml:space="preserve">, [1995] 3 R.C.S. 199, </w:t>
      </w:r>
      <w:r>
        <w:rPr>
          <w:lang w:val="fr-CA"/>
        </w:rPr>
        <w:t>par. </w:t>
      </w:r>
      <w:r w:rsidRPr="00BC2D48">
        <w:rPr>
          <w:lang w:val="fr-CA"/>
        </w:rPr>
        <w:t>137</w:t>
      </w:r>
      <w:r>
        <w:rPr>
          <w:lang w:val="fr-CA"/>
        </w:rPr>
        <w:noBreakHyphen/>
      </w:r>
      <w:r w:rsidRPr="00BC2D48">
        <w:rPr>
          <w:lang w:val="fr-CA"/>
        </w:rPr>
        <w:t>138).</w:t>
      </w:r>
    </w:p>
    <w:p w:rsidR="001244E7" w:rsidRDefault="001244E7" w:rsidP="001244E7">
      <w:pPr>
        <w:pStyle w:val="ParaNoNdepar-AltN"/>
        <w:rPr>
          <w:lang w:val="fr-CA"/>
        </w:rPr>
      </w:pPr>
      <w:r>
        <w:rPr>
          <w:lang w:val="fr-CA"/>
        </w:rPr>
        <w:t>Je reconnais que mes collègues, dans leur dissidence, voient différemment la façon dont il convient d’aborder l’analyse des limites raisonnables</w:t>
      </w:r>
      <w:r w:rsidRPr="00EE0A4F">
        <w:rPr>
          <w:lang w:val="fr-CA"/>
        </w:rPr>
        <w:t xml:space="preserve"> </w:t>
      </w:r>
      <w:r>
        <w:rPr>
          <w:lang w:val="fr-CA"/>
        </w:rPr>
        <w:t>sur le fondement de leur interprétation du texte de l’article premier lui</w:t>
      </w:r>
      <w:r>
        <w:rPr>
          <w:lang w:val="fr-CA"/>
        </w:rPr>
        <w:noBreakHyphen/>
        <w:t xml:space="preserve">même. Cette divergence d’opinions est en grande partie d’ordre sémantique, ayant pour origine un désaccord quant à savoir si le mot qui devrait être utilisé est « atteinte » ou « restriction ». Plus particulièrement, mes collègues préféreraient que le terme « atteinte » s’applique à une restriction </w:t>
      </w:r>
      <w:r>
        <w:rPr>
          <w:i/>
          <w:lang w:val="fr-CA"/>
        </w:rPr>
        <w:t>seul</w:t>
      </w:r>
      <w:r w:rsidRPr="006B74C0">
        <w:rPr>
          <w:i/>
          <w:lang w:val="fr-CA"/>
        </w:rPr>
        <w:t>ement</w:t>
      </w:r>
      <w:r>
        <w:rPr>
          <w:lang w:val="fr-CA"/>
        </w:rPr>
        <w:t xml:space="preserve"> une fois que la restriction a été jugée non justifiée au regard de l’article premier. Cette approche est nouvelle, puisqu’un examen rapide de la jurisprudence révèle que les mots « atteinte » et « restriction » sont souvent utilisés de façon interchangeable. La Cour s’est toujours demandé si des atteintes peuvent être justifiées au regard de l’article premier et le terme « atteinte » ne s’est pas limité uniquement aux restrictions injustifiées d’un droit protégé par la </w:t>
      </w:r>
      <w:r w:rsidRPr="00A41EB4">
        <w:rPr>
          <w:i/>
          <w:lang w:val="fr-CA"/>
        </w:rPr>
        <w:t>Charte</w:t>
      </w:r>
      <w:r>
        <w:rPr>
          <w:lang w:val="fr-CA"/>
        </w:rPr>
        <w:t xml:space="preserve"> (voir, p. ex.</w:t>
      </w:r>
      <w:r w:rsidR="00391CA1">
        <w:rPr>
          <w:lang w:val="fr-CA"/>
        </w:rPr>
        <w:t>,</w:t>
      </w:r>
      <w:r>
        <w:rPr>
          <w:lang w:val="fr-CA"/>
        </w:rPr>
        <w:t xml:space="preserve"> </w:t>
      </w:r>
      <w:proofErr w:type="spellStart"/>
      <w:r w:rsidRPr="00A41EB4">
        <w:rPr>
          <w:i/>
          <w:lang w:val="fr-CA"/>
        </w:rPr>
        <w:t>Oakes</w:t>
      </w:r>
      <w:proofErr w:type="spellEnd"/>
      <w:r>
        <w:rPr>
          <w:lang w:val="fr-CA"/>
        </w:rPr>
        <w:t xml:space="preserve">, p. 129; </w:t>
      </w:r>
      <w:r w:rsidRPr="00A41EB4">
        <w:rPr>
          <w:i/>
          <w:lang w:val="fr-CA"/>
        </w:rPr>
        <w:t>Harvey</w:t>
      </w:r>
      <w:r>
        <w:rPr>
          <w:i/>
          <w:lang w:val="fr-CA"/>
        </w:rPr>
        <w:t xml:space="preserve"> c. Nouveau</w:t>
      </w:r>
      <w:r>
        <w:rPr>
          <w:i/>
          <w:lang w:val="fr-CA"/>
        </w:rPr>
        <w:noBreakHyphen/>
        <w:t>Brunswick (Procureur général)</w:t>
      </w:r>
      <w:r>
        <w:rPr>
          <w:lang w:val="fr-CA"/>
        </w:rPr>
        <w:t xml:space="preserve">, [1996] 2 R.C.S. </w:t>
      </w:r>
      <w:r>
        <w:rPr>
          <w:lang w:val="fr-CA"/>
        </w:rPr>
        <w:lastRenderedPageBreak/>
        <w:t xml:space="preserve">876, par. 32 et 51; </w:t>
      </w:r>
      <w:r w:rsidRPr="00A41EB4">
        <w:rPr>
          <w:i/>
          <w:lang w:val="fr-CA"/>
        </w:rPr>
        <w:t>RJR</w:t>
      </w:r>
      <w:r>
        <w:rPr>
          <w:i/>
          <w:lang w:val="fr-CA"/>
        </w:rPr>
        <w:noBreakHyphen/>
      </w:r>
      <w:proofErr w:type="spellStart"/>
      <w:r w:rsidRPr="00A41EB4">
        <w:rPr>
          <w:i/>
          <w:lang w:val="fr-CA"/>
        </w:rPr>
        <w:t>MacDonald</w:t>
      </w:r>
      <w:proofErr w:type="spellEnd"/>
      <w:r>
        <w:rPr>
          <w:lang w:val="fr-CA"/>
        </w:rPr>
        <w:t>, par. 125</w:t>
      </w:r>
      <w:r>
        <w:rPr>
          <w:lang w:val="fr-CA"/>
        </w:rPr>
        <w:noBreakHyphen/>
        <w:t xml:space="preserve">126; </w:t>
      </w:r>
      <w:proofErr w:type="spellStart"/>
      <w:r w:rsidRPr="00A41EB4">
        <w:rPr>
          <w:i/>
          <w:lang w:val="fr-CA"/>
        </w:rPr>
        <w:t>Vriend</w:t>
      </w:r>
      <w:proofErr w:type="spellEnd"/>
      <w:r w:rsidRPr="00A41EB4">
        <w:rPr>
          <w:i/>
          <w:lang w:val="fr-CA"/>
        </w:rPr>
        <w:t xml:space="preserve"> c. Alberta</w:t>
      </w:r>
      <w:r>
        <w:rPr>
          <w:lang w:val="fr-CA"/>
        </w:rPr>
        <w:t xml:space="preserve">, [1998] 1 R.C.S. 493, par. 108; </w:t>
      </w:r>
      <w:r w:rsidRPr="00A41EB4">
        <w:rPr>
          <w:i/>
          <w:lang w:val="fr-CA"/>
        </w:rPr>
        <w:t xml:space="preserve">Thomson </w:t>
      </w:r>
      <w:proofErr w:type="spellStart"/>
      <w:r w:rsidRPr="00A41EB4">
        <w:rPr>
          <w:i/>
          <w:lang w:val="fr-CA"/>
        </w:rPr>
        <w:t>Newspapers</w:t>
      </w:r>
      <w:proofErr w:type="spellEnd"/>
      <w:r w:rsidRPr="00A41EB4">
        <w:rPr>
          <w:i/>
          <w:lang w:val="fr-CA"/>
        </w:rPr>
        <w:t xml:space="preserve"> Co. c. Canada (Procureur général)</w:t>
      </w:r>
      <w:r>
        <w:rPr>
          <w:lang w:val="fr-CA"/>
        </w:rPr>
        <w:t xml:space="preserve">, [1998] 1 R.C.S. 877, par. 87; </w:t>
      </w:r>
      <w:proofErr w:type="spellStart"/>
      <w:r w:rsidRPr="00A41EB4">
        <w:rPr>
          <w:i/>
          <w:lang w:val="fr-CA"/>
        </w:rPr>
        <w:t>Du</w:t>
      </w:r>
      <w:r>
        <w:rPr>
          <w:i/>
          <w:lang w:val="fr-CA"/>
        </w:rPr>
        <w:t>n</w:t>
      </w:r>
      <w:r w:rsidRPr="00A41EB4">
        <w:rPr>
          <w:i/>
          <w:lang w:val="fr-CA"/>
        </w:rPr>
        <w:t>more</w:t>
      </w:r>
      <w:proofErr w:type="spellEnd"/>
      <w:r w:rsidRPr="00A41EB4">
        <w:rPr>
          <w:i/>
          <w:lang w:val="fr-CA"/>
        </w:rPr>
        <w:t xml:space="preserve"> c. Ontario (Procureur général)</w:t>
      </w:r>
      <w:r>
        <w:rPr>
          <w:lang w:val="fr-CA"/>
        </w:rPr>
        <w:t xml:space="preserve">, 2001 CSC 94, [2001] 3 R.C.S. 1016, par. 48; </w:t>
      </w:r>
      <w:r w:rsidRPr="00A41EB4">
        <w:rPr>
          <w:i/>
          <w:lang w:val="fr-CA"/>
        </w:rPr>
        <w:t>Sauvé n</w:t>
      </w:r>
      <w:r w:rsidRPr="00A41EB4">
        <w:rPr>
          <w:i/>
          <w:vertAlign w:val="superscript"/>
          <w:lang w:val="fr-CA"/>
        </w:rPr>
        <w:t>o</w:t>
      </w:r>
      <w:r w:rsidRPr="00A41EB4">
        <w:rPr>
          <w:i/>
          <w:lang w:val="fr-CA"/>
        </w:rPr>
        <w:t xml:space="preserve"> 2</w:t>
      </w:r>
      <w:r>
        <w:rPr>
          <w:lang w:val="fr-CA"/>
        </w:rPr>
        <w:t xml:space="preserve">, par. 7 et 10; </w:t>
      </w:r>
      <w:proofErr w:type="spellStart"/>
      <w:r w:rsidRPr="00A41EB4">
        <w:rPr>
          <w:i/>
          <w:lang w:val="fr-CA"/>
        </w:rPr>
        <w:t>Figueroa</w:t>
      </w:r>
      <w:proofErr w:type="spellEnd"/>
      <w:r>
        <w:rPr>
          <w:lang w:val="fr-CA"/>
        </w:rPr>
        <w:t xml:space="preserve">, par. 16; </w:t>
      </w:r>
      <w:proofErr w:type="spellStart"/>
      <w:r w:rsidRPr="00A41EB4">
        <w:rPr>
          <w:i/>
          <w:lang w:val="fr-CA"/>
        </w:rPr>
        <w:t>Greater</w:t>
      </w:r>
      <w:proofErr w:type="spellEnd"/>
      <w:r w:rsidRPr="00A41EB4">
        <w:rPr>
          <w:i/>
          <w:lang w:val="fr-CA"/>
        </w:rPr>
        <w:t xml:space="preserve"> Vancouver Transportation </w:t>
      </w:r>
      <w:proofErr w:type="spellStart"/>
      <w:r w:rsidRPr="00A41EB4">
        <w:rPr>
          <w:i/>
          <w:lang w:val="fr-CA"/>
        </w:rPr>
        <w:t>Authority</w:t>
      </w:r>
      <w:proofErr w:type="spellEnd"/>
      <w:r w:rsidRPr="00A41EB4">
        <w:rPr>
          <w:i/>
          <w:lang w:val="fr-CA"/>
        </w:rPr>
        <w:t xml:space="preserve"> c. </w:t>
      </w:r>
      <w:r w:rsidRPr="00B26B91">
        <w:rPr>
          <w:i/>
          <w:lang w:val="fr-CA"/>
        </w:rPr>
        <w:t>Fédération canadienne des étudiantes et étudiants — Section Colombie</w:t>
      </w:r>
      <w:r>
        <w:rPr>
          <w:i/>
          <w:lang w:val="fr-CA"/>
        </w:rPr>
        <w:noBreakHyphen/>
      </w:r>
      <w:r w:rsidRPr="00B26B91">
        <w:rPr>
          <w:i/>
          <w:lang w:val="fr-CA"/>
        </w:rPr>
        <w:t>Britannique</w:t>
      </w:r>
      <w:r>
        <w:rPr>
          <w:lang w:val="fr-CA"/>
        </w:rPr>
        <w:t xml:space="preserve">, 2009 CSC 31, [2009] 2 R.C.S. 295, par. 37; </w:t>
      </w:r>
      <w:r w:rsidRPr="00A41EB4">
        <w:rPr>
          <w:i/>
          <w:lang w:val="fr-CA"/>
        </w:rPr>
        <w:t>Canada (Procureur général) c. Bedford</w:t>
      </w:r>
      <w:r>
        <w:rPr>
          <w:lang w:val="fr-CA"/>
        </w:rPr>
        <w:t xml:space="preserve">, 2013 CSC 72, [2013] 3 R.C.S. 1101, par. 126; </w:t>
      </w:r>
      <w:r w:rsidRPr="00A41EB4">
        <w:rPr>
          <w:i/>
          <w:lang w:val="fr-CA"/>
        </w:rPr>
        <w:t>Carter c. Canada (Procureur général)</w:t>
      </w:r>
      <w:r>
        <w:rPr>
          <w:lang w:val="fr-CA"/>
        </w:rPr>
        <w:t>, 2015 CSC 5, [2015] 1 R.C.S. 331, par. 94;</w:t>
      </w:r>
      <w:r w:rsidRPr="00A41EB4">
        <w:rPr>
          <w:i/>
          <w:lang w:val="fr-CA"/>
        </w:rPr>
        <w:t xml:space="preserve"> K.R.J.</w:t>
      </w:r>
      <w:r>
        <w:rPr>
          <w:lang w:val="fr-CA"/>
        </w:rPr>
        <w:t xml:space="preserve">, par. 79; </w:t>
      </w:r>
      <w:r w:rsidRPr="00A41EB4">
        <w:rPr>
          <w:i/>
          <w:lang w:val="fr-CA"/>
        </w:rPr>
        <w:t xml:space="preserve">B.C. </w:t>
      </w:r>
      <w:proofErr w:type="spellStart"/>
      <w:r w:rsidRPr="00A41EB4">
        <w:rPr>
          <w:i/>
          <w:lang w:val="fr-CA"/>
        </w:rPr>
        <w:t>Freedom</w:t>
      </w:r>
      <w:proofErr w:type="spellEnd"/>
      <w:r w:rsidRPr="00A41EB4">
        <w:rPr>
          <w:i/>
          <w:lang w:val="fr-CA"/>
        </w:rPr>
        <w:t xml:space="preserve"> of Information and </w:t>
      </w:r>
      <w:proofErr w:type="spellStart"/>
      <w:r w:rsidRPr="00A41EB4">
        <w:rPr>
          <w:i/>
          <w:lang w:val="fr-CA"/>
        </w:rPr>
        <w:t>Privacy</w:t>
      </w:r>
      <w:proofErr w:type="spellEnd"/>
      <w:r w:rsidRPr="00A41EB4">
        <w:rPr>
          <w:i/>
          <w:lang w:val="fr-CA"/>
        </w:rPr>
        <w:t xml:space="preserve"> Association c. Colombie</w:t>
      </w:r>
      <w:r>
        <w:rPr>
          <w:i/>
          <w:lang w:val="fr-CA"/>
        </w:rPr>
        <w:noBreakHyphen/>
      </w:r>
      <w:r w:rsidRPr="00A41EB4">
        <w:rPr>
          <w:i/>
          <w:lang w:val="fr-CA"/>
        </w:rPr>
        <w:t>Britannique (Procureur général)</w:t>
      </w:r>
      <w:r>
        <w:rPr>
          <w:lang w:val="fr-CA"/>
        </w:rPr>
        <w:t>, 2017 CSC 6, [2017] 1 R.C.S. 93, par. 58</w:t>
      </w:r>
      <w:r>
        <w:rPr>
          <w:lang w:val="fr-CA"/>
        </w:rPr>
        <w:noBreakHyphen/>
        <w:t>59).</w:t>
      </w:r>
    </w:p>
    <w:p w:rsidR="001244E7" w:rsidRPr="0037332F" w:rsidRDefault="001244E7" w:rsidP="001244E7">
      <w:pPr>
        <w:pStyle w:val="ParaNoNdepar-AltN"/>
        <w:rPr>
          <w:lang w:val="fr-CA"/>
        </w:rPr>
      </w:pPr>
      <w:r>
        <w:rPr>
          <w:lang w:val="fr-CA"/>
        </w:rPr>
        <w:t xml:space="preserve">Vu que l’approche de mes collègues marquerait une rupture avec la jurisprudence relative à la </w:t>
      </w:r>
      <w:r w:rsidRPr="001844CD">
        <w:rPr>
          <w:i/>
          <w:lang w:val="fr-CA"/>
        </w:rPr>
        <w:t>Charte</w:t>
      </w:r>
      <w:r>
        <w:rPr>
          <w:lang w:val="fr-CA"/>
        </w:rPr>
        <w:t xml:space="preserve"> des dernières décennies, qu’elle n’a été ni soulevée, ni plaidée à quelque stade que ce soit de la présente instance et, surtout, qu’il n’est pas nécessaire de statuer sur cette question pour trancher le présent pourvoi, je n’examinerai pas le bien</w:t>
      </w:r>
      <w:r>
        <w:rPr>
          <w:lang w:val="fr-CA"/>
        </w:rPr>
        <w:noBreakHyphen/>
        <w:t xml:space="preserve">fondé de leur opinion sur cette question. </w:t>
      </w:r>
    </w:p>
    <w:p w:rsidR="001244E7" w:rsidRPr="00BC2D48" w:rsidRDefault="001244E7" w:rsidP="001244E7">
      <w:pPr>
        <w:pStyle w:val="ParaNoNdepar-AltN"/>
        <w:rPr>
          <w:lang w:val="fr-CA"/>
        </w:rPr>
      </w:pPr>
      <w:r w:rsidRPr="00BC2D48">
        <w:rPr>
          <w:lang w:val="fr-CA"/>
        </w:rPr>
        <w:t xml:space="preserve">En clair, </w:t>
      </w:r>
      <w:r>
        <w:rPr>
          <w:lang w:val="fr-CA"/>
        </w:rPr>
        <w:t>nous devons donc</w:t>
      </w:r>
      <w:r w:rsidRPr="00BC2D48">
        <w:rPr>
          <w:lang w:val="fr-CA"/>
        </w:rPr>
        <w:t xml:space="preserve"> </w:t>
      </w:r>
      <w:r>
        <w:rPr>
          <w:lang w:val="fr-CA"/>
        </w:rPr>
        <w:t>suivre une approche qui — loin de dénaturer l’analyse,</w:t>
      </w:r>
      <w:r w:rsidRPr="00BC2D48">
        <w:rPr>
          <w:lang w:val="fr-CA"/>
        </w:rPr>
        <w:t xml:space="preserve"> </w:t>
      </w:r>
      <w:r>
        <w:rPr>
          <w:lang w:val="fr-CA"/>
        </w:rPr>
        <w:t xml:space="preserve">comme l’affirment mes collègues — consiste simplement à </w:t>
      </w:r>
      <w:r w:rsidRPr="00BC2D48">
        <w:rPr>
          <w:lang w:val="fr-CA"/>
        </w:rPr>
        <w:t>appliquer</w:t>
      </w:r>
      <w:r>
        <w:rPr>
          <w:lang w:val="fr-CA"/>
        </w:rPr>
        <w:t xml:space="preserve"> </w:t>
      </w:r>
      <w:r w:rsidRPr="00BC2D48">
        <w:rPr>
          <w:lang w:val="fr-CA"/>
        </w:rPr>
        <w:t xml:space="preserve">la jurisprudence établie portant sur la </w:t>
      </w:r>
      <w:r>
        <w:rPr>
          <w:lang w:val="fr-CA"/>
        </w:rPr>
        <w:t>façon dont peuvent être</w:t>
      </w:r>
      <w:r w:rsidRPr="00BC2D48">
        <w:rPr>
          <w:lang w:val="fr-CA"/>
        </w:rPr>
        <w:t xml:space="preserve"> justifi</w:t>
      </w:r>
      <w:r>
        <w:rPr>
          <w:lang w:val="fr-CA"/>
        </w:rPr>
        <w:t>ées</w:t>
      </w:r>
      <w:r w:rsidRPr="00BC2D48">
        <w:rPr>
          <w:lang w:val="fr-CA"/>
        </w:rPr>
        <w:t xml:space="preserve"> les restrictions de droits garantis par la </w:t>
      </w:r>
      <w:r w:rsidRPr="00BC2D48">
        <w:rPr>
          <w:i/>
          <w:lang w:val="fr-CA"/>
        </w:rPr>
        <w:t>Charte</w:t>
      </w:r>
      <w:r w:rsidRPr="00BC2D48">
        <w:rPr>
          <w:lang w:val="fr-CA"/>
        </w:rPr>
        <w:t>. Comme je l</w:t>
      </w:r>
      <w:r>
        <w:rPr>
          <w:lang w:val="fr-CA"/>
        </w:rPr>
        <w:t>’</w:t>
      </w:r>
      <w:r w:rsidRPr="00BC2D48">
        <w:rPr>
          <w:lang w:val="fr-CA"/>
        </w:rPr>
        <w:t xml:space="preserve">ai expliqué plus </w:t>
      </w:r>
      <w:r>
        <w:rPr>
          <w:lang w:val="fr-CA"/>
        </w:rPr>
        <w:t>tô</w:t>
      </w:r>
      <w:r w:rsidRPr="00BC2D48">
        <w:rPr>
          <w:lang w:val="fr-CA"/>
        </w:rPr>
        <w:t>t</w:t>
      </w:r>
      <w:r>
        <w:rPr>
          <w:lang w:val="fr-CA"/>
        </w:rPr>
        <w:t>, notre</w:t>
      </w:r>
      <w:r w:rsidRPr="00BC2D48">
        <w:rPr>
          <w:lang w:val="fr-CA"/>
        </w:rPr>
        <w:t xml:space="preserve"> Cour </w:t>
      </w:r>
      <w:r>
        <w:rPr>
          <w:lang w:val="fr-CA"/>
        </w:rPr>
        <w:t>a établi une démarche analytique selon laquelle</w:t>
      </w:r>
      <w:r w:rsidRPr="00BC2D48">
        <w:rPr>
          <w:lang w:val="fr-CA"/>
        </w:rPr>
        <w:t xml:space="preserve"> </w:t>
      </w:r>
      <w:r>
        <w:rPr>
          <w:lang w:val="fr-CA"/>
        </w:rPr>
        <w:t xml:space="preserve">il faut répondre à </w:t>
      </w:r>
      <w:r w:rsidRPr="00BC2D48">
        <w:rPr>
          <w:lang w:val="fr-CA"/>
        </w:rPr>
        <w:t>deux questions distinctes</w:t>
      </w:r>
      <w:r>
        <w:rPr>
          <w:lang w:val="fr-CA"/>
        </w:rPr>
        <w:t> :</w:t>
      </w:r>
      <w:r w:rsidRPr="00BC2D48">
        <w:rPr>
          <w:lang w:val="fr-CA"/>
        </w:rPr>
        <w:t xml:space="preserve"> la </w:t>
      </w:r>
      <w:r w:rsidRPr="00BC2D48">
        <w:rPr>
          <w:lang w:val="fr-CA"/>
        </w:rPr>
        <w:lastRenderedPageBreak/>
        <w:t>première est de savoir s</w:t>
      </w:r>
      <w:r>
        <w:rPr>
          <w:lang w:val="fr-CA"/>
        </w:rPr>
        <w:t>’</w:t>
      </w:r>
      <w:r w:rsidRPr="00BC2D48">
        <w:rPr>
          <w:lang w:val="fr-CA"/>
        </w:rPr>
        <w:t xml:space="preserve">il y a eu atteinte à un droit protégé par la </w:t>
      </w:r>
      <w:r w:rsidRPr="00BC2D48">
        <w:rPr>
          <w:i/>
          <w:lang w:val="fr-CA"/>
        </w:rPr>
        <w:t>Charte</w:t>
      </w:r>
      <w:r w:rsidRPr="00BC2D48">
        <w:rPr>
          <w:lang w:val="fr-CA"/>
        </w:rPr>
        <w:t>, alors que la deuxième est de savoir si cette atteinte peut être justifiée suivant le cadre d</w:t>
      </w:r>
      <w:r>
        <w:rPr>
          <w:lang w:val="fr-CA"/>
        </w:rPr>
        <w:t>’</w:t>
      </w:r>
      <w:r w:rsidRPr="00BC2D48">
        <w:rPr>
          <w:lang w:val="fr-CA"/>
        </w:rPr>
        <w:t>analyse établi dan</w:t>
      </w:r>
      <w:r>
        <w:rPr>
          <w:lang w:val="fr-CA"/>
        </w:rPr>
        <w:t>s</w:t>
      </w:r>
      <w:r w:rsidRPr="00BC2D48">
        <w:rPr>
          <w:lang w:val="fr-CA"/>
        </w:rPr>
        <w:t xml:space="preserve"> l</w:t>
      </w:r>
      <w:r>
        <w:rPr>
          <w:lang w:val="fr-CA"/>
        </w:rPr>
        <w:t>’</w:t>
      </w:r>
      <w:r w:rsidRPr="00BC2D48">
        <w:rPr>
          <w:lang w:val="fr-CA"/>
        </w:rPr>
        <w:t xml:space="preserve">arrêt </w:t>
      </w:r>
      <w:proofErr w:type="spellStart"/>
      <w:r w:rsidRPr="00BC2D48">
        <w:rPr>
          <w:i/>
          <w:lang w:val="fr-CA"/>
        </w:rPr>
        <w:t>Oakes</w:t>
      </w:r>
      <w:proofErr w:type="spellEnd"/>
      <w:r w:rsidRPr="00BC2D48">
        <w:rPr>
          <w:lang w:val="fr-CA"/>
        </w:rPr>
        <w:t xml:space="preserve"> (voir, </w:t>
      </w:r>
      <w:r>
        <w:rPr>
          <w:lang w:val="fr-CA"/>
        </w:rPr>
        <w:t>p. </w:t>
      </w:r>
      <w:r w:rsidRPr="00BC2D48">
        <w:rPr>
          <w:lang w:val="fr-CA"/>
        </w:rPr>
        <w:t xml:space="preserve">ex., </w:t>
      </w:r>
      <w:r w:rsidRPr="00BC2D48">
        <w:rPr>
          <w:i/>
          <w:lang w:val="fr-CA"/>
        </w:rPr>
        <w:t>Andrews c. Law Society of British Columbia</w:t>
      </w:r>
      <w:r w:rsidRPr="00EE0A4F">
        <w:rPr>
          <w:lang w:val="fr-CA"/>
        </w:rPr>
        <w:t xml:space="preserve">, </w:t>
      </w:r>
      <w:r w:rsidRPr="00BC2D48">
        <w:rPr>
          <w:lang w:val="fr-CA"/>
        </w:rPr>
        <w:t>[1989] 1 R.C.S.</w:t>
      </w:r>
      <w:r>
        <w:rPr>
          <w:lang w:val="fr-CA"/>
        </w:rPr>
        <w:t xml:space="preserve"> 143</w:t>
      </w:r>
      <w:r w:rsidRPr="00BC2D48">
        <w:rPr>
          <w:lang w:val="fr-CA"/>
        </w:rPr>
        <w:t xml:space="preserve">, </w:t>
      </w:r>
      <w:r>
        <w:rPr>
          <w:lang w:val="fr-CA"/>
        </w:rPr>
        <w:t>p. </w:t>
      </w:r>
      <w:r w:rsidRPr="00BC2D48">
        <w:rPr>
          <w:lang w:val="fr-CA"/>
        </w:rPr>
        <w:t>178</w:t>
      </w:r>
      <w:r>
        <w:rPr>
          <w:lang w:val="fr-CA"/>
        </w:rPr>
        <w:t>;</w:t>
      </w:r>
      <w:r w:rsidRPr="00BC2D48">
        <w:rPr>
          <w:lang w:val="fr-CA"/>
        </w:rPr>
        <w:t xml:space="preserve"> </w:t>
      </w:r>
      <w:r w:rsidRPr="00BC2D48">
        <w:rPr>
          <w:i/>
          <w:lang w:val="fr-CA"/>
        </w:rPr>
        <w:t>Sauvé n</w:t>
      </w:r>
      <w:r w:rsidRPr="00BC2D48">
        <w:rPr>
          <w:i/>
          <w:vertAlign w:val="superscript"/>
          <w:lang w:val="fr-CA"/>
        </w:rPr>
        <w:t>o</w:t>
      </w:r>
      <w:r>
        <w:rPr>
          <w:i/>
          <w:vertAlign w:val="superscript"/>
          <w:lang w:val="fr-CA"/>
        </w:rPr>
        <w:t> </w:t>
      </w:r>
      <w:r w:rsidRPr="00BC2D48">
        <w:rPr>
          <w:i/>
          <w:lang w:val="fr-CA"/>
        </w:rPr>
        <w:t>2</w:t>
      </w:r>
      <w:r>
        <w:rPr>
          <w:lang w:val="fr-CA"/>
        </w:rPr>
        <w:t>, par. 10;</w:t>
      </w:r>
      <w:r w:rsidRPr="00BC2D48">
        <w:rPr>
          <w:lang w:val="fr-CA"/>
        </w:rPr>
        <w:t xml:space="preserve"> </w:t>
      </w:r>
      <w:r w:rsidRPr="00BC2D48">
        <w:rPr>
          <w:i/>
          <w:lang w:val="fr-CA"/>
        </w:rPr>
        <w:t>Bedford</w:t>
      </w:r>
      <w:r w:rsidRPr="00BC2D48">
        <w:rPr>
          <w:lang w:val="fr-CA"/>
        </w:rPr>
        <w:t xml:space="preserve">, </w:t>
      </w:r>
      <w:r>
        <w:rPr>
          <w:lang w:val="fr-CA"/>
        </w:rPr>
        <w:t>par. </w:t>
      </w:r>
      <w:r w:rsidRPr="00BC2D48">
        <w:rPr>
          <w:lang w:val="fr-CA"/>
        </w:rPr>
        <w:t>125</w:t>
      </w:r>
      <w:r>
        <w:rPr>
          <w:lang w:val="fr-CA"/>
        </w:rPr>
        <w:noBreakHyphen/>
      </w:r>
      <w:r w:rsidRPr="00BC2D48">
        <w:rPr>
          <w:lang w:val="fr-CA"/>
        </w:rPr>
        <w:t xml:space="preserve">128). Cette </w:t>
      </w:r>
      <w:r>
        <w:rPr>
          <w:lang w:val="fr-CA"/>
        </w:rPr>
        <w:t>distinction</w:t>
      </w:r>
      <w:r w:rsidRPr="00BC2D48">
        <w:rPr>
          <w:lang w:val="fr-CA"/>
        </w:rPr>
        <w:t xml:space="preserve"> analytique s</w:t>
      </w:r>
      <w:r>
        <w:rPr>
          <w:lang w:val="fr-CA"/>
        </w:rPr>
        <w:t>’</w:t>
      </w:r>
      <w:r w:rsidRPr="00BC2D48">
        <w:rPr>
          <w:lang w:val="fr-CA"/>
        </w:rPr>
        <w:t xml:space="preserve">impose, en partie, </w:t>
      </w:r>
      <w:r>
        <w:rPr>
          <w:lang w:val="fr-CA"/>
        </w:rPr>
        <w:t>parce que le</w:t>
      </w:r>
      <w:r w:rsidRPr="00BC2D48">
        <w:rPr>
          <w:lang w:val="fr-CA"/>
        </w:rPr>
        <w:t xml:space="preserve"> fardeau de la preuve</w:t>
      </w:r>
      <w:r>
        <w:rPr>
          <w:lang w:val="fr-CA"/>
        </w:rPr>
        <w:t xml:space="preserve"> est attribué différemment :</w:t>
      </w:r>
      <w:r w:rsidRPr="00BC2D48">
        <w:rPr>
          <w:lang w:val="fr-CA"/>
        </w:rPr>
        <w:t xml:space="preserve"> celui qui revendique un droit garanti par la </w:t>
      </w:r>
      <w:r w:rsidRPr="00BC2D48">
        <w:rPr>
          <w:i/>
          <w:lang w:val="fr-CA"/>
        </w:rPr>
        <w:t>Charte</w:t>
      </w:r>
      <w:r w:rsidRPr="00BC2D48">
        <w:rPr>
          <w:lang w:val="fr-CA"/>
        </w:rPr>
        <w:t xml:space="preserve"> a le fardeau d</w:t>
      </w:r>
      <w:r>
        <w:rPr>
          <w:lang w:val="fr-CA"/>
        </w:rPr>
        <w:t>’</w:t>
      </w:r>
      <w:r w:rsidRPr="00BC2D48">
        <w:rPr>
          <w:lang w:val="fr-CA"/>
        </w:rPr>
        <w:t>établir</w:t>
      </w:r>
      <w:r>
        <w:rPr>
          <w:lang w:val="fr-CA"/>
        </w:rPr>
        <w:t xml:space="preserve"> qu’il y a eu</w:t>
      </w:r>
      <w:r w:rsidRPr="00BC2D48">
        <w:rPr>
          <w:lang w:val="fr-CA"/>
        </w:rPr>
        <w:t xml:space="preserve"> atteinte à ce droit, </w:t>
      </w:r>
      <w:r>
        <w:rPr>
          <w:lang w:val="fr-CA"/>
        </w:rPr>
        <w:t>mais il appartient à</w:t>
      </w:r>
      <w:r w:rsidRPr="00BC2D48">
        <w:rPr>
          <w:lang w:val="fr-CA"/>
        </w:rPr>
        <w:t xml:space="preserve"> l</w:t>
      </w:r>
      <w:r>
        <w:rPr>
          <w:lang w:val="fr-CA"/>
        </w:rPr>
        <w:t>’</w:t>
      </w:r>
      <w:r w:rsidRPr="00BC2D48">
        <w:rPr>
          <w:lang w:val="fr-CA"/>
        </w:rPr>
        <w:t xml:space="preserve">État </w:t>
      </w:r>
      <w:r>
        <w:rPr>
          <w:lang w:val="fr-CA"/>
        </w:rPr>
        <w:t>de</w:t>
      </w:r>
      <w:r w:rsidRPr="00BC2D48">
        <w:rPr>
          <w:lang w:val="fr-CA"/>
        </w:rPr>
        <w:t xml:space="preserve"> justifier l</w:t>
      </w:r>
      <w:r>
        <w:rPr>
          <w:lang w:val="fr-CA"/>
        </w:rPr>
        <w:t>’</w:t>
      </w:r>
      <w:r w:rsidRPr="00BC2D48">
        <w:rPr>
          <w:lang w:val="fr-CA"/>
        </w:rPr>
        <w:t>atteinte (</w:t>
      </w:r>
      <w:r w:rsidRPr="00BC2D48">
        <w:rPr>
          <w:i/>
          <w:lang w:val="fr-CA"/>
        </w:rPr>
        <w:t>Andrews</w:t>
      </w:r>
      <w:r w:rsidRPr="00BC2D48">
        <w:rPr>
          <w:lang w:val="fr-CA"/>
        </w:rPr>
        <w:t xml:space="preserve">, </w:t>
      </w:r>
      <w:r>
        <w:rPr>
          <w:lang w:val="fr-CA"/>
        </w:rPr>
        <w:t>p. </w:t>
      </w:r>
      <w:r w:rsidRPr="00BC2D48">
        <w:rPr>
          <w:lang w:val="fr-CA"/>
        </w:rPr>
        <w:t xml:space="preserve">178; </w:t>
      </w:r>
      <w:r w:rsidRPr="00BC2D48">
        <w:rPr>
          <w:i/>
          <w:lang w:val="fr-CA"/>
        </w:rPr>
        <w:t>Harvey</w:t>
      </w:r>
      <w:r>
        <w:rPr>
          <w:lang w:val="fr-CA"/>
        </w:rPr>
        <w:t>, par. </w:t>
      </w:r>
      <w:r w:rsidRPr="00BC2D48">
        <w:rPr>
          <w:lang w:val="fr-CA"/>
        </w:rPr>
        <w:t>30). En ce qui concerne le droit de vote garanti par l</w:t>
      </w:r>
      <w:r>
        <w:rPr>
          <w:lang w:val="fr-CA"/>
        </w:rPr>
        <w:t>’art. </w:t>
      </w:r>
      <w:r w:rsidRPr="00BC2D48">
        <w:rPr>
          <w:lang w:val="fr-CA"/>
        </w:rPr>
        <w:t>3</w:t>
      </w:r>
      <w:r w:rsidRPr="006F23B3">
        <w:rPr>
          <w:lang w:val="fr-CA"/>
        </w:rPr>
        <w:t xml:space="preserve"> </w:t>
      </w:r>
      <w:r w:rsidRPr="00BC2D48">
        <w:rPr>
          <w:lang w:val="fr-CA"/>
        </w:rPr>
        <w:t xml:space="preserve">en particulier, toute </w:t>
      </w:r>
      <w:r>
        <w:rPr>
          <w:lang w:val="fr-CA"/>
        </w:rPr>
        <w:t>pondération</w:t>
      </w:r>
      <w:r w:rsidRPr="00BC2D48">
        <w:rPr>
          <w:lang w:val="fr-CA"/>
        </w:rPr>
        <w:t xml:space="preserve"> des </w:t>
      </w:r>
      <w:r>
        <w:rPr>
          <w:lang w:val="fr-CA"/>
        </w:rPr>
        <w:t xml:space="preserve">intérêts </w:t>
      </w:r>
      <w:r w:rsidRPr="00BC2D48">
        <w:rPr>
          <w:lang w:val="fr-CA"/>
        </w:rPr>
        <w:t xml:space="preserve">doit être abordée </w:t>
      </w:r>
      <w:r>
        <w:rPr>
          <w:lang w:val="fr-CA"/>
        </w:rPr>
        <w:t>dans le contexte du</w:t>
      </w:r>
      <w:r w:rsidRPr="00BC2D48">
        <w:rPr>
          <w:lang w:val="fr-CA"/>
        </w:rPr>
        <w:t xml:space="preserve"> cadre de justification </w:t>
      </w:r>
      <w:r>
        <w:rPr>
          <w:lang w:val="fr-CA"/>
        </w:rPr>
        <w:t>au regard</w:t>
      </w:r>
      <w:r w:rsidRPr="00BC2D48">
        <w:rPr>
          <w:lang w:val="fr-CA"/>
        </w:rPr>
        <w:t xml:space="preserve"> de l</w:t>
      </w:r>
      <w:r>
        <w:rPr>
          <w:lang w:val="fr-CA"/>
        </w:rPr>
        <w:t>’</w:t>
      </w:r>
      <w:r w:rsidRPr="00BC2D48">
        <w:rPr>
          <w:lang w:val="fr-CA"/>
        </w:rPr>
        <w:t>article premier, plutôt que d</w:t>
      </w:r>
      <w:r>
        <w:rPr>
          <w:lang w:val="fr-CA"/>
        </w:rPr>
        <w:t>’agir c</w:t>
      </w:r>
      <w:r w:rsidRPr="00BC2D48">
        <w:rPr>
          <w:lang w:val="fr-CA"/>
        </w:rPr>
        <w:t xml:space="preserve">omme </w:t>
      </w:r>
      <w:r>
        <w:rPr>
          <w:lang w:val="fr-CA"/>
        </w:rPr>
        <w:t xml:space="preserve">une </w:t>
      </w:r>
      <w:r w:rsidRPr="00BC2D48">
        <w:rPr>
          <w:lang w:val="fr-CA"/>
        </w:rPr>
        <w:t>limit</w:t>
      </w:r>
      <w:r>
        <w:rPr>
          <w:lang w:val="fr-CA"/>
        </w:rPr>
        <w:t>e interne</w:t>
      </w:r>
      <w:r w:rsidRPr="00BC2D48">
        <w:rPr>
          <w:lang w:val="fr-CA"/>
        </w:rPr>
        <w:t xml:space="preserve"> du droit</w:t>
      </w:r>
      <w:r>
        <w:rPr>
          <w:lang w:val="fr-CA"/>
        </w:rPr>
        <w:t xml:space="preserve"> </w:t>
      </w:r>
      <w:r w:rsidRPr="00BC2D48">
        <w:rPr>
          <w:lang w:val="fr-CA"/>
        </w:rPr>
        <w:t>(</w:t>
      </w:r>
      <w:r w:rsidRPr="00C97ED6">
        <w:rPr>
          <w:i/>
          <w:lang w:val="fr-CA"/>
        </w:rPr>
        <w:t>Harvey</w:t>
      </w:r>
      <w:r w:rsidRPr="00BC2D48">
        <w:rPr>
          <w:lang w:val="fr-CA"/>
        </w:rPr>
        <w:t xml:space="preserve">, </w:t>
      </w:r>
      <w:r>
        <w:rPr>
          <w:lang w:val="fr-CA"/>
        </w:rPr>
        <w:t>par. </w:t>
      </w:r>
      <w:r w:rsidRPr="00BC2D48">
        <w:rPr>
          <w:lang w:val="fr-CA"/>
        </w:rPr>
        <w:t>29</w:t>
      </w:r>
      <w:r>
        <w:rPr>
          <w:lang w:val="fr-CA"/>
        </w:rPr>
        <w:noBreakHyphen/>
      </w:r>
      <w:r w:rsidRPr="00BC2D48">
        <w:rPr>
          <w:lang w:val="fr-CA"/>
        </w:rPr>
        <w:t xml:space="preserve">30; </w:t>
      </w:r>
      <w:r w:rsidRPr="00BC2D48">
        <w:rPr>
          <w:i/>
          <w:lang w:val="fr-CA"/>
        </w:rPr>
        <w:t>Sauvé n</w:t>
      </w:r>
      <w:r w:rsidRPr="00BC2D48">
        <w:rPr>
          <w:i/>
          <w:vertAlign w:val="superscript"/>
          <w:lang w:val="fr-CA"/>
        </w:rPr>
        <w:t>o</w:t>
      </w:r>
      <w:r>
        <w:rPr>
          <w:i/>
          <w:lang w:val="fr-CA"/>
        </w:rPr>
        <w:t> </w:t>
      </w:r>
      <w:r w:rsidRPr="00BC2D48">
        <w:rPr>
          <w:i/>
          <w:lang w:val="fr-CA"/>
        </w:rPr>
        <w:t>2</w:t>
      </w:r>
      <w:r w:rsidRPr="00BC2D48">
        <w:rPr>
          <w:lang w:val="fr-CA"/>
        </w:rPr>
        <w:t xml:space="preserve">, </w:t>
      </w:r>
      <w:r>
        <w:rPr>
          <w:lang w:val="fr-CA"/>
        </w:rPr>
        <w:t>par. </w:t>
      </w:r>
      <w:r w:rsidRPr="00BC2D48">
        <w:rPr>
          <w:lang w:val="fr-CA"/>
        </w:rPr>
        <w:t>11).</w:t>
      </w:r>
    </w:p>
    <w:p w:rsidR="001244E7" w:rsidRPr="00BC2D48" w:rsidRDefault="001244E7" w:rsidP="001244E7">
      <w:pPr>
        <w:pStyle w:val="ParaNoNdepar-AltN"/>
        <w:rPr>
          <w:lang w:val="fr-CA"/>
        </w:rPr>
      </w:pPr>
      <w:r w:rsidRPr="00BC2D48">
        <w:rPr>
          <w:lang w:val="fr-CA"/>
        </w:rPr>
        <w:t>La jurisprudence impose en outre l</w:t>
      </w:r>
      <w:r>
        <w:rPr>
          <w:lang w:val="fr-CA"/>
        </w:rPr>
        <w:t>’</w:t>
      </w:r>
      <w:r w:rsidRPr="00BC2D48">
        <w:rPr>
          <w:lang w:val="fr-CA"/>
        </w:rPr>
        <w:t>application d</w:t>
      </w:r>
      <w:r>
        <w:rPr>
          <w:lang w:val="fr-CA"/>
        </w:rPr>
        <w:t>’</w:t>
      </w:r>
      <w:r w:rsidRPr="00BC2D48">
        <w:rPr>
          <w:lang w:val="fr-CA"/>
        </w:rPr>
        <w:t xml:space="preserve">une norme stricte en matière de justification lorsque le gouvernement </w:t>
      </w:r>
      <w:r>
        <w:rPr>
          <w:lang w:val="fr-CA"/>
        </w:rPr>
        <w:t>cherche à</w:t>
      </w:r>
      <w:r w:rsidRPr="00BC2D48">
        <w:rPr>
          <w:lang w:val="fr-CA"/>
        </w:rPr>
        <w:t xml:space="preserve"> justifier </w:t>
      </w:r>
      <w:r>
        <w:rPr>
          <w:lang w:val="fr-CA"/>
        </w:rPr>
        <w:t>une restriction</w:t>
      </w:r>
      <w:r w:rsidRPr="00BC2D48">
        <w:rPr>
          <w:lang w:val="fr-CA"/>
        </w:rPr>
        <w:t xml:space="preserve"> du droit de vote garanti par l</w:t>
      </w:r>
      <w:r>
        <w:rPr>
          <w:lang w:val="fr-CA"/>
        </w:rPr>
        <w:t>’art. </w:t>
      </w:r>
      <w:r w:rsidRPr="00BC2D48">
        <w:rPr>
          <w:lang w:val="fr-CA"/>
        </w:rPr>
        <w:t>3 (</w:t>
      </w:r>
      <w:r w:rsidRPr="00BC2D48">
        <w:rPr>
          <w:i/>
          <w:lang w:val="fr-CA"/>
        </w:rPr>
        <w:t>Sauvé n</w:t>
      </w:r>
      <w:r w:rsidRPr="00BC2D48">
        <w:rPr>
          <w:i/>
          <w:vertAlign w:val="superscript"/>
          <w:lang w:val="fr-CA"/>
        </w:rPr>
        <w:t>o</w:t>
      </w:r>
      <w:r>
        <w:rPr>
          <w:i/>
          <w:lang w:val="fr-CA"/>
        </w:rPr>
        <w:t> </w:t>
      </w:r>
      <w:r w:rsidRPr="00BC2D48">
        <w:rPr>
          <w:i/>
          <w:lang w:val="fr-CA"/>
        </w:rPr>
        <w:t>2</w:t>
      </w:r>
      <w:r w:rsidRPr="00BC2D48">
        <w:rPr>
          <w:lang w:val="fr-CA"/>
        </w:rPr>
        <w:t xml:space="preserve">, </w:t>
      </w:r>
      <w:r>
        <w:rPr>
          <w:lang w:val="fr-CA"/>
        </w:rPr>
        <w:t>par. </w:t>
      </w:r>
      <w:r w:rsidRPr="00BC2D48">
        <w:rPr>
          <w:lang w:val="fr-CA"/>
        </w:rPr>
        <w:t>14</w:t>
      </w:r>
      <w:r>
        <w:rPr>
          <w:lang w:val="fr-CA"/>
        </w:rPr>
        <w:t>;</w:t>
      </w:r>
      <w:r w:rsidRPr="00BC2D48">
        <w:rPr>
          <w:lang w:val="fr-CA"/>
        </w:rPr>
        <w:t xml:space="preserve"> </w:t>
      </w:r>
      <w:proofErr w:type="spellStart"/>
      <w:r w:rsidRPr="00BC2D48">
        <w:rPr>
          <w:i/>
          <w:lang w:val="fr-CA"/>
        </w:rPr>
        <w:t>Figueroa</w:t>
      </w:r>
      <w:proofErr w:type="spellEnd"/>
      <w:r w:rsidRPr="00BC2D48">
        <w:rPr>
          <w:lang w:val="fr-CA"/>
        </w:rPr>
        <w:t xml:space="preserve">, </w:t>
      </w:r>
      <w:r>
        <w:rPr>
          <w:lang w:val="fr-CA"/>
        </w:rPr>
        <w:t>par. </w:t>
      </w:r>
      <w:r w:rsidRPr="00BC2D48">
        <w:rPr>
          <w:lang w:val="fr-CA"/>
        </w:rPr>
        <w:t>60</w:t>
      </w:r>
      <w:r>
        <w:rPr>
          <w:lang w:val="fr-CA"/>
        </w:rPr>
        <w:t>;</w:t>
      </w:r>
      <w:r w:rsidRPr="00BC2D48">
        <w:rPr>
          <w:lang w:val="fr-CA"/>
        </w:rPr>
        <w:t xml:space="preserve"> </w:t>
      </w:r>
      <w:r w:rsidRPr="00BC2D48">
        <w:rPr>
          <w:i/>
          <w:lang w:val="fr-CA"/>
        </w:rPr>
        <w:t>Opitz</w:t>
      </w:r>
      <w:r w:rsidRPr="00BC2D48">
        <w:rPr>
          <w:lang w:val="fr-CA"/>
        </w:rPr>
        <w:t xml:space="preserve">, </w:t>
      </w:r>
      <w:r>
        <w:rPr>
          <w:lang w:val="fr-CA"/>
        </w:rPr>
        <w:t>par. </w:t>
      </w:r>
      <w:r w:rsidRPr="00BC2D48">
        <w:rPr>
          <w:lang w:val="fr-CA"/>
        </w:rPr>
        <w:t>35). Cela ne veut pas forcément dire que le gouvernement porte un fardeau plus lourd dans le contexte d</w:t>
      </w:r>
      <w:r>
        <w:rPr>
          <w:lang w:val="fr-CA"/>
        </w:rPr>
        <w:t>e ce</w:t>
      </w:r>
      <w:r w:rsidRPr="00BC2D48">
        <w:rPr>
          <w:lang w:val="fr-CA"/>
        </w:rPr>
        <w:t xml:space="preserve"> droit </w:t>
      </w:r>
      <w:r>
        <w:rPr>
          <w:lang w:val="fr-CA"/>
        </w:rPr>
        <w:t>que dans le contexte</w:t>
      </w:r>
      <w:r w:rsidRPr="00BC2D48">
        <w:rPr>
          <w:lang w:val="fr-CA"/>
        </w:rPr>
        <w:t xml:space="preserve"> </w:t>
      </w:r>
      <w:r>
        <w:rPr>
          <w:lang w:val="fr-CA"/>
        </w:rPr>
        <w:t xml:space="preserve">des </w:t>
      </w:r>
      <w:r w:rsidRPr="00BC2D48">
        <w:rPr>
          <w:lang w:val="fr-CA"/>
        </w:rPr>
        <w:t xml:space="preserve">autres droits garantis par la </w:t>
      </w:r>
      <w:r w:rsidRPr="00BC2D48">
        <w:rPr>
          <w:i/>
          <w:lang w:val="fr-CA"/>
        </w:rPr>
        <w:t>Charte</w:t>
      </w:r>
      <w:r w:rsidRPr="00BC2D48">
        <w:rPr>
          <w:lang w:val="fr-CA"/>
        </w:rPr>
        <w:t>; comme je l</w:t>
      </w:r>
      <w:r>
        <w:rPr>
          <w:lang w:val="fr-CA"/>
        </w:rPr>
        <w:t>’</w:t>
      </w:r>
      <w:r w:rsidRPr="00BC2D48">
        <w:rPr>
          <w:lang w:val="fr-CA"/>
        </w:rPr>
        <w:t xml:space="preserve">ai mentionné </w:t>
      </w:r>
      <w:r>
        <w:rPr>
          <w:lang w:val="fr-CA"/>
        </w:rPr>
        <w:t>plus tôt</w:t>
      </w:r>
      <w:r w:rsidRPr="00BC2D48">
        <w:rPr>
          <w:lang w:val="fr-CA"/>
        </w:rPr>
        <w:t>, la norme de preuve est toujours</w:t>
      </w:r>
      <w:r>
        <w:rPr>
          <w:lang w:val="fr-CA"/>
        </w:rPr>
        <w:t xml:space="preserve"> celle de</w:t>
      </w:r>
      <w:r w:rsidRPr="00BC2D48">
        <w:rPr>
          <w:lang w:val="fr-CA"/>
        </w:rPr>
        <w:t xml:space="preserve"> la prépondérance des probabilités. </w:t>
      </w:r>
      <w:r>
        <w:rPr>
          <w:lang w:val="fr-CA"/>
        </w:rPr>
        <w:t>Par contre, cela veut dire que</w:t>
      </w:r>
      <w:r w:rsidRPr="00BC2D48">
        <w:rPr>
          <w:lang w:val="fr-CA"/>
        </w:rPr>
        <w:t xml:space="preserve"> les cours de révision doivent soigneusement et rigoureusement examiner la justification du gouvernement dans ce contexte, plutôt que d</w:t>
      </w:r>
      <w:r>
        <w:rPr>
          <w:lang w:val="fr-CA"/>
        </w:rPr>
        <w:t>’</w:t>
      </w:r>
      <w:r w:rsidRPr="00BC2D48">
        <w:rPr>
          <w:lang w:val="fr-CA"/>
        </w:rPr>
        <w:t xml:space="preserve">adopter une attitude </w:t>
      </w:r>
      <w:r>
        <w:rPr>
          <w:lang w:val="fr-CA"/>
        </w:rPr>
        <w:t xml:space="preserve">empreinte de </w:t>
      </w:r>
      <w:r w:rsidRPr="00BC2D48">
        <w:rPr>
          <w:lang w:val="fr-CA"/>
        </w:rPr>
        <w:t>déféren</w:t>
      </w:r>
      <w:r>
        <w:rPr>
          <w:lang w:val="fr-CA"/>
        </w:rPr>
        <w:t>c</w:t>
      </w:r>
      <w:r w:rsidRPr="00BC2D48">
        <w:rPr>
          <w:lang w:val="fr-CA"/>
        </w:rPr>
        <w:t xml:space="preserve">e. Bien que la </w:t>
      </w:r>
      <w:r>
        <w:rPr>
          <w:lang w:val="fr-CA"/>
        </w:rPr>
        <w:t>déférence</w:t>
      </w:r>
      <w:r w:rsidRPr="00BC2D48">
        <w:rPr>
          <w:lang w:val="fr-CA"/>
        </w:rPr>
        <w:t xml:space="preserve"> puisse être de mise à l</w:t>
      </w:r>
      <w:r>
        <w:rPr>
          <w:lang w:val="fr-CA"/>
        </w:rPr>
        <w:t>’</w:t>
      </w:r>
      <w:r w:rsidRPr="00BC2D48">
        <w:rPr>
          <w:lang w:val="fr-CA"/>
        </w:rPr>
        <w:t>égard d</w:t>
      </w:r>
      <w:r>
        <w:rPr>
          <w:lang w:val="fr-CA"/>
        </w:rPr>
        <w:t>’</w:t>
      </w:r>
      <w:r w:rsidRPr="00BC2D48">
        <w:rPr>
          <w:lang w:val="fr-CA"/>
        </w:rPr>
        <w:t>une mesure réglementaire complexe ou d</w:t>
      </w:r>
      <w:r>
        <w:rPr>
          <w:lang w:val="fr-CA"/>
        </w:rPr>
        <w:t>’</w:t>
      </w:r>
      <w:r w:rsidRPr="00BC2D48">
        <w:rPr>
          <w:lang w:val="fr-CA"/>
        </w:rPr>
        <w:t xml:space="preserve">une décision </w:t>
      </w:r>
      <w:r>
        <w:rPr>
          <w:lang w:val="fr-CA"/>
        </w:rPr>
        <w:t>portant sur</w:t>
      </w:r>
      <w:r w:rsidRPr="00BC2D48">
        <w:rPr>
          <w:lang w:val="fr-CA"/>
        </w:rPr>
        <w:t xml:space="preserve"> des principes opposés en matière politique et sociale, cette attitude </w:t>
      </w:r>
      <w:r w:rsidRPr="00BC2D48">
        <w:rPr>
          <w:lang w:val="fr-CA"/>
        </w:rPr>
        <w:lastRenderedPageBreak/>
        <w:t>ne convient pas</w:t>
      </w:r>
      <w:r>
        <w:rPr>
          <w:lang w:val="fr-CA"/>
        </w:rPr>
        <w:t xml:space="preserve"> pour un tribunal qui </w:t>
      </w:r>
      <w:r w:rsidRPr="00BC2D48">
        <w:rPr>
          <w:lang w:val="fr-CA"/>
        </w:rPr>
        <w:t>exam</w:t>
      </w:r>
      <w:r>
        <w:rPr>
          <w:lang w:val="fr-CA"/>
        </w:rPr>
        <w:t>i</w:t>
      </w:r>
      <w:r w:rsidRPr="00BC2D48">
        <w:rPr>
          <w:lang w:val="fr-CA"/>
        </w:rPr>
        <w:t>n</w:t>
      </w:r>
      <w:r>
        <w:rPr>
          <w:lang w:val="fr-CA"/>
        </w:rPr>
        <w:t>e</w:t>
      </w:r>
      <w:r w:rsidRPr="00BC2D48">
        <w:rPr>
          <w:lang w:val="fr-CA"/>
        </w:rPr>
        <w:t xml:space="preserve"> </w:t>
      </w:r>
      <w:r>
        <w:rPr>
          <w:lang w:val="fr-CA"/>
        </w:rPr>
        <w:t xml:space="preserve">l’interdiction </w:t>
      </w:r>
      <w:r w:rsidRPr="00BC2D48">
        <w:rPr>
          <w:lang w:val="fr-CA"/>
        </w:rPr>
        <w:t>absolue d</w:t>
      </w:r>
      <w:r>
        <w:rPr>
          <w:lang w:val="fr-CA"/>
        </w:rPr>
        <w:t xml:space="preserve">’exercer </w:t>
      </w:r>
      <w:r w:rsidRPr="00BC2D48">
        <w:rPr>
          <w:lang w:val="fr-CA"/>
        </w:rPr>
        <w:t>un droit démocratique fondamental (</w:t>
      </w:r>
      <w:r w:rsidRPr="00BC2D48">
        <w:rPr>
          <w:i/>
          <w:lang w:val="fr-CA"/>
        </w:rPr>
        <w:t>Sauvé n</w:t>
      </w:r>
      <w:r w:rsidRPr="00BC2D48">
        <w:rPr>
          <w:i/>
          <w:vertAlign w:val="superscript"/>
          <w:lang w:val="fr-CA"/>
        </w:rPr>
        <w:t>o</w:t>
      </w:r>
      <w:r>
        <w:rPr>
          <w:i/>
          <w:lang w:val="fr-CA"/>
        </w:rPr>
        <w:t> </w:t>
      </w:r>
      <w:r w:rsidRPr="00BC2D48">
        <w:rPr>
          <w:i/>
          <w:lang w:val="fr-CA"/>
        </w:rPr>
        <w:t>2</w:t>
      </w:r>
      <w:r w:rsidRPr="00BC2D48">
        <w:rPr>
          <w:lang w:val="fr-CA"/>
        </w:rPr>
        <w:t xml:space="preserve">, </w:t>
      </w:r>
      <w:r>
        <w:rPr>
          <w:lang w:val="fr-CA"/>
        </w:rPr>
        <w:t>par. </w:t>
      </w:r>
      <w:r w:rsidRPr="00BC2D48">
        <w:rPr>
          <w:lang w:val="fr-CA"/>
        </w:rPr>
        <w:t>13</w:t>
      </w:r>
      <w:r>
        <w:rPr>
          <w:lang w:val="fr-CA"/>
        </w:rPr>
        <w:t>;</w:t>
      </w:r>
      <w:r w:rsidRPr="00BC2D48">
        <w:rPr>
          <w:lang w:val="fr-CA"/>
        </w:rPr>
        <w:t xml:space="preserve"> </w:t>
      </w:r>
      <w:r w:rsidRPr="00BC2D48">
        <w:rPr>
          <w:i/>
          <w:lang w:val="fr-CA"/>
        </w:rPr>
        <w:t xml:space="preserve">Alberta c. </w:t>
      </w:r>
      <w:proofErr w:type="spellStart"/>
      <w:r w:rsidRPr="00BC2D48">
        <w:rPr>
          <w:i/>
          <w:lang w:val="fr-CA"/>
        </w:rPr>
        <w:t>Hutterian</w:t>
      </w:r>
      <w:proofErr w:type="spellEnd"/>
      <w:r w:rsidRPr="00BC2D48">
        <w:rPr>
          <w:i/>
          <w:lang w:val="fr-CA"/>
        </w:rPr>
        <w:t xml:space="preserve"> </w:t>
      </w:r>
      <w:proofErr w:type="spellStart"/>
      <w:r w:rsidRPr="00BC2D48">
        <w:rPr>
          <w:i/>
          <w:lang w:val="fr-CA"/>
        </w:rPr>
        <w:t>Brethren</w:t>
      </w:r>
      <w:proofErr w:type="spellEnd"/>
      <w:r w:rsidRPr="00BC2D48">
        <w:rPr>
          <w:i/>
          <w:lang w:val="fr-CA"/>
        </w:rPr>
        <w:t xml:space="preserve"> of Wilson </w:t>
      </w:r>
      <w:proofErr w:type="spellStart"/>
      <w:r w:rsidRPr="00BC2D48">
        <w:rPr>
          <w:i/>
          <w:lang w:val="fr-CA"/>
        </w:rPr>
        <w:t>Colony</w:t>
      </w:r>
      <w:proofErr w:type="spellEnd"/>
      <w:r w:rsidRPr="00BC2D48">
        <w:rPr>
          <w:lang w:val="fr-CA"/>
        </w:rPr>
        <w:t xml:space="preserve">, 2009 CSC 37, </w:t>
      </w:r>
      <w:r>
        <w:rPr>
          <w:lang w:val="fr-CA"/>
        </w:rPr>
        <w:t>[2009] 2 R.C.S. 567, par. </w:t>
      </w:r>
      <w:r w:rsidRPr="00BC2D48">
        <w:rPr>
          <w:lang w:val="fr-CA"/>
        </w:rPr>
        <w:t>37).</w:t>
      </w:r>
    </w:p>
    <w:p w:rsidR="001244E7" w:rsidRPr="00BC2D48" w:rsidRDefault="001244E7" w:rsidP="001244E7">
      <w:pPr>
        <w:pStyle w:val="ParaNoNdepar-AltN"/>
        <w:rPr>
          <w:lang w:val="fr-CA"/>
        </w:rPr>
      </w:pPr>
      <w:r w:rsidRPr="00BC2D48">
        <w:rPr>
          <w:lang w:val="fr-CA"/>
        </w:rPr>
        <w:t xml:space="preserve">Bien que </w:t>
      </w:r>
      <w:r>
        <w:rPr>
          <w:lang w:val="fr-CA"/>
        </w:rPr>
        <w:t>notre</w:t>
      </w:r>
      <w:r w:rsidRPr="00BC2D48">
        <w:rPr>
          <w:lang w:val="fr-CA"/>
        </w:rPr>
        <w:t xml:space="preserve"> Cour ait, par le passé, statué qu</w:t>
      </w:r>
      <w:r>
        <w:rPr>
          <w:lang w:val="fr-CA"/>
        </w:rPr>
        <w:t>’</w:t>
      </w:r>
      <w:r w:rsidRPr="00BC2D48">
        <w:rPr>
          <w:lang w:val="fr-CA"/>
        </w:rPr>
        <w:t>el</w:t>
      </w:r>
      <w:r>
        <w:rPr>
          <w:lang w:val="fr-CA"/>
        </w:rPr>
        <w:t>le doit</w:t>
      </w:r>
      <w:r w:rsidRPr="00BC2D48">
        <w:rPr>
          <w:lang w:val="fr-CA"/>
        </w:rPr>
        <w:t xml:space="preserve"> « naturellement faire preuve de déférence » envers le </w:t>
      </w:r>
      <w:r>
        <w:rPr>
          <w:lang w:val="fr-CA"/>
        </w:rPr>
        <w:t>législateur</w:t>
      </w:r>
      <w:r w:rsidRPr="00BC2D48">
        <w:rPr>
          <w:lang w:val="fr-CA"/>
        </w:rPr>
        <w:t xml:space="preserve"> lorsqu</w:t>
      </w:r>
      <w:r>
        <w:rPr>
          <w:lang w:val="fr-CA"/>
        </w:rPr>
        <w:t>’</w:t>
      </w:r>
      <w:r w:rsidRPr="00BC2D48">
        <w:rPr>
          <w:lang w:val="fr-CA"/>
        </w:rPr>
        <w:t xml:space="preserve">il est question des lois électorales, cette affirmation </w:t>
      </w:r>
      <w:r>
        <w:rPr>
          <w:lang w:val="fr-CA"/>
        </w:rPr>
        <w:t>se rapportait</w:t>
      </w:r>
      <w:r w:rsidRPr="00BC2D48">
        <w:rPr>
          <w:lang w:val="fr-CA"/>
        </w:rPr>
        <w:t xml:space="preserve"> </w:t>
      </w:r>
      <w:r>
        <w:rPr>
          <w:lang w:val="fr-CA"/>
        </w:rPr>
        <w:t>spécifiquement</w:t>
      </w:r>
      <w:r w:rsidRPr="00BC2D48">
        <w:rPr>
          <w:lang w:val="fr-CA"/>
        </w:rPr>
        <w:t xml:space="preserve"> aux choix nuancés faits par le </w:t>
      </w:r>
      <w:r>
        <w:rPr>
          <w:lang w:val="fr-CA"/>
        </w:rPr>
        <w:t>législateur</w:t>
      </w:r>
      <w:r w:rsidRPr="00BC2D48">
        <w:rPr>
          <w:lang w:val="fr-CA"/>
        </w:rPr>
        <w:t xml:space="preserve"> quant au modèle </w:t>
      </w:r>
      <w:r>
        <w:rPr>
          <w:lang w:val="fr-CA"/>
        </w:rPr>
        <w:t>électoral applicable au Canada et</w:t>
      </w:r>
      <w:r w:rsidRPr="00BC2D48">
        <w:rPr>
          <w:lang w:val="fr-CA"/>
        </w:rPr>
        <w:t xml:space="preserve"> à sa mise en œuvre (</w:t>
      </w:r>
      <w:r w:rsidRPr="00EE0A4F">
        <w:rPr>
          <w:i/>
          <w:lang w:val="fr-CA"/>
        </w:rPr>
        <w:t>R.</w:t>
      </w:r>
      <w:r>
        <w:rPr>
          <w:lang w:val="fr-CA"/>
        </w:rPr>
        <w:t xml:space="preserve"> </w:t>
      </w:r>
      <w:r w:rsidRPr="00EE0A4F">
        <w:rPr>
          <w:i/>
          <w:lang w:val="fr-CA"/>
        </w:rPr>
        <w:t xml:space="preserve">c. </w:t>
      </w:r>
      <w:r w:rsidRPr="00BC2D48">
        <w:rPr>
          <w:i/>
          <w:lang w:val="fr-CA"/>
        </w:rPr>
        <w:t>Bryan</w:t>
      </w:r>
      <w:r w:rsidRPr="00BC2D48">
        <w:rPr>
          <w:lang w:val="fr-CA"/>
        </w:rPr>
        <w:t xml:space="preserve">, </w:t>
      </w:r>
      <w:r>
        <w:rPr>
          <w:lang w:val="fr-CA"/>
        </w:rPr>
        <w:t xml:space="preserve"> 2007 CSC 12, [2007] 1 R.C.S. 527, par. </w:t>
      </w:r>
      <w:r w:rsidRPr="00BC2D48">
        <w:rPr>
          <w:lang w:val="fr-CA"/>
        </w:rPr>
        <w:t xml:space="preserve">9; </w:t>
      </w:r>
      <w:r w:rsidRPr="00BC2D48">
        <w:rPr>
          <w:i/>
          <w:lang w:val="fr-CA"/>
        </w:rPr>
        <w:t>Harper</w:t>
      </w:r>
      <w:r>
        <w:rPr>
          <w:i/>
          <w:lang w:val="fr-CA"/>
        </w:rPr>
        <w:t xml:space="preserve"> c. Canada (Procureur général)</w:t>
      </w:r>
      <w:r w:rsidRPr="00EE0A4F">
        <w:rPr>
          <w:lang w:val="fr-CA"/>
        </w:rPr>
        <w:t>,</w:t>
      </w:r>
      <w:r>
        <w:rPr>
          <w:i/>
          <w:lang w:val="fr-CA"/>
        </w:rPr>
        <w:t xml:space="preserve"> </w:t>
      </w:r>
      <w:r w:rsidRPr="00EE0A4F">
        <w:rPr>
          <w:lang w:val="fr-CA"/>
        </w:rPr>
        <w:t>2004 CSC 33, [2004] 1 R.C.S. 827</w:t>
      </w:r>
      <w:r w:rsidRPr="00BC2D48">
        <w:rPr>
          <w:lang w:val="fr-CA"/>
        </w:rPr>
        <w:t xml:space="preserve">, </w:t>
      </w:r>
      <w:r>
        <w:rPr>
          <w:lang w:val="fr-CA"/>
        </w:rPr>
        <w:t>par. </w:t>
      </w:r>
      <w:r w:rsidRPr="00BC2D48">
        <w:rPr>
          <w:lang w:val="fr-CA"/>
        </w:rPr>
        <w:t xml:space="preserve">87). </w:t>
      </w:r>
      <w:r>
        <w:rPr>
          <w:lang w:val="fr-CA"/>
        </w:rPr>
        <w:t>Dans le cas qui nous occupe</w:t>
      </w:r>
      <w:r w:rsidRPr="00BC2D48">
        <w:rPr>
          <w:lang w:val="fr-CA"/>
        </w:rPr>
        <w:t xml:space="preserve">, </w:t>
      </w:r>
      <w:r>
        <w:rPr>
          <w:lang w:val="fr-CA"/>
        </w:rPr>
        <w:t>il ne s’agit pas</w:t>
      </w:r>
      <w:r w:rsidRPr="00BC2D48">
        <w:rPr>
          <w:lang w:val="fr-CA"/>
        </w:rPr>
        <w:t xml:space="preserve"> d</w:t>
      </w:r>
      <w:r>
        <w:rPr>
          <w:lang w:val="fr-CA"/>
        </w:rPr>
        <w:t>’</w:t>
      </w:r>
      <w:r w:rsidRPr="00BC2D48">
        <w:rPr>
          <w:lang w:val="fr-CA"/>
        </w:rPr>
        <w:t xml:space="preserve">une décision complexe portant sur le choix et la mise en œuvre du modèle électoral canadien </w:t>
      </w:r>
      <w:r>
        <w:rPr>
          <w:lang w:val="fr-CA"/>
        </w:rPr>
        <w:t>—</w:t>
      </w:r>
      <w:r w:rsidRPr="00BC2D48">
        <w:rPr>
          <w:lang w:val="fr-CA"/>
        </w:rPr>
        <w:t xml:space="preserve"> par exemple, </w:t>
      </w:r>
      <w:r>
        <w:rPr>
          <w:lang w:val="fr-CA"/>
        </w:rPr>
        <w:t>des dispositions</w:t>
      </w:r>
      <w:r w:rsidRPr="00BC2D48">
        <w:rPr>
          <w:lang w:val="fr-CA"/>
        </w:rPr>
        <w:t xml:space="preserve"> imposant des </w:t>
      </w:r>
      <w:r>
        <w:rPr>
          <w:lang w:val="fr-CA"/>
        </w:rPr>
        <w:t>plafonds</w:t>
      </w:r>
      <w:r w:rsidRPr="00BC2D48">
        <w:rPr>
          <w:lang w:val="fr-CA"/>
        </w:rPr>
        <w:t xml:space="preserve"> de dépenses </w:t>
      </w:r>
      <w:r>
        <w:rPr>
          <w:lang w:val="fr-CA"/>
        </w:rPr>
        <w:t>relativement à la</w:t>
      </w:r>
      <w:r w:rsidRPr="00BC2D48">
        <w:rPr>
          <w:lang w:val="fr-CA"/>
        </w:rPr>
        <w:t xml:space="preserve"> publicité </w:t>
      </w:r>
      <w:r>
        <w:rPr>
          <w:lang w:val="fr-CA"/>
        </w:rPr>
        <w:t xml:space="preserve">faite par </w:t>
      </w:r>
      <w:r w:rsidRPr="00BC2D48">
        <w:rPr>
          <w:lang w:val="fr-CA"/>
        </w:rPr>
        <w:t xml:space="preserve">des tiers </w:t>
      </w:r>
      <w:r>
        <w:rPr>
          <w:lang w:val="fr-CA"/>
        </w:rPr>
        <w:t>lors</w:t>
      </w:r>
      <w:r w:rsidRPr="00BC2D48">
        <w:rPr>
          <w:lang w:val="fr-CA"/>
        </w:rPr>
        <w:t xml:space="preserve"> </w:t>
      </w:r>
      <w:r>
        <w:rPr>
          <w:lang w:val="fr-CA"/>
        </w:rPr>
        <w:t>d</w:t>
      </w:r>
      <w:r w:rsidRPr="00BC2D48">
        <w:rPr>
          <w:lang w:val="fr-CA"/>
        </w:rPr>
        <w:t xml:space="preserve">es campagnes électorales, comme dans </w:t>
      </w:r>
      <w:r w:rsidRPr="00BC2D48">
        <w:rPr>
          <w:i/>
          <w:lang w:val="fr-CA"/>
        </w:rPr>
        <w:t>Harper</w:t>
      </w:r>
      <w:r w:rsidRPr="00BC2D48">
        <w:rPr>
          <w:lang w:val="fr-CA"/>
        </w:rPr>
        <w:t xml:space="preserve">, ou interdisant la diffusion des résultats le jour des élections, comme dans </w:t>
      </w:r>
      <w:r w:rsidRPr="00BC2D48">
        <w:rPr>
          <w:i/>
          <w:lang w:val="fr-CA"/>
        </w:rPr>
        <w:t>Bryan</w:t>
      </w:r>
      <w:r>
        <w:rPr>
          <w:lang w:val="fr-CA"/>
        </w:rPr>
        <w:t>;</w:t>
      </w:r>
      <w:r w:rsidRPr="00BC2D48">
        <w:rPr>
          <w:lang w:val="fr-CA"/>
        </w:rPr>
        <w:t xml:space="preserve"> les dispositions en cause traduisent</w:t>
      </w:r>
      <w:r>
        <w:rPr>
          <w:lang w:val="fr-CA"/>
        </w:rPr>
        <w:t>, comme le reconnaît le PGC,</w:t>
      </w:r>
      <w:r w:rsidRPr="00BC2D48">
        <w:rPr>
          <w:lang w:val="fr-CA"/>
        </w:rPr>
        <w:t xml:space="preserve"> la décision du </w:t>
      </w:r>
      <w:r>
        <w:rPr>
          <w:lang w:val="fr-CA"/>
        </w:rPr>
        <w:t>législateur</w:t>
      </w:r>
      <w:r w:rsidRPr="00BC2D48">
        <w:rPr>
          <w:lang w:val="fr-CA"/>
        </w:rPr>
        <w:t xml:space="preserve"> de priver </w:t>
      </w:r>
      <w:r>
        <w:rPr>
          <w:lang w:val="fr-CA"/>
        </w:rPr>
        <w:t>l</w:t>
      </w:r>
      <w:r w:rsidRPr="00BC2D48">
        <w:rPr>
          <w:lang w:val="fr-CA"/>
        </w:rPr>
        <w:t xml:space="preserve">es citoyens </w:t>
      </w:r>
      <w:proofErr w:type="spellStart"/>
      <w:r w:rsidRPr="00BC2D48">
        <w:rPr>
          <w:lang w:val="fr-CA"/>
        </w:rPr>
        <w:t>non</w:t>
      </w:r>
      <w:r>
        <w:rPr>
          <w:lang w:val="fr-CA"/>
        </w:rPr>
        <w:t xml:space="preserve"> résidents</w:t>
      </w:r>
      <w:proofErr w:type="spellEnd"/>
      <w:r>
        <w:rPr>
          <w:lang w:val="fr-CA"/>
        </w:rPr>
        <w:t xml:space="preserve"> à long terme</w:t>
      </w:r>
      <w:r w:rsidRPr="000C1CBE">
        <w:rPr>
          <w:lang w:val="fr-CA"/>
        </w:rPr>
        <w:t xml:space="preserve"> </w:t>
      </w:r>
      <w:r w:rsidRPr="00BC2D48">
        <w:rPr>
          <w:lang w:val="fr-CA"/>
        </w:rPr>
        <w:t xml:space="preserve">du droit de vote. </w:t>
      </w:r>
      <w:r>
        <w:rPr>
          <w:lang w:val="fr-CA"/>
        </w:rPr>
        <w:t>L’</w:t>
      </w:r>
      <w:r w:rsidRPr="00BC2D48">
        <w:rPr>
          <w:lang w:val="fr-CA"/>
        </w:rPr>
        <w:t xml:space="preserve">affirmation non équivoque de la juge en chef </w:t>
      </w:r>
      <w:proofErr w:type="spellStart"/>
      <w:r w:rsidRPr="00BC2D48">
        <w:rPr>
          <w:lang w:val="fr-CA"/>
        </w:rPr>
        <w:t>McLachlin</w:t>
      </w:r>
      <w:proofErr w:type="spellEnd"/>
      <w:r w:rsidRPr="00BC2D48">
        <w:rPr>
          <w:lang w:val="fr-CA"/>
        </w:rPr>
        <w:t xml:space="preserve"> dans l</w:t>
      </w:r>
      <w:r>
        <w:rPr>
          <w:lang w:val="fr-CA"/>
        </w:rPr>
        <w:t>’</w:t>
      </w:r>
      <w:r w:rsidRPr="00BC2D48">
        <w:rPr>
          <w:lang w:val="fr-CA"/>
        </w:rPr>
        <w:t xml:space="preserve">arrêt </w:t>
      </w:r>
      <w:r w:rsidRPr="00BC2D48">
        <w:rPr>
          <w:i/>
          <w:lang w:val="fr-CA"/>
        </w:rPr>
        <w:t>Sauvé n</w:t>
      </w:r>
      <w:r w:rsidRPr="00BC2D48">
        <w:rPr>
          <w:i/>
          <w:vertAlign w:val="superscript"/>
          <w:lang w:val="fr-CA"/>
        </w:rPr>
        <w:t>o</w:t>
      </w:r>
      <w:r>
        <w:rPr>
          <w:i/>
          <w:lang w:val="fr-CA"/>
        </w:rPr>
        <w:t> </w:t>
      </w:r>
      <w:r w:rsidRPr="00BC2D48">
        <w:rPr>
          <w:i/>
          <w:lang w:val="fr-CA"/>
        </w:rPr>
        <w:t xml:space="preserve">2 </w:t>
      </w:r>
      <w:r>
        <w:rPr>
          <w:lang w:val="fr-CA"/>
        </w:rPr>
        <w:t>est</w:t>
      </w:r>
      <w:r w:rsidRPr="00BC2D48">
        <w:rPr>
          <w:lang w:val="fr-CA"/>
        </w:rPr>
        <w:t xml:space="preserve"> </w:t>
      </w:r>
      <w:r>
        <w:rPr>
          <w:lang w:val="fr-CA"/>
        </w:rPr>
        <w:t xml:space="preserve">donc </w:t>
      </w:r>
      <w:r w:rsidRPr="00BC2D48">
        <w:rPr>
          <w:lang w:val="fr-CA"/>
        </w:rPr>
        <w:t>p</w:t>
      </w:r>
      <w:r>
        <w:rPr>
          <w:lang w:val="fr-CA"/>
        </w:rPr>
        <w:t>e</w:t>
      </w:r>
      <w:r w:rsidRPr="00BC2D48">
        <w:rPr>
          <w:lang w:val="fr-CA"/>
        </w:rPr>
        <w:t>r</w:t>
      </w:r>
      <w:r>
        <w:rPr>
          <w:lang w:val="fr-CA"/>
        </w:rPr>
        <w:t>tinente :</w:t>
      </w:r>
      <w:r w:rsidRPr="00BC2D48">
        <w:rPr>
          <w:lang w:val="fr-CA"/>
        </w:rPr>
        <w:t xml:space="preserve"> « Le droit de vote est un droit fondamental pour notre démocratie et la primauté du droit, et il ne peut être écarté à la légère</w:t>
      </w:r>
      <w:r>
        <w:rPr>
          <w:lang w:val="fr-CA"/>
        </w:rPr>
        <w:t xml:space="preserve">. </w:t>
      </w:r>
      <w:r w:rsidRPr="00BC2D48">
        <w:rPr>
          <w:lang w:val="fr-CA"/>
        </w:rPr>
        <w:t>Les restrictions au droit de vote exigent non pas une retenue judiciaire, mais un examen approfondi</w:t>
      </w:r>
      <w:r>
        <w:rPr>
          <w:lang w:val="fr-CA"/>
        </w:rPr>
        <w:t xml:space="preserve">. </w:t>
      </w:r>
      <w:r w:rsidRPr="00BC2D48">
        <w:rPr>
          <w:lang w:val="fr-CA"/>
        </w:rPr>
        <w:t>Il s</w:t>
      </w:r>
      <w:r>
        <w:rPr>
          <w:lang w:val="fr-CA"/>
        </w:rPr>
        <w:t>’</w:t>
      </w:r>
      <w:r w:rsidRPr="00BC2D48">
        <w:rPr>
          <w:lang w:val="fr-CA"/>
        </w:rPr>
        <w:t>agit ici non pas de substituer la préférence philosophique de la Cour à celle du législateur, mais de s</w:t>
      </w:r>
      <w:r>
        <w:rPr>
          <w:lang w:val="fr-CA"/>
        </w:rPr>
        <w:t>’</w:t>
      </w:r>
      <w:r w:rsidRPr="00BC2D48">
        <w:rPr>
          <w:lang w:val="fr-CA"/>
        </w:rPr>
        <w:t>assurer que la justification de ce dernier est fondée sur la logique et le bon sens » (</w:t>
      </w:r>
      <w:r>
        <w:rPr>
          <w:lang w:val="fr-CA"/>
        </w:rPr>
        <w:t>par. </w:t>
      </w:r>
      <w:r w:rsidRPr="00BC2D48">
        <w:rPr>
          <w:lang w:val="fr-CA"/>
        </w:rPr>
        <w:t xml:space="preserve">9). </w:t>
      </w:r>
      <w:r>
        <w:rPr>
          <w:lang w:val="fr-CA"/>
        </w:rPr>
        <w:t>Dans la présente affaire</w:t>
      </w:r>
      <w:r w:rsidRPr="00BC2D48">
        <w:rPr>
          <w:lang w:val="fr-CA"/>
        </w:rPr>
        <w:t>, des citoyens</w:t>
      </w:r>
      <w:r>
        <w:rPr>
          <w:lang w:val="fr-CA"/>
        </w:rPr>
        <w:t xml:space="preserve"> s</w:t>
      </w:r>
      <w:r w:rsidRPr="00BC2D48">
        <w:rPr>
          <w:lang w:val="fr-CA"/>
        </w:rPr>
        <w:t xml:space="preserve">e voient </w:t>
      </w:r>
      <w:r>
        <w:rPr>
          <w:lang w:val="fr-CA"/>
        </w:rPr>
        <w:t xml:space="preserve">assujettis à une privation </w:t>
      </w:r>
      <w:r w:rsidRPr="00BC2D48">
        <w:rPr>
          <w:lang w:val="fr-CA"/>
        </w:rPr>
        <w:lastRenderedPageBreak/>
        <w:t>absolu</w:t>
      </w:r>
      <w:r>
        <w:rPr>
          <w:lang w:val="fr-CA"/>
        </w:rPr>
        <w:t>e de</w:t>
      </w:r>
      <w:r w:rsidRPr="00BC2D48">
        <w:rPr>
          <w:lang w:val="fr-CA"/>
        </w:rPr>
        <w:t xml:space="preserve"> leur droit de vote garanti par la </w:t>
      </w:r>
      <w:r w:rsidRPr="00BC2D48">
        <w:rPr>
          <w:i/>
          <w:lang w:val="fr-CA"/>
        </w:rPr>
        <w:t>Charte</w:t>
      </w:r>
      <w:r w:rsidRPr="00BC2D48">
        <w:rPr>
          <w:lang w:val="fr-CA"/>
        </w:rPr>
        <w:t xml:space="preserve"> </w:t>
      </w:r>
      <w:r>
        <w:rPr>
          <w:lang w:val="fr-CA"/>
        </w:rPr>
        <w:t xml:space="preserve">s’ils dépassent le seuil de </w:t>
      </w:r>
      <w:proofErr w:type="spellStart"/>
      <w:r>
        <w:rPr>
          <w:lang w:val="fr-CA"/>
        </w:rPr>
        <w:t>non</w:t>
      </w:r>
      <w:r>
        <w:rPr>
          <w:lang w:val="fr-CA"/>
        </w:rPr>
        <w:noBreakHyphen/>
      </w:r>
      <w:r w:rsidRPr="00BC2D48">
        <w:rPr>
          <w:lang w:val="fr-CA"/>
        </w:rPr>
        <w:t>résidence</w:t>
      </w:r>
      <w:proofErr w:type="spellEnd"/>
      <w:r w:rsidRPr="00BC2D48">
        <w:rPr>
          <w:lang w:val="fr-CA"/>
        </w:rPr>
        <w:t xml:space="preserve"> de ci</w:t>
      </w:r>
      <w:r>
        <w:rPr>
          <w:lang w:val="fr-CA"/>
        </w:rPr>
        <w:t>nq an</w:t>
      </w:r>
      <w:r w:rsidRPr="00BC2D48">
        <w:rPr>
          <w:lang w:val="fr-CA"/>
        </w:rPr>
        <w:t xml:space="preserve">s. En conséquence, la justification donnée par le </w:t>
      </w:r>
      <w:r>
        <w:rPr>
          <w:lang w:val="fr-CA"/>
        </w:rPr>
        <w:t>PGC</w:t>
      </w:r>
      <w:r w:rsidRPr="00BC2D48">
        <w:rPr>
          <w:lang w:val="fr-CA"/>
        </w:rPr>
        <w:t xml:space="preserve"> doit être examinée suivant une norme stricte. </w:t>
      </w:r>
    </w:p>
    <w:p w:rsidR="001244E7" w:rsidRPr="00BC2D48" w:rsidRDefault="001244E7" w:rsidP="001244E7">
      <w:pPr>
        <w:pStyle w:val="ParaNoNdepar-AltN"/>
        <w:rPr>
          <w:lang w:val="fr-CA"/>
        </w:rPr>
      </w:pPr>
      <w:r w:rsidRPr="00BC2D48">
        <w:rPr>
          <w:lang w:val="fr-CA"/>
        </w:rPr>
        <w:t>C</w:t>
      </w:r>
      <w:r>
        <w:rPr>
          <w:lang w:val="fr-CA"/>
        </w:rPr>
        <w:t>omme je l’explique plus loin, la</w:t>
      </w:r>
      <w:r w:rsidRPr="00BC2D48">
        <w:rPr>
          <w:lang w:val="fr-CA"/>
        </w:rPr>
        <w:t xml:space="preserve"> restriction en question, </w:t>
      </w:r>
      <w:r>
        <w:rPr>
          <w:lang w:val="fr-CA"/>
        </w:rPr>
        <w:t>qui limite à cinq ans la période que peut passer à l’étranger un électeur et qui exige qu’il ou elle ait l’intention</w:t>
      </w:r>
      <w:r w:rsidRPr="00BC2D48">
        <w:rPr>
          <w:lang w:val="fr-CA"/>
        </w:rPr>
        <w:t xml:space="preserve"> arrêtée de revenir au Canada, n</w:t>
      </w:r>
      <w:r>
        <w:rPr>
          <w:lang w:val="fr-CA"/>
        </w:rPr>
        <w:t>’</w:t>
      </w:r>
      <w:r w:rsidRPr="00BC2D48">
        <w:rPr>
          <w:lang w:val="fr-CA"/>
        </w:rPr>
        <w:t>e</w:t>
      </w:r>
      <w:r>
        <w:rPr>
          <w:lang w:val="fr-CA"/>
        </w:rPr>
        <w:t>s</w:t>
      </w:r>
      <w:r w:rsidRPr="00BC2D48">
        <w:rPr>
          <w:lang w:val="fr-CA"/>
        </w:rPr>
        <w:t>t pas justifiée en vertu de l</w:t>
      </w:r>
      <w:r>
        <w:rPr>
          <w:lang w:val="fr-CA"/>
        </w:rPr>
        <w:t>’</w:t>
      </w:r>
      <w:r w:rsidRPr="00BC2D48">
        <w:rPr>
          <w:lang w:val="fr-CA"/>
        </w:rPr>
        <w:t>article premie</w:t>
      </w:r>
      <w:r>
        <w:rPr>
          <w:lang w:val="fr-CA"/>
        </w:rPr>
        <w:t>r, principalement parce qu’elle</w:t>
      </w:r>
      <w:r w:rsidRPr="00BC2D48">
        <w:rPr>
          <w:lang w:val="fr-CA"/>
        </w:rPr>
        <w:t xml:space="preserve"> ne </w:t>
      </w:r>
      <w:r>
        <w:rPr>
          <w:lang w:val="fr-CA"/>
        </w:rPr>
        <w:t>constitue</w:t>
      </w:r>
      <w:r w:rsidRPr="00BC2D48">
        <w:rPr>
          <w:lang w:val="fr-CA"/>
        </w:rPr>
        <w:t xml:space="preserve"> pas</w:t>
      </w:r>
      <w:r>
        <w:rPr>
          <w:lang w:val="fr-CA"/>
        </w:rPr>
        <w:t xml:space="preserve"> une atteinte minimale aux droits en jeu</w:t>
      </w:r>
      <w:r w:rsidRPr="00BC2D48">
        <w:rPr>
          <w:lang w:val="fr-CA"/>
        </w:rPr>
        <w:t>.</w:t>
      </w:r>
    </w:p>
    <w:p w:rsidR="001244E7" w:rsidRPr="00BC2D48" w:rsidRDefault="001244E7" w:rsidP="001244E7">
      <w:pPr>
        <w:pStyle w:val="Title3LevelTitre3Niveau"/>
        <w:rPr>
          <w:lang w:val="fr-CA"/>
        </w:rPr>
      </w:pPr>
      <w:r w:rsidRPr="00BC2D48">
        <w:rPr>
          <w:lang w:val="fr-CA"/>
        </w:rPr>
        <w:t>L</w:t>
      </w:r>
      <w:r>
        <w:rPr>
          <w:lang w:val="fr-CA"/>
        </w:rPr>
        <w:t>’</w:t>
      </w:r>
      <w:r w:rsidRPr="00BC2D48">
        <w:rPr>
          <w:lang w:val="fr-CA"/>
        </w:rPr>
        <w:t>objectif urgent et réel</w:t>
      </w:r>
    </w:p>
    <w:p w:rsidR="001244E7" w:rsidRPr="00BC2D48" w:rsidRDefault="001244E7" w:rsidP="001244E7">
      <w:pPr>
        <w:pStyle w:val="ParaNoNdepar-AltN"/>
        <w:rPr>
          <w:lang w:val="fr-CA"/>
        </w:rPr>
      </w:pPr>
      <w:r w:rsidRPr="00BC2D48">
        <w:rPr>
          <w:lang w:val="fr-CA"/>
        </w:rPr>
        <w:t xml:space="preserve">Une question </w:t>
      </w:r>
      <w:proofErr w:type="gramStart"/>
      <w:r w:rsidRPr="00BC2D48">
        <w:rPr>
          <w:lang w:val="fr-CA"/>
        </w:rPr>
        <w:t>fort</w:t>
      </w:r>
      <w:proofErr w:type="gramEnd"/>
      <w:r w:rsidRPr="00BC2D48">
        <w:rPr>
          <w:lang w:val="fr-CA"/>
        </w:rPr>
        <w:t xml:space="preserve"> contentieuse d</w:t>
      </w:r>
      <w:r>
        <w:rPr>
          <w:lang w:val="fr-CA"/>
        </w:rPr>
        <w:t>ans ce</w:t>
      </w:r>
      <w:r w:rsidRPr="00BC2D48">
        <w:rPr>
          <w:lang w:val="fr-CA"/>
        </w:rPr>
        <w:t xml:space="preserve"> pourvoi a trait </w:t>
      </w:r>
      <w:r>
        <w:rPr>
          <w:lang w:val="fr-CA"/>
        </w:rPr>
        <w:t>à l’objectif</w:t>
      </w:r>
      <w:r w:rsidRPr="00BC2D48">
        <w:rPr>
          <w:lang w:val="fr-CA"/>
        </w:rPr>
        <w:t xml:space="preserve"> législatif qu</w:t>
      </w:r>
      <w:r>
        <w:rPr>
          <w:lang w:val="fr-CA"/>
        </w:rPr>
        <w:t>e contribue apparemment à réaliser</w:t>
      </w:r>
      <w:r w:rsidRPr="00BC2D48">
        <w:rPr>
          <w:lang w:val="fr-CA"/>
        </w:rPr>
        <w:t xml:space="preserve"> la restriction des droits de vote de</w:t>
      </w:r>
      <w:r>
        <w:rPr>
          <w:lang w:val="fr-CA"/>
        </w:rPr>
        <w:t>s</w:t>
      </w:r>
      <w:r w:rsidRPr="00BC2D48">
        <w:rPr>
          <w:lang w:val="fr-CA"/>
        </w:rPr>
        <w:t xml:space="preserve"> citoyens </w:t>
      </w:r>
      <w:proofErr w:type="spellStart"/>
      <w:r w:rsidRPr="00BC2D48">
        <w:rPr>
          <w:lang w:val="fr-CA"/>
        </w:rPr>
        <w:t>non</w:t>
      </w:r>
      <w:r>
        <w:rPr>
          <w:lang w:val="fr-CA"/>
        </w:rPr>
        <w:t xml:space="preserve"> </w:t>
      </w:r>
      <w:r w:rsidRPr="00BC2D48">
        <w:rPr>
          <w:lang w:val="fr-CA"/>
        </w:rPr>
        <w:t>résidents</w:t>
      </w:r>
      <w:proofErr w:type="spellEnd"/>
      <w:r w:rsidRPr="00BC2D48">
        <w:rPr>
          <w:lang w:val="fr-CA"/>
        </w:rPr>
        <w:t xml:space="preserve"> </w:t>
      </w:r>
      <w:r>
        <w:rPr>
          <w:lang w:val="fr-CA"/>
        </w:rPr>
        <w:t>à long terme</w:t>
      </w:r>
      <w:r w:rsidRPr="00BC2D48">
        <w:rPr>
          <w:lang w:val="fr-CA"/>
        </w:rPr>
        <w:t>. L</w:t>
      </w:r>
      <w:r>
        <w:rPr>
          <w:lang w:val="fr-CA"/>
        </w:rPr>
        <w:t>’</w:t>
      </w:r>
      <w:r w:rsidRPr="00BC2D48">
        <w:rPr>
          <w:lang w:val="fr-CA"/>
        </w:rPr>
        <w:t>intégrité de l</w:t>
      </w:r>
      <w:r>
        <w:rPr>
          <w:lang w:val="fr-CA"/>
        </w:rPr>
        <w:t>’</w:t>
      </w:r>
      <w:r w:rsidRPr="00BC2D48">
        <w:rPr>
          <w:lang w:val="fr-CA"/>
        </w:rPr>
        <w:t xml:space="preserve">analyse de la justification </w:t>
      </w:r>
      <w:r>
        <w:rPr>
          <w:lang w:val="fr-CA"/>
        </w:rPr>
        <w:t>exige que l’objectif législatif soit</w:t>
      </w:r>
      <w:r w:rsidRPr="00BC2D48">
        <w:rPr>
          <w:lang w:val="fr-CA"/>
        </w:rPr>
        <w:t xml:space="preserve"> formul</w:t>
      </w:r>
      <w:r>
        <w:rPr>
          <w:lang w:val="fr-CA"/>
        </w:rPr>
        <w:t>é correctement</w:t>
      </w:r>
      <w:r w:rsidRPr="00BC2D48">
        <w:rPr>
          <w:lang w:val="fr-CA"/>
        </w:rPr>
        <w:t>. L</w:t>
      </w:r>
      <w:r>
        <w:rPr>
          <w:lang w:val="fr-CA"/>
        </w:rPr>
        <w:t>’</w:t>
      </w:r>
      <w:r w:rsidRPr="00BC2D48">
        <w:rPr>
          <w:lang w:val="fr-CA"/>
        </w:rPr>
        <w:t xml:space="preserve">objectif à considérer est celui de la mesure attentatoire, </w:t>
      </w:r>
      <w:r>
        <w:rPr>
          <w:lang w:val="fr-CA"/>
        </w:rPr>
        <w:t xml:space="preserve">et non, de façon </w:t>
      </w:r>
      <w:r w:rsidRPr="00BC2D48">
        <w:rPr>
          <w:lang w:val="fr-CA"/>
        </w:rPr>
        <w:t>plus générale</w:t>
      </w:r>
      <w:r>
        <w:rPr>
          <w:lang w:val="fr-CA"/>
        </w:rPr>
        <w:t>,</w:t>
      </w:r>
      <w:r w:rsidRPr="00BC2D48">
        <w:rPr>
          <w:lang w:val="fr-CA"/>
        </w:rPr>
        <w:t xml:space="preserve"> celui de la disposition (</w:t>
      </w:r>
      <w:r w:rsidRPr="00BC2D48">
        <w:rPr>
          <w:i/>
          <w:lang w:val="fr-CA"/>
        </w:rPr>
        <w:t>K.R.J.</w:t>
      </w:r>
      <w:r w:rsidRPr="00BC2D48">
        <w:rPr>
          <w:lang w:val="fr-CA"/>
        </w:rPr>
        <w:t xml:space="preserve">, </w:t>
      </w:r>
      <w:r>
        <w:rPr>
          <w:lang w:val="fr-CA"/>
        </w:rPr>
        <w:t>par. </w:t>
      </w:r>
      <w:r w:rsidRPr="00BC2D48">
        <w:rPr>
          <w:lang w:val="fr-CA"/>
        </w:rPr>
        <w:t xml:space="preserve">62; </w:t>
      </w:r>
      <w:r w:rsidRPr="00BC2D48">
        <w:rPr>
          <w:i/>
          <w:lang w:val="fr-CA"/>
        </w:rPr>
        <w:t>Toronto Star</w:t>
      </w:r>
      <w:r w:rsidRPr="00BC2D48">
        <w:rPr>
          <w:lang w:val="fr-CA"/>
        </w:rPr>
        <w:t xml:space="preserve">, </w:t>
      </w:r>
      <w:r>
        <w:rPr>
          <w:lang w:val="fr-CA"/>
        </w:rPr>
        <w:t>par. </w:t>
      </w:r>
      <w:r w:rsidRPr="00BC2D48">
        <w:rPr>
          <w:lang w:val="fr-CA"/>
        </w:rPr>
        <w:t xml:space="preserve">20; </w:t>
      </w:r>
      <w:r w:rsidRPr="00BC2D48">
        <w:rPr>
          <w:i/>
          <w:lang w:val="fr-CA"/>
        </w:rPr>
        <w:t>RJR</w:t>
      </w:r>
      <w:r>
        <w:rPr>
          <w:i/>
          <w:lang w:val="fr-CA"/>
        </w:rPr>
        <w:noBreakHyphen/>
      </w:r>
      <w:proofErr w:type="spellStart"/>
      <w:r w:rsidRPr="00BC2D48">
        <w:rPr>
          <w:i/>
          <w:lang w:val="fr-CA"/>
        </w:rPr>
        <w:t>MacDonald</w:t>
      </w:r>
      <w:proofErr w:type="spellEnd"/>
      <w:r w:rsidRPr="00BC2D48">
        <w:rPr>
          <w:lang w:val="fr-CA"/>
        </w:rPr>
        <w:t xml:space="preserve">, </w:t>
      </w:r>
      <w:r>
        <w:rPr>
          <w:lang w:val="fr-CA"/>
        </w:rPr>
        <w:t>par. </w:t>
      </w:r>
      <w:r w:rsidRPr="00BC2D48">
        <w:rPr>
          <w:lang w:val="fr-CA"/>
        </w:rPr>
        <w:t xml:space="preserve">144). </w:t>
      </w:r>
      <w:r>
        <w:rPr>
          <w:lang w:val="fr-CA"/>
        </w:rPr>
        <w:t>En outre, l’</w:t>
      </w:r>
      <w:r w:rsidRPr="00BC2D48">
        <w:rPr>
          <w:lang w:val="fr-CA"/>
        </w:rPr>
        <w:t>importance cruciale de formuler l</w:t>
      </w:r>
      <w:r>
        <w:rPr>
          <w:lang w:val="fr-CA"/>
        </w:rPr>
        <w:t>’</w:t>
      </w:r>
      <w:r w:rsidRPr="00BC2D48">
        <w:rPr>
          <w:lang w:val="fr-CA"/>
        </w:rPr>
        <w:t xml:space="preserve">objectif de la </w:t>
      </w:r>
      <w:r>
        <w:rPr>
          <w:lang w:val="fr-CA"/>
        </w:rPr>
        <w:t>mesure</w:t>
      </w:r>
      <w:r w:rsidRPr="00BC2D48">
        <w:rPr>
          <w:lang w:val="fr-CA"/>
        </w:rPr>
        <w:t xml:space="preserve"> </w:t>
      </w:r>
      <w:r>
        <w:rPr>
          <w:lang w:val="fr-CA"/>
        </w:rPr>
        <w:t>selon le</w:t>
      </w:r>
      <w:r w:rsidRPr="00BC2D48">
        <w:rPr>
          <w:lang w:val="fr-CA"/>
        </w:rPr>
        <w:t xml:space="preserve"> niveau </w:t>
      </w:r>
      <w:r>
        <w:rPr>
          <w:lang w:val="fr-CA"/>
        </w:rPr>
        <w:t xml:space="preserve">approprié </w:t>
      </w:r>
      <w:r w:rsidRPr="00BC2D48">
        <w:rPr>
          <w:lang w:val="fr-CA"/>
        </w:rPr>
        <w:t xml:space="preserve">de généralité a été affirmée à maintes reprises </w:t>
      </w:r>
      <w:r>
        <w:rPr>
          <w:lang w:val="fr-CA"/>
        </w:rPr>
        <w:t>par notre Cour</w:t>
      </w:r>
      <w:r w:rsidRPr="00BC2D48">
        <w:rPr>
          <w:lang w:val="fr-CA"/>
        </w:rPr>
        <w:t xml:space="preserve"> (voir, </w:t>
      </w:r>
      <w:r>
        <w:rPr>
          <w:lang w:val="fr-CA"/>
        </w:rPr>
        <w:t>p. </w:t>
      </w:r>
      <w:r w:rsidRPr="00BC2D48">
        <w:rPr>
          <w:lang w:val="fr-CA"/>
        </w:rPr>
        <w:t xml:space="preserve">ex., </w:t>
      </w:r>
      <w:r w:rsidRPr="00BC2D48">
        <w:rPr>
          <w:i/>
          <w:lang w:val="fr-CA"/>
        </w:rPr>
        <w:t xml:space="preserve">R. c. </w:t>
      </w:r>
      <w:proofErr w:type="spellStart"/>
      <w:r w:rsidRPr="00BC2D48">
        <w:rPr>
          <w:i/>
          <w:lang w:val="fr-CA"/>
        </w:rPr>
        <w:t>Moriar</w:t>
      </w:r>
      <w:r>
        <w:rPr>
          <w:i/>
          <w:lang w:val="fr-CA"/>
        </w:rPr>
        <w:t>i</w:t>
      </w:r>
      <w:r w:rsidRPr="00BC2D48">
        <w:rPr>
          <w:i/>
          <w:lang w:val="fr-CA"/>
        </w:rPr>
        <w:t>ty</w:t>
      </w:r>
      <w:proofErr w:type="spellEnd"/>
      <w:r w:rsidRPr="00BC2D48">
        <w:rPr>
          <w:lang w:val="fr-CA"/>
        </w:rPr>
        <w:t>, 2015 CSC 55,</w:t>
      </w:r>
      <w:r>
        <w:rPr>
          <w:lang w:val="fr-CA"/>
        </w:rPr>
        <w:t xml:space="preserve"> [2015] 3 R.C.S. 485,</w:t>
      </w:r>
      <w:r w:rsidRPr="00BC2D48">
        <w:rPr>
          <w:lang w:val="fr-CA"/>
        </w:rPr>
        <w:t xml:space="preserve"> </w:t>
      </w:r>
      <w:r>
        <w:rPr>
          <w:lang w:val="fr-CA"/>
        </w:rPr>
        <w:t>par. </w:t>
      </w:r>
      <w:r w:rsidRPr="00BC2D48">
        <w:rPr>
          <w:lang w:val="fr-CA"/>
        </w:rPr>
        <w:t>28). Si l</w:t>
      </w:r>
      <w:r>
        <w:rPr>
          <w:lang w:val="fr-CA"/>
        </w:rPr>
        <w:t>’</w:t>
      </w:r>
      <w:r w:rsidRPr="00BC2D48">
        <w:rPr>
          <w:lang w:val="fr-CA"/>
        </w:rPr>
        <w:t>objectif législatif</w:t>
      </w:r>
      <w:r>
        <w:rPr>
          <w:lang w:val="fr-CA"/>
        </w:rPr>
        <w:t xml:space="preserve"> est formulé</w:t>
      </w:r>
      <w:r w:rsidRPr="00BC2D48">
        <w:rPr>
          <w:lang w:val="fr-CA"/>
        </w:rPr>
        <w:t xml:space="preserve"> de façon trop large, on risque d</w:t>
      </w:r>
      <w:r>
        <w:rPr>
          <w:lang w:val="fr-CA"/>
        </w:rPr>
        <w:t>’</w:t>
      </w:r>
      <w:r w:rsidRPr="00BC2D48">
        <w:rPr>
          <w:lang w:val="fr-CA"/>
        </w:rPr>
        <w:t>en exagérer l</w:t>
      </w:r>
      <w:r>
        <w:rPr>
          <w:lang w:val="fr-CA"/>
        </w:rPr>
        <w:t>’</w:t>
      </w:r>
      <w:r w:rsidRPr="00BC2D48">
        <w:rPr>
          <w:lang w:val="fr-CA"/>
        </w:rPr>
        <w:t>importance et d</w:t>
      </w:r>
      <w:r>
        <w:rPr>
          <w:lang w:val="fr-CA"/>
        </w:rPr>
        <w:t>’</w:t>
      </w:r>
      <w:r w:rsidRPr="00BC2D48">
        <w:rPr>
          <w:lang w:val="fr-CA"/>
        </w:rPr>
        <w:t>en compromettre l</w:t>
      </w:r>
      <w:r>
        <w:rPr>
          <w:lang w:val="fr-CA"/>
        </w:rPr>
        <w:t>’</w:t>
      </w:r>
      <w:r w:rsidRPr="00BC2D48">
        <w:rPr>
          <w:lang w:val="fr-CA"/>
        </w:rPr>
        <w:t>analyse (</w:t>
      </w:r>
      <w:r w:rsidRPr="00BC2D48">
        <w:rPr>
          <w:i/>
          <w:lang w:val="fr-CA"/>
        </w:rPr>
        <w:t>RJR</w:t>
      </w:r>
      <w:r>
        <w:rPr>
          <w:i/>
          <w:lang w:val="fr-CA"/>
        </w:rPr>
        <w:noBreakHyphen/>
      </w:r>
      <w:proofErr w:type="spellStart"/>
      <w:r w:rsidRPr="00BC2D48">
        <w:rPr>
          <w:i/>
          <w:lang w:val="fr-CA"/>
        </w:rPr>
        <w:t>MacDonald</w:t>
      </w:r>
      <w:proofErr w:type="spellEnd"/>
      <w:r w:rsidRPr="00BC2D48">
        <w:rPr>
          <w:lang w:val="fr-CA"/>
        </w:rPr>
        <w:t xml:space="preserve">, </w:t>
      </w:r>
      <w:r>
        <w:rPr>
          <w:lang w:val="fr-CA"/>
        </w:rPr>
        <w:t>par. </w:t>
      </w:r>
      <w:r w:rsidRPr="00BC2D48">
        <w:rPr>
          <w:lang w:val="fr-CA"/>
        </w:rPr>
        <w:t>144). À l</w:t>
      </w:r>
      <w:r>
        <w:rPr>
          <w:lang w:val="fr-CA"/>
        </w:rPr>
        <w:t>’</w:t>
      </w:r>
      <w:r w:rsidRPr="00BC2D48">
        <w:rPr>
          <w:lang w:val="fr-CA"/>
        </w:rPr>
        <w:t>inverse, si l</w:t>
      </w:r>
      <w:r>
        <w:rPr>
          <w:lang w:val="fr-CA"/>
        </w:rPr>
        <w:t>’</w:t>
      </w:r>
      <w:r w:rsidRPr="00BC2D48">
        <w:rPr>
          <w:lang w:val="fr-CA"/>
        </w:rPr>
        <w:t xml:space="preserve">objectif de la </w:t>
      </w:r>
      <w:r>
        <w:rPr>
          <w:lang w:val="fr-CA"/>
        </w:rPr>
        <w:t>mesure</w:t>
      </w:r>
      <w:r w:rsidRPr="00BC2D48">
        <w:rPr>
          <w:lang w:val="fr-CA"/>
        </w:rPr>
        <w:t xml:space="preserve"> est interprété trop étroitement, </w:t>
      </w:r>
      <w:r>
        <w:rPr>
          <w:lang w:val="fr-CA"/>
        </w:rPr>
        <w:t>sa formulation</w:t>
      </w:r>
      <w:r w:rsidRPr="00BC2D48">
        <w:rPr>
          <w:lang w:val="fr-CA"/>
        </w:rPr>
        <w:t xml:space="preserve"> risque de simplement </w:t>
      </w:r>
      <w:r>
        <w:rPr>
          <w:lang w:val="fr-CA"/>
        </w:rPr>
        <w:t>réaffirm</w:t>
      </w:r>
      <w:r w:rsidRPr="00BC2D48">
        <w:rPr>
          <w:lang w:val="fr-CA"/>
        </w:rPr>
        <w:t xml:space="preserve">er le moyen choisi pour parvenir </w:t>
      </w:r>
      <w:r>
        <w:rPr>
          <w:lang w:val="fr-CA"/>
        </w:rPr>
        <w:t>à ses</w:t>
      </w:r>
      <w:r w:rsidRPr="00BC2D48">
        <w:rPr>
          <w:lang w:val="fr-CA"/>
        </w:rPr>
        <w:t xml:space="preserve"> fins (</w:t>
      </w:r>
      <w:r w:rsidRPr="00BC2D48">
        <w:rPr>
          <w:i/>
          <w:lang w:val="fr-CA"/>
        </w:rPr>
        <w:t>K.R.J.</w:t>
      </w:r>
      <w:r w:rsidRPr="00BC2D48">
        <w:rPr>
          <w:lang w:val="fr-CA"/>
        </w:rPr>
        <w:t xml:space="preserve">, </w:t>
      </w:r>
      <w:r>
        <w:rPr>
          <w:lang w:val="fr-CA"/>
        </w:rPr>
        <w:t>par. </w:t>
      </w:r>
      <w:r w:rsidRPr="00BC2D48">
        <w:rPr>
          <w:lang w:val="fr-CA"/>
        </w:rPr>
        <w:t>63).</w:t>
      </w:r>
    </w:p>
    <w:p w:rsidR="001244E7" w:rsidRPr="00BC2D48" w:rsidRDefault="001244E7" w:rsidP="001244E7">
      <w:pPr>
        <w:pStyle w:val="ParaNoNdepar-AltN"/>
        <w:rPr>
          <w:lang w:val="fr-CA"/>
        </w:rPr>
      </w:pPr>
      <w:r w:rsidRPr="00BC2D48">
        <w:rPr>
          <w:lang w:val="fr-CA"/>
        </w:rPr>
        <w:lastRenderedPageBreak/>
        <w:t>En l</w:t>
      </w:r>
      <w:r>
        <w:rPr>
          <w:lang w:val="fr-CA"/>
        </w:rPr>
        <w:t>’</w:t>
      </w:r>
      <w:r w:rsidRPr="00BC2D48">
        <w:rPr>
          <w:lang w:val="fr-CA"/>
        </w:rPr>
        <w:t>espèce, cette tâche est difficile par</w:t>
      </w:r>
      <w:r>
        <w:rPr>
          <w:lang w:val="fr-CA"/>
        </w:rPr>
        <w:t>ce</w:t>
      </w:r>
      <w:r w:rsidRPr="00BC2D48">
        <w:rPr>
          <w:lang w:val="fr-CA"/>
        </w:rPr>
        <w:t xml:space="preserve"> que le </w:t>
      </w:r>
      <w:r>
        <w:rPr>
          <w:lang w:val="fr-CA"/>
        </w:rPr>
        <w:t>PGC</w:t>
      </w:r>
      <w:r w:rsidRPr="00BC2D48">
        <w:rPr>
          <w:lang w:val="fr-CA"/>
        </w:rPr>
        <w:t xml:space="preserve"> </w:t>
      </w:r>
      <w:r>
        <w:rPr>
          <w:lang w:val="fr-CA"/>
        </w:rPr>
        <w:t>n’</w:t>
      </w:r>
      <w:r w:rsidRPr="00BC2D48">
        <w:rPr>
          <w:lang w:val="fr-CA"/>
        </w:rPr>
        <w:t xml:space="preserve">a </w:t>
      </w:r>
      <w:r>
        <w:rPr>
          <w:lang w:val="fr-CA"/>
        </w:rPr>
        <w:t>pas</w:t>
      </w:r>
      <w:r w:rsidRPr="00BC2D48">
        <w:rPr>
          <w:lang w:val="fr-CA"/>
        </w:rPr>
        <w:t xml:space="preserve"> formul</w:t>
      </w:r>
      <w:r>
        <w:rPr>
          <w:lang w:val="fr-CA"/>
        </w:rPr>
        <w:t>é</w:t>
      </w:r>
      <w:r w:rsidRPr="00BC2D48">
        <w:rPr>
          <w:lang w:val="fr-CA"/>
        </w:rPr>
        <w:t xml:space="preserve"> </w:t>
      </w:r>
      <w:r>
        <w:rPr>
          <w:lang w:val="fr-CA"/>
        </w:rPr>
        <w:t>l’objectif</w:t>
      </w:r>
      <w:r w:rsidRPr="00BC2D48">
        <w:rPr>
          <w:lang w:val="fr-CA"/>
        </w:rPr>
        <w:t xml:space="preserve"> législatif</w:t>
      </w:r>
      <w:r>
        <w:rPr>
          <w:lang w:val="fr-CA"/>
        </w:rPr>
        <w:t xml:space="preserve"> de façon uniforme</w:t>
      </w:r>
      <w:r w:rsidRPr="00BC2D48">
        <w:rPr>
          <w:lang w:val="fr-CA"/>
        </w:rPr>
        <w:t xml:space="preserve"> aux différentes étapes </w:t>
      </w:r>
      <w:r>
        <w:rPr>
          <w:lang w:val="fr-CA"/>
        </w:rPr>
        <w:t>de la présente instance</w:t>
      </w:r>
      <w:r w:rsidRPr="00BC2D48">
        <w:rPr>
          <w:lang w:val="fr-CA"/>
        </w:rPr>
        <w:t xml:space="preserve">. Devant le juge de première instance, le </w:t>
      </w:r>
      <w:r>
        <w:rPr>
          <w:lang w:val="fr-CA"/>
        </w:rPr>
        <w:t>PGC</w:t>
      </w:r>
      <w:r w:rsidRPr="00BC2D48">
        <w:rPr>
          <w:lang w:val="fr-CA"/>
        </w:rPr>
        <w:t xml:space="preserve"> a fait valoir deux objectifs urgents et réels</w:t>
      </w:r>
      <w:r>
        <w:rPr>
          <w:lang w:val="fr-CA"/>
        </w:rPr>
        <w:t> :</w:t>
      </w:r>
      <w:r w:rsidRPr="00BC2D48">
        <w:rPr>
          <w:lang w:val="fr-CA"/>
        </w:rPr>
        <w:t xml:space="preserve"> empêcher l</w:t>
      </w:r>
      <w:r>
        <w:rPr>
          <w:lang w:val="fr-CA"/>
        </w:rPr>
        <w:t>’</w:t>
      </w:r>
      <w:r w:rsidRPr="00BC2D48">
        <w:rPr>
          <w:lang w:val="fr-CA"/>
        </w:rPr>
        <w:t>iniquité à l</w:t>
      </w:r>
      <w:r>
        <w:rPr>
          <w:lang w:val="fr-CA"/>
        </w:rPr>
        <w:t>’</w:t>
      </w:r>
      <w:r w:rsidRPr="00BC2D48">
        <w:rPr>
          <w:lang w:val="fr-CA"/>
        </w:rPr>
        <w:t>égard des électeurs résidents du Canada (l</w:t>
      </w:r>
      <w:r>
        <w:rPr>
          <w:lang w:val="fr-CA"/>
        </w:rPr>
        <w:t>’</w:t>
      </w:r>
      <w:r w:rsidRPr="00BC2D48">
        <w:rPr>
          <w:lang w:val="fr-CA"/>
        </w:rPr>
        <w:t>« objectif d</w:t>
      </w:r>
      <w:r>
        <w:rPr>
          <w:lang w:val="fr-CA"/>
        </w:rPr>
        <w:t>’</w:t>
      </w:r>
      <w:r w:rsidRPr="00BC2D48">
        <w:rPr>
          <w:lang w:val="fr-CA"/>
        </w:rPr>
        <w:t>équité ») et maintenir le bon fonctionnement et l</w:t>
      </w:r>
      <w:r>
        <w:rPr>
          <w:lang w:val="fr-CA"/>
        </w:rPr>
        <w:t>’</w:t>
      </w:r>
      <w:r w:rsidRPr="00BC2D48">
        <w:rPr>
          <w:lang w:val="fr-CA"/>
        </w:rPr>
        <w:t xml:space="preserve">intégrité du système électoral canadien. Toutefois, </w:t>
      </w:r>
      <w:r>
        <w:rPr>
          <w:lang w:val="fr-CA"/>
        </w:rPr>
        <w:t>devant la Cour d’appel</w:t>
      </w:r>
      <w:r w:rsidRPr="00BC2D48">
        <w:rPr>
          <w:lang w:val="fr-CA"/>
        </w:rPr>
        <w:t xml:space="preserve">, le </w:t>
      </w:r>
      <w:r>
        <w:rPr>
          <w:lang w:val="fr-CA"/>
        </w:rPr>
        <w:t>PGC</w:t>
      </w:r>
      <w:r w:rsidRPr="00BC2D48">
        <w:rPr>
          <w:lang w:val="fr-CA"/>
        </w:rPr>
        <w:t xml:space="preserve"> a reformulé les objectifs, plaidant principalement que le </w:t>
      </w:r>
      <w:r>
        <w:rPr>
          <w:lang w:val="fr-CA"/>
        </w:rPr>
        <w:t>système</w:t>
      </w:r>
      <w:r w:rsidRPr="00BC2D48">
        <w:rPr>
          <w:lang w:val="fr-CA"/>
        </w:rPr>
        <w:t xml:space="preserve"> [</w:t>
      </w:r>
      <w:r w:rsidRPr="00BC2D48">
        <w:rPr>
          <w:smallCaps/>
          <w:lang w:val="fr-CA"/>
        </w:rPr>
        <w:t>traduction</w:t>
      </w:r>
      <w:r w:rsidRPr="00BC2D48">
        <w:rPr>
          <w:lang w:val="fr-CA"/>
        </w:rPr>
        <w:t>] « promeut l</w:t>
      </w:r>
      <w:r>
        <w:rPr>
          <w:lang w:val="fr-CA"/>
        </w:rPr>
        <w:t>’</w:t>
      </w:r>
      <w:r w:rsidRPr="00BC2D48">
        <w:rPr>
          <w:lang w:val="fr-CA"/>
        </w:rPr>
        <w:t xml:space="preserve">équité du processus électoral en protégeant le contrat social au cœur de la démocratie constitutionnelle canadienne » </w:t>
      </w:r>
      <w:r>
        <w:rPr>
          <w:lang w:val="fr-CA"/>
        </w:rPr>
        <w:t xml:space="preserve">(motifs de la </w:t>
      </w:r>
      <w:r w:rsidRPr="00BC2D48">
        <w:rPr>
          <w:lang w:val="fr-CA"/>
        </w:rPr>
        <w:t>C</w:t>
      </w:r>
      <w:r w:rsidR="00A1564D">
        <w:rPr>
          <w:lang w:val="fr-CA"/>
        </w:rPr>
        <w:t>.</w:t>
      </w:r>
      <w:r>
        <w:rPr>
          <w:lang w:val="fr-CA"/>
        </w:rPr>
        <w:t>A., par. 90).</w:t>
      </w:r>
    </w:p>
    <w:p w:rsidR="001244E7" w:rsidRPr="00BC2D48" w:rsidRDefault="001244E7" w:rsidP="001244E7">
      <w:pPr>
        <w:pStyle w:val="ParaNoNdepar-AltN"/>
        <w:rPr>
          <w:lang w:val="fr-CA"/>
        </w:rPr>
      </w:pPr>
      <w:r w:rsidRPr="00BC2D48">
        <w:rPr>
          <w:lang w:val="fr-CA"/>
        </w:rPr>
        <w:t xml:space="preserve">Le contrat social, </w:t>
      </w:r>
      <w:r>
        <w:rPr>
          <w:lang w:val="fr-CA"/>
        </w:rPr>
        <w:t xml:space="preserve">popularisé </w:t>
      </w:r>
      <w:r w:rsidRPr="00BC2D48">
        <w:rPr>
          <w:lang w:val="fr-CA"/>
        </w:rPr>
        <w:t>au 18</w:t>
      </w:r>
      <w:r w:rsidRPr="00BC2D48">
        <w:rPr>
          <w:vertAlign w:val="superscript"/>
          <w:lang w:val="fr-CA"/>
        </w:rPr>
        <w:t>e</w:t>
      </w:r>
      <w:r w:rsidRPr="00BC2D48">
        <w:rPr>
          <w:lang w:val="fr-CA"/>
        </w:rPr>
        <w:t xml:space="preserve"> siècle</w:t>
      </w:r>
      <w:r>
        <w:rPr>
          <w:lang w:val="fr-CA"/>
        </w:rPr>
        <w:t xml:space="preserve"> par </w:t>
      </w:r>
      <w:r w:rsidRPr="00BC2D48">
        <w:rPr>
          <w:lang w:val="fr-CA"/>
        </w:rPr>
        <w:t>l</w:t>
      </w:r>
      <w:r>
        <w:rPr>
          <w:lang w:val="fr-CA"/>
        </w:rPr>
        <w:t>’</w:t>
      </w:r>
      <w:r w:rsidRPr="00BC2D48">
        <w:rPr>
          <w:lang w:val="fr-CA"/>
        </w:rPr>
        <w:t>œuvre du philosophe Jean</w:t>
      </w:r>
      <w:r>
        <w:rPr>
          <w:lang w:val="fr-CA"/>
        </w:rPr>
        <w:noBreakHyphen/>
      </w:r>
      <w:r w:rsidRPr="00BC2D48">
        <w:rPr>
          <w:lang w:val="fr-CA"/>
        </w:rPr>
        <w:t>Jacques Rousseau, se manifeste</w:t>
      </w:r>
      <w:r>
        <w:rPr>
          <w:lang w:val="fr-CA"/>
        </w:rPr>
        <w:t xml:space="preserve">rait </w:t>
      </w:r>
      <w:r w:rsidRPr="00BC2D48">
        <w:rPr>
          <w:lang w:val="fr-CA"/>
        </w:rPr>
        <w:t>dans le lien qui existe entre l</w:t>
      </w:r>
      <w:r>
        <w:rPr>
          <w:lang w:val="fr-CA"/>
        </w:rPr>
        <w:t>’</w:t>
      </w:r>
      <w:r w:rsidRPr="00BC2D48">
        <w:rPr>
          <w:lang w:val="fr-CA"/>
        </w:rPr>
        <w:t>électorat et les élus; les citoyens ont le droit d</w:t>
      </w:r>
      <w:r>
        <w:rPr>
          <w:lang w:val="fr-CA"/>
        </w:rPr>
        <w:t>’</w:t>
      </w:r>
      <w:r w:rsidRPr="00BC2D48">
        <w:rPr>
          <w:lang w:val="fr-CA"/>
        </w:rPr>
        <w:t>élire les législateurs et ils ont l</w:t>
      </w:r>
      <w:r>
        <w:rPr>
          <w:lang w:val="fr-CA"/>
        </w:rPr>
        <w:t>’</w:t>
      </w:r>
      <w:r w:rsidRPr="00BC2D48">
        <w:rPr>
          <w:lang w:val="fr-CA"/>
        </w:rPr>
        <w:t>obligation parallèle d</w:t>
      </w:r>
      <w:r>
        <w:rPr>
          <w:lang w:val="fr-CA"/>
        </w:rPr>
        <w:t>’</w:t>
      </w:r>
      <w:r w:rsidRPr="00BC2D48">
        <w:rPr>
          <w:lang w:val="fr-CA"/>
        </w:rPr>
        <w:t>obéir aux lois édictées par leurs représentants élus. Les juges majoritaires de l</w:t>
      </w:r>
      <w:r>
        <w:rPr>
          <w:lang w:val="fr-CA"/>
        </w:rPr>
        <w:t xml:space="preserve">a Cour d’appel ont reconnu que la préservation </w:t>
      </w:r>
      <w:r w:rsidRPr="00BC2D48">
        <w:rPr>
          <w:lang w:val="fr-CA"/>
        </w:rPr>
        <w:t xml:space="preserve">du contrat social </w:t>
      </w:r>
      <w:r>
        <w:rPr>
          <w:lang w:val="fr-CA"/>
        </w:rPr>
        <w:t>est</w:t>
      </w:r>
      <w:r w:rsidRPr="00BC2D48">
        <w:rPr>
          <w:lang w:val="fr-CA"/>
        </w:rPr>
        <w:t xml:space="preserve"> un objectif urgent </w:t>
      </w:r>
      <w:r>
        <w:rPr>
          <w:lang w:val="fr-CA"/>
        </w:rPr>
        <w:t xml:space="preserve">et </w:t>
      </w:r>
      <w:r w:rsidRPr="00BC2D48">
        <w:rPr>
          <w:lang w:val="fr-CA"/>
        </w:rPr>
        <w:t>réel dans le cadre de l</w:t>
      </w:r>
      <w:r>
        <w:rPr>
          <w:lang w:val="fr-CA"/>
        </w:rPr>
        <w:t>’</w:t>
      </w:r>
      <w:r w:rsidRPr="00BC2D48">
        <w:rPr>
          <w:lang w:val="fr-CA"/>
        </w:rPr>
        <w:t>analyse fondée sur l</w:t>
      </w:r>
      <w:r>
        <w:rPr>
          <w:lang w:val="fr-CA"/>
        </w:rPr>
        <w:t>’</w:t>
      </w:r>
      <w:r w:rsidRPr="00BC2D48">
        <w:rPr>
          <w:lang w:val="fr-CA"/>
        </w:rPr>
        <w:t>article premier.</w:t>
      </w:r>
      <w:r>
        <w:rPr>
          <w:lang w:val="fr-CA"/>
        </w:rPr>
        <w:t xml:space="preserve"> De l’avis des juges majoritaires</w:t>
      </w:r>
      <w:r w:rsidRPr="00BC2D48">
        <w:rPr>
          <w:lang w:val="fr-CA"/>
        </w:rPr>
        <w:t>, [</w:t>
      </w:r>
      <w:r w:rsidRPr="00BC2D48">
        <w:rPr>
          <w:smallCaps/>
          <w:lang w:val="fr-CA"/>
        </w:rPr>
        <w:t>traduction</w:t>
      </w:r>
      <w:r w:rsidRPr="00BC2D48">
        <w:rPr>
          <w:lang w:val="fr-CA"/>
        </w:rPr>
        <w:t>] « </w:t>
      </w:r>
      <w:r>
        <w:rPr>
          <w:lang w:val="fr-CA"/>
        </w:rPr>
        <w:t>[</w:t>
      </w:r>
      <w:r w:rsidRPr="00BC2D48">
        <w:rPr>
          <w:lang w:val="fr-CA"/>
        </w:rPr>
        <w:t>p</w:t>
      </w:r>
      <w:r>
        <w:rPr>
          <w:lang w:val="fr-CA"/>
        </w:rPr>
        <w:t>]</w:t>
      </w:r>
      <w:proofErr w:type="spellStart"/>
      <w:r w:rsidRPr="00BC2D48">
        <w:rPr>
          <w:lang w:val="fr-CA"/>
        </w:rPr>
        <w:t>ermettre</w:t>
      </w:r>
      <w:proofErr w:type="spellEnd"/>
      <w:r w:rsidRPr="00BC2D48">
        <w:rPr>
          <w:lang w:val="fr-CA"/>
        </w:rPr>
        <w:t xml:space="preserve"> à tous les citoyens </w:t>
      </w:r>
      <w:proofErr w:type="spellStart"/>
      <w:r w:rsidRPr="00BC2D48">
        <w:rPr>
          <w:lang w:val="fr-CA"/>
        </w:rPr>
        <w:t>non</w:t>
      </w:r>
      <w:r>
        <w:rPr>
          <w:lang w:val="fr-CA"/>
        </w:rPr>
        <w:t xml:space="preserve"> </w:t>
      </w:r>
      <w:r w:rsidRPr="00BC2D48">
        <w:rPr>
          <w:lang w:val="fr-CA"/>
        </w:rPr>
        <w:t>résidents</w:t>
      </w:r>
      <w:proofErr w:type="spellEnd"/>
      <w:r w:rsidRPr="00BC2D48">
        <w:rPr>
          <w:lang w:val="fr-CA"/>
        </w:rPr>
        <w:t xml:space="preserve"> de voter les autoriserait à participer à l</w:t>
      </w:r>
      <w:r>
        <w:rPr>
          <w:lang w:val="fr-CA"/>
        </w:rPr>
        <w:t>’</w:t>
      </w:r>
      <w:r w:rsidRPr="00BC2D48">
        <w:rPr>
          <w:lang w:val="fr-CA"/>
        </w:rPr>
        <w:t>élaboration des lois qui touchent les résidents canadiens quotidiennement, mais qui n</w:t>
      </w:r>
      <w:r>
        <w:rPr>
          <w:lang w:val="fr-CA"/>
        </w:rPr>
        <w:t>’</w:t>
      </w:r>
      <w:r w:rsidRPr="00BC2D48">
        <w:rPr>
          <w:lang w:val="fr-CA"/>
        </w:rPr>
        <w:t>auraient peu ou pas de conséquences pratiques dans leurs propres vies quotidiennes. Ce</w:t>
      </w:r>
      <w:r>
        <w:rPr>
          <w:lang w:val="fr-CA"/>
        </w:rPr>
        <w:t>tte situation</w:t>
      </w:r>
      <w:r w:rsidRPr="00BC2D48">
        <w:rPr>
          <w:lang w:val="fr-CA"/>
        </w:rPr>
        <w:t xml:space="preserve"> éroder</w:t>
      </w:r>
      <w:r>
        <w:rPr>
          <w:lang w:val="fr-CA"/>
        </w:rPr>
        <w:t>ait</w:t>
      </w:r>
      <w:r w:rsidRPr="00BC2D48">
        <w:rPr>
          <w:lang w:val="fr-CA"/>
        </w:rPr>
        <w:t xml:space="preserve"> le contrat social et miner</w:t>
      </w:r>
      <w:r>
        <w:rPr>
          <w:lang w:val="fr-CA"/>
        </w:rPr>
        <w:t>ait</w:t>
      </w:r>
      <w:r w:rsidRPr="00BC2D48">
        <w:rPr>
          <w:lang w:val="fr-CA"/>
        </w:rPr>
        <w:t xml:space="preserve"> la légitimité des lois » (</w:t>
      </w:r>
      <w:r>
        <w:rPr>
          <w:lang w:val="fr-CA"/>
        </w:rPr>
        <w:t>par. </w:t>
      </w:r>
      <w:r w:rsidRPr="00BC2D48">
        <w:rPr>
          <w:lang w:val="fr-CA"/>
        </w:rPr>
        <w:t>6).</w:t>
      </w:r>
    </w:p>
    <w:p w:rsidR="001244E7" w:rsidRPr="00BC2D48" w:rsidRDefault="001244E7" w:rsidP="001244E7">
      <w:pPr>
        <w:pStyle w:val="ParaNoNdepar-AltN"/>
        <w:rPr>
          <w:lang w:val="fr-CA"/>
        </w:rPr>
      </w:pPr>
      <w:r w:rsidRPr="00BC2D48">
        <w:rPr>
          <w:lang w:val="fr-CA"/>
        </w:rPr>
        <w:lastRenderedPageBreak/>
        <w:t>Je ne puis admettre que la préservation du contrat social est un objectif urgent et réel pour l</w:t>
      </w:r>
      <w:r>
        <w:rPr>
          <w:lang w:val="fr-CA"/>
        </w:rPr>
        <w:t>’</w:t>
      </w:r>
      <w:r w:rsidRPr="00BC2D48">
        <w:rPr>
          <w:lang w:val="fr-CA"/>
        </w:rPr>
        <w:t>application de l</w:t>
      </w:r>
      <w:r>
        <w:rPr>
          <w:lang w:val="fr-CA"/>
        </w:rPr>
        <w:t>’</w:t>
      </w:r>
      <w:r w:rsidRPr="00BC2D48">
        <w:rPr>
          <w:lang w:val="fr-CA"/>
        </w:rPr>
        <w:t xml:space="preserve">article premier. À mon avis, cette </w:t>
      </w:r>
      <w:r>
        <w:rPr>
          <w:lang w:val="fr-CA"/>
        </w:rPr>
        <w:t>formulation de l’objectif</w:t>
      </w:r>
      <w:r w:rsidRPr="00BC2D48">
        <w:rPr>
          <w:lang w:val="fr-CA"/>
        </w:rPr>
        <w:t xml:space="preserve"> s</w:t>
      </w:r>
      <w:r>
        <w:rPr>
          <w:lang w:val="fr-CA"/>
        </w:rPr>
        <w:t>’</w:t>
      </w:r>
      <w:r w:rsidRPr="00BC2D48">
        <w:rPr>
          <w:lang w:val="fr-CA"/>
        </w:rPr>
        <w:t>appuie sur une mauvaise interprétation de l</w:t>
      </w:r>
      <w:r>
        <w:rPr>
          <w:lang w:val="fr-CA"/>
        </w:rPr>
        <w:t>’</w:t>
      </w:r>
      <w:r w:rsidRPr="00BC2D48">
        <w:rPr>
          <w:lang w:val="fr-CA"/>
        </w:rPr>
        <w:t xml:space="preserve">arrêt </w:t>
      </w:r>
      <w:r w:rsidRPr="00BC2D48">
        <w:rPr>
          <w:i/>
          <w:lang w:val="fr-CA"/>
        </w:rPr>
        <w:t>Sauvé n</w:t>
      </w:r>
      <w:r w:rsidRPr="00BC2D48">
        <w:rPr>
          <w:i/>
          <w:vertAlign w:val="superscript"/>
          <w:lang w:val="fr-CA"/>
        </w:rPr>
        <w:t>o</w:t>
      </w:r>
      <w:r>
        <w:rPr>
          <w:i/>
          <w:lang w:val="fr-CA"/>
        </w:rPr>
        <w:t> </w:t>
      </w:r>
      <w:r w:rsidRPr="00BC2D48">
        <w:rPr>
          <w:i/>
          <w:lang w:val="fr-CA"/>
        </w:rPr>
        <w:t>2</w:t>
      </w:r>
      <w:r w:rsidRPr="00BC2D48">
        <w:rPr>
          <w:lang w:val="fr-CA"/>
        </w:rPr>
        <w:t xml:space="preserve"> </w:t>
      </w:r>
      <w:r>
        <w:rPr>
          <w:lang w:val="fr-CA"/>
        </w:rPr>
        <w:t xml:space="preserve">de notre Cour </w:t>
      </w:r>
      <w:r w:rsidRPr="00BC2D48">
        <w:rPr>
          <w:lang w:val="fr-CA"/>
        </w:rPr>
        <w:t>et évoque</w:t>
      </w:r>
      <w:r>
        <w:rPr>
          <w:lang w:val="fr-CA"/>
        </w:rPr>
        <w:t xml:space="preserve"> de façon superficielle et imprécise</w:t>
      </w:r>
      <w:r w:rsidRPr="00BC2D48">
        <w:rPr>
          <w:lang w:val="fr-CA"/>
        </w:rPr>
        <w:t xml:space="preserve"> une philosophie politique qui est mal adaptée pour résister aux rigueurs de l</w:t>
      </w:r>
      <w:r>
        <w:rPr>
          <w:lang w:val="fr-CA"/>
        </w:rPr>
        <w:t>’</w:t>
      </w:r>
      <w:r w:rsidRPr="00BC2D48">
        <w:rPr>
          <w:lang w:val="fr-CA"/>
        </w:rPr>
        <w:t>analyse justificative faite en vertu de l</w:t>
      </w:r>
      <w:r>
        <w:rPr>
          <w:lang w:val="fr-CA"/>
        </w:rPr>
        <w:t>’</w:t>
      </w:r>
      <w:r w:rsidRPr="00BC2D48">
        <w:rPr>
          <w:lang w:val="fr-CA"/>
        </w:rPr>
        <w:t>article premier.</w:t>
      </w:r>
    </w:p>
    <w:p w:rsidR="001244E7" w:rsidRPr="00BC2D48" w:rsidRDefault="001244E7" w:rsidP="001244E7">
      <w:pPr>
        <w:pStyle w:val="ParaNoNdepar-AltN"/>
        <w:rPr>
          <w:lang w:val="fr-CA"/>
        </w:rPr>
      </w:pPr>
      <w:r w:rsidRPr="00BC2D48">
        <w:rPr>
          <w:lang w:val="fr-CA"/>
        </w:rPr>
        <w:t>Les juges majoritaires de la Cour d</w:t>
      </w:r>
      <w:r>
        <w:rPr>
          <w:lang w:val="fr-CA"/>
        </w:rPr>
        <w:t>’</w:t>
      </w:r>
      <w:r w:rsidRPr="00BC2D48">
        <w:rPr>
          <w:lang w:val="fr-CA"/>
        </w:rPr>
        <w:t>appel</w:t>
      </w:r>
      <w:r>
        <w:rPr>
          <w:lang w:val="fr-CA"/>
        </w:rPr>
        <w:t xml:space="preserve"> se sont appuyés, tout comme</w:t>
      </w:r>
      <w:r w:rsidRPr="00BC2D48">
        <w:rPr>
          <w:lang w:val="fr-CA"/>
        </w:rPr>
        <w:t xml:space="preserve"> le </w:t>
      </w:r>
      <w:r>
        <w:rPr>
          <w:lang w:val="fr-CA"/>
        </w:rPr>
        <w:t>PGC,</w:t>
      </w:r>
      <w:r w:rsidRPr="00BC2D48">
        <w:rPr>
          <w:lang w:val="fr-CA"/>
        </w:rPr>
        <w:t xml:space="preserve"> sur le passage isolé suivant tiré de </w:t>
      </w:r>
      <w:r w:rsidRPr="00BC2D48">
        <w:rPr>
          <w:i/>
          <w:lang w:val="fr-CA"/>
        </w:rPr>
        <w:t>Sauvé n</w:t>
      </w:r>
      <w:r w:rsidRPr="00BC2D48">
        <w:rPr>
          <w:i/>
          <w:vertAlign w:val="superscript"/>
          <w:lang w:val="fr-CA"/>
        </w:rPr>
        <w:t>o</w:t>
      </w:r>
      <w:r>
        <w:rPr>
          <w:i/>
          <w:lang w:val="fr-CA"/>
        </w:rPr>
        <w:t> </w:t>
      </w:r>
      <w:r w:rsidRPr="00BC2D48">
        <w:rPr>
          <w:i/>
          <w:lang w:val="fr-CA"/>
        </w:rPr>
        <w:t>2</w:t>
      </w:r>
      <w:r w:rsidRPr="00BC2D48">
        <w:rPr>
          <w:lang w:val="fr-CA"/>
        </w:rPr>
        <w:t xml:space="preserve"> </w:t>
      </w:r>
      <w:r>
        <w:rPr>
          <w:lang w:val="fr-CA"/>
        </w:rPr>
        <w:t>au soutien de l’argument selon lequel la préservation</w:t>
      </w:r>
      <w:r w:rsidRPr="00BC2D48">
        <w:rPr>
          <w:lang w:val="fr-CA"/>
        </w:rPr>
        <w:t xml:space="preserve"> du contrat social </w:t>
      </w:r>
      <w:r>
        <w:rPr>
          <w:lang w:val="fr-CA"/>
        </w:rPr>
        <w:t>e</w:t>
      </w:r>
      <w:r w:rsidRPr="00BC2D48">
        <w:rPr>
          <w:lang w:val="fr-CA"/>
        </w:rPr>
        <w:t>st un objectif</w:t>
      </w:r>
      <w:r>
        <w:rPr>
          <w:lang w:val="fr-CA"/>
        </w:rPr>
        <w:t xml:space="preserve"> urgent et réel :</w:t>
      </w:r>
    </w:p>
    <w:p w:rsidR="001244E7" w:rsidRPr="00BC2D48" w:rsidRDefault="001244E7" w:rsidP="001244E7">
      <w:pPr>
        <w:pStyle w:val="Citation-AltC"/>
        <w:ind w:left="1168"/>
        <w:contextualSpacing w:val="0"/>
        <w:rPr>
          <w:lang w:val="fr-CA"/>
        </w:rPr>
      </w:pPr>
      <w:r>
        <w:rPr>
          <w:shd w:val="clear" w:color="auto" w:fill="FFFFFF"/>
          <w:lang w:val="fr-CA"/>
        </w:rPr>
        <w:tab/>
      </w:r>
      <w:r w:rsidRPr="00BC2D48">
        <w:rPr>
          <w:shd w:val="clear" w:color="auto" w:fill="FFFFFF"/>
          <w:lang w:val="fr-CA"/>
        </w:rPr>
        <w:t>Priver les détenus du droit de vote donne une fausse idée de la nature de nos droits et obligations selon la loi et, pa</w:t>
      </w:r>
      <w:r>
        <w:rPr>
          <w:shd w:val="clear" w:color="auto" w:fill="FFFFFF"/>
          <w:lang w:val="fr-CA"/>
        </w:rPr>
        <w:t>r conséquent, les met en péril.</w:t>
      </w:r>
      <w:r w:rsidRPr="00BC2D48">
        <w:rPr>
          <w:shd w:val="clear" w:color="auto" w:fill="FFFFFF"/>
          <w:lang w:val="fr-CA"/>
        </w:rPr>
        <w:t xml:space="preserve"> Dans une démocratie comme la nôtre, le pouvoir des législateurs émane des citoyens votants, et ces législateurs agissent à titre de mandataires des citoyens. Cette délégation de pouvoir des électeurs aux législateurs confère à la loi sa légitimité ou force. En corollaire, l</w:t>
      </w:r>
      <w:r>
        <w:rPr>
          <w:shd w:val="clear" w:color="auto" w:fill="FFFFFF"/>
          <w:lang w:val="fr-CA"/>
        </w:rPr>
        <w:t>’</w:t>
      </w:r>
      <w:r w:rsidRPr="00BC2D48">
        <w:rPr>
          <w:shd w:val="clear" w:color="auto" w:fill="FFFFFF"/>
          <w:lang w:val="fr-CA"/>
        </w:rPr>
        <w:t>obligation de respecter la loi découle du fait que celle</w:t>
      </w:r>
      <w:r>
        <w:rPr>
          <w:shd w:val="clear" w:color="auto" w:fill="FFFFFF"/>
          <w:lang w:val="fr-CA"/>
        </w:rPr>
        <w:noBreakHyphen/>
      </w:r>
      <w:r w:rsidRPr="00BC2D48">
        <w:rPr>
          <w:shd w:val="clear" w:color="auto" w:fill="FFFFFF"/>
          <w:lang w:val="fr-CA"/>
        </w:rPr>
        <w:t xml:space="preserve">ci est élaborée par </w:t>
      </w:r>
      <w:r>
        <w:rPr>
          <w:shd w:val="clear" w:color="auto" w:fill="FFFFFF"/>
          <w:lang w:val="fr-CA"/>
        </w:rPr>
        <w:t xml:space="preserve">les citoyens et en leur nom. </w:t>
      </w:r>
      <w:r w:rsidRPr="00BC2D48">
        <w:rPr>
          <w:shd w:val="clear" w:color="auto" w:fill="FFFFFF"/>
          <w:lang w:val="fr-CA"/>
        </w:rPr>
        <w:t>En somme, la légitimité de la loi et l</w:t>
      </w:r>
      <w:r>
        <w:rPr>
          <w:shd w:val="clear" w:color="auto" w:fill="FFFFFF"/>
          <w:lang w:val="fr-CA"/>
        </w:rPr>
        <w:t>’</w:t>
      </w:r>
      <w:r w:rsidRPr="00BC2D48">
        <w:rPr>
          <w:shd w:val="clear" w:color="auto" w:fill="FFFFFF"/>
          <w:lang w:val="fr-CA"/>
        </w:rPr>
        <w:t>obligation de la respecter découlent directement du dr</w:t>
      </w:r>
      <w:r>
        <w:rPr>
          <w:shd w:val="clear" w:color="auto" w:fill="FFFFFF"/>
          <w:lang w:val="fr-CA"/>
        </w:rPr>
        <w:t>oit de vote de chaque citoyen. </w:t>
      </w:r>
      <w:r w:rsidRPr="00BC2D48">
        <w:rPr>
          <w:shd w:val="clear" w:color="auto" w:fill="FFFFFF"/>
          <w:lang w:val="fr-CA"/>
        </w:rPr>
        <w:t>Sur le plan pratique, nous demandons à tous ceux qui se trouvent à l</w:t>
      </w:r>
      <w:r>
        <w:rPr>
          <w:shd w:val="clear" w:color="auto" w:fill="FFFFFF"/>
          <w:lang w:val="fr-CA"/>
        </w:rPr>
        <w:t>’</w:t>
      </w:r>
      <w:r w:rsidRPr="00BC2D48">
        <w:rPr>
          <w:shd w:val="clear" w:color="auto" w:fill="FFFFFF"/>
          <w:lang w:val="fr-CA"/>
        </w:rPr>
        <w:t>intérieur des frontières de notre pays de respecter ses lois, qu</w:t>
      </w:r>
      <w:r>
        <w:rPr>
          <w:shd w:val="clear" w:color="auto" w:fill="FFFFFF"/>
          <w:lang w:val="fr-CA"/>
        </w:rPr>
        <w:t>’</w:t>
      </w:r>
      <w:r w:rsidRPr="00BC2D48">
        <w:rPr>
          <w:shd w:val="clear" w:color="auto" w:fill="FFFFFF"/>
          <w:lang w:val="fr-CA"/>
        </w:rPr>
        <w:t>ils a</w:t>
      </w:r>
      <w:r>
        <w:rPr>
          <w:shd w:val="clear" w:color="auto" w:fill="FFFFFF"/>
          <w:lang w:val="fr-CA"/>
        </w:rPr>
        <w:t xml:space="preserve">ient le droit de voter ou non. </w:t>
      </w:r>
      <w:r w:rsidRPr="00BC2D48">
        <w:rPr>
          <w:shd w:val="clear" w:color="auto" w:fill="FFFFFF"/>
          <w:lang w:val="fr-CA"/>
        </w:rPr>
        <w:t>Mais cela ne rompt pas le lien vital qui existe, d</w:t>
      </w:r>
      <w:r>
        <w:rPr>
          <w:shd w:val="clear" w:color="auto" w:fill="FFFFFF"/>
          <w:lang w:val="fr-CA"/>
        </w:rPr>
        <w:t>’</w:t>
      </w:r>
      <w:r w:rsidRPr="00BC2D48">
        <w:rPr>
          <w:shd w:val="clear" w:color="auto" w:fill="FFFFFF"/>
          <w:lang w:val="fr-CA"/>
        </w:rPr>
        <w:t>un point de vue symbolique, théorique et pratique, entre la participation à l</w:t>
      </w:r>
      <w:r>
        <w:rPr>
          <w:shd w:val="clear" w:color="auto" w:fill="FFFFFF"/>
          <w:lang w:val="fr-CA"/>
        </w:rPr>
        <w:t>’</w:t>
      </w:r>
      <w:r w:rsidRPr="00BC2D48">
        <w:rPr>
          <w:shd w:val="clear" w:color="auto" w:fill="FFFFFF"/>
          <w:lang w:val="fr-CA"/>
        </w:rPr>
        <w:t>élaboration de la loi et l</w:t>
      </w:r>
      <w:r>
        <w:rPr>
          <w:shd w:val="clear" w:color="auto" w:fill="FFFFFF"/>
          <w:lang w:val="fr-CA"/>
        </w:rPr>
        <w:t xml:space="preserve">’obligation de la respecter. </w:t>
      </w:r>
      <w:r w:rsidRPr="00BC2D48">
        <w:rPr>
          <w:u w:val="single"/>
          <w:shd w:val="clear" w:color="auto" w:fill="FFFFFF"/>
          <w:lang w:val="fr-CA"/>
        </w:rPr>
        <w:t>Ce lien, issu de la théorie du con</w:t>
      </w:r>
      <w:r>
        <w:rPr>
          <w:u w:val="single"/>
          <w:shd w:val="clear" w:color="auto" w:fill="FFFFFF"/>
          <w:lang w:val="fr-CA"/>
        </w:rPr>
        <w:t xml:space="preserve">trat social et consacré dans la </w:t>
      </w:r>
      <w:r w:rsidRPr="00BC2D48">
        <w:rPr>
          <w:i/>
          <w:iCs/>
          <w:u w:val="single"/>
          <w:shd w:val="clear" w:color="auto" w:fill="FFFFFF"/>
          <w:lang w:val="fr-CA"/>
        </w:rPr>
        <w:t>Charte,</w:t>
      </w:r>
      <w:r w:rsidRPr="00BC2D48">
        <w:rPr>
          <w:u w:val="single"/>
          <w:shd w:val="clear" w:color="auto" w:fill="FFFFFF"/>
          <w:lang w:val="fr-CA"/>
        </w:rPr>
        <w:t xml:space="preserve"> est au cœur de notre système de démocratie constitutionnelle</w:t>
      </w:r>
      <w:r w:rsidRPr="00BC2D48">
        <w:rPr>
          <w:shd w:val="clear" w:color="auto" w:fill="FFFFFF"/>
          <w:lang w:val="fr-CA"/>
        </w:rPr>
        <w:t>. [Je souligne</w:t>
      </w:r>
      <w:r>
        <w:rPr>
          <w:shd w:val="clear" w:color="auto" w:fill="FFFFFF"/>
          <w:lang w:val="fr-CA"/>
        </w:rPr>
        <w:t>; par. 31</w:t>
      </w:r>
      <w:r w:rsidRPr="00BC2D48">
        <w:rPr>
          <w:shd w:val="clear" w:color="auto" w:fill="FFFFFF"/>
          <w:lang w:val="fr-CA"/>
        </w:rPr>
        <w:t>.]</w:t>
      </w:r>
    </w:p>
    <w:p w:rsidR="001244E7" w:rsidRPr="00BC2D48" w:rsidRDefault="001244E7" w:rsidP="001244E7">
      <w:pPr>
        <w:pStyle w:val="ParaNoNdepar-AltN"/>
        <w:rPr>
          <w:lang w:val="fr-CA"/>
        </w:rPr>
      </w:pPr>
      <w:r w:rsidRPr="00BC2D48">
        <w:rPr>
          <w:lang w:val="fr-CA"/>
        </w:rPr>
        <w:t>Le recour</w:t>
      </w:r>
      <w:r>
        <w:rPr>
          <w:lang w:val="fr-CA"/>
        </w:rPr>
        <w:t>s</w:t>
      </w:r>
      <w:r w:rsidRPr="00BC2D48">
        <w:rPr>
          <w:lang w:val="fr-CA"/>
        </w:rPr>
        <w:t xml:space="preserve"> à ce passage</w:t>
      </w:r>
      <w:r>
        <w:rPr>
          <w:lang w:val="fr-CA"/>
        </w:rPr>
        <w:t xml:space="preserve"> est</w:t>
      </w:r>
      <w:r w:rsidRPr="00BC2D48">
        <w:rPr>
          <w:lang w:val="fr-CA"/>
        </w:rPr>
        <w:t xml:space="preserve"> sélecti</w:t>
      </w:r>
      <w:r>
        <w:rPr>
          <w:lang w:val="fr-CA"/>
        </w:rPr>
        <w:t>f</w:t>
      </w:r>
      <w:r w:rsidRPr="00BC2D48">
        <w:rPr>
          <w:lang w:val="fr-CA"/>
        </w:rPr>
        <w:t xml:space="preserve"> et, à mon avis, </w:t>
      </w:r>
      <w:r>
        <w:rPr>
          <w:lang w:val="fr-CA"/>
        </w:rPr>
        <w:t xml:space="preserve">il </w:t>
      </w:r>
      <w:r w:rsidRPr="00BC2D48">
        <w:rPr>
          <w:lang w:val="fr-CA"/>
        </w:rPr>
        <w:t>interprète mal le message essentiel de</w:t>
      </w:r>
      <w:r>
        <w:rPr>
          <w:lang w:val="fr-CA"/>
        </w:rPr>
        <w:t xml:space="preserve"> l’arrêt</w:t>
      </w:r>
      <w:r w:rsidRPr="00BC2D48">
        <w:rPr>
          <w:lang w:val="fr-CA"/>
        </w:rPr>
        <w:t xml:space="preserve"> </w:t>
      </w:r>
      <w:r w:rsidRPr="00BC2D48">
        <w:rPr>
          <w:i/>
          <w:lang w:val="fr-CA"/>
        </w:rPr>
        <w:t>Sauvé n</w:t>
      </w:r>
      <w:r w:rsidRPr="00BC2D48">
        <w:rPr>
          <w:i/>
          <w:vertAlign w:val="superscript"/>
          <w:lang w:val="fr-CA"/>
        </w:rPr>
        <w:t>o</w:t>
      </w:r>
      <w:r>
        <w:rPr>
          <w:i/>
          <w:lang w:val="fr-CA"/>
        </w:rPr>
        <w:t> </w:t>
      </w:r>
      <w:r w:rsidRPr="00BC2D48">
        <w:rPr>
          <w:i/>
          <w:lang w:val="fr-CA"/>
        </w:rPr>
        <w:t xml:space="preserve">2 </w:t>
      </w:r>
      <w:r w:rsidRPr="00BC2D48">
        <w:rPr>
          <w:lang w:val="fr-CA"/>
        </w:rPr>
        <w:t xml:space="preserve">lu dans son ensemble. La juge en chef </w:t>
      </w:r>
      <w:proofErr w:type="spellStart"/>
      <w:r>
        <w:rPr>
          <w:lang w:val="fr-CA"/>
        </w:rPr>
        <w:t>McLachlin</w:t>
      </w:r>
      <w:proofErr w:type="spellEnd"/>
      <w:r w:rsidRPr="00BC2D48">
        <w:rPr>
          <w:lang w:val="fr-CA"/>
        </w:rPr>
        <w:t xml:space="preserve"> décrivait le contrat social dans le </w:t>
      </w:r>
      <w:r>
        <w:rPr>
          <w:lang w:val="fr-CA"/>
        </w:rPr>
        <w:t>contexte</w:t>
      </w:r>
      <w:r w:rsidRPr="00BC2D48">
        <w:rPr>
          <w:lang w:val="fr-CA"/>
        </w:rPr>
        <w:t xml:space="preserve"> de l</w:t>
      </w:r>
      <w:r>
        <w:rPr>
          <w:lang w:val="fr-CA"/>
        </w:rPr>
        <w:t>’</w:t>
      </w:r>
      <w:r w:rsidRPr="00BC2D48">
        <w:rPr>
          <w:lang w:val="fr-CA"/>
        </w:rPr>
        <w:t xml:space="preserve">analyse de la </w:t>
      </w:r>
      <w:r w:rsidRPr="00BC2D48">
        <w:rPr>
          <w:lang w:val="fr-CA"/>
        </w:rPr>
        <w:lastRenderedPageBreak/>
        <w:t>proportionnalité</w:t>
      </w:r>
      <w:r>
        <w:rPr>
          <w:lang w:val="fr-CA"/>
        </w:rPr>
        <w:t xml:space="preserve">, et </w:t>
      </w:r>
      <w:r w:rsidRPr="00BC2D48">
        <w:rPr>
          <w:lang w:val="fr-CA"/>
        </w:rPr>
        <w:t>n</w:t>
      </w:r>
      <w:r>
        <w:rPr>
          <w:lang w:val="fr-CA"/>
        </w:rPr>
        <w:t>on dans le contexte de la</w:t>
      </w:r>
      <w:r w:rsidRPr="00BC2D48">
        <w:rPr>
          <w:lang w:val="fr-CA"/>
        </w:rPr>
        <w:t xml:space="preserve"> formula</w:t>
      </w:r>
      <w:r>
        <w:rPr>
          <w:lang w:val="fr-CA"/>
        </w:rPr>
        <w:t>tion d’un objectif urgent et réel</w:t>
      </w:r>
      <w:r w:rsidRPr="00BC2D48">
        <w:rPr>
          <w:lang w:val="fr-CA"/>
        </w:rPr>
        <w:t>. Elle fai</w:t>
      </w:r>
      <w:r>
        <w:rPr>
          <w:lang w:val="fr-CA"/>
        </w:rPr>
        <w:t>sai</w:t>
      </w:r>
      <w:r w:rsidRPr="00BC2D48">
        <w:rPr>
          <w:lang w:val="fr-CA"/>
        </w:rPr>
        <w:t xml:space="preserve">t </w:t>
      </w:r>
      <w:r>
        <w:rPr>
          <w:lang w:val="fr-CA"/>
        </w:rPr>
        <w:t>référence</w:t>
      </w:r>
      <w:r w:rsidRPr="00BC2D48">
        <w:rPr>
          <w:lang w:val="fr-CA"/>
        </w:rPr>
        <w:t xml:space="preserve"> à la théorie du contrat social </w:t>
      </w:r>
      <w:r>
        <w:rPr>
          <w:lang w:val="fr-CA"/>
        </w:rPr>
        <w:t>afin d’</w:t>
      </w:r>
      <w:r w:rsidRPr="00BC2D48">
        <w:rPr>
          <w:lang w:val="fr-CA"/>
        </w:rPr>
        <w:t xml:space="preserve">étayer une perspective fondamentalement </w:t>
      </w:r>
      <w:r w:rsidRPr="00BC2D48">
        <w:rPr>
          <w:i/>
          <w:lang w:val="fr-CA"/>
        </w:rPr>
        <w:t xml:space="preserve">inclusive </w:t>
      </w:r>
      <w:r w:rsidRPr="00BC2D48">
        <w:rPr>
          <w:lang w:val="fr-CA"/>
        </w:rPr>
        <w:t xml:space="preserve">des droits de vote au Canada et </w:t>
      </w:r>
      <w:r>
        <w:rPr>
          <w:lang w:val="fr-CA"/>
        </w:rPr>
        <w:t>de</w:t>
      </w:r>
      <w:r w:rsidRPr="00BC2D48">
        <w:rPr>
          <w:lang w:val="fr-CA"/>
        </w:rPr>
        <w:t xml:space="preserve"> rejeter l</w:t>
      </w:r>
      <w:r>
        <w:rPr>
          <w:lang w:val="fr-CA"/>
        </w:rPr>
        <w:t>’</w:t>
      </w:r>
      <w:r w:rsidRPr="00BC2D48">
        <w:rPr>
          <w:lang w:val="fr-CA"/>
        </w:rPr>
        <w:t>existence d</w:t>
      </w:r>
      <w:r>
        <w:rPr>
          <w:lang w:val="fr-CA"/>
        </w:rPr>
        <w:t>’</w:t>
      </w:r>
      <w:r w:rsidRPr="00BC2D48">
        <w:rPr>
          <w:lang w:val="fr-CA"/>
        </w:rPr>
        <w:t xml:space="preserve">un lien rationnel entre la </w:t>
      </w:r>
      <w:r>
        <w:rPr>
          <w:lang w:val="fr-CA"/>
        </w:rPr>
        <w:t>suppression</w:t>
      </w:r>
      <w:r w:rsidRPr="00BC2D48">
        <w:rPr>
          <w:lang w:val="fr-CA"/>
        </w:rPr>
        <w:t xml:space="preserve"> du droit de vote </w:t>
      </w:r>
      <w:r>
        <w:rPr>
          <w:lang w:val="fr-CA"/>
        </w:rPr>
        <w:t>des</w:t>
      </w:r>
      <w:r w:rsidRPr="00BC2D48">
        <w:rPr>
          <w:lang w:val="fr-CA"/>
        </w:rPr>
        <w:t xml:space="preserve"> détenus et la</w:t>
      </w:r>
      <w:r>
        <w:rPr>
          <w:lang w:val="fr-CA"/>
        </w:rPr>
        <w:t xml:space="preserve"> promotion</w:t>
      </w:r>
      <w:r w:rsidRPr="00BC2D48">
        <w:rPr>
          <w:lang w:val="fr-CA"/>
        </w:rPr>
        <w:t xml:space="preserve"> du respect de la règle de droit. La théorie du contrat social </w:t>
      </w:r>
      <w:r>
        <w:rPr>
          <w:lang w:val="fr-CA"/>
        </w:rPr>
        <w:t>était donc utilisée pour</w:t>
      </w:r>
      <w:r w:rsidRPr="00BC2D48">
        <w:rPr>
          <w:lang w:val="fr-CA"/>
        </w:rPr>
        <w:t xml:space="preserve"> justifier la proposition selon laquelle il est antidémocratique et intrinsèquement contradictoire de </w:t>
      </w:r>
      <w:r>
        <w:rPr>
          <w:lang w:val="fr-CA"/>
        </w:rPr>
        <w:t>priver des citoyens du</w:t>
      </w:r>
      <w:r w:rsidRPr="00BC2D48">
        <w:rPr>
          <w:lang w:val="fr-CA"/>
        </w:rPr>
        <w:t xml:space="preserve"> droit de vote; le gouvernement tire son pouvoir de</w:t>
      </w:r>
      <w:r>
        <w:rPr>
          <w:lang w:val="fr-CA"/>
        </w:rPr>
        <w:t xml:space="preserve"> ses citoyens, et celui</w:t>
      </w:r>
      <w:r>
        <w:rPr>
          <w:lang w:val="fr-CA"/>
        </w:rPr>
        <w:noBreakHyphen/>
        <w:t>ci</w:t>
      </w:r>
      <w:r w:rsidRPr="00BC2D48">
        <w:rPr>
          <w:lang w:val="fr-CA"/>
        </w:rPr>
        <w:t xml:space="preserve"> ne saurait exercer ce pouvoir pour priver ces mêmes citoyens du droit de participer au scrutin (</w:t>
      </w:r>
      <w:r w:rsidRPr="00BC2D48">
        <w:rPr>
          <w:i/>
          <w:lang w:val="fr-CA"/>
        </w:rPr>
        <w:t>Sauvé n</w:t>
      </w:r>
      <w:r w:rsidRPr="00BC2D48">
        <w:rPr>
          <w:i/>
          <w:vertAlign w:val="superscript"/>
          <w:lang w:val="fr-CA"/>
        </w:rPr>
        <w:t>o</w:t>
      </w:r>
      <w:r>
        <w:rPr>
          <w:i/>
          <w:lang w:val="fr-CA"/>
        </w:rPr>
        <w:t> </w:t>
      </w:r>
      <w:r w:rsidRPr="00BC2D48">
        <w:rPr>
          <w:i/>
          <w:lang w:val="fr-CA"/>
        </w:rPr>
        <w:t>2</w:t>
      </w:r>
      <w:r w:rsidRPr="00BC2D48">
        <w:rPr>
          <w:lang w:val="fr-CA"/>
        </w:rPr>
        <w:t xml:space="preserve">, </w:t>
      </w:r>
      <w:r>
        <w:rPr>
          <w:lang w:val="fr-CA"/>
        </w:rPr>
        <w:t>par. </w:t>
      </w:r>
      <w:r w:rsidRPr="00BC2D48">
        <w:rPr>
          <w:lang w:val="fr-CA"/>
        </w:rPr>
        <w:t>32). Comme l</w:t>
      </w:r>
      <w:r>
        <w:rPr>
          <w:lang w:val="fr-CA"/>
        </w:rPr>
        <w:t>’</w:t>
      </w:r>
      <w:r w:rsidRPr="00BC2D48">
        <w:rPr>
          <w:lang w:val="fr-CA"/>
        </w:rPr>
        <w:t xml:space="preserve">a fait observer le juge </w:t>
      </w:r>
      <w:proofErr w:type="spellStart"/>
      <w:r w:rsidRPr="00BC2D48">
        <w:rPr>
          <w:lang w:val="fr-CA"/>
        </w:rPr>
        <w:t>Laskin</w:t>
      </w:r>
      <w:proofErr w:type="spellEnd"/>
      <w:r w:rsidRPr="00BC2D48">
        <w:rPr>
          <w:lang w:val="fr-CA"/>
        </w:rPr>
        <w:t xml:space="preserve"> dans sa dissidence </w:t>
      </w:r>
      <w:r>
        <w:rPr>
          <w:lang w:val="fr-CA"/>
        </w:rPr>
        <w:t>dans le cas qui nous occupe</w:t>
      </w:r>
      <w:r w:rsidRPr="00BC2D48">
        <w:rPr>
          <w:lang w:val="fr-CA"/>
        </w:rPr>
        <w:t xml:space="preserve">, </w:t>
      </w:r>
      <w:r>
        <w:rPr>
          <w:lang w:val="fr-CA"/>
        </w:rPr>
        <w:t>l’arrêt</w:t>
      </w:r>
      <w:r w:rsidRPr="00BC2D48">
        <w:rPr>
          <w:lang w:val="fr-CA"/>
        </w:rPr>
        <w:t xml:space="preserve"> </w:t>
      </w:r>
      <w:r w:rsidRPr="00BC2D48">
        <w:rPr>
          <w:i/>
          <w:lang w:val="fr-CA"/>
        </w:rPr>
        <w:t>Sauvé n</w:t>
      </w:r>
      <w:r w:rsidRPr="00BC2D48">
        <w:rPr>
          <w:i/>
          <w:vertAlign w:val="superscript"/>
          <w:lang w:val="fr-CA"/>
        </w:rPr>
        <w:t>o</w:t>
      </w:r>
      <w:r>
        <w:rPr>
          <w:i/>
          <w:lang w:val="fr-CA"/>
        </w:rPr>
        <w:t> </w:t>
      </w:r>
      <w:r w:rsidRPr="00BC2D48">
        <w:rPr>
          <w:i/>
          <w:lang w:val="fr-CA"/>
        </w:rPr>
        <w:t>2</w:t>
      </w:r>
      <w:r>
        <w:rPr>
          <w:lang w:val="fr-CA"/>
        </w:rPr>
        <w:t xml:space="preserve">, </w:t>
      </w:r>
      <w:r w:rsidRPr="00BC2D48">
        <w:rPr>
          <w:lang w:val="fr-CA"/>
        </w:rPr>
        <w:t>loin d</w:t>
      </w:r>
      <w:r>
        <w:rPr>
          <w:lang w:val="fr-CA"/>
        </w:rPr>
        <w:t>’</w:t>
      </w:r>
      <w:r w:rsidRPr="00BC2D48">
        <w:rPr>
          <w:lang w:val="fr-CA"/>
        </w:rPr>
        <w:t xml:space="preserve">offrir une justification convaincante de la </w:t>
      </w:r>
      <w:r>
        <w:rPr>
          <w:lang w:val="fr-CA"/>
        </w:rPr>
        <w:t>négation</w:t>
      </w:r>
      <w:r w:rsidRPr="00BC2D48">
        <w:rPr>
          <w:lang w:val="fr-CA"/>
        </w:rPr>
        <w:t xml:space="preserve"> du droit de vote </w:t>
      </w:r>
      <w:r>
        <w:rPr>
          <w:lang w:val="fr-CA"/>
        </w:rPr>
        <w:t xml:space="preserve">de </w:t>
      </w:r>
      <w:r w:rsidRPr="00BC2D48">
        <w:rPr>
          <w:lang w:val="fr-CA"/>
        </w:rPr>
        <w:t>citoyens canadiens,</w:t>
      </w:r>
      <w:r>
        <w:rPr>
          <w:lang w:val="fr-CA"/>
        </w:rPr>
        <w:t xml:space="preserve"> </w:t>
      </w:r>
      <w:r w:rsidRPr="00BC2D48">
        <w:rPr>
          <w:lang w:val="fr-CA"/>
        </w:rPr>
        <w:t xml:space="preserve">représente une défense </w:t>
      </w:r>
      <w:r>
        <w:rPr>
          <w:lang w:val="fr-CA"/>
        </w:rPr>
        <w:t>sans compromis</w:t>
      </w:r>
      <w:r w:rsidRPr="00BC2D48">
        <w:rPr>
          <w:lang w:val="fr-CA"/>
        </w:rPr>
        <w:t xml:space="preserve"> du droit de tous les citoyens canadiens de voter.</w:t>
      </w:r>
    </w:p>
    <w:p w:rsidR="001244E7" w:rsidRPr="00BC2D48" w:rsidRDefault="001244E7" w:rsidP="001244E7">
      <w:pPr>
        <w:pStyle w:val="ParaNoNdepar-AltN"/>
        <w:rPr>
          <w:lang w:val="fr-CA"/>
        </w:rPr>
      </w:pPr>
      <w:r w:rsidRPr="00BC2D48">
        <w:rPr>
          <w:lang w:val="fr-CA"/>
        </w:rPr>
        <w:t>Qui plus est, les motifs de l</w:t>
      </w:r>
      <w:r>
        <w:rPr>
          <w:lang w:val="fr-CA"/>
        </w:rPr>
        <w:t>’</w:t>
      </w:r>
      <w:r w:rsidRPr="00BC2D48">
        <w:rPr>
          <w:lang w:val="fr-CA"/>
        </w:rPr>
        <w:t xml:space="preserve">arrêt </w:t>
      </w:r>
      <w:r w:rsidRPr="00BC2D48">
        <w:rPr>
          <w:i/>
          <w:lang w:val="fr-CA"/>
        </w:rPr>
        <w:t>Sauvé n</w:t>
      </w:r>
      <w:r w:rsidRPr="00BC2D48">
        <w:rPr>
          <w:i/>
          <w:vertAlign w:val="superscript"/>
          <w:lang w:val="fr-CA"/>
        </w:rPr>
        <w:t>o</w:t>
      </w:r>
      <w:r>
        <w:rPr>
          <w:i/>
          <w:lang w:val="fr-CA"/>
        </w:rPr>
        <w:t> </w:t>
      </w:r>
      <w:r w:rsidRPr="00BC2D48">
        <w:rPr>
          <w:i/>
          <w:lang w:val="fr-CA"/>
        </w:rPr>
        <w:t>2</w:t>
      </w:r>
      <w:r w:rsidRPr="00BC2D48">
        <w:rPr>
          <w:lang w:val="fr-CA"/>
        </w:rPr>
        <w:t xml:space="preserve"> doivent être lus </w:t>
      </w:r>
      <w:r>
        <w:rPr>
          <w:lang w:val="fr-CA"/>
        </w:rPr>
        <w:t>dans leur ensemble</w:t>
      </w:r>
      <w:r w:rsidRPr="00BC2D48">
        <w:rPr>
          <w:lang w:val="fr-CA"/>
        </w:rPr>
        <w:t xml:space="preserve">. La juge en chef </w:t>
      </w:r>
      <w:proofErr w:type="spellStart"/>
      <w:r w:rsidRPr="00BC2D48">
        <w:rPr>
          <w:lang w:val="fr-CA"/>
        </w:rPr>
        <w:t>McLachlin</w:t>
      </w:r>
      <w:proofErr w:type="spellEnd"/>
      <w:r w:rsidRPr="00BC2D48">
        <w:rPr>
          <w:lang w:val="fr-CA"/>
        </w:rPr>
        <w:t xml:space="preserve"> fait observer plus loin</w:t>
      </w:r>
      <w:r>
        <w:rPr>
          <w:lang w:val="fr-CA"/>
        </w:rPr>
        <w:t xml:space="preserve"> dans ces motifs</w:t>
      </w:r>
      <w:r w:rsidRPr="00BC2D48">
        <w:rPr>
          <w:lang w:val="fr-CA"/>
        </w:rPr>
        <w:t xml:space="preserve"> que</w:t>
      </w:r>
      <w:r>
        <w:rPr>
          <w:lang w:val="fr-CA"/>
        </w:rPr>
        <w:t xml:space="preserve"> même</w:t>
      </w:r>
      <w:r w:rsidRPr="00BC2D48">
        <w:rPr>
          <w:lang w:val="fr-CA"/>
        </w:rPr>
        <w:t xml:space="preserve"> si </w:t>
      </w:r>
      <w:r>
        <w:rPr>
          <w:lang w:val="fr-CA"/>
        </w:rPr>
        <w:t xml:space="preserve">le </w:t>
      </w:r>
      <w:r w:rsidRPr="00BC2D48">
        <w:rPr>
          <w:lang w:val="fr-CA"/>
        </w:rPr>
        <w:t>contrat social engage le citoyen à respecter les lois issues du processus démocratique, il ne s</w:t>
      </w:r>
      <w:r>
        <w:rPr>
          <w:lang w:val="fr-CA"/>
        </w:rPr>
        <w:t>’</w:t>
      </w:r>
      <w:r w:rsidRPr="00BC2D48">
        <w:rPr>
          <w:lang w:val="fr-CA"/>
        </w:rPr>
        <w:t>ensuit pas qu</w:t>
      </w:r>
      <w:r>
        <w:rPr>
          <w:lang w:val="fr-CA"/>
        </w:rPr>
        <w:t>’</w:t>
      </w:r>
      <w:r w:rsidRPr="00BC2D48">
        <w:rPr>
          <w:lang w:val="fr-CA"/>
        </w:rPr>
        <w:t>un défaut à cet égard annule l</w:t>
      </w:r>
      <w:r>
        <w:rPr>
          <w:lang w:val="fr-CA"/>
        </w:rPr>
        <w:t>’</w:t>
      </w:r>
      <w:r w:rsidRPr="00BC2D48">
        <w:rPr>
          <w:lang w:val="fr-CA"/>
        </w:rPr>
        <w:t>appartenance du citoyen à l</w:t>
      </w:r>
      <w:r>
        <w:rPr>
          <w:lang w:val="fr-CA"/>
        </w:rPr>
        <w:t>’ensemble</w:t>
      </w:r>
      <w:r w:rsidRPr="00BC2D48">
        <w:rPr>
          <w:lang w:val="fr-CA"/>
        </w:rPr>
        <w:t xml:space="preserve"> canadien</w:t>
      </w:r>
      <w:r>
        <w:rPr>
          <w:lang w:val="fr-CA"/>
        </w:rPr>
        <w:t> :</w:t>
      </w:r>
      <w:r w:rsidRPr="00BC2D48">
        <w:rPr>
          <w:lang w:val="fr-CA"/>
        </w:rPr>
        <w:t xml:space="preserve"> </w:t>
      </w:r>
      <w:r>
        <w:rPr>
          <w:lang w:val="fr-CA"/>
        </w:rPr>
        <w:t>« </w:t>
      </w:r>
      <w:r w:rsidRPr="00BC2D48">
        <w:rPr>
          <w:lang w:val="fr-CA"/>
        </w:rPr>
        <w:t>la question de savoir si la justification de la restriction d</w:t>
      </w:r>
      <w:r>
        <w:rPr>
          <w:lang w:val="fr-CA"/>
        </w:rPr>
        <w:t>’</w:t>
      </w:r>
      <w:r w:rsidRPr="00BC2D48">
        <w:rPr>
          <w:lang w:val="fr-CA"/>
        </w:rPr>
        <w:t>un droit peut se démontrer ne peut être tranchée par la simple constatation qu</w:t>
      </w:r>
      <w:r>
        <w:rPr>
          <w:lang w:val="fr-CA"/>
        </w:rPr>
        <w:t>’</w:t>
      </w:r>
      <w:r w:rsidRPr="00BC2D48">
        <w:rPr>
          <w:lang w:val="fr-CA"/>
        </w:rPr>
        <w:t>un contrevenant a, par ses propres actions, rompu le contrat social » (</w:t>
      </w:r>
      <w:r w:rsidRPr="00BC2D48">
        <w:rPr>
          <w:i/>
          <w:lang w:val="fr-CA"/>
        </w:rPr>
        <w:t>Sauvé n</w:t>
      </w:r>
      <w:r w:rsidRPr="00BC2D48">
        <w:rPr>
          <w:i/>
          <w:vertAlign w:val="superscript"/>
          <w:lang w:val="fr-CA"/>
        </w:rPr>
        <w:t>o</w:t>
      </w:r>
      <w:r>
        <w:rPr>
          <w:i/>
          <w:lang w:val="fr-CA"/>
        </w:rPr>
        <w:t> </w:t>
      </w:r>
      <w:r w:rsidRPr="00BC2D48">
        <w:rPr>
          <w:i/>
          <w:lang w:val="fr-CA"/>
        </w:rPr>
        <w:t>2</w:t>
      </w:r>
      <w:r w:rsidRPr="00BC2D48">
        <w:rPr>
          <w:lang w:val="fr-CA"/>
        </w:rPr>
        <w:t xml:space="preserve">, </w:t>
      </w:r>
      <w:r>
        <w:rPr>
          <w:lang w:val="fr-CA"/>
        </w:rPr>
        <w:t>par. </w:t>
      </w:r>
      <w:r w:rsidRPr="00BC2D48">
        <w:rPr>
          <w:lang w:val="fr-CA"/>
        </w:rPr>
        <w:t xml:space="preserve">47). Le droit de vote est un droit démocratique fondamental, et non pas un simple privilège, </w:t>
      </w:r>
      <w:r>
        <w:rPr>
          <w:lang w:val="fr-CA"/>
        </w:rPr>
        <w:t>et il</w:t>
      </w:r>
      <w:r w:rsidRPr="00BC2D48">
        <w:rPr>
          <w:lang w:val="fr-CA"/>
        </w:rPr>
        <w:t xml:space="preserve"> ne peu</w:t>
      </w:r>
      <w:r>
        <w:rPr>
          <w:lang w:val="fr-CA"/>
        </w:rPr>
        <w:t>t pas être refusé</w:t>
      </w:r>
      <w:r w:rsidRPr="00BC2D48">
        <w:rPr>
          <w:lang w:val="fr-CA"/>
        </w:rPr>
        <w:t xml:space="preserve"> aux citoyens parce qu</w:t>
      </w:r>
      <w:r>
        <w:rPr>
          <w:lang w:val="fr-CA"/>
        </w:rPr>
        <w:t>’</w:t>
      </w:r>
      <w:r w:rsidRPr="00BC2D48">
        <w:rPr>
          <w:lang w:val="fr-CA"/>
        </w:rPr>
        <w:t>ils auraient choisi de « se retirer » de la communauté en commettant une infraction, ou, ajouterais</w:t>
      </w:r>
      <w:r>
        <w:rPr>
          <w:lang w:val="fr-CA"/>
        </w:rPr>
        <w:noBreakHyphen/>
      </w:r>
      <w:r w:rsidRPr="00BC2D48">
        <w:rPr>
          <w:lang w:val="fr-CA"/>
        </w:rPr>
        <w:t>je, en résidant à l</w:t>
      </w:r>
      <w:r>
        <w:rPr>
          <w:lang w:val="fr-CA"/>
        </w:rPr>
        <w:t>’</w:t>
      </w:r>
      <w:r w:rsidRPr="00BC2D48">
        <w:rPr>
          <w:lang w:val="fr-CA"/>
        </w:rPr>
        <w:t xml:space="preserve">extérieur </w:t>
      </w:r>
      <w:r w:rsidRPr="00BC2D48">
        <w:rPr>
          <w:lang w:val="fr-CA"/>
        </w:rPr>
        <w:lastRenderedPageBreak/>
        <w:t>du Canada (</w:t>
      </w:r>
      <w:r w:rsidRPr="00BC2D48">
        <w:rPr>
          <w:i/>
          <w:lang w:val="fr-CA"/>
        </w:rPr>
        <w:t>Sauvé n</w:t>
      </w:r>
      <w:r w:rsidRPr="00BC2D48">
        <w:rPr>
          <w:i/>
          <w:vertAlign w:val="superscript"/>
          <w:lang w:val="fr-CA"/>
        </w:rPr>
        <w:t>o</w:t>
      </w:r>
      <w:r>
        <w:rPr>
          <w:i/>
          <w:lang w:val="fr-CA"/>
        </w:rPr>
        <w:t> </w:t>
      </w:r>
      <w:r w:rsidRPr="00BC2D48">
        <w:rPr>
          <w:i/>
          <w:lang w:val="fr-CA"/>
        </w:rPr>
        <w:t>2</w:t>
      </w:r>
      <w:r w:rsidRPr="00BC2D48">
        <w:rPr>
          <w:lang w:val="fr-CA"/>
        </w:rPr>
        <w:t xml:space="preserve">, </w:t>
      </w:r>
      <w:r>
        <w:rPr>
          <w:lang w:val="fr-CA"/>
        </w:rPr>
        <w:t>par. </w:t>
      </w:r>
      <w:r w:rsidRPr="00BC2D48">
        <w:rPr>
          <w:lang w:val="fr-CA"/>
        </w:rPr>
        <w:t>42). On pourrait</w:t>
      </w:r>
      <w:r>
        <w:rPr>
          <w:lang w:val="fr-CA"/>
        </w:rPr>
        <w:t xml:space="preserve"> en fait</w:t>
      </w:r>
      <w:r w:rsidRPr="00BC2D48">
        <w:rPr>
          <w:lang w:val="fr-CA"/>
        </w:rPr>
        <w:t xml:space="preserve"> soutenir que le citoyen qui a violé nos lois criminelles en commettant les infractions les plus graves a rompu le contrat social</w:t>
      </w:r>
      <w:r>
        <w:rPr>
          <w:lang w:val="fr-CA"/>
        </w:rPr>
        <w:t xml:space="preserve"> dans une plus grande mesure</w:t>
      </w:r>
      <w:r w:rsidRPr="00BC2D48">
        <w:rPr>
          <w:lang w:val="fr-CA"/>
        </w:rPr>
        <w:t xml:space="preserve"> que, par exemple, le citoyen qui réside à l</w:t>
      </w:r>
      <w:r>
        <w:rPr>
          <w:lang w:val="fr-CA"/>
        </w:rPr>
        <w:t>’</w:t>
      </w:r>
      <w:r w:rsidRPr="00BC2D48">
        <w:rPr>
          <w:lang w:val="fr-CA"/>
        </w:rPr>
        <w:t xml:space="preserve">extérieur du Canada </w:t>
      </w:r>
      <w:r>
        <w:rPr>
          <w:lang w:val="fr-CA"/>
        </w:rPr>
        <w:t>à long terme</w:t>
      </w:r>
      <w:r w:rsidRPr="00BC2D48">
        <w:rPr>
          <w:lang w:val="fr-CA"/>
        </w:rPr>
        <w:t xml:space="preserve">. </w:t>
      </w:r>
      <w:r>
        <w:rPr>
          <w:lang w:val="fr-CA"/>
        </w:rPr>
        <w:t>Quoi qu’il en soit</w:t>
      </w:r>
      <w:r w:rsidRPr="00BC2D48">
        <w:rPr>
          <w:lang w:val="fr-CA"/>
        </w:rPr>
        <w:t xml:space="preserve">, </w:t>
      </w:r>
      <w:r>
        <w:rPr>
          <w:lang w:val="fr-CA"/>
        </w:rPr>
        <w:t xml:space="preserve">l’arrêt </w:t>
      </w:r>
      <w:r w:rsidRPr="00BC2D48">
        <w:rPr>
          <w:i/>
          <w:lang w:val="fr-CA"/>
        </w:rPr>
        <w:t>Sauvé n</w:t>
      </w:r>
      <w:r w:rsidRPr="00BC2D48">
        <w:rPr>
          <w:i/>
          <w:vertAlign w:val="superscript"/>
          <w:lang w:val="fr-CA"/>
        </w:rPr>
        <w:t>o</w:t>
      </w:r>
      <w:r>
        <w:rPr>
          <w:i/>
          <w:vertAlign w:val="superscript"/>
          <w:lang w:val="fr-CA"/>
        </w:rPr>
        <w:t> </w:t>
      </w:r>
      <w:r w:rsidRPr="00BC2D48">
        <w:rPr>
          <w:i/>
          <w:lang w:val="fr-CA"/>
        </w:rPr>
        <w:t xml:space="preserve">2 </w:t>
      </w:r>
      <w:r>
        <w:rPr>
          <w:lang w:val="fr-CA"/>
        </w:rPr>
        <w:t>prévoit</w:t>
      </w:r>
      <w:r w:rsidRPr="00BC2D48">
        <w:rPr>
          <w:lang w:val="fr-CA"/>
        </w:rPr>
        <w:t xml:space="preserve"> qu</w:t>
      </w:r>
      <w:r>
        <w:rPr>
          <w:lang w:val="fr-CA"/>
        </w:rPr>
        <w:t>’</w:t>
      </w:r>
      <w:r w:rsidRPr="00BC2D48">
        <w:rPr>
          <w:lang w:val="fr-CA"/>
        </w:rPr>
        <w:t>une « rupture » présumée du contrat social n</w:t>
      </w:r>
      <w:r>
        <w:rPr>
          <w:lang w:val="fr-CA"/>
        </w:rPr>
        <w:t>’</w:t>
      </w:r>
      <w:r w:rsidRPr="00BC2D48">
        <w:rPr>
          <w:lang w:val="fr-CA"/>
        </w:rPr>
        <w:t>est pas une justification légitime pour priver des citoyens du droit de vote.</w:t>
      </w:r>
    </w:p>
    <w:p w:rsidR="001244E7" w:rsidRPr="00BC2D48" w:rsidRDefault="001244E7" w:rsidP="001244E7">
      <w:pPr>
        <w:pStyle w:val="ParaNoNdepar-AltN"/>
        <w:rPr>
          <w:lang w:val="fr-CA"/>
        </w:rPr>
      </w:pPr>
      <w:r w:rsidRPr="00BC2D48">
        <w:rPr>
          <w:lang w:val="fr-CA"/>
        </w:rPr>
        <w:t>Fait peut</w:t>
      </w:r>
      <w:r>
        <w:rPr>
          <w:lang w:val="fr-CA"/>
        </w:rPr>
        <w:noBreakHyphen/>
      </w:r>
      <w:r w:rsidRPr="00BC2D48">
        <w:rPr>
          <w:lang w:val="fr-CA"/>
        </w:rPr>
        <w:t xml:space="preserve">être </w:t>
      </w:r>
      <w:r>
        <w:rPr>
          <w:lang w:val="fr-CA"/>
        </w:rPr>
        <w:t xml:space="preserve">encore </w:t>
      </w:r>
      <w:r w:rsidRPr="00BC2D48">
        <w:rPr>
          <w:lang w:val="fr-CA"/>
        </w:rPr>
        <w:t>plus important, la théorie du contrat social n</w:t>
      </w:r>
      <w:r>
        <w:rPr>
          <w:lang w:val="fr-CA"/>
        </w:rPr>
        <w:t>’</w:t>
      </w:r>
      <w:r w:rsidRPr="00BC2D48">
        <w:rPr>
          <w:lang w:val="fr-CA"/>
        </w:rPr>
        <w:t>est, justement, qu</w:t>
      </w:r>
      <w:r>
        <w:rPr>
          <w:lang w:val="fr-CA"/>
        </w:rPr>
        <w:t>’</w:t>
      </w:r>
      <w:r w:rsidRPr="00BC2D48">
        <w:rPr>
          <w:lang w:val="fr-CA"/>
        </w:rPr>
        <w:t xml:space="preserve">une théorie. </w:t>
      </w:r>
      <w:r>
        <w:rPr>
          <w:lang w:val="fr-CA"/>
        </w:rPr>
        <w:t xml:space="preserve">La préservation du contrat social </w:t>
      </w:r>
      <w:r w:rsidRPr="00BC2D48">
        <w:rPr>
          <w:lang w:val="fr-CA"/>
        </w:rPr>
        <w:t>n</w:t>
      </w:r>
      <w:r>
        <w:rPr>
          <w:lang w:val="fr-CA"/>
        </w:rPr>
        <w:t>’</w:t>
      </w:r>
      <w:r w:rsidRPr="00BC2D48">
        <w:rPr>
          <w:lang w:val="fr-CA"/>
        </w:rPr>
        <w:t xml:space="preserve">est pas un objectif. </w:t>
      </w:r>
      <w:r>
        <w:rPr>
          <w:lang w:val="fr-CA"/>
        </w:rPr>
        <w:t xml:space="preserve">Bien que la philosophie morale ait sans doute un certain rôle à jouer dans la sphère législative, elle ne peut aisément servir de source pour justifier un objectif urgent et réel relativement à une atteinte aux droits garantis par la </w:t>
      </w:r>
      <w:r w:rsidRPr="00932F3B">
        <w:rPr>
          <w:i/>
          <w:lang w:val="fr-CA"/>
        </w:rPr>
        <w:t>Charte</w:t>
      </w:r>
      <w:r>
        <w:rPr>
          <w:lang w:val="fr-CA"/>
        </w:rPr>
        <w:t xml:space="preserve"> et tout argument en ce sens devra faire l’objet d’un examen attentif. </w:t>
      </w:r>
      <w:r w:rsidRPr="00BC2D48">
        <w:rPr>
          <w:lang w:val="fr-CA"/>
        </w:rPr>
        <w:t>Pour les besoins de l</w:t>
      </w:r>
      <w:r>
        <w:rPr>
          <w:lang w:val="fr-CA"/>
        </w:rPr>
        <w:t>’</w:t>
      </w:r>
      <w:r w:rsidRPr="00BC2D48">
        <w:rPr>
          <w:lang w:val="fr-CA"/>
        </w:rPr>
        <w:t>analyse fondée sur l</w:t>
      </w:r>
      <w:r>
        <w:rPr>
          <w:lang w:val="fr-CA"/>
        </w:rPr>
        <w:t>’</w:t>
      </w:r>
      <w:r w:rsidRPr="00BC2D48">
        <w:rPr>
          <w:lang w:val="fr-CA"/>
        </w:rPr>
        <w:t>article premier, le</w:t>
      </w:r>
      <w:r>
        <w:rPr>
          <w:lang w:val="fr-CA"/>
        </w:rPr>
        <w:t xml:space="preserve"> modèle du</w:t>
      </w:r>
      <w:r w:rsidRPr="00BC2D48">
        <w:rPr>
          <w:lang w:val="fr-CA"/>
        </w:rPr>
        <w:t xml:space="preserve"> « contrat social » </w:t>
      </w:r>
      <w:r>
        <w:rPr>
          <w:lang w:val="fr-CA"/>
        </w:rPr>
        <w:t xml:space="preserve">qui a été présenté en l’espèce </w:t>
      </w:r>
      <w:r w:rsidRPr="00BC2D48">
        <w:rPr>
          <w:lang w:val="fr-CA"/>
        </w:rPr>
        <w:t xml:space="preserve">est dénué de contenu et </w:t>
      </w:r>
      <w:r>
        <w:rPr>
          <w:lang w:val="fr-CA"/>
        </w:rPr>
        <w:t>manque de précision</w:t>
      </w:r>
      <w:r w:rsidRPr="00BC2D48">
        <w:rPr>
          <w:lang w:val="fr-CA"/>
        </w:rPr>
        <w:t>. Il présente aussi des lacunes d</w:t>
      </w:r>
      <w:r>
        <w:rPr>
          <w:lang w:val="fr-CA"/>
        </w:rPr>
        <w:t>’</w:t>
      </w:r>
      <w:r w:rsidRPr="00BC2D48">
        <w:rPr>
          <w:lang w:val="fr-CA"/>
        </w:rPr>
        <w:t>ordre analytique</w:t>
      </w:r>
      <w:r>
        <w:rPr>
          <w:lang w:val="fr-CA"/>
        </w:rPr>
        <w:t> :</w:t>
      </w:r>
      <w:r w:rsidRPr="00BC2D48">
        <w:rPr>
          <w:lang w:val="fr-CA"/>
        </w:rPr>
        <w:t xml:space="preserve"> il est à la fois trop général, ne procurant aucune façon véritable d</w:t>
      </w:r>
      <w:r>
        <w:rPr>
          <w:lang w:val="fr-CA"/>
        </w:rPr>
        <w:t>’</w:t>
      </w:r>
      <w:r w:rsidRPr="00BC2D48">
        <w:rPr>
          <w:lang w:val="fr-CA"/>
        </w:rPr>
        <w:t xml:space="preserve">analyser les moyens employés pour le réaliser, et trop étroit, </w:t>
      </w:r>
      <w:r>
        <w:rPr>
          <w:lang w:val="fr-CA"/>
        </w:rPr>
        <w:t>supprimant</w:t>
      </w:r>
      <w:r w:rsidRPr="00BC2D48">
        <w:rPr>
          <w:lang w:val="fr-CA"/>
        </w:rPr>
        <w:t xml:space="preserve"> de fait toute distinction entre les moyens législatifs et les fins </w:t>
      </w:r>
      <w:r>
        <w:rPr>
          <w:lang w:val="fr-CA"/>
        </w:rPr>
        <w:t>recherchées</w:t>
      </w:r>
      <w:r w:rsidRPr="00BC2D48">
        <w:rPr>
          <w:lang w:val="fr-CA"/>
        </w:rPr>
        <w:t xml:space="preserve">. Ce dernier point est bien illustré par le David </w:t>
      </w:r>
      <w:proofErr w:type="spellStart"/>
      <w:r w:rsidRPr="00BC2D48">
        <w:rPr>
          <w:lang w:val="fr-CA"/>
        </w:rPr>
        <w:t>Asper</w:t>
      </w:r>
      <w:proofErr w:type="spellEnd"/>
      <w:r w:rsidRPr="00BC2D48">
        <w:rPr>
          <w:lang w:val="fr-CA"/>
        </w:rPr>
        <w:t xml:space="preserve"> Centre for </w:t>
      </w:r>
      <w:proofErr w:type="spellStart"/>
      <w:r w:rsidRPr="00BC2D48">
        <w:rPr>
          <w:lang w:val="fr-CA"/>
        </w:rPr>
        <w:t>Constitutional</w:t>
      </w:r>
      <w:proofErr w:type="spellEnd"/>
      <w:r w:rsidRPr="00BC2D48">
        <w:rPr>
          <w:lang w:val="fr-CA"/>
        </w:rPr>
        <w:t xml:space="preserve"> </w:t>
      </w:r>
      <w:proofErr w:type="spellStart"/>
      <w:r w:rsidRPr="00BC2D48">
        <w:rPr>
          <w:lang w:val="fr-CA"/>
        </w:rPr>
        <w:t>Rights</w:t>
      </w:r>
      <w:proofErr w:type="spellEnd"/>
      <w:r w:rsidRPr="00BC2D48">
        <w:rPr>
          <w:lang w:val="fr-CA"/>
        </w:rPr>
        <w:t>, intervenant au présent pourvoi</w:t>
      </w:r>
      <w:r>
        <w:rPr>
          <w:lang w:val="fr-CA"/>
        </w:rPr>
        <w:t> :</w:t>
      </w:r>
      <w:r w:rsidRPr="00BC2D48">
        <w:rPr>
          <w:lang w:val="fr-CA"/>
        </w:rPr>
        <w:t xml:space="preserve"> [</w:t>
      </w:r>
      <w:r w:rsidRPr="00BC2D48">
        <w:rPr>
          <w:smallCaps/>
          <w:lang w:val="fr-CA"/>
        </w:rPr>
        <w:t>traduction</w:t>
      </w:r>
      <w:r w:rsidRPr="00BC2D48">
        <w:rPr>
          <w:lang w:val="fr-CA"/>
        </w:rPr>
        <w:t>] « L</w:t>
      </w:r>
      <w:r>
        <w:rPr>
          <w:lang w:val="fr-CA"/>
        </w:rPr>
        <w:t>’</w:t>
      </w:r>
      <w:r w:rsidRPr="00BC2D48">
        <w:rPr>
          <w:lang w:val="fr-CA"/>
        </w:rPr>
        <w:t>objectif (</w:t>
      </w:r>
      <w:r>
        <w:rPr>
          <w:lang w:val="fr-CA"/>
        </w:rPr>
        <w:t>limiter</w:t>
      </w:r>
      <w:r w:rsidRPr="00BC2D48">
        <w:rPr>
          <w:lang w:val="fr-CA"/>
        </w:rPr>
        <w:t xml:space="preserve"> le droit de vote aux citoyens suffisamment assujettis aux lois) </w:t>
      </w:r>
      <w:r>
        <w:rPr>
          <w:lang w:val="fr-CA"/>
        </w:rPr>
        <w:t>et le</w:t>
      </w:r>
      <w:r w:rsidRPr="00BC2D48">
        <w:rPr>
          <w:lang w:val="fr-CA"/>
        </w:rPr>
        <w:t xml:space="preserve"> moyen (</w:t>
      </w:r>
      <w:r>
        <w:rPr>
          <w:lang w:val="fr-CA"/>
        </w:rPr>
        <w:t xml:space="preserve">la sélection </w:t>
      </w:r>
      <w:r w:rsidRPr="00BC2D48">
        <w:rPr>
          <w:lang w:val="fr-CA"/>
        </w:rPr>
        <w:t>des citoyens qui sont suffisamment assujettis aux lois) se définissent mutuellement »</w:t>
      </w:r>
      <w:r>
        <w:rPr>
          <w:lang w:val="fr-CA"/>
        </w:rPr>
        <w:t xml:space="preserve"> (m</w:t>
      </w:r>
      <w:r w:rsidR="00391CA1">
        <w:rPr>
          <w:lang w:val="fr-CA"/>
        </w:rPr>
        <w:t xml:space="preserve">. </w:t>
      </w:r>
      <w:proofErr w:type="spellStart"/>
      <w:r w:rsidR="00391CA1">
        <w:rPr>
          <w:lang w:val="fr-CA"/>
        </w:rPr>
        <w:t>interv</w:t>
      </w:r>
      <w:proofErr w:type="spellEnd"/>
      <w:r w:rsidR="00391CA1">
        <w:rPr>
          <w:lang w:val="fr-CA"/>
        </w:rPr>
        <w:t>.</w:t>
      </w:r>
      <w:r>
        <w:rPr>
          <w:lang w:val="fr-CA"/>
        </w:rPr>
        <w:t>, par. 13).</w:t>
      </w:r>
      <w:r w:rsidRPr="00BC2D48">
        <w:rPr>
          <w:lang w:val="fr-CA"/>
        </w:rPr>
        <w:t xml:space="preserve"> Autrement dit, si on accept</w:t>
      </w:r>
      <w:r>
        <w:rPr>
          <w:lang w:val="fr-CA"/>
        </w:rPr>
        <w:t>e que</w:t>
      </w:r>
      <w:r w:rsidRPr="00BC2D48">
        <w:rPr>
          <w:lang w:val="fr-CA"/>
        </w:rPr>
        <w:t xml:space="preserve"> la </w:t>
      </w:r>
      <w:r>
        <w:rPr>
          <w:lang w:val="fr-CA"/>
        </w:rPr>
        <w:t>préservation</w:t>
      </w:r>
      <w:r w:rsidRPr="00BC2D48">
        <w:rPr>
          <w:lang w:val="fr-CA"/>
        </w:rPr>
        <w:t xml:space="preserve"> du contrat social </w:t>
      </w:r>
      <w:r>
        <w:rPr>
          <w:lang w:val="fr-CA"/>
        </w:rPr>
        <w:t>est un</w:t>
      </w:r>
      <w:r w:rsidRPr="00BC2D48">
        <w:rPr>
          <w:lang w:val="fr-CA"/>
        </w:rPr>
        <w:t xml:space="preserve"> objectif</w:t>
      </w:r>
      <w:r>
        <w:rPr>
          <w:lang w:val="fr-CA"/>
        </w:rPr>
        <w:t xml:space="preserve"> urgent et réel, la loi</w:t>
      </w:r>
      <w:r w:rsidRPr="00BC2D48">
        <w:rPr>
          <w:lang w:val="fr-CA"/>
        </w:rPr>
        <w:t xml:space="preserve"> n</w:t>
      </w:r>
      <w:r>
        <w:rPr>
          <w:lang w:val="fr-CA"/>
        </w:rPr>
        <w:t>’</w:t>
      </w:r>
      <w:r w:rsidRPr="00BC2D48">
        <w:rPr>
          <w:lang w:val="fr-CA"/>
        </w:rPr>
        <w:t xml:space="preserve">aurait aucun objectif </w:t>
      </w:r>
      <w:r w:rsidRPr="00BC2D48">
        <w:rPr>
          <w:lang w:val="fr-CA"/>
        </w:rPr>
        <w:lastRenderedPageBreak/>
        <w:t>réel autre que la mesure elle</w:t>
      </w:r>
      <w:r>
        <w:rPr>
          <w:lang w:val="fr-CA"/>
        </w:rPr>
        <w:noBreakHyphen/>
      </w:r>
      <w:r w:rsidRPr="00BC2D48">
        <w:rPr>
          <w:lang w:val="fr-CA"/>
        </w:rPr>
        <w:t>même, à savoir restreindre les droits de vote de</w:t>
      </w:r>
      <w:r>
        <w:rPr>
          <w:lang w:val="fr-CA"/>
        </w:rPr>
        <w:t>s</w:t>
      </w:r>
      <w:r w:rsidRPr="00BC2D48">
        <w:rPr>
          <w:lang w:val="fr-CA"/>
        </w:rPr>
        <w:t xml:space="preserve"> citoyens canadiens </w:t>
      </w:r>
      <w:proofErr w:type="spellStart"/>
      <w:r w:rsidRPr="00BC2D48">
        <w:rPr>
          <w:lang w:val="fr-CA"/>
        </w:rPr>
        <w:t>non</w:t>
      </w:r>
      <w:r>
        <w:rPr>
          <w:lang w:val="fr-CA"/>
        </w:rPr>
        <w:t xml:space="preserve"> </w:t>
      </w:r>
      <w:r w:rsidRPr="00BC2D48">
        <w:rPr>
          <w:lang w:val="fr-CA"/>
        </w:rPr>
        <w:t>résidents</w:t>
      </w:r>
      <w:proofErr w:type="spellEnd"/>
      <w:r w:rsidRPr="00BC2D48">
        <w:rPr>
          <w:lang w:val="fr-CA"/>
        </w:rPr>
        <w:t xml:space="preserve"> </w:t>
      </w:r>
      <w:r>
        <w:rPr>
          <w:lang w:val="fr-CA"/>
        </w:rPr>
        <w:t>à long terme</w:t>
      </w:r>
      <w:r w:rsidRPr="00BC2D48">
        <w:rPr>
          <w:lang w:val="fr-CA"/>
        </w:rPr>
        <w:t>.</w:t>
      </w:r>
    </w:p>
    <w:p w:rsidR="001244E7" w:rsidRPr="00BC2D48" w:rsidRDefault="001244E7" w:rsidP="001244E7">
      <w:pPr>
        <w:pStyle w:val="ParaNoNdepar-AltN"/>
        <w:rPr>
          <w:lang w:val="fr-CA"/>
        </w:rPr>
      </w:pPr>
      <w:r w:rsidRPr="00BC2D48">
        <w:rPr>
          <w:lang w:val="fr-CA"/>
        </w:rPr>
        <w:t xml:space="preserve">En conséquence, </w:t>
      </w:r>
      <w:r>
        <w:rPr>
          <w:lang w:val="fr-CA"/>
        </w:rPr>
        <w:t xml:space="preserve">je rejette l’argument </w:t>
      </w:r>
      <w:r w:rsidRPr="00BC2D48">
        <w:rPr>
          <w:lang w:val="fr-CA"/>
        </w:rPr>
        <w:t>selon l</w:t>
      </w:r>
      <w:r>
        <w:rPr>
          <w:lang w:val="fr-CA"/>
        </w:rPr>
        <w:t>e</w:t>
      </w:r>
      <w:r w:rsidRPr="00BC2D48">
        <w:rPr>
          <w:lang w:val="fr-CA"/>
        </w:rPr>
        <w:t>quel</w:t>
      </w:r>
      <w:r>
        <w:rPr>
          <w:lang w:val="fr-CA"/>
        </w:rPr>
        <w:t xml:space="preserve"> la préservation </w:t>
      </w:r>
      <w:r w:rsidRPr="00BC2D48">
        <w:rPr>
          <w:lang w:val="fr-CA"/>
        </w:rPr>
        <w:t xml:space="preserve">du contrat social </w:t>
      </w:r>
      <w:r>
        <w:rPr>
          <w:lang w:val="fr-CA"/>
        </w:rPr>
        <w:t>constitue un</w:t>
      </w:r>
      <w:r w:rsidRPr="00BC2D48">
        <w:rPr>
          <w:lang w:val="fr-CA"/>
        </w:rPr>
        <w:t xml:space="preserve"> objectif urgent </w:t>
      </w:r>
      <w:r>
        <w:rPr>
          <w:lang w:val="fr-CA"/>
        </w:rPr>
        <w:t xml:space="preserve">et </w:t>
      </w:r>
      <w:r w:rsidRPr="00BC2D48">
        <w:rPr>
          <w:lang w:val="fr-CA"/>
        </w:rPr>
        <w:t xml:space="preserve">réel </w:t>
      </w:r>
      <w:r>
        <w:rPr>
          <w:lang w:val="fr-CA"/>
        </w:rPr>
        <w:t xml:space="preserve">suffisant </w:t>
      </w:r>
      <w:r w:rsidRPr="00BC2D48">
        <w:rPr>
          <w:lang w:val="fr-CA"/>
        </w:rPr>
        <w:t>pour les besoins de l</w:t>
      </w:r>
      <w:r>
        <w:rPr>
          <w:lang w:val="fr-CA"/>
        </w:rPr>
        <w:t>’</w:t>
      </w:r>
      <w:r w:rsidRPr="00BC2D48">
        <w:rPr>
          <w:lang w:val="fr-CA"/>
        </w:rPr>
        <w:t>analyse fondée sur l</w:t>
      </w:r>
      <w:r>
        <w:rPr>
          <w:lang w:val="fr-CA"/>
        </w:rPr>
        <w:t>’</w:t>
      </w:r>
      <w:r w:rsidRPr="00BC2D48">
        <w:rPr>
          <w:lang w:val="fr-CA"/>
        </w:rPr>
        <w:t xml:space="preserve">article premier. Toutefois, cela ne veut pas dire pour autant que le </w:t>
      </w:r>
      <w:r>
        <w:rPr>
          <w:lang w:val="fr-CA"/>
        </w:rPr>
        <w:t>Parlement</w:t>
      </w:r>
      <w:r w:rsidRPr="00BC2D48">
        <w:rPr>
          <w:lang w:val="fr-CA"/>
        </w:rPr>
        <w:t xml:space="preserve"> a omis </w:t>
      </w:r>
      <w:r>
        <w:rPr>
          <w:lang w:val="fr-CA"/>
        </w:rPr>
        <w:t>de cerner</w:t>
      </w:r>
      <w:r w:rsidRPr="00BC2D48">
        <w:rPr>
          <w:lang w:val="fr-CA"/>
        </w:rPr>
        <w:t xml:space="preserve"> un objectif suffisamment important.</w:t>
      </w:r>
      <w:r>
        <w:rPr>
          <w:lang w:val="fr-CA"/>
        </w:rPr>
        <w:t xml:space="preserve"> Si nous écartons l’utilisation de l’expression</w:t>
      </w:r>
      <w:r w:rsidRPr="00BC2D48">
        <w:rPr>
          <w:lang w:val="fr-CA"/>
        </w:rPr>
        <w:t xml:space="preserve"> « contrat social » qui, </w:t>
      </w:r>
      <w:r>
        <w:rPr>
          <w:lang w:val="fr-CA"/>
        </w:rPr>
        <w:t>selon le PGC,</w:t>
      </w:r>
      <w:r w:rsidRPr="00BC2D48">
        <w:rPr>
          <w:lang w:val="fr-CA"/>
        </w:rPr>
        <w:t xml:space="preserve"> n</w:t>
      </w:r>
      <w:r>
        <w:rPr>
          <w:lang w:val="fr-CA"/>
        </w:rPr>
        <w:t>’</w:t>
      </w:r>
      <w:r w:rsidRPr="00BC2D48">
        <w:rPr>
          <w:lang w:val="fr-CA"/>
        </w:rPr>
        <w:t>est qu</w:t>
      </w:r>
      <w:r>
        <w:rPr>
          <w:lang w:val="fr-CA"/>
        </w:rPr>
        <w:t>’</w:t>
      </w:r>
      <w:r w:rsidRPr="00BC2D48">
        <w:rPr>
          <w:lang w:val="fr-CA"/>
        </w:rPr>
        <w:t>un [</w:t>
      </w:r>
      <w:r w:rsidRPr="00BC2D48">
        <w:rPr>
          <w:smallCaps/>
          <w:lang w:val="fr-CA"/>
        </w:rPr>
        <w:t>traduction</w:t>
      </w:r>
      <w:r w:rsidRPr="00BC2D48">
        <w:rPr>
          <w:lang w:val="fr-CA"/>
        </w:rPr>
        <w:t xml:space="preserve">] « terme commode » de toute façon, ce dernier a principalement et constamment fait valoir que les restrictions relatives au </w:t>
      </w:r>
      <w:r>
        <w:rPr>
          <w:lang w:val="fr-CA"/>
        </w:rPr>
        <w:t xml:space="preserve">droit de </w:t>
      </w:r>
      <w:r w:rsidRPr="00BC2D48">
        <w:rPr>
          <w:lang w:val="fr-CA"/>
        </w:rPr>
        <w:t>vote en question</w:t>
      </w:r>
      <w:r>
        <w:rPr>
          <w:lang w:val="fr-CA"/>
        </w:rPr>
        <w:t xml:space="preserve"> permett</w:t>
      </w:r>
      <w:r w:rsidRPr="00BC2D48">
        <w:rPr>
          <w:lang w:val="fr-CA"/>
        </w:rPr>
        <w:t>ent de réaliser l</w:t>
      </w:r>
      <w:r>
        <w:rPr>
          <w:lang w:val="fr-CA"/>
        </w:rPr>
        <w:t>’</w:t>
      </w:r>
      <w:r w:rsidRPr="00BC2D48">
        <w:rPr>
          <w:lang w:val="fr-CA"/>
        </w:rPr>
        <w:t>objectif [</w:t>
      </w:r>
      <w:r w:rsidRPr="00BC2D48">
        <w:rPr>
          <w:smallCaps/>
          <w:lang w:val="fr-CA"/>
        </w:rPr>
        <w:t>traduction</w:t>
      </w:r>
      <w:r w:rsidRPr="00BC2D48">
        <w:rPr>
          <w:lang w:val="fr-CA"/>
        </w:rPr>
        <w:t>] « connexe » de maintenir l</w:t>
      </w:r>
      <w:r>
        <w:rPr>
          <w:lang w:val="fr-CA"/>
        </w:rPr>
        <w:t>’</w:t>
      </w:r>
      <w:r w:rsidRPr="00BC2D48">
        <w:rPr>
          <w:lang w:val="fr-CA"/>
        </w:rPr>
        <w:t>équité du système électoral à l</w:t>
      </w:r>
      <w:r>
        <w:rPr>
          <w:lang w:val="fr-CA"/>
        </w:rPr>
        <w:t>’</w:t>
      </w:r>
      <w:r w:rsidRPr="00BC2D48">
        <w:rPr>
          <w:lang w:val="fr-CA"/>
        </w:rPr>
        <w:t xml:space="preserve">égard des Canadiens résidents </w:t>
      </w:r>
      <w:r>
        <w:rPr>
          <w:lang w:val="fr-CA"/>
        </w:rPr>
        <w:t>(</w:t>
      </w:r>
      <w:proofErr w:type="spellStart"/>
      <w:r w:rsidRPr="00BC2D48">
        <w:rPr>
          <w:lang w:val="fr-CA"/>
        </w:rPr>
        <w:t>m</w:t>
      </w:r>
      <w:r>
        <w:rPr>
          <w:lang w:val="fr-CA"/>
        </w:rPr>
        <w:t>.</w:t>
      </w:r>
      <w:r w:rsidRPr="00BC2D48">
        <w:rPr>
          <w:lang w:val="fr-CA"/>
        </w:rPr>
        <w:t>i</w:t>
      </w:r>
      <w:proofErr w:type="spellEnd"/>
      <w:r>
        <w:rPr>
          <w:lang w:val="fr-CA"/>
        </w:rPr>
        <w:t>.</w:t>
      </w:r>
      <w:r w:rsidRPr="00BC2D48">
        <w:rPr>
          <w:lang w:val="fr-CA"/>
        </w:rPr>
        <w:t xml:space="preserve">, </w:t>
      </w:r>
      <w:r>
        <w:rPr>
          <w:lang w:val="fr-CA"/>
        </w:rPr>
        <w:t>par. </w:t>
      </w:r>
      <w:r w:rsidRPr="00BC2D48">
        <w:rPr>
          <w:lang w:val="fr-CA"/>
        </w:rPr>
        <w:t>1</w:t>
      </w:r>
      <w:r>
        <w:rPr>
          <w:lang w:val="fr-CA"/>
        </w:rPr>
        <w:t xml:space="preserve"> et</w:t>
      </w:r>
      <w:r w:rsidRPr="00BC2D48">
        <w:rPr>
          <w:lang w:val="fr-CA"/>
        </w:rPr>
        <w:t xml:space="preserve"> 55; </w:t>
      </w:r>
      <w:r>
        <w:rPr>
          <w:lang w:val="fr-CA"/>
        </w:rPr>
        <w:t>transcription, p. 82 et 84</w:t>
      </w:r>
      <w:r>
        <w:rPr>
          <w:lang w:val="fr-CA"/>
        </w:rPr>
        <w:noBreakHyphen/>
        <w:t>85)</w:t>
      </w:r>
      <w:r w:rsidRPr="00BC2D48">
        <w:rPr>
          <w:lang w:val="fr-CA"/>
        </w:rPr>
        <w:t>.</w:t>
      </w:r>
    </w:p>
    <w:p w:rsidR="001244E7" w:rsidRDefault="001244E7" w:rsidP="001244E7">
      <w:pPr>
        <w:pStyle w:val="ParaNoNdepar-AltN"/>
        <w:rPr>
          <w:lang w:val="fr-CA"/>
        </w:rPr>
      </w:pPr>
      <w:r w:rsidRPr="00BC2D48">
        <w:rPr>
          <w:lang w:val="fr-CA"/>
        </w:rPr>
        <w:t xml:space="preserve">Je suis disposé à </w:t>
      </w:r>
      <w:r>
        <w:rPr>
          <w:lang w:val="fr-CA"/>
        </w:rPr>
        <w:t>reconnaître</w:t>
      </w:r>
      <w:r w:rsidRPr="00BC2D48">
        <w:rPr>
          <w:lang w:val="fr-CA"/>
        </w:rPr>
        <w:t xml:space="preserve"> que le maintien de l</w:t>
      </w:r>
      <w:r>
        <w:rPr>
          <w:lang w:val="fr-CA"/>
        </w:rPr>
        <w:t>’</w:t>
      </w:r>
      <w:r w:rsidRPr="00BC2D48">
        <w:rPr>
          <w:lang w:val="fr-CA"/>
        </w:rPr>
        <w:t>équité du système électoral à l</w:t>
      </w:r>
      <w:r>
        <w:rPr>
          <w:lang w:val="fr-CA"/>
        </w:rPr>
        <w:t>’</w:t>
      </w:r>
      <w:r w:rsidRPr="00BC2D48">
        <w:rPr>
          <w:lang w:val="fr-CA"/>
        </w:rPr>
        <w:t>égard des Canadiens résidents est un objectif législatif suffisamment important pour justifier l</w:t>
      </w:r>
      <w:r>
        <w:rPr>
          <w:lang w:val="fr-CA"/>
        </w:rPr>
        <w:t>’</w:t>
      </w:r>
      <w:r w:rsidRPr="00BC2D48">
        <w:rPr>
          <w:lang w:val="fr-CA"/>
        </w:rPr>
        <w:t>analyse fondée sur l</w:t>
      </w:r>
      <w:r>
        <w:rPr>
          <w:lang w:val="fr-CA"/>
        </w:rPr>
        <w:t>’</w:t>
      </w:r>
      <w:r w:rsidRPr="00BC2D48">
        <w:rPr>
          <w:lang w:val="fr-CA"/>
        </w:rPr>
        <w:t xml:space="preserve">article premier. </w:t>
      </w:r>
      <w:r>
        <w:rPr>
          <w:lang w:val="fr-CA"/>
        </w:rPr>
        <w:t>Notre</w:t>
      </w:r>
      <w:r w:rsidRPr="00BC2D48">
        <w:rPr>
          <w:lang w:val="fr-CA"/>
        </w:rPr>
        <w:t xml:space="preserve"> Cour a accepté </w:t>
      </w:r>
      <w:r>
        <w:rPr>
          <w:lang w:val="fr-CA"/>
        </w:rPr>
        <w:t>par le passé</w:t>
      </w:r>
      <w:r w:rsidRPr="00BC2D48">
        <w:rPr>
          <w:lang w:val="fr-CA"/>
        </w:rPr>
        <w:t xml:space="preserve"> que des variantes de la promotion de l</w:t>
      </w:r>
      <w:r>
        <w:rPr>
          <w:lang w:val="fr-CA"/>
        </w:rPr>
        <w:t>’</w:t>
      </w:r>
      <w:r w:rsidRPr="00BC2D48">
        <w:rPr>
          <w:lang w:val="fr-CA"/>
        </w:rPr>
        <w:t>équité électorale et du maintien de l</w:t>
      </w:r>
      <w:r>
        <w:rPr>
          <w:lang w:val="fr-CA"/>
        </w:rPr>
        <w:t>’</w:t>
      </w:r>
      <w:r w:rsidRPr="00BC2D48">
        <w:rPr>
          <w:lang w:val="fr-CA"/>
        </w:rPr>
        <w:t xml:space="preserve">intégrité du processus électoral sont des objectifs urgents et réels dans le contexte du droit électoral (voir </w:t>
      </w:r>
      <w:r w:rsidRPr="00BC2D48">
        <w:rPr>
          <w:i/>
          <w:lang w:val="fr-CA"/>
        </w:rPr>
        <w:t>Bryan</w:t>
      </w:r>
      <w:r w:rsidRPr="002C0C30">
        <w:rPr>
          <w:lang w:val="fr-CA"/>
        </w:rPr>
        <w:t>,</w:t>
      </w:r>
      <w:r w:rsidRPr="00BC2D48">
        <w:rPr>
          <w:i/>
          <w:lang w:val="fr-CA"/>
        </w:rPr>
        <w:t xml:space="preserve"> </w:t>
      </w:r>
      <w:r>
        <w:rPr>
          <w:lang w:val="fr-CA"/>
        </w:rPr>
        <w:t>par. </w:t>
      </w:r>
      <w:r w:rsidRPr="00BC2D48">
        <w:rPr>
          <w:lang w:val="fr-CA"/>
        </w:rPr>
        <w:t>17</w:t>
      </w:r>
      <w:r>
        <w:rPr>
          <w:lang w:val="fr-CA"/>
        </w:rPr>
        <w:noBreakHyphen/>
      </w:r>
      <w:r w:rsidRPr="00BC2D48">
        <w:rPr>
          <w:lang w:val="fr-CA"/>
        </w:rPr>
        <w:t xml:space="preserve">19; </w:t>
      </w:r>
      <w:r>
        <w:rPr>
          <w:i/>
          <w:lang w:val="fr-CA"/>
        </w:rPr>
        <w:t>Harper</w:t>
      </w:r>
      <w:r>
        <w:rPr>
          <w:lang w:val="fr-CA"/>
        </w:rPr>
        <w:t>,</w:t>
      </w:r>
      <w:r w:rsidRPr="00BC2D48">
        <w:rPr>
          <w:lang w:val="fr-CA"/>
        </w:rPr>
        <w:t xml:space="preserve"> </w:t>
      </w:r>
      <w:r>
        <w:rPr>
          <w:lang w:val="fr-CA"/>
        </w:rPr>
        <w:t>par. 91</w:t>
      </w:r>
      <w:r>
        <w:rPr>
          <w:lang w:val="fr-CA"/>
        </w:rPr>
        <w:noBreakHyphen/>
        <w:t>92</w:t>
      </w:r>
      <w:r w:rsidRPr="00BC2D48">
        <w:rPr>
          <w:lang w:val="fr-CA"/>
        </w:rPr>
        <w:t xml:space="preserve">; </w:t>
      </w:r>
      <w:r w:rsidRPr="00BC2D48">
        <w:rPr>
          <w:i/>
          <w:lang w:val="fr-CA"/>
        </w:rPr>
        <w:t>Harvey</w:t>
      </w:r>
      <w:r w:rsidRPr="00BC2D48">
        <w:rPr>
          <w:lang w:val="fr-CA"/>
        </w:rPr>
        <w:t xml:space="preserve">, </w:t>
      </w:r>
      <w:r>
        <w:rPr>
          <w:lang w:val="fr-CA"/>
        </w:rPr>
        <w:t>par. </w:t>
      </w:r>
      <w:r w:rsidRPr="00BC2D48">
        <w:rPr>
          <w:lang w:val="fr-CA"/>
        </w:rPr>
        <w:t>38).</w:t>
      </w:r>
      <w:r>
        <w:rPr>
          <w:lang w:val="fr-CA"/>
        </w:rPr>
        <w:t xml:space="preserve"> Bien que je sois conscient que l’objet des dispositions attaquées est d’assurer une plus grande équité électorale à l’égard de </w:t>
      </w:r>
      <w:r w:rsidRPr="00496B87">
        <w:rPr>
          <w:i/>
          <w:lang w:val="fr-CA"/>
        </w:rPr>
        <w:t>certains</w:t>
      </w:r>
      <w:r>
        <w:rPr>
          <w:lang w:val="fr-CA"/>
        </w:rPr>
        <w:t xml:space="preserve"> Canadiens seulement —</w:t>
      </w:r>
      <w:r>
        <w:rPr>
          <w:lang w:val="fr-CA" w:bidi="en-US"/>
        </w:rPr>
        <w:t xml:space="preserve"> </w:t>
      </w:r>
      <w:r>
        <w:rPr>
          <w:lang w:val="fr-CA"/>
        </w:rPr>
        <w:t>plutôt que de renforcer la santé du système électoral en général —</w:t>
      </w:r>
      <w:r>
        <w:rPr>
          <w:lang w:val="fr-CA" w:bidi="en-US"/>
        </w:rPr>
        <w:t xml:space="preserve"> </w:t>
      </w:r>
      <w:r>
        <w:rPr>
          <w:lang w:val="fr-CA"/>
        </w:rPr>
        <w:t>j’</w:t>
      </w:r>
      <w:r w:rsidRPr="00BC2D48">
        <w:rPr>
          <w:lang w:val="fr-CA"/>
        </w:rPr>
        <w:t>admet</w:t>
      </w:r>
      <w:r>
        <w:rPr>
          <w:lang w:val="fr-CA"/>
        </w:rPr>
        <w:t>s</w:t>
      </w:r>
      <w:r w:rsidRPr="00BC2D48">
        <w:rPr>
          <w:lang w:val="fr-CA"/>
        </w:rPr>
        <w:t xml:space="preserve"> que le maintien de l</w:t>
      </w:r>
      <w:r>
        <w:rPr>
          <w:lang w:val="fr-CA"/>
        </w:rPr>
        <w:t>’</w:t>
      </w:r>
      <w:r w:rsidRPr="00BC2D48">
        <w:rPr>
          <w:lang w:val="fr-CA"/>
        </w:rPr>
        <w:t xml:space="preserve">intégrité et de </w:t>
      </w:r>
      <w:r w:rsidRPr="00BC2D48">
        <w:rPr>
          <w:lang w:val="fr-CA"/>
        </w:rPr>
        <w:lastRenderedPageBreak/>
        <w:t>l</w:t>
      </w:r>
      <w:r>
        <w:rPr>
          <w:lang w:val="fr-CA"/>
        </w:rPr>
        <w:t>’</w:t>
      </w:r>
      <w:r w:rsidRPr="00BC2D48">
        <w:rPr>
          <w:lang w:val="fr-CA"/>
        </w:rPr>
        <w:t xml:space="preserve">équité du </w:t>
      </w:r>
      <w:r>
        <w:rPr>
          <w:lang w:val="fr-CA"/>
        </w:rPr>
        <w:t>système</w:t>
      </w:r>
      <w:r w:rsidRPr="00BC2D48">
        <w:rPr>
          <w:lang w:val="fr-CA"/>
        </w:rPr>
        <w:t xml:space="preserve"> électoral </w:t>
      </w:r>
      <w:r>
        <w:rPr>
          <w:lang w:val="fr-CA"/>
        </w:rPr>
        <w:t>peut constituer</w:t>
      </w:r>
      <w:r w:rsidRPr="00BC2D48">
        <w:rPr>
          <w:lang w:val="fr-CA"/>
        </w:rPr>
        <w:t xml:space="preserve"> une préoccupation urgente et réelle</w:t>
      </w:r>
      <w:r>
        <w:rPr>
          <w:lang w:val="fr-CA"/>
        </w:rPr>
        <w:t>, et ce, même si les mesures prises pour atteindre cet objectif portent atteinte aux droits démocratiques d’autres citoyens</w:t>
      </w:r>
      <w:r w:rsidRPr="00BC2D48">
        <w:rPr>
          <w:lang w:val="fr-CA"/>
        </w:rPr>
        <w:t xml:space="preserve"> (</w:t>
      </w:r>
      <w:r w:rsidRPr="0060415A">
        <w:rPr>
          <w:i/>
          <w:lang w:val="fr-CA"/>
        </w:rPr>
        <w:t>Harper</w:t>
      </w:r>
      <w:r>
        <w:rPr>
          <w:lang w:val="fr-CA"/>
        </w:rPr>
        <w:t xml:space="preserve">, par. 91; </w:t>
      </w:r>
      <w:r w:rsidRPr="00BC2D48">
        <w:rPr>
          <w:i/>
          <w:lang w:val="fr-CA"/>
        </w:rPr>
        <w:t>Harvey</w:t>
      </w:r>
      <w:r w:rsidRPr="00BC2D48">
        <w:rPr>
          <w:lang w:val="fr-CA"/>
        </w:rPr>
        <w:t xml:space="preserve">, </w:t>
      </w:r>
      <w:r>
        <w:rPr>
          <w:lang w:val="fr-CA"/>
        </w:rPr>
        <w:t>par. </w:t>
      </w:r>
      <w:r w:rsidRPr="00BC2D48">
        <w:rPr>
          <w:lang w:val="fr-CA"/>
        </w:rPr>
        <w:t>38</w:t>
      </w:r>
      <w:r>
        <w:rPr>
          <w:lang w:val="fr-CA"/>
        </w:rPr>
        <w:t>;</w:t>
      </w:r>
      <w:r w:rsidRPr="00BC2D48">
        <w:rPr>
          <w:lang w:val="fr-CA"/>
        </w:rPr>
        <w:t xml:space="preserve"> </w:t>
      </w:r>
      <w:r w:rsidRPr="00BC2D48">
        <w:rPr>
          <w:i/>
          <w:lang w:val="fr-CA"/>
        </w:rPr>
        <w:t>Bryan</w:t>
      </w:r>
      <w:r w:rsidRPr="00BC2D48">
        <w:rPr>
          <w:lang w:val="fr-CA"/>
        </w:rPr>
        <w:t xml:space="preserve">, </w:t>
      </w:r>
      <w:r>
        <w:rPr>
          <w:lang w:val="fr-CA"/>
        </w:rPr>
        <w:t>par. </w:t>
      </w:r>
      <w:r w:rsidRPr="00BC2D48">
        <w:rPr>
          <w:lang w:val="fr-CA"/>
        </w:rPr>
        <w:t>33</w:t>
      </w:r>
      <w:r>
        <w:rPr>
          <w:lang w:val="fr-CA"/>
        </w:rPr>
        <w:noBreakHyphen/>
      </w:r>
      <w:r w:rsidRPr="00BC2D48">
        <w:rPr>
          <w:lang w:val="fr-CA"/>
        </w:rPr>
        <w:t>34)</w:t>
      </w:r>
      <w:r>
        <w:rPr>
          <w:lang w:val="fr-CA"/>
        </w:rPr>
        <w:t>.</w:t>
      </w:r>
    </w:p>
    <w:p w:rsidR="001244E7" w:rsidRPr="00BC2D48" w:rsidRDefault="001244E7" w:rsidP="001244E7">
      <w:pPr>
        <w:pStyle w:val="ParaNoNdepar-AltN"/>
        <w:rPr>
          <w:lang w:val="fr-CA"/>
        </w:rPr>
      </w:pPr>
      <w:r>
        <w:rPr>
          <w:lang w:val="fr-CA"/>
        </w:rPr>
        <w:t>L’objectif consistant à</w:t>
      </w:r>
      <w:r w:rsidRPr="00BC2D48">
        <w:rPr>
          <w:lang w:val="fr-CA"/>
        </w:rPr>
        <w:t xml:space="preserve"> maintenir l</w:t>
      </w:r>
      <w:r>
        <w:rPr>
          <w:lang w:val="fr-CA"/>
        </w:rPr>
        <w:t>’</w:t>
      </w:r>
      <w:r w:rsidRPr="00BC2D48">
        <w:rPr>
          <w:lang w:val="fr-CA"/>
        </w:rPr>
        <w:t xml:space="preserve">équité du </w:t>
      </w:r>
      <w:r>
        <w:rPr>
          <w:lang w:val="fr-CA"/>
        </w:rPr>
        <w:t>systè</w:t>
      </w:r>
      <w:r w:rsidRPr="00BC2D48">
        <w:rPr>
          <w:lang w:val="fr-CA"/>
        </w:rPr>
        <w:t>me élector</w:t>
      </w:r>
      <w:r>
        <w:rPr>
          <w:lang w:val="fr-CA"/>
        </w:rPr>
        <w:t>al est fort différent de celui visant à</w:t>
      </w:r>
      <w:r w:rsidRPr="00BC2D48">
        <w:rPr>
          <w:lang w:val="fr-CA"/>
        </w:rPr>
        <w:t xml:space="preserve"> </w:t>
      </w:r>
      <w:r>
        <w:rPr>
          <w:lang w:val="fr-CA"/>
        </w:rPr>
        <w:t>préserver</w:t>
      </w:r>
      <w:r w:rsidRPr="00BC2D48">
        <w:rPr>
          <w:lang w:val="fr-CA"/>
        </w:rPr>
        <w:t xml:space="preserve"> le contrat soci</w:t>
      </w:r>
      <w:r>
        <w:rPr>
          <w:lang w:val="fr-CA"/>
        </w:rPr>
        <w:t xml:space="preserve">al. </w:t>
      </w:r>
      <w:r w:rsidRPr="00BC2D48">
        <w:rPr>
          <w:lang w:val="fr-CA"/>
        </w:rPr>
        <w:t xml:space="preserve">Alors que ce dernier </w:t>
      </w:r>
      <w:r>
        <w:rPr>
          <w:lang w:val="fr-CA"/>
        </w:rPr>
        <w:t>comporte</w:t>
      </w:r>
      <w:r w:rsidRPr="00BC2D48">
        <w:rPr>
          <w:lang w:val="fr-CA"/>
        </w:rPr>
        <w:t xml:space="preserve"> une vague philosophie politique, le premier soulève des préoccupations quant à l</w:t>
      </w:r>
      <w:r>
        <w:rPr>
          <w:lang w:val="fr-CA"/>
        </w:rPr>
        <w:t>’</w:t>
      </w:r>
      <w:r w:rsidRPr="00BC2D48">
        <w:rPr>
          <w:lang w:val="fr-CA"/>
        </w:rPr>
        <w:t xml:space="preserve">intégrité du </w:t>
      </w:r>
      <w:r>
        <w:rPr>
          <w:lang w:val="fr-CA"/>
        </w:rPr>
        <w:t>système électoral et n’est pas</w:t>
      </w:r>
      <w:r w:rsidRPr="00BC2D48">
        <w:rPr>
          <w:lang w:val="fr-CA"/>
        </w:rPr>
        <w:t xml:space="preserve"> large ou symbolique </w:t>
      </w:r>
      <w:r>
        <w:rPr>
          <w:lang w:val="fr-CA"/>
        </w:rPr>
        <w:t>au point d’être</w:t>
      </w:r>
      <w:r w:rsidRPr="00BC2D48">
        <w:rPr>
          <w:lang w:val="fr-CA"/>
        </w:rPr>
        <w:t xml:space="preserve"> à l</w:t>
      </w:r>
      <w:r>
        <w:rPr>
          <w:lang w:val="fr-CA"/>
        </w:rPr>
        <w:t>’</w:t>
      </w:r>
      <w:r w:rsidRPr="00BC2D48">
        <w:rPr>
          <w:lang w:val="fr-CA"/>
        </w:rPr>
        <w:t xml:space="preserve">abri de </w:t>
      </w:r>
      <w:r>
        <w:rPr>
          <w:lang w:val="fr-CA"/>
        </w:rPr>
        <w:t xml:space="preserve">tout </w:t>
      </w:r>
      <w:r w:rsidRPr="00BC2D48">
        <w:rPr>
          <w:lang w:val="fr-CA"/>
        </w:rPr>
        <w:t>contrôle. L</w:t>
      </w:r>
      <w:r>
        <w:rPr>
          <w:lang w:val="fr-CA"/>
        </w:rPr>
        <w:t>’</w:t>
      </w:r>
      <w:r w:rsidRPr="00BC2D48">
        <w:rPr>
          <w:lang w:val="fr-CA"/>
        </w:rPr>
        <w:t>objectif d</w:t>
      </w:r>
      <w:r>
        <w:rPr>
          <w:lang w:val="fr-CA"/>
        </w:rPr>
        <w:t>’</w:t>
      </w:r>
      <w:r w:rsidRPr="00BC2D48">
        <w:rPr>
          <w:lang w:val="fr-CA"/>
        </w:rPr>
        <w:t xml:space="preserve">équité que soulève le </w:t>
      </w:r>
      <w:r>
        <w:rPr>
          <w:lang w:val="fr-CA"/>
        </w:rPr>
        <w:t>PGC</w:t>
      </w:r>
      <w:r w:rsidRPr="00BC2D48">
        <w:rPr>
          <w:lang w:val="fr-CA"/>
        </w:rPr>
        <w:t xml:space="preserve"> et les mécanismes </w:t>
      </w:r>
      <w:r>
        <w:rPr>
          <w:lang w:val="fr-CA"/>
        </w:rPr>
        <w:t>servant à son</w:t>
      </w:r>
      <w:r w:rsidRPr="00BC2D48">
        <w:rPr>
          <w:lang w:val="fr-CA"/>
        </w:rPr>
        <w:t xml:space="preserve"> </w:t>
      </w:r>
      <w:r>
        <w:rPr>
          <w:lang w:val="fr-CA"/>
        </w:rPr>
        <w:t>interprétation</w:t>
      </w:r>
      <w:r w:rsidRPr="00BC2D48">
        <w:rPr>
          <w:lang w:val="fr-CA"/>
        </w:rPr>
        <w:t xml:space="preserve"> sont suffisamment précis pour</w:t>
      </w:r>
      <w:r>
        <w:rPr>
          <w:lang w:val="fr-CA"/>
        </w:rPr>
        <w:t xml:space="preserve"> que la Cour procède à </w:t>
      </w:r>
      <w:r w:rsidRPr="00BC2D48">
        <w:rPr>
          <w:lang w:val="fr-CA"/>
        </w:rPr>
        <w:t>l</w:t>
      </w:r>
      <w:r>
        <w:rPr>
          <w:lang w:val="fr-CA"/>
        </w:rPr>
        <w:t>’</w:t>
      </w:r>
      <w:r w:rsidRPr="00BC2D48">
        <w:rPr>
          <w:lang w:val="fr-CA"/>
        </w:rPr>
        <w:t>analyse de la justification.</w:t>
      </w:r>
      <w:r>
        <w:rPr>
          <w:lang w:val="fr-CA"/>
        </w:rPr>
        <w:t xml:space="preserve"> Même si l’</w:t>
      </w:r>
      <w:r w:rsidRPr="00BC2D48">
        <w:rPr>
          <w:lang w:val="fr-CA"/>
        </w:rPr>
        <w:t>importance d</w:t>
      </w:r>
      <w:r>
        <w:rPr>
          <w:lang w:val="fr-CA"/>
        </w:rPr>
        <w:t>’</w:t>
      </w:r>
      <w:r w:rsidRPr="00BC2D48">
        <w:rPr>
          <w:lang w:val="fr-CA"/>
        </w:rPr>
        <w:t>assurer l</w:t>
      </w:r>
      <w:r>
        <w:rPr>
          <w:lang w:val="fr-CA"/>
        </w:rPr>
        <w:t>’</w:t>
      </w:r>
      <w:r w:rsidRPr="00BC2D48">
        <w:rPr>
          <w:lang w:val="fr-CA"/>
        </w:rPr>
        <w:t>éq</w:t>
      </w:r>
      <w:r>
        <w:rPr>
          <w:lang w:val="fr-CA"/>
        </w:rPr>
        <w:t>uité du système électoral et, ainsi</w:t>
      </w:r>
      <w:r w:rsidRPr="00BC2D48">
        <w:rPr>
          <w:lang w:val="fr-CA"/>
        </w:rPr>
        <w:t xml:space="preserve">, de maintenir la confiance du public à son égard peut être difficile à prouver empiriquement, </w:t>
      </w:r>
      <w:r>
        <w:rPr>
          <w:lang w:val="fr-CA"/>
        </w:rPr>
        <w:t xml:space="preserve">il peut néanmoins s’agir d’un </w:t>
      </w:r>
      <w:r w:rsidRPr="00BC2D48">
        <w:rPr>
          <w:lang w:val="fr-CA"/>
        </w:rPr>
        <w:t>objectif urgent et réel dans le contexte du droit électoral (</w:t>
      </w:r>
      <w:r w:rsidRPr="00BC2D48">
        <w:rPr>
          <w:i/>
          <w:lang w:val="fr-CA"/>
        </w:rPr>
        <w:t>Bryan</w:t>
      </w:r>
      <w:r w:rsidRPr="00BC2D48">
        <w:rPr>
          <w:lang w:val="fr-CA"/>
        </w:rPr>
        <w:t xml:space="preserve">, </w:t>
      </w:r>
      <w:r>
        <w:rPr>
          <w:lang w:val="fr-CA"/>
        </w:rPr>
        <w:t>par. </w:t>
      </w:r>
      <w:r w:rsidRPr="00BC2D48">
        <w:rPr>
          <w:lang w:val="fr-CA"/>
        </w:rPr>
        <w:t>19</w:t>
      </w:r>
      <w:r>
        <w:rPr>
          <w:lang w:val="fr-CA"/>
        </w:rPr>
        <w:t xml:space="preserve"> et</w:t>
      </w:r>
      <w:r w:rsidRPr="00BC2D48">
        <w:rPr>
          <w:lang w:val="fr-CA"/>
        </w:rPr>
        <w:t xml:space="preserve"> 22).</w:t>
      </w:r>
    </w:p>
    <w:p w:rsidR="001244E7" w:rsidRPr="00BC2D48" w:rsidRDefault="001244E7" w:rsidP="001244E7">
      <w:pPr>
        <w:pStyle w:val="ParaNoNdepar-AltN"/>
        <w:rPr>
          <w:lang w:val="fr-CA"/>
        </w:rPr>
      </w:pPr>
      <w:r w:rsidRPr="00BC2D48">
        <w:rPr>
          <w:lang w:val="fr-CA"/>
        </w:rPr>
        <w:t xml:space="preserve">Le texte des dispositions contestées reflète </w:t>
      </w:r>
      <w:r>
        <w:rPr>
          <w:lang w:val="fr-CA"/>
        </w:rPr>
        <w:t>l’</w:t>
      </w:r>
      <w:r w:rsidRPr="00BC2D48">
        <w:rPr>
          <w:lang w:val="fr-CA"/>
        </w:rPr>
        <w:t xml:space="preserve">intention </w:t>
      </w:r>
      <w:r>
        <w:rPr>
          <w:lang w:val="fr-CA"/>
        </w:rPr>
        <w:t xml:space="preserve">du législateur </w:t>
      </w:r>
      <w:r w:rsidRPr="00BC2D48">
        <w:rPr>
          <w:lang w:val="fr-CA"/>
        </w:rPr>
        <w:t>d</w:t>
      </w:r>
      <w:r>
        <w:rPr>
          <w:lang w:val="fr-CA"/>
        </w:rPr>
        <w:t>’</w:t>
      </w:r>
      <w:r w:rsidRPr="00BC2D48">
        <w:rPr>
          <w:lang w:val="fr-CA"/>
        </w:rPr>
        <w:t xml:space="preserve">établir un lien entre les électeurs </w:t>
      </w:r>
      <w:proofErr w:type="spellStart"/>
      <w:r w:rsidRPr="00BC2D48">
        <w:rPr>
          <w:lang w:val="fr-CA"/>
        </w:rPr>
        <w:t>non</w:t>
      </w:r>
      <w:r>
        <w:rPr>
          <w:lang w:val="fr-CA"/>
        </w:rPr>
        <w:t xml:space="preserve"> </w:t>
      </w:r>
      <w:r w:rsidRPr="00BC2D48">
        <w:rPr>
          <w:lang w:val="fr-CA"/>
        </w:rPr>
        <w:t>résidents</w:t>
      </w:r>
      <w:proofErr w:type="spellEnd"/>
      <w:r w:rsidRPr="00BC2D48">
        <w:rPr>
          <w:lang w:val="fr-CA"/>
        </w:rPr>
        <w:t xml:space="preserve"> et le Canada, que ce soit par la nature de l</w:t>
      </w:r>
      <w:r>
        <w:rPr>
          <w:lang w:val="fr-CA"/>
        </w:rPr>
        <w:t>’</w:t>
      </w:r>
      <w:r w:rsidRPr="00BC2D48">
        <w:rPr>
          <w:lang w:val="fr-CA"/>
        </w:rPr>
        <w:t>emploi de l</w:t>
      </w:r>
      <w:r>
        <w:rPr>
          <w:lang w:val="fr-CA"/>
        </w:rPr>
        <w:t>’</w:t>
      </w:r>
      <w:r w:rsidRPr="00BC2D48">
        <w:rPr>
          <w:lang w:val="fr-CA"/>
        </w:rPr>
        <w:t xml:space="preserve">électeur ou en limitant </w:t>
      </w:r>
      <w:r>
        <w:rPr>
          <w:lang w:val="fr-CA"/>
        </w:rPr>
        <w:t xml:space="preserve">la période acceptée de </w:t>
      </w:r>
      <w:proofErr w:type="spellStart"/>
      <w:r>
        <w:rPr>
          <w:lang w:val="fr-CA"/>
        </w:rPr>
        <w:t>non</w:t>
      </w:r>
      <w:r>
        <w:rPr>
          <w:lang w:val="fr-CA"/>
        </w:rPr>
        <w:noBreakHyphen/>
      </w:r>
      <w:r w:rsidRPr="00BC2D48">
        <w:rPr>
          <w:lang w:val="fr-CA"/>
        </w:rPr>
        <w:t>résidence</w:t>
      </w:r>
      <w:proofErr w:type="spellEnd"/>
      <w:r w:rsidRPr="00BC2D48">
        <w:rPr>
          <w:lang w:val="fr-CA"/>
        </w:rPr>
        <w:t xml:space="preserve"> et en </w:t>
      </w:r>
      <w:r>
        <w:rPr>
          <w:lang w:val="fr-CA"/>
        </w:rPr>
        <w:t>exigeant</w:t>
      </w:r>
      <w:r w:rsidRPr="00BC2D48">
        <w:rPr>
          <w:lang w:val="fr-CA"/>
        </w:rPr>
        <w:t xml:space="preserve"> que l</w:t>
      </w:r>
      <w:r>
        <w:rPr>
          <w:lang w:val="fr-CA"/>
        </w:rPr>
        <w:t>’</w:t>
      </w:r>
      <w:r w:rsidRPr="00BC2D48">
        <w:rPr>
          <w:lang w:val="fr-CA"/>
        </w:rPr>
        <w:t xml:space="preserve">électeur </w:t>
      </w:r>
      <w:r>
        <w:rPr>
          <w:lang w:val="fr-CA"/>
        </w:rPr>
        <w:t>ait l’intention de</w:t>
      </w:r>
      <w:r w:rsidRPr="00BC2D48">
        <w:rPr>
          <w:lang w:val="fr-CA"/>
        </w:rPr>
        <w:t xml:space="preserve"> revenir résider au Canada (</w:t>
      </w:r>
      <w:r>
        <w:rPr>
          <w:lang w:val="fr-CA"/>
        </w:rPr>
        <w:t>art. </w:t>
      </w:r>
      <w:r w:rsidRPr="00BC2D48">
        <w:rPr>
          <w:lang w:val="fr-CA"/>
        </w:rPr>
        <w:t>11</w:t>
      </w:r>
      <w:r>
        <w:rPr>
          <w:lang w:val="fr-CA"/>
        </w:rPr>
        <w:t xml:space="preserve"> de la Loi</w:t>
      </w:r>
      <w:r w:rsidRPr="00BC2D48">
        <w:rPr>
          <w:lang w:val="fr-CA"/>
        </w:rPr>
        <w:t xml:space="preserve">). Je conviens que ces </w:t>
      </w:r>
      <w:r>
        <w:rPr>
          <w:lang w:val="fr-CA"/>
        </w:rPr>
        <w:t>exigences</w:t>
      </w:r>
      <w:r w:rsidRPr="00BC2D48">
        <w:rPr>
          <w:lang w:val="fr-CA"/>
        </w:rPr>
        <w:t xml:space="preserve"> </w:t>
      </w:r>
      <w:r>
        <w:rPr>
          <w:lang w:val="fr-CA"/>
        </w:rPr>
        <w:t>ont pour but de</w:t>
      </w:r>
      <w:r w:rsidRPr="00BC2D48">
        <w:rPr>
          <w:lang w:val="fr-CA"/>
        </w:rPr>
        <w:t xml:space="preserve"> réaliser l</w:t>
      </w:r>
      <w:r>
        <w:rPr>
          <w:lang w:val="fr-CA"/>
        </w:rPr>
        <w:t>’</w:t>
      </w:r>
      <w:r w:rsidRPr="00BC2D48">
        <w:rPr>
          <w:lang w:val="fr-CA"/>
        </w:rPr>
        <w:t xml:space="preserve">objectif primordial </w:t>
      </w:r>
      <w:r>
        <w:rPr>
          <w:lang w:val="fr-CA"/>
        </w:rPr>
        <w:t>consistant à</w:t>
      </w:r>
      <w:r w:rsidRPr="00BC2D48">
        <w:rPr>
          <w:lang w:val="fr-CA"/>
        </w:rPr>
        <w:t xml:space="preserve"> maintenir l</w:t>
      </w:r>
      <w:r>
        <w:rPr>
          <w:lang w:val="fr-CA"/>
        </w:rPr>
        <w:t>’</w:t>
      </w:r>
      <w:r w:rsidRPr="00BC2D48">
        <w:rPr>
          <w:lang w:val="fr-CA"/>
        </w:rPr>
        <w:t xml:space="preserve">équité du </w:t>
      </w:r>
      <w:r>
        <w:rPr>
          <w:lang w:val="fr-CA"/>
        </w:rPr>
        <w:t>système</w:t>
      </w:r>
      <w:r w:rsidRPr="00BC2D48">
        <w:rPr>
          <w:lang w:val="fr-CA"/>
        </w:rPr>
        <w:t xml:space="preserve"> électoral à l</w:t>
      </w:r>
      <w:r>
        <w:rPr>
          <w:lang w:val="fr-CA"/>
        </w:rPr>
        <w:t>’</w:t>
      </w:r>
      <w:r w:rsidRPr="00BC2D48">
        <w:rPr>
          <w:lang w:val="fr-CA"/>
        </w:rPr>
        <w:t xml:space="preserve">égard des électeurs </w:t>
      </w:r>
      <w:r>
        <w:rPr>
          <w:lang w:val="fr-CA"/>
        </w:rPr>
        <w:t>résidents</w:t>
      </w:r>
      <w:r w:rsidRPr="00BC2D48">
        <w:rPr>
          <w:lang w:val="fr-CA"/>
        </w:rPr>
        <w:t xml:space="preserve">. </w:t>
      </w:r>
      <w:r>
        <w:rPr>
          <w:lang w:val="fr-CA"/>
        </w:rPr>
        <w:t>L</w:t>
      </w:r>
      <w:r w:rsidRPr="00BC2D48">
        <w:rPr>
          <w:lang w:val="fr-CA"/>
        </w:rPr>
        <w:t xml:space="preserve">e </w:t>
      </w:r>
      <w:r>
        <w:rPr>
          <w:lang w:val="fr-CA"/>
        </w:rPr>
        <w:t>PGC</w:t>
      </w:r>
      <w:r w:rsidRPr="00BC2D48">
        <w:rPr>
          <w:lang w:val="fr-CA"/>
        </w:rPr>
        <w:t xml:space="preserve"> </w:t>
      </w:r>
      <w:r>
        <w:rPr>
          <w:lang w:val="fr-CA"/>
        </w:rPr>
        <w:t>fait valoir que</w:t>
      </w:r>
      <w:r w:rsidRPr="00BC2D48">
        <w:rPr>
          <w:lang w:val="fr-CA"/>
        </w:rPr>
        <w:t xml:space="preserve"> le maintien de l</w:t>
      </w:r>
      <w:r>
        <w:rPr>
          <w:lang w:val="fr-CA"/>
        </w:rPr>
        <w:t>’</w:t>
      </w:r>
      <w:r w:rsidRPr="00BC2D48">
        <w:rPr>
          <w:lang w:val="fr-CA"/>
        </w:rPr>
        <w:t xml:space="preserve">équité du </w:t>
      </w:r>
      <w:r>
        <w:rPr>
          <w:lang w:val="fr-CA"/>
        </w:rPr>
        <w:t>systè</w:t>
      </w:r>
      <w:r w:rsidRPr="00BC2D48">
        <w:rPr>
          <w:lang w:val="fr-CA"/>
        </w:rPr>
        <w:t>me électoral à l</w:t>
      </w:r>
      <w:r>
        <w:rPr>
          <w:lang w:val="fr-CA"/>
        </w:rPr>
        <w:t>’</w:t>
      </w:r>
      <w:r w:rsidRPr="00BC2D48">
        <w:rPr>
          <w:lang w:val="fr-CA"/>
        </w:rPr>
        <w:t xml:space="preserve">égard des électeurs résidents </w:t>
      </w:r>
      <w:r>
        <w:rPr>
          <w:lang w:val="fr-CA"/>
        </w:rPr>
        <w:t xml:space="preserve">se fait grâce à un lien suffisant entre </w:t>
      </w:r>
      <w:r w:rsidRPr="00BC2D48">
        <w:rPr>
          <w:lang w:val="fr-CA"/>
        </w:rPr>
        <w:t xml:space="preserve">les électeurs </w:t>
      </w:r>
      <w:proofErr w:type="spellStart"/>
      <w:r w:rsidRPr="00BC2D48">
        <w:rPr>
          <w:lang w:val="fr-CA"/>
        </w:rPr>
        <w:t>non</w:t>
      </w:r>
      <w:r>
        <w:rPr>
          <w:lang w:val="fr-CA"/>
        </w:rPr>
        <w:t xml:space="preserve"> </w:t>
      </w:r>
      <w:r w:rsidRPr="00BC2D48">
        <w:rPr>
          <w:lang w:val="fr-CA"/>
        </w:rPr>
        <w:t>réside</w:t>
      </w:r>
      <w:r>
        <w:rPr>
          <w:lang w:val="fr-CA"/>
        </w:rPr>
        <w:t>nts</w:t>
      </w:r>
      <w:proofErr w:type="spellEnd"/>
      <w:r w:rsidRPr="00BC2D48">
        <w:rPr>
          <w:lang w:val="fr-CA"/>
        </w:rPr>
        <w:t xml:space="preserve"> </w:t>
      </w:r>
      <w:r>
        <w:rPr>
          <w:lang w:val="fr-CA"/>
        </w:rPr>
        <w:t>et le</w:t>
      </w:r>
      <w:r w:rsidRPr="00BC2D48">
        <w:rPr>
          <w:lang w:val="fr-CA"/>
        </w:rPr>
        <w:t xml:space="preserve"> Canada, tant</w:t>
      </w:r>
      <w:r>
        <w:rPr>
          <w:lang w:val="fr-CA"/>
        </w:rPr>
        <w:t xml:space="preserve"> en ce </w:t>
      </w:r>
      <w:r>
        <w:rPr>
          <w:lang w:val="fr-CA"/>
        </w:rPr>
        <w:lastRenderedPageBreak/>
        <w:t xml:space="preserve">qui concerne la portée </w:t>
      </w:r>
      <w:r w:rsidRPr="00BC2D48">
        <w:rPr>
          <w:lang w:val="fr-CA"/>
        </w:rPr>
        <w:t>de leur engagement subjectif à l</w:t>
      </w:r>
      <w:r>
        <w:rPr>
          <w:lang w:val="fr-CA"/>
        </w:rPr>
        <w:t>’</w:t>
      </w:r>
      <w:r w:rsidRPr="00BC2D48">
        <w:rPr>
          <w:lang w:val="fr-CA"/>
        </w:rPr>
        <w:t xml:space="preserve">égard du pays </w:t>
      </w:r>
      <w:r>
        <w:rPr>
          <w:lang w:val="fr-CA"/>
        </w:rPr>
        <w:t>que la mesure dans laquelle</w:t>
      </w:r>
      <w:r w:rsidRPr="00BC2D48">
        <w:rPr>
          <w:lang w:val="fr-CA"/>
        </w:rPr>
        <w:t xml:space="preserve"> ils sont touchés par les lois canadiennes. Ces </w:t>
      </w:r>
      <w:r>
        <w:rPr>
          <w:lang w:val="fr-CA"/>
        </w:rPr>
        <w:t xml:space="preserve">deux </w:t>
      </w:r>
      <w:r w:rsidRPr="00BC2D48">
        <w:rPr>
          <w:lang w:val="fr-CA"/>
        </w:rPr>
        <w:t>aspects reflètent en grande partie l</w:t>
      </w:r>
      <w:r>
        <w:rPr>
          <w:lang w:val="fr-CA"/>
        </w:rPr>
        <w:t>’</w:t>
      </w:r>
      <w:r w:rsidRPr="00BC2D48">
        <w:rPr>
          <w:lang w:val="fr-CA"/>
        </w:rPr>
        <w:t>objectif d</w:t>
      </w:r>
      <w:r>
        <w:rPr>
          <w:lang w:val="fr-CA"/>
        </w:rPr>
        <w:t>’</w:t>
      </w:r>
      <w:r w:rsidRPr="00BC2D48">
        <w:rPr>
          <w:lang w:val="fr-CA"/>
        </w:rPr>
        <w:t xml:space="preserve">équité formulé par le </w:t>
      </w:r>
      <w:r>
        <w:rPr>
          <w:lang w:val="fr-CA"/>
        </w:rPr>
        <w:t>PGC</w:t>
      </w:r>
      <w:r w:rsidRPr="00BC2D48">
        <w:rPr>
          <w:lang w:val="fr-CA"/>
        </w:rPr>
        <w:t xml:space="preserve"> dans sa demande initiale, qui soul</w:t>
      </w:r>
      <w:r>
        <w:rPr>
          <w:lang w:val="fr-CA"/>
        </w:rPr>
        <w:t>evait</w:t>
      </w:r>
      <w:r w:rsidRPr="00BC2D48">
        <w:rPr>
          <w:lang w:val="fr-CA"/>
        </w:rPr>
        <w:t xml:space="preserve"> </w:t>
      </w:r>
      <w:r>
        <w:rPr>
          <w:lang w:val="fr-CA"/>
        </w:rPr>
        <w:t>des</w:t>
      </w:r>
      <w:r w:rsidRPr="00BC2D48">
        <w:rPr>
          <w:lang w:val="fr-CA"/>
        </w:rPr>
        <w:t xml:space="preserve"> préoccupations</w:t>
      </w:r>
      <w:r>
        <w:rPr>
          <w:lang w:val="fr-CA"/>
        </w:rPr>
        <w:t xml:space="preserve"> comme </w:t>
      </w:r>
      <w:r w:rsidRPr="00BC2D48">
        <w:rPr>
          <w:lang w:val="fr-CA"/>
        </w:rPr>
        <w:t>le fait que des non</w:t>
      </w:r>
      <w:r>
        <w:rPr>
          <w:lang w:val="fr-CA"/>
        </w:rPr>
        <w:noBreakHyphen/>
      </w:r>
      <w:r w:rsidRPr="00BC2D48">
        <w:rPr>
          <w:lang w:val="fr-CA"/>
        </w:rPr>
        <w:t xml:space="preserve">résidents ne </w:t>
      </w:r>
      <w:r>
        <w:rPr>
          <w:lang w:val="fr-CA"/>
        </w:rPr>
        <w:t>so</w:t>
      </w:r>
      <w:r w:rsidRPr="00BC2D48">
        <w:rPr>
          <w:lang w:val="fr-CA"/>
        </w:rPr>
        <w:t xml:space="preserve">nt pas aussi </w:t>
      </w:r>
      <w:r>
        <w:rPr>
          <w:lang w:val="fr-CA"/>
        </w:rPr>
        <w:t>informés</w:t>
      </w:r>
      <w:r w:rsidRPr="00BC2D48">
        <w:rPr>
          <w:lang w:val="fr-CA"/>
        </w:rPr>
        <w:t xml:space="preserve"> de</w:t>
      </w:r>
      <w:r>
        <w:rPr>
          <w:lang w:val="fr-CA"/>
        </w:rPr>
        <w:t>s questions locales</w:t>
      </w:r>
      <w:r w:rsidRPr="00BC2D48">
        <w:rPr>
          <w:lang w:val="fr-CA"/>
        </w:rPr>
        <w:t xml:space="preserve"> </w:t>
      </w:r>
      <w:r>
        <w:rPr>
          <w:lang w:val="fr-CA"/>
        </w:rPr>
        <w:t>et que cela</w:t>
      </w:r>
      <w:r w:rsidRPr="00BC2D48">
        <w:rPr>
          <w:lang w:val="fr-CA"/>
        </w:rPr>
        <w:t xml:space="preserve"> pourrait influencer injustement le</w:t>
      </w:r>
      <w:r>
        <w:rPr>
          <w:lang w:val="fr-CA"/>
        </w:rPr>
        <w:t>s</w:t>
      </w:r>
      <w:r w:rsidRPr="00BC2D48">
        <w:rPr>
          <w:lang w:val="fr-CA"/>
        </w:rPr>
        <w:t xml:space="preserve"> résultat</w:t>
      </w:r>
      <w:r>
        <w:rPr>
          <w:lang w:val="fr-CA"/>
        </w:rPr>
        <w:t>s</w:t>
      </w:r>
      <w:r w:rsidRPr="00BC2D48">
        <w:rPr>
          <w:lang w:val="fr-CA"/>
        </w:rPr>
        <w:t xml:space="preserve"> des élections, et que les non</w:t>
      </w:r>
      <w:r>
        <w:rPr>
          <w:lang w:val="fr-CA"/>
        </w:rPr>
        <w:noBreakHyphen/>
      </w:r>
      <w:r w:rsidRPr="00BC2D48">
        <w:rPr>
          <w:lang w:val="fr-CA"/>
        </w:rPr>
        <w:t>résidents n</w:t>
      </w:r>
      <w:r>
        <w:rPr>
          <w:lang w:val="fr-CA"/>
        </w:rPr>
        <w:t>’</w:t>
      </w:r>
      <w:r w:rsidRPr="00BC2D48">
        <w:rPr>
          <w:lang w:val="fr-CA"/>
        </w:rPr>
        <w:t xml:space="preserve">ont plus le même lien avec le Canada sur le plan des obligations </w:t>
      </w:r>
      <w:r>
        <w:rPr>
          <w:lang w:val="fr-CA"/>
        </w:rPr>
        <w:t>que comporte la</w:t>
      </w:r>
      <w:r w:rsidRPr="00BC2D48">
        <w:rPr>
          <w:lang w:val="fr-CA"/>
        </w:rPr>
        <w:t xml:space="preserve"> citoyenneté, alors que les électeurs résidents demeurent assujetti</w:t>
      </w:r>
      <w:r>
        <w:rPr>
          <w:lang w:val="fr-CA"/>
        </w:rPr>
        <w:t>s à toutes les lois canadiennes</w:t>
      </w:r>
      <w:r w:rsidRPr="00BC2D48">
        <w:rPr>
          <w:lang w:val="fr-CA"/>
        </w:rPr>
        <w:t>.</w:t>
      </w:r>
    </w:p>
    <w:p w:rsidR="001244E7" w:rsidRPr="00BC2D48" w:rsidRDefault="001244E7" w:rsidP="001244E7">
      <w:pPr>
        <w:pStyle w:val="ParaNoNdepar-AltN"/>
        <w:rPr>
          <w:lang w:val="fr-CA"/>
        </w:rPr>
      </w:pPr>
      <w:r>
        <w:rPr>
          <w:lang w:val="fr-CA"/>
        </w:rPr>
        <w:t>Je signale au passage</w:t>
      </w:r>
      <w:r w:rsidRPr="00BC2D48">
        <w:rPr>
          <w:lang w:val="fr-CA"/>
        </w:rPr>
        <w:t xml:space="preserve"> que l</w:t>
      </w:r>
      <w:r>
        <w:rPr>
          <w:lang w:val="fr-CA"/>
        </w:rPr>
        <w:t>e fait d’accepter l’</w:t>
      </w:r>
      <w:r w:rsidRPr="00BC2D48">
        <w:rPr>
          <w:lang w:val="fr-CA"/>
        </w:rPr>
        <w:t>objectif d</w:t>
      </w:r>
      <w:r>
        <w:rPr>
          <w:lang w:val="fr-CA"/>
        </w:rPr>
        <w:t>’</w:t>
      </w:r>
      <w:r w:rsidRPr="00BC2D48">
        <w:rPr>
          <w:lang w:val="fr-CA"/>
        </w:rPr>
        <w:t>équité électorale ne viole pas la règle qui fait obstacle au changement d</w:t>
      </w:r>
      <w:r>
        <w:rPr>
          <w:lang w:val="fr-CA"/>
        </w:rPr>
        <w:t>’</w:t>
      </w:r>
      <w:r w:rsidRPr="00BC2D48">
        <w:rPr>
          <w:lang w:val="fr-CA"/>
        </w:rPr>
        <w:t>objectif, un point sur lequel les juges majoritaires et le juge dissident à la Cour d</w:t>
      </w:r>
      <w:r>
        <w:rPr>
          <w:lang w:val="fr-CA"/>
        </w:rPr>
        <w:t>’</w:t>
      </w:r>
      <w:r w:rsidRPr="00BC2D48">
        <w:rPr>
          <w:lang w:val="fr-CA"/>
        </w:rPr>
        <w:t xml:space="preserve">appel étaient en désaccord. Suivant </w:t>
      </w:r>
      <w:r>
        <w:rPr>
          <w:lang w:val="fr-CA"/>
        </w:rPr>
        <w:t>cette règle</w:t>
      </w:r>
      <w:r w:rsidRPr="00BC2D48">
        <w:rPr>
          <w:lang w:val="fr-CA"/>
        </w:rPr>
        <w:t>, le</w:t>
      </w:r>
      <w:r>
        <w:rPr>
          <w:lang w:val="fr-CA"/>
        </w:rPr>
        <w:t xml:space="preserve"> tribunal</w:t>
      </w:r>
      <w:r w:rsidRPr="00BC2D48">
        <w:rPr>
          <w:lang w:val="fr-CA"/>
        </w:rPr>
        <w:t xml:space="preserve"> doit examiner </w:t>
      </w:r>
      <w:r>
        <w:rPr>
          <w:lang w:val="fr-CA"/>
        </w:rPr>
        <w:t xml:space="preserve">seulement </w:t>
      </w:r>
      <w:r w:rsidRPr="00BC2D48">
        <w:rPr>
          <w:lang w:val="fr-CA"/>
        </w:rPr>
        <w:t>l</w:t>
      </w:r>
      <w:r>
        <w:rPr>
          <w:lang w:val="fr-CA"/>
        </w:rPr>
        <w:t>’</w:t>
      </w:r>
      <w:r w:rsidRPr="00BC2D48">
        <w:rPr>
          <w:lang w:val="fr-CA"/>
        </w:rPr>
        <w:t xml:space="preserve">intention du </w:t>
      </w:r>
      <w:r>
        <w:rPr>
          <w:lang w:val="fr-CA"/>
        </w:rPr>
        <w:t>législateur</w:t>
      </w:r>
      <w:r w:rsidRPr="00BC2D48">
        <w:rPr>
          <w:lang w:val="fr-CA"/>
        </w:rPr>
        <w:t xml:space="preserve"> au moment où la loi a été édictée, </w:t>
      </w:r>
      <w:r>
        <w:rPr>
          <w:lang w:val="fr-CA"/>
        </w:rPr>
        <w:t>et ne doit pas tenter de cerner</w:t>
      </w:r>
      <w:r w:rsidRPr="00BC2D48">
        <w:rPr>
          <w:lang w:val="fr-CA"/>
        </w:rPr>
        <w:t xml:space="preserve"> de nouveaux objectifs </w:t>
      </w:r>
      <w:r>
        <w:rPr>
          <w:lang w:val="fr-CA"/>
        </w:rPr>
        <w:t>découlant d’une interprétation</w:t>
      </w:r>
      <w:r w:rsidRPr="00BC2D48">
        <w:rPr>
          <w:lang w:val="fr-CA"/>
        </w:rPr>
        <w:t xml:space="preserve"> moderne de la disposition (voir </w:t>
      </w:r>
      <w:r w:rsidRPr="00BC2D48">
        <w:rPr>
          <w:i/>
          <w:lang w:val="fr-CA"/>
        </w:rPr>
        <w:t xml:space="preserve">R. c. </w:t>
      </w:r>
      <w:proofErr w:type="spellStart"/>
      <w:r w:rsidRPr="00BC2D48">
        <w:rPr>
          <w:i/>
          <w:lang w:val="fr-CA"/>
        </w:rPr>
        <w:t>Big</w:t>
      </w:r>
      <w:proofErr w:type="spellEnd"/>
      <w:r w:rsidRPr="00BC2D48">
        <w:rPr>
          <w:i/>
          <w:lang w:val="fr-CA"/>
        </w:rPr>
        <w:t xml:space="preserve"> M Drug </w:t>
      </w:r>
      <w:proofErr w:type="spellStart"/>
      <w:r w:rsidRPr="00BC2D48">
        <w:rPr>
          <w:i/>
          <w:lang w:val="fr-CA"/>
        </w:rPr>
        <w:t>Mart</w:t>
      </w:r>
      <w:proofErr w:type="spellEnd"/>
      <w:r w:rsidRPr="00BC2D48">
        <w:rPr>
          <w:i/>
          <w:lang w:val="fr-CA"/>
        </w:rPr>
        <w:t xml:space="preserve"> Ltd.</w:t>
      </w:r>
      <w:r w:rsidRPr="00BC2D48">
        <w:rPr>
          <w:lang w:val="fr-CA"/>
        </w:rPr>
        <w:t xml:space="preserve">, [1985] 1 R.C.S. 295, </w:t>
      </w:r>
      <w:r>
        <w:rPr>
          <w:lang w:val="fr-CA"/>
        </w:rPr>
        <w:t>p. </w:t>
      </w:r>
      <w:r w:rsidRPr="00BC2D48">
        <w:rPr>
          <w:lang w:val="fr-CA"/>
        </w:rPr>
        <w:t xml:space="preserve">335; </w:t>
      </w:r>
      <w:r w:rsidRPr="00BC2D48">
        <w:rPr>
          <w:i/>
          <w:lang w:val="fr-CA"/>
        </w:rPr>
        <w:t>R. c. Butler</w:t>
      </w:r>
      <w:r w:rsidRPr="00BC2D48">
        <w:rPr>
          <w:lang w:val="fr-CA"/>
        </w:rPr>
        <w:t xml:space="preserve">, [1992] 1 R.C.S. 452, </w:t>
      </w:r>
      <w:r>
        <w:rPr>
          <w:lang w:val="fr-CA"/>
        </w:rPr>
        <w:t>p. </w:t>
      </w:r>
      <w:r w:rsidRPr="00BC2D48">
        <w:rPr>
          <w:lang w:val="fr-CA"/>
        </w:rPr>
        <w:t xml:space="preserve">494; </w:t>
      </w:r>
      <w:r w:rsidRPr="00BC2D48">
        <w:rPr>
          <w:i/>
          <w:lang w:val="fr-CA"/>
        </w:rPr>
        <w:t>R. c. Zundel</w:t>
      </w:r>
      <w:r w:rsidRPr="00BC2D48">
        <w:rPr>
          <w:lang w:val="fr-CA"/>
        </w:rPr>
        <w:t xml:space="preserve">, [1992] 2 R.C.S. 731, </w:t>
      </w:r>
      <w:r>
        <w:rPr>
          <w:lang w:val="fr-CA"/>
        </w:rPr>
        <w:t>p. </w:t>
      </w:r>
      <w:r w:rsidRPr="00BC2D48">
        <w:rPr>
          <w:lang w:val="fr-CA"/>
        </w:rPr>
        <w:t>7</w:t>
      </w:r>
      <w:r>
        <w:rPr>
          <w:lang w:val="fr-CA"/>
        </w:rPr>
        <w:t>6</w:t>
      </w:r>
      <w:r w:rsidRPr="00BC2D48">
        <w:rPr>
          <w:lang w:val="fr-CA"/>
        </w:rPr>
        <w:t>1). Je suis convaincu que l</w:t>
      </w:r>
      <w:r>
        <w:rPr>
          <w:lang w:val="fr-CA"/>
        </w:rPr>
        <w:t>’</w:t>
      </w:r>
      <w:r w:rsidRPr="00BC2D48">
        <w:rPr>
          <w:lang w:val="fr-CA"/>
        </w:rPr>
        <w:t>objectif d</w:t>
      </w:r>
      <w:r>
        <w:rPr>
          <w:lang w:val="fr-CA"/>
        </w:rPr>
        <w:t>’</w:t>
      </w:r>
      <w:r w:rsidRPr="00BC2D48">
        <w:rPr>
          <w:lang w:val="fr-CA"/>
        </w:rPr>
        <w:t>équité électorale correspond à l</w:t>
      </w:r>
      <w:r>
        <w:rPr>
          <w:lang w:val="fr-CA"/>
        </w:rPr>
        <w:t>’</w:t>
      </w:r>
      <w:r w:rsidRPr="00BC2D48">
        <w:rPr>
          <w:lang w:val="fr-CA"/>
        </w:rPr>
        <w:t>intention du législateur au moment où l</w:t>
      </w:r>
      <w:r>
        <w:rPr>
          <w:lang w:val="fr-CA"/>
        </w:rPr>
        <w:t>es</w:t>
      </w:r>
      <w:r w:rsidRPr="00BC2D48">
        <w:rPr>
          <w:lang w:val="fr-CA"/>
        </w:rPr>
        <w:t xml:space="preserve"> disposition</w:t>
      </w:r>
      <w:r>
        <w:rPr>
          <w:lang w:val="fr-CA"/>
        </w:rPr>
        <w:t>s ont</w:t>
      </w:r>
      <w:r w:rsidRPr="00BC2D48">
        <w:rPr>
          <w:lang w:val="fr-CA"/>
        </w:rPr>
        <w:t xml:space="preserve"> été édictée</w:t>
      </w:r>
      <w:r>
        <w:rPr>
          <w:lang w:val="fr-CA"/>
        </w:rPr>
        <w:t>s</w:t>
      </w:r>
      <w:r w:rsidRPr="00BC2D48">
        <w:rPr>
          <w:lang w:val="fr-CA"/>
        </w:rPr>
        <w:t>. Bien que la preuve qui ressort des débats</w:t>
      </w:r>
      <w:r>
        <w:rPr>
          <w:lang w:val="fr-CA"/>
        </w:rPr>
        <w:t xml:space="preserve"> parlementaires ne soit pas abondante,</w:t>
      </w:r>
      <w:r w:rsidRPr="00BC2D48">
        <w:rPr>
          <w:lang w:val="fr-CA"/>
        </w:rPr>
        <w:t xml:space="preserve"> </w:t>
      </w:r>
      <w:r>
        <w:rPr>
          <w:lang w:val="fr-CA"/>
        </w:rPr>
        <w:t xml:space="preserve">elle </w:t>
      </w:r>
      <w:r w:rsidRPr="00BC2D48">
        <w:rPr>
          <w:lang w:val="fr-CA"/>
        </w:rPr>
        <w:t xml:space="preserve">révèle que lorsque le </w:t>
      </w:r>
      <w:r>
        <w:rPr>
          <w:lang w:val="fr-CA"/>
        </w:rPr>
        <w:t>législateur</w:t>
      </w:r>
      <w:r w:rsidRPr="00BC2D48">
        <w:rPr>
          <w:lang w:val="fr-CA"/>
        </w:rPr>
        <w:t xml:space="preserve"> a adopté la loi en 1993, il a été expressément </w:t>
      </w:r>
      <w:r>
        <w:rPr>
          <w:lang w:val="fr-CA"/>
        </w:rPr>
        <w:t>mentionné</w:t>
      </w:r>
      <w:r w:rsidRPr="00BC2D48">
        <w:rPr>
          <w:lang w:val="fr-CA"/>
        </w:rPr>
        <w:t xml:space="preserve"> que le droit de vote devait être restreint aux non</w:t>
      </w:r>
      <w:r>
        <w:rPr>
          <w:lang w:val="fr-CA"/>
        </w:rPr>
        <w:noBreakHyphen/>
      </w:r>
      <w:r w:rsidRPr="00BC2D48">
        <w:rPr>
          <w:lang w:val="fr-CA"/>
        </w:rPr>
        <w:t>résidents qui avaient [</w:t>
      </w:r>
      <w:r w:rsidRPr="00BC2D48">
        <w:rPr>
          <w:smallCaps/>
          <w:lang w:val="fr-CA"/>
        </w:rPr>
        <w:t>traduction</w:t>
      </w:r>
      <w:r w:rsidRPr="00BC2D48">
        <w:rPr>
          <w:lang w:val="fr-CA"/>
        </w:rPr>
        <w:t xml:space="preserve">] « un certain degré de rattachement au pays » et à leur circonscription électorale </w:t>
      </w:r>
      <w:r>
        <w:rPr>
          <w:lang w:val="fr-CA"/>
        </w:rPr>
        <w:t>(motifs de la</w:t>
      </w:r>
      <w:r w:rsidRPr="00BC2D48">
        <w:rPr>
          <w:lang w:val="fr-CA"/>
        </w:rPr>
        <w:t xml:space="preserve"> C</w:t>
      </w:r>
      <w:r>
        <w:rPr>
          <w:lang w:val="fr-CA"/>
        </w:rPr>
        <w:t>.A.</w:t>
      </w:r>
      <w:r w:rsidRPr="00BC2D48">
        <w:rPr>
          <w:lang w:val="fr-CA"/>
        </w:rPr>
        <w:t xml:space="preserve">, </w:t>
      </w:r>
      <w:r>
        <w:rPr>
          <w:lang w:val="fr-CA"/>
        </w:rPr>
        <w:t>par. </w:t>
      </w:r>
      <w:r w:rsidRPr="00BC2D48">
        <w:rPr>
          <w:lang w:val="fr-CA"/>
        </w:rPr>
        <w:t>101</w:t>
      </w:r>
      <w:r>
        <w:rPr>
          <w:lang w:val="fr-CA"/>
        </w:rPr>
        <w:t>)</w:t>
      </w:r>
      <w:r w:rsidRPr="00BC2D48">
        <w:rPr>
          <w:lang w:val="fr-CA"/>
        </w:rPr>
        <w:t xml:space="preserve">. La loi était donc conçue pour </w:t>
      </w:r>
      <w:r>
        <w:rPr>
          <w:lang w:val="fr-CA"/>
        </w:rPr>
        <w:t xml:space="preserve">faire en sorte qu’il y ait un lien suffisant </w:t>
      </w:r>
      <w:r>
        <w:rPr>
          <w:lang w:val="fr-CA"/>
        </w:rPr>
        <w:lastRenderedPageBreak/>
        <w:t xml:space="preserve">entre les électeurs </w:t>
      </w:r>
      <w:proofErr w:type="spellStart"/>
      <w:r>
        <w:rPr>
          <w:lang w:val="fr-CA"/>
        </w:rPr>
        <w:t>non résidents</w:t>
      </w:r>
      <w:proofErr w:type="spellEnd"/>
      <w:r>
        <w:rPr>
          <w:lang w:val="fr-CA"/>
        </w:rPr>
        <w:t xml:space="preserve"> et le Canada et,</w:t>
      </w:r>
      <w:r w:rsidRPr="009E60E7">
        <w:rPr>
          <w:lang w:val="fr-CA"/>
        </w:rPr>
        <w:t xml:space="preserve"> </w:t>
      </w:r>
      <w:r w:rsidRPr="00BC2D48">
        <w:rPr>
          <w:lang w:val="fr-CA"/>
        </w:rPr>
        <w:t>par souci d</w:t>
      </w:r>
      <w:r>
        <w:rPr>
          <w:lang w:val="fr-CA"/>
        </w:rPr>
        <w:t>’</w:t>
      </w:r>
      <w:r w:rsidRPr="00BC2D48">
        <w:rPr>
          <w:lang w:val="fr-CA"/>
        </w:rPr>
        <w:t>équité électorale</w:t>
      </w:r>
      <w:r>
        <w:rPr>
          <w:lang w:val="fr-CA"/>
        </w:rPr>
        <w:t>, pour empêcher ceux</w:t>
      </w:r>
      <w:r>
        <w:rPr>
          <w:lang w:val="fr-CA"/>
        </w:rPr>
        <w:noBreakHyphen/>
        <w:t>ci de voter sans restriction</w:t>
      </w:r>
      <w:r w:rsidRPr="00BC2D48">
        <w:rPr>
          <w:lang w:val="fr-CA"/>
        </w:rPr>
        <w:t>. Il ne s</w:t>
      </w:r>
      <w:r>
        <w:rPr>
          <w:lang w:val="fr-CA"/>
        </w:rPr>
        <w:t>’</w:t>
      </w:r>
      <w:r w:rsidRPr="00BC2D48">
        <w:rPr>
          <w:lang w:val="fr-CA"/>
        </w:rPr>
        <w:t>agit pas d</w:t>
      </w:r>
      <w:r>
        <w:rPr>
          <w:lang w:val="fr-CA"/>
        </w:rPr>
        <w:t>’</w:t>
      </w:r>
      <w:r w:rsidRPr="00BC2D48">
        <w:rPr>
          <w:lang w:val="fr-CA"/>
        </w:rPr>
        <w:t>un nouvel objectif</w:t>
      </w:r>
      <w:r>
        <w:rPr>
          <w:lang w:val="fr-CA"/>
        </w:rPr>
        <w:t xml:space="preserve"> qui a été</w:t>
      </w:r>
      <w:r w:rsidRPr="00BC2D48">
        <w:rPr>
          <w:lang w:val="fr-CA"/>
        </w:rPr>
        <w:t xml:space="preserve"> inventé </w:t>
      </w:r>
      <w:r>
        <w:rPr>
          <w:lang w:val="fr-CA"/>
        </w:rPr>
        <w:t>en fonction de la façon dont la loi est appliquée aujourd’hui</w:t>
      </w:r>
      <w:r w:rsidRPr="00BC2D48">
        <w:rPr>
          <w:lang w:val="fr-CA"/>
        </w:rPr>
        <w:t>.</w:t>
      </w:r>
    </w:p>
    <w:p w:rsidR="001244E7" w:rsidRPr="00BC2D48" w:rsidRDefault="001244E7" w:rsidP="001244E7">
      <w:pPr>
        <w:pStyle w:val="Title3LevelTitre3Niveau"/>
        <w:rPr>
          <w:lang w:val="fr-CA"/>
        </w:rPr>
      </w:pPr>
      <w:r w:rsidRPr="00BC2D48">
        <w:rPr>
          <w:lang w:val="fr-CA"/>
        </w:rPr>
        <w:t>Le lien rationnel</w:t>
      </w:r>
    </w:p>
    <w:p w:rsidR="001244E7" w:rsidRPr="00BC2D48" w:rsidRDefault="001244E7" w:rsidP="001244E7">
      <w:pPr>
        <w:pStyle w:val="ParaNoNdepar-AltN"/>
        <w:rPr>
          <w:lang w:val="fr-CA"/>
        </w:rPr>
      </w:pPr>
      <w:r w:rsidRPr="00BC2D48">
        <w:rPr>
          <w:lang w:val="fr-CA"/>
        </w:rPr>
        <w:t>La</w:t>
      </w:r>
      <w:r>
        <w:rPr>
          <w:lang w:val="fr-CA"/>
        </w:rPr>
        <w:t xml:space="preserve"> question à la</w:t>
      </w:r>
      <w:r w:rsidRPr="00BC2D48">
        <w:rPr>
          <w:lang w:val="fr-CA"/>
        </w:rPr>
        <w:t xml:space="preserve"> première étape de l</w:t>
      </w:r>
      <w:r>
        <w:rPr>
          <w:lang w:val="fr-CA"/>
        </w:rPr>
        <w:t>’</w:t>
      </w:r>
      <w:r w:rsidRPr="00BC2D48">
        <w:rPr>
          <w:lang w:val="fr-CA"/>
        </w:rPr>
        <w:t>examen</w:t>
      </w:r>
      <w:r>
        <w:rPr>
          <w:lang w:val="fr-CA"/>
        </w:rPr>
        <w:t xml:space="preserve"> de la proportionnalité est de savoir</w:t>
      </w:r>
      <w:r w:rsidRPr="00BC2D48">
        <w:rPr>
          <w:lang w:val="fr-CA"/>
        </w:rPr>
        <w:t xml:space="preserve"> si </w:t>
      </w:r>
      <w:r>
        <w:rPr>
          <w:lang w:val="fr-CA"/>
        </w:rPr>
        <w:t>la</w:t>
      </w:r>
      <w:r w:rsidRPr="00BC2D48">
        <w:rPr>
          <w:lang w:val="fr-CA"/>
        </w:rPr>
        <w:t xml:space="preserve"> mesure </w:t>
      </w:r>
      <w:r>
        <w:rPr>
          <w:lang w:val="fr-CA"/>
        </w:rPr>
        <w:t xml:space="preserve">qui a été </w:t>
      </w:r>
      <w:r w:rsidRPr="00BC2D48">
        <w:rPr>
          <w:lang w:val="fr-CA"/>
        </w:rPr>
        <w:t xml:space="preserve">adoptée </w:t>
      </w:r>
      <w:r>
        <w:rPr>
          <w:lang w:val="fr-CA"/>
        </w:rPr>
        <w:t>a</w:t>
      </w:r>
      <w:r w:rsidRPr="00BC2D48">
        <w:rPr>
          <w:lang w:val="fr-CA"/>
        </w:rPr>
        <w:t xml:space="preserve"> un lien rationnel avec l</w:t>
      </w:r>
      <w:r>
        <w:rPr>
          <w:lang w:val="fr-CA"/>
        </w:rPr>
        <w:t>’</w:t>
      </w:r>
      <w:r w:rsidRPr="00BC2D48">
        <w:rPr>
          <w:lang w:val="fr-CA"/>
        </w:rPr>
        <w:t xml:space="preserve">objectif </w:t>
      </w:r>
      <w:r>
        <w:rPr>
          <w:lang w:val="fr-CA"/>
        </w:rPr>
        <w:t>qu’elle vise à atteindre</w:t>
      </w:r>
      <w:r w:rsidRPr="00BC2D48">
        <w:rPr>
          <w:lang w:val="fr-CA"/>
        </w:rPr>
        <w:t>. L</w:t>
      </w:r>
      <w:r>
        <w:rPr>
          <w:lang w:val="fr-CA"/>
        </w:rPr>
        <w:t>’étape relative au</w:t>
      </w:r>
      <w:r w:rsidRPr="00BC2D48">
        <w:rPr>
          <w:lang w:val="fr-CA"/>
        </w:rPr>
        <w:t xml:space="preserve"> lien rationnel exige que la </w:t>
      </w:r>
      <w:r>
        <w:rPr>
          <w:lang w:val="fr-CA"/>
        </w:rPr>
        <w:t>mesure</w:t>
      </w:r>
      <w:r w:rsidRPr="00BC2D48">
        <w:rPr>
          <w:lang w:val="fr-CA"/>
        </w:rPr>
        <w:t xml:space="preserve"> ne soit « ni </w:t>
      </w:r>
      <w:proofErr w:type="spellStart"/>
      <w:r w:rsidRPr="00BC2D48">
        <w:rPr>
          <w:lang w:val="fr-CA"/>
        </w:rPr>
        <w:t>arbitrair</w:t>
      </w:r>
      <w:proofErr w:type="spellEnd"/>
      <w:r w:rsidRPr="00BC2D48">
        <w:rPr>
          <w:lang w:val="fr-CA"/>
        </w:rPr>
        <w:t xml:space="preserve">[e], ni </w:t>
      </w:r>
      <w:proofErr w:type="spellStart"/>
      <w:r w:rsidRPr="00BC2D48">
        <w:rPr>
          <w:lang w:val="fr-CA"/>
        </w:rPr>
        <w:t>inéquitabl</w:t>
      </w:r>
      <w:proofErr w:type="spellEnd"/>
      <w:r w:rsidRPr="00BC2D48">
        <w:rPr>
          <w:lang w:val="fr-CA"/>
        </w:rPr>
        <w:t>[e], ni fondé[e] sur des considérations irrationnelles » (</w:t>
      </w:r>
      <w:proofErr w:type="spellStart"/>
      <w:r w:rsidRPr="00BC2D48">
        <w:rPr>
          <w:i/>
          <w:lang w:val="fr-CA"/>
        </w:rPr>
        <w:t>Oakes</w:t>
      </w:r>
      <w:proofErr w:type="spellEnd"/>
      <w:r w:rsidRPr="00BC2D48">
        <w:rPr>
          <w:lang w:val="fr-CA"/>
        </w:rPr>
        <w:t xml:space="preserve">, </w:t>
      </w:r>
      <w:r>
        <w:rPr>
          <w:lang w:val="fr-CA"/>
        </w:rPr>
        <w:t>p. </w:t>
      </w:r>
      <w:r w:rsidRPr="00BC2D48">
        <w:rPr>
          <w:lang w:val="fr-CA"/>
        </w:rPr>
        <w:t xml:space="preserve">139). Essentiellement, le gouvernement doit établir que la restriction </w:t>
      </w:r>
      <w:r>
        <w:rPr>
          <w:lang w:val="fr-CA"/>
        </w:rPr>
        <w:t>a un lien de causalité avec</w:t>
      </w:r>
      <w:r w:rsidRPr="00BC2D48">
        <w:rPr>
          <w:lang w:val="fr-CA"/>
        </w:rPr>
        <w:t xml:space="preserve"> </w:t>
      </w:r>
      <w:r>
        <w:rPr>
          <w:lang w:val="fr-CA"/>
        </w:rPr>
        <w:t>l’objectif recherché</w:t>
      </w:r>
      <w:r w:rsidRPr="00BC2D48">
        <w:rPr>
          <w:lang w:val="fr-CA"/>
        </w:rPr>
        <w:t xml:space="preserve"> (</w:t>
      </w:r>
      <w:r w:rsidRPr="00BC2D48">
        <w:rPr>
          <w:i/>
          <w:lang w:val="fr-CA"/>
        </w:rPr>
        <w:t>RJR</w:t>
      </w:r>
      <w:r>
        <w:rPr>
          <w:i/>
          <w:lang w:val="fr-CA"/>
        </w:rPr>
        <w:noBreakHyphen/>
      </w:r>
      <w:proofErr w:type="spellStart"/>
      <w:r w:rsidRPr="00BC2D48">
        <w:rPr>
          <w:i/>
          <w:lang w:val="fr-CA"/>
        </w:rPr>
        <w:t>MacDonald</w:t>
      </w:r>
      <w:proofErr w:type="spellEnd"/>
      <w:r w:rsidRPr="00BC2D48">
        <w:rPr>
          <w:lang w:val="fr-CA"/>
        </w:rPr>
        <w:t xml:space="preserve">, </w:t>
      </w:r>
      <w:r>
        <w:rPr>
          <w:lang w:val="fr-CA"/>
        </w:rPr>
        <w:t>par. </w:t>
      </w:r>
      <w:r w:rsidRPr="00BC2D48">
        <w:rPr>
          <w:lang w:val="fr-CA"/>
        </w:rPr>
        <w:t>153). Dans les cas où un tel lien n</w:t>
      </w:r>
      <w:r>
        <w:rPr>
          <w:lang w:val="fr-CA"/>
        </w:rPr>
        <w:t>’</w:t>
      </w:r>
      <w:r w:rsidRPr="00BC2D48">
        <w:rPr>
          <w:lang w:val="fr-CA"/>
        </w:rPr>
        <w:t xml:space="preserve">est pas </w:t>
      </w:r>
      <w:r>
        <w:rPr>
          <w:lang w:val="fr-CA"/>
        </w:rPr>
        <w:t>scientifiquement mesurable, son existence</w:t>
      </w:r>
      <w:r w:rsidRPr="00BC2D48">
        <w:rPr>
          <w:lang w:val="fr-CA"/>
        </w:rPr>
        <w:t xml:space="preserve"> peut être établi</w:t>
      </w:r>
      <w:r>
        <w:rPr>
          <w:lang w:val="fr-CA"/>
        </w:rPr>
        <w:t>e</w:t>
      </w:r>
      <w:r w:rsidRPr="00BC2D48">
        <w:rPr>
          <w:lang w:val="fr-CA"/>
        </w:rPr>
        <w:t xml:space="preserve"> sur le fondement de la raison ou de la logique, plutôt que sur une preuve tangible (</w:t>
      </w:r>
      <w:r w:rsidRPr="00BC2D48">
        <w:rPr>
          <w:i/>
          <w:lang w:val="fr-CA"/>
        </w:rPr>
        <w:t>RJR</w:t>
      </w:r>
      <w:r>
        <w:rPr>
          <w:i/>
          <w:lang w:val="fr-CA"/>
        </w:rPr>
        <w:noBreakHyphen/>
      </w:r>
      <w:proofErr w:type="spellStart"/>
      <w:r>
        <w:rPr>
          <w:i/>
          <w:lang w:val="fr-CA"/>
        </w:rPr>
        <w:t>MacD</w:t>
      </w:r>
      <w:r w:rsidRPr="00BC2D48">
        <w:rPr>
          <w:i/>
          <w:lang w:val="fr-CA"/>
        </w:rPr>
        <w:t>onald</w:t>
      </w:r>
      <w:proofErr w:type="spellEnd"/>
      <w:r w:rsidRPr="00BC2D48">
        <w:rPr>
          <w:lang w:val="fr-CA"/>
        </w:rPr>
        <w:t xml:space="preserve">, </w:t>
      </w:r>
      <w:r>
        <w:rPr>
          <w:lang w:val="fr-CA"/>
        </w:rPr>
        <w:t>par. </w:t>
      </w:r>
      <w:r w:rsidRPr="00BC2D48">
        <w:rPr>
          <w:lang w:val="fr-CA"/>
        </w:rPr>
        <w:t xml:space="preserve">154; </w:t>
      </w:r>
      <w:r w:rsidRPr="00BC2D48">
        <w:rPr>
          <w:i/>
          <w:lang w:val="fr-CA"/>
        </w:rPr>
        <w:t>Toronto Star</w:t>
      </w:r>
      <w:r w:rsidRPr="00BC2D48">
        <w:rPr>
          <w:lang w:val="fr-CA"/>
        </w:rPr>
        <w:t xml:space="preserve">, </w:t>
      </w:r>
      <w:r>
        <w:rPr>
          <w:lang w:val="fr-CA"/>
        </w:rPr>
        <w:t>par. </w:t>
      </w:r>
      <w:r w:rsidRPr="00BC2D48">
        <w:rPr>
          <w:lang w:val="fr-CA"/>
        </w:rPr>
        <w:t>25).</w:t>
      </w:r>
    </w:p>
    <w:p w:rsidR="001244E7" w:rsidRDefault="001244E7" w:rsidP="001244E7">
      <w:pPr>
        <w:pStyle w:val="ParaNoNdepar-AltN"/>
        <w:rPr>
          <w:lang w:val="fr-CA"/>
        </w:rPr>
      </w:pPr>
      <w:r w:rsidRPr="00BC2D48">
        <w:rPr>
          <w:lang w:val="fr-CA"/>
        </w:rPr>
        <w:t>En l</w:t>
      </w:r>
      <w:r>
        <w:rPr>
          <w:lang w:val="fr-CA"/>
        </w:rPr>
        <w:t>’</w:t>
      </w:r>
      <w:r w:rsidRPr="00BC2D48">
        <w:rPr>
          <w:lang w:val="fr-CA"/>
        </w:rPr>
        <w:t xml:space="preserve">espèce, le </w:t>
      </w:r>
      <w:r>
        <w:rPr>
          <w:lang w:val="fr-CA"/>
        </w:rPr>
        <w:t>PGC</w:t>
      </w:r>
      <w:r w:rsidRPr="00BC2D48">
        <w:rPr>
          <w:lang w:val="fr-CA"/>
        </w:rPr>
        <w:t xml:space="preserve"> doit démontrer que l</w:t>
      </w:r>
      <w:r>
        <w:rPr>
          <w:lang w:val="fr-CA"/>
        </w:rPr>
        <w:t>’</w:t>
      </w:r>
      <w:r w:rsidRPr="00BC2D48">
        <w:rPr>
          <w:lang w:val="fr-CA"/>
        </w:rPr>
        <w:t>atteinte aux droits de vote de non</w:t>
      </w:r>
      <w:r>
        <w:rPr>
          <w:lang w:val="fr-CA"/>
        </w:rPr>
        <w:noBreakHyphen/>
      </w:r>
      <w:r w:rsidRPr="00BC2D48">
        <w:rPr>
          <w:lang w:val="fr-CA"/>
        </w:rPr>
        <w:t>résidents a un lien rationnel avec l</w:t>
      </w:r>
      <w:r>
        <w:rPr>
          <w:lang w:val="fr-CA"/>
        </w:rPr>
        <w:t>’</w:t>
      </w:r>
      <w:r w:rsidRPr="00BC2D48">
        <w:rPr>
          <w:lang w:val="fr-CA"/>
        </w:rPr>
        <w:t xml:space="preserve">objectif législatif </w:t>
      </w:r>
      <w:r>
        <w:rPr>
          <w:lang w:val="fr-CA"/>
        </w:rPr>
        <w:t xml:space="preserve">consistant à </w:t>
      </w:r>
      <w:r w:rsidRPr="00BC2D48">
        <w:rPr>
          <w:lang w:val="fr-CA"/>
        </w:rPr>
        <w:t>assurer l</w:t>
      </w:r>
      <w:r>
        <w:rPr>
          <w:lang w:val="fr-CA"/>
        </w:rPr>
        <w:t>’</w:t>
      </w:r>
      <w:r w:rsidRPr="00BC2D48">
        <w:rPr>
          <w:lang w:val="fr-CA"/>
        </w:rPr>
        <w:t>équité électorale à l</w:t>
      </w:r>
      <w:r>
        <w:rPr>
          <w:lang w:val="fr-CA"/>
        </w:rPr>
        <w:t>’</w:t>
      </w:r>
      <w:r w:rsidRPr="00BC2D48">
        <w:rPr>
          <w:lang w:val="fr-CA"/>
        </w:rPr>
        <w:t xml:space="preserve">égard des électeurs résidents. À mon avis, </w:t>
      </w:r>
      <w:r>
        <w:rPr>
          <w:lang w:val="fr-CA"/>
        </w:rPr>
        <w:t>le PGC</w:t>
      </w:r>
      <w:r w:rsidRPr="00BC2D48">
        <w:rPr>
          <w:lang w:val="fr-CA"/>
        </w:rPr>
        <w:t xml:space="preserve"> </w:t>
      </w:r>
      <w:r>
        <w:rPr>
          <w:lang w:val="fr-CA"/>
        </w:rPr>
        <w:t xml:space="preserve">n’a pas vraiment démontré que </w:t>
      </w:r>
      <w:r w:rsidRPr="00BC2D48">
        <w:rPr>
          <w:lang w:val="fr-CA"/>
        </w:rPr>
        <w:t>l</w:t>
      </w:r>
      <w:r>
        <w:rPr>
          <w:lang w:val="fr-CA"/>
        </w:rPr>
        <w:t>’</w:t>
      </w:r>
      <w:r w:rsidRPr="00BC2D48">
        <w:rPr>
          <w:lang w:val="fr-CA"/>
        </w:rPr>
        <w:t xml:space="preserve">imposition </w:t>
      </w:r>
      <w:r>
        <w:rPr>
          <w:lang w:val="fr-CA"/>
        </w:rPr>
        <w:t xml:space="preserve">d’une </w:t>
      </w:r>
      <w:r w:rsidRPr="00BC2D48">
        <w:rPr>
          <w:lang w:val="fr-CA"/>
        </w:rPr>
        <w:t>limite</w:t>
      </w:r>
      <w:r>
        <w:rPr>
          <w:lang w:val="fr-CA"/>
        </w:rPr>
        <w:t xml:space="preserve">, </w:t>
      </w:r>
      <w:r w:rsidRPr="00EB0508">
        <w:rPr>
          <w:i/>
          <w:lang w:val="fr-CA"/>
        </w:rPr>
        <w:t>quelle qu</w:t>
      </w:r>
      <w:r>
        <w:rPr>
          <w:i/>
          <w:lang w:val="fr-CA"/>
        </w:rPr>
        <w:t>’</w:t>
      </w:r>
      <w:r w:rsidRPr="00EB0508">
        <w:rPr>
          <w:i/>
          <w:lang w:val="fr-CA"/>
        </w:rPr>
        <w:t>en soit</w:t>
      </w:r>
      <w:r>
        <w:rPr>
          <w:lang w:val="fr-CA"/>
        </w:rPr>
        <w:t xml:space="preserve"> la</w:t>
      </w:r>
      <w:r>
        <w:rPr>
          <w:i/>
          <w:lang w:val="fr-CA"/>
        </w:rPr>
        <w:t xml:space="preserve"> </w:t>
      </w:r>
      <w:r w:rsidRPr="00EB0508">
        <w:rPr>
          <w:lang w:val="fr-CA"/>
        </w:rPr>
        <w:t>durée</w:t>
      </w:r>
      <w:r>
        <w:rPr>
          <w:lang w:val="fr-CA"/>
        </w:rPr>
        <w:t>,</w:t>
      </w:r>
      <w:r w:rsidRPr="00BC2D48">
        <w:rPr>
          <w:lang w:val="fr-CA"/>
        </w:rPr>
        <w:t xml:space="preserve"> a</w:t>
      </w:r>
      <w:r>
        <w:rPr>
          <w:lang w:val="fr-CA"/>
        </w:rPr>
        <w:t>urait un lien rationnel avec l’</w:t>
      </w:r>
      <w:r w:rsidRPr="00BC2D48">
        <w:rPr>
          <w:lang w:val="fr-CA"/>
        </w:rPr>
        <w:t>objectif d</w:t>
      </w:r>
      <w:r>
        <w:rPr>
          <w:lang w:val="fr-CA"/>
        </w:rPr>
        <w:t>’</w:t>
      </w:r>
      <w:r w:rsidRPr="00BC2D48">
        <w:rPr>
          <w:lang w:val="fr-CA"/>
        </w:rPr>
        <w:t xml:space="preserve">équité électorale </w:t>
      </w:r>
      <w:r>
        <w:rPr>
          <w:lang w:val="fr-CA"/>
        </w:rPr>
        <w:t>qu’il fait valoir dans le présent cas</w:t>
      </w:r>
      <w:r w:rsidRPr="00BC2D48">
        <w:rPr>
          <w:lang w:val="fr-CA"/>
        </w:rPr>
        <w:t>.</w:t>
      </w:r>
      <w:r>
        <w:rPr>
          <w:lang w:val="fr-CA"/>
        </w:rPr>
        <w:t xml:space="preserve"> Cependant, il n’est pas nécessaire d’arriver à une conclusion ferme sur ce point, puisque la mesure échoue manifestement </w:t>
      </w:r>
      <w:r w:rsidRPr="00BC2D48">
        <w:rPr>
          <w:lang w:val="fr-CA"/>
        </w:rPr>
        <w:t>à l</w:t>
      </w:r>
      <w:r>
        <w:rPr>
          <w:lang w:val="fr-CA"/>
        </w:rPr>
        <w:t>’</w:t>
      </w:r>
      <w:r w:rsidRPr="00BC2D48">
        <w:rPr>
          <w:lang w:val="fr-CA"/>
        </w:rPr>
        <w:t>étape de l</w:t>
      </w:r>
      <w:r>
        <w:rPr>
          <w:lang w:val="fr-CA"/>
        </w:rPr>
        <w:t>’</w:t>
      </w:r>
      <w:r w:rsidRPr="00BC2D48">
        <w:rPr>
          <w:lang w:val="fr-CA"/>
        </w:rPr>
        <w:t>atteinte minimale</w:t>
      </w:r>
      <w:r>
        <w:rPr>
          <w:lang w:val="fr-CA"/>
        </w:rPr>
        <w:t xml:space="preserve"> (comme je l’explique plus loin)</w:t>
      </w:r>
      <w:r w:rsidRPr="00BC2D48">
        <w:rPr>
          <w:lang w:val="fr-CA"/>
        </w:rPr>
        <w:t>.</w:t>
      </w:r>
    </w:p>
    <w:p w:rsidR="001244E7" w:rsidRDefault="001244E7" w:rsidP="001244E7">
      <w:pPr>
        <w:pStyle w:val="ParaNoNdepar-AltN"/>
        <w:rPr>
          <w:lang w:val="fr-CA"/>
        </w:rPr>
      </w:pPr>
      <w:r>
        <w:rPr>
          <w:lang w:val="fr-CA"/>
        </w:rPr>
        <w:lastRenderedPageBreak/>
        <w:t>Quoi qu’il en soit, j’aimerais commenter l’argument du</w:t>
      </w:r>
      <w:r w:rsidRPr="00287F0D">
        <w:rPr>
          <w:lang w:val="fr-CA"/>
        </w:rPr>
        <w:t xml:space="preserve"> </w:t>
      </w:r>
      <w:r>
        <w:rPr>
          <w:lang w:val="fr-CA"/>
        </w:rPr>
        <w:t>PGC, selon lequel l’existence d’</w:t>
      </w:r>
      <w:r w:rsidRPr="00287F0D">
        <w:rPr>
          <w:lang w:val="fr-CA"/>
        </w:rPr>
        <w:t xml:space="preserve">exigences provinciales en matière de résidence </w:t>
      </w:r>
      <w:r>
        <w:rPr>
          <w:lang w:val="fr-CA"/>
        </w:rPr>
        <w:t>appuie</w:t>
      </w:r>
      <w:r w:rsidRPr="00287F0D">
        <w:rPr>
          <w:lang w:val="fr-CA"/>
        </w:rPr>
        <w:t xml:space="preserve"> son argument </w:t>
      </w:r>
      <w:r>
        <w:rPr>
          <w:lang w:val="fr-CA"/>
        </w:rPr>
        <w:t>voulant qu’il</w:t>
      </w:r>
      <w:r w:rsidRPr="00287F0D">
        <w:rPr>
          <w:lang w:val="fr-CA"/>
        </w:rPr>
        <w:t xml:space="preserve"> existe un lien rationnel entre l</w:t>
      </w:r>
      <w:r>
        <w:rPr>
          <w:lang w:val="fr-CA"/>
        </w:rPr>
        <w:t>e fait d’imposer une limite aux</w:t>
      </w:r>
      <w:r w:rsidRPr="00287F0D">
        <w:rPr>
          <w:lang w:val="fr-CA"/>
        </w:rPr>
        <w:t xml:space="preserve"> droits de vote de non</w:t>
      </w:r>
      <w:r>
        <w:rPr>
          <w:lang w:val="fr-CA"/>
        </w:rPr>
        <w:noBreakHyphen/>
      </w:r>
      <w:r w:rsidRPr="00287F0D">
        <w:rPr>
          <w:lang w:val="fr-CA"/>
        </w:rPr>
        <w:t>résidents aux élections fédérales et l</w:t>
      </w:r>
      <w:r>
        <w:rPr>
          <w:lang w:val="fr-CA"/>
        </w:rPr>
        <w:t>’</w:t>
      </w:r>
      <w:r w:rsidRPr="00287F0D">
        <w:rPr>
          <w:lang w:val="fr-CA"/>
        </w:rPr>
        <w:t xml:space="preserve">objectif </w:t>
      </w:r>
      <w:r>
        <w:rPr>
          <w:lang w:val="fr-CA"/>
        </w:rPr>
        <w:t xml:space="preserve">consistant à </w:t>
      </w:r>
      <w:r w:rsidRPr="00287F0D">
        <w:rPr>
          <w:lang w:val="fr-CA"/>
        </w:rPr>
        <w:t>assurer l</w:t>
      </w:r>
      <w:r>
        <w:rPr>
          <w:lang w:val="fr-CA"/>
        </w:rPr>
        <w:t>’</w:t>
      </w:r>
      <w:r w:rsidRPr="00287F0D">
        <w:rPr>
          <w:lang w:val="fr-CA"/>
        </w:rPr>
        <w:t>équité électorale à l</w:t>
      </w:r>
      <w:r>
        <w:rPr>
          <w:lang w:val="fr-CA"/>
        </w:rPr>
        <w:t>’</w:t>
      </w:r>
      <w:r w:rsidRPr="00287F0D">
        <w:rPr>
          <w:lang w:val="fr-CA"/>
        </w:rPr>
        <w:t xml:space="preserve">égard des électeurs résidents. </w:t>
      </w:r>
      <w:r>
        <w:rPr>
          <w:lang w:val="fr-CA"/>
        </w:rPr>
        <w:t>De l’avis du PGC, vu que</w:t>
      </w:r>
      <w:r w:rsidRPr="00287F0D">
        <w:rPr>
          <w:lang w:val="fr-CA"/>
        </w:rPr>
        <w:t xml:space="preserve"> la résidence est une </w:t>
      </w:r>
      <w:r>
        <w:rPr>
          <w:lang w:val="fr-CA"/>
        </w:rPr>
        <w:t>condition</w:t>
      </w:r>
      <w:r w:rsidRPr="00287F0D">
        <w:rPr>
          <w:lang w:val="fr-CA"/>
        </w:rPr>
        <w:t xml:space="preserve"> pour voter dans toutes les provinces et tous les </w:t>
      </w:r>
      <w:r>
        <w:rPr>
          <w:lang w:val="fr-CA"/>
        </w:rPr>
        <w:t>territoires canadiens</w:t>
      </w:r>
      <w:r w:rsidRPr="00287F0D">
        <w:rPr>
          <w:lang w:val="fr-CA"/>
        </w:rPr>
        <w:t xml:space="preserve"> et </w:t>
      </w:r>
      <w:r>
        <w:rPr>
          <w:lang w:val="fr-CA"/>
        </w:rPr>
        <w:t xml:space="preserve">vu </w:t>
      </w:r>
      <w:r w:rsidRPr="00287F0D">
        <w:rPr>
          <w:lang w:val="fr-CA"/>
        </w:rPr>
        <w:t xml:space="preserve">que la validité de ces exigences a été confirmée par trois tribunaux provinciaux </w:t>
      </w:r>
      <w:r>
        <w:rPr>
          <w:lang w:val="fr-CA"/>
        </w:rPr>
        <w:t xml:space="preserve">et </w:t>
      </w:r>
      <w:r w:rsidRPr="00287F0D">
        <w:rPr>
          <w:lang w:val="fr-CA"/>
        </w:rPr>
        <w:t xml:space="preserve">territoriaux, le lien entre les </w:t>
      </w:r>
      <w:r>
        <w:rPr>
          <w:lang w:val="fr-CA"/>
        </w:rPr>
        <w:t>conditions</w:t>
      </w:r>
      <w:r w:rsidRPr="00287F0D">
        <w:rPr>
          <w:lang w:val="fr-CA"/>
        </w:rPr>
        <w:t xml:space="preserve"> de résidence et l</w:t>
      </w:r>
      <w:r>
        <w:rPr>
          <w:lang w:val="fr-CA"/>
        </w:rPr>
        <w:t>’</w:t>
      </w:r>
      <w:r w:rsidRPr="00287F0D">
        <w:rPr>
          <w:lang w:val="fr-CA"/>
        </w:rPr>
        <w:t>équité électorale a été établi (</w:t>
      </w:r>
      <w:proofErr w:type="spellStart"/>
      <w:r w:rsidRPr="00287F0D">
        <w:rPr>
          <w:i/>
          <w:lang w:val="fr-CA"/>
        </w:rPr>
        <w:t>Storey</w:t>
      </w:r>
      <w:proofErr w:type="spellEnd"/>
      <w:r w:rsidRPr="00287F0D">
        <w:rPr>
          <w:i/>
          <w:lang w:val="fr-CA"/>
        </w:rPr>
        <w:t xml:space="preserve"> c. </w:t>
      </w:r>
      <w:proofErr w:type="spellStart"/>
      <w:r w:rsidRPr="00287F0D">
        <w:rPr>
          <w:i/>
          <w:lang w:val="fr-CA"/>
        </w:rPr>
        <w:t>Zazelenchuk</w:t>
      </w:r>
      <w:proofErr w:type="spellEnd"/>
      <w:r>
        <w:rPr>
          <w:lang w:val="fr-CA"/>
        </w:rPr>
        <w:t xml:space="preserve"> (</w:t>
      </w:r>
      <w:r w:rsidRPr="00287F0D">
        <w:rPr>
          <w:lang w:val="fr-CA"/>
        </w:rPr>
        <w:t>1984</w:t>
      </w:r>
      <w:r>
        <w:rPr>
          <w:lang w:val="fr-CA"/>
        </w:rPr>
        <w:t xml:space="preserve">), 36 </w:t>
      </w:r>
      <w:proofErr w:type="spellStart"/>
      <w:r>
        <w:rPr>
          <w:lang w:val="fr-CA"/>
        </w:rPr>
        <w:t>Sask</w:t>
      </w:r>
      <w:proofErr w:type="spellEnd"/>
      <w:r>
        <w:rPr>
          <w:lang w:val="fr-CA"/>
        </w:rPr>
        <w:t>. R.</w:t>
      </w:r>
      <w:r w:rsidRPr="00287F0D">
        <w:rPr>
          <w:lang w:val="fr-CA"/>
        </w:rPr>
        <w:t xml:space="preserve"> </w:t>
      </w:r>
      <w:r>
        <w:rPr>
          <w:lang w:val="fr-CA"/>
        </w:rPr>
        <w:t>103</w:t>
      </w:r>
      <w:r w:rsidRPr="00287F0D">
        <w:rPr>
          <w:lang w:val="fr-CA"/>
        </w:rPr>
        <w:t xml:space="preserve"> (C</w:t>
      </w:r>
      <w:r>
        <w:rPr>
          <w:lang w:val="fr-CA"/>
        </w:rPr>
        <w:t>.</w:t>
      </w:r>
      <w:r w:rsidRPr="00287F0D">
        <w:rPr>
          <w:lang w:val="fr-CA"/>
        </w:rPr>
        <w:t>A</w:t>
      </w:r>
      <w:r>
        <w:rPr>
          <w:lang w:val="fr-CA"/>
        </w:rPr>
        <w:t>.</w:t>
      </w:r>
      <w:r w:rsidRPr="00287F0D">
        <w:rPr>
          <w:lang w:val="fr-CA"/>
        </w:rPr>
        <w:t xml:space="preserve">); </w:t>
      </w:r>
      <w:r w:rsidRPr="00287F0D">
        <w:rPr>
          <w:i/>
          <w:lang w:val="fr-CA"/>
        </w:rPr>
        <w:t xml:space="preserve">Reference </w:t>
      </w:r>
      <w:proofErr w:type="spellStart"/>
      <w:r w:rsidRPr="00287F0D">
        <w:rPr>
          <w:i/>
          <w:lang w:val="fr-CA"/>
        </w:rPr>
        <w:t>Re</w:t>
      </w:r>
      <w:proofErr w:type="spellEnd"/>
      <w:r w:rsidRPr="00287F0D">
        <w:rPr>
          <w:i/>
          <w:lang w:val="fr-CA"/>
        </w:rPr>
        <w:t xml:space="preserve"> Yukon </w:t>
      </w:r>
      <w:proofErr w:type="spellStart"/>
      <w:r w:rsidRPr="00287F0D">
        <w:rPr>
          <w:i/>
          <w:lang w:val="fr-CA"/>
        </w:rPr>
        <w:t>Election</w:t>
      </w:r>
      <w:proofErr w:type="spellEnd"/>
      <w:r w:rsidRPr="00287F0D">
        <w:rPr>
          <w:i/>
          <w:lang w:val="fr-CA"/>
        </w:rPr>
        <w:t xml:space="preserve"> </w:t>
      </w:r>
      <w:proofErr w:type="spellStart"/>
      <w:r w:rsidRPr="00287F0D">
        <w:rPr>
          <w:i/>
          <w:lang w:val="fr-CA"/>
        </w:rPr>
        <w:t>Residency</w:t>
      </w:r>
      <w:proofErr w:type="spellEnd"/>
      <w:r w:rsidRPr="00287F0D">
        <w:rPr>
          <w:i/>
          <w:lang w:val="fr-CA"/>
        </w:rPr>
        <w:t xml:space="preserve"> </w:t>
      </w:r>
      <w:proofErr w:type="spellStart"/>
      <w:r w:rsidRPr="00287F0D">
        <w:rPr>
          <w:i/>
          <w:lang w:val="fr-CA"/>
        </w:rPr>
        <w:t>Requirement</w:t>
      </w:r>
      <w:r>
        <w:rPr>
          <w:i/>
          <w:lang w:val="fr-CA"/>
        </w:rPr>
        <w:t>s</w:t>
      </w:r>
      <w:proofErr w:type="spellEnd"/>
      <w:r w:rsidRPr="00287F0D">
        <w:rPr>
          <w:lang w:val="fr-CA"/>
        </w:rPr>
        <w:t xml:space="preserve"> </w:t>
      </w:r>
      <w:r>
        <w:rPr>
          <w:lang w:val="fr-CA"/>
        </w:rPr>
        <w:t>(</w:t>
      </w:r>
      <w:r w:rsidRPr="00287F0D">
        <w:rPr>
          <w:lang w:val="fr-CA"/>
        </w:rPr>
        <w:t>1986</w:t>
      </w:r>
      <w:r>
        <w:rPr>
          <w:lang w:val="fr-CA"/>
        </w:rPr>
        <w:t>),</w:t>
      </w:r>
      <w:r w:rsidRPr="00287F0D">
        <w:rPr>
          <w:lang w:val="fr-CA"/>
        </w:rPr>
        <w:t xml:space="preserve"> </w:t>
      </w:r>
      <w:r>
        <w:rPr>
          <w:lang w:val="fr-CA"/>
        </w:rPr>
        <w:t xml:space="preserve">1 </w:t>
      </w:r>
      <w:r w:rsidRPr="00287F0D">
        <w:rPr>
          <w:lang w:val="fr-CA"/>
        </w:rPr>
        <w:t>Y.</w:t>
      </w:r>
      <w:r>
        <w:rPr>
          <w:lang w:val="fr-CA"/>
        </w:rPr>
        <w:t>R</w:t>
      </w:r>
      <w:r w:rsidRPr="00287F0D">
        <w:rPr>
          <w:lang w:val="fr-CA"/>
        </w:rPr>
        <w:t xml:space="preserve">. </w:t>
      </w:r>
      <w:r>
        <w:rPr>
          <w:lang w:val="fr-CA"/>
        </w:rPr>
        <w:t>17</w:t>
      </w:r>
      <w:r w:rsidRPr="00287F0D">
        <w:rPr>
          <w:lang w:val="fr-CA"/>
        </w:rPr>
        <w:t xml:space="preserve"> (C</w:t>
      </w:r>
      <w:r>
        <w:rPr>
          <w:lang w:val="fr-CA"/>
        </w:rPr>
        <w:t>.</w:t>
      </w:r>
      <w:r w:rsidRPr="00287F0D">
        <w:rPr>
          <w:lang w:val="fr-CA"/>
        </w:rPr>
        <w:t>A</w:t>
      </w:r>
      <w:r>
        <w:rPr>
          <w:lang w:val="fr-CA"/>
        </w:rPr>
        <w:t>.</w:t>
      </w:r>
      <w:r w:rsidRPr="00287F0D">
        <w:rPr>
          <w:lang w:val="fr-CA"/>
        </w:rPr>
        <w:t xml:space="preserve">); </w:t>
      </w:r>
      <w:proofErr w:type="spellStart"/>
      <w:r w:rsidRPr="00287F0D">
        <w:rPr>
          <w:i/>
          <w:lang w:val="fr-CA"/>
        </w:rPr>
        <w:t>Anawak</w:t>
      </w:r>
      <w:proofErr w:type="spellEnd"/>
      <w:r w:rsidRPr="00287F0D">
        <w:rPr>
          <w:i/>
          <w:lang w:val="fr-CA"/>
        </w:rPr>
        <w:t xml:space="preserve"> c.</w:t>
      </w:r>
      <w:r w:rsidR="00AA5CD4">
        <w:rPr>
          <w:i/>
          <w:lang w:val="fr-CA"/>
        </w:rPr>
        <w:t xml:space="preserve"> Nunavut (Directeur général des élections</w:t>
      </w:r>
      <w:r w:rsidRPr="00287F0D">
        <w:rPr>
          <w:i/>
          <w:lang w:val="fr-CA"/>
        </w:rPr>
        <w:t>)</w:t>
      </w:r>
      <w:r>
        <w:rPr>
          <w:lang w:val="fr-CA"/>
        </w:rPr>
        <w:t>, 2008 NUCJ 26, 172 A.C.W.S. (3d) 391). C</w:t>
      </w:r>
      <w:r w:rsidRPr="00287F0D">
        <w:rPr>
          <w:lang w:val="fr-CA"/>
        </w:rPr>
        <w:t>et argument</w:t>
      </w:r>
      <w:r>
        <w:rPr>
          <w:lang w:val="fr-CA"/>
        </w:rPr>
        <w:t xml:space="preserve"> ne me convainc pas</w:t>
      </w:r>
      <w:r w:rsidRPr="00287F0D">
        <w:rPr>
          <w:lang w:val="fr-CA"/>
        </w:rPr>
        <w:t xml:space="preserve">. </w:t>
      </w:r>
      <w:r>
        <w:rPr>
          <w:lang w:val="fr-CA"/>
        </w:rPr>
        <w:t>Le présent pourvoi n’a pas pour objet les droits de vote provinciaux (ou territoriaux) et la situation qui nous occupe se distingue nettement de</w:t>
      </w:r>
      <w:r w:rsidRPr="00287F0D">
        <w:rPr>
          <w:lang w:val="fr-CA"/>
        </w:rPr>
        <w:t xml:space="preserve"> la situation dans les provinces</w:t>
      </w:r>
      <w:r>
        <w:rPr>
          <w:lang w:val="fr-CA"/>
        </w:rPr>
        <w:t>. À titre d’exemple, un électorat provincial peut être considérablement plus petit et plus mobile</w:t>
      </w:r>
      <w:r w:rsidRPr="00287F0D">
        <w:rPr>
          <w:lang w:val="fr-CA"/>
        </w:rPr>
        <w:t xml:space="preserve">, </w:t>
      </w:r>
      <w:r>
        <w:rPr>
          <w:lang w:val="fr-CA"/>
        </w:rPr>
        <w:t xml:space="preserve">les lois provinciales n’ont pas une portée extraterritoriale comparable et l’identité provinciale est distincte de l’identité nationale. Surtout, </w:t>
      </w:r>
      <w:r w:rsidRPr="00287F0D">
        <w:rPr>
          <w:lang w:val="fr-CA"/>
        </w:rPr>
        <w:t>il n</w:t>
      </w:r>
      <w:r>
        <w:rPr>
          <w:lang w:val="fr-CA"/>
        </w:rPr>
        <w:t>’</w:t>
      </w:r>
      <w:r w:rsidRPr="00287F0D">
        <w:rPr>
          <w:lang w:val="fr-CA"/>
        </w:rPr>
        <w:t xml:space="preserve">existe aucun équivalent provincial </w:t>
      </w:r>
      <w:r>
        <w:rPr>
          <w:lang w:val="fr-CA"/>
        </w:rPr>
        <w:t>à la notion de</w:t>
      </w:r>
      <w:r w:rsidRPr="00287F0D">
        <w:rPr>
          <w:lang w:val="fr-CA"/>
        </w:rPr>
        <w:t xml:space="preserve"> citoyenneté. </w:t>
      </w:r>
      <w:r>
        <w:rPr>
          <w:lang w:val="fr-CA"/>
        </w:rPr>
        <w:t>En</w:t>
      </w:r>
      <w:r w:rsidRPr="00287F0D">
        <w:rPr>
          <w:lang w:val="fr-CA"/>
        </w:rPr>
        <w:t xml:space="preserve"> conséquen</w:t>
      </w:r>
      <w:r>
        <w:rPr>
          <w:lang w:val="fr-CA"/>
        </w:rPr>
        <w:t>ce</w:t>
      </w:r>
      <w:r w:rsidRPr="00287F0D">
        <w:rPr>
          <w:lang w:val="fr-CA"/>
        </w:rPr>
        <w:t xml:space="preserve">, </w:t>
      </w:r>
      <w:r>
        <w:rPr>
          <w:lang w:val="fr-CA"/>
        </w:rPr>
        <w:t>le fait que</w:t>
      </w:r>
      <w:r w:rsidRPr="00287F0D">
        <w:rPr>
          <w:lang w:val="fr-CA"/>
        </w:rPr>
        <w:t xml:space="preserve"> les provinces et territoires canadiens imposent la résidence comme condition d</w:t>
      </w:r>
      <w:r>
        <w:rPr>
          <w:lang w:val="fr-CA"/>
        </w:rPr>
        <w:t>’</w:t>
      </w:r>
      <w:r w:rsidRPr="00287F0D">
        <w:rPr>
          <w:lang w:val="fr-CA"/>
        </w:rPr>
        <w:t>exercice du droit de vote</w:t>
      </w:r>
      <w:r>
        <w:rPr>
          <w:lang w:val="fr-CA"/>
        </w:rPr>
        <w:t xml:space="preserve"> n’a que peu de pertinence</w:t>
      </w:r>
      <w:r w:rsidRPr="00287F0D">
        <w:rPr>
          <w:lang w:val="fr-CA"/>
        </w:rPr>
        <w:t xml:space="preserve"> en ce qui concerne les droits de </w:t>
      </w:r>
      <w:r>
        <w:rPr>
          <w:lang w:val="fr-CA"/>
        </w:rPr>
        <w:t xml:space="preserve">vote en droit électoral fédéral. </w:t>
      </w:r>
      <w:r w:rsidRPr="00287F0D">
        <w:rPr>
          <w:lang w:val="fr-CA"/>
        </w:rPr>
        <w:t>Dans le</w:t>
      </w:r>
      <w:r>
        <w:rPr>
          <w:lang w:val="fr-CA"/>
        </w:rPr>
        <w:t xml:space="preserve"> contexte de</w:t>
      </w:r>
      <w:r w:rsidRPr="00287F0D">
        <w:rPr>
          <w:lang w:val="fr-CA"/>
        </w:rPr>
        <w:t>s élections provinciales et territoriales, la résidence peut</w:t>
      </w:r>
      <w:r>
        <w:rPr>
          <w:lang w:val="fr-CA"/>
        </w:rPr>
        <w:t xml:space="preserve"> servir à </w:t>
      </w:r>
      <w:r w:rsidRPr="00287F0D">
        <w:rPr>
          <w:lang w:val="fr-CA"/>
        </w:rPr>
        <w:t>établir le lien nécessaire entre l</w:t>
      </w:r>
      <w:r>
        <w:rPr>
          <w:lang w:val="fr-CA"/>
        </w:rPr>
        <w:t>’</w:t>
      </w:r>
      <w:r w:rsidRPr="00287F0D">
        <w:rPr>
          <w:lang w:val="fr-CA"/>
        </w:rPr>
        <w:t>électeur et la province</w:t>
      </w:r>
      <w:r>
        <w:rPr>
          <w:lang w:val="fr-CA"/>
        </w:rPr>
        <w:t xml:space="preserve"> ou le territoire</w:t>
      </w:r>
      <w:r w:rsidRPr="00287F0D">
        <w:rPr>
          <w:lang w:val="fr-CA"/>
        </w:rPr>
        <w:t xml:space="preserve">. Toutefois, dans le contexte des élections fédérales, la </w:t>
      </w:r>
      <w:r w:rsidRPr="00287F0D">
        <w:rPr>
          <w:i/>
          <w:lang w:val="fr-CA"/>
        </w:rPr>
        <w:t>citoyenneté</w:t>
      </w:r>
      <w:r w:rsidRPr="00287F0D">
        <w:rPr>
          <w:lang w:val="fr-CA"/>
        </w:rPr>
        <w:t xml:space="preserve"> canadienne fait elle</w:t>
      </w:r>
      <w:r>
        <w:rPr>
          <w:lang w:val="fr-CA"/>
        </w:rPr>
        <w:noBreakHyphen/>
      </w:r>
      <w:r w:rsidRPr="00287F0D">
        <w:rPr>
          <w:lang w:val="fr-CA"/>
        </w:rPr>
        <w:t>même preuve du lien requis</w:t>
      </w:r>
      <w:r>
        <w:rPr>
          <w:lang w:val="fr-CA"/>
        </w:rPr>
        <w:t>.</w:t>
      </w:r>
    </w:p>
    <w:p w:rsidR="001244E7" w:rsidRDefault="001244E7" w:rsidP="001244E7">
      <w:pPr>
        <w:pStyle w:val="ParaNoNdepar-AltN"/>
        <w:rPr>
          <w:lang w:val="fr-CA"/>
        </w:rPr>
      </w:pPr>
      <w:r w:rsidRPr="00461FB4">
        <w:rPr>
          <w:lang w:val="fr-CA"/>
        </w:rPr>
        <w:lastRenderedPageBreak/>
        <w:t>Le fait que la résidence soit une exigence</w:t>
      </w:r>
      <w:r>
        <w:rPr>
          <w:lang w:val="fr-CA"/>
        </w:rPr>
        <w:t xml:space="preserve"> prévue dans les</w:t>
      </w:r>
      <w:r w:rsidRPr="00461FB4">
        <w:rPr>
          <w:lang w:val="fr-CA"/>
        </w:rPr>
        <w:t xml:space="preserve"> lois élec</w:t>
      </w:r>
      <w:r>
        <w:rPr>
          <w:lang w:val="fr-CA"/>
        </w:rPr>
        <w:t>torales d’autres démocraties de</w:t>
      </w:r>
      <w:r w:rsidRPr="00461FB4">
        <w:rPr>
          <w:lang w:val="fr-CA"/>
        </w:rPr>
        <w:t xml:space="preserve"> Westminster</w:t>
      </w:r>
      <w:r>
        <w:rPr>
          <w:lang w:val="fr-CA"/>
        </w:rPr>
        <w:t xml:space="preserve"> —</w:t>
      </w:r>
      <w:r w:rsidRPr="00AB4D29">
        <w:rPr>
          <w:lang w:val="fr-CA"/>
        </w:rPr>
        <w:t xml:space="preserve"> </w:t>
      </w:r>
      <w:r w:rsidRPr="00461FB4">
        <w:rPr>
          <w:lang w:val="fr-CA"/>
        </w:rPr>
        <w:t>un point sur lequel se sont appuyés les juges majoritaires de la Cour d</w:t>
      </w:r>
      <w:r>
        <w:rPr>
          <w:lang w:val="fr-CA"/>
        </w:rPr>
        <w:t>’</w:t>
      </w:r>
      <w:r w:rsidRPr="00461FB4">
        <w:rPr>
          <w:lang w:val="fr-CA"/>
        </w:rPr>
        <w:t xml:space="preserve">appel </w:t>
      </w:r>
      <w:r>
        <w:rPr>
          <w:lang w:val="fr-CA"/>
        </w:rPr>
        <w:t>—</w:t>
      </w:r>
      <w:r w:rsidRPr="00AB4D29">
        <w:rPr>
          <w:lang w:val="fr-CA"/>
        </w:rPr>
        <w:t xml:space="preserve"> </w:t>
      </w:r>
      <w:r w:rsidRPr="00461FB4">
        <w:rPr>
          <w:lang w:val="fr-CA"/>
        </w:rPr>
        <w:t>n</w:t>
      </w:r>
      <w:r>
        <w:rPr>
          <w:lang w:val="fr-CA"/>
        </w:rPr>
        <w:t>’</w:t>
      </w:r>
      <w:r w:rsidRPr="00461FB4">
        <w:rPr>
          <w:lang w:val="fr-CA"/>
        </w:rPr>
        <w:t xml:space="preserve">aide pas non plus le </w:t>
      </w:r>
      <w:r>
        <w:rPr>
          <w:lang w:val="fr-CA"/>
        </w:rPr>
        <w:t>PGC</w:t>
      </w:r>
      <w:r w:rsidRPr="00BC2D48">
        <w:rPr>
          <w:lang w:val="fr-CA"/>
        </w:rPr>
        <w:t xml:space="preserve"> </w:t>
      </w:r>
      <w:r w:rsidRPr="00461FB4">
        <w:rPr>
          <w:lang w:val="fr-CA"/>
        </w:rPr>
        <w:t>à é</w:t>
      </w:r>
      <w:r>
        <w:rPr>
          <w:lang w:val="fr-CA"/>
        </w:rPr>
        <w:t>tablir le lien rationnel requis</w:t>
      </w:r>
      <w:r w:rsidRPr="00461FB4">
        <w:rPr>
          <w:lang w:val="fr-CA"/>
        </w:rPr>
        <w:t xml:space="preserve">. </w:t>
      </w:r>
      <w:r>
        <w:rPr>
          <w:lang w:val="fr-CA"/>
        </w:rPr>
        <w:t xml:space="preserve">Le simple fait qu’une mesure soit en vigueur dans d’autres pays est de peu d’utilité pour établir si, dans le contexte canadien, elle a un lien rationnel avec l’objectif législatif précis que fait valoir le PGC. </w:t>
      </w:r>
      <w:r w:rsidRPr="00461FB4">
        <w:rPr>
          <w:lang w:val="fr-CA"/>
        </w:rPr>
        <w:t>Plus généralement, l</w:t>
      </w:r>
      <w:r>
        <w:rPr>
          <w:lang w:val="fr-CA"/>
        </w:rPr>
        <w:t>’</w:t>
      </w:r>
      <w:r w:rsidRPr="00461FB4">
        <w:rPr>
          <w:lang w:val="fr-CA"/>
        </w:rPr>
        <w:t xml:space="preserve">histoire du </w:t>
      </w:r>
      <w:r>
        <w:rPr>
          <w:lang w:val="fr-CA"/>
        </w:rPr>
        <w:t xml:space="preserve">système électoral canadien </w:t>
      </w:r>
      <w:r w:rsidRPr="00461FB4">
        <w:rPr>
          <w:lang w:val="fr-CA"/>
        </w:rPr>
        <w:t>en est une d</w:t>
      </w:r>
      <w:r>
        <w:rPr>
          <w:lang w:val="fr-CA"/>
        </w:rPr>
        <w:t>’</w:t>
      </w:r>
      <w:r w:rsidRPr="00461FB4">
        <w:rPr>
          <w:lang w:val="fr-CA"/>
        </w:rPr>
        <w:t xml:space="preserve">octroi progressif du droit de vote. Le Canada fait figure de chef de file mondial à cet égard. </w:t>
      </w:r>
      <w:r>
        <w:rPr>
          <w:lang w:val="fr-CA"/>
        </w:rPr>
        <w:t>À titre d’</w:t>
      </w:r>
      <w:r w:rsidRPr="00461FB4">
        <w:rPr>
          <w:lang w:val="fr-CA"/>
        </w:rPr>
        <w:t>exemple, il ressort d</w:t>
      </w:r>
      <w:r>
        <w:rPr>
          <w:lang w:val="fr-CA"/>
        </w:rPr>
        <w:t>’</w:t>
      </w:r>
      <w:r w:rsidRPr="00461FB4">
        <w:rPr>
          <w:lang w:val="fr-CA"/>
        </w:rPr>
        <w:t>un</w:t>
      </w:r>
      <w:r>
        <w:rPr>
          <w:lang w:val="fr-CA"/>
        </w:rPr>
        <w:t xml:space="preserve"> rapport</w:t>
      </w:r>
      <w:r w:rsidRPr="00461FB4">
        <w:rPr>
          <w:lang w:val="fr-CA"/>
        </w:rPr>
        <w:t xml:space="preserve"> présenté</w:t>
      </w:r>
      <w:r>
        <w:rPr>
          <w:lang w:val="fr-CA"/>
        </w:rPr>
        <w:t xml:space="preserve"> en preuve</w:t>
      </w:r>
      <w:r w:rsidRPr="00461FB4">
        <w:rPr>
          <w:lang w:val="fr-CA"/>
        </w:rPr>
        <w:t xml:space="preserve"> </w:t>
      </w:r>
      <w:r>
        <w:rPr>
          <w:lang w:val="fr-CA"/>
        </w:rPr>
        <w:t>devant le</w:t>
      </w:r>
      <w:r w:rsidRPr="00461FB4">
        <w:rPr>
          <w:lang w:val="fr-CA"/>
        </w:rPr>
        <w:t xml:space="preserve"> juge de première instance que le Canada fait partie des quatre seuls pays</w:t>
      </w:r>
      <w:r>
        <w:rPr>
          <w:lang w:val="fr-CA"/>
        </w:rPr>
        <w:t>,</w:t>
      </w:r>
      <w:r w:rsidRPr="00461FB4">
        <w:rPr>
          <w:lang w:val="fr-CA"/>
        </w:rPr>
        <w:t xml:space="preserve"> parmi les </w:t>
      </w:r>
      <w:r>
        <w:rPr>
          <w:lang w:val="fr-CA"/>
        </w:rPr>
        <w:t>60</w:t>
      </w:r>
      <w:r w:rsidRPr="00461FB4">
        <w:rPr>
          <w:lang w:val="fr-CA"/>
        </w:rPr>
        <w:t xml:space="preserve"> démocraties sondées</w:t>
      </w:r>
      <w:r>
        <w:rPr>
          <w:lang w:val="fr-CA"/>
        </w:rPr>
        <w:t>,</w:t>
      </w:r>
      <w:r w:rsidRPr="00461FB4">
        <w:rPr>
          <w:lang w:val="fr-CA"/>
        </w:rPr>
        <w:t xml:space="preserve"> qui ne restreignent pas le droit de vote de</w:t>
      </w:r>
      <w:r>
        <w:rPr>
          <w:lang w:val="fr-CA"/>
        </w:rPr>
        <w:t>s</w:t>
      </w:r>
      <w:r w:rsidRPr="00461FB4">
        <w:rPr>
          <w:lang w:val="fr-CA"/>
        </w:rPr>
        <w:t xml:space="preserve"> personne</w:t>
      </w:r>
      <w:r>
        <w:rPr>
          <w:lang w:val="fr-CA"/>
        </w:rPr>
        <w:t>s ayant une déficience mentale (voir les motifs du juge de première instance, par. 140)</w:t>
      </w:r>
      <w:r w:rsidRPr="00461FB4">
        <w:rPr>
          <w:lang w:val="fr-CA"/>
        </w:rPr>
        <w:t xml:space="preserve">. </w:t>
      </w:r>
      <w:r>
        <w:rPr>
          <w:lang w:val="fr-CA"/>
        </w:rPr>
        <w:t>De la même façon, vu que bon nombre de</w:t>
      </w:r>
      <w:r w:rsidRPr="00461FB4">
        <w:rPr>
          <w:lang w:val="fr-CA"/>
        </w:rPr>
        <w:t xml:space="preserve"> pays restreignent les droits de vote des citoyens incarcérés, il se peut fort bien que le résultat dans</w:t>
      </w:r>
      <w:r>
        <w:rPr>
          <w:lang w:val="fr-CA"/>
        </w:rPr>
        <w:t xml:space="preserve"> l’arrêt</w:t>
      </w:r>
      <w:r w:rsidRPr="00461FB4">
        <w:rPr>
          <w:lang w:val="fr-CA"/>
        </w:rPr>
        <w:t xml:space="preserve"> </w:t>
      </w:r>
      <w:r w:rsidRPr="00461FB4">
        <w:rPr>
          <w:i/>
          <w:lang w:val="fr-CA"/>
        </w:rPr>
        <w:t>Sauvé n</w:t>
      </w:r>
      <w:r w:rsidRPr="00461FB4">
        <w:rPr>
          <w:i/>
          <w:vertAlign w:val="superscript"/>
          <w:lang w:val="fr-CA"/>
        </w:rPr>
        <w:t>o</w:t>
      </w:r>
      <w:r>
        <w:rPr>
          <w:i/>
          <w:vertAlign w:val="superscript"/>
          <w:lang w:val="fr-CA"/>
        </w:rPr>
        <w:t> </w:t>
      </w:r>
      <w:r w:rsidRPr="00461FB4">
        <w:rPr>
          <w:i/>
          <w:lang w:val="fr-CA"/>
        </w:rPr>
        <w:t>2</w:t>
      </w:r>
      <w:r w:rsidRPr="00461FB4">
        <w:rPr>
          <w:lang w:val="fr-CA"/>
        </w:rPr>
        <w:t xml:space="preserve"> eut été différent si les comparaisons avec d</w:t>
      </w:r>
      <w:r>
        <w:rPr>
          <w:lang w:val="fr-CA"/>
        </w:rPr>
        <w:t>’</w:t>
      </w:r>
      <w:r w:rsidRPr="00461FB4">
        <w:rPr>
          <w:lang w:val="fr-CA"/>
        </w:rPr>
        <w:t xml:space="preserve">autres démocraties avaient </w:t>
      </w:r>
      <w:r>
        <w:rPr>
          <w:lang w:val="fr-CA"/>
        </w:rPr>
        <w:t>eu plus de poids dans l’analyse</w:t>
      </w:r>
      <w:r w:rsidRPr="00461FB4">
        <w:rPr>
          <w:lang w:val="fr-CA"/>
        </w:rPr>
        <w:t xml:space="preserve">. Pourtant, la juge en chef </w:t>
      </w:r>
      <w:proofErr w:type="spellStart"/>
      <w:r w:rsidRPr="00461FB4">
        <w:rPr>
          <w:lang w:val="fr-CA"/>
        </w:rPr>
        <w:t>McLachlin</w:t>
      </w:r>
      <w:proofErr w:type="spellEnd"/>
      <w:r w:rsidRPr="00461FB4">
        <w:rPr>
          <w:lang w:val="fr-CA"/>
        </w:rPr>
        <w:t xml:space="preserve"> a statué </w:t>
      </w:r>
      <w:r>
        <w:rPr>
          <w:lang w:val="fr-CA"/>
        </w:rPr>
        <w:t xml:space="preserve">dans cette affaire </w:t>
      </w:r>
      <w:r w:rsidRPr="00461FB4">
        <w:rPr>
          <w:lang w:val="fr-CA"/>
        </w:rPr>
        <w:t>que le fait que d</w:t>
      </w:r>
      <w:r>
        <w:rPr>
          <w:lang w:val="fr-CA"/>
        </w:rPr>
        <w:t>’</w:t>
      </w:r>
      <w:r w:rsidRPr="00461FB4">
        <w:rPr>
          <w:lang w:val="fr-CA"/>
        </w:rPr>
        <w:t xml:space="preserve">autres démocraties </w:t>
      </w:r>
      <w:r>
        <w:rPr>
          <w:lang w:val="fr-CA"/>
        </w:rPr>
        <w:t>arrivent à d’autre</w:t>
      </w:r>
      <w:r w:rsidRPr="00461FB4">
        <w:rPr>
          <w:lang w:val="fr-CA"/>
        </w:rPr>
        <w:t xml:space="preserve">s conclusions en ce qui concerne le droit de vote des détenus « renseigne peu sur ce que permet la vision canadienne de la démocratie consacrée dans la </w:t>
      </w:r>
      <w:r w:rsidRPr="00461FB4">
        <w:rPr>
          <w:i/>
          <w:lang w:val="fr-CA"/>
        </w:rPr>
        <w:t>Charte</w:t>
      </w:r>
      <w:r w:rsidRPr="00461FB4">
        <w:rPr>
          <w:lang w:val="fr-CA"/>
        </w:rPr>
        <w:t> » (</w:t>
      </w:r>
      <w:r w:rsidRPr="00927F24">
        <w:rPr>
          <w:i/>
          <w:lang w:val="fr-CA"/>
        </w:rPr>
        <w:t>Sauvé n</w:t>
      </w:r>
      <w:r w:rsidRPr="00927F24">
        <w:rPr>
          <w:i/>
          <w:vertAlign w:val="superscript"/>
          <w:lang w:val="fr-CA"/>
        </w:rPr>
        <w:t>o</w:t>
      </w:r>
      <w:r>
        <w:rPr>
          <w:i/>
          <w:vertAlign w:val="superscript"/>
          <w:lang w:val="fr-CA"/>
        </w:rPr>
        <w:t> </w:t>
      </w:r>
      <w:r w:rsidRPr="00927F24">
        <w:rPr>
          <w:i/>
          <w:lang w:val="fr-CA"/>
        </w:rPr>
        <w:t>2</w:t>
      </w:r>
      <w:r>
        <w:rPr>
          <w:lang w:val="fr-CA"/>
        </w:rPr>
        <w:t>, par. </w:t>
      </w:r>
      <w:r w:rsidRPr="00461FB4">
        <w:rPr>
          <w:lang w:val="fr-CA"/>
        </w:rPr>
        <w:t>41). En conséquence, le fait que d</w:t>
      </w:r>
      <w:r>
        <w:rPr>
          <w:lang w:val="fr-CA"/>
        </w:rPr>
        <w:t>’</w:t>
      </w:r>
      <w:r w:rsidRPr="00461FB4">
        <w:rPr>
          <w:lang w:val="fr-CA"/>
        </w:rPr>
        <w:t>autres démocraties aient adopté par voi</w:t>
      </w:r>
      <w:r>
        <w:rPr>
          <w:lang w:val="fr-CA"/>
        </w:rPr>
        <w:t>e législative des restrictions a</w:t>
      </w:r>
      <w:r w:rsidRPr="00461FB4">
        <w:rPr>
          <w:lang w:val="fr-CA"/>
        </w:rPr>
        <w:t xml:space="preserve">u </w:t>
      </w:r>
      <w:r>
        <w:rPr>
          <w:lang w:val="fr-CA"/>
        </w:rPr>
        <w:t xml:space="preserve">droit de </w:t>
      </w:r>
      <w:r w:rsidRPr="00461FB4">
        <w:rPr>
          <w:lang w:val="fr-CA"/>
        </w:rPr>
        <w:t xml:space="preserve">vote en fonction de la résidence ne nous aide pas beaucoup </w:t>
      </w:r>
      <w:r>
        <w:rPr>
          <w:lang w:val="fr-CA"/>
        </w:rPr>
        <w:t>à</w:t>
      </w:r>
      <w:r w:rsidRPr="00461FB4">
        <w:rPr>
          <w:lang w:val="fr-CA"/>
        </w:rPr>
        <w:t xml:space="preserve"> déterminer ce qu</w:t>
      </w:r>
      <w:r>
        <w:rPr>
          <w:lang w:val="fr-CA"/>
        </w:rPr>
        <w:t>’</w:t>
      </w:r>
      <w:r w:rsidRPr="00461FB4">
        <w:rPr>
          <w:lang w:val="fr-CA"/>
        </w:rPr>
        <w:t xml:space="preserve">exigent les droits démocratiques </w:t>
      </w:r>
      <w:r w:rsidRPr="00461FB4">
        <w:rPr>
          <w:i/>
          <w:lang w:val="fr-CA"/>
        </w:rPr>
        <w:t>canadiens</w:t>
      </w:r>
      <w:r w:rsidRPr="00461FB4">
        <w:rPr>
          <w:lang w:val="fr-CA"/>
        </w:rPr>
        <w:t xml:space="preserve"> consacrés par </w:t>
      </w:r>
      <w:r>
        <w:rPr>
          <w:lang w:val="fr-CA"/>
        </w:rPr>
        <w:t>la</w:t>
      </w:r>
      <w:r w:rsidRPr="00461FB4">
        <w:rPr>
          <w:lang w:val="fr-CA"/>
        </w:rPr>
        <w:t xml:space="preserve"> </w:t>
      </w:r>
      <w:r w:rsidRPr="00461FB4">
        <w:rPr>
          <w:i/>
          <w:lang w:val="fr-CA"/>
        </w:rPr>
        <w:t>Charte</w:t>
      </w:r>
      <w:r>
        <w:rPr>
          <w:lang w:val="fr-CA"/>
        </w:rPr>
        <w:t xml:space="preserve"> de notre pays.</w:t>
      </w:r>
      <w:r w:rsidRPr="00461FB4">
        <w:rPr>
          <w:lang w:val="fr-CA"/>
        </w:rPr>
        <w:t xml:space="preserve"> Nous ne devons pas nous</w:t>
      </w:r>
      <w:r>
        <w:rPr>
          <w:lang w:val="fr-CA"/>
        </w:rPr>
        <w:t xml:space="preserve"> en</w:t>
      </w:r>
      <w:r w:rsidRPr="00461FB4">
        <w:rPr>
          <w:lang w:val="fr-CA"/>
        </w:rPr>
        <w:t xml:space="preserve"> remettre aux normes de </w:t>
      </w:r>
      <w:r>
        <w:rPr>
          <w:lang w:val="fr-CA"/>
        </w:rPr>
        <w:t xml:space="preserve">systèmes comparables dans d’autres pays </w:t>
      </w:r>
      <w:r w:rsidRPr="00461FB4">
        <w:rPr>
          <w:lang w:val="fr-CA"/>
        </w:rPr>
        <w:t xml:space="preserve">pour </w:t>
      </w:r>
      <w:r>
        <w:rPr>
          <w:lang w:val="fr-CA"/>
        </w:rPr>
        <w:lastRenderedPageBreak/>
        <w:t>conclure à</w:t>
      </w:r>
      <w:r w:rsidRPr="00461FB4">
        <w:rPr>
          <w:lang w:val="fr-CA"/>
        </w:rPr>
        <w:t xml:space="preserve"> l</w:t>
      </w:r>
      <w:r>
        <w:rPr>
          <w:lang w:val="fr-CA"/>
        </w:rPr>
        <w:t>’</w:t>
      </w:r>
      <w:r w:rsidRPr="00461FB4">
        <w:rPr>
          <w:lang w:val="fr-CA"/>
        </w:rPr>
        <w:t>existence d</w:t>
      </w:r>
      <w:r>
        <w:rPr>
          <w:lang w:val="fr-CA"/>
        </w:rPr>
        <w:t>’</w:t>
      </w:r>
      <w:r w:rsidRPr="00461FB4">
        <w:rPr>
          <w:lang w:val="fr-CA"/>
        </w:rPr>
        <w:t>un lien rationnel entre la restriction des droits de vote de non</w:t>
      </w:r>
      <w:r>
        <w:rPr>
          <w:lang w:val="fr-CA"/>
        </w:rPr>
        <w:noBreakHyphen/>
      </w:r>
      <w:r w:rsidRPr="00461FB4">
        <w:rPr>
          <w:lang w:val="fr-CA"/>
        </w:rPr>
        <w:t>résidents et l</w:t>
      </w:r>
      <w:r>
        <w:rPr>
          <w:lang w:val="fr-CA"/>
        </w:rPr>
        <w:t>’</w:t>
      </w:r>
      <w:r w:rsidRPr="00461FB4">
        <w:rPr>
          <w:lang w:val="fr-CA"/>
        </w:rPr>
        <w:t xml:space="preserve">objectif </w:t>
      </w:r>
      <w:r>
        <w:rPr>
          <w:lang w:val="fr-CA"/>
        </w:rPr>
        <w:t xml:space="preserve">consistant à </w:t>
      </w:r>
      <w:r w:rsidRPr="00461FB4">
        <w:rPr>
          <w:lang w:val="fr-CA"/>
        </w:rPr>
        <w:t>assurer l</w:t>
      </w:r>
      <w:r>
        <w:rPr>
          <w:lang w:val="fr-CA"/>
        </w:rPr>
        <w:t>’</w:t>
      </w:r>
      <w:r w:rsidRPr="00461FB4">
        <w:rPr>
          <w:lang w:val="fr-CA"/>
        </w:rPr>
        <w:t>équité électorale</w:t>
      </w:r>
      <w:r>
        <w:rPr>
          <w:lang w:val="fr-CA"/>
        </w:rPr>
        <w:t>.</w:t>
      </w:r>
    </w:p>
    <w:p w:rsidR="001244E7" w:rsidRDefault="001244E7" w:rsidP="001244E7">
      <w:pPr>
        <w:pStyle w:val="ParaNoNdepar-AltN"/>
        <w:rPr>
          <w:lang w:val="fr-CA"/>
        </w:rPr>
      </w:pPr>
      <w:r>
        <w:rPr>
          <w:lang w:val="fr-CA"/>
        </w:rPr>
        <w:t>Enfin, j’ajouterais que le PGC</w:t>
      </w:r>
      <w:r w:rsidRPr="00BC2D48">
        <w:rPr>
          <w:lang w:val="fr-CA"/>
        </w:rPr>
        <w:t xml:space="preserve"> </w:t>
      </w:r>
      <w:r>
        <w:rPr>
          <w:lang w:val="fr-CA"/>
        </w:rPr>
        <w:t xml:space="preserve">n’a présenté aucune </w:t>
      </w:r>
      <w:r w:rsidRPr="00461FB4">
        <w:rPr>
          <w:lang w:val="fr-CA"/>
        </w:rPr>
        <w:t>preuve</w:t>
      </w:r>
      <w:r>
        <w:rPr>
          <w:lang w:val="fr-CA"/>
        </w:rPr>
        <w:t xml:space="preserve"> —</w:t>
      </w:r>
      <w:r w:rsidRPr="00461FB4">
        <w:rPr>
          <w:lang w:val="fr-CA"/>
        </w:rPr>
        <w:t xml:space="preserve"> que ce soit </w:t>
      </w:r>
      <w:r>
        <w:rPr>
          <w:lang w:val="fr-CA"/>
        </w:rPr>
        <w:t>précisément</w:t>
      </w:r>
      <w:r w:rsidRPr="00461FB4">
        <w:rPr>
          <w:lang w:val="fr-CA"/>
        </w:rPr>
        <w:t xml:space="preserve"> en lien avec la théorie du contrat social ou relativement à l</w:t>
      </w:r>
      <w:r>
        <w:rPr>
          <w:lang w:val="fr-CA"/>
        </w:rPr>
        <w:t>’</w:t>
      </w:r>
      <w:r w:rsidRPr="00461FB4">
        <w:rPr>
          <w:lang w:val="fr-CA"/>
        </w:rPr>
        <w:t xml:space="preserve">équité électorale plus généralement </w:t>
      </w:r>
      <w:r>
        <w:rPr>
          <w:lang w:val="fr-CA"/>
        </w:rPr>
        <w:t>—</w:t>
      </w:r>
      <w:r w:rsidRPr="00461FB4">
        <w:rPr>
          <w:lang w:val="fr-CA"/>
        </w:rPr>
        <w:t xml:space="preserve"> pour justifier l</w:t>
      </w:r>
      <w:r>
        <w:rPr>
          <w:lang w:val="fr-CA"/>
        </w:rPr>
        <w:t>’</w:t>
      </w:r>
      <w:r w:rsidRPr="00461FB4">
        <w:rPr>
          <w:lang w:val="fr-CA"/>
        </w:rPr>
        <w:t>object</w:t>
      </w:r>
      <w:r>
        <w:rPr>
          <w:lang w:val="fr-CA"/>
        </w:rPr>
        <w:t>if des dispositions contestées</w:t>
      </w:r>
      <w:r w:rsidRPr="00461FB4">
        <w:rPr>
          <w:lang w:val="fr-CA"/>
        </w:rPr>
        <w:t>. En clair, il n</w:t>
      </w:r>
      <w:r>
        <w:rPr>
          <w:lang w:val="fr-CA"/>
        </w:rPr>
        <w:t>’</w:t>
      </w:r>
      <w:r w:rsidRPr="00461FB4">
        <w:rPr>
          <w:lang w:val="fr-CA"/>
        </w:rPr>
        <w:t xml:space="preserve">y a aucune preuve du </w:t>
      </w:r>
      <w:r>
        <w:rPr>
          <w:lang w:val="fr-CA"/>
        </w:rPr>
        <w:t>préjudice</w:t>
      </w:r>
      <w:r w:rsidRPr="00461FB4">
        <w:rPr>
          <w:lang w:val="fr-CA"/>
        </w:rPr>
        <w:t xml:space="preserve"> que ces restrictions </w:t>
      </w:r>
      <w:r>
        <w:rPr>
          <w:lang w:val="fr-CA"/>
        </w:rPr>
        <w:t>d</w:t>
      </w:r>
      <w:r w:rsidRPr="00461FB4">
        <w:rPr>
          <w:lang w:val="fr-CA"/>
        </w:rPr>
        <w:t xml:space="preserve">u vote sont censées redresser. </w:t>
      </w:r>
      <w:r>
        <w:rPr>
          <w:lang w:val="fr-CA"/>
        </w:rPr>
        <w:t>Il est maintenant possible de</w:t>
      </w:r>
      <w:r w:rsidRPr="00461FB4">
        <w:rPr>
          <w:lang w:val="fr-CA"/>
        </w:rPr>
        <w:t xml:space="preserve"> vote</w:t>
      </w:r>
      <w:r>
        <w:rPr>
          <w:lang w:val="fr-CA"/>
        </w:rPr>
        <w:t xml:space="preserve">r de l’extérieur du Canada </w:t>
      </w:r>
      <w:r w:rsidRPr="00461FB4">
        <w:rPr>
          <w:lang w:val="fr-CA"/>
        </w:rPr>
        <w:t xml:space="preserve">depuis plus de </w:t>
      </w:r>
      <w:r w:rsidR="00836DEF">
        <w:rPr>
          <w:lang w:val="fr-CA"/>
        </w:rPr>
        <w:t>20</w:t>
      </w:r>
      <w:r w:rsidRPr="00461FB4">
        <w:rPr>
          <w:lang w:val="fr-CA"/>
        </w:rPr>
        <w:t xml:space="preserve"> ans, et le </w:t>
      </w:r>
      <w:r>
        <w:rPr>
          <w:lang w:val="fr-CA"/>
        </w:rPr>
        <w:t>PGC</w:t>
      </w:r>
      <w:r w:rsidRPr="00BC2D48">
        <w:rPr>
          <w:lang w:val="fr-CA"/>
        </w:rPr>
        <w:t xml:space="preserve"> </w:t>
      </w:r>
      <w:r>
        <w:rPr>
          <w:lang w:val="fr-CA"/>
        </w:rPr>
        <w:t>a été incapable d’indique</w:t>
      </w:r>
      <w:r w:rsidRPr="00461FB4">
        <w:rPr>
          <w:lang w:val="fr-CA"/>
        </w:rPr>
        <w:t>r ne serait</w:t>
      </w:r>
      <w:r>
        <w:rPr>
          <w:lang w:val="fr-CA"/>
        </w:rPr>
        <w:noBreakHyphen/>
      </w:r>
      <w:r w:rsidRPr="00461FB4">
        <w:rPr>
          <w:lang w:val="fr-CA"/>
        </w:rPr>
        <w:t>ce qu</w:t>
      </w:r>
      <w:r>
        <w:rPr>
          <w:lang w:val="fr-CA"/>
        </w:rPr>
        <w:t>’</w:t>
      </w:r>
      <w:r w:rsidRPr="00461FB4">
        <w:rPr>
          <w:lang w:val="fr-CA"/>
        </w:rPr>
        <w:t xml:space="preserve">une seule plainte </w:t>
      </w:r>
      <w:r>
        <w:rPr>
          <w:lang w:val="fr-CA"/>
        </w:rPr>
        <w:t>formulée</w:t>
      </w:r>
      <w:r w:rsidRPr="00461FB4">
        <w:rPr>
          <w:lang w:val="fr-CA"/>
        </w:rPr>
        <w:t xml:space="preserve"> </w:t>
      </w:r>
      <w:r>
        <w:rPr>
          <w:lang w:val="fr-CA"/>
        </w:rPr>
        <w:t>concernant le vote par des non</w:t>
      </w:r>
      <w:r>
        <w:rPr>
          <w:lang w:val="fr-CA"/>
        </w:rPr>
        <w:noBreakHyphen/>
        <w:t>résidents</w:t>
      </w:r>
      <w:r w:rsidRPr="00461FB4">
        <w:rPr>
          <w:lang w:val="fr-CA"/>
        </w:rPr>
        <w:t>. L</w:t>
      </w:r>
      <w:r>
        <w:rPr>
          <w:lang w:val="fr-CA"/>
        </w:rPr>
        <w:t>’</w:t>
      </w:r>
      <w:r w:rsidRPr="00461FB4">
        <w:rPr>
          <w:lang w:val="fr-CA"/>
        </w:rPr>
        <w:t xml:space="preserve">absence de </w:t>
      </w:r>
      <w:r>
        <w:rPr>
          <w:lang w:val="fr-CA"/>
        </w:rPr>
        <w:t>preuve ou de</w:t>
      </w:r>
      <w:r w:rsidRPr="00461FB4">
        <w:rPr>
          <w:lang w:val="fr-CA"/>
        </w:rPr>
        <w:t xml:space="preserve"> raisonnement logique indiquant un problème </w:t>
      </w:r>
      <w:r>
        <w:rPr>
          <w:lang w:val="fr-CA"/>
        </w:rPr>
        <w:t>précis pour lequel</w:t>
      </w:r>
      <w:r w:rsidRPr="00461FB4">
        <w:rPr>
          <w:lang w:val="fr-CA"/>
        </w:rPr>
        <w:t xml:space="preserve"> un redressement </w:t>
      </w:r>
      <w:r>
        <w:rPr>
          <w:lang w:val="fr-CA"/>
        </w:rPr>
        <w:t xml:space="preserve">est nécessaire affaiblit l’argument </w:t>
      </w:r>
      <w:r w:rsidRPr="00461FB4">
        <w:rPr>
          <w:lang w:val="fr-CA"/>
        </w:rPr>
        <w:t>selon l</w:t>
      </w:r>
      <w:r>
        <w:rPr>
          <w:lang w:val="fr-CA"/>
        </w:rPr>
        <w:t>e</w:t>
      </w:r>
      <w:r w:rsidRPr="00461FB4">
        <w:rPr>
          <w:lang w:val="fr-CA"/>
        </w:rPr>
        <w:t>quel l</w:t>
      </w:r>
      <w:r>
        <w:rPr>
          <w:lang w:val="fr-CA"/>
        </w:rPr>
        <w:t>a</w:t>
      </w:r>
      <w:r w:rsidRPr="00461FB4">
        <w:rPr>
          <w:lang w:val="fr-CA"/>
        </w:rPr>
        <w:t xml:space="preserve"> restriction du </w:t>
      </w:r>
      <w:r>
        <w:rPr>
          <w:lang w:val="fr-CA"/>
        </w:rPr>
        <w:t xml:space="preserve">droit de </w:t>
      </w:r>
      <w:r w:rsidRPr="00461FB4">
        <w:rPr>
          <w:lang w:val="fr-CA"/>
        </w:rPr>
        <w:t>vote de non</w:t>
      </w:r>
      <w:r>
        <w:rPr>
          <w:lang w:val="fr-CA"/>
        </w:rPr>
        <w:noBreakHyphen/>
      </w:r>
      <w:r w:rsidRPr="00461FB4">
        <w:rPr>
          <w:lang w:val="fr-CA"/>
        </w:rPr>
        <w:t xml:space="preserve">résidents </w:t>
      </w:r>
      <w:r>
        <w:rPr>
          <w:lang w:val="fr-CA"/>
        </w:rPr>
        <w:t>a</w:t>
      </w:r>
      <w:r w:rsidRPr="00461FB4">
        <w:rPr>
          <w:lang w:val="fr-CA"/>
        </w:rPr>
        <w:t xml:space="preserve"> un lien rationnel avec le maintien de l</w:t>
      </w:r>
      <w:r>
        <w:rPr>
          <w:lang w:val="fr-CA"/>
        </w:rPr>
        <w:t>’</w:t>
      </w:r>
      <w:r w:rsidRPr="00461FB4">
        <w:rPr>
          <w:lang w:val="fr-CA"/>
        </w:rPr>
        <w:t>équité électorale</w:t>
      </w:r>
      <w:r>
        <w:rPr>
          <w:lang w:val="fr-CA"/>
        </w:rPr>
        <w:t>.</w:t>
      </w:r>
    </w:p>
    <w:p w:rsidR="001244E7" w:rsidRDefault="001244E7" w:rsidP="001244E7">
      <w:pPr>
        <w:pStyle w:val="ParaNoNdepar-AltN"/>
        <w:rPr>
          <w:lang w:val="fr-CA"/>
        </w:rPr>
      </w:pPr>
      <w:r w:rsidRPr="002F4570">
        <w:rPr>
          <w:lang w:val="fr-CA"/>
        </w:rPr>
        <w:t>Je reconnais qu</w:t>
      </w:r>
      <w:r>
        <w:rPr>
          <w:lang w:val="fr-CA"/>
        </w:rPr>
        <w:t>’</w:t>
      </w:r>
      <w:r w:rsidRPr="002F4570">
        <w:rPr>
          <w:lang w:val="fr-CA"/>
        </w:rPr>
        <w:t>il n</w:t>
      </w:r>
      <w:r>
        <w:rPr>
          <w:lang w:val="fr-CA"/>
        </w:rPr>
        <w:t>’</w:t>
      </w:r>
      <w:r w:rsidRPr="002F4570">
        <w:rPr>
          <w:lang w:val="fr-CA"/>
        </w:rPr>
        <w:t xml:space="preserve">est pas aisé de prouver certains problèmes avec une </w:t>
      </w:r>
      <w:r>
        <w:rPr>
          <w:lang w:val="fr-CA"/>
        </w:rPr>
        <w:t>précision</w:t>
      </w:r>
      <w:r w:rsidRPr="002F4570">
        <w:rPr>
          <w:lang w:val="fr-CA"/>
        </w:rPr>
        <w:t xml:space="preserve"> scientifique</w:t>
      </w:r>
      <w:r>
        <w:rPr>
          <w:lang w:val="fr-CA"/>
        </w:rPr>
        <w:t>,</w:t>
      </w:r>
      <w:r w:rsidRPr="002F4570">
        <w:rPr>
          <w:lang w:val="fr-CA"/>
        </w:rPr>
        <w:t xml:space="preserve"> et que la raison et la logique constituent des compléments importants à la preuve matérielle (</w:t>
      </w:r>
      <w:r w:rsidRPr="002F4570">
        <w:rPr>
          <w:i/>
          <w:lang w:val="fr-CA"/>
        </w:rPr>
        <w:t>K.R.J.</w:t>
      </w:r>
      <w:r w:rsidRPr="002F4570">
        <w:rPr>
          <w:lang w:val="fr-CA"/>
        </w:rPr>
        <w:t xml:space="preserve">, </w:t>
      </w:r>
      <w:r>
        <w:rPr>
          <w:lang w:val="fr-CA"/>
        </w:rPr>
        <w:t>par. </w:t>
      </w:r>
      <w:r w:rsidRPr="002F4570">
        <w:rPr>
          <w:lang w:val="fr-CA"/>
        </w:rPr>
        <w:t xml:space="preserve">90). Cette constatation </w:t>
      </w:r>
      <w:r>
        <w:rPr>
          <w:lang w:val="fr-CA"/>
        </w:rPr>
        <w:t>est</w:t>
      </w:r>
      <w:r w:rsidRPr="002F4570">
        <w:rPr>
          <w:lang w:val="fr-CA"/>
        </w:rPr>
        <w:t xml:space="preserve"> particulière</w:t>
      </w:r>
      <w:r>
        <w:rPr>
          <w:lang w:val="fr-CA"/>
        </w:rPr>
        <w:t>ment vraie</w:t>
      </w:r>
      <w:r w:rsidRPr="002F4570">
        <w:rPr>
          <w:lang w:val="fr-CA"/>
        </w:rPr>
        <w:t> dans le cas des questions qui relè</w:t>
      </w:r>
      <w:r>
        <w:rPr>
          <w:lang w:val="fr-CA"/>
        </w:rPr>
        <w:t>vent des domaines philosophique</w:t>
      </w:r>
      <w:r w:rsidRPr="002F4570">
        <w:rPr>
          <w:lang w:val="fr-CA"/>
        </w:rPr>
        <w:t>, politique et soci</w:t>
      </w:r>
      <w:r>
        <w:rPr>
          <w:lang w:val="fr-CA"/>
        </w:rPr>
        <w:t>al. </w:t>
      </w:r>
      <w:r w:rsidRPr="002F4570">
        <w:rPr>
          <w:lang w:val="fr-CA"/>
        </w:rPr>
        <w:t xml:space="preserve">Dans </w:t>
      </w:r>
      <w:r>
        <w:rPr>
          <w:lang w:val="fr-CA"/>
        </w:rPr>
        <w:t>les affaires portant sur de telles questions</w:t>
      </w:r>
      <w:r w:rsidRPr="002F4570">
        <w:rPr>
          <w:lang w:val="fr-CA"/>
        </w:rPr>
        <w:t xml:space="preserve">, et surtout </w:t>
      </w:r>
      <w:r>
        <w:rPr>
          <w:lang w:val="fr-CA"/>
        </w:rPr>
        <w:t>dans le contexte de l’analyse du lien rationnel</w:t>
      </w:r>
      <w:r w:rsidRPr="002F4570">
        <w:rPr>
          <w:lang w:val="fr-CA"/>
        </w:rPr>
        <w:t>, le gouvernement peut s</w:t>
      </w:r>
      <w:r>
        <w:rPr>
          <w:lang w:val="fr-CA"/>
        </w:rPr>
        <w:t>’</w:t>
      </w:r>
      <w:r w:rsidRPr="002F4570">
        <w:rPr>
          <w:lang w:val="fr-CA"/>
        </w:rPr>
        <w:t xml:space="preserve">appuyer sur un raisonnement par déduction </w:t>
      </w:r>
      <w:r>
        <w:rPr>
          <w:lang w:val="fr-CA"/>
        </w:rPr>
        <w:t>fondé</w:t>
      </w:r>
      <w:r w:rsidRPr="002F4570">
        <w:rPr>
          <w:lang w:val="fr-CA"/>
        </w:rPr>
        <w:t xml:space="preserve"> sur la logique et le bon sens, et non pas exclusivement sur une preuve tangible, pour s</w:t>
      </w:r>
      <w:r>
        <w:rPr>
          <w:lang w:val="fr-CA"/>
        </w:rPr>
        <w:t>’</w:t>
      </w:r>
      <w:r w:rsidRPr="002F4570">
        <w:rPr>
          <w:lang w:val="fr-CA"/>
        </w:rPr>
        <w:t>acquitter du fardeau qui lui incomb</w:t>
      </w:r>
      <w:r>
        <w:rPr>
          <w:lang w:val="fr-CA"/>
        </w:rPr>
        <w:t>e</w:t>
      </w:r>
      <w:r w:rsidRPr="002F4570">
        <w:rPr>
          <w:lang w:val="fr-CA"/>
        </w:rPr>
        <w:t xml:space="preserve"> en application de l</w:t>
      </w:r>
      <w:r>
        <w:rPr>
          <w:lang w:val="fr-CA"/>
        </w:rPr>
        <w:t>’</w:t>
      </w:r>
      <w:r w:rsidRPr="002F4570">
        <w:rPr>
          <w:lang w:val="fr-CA"/>
        </w:rPr>
        <w:t>article premier (</w:t>
      </w:r>
      <w:r w:rsidRPr="002F4570">
        <w:rPr>
          <w:i/>
          <w:lang w:val="fr-CA"/>
        </w:rPr>
        <w:t>Sauvé n</w:t>
      </w:r>
      <w:r w:rsidRPr="002F4570">
        <w:rPr>
          <w:i/>
          <w:vertAlign w:val="superscript"/>
          <w:lang w:val="fr-CA"/>
        </w:rPr>
        <w:t>o</w:t>
      </w:r>
      <w:r>
        <w:rPr>
          <w:i/>
          <w:vertAlign w:val="superscript"/>
          <w:lang w:val="fr-CA"/>
        </w:rPr>
        <w:t> </w:t>
      </w:r>
      <w:r w:rsidRPr="002F4570">
        <w:rPr>
          <w:i/>
          <w:lang w:val="fr-CA"/>
        </w:rPr>
        <w:t>2</w:t>
      </w:r>
      <w:r w:rsidRPr="002F4570">
        <w:rPr>
          <w:lang w:val="fr-CA"/>
        </w:rPr>
        <w:t xml:space="preserve">, </w:t>
      </w:r>
      <w:r>
        <w:rPr>
          <w:lang w:val="fr-CA"/>
        </w:rPr>
        <w:t>par. 18;</w:t>
      </w:r>
      <w:r w:rsidRPr="002F4570">
        <w:rPr>
          <w:lang w:val="fr-CA"/>
        </w:rPr>
        <w:t xml:space="preserve"> </w:t>
      </w:r>
      <w:r w:rsidRPr="002F4570">
        <w:rPr>
          <w:i/>
          <w:lang w:val="fr-CA"/>
        </w:rPr>
        <w:t>Harper</w:t>
      </w:r>
      <w:r>
        <w:rPr>
          <w:lang w:val="fr-CA"/>
        </w:rPr>
        <w:t>, par. 29;</w:t>
      </w:r>
      <w:r w:rsidRPr="002F4570">
        <w:rPr>
          <w:lang w:val="fr-CA"/>
        </w:rPr>
        <w:t xml:space="preserve"> </w:t>
      </w:r>
      <w:r w:rsidRPr="002F4570">
        <w:rPr>
          <w:i/>
          <w:lang w:val="fr-CA"/>
        </w:rPr>
        <w:t>RJR</w:t>
      </w:r>
      <w:r>
        <w:rPr>
          <w:i/>
          <w:lang w:val="fr-CA"/>
        </w:rPr>
        <w:noBreakHyphen/>
      </w:r>
      <w:proofErr w:type="spellStart"/>
      <w:r w:rsidRPr="002F4570">
        <w:rPr>
          <w:i/>
          <w:lang w:val="fr-CA"/>
        </w:rPr>
        <w:t>Mac</w:t>
      </w:r>
      <w:r>
        <w:rPr>
          <w:i/>
          <w:lang w:val="fr-CA"/>
        </w:rPr>
        <w:t>D</w:t>
      </w:r>
      <w:r w:rsidRPr="002F4570">
        <w:rPr>
          <w:i/>
          <w:lang w:val="fr-CA"/>
        </w:rPr>
        <w:t>onald</w:t>
      </w:r>
      <w:proofErr w:type="spellEnd"/>
      <w:r w:rsidRPr="002F4570">
        <w:rPr>
          <w:lang w:val="fr-CA"/>
        </w:rPr>
        <w:t xml:space="preserve">, </w:t>
      </w:r>
      <w:r>
        <w:rPr>
          <w:lang w:val="fr-CA"/>
        </w:rPr>
        <w:lastRenderedPageBreak/>
        <w:t>par. </w:t>
      </w:r>
      <w:r w:rsidRPr="002F4570">
        <w:rPr>
          <w:lang w:val="fr-CA"/>
        </w:rPr>
        <w:t xml:space="preserve">154). </w:t>
      </w:r>
      <w:r>
        <w:rPr>
          <w:lang w:val="fr-CA"/>
        </w:rPr>
        <w:t>Dans la présente affaire, t</w:t>
      </w:r>
      <w:r w:rsidRPr="002F4570">
        <w:rPr>
          <w:lang w:val="fr-CA"/>
        </w:rPr>
        <w:t>outefois, contrairement</w:t>
      </w:r>
      <w:r>
        <w:rPr>
          <w:lang w:val="fr-CA"/>
        </w:rPr>
        <w:t xml:space="preserve"> aux </w:t>
      </w:r>
      <w:r w:rsidRPr="002F4570">
        <w:rPr>
          <w:lang w:val="fr-CA"/>
        </w:rPr>
        <w:t xml:space="preserve">autres </w:t>
      </w:r>
      <w:r>
        <w:rPr>
          <w:lang w:val="fr-CA"/>
        </w:rPr>
        <w:t>affaires</w:t>
      </w:r>
      <w:r w:rsidRPr="002F4570">
        <w:rPr>
          <w:lang w:val="fr-CA"/>
        </w:rPr>
        <w:t xml:space="preserve"> où l</w:t>
      </w:r>
      <w:r>
        <w:rPr>
          <w:lang w:val="fr-CA"/>
        </w:rPr>
        <w:t>’</w:t>
      </w:r>
      <w:r w:rsidRPr="002F4570">
        <w:rPr>
          <w:lang w:val="fr-CA"/>
        </w:rPr>
        <w:t>objectif du gouvernement était de maintenir l</w:t>
      </w:r>
      <w:r>
        <w:rPr>
          <w:lang w:val="fr-CA"/>
        </w:rPr>
        <w:t>’</w:t>
      </w:r>
      <w:r w:rsidRPr="002F4570">
        <w:rPr>
          <w:lang w:val="fr-CA"/>
        </w:rPr>
        <w:t>intégrité et l</w:t>
      </w:r>
      <w:r>
        <w:rPr>
          <w:lang w:val="fr-CA"/>
        </w:rPr>
        <w:t>’</w:t>
      </w:r>
      <w:r w:rsidRPr="002F4570">
        <w:rPr>
          <w:lang w:val="fr-CA"/>
        </w:rPr>
        <w:t xml:space="preserve">équité du système électoral (voir, </w:t>
      </w:r>
      <w:r>
        <w:rPr>
          <w:lang w:val="fr-CA"/>
        </w:rPr>
        <w:t>p. </w:t>
      </w:r>
      <w:r w:rsidRPr="002F4570">
        <w:rPr>
          <w:lang w:val="fr-CA"/>
        </w:rPr>
        <w:t>ex.</w:t>
      </w:r>
      <w:r>
        <w:rPr>
          <w:lang w:val="fr-CA"/>
        </w:rPr>
        <w:t>,</w:t>
      </w:r>
      <w:r w:rsidRPr="002F4570">
        <w:rPr>
          <w:lang w:val="fr-CA"/>
        </w:rPr>
        <w:t xml:space="preserve"> </w:t>
      </w:r>
      <w:r w:rsidRPr="002F4570">
        <w:rPr>
          <w:i/>
          <w:lang w:val="fr-CA"/>
        </w:rPr>
        <w:t>Bryan</w:t>
      </w:r>
      <w:r w:rsidRPr="002F4570">
        <w:rPr>
          <w:lang w:val="fr-CA"/>
        </w:rPr>
        <w:t xml:space="preserve"> et </w:t>
      </w:r>
      <w:r w:rsidRPr="002F4570">
        <w:rPr>
          <w:i/>
          <w:lang w:val="fr-CA"/>
        </w:rPr>
        <w:t>Harper</w:t>
      </w:r>
      <w:r>
        <w:rPr>
          <w:lang w:val="fr-CA"/>
        </w:rPr>
        <w:t>), le gouvernement</w:t>
      </w:r>
      <w:r w:rsidRPr="002F4570">
        <w:rPr>
          <w:lang w:val="fr-CA"/>
        </w:rPr>
        <w:t xml:space="preserve"> n</w:t>
      </w:r>
      <w:r>
        <w:rPr>
          <w:lang w:val="fr-CA"/>
        </w:rPr>
        <w:t>’</w:t>
      </w:r>
      <w:r w:rsidRPr="002F4570">
        <w:rPr>
          <w:lang w:val="fr-CA"/>
        </w:rPr>
        <w:t>a</w:t>
      </w:r>
      <w:r>
        <w:rPr>
          <w:lang w:val="fr-CA"/>
        </w:rPr>
        <w:t xml:space="preserve"> présenté</w:t>
      </w:r>
      <w:r w:rsidRPr="002F4570">
        <w:rPr>
          <w:lang w:val="fr-CA"/>
        </w:rPr>
        <w:t xml:space="preserve"> essentiellement </w:t>
      </w:r>
      <w:r>
        <w:rPr>
          <w:lang w:val="fr-CA"/>
        </w:rPr>
        <w:t>aucune preuve</w:t>
      </w:r>
      <w:r w:rsidRPr="002F4570">
        <w:rPr>
          <w:lang w:val="fr-CA"/>
        </w:rPr>
        <w:t xml:space="preserve"> pour démontrer comment le vote de citoyens </w:t>
      </w:r>
      <w:proofErr w:type="spellStart"/>
      <w:r w:rsidRPr="002F4570">
        <w:rPr>
          <w:lang w:val="fr-CA"/>
        </w:rPr>
        <w:t>non</w:t>
      </w:r>
      <w:r>
        <w:rPr>
          <w:lang w:val="fr-CA"/>
        </w:rPr>
        <w:t xml:space="preserve"> résidents</w:t>
      </w:r>
      <w:proofErr w:type="spellEnd"/>
      <w:r>
        <w:rPr>
          <w:lang w:val="fr-CA"/>
        </w:rPr>
        <w:t xml:space="preserve"> es</w:t>
      </w:r>
      <w:r w:rsidRPr="002F4570">
        <w:rPr>
          <w:lang w:val="fr-CA"/>
        </w:rPr>
        <w:t>t susceptible de compromettre l</w:t>
      </w:r>
      <w:r>
        <w:rPr>
          <w:lang w:val="fr-CA"/>
        </w:rPr>
        <w:t>’</w:t>
      </w:r>
      <w:r w:rsidRPr="002F4570">
        <w:rPr>
          <w:lang w:val="fr-CA"/>
        </w:rPr>
        <w:t>équité ou l</w:t>
      </w:r>
      <w:r>
        <w:rPr>
          <w:lang w:val="fr-CA"/>
        </w:rPr>
        <w:t>’</w:t>
      </w:r>
      <w:r w:rsidRPr="002F4570">
        <w:rPr>
          <w:lang w:val="fr-CA"/>
        </w:rPr>
        <w:t>intégrité</w:t>
      </w:r>
      <w:r>
        <w:rPr>
          <w:lang w:val="fr-CA"/>
        </w:rPr>
        <w:t xml:space="preserve"> du système électoral canadien.</w:t>
      </w:r>
      <w:r w:rsidRPr="002F4570">
        <w:rPr>
          <w:lang w:val="fr-CA"/>
        </w:rPr>
        <w:t xml:space="preserve"> </w:t>
      </w:r>
      <w:r>
        <w:rPr>
          <w:lang w:val="fr-CA"/>
        </w:rPr>
        <w:t>A</w:t>
      </w:r>
      <w:r w:rsidRPr="002F4570">
        <w:rPr>
          <w:lang w:val="fr-CA"/>
        </w:rPr>
        <w:t xml:space="preserve">u contraire, </w:t>
      </w:r>
      <w:r>
        <w:rPr>
          <w:lang w:val="fr-CA"/>
        </w:rPr>
        <w:t xml:space="preserve">les auteurs de </w:t>
      </w:r>
      <w:r w:rsidRPr="002F4570">
        <w:rPr>
          <w:lang w:val="fr-CA"/>
        </w:rPr>
        <w:t xml:space="preserve">quatre études parlementaires </w:t>
      </w:r>
      <w:r>
        <w:rPr>
          <w:lang w:val="fr-CA"/>
        </w:rPr>
        <w:t xml:space="preserve">sur le droit de vote ont </w:t>
      </w:r>
      <w:r w:rsidRPr="002F4570">
        <w:rPr>
          <w:lang w:val="fr-CA"/>
        </w:rPr>
        <w:t xml:space="preserve">recommandé </w:t>
      </w:r>
      <w:r>
        <w:rPr>
          <w:lang w:val="fr-CA"/>
        </w:rPr>
        <w:t>que la</w:t>
      </w:r>
      <w:r w:rsidRPr="002F4570">
        <w:rPr>
          <w:lang w:val="fr-CA"/>
        </w:rPr>
        <w:t xml:space="preserve"> restriction du droit de vote de citoyens canadiens fondée sur la résidence </w:t>
      </w:r>
      <w:r>
        <w:rPr>
          <w:lang w:val="fr-CA"/>
        </w:rPr>
        <w:t xml:space="preserve">soit supprimée (voir </w:t>
      </w:r>
      <w:proofErr w:type="spellStart"/>
      <w:proofErr w:type="gramStart"/>
      <w:r>
        <w:rPr>
          <w:lang w:val="fr-CA"/>
        </w:rPr>
        <w:t>m.i</w:t>
      </w:r>
      <w:proofErr w:type="spellEnd"/>
      <w:r>
        <w:rPr>
          <w:lang w:val="fr-CA"/>
        </w:rPr>
        <w:t>.,</w:t>
      </w:r>
      <w:proofErr w:type="gramEnd"/>
      <w:r>
        <w:rPr>
          <w:lang w:val="fr-CA"/>
        </w:rPr>
        <w:t xml:space="preserve"> par. 26</w:t>
      </w:r>
      <w:r>
        <w:rPr>
          <w:lang w:val="fr-CA"/>
        </w:rPr>
        <w:noBreakHyphen/>
        <w:t>32)</w:t>
      </w:r>
      <w:r w:rsidRPr="002F4570">
        <w:rPr>
          <w:lang w:val="fr-CA"/>
        </w:rPr>
        <w:t xml:space="preserve">. </w:t>
      </w:r>
    </w:p>
    <w:p w:rsidR="001244E7" w:rsidRPr="00BC2D48" w:rsidRDefault="001244E7" w:rsidP="001244E7">
      <w:pPr>
        <w:pStyle w:val="ParaNoNdepar-AltN"/>
        <w:rPr>
          <w:lang w:val="fr-CA"/>
        </w:rPr>
      </w:pPr>
      <w:r>
        <w:rPr>
          <w:lang w:val="fr-CA"/>
        </w:rPr>
        <w:t>Ayant fait ces commentaires sur le lien entre la mesure législative contestée et l’objectif invoqué par le PGC, je passe maintenant à l’étape de l’atteinte minimale de l’analyse fondée sur l’article premier. Pour les motifs qui suivent, je conclus que la mesure législative échoue à cette étape.</w:t>
      </w:r>
    </w:p>
    <w:p w:rsidR="001244E7" w:rsidRPr="00BC2D48" w:rsidRDefault="001244E7" w:rsidP="001244E7">
      <w:pPr>
        <w:pStyle w:val="Title3LevelTitre3Niveau"/>
        <w:rPr>
          <w:lang w:val="fr-CA"/>
        </w:rPr>
      </w:pPr>
      <w:r w:rsidRPr="00BC2D48">
        <w:rPr>
          <w:lang w:val="fr-CA"/>
        </w:rPr>
        <w:t>L</w:t>
      </w:r>
      <w:r>
        <w:rPr>
          <w:lang w:val="fr-CA"/>
        </w:rPr>
        <w:t>’</w:t>
      </w:r>
      <w:r w:rsidRPr="00BC2D48">
        <w:rPr>
          <w:lang w:val="fr-CA"/>
        </w:rPr>
        <w:t>atteinte minimale</w:t>
      </w:r>
    </w:p>
    <w:p w:rsidR="001244E7" w:rsidRPr="00BC2D48" w:rsidRDefault="001244E7" w:rsidP="001244E7">
      <w:pPr>
        <w:pStyle w:val="ParaNoNdepar-AltN"/>
        <w:rPr>
          <w:lang w:val="fr-CA"/>
        </w:rPr>
      </w:pPr>
      <w:r w:rsidRPr="00BC2D48">
        <w:rPr>
          <w:lang w:val="fr-CA"/>
        </w:rPr>
        <w:t>Au regard d</w:t>
      </w:r>
      <w:r>
        <w:rPr>
          <w:lang w:val="fr-CA"/>
        </w:rPr>
        <w:t xml:space="preserve">u deuxième </w:t>
      </w:r>
      <w:r w:rsidRPr="00BC2D48">
        <w:rPr>
          <w:lang w:val="fr-CA"/>
        </w:rPr>
        <w:t xml:space="preserve">élément du critère de </w:t>
      </w:r>
      <w:r>
        <w:rPr>
          <w:lang w:val="fr-CA"/>
        </w:rPr>
        <w:t xml:space="preserve">la </w:t>
      </w:r>
      <w:r w:rsidRPr="00BC2D48">
        <w:rPr>
          <w:lang w:val="fr-CA"/>
        </w:rPr>
        <w:t xml:space="preserve">proportionnalité, le </w:t>
      </w:r>
      <w:r>
        <w:rPr>
          <w:lang w:val="fr-CA"/>
        </w:rPr>
        <w:t>législateur</w:t>
      </w:r>
      <w:r w:rsidRPr="00BC2D48">
        <w:rPr>
          <w:lang w:val="fr-CA"/>
        </w:rPr>
        <w:t xml:space="preserve"> doit établir</w:t>
      </w:r>
      <w:r>
        <w:rPr>
          <w:lang w:val="fr-CA"/>
        </w:rPr>
        <w:t xml:space="preserve"> que la</w:t>
      </w:r>
      <w:r w:rsidRPr="00BC2D48">
        <w:rPr>
          <w:lang w:val="fr-CA"/>
        </w:rPr>
        <w:t xml:space="preserve"> mesure en cause restrei</w:t>
      </w:r>
      <w:r>
        <w:rPr>
          <w:lang w:val="fr-CA"/>
        </w:rPr>
        <w:t>n</w:t>
      </w:r>
      <w:r w:rsidRPr="00BC2D48">
        <w:rPr>
          <w:lang w:val="fr-CA"/>
        </w:rPr>
        <w:t>t le droit aussi peu que cela est raisonnablement possible aux fins de la réalisation de l</w:t>
      </w:r>
      <w:r>
        <w:rPr>
          <w:lang w:val="fr-CA"/>
        </w:rPr>
        <w:t>’</w:t>
      </w:r>
      <w:r w:rsidRPr="00BC2D48">
        <w:rPr>
          <w:lang w:val="fr-CA"/>
        </w:rPr>
        <w:t>objectif législatif (</w:t>
      </w:r>
      <w:r w:rsidRPr="00BC2D48">
        <w:rPr>
          <w:i/>
          <w:lang w:val="fr-CA"/>
        </w:rPr>
        <w:t>RJR</w:t>
      </w:r>
      <w:r>
        <w:rPr>
          <w:i/>
          <w:lang w:val="fr-CA"/>
        </w:rPr>
        <w:noBreakHyphen/>
      </w:r>
      <w:proofErr w:type="spellStart"/>
      <w:r w:rsidRPr="00BC2D48">
        <w:rPr>
          <w:i/>
          <w:lang w:val="fr-CA"/>
        </w:rPr>
        <w:t>MacDonald</w:t>
      </w:r>
      <w:proofErr w:type="spellEnd"/>
      <w:r w:rsidRPr="00BC2D48">
        <w:rPr>
          <w:lang w:val="fr-CA"/>
        </w:rPr>
        <w:t xml:space="preserve">, </w:t>
      </w:r>
      <w:r>
        <w:rPr>
          <w:lang w:val="fr-CA"/>
        </w:rPr>
        <w:t>par. </w:t>
      </w:r>
      <w:r w:rsidRPr="00BC2D48">
        <w:rPr>
          <w:lang w:val="fr-CA"/>
        </w:rPr>
        <w:t>160</w:t>
      </w:r>
      <w:r>
        <w:rPr>
          <w:lang w:val="fr-CA"/>
        </w:rPr>
        <w:t>;</w:t>
      </w:r>
      <w:r w:rsidRPr="00BC2D48">
        <w:rPr>
          <w:lang w:val="fr-CA"/>
        </w:rPr>
        <w:t xml:space="preserve"> </w:t>
      </w:r>
      <w:proofErr w:type="spellStart"/>
      <w:r w:rsidRPr="00BC2D48">
        <w:rPr>
          <w:i/>
          <w:lang w:val="fr-CA"/>
        </w:rPr>
        <w:t>Oakes</w:t>
      </w:r>
      <w:proofErr w:type="spellEnd"/>
      <w:r w:rsidRPr="00BC2D48">
        <w:rPr>
          <w:lang w:val="fr-CA"/>
        </w:rPr>
        <w:t xml:space="preserve">, </w:t>
      </w:r>
      <w:r>
        <w:rPr>
          <w:lang w:val="fr-CA"/>
        </w:rPr>
        <w:t>p. </w:t>
      </w:r>
      <w:r w:rsidRPr="00BC2D48">
        <w:rPr>
          <w:lang w:val="fr-CA"/>
        </w:rPr>
        <w:t xml:space="preserve">139). Autrement dit, la </w:t>
      </w:r>
      <w:r>
        <w:rPr>
          <w:lang w:val="fr-CA"/>
        </w:rPr>
        <w:t>mesure</w:t>
      </w:r>
      <w:r w:rsidRPr="00BC2D48">
        <w:rPr>
          <w:lang w:val="fr-CA"/>
        </w:rPr>
        <w:t xml:space="preserve"> doit être  « soigneusement adaptée » pour faire en sorte que l</w:t>
      </w:r>
      <w:r>
        <w:rPr>
          <w:lang w:val="fr-CA"/>
        </w:rPr>
        <w:t>’</w:t>
      </w:r>
      <w:r w:rsidRPr="00BC2D48">
        <w:rPr>
          <w:lang w:val="fr-CA"/>
        </w:rPr>
        <w:t>atteinte aux droits ne dépasse pas ce qui est raisonnablement nécessaire (</w:t>
      </w:r>
      <w:r w:rsidRPr="00BC2D48">
        <w:rPr>
          <w:i/>
          <w:lang w:val="fr-CA"/>
        </w:rPr>
        <w:t>RJR</w:t>
      </w:r>
      <w:r>
        <w:rPr>
          <w:i/>
          <w:lang w:val="fr-CA"/>
        </w:rPr>
        <w:noBreakHyphen/>
      </w:r>
      <w:proofErr w:type="spellStart"/>
      <w:r w:rsidRPr="00BC2D48">
        <w:rPr>
          <w:i/>
          <w:lang w:val="fr-CA"/>
        </w:rPr>
        <w:t>MacDonald</w:t>
      </w:r>
      <w:proofErr w:type="spellEnd"/>
      <w:r w:rsidRPr="00BC2D48">
        <w:rPr>
          <w:i/>
          <w:lang w:val="fr-CA"/>
        </w:rPr>
        <w:t>,</w:t>
      </w:r>
      <w:r w:rsidRPr="00BC2D48">
        <w:rPr>
          <w:lang w:val="fr-CA"/>
        </w:rPr>
        <w:t xml:space="preserve"> </w:t>
      </w:r>
      <w:r>
        <w:rPr>
          <w:lang w:val="fr-CA"/>
        </w:rPr>
        <w:t>par. </w:t>
      </w:r>
      <w:r w:rsidRPr="00BC2D48">
        <w:rPr>
          <w:lang w:val="fr-CA"/>
        </w:rPr>
        <w:t>160</w:t>
      </w:r>
      <w:r>
        <w:rPr>
          <w:lang w:val="fr-CA"/>
        </w:rPr>
        <w:t>;</w:t>
      </w:r>
      <w:r w:rsidRPr="00BC2D48">
        <w:rPr>
          <w:lang w:val="fr-CA"/>
        </w:rPr>
        <w:t xml:space="preserve"> </w:t>
      </w:r>
      <w:r w:rsidRPr="00BC2D48">
        <w:rPr>
          <w:i/>
          <w:lang w:val="fr-CA"/>
        </w:rPr>
        <w:t>Association de la police montée</w:t>
      </w:r>
      <w:r w:rsidRPr="00BC2D48">
        <w:rPr>
          <w:lang w:val="fr-CA"/>
        </w:rPr>
        <w:t xml:space="preserve">, </w:t>
      </w:r>
      <w:r>
        <w:rPr>
          <w:lang w:val="fr-CA"/>
        </w:rPr>
        <w:t>par. </w:t>
      </w:r>
      <w:r w:rsidRPr="00BC2D48">
        <w:rPr>
          <w:lang w:val="fr-CA"/>
        </w:rPr>
        <w:t xml:space="preserve">149). Toutefois, </w:t>
      </w:r>
      <w:r>
        <w:rPr>
          <w:lang w:val="fr-CA"/>
        </w:rPr>
        <w:t>les tribunaux doivent</w:t>
      </w:r>
      <w:r w:rsidRPr="00BC2D48">
        <w:rPr>
          <w:lang w:val="fr-CA"/>
        </w:rPr>
        <w:t xml:space="preserve"> faire </w:t>
      </w:r>
      <w:r>
        <w:rPr>
          <w:lang w:val="fr-CA"/>
        </w:rPr>
        <w:t>preuve d</w:t>
      </w:r>
      <w:r w:rsidRPr="00BC2D48">
        <w:rPr>
          <w:lang w:val="fr-CA"/>
        </w:rPr>
        <w:t>e déférence à l</w:t>
      </w:r>
      <w:r>
        <w:rPr>
          <w:lang w:val="fr-CA"/>
        </w:rPr>
        <w:t>’</w:t>
      </w:r>
      <w:r w:rsidRPr="00BC2D48">
        <w:rPr>
          <w:lang w:val="fr-CA"/>
        </w:rPr>
        <w:t xml:space="preserve">égard du législateur </w:t>
      </w:r>
      <w:r>
        <w:rPr>
          <w:lang w:val="fr-CA"/>
        </w:rPr>
        <w:t>en lui accordant une certaine</w:t>
      </w:r>
      <w:r w:rsidRPr="00BC2D48">
        <w:rPr>
          <w:lang w:val="fr-CA"/>
        </w:rPr>
        <w:t xml:space="preserve"> latitude</w:t>
      </w:r>
      <w:r>
        <w:rPr>
          <w:lang w:val="fr-CA"/>
        </w:rPr>
        <w:t> :</w:t>
      </w:r>
      <w:r w:rsidRPr="00BC2D48">
        <w:rPr>
          <w:lang w:val="fr-CA"/>
        </w:rPr>
        <w:t xml:space="preserve"> « Si la loi se situe à </w:t>
      </w:r>
      <w:r w:rsidRPr="00BC2D48">
        <w:rPr>
          <w:lang w:val="fr-CA"/>
        </w:rPr>
        <w:lastRenderedPageBreak/>
        <w:t>l</w:t>
      </w:r>
      <w:r>
        <w:rPr>
          <w:lang w:val="fr-CA"/>
        </w:rPr>
        <w:t>’</w:t>
      </w:r>
      <w:r w:rsidRPr="00BC2D48">
        <w:rPr>
          <w:lang w:val="fr-CA"/>
        </w:rPr>
        <w:t>intérieur d</w:t>
      </w:r>
      <w:r>
        <w:rPr>
          <w:lang w:val="fr-CA"/>
        </w:rPr>
        <w:t>’</w:t>
      </w:r>
      <w:r w:rsidRPr="00BC2D48">
        <w:rPr>
          <w:lang w:val="fr-CA"/>
        </w:rPr>
        <w:t>une gamme de mesures raisonnables, les tribunaux ne concluront pas qu</w:t>
      </w:r>
      <w:r>
        <w:rPr>
          <w:lang w:val="fr-CA"/>
        </w:rPr>
        <w:t>’</w:t>
      </w:r>
      <w:r w:rsidRPr="00BC2D48">
        <w:rPr>
          <w:lang w:val="fr-CA"/>
        </w:rPr>
        <w:t>elle a une portée trop générale simplement parce qu</w:t>
      </w:r>
      <w:r>
        <w:rPr>
          <w:lang w:val="fr-CA"/>
        </w:rPr>
        <w:t>’</w:t>
      </w:r>
      <w:r w:rsidRPr="00BC2D48">
        <w:rPr>
          <w:lang w:val="fr-CA"/>
        </w:rPr>
        <w:t>ils peuvent envisager une solution de rechange qui pourrait être mieux adaptée à l</w:t>
      </w:r>
      <w:r>
        <w:rPr>
          <w:lang w:val="fr-CA"/>
        </w:rPr>
        <w:t>’</w:t>
      </w:r>
      <w:r w:rsidRPr="00BC2D48">
        <w:rPr>
          <w:lang w:val="fr-CA"/>
        </w:rPr>
        <w:t>objectif et à la violation » (</w:t>
      </w:r>
      <w:r w:rsidRPr="00BC2D48">
        <w:rPr>
          <w:i/>
          <w:lang w:val="fr-CA"/>
        </w:rPr>
        <w:t>RJR</w:t>
      </w:r>
      <w:r>
        <w:rPr>
          <w:i/>
          <w:lang w:val="fr-CA"/>
        </w:rPr>
        <w:noBreakHyphen/>
      </w:r>
      <w:proofErr w:type="spellStart"/>
      <w:r w:rsidRPr="00BC2D48">
        <w:rPr>
          <w:i/>
          <w:lang w:val="fr-CA"/>
        </w:rPr>
        <w:t>MacDonald</w:t>
      </w:r>
      <w:proofErr w:type="spellEnd"/>
      <w:r w:rsidRPr="00BC2D48">
        <w:rPr>
          <w:lang w:val="fr-CA"/>
        </w:rPr>
        <w:t xml:space="preserve">, </w:t>
      </w:r>
      <w:r>
        <w:rPr>
          <w:lang w:val="fr-CA"/>
        </w:rPr>
        <w:t>par. </w:t>
      </w:r>
      <w:r w:rsidRPr="00BC2D48">
        <w:rPr>
          <w:lang w:val="fr-CA"/>
        </w:rPr>
        <w:t>160).</w:t>
      </w:r>
    </w:p>
    <w:p w:rsidR="001244E7" w:rsidRDefault="001244E7" w:rsidP="001244E7">
      <w:pPr>
        <w:pStyle w:val="ParaNoNdepar-AltN"/>
        <w:rPr>
          <w:lang w:val="fr-CA"/>
        </w:rPr>
      </w:pPr>
      <w:r w:rsidRPr="00BC2D48">
        <w:rPr>
          <w:lang w:val="fr-CA"/>
        </w:rPr>
        <w:t>L</w:t>
      </w:r>
      <w:r>
        <w:rPr>
          <w:lang w:val="fr-CA"/>
        </w:rPr>
        <w:t>a</w:t>
      </w:r>
      <w:r w:rsidRPr="00BC2D48">
        <w:rPr>
          <w:lang w:val="fr-CA"/>
        </w:rPr>
        <w:t xml:space="preserve"> </w:t>
      </w:r>
      <w:r>
        <w:rPr>
          <w:lang w:val="fr-CA"/>
        </w:rPr>
        <w:t>restriction</w:t>
      </w:r>
      <w:r w:rsidRPr="00BC2D48">
        <w:rPr>
          <w:lang w:val="fr-CA"/>
        </w:rPr>
        <w:t xml:space="preserve"> du droit de vote </w:t>
      </w:r>
      <w:r>
        <w:rPr>
          <w:lang w:val="fr-CA"/>
        </w:rPr>
        <w:t>de non</w:t>
      </w:r>
      <w:r>
        <w:rPr>
          <w:lang w:val="fr-CA"/>
        </w:rPr>
        <w:noBreakHyphen/>
        <w:t>résidents qui est en cause en l’espèce</w:t>
      </w:r>
      <w:r w:rsidRPr="00BC2D48">
        <w:rPr>
          <w:lang w:val="fr-CA"/>
        </w:rPr>
        <w:t xml:space="preserve"> n</w:t>
      </w:r>
      <w:r>
        <w:rPr>
          <w:lang w:val="fr-CA"/>
        </w:rPr>
        <w:t>’</w:t>
      </w:r>
      <w:r w:rsidRPr="00BC2D48">
        <w:rPr>
          <w:lang w:val="fr-CA"/>
        </w:rPr>
        <w:t>e</w:t>
      </w:r>
      <w:r>
        <w:rPr>
          <w:lang w:val="fr-CA"/>
        </w:rPr>
        <w:t>st pas une atteinte</w:t>
      </w:r>
      <w:r w:rsidRPr="00BC2D48">
        <w:rPr>
          <w:lang w:val="fr-CA"/>
        </w:rPr>
        <w:t xml:space="preserve"> minimale. </w:t>
      </w:r>
      <w:r>
        <w:rPr>
          <w:lang w:val="fr-CA"/>
        </w:rPr>
        <w:t xml:space="preserve">Il </w:t>
      </w:r>
      <w:r w:rsidRPr="00BC2D48">
        <w:rPr>
          <w:lang w:val="fr-CA"/>
        </w:rPr>
        <w:t>y a p</w:t>
      </w:r>
      <w:r>
        <w:rPr>
          <w:lang w:val="fr-CA"/>
        </w:rPr>
        <w:t>eu d’indication</w:t>
      </w:r>
      <w:r w:rsidRPr="00BC2D48">
        <w:rPr>
          <w:lang w:val="fr-CA"/>
        </w:rPr>
        <w:t xml:space="preserve"> </w:t>
      </w:r>
      <w:r>
        <w:rPr>
          <w:lang w:val="fr-CA"/>
        </w:rPr>
        <w:t>concernant les raisons pour lesquelles</w:t>
      </w:r>
      <w:r w:rsidRPr="00BC2D48">
        <w:rPr>
          <w:lang w:val="fr-CA"/>
        </w:rPr>
        <w:t xml:space="preserve"> la durée de cinq ans en particulier a été choisie. Loin d</w:t>
      </w:r>
      <w:r>
        <w:rPr>
          <w:lang w:val="fr-CA"/>
        </w:rPr>
        <w:t>’</w:t>
      </w:r>
      <w:r w:rsidRPr="00BC2D48">
        <w:rPr>
          <w:lang w:val="fr-CA"/>
        </w:rPr>
        <w:t xml:space="preserve">être une mesure </w:t>
      </w:r>
      <w:r>
        <w:rPr>
          <w:lang w:val="fr-CA"/>
        </w:rPr>
        <w:t xml:space="preserve">qui a été </w:t>
      </w:r>
      <w:r w:rsidRPr="00BC2D48">
        <w:rPr>
          <w:lang w:val="fr-CA"/>
        </w:rPr>
        <w:t xml:space="preserve">soigneusement conçue pour restreindre les droits de vote </w:t>
      </w:r>
      <w:r>
        <w:rPr>
          <w:lang w:val="fr-CA"/>
        </w:rPr>
        <w:t xml:space="preserve">aussi peu que cela </w:t>
      </w:r>
      <w:r w:rsidRPr="00BC2D48">
        <w:rPr>
          <w:lang w:val="fr-CA"/>
        </w:rPr>
        <w:t>est raisonnablement nécessaire, elle semble plutôt être un</w:t>
      </w:r>
      <w:r>
        <w:rPr>
          <w:lang w:val="fr-CA"/>
        </w:rPr>
        <w:t xml:space="preserve"> simple</w:t>
      </w:r>
      <w:r w:rsidRPr="00BC2D48">
        <w:rPr>
          <w:lang w:val="fr-CA"/>
        </w:rPr>
        <w:t xml:space="preserve"> </w:t>
      </w:r>
      <w:r>
        <w:rPr>
          <w:lang w:val="fr-CA"/>
        </w:rPr>
        <w:t xml:space="preserve">compromis </w:t>
      </w:r>
      <w:r w:rsidRPr="00BC2D48">
        <w:rPr>
          <w:lang w:val="fr-CA"/>
        </w:rPr>
        <w:t>[</w:t>
      </w:r>
      <w:r w:rsidRPr="00BC2D48">
        <w:rPr>
          <w:smallCaps/>
          <w:lang w:val="fr-CA"/>
        </w:rPr>
        <w:t>traduction</w:t>
      </w:r>
      <w:r>
        <w:rPr>
          <w:lang w:val="fr-CA"/>
        </w:rPr>
        <w:t>] « à mi</w:t>
      </w:r>
      <w:r>
        <w:rPr>
          <w:lang w:val="fr-CA"/>
        </w:rPr>
        <w:noBreakHyphen/>
        <w:t>chemin</w:t>
      </w:r>
      <w:r w:rsidRPr="00BC2D48">
        <w:rPr>
          <w:lang w:val="fr-CA"/>
        </w:rPr>
        <w:t> », comme l</w:t>
      </w:r>
      <w:r>
        <w:rPr>
          <w:lang w:val="fr-CA"/>
        </w:rPr>
        <w:t>’</w:t>
      </w:r>
      <w:r w:rsidRPr="00BC2D48">
        <w:rPr>
          <w:lang w:val="fr-CA"/>
        </w:rPr>
        <w:t>a fait observ</w:t>
      </w:r>
      <w:r>
        <w:rPr>
          <w:lang w:val="fr-CA"/>
        </w:rPr>
        <w:t>er le juge de première instance</w:t>
      </w:r>
      <w:r w:rsidRPr="00BC2D48">
        <w:rPr>
          <w:lang w:val="fr-CA"/>
        </w:rPr>
        <w:t xml:space="preserve">. </w:t>
      </w:r>
      <w:r>
        <w:rPr>
          <w:lang w:val="fr-CA"/>
        </w:rPr>
        <w:t>Bien que la limite de cinq ans corresponde apparemment au délai maximal pouvant s’écouler entre des élections fédérales, cela n’explique pas pourquoi une telle limite devrait être considérée comme une atteinte minimale pour l’application de l’article premier.</w:t>
      </w:r>
    </w:p>
    <w:p w:rsidR="001244E7" w:rsidRDefault="001244E7" w:rsidP="001244E7">
      <w:pPr>
        <w:pStyle w:val="ParaNoNdepar-AltN"/>
        <w:rPr>
          <w:lang w:val="fr-CA"/>
        </w:rPr>
      </w:pPr>
      <w:r w:rsidRPr="00BC2D48">
        <w:rPr>
          <w:lang w:val="fr-CA"/>
        </w:rPr>
        <w:t>Mais surtout, l</w:t>
      </w:r>
      <w:r>
        <w:rPr>
          <w:lang w:val="fr-CA"/>
        </w:rPr>
        <w:t>a</w:t>
      </w:r>
      <w:r w:rsidRPr="00BC2D48">
        <w:rPr>
          <w:lang w:val="fr-CA"/>
        </w:rPr>
        <w:t xml:space="preserve"> restriction du </w:t>
      </w:r>
      <w:r>
        <w:rPr>
          <w:lang w:val="fr-CA"/>
        </w:rPr>
        <w:t xml:space="preserve">droit de </w:t>
      </w:r>
      <w:r w:rsidRPr="00BC2D48">
        <w:rPr>
          <w:lang w:val="fr-CA"/>
        </w:rPr>
        <w:t xml:space="preserve">vote </w:t>
      </w:r>
      <w:r>
        <w:rPr>
          <w:lang w:val="fr-CA"/>
        </w:rPr>
        <w:t>de</w:t>
      </w:r>
      <w:r w:rsidRPr="00BC2D48">
        <w:rPr>
          <w:lang w:val="fr-CA"/>
        </w:rPr>
        <w:t xml:space="preserve"> non</w:t>
      </w:r>
      <w:r>
        <w:rPr>
          <w:lang w:val="fr-CA"/>
        </w:rPr>
        <w:noBreakHyphen/>
      </w:r>
      <w:r w:rsidRPr="00BC2D48">
        <w:rPr>
          <w:lang w:val="fr-CA"/>
        </w:rPr>
        <w:t>résiden</w:t>
      </w:r>
      <w:r>
        <w:rPr>
          <w:lang w:val="fr-CA"/>
        </w:rPr>
        <w:t>ts</w:t>
      </w:r>
      <w:r w:rsidRPr="00BC2D48">
        <w:rPr>
          <w:lang w:val="fr-CA"/>
        </w:rPr>
        <w:t xml:space="preserve"> ne </w:t>
      </w:r>
      <w:r>
        <w:rPr>
          <w:lang w:val="fr-CA"/>
        </w:rPr>
        <w:t>constitue</w:t>
      </w:r>
      <w:r w:rsidRPr="00BC2D48">
        <w:rPr>
          <w:lang w:val="fr-CA"/>
        </w:rPr>
        <w:t xml:space="preserve"> pas</w:t>
      </w:r>
      <w:r>
        <w:rPr>
          <w:lang w:val="fr-CA"/>
        </w:rPr>
        <w:t xml:space="preserve"> une atteinte minimale</w:t>
      </w:r>
      <w:r w:rsidRPr="00BC2D48">
        <w:rPr>
          <w:lang w:val="fr-CA"/>
        </w:rPr>
        <w:t xml:space="preserve"> </w:t>
      </w:r>
      <w:r>
        <w:rPr>
          <w:lang w:val="fr-CA"/>
        </w:rPr>
        <w:t>car elle</w:t>
      </w:r>
      <w:r w:rsidRPr="00BC2D48">
        <w:rPr>
          <w:lang w:val="fr-CA"/>
        </w:rPr>
        <w:t xml:space="preserve"> </w:t>
      </w:r>
      <w:r>
        <w:rPr>
          <w:lang w:val="fr-CA"/>
        </w:rPr>
        <w:t>a une portée excessive à plusieurs égards</w:t>
      </w:r>
      <w:r w:rsidRPr="00BC2D48">
        <w:rPr>
          <w:lang w:val="fr-CA"/>
        </w:rPr>
        <w:t>.</w:t>
      </w:r>
      <w:r>
        <w:rPr>
          <w:lang w:val="fr-CA"/>
        </w:rPr>
        <w:t xml:space="preserve"> Le fait que la limite temporelle n’est pas adaptée spécifiquement signifie qu’elle s’applique à</w:t>
      </w:r>
      <w:r w:rsidRPr="00BC2D48">
        <w:rPr>
          <w:lang w:val="fr-CA"/>
        </w:rPr>
        <w:t xml:space="preserve"> des personnes </w:t>
      </w:r>
      <w:r>
        <w:rPr>
          <w:lang w:val="fr-CA"/>
        </w:rPr>
        <w:t>auxquelles</w:t>
      </w:r>
      <w:r w:rsidRPr="00BC2D48">
        <w:rPr>
          <w:lang w:val="fr-CA"/>
        </w:rPr>
        <w:t xml:space="preserve"> </w:t>
      </w:r>
      <w:r>
        <w:rPr>
          <w:lang w:val="fr-CA"/>
        </w:rPr>
        <w:t>elle</w:t>
      </w:r>
      <w:r w:rsidRPr="00BC2D48">
        <w:rPr>
          <w:lang w:val="fr-CA"/>
        </w:rPr>
        <w:t xml:space="preserve"> n</w:t>
      </w:r>
      <w:r>
        <w:rPr>
          <w:lang w:val="fr-CA"/>
        </w:rPr>
        <w:t>’</w:t>
      </w:r>
      <w:r w:rsidRPr="00BC2D48">
        <w:rPr>
          <w:lang w:val="fr-CA"/>
        </w:rPr>
        <w:t xml:space="preserve">est pas censée </w:t>
      </w:r>
      <w:r>
        <w:rPr>
          <w:lang w:val="fr-CA"/>
        </w:rPr>
        <w:t>s’appliquer</w:t>
      </w:r>
      <w:r w:rsidRPr="00BC2D48">
        <w:rPr>
          <w:lang w:val="fr-CA"/>
        </w:rPr>
        <w:t xml:space="preserve"> </w:t>
      </w:r>
      <w:r>
        <w:rPr>
          <w:lang w:val="fr-CA"/>
        </w:rPr>
        <w:t>en vue de la réalisation de l’objectif d’</w:t>
      </w:r>
      <w:r w:rsidRPr="00BC2D48">
        <w:rPr>
          <w:lang w:val="fr-CA"/>
        </w:rPr>
        <w:t xml:space="preserve">équité électorale. Le </w:t>
      </w:r>
      <w:r>
        <w:rPr>
          <w:lang w:val="fr-CA"/>
        </w:rPr>
        <w:t>Parlement</w:t>
      </w:r>
      <w:r w:rsidRPr="00BC2D48">
        <w:rPr>
          <w:lang w:val="fr-CA"/>
        </w:rPr>
        <w:t xml:space="preserve"> cherche à empêcher </w:t>
      </w:r>
      <w:r>
        <w:rPr>
          <w:lang w:val="fr-CA"/>
        </w:rPr>
        <w:t>les personnes</w:t>
      </w:r>
      <w:r w:rsidRPr="00BC2D48">
        <w:rPr>
          <w:lang w:val="fr-CA"/>
        </w:rPr>
        <w:t xml:space="preserve"> qui n</w:t>
      </w:r>
      <w:r>
        <w:rPr>
          <w:lang w:val="fr-CA"/>
        </w:rPr>
        <w:t>’</w:t>
      </w:r>
      <w:r w:rsidRPr="00BC2D48">
        <w:rPr>
          <w:lang w:val="fr-CA"/>
        </w:rPr>
        <w:t>ont pas un rattachement suffisant au Canada</w:t>
      </w:r>
      <w:r w:rsidRPr="000234D4">
        <w:rPr>
          <w:lang w:val="fr-CA"/>
        </w:rPr>
        <w:t xml:space="preserve"> </w:t>
      </w:r>
      <w:r w:rsidRPr="00BC2D48">
        <w:rPr>
          <w:lang w:val="fr-CA"/>
        </w:rPr>
        <w:t>de voter.</w:t>
      </w:r>
      <w:r>
        <w:rPr>
          <w:lang w:val="fr-CA"/>
        </w:rPr>
        <w:t xml:space="preserve"> </w:t>
      </w:r>
      <w:r w:rsidRPr="002E2E22">
        <w:rPr>
          <w:lang w:val="fr-CA"/>
        </w:rPr>
        <w:t xml:space="preserve">Toutefois, le </w:t>
      </w:r>
      <w:r>
        <w:rPr>
          <w:lang w:val="fr-CA"/>
        </w:rPr>
        <w:t>PGC</w:t>
      </w:r>
      <w:r w:rsidRPr="00BC2D48">
        <w:rPr>
          <w:lang w:val="fr-CA"/>
        </w:rPr>
        <w:t xml:space="preserve"> </w:t>
      </w:r>
      <w:r w:rsidRPr="002E2E22">
        <w:rPr>
          <w:lang w:val="fr-CA"/>
        </w:rPr>
        <w:t>n</w:t>
      </w:r>
      <w:r>
        <w:rPr>
          <w:lang w:val="fr-CA"/>
        </w:rPr>
        <w:t>’</w:t>
      </w:r>
      <w:r w:rsidRPr="002E2E22">
        <w:rPr>
          <w:lang w:val="fr-CA"/>
        </w:rPr>
        <w:t xml:space="preserve">a pas </w:t>
      </w:r>
      <w:r>
        <w:rPr>
          <w:lang w:val="fr-CA"/>
        </w:rPr>
        <w:t xml:space="preserve">réussi à </w:t>
      </w:r>
      <w:r w:rsidRPr="002E2E22">
        <w:rPr>
          <w:lang w:val="fr-CA"/>
        </w:rPr>
        <w:t>démontr</w:t>
      </w:r>
      <w:r>
        <w:rPr>
          <w:lang w:val="fr-CA"/>
        </w:rPr>
        <w:t>er</w:t>
      </w:r>
      <w:r w:rsidRPr="002E2E22">
        <w:rPr>
          <w:lang w:val="fr-CA"/>
        </w:rPr>
        <w:t xml:space="preserve"> </w:t>
      </w:r>
      <w:r>
        <w:rPr>
          <w:lang w:val="fr-CA"/>
        </w:rPr>
        <w:t>qu’il existe une corrélation entre, d’une part, le nombre d’années</w:t>
      </w:r>
      <w:r w:rsidRPr="002E2E22">
        <w:rPr>
          <w:lang w:val="fr-CA"/>
        </w:rPr>
        <w:t xml:space="preserve"> qu</w:t>
      </w:r>
      <w:r>
        <w:rPr>
          <w:lang w:val="fr-CA"/>
        </w:rPr>
        <w:t>’</w:t>
      </w:r>
      <w:r w:rsidRPr="002E2E22">
        <w:rPr>
          <w:lang w:val="fr-CA"/>
        </w:rPr>
        <w:t xml:space="preserve">un </w:t>
      </w:r>
      <w:r w:rsidRPr="002E2E22">
        <w:rPr>
          <w:lang w:val="fr-CA"/>
        </w:rPr>
        <w:lastRenderedPageBreak/>
        <w:t xml:space="preserve">citoyen canadien a </w:t>
      </w:r>
      <w:r>
        <w:rPr>
          <w:lang w:val="fr-CA"/>
        </w:rPr>
        <w:t>résidé</w:t>
      </w:r>
      <w:r w:rsidRPr="002E2E22">
        <w:rPr>
          <w:lang w:val="fr-CA"/>
        </w:rPr>
        <w:t xml:space="preserve"> à l</w:t>
      </w:r>
      <w:r>
        <w:rPr>
          <w:lang w:val="fr-CA"/>
        </w:rPr>
        <w:t>’</w:t>
      </w:r>
      <w:r w:rsidRPr="002E2E22">
        <w:rPr>
          <w:lang w:val="fr-CA"/>
        </w:rPr>
        <w:t xml:space="preserve">étranger et la date </w:t>
      </w:r>
      <w:r>
        <w:rPr>
          <w:lang w:val="fr-CA"/>
        </w:rPr>
        <w:t>à laquelle il prévoit rentrer au pays et, d’autre part, l’ampleur de son</w:t>
      </w:r>
      <w:r w:rsidRPr="002E2E22">
        <w:rPr>
          <w:lang w:val="fr-CA"/>
        </w:rPr>
        <w:t xml:space="preserve"> engagement subjectif </w:t>
      </w:r>
      <w:r>
        <w:rPr>
          <w:lang w:val="fr-CA"/>
        </w:rPr>
        <w:t>envers le Canada.</w:t>
      </w:r>
      <w:r w:rsidRPr="002E2E22">
        <w:rPr>
          <w:lang w:val="fr-CA"/>
        </w:rPr>
        <w:t xml:space="preserve"> </w:t>
      </w:r>
      <w:r>
        <w:rPr>
          <w:lang w:val="fr-CA"/>
        </w:rPr>
        <w:t>Bon nombre de</w:t>
      </w:r>
      <w:r w:rsidRPr="002E2E22">
        <w:rPr>
          <w:lang w:val="fr-CA"/>
        </w:rPr>
        <w:t xml:space="preserve"> citoyens </w:t>
      </w:r>
      <w:proofErr w:type="spellStart"/>
      <w:r w:rsidRPr="002E2E22">
        <w:rPr>
          <w:lang w:val="fr-CA"/>
        </w:rPr>
        <w:t>non</w:t>
      </w:r>
      <w:r>
        <w:rPr>
          <w:lang w:val="fr-CA"/>
        </w:rPr>
        <w:t xml:space="preserve"> résidents</w:t>
      </w:r>
      <w:proofErr w:type="spellEnd"/>
      <w:r>
        <w:rPr>
          <w:lang w:val="fr-CA"/>
        </w:rPr>
        <w:t xml:space="preserve"> qui vive</w:t>
      </w:r>
      <w:r w:rsidRPr="002E2E22">
        <w:rPr>
          <w:lang w:val="fr-CA"/>
        </w:rPr>
        <w:t>nt à l</w:t>
      </w:r>
      <w:r>
        <w:rPr>
          <w:lang w:val="fr-CA"/>
        </w:rPr>
        <w:t>’</w:t>
      </w:r>
      <w:r w:rsidRPr="002E2E22">
        <w:rPr>
          <w:lang w:val="fr-CA"/>
        </w:rPr>
        <w:t xml:space="preserve">étranger pendant </w:t>
      </w:r>
      <w:r>
        <w:rPr>
          <w:lang w:val="fr-CA"/>
        </w:rPr>
        <w:t>de nombreuses années</w:t>
      </w:r>
      <w:r w:rsidRPr="002E2E22">
        <w:rPr>
          <w:lang w:val="fr-CA"/>
        </w:rPr>
        <w:t xml:space="preserve"> maintiennent des</w:t>
      </w:r>
      <w:r>
        <w:rPr>
          <w:lang w:val="fr-CA"/>
        </w:rPr>
        <w:t xml:space="preserve"> liens</w:t>
      </w:r>
      <w:r w:rsidRPr="002E2E22">
        <w:rPr>
          <w:lang w:val="fr-CA"/>
        </w:rPr>
        <w:t xml:space="preserve"> </w:t>
      </w:r>
      <w:r>
        <w:rPr>
          <w:lang w:val="fr-CA"/>
        </w:rPr>
        <w:t>profonds et durables</w:t>
      </w:r>
      <w:r w:rsidRPr="002E2E22">
        <w:rPr>
          <w:lang w:val="fr-CA"/>
        </w:rPr>
        <w:t xml:space="preserve"> avec </w:t>
      </w:r>
      <w:r>
        <w:rPr>
          <w:lang w:val="fr-CA"/>
        </w:rPr>
        <w:t>ce pays</w:t>
      </w:r>
      <w:r w:rsidRPr="002E2E22">
        <w:rPr>
          <w:lang w:val="fr-CA"/>
        </w:rPr>
        <w:t>, comme l</w:t>
      </w:r>
      <w:r>
        <w:rPr>
          <w:lang w:val="fr-CA"/>
        </w:rPr>
        <w:t>’</w:t>
      </w:r>
      <w:r w:rsidRPr="002E2E22">
        <w:rPr>
          <w:lang w:val="fr-CA"/>
        </w:rPr>
        <w:t>illustrent les appelants en l</w:t>
      </w:r>
      <w:r>
        <w:rPr>
          <w:lang w:val="fr-CA"/>
        </w:rPr>
        <w:t>’</w:t>
      </w:r>
      <w:r w:rsidRPr="002E2E22">
        <w:rPr>
          <w:lang w:val="fr-CA"/>
        </w:rPr>
        <w:t xml:space="preserve">espèce. Inversement, il se peut que des </w:t>
      </w:r>
      <w:r>
        <w:rPr>
          <w:lang w:val="fr-CA"/>
        </w:rPr>
        <w:t>citoyens</w:t>
      </w:r>
      <w:r w:rsidRPr="002E2E22">
        <w:rPr>
          <w:lang w:val="fr-CA"/>
        </w:rPr>
        <w:t xml:space="preserve"> qui n</w:t>
      </w:r>
      <w:r>
        <w:rPr>
          <w:lang w:val="fr-CA"/>
        </w:rPr>
        <w:t>’</w:t>
      </w:r>
      <w:r w:rsidRPr="002E2E22">
        <w:rPr>
          <w:lang w:val="fr-CA"/>
        </w:rPr>
        <w:t xml:space="preserve">ont jamais quitté le Canada </w:t>
      </w:r>
      <w:r>
        <w:rPr>
          <w:lang w:val="fr-CA"/>
        </w:rPr>
        <w:t>aient un moins grand attachement subjectif envers le Canada et soient moins</w:t>
      </w:r>
      <w:r w:rsidRPr="002E2E22">
        <w:rPr>
          <w:lang w:val="fr-CA"/>
        </w:rPr>
        <w:t xml:space="preserve"> </w:t>
      </w:r>
      <w:r>
        <w:rPr>
          <w:lang w:val="fr-CA"/>
        </w:rPr>
        <w:t>au fait de questions locales</w:t>
      </w:r>
      <w:r w:rsidRPr="00BC2D48">
        <w:rPr>
          <w:lang w:val="fr-CA"/>
        </w:rPr>
        <w:t>.</w:t>
      </w:r>
    </w:p>
    <w:p w:rsidR="001244E7" w:rsidRDefault="001244E7" w:rsidP="001244E7">
      <w:pPr>
        <w:pStyle w:val="ParaNoNdepar-AltN"/>
        <w:rPr>
          <w:lang w:val="fr-CA"/>
        </w:rPr>
      </w:pPr>
      <w:r w:rsidRPr="00FA5703">
        <w:rPr>
          <w:lang w:val="fr-CA"/>
        </w:rPr>
        <w:t xml:space="preserve">Qui plus est, </w:t>
      </w:r>
      <w:r>
        <w:rPr>
          <w:lang w:val="fr-CA"/>
        </w:rPr>
        <w:t>de nombreux</w:t>
      </w:r>
      <w:r w:rsidRPr="00FA5703">
        <w:rPr>
          <w:lang w:val="fr-CA"/>
        </w:rPr>
        <w:t xml:space="preserve"> citoyens qu</w:t>
      </w:r>
      <w:r>
        <w:rPr>
          <w:lang w:val="fr-CA"/>
        </w:rPr>
        <w:t>i vivent à l’étranger demeurent au courant des actualités canadiennes</w:t>
      </w:r>
      <w:r w:rsidRPr="00FA5703">
        <w:rPr>
          <w:lang w:val="fr-CA"/>
        </w:rPr>
        <w:t xml:space="preserve">. </w:t>
      </w:r>
      <w:r>
        <w:rPr>
          <w:lang w:val="fr-CA"/>
        </w:rPr>
        <w:t>En raison d</w:t>
      </w:r>
      <w:r w:rsidRPr="00FA5703">
        <w:rPr>
          <w:lang w:val="fr-CA"/>
        </w:rPr>
        <w:t xml:space="preserve">es communications modernes, </w:t>
      </w:r>
      <w:r>
        <w:rPr>
          <w:lang w:val="fr-CA"/>
        </w:rPr>
        <w:t xml:space="preserve">de </w:t>
      </w:r>
      <w:r w:rsidRPr="00FA5703">
        <w:rPr>
          <w:lang w:val="fr-CA"/>
        </w:rPr>
        <w:t>la presse internationale et</w:t>
      </w:r>
      <w:r>
        <w:rPr>
          <w:lang w:val="fr-CA"/>
        </w:rPr>
        <w:t xml:space="preserve"> de</w:t>
      </w:r>
      <w:r w:rsidRPr="00FA5703">
        <w:rPr>
          <w:lang w:val="fr-CA"/>
        </w:rPr>
        <w:t xml:space="preserve"> la mondialisation</w:t>
      </w:r>
      <w:r>
        <w:rPr>
          <w:lang w:val="fr-CA"/>
        </w:rPr>
        <w:t>,</w:t>
      </w:r>
      <w:r w:rsidRPr="00FA5703">
        <w:rPr>
          <w:lang w:val="fr-CA"/>
        </w:rPr>
        <w:t xml:space="preserve"> </w:t>
      </w:r>
      <w:r>
        <w:rPr>
          <w:lang w:val="fr-CA"/>
        </w:rPr>
        <w:t xml:space="preserve">on peut se demander si </w:t>
      </w:r>
      <w:r w:rsidRPr="00FA5703">
        <w:rPr>
          <w:lang w:val="fr-CA"/>
        </w:rPr>
        <w:t xml:space="preserve">le temps passé </w:t>
      </w:r>
      <w:r>
        <w:rPr>
          <w:lang w:val="fr-CA"/>
        </w:rPr>
        <w:t xml:space="preserve">par une personne à vivre </w:t>
      </w:r>
      <w:r w:rsidRPr="00FA5703">
        <w:rPr>
          <w:lang w:val="fr-CA"/>
        </w:rPr>
        <w:t>à l</w:t>
      </w:r>
      <w:r>
        <w:rPr>
          <w:lang w:val="fr-CA"/>
        </w:rPr>
        <w:t>’</w:t>
      </w:r>
      <w:r w:rsidRPr="00FA5703">
        <w:rPr>
          <w:lang w:val="fr-CA"/>
        </w:rPr>
        <w:t xml:space="preserve">étranger </w:t>
      </w:r>
      <w:r>
        <w:rPr>
          <w:lang w:val="fr-CA"/>
        </w:rPr>
        <w:t>affaiblit</w:t>
      </w:r>
      <w:r w:rsidRPr="00FA5703">
        <w:rPr>
          <w:lang w:val="fr-CA"/>
        </w:rPr>
        <w:t xml:space="preserve"> </w:t>
      </w:r>
      <w:r>
        <w:rPr>
          <w:lang w:val="fr-CA"/>
        </w:rPr>
        <w:t xml:space="preserve">son </w:t>
      </w:r>
      <w:r w:rsidRPr="00FA5703">
        <w:rPr>
          <w:lang w:val="fr-CA"/>
        </w:rPr>
        <w:t xml:space="preserve">engagement subjectif envers le Canada. De fait, la preuve présentée </w:t>
      </w:r>
      <w:r>
        <w:rPr>
          <w:lang w:val="fr-CA"/>
        </w:rPr>
        <w:t>au juge de première instance montre que</w:t>
      </w:r>
      <w:r w:rsidRPr="00FA5703">
        <w:rPr>
          <w:lang w:val="fr-CA"/>
        </w:rPr>
        <w:t xml:space="preserve"> les citoyens canadiens vivant à l</w:t>
      </w:r>
      <w:r>
        <w:rPr>
          <w:lang w:val="fr-CA"/>
        </w:rPr>
        <w:t>’</w:t>
      </w:r>
      <w:r w:rsidRPr="00FA5703">
        <w:rPr>
          <w:lang w:val="fr-CA"/>
        </w:rPr>
        <w:t>étranger</w:t>
      </w:r>
      <w:r>
        <w:rPr>
          <w:lang w:val="fr-CA"/>
        </w:rPr>
        <w:t xml:space="preserve"> peuvent</w:t>
      </w:r>
      <w:r w:rsidRPr="00FA5703">
        <w:rPr>
          <w:lang w:val="fr-CA"/>
        </w:rPr>
        <w:t xml:space="preserve"> </w:t>
      </w:r>
      <w:r>
        <w:rPr>
          <w:lang w:val="fr-CA"/>
        </w:rPr>
        <w:t>garder</w:t>
      </w:r>
      <w:r w:rsidRPr="00FA5703">
        <w:rPr>
          <w:lang w:val="fr-CA"/>
        </w:rPr>
        <w:t xml:space="preserve"> des liens avec le Canada</w:t>
      </w:r>
      <w:r>
        <w:rPr>
          <w:lang w:val="fr-CA"/>
        </w:rPr>
        <w:t xml:space="preserve"> de nombreuses façons</w:t>
      </w:r>
      <w:r w:rsidRPr="00FA5703">
        <w:rPr>
          <w:lang w:val="fr-CA"/>
        </w:rPr>
        <w:t>, notamment par la famille, les médias en ligne</w:t>
      </w:r>
      <w:r>
        <w:rPr>
          <w:lang w:val="fr-CA"/>
        </w:rPr>
        <w:t xml:space="preserve"> et</w:t>
      </w:r>
      <w:r w:rsidRPr="00FA5703">
        <w:rPr>
          <w:lang w:val="fr-CA"/>
        </w:rPr>
        <w:t xml:space="preserve"> les séjours au pays, </w:t>
      </w:r>
      <w:r>
        <w:rPr>
          <w:lang w:val="fr-CA"/>
        </w:rPr>
        <w:t xml:space="preserve">et en payant des </w:t>
      </w:r>
      <w:r w:rsidRPr="00FA5703">
        <w:rPr>
          <w:lang w:val="fr-CA"/>
        </w:rPr>
        <w:t xml:space="preserve">impôts et </w:t>
      </w:r>
      <w:r>
        <w:rPr>
          <w:lang w:val="fr-CA"/>
        </w:rPr>
        <w:t>en touchant</w:t>
      </w:r>
      <w:r w:rsidRPr="00FA5703">
        <w:rPr>
          <w:lang w:val="fr-CA"/>
        </w:rPr>
        <w:t xml:space="preserve"> de</w:t>
      </w:r>
      <w:r>
        <w:rPr>
          <w:lang w:val="fr-CA"/>
        </w:rPr>
        <w:t>s prestations sociales</w:t>
      </w:r>
      <w:r w:rsidRPr="00FA5703">
        <w:rPr>
          <w:lang w:val="fr-CA"/>
        </w:rPr>
        <w:t xml:space="preserve">. </w:t>
      </w:r>
      <w:r>
        <w:rPr>
          <w:lang w:val="fr-CA"/>
        </w:rPr>
        <w:t xml:space="preserve">En résumé, la mesure ne constitue pas une atteinte minimale car elle s’applique à des citoyens </w:t>
      </w:r>
      <w:proofErr w:type="spellStart"/>
      <w:r>
        <w:rPr>
          <w:lang w:val="fr-CA"/>
        </w:rPr>
        <w:t>non résidents</w:t>
      </w:r>
      <w:proofErr w:type="spellEnd"/>
      <w:r>
        <w:rPr>
          <w:lang w:val="fr-CA"/>
        </w:rPr>
        <w:t xml:space="preserve"> qui ont des racines politiques, familiales, financières ou culturelles profondes au Canada, en raison de la considération que ces personnes sont </w:t>
      </w:r>
      <w:r w:rsidRPr="00FA5703">
        <w:rPr>
          <w:lang w:val="fr-CA"/>
        </w:rPr>
        <w:t>insuffisamment engagé</w:t>
      </w:r>
      <w:r>
        <w:rPr>
          <w:lang w:val="fr-CA"/>
        </w:rPr>
        <w:t>e</w:t>
      </w:r>
      <w:r w:rsidRPr="00FA5703">
        <w:rPr>
          <w:lang w:val="fr-CA"/>
        </w:rPr>
        <w:t>s envers le Canada</w:t>
      </w:r>
      <w:r>
        <w:rPr>
          <w:lang w:val="fr-CA"/>
        </w:rPr>
        <w:t>.</w:t>
      </w:r>
    </w:p>
    <w:p w:rsidR="001244E7" w:rsidRPr="00202160" w:rsidRDefault="001244E7" w:rsidP="001244E7">
      <w:pPr>
        <w:pStyle w:val="ParaNoNdepar-AltN"/>
        <w:rPr>
          <w:lang w:val="fr-CA"/>
        </w:rPr>
      </w:pPr>
      <w:r>
        <w:rPr>
          <w:lang w:val="fr-CA"/>
        </w:rPr>
        <w:t>L</w:t>
      </w:r>
      <w:r w:rsidRPr="00202160">
        <w:rPr>
          <w:lang w:val="fr-CA"/>
        </w:rPr>
        <w:t xml:space="preserve">e </w:t>
      </w:r>
      <w:r>
        <w:rPr>
          <w:lang w:val="fr-CA"/>
        </w:rPr>
        <w:t>PGC</w:t>
      </w:r>
      <w:r w:rsidRPr="00BC2D48">
        <w:rPr>
          <w:lang w:val="fr-CA"/>
        </w:rPr>
        <w:t xml:space="preserve"> </w:t>
      </w:r>
      <w:r>
        <w:rPr>
          <w:lang w:val="fr-CA"/>
        </w:rPr>
        <w:t>soutient</w:t>
      </w:r>
      <w:r w:rsidRPr="00202160">
        <w:rPr>
          <w:lang w:val="fr-CA"/>
        </w:rPr>
        <w:t xml:space="preserve"> </w:t>
      </w:r>
      <w:r>
        <w:rPr>
          <w:lang w:val="fr-CA"/>
        </w:rPr>
        <w:t xml:space="preserve">aussi </w:t>
      </w:r>
      <w:r w:rsidRPr="00202160">
        <w:rPr>
          <w:lang w:val="fr-CA"/>
        </w:rPr>
        <w:t xml:space="preserve">que la mesure législative </w:t>
      </w:r>
      <w:r>
        <w:rPr>
          <w:lang w:val="fr-CA"/>
        </w:rPr>
        <w:t>renforce</w:t>
      </w:r>
      <w:r w:rsidRPr="00202160">
        <w:rPr>
          <w:lang w:val="fr-CA"/>
        </w:rPr>
        <w:t xml:space="preserve"> l</w:t>
      </w:r>
      <w:r>
        <w:rPr>
          <w:lang w:val="fr-CA"/>
        </w:rPr>
        <w:t>’</w:t>
      </w:r>
      <w:r w:rsidRPr="00202160">
        <w:rPr>
          <w:lang w:val="fr-CA"/>
        </w:rPr>
        <w:t xml:space="preserve">équité électorale en </w:t>
      </w:r>
      <w:r>
        <w:rPr>
          <w:lang w:val="fr-CA"/>
        </w:rPr>
        <w:t>établissant, en tant que condition pour voter,</w:t>
      </w:r>
      <w:r w:rsidRPr="00202160">
        <w:rPr>
          <w:lang w:val="fr-CA"/>
        </w:rPr>
        <w:t xml:space="preserve"> que les électeurs </w:t>
      </w:r>
      <w:proofErr w:type="spellStart"/>
      <w:r w:rsidRPr="00202160">
        <w:rPr>
          <w:lang w:val="fr-CA"/>
        </w:rPr>
        <w:t>non</w:t>
      </w:r>
      <w:r>
        <w:rPr>
          <w:lang w:val="fr-CA"/>
        </w:rPr>
        <w:t xml:space="preserve"> </w:t>
      </w:r>
      <w:r w:rsidRPr="00202160">
        <w:rPr>
          <w:lang w:val="fr-CA"/>
        </w:rPr>
        <w:t>résidents</w:t>
      </w:r>
      <w:proofErr w:type="spellEnd"/>
      <w:r w:rsidRPr="00202160">
        <w:rPr>
          <w:lang w:val="fr-CA"/>
        </w:rPr>
        <w:t xml:space="preserve"> soient </w:t>
      </w:r>
      <w:r w:rsidRPr="00202160">
        <w:rPr>
          <w:lang w:val="fr-CA"/>
        </w:rPr>
        <w:lastRenderedPageBreak/>
        <w:t xml:space="preserve">dûment assujettis aux lois </w:t>
      </w:r>
      <w:r>
        <w:rPr>
          <w:lang w:val="fr-CA"/>
        </w:rPr>
        <w:t>qu’</w:t>
      </w:r>
      <w:r w:rsidRPr="00202160">
        <w:rPr>
          <w:lang w:val="fr-CA"/>
        </w:rPr>
        <w:t xml:space="preserve">ils ont participé à </w:t>
      </w:r>
      <w:r>
        <w:rPr>
          <w:lang w:val="fr-CA"/>
        </w:rPr>
        <w:t>élaborer</w:t>
      </w:r>
      <w:r w:rsidRPr="00202160">
        <w:rPr>
          <w:lang w:val="fr-CA"/>
        </w:rPr>
        <w:t>. L</w:t>
      </w:r>
      <w:r>
        <w:rPr>
          <w:lang w:val="fr-CA"/>
        </w:rPr>
        <w:t>’</w:t>
      </w:r>
      <w:r w:rsidRPr="00202160">
        <w:rPr>
          <w:lang w:val="fr-CA"/>
        </w:rPr>
        <w:t xml:space="preserve">argument du </w:t>
      </w:r>
      <w:r>
        <w:rPr>
          <w:lang w:val="fr-CA"/>
        </w:rPr>
        <w:t>PGC</w:t>
      </w:r>
      <w:r w:rsidRPr="00BC2D48">
        <w:rPr>
          <w:lang w:val="fr-CA"/>
        </w:rPr>
        <w:t xml:space="preserve"> </w:t>
      </w:r>
      <w:r w:rsidRPr="00202160">
        <w:rPr>
          <w:lang w:val="fr-CA"/>
        </w:rPr>
        <w:t xml:space="preserve">sur ce point </w:t>
      </w:r>
      <w:r>
        <w:rPr>
          <w:lang w:val="fr-CA"/>
        </w:rPr>
        <w:t>doit être écarté</w:t>
      </w:r>
      <w:r w:rsidRPr="00202160">
        <w:rPr>
          <w:lang w:val="fr-CA"/>
        </w:rPr>
        <w:t xml:space="preserve"> pour trois motifs.</w:t>
      </w:r>
    </w:p>
    <w:p w:rsidR="001244E7" w:rsidRPr="00BC2D48" w:rsidRDefault="001244E7" w:rsidP="001244E7">
      <w:pPr>
        <w:pStyle w:val="ParaNoNdepar-AltN"/>
        <w:tabs>
          <w:tab w:val="clear" w:pos="1152"/>
          <w:tab w:val="left" w:pos="1166"/>
        </w:tabs>
        <w:rPr>
          <w:lang w:val="fr-CA"/>
        </w:rPr>
      </w:pPr>
      <w:r w:rsidRPr="00BC2D48">
        <w:rPr>
          <w:lang w:val="fr-CA"/>
        </w:rPr>
        <w:t xml:space="preserve">Premièrement, les lois </w:t>
      </w:r>
      <w:r>
        <w:rPr>
          <w:lang w:val="fr-CA"/>
        </w:rPr>
        <w:t>n’ont pas le même effet</w:t>
      </w:r>
      <w:r w:rsidRPr="00BC2D48">
        <w:rPr>
          <w:lang w:val="fr-CA"/>
        </w:rPr>
        <w:t xml:space="preserve"> sur</w:t>
      </w:r>
      <w:r>
        <w:rPr>
          <w:lang w:val="fr-CA"/>
        </w:rPr>
        <w:t xml:space="preserve"> tous</w:t>
      </w:r>
      <w:r w:rsidRPr="00BC2D48">
        <w:rPr>
          <w:lang w:val="fr-CA"/>
        </w:rPr>
        <w:t xml:space="preserve"> les citoyens </w:t>
      </w:r>
      <w:r w:rsidRPr="00BC2D48">
        <w:rPr>
          <w:i/>
          <w:lang w:val="fr-CA"/>
        </w:rPr>
        <w:t>résidents</w:t>
      </w:r>
      <w:r w:rsidRPr="00BC2D48">
        <w:rPr>
          <w:lang w:val="fr-CA"/>
        </w:rPr>
        <w:t>. L</w:t>
      </w:r>
      <w:r>
        <w:rPr>
          <w:lang w:val="fr-CA"/>
        </w:rPr>
        <w:t xml:space="preserve">a mesure dans laquelle </w:t>
      </w:r>
      <w:r w:rsidRPr="00BC2D48">
        <w:rPr>
          <w:lang w:val="fr-CA"/>
        </w:rPr>
        <w:t>des citoyens seront touchés par des lois variera en fonction de qui ils sont et de comment ils choisissent de mener leur</w:t>
      </w:r>
      <w:r>
        <w:rPr>
          <w:lang w:val="fr-CA"/>
        </w:rPr>
        <w:t xml:space="preserve"> vie</w:t>
      </w:r>
      <w:r w:rsidRPr="00BC2D48">
        <w:rPr>
          <w:lang w:val="fr-CA"/>
        </w:rPr>
        <w:t>, qu</w:t>
      </w:r>
      <w:r>
        <w:rPr>
          <w:lang w:val="fr-CA"/>
        </w:rPr>
        <w:t>’</w:t>
      </w:r>
      <w:r w:rsidRPr="00BC2D48">
        <w:rPr>
          <w:lang w:val="fr-CA"/>
        </w:rPr>
        <w:t>ils vivent au Canada ou à l</w:t>
      </w:r>
      <w:r>
        <w:rPr>
          <w:lang w:val="fr-CA"/>
        </w:rPr>
        <w:t>’</w:t>
      </w:r>
      <w:r w:rsidRPr="00BC2D48">
        <w:rPr>
          <w:lang w:val="fr-CA"/>
        </w:rPr>
        <w:t xml:space="preserve">étranger. </w:t>
      </w:r>
      <w:r>
        <w:rPr>
          <w:lang w:val="fr-CA"/>
        </w:rPr>
        <w:t>À titre d’exemple, u</w:t>
      </w:r>
      <w:r w:rsidRPr="00BC2D48">
        <w:rPr>
          <w:lang w:val="fr-CA"/>
        </w:rPr>
        <w:t>n électeur âgé</w:t>
      </w:r>
      <w:r>
        <w:rPr>
          <w:lang w:val="fr-CA"/>
        </w:rPr>
        <w:t xml:space="preserve"> ne</w:t>
      </w:r>
      <w:r w:rsidRPr="00BC2D48">
        <w:rPr>
          <w:lang w:val="fr-CA"/>
        </w:rPr>
        <w:t xml:space="preserve"> sera vraisemblablement </w:t>
      </w:r>
      <w:r>
        <w:rPr>
          <w:lang w:val="fr-CA"/>
        </w:rPr>
        <w:t>pas</w:t>
      </w:r>
      <w:r w:rsidRPr="00BC2D48">
        <w:rPr>
          <w:lang w:val="fr-CA"/>
        </w:rPr>
        <w:t xml:space="preserve"> touché </w:t>
      </w:r>
      <w:r>
        <w:rPr>
          <w:lang w:val="fr-CA"/>
        </w:rPr>
        <w:t xml:space="preserve">par </w:t>
      </w:r>
      <w:r w:rsidRPr="00BC2D48">
        <w:rPr>
          <w:lang w:val="fr-CA"/>
        </w:rPr>
        <w:t xml:space="preserve">la politique gouvernementale à long terme sur le climat </w:t>
      </w:r>
      <w:r>
        <w:rPr>
          <w:lang w:val="fr-CA"/>
        </w:rPr>
        <w:t xml:space="preserve">dans la même mesure </w:t>
      </w:r>
      <w:r w:rsidRPr="00BC2D48">
        <w:rPr>
          <w:lang w:val="fr-CA"/>
        </w:rPr>
        <w:t>qu</w:t>
      </w:r>
      <w:r>
        <w:rPr>
          <w:lang w:val="fr-CA"/>
        </w:rPr>
        <w:t>’</w:t>
      </w:r>
      <w:r w:rsidRPr="00BC2D48">
        <w:rPr>
          <w:lang w:val="fr-CA"/>
        </w:rPr>
        <w:t>un jeun</w:t>
      </w:r>
      <w:r>
        <w:rPr>
          <w:lang w:val="fr-CA"/>
        </w:rPr>
        <w:t>e électeur. Les électeurs</w:t>
      </w:r>
      <w:r w:rsidRPr="00BC2D48">
        <w:rPr>
          <w:lang w:val="fr-CA"/>
        </w:rPr>
        <w:t xml:space="preserve"> </w:t>
      </w:r>
      <w:r>
        <w:rPr>
          <w:lang w:val="fr-CA"/>
        </w:rPr>
        <w:t>ayant des</w:t>
      </w:r>
      <w:r w:rsidRPr="00BC2D48">
        <w:rPr>
          <w:lang w:val="fr-CA"/>
        </w:rPr>
        <w:t xml:space="preserve"> enfants peuvent être </w:t>
      </w:r>
      <w:r>
        <w:rPr>
          <w:lang w:val="fr-CA"/>
        </w:rPr>
        <w:t xml:space="preserve">fortement </w:t>
      </w:r>
      <w:r w:rsidRPr="00BC2D48">
        <w:rPr>
          <w:lang w:val="fr-CA"/>
        </w:rPr>
        <w:t>touchés par certains programmes gouvernementaux ou crédits d</w:t>
      </w:r>
      <w:r>
        <w:rPr>
          <w:lang w:val="fr-CA"/>
        </w:rPr>
        <w:t>’</w:t>
      </w:r>
      <w:r w:rsidRPr="00BC2D48">
        <w:rPr>
          <w:lang w:val="fr-CA"/>
        </w:rPr>
        <w:t>impôt, alors que ce ne sera pas le cas d</w:t>
      </w:r>
      <w:r>
        <w:rPr>
          <w:lang w:val="fr-CA"/>
        </w:rPr>
        <w:t xml:space="preserve">es </w:t>
      </w:r>
      <w:r w:rsidRPr="00BC2D48">
        <w:rPr>
          <w:lang w:val="fr-CA"/>
        </w:rPr>
        <w:t>électeurs sans enfa</w:t>
      </w:r>
      <w:r>
        <w:rPr>
          <w:lang w:val="fr-CA"/>
        </w:rPr>
        <w:t>nts, e</w:t>
      </w:r>
      <w:r w:rsidRPr="00BC2D48">
        <w:rPr>
          <w:lang w:val="fr-CA"/>
        </w:rPr>
        <w:t xml:space="preserve">t ainsi de suite. </w:t>
      </w:r>
      <w:r>
        <w:rPr>
          <w:lang w:val="fr-CA"/>
        </w:rPr>
        <w:t>Voici ce qui importe : il est manifestement excessif de tenter de</w:t>
      </w:r>
      <w:r w:rsidRPr="00BC2D48">
        <w:rPr>
          <w:lang w:val="fr-CA"/>
        </w:rPr>
        <w:t xml:space="preserve"> mesurer </w:t>
      </w:r>
      <w:r>
        <w:rPr>
          <w:lang w:val="fr-CA"/>
        </w:rPr>
        <w:t>la portée dans laquelle un citoyen est a</w:t>
      </w:r>
      <w:r w:rsidRPr="00BC2D48">
        <w:rPr>
          <w:lang w:val="fr-CA"/>
        </w:rPr>
        <w:t xml:space="preserve">ssujetti aux lois canadiennes </w:t>
      </w:r>
      <w:r>
        <w:rPr>
          <w:lang w:val="fr-CA"/>
        </w:rPr>
        <w:t>dans le contexte d</w:t>
      </w:r>
      <w:r w:rsidRPr="00BC2D48">
        <w:rPr>
          <w:lang w:val="fr-CA"/>
        </w:rPr>
        <w:t>e préoccupations d</w:t>
      </w:r>
      <w:r>
        <w:rPr>
          <w:lang w:val="fr-CA"/>
        </w:rPr>
        <w:t>’</w:t>
      </w:r>
      <w:r w:rsidRPr="00BC2D48">
        <w:rPr>
          <w:lang w:val="fr-CA"/>
        </w:rPr>
        <w:t xml:space="preserve">équité électorale. </w:t>
      </w:r>
      <w:r w:rsidRPr="00202160">
        <w:rPr>
          <w:lang w:val="fr-CA"/>
        </w:rPr>
        <w:t>Bien qu</w:t>
      </w:r>
      <w:r>
        <w:rPr>
          <w:lang w:val="fr-CA"/>
        </w:rPr>
        <w:t>’il puisse être vrai qu</w:t>
      </w:r>
      <w:r w:rsidRPr="00202160">
        <w:rPr>
          <w:lang w:val="fr-CA"/>
        </w:rPr>
        <w:t xml:space="preserve">e les citoyens </w:t>
      </w:r>
      <w:proofErr w:type="spellStart"/>
      <w:r w:rsidRPr="00202160">
        <w:rPr>
          <w:lang w:val="fr-CA"/>
        </w:rPr>
        <w:t>non</w:t>
      </w:r>
      <w:r>
        <w:rPr>
          <w:lang w:val="fr-CA"/>
        </w:rPr>
        <w:t xml:space="preserve"> </w:t>
      </w:r>
      <w:r w:rsidRPr="00202160">
        <w:rPr>
          <w:lang w:val="fr-CA"/>
        </w:rPr>
        <w:t>résidents</w:t>
      </w:r>
      <w:proofErr w:type="spellEnd"/>
      <w:r w:rsidRPr="00202160">
        <w:rPr>
          <w:lang w:val="fr-CA"/>
        </w:rPr>
        <w:t xml:space="preserve"> </w:t>
      </w:r>
      <w:r>
        <w:rPr>
          <w:lang w:val="fr-CA"/>
        </w:rPr>
        <w:t>sont</w:t>
      </w:r>
      <w:r w:rsidRPr="00202160">
        <w:rPr>
          <w:lang w:val="fr-CA"/>
        </w:rPr>
        <w:t xml:space="preserve"> assujettis à moins de lois canadiennes que les citoyens résidents, ou </w:t>
      </w:r>
      <w:r>
        <w:rPr>
          <w:lang w:val="fr-CA"/>
        </w:rPr>
        <w:t>qu’ils</w:t>
      </w:r>
      <w:r w:rsidRPr="00202160">
        <w:rPr>
          <w:lang w:val="fr-CA"/>
        </w:rPr>
        <w:t xml:space="preserve"> leur </w:t>
      </w:r>
      <w:r>
        <w:rPr>
          <w:lang w:val="fr-CA"/>
        </w:rPr>
        <w:t>sont</w:t>
      </w:r>
      <w:r w:rsidRPr="00202160">
        <w:rPr>
          <w:lang w:val="fr-CA"/>
        </w:rPr>
        <w:t xml:space="preserve"> assujettis différemment</w:t>
      </w:r>
      <w:r>
        <w:rPr>
          <w:lang w:val="fr-CA"/>
        </w:rPr>
        <w:t>, il est impossible d’adapter l</w:t>
      </w:r>
      <w:r w:rsidRPr="00BC2D48">
        <w:rPr>
          <w:lang w:val="fr-CA"/>
        </w:rPr>
        <w:t xml:space="preserve">es droits garantis par la </w:t>
      </w:r>
      <w:r w:rsidRPr="00BC2D48">
        <w:rPr>
          <w:i/>
          <w:lang w:val="fr-CA"/>
        </w:rPr>
        <w:t>Charte</w:t>
      </w:r>
      <w:r w:rsidRPr="00BC2D48">
        <w:rPr>
          <w:lang w:val="fr-CA"/>
        </w:rPr>
        <w:t xml:space="preserve"> en fonction d</w:t>
      </w:r>
      <w:r>
        <w:rPr>
          <w:lang w:val="fr-CA"/>
        </w:rPr>
        <w:t>e la mesure dans laquelle</w:t>
      </w:r>
      <w:r w:rsidRPr="00BC2D48">
        <w:rPr>
          <w:lang w:val="fr-CA"/>
        </w:rPr>
        <w:t xml:space="preserve"> les citoyens sont </w:t>
      </w:r>
      <w:r>
        <w:rPr>
          <w:lang w:val="fr-CA"/>
        </w:rPr>
        <w:t>assujettis aux</w:t>
      </w:r>
      <w:r w:rsidRPr="00BC2D48">
        <w:rPr>
          <w:lang w:val="fr-CA"/>
        </w:rPr>
        <w:t xml:space="preserve"> lois canadiennes.</w:t>
      </w:r>
    </w:p>
    <w:p w:rsidR="001244E7" w:rsidRPr="00BC2D48" w:rsidRDefault="001244E7" w:rsidP="001244E7">
      <w:pPr>
        <w:pStyle w:val="ParaNoNdepar-AltN"/>
        <w:tabs>
          <w:tab w:val="clear" w:pos="1152"/>
          <w:tab w:val="left" w:pos="1166"/>
        </w:tabs>
        <w:rPr>
          <w:lang w:val="fr-CA"/>
        </w:rPr>
      </w:pPr>
      <w:r w:rsidRPr="00BC2D48">
        <w:rPr>
          <w:lang w:val="fr-CA"/>
        </w:rPr>
        <w:t xml:space="preserve">Deuxièmement, les citoyens </w:t>
      </w:r>
      <w:proofErr w:type="spellStart"/>
      <w:r w:rsidRPr="00BC2D48">
        <w:rPr>
          <w:lang w:val="fr-CA"/>
        </w:rPr>
        <w:t>non</w:t>
      </w:r>
      <w:r>
        <w:rPr>
          <w:lang w:val="fr-CA"/>
        </w:rPr>
        <w:t xml:space="preserve"> </w:t>
      </w:r>
      <w:r w:rsidRPr="00BC2D48">
        <w:rPr>
          <w:lang w:val="fr-CA"/>
        </w:rPr>
        <w:t>résidents</w:t>
      </w:r>
      <w:proofErr w:type="spellEnd"/>
      <w:r w:rsidRPr="00BC2D48">
        <w:rPr>
          <w:lang w:val="fr-CA"/>
        </w:rPr>
        <w:t xml:space="preserve"> vivent </w:t>
      </w:r>
      <w:r>
        <w:rPr>
          <w:i/>
          <w:lang w:val="fr-CA"/>
        </w:rPr>
        <w:t xml:space="preserve">bel </w:t>
      </w:r>
      <w:r w:rsidRPr="00BC2D48">
        <w:rPr>
          <w:i/>
          <w:lang w:val="fr-CA"/>
        </w:rPr>
        <w:t>e</w:t>
      </w:r>
      <w:r>
        <w:rPr>
          <w:i/>
          <w:lang w:val="fr-CA"/>
        </w:rPr>
        <w:t>t bien</w:t>
      </w:r>
      <w:r w:rsidRPr="00BC2D48">
        <w:rPr>
          <w:lang w:val="fr-CA"/>
        </w:rPr>
        <w:t xml:space="preserve"> avec les conséquences des lois canadiennes. </w:t>
      </w:r>
      <w:r>
        <w:rPr>
          <w:lang w:val="fr-CA"/>
        </w:rPr>
        <w:t>De nombreux</w:t>
      </w:r>
      <w:r w:rsidRPr="00BC2D48">
        <w:rPr>
          <w:lang w:val="fr-CA"/>
        </w:rPr>
        <w:t xml:space="preserve"> Canadiens </w:t>
      </w:r>
      <w:proofErr w:type="spellStart"/>
      <w:r w:rsidRPr="00BC2D48">
        <w:rPr>
          <w:lang w:val="fr-CA"/>
        </w:rPr>
        <w:t>non</w:t>
      </w:r>
      <w:r>
        <w:rPr>
          <w:lang w:val="fr-CA"/>
        </w:rPr>
        <w:t xml:space="preserve"> </w:t>
      </w:r>
      <w:r w:rsidRPr="00BC2D48">
        <w:rPr>
          <w:lang w:val="fr-CA"/>
        </w:rPr>
        <w:t>résidents</w:t>
      </w:r>
      <w:proofErr w:type="spellEnd"/>
      <w:r w:rsidRPr="00BC2D48">
        <w:rPr>
          <w:lang w:val="fr-CA"/>
        </w:rPr>
        <w:t xml:space="preserve"> </w:t>
      </w:r>
      <w:r>
        <w:rPr>
          <w:lang w:val="fr-CA"/>
        </w:rPr>
        <w:t>reviennent</w:t>
      </w:r>
      <w:r w:rsidRPr="00BC2D48">
        <w:rPr>
          <w:lang w:val="fr-CA"/>
        </w:rPr>
        <w:t xml:space="preserve"> fréquemment au pays et sont assujettis au</w:t>
      </w:r>
      <w:r>
        <w:rPr>
          <w:lang w:val="fr-CA"/>
        </w:rPr>
        <w:t>x lois canadiennes pendant leur séjour</w:t>
      </w:r>
      <w:r w:rsidRPr="00BC2D48">
        <w:rPr>
          <w:lang w:val="fr-CA"/>
        </w:rPr>
        <w:t xml:space="preserve">. </w:t>
      </w:r>
      <w:r>
        <w:rPr>
          <w:lang w:val="fr-CA"/>
        </w:rPr>
        <w:t>Pour p</w:t>
      </w:r>
      <w:r w:rsidRPr="00BC2D48">
        <w:rPr>
          <w:lang w:val="fr-CA"/>
        </w:rPr>
        <w:t>lusieurs d</w:t>
      </w:r>
      <w:r>
        <w:rPr>
          <w:lang w:val="fr-CA"/>
        </w:rPr>
        <w:t>’</w:t>
      </w:r>
      <w:r w:rsidRPr="00BC2D48">
        <w:rPr>
          <w:lang w:val="fr-CA"/>
        </w:rPr>
        <w:t>entre eux</w:t>
      </w:r>
      <w:r>
        <w:rPr>
          <w:lang w:val="fr-CA"/>
        </w:rPr>
        <w:t>,</w:t>
      </w:r>
      <w:r w:rsidRPr="00BC2D48">
        <w:rPr>
          <w:lang w:val="fr-CA"/>
        </w:rPr>
        <w:t xml:space="preserve"> des m</w:t>
      </w:r>
      <w:r>
        <w:rPr>
          <w:lang w:val="fr-CA"/>
        </w:rPr>
        <w:t xml:space="preserve">embres de la famille </w:t>
      </w:r>
      <w:r w:rsidRPr="00BC2D48">
        <w:rPr>
          <w:lang w:val="fr-CA"/>
        </w:rPr>
        <w:t>vivent au Canada; en conséquence, comme l</w:t>
      </w:r>
      <w:r>
        <w:rPr>
          <w:lang w:val="fr-CA"/>
        </w:rPr>
        <w:t>’</w:t>
      </w:r>
      <w:r w:rsidRPr="00BC2D48">
        <w:rPr>
          <w:lang w:val="fr-CA"/>
        </w:rPr>
        <w:t xml:space="preserve">a </w:t>
      </w:r>
      <w:r>
        <w:rPr>
          <w:lang w:val="fr-CA"/>
        </w:rPr>
        <w:t>mentionné</w:t>
      </w:r>
      <w:r w:rsidRPr="00BC2D48">
        <w:rPr>
          <w:lang w:val="fr-CA"/>
        </w:rPr>
        <w:t xml:space="preserve"> le juge</w:t>
      </w:r>
      <w:r>
        <w:rPr>
          <w:lang w:val="fr-CA"/>
        </w:rPr>
        <w:t xml:space="preserve"> de</w:t>
      </w:r>
      <w:r w:rsidRPr="00BC2D48">
        <w:rPr>
          <w:lang w:val="fr-CA"/>
        </w:rPr>
        <w:t xml:space="preserve"> première instance, les lois canadiennes touchent les </w:t>
      </w:r>
      <w:r w:rsidRPr="00BC2D48">
        <w:rPr>
          <w:lang w:val="fr-CA"/>
        </w:rPr>
        <w:lastRenderedPageBreak/>
        <w:t>familles résidentes de</w:t>
      </w:r>
      <w:r>
        <w:rPr>
          <w:lang w:val="fr-CA"/>
        </w:rPr>
        <w:t>s</w:t>
      </w:r>
      <w:r w:rsidRPr="00BC2D48">
        <w:rPr>
          <w:lang w:val="fr-CA"/>
        </w:rPr>
        <w:t xml:space="preserve"> Canadiens,</w:t>
      </w:r>
      <w:r>
        <w:rPr>
          <w:lang w:val="fr-CA"/>
        </w:rPr>
        <w:t xml:space="preserve"> qu’ils soient</w:t>
      </w:r>
      <w:r w:rsidRPr="00BC2D48">
        <w:rPr>
          <w:lang w:val="fr-CA"/>
        </w:rPr>
        <w:t xml:space="preserve"> non</w:t>
      </w:r>
      <w:r>
        <w:rPr>
          <w:lang w:val="fr-CA"/>
        </w:rPr>
        <w:noBreakHyphen/>
      </w:r>
      <w:r w:rsidRPr="00BC2D48">
        <w:rPr>
          <w:lang w:val="fr-CA"/>
        </w:rPr>
        <w:t xml:space="preserve">résidents </w:t>
      </w:r>
      <w:r>
        <w:rPr>
          <w:lang w:val="fr-CA"/>
        </w:rPr>
        <w:t>ou résidents</w:t>
      </w:r>
      <w:r w:rsidRPr="00BC2D48">
        <w:rPr>
          <w:lang w:val="fr-CA"/>
        </w:rPr>
        <w:t xml:space="preserve">. De plus, </w:t>
      </w:r>
      <w:r>
        <w:rPr>
          <w:lang w:val="fr-CA"/>
        </w:rPr>
        <w:t>certaines lois canadiennes s’appliquent à d</w:t>
      </w:r>
      <w:r w:rsidRPr="00BC2D48">
        <w:rPr>
          <w:lang w:val="fr-CA"/>
        </w:rPr>
        <w:t xml:space="preserve">es citoyens </w:t>
      </w:r>
      <w:proofErr w:type="spellStart"/>
      <w:r w:rsidRPr="00BC2D48">
        <w:rPr>
          <w:lang w:val="fr-CA"/>
        </w:rPr>
        <w:t>non</w:t>
      </w:r>
      <w:r>
        <w:rPr>
          <w:lang w:val="fr-CA"/>
        </w:rPr>
        <w:t xml:space="preserve"> </w:t>
      </w:r>
      <w:r w:rsidRPr="00BC2D48">
        <w:rPr>
          <w:lang w:val="fr-CA"/>
        </w:rPr>
        <w:t>résidents</w:t>
      </w:r>
      <w:proofErr w:type="spellEnd"/>
      <w:r w:rsidRPr="00BC2D48">
        <w:rPr>
          <w:lang w:val="fr-CA"/>
        </w:rPr>
        <w:t xml:space="preserve"> pendant qu</w:t>
      </w:r>
      <w:r>
        <w:rPr>
          <w:lang w:val="fr-CA"/>
        </w:rPr>
        <w:t>’</w:t>
      </w:r>
      <w:r w:rsidRPr="00BC2D48">
        <w:rPr>
          <w:lang w:val="fr-CA"/>
        </w:rPr>
        <w:t>ils vivent à l</w:t>
      </w:r>
      <w:r>
        <w:rPr>
          <w:lang w:val="fr-CA"/>
        </w:rPr>
        <w:t>’</w:t>
      </w:r>
      <w:r w:rsidRPr="00BC2D48">
        <w:rPr>
          <w:lang w:val="fr-CA"/>
        </w:rPr>
        <w:t>étranger</w:t>
      </w:r>
      <w:r>
        <w:rPr>
          <w:lang w:val="fr-CA"/>
        </w:rPr>
        <w:t>;</w:t>
      </w:r>
      <w:r w:rsidRPr="00BC2D48">
        <w:rPr>
          <w:lang w:val="fr-CA"/>
        </w:rPr>
        <w:t xml:space="preserve"> </w:t>
      </w:r>
      <w:r>
        <w:rPr>
          <w:lang w:val="fr-CA"/>
        </w:rPr>
        <w:t>un grand nombre de</w:t>
      </w:r>
      <w:r w:rsidRPr="00BC2D48">
        <w:rPr>
          <w:lang w:val="fr-CA"/>
        </w:rPr>
        <w:t xml:space="preserve"> lois sont d</w:t>
      </w:r>
      <w:r>
        <w:rPr>
          <w:lang w:val="fr-CA"/>
        </w:rPr>
        <w:t>’</w:t>
      </w:r>
      <w:r w:rsidRPr="00BC2D48">
        <w:rPr>
          <w:lang w:val="fr-CA"/>
        </w:rPr>
        <w:t xml:space="preserve">application extraterritoriale et confèrent à la fois des avantages et des </w:t>
      </w:r>
      <w:r>
        <w:rPr>
          <w:lang w:val="fr-CA"/>
        </w:rPr>
        <w:t>obligations</w:t>
      </w:r>
      <w:r w:rsidRPr="00BC2D48">
        <w:rPr>
          <w:lang w:val="fr-CA"/>
        </w:rPr>
        <w:t xml:space="preserve"> aux citoyens </w:t>
      </w:r>
      <w:proofErr w:type="spellStart"/>
      <w:r w:rsidRPr="00BC2D48">
        <w:rPr>
          <w:lang w:val="fr-CA"/>
        </w:rPr>
        <w:t>non</w:t>
      </w:r>
      <w:r>
        <w:rPr>
          <w:lang w:val="fr-CA"/>
        </w:rPr>
        <w:t xml:space="preserve"> </w:t>
      </w:r>
      <w:r w:rsidRPr="00BC2D48">
        <w:rPr>
          <w:lang w:val="fr-CA"/>
        </w:rPr>
        <w:t>résidents</w:t>
      </w:r>
      <w:proofErr w:type="spellEnd"/>
      <w:r w:rsidRPr="00BC2D48">
        <w:rPr>
          <w:lang w:val="fr-CA"/>
        </w:rPr>
        <w:t>, notamment</w:t>
      </w:r>
      <w:r>
        <w:rPr>
          <w:lang w:val="fr-CA"/>
        </w:rPr>
        <w:t xml:space="preserve"> les lois relatives aux impôts, au</w:t>
      </w:r>
      <w:r w:rsidRPr="00BC2D48">
        <w:rPr>
          <w:lang w:val="fr-CA"/>
        </w:rPr>
        <w:t xml:space="preserve"> droit criminel, </w:t>
      </w:r>
      <w:r>
        <w:rPr>
          <w:lang w:val="fr-CA"/>
        </w:rPr>
        <w:t>aux mesures</w:t>
      </w:r>
      <w:r w:rsidRPr="00BC2D48">
        <w:rPr>
          <w:lang w:val="fr-CA"/>
        </w:rPr>
        <w:t xml:space="preserve"> contre la corruption à l</w:t>
      </w:r>
      <w:r>
        <w:rPr>
          <w:lang w:val="fr-CA"/>
        </w:rPr>
        <w:t>’</w:t>
      </w:r>
      <w:r w:rsidRPr="00BC2D48">
        <w:rPr>
          <w:lang w:val="fr-CA"/>
        </w:rPr>
        <w:t xml:space="preserve">étranger, </w:t>
      </w:r>
      <w:r>
        <w:rPr>
          <w:lang w:val="fr-CA"/>
        </w:rPr>
        <w:t>aux</w:t>
      </w:r>
      <w:r w:rsidRPr="00BC2D48">
        <w:rPr>
          <w:lang w:val="fr-CA"/>
        </w:rPr>
        <w:t xml:space="preserve"> prestations </w:t>
      </w:r>
      <w:r>
        <w:rPr>
          <w:lang w:val="fr-CA"/>
        </w:rPr>
        <w:t>gouvernementales</w:t>
      </w:r>
      <w:r w:rsidRPr="00BC2D48">
        <w:rPr>
          <w:lang w:val="fr-CA"/>
        </w:rPr>
        <w:t xml:space="preserve"> et </w:t>
      </w:r>
      <w:r>
        <w:rPr>
          <w:lang w:val="fr-CA"/>
        </w:rPr>
        <w:t>à</w:t>
      </w:r>
      <w:r w:rsidRPr="00BC2D48">
        <w:rPr>
          <w:lang w:val="fr-CA"/>
        </w:rPr>
        <w:t xml:space="preserve"> la citoyenneté (</w:t>
      </w:r>
      <w:r>
        <w:rPr>
          <w:lang w:val="fr-CA"/>
        </w:rPr>
        <w:t xml:space="preserve">mémoire de l’intervenante </w:t>
      </w:r>
      <w:r w:rsidRPr="00BC2D48">
        <w:rPr>
          <w:lang w:val="fr-CA"/>
        </w:rPr>
        <w:t xml:space="preserve">Canadian American Bar Association, </w:t>
      </w:r>
      <w:r>
        <w:rPr>
          <w:lang w:val="fr-CA"/>
        </w:rPr>
        <w:t>par. </w:t>
      </w:r>
      <w:r w:rsidRPr="00BC2D48">
        <w:rPr>
          <w:lang w:val="fr-CA"/>
        </w:rPr>
        <w:t>17</w:t>
      </w:r>
      <w:r>
        <w:rPr>
          <w:lang w:val="fr-CA"/>
        </w:rPr>
        <w:noBreakHyphen/>
      </w:r>
      <w:r w:rsidRPr="00BC2D48">
        <w:rPr>
          <w:lang w:val="fr-CA"/>
        </w:rPr>
        <w:t xml:space="preserve">18). </w:t>
      </w:r>
      <w:r>
        <w:rPr>
          <w:lang w:val="fr-CA"/>
        </w:rPr>
        <w:t>À titre d’exemple, u</w:t>
      </w:r>
      <w:r w:rsidRPr="00BC2D48">
        <w:rPr>
          <w:lang w:val="fr-CA"/>
        </w:rPr>
        <w:t>n citoyen canadien vivant à l</w:t>
      </w:r>
      <w:r>
        <w:rPr>
          <w:lang w:val="fr-CA"/>
        </w:rPr>
        <w:t>’</w:t>
      </w:r>
      <w:r w:rsidRPr="00BC2D48">
        <w:rPr>
          <w:lang w:val="fr-CA"/>
        </w:rPr>
        <w:t xml:space="preserve">étranger </w:t>
      </w:r>
      <w:r>
        <w:rPr>
          <w:lang w:val="fr-CA"/>
        </w:rPr>
        <w:t>grâce à un visa obtenu</w:t>
      </w:r>
      <w:r w:rsidRPr="00BC2D48">
        <w:rPr>
          <w:lang w:val="fr-CA"/>
        </w:rPr>
        <w:t xml:space="preserve"> en appl</w:t>
      </w:r>
      <w:r>
        <w:rPr>
          <w:lang w:val="fr-CA"/>
        </w:rPr>
        <w:t>ication d’un accord commercial</w:t>
      </w:r>
      <w:r w:rsidRPr="00BC2D48">
        <w:rPr>
          <w:lang w:val="fr-CA"/>
        </w:rPr>
        <w:t xml:space="preserve"> </w:t>
      </w:r>
      <w:r>
        <w:rPr>
          <w:lang w:val="fr-CA"/>
        </w:rPr>
        <w:t>po</w:t>
      </w:r>
      <w:r w:rsidRPr="00BC2D48">
        <w:rPr>
          <w:lang w:val="fr-CA"/>
        </w:rPr>
        <w:t>u</w:t>
      </w:r>
      <w:r>
        <w:rPr>
          <w:lang w:val="fr-CA"/>
        </w:rPr>
        <w:t>rrai</w:t>
      </w:r>
      <w:r w:rsidRPr="00BC2D48">
        <w:rPr>
          <w:lang w:val="fr-CA"/>
        </w:rPr>
        <w:t xml:space="preserve">t voir sa vie bouleversée </w:t>
      </w:r>
      <w:r>
        <w:rPr>
          <w:lang w:val="fr-CA"/>
        </w:rPr>
        <w:t>si cet accord était</w:t>
      </w:r>
      <w:r w:rsidRPr="00BC2D48">
        <w:rPr>
          <w:lang w:val="fr-CA"/>
        </w:rPr>
        <w:t xml:space="preserve"> renégoci</w:t>
      </w:r>
      <w:r>
        <w:rPr>
          <w:lang w:val="fr-CA"/>
        </w:rPr>
        <w:t>é</w:t>
      </w:r>
      <w:r w:rsidRPr="00BC2D48">
        <w:rPr>
          <w:lang w:val="fr-CA"/>
        </w:rPr>
        <w:t>. L</w:t>
      </w:r>
      <w:r>
        <w:rPr>
          <w:lang w:val="fr-CA"/>
        </w:rPr>
        <w:t>es</w:t>
      </w:r>
      <w:r w:rsidRPr="00BC2D48">
        <w:rPr>
          <w:lang w:val="fr-CA"/>
        </w:rPr>
        <w:t xml:space="preserve"> politique</w:t>
      </w:r>
      <w:r>
        <w:rPr>
          <w:lang w:val="fr-CA"/>
        </w:rPr>
        <w:t>s</w:t>
      </w:r>
      <w:r w:rsidRPr="00BC2D48">
        <w:rPr>
          <w:lang w:val="fr-CA"/>
        </w:rPr>
        <w:t xml:space="preserve"> du gouvernement peu</w:t>
      </w:r>
      <w:r>
        <w:rPr>
          <w:lang w:val="fr-CA"/>
        </w:rPr>
        <w:t>ven</w:t>
      </w:r>
      <w:r w:rsidRPr="00BC2D48">
        <w:rPr>
          <w:lang w:val="fr-CA"/>
        </w:rPr>
        <w:t xml:space="preserve">t en outre avoir des conséquences </w:t>
      </w:r>
      <w:r>
        <w:rPr>
          <w:lang w:val="fr-CA"/>
        </w:rPr>
        <w:t xml:space="preserve">à l’échelle </w:t>
      </w:r>
      <w:r w:rsidRPr="00BC2D48">
        <w:rPr>
          <w:lang w:val="fr-CA"/>
        </w:rPr>
        <w:t xml:space="preserve">mondiale </w:t>
      </w:r>
      <w:r>
        <w:rPr>
          <w:lang w:val="fr-CA"/>
        </w:rPr>
        <w:t>—</w:t>
      </w:r>
      <w:r w:rsidRPr="00BC2D48">
        <w:rPr>
          <w:lang w:val="fr-CA"/>
        </w:rPr>
        <w:t xml:space="preserve"> par exemple, les politiques militaires, environnementales et commerciales du gouvernement ont des incidences qui vont bien au</w:t>
      </w:r>
      <w:r>
        <w:rPr>
          <w:lang w:val="fr-CA"/>
        </w:rPr>
        <w:noBreakHyphen/>
      </w:r>
      <w:r w:rsidRPr="00BC2D48">
        <w:rPr>
          <w:lang w:val="fr-CA"/>
        </w:rPr>
        <w:t xml:space="preserve">delà des frontières du Canada </w:t>
      </w:r>
      <w:r>
        <w:rPr>
          <w:lang w:val="fr-CA"/>
        </w:rPr>
        <w:t>—</w:t>
      </w:r>
      <w:r w:rsidRPr="00BC2D48">
        <w:rPr>
          <w:lang w:val="fr-CA"/>
        </w:rPr>
        <w:t xml:space="preserve"> et il </w:t>
      </w:r>
      <w:r>
        <w:rPr>
          <w:lang w:val="fr-CA"/>
        </w:rPr>
        <w:t>est possible</w:t>
      </w:r>
      <w:r w:rsidRPr="00BC2D48">
        <w:rPr>
          <w:lang w:val="fr-CA"/>
        </w:rPr>
        <w:t xml:space="preserve"> que des citoyens </w:t>
      </w:r>
      <w:proofErr w:type="spellStart"/>
      <w:r w:rsidRPr="00BC2D48">
        <w:rPr>
          <w:lang w:val="fr-CA"/>
        </w:rPr>
        <w:t>non</w:t>
      </w:r>
      <w:r>
        <w:rPr>
          <w:lang w:val="fr-CA"/>
        </w:rPr>
        <w:t xml:space="preserve"> </w:t>
      </w:r>
      <w:r w:rsidRPr="00BC2D48">
        <w:rPr>
          <w:lang w:val="fr-CA"/>
        </w:rPr>
        <w:t>résidents</w:t>
      </w:r>
      <w:proofErr w:type="spellEnd"/>
      <w:r w:rsidRPr="00BC2D48">
        <w:rPr>
          <w:lang w:val="fr-CA"/>
        </w:rPr>
        <w:t xml:space="preserve"> soient</w:t>
      </w:r>
      <w:r>
        <w:rPr>
          <w:lang w:val="fr-CA"/>
        </w:rPr>
        <w:t xml:space="preserve"> aussi</w:t>
      </w:r>
      <w:r w:rsidRPr="00BC2D48">
        <w:rPr>
          <w:lang w:val="fr-CA"/>
        </w:rPr>
        <w:t xml:space="preserve"> très préoccupés par </w:t>
      </w:r>
      <w:r>
        <w:rPr>
          <w:lang w:val="fr-CA"/>
        </w:rPr>
        <w:t>de t</w:t>
      </w:r>
      <w:r w:rsidRPr="00BC2D48">
        <w:rPr>
          <w:lang w:val="fr-CA"/>
        </w:rPr>
        <w:t>e</w:t>
      </w:r>
      <w:r>
        <w:rPr>
          <w:lang w:val="fr-CA"/>
        </w:rPr>
        <w:t>lle</w:t>
      </w:r>
      <w:r w:rsidRPr="00BC2D48">
        <w:rPr>
          <w:lang w:val="fr-CA"/>
        </w:rPr>
        <w:t xml:space="preserve">s questions. Enfin, </w:t>
      </w:r>
      <w:r>
        <w:rPr>
          <w:lang w:val="fr-CA"/>
        </w:rPr>
        <w:t>il importe de souligner que</w:t>
      </w:r>
      <w:r w:rsidRPr="00BC2D48">
        <w:rPr>
          <w:lang w:val="fr-CA"/>
        </w:rPr>
        <w:t xml:space="preserve"> le </w:t>
      </w:r>
      <w:r>
        <w:rPr>
          <w:lang w:val="fr-CA"/>
        </w:rPr>
        <w:t>législateur</w:t>
      </w:r>
      <w:r w:rsidRPr="00BC2D48">
        <w:rPr>
          <w:lang w:val="fr-CA"/>
        </w:rPr>
        <w:t xml:space="preserve"> </w:t>
      </w:r>
      <w:r>
        <w:rPr>
          <w:lang w:val="fr-CA"/>
        </w:rPr>
        <w:t>peut modifier les lois de sa propre initiative</w:t>
      </w:r>
      <w:r w:rsidRPr="00BC2D48">
        <w:rPr>
          <w:lang w:val="fr-CA"/>
        </w:rPr>
        <w:t xml:space="preserve"> et donc </w:t>
      </w:r>
      <w:r>
        <w:rPr>
          <w:lang w:val="fr-CA"/>
        </w:rPr>
        <w:t>changer</w:t>
      </w:r>
      <w:r w:rsidRPr="00BC2D48">
        <w:rPr>
          <w:lang w:val="fr-CA"/>
        </w:rPr>
        <w:t xml:space="preserve"> l</w:t>
      </w:r>
      <w:r>
        <w:rPr>
          <w:lang w:val="fr-CA"/>
        </w:rPr>
        <w:t>a mesure dans laquelle</w:t>
      </w:r>
      <w:r w:rsidRPr="00BC2D48">
        <w:rPr>
          <w:lang w:val="fr-CA"/>
        </w:rPr>
        <w:t xml:space="preserve"> les lois canadiennes </w:t>
      </w:r>
      <w:r>
        <w:rPr>
          <w:lang w:val="fr-CA"/>
        </w:rPr>
        <w:t xml:space="preserve">s’appliquent aux </w:t>
      </w:r>
      <w:r w:rsidRPr="00BC2D48">
        <w:rPr>
          <w:lang w:val="fr-CA"/>
        </w:rPr>
        <w:t xml:space="preserve">citoyens </w:t>
      </w:r>
      <w:proofErr w:type="spellStart"/>
      <w:r w:rsidRPr="00BC2D48">
        <w:rPr>
          <w:lang w:val="fr-CA"/>
        </w:rPr>
        <w:t>non</w:t>
      </w:r>
      <w:r>
        <w:rPr>
          <w:lang w:val="fr-CA"/>
        </w:rPr>
        <w:t xml:space="preserve"> résidents</w:t>
      </w:r>
      <w:proofErr w:type="spellEnd"/>
      <w:r w:rsidRPr="00BC2D48">
        <w:rPr>
          <w:lang w:val="fr-CA"/>
        </w:rPr>
        <w:t xml:space="preserve">. La thèse du </w:t>
      </w:r>
      <w:r>
        <w:rPr>
          <w:lang w:val="fr-CA"/>
        </w:rPr>
        <w:t>PGC</w:t>
      </w:r>
      <w:r w:rsidRPr="00BC2D48">
        <w:rPr>
          <w:lang w:val="fr-CA"/>
        </w:rPr>
        <w:t xml:space="preserve"> aurait pour effet de rendre le droit constitutionnel de voter tributaire de choix de politique changeants. Une telle interprétation ne saurait être correcte.</w:t>
      </w:r>
    </w:p>
    <w:p w:rsidR="001244E7" w:rsidRDefault="001244E7" w:rsidP="001244E7">
      <w:pPr>
        <w:pStyle w:val="ParaNoNdepar-AltN"/>
        <w:tabs>
          <w:tab w:val="clear" w:pos="1152"/>
          <w:tab w:val="left" w:pos="1166"/>
        </w:tabs>
        <w:rPr>
          <w:lang w:val="fr-CA"/>
        </w:rPr>
      </w:pPr>
      <w:r w:rsidRPr="00AD796F">
        <w:rPr>
          <w:lang w:val="fr-CA"/>
        </w:rPr>
        <w:t xml:space="preserve">Troisièmement, </w:t>
      </w:r>
      <w:r>
        <w:rPr>
          <w:lang w:val="fr-CA"/>
        </w:rPr>
        <w:t xml:space="preserve">poussée à son extrême, </w:t>
      </w:r>
      <w:r w:rsidRPr="00AD796F">
        <w:rPr>
          <w:lang w:val="fr-CA"/>
        </w:rPr>
        <w:t xml:space="preserve">la préoccupation du </w:t>
      </w:r>
      <w:r>
        <w:rPr>
          <w:lang w:val="fr-CA"/>
        </w:rPr>
        <w:t>PGC</w:t>
      </w:r>
      <w:r w:rsidRPr="00AD796F">
        <w:rPr>
          <w:lang w:val="fr-CA"/>
        </w:rPr>
        <w:t xml:space="preserve"> à l</w:t>
      </w:r>
      <w:r>
        <w:rPr>
          <w:lang w:val="fr-CA"/>
        </w:rPr>
        <w:t>’</w:t>
      </w:r>
      <w:r w:rsidRPr="00AD796F">
        <w:rPr>
          <w:lang w:val="fr-CA"/>
        </w:rPr>
        <w:t>égard de l</w:t>
      </w:r>
      <w:r>
        <w:rPr>
          <w:lang w:val="fr-CA"/>
        </w:rPr>
        <w:t>’</w:t>
      </w:r>
      <w:r w:rsidRPr="00AD796F">
        <w:rPr>
          <w:lang w:val="fr-CA"/>
        </w:rPr>
        <w:t xml:space="preserve">équité électorale </w:t>
      </w:r>
      <w:r>
        <w:rPr>
          <w:lang w:val="fr-CA"/>
        </w:rPr>
        <w:t>supposerait que chaque</w:t>
      </w:r>
      <w:r w:rsidRPr="00AD796F">
        <w:rPr>
          <w:lang w:val="fr-CA"/>
        </w:rPr>
        <w:t xml:space="preserve"> citoyen non</w:t>
      </w:r>
      <w:r>
        <w:rPr>
          <w:lang w:val="fr-CA"/>
        </w:rPr>
        <w:t xml:space="preserve"> </w:t>
      </w:r>
      <w:r w:rsidRPr="00AD796F">
        <w:rPr>
          <w:lang w:val="fr-CA"/>
        </w:rPr>
        <w:t>résident</w:t>
      </w:r>
      <w:r>
        <w:rPr>
          <w:lang w:val="fr-CA"/>
        </w:rPr>
        <w:t>, sans exception,</w:t>
      </w:r>
      <w:r w:rsidRPr="00AD796F">
        <w:rPr>
          <w:lang w:val="fr-CA"/>
        </w:rPr>
        <w:t xml:space="preserve"> devrait être em</w:t>
      </w:r>
      <w:r>
        <w:rPr>
          <w:lang w:val="fr-CA"/>
        </w:rPr>
        <w:t>pêché de voter dès qu’il établi</w:t>
      </w:r>
      <w:r w:rsidRPr="00AD796F">
        <w:rPr>
          <w:lang w:val="fr-CA"/>
        </w:rPr>
        <w:t xml:space="preserve">t sa </w:t>
      </w:r>
      <w:r>
        <w:rPr>
          <w:lang w:val="fr-CA"/>
        </w:rPr>
        <w:t>résidence à l’extérieur du Canada</w:t>
      </w:r>
      <w:r w:rsidRPr="00AD796F">
        <w:rPr>
          <w:lang w:val="fr-CA"/>
        </w:rPr>
        <w:t>. Si l</w:t>
      </w:r>
      <w:r>
        <w:rPr>
          <w:lang w:val="fr-CA"/>
        </w:rPr>
        <w:t xml:space="preserve">a possibilité que les électeurs </w:t>
      </w:r>
      <w:proofErr w:type="spellStart"/>
      <w:r w:rsidRPr="00AD796F">
        <w:rPr>
          <w:lang w:val="fr-CA"/>
        </w:rPr>
        <w:t>non</w:t>
      </w:r>
      <w:r>
        <w:rPr>
          <w:lang w:val="fr-CA"/>
        </w:rPr>
        <w:t xml:space="preserve"> </w:t>
      </w:r>
      <w:r w:rsidRPr="00AD796F">
        <w:rPr>
          <w:lang w:val="fr-CA"/>
        </w:rPr>
        <w:t>résidents</w:t>
      </w:r>
      <w:proofErr w:type="spellEnd"/>
      <w:r w:rsidRPr="00AD796F">
        <w:rPr>
          <w:lang w:val="fr-CA"/>
        </w:rPr>
        <w:t xml:space="preserve"> ne so</w:t>
      </w:r>
      <w:r>
        <w:rPr>
          <w:lang w:val="fr-CA"/>
        </w:rPr>
        <w:t>ie</w:t>
      </w:r>
      <w:r w:rsidRPr="00AD796F">
        <w:rPr>
          <w:lang w:val="fr-CA"/>
        </w:rPr>
        <w:t xml:space="preserve">nt pas touchés par les lois </w:t>
      </w:r>
      <w:r w:rsidRPr="00AD796F">
        <w:rPr>
          <w:lang w:val="fr-CA"/>
        </w:rPr>
        <w:lastRenderedPageBreak/>
        <w:t>canadiennes</w:t>
      </w:r>
      <w:r>
        <w:rPr>
          <w:lang w:val="fr-CA"/>
        </w:rPr>
        <w:t xml:space="preserve"> dans une mesure suffisante était une véritable menace pour l’</w:t>
      </w:r>
      <w:r w:rsidRPr="00AD796F">
        <w:rPr>
          <w:lang w:val="fr-CA"/>
        </w:rPr>
        <w:t>équité électorale</w:t>
      </w:r>
      <w:r>
        <w:rPr>
          <w:lang w:val="fr-CA"/>
        </w:rPr>
        <w:t>,</w:t>
      </w:r>
      <w:r w:rsidRPr="00AD796F">
        <w:rPr>
          <w:lang w:val="fr-CA"/>
        </w:rPr>
        <w:t xml:space="preserve"> une telle menace se manifesterait dès que ces électeurs commencent à résider à l</w:t>
      </w:r>
      <w:r>
        <w:rPr>
          <w:lang w:val="fr-CA"/>
        </w:rPr>
        <w:t>’</w:t>
      </w:r>
      <w:r w:rsidRPr="00AD796F">
        <w:rPr>
          <w:lang w:val="fr-CA"/>
        </w:rPr>
        <w:t xml:space="preserve">étranger. Le fait que la loi </w:t>
      </w:r>
      <w:r>
        <w:rPr>
          <w:lang w:val="fr-CA"/>
        </w:rPr>
        <w:t>prévoit</w:t>
      </w:r>
      <w:r w:rsidRPr="00AD796F">
        <w:rPr>
          <w:lang w:val="fr-CA"/>
        </w:rPr>
        <w:t xml:space="preserve"> une période de temps avant </w:t>
      </w:r>
      <w:r>
        <w:rPr>
          <w:lang w:val="fr-CA"/>
        </w:rPr>
        <w:t>que</w:t>
      </w:r>
      <w:r w:rsidRPr="00AD796F">
        <w:rPr>
          <w:lang w:val="fr-CA"/>
        </w:rPr>
        <w:t xml:space="preserve"> les citoyens </w:t>
      </w:r>
      <w:proofErr w:type="spellStart"/>
      <w:r w:rsidRPr="00AD796F">
        <w:rPr>
          <w:lang w:val="fr-CA"/>
        </w:rPr>
        <w:t>non</w:t>
      </w:r>
      <w:r>
        <w:rPr>
          <w:lang w:val="fr-CA"/>
        </w:rPr>
        <w:t xml:space="preserve"> </w:t>
      </w:r>
      <w:r w:rsidRPr="00AD796F">
        <w:rPr>
          <w:lang w:val="fr-CA"/>
        </w:rPr>
        <w:t>résidents</w:t>
      </w:r>
      <w:proofErr w:type="spellEnd"/>
      <w:r>
        <w:rPr>
          <w:lang w:val="fr-CA"/>
        </w:rPr>
        <w:t xml:space="preserve"> soient privés</w:t>
      </w:r>
      <w:r w:rsidRPr="00AD796F">
        <w:rPr>
          <w:lang w:val="fr-CA"/>
        </w:rPr>
        <w:t xml:space="preserve"> du droit de vote </w:t>
      </w:r>
      <w:r>
        <w:rPr>
          <w:lang w:val="fr-CA"/>
        </w:rPr>
        <w:t>montre</w:t>
      </w:r>
      <w:r w:rsidRPr="00AD796F">
        <w:rPr>
          <w:lang w:val="fr-CA"/>
        </w:rPr>
        <w:t xml:space="preserve"> qu</w:t>
      </w:r>
      <w:r>
        <w:rPr>
          <w:lang w:val="fr-CA"/>
        </w:rPr>
        <w:t>e cette</w:t>
      </w:r>
      <w:r w:rsidRPr="00AD796F">
        <w:rPr>
          <w:lang w:val="fr-CA"/>
        </w:rPr>
        <w:t xml:space="preserve"> préoccupation </w:t>
      </w:r>
      <w:r>
        <w:rPr>
          <w:lang w:val="fr-CA"/>
        </w:rPr>
        <w:t>relative à l’</w:t>
      </w:r>
      <w:r w:rsidRPr="00AD796F">
        <w:rPr>
          <w:lang w:val="fr-CA"/>
        </w:rPr>
        <w:t xml:space="preserve">équité électorale </w:t>
      </w:r>
      <w:r>
        <w:rPr>
          <w:lang w:val="fr-CA"/>
        </w:rPr>
        <w:t>n’est pas crédible</w:t>
      </w:r>
      <w:r w:rsidRPr="00AD796F">
        <w:rPr>
          <w:lang w:val="fr-CA"/>
        </w:rPr>
        <w:t xml:space="preserve">. </w:t>
      </w:r>
    </w:p>
    <w:p w:rsidR="001244E7" w:rsidRPr="00AD796F" w:rsidRDefault="001244E7" w:rsidP="001244E7">
      <w:pPr>
        <w:pStyle w:val="ParaNoNdepar-AltN"/>
        <w:tabs>
          <w:tab w:val="clear" w:pos="1152"/>
          <w:tab w:val="left" w:pos="1166"/>
        </w:tabs>
        <w:rPr>
          <w:lang w:val="fr-CA"/>
        </w:rPr>
      </w:pPr>
      <w:r>
        <w:rPr>
          <w:lang w:val="fr-CA"/>
        </w:rPr>
        <w:t>En b</w:t>
      </w:r>
      <w:r w:rsidRPr="00AD796F">
        <w:rPr>
          <w:lang w:val="fr-CA"/>
        </w:rPr>
        <w:t>ref, la limite de cinq ans ne saurait être qualifiée d</w:t>
      </w:r>
      <w:r>
        <w:rPr>
          <w:lang w:val="fr-CA"/>
        </w:rPr>
        <w:t>’atteinte minimale</w:t>
      </w:r>
      <w:r w:rsidRPr="00AD796F">
        <w:rPr>
          <w:lang w:val="fr-CA"/>
        </w:rPr>
        <w:t xml:space="preserve"> car elle restreint les droits de nombreux citoyens </w:t>
      </w:r>
      <w:proofErr w:type="spellStart"/>
      <w:r w:rsidRPr="00AD796F">
        <w:rPr>
          <w:lang w:val="fr-CA"/>
        </w:rPr>
        <w:t>non</w:t>
      </w:r>
      <w:r>
        <w:rPr>
          <w:lang w:val="fr-CA"/>
        </w:rPr>
        <w:t xml:space="preserve"> </w:t>
      </w:r>
      <w:r w:rsidRPr="00AD796F">
        <w:rPr>
          <w:lang w:val="fr-CA"/>
        </w:rPr>
        <w:t>résidents</w:t>
      </w:r>
      <w:proofErr w:type="spellEnd"/>
      <w:r w:rsidRPr="00AD796F">
        <w:rPr>
          <w:lang w:val="fr-CA"/>
        </w:rPr>
        <w:t xml:space="preserve"> qui maintiennent des liens profonds avec le Canada et de</w:t>
      </w:r>
      <w:r>
        <w:rPr>
          <w:lang w:val="fr-CA"/>
        </w:rPr>
        <w:t xml:space="preserve"> nombreux citoyens sur lesquels les lois canadiennes continuent d’avoir une incidence importante. Considérée sous cet angle, la restriction</w:t>
      </w:r>
      <w:r w:rsidRPr="00AD796F">
        <w:rPr>
          <w:lang w:val="fr-CA"/>
        </w:rPr>
        <w:t xml:space="preserve"> aur</w:t>
      </w:r>
      <w:r>
        <w:rPr>
          <w:lang w:val="fr-CA"/>
        </w:rPr>
        <w:t>a</w:t>
      </w:r>
      <w:r w:rsidRPr="00AD796F">
        <w:rPr>
          <w:lang w:val="fr-CA"/>
        </w:rPr>
        <w:t xml:space="preserve"> pour effet, dans bien des cas, de miner</w:t>
      </w:r>
      <w:r>
        <w:rPr>
          <w:lang w:val="fr-CA"/>
        </w:rPr>
        <w:t xml:space="preserve"> plutôt que de promouvoir l’objectif sous</w:t>
      </w:r>
      <w:r>
        <w:rPr>
          <w:lang w:val="fr-CA"/>
        </w:rPr>
        <w:noBreakHyphen/>
        <w:t>jacent</w:t>
      </w:r>
      <w:r w:rsidRPr="00AD796F">
        <w:rPr>
          <w:lang w:val="fr-CA"/>
        </w:rPr>
        <w:t xml:space="preserve"> d</w:t>
      </w:r>
      <w:r>
        <w:rPr>
          <w:lang w:val="fr-CA"/>
        </w:rPr>
        <w:t>e l’</w:t>
      </w:r>
      <w:r w:rsidRPr="00AD796F">
        <w:rPr>
          <w:lang w:val="fr-CA"/>
        </w:rPr>
        <w:t xml:space="preserve">équité électorale que </w:t>
      </w:r>
      <w:r>
        <w:rPr>
          <w:lang w:val="fr-CA"/>
        </w:rPr>
        <w:t>fait valoir</w:t>
      </w:r>
      <w:r w:rsidRPr="00AD796F">
        <w:rPr>
          <w:lang w:val="fr-CA"/>
        </w:rPr>
        <w:t xml:space="preserve"> le </w:t>
      </w:r>
      <w:r>
        <w:rPr>
          <w:lang w:val="fr-CA"/>
        </w:rPr>
        <w:t>PGC</w:t>
      </w:r>
      <w:r w:rsidRPr="00AD796F">
        <w:rPr>
          <w:lang w:val="fr-CA"/>
        </w:rPr>
        <w:t>.</w:t>
      </w:r>
      <w:r>
        <w:rPr>
          <w:lang w:val="fr-CA"/>
        </w:rPr>
        <w:t xml:space="preserve"> On soutient aussi que la limite</w:t>
      </w:r>
      <w:r w:rsidRPr="00AD796F">
        <w:rPr>
          <w:lang w:val="fr-CA"/>
        </w:rPr>
        <w:t xml:space="preserve"> de cinq ans </w:t>
      </w:r>
      <w:r>
        <w:rPr>
          <w:lang w:val="fr-CA"/>
        </w:rPr>
        <w:t>constitue une</w:t>
      </w:r>
      <w:r w:rsidRPr="00AD796F">
        <w:rPr>
          <w:lang w:val="fr-CA"/>
        </w:rPr>
        <w:t xml:space="preserve"> </w:t>
      </w:r>
      <w:r>
        <w:rPr>
          <w:lang w:val="fr-CA"/>
        </w:rPr>
        <w:t>atteinte minimale</w:t>
      </w:r>
      <w:r w:rsidRPr="00AD796F">
        <w:rPr>
          <w:lang w:val="fr-CA"/>
        </w:rPr>
        <w:t xml:space="preserve"> puisqu</w:t>
      </w:r>
      <w:r>
        <w:rPr>
          <w:lang w:val="fr-CA"/>
        </w:rPr>
        <w:t>’</w:t>
      </w:r>
      <w:r w:rsidRPr="00AD796F">
        <w:rPr>
          <w:lang w:val="fr-CA"/>
        </w:rPr>
        <w:t>elle se situe à l</w:t>
      </w:r>
      <w:r>
        <w:rPr>
          <w:lang w:val="fr-CA"/>
        </w:rPr>
        <w:t>’</w:t>
      </w:r>
      <w:r w:rsidRPr="00AD796F">
        <w:rPr>
          <w:lang w:val="fr-CA"/>
        </w:rPr>
        <w:t xml:space="preserve">intérieur de la gamme des restrictions du droit de vote </w:t>
      </w:r>
      <w:r>
        <w:rPr>
          <w:lang w:val="fr-CA"/>
        </w:rPr>
        <w:t xml:space="preserve">externes </w:t>
      </w:r>
      <w:r w:rsidRPr="00AD796F">
        <w:rPr>
          <w:lang w:val="fr-CA"/>
        </w:rPr>
        <w:t xml:space="preserve">établies </w:t>
      </w:r>
      <w:r>
        <w:rPr>
          <w:lang w:val="fr-CA"/>
        </w:rPr>
        <w:t>dans</w:t>
      </w:r>
      <w:r w:rsidRPr="00AD796F">
        <w:rPr>
          <w:lang w:val="fr-CA"/>
        </w:rPr>
        <w:t xml:space="preserve"> des pays comme l</w:t>
      </w:r>
      <w:r>
        <w:rPr>
          <w:lang w:val="fr-CA"/>
        </w:rPr>
        <w:t>’</w:t>
      </w:r>
      <w:r w:rsidRPr="00AD796F">
        <w:rPr>
          <w:lang w:val="fr-CA"/>
        </w:rPr>
        <w:t>Au</w:t>
      </w:r>
      <w:r>
        <w:rPr>
          <w:lang w:val="fr-CA"/>
        </w:rPr>
        <w:t>stralie et la Nouvelle</w:t>
      </w:r>
      <w:r>
        <w:rPr>
          <w:lang w:val="fr-CA"/>
        </w:rPr>
        <w:noBreakHyphen/>
        <w:t>Zélande</w:t>
      </w:r>
      <w:r w:rsidRPr="00AD796F">
        <w:rPr>
          <w:lang w:val="fr-CA"/>
        </w:rPr>
        <w:t>. Pour les motifs qui précèdent, j</w:t>
      </w:r>
      <w:r>
        <w:rPr>
          <w:lang w:val="fr-CA"/>
        </w:rPr>
        <w:t>’</w:t>
      </w:r>
      <w:r w:rsidRPr="00AD796F">
        <w:rPr>
          <w:lang w:val="fr-CA"/>
        </w:rPr>
        <w:t>accorde peu d</w:t>
      </w:r>
      <w:r>
        <w:rPr>
          <w:lang w:val="fr-CA"/>
        </w:rPr>
        <w:t>’</w:t>
      </w:r>
      <w:r w:rsidRPr="00AD796F">
        <w:rPr>
          <w:lang w:val="fr-CA"/>
        </w:rPr>
        <w:t>importance aux compara</w:t>
      </w:r>
      <w:r>
        <w:rPr>
          <w:lang w:val="fr-CA"/>
        </w:rPr>
        <w:t>isons avec d’autres pays en vue d’établir si la mesure législative en cause est</w:t>
      </w:r>
      <w:r w:rsidRPr="00AD796F">
        <w:rPr>
          <w:lang w:val="fr-CA"/>
        </w:rPr>
        <w:t xml:space="preserve"> constitutionn</w:t>
      </w:r>
      <w:r>
        <w:rPr>
          <w:lang w:val="fr-CA"/>
        </w:rPr>
        <w:t>el</w:t>
      </w:r>
      <w:r w:rsidRPr="00AD796F">
        <w:rPr>
          <w:lang w:val="fr-CA"/>
        </w:rPr>
        <w:t>l</w:t>
      </w:r>
      <w:r>
        <w:rPr>
          <w:lang w:val="fr-CA"/>
        </w:rPr>
        <w:t>e</w:t>
      </w:r>
      <w:r w:rsidRPr="00AD796F">
        <w:rPr>
          <w:lang w:val="fr-CA"/>
        </w:rPr>
        <w:t xml:space="preserve">. Je </w:t>
      </w:r>
      <w:r>
        <w:rPr>
          <w:lang w:val="fr-CA"/>
        </w:rPr>
        <w:t>ferais simplement observer que de tell</w:t>
      </w:r>
      <w:r w:rsidRPr="00AD796F">
        <w:rPr>
          <w:lang w:val="fr-CA"/>
        </w:rPr>
        <w:t>es comparaisons sont de peu d</w:t>
      </w:r>
      <w:r>
        <w:rPr>
          <w:lang w:val="fr-CA"/>
        </w:rPr>
        <w:t>’</w:t>
      </w:r>
      <w:r w:rsidRPr="00AD796F">
        <w:rPr>
          <w:lang w:val="fr-CA"/>
        </w:rPr>
        <w:t xml:space="preserve">utilité de toute façon. </w:t>
      </w:r>
      <w:r>
        <w:rPr>
          <w:lang w:val="fr-CA"/>
        </w:rPr>
        <w:t>À titre d’</w:t>
      </w:r>
      <w:r w:rsidRPr="00AD796F">
        <w:rPr>
          <w:lang w:val="fr-CA"/>
        </w:rPr>
        <w:t>exemple, l</w:t>
      </w:r>
      <w:r>
        <w:rPr>
          <w:lang w:val="fr-CA"/>
        </w:rPr>
        <w:t>a limite qu’impose le</w:t>
      </w:r>
      <w:r w:rsidRPr="00AD796F">
        <w:rPr>
          <w:lang w:val="fr-CA"/>
        </w:rPr>
        <w:t xml:space="preserve"> Royaume</w:t>
      </w:r>
      <w:r>
        <w:rPr>
          <w:lang w:val="fr-CA"/>
        </w:rPr>
        <w:noBreakHyphen/>
      </w:r>
      <w:r w:rsidRPr="00AD796F">
        <w:rPr>
          <w:lang w:val="fr-CA"/>
        </w:rPr>
        <w:t xml:space="preserve">Uni </w:t>
      </w:r>
      <w:r>
        <w:rPr>
          <w:lang w:val="fr-CA"/>
        </w:rPr>
        <w:t>sur le</w:t>
      </w:r>
      <w:r w:rsidRPr="00AD796F">
        <w:rPr>
          <w:lang w:val="fr-CA"/>
        </w:rPr>
        <w:t xml:space="preserve"> droit de vote de ses citoyens </w:t>
      </w:r>
      <w:proofErr w:type="spellStart"/>
      <w:r w:rsidRPr="00AD796F">
        <w:rPr>
          <w:lang w:val="fr-CA"/>
        </w:rPr>
        <w:t>non</w:t>
      </w:r>
      <w:r>
        <w:rPr>
          <w:lang w:val="fr-CA"/>
        </w:rPr>
        <w:t xml:space="preserve"> </w:t>
      </w:r>
      <w:r w:rsidRPr="00AD796F">
        <w:rPr>
          <w:lang w:val="fr-CA"/>
        </w:rPr>
        <w:t>résidents</w:t>
      </w:r>
      <w:proofErr w:type="spellEnd"/>
      <w:r>
        <w:rPr>
          <w:lang w:val="fr-CA"/>
        </w:rPr>
        <w:t xml:space="preserve"> prend effet lorsqu’ils sont absents du pays depuis 15 ans</w:t>
      </w:r>
      <w:r w:rsidRPr="00AD796F">
        <w:rPr>
          <w:lang w:val="fr-CA"/>
        </w:rPr>
        <w:t xml:space="preserve">. Qui plus </w:t>
      </w:r>
      <w:r>
        <w:rPr>
          <w:lang w:val="fr-CA"/>
        </w:rPr>
        <w:t>est, les limites au droit de</w:t>
      </w:r>
      <w:r w:rsidRPr="00AD796F">
        <w:rPr>
          <w:lang w:val="fr-CA"/>
        </w:rPr>
        <w:t xml:space="preserve"> vote des non</w:t>
      </w:r>
      <w:r>
        <w:rPr>
          <w:lang w:val="fr-CA"/>
        </w:rPr>
        <w:noBreakHyphen/>
      </w:r>
      <w:r w:rsidRPr="00AD796F">
        <w:rPr>
          <w:lang w:val="fr-CA"/>
        </w:rPr>
        <w:t xml:space="preserve">résidents en </w:t>
      </w:r>
      <w:r>
        <w:rPr>
          <w:lang w:val="fr-CA"/>
        </w:rPr>
        <w:t>Australie et</w:t>
      </w:r>
      <w:r w:rsidRPr="00AD796F">
        <w:rPr>
          <w:lang w:val="fr-CA"/>
        </w:rPr>
        <w:t xml:space="preserve"> en Nouvelle</w:t>
      </w:r>
      <w:r>
        <w:rPr>
          <w:lang w:val="fr-CA"/>
        </w:rPr>
        <w:noBreakHyphen/>
      </w:r>
      <w:r w:rsidRPr="00AD796F">
        <w:rPr>
          <w:lang w:val="fr-CA"/>
        </w:rPr>
        <w:t>Zélande</w:t>
      </w:r>
      <w:r>
        <w:rPr>
          <w:lang w:val="fr-CA"/>
        </w:rPr>
        <w:t>, qui sont respectivement de six et trois ans,</w:t>
      </w:r>
      <w:r w:rsidRPr="00AD796F">
        <w:rPr>
          <w:lang w:val="fr-CA"/>
        </w:rPr>
        <w:t xml:space="preserve"> sont de fait beaucoup moins rigoureus</w:t>
      </w:r>
      <w:r>
        <w:rPr>
          <w:lang w:val="fr-CA"/>
        </w:rPr>
        <w:t>es que la limite de cinq an</w:t>
      </w:r>
      <w:r w:rsidRPr="00AD796F">
        <w:rPr>
          <w:lang w:val="fr-CA"/>
        </w:rPr>
        <w:t>s en l</w:t>
      </w:r>
      <w:r>
        <w:rPr>
          <w:lang w:val="fr-CA"/>
        </w:rPr>
        <w:t>’</w:t>
      </w:r>
      <w:r w:rsidRPr="00AD796F">
        <w:rPr>
          <w:lang w:val="fr-CA"/>
        </w:rPr>
        <w:t>espèce</w:t>
      </w:r>
      <w:r>
        <w:rPr>
          <w:lang w:val="fr-CA"/>
        </w:rPr>
        <w:t> :</w:t>
      </w:r>
      <w:r w:rsidRPr="00AD796F">
        <w:rPr>
          <w:lang w:val="fr-CA"/>
        </w:rPr>
        <w:t xml:space="preserve"> </w:t>
      </w:r>
      <w:r>
        <w:rPr>
          <w:lang w:val="fr-CA"/>
        </w:rPr>
        <w:t xml:space="preserve">en Australie, la période pendant laquelle </w:t>
      </w:r>
      <w:r w:rsidRPr="00AD796F">
        <w:rPr>
          <w:lang w:val="fr-CA"/>
        </w:rPr>
        <w:t>l</w:t>
      </w:r>
      <w:r>
        <w:rPr>
          <w:lang w:val="fr-CA"/>
        </w:rPr>
        <w:t xml:space="preserve">’électeur non résident peut exercer </w:t>
      </w:r>
      <w:r>
        <w:rPr>
          <w:lang w:val="fr-CA"/>
        </w:rPr>
        <w:lastRenderedPageBreak/>
        <w:t>son droit de vote</w:t>
      </w:r>
      <w:r w:rsidRPr="00AD796F">
        <w:rPr>
          <w:lang w:val="fr-CA"/>
        </w:rPr>
        <w:t xml:space="preserve"> peut être prorogée indéfiniment sur demande</w:t>
      </w:r>
      <w:r>
        <w:rPr>
          <w:lang w:val="fr-CA"/>
        </w:rPr>
        <w:t>,</w:t>
      </w:r>
      <w:r w:rsidRPr="00AD796F">
        <w:rPr>
          <w:lang w:val="fr-CA"/>
        </w:rPr>
        <w:t xml:space="preserve"> </w:t>
      </w:r>
      <w:r>
        <w:rPr>
          <w:lang w:val="fr-CA"/>
        </w:rPr>
        <w:t>alors que</w:t>
      </w:r>
      <w:r w:rsidRPr="00AD796F">
        <w:rPr>
          <w:lang w:val="fr-CA"/>
        </w:rPr>
        <w:t xml:space="preserve"> la </w:t>
      </w:r>
      <w:r>
        <w:rPr>
          <w:lang w:val="fr-CA"/>
        </w:rPr>
        <w:t>période</w:t>
      </w:r>
      <w:r w:rsidRPr="00AD796F">
        <w:rPr>
          <w:lang w:val="fr-CA"/>
        </w:rPr>
        <w:t xml:space="preserve"> de trois</w:t>
      </w:r>
      <w:r>
        <w:rPr>
          <w:lang w:val="fr-CA"/>
        </w:rPr>
        <w:t xml:space="preserve"> ans</w:t>
      </w:r>
      <w:r w:rsidRPr="00AD796F">
        <w:rPr>
          <w:lang w:val="fr-CA"/>
        </w:rPr>
        <w:t xml:space="preserve"> en Nouvel</w:t>
      </w:r>
      <w:r>
        <w:rPr>
          <w:lang w:val="fr-CA"/>
        </w:rPr>
        <w:t>le</w:t>
      </w:r>
      <w:r>
        <w:rPr>
          <w:lang w:val="fr-CA"/>
        </w:rPr>
        <w:noBreakHyphen/>
        <w:t xml:space="preserve">Zélande recommence à courir </w:t>
      </w:r>
      <w:r w:rsidRPr="00AD796F">
        <w:rPr>
          <w:lang w:val="fr-CA"/>
        </w:rPr>
        <w:t>chaque fois que le non</w:t>
      </w:r>
      <w:r>
        <w:rPr>
          <w:lang w:val="fr-CA"/>
        </w:rPr>
        <w:noBreakHyphen/>
      </w:r>
      <w:r w:rsidRPr="00AD796F">
        <w:rPr>
          <w:lang w:val="fr-CA"/>
        </w:rPr>
        <w:t xml:space="preserve">résident </w:t>
      </w:r>
      <w:r>
        <w:rPr>
          <w:lang w:val="fr-CA"/>
        </w:rPr>
        <w:t>retourne au pays</w:t>
      </w:r>
      <w:r w:rsidRPr="00AD796F">
        <w:rPr>
          <w:lang w:val="fr-CA"/>
        </w:rPr>
        <w:t>.</w:t>
      </w:r>
    </w:p>
    <w:p w:rsidR="001244E7" w:rsidRPr="00202160" w:rsidRDefault="001244E7" w:rsidP="001244E7">
      <w:pPr>
        <w:pStyle w:val="ParaNoNdepar-AltN"/>
        <w:tabs>
          <w:tab w:val="clear" w:pos="1152"/>
          <w:tab w:val="left" w:pos="1166"/>
        </w:tabs>
        <w:rPr>
          <w:lang w:val="fr-CA"/>
        </w:rPr>
      </w:pPr>
      <w:r w:rsidRPr="00202160">
        <w:rPr>
          <w:lang w:val="fr-CA"/>
        </w:rPr>
        <w:t xml:space="preserve">Le </w:t>
      </w:r>
      <w:r>
        <w:rPr>
          <w:lang w:val="fr-CA"/>
        </w:rPr>
        <w:t>PGC</w:t>
      </w:r>
      <w:r w:rsidRPr="00BC2D48">
        <w:rPr>
          <w:lang w:val="fr-CA"/>
        </w:rPr>
        <w:t xml:space="preserve"> </w:t>
      </w:r>
      <w:r w:rsidRPr="00202160">
        <w:rPr>
          <w:lang w:val="fr-CA"/>
        </w:rPr>
        <w:t>n</w:t>
      </w:r>
      <w:r>
        <w:rPr>
          <w:lang w:val="fr-CA"/>
        </w:rPr>
        <w:t>’</w:t>
      </w:r>
      <w:r w:rsidRPr="00202160">
        <w:rPr>
          <w:lang w:val="fr-CA"/>
        </w:rPr>
        <w:t xml:space="preserve">a pas </w:t>
      </w:r>
      <w:r>
        <w:rPr>
          <w:lang w:val="fr-CA"/>
        </w:rPr>
        <w:t xml:space="preserve">réussi à </w:t>
      </w:r>
      <w:r w:rsidRPr="00202160">
        <w:rPr>
          <w:lang w:val="fr-CA"/>
        </w:rPr>
        <w:t>établi</w:t>
      </w:r>
      <w:r>
        <w:rPr>
          <w:lang w:val="fr-CA"/>
        </w:rPr>
        <w:t>r</w:t>
      </w:r>
      <w:r w:rsidRPr="00202160">
        <w:rPr>
          <w:lang w:val="fr-CA"/>
        </w:rPr>
        <w:t xml:space="preserve"> pourquoi l</w:t>
      </w:r>
      <w:r>
        <w:rPr>
          <w:lang w:val="fr-CA"/>
        </w:rPr>
        <w:t>e fait de limiter le</w:t>
      </w:r>
      <w:r w:rsidRPr="00202160">
        <w:rPr>
          <w:lang w:val="fr-CA"/>
        </w:rPr>
        <w:t xml:space="preserve"> droit de vote de non</w:t>
      </w:r>
      <w:r>
        <w:rPr>
          <w:lang w:val="fr-CA"/>
        </w:rPr>
        <w:noBreakHyphen/>
      </w:r>
      <w:r w:rsidRPr="00202160">
        <w:rPr>
          <w:lang w:val="fr-CA"/>
        </w:rPr>
        <w:t xml:space="preserve">résidents aux </w:t>
      </w:r>
      <w:r>
        <w:rPr>
          <w:lang w:val="fr-CA"/>
        </w:rPr>
        <w:t>citoyens</w:t>
      </w:r>
      <w:r w:rsidRPr="00202160">
        <w:rPr>
          <w:lang w:val="fr-CA"/>
        </w:rPr>
        <w:t xml:space="preserve"> se trouvant à l</w:t>
      </w:r>
      <w:r>
        <w:rPr>
          <w:lang w:val="fr-CA"/>
        </w:rPr>
        <w:t>’</w:t>
      </w:r>
      <w:r w:rsidRPr="00202160">
        <w:rPr>
          <w:lang w:val="fr-CA"/>
        </w:rPr>
        <w:t xml:space="preserve">étranger </w:t>
      </w:r>
      <w:r>
        <w:rPr>
          <w:lang w:val="fr-CA"/>
        </w:rPr>
        <w:t>depuis cinq ans ou moins et l’exigence selon laquelle ils doivent avoir</w:t>
      </w:r>
      <w:r w:rsidRPr="00202160">
        <w:rPr>
          <w:lang w:val="fr-CA"/>
        </w:rPr>
        <w:t xml:space="preserve"> l</w:t>
      </w:r>
      <w:r>
        <w:rPr>
          <w:lang w:val="fr-CA"/>
        </w:rPr>
        <w:t>’</w:t>
      </w:r>
      <w:r w:rsidRPr="00202160">
        <w:rPr>
          <w:lang w:val="fr-CA"/>
        </w:rPr>
        <w:t>inten</w:t>
      </w:r>
      <w:r>
        <w:rPr>
          <w:lang w:val="fr-CA"/>
        </w:rPr>
        <w:t>tion arrêtée de revenir au pays</w:t>
      </w:r>
      <w:r w:rsidRPr="00202160">
        <w:rPr>
          <w:lang w:val="fr-CA"/>
        </w:rPr>
        <w:t xml:space="preserve"> </w:t>
      </w:r>
      <w:proofErr w:type="spellStart"/>
      <w:r w:rsidR="009027BF">
        <w:rPr>
          <w:lang w:val="fr-CA"/>
        </w:rPr>
        <w:t>constitu</w:t>
      </w:r>
      <w:r>
        <w:rPr>
          <w:lang w:val="fr-CA"/>
        </w:rPr>
        <w:t>t</w:t>
      </w:r>
      <w:proofErr w:type="spellEnd"/>
      <w:r>
        <w:rPr>
          <w:lang w:val="fr-CA"/>
        </w:rPr>
        <w:t xml:space="preserve"> une atteinte</w:t>
      </w:r>
      <w:r w:rsidRPr="00202160">
        <w:rPr>
          <w:lang w:val="fr-CA"/>
        </w:rPr>
        <w:t xml:space="preserve"> minimale </w:t>
      </w:r>
      <w:r>
        <w:rPr>
          <w:lang w:val="fr-CA"/>
        </w:rPr>
        <w:t>en vue de la</w:t>
      </w:r>
      <w:r w:rsidRPr="00202160">
        <w:rPr>
          <w:lang w:val="fr-CA"/>
        </w:rPr>
        <w:t xml:space="preserve"> réalis</w:t>
      </w:r>
      <w:r>
        <w:rPr>
          <w:lang w:val="fr-CA"/>
        </w:rPr>
        <w:t>ation d</w:t>
      </w:r>
      <w:r w:rsidRPr="00202160">
        <w:rPr>
          <w:lang w:val="fr-CA"/>
        </w:rPr>
        <w:t>e</w:t>
      </w:r>
      <w:r>
        <w:rPr>
          <w:lang w:val="fr-CA"/>
        </w:rPr>
        <w:t xml:space="preserve"> l’</w:t>
      </w:r>
      <w:r w:rsidRPr="00202160">
        <w:rPr>
          <w:lang w:val="fr-CA"/>
        </w:rPr>
        <w:t xml:space="preserve">objectif législatif. Ces </w:t>
      </w:r>
      <w:r>
        <w:rPr>
          <w:lang w:val="fr-CA"/>
        </w:rPr>
        <w:t>exigences vont trop loin</w:t>
      </w:r>
      <w:r w:rsidRPr="00202160">
        <w:rPr>
          <w:lang w:val="fr-CA"/>
        </w:rPr>
        <w:t xml:space="preserve">, </w:t>
      </w:r>
      <w:r>
        <w:rPr>
          <w:lang w:val="fr-CA"/>
        </w:rPr>
        <w:t xml:space="preserve">car </w:t>
      </w:r>
      <w:r w:rsidRPr="00202160">
        <w:rPr>
          <w:lang w:val="fr-CA"/>
        </w:rPr>
        <w:t xml:space="preserve">elles ne </w:t>
      </w:r>
      <w:r>
        <w:rPr>
          <w:lang w:val="fr-CA"/>
        </w:rPr>
        <w:t>reflètent</w:t>
      </w:r>
      <w:r w:rsidRPr="00202160">
        <w:rPr>
          <w:lang w:val="fr-CA"/>
        </w:rPr>
        <w:t xml:space="preserve"> pas fidèlement le lien d</w:t>
      </w:r>
      <w:r>
        <w:rPr>
          <w:lang w:val="fr-CA"/>
        </w:rPr>
        <w:t>’</w:t>
      </w:r>
      <w:r w:rsidRPr="00202160">
        <w:rPr>
          <w:lang w:val="fr-CA"/>
        </w:rPr>
        <w:t>un citoyen avec le Canada</w:t>
      </w:r>
      <w:r>
        <w:rPr>
          <w:lang w:val="fr-CA"/>
        </w:rPr>
        <w:t>,</w:t>
      </w:r>
      <w:r w:rsidRPr="00202160">
        <w:rPr>
          <w:lang w:val="fr-CA"/>
        </w:rPr>
        <w:t xml:space="preserve"> et</w:t>
      </w:r>
      <w:r>
        <w:rPr>
          <w:lang w:val="fr-CA"/>
        </w:rPr>
        <w:t xml:space="preserve"> en conséquence, elles</w:t>
      </w:r>
      <w:r w:rsidRPr="00202160">
        <w:rPr>
          <w:lang w:val="fr-CA"/>
        </w:rPr>
        <w:t xml:space="preserve"> restreignent le droit de vote de citoyens </w:t>
      </w:r>
      <w:r>
        <w:rPr>
          <w:lang w:val="fr-CA"/>
        </w:rPr>
        <w:t xml:space="preserve">à </w:t>
      </w:r>
      <w:r w:rsidRPr="00202160">
        <w:rPr>
          <w:lang w:val="fr-CA"/>
        </w:rPr>
        <w:t xml:space="preserve">qui, à la lumière des objectifs </w:t>
      </w:r>
      <w:r>
        <w:rPr>
          <w:lang w:val="fr-CA"/>
        </w:rPr>
        <w:t>énoncés</w:t>
      </w:r>
      <w:r w:rsidRPr="00202160">
        <w:rPr>
          <w:lang w:val="fr-CA"/>
        </w:rPr>
        <w:t xml:space="preserve">, ne devrait pas </w:t>
      </w:r>
      <w:r>
        <w:rPr>
          <w:lang w:val="fr-CA"/>
        </w:rPr>
        <w:t>s’appliquer la mesure législative</w:t>
      </w:r>
      <w:r w:rsidRPr="00202160">
        <w:rPr>
          <w:lang w:val="fr-CA"/>
        </w:rPr>
        <w:t>. Le citoyen non</w:t>
      </w:r>
      <w:r>
        <w:rPr>
          <w:lang w:val="fr-CA"/>
        </w:rPr>
        <w:t xml:space="preserve"> </w:t>
      </w:r>
      <w:r w:rsidRPr="00202160">
        <w:rPr>
          <w:lang w:val="fr-CA"/>
        </w:rPr>
        <w:t>résident qui se donne la peine de voter par bulletin de vote spécial a</w:t>
      </w:r>
      <w:r>
        <w:rPr>
          <w:lang w:val="fr-CA"/>
        </w:rPr>
        <w:t>lors qu’il réside à l’étranger</w:t>
      </w:r>
      <w:r w:rsidRPr="00202160">
        <w:rPr>
          <w:lang w:val="fr-CA"/>
        </w:rPr>
        <w:t xml:space="preserve"> </w:t>
      </w:r>
      <w:r>
        <w:rPr>
          <w:lang w:val="fr-CA"/>
        </w:rPr>
        <w:t>fait preuve</w:t>
      </w:r>
      <w:r w:rsidRPr="00202160">
        <w:rPr>
          <w:lang w:val="fr-CA"/>
        </w:rPr>
        <w:t xml:space="preserve"> </w:t>
      </w:r>
      <w:r>
        <w:rPr>
          <w:lang w:val="fr-CA"/>
        </w:rPr>
        <w:t>d’un profond</w:t>
      </w:r>
      <w:r w:rsidRPr="00202160">
        <w:rPr>
          <w:lang w:val="fr-CA"/>
        </w:rPr>
        <w:t xml:space="preserve"> attachement </w:t>
      </w:r>
      <w:r>
        <w:rPr>
          <w:lang w:val="fr-CA"/>
        </w:rPr>
        <w:t>envers le</w:t>
      </w:r>
      <w:r w:rsidRPr="00202160">
        <w:rPr>
          <w:lang w:val="fr-CA"/>
        </w:rPr>
        <w:t xml:space="preserve"> Canada. Nous n</w:t>
      </w:r>
      <w:r>
        <w:rPr>
          <w:lang w:val="fr-CA"/>
        </w:rPr>
        <w:t xml:space="preserve">e </w:t>
      </w:r>
      <w:r w:rsidRPr="00202160">
        <w:rPr>
          <w:lang w:val="fr-CA"/>
        </w:rPr>
        <w:t>gagn</w:t>
      </w:r>
      <w:r>
        <w:rPr>
          <w:lang w:val="fr-CA"/>
        </w:rPr>
        <w:t>ons rien à</w:t>
      </w:r>
      <w:r w:rsidRPr="00202160">
        <w:rPr>
          <w:lang w:val="fr-CA"/>
        </w:rPr>
        <w:t xml:space="preserve"> priv</w:t>
      </w:r>
      <w:r>
        <w:rPr>
          <w:lang w:val="fr-CA"/>
        </w:rPr>
        <w:t>er</w:t>
      </w:r>
      <w:r w:rsidRPr="00202160">
        <w:rPr>
          <w:lang w:val="fr-CA"/>
        </w:rPr>
        <w:t xml:space="preserve"> </w:t>
      </w:r>
      <w:r>
        <w:rPr>
          <w:lang w:val="fr-CA"/>
        </w:rPr>
        <w:t>de tels</w:t>
      </w:r>
      <w:r w:rsidRPr="00202160">
        <w:rPr>
          <w:lang w:val="fr-CA"/>
        </w:rPr>
        <w:t xml:space="preserve"> citoyens du droit de vote. D</w:t>
      </w:r>
      <w:r>
        <w:rPr>
          <w:lang w:val="fr-CA"/>
        </w:rPr>
        <w:t>’ailleurs</w:t>
      </w:r>
      <w:r w:rsidRPr="00202160">
        <w:rPr>
          <w:lang w:val="fr-CA"/>
        </w:rPr>
        <w:t xml:space="preserve">, notre démocratie est </w:t>
      </w:r>
      <w:r>
        <w:rPr>
          <w:lang w:val="fr-CA"/>
        </w:rPr>
        <w:t xml:space="preserve">indubitablement </w:t>
      </w:r>
      <w:r w:rsidRPr="00202160">
        <w:rPr>
          <w:lang w:val="fr-CA"/>
        </w:rPr>
        <w:t>renforcée par de telles manifestations d</w:t>
      </w:r>
      <w:r>
        <w:rPr>
          <w:lang w:val="fr-CA"/>
        </w:rPr>
        <w:t>’</w:t>
      </w:r>
      <w:r w:rsidRPr="00202160">
        <w:rPr>
          <w:lang w:val="fr-CA"/>
        </w:rPr>
        <w:t>engagement civique.</w:t>
      </w:r>
    </w:p>
    <w:p w:rsidR="001244E7" w:rsidRPr="00BC2D48" w:rsidRDefault="001244E7" w:rsidP="001244E7">
      <w:pPr>
        <w:pStyle w:val="Title3LevelTitre3Niveau"/>
        <w:rPr>
          <w:lang w:val="fr-CA"/>
        </w:rPr>
      </w:pPr>
      <w:r w:rsidRPr="00BC2D48">
        <w:rPr>
          <w:lang w:val="fr-CA"/>
        </w:rPr>
        <w:t xml:space="preserve">La </w:t>
      </w:r>
      <w:r>
        <w:rPr>
          <w:lang w:val="fr-CA"/>
        </w:rPr>
        <w:t>mise en balanc</w:t>
      </w:r>
      <w:r w:rsidRPr="00BC2D48">
        <w:rPr>
          <w:lang w:val="fr-CA"/>
        </w:rPr>
        <w:t xml:space="preserve">e </w:t>
      </w:r>
      <w:r>
        <w:rPr>
          <w:lang w:val="fr-CA"/>
        </w:rPr>
        <w:t>d</w:t>
      </w:r>
      <w:r w:rsidRPr="00BC2D48">
        <w:rPr>
          <w:lang w:val="fr-CA"/>
        </w:rPr>
        <w:t xml:space="preserve">es effets bénéfiques et </w:t>
      </w:r>
      <w:r>
        <w:rPr>
          <w:lang w:val="fr-CA"/>
        </w:rPr>
        <w:t>d</w:t>
      </w:r>
      <w:r w:rsidRPr="00BC2D48">
        <w:rPr>
          <w:lang w:val="fr-CA"/>
        </w:rPr>
        <w:t>es effets préjudiciables</w:t>
      </w:r>
    </w:p>
    <w:p w:rsidR="001244E7" w:rsidRPr="00BC2D48" w:rsidRDefault="001244E7" w:rsidP="001244E7">
      <w:pPr>
        <w:pStyle w:val="ParaNoNdepar-AltN"/>
        <w:rPr>
          <w:lang w:val="fr-CA"/>
        </w:rPr>
      </w:pPr>
      <w:r>
        <w:rPr>
          <w:lang w:val="fr-CA"/>
        </w:rPr>
        <w:t>Lors de la</w:t>
      </w:r>
      <w:r w:rsidRPr="00BC2D48">
        <w:rPr>
          <w:lang w:val="fr-CA"/>
        </w:rPr>
        <w:t xml:space="preserve"> derni</w:t>
      </w:r>
      <w:r>
        <w:rPr>
          <w:lang w:val="fr-CA"/>
        </w:rPr>
        <w:t>è</w:t>
      </w:r>
      <w:r w:rsidRPr="00BC2D48">
        <w:rPr>
          <w:lang w:val="fr-CA"/>
        </w:rPr>
        <w:t>r</w:t>
      </w:r>
      <w:r>
        <w:rPr>
          <w:lang w:val="fr-CA"/>
        </w:rPr>
        <w:t>e étape</w:t>
      </w:r>
      <w:r w:rsidRPr="00BC2D48">
        <w:rPr>
          <w:lang w:val="fr-CA"/>
        </w:rPr>
        <w:t xml:space="preserve"> du test de l</w:t>
      </w:r>
      <w:r>
        <w:rPr>
          <w:lang w:val="fr-CA"/>
        </w:rPr>
        <w:t>’</w:t>
      </w:r>
      <w:r w:rsidRPr="00BC2D48">
        <w:rPr>
          <w:lang w:val="fr-CA"/>
        </w:rPr>
        <w:t xml:space="preserve">arrêt </w:t>
      </w:r>
      <w:proofErr w:type="spellStart"/>
      <w:r w:rsidRPr="00BC2D48">
        <w:rPr>
          <w:i/>
          <w:lang w:val="fr-CA"/>
        </w:rPr>
        <w:t>Oakes</w:t>
      </w:r>
      <w:proofErr w:type="spellEnd"/>
      <w:r>
        <w:rPr>
          <w:lang w:val="fr-CA"/>
        </w:rPr>
        <w:t>, il faut</w:t>
      </w:r>
      <w:r w:rsidRPr="00BC2D48">
        <w:rPr>
          <w:lang w:val="fr-CA"/>
        </w:rPr>
        <w:t xml:space="preserve"> se demander si, dans l</w:t>
      </w:r>
      <w:r>
        <w:rPr>
          <w:lang w:val="fr-CA"/>
        </w:rPr>
        <w:t>’</w:t>
      </w:r>
      <w:r w:rsidRPr="00BC2D48">
        <w:rPr>
          <w:lang w:val="fr-CA"/>
        </w:rPr>
        <w:t>ensemble, il y a proportionnalité entre les effets de</w:t>
      </w:r>
      <w:r>
        <w:rPr>
          <w:lang w:val="fr-CA"/>
        </w:rPr>
        <w:t xml:space="preserve"> la</w:t>
      </w:r>
      <w:r w:rsidRPr="00BC2D48">
        <w:rPr>
          <w:lang w:val="fr-CA"/>
        </w:rPr>
        <w:t xml:space="preserve"> mesure qui port</w:t>
      </w:r>
      <w:r>
        <w:rPr>
          <w:lang w:val="fr-CA"/>
        </w:rPr>
        <w:t>e</w:t>
      </w:r>
      <w:r w:rsidRPr="00BC2D48">
        <w:rPr>
          <w:lang w:val="fr-CA"/>
        </w:rPr>
        <w:t xml:space="preserve"> atteinte à la </w:t>
      </w:r>
      <w:r w:rsidRPr="00BC2D48">
        <w:rPr>
          <w:i/>
          <w:lang w:val="fr-CA"/>
        </w:rPr>
        <w:t xml:space="preserve">Charte </w:t>
      </w:r>
      <w:r>
        <w:rPr>
          <w:lang w:val="fr-CA"/>
        </w:rPr>
        <w:t xml:space="preserve">et l’objectif législatif </w:t>
      </w:r>
      <w:r w:rsidRPr="00BC2D48">
        <w:rPr>
          <w:lang w:val="fr-CA"/>
        </w:rPr>
        <w:t>(</w:t>
      </w:r>
      <w:proofErr w:type="spellStart"/>
      <w:r w:rsidRPr="00BC2D48">
        <w:rPr>
          <w:i/>
          <w:lang w:val="fr-CA"/>
        </w:rPr>
        <w:t>Oakes</w:t>
      </w:r>
      <w:proofErr w:type="spellEnd"/>
      <w:r w:rsidRPr="00BC2D48">
        <w:rPr>
          <w:lang w:val="fr-CA"/>
        </w:rPr>
        <w:t xml:space="preserve">, </w:t>
      </w:r>
      <w:r>
        <w:rPr>
          <w:lang w:val="fr-CA"/>
        </w:rPr>
        <w:t>p. </w:t>
      </w:r>
      <w:r w:rsidRPr="00BC2D48">
        <w:rPr>
          <w:lang w:val="fr-CA"/>
        </w:rPr>
        <w:t>139</w:t>
      </w:r>
      <w:r>
        <w:rPr>
          <w:lang w:val="fr-CA"/>
        </w:rPr>
        <w:t>;</w:t>
      </w:r>
      <w:r w:rsidRPr="00BC2D48">
        <w:rPr>
          <w:i/>
          <w:lang w:val="fr-CA"/>
        </w:rPr>
        <w:t xml:space="preserve"> </w:t>
      </w:r>
      <w:proofErr w:type="spellStart"/>
      <w:r w:rsidRPr="00BC2D48">
        <w:rPr>
          <w:i/>
          <w:lang w:val="fr-CA"/>
        </w:rPr>
        <w:t>Hutterian</w:t>
      </w:r>
      <w:proofErr w:type="spellEnd"/>
      <w:r w:rsidRPr="00BC2D48">
        <w:rPr>
          <w:i/>
          <w:lang w:val="fr-CA"/>
        </w:rPr>
        <w:t xml:space="preserve"> </w:t>
      </w:r>
      <w:proofErr w:type="spellStart"/>
      <w:r w:rsidRPr="00BC2D48">
        <w:rPr>
          <w:i/>
          <w:lang w:val="fr-CA"/>
        </w:rPr>
        <w:t>Brethren</w:t>
      </w:r>
      <w:proofErr w:type="spellEnd"/>
      <w:r>
        <w:rPr>
          <w:lang w:val="fr-CA"/>
        </w:rPr>
        <w:t>,</w:t>
      </w:r>
      <w:r w:rsidRPr="00BC2D48">
        <w:rPr>
          <w:lang w:val="fr-CA"/>
        </w:rPr>
        <w:t xml:space="preserve"> </w:t>
      </w:r>
      <w:r>
        <w:rPr>
          <w:lang w:val="fr-CA"/>
        </w:rPr>
        <w:t>par. </w:t>
      </w:r>
      <w:r w:rsidRPr="00BC2D48">
        <w:rPr>
          <w:lang w:val="fr-CA"/>
        </w:rPr>
        <w:t>72</w:t>
      </w:r>
      <w:r>
        <w:rPr>
          <w:lang w:val="fr-CA"/>
        </w:rPr>
        <w:noBreakHyphen/>
      </w:r>
      <w:r w:rsidRPr="00BC2D48">
        <w:rPr>
          <w:lang w:val="fr-CA"/>
        </w:rPr>
        <w:t xml:space="preserve">73). Alors que les volets précédents du test établi dans </w:t>
      </w:r>
      <w:proofErr w:type="spellStart"/>
      <w:r w:rsidRPr="00BC2D48">
        <w:rPr>
          <w:i/>
          <w:lang w:val="fr-CA"/>
        </w:rPr>
        <w:t>Oakes</w:t>
      </w:r>
      <w:proofErr w:type="spellEnd"/>
      <w:r w:rsidRPr="00BC2D48">
        <w:rPr>
          <w:lang w:val="fr-CA"/>
        </w:rPr>
        <w:t xml:space="preserve"> portent sur l</w:t>
      </w:r>
      <w:r>
        <w:rPr>
          <w:lang w:val="fr-CA"/>
        </w:rPr>
        <w:t>’</w:t>
      </w:r>
      <w:r w:rsidRPr="00BC2D48">
        <w:rPr>
          <w:lang w:val="fr-CA"/>
        </w:rPr>
        <w:t>objectif de la mesure, à cette étape, l</w:t>
      </w:r>
      <w:r>
        <w:rPr>
          <w:lang w:val="fr-CA"/>
        </w:rPr>
        <w:t>’</w:t>
      </w:r>
      <w:r w:rsidRPr="00BC2D48">
        <w:rPr>
          <w:lang w:val="fr-CA"/>
        </w:rPr>
        <w:t>évaluation se rattache à un examen de</w:t>
      </w:r>
      <w:r>
        <w:rPr>
          <w:lang w:val="fr-CA"/>
        </w:rPr>
        <w:t xml:space="preserve"> se</w:t>
      </w:r>
      <w:r w:rsidRPr="00BC2D48">
        <w:rPr>
          <w:lang w:val="fr-CA"/>
        </w:rPr>
        <w:t>s effets (</w:t>
      </w:r>
      <w:proofErr w:type="spellStart"/>
      <w:r w:rsidRPr="00BC2D48">
        <w:rPr>
          <w:i/>
          <w:lang w:val="fr-CA"/>
        </w:rPr>
        <w:t>Hutterian</w:t>
      </w:r>
      <w:proofErr w:type="spellEnd"/>
      <w:r w:rsidRPr="00BC2D48">
        <w:rPr>
          <w:i/>
          <w:lang w:val="fr-CA"/>
        </w:rPr>
        <w:t xml:space="preserve"> </w:t>
      </w:r>
      <w:proofErr w:type="spellStart"/>
      <w:r w:rsidRPr="00BC2D48">
        <w:rPr>
          <w:i/>
          <w:lang w:val="fr-CA"/>
        </w:rPr>
        <w:t>Brethren</w:t>
      </w:r>
      <w:proofErr w:type="spellEnd"/>
      <w:r w:rsidRPr="00BC2D48">
        <w:rPr>
          <w:lang w:val="fr-CA"/>
        </w:rPr>
        <w:t xml:space="preserve">, </w:t>
      </w:r>
      <w:r>
        <w:rPr>
          <w:lang w:val="fr-CA"/>
        </w:rPr>
        <w:lastRenderedPageBreak/>
        <w:t>par. </w:t>
      </w:r>
      <w:r w:rsidRPr="00BC2D48">
        <w:rPr>
          <w:lang w:val="fr-CA"/>
        </w:rPr>
        <w:t>76)</w:t>
      </w:r>
      <w:r>
        <w:rPr>
          <w:lang w:val="fr-CA"/>
        </w:rPr>
        <w:t>;</w:t>
      </w:r>
      <w:r w:rsidRPr="00BC2D48">
        <w:rPr>
          <w:lang w:val="fr-CA"/>
        </w:rPr>
        <w:t xml:space="preserve"> </w:t>
      </w:r>
      <w:r>
        <w:rPr>
          <w:lang w:val="fr-CA"/>
        </w:rPr>
        <w:t xml:space="preserve">le </w:t>
      </w:r>
      <w:r w:rsidRPr="00BC2D48">
        <w:rPr>
          <w:lang w:val="fr-CA"/>
        </w:rPr>
        <w:t>tribunal d</w:t>
      </w:r>
      <w:r>
        <w:rPr>
          <w:lang w:val="fr-CA"/>
        </w:rPr>
        <w:t>oit déci</w:t>
      </w:r>
      <w:r w:rsidRPr="00BC2D48">
        <w:rPr>
          <w:lang w:val="fr-CA"/>
        </w:rPr>
        <w:t>der, sous l</w:t>
      </w:r>
      <w:r>
        <w:rPr>
          <w:lang w:val="fr-CA"/>
        </w:rPr>
        <w:t>’</w:t>
      </w:r>
      <w:r w:rsidRPr="00BC2D48">
        <w:rPr>
          <w:lang w:val="fr-CA"/>
        </w:rPr>
        <w:t>angle normatif, si l</w:t>
      </w:r>
      <w:r>
        <w:rPr>
          <w:lang w:val="fr-CA"/>
        </w:rPr>
        <w:t>’</w:t>
      </w:r>
      <w:r w:rsidRPr="00BC2D48">
        <w:rPr>
          <w:lang w:val="fr-CA"/>
        </w:rPr>
        <w:t>atteinte au</w:t>
      </w:r>
      <w:r>
        <w:rPr>
          <w:lang w:val="fr-CA"/>
        </w:rPr>
        <w:t xml:space="preserve"> droit en question </w:t>
      </w:r>
      <w:r w:rsidRPr="00BC2D48">
        <w:rPr>
          <w:lang w:val="fr-CA"/>
        </w:rPr>
        <w:t>peut se justifier dans une société libre et démocratique.</w:t>
      </w:r>
    </w:p>
    <w:p w:rsidR="001244E7" w:rsidRPr="00BC2D48" w:rsidRDefault="001244E7" w:rsidP="001244E7">
      <w:pPr>
        <w:pStyle w:val="ParaNoNdepar-AltN"/>
        <w:rPr>
          <w:lang w:val="fr-CA"/>
        </w:rPr>
      </w:pPr>
      <w:r w:rsidRPr="00BC2D48">
        <w:rPr>
          <w:lang w:val="fr-CA"/>
        </w:rPr>
        <w:t>À cette étape, je ferais simplement observer que les ef</w:t>
      </w:r>
      <w:r>
        <w:rPr>
          <w:lang w:val="fr-CA"/>
        </w:rPr>
        <w:t>fets préjudiciables découlant du fait de priver</w:t>
      </w:r>
      <w:r w:rsidRPr="00BC2D48">
        <w:rPr>
          <w:lang w:val="fr-CA"/>
        </w:rPr>
        <w:t xml:space="preserve"> du droit de vote plus d</w:t>
      </w:r>
      <w:r>
        <w:rPr>
          <w:lang w:val="fr-CA"/>
        </w:rPr>
        <w:t>’</w:t>
      </w:r>
      <w:r w:rsidRPr="00BC2D48">
        <w:rPr>
          <w:lang w:val="fr-CA"/>
        </w:rPr>
        <w:t xml:space="preserve">un million de Canadiens </w:t>
      </w:r>
      <w:proofErr w:type="spellStart"/>
      <w:r w:rsidRPr="00BC2D48">
        <w:rPr>
          <w:lang w:val="fr-CA"/>
        </w:rPr>
        <w:t>non</w:t>
      </w:r>
      <w:r>
        <w:rPr>
          <w:lang w:val="fr-CA"/>
        </w:rPr>
        <w:t xml:space="preserve"> </w:t>
      </w:r>
      <w:r w:rsidRPr="00BC2D48">
        <w:rPr>
          <w:lang w:val="fr-CA"/>
        </w:rPr>
        <w:t>résidents</w:t>
      </w:r>
      <w:proofErr w:type="spellEnd"/>
      <w:r w:rsidRPr="00BC2D48">
        <w:rPr>
          <w:lang w:val="fr-CA"/>
        </w:rPr>
        <w:t xml:space="preserve"> qui se trouvent à l</w:t>
      </w:r>
      <w:r>
        <w:rPr>
          <w:lang w:val="fr-CA"/>
        </w:rPr>
        <w:t>’</w:t>
      </w:r>
      <w:r w:rsidRPr="00BC2D48">
        <w:rPr>
          <w:lang w:val="fr-CA"/>
        </w:rPr>
        <w:t xml:space="preserve">étranger </w:t>
      </w:r>
      <w:r>
        <w:rPr>
          <w:lang w:val="fr-CA"/>
        </w:rPr>
        <w:t>depuis</w:t>
      </w:r>
      <w:r w:rsidRPr="00BC2D48">
        <w:rPr>
          <w:lang w:val="fr-CA"/>
        </w:rPr>
        <w:t xml:space="preserve"> cinq ans ou plus l</w:t>
      </w:r>
      <w:r>
        <w:rPr>
          <w:lang w:val="fr-CA"/>
        </w:rPr>
        <w:t>’</w:t>
      </w:r>
      <w:r w:rsidRPr="00BC2D48">
        <w:rPr>
          <w:lang w:val="fr-CA"/>
        </w:rPr>
        <w:t xml:space="preserve">emportent manifestement sur les éventuels effets bénéfiques </w:t>
      </w:r>
      <w:r>
        <w:rPr>
          <w:lang w:val="fr-CA"/>
        </w:rPr>
        <w:t xml:space="preserve">du maintien </w:t>
      </w:r>
      <w:r w:rsidRPr="00BC2D48">
        <w:rPr>
          <w:lang w:val="fr-CA"/>
        </w:rPr>
        <w:t>de l</w:t>
      </w:r>
      <w:r>
        <w:rPr>
          <w:lang w:val="fr-CA"/>
        </w:rPr>
        <w:t>’</w:t>
      </w:r>
      <w:r w:rsidRPr="00BC2D48">
        <w:rPr>
          <w:lang w:val="fr-CA"/>
        </w:rPr>
        <w:t xml:space="preserve">équité électorale que fait valoir le </w:t>
      </w:r>
      <w:r w:rsidR="00AA5CD4">
        <w:rPr>
          <w:lang w:val="fr-CA"/>
        </w:rPr>
        <w:t>PGC</w:t>
      </w:r>
      <w:r w:rsidRPr="00BC2D48">
        <w:rPr>
          <w:lang w:val="fr-CA"/>
        </w:rPr>
        <w:t>.</w:t>
      </w:r>
    </w:p>
    <w:p w:rsidR="001244E7" w:rsidRPr="00BC2D48" w:rsidRDefault="001244E7" w:rsidP="001244E7">
      <w:pPr>
        <w:pStyle w:val="ParaNoNdepar-AltN"/>
        <w:rPr>
          <w:lang w:val="fr-CA"/>
        </w:rPr>
      </w:pPr>
      <w:r w:rsidRPr="00BC2D48">
        <w:rPr>
          <w:lang w:val="fr-CA"/>
        </w:rPr>
        <w:t xml:space="preserve">Les effets bénéfiques de la mesure législative contestée sont illusoires. </w:t>
      </w:r>
      <w:r>
        <w:rPr>
          <w:lang w:val="fr-CA"/>
        </w:rPr>
        <w:t xml:space="preserve">Il est difficile de voir </w:t>
      </w:r>
      <w:r w:rsidRPr="00BC2D48">
        <w:rPr>
          <w:lang w:val="fr-CA"/>
        </w:rPr>
        <w:t>comment l</w:t>
      </w:r>
      <w:r>
        <w:rPr>
          <w:lang w:val="fr-CA"/>
        </w:rPr>
        <w:t>’</w:t>
      </w:r>
      <w:r w:rsidRPr="00BC2D48">
        <w:rPr>
          <w:lang w:val="fr-CA"/>
        </w:rPr>
        <w:t xml:space="preserve">équité du système électoral est accrue lorsque des citoyens </w:t>
      </w:r>
      <w:proofErr w:type="spellStart"/>
      <w:r w:rsidRPr="00BC2D48">
        <w:rPr>
          <w:lang w:val="fr-CA"/>
        </w:rPr>
        <w:t>non</w:t>
      </w:r>
      <w:r>
        <w:rPr>
          <w:lang w:val="fr-CA"/>
        </w:rPr>
        <w:t xml:space="preserve"> </w:t>
      </w:r>
      <w:r w:rsidRPr="00BC2D48">
        <w:rPr>
          <w:lang w:val="fr-CA"/>
        </w:rPr>
        <w:t>résidents</w:t>
      </w:r>
      <w:proofErr w:type="spellEnd"/>
      <w:r w:rsidRPr="00BC2D48">
        <w:rPr>
          <w:lang w:val="fr-CA"/>
        </w:rPr>
        <w:t xml:space="preserve"> </w:t>
      </w:r>
      <w:r>
        <w:rPr>
          <w:lang w:val="fr-CA"/>
        </w:rPr>
        <w:t>à long terme</w:t>
      </w:r>
      <w:r w:rsidRPr="00BC2D48">
        <w:rPr>
          <w:lang w:val="fr-CA"/>
        </w:rPr>
        <w:t xml:space="preserve"> se voient priv</w:t>
      </w:r>
      <w:r>
        <w:rPr>
          <w:lang w:val="fr-CA"/>
        </w:rPr>
        <w:t>és</w:t>
      </w:r>
      <w:r w:rsidRPr="00BC2D48">
        <w:rPr>
          <w:lang w:val="fr-CA"/>
        </w:rPr>
        <w:t xml:space="preserve"> du droit de vote. En dépit de quelques arguments imprécis </w:t>
      </w:r>
      <w:r>
        <w:rPr>
          <w:lang w:val="fr-CA"/>
        </w:rPr>
        <w:t xml:space="preserve">selon lesquels </w:t>
      </w:r>
      <w:r w:rsidRPr="00BC2D48">
        <w:rPr>
          <w:lang w:val="fr-CA"/>
        </w:rPr>
        <w:t xml:space="preserve">il </w:t>
      </w:r>
      <w:r w:rsidRPr="00BC2D48">
        <w:rPr>
          <w:i/>
          <w:lang w:val="fr-CA"/>
        </w:rPr>
        <w:t>puisse</w:t>
      </w:r>
      <w:r w:rsidRPr="00BC2D48">
        <w:rPr>
          <w:lang w:val="fr-CA"/>
        </w:rPr>
        <w:t xml:space="preserve"> être injuste de permettre à des citoyens </w:t>
      </w:r>
      <w:proofErr w:type="spellStart"/>
      <w:r w:rsidRPr="00BC2D48">
        <w:rPr>
          <w:lang w:val="fr-CA"/>
        </w:rPr>
        <w:t>non</w:t>
      </w:r>
      <w:r>
        <w:rPr>
          <w:lang w:val="fr-CA"/>
        </w:rPr>
        <w:t xml:space="preserve"> </w:t>
      </w:r>
      <w:r w:rsidRPr="00BC2D48">
        <w:rPr>
          <w:lang w:val="fr-CA"/>
        </w:rPr>
        <w:t>résidents</w:t>
      </w:r>
      <w:proofErr w:type="spellEnd"/>
      <w:r w:rsidRPr="00BC2D48">
        <w:rPr>
          <w:lang w:val="fr-CA"/>
        </w:rPr>
        <w:t xml:space="preserve"> de voter indéfiniment</w:t>
      </w:r>
      <w:r>
        <w:rPr>
          <w:lang w:val="fr-CA"/>
        </w:rPr>
        <w:t xml:space="preserve">, </w:t>
      </w:r>
      <w:r w:rsidRPr="00BC2D48">
        <w:rPr>
          <w:lang w:val="fr-CA"/>
        </w:rPr>
        <w:t>peu d</w:t>
      </w:r>
      <w:r>
        <w:rPr>
          <w:lang w:val="fr-CA"/>
        </w:rPr>
        <w:t>’éléments de</w:t>
      </w:r>
      <w:r w:rsidRPr="00BC2D48">
        <w:rPr>
          <w:lang w:val="fr-CA"/>
        </w:rPr>
        <w:t xml:space="preserve"> preuve </w:t>
      </w:r>
      <w:r>
        <w:rPr>
          <w:lang w:val="fr-CA"/>
        </w:rPr>
        <w:t>concrets</w:t>
      </w:r>
      <w:r w:rsidRPr="00BC2D48">
        <w:rPr>
          <w:lang w:val="fr-CA"/>
        </w:rPr>
        <w:t xml:space="preserve"> ou d</w:t>
      </w:r>
      <w:r>
        <w:rPr>
          <w:lang w:val="fr-CA"/>
        </w:rPr>
        <w:t>’</w:t>
      </w:r>
      <w:r w:rsidRPr="00BC2D48">
        <w:rPr>
          <w:lang w:val="fr-CA"/>
        </w:rPr>
        <w:t>arguments logique</w:t>
      </w:r>
      <w:r>
        <w:rPr>
          <w:lang w:val="fr-CA"/>
        </w:rPr>
        <w:t>s</w:t>
      </w:r>
      <w:r w:rsidRPr="00BC2D48">
        <w:rPr>
          <w:lang w:val="fr-CA"/>
        </w:rPr>
        <w:t xml:space="preserve"> démontre</w:t>
      </w:r>
      <w:r>
        <w:rPr>
          <w:lang w:val="fr-CA"/>
        </w:rPr>
        <w:t>nt</w:t>
      </w:r>
      <w:r w:rsidRPr="00BC2D48">
        <w:rPr>
          <w:lang w:val="fr-CA"/>
        </w:rPr>
        <w:t xml:space="preserve"> les effets bénéfiques réels</w:t>
      </w:r>
      <w:r>
        <w:rPr>
          <w:lang w:val="fr-CA"/>
        </w:rPr>
        <w:t xml:space="preserve"> découlant de ces restrictions</w:t>
      </w:r>
      <w:r w:rsidRPr="00BC2D48">
        <w:rPr>
          <w:lang w:val="fr-CA"/>
        </w:rPr>
        <w:t>. Les quelques</w:t>
      </w:r>
      <w:r>
        <w:rPr>
          <w:lang w:val="fr-CA"/>
        </w:rPr>
        <w:t xml:space="preserve"> types de</w:t>
      </w:r>
      <w:r w:rsidRPr="00BC2D48">
        <w:rPr>
          <w:lang w:val="fr-CA"/>
        </w:rPr>
        <w:t xml:space="preserve"> </w:t>
      </w:r>
      <w:r>
        <w:rPr>
          <w:lang w:val="fr-CA"/>
        </w:rPr>
        <w:t>préjudices</w:t>
      </w:r>
      <w:r w:rsidRPr="00BC2D48">
        <w:rPr>
          <w:lang w:val="fr-CA"/>
        </w:rPr>
        <w:t xml:space="preserve"> que les restrictions</w:t>
      </w:r>
      <w:r>
        <w:rPr>
          <w:lang w:val="fr-CA"/>
        </w:rPr>
        <w:t>,</w:t>
      </w:r>
      <w:r w:rsidRPr="00E67B59">
        <w:rPr>
          <w:lang w:val="fr-CA"/>
        </w:rPr>
        <w:t xml:space="preserve"> </w:t>
      </w:r>
      <w:r>
        <w:rPr>
          <w:lang w:val="fr-CA"/>
        </w:rPr>
        <w:t>selon le PGC,</w:t>
      </w:r>
      <w:r w:rsidRPr="00BC2D48">
        <w:rPr>
          <w:lang w:val="fr-CA"/>
        </w:rPr>
        <w:t xml:space="preserve"> sont censées redresser,</w:t>
      </w:r>
      <w:r>
        <w:rPr>
          <w:lang w:val="fr-CA"/>
        </w:rPr>
        <w:t xml:space="preserve"> tels que</w:t>
      </w:r>
      <w:r w:rsidRPr="00BC2D48">
        <w:rPr>
          <w:lang w:val="fr-CA"/>
        </w:rPr>
        <w:t xml:space="preserve"> l</w:t>
      </w:r>
      <w:r>
        <w:rPr>
          <w:lang w:val="fr-CA"/>
        </w:rPr>
        <w:t>’</w:t>
      </w:r>
      <w:r w:rsidRPr="00BC2D48">
        <w:rPr>
          <w:lang w:val="fr-CA"/>
        </w:rPr>
        <w:t>incidence que les non</w:t>
      </w:r>
      <w:r>
        <w:rPr>
          <w:lang w:val="fr-CA"/>
        </w:rPr>
        <w:noBreakHyphen/>
      </w:r>
      <w:r w:rsidRPr="00BC2D48">
        <w:rPr>
          <w:lang w:val="fr-CA"/>
        </w:rPr>
        <w:t xml:space="preserve">résidents </w:t>
      </w:r>
      <w:r>
        <w:rPr>
          <w:lang w:val="fr-CA"/>
        </w:rPr>
        <w:t>à long terme</w:t>
      </w:r>
      <w:r w:rsidRPr="00BC2D48">
        <w:rPr>
          <w:lang w:val="fr-CA"/>
        </w:rPr>
        <w:t xml:space="preserve"> </w:t>
      </w:r>
      <w:r>
        <w:rPr>
          <w:lang w:val="fr-CA"/>
        </w:rPr>
        <w:t xml:space="preserve">peuvent </w:t>
      </w:r>
      <w:r w:rsidRPr="00BC2D48">
        <w:rPr>
          <w:lang w:val="fr-CA"/>
        </w:rPr>
        <w:t>avoir sur une circonscription locale, sont</w:t>
      </w:r>
      <w:r>
        <w:rPr>
          <w:lang w:val="fr-CA"/>
        </w:rPr>
        <w:t xml:space="preserve"> de nature</w:t>
      </w:r>
      <w:r w:rsidRPr="00BC2D48">
        <w:rPr>
          <w:lang w:val="fr-CA"/>
        </w:rPr>
        <w:t xml:space="preserve"> </w:t>
      </w:r>
      <w:r>
        <w:rPr>
          <w:lang w:val="fr-CA"/>
        </w:rPr>
        <w:t>hypothétique</w:t>
      </w:r>
      <w:r w:rsidRPr="00BC2D48">
        <w:rPr>
          <w:lang w:val="fr-CA"/>
        </w:rPr>
        <w:t>.</w:t>
      </w:r>
    </w:p>
    <w:p w:rsidR="001244E7" w:rsidRDefault="001244E7" w:rsidP="001244E7">
      <w:pPr>
        <w:pStyle w:val="ParaNoNdepar-AltN"/>
        <w:rPr>
          <w:lang w:val="fr-CA"/>
        </w:rPr>
      </w:pPr>
      <w:r w:rsidRPr="00BC2D48">
        <w:rPr>
          <w:lang w:val="fr-CA"/>
        </w:rPr>
        <w:t>En revanche, les effets préjudiciables de l</w:t>
      </w:r>
      <w:r>
        <w:rPr>
          <w:lang w:val="fr-CA"/>
        </w:rPr>
        <w:t>’</w:t>
      </w:r>
      <w:r w:rsidRPr="00BC2D48">
        <w:rPr>
          <w:lang w:val="fr-CA"/>
        </w:rPr>
        <w:t xml:space="preserve">atteinte sur les citoyens </w:t>
      </w:r>
      <w:proofErr w:type="spellStart"/>
      <w:r w:rsidRPr="00BC2D48">
        <w:rPr>
          <w:lang w:val="fr-CA"/>
        </w:rPr>
        <w:t>non</w:t>
      </w:r>
      <w:r>
        <w:rPr>
          <w:lang w:val="fr-CA"/>
        </w:rPr>
        <w:t xml:space="preserve"> </w:t>
      </w:r>
      <w:r w:rsidRPr="00BC2D48">
        <w:rPr>
          <w:lang w:val="fr-CA"/>
        </w:rPr>
        <w:t>résidents</w:t>
      </w:r>
      <w:proofErr w:type="spellEnd"/>
      <w:r w:rsidRPr="00BC2D48">
        <w:rPr>
          <w:lang w:val="fr-CA"/>
        </w:rPr>
        <w:t xml:space="preserve"> touchés</w:t>
      </w:r>
      <w:r>
        <w:rPr>
          <w:lang w:val="fr-CA"/>
        </w:rPr>
        <w:t xml:space="preserve"> par la mesure</w:t>
      </w:r>
      <w:r w:rsidRPr="00BC2D48">
        <w:rPr>
          <w:lang w:val="fr-CA"/>
        </w:rPr>
        <w:t xml:space="preserve"> sont graves.</w:t>
      </w:r>
      <w:r>
        <w:rPr>
          <w:lang w:val="fr-CA"/>
        </w:rPr>
        <w:t xml:space="preserve"> Comme je l’ai mentionné, </w:t>
      </w:r>
      <w:r w:rsidR="00AA5CD4">
        <w:rPr>
          <w:lang w:val="fr-CA"/>
        </w:rPr>
        <w:t>certaines décisions du gouvernement</w:t>
      </w:r>
      <w:r>
        <w:rPr>
          <w:lang w:val="fr-CA"/>
        </w:rPr>
        <w:t xml:space="preserve"> auront un effet spécial ou disproportionné sur des citoyens </w:t>
      </w:r>
      <w:proofErr w:type="spellStart"/>
      <w:r>
        <w:rPr>
          <w:lang w:val="fr-CA"/>
        </w:rPr>
        <w:t>non résidents</w:t>
      </w:r>
      <w:proofErr w:type="spellEnd"/>
      <w:r>
        <w:rPr>
          <w:lang w:val="fr-CA"/>
        </w:rPr>
        <w:t xml:space="preserve">; relativement à certaines questions, la restriction limiterait la participation des personnes qui ont </w:t>
      </w:r>
      <w:r w:rsidRPr="008245F2">
        <w:rPr>
          <w:i/>
          <w:lang w:val="fr-CA"/>
        </w:rPr>
        <w:t>le plus</w:t>
      </w:r>
      <w:r>
        <w:rPr>
          <w:lang w:val="fr-CA"/>
        </w:rPr>
        <w:t xml:space="preserve"> à perdre dans les circonstances.</w:t>
      </w:r>
      <w:r w:rsidRPr="00BC2D48">
        <w:rPr>
          <w:lang w:val="fr-CA"/>
        </w:rPr>
        <w:t xml:space="preserve"> </w:t>
      </w:r>
    </w:p>
    <w:p w:rsidR="001244E7" w:rsidRPr="00BC2D48" w:rsidRDefault="001244E7" w:rsidP="001244E7">
      <w:pPr>
        <w:pStyle w:val="ParaNoNdepar-AltN"/>
        <w:rPr>
          <w:lang w:val="fr-CA"/>
        </w:rPr>
      </w:pPr>
      <w:r w:rsidRPr="00BC2D48">
        <w:rPr>
          <w:lang w:val="fr-CA"/>
        </w:rPr>
        <w:lastRenderedPageBreak/>
        <w:t>Bon nombre de citoyens canadiens</w:t>
      </w:r>
      <w:r>
        <w:rPr>
          <w:lang w:val="fr-CA"/>
        </w:rPr>
        <w:t>,</w:t>
      </w:r>
      <w:r w:rsidRPr="00BC2D48">
        <w:rPr>
          <w:lang w:val="fr-CA"/>
        </w:rPr>
        <w:t xml:space="preserve"> parmi les meilleurs et les plus brillants</w:t>
      </w:r>
      <w:r>
        <w:rPr>
          <w:lang w:val="fr-CA"/>
        </w:rPr>
        <w:t>,</w:t>
      </w:r>
      <w:r w:rsidRPr="00BC2D48">
        <w:rPr>
          <w:lang w:val="fr-CA"/>
        </w:rPr>
        <w:t xml:space="preserve"> vivent à l</w:t>
      </w:r>
      <w:r>
        <w:rPr>
          <w:lang w:val="fr-CA"/>
        </w:rPr>
        <w:t>’</w:t>
      </w:r>
      <w:r w:rsidRPr="00BC2D48">
        <w:rPr>
          <w:lang w:val="fr-CA"/>
        </w:rPr>
        <w:t xml:space="preserve">étranger </w:t>
      </w:r>
      <w:r w:rsidRPr="00BC2D48">
        <w:rPr>
          <w:rFonts w:cs="Times New Roman"/>
          <w:lang w:val="fr-CA"/>
        </w:rPr>
        <w:t>—</w:t>
      </w:r>
      <w:r w:rsidRPr="00BC2D48">
        <w:rPr>
          <w:lang w:val="fr-CA"/>
        </w:rPr>
        <w:t xml:space="preserve"> et</w:t>
      </w:r>
      <w:r>
        <w:rPr>
          <w:lang w:val="fr-CA"/>
        </w:rPr>
        <w:t xml:space="preserve"> ils sont d’ailleurs encouragés</w:t>
      </w:r>
      <w:r w:rsidRPr="00BC2D48">
        <w:rPr>
          <w:lang w:val="fr-CA"/>
        </w:rPr>
        <w:t xml:space="preserve"> à le faire </w:t>
      </w:r>
      <w:r w:rsidRPr="00BC2D48">
        <w:rPr>
          <w:rFonts w:cs="Times New Roman"/>
          <w:lang w:val="fr-CA"/>
        </w:rPr>
        <w:t>—</w:t>
      </w:r>
      <w:r w:rsidRPr="00BC2D48">
        <w:rPr>
          <w:lang w:val="fr-CA"/>
        </w:rPr>
        <w:t xml:space="preserve"> pour toutes sortes de motifs, par exemple pour poursuivre </w:t>
      </w:r>
      <w:r>
        <w:rPr>
          <w:lang w:val="fr-CA"/>
        </w:rPr>
        <w:t>des</w:t>
      </w:r>
      <w:r w:rsidRPr="00BC2D48">
        <w:rPr>
          <w:lang w:val="fr-CA"/>
        </w:rPr>
        <w:t xml:space="preserve"> études ou </w:t>
      </w:r>
      <w:r>
        <w:rPr>
          <w:lang w:val="fr-CA"/>
        </w:rPr>
        <w:t>des</w:t>
      </w:r>
      <w:r w:rsidRPr="00BC2D48">
        <w:rPr>
          <w:lang w:val="fr-CA"/>
        </w:rPr>
        <w:t xml:space="preserve"> objectifs professionnels, et </w:t>
      </w:r>
      <w:r>
        <w:rPr>
          <w:lang w:val="fr-CA"/>
        </w:rPr>
        <w:t>ils</w:t>
      </w:r>
      <w:r w:rsidRPr="00BC2D48">
        <w:rPr>
          <w:lang w:val="fr-CA"/>
        </w:rPr>
        <w:t xml:space="preserve"> sont souvent des ambassadeurs de</w:t>
      </w:r>
      <w:r>
        <w:rPr>
          <w:lang w:val="fr-CA"/>
        </w:rPr>
        <w:t>s</w:t>
      </w:r>
      <w:r w:rsidRPr="00BC2D48">
        <w:rPr>
          <w:lang w:val="fr-CA"/>
        </w:rPr>
        <w:t xml:space="preserve"> valeurs canadiennes dans ce qu</w:t>
      </w:r>
      <w:r>
        <w:rPr>
          <w:lang w:val="fr-CA"/>
        </w:rPr>
        <w:t>’</w:t>
      </w:r>
      <w:r w:rsidRPr="00BC2D48">
        <w:rPr>
          <w:lang w:val="fr-CA"/>
        </w:rPr>
        <w:t>ils entreprennent. Parfois, la possibilité qu</w:t>
      </w:r>
      <w:r>
        <w:rPr>
          <w:lang w:val="fr-CA"/>
        </w:rPr>
        <w:t>’</w:t>
      </w:r>
      <w:r w:rsidRPr="00BC2D48">
        <w:rPr>
          <w:lang w:val="fr-CA"/>
        </w:rPr>
        <w:t xml:space="preserve">ont </w:t>
      </w:r>
      <w:r>
        <w:rPr>
          <w:lang w:val="fr-CA"/>
        </w:rPr>
        <w:t>de tels</w:t>
      </w:r>
      <w:r w:rsidRPr="00BC2D48">
        <w:rPr>
          <w:lang w:val="fr-CA"/>
        </w:rPr>
        <w:t xml:space="preserve"> citoyens de rentrer au pays est </w:t>
      </w:r>
      <w:r>
        <w:rPr>
          <w:lang w:val="fr-CA"/>
        </w:rPr>
        <w:t>entravée</w:t>
      </w:r>
      <w:r w:rsidRPr="00BC2D48">
        <w:rPr>
          <w:lang w:val="fr-CA"/>
        </w:rPr>
        <w:t xml:space="preserve"> par des circonstances indépendantes de leur volonté, </w:t>
      </w:r>
      <w:r>
        <w:rPr>
          <w:lang w:val="fr-CA"/>
        </w:rPr>
        <w:t>mais</w:t>
      </w:r>
      <w:r w:rsidRPr="00BC2D48">
        <w:rPr>
          <w:lang w:val="fr-CA"/>
        </w:rPr>
        <w:t xml:space="preserve"> ils </w:t>
      </w:r>
      <w:r>
        <w:rPr>
          <w:lang w:val="fr-CA"/>
        </w:rPr>
        <w:t>conservent</w:t>
      </w:r>
      <w:r w:rsidRPr="00BC2D48">
        <w:rPr>
          <w:lang w:val="fr-CA"/>
        </w:rPr>
        <w:t xml:space="preserve"> </w:t>
      </w:r>
      <w:r>
        <w:rPr>
          <w:lang w:val="fr-CA"/>
        </w:rPr>
        <w:t xml:space="preserve">néanmoins </w:t>
      </w:r>
      <w:r w:rsidRPr="00BC2D48">
        <w:rPr>
          <w:lang w:val="fr-CA"/>
        </w:rPr>
        <w:t xml:space="preserve">des liens solides et durables avec le Canada. Les appelants en </w:t>
      </w:r>
      <w:r>
        <w:rPr>
          <w:lang w:val="fr-CA"/>
        </w:rPr>
        <w:t>sont un bon exemple</w:t>
      </w:r>
      <w:r w:rsidRPr="00BC2D48">
        <w:rPr>
          <w:lang w:val="fr-CA"/>
        </w:rPr>
        <w:t xml:space="preserve">. Monsieur Frank a </w:t>
      </w:r>
      <w:r>
        <w:rPr>
          <w:lang w:val="fr-CA"/>
        </w:rPr>
        <w:t>grandi</w:t>
      </w:r>
      <w:r w:rsidRPr="00BC2D48">
        <w:rPr>
          <w:lang w:val="fr-CA"/>
        </w:rPr>
        <w:t xml:space="preserve"> au Canada et y a fait ses études. Il est parti vivre aux États</w:t>
      </w:r>
      <w:r>
        <w:rPr>
          <w:lang w:val="fr-CA"/>
        </w:rPr>
        <w:noBreakHyphen/>
      </w:r>
      <w:r w:rsidRPr="00BC2D48">
        <w:rPr>
          <w:lang w:val="fr-CA"/>
        </w:rPr>
        <w:t>Unis pour étudier aux cycles supérieurs</w:t>
      </w:r>
      <w:r>
        <w:rPr>
          <w:lang w:val="fr-CA"/>
        </w:rPr>
        <w:t xml:space="preserve"> à titre de </w:t>
      </w:r>
      <w:r w:rsidRPr="00BC2D48">
        <w:rPr>
          <w:lang w:val="fr-CA"/>
        </w:rPr>
        <w:t xml:space="preserve">boursier </w:t>
      </w:r>
      <w:r>
        <w:rPr>
          <w:lang w:val="fr-CA"/>
        </w:rPr>
        <w:t>émérite</w:t>
      </w:r>
      <w:r w:rsidRPr="00BC2D48">
        <w:rPr>
          <w:lang w:val="fr-CA"/>
        </w:rPr>
        <w:t>. Il n</w:t>
      </w:r>
      <w:r>
        <w:rPr>
          <w:lang w:val="fr-CA"/>
        </w:rPr>
        <w:t>’</w:t>
      </w:r>
      <w:r w:rsidRPr="00BC2D48">
        <w:rPr>
          <w:lang w:val="fr-CA"/>
        </w:rPr>
        <w:t>a pas demandé le statut d</w:t>
      </w:r>
      <w:r>
        <w:rPr>
          <w:lang w:val="fr-CA"/>
        </w:rPr>
        <w:t>’</w:t>
      </w:r>
      <w:r w:rsidRPr="00BC2D48">
        <w:rPr>
          <w:lang w:val="fr-CA"/>
        </w:rPr>
        <w:t>immigrant</w:t>
      </w:r>
      <w:r>
        <w:rPr>
          <w:lang w:val="fr-CA"/>
        </w:rPr>
        <w:t xml:space="preserve"> dans ce pays, car</w:t>
      </w:r>
      <w:r w:rsidRPr="00BC2D48">
        <w:rPr>
          <w:lang w:val="fr-CA"/>
        </w:rPr>
        <w:t xml:space="preserve"> il n</w:t>
      </w:r>
      <w:r>
        <w:rPr>
          <w:lang w:val="fr-CA"/>
        </w:rPr>
        <w:t>’</w:t>
      </w:r>
      <w:r w:rsidRPr="00BC2D48">
        <w:rPr>
          <w:lang w:val="fr-CA"/>
        </w:rPr>
        <w:t>a pas l</w:t>
      </w:r>
      <w:r>
        <w:rPr>
          <w:lang w:val="fr-CA"/>
        </w:rPr>
        <w:t>’</w:t>
      </w:r>
      <w:r w:rsidRPr="00BC2D48">
        <w:rPr>
          <w:lang w:val="fr-CA"/>
        </w:rPr>
        <w:t>intention de s</w:t>
      </w:r>
      <w:r>
        <w:rPr>
          <w:lang w:val="fr-CA"/>
        </w:rPr>
        <w:t>’</w:t>
      </w:r>
      <w:r w:rsidRPr="00BC2D48">
        <w:rPr>
          <w:lang w:val="fr-CA"/>
        </w:rPr>
        <w:t>y établir en permanence. M.</w:t>
      </w:r>
      <w:r>
        <w:rPr>
          <w:lang w:val="fr-CA"/>
        </w:rPr>
        <w:t> </w:t>
      </w:r>
      <w:proofErr w:type="spellStart"/>
      <w:r w:rsidRPr="00BC2D48">
        <w:rPr>
          <w:lang w:val="fr-CA"/>
        </w:rPr>
        <w:t>Duong</w:t>
      </w:r>
      <w:proofErr w:type="spellEnd"/>
      <w:r w:rsidRPr="00BC2D48">
        <w:rPr>
          <w:lang w:val="fr-CA"/>
        </w:rPr>
        <w:t xml:space="preserve"> est </w:t>
      </w:r>
      <w:r>
        <w:rPr>
          <w:lang w:val="fr-CA"/>
        </w:rPr>
        <w:t xml:space="preserve">aussi </w:t>
      </w:r>
      <w:r w:rsidRPr="00BC2D48">
        <w:rPr>
          <w:lang w:val="fr-CA"/>
        </w:rPr>
        <w:t>parti vivre aux États</w:t>
      </w:r>
      <w:r>
        <w:rPr>
          <w:lang w:val="fr-CA"/>
        </w:rPr>
        <w:noBreakHyphen/>
      </w:r>
      <w:r w:rsidRPr="00BC2D48">
        <w:rPr>
          <w:lang w:val="fr-CA"/>
        </w:rPr>
        <w:t xml:space="preserve">Unis pour </w:t>
      </w:r>
      <w:r>
        <w:rPr>
          <w:lang w:val="fr-CA"/>
        </w:rPr>
        <w:t>poursuivre d</w:t>
      </w:r>
      <w:r w:rsidRPr="00BC2D48">
        <w:rPr>
          <w:lang w:val="fr-CA"/>
        </w:rPr>
        <w:t xml:space="preserve">es études. Les deux appelants </w:t>
      </w:r>
      <w:r>
        <w:rPr>
          <w:lang w:val="fr-CA"/>
        </w:rPr>
        <w:t>visitent</w:t>
      </w:r>
      <w:r w:rsidRPr="00BC2D48">
        <w:rPr>
          <w:lang w:val="fr-CA"/>
        </w:rPr>
        <w:t xml:space="preserve"> régulièrement</w:t>
      </w:r>
      <w:r w:rsidRPr="00CF6460">
        <w:rPr>
          <w:lang w:val="fr-CA"/>
        </w:rPr>
        <w:t xml:space="preserve"> </w:t>
      </w:r>
      <w:r>
        <w:rPr>
          <w:lang w:val="fr-CA"/>
        </w:rPr>
        <w:t>le</w:t>
      </w:r>
      <w:r w:rsidRPr="00BC2D48">
        <w:rPr>
          <w:lang w:val="fr-CA"/>
        </w:rPr>
        <w:t xml:space="preserve"> Canada</w:t>
      </w:r>
      <w:r>
        <w:rPr>
          <w:lang w:val="fr-CA"/>
        </w:rPr>
        <w:t>,</w:t>
      </w:r>
      <w:r w:rsidRPr="00BC2D48">
        <w:rPr>
          <w:lang w:val="fr-CA"/>
        </w:rPr>
        <w:t xml:space="preserve"> demeurent activement </w:t>
      </w:r>
      <w:r>
        <w:rPr>
          <w:lang w:val="fr-CA"/>
        </w:rPr>
        <w:t>intéressés aux</w:t>
      </w:r>
      <w:r w:rsidRPr="00BC2D48">
        <w:rPr>
          <w:lang w:val="fr-CA"/>
        </w:rPr>
        <w:t xml:space="preserve"> questions canadiennes et se </w:t>
      </w:r>
      <w:r>
        <w:rPr>
          <w:lang w:val="fr-CA"/>
        </w:rPr>
        <w:t>sont efforcés de</w:t>
      </w:r>
      <w:r w:rsidRPr="00BC2D48">
        <w:rPr>
          <w:lang w:val="fr-CA"/>
        </w:rPr>
        <w:t xml:space="preserve"> démontrer leur engagement civique en votant par le passé. Ils n</w:t>
      </w:r>
      <w:r>
        <w:rPr>
          <w:lang w:val="fr-CA"/>
        </w:rPr>
        <w:t>’</w:t>
      </w:r>
      <w:r w:rsidRPr="00BC2D48">
        <w:rPr>
          <w:lang w:val="fr-CA"/>
        </w:rPr>
        <w:t>ont pas volontairement rompu leurs liens avec le Canada. Pourtant, c</w:t>
      </w:r>
      <w:r>
        <w:rPr>
          <w:lang w:val="fr-CA"/>
        </w:rPr>
        <w:t>’</w:t>
      </w:r>
      <w:r w:rsidRPr="00BC2D48">
        <w:rPr>
          <w:lang w:val="fr-CA"/>
        </w:rPr>
        <w:t>est pour ce</w:t>
      </w:r>
      <w:r>
        <w:rPr>
          <w:lang w:val="fr-CA"/>
        </w:rPr>
        <w:t xml:space="preserve"> seul</w:t>
      </w:r>
      <w:r w:rsidRPr="00BC2D48">
        <w:rPr>
          <w:lang w:val="fr-CA"/>
        </w:rPr>
        <w:t xml:space="preserve"> motif qu</w:t>
      </w:r>
      <w:r>
        <w:rPr>
          <w:lang w:val="fr-CA"/>
        </w:rPr>
        <w:t>’</w:t>
      </w:r>
      <w:r w:rsidRPr="00BC2D48">
        <w:rPr>
          <w:lang w:val="fr-CA"/>
        </w:rPr>
        <w:t xml:space="preserve">ils se voient </w:t>
      </w:r>
      <w:r>
        <w:rPr>
          <w:lang w:val="fr-CA"/>
        </w:rPr>
        <w:t>privés d’</w:t>
      </w:r>
      <w:r w:rsidRPr="00BC2D48">
        <w:rPr>
          <w:lang w:val="fr-CA"/>
        </w:rPr>
        <w:t>un droit démocratique fondamental.</w:t>
      </w:r>
    </w:p>
    <w:p w:rsidR="001244E7" w:rsidRPr="00BC2D48" w:rsidRDefault="001244E7" w:rsidP="001244E7">
      <w:pPr>
        <w:pStyle w:val="ParaNoNdepar-AltN"/>
        <w:rPr>
          <w:lang w:val="fr-CA"/>
        </w:rPr>
      </w:pPr>
      <w:r>
        <w:rPr>
          <w:lang w:val="fr-CA"/>
        </w:rPr>
        <w:t>Il ne sert à rien d’a</w:t>
      </w:r>
      <w:r w:rsidRPr="00BC2D48">
        <w:rPr>
          <w:lang w:val="fr-CA"/>
        </w:rPr>
        <w:t>ffirmer que les effets préjudiciables sont [</w:t>
      </w:r>
      <w:r w:rsidRPr="00BC2D48">
        <w:rPr>
          <w:smallCaps/>
          <w:lang w:val="fr-CA"/>
        </w:rPr>
        <w:t>traduction</w:t>
      </w:r>
      <w:r w:rsidRPr="00BC2D48">
        <w:rPr>
          <w:lang w:val="fr-CA"/>
        </w:rPr>
        <w:t xml:space="preserve">] « mesurés » </w:t>
      </w:r>
      <w:r>
        <w:rPr>
          <w:lang w:val="fr-CA"/>
        </w:rPr>
        <w:t>et que</w:t>
      </w:r>
      <w:r w:rsidRPr="00BC2D48">
        <w:rPr>
          <w:lang w:val="fr-CA"/>
        </w:rPr>
        <w:t xml:space="preserve"> le</w:t>
      </w:r>
      <w:r>
        <w:rPr>
          <w:lang w:val="fr-CA"/>
        </w:rPr>
        <w:t>s</w:t>
      </w:r>
      <w:r w:rsidRPr="00BC2D48">
        <w:rPr>
          <w:lang w:val="fr-CA"/>
        </w:rPr>
        <w:t xml:space="preserve"> citoyen</w:t>
      </w:r>
      <w:r>
        <w:rPr>
          <w:lang w:val="fr-CA"/>
        </w:rPr>
        <w:t>s</w:t>
      </w:r>
      <w:r w:rsidRPr="00BC2D48">
        <w:rPr>
          <w:lang w:val="fr-CA"/>
        </w:rPr>
        <w:t xml:space="preserve"> </w:t>
      </w:r>
      <w:proofErr w:type="spellStart"/>
      <w:r w:rsidRPr="00BC2D48">
        <w:rPr>
          <w:lang w:val="fr-CA"/>
        </w:rPr>
        <w:t>non</w:t>
      </w:r>
      <w:r>
        <w:rPr>
          <w:lang w:val="fr-CA"/>
        </w:rPr>
        <w:t xml:space="preserve"> </w:t>
      </w:r>
      <w:r w:rsidRPr="00BC2D48">
        <w:rPr>
          <w:lang w:val="fr-CA"/>
        </w:rPr>
        <w:t>résident</w:t>
      </w:r>
      <w:r>
        <w:rPr>
          <w:lang w:val="fr-CA"/>
        </w:rPr>
        <w:t>s</w:t>
      </w:r>
      <w:proofErr w:type="spellEnd"/>
      <w:r w:rsidRPr="00BC2D48">
        <w:rPr>
          <w:lang w:val="fr-CA"/>
        </w:rPr>
        <w:t xml:space="preserve"> peu</w:t>
      </w:r>
      <w:r>
        <w:rPr>
          <w:lang w:val="fr-CA"/>
        </w:rPr>
        <w:t>ven</w:t>
      </w:r>
      <w:r w:rsidRPr="00BC2D48">
        <w:rPr>
          <w:lang w:val="fr-CA"/>
        </w:rPr>
        <w:t>t revenir vivre au pays quand il</w:t>
      </w:r>
      <w:r>
        <w:rPr>
          <w:lang w:val="fr-CA"/>
        </w:rPr>
        <w:t>s</w:t>
      </w:r>
      <w:r w:rsidRPr="00BC2D48">
        <w:rPr>
          <w:lang w:val="fr-CA"/>
        </w:rPr>
        <w:t xml:space="preserve"> veu</w:t>
      </w:r>
      <w:r>
        <w:rPr>
          <w:lang w:val="fr-CA"/>
        </w:rPr>
        <w:t>len</w:t>
      </w:r>
      <w:r w:rsidRPr="00BC2D48">
        <w:rPr>
          <w:lang w:val="fr-CA"/>
        </w:rPr>
        <w:t>t</w:t>
      </w:r>
      <w:r>
        <w:rPr>
          <w:lang w:val="fr-CA"/>
        </w:rPr>
        <w:t>,</w:t>
      </w:r>
      <w:r w:rsidRPr="00BC2D48">
        <w:rPr>
          <w:lang w:val="fr-CA"/>
        </w:rPr>
        <w:t xml:space="preserve"> et </w:t>
      </w:r>
      <w:r>
        <w:rPr>
          <w:lang w:val="fr-CA"/>
        </w:rPr>
        <w:t>de cette façon</w:t>
      </w:r>
      <w:r w:rsidRPr="00BC2D48">
        <w:rPr>
          <w:lang w:val="fr-CA"/>
        </w:rPr>
        <w:t xml:space="preserve"> retrouver le droit de vote </w:t>
      </w:r>
      <w:r>
        <w:rPr>
          <w:lang w:val="fr-CA"/>
        </w:rPr>
        <w:t>(motifs de la</w:t>
      </w:r>
      <w:r w:rsidRPr="00BC2D48">
        <w:rPr>
          <w:lang w:val="fr-CA"/>
        </w:rPr>
        <w:t xml:space="preserve"> C</w:t>
      </w:r>
      <w:r>
        <w:rPr>
          <w:lang w:val="fr-CA"/>
        </w:rPr>
        <w:t>.A.</w:t>
      </w:r>
      <w:r w:rsidRPr="00BC2D48">
        <w:rPr>
          <w:lang w:val="fr-CA"/>
        </w:rPr>
        <w:t xml:space="preserve">, </w:t>
      </w:r>
      <w:r>
        <w:rPr>
          <w:lang w:val="fr-CA"/>
        </w:rPr>
        <w:t>par. </w:t>
      </w:r>
      <w:r w:rsidRPr="00BC2D48">
        <w:rPr>
          <w:lang w:val="fr-CA"/>
        </w:rPr>
        <w:t>157</w:t>
      </w:r>
      <w:r>
        <w:rPr>
          <w:lang w:val="fr-CA"/>
        </w:rPr>
        <w:t>)</w:t>
      </w:r>
      <w:r w:rsidRPr="00BC2D48">
        <w:rPr>
          <w:lang w:val="fr-CA"/>
        </w:rPr>
        <w:t>. Cette justification repose sur une interprétation erronée de la nature du choix qui s</w:t>
      </w:r>
      <w:r>
        <w:rPr>
          <w:lang w:val="fr-CA"/>
        </w:rPr>
        <w:t>’</w:t>
      </w:r>
      <w:r w:rsidRPr="00BC2D48">
        <w:rPr>
          <w:lang w:val="fr-CA"/>
        </w:rPr>
        <w:t>offr</w:t>
      </w:r>
      <w:r>
        <w:rPr>
          <w:lang w:val="fr-CA"/>
        </w:rPr>
        <w:t>e</w:t>
      </w:r>
      <w:r w:rsidRPr="00BC2D48">
        <w:rPr>
          <w:lang w:val="fr-CA"/>
        </w:rPr>
        <w:t xml:space="preserve"> aux citoyens </w:t>
      </w:r>
      <w:proofErr w:type="spellStart"/>
      <w:r w:rsidRPr="00BC2D48">
        <w:rPr>
          <w:lang w:val="fr-CA"/>
        </w:rPr>
        <w:t>non</w:t>
      </w:r>
      <w:r>
        <w:rPr>
          <w:lang w:val="fr-CA"/>
        </w:rPr>
        <w:t xml:space="preserve"> </w:t>
      </w:r>
      <w:r w:rsidRPr="00BC2D48">
        <w:rPr>
          <w:lang w:val="fr-CA"/>
        </w:rPr>
        <w:t>résidents</w:t>
      </w:r>
      <w:proofErr w:type="spellEnd"/>
      <w:r>
        <w:rPr>
          <w:lang w:val="fr-CA"/>
        </w:rPr>
        <w:t>;</w:t>
      </w:r>
      <w:r w:rsidRPr="00BC2D48">
        <w:rPr>
          <w:lang w:val="fr-CA"/>
        </w:rPr>
        <w:t xml:space="preserve"> pl</w:t>
      </w:r>
      <w:r>
        <w:rPr>
          <w:lang w:val="fr-CA"/>
        </w:rPr>
        <w:t xml:space="preserve">us fondamentalement, elle déforme l’approche </w:t>
      </w:r>
      <w:r w:rsidRPr="00BC2D48">
        <w:rPr>
          <w:lang w:val="fr-CA"/>
        </w:rPr>
        <w:t xml:space="preserve">appropriée </w:t>
      </w:r>
      <w:r>
        <w:rPr>
          <w:lang w:val="fr-CA"/>
        </w:rPr>
        <w:t>pour</w:t>
      </w:r>
      <w:r w:rsidRPr="00BC2D48">
        <w:rPr>
          <w:lang w:val="fr-CA"/>
        </w:rPr>
        <w:t xml:space="preserve"> justifier une atteinte à la </w:t>
      </w:r>
      <w:r w:rsidRPr="00BC2D48">
        <w:rPr>
          <w:i/>
          <w:lang w:val="fr-CA"/>
        </w:rPr>
        <w:t>Charte</w:t>
      </w:r>
      <w:r w:rsidRPr="00BC2D48">
        <w:rPr>
          <w:lang w:val="fr-CA"/>
        </w:rPr>
        <w:t>. Prétendre que l</w:t>
      </w:r>
      <w:r>
        <w:rPr>
          <w:lang w:val="fr-CA"/>
        </w:rPr>
        <w:t>’</w:t>
      </w:r>
      <w:r w:rsidRPr="00BC2D48">
        <w:rPr>
          <w:lang w:val="fr-CA"/>
        </w:rPr>
        <w:t xml:space="preserve">atteinte prend fin lorsque les </w:t>
      </w:r>
      <w:r w:rsidRPr="00BC2D48">
        <w:rPr>
          <w:lang w:val="fr-CA"/>
        </w:rPr>
        <w:lastRenderedPageBreak/>
        <w:t xml:space="preserve">citoyens touchés redeviennent résidents du </w:t>
      </w:r>
      <w:r>
        <w:rPr>
          <w:lang w:val="fr-CA"/>
        </w:rPr>
        <w:t>Canada n’efface en rien le</w:t>
      </w:r>
      <w:r w:rsidRPr="00BC2D48">
        <w:rPr>
          <w:lang w:val="fr-CA"/>
        </w:rPr>
        <w:t xml:space="preserve"> préjudice </w:t>
      </w:r>
      <w:r>
        <w:rPr>
          <w:lang w:val="fr-CA"/>
        </w:rPr>
        <w:t>causé</w:t>
      </w:r>
      <w:r w:rsidRPr="00BC2D48">
        <w:rPr>
          <w:lang w:val="fr-CA"/>
        </w:rPr>
        <w:t xml:space="preserve"> par </w:t>
      </w:r>
      <w:r>
        <w:rPr>
          <w:lang w:val="fr-CA"/>
        </w:rPr>
        <w:t>l’interdiction</w:t>
      </w:r>
      <w:r w:rsidRPr="00D26FE5">
        <w:rPr>
          <w:lang w:val="fr-CA"/>
        </w:rPr>
        <w:t xml:space="preserve"> absolu</w:t>
      </w:r>
      <w:r>
        <w:rPr>
          <w:lang w:val="fr-CA"/>
        </w:rPr>
        <w:t xml:space="preserve">e d’exercer </w:t>
      </w:r>
      <w:r w:rsidRPr="00BC2D48">
        <w:rPr>
          <w:lang w:val="fr-CA"/>
        </w:rPr>
        <w:t>un droit démocratique fondament</w:t>
      </w:r>
      <w:r>
        <w:rPr>
          <w:lang w:val="fr-CA"/>
        </w:rPr>
        <w:t xml:space="preserve">al. </w:t>
      </w:r>
      <w:r w:rsidRPr="00BC2D48">
        <w:rPr>
          <w:lang w:val="fr-CA"/>
        </w:rPr>
        <w:t>En aucun</w:t>
      </w:r>
      <w:r>
        <w:rPr>
          <w:lang w:val="fr-CA"/>
        </w:rPr>
        <w:t>e</w:t>
      </w:r>
      <w:r w:rsidRPr="00BC2D48">
        <w:rPr>
          <w:lang w:val="fr-CA"/>
        </w:rPr>
        <w:t xml:space="preserve"> autre c</w:t>
      </w:r>
      <w:r>
        <w:rPr>
          <w:lang w:val="fr-CA"/>
        </w:rPr>
        <w:t>ircons</w:t>
      </w:r>
      <w:r w:rsidRPr="00BC2D48">
        <w:rPr>
          <w:lang w:val="fr-CA"/>
        </w:rPr>
        <w:t>t</w:t>
      </w:r>
      <w:r>
        <w:rPr>
          <w:lang w:val="fr-CA"/>
        </w:rPr>
        <w:t>anc</w:t>
      </w:r>
      <w:r w:rsidRPr="00BC2D48">
        <w:rPr>
          <w:lang w:val="fr-CA"/>
        </w:rPr>
        <w:t xml:space="preserve">e </w:t>
      </w:r>
      <w:r>
        <w:rPr>
          <w:lang w:val="fr-CA"/>
        </w:rPr>
        <w:t>nous ne</w:t>
      </w:r>
      <w:r w:rsidRPr="00BC2D48">
        <w:rPr>
          <w:lang w:val="fr-CA"/>
        </w:rPr>
        <w:t xml:space="preserve"> tolérons l</w:t>
      </w:r>
      <w:r>
        <w:rPr>
          <w:lang w:val="fr-CA"/>
        </w:rPr>
        <w:t>’</w:t>
      </w:r>
      <w:r w:rsidRPr="00BC2D48">
        <w:rPr>
          <w:lang w:val="fr-CA"/>
        </w:rPr>
        <w:t>idée qu</w:t>
      </w:r>
      <w:r>
        <w:rPr>
          <w:lang w:val="fr-CA"/>
        </w:rPr>
        <w:t>’</w:t>
      </w:r>
      <w:r w:rsidRPr="00BC2D48">
        <w:rPr>
          <w:lang w:val="fr-CA"/>
        </w:rPr>
        <w:t xml:space="preserve">une personne puisse </w:t>
      </w:r>
      <w:r>
        <w:rPr>
          <w:lang w:val="fr-CA"/>
        </w:rPr>
        <w:t xml:space="preserve">regagner </w:t>
      </w:r>
      <w:r w:rsidRPr="00BC2D48">
        <w:rPr>
          <w:lang w:val="fr-CA"/>
        </w:rPr>
        <w:t xml:space="preserve">ses droits garantis par la </w:t>
      </w:r>
      <w:r w:rsidRPr="00BC2D48">
        <w:rPr>
          <w:i/>
          <w:lang w:val="fr-CA"/>
        </w:rPr>
        <w:t>Charte</w:t>
      </w:r>
      <w:r w:rsidRPr="00BC2D48">
        <w:rPr>
          <w:lang w:val="fr-CA"/>
        </w:rPr>
        <w:t xml:space="preserve"> </w:t>
      </w:r>
      <w:r>
        <w:rPr>
          <w:lang w:val="fr-CA"/>
        </w:rPr>
        <w:t>au moyen d’</w:t>
      </w:r>
      <w:r w:rsidRPr="00BC2D48">
        <w:rPr>
          <w:lang w:val="fr-CA"/>
        </w:rPr>
        <w:t>une conduite volontaire. Un tel raisonnement doit</w:t>
      </w:r>
      <w:r>
        <w:rPr>
          <w:lang w:val="fr-CA"/>
        </w:rPr>
        <w:t xml:space="preserve"> également</w:t>
      </w:r>
      <w:r w:rsidRPr="00BC2D48">
        <w:rPr>
          <w:lang w:val="fr-CA"/>
        </w:rPr>
        <w:t xml:space="preserve"> </w:t>
      </w:r>
      <w:r>
        <w:rPr>
          <w:lang w:val="fr-CA"/>
        </w:rPr>
        <w:t>échouer</w:t>
      </w:r>
      <w:r w:rsidRPr="009964EF">
        <w:rPr>
          <w:lang w:val="fr-CA"/>
        </w:rPr>
        <w:t xml:space="preserve"> </w:t>
      </w:r>
      <w:r w:rsidRPr="00BC2D48">
        <w:rPr>
          <w:lang w:val="fr-CA"/>
        </w:rPr>
        <w:t>en l</w:t>
      </w:r>
      <w:r>
        <w:rPr>
          <w:lang w:val="fr-CA"/>
        </w:rPr>
        <w:t>’</w:t>
      </w:r>
      <w:r w:rsidRPr="00BC2D48">
        <w:rPr>
          <w:lang w:val="fr-CA"/>
        </w:rPr>
        <w:t>espèce</w:t>
      </w:r>
      <w:r>
        <w:rPr>
          <w:lang w:val="fr-CA"/>
        </w:rPr>
        <w:t>.</w:t>
      </w:r>
      <w:r w:rsidRPr="00BC2D48">
        <w:rPr>
          <w:lang w:val="fr-CA"/>
        </w:rPr>
        <w:t xml:space="preserve"> Comme l</w:t>
      </w:r>
      <w:r>
        <w:rPr>
          <w:lang w:val="fr-CA"/>
        </w:rPr>
        <w:t>’</w:t>
      </w:r>
      <w:r w:rsidRPr="00BC2D48">
        <w:rPr>
          <w:lang w:val="fr-CA"/>
        </w:rPr>
        <w:t xml:space="preserve">a fait observer </w:t>
      </w:r>
      <w:r>
        <w:rPr>
          <w:lang w:val="fr-CA"/>
        </w:rPr>
        <w:t>la</w:t>
      </w:r>
      <w:r w:rsidRPr="00BC2D48">
        <w:rPr>
          <w:lang w:val="fr-CA"/>
        </w:rPr>
        <w:t xml:space="preserve"> Cour en réponse à un argument semblable présenté dans </w:t>
      </w:r>
      <w:r w:rsidRPr="00BC2D48">
        <w:rPr>
          <w:i/>
          <w:lang w:val="fr-CA"/>
        </w:rPr>
        <w:t>Sauvé n</w:t>
      </w:r>
      <w:r w:rsidRPr="00BC2D48">
        <w:rPr>
          <w:i/>
          <w:vertAlign w:val="superscript"/>
          <w:lang w:val="fr-CA"/>
        </w:rPr>
        <w:t>o</w:t>
      </w:r>
      <w:r>
        <w:rPr>
          <w:i/>
          <w:lang w:val="fr-CA"/>
        </w:rPr>
        <w:t> </w:t>
      </w:r>
      <w:r w:rsidRPr="00BC2D48">
        <w:rPr>
          <w:i/>
          <w:lang w:val="fr-CA"/>
        </w:rPr>
        <w:t>2</w:t>
      </w:r>
      <w:r w:rsidRPr="00BC2D48">
        <w:rPr>
          <w:lang w:val="fr-CA"/>
        </w:rPr>
        <w:t>, « [l]es messages qui n</w:t>
      </w:r>
      <w:r>
        <w:rPr>
          <w:lang w:val="fr-CA"/>
        </w:rPr>
        <w:t>’</w:t>
      </w:r>
      <w:r w:rsidRPr="00BC2D48">
        <w:rPr>
          <w:lang w:val="fr-CA"/>
        </w:rPr>
        <w:t>ont pas été entendus ne peuvent être récupérés, et la perspective de pouvoir un jour participer au système politique est une bien mince consolation pour ceux qui sont actuellement privés de leurs droits » (</w:t>
      </w:r>
      <w:r>
        <w:rPr>
          <w:lang w:val="fr-CA"/>
        </w:rPr>
        <w:t>par. </w:t>
      </w:r>
      <w:r w:rsidRPr="00BC2D48">
        <w:rPr>
          <w:lang w:val="fr-CA"/>
        </w:rPr>
        <w:t>60).</w:t>
      </w:r>
    </w:p>
    <w:p w:rsidR="001244E7" w:rsidRPr="00BC2D48" w:rsidRDefault="001244E7" w:rsidP="001244E7">
      <w:pPr>
        <w:pStyle w:val="ParaNoNdepar-AltN"/>
        <w:rPr>
          <w:lang w:val="fr-CA"/>
        </w:rPr>
      </w:pPr>
      <w:r w:rsidRPr="00BC2D48">
        <w:rPr>
          <w:lang w:val="fr-CA"/>
        </w:rPr>
        <w:t>Le</w:t>
      </w:r>
      <w:r>
        <w:rPr>
          <w:lang w:val="fr-CA"/>
        </w:rPr>
        <w:t xml:space="preserve"> droit de</w:t>
      </w:r>
      <w:r w:rsidRPr="00BC2D48">
        <w:rPr>
          <w:lang w:val="fr-CA"/>
        </w:rPr>
        <w:t xml:space="preserve"> vote est la pierre angulaire de notre démocratie. Priver certains citoyens du droit de vote frappe </w:t>
      </w:r>
      <w:r>
        <w:rPr>
          <w:lang w:val="fr-CA"/>
        </w:rPr>
        <w:t xml:space="preserve">non seulement </w:t>
      </w:r>
      <w:r w:rsidRPr="00BC2D48">
        <w:rPr>
          <w:lang w:val="fr-CA"/>
        </w:rPr>
        <w:t xml:space="preserve">au cœur de leurs droits fondamentaux, mais se fait aussi au détriment de leur dignité et de leur valeur </w:t>
      </w:r>
      <w:r>
        <w:rPr>
          <w:lang w:val="fr-CA"/>
        </w:rPr>
        <w:t>intrinsèques</w:t>
      </w:r>
      <w:r w:rsidRPr="00BC2D48">
        <w:rPr>
          <w:lang w:val="fr-CA"/>
        </w:rPr>
        <w:t xml:space="preserve"> (</w:t>
      </w:r>
      <w:r w:rsidRPr="00BC2D48">
        <w:rPr>
          <w:i/>
          <w:lang w:val="fr-CA"/>
        </w:rPr>
        <w:t>Sauvé n</w:t>
      </w:r>
      <w:r w:rsidRPr="00BC2D48">
        <w:rPr>
          <w:i/>
          <w:vertAlign w:val="superscript"/>
          <w:lang w:val="fr-CA"/>
        </w:rPr>
        <w:t>o</w:t>
      </w:r>
      <w:r>
        <w:rPr>
          <w:i/>
          <w:lang w:val="fr-CA"/>
        </w:rPr>
        <w:t> </w:t>
      </w:r>
      <w:r w:rsidRPr="00BC2D48">
        <w:rPr>
          <w:i/>
          <w:lang w:val="fr-CA"/>
        </w:rPr>
        <w:t>2</w:t>
      </w:r>
      <w:r w:rsidRPr="00BC2D48">
        <w:rPr>
          <w:lang w:val="fr-CA"/>
        </w:rPr>
        <w:t xml:space="preserve">, </w:t>
      </w:r>
      <w:r>
        <w:rPr>
          <w:lang w:val="fr-CA"/>
        </w:rPr>
        <w:t>par. </w:t>
      </w:r>
      <w:r w:rsidRPr="00BC2D48">
        <w:rPr>
          <w:lang w:val="fr-CA"/>
        </w:rPr>
        <w:t>35). Comme</w:t>
      </w:r>
      <w:r w:rsidRPr="00085861">
        <w:rPr>
          <w:lang w:val="fr-CA"/>
        </w:rPr>
        <w:t xml:space="preserve"> </w:t>
      </w:r>
      <w:r w:rsidRPr="00BC2D48">
        <w:rPr>
          <w:lang w:val="fr-CA"/>
        </w:rPr>
        <w:t>l</w:t>
      </w:r>
      <w:r>
        <w:rPr>
          <w:lang w:val="fr-CA"/>
        </w:rPr>
        <w:t>’</w:t>
      </w:r>
      <w:r w:rsidRPr="00BC2D48">
        <w:rPr>
          <w:lang w:val="fr-CA"/>
        </w:rPr>
        <w:t xml:space="preserve">a fait observer la juge en chef </w:t>
      </w:r>
      <w:proofErr w:type="spellStart"/>
      <w:r w:rsidRPr="00BC2D48">
        <w:rPr>
          <w:lang w:val="fr-CA"/>
        </w:rPr>
        <w:t>McLachlin</w:t>
      </w:r>
      <w:proofErr w:type="spellEnd"/>
      <w:r w:rsidRPr="00BC2D48">
        <w:rPr>
          <w:lang w:val="fr-CA"/>
        </w:rPr>
        <w:t xml:space="preserve"> dans </w:t>
      </w:r>
      <w:r w:rsidRPr="00BC2D48">
        <w:rPr>
          <w:i/>
          <w:lang w:val="fr-CA"/>
        </w:rPr>
        <w:t>Sauvé n</w:t>
      </w:r>
      <w:r w:rsidRPr="00BC2D48">
        <w:rPr>
          <w:i/>
          <w:vertAlign w:val="superscript"/>
          <w:lang w:val="fr-CA"/>
        </w:rPr>
        <w:t>o</w:t>
      </w:r>
      <w:r>
        <w:rPr>
          <w:i/>
          <w:lang w:val="fr-CA"/>
        </w:rPr>
        <w:t> </w:t>
      </w:r>
      <w:r w:rsidRPr="00BC2D48">
        <w:rPr>
          <w:i/>
          <w:lang w:val="fr-CA"/>
        </w:rPr>
        <w:t>2</w:t>
      </w:r>
      <w:r w:rsidRPr="00BC2D48">
        <w:rPr>
          <w:lang w:val="fr-CA"/>
        </w:rPr>
        <w:t xml:space="preserve">, « [e]n </w:t>
      </w:r>
      <w:proofErr w:type="gramStart"/>
      <w:r w:rsidRPr="00BC2D48">
        <w:rPr>
          <w:lang w:val="fr-CA"/>
        </w:rPr>
        <w:t>présence</w:t>
      </w:r>
      <w:proofErr w:type="gramEnd"/>
      <w:r w:rsidRPr="00BC2D48">
        <w:rPr>
          <w:lang w:val="fr-CA"/>
        </w:rPr>
        <w:t xml:space="preserve"> d</w:t>
      </w:r>
      <w:r>
        <w:rPr>
          <w:lang w:val="fr-CA"/>
        </w:rPr>
        <w:t>’</w:t>
      </w:r>
      <w:r w:rsidRPr="00BC2D48">
        <w:rPr>
          <w:lang w:val="fr-CA"/>
        </w:rPr>
        <w:t>une atteinte à des droits politiques fondamentaux, la preuve d</w:t>
      </w:r>
      <w:r>
        <w:rPr>
          <w:lang w:val="fr-CA"/>
        </w:rPr>
        <w:t>’</w:t>
      </w:r>
      <w:r w:rsidRPr="00BC2D48">
        <w:rPr>
          <w:lang w:val="fr-CA"/>
        </w:rPr>
        <w:t>un préjudice additionnel n</w:t>
      </w:r>
      <w:r>
        <w:rPr>
          <w:lang w:val="fr-CA"/>
        </w:rPr>
        <w:t>’</w:t>
      </w:r>
      <w:r w:rsidRPr="00BC2D48">
        <w:rPr>
          <w:lang w:val="fr-CA"/>
        </w:rPr>
        <w:t>est pas nécessaire » (</w:t>
      </w:r>
      <w:r>
        <w:rPr>
          <w:lang w:val="fr-CA"/>
        </w:rPr>
        <w:t>par. </w:t>
      </w:r>
      <w:r w:rsidRPr="00BC2D48">
        <w:rPr>
          <w:lang w:val="fr-CA"/>
        </w:rPr>
        <w:t xml:space="preserve">59). Autrement dit, </w:t>
      </w:r>
      <w:r>
        <w:rPr>
          <w:lang w:val="fr-CA"/>
        </w:rPr>
        <w:t>la privation d</w:t>
      </w:r>
      <w:r w:rsidRPr="00BC2D48">
        <w:rPr>
          <w:lang w:val="fr-CA"/>
        </w:rPr>
        <w:t xml:space="preserve">u droit fondamental de voter </w:t>
      </w:r>
      <w:r>
        <w:rPr>
          <w:lang w:val="fr-CA"/>
        </w:rPr>
        <w:t>entraîne,</w:t>
      </w:r>
      <w:r w:rsidRPr="00BC2D48">
        <w:rPr>
          <w:lang w:val="fr-CA"/>
        </w:rPr>
        <w:t xml:space="preserve"> </w:t>
      </w:r>
      <w:r w:rsidRPr="00BC2D48">
        <w:rPr>
          <w:i/>
          <w:lang w:val="fr-CA"/>
        </w:rPr>
        <w:t>en soi</w:t>
      </w:r>
      <w:r>
        <w:rPr>
          <w:lang w:val="fr-CA"/>
        </w:rPr>
        <w:t>, un préjudice</w:t>
      </w:r>
      <w:r w:rsidRPr="00BC2D48">
        <w:rPr>
          <w:lang w:val="fr-CA"/>
        </w:rPr>
        <w:t xml:space="preserve"> </w:t>
      </w:r>
      <w:r>
        <w:rPr>
          <w:lang w:val="fr-CA"/>
        </w:rPr>
        <w:t>pour les</w:t>
      </w:r>
      <w:r w:rsidRPr="00BC2D48">
        <w:rPr>
          <w:lang w:val="fr-CA"/>
        </w:rPr>
        <w:t xml:space="preserve"> citoyens touchés. Cela est particulièrement vrai lorsqu</w:t>
      </w:r>
      <w:r>
        <w:rPr>
          <w:lang w:val="fr-CA"/>
        </w:rPr>
        <w:t>’</w:t>
      </w:r>
      <w:r w:rsidRPr="00BC2D48">
        <w:rPr>
          <w:lang w:val="fr-CA"/>
        </w:rPr>
        <w:t>il n</w:t>
      </w:r>
      <w:r>
        <w:rPr>
          <w:lang w:val="fr-CA"/>
        </w:rPr>
        <w:t>’</w:t>
      </w:r>
      <w:r w:rsidRPr="00BC2D48">
        <w:rPr>
          <w:lang w:val="fr-CA"/>
        </w:rPr>
        <w:t>existe tout simplement aucune raison convaincante qui justifie</w:t>
      </w:r>
      <w:r>
        <w:rPr>
          <w:lang w:val="fr-CA"/>
        </w:rPr>
        <w:t xml:space="preserve"> la privation</w:t>
      </w:r>
      <w:r w:rsidRPr="00BC2D48">
        <w:rPr>
          <w:lang w:val="fr-CA"/>
        </w:rPr>
        <w:t>. En l</w:t>
      </w:r>
      <w:r>
        <w:rPr>
          <w:lang w:val="fr-CA"/>
        </w:rPr>
        <w:t>’</w:t>
      </w:r>
      <w:r w:rsidRPr="00BC2D48">
        <w:rPr>
          <w:lang w:val="fr-CA"/>
        </w:rPr>
        <w:t xml:space="preserve">absence de preuve indiquant un problème </w:t>
      </w:r>
      <w:r>
        <w:rPr>
          <w:lang w:val="fr-CA"/>
        </w:rPr>
        <w:t>réel</w:t>
      </w:r>
      <w:r w:rsidRPr="00BC2D48">
        <w:rPr>
          <w:lang w:val="fr-CA"/>
        </w:rPr>
        <w:t>, la justification se réduit à un argument fondé sur la valeur</w:t>
      </w:r>
      <w:r>
        <w:rPr>
          <w:lang w:val="fr-CA"/>
        </w:rPr>
        <w:t> :</w:t>
      </w:r>
      <w:r w:rsidRPr="00BC2D48">
        <w:rPr>
          <w:lang w:val="fr-CA"/>
        </w:rPr>
        <w:t xml:space="preserve"> </w:t>
      </w:r>
      <w:r>
        <w:rPr>
          <w:lang w:val="fr-CA"/>
        </w:rPr>
        <w:t>l</w:t>
      </w:r>
      <w:r w:rsidRPr="00BC2D48">
        <w:rPr>
          <w:lang w:val="fr-CA"/>
        </w:rPr>
        <w:t xml:space="preserve">es citoyens </w:t>
      </w:r>
      <w:proofErr w:type="spellStart"/>
      <w:r w:rsidRPr="00BC2D48">
        <w:rPr>
          <w:lang w:val="fr-CA"/>
        </w:rPr>
        <w:t>non</w:t>
      </w:r>
      <w:r>
        <w:rPr>
          <w:lang w:val="fr-CA"/>
        </w:rPr>
        <w:t xml:space="preserve"> </w:t>
      </w:r>
      <w:r w:rsidRPr="00BC2D48">
        <w:rPr>
          <w:lang w:val="fr-CA"/>
        </w:rPr>
        <w:t>résidents</w:t>
      </w:r>
      <w:proofErr w:type="spellEnd"/>
      <w:r w:rsidRPr="00BC2D48">
        <w:rPr>
          <w:lang w:val="fr-CA"/>
        </w:rPr>
        <w:t xml:space="preserve"> </w:t>
      </w:r>
      <w:r>
        <w:rPr>
          <w:lang w:val="fr-CA"/>
        </w:rPr>
        <w:t xml:space="preserve">en question </w:t>
      </w:r>
      <w:r w:rsidRPr="00BC2D48">
        <w:rPr>
          <w:lang w:val="fr-CA"/>
        </w:rPr>
        <w:t xml:space="preserve">sont réputés </w:t>
      </w:r>
      <w:r>
        <w:rPr>
          <w:lang w:val="fr-CA"/>
        </w:rPr>
        <w:t>mériter</w:t>
      </w:r>
      <w:r w:rsidRPr="00BC2D48">
        <w:rPr>
          <w:lang w:val="fr-CA"/>
        </w:rPr>
        <w:t xml:space="preserve"> moins</w:t>
      </w:r>
      <w:r>
        <w:rPr>
          <w:lang w:val="fr-CA"/>
        </w:rPr>
        <w:t xml:space="preserve"> le</w:t>
      </w:r>
      <w:r w:rsidRPr="00BC2D48">
        <w:rPr>
          <w:lang w:val="fr-CA"/>
        </w:rPr>
        <w:t xml:space="preserve"> droit de vo</w:t>
      </w:r>
      <w:r>
        <w:rPr>
          <w:lang w:val="fr-CA"/>
        </w:rPr>
        <w:t>te que la majorité résidente au motif</w:t>
      </w:r>
      <w:r w:rsidRPr="00BC2D48">
        <w:rPr>
          <w:lang w:val="fr-CA"/>
        </w:rPr>
        <w:t xml:space="preserve"> qu</w:t>
      </w:r>
      <w:r>
        <w:rPr>
          <w:lang w:val="fr-CA"/>
        </w:rPr>
        <w:t>’</w:t>
      </w:r>
      <w:r w:rsidRPr="00BC2D48">
        <w:rPr>
          <w:lang w:val="fr-CA"/>
        </w:rPr>
        <w:t xml:space="preserve">ils ont volontairement quitté le Canada et rompu leur lien avec le pays. Cependant, </w:t>
      </w:r>
      <w:r>
        <w:rPr>
          <w:lang w:val="fr-CA"/>
        </w:rPr>
        <w:t>notre Cour a rejeté à bon droit le</w:t>
      </w:r>
      <w:r w:rsidRPr="00BC2D48">
        <w:rPr>
          <w:lang w:val="fr-CA"/>
        </w:rPr>
        <w:t xml:space="preserve"> recours à de telles </w:t>
      </w:r>
      <w:r>
        <w:rPr>
          <w:lang w:val="fr-CA"/>
        </w:rPr>
        <w:t>justifications</w:t>
      </w:r>
      <w:r w:rsidRPr="00BC2D48">
        <w:rPr>
          <w:lang w:val="fr-CA"/>
        </w:rPr>
        <w:t xml:space="preserve"> fondées sur </w:t>
      </w:r>
      <w:r>
        <w:rPr>
          <w:lang w:val="fr-CA"/>
        </w:rPr>
        <w:t>le mérite à l’appui</w:t>
      </w:r>
      <w:r w:rsidRPr="00BC2D48">
        <w:rPr>
          <w:lang w:val="fr-CA"/>
        </w:rPr>
        <w:t xml:space="preserve"> </w:t>
      </w:r>
      <w:r w:rsidRPr="00BC2D48">
        <w:rPr>
          <w:lang w:val="fr-CA"/>
        </w:rPr>
        <w:lastRenderedPageBreak/>
        <w:t>de</w:t>
      </w:r>
      <w:r>
        <w:rPr>
          <w:lang w:val="fr-CA"/>
        </w:rPr>
        <w:t>s restrictions du droit de vote dans des décisions antérieures</w:t>
      </w:r>
      <w:r w:rsidRPr="00BC2D48">
        <w:rPr>
          <w:lang w:val="fr-CA"/>
        </w:rPr>
        <w:t>.</w:t>
      </w:r>
      <w:r>
        <w:rPr>
          <w:lang w:val="fr-CA"/>
        </w:rPr>
        <w:t xml:space="preserve"> Le mérite</w:t>
      </w:r>
      <w:r w:rsidRPr="00BC2D48">
        <w:rPr>
          <w:lang w:val="fr-CA"/>
        </w:rPr>
        <w:t xml:space="preserve"> ne saurait être invoqué</w:t>
      </w:r>
      <w:r>
        <w:rPr>
          <w:lang w:val="fr-CA"/>
        </w:rPr>
        <w:t xml:space="preserve"> </w:t>
      </w:r>
      <w:r w:rsidRPr="00BC2D48">
        <w:rPr>
          <w:lang w:val="fr-CA"/>
        </w:rPr>
        <w:t>pour justifier l</w:t>
      </w:r>
      <w:r>
        <w:rPr>
          <w:lang w:val="fr-CA"/>
        </w:rPr>
        <w:t>e fait de priver</w:t>
      </w:r>
      <w:r w:rsidRPr="00BC2D48">
        <w:rPr>
          <w:lang w:val="fr-CA"/>
        </w:rPr>
        <w:t xml:space="preserve"> de</w:t>
      </w:r>
      <w:r>
        <w:rPr>
          <w:lang w:val="fr-CA"/>
        </w:rPr>
        <w:t>s</w:t>
      </w:r>
      <w:r w:rsidRPr="00BC2D48">
        <w:rPr>
          <w:lang w:val="fr-CA"/>
        </w:rPr>
        <w:t xml:space="preserve"> citoyens canadiens </w:t>
      </w:r>
      <w:proofErr w:type="spellStart"/>
      <w:r w:rsidRPr="00BC2D48">
        <w:rPr>
          <w:lang w:val="fr-CA"/>
        </w:rPr>
        <w:t>non</w:t>
      </w:r>
      <w:r>
        <w:rPr>
          <w:lang w:val="fr-CA"/>
        </w:rPr>
        <w:t xml:space="preserve"> </w:t>
      </w:r>
      <w:r w:rsidRPr="00BC2D48">
        <w:rPr>
          <w:lang w:val="fr-CA"/>
        </w:rPr>
        <w:t>résidents</w:t>
      </w:r>
      <w:proofErr w:type="spellEnd"/>
      <w:r w:rsidRPr="00122369">
        <w:rPr>
          <w:lang w:val="fr-CA"/>
        </w:rPr>
        <w:t xml:space="preserve"> </w:t>
      </w:r>
      <w:r w:rsidRPr="00BC2D48">
        <w:rPr>
          <w:lang w:val="fr-CA"/>
        </w:rPr>
        <w:t xml:space="preserve">du droit de vote </w:t>
      </w:r>
      <w:r>
        <w:rPr>
          <w:lang w:val="fr-CA"/>
        </w:rPr>
        <w:t>dans la présente affaire</w:t>
      </w:r>
      <w:r w:rsidRPr="00BC2D48">
        <w:rPr>
          <w:lang w:val="fr-CA"/>
        </w:rPr>
        <w:t>.</w:t>
      </w:r>
    </w:p>
    <w:p w:rsidR="001244E7" w:rsidRPr="00BC2D48" w:rsidRDefault="001244E7" w:rsidP="001244E7">
      <w:pPr>
        <w:pStyle w:val="Title1LevelTitre1Niveau-AltL"/>
        <w:rPr>
          <w:lang w:val="fr-CA"/>
        </w:rPr>
      </w:pPr>
      <w:r w:rsidRPr="00BC2D48">
        <w:rPr>
          <w:lang w:val="fr-CA"/>
        </w:rPr>
        <w:t>Conclusion</w:t>
      </w:r>
    </w:p>
    <w:p w:rsidR="001244E7" w:rsidRPr="009027BF" w:rsidRDefault="001244E7" w:rsidP="00805B11">
      <w:pPr>
        <w:pStyle w:val="ParaNoNdepar-AltN"/>
        <w:rPr>
          <w:lang w:val="fr-CA"/>
        </w:rPr>
      </w:pPr>
      <w:r w:rsidRPr="00C61CD1">
        <w:rPr>
          <w:lang w:val="fr-CA"/>
        </w:rPr>
        <w:t>Je suis d</w:t>
      </w:r>
      <w:r>
        <w:rPr>
          <w:lang w:val="fr-CA"/>
        </w:rPr>
        <w:t>’</w:t>
      </w:r>
      <w:r w:rsidRPr="00C61CD1">
        <w:rPr>
          <w:lang w:val="fr-CA"/>
        </w:rPr>
        <w:t>avis d</w:t>
      </w:r>
      <w:r>
        <w:rPr>
          <w:lang w:val="fr-CA"/>
        </w:rPr>
        <w:t>’</w:t>
      </w:r>
      <w:r w:rsidRPr="00C61CD1">
        <w:rPr>
          <w:lang w:val="fr-CA"/>
        </w:rPr>
        <w:t>accueillir le pourvoi, avec dépens d</w:t>
      </w:r>
      <w:r>
        <w:rPr>
          <w:lang w:val="fr-CA"/>
        </w:rPr>
        <w:t>eva</w:t>
      </w:r>
      <w:r w:rsidRPr="00C61CD1">
        <w:rPr>
          <w:lang w:val="fr-CA"/>
        </w:rPr>
        <w:t>n</w:t>
      </w:r>
      <w:r>
        <w:rPr>
          <w:lang w:val="fr-CA"/>
        </w:rPr>
        <w:t>t</w:t>
      </w:r>
      <w:r w:rsidRPr="00C61CD1">
        <w:rPr>
          <w:lang w:val="fr-CA"/>
        </w:rPr>
        <w:t xml:space="preserve"> toutes les cours. Les dispositions contestées de la Loi constituent une violation de l</w:t>
      </w:r>
      <w:r>
        <w:rPr>
          <w:lang w:val="fr-CA"/>
        </w:rPr>
        <w:t>’art. </w:t>
      </w:r>
      <w:r w:rsidRPr="00C61CD1">
        <w:rPr>
          <w:lang w:val="fr-CA"/>
        </w:rPr>
        <w:t xml:space="preserve">3 de la </w:t>
      </w:r>
      <w:r w:rsidRPr="00C61CD1">
        <w:rPr>
          <w:i/>
          <w:lang w:val="fr-CA"/>
        </w:rPr>
        <w:t>Charte</w:t>
      </w:r>
      <w:r w:rsidRPr="00C61CD1">
        <w:rPr>
          <w:lang w:val="fr-CA"/>
        </w:rPr>
        <w:t>, et cette violation n</w:t>
      </w:r>
      <w:r>
        <w:rPr>
          <w:lang w:val="fr-CA"/>
        </w:rPr>
        <w:t>’</w:t>
      </w:r>
      <w:r w:rsidRPr="00C61CD1">
        <w:rPr>
          <w:lang w:val="fr-CA"/>
        </w:rPr>
        <w:t>est pas justifiée au regard de l</w:t>
      </w:r>
      <w:r>
        <w:rPr>
          <w:lang w:val="fr-CA"/>
        </w:rPr>
        <w:t>’</w:t>
      </w:r>
      <w:r w:rsidRPr="00C61CD1">
        <w:rPr>
          <w:lang w:val="fr-CA"/>
        </w:rPr>
        <w:t>article premier.</w:t>
      </w:r>
      <w:r>
        <w:rPr>
          <w:lang w:val="fr-CA"/>
        </w:rPr>
        <w:t xml:space="preserve"> Ces dispositions sont donc incompatibles avec la </w:t>
      </w:r>
      <w:r w:rsidRPr="00F11C06">
        <w:rPr>
          <w:i/>
          <w:lang w:val="fr-CA"/>
        </w:rPr>
        <w:t>Charte</w:t>
      </w:r>
      <w:r>
        <w:rPr>
          <w:lang w:val="fr-CA"/>
        </w:rPr>
        <w:t>.</w:t>
      </w:r>
      <w:r w:rsidRPr="00C61CD1">
        <w:rPr>
          <w:lang w:val="fr-CA"/>
        </w:rPr>
        <w:t xml:space="preserve"> En conséquence, </w:t>
      </w:r>
      <w:r>
        <w:rPr>
          <w:lang w:val="fr-CA"/>
        </w:rPr>
        <w:t>sur le fondement</w:t>
      </w:r>
      <w:r w:rsidRPr="00BC2D48">
        <w:rPr>
          <w:lang w:val="fr-CA"/>
        </w:rPr>
        <w:t xml:space="preserve"> de l</w:t>
      </w:r>
      <w:r>
        <w:rPr>
          <w:lang w:val="fr-CA"/>
        </w:rPr>
        <w:t>’art. </w:t>
      </w:r>
      <w:r w:rsidRPr="00BC2D48">
        <w:rPr>
          <w:lang w:val="fr-CA"/>
        </w:rPr>
        <w:t xml:space="preserve">52 de la </w:t>
      </w:r>
      <w:r w:rsidRPr="00BC2D48">
        <w:rPr>
          <w:i/>
          <w:lang w:val="fr-CA"/>
        </w:rPr>
        <w:t>Loi constitutionnelle de 1982</w:t>
      </w:r>
      <w:r>
        <w:rPr>
          <w:lang w:val="fr-CA"/>
        </w:rPr>
        <w:t>, les al. 222(1)b) et c), 223(1)f) et 226f) de la Loi</w:t>
      </w:r>
      <w:r w:rsidRPr="00C61CD1">
        <w:rPr>
          <w:lang w:val="fr-CA"/>
        </w:rPr>
        <w:t xml:space="preserve"> sont </w:t>
      </w:r>
      <w:r>
        <w:rPr>
          <w:lang w:val="fr-CA"/>
        </w:rPr>
        <w:t xml:space="preserve">déclarés </w:t>
      </w:r>
      <w:r w:rsidRPr="00C61CD1">
        <w:rPr>
          <w:lang w:val="fr-CA"/>
        </w:rPr>
        <w:t>inopérants</w:t>
      </w:r>
      <w:r>
        <w:rPr>
          <w:lang w:val="fr-CA"/>
        </w:rPr>
        <w:t>; les mots « les électeurs qui sont absents du Canada depuis moins de cinq années consécutives et qui ont l’intention de revenir résider au Canada » sont supprimés de l’al. 11d) de la Loi et sont remplacés par les mots « les électeurs qui résident à l’extérieur du Canada »; et le mot « temporairement » est supprimé de l’art. 220, du par. 222(1) et de l’al. 223(1)e) de la Loi.</w:t>
      </w:r>
      <w:r w:rsidRPr="00C61CD1">
        <w:rPr>
          <w:lang w:val="fr-CA"/>
        </w:rPr>
        <w:t xml:space="preserve"> </w:t>
      </w:r>
    </w:p>
    <w:p w:rsidR="001244E7" w:rsidRPr="009027BF" w:rsidRDefault="001244E7" w:rsidP="00C52B23">
      <w:pPr>
        <w:spacing w:after="480" w:line="480" w:lineRule="auto"/>
        <w:ind w:firstLine="1170"/>
        <w:rPr>
          <w:szCs w:val="24"/>
          <w:lang w:val="fr-CA"/>
        </w:rPr>
      </w:pPr>
      <w:r w:rsidRPr="00CB0DCB">
        <w:rPr>
          <w:szCs w:val="24"/>
          <w:lang w:val="fr-CA"/>
        </w:rPr>
        <w:t>Version française</w:t>
      </w:r>
      <w:r>
        <w:rPr>
          <w:szCs w:val="24"/>
          <w:lang w:val="fr-CA"/>
        </w:rPr>
        <w:t xml:space="preserve"> des motifs rendus par</w:t>
      </w:r>
      <w:r w:rsidRPr="004A11E2">
        <w:rPr>
          <w:lang w:val="fr-CA"/>
        </w:rPr>
        <w:t xml:space="preserve"> </w:t>
      </w:r>
    </w:p>
    <w:p w:rsidR="001244E7" w:rsidRPr="004A11E2" w:rsidRDefault="009027BF" w:rsidP="001244E7">
      <w:pPr>
        <w:pStyle w:val="ParaNoNdepar-AltN"/>
        <w:rPr>
          <w:rFonts w:cs="Times New Roman"/>
          <w:lang w:val="fr-CA"/>
        </w:rPr>
      </w:pPr>
      <w:r w:rsidRPr="009027BF">
        <w:rPr>
          <w:smallCaps/>
          <w:lang w:val="fr-CA"/>
        </w:rPr>
        <w:t>Le juge Rowe</w:t>
      </w:r>
      <w:r w:rsidRPr="004A11E2">
        <w:rPr>
          <w:lang w:val="fr-CA"/>
        </w:rPr>
        <w:t xml:space="preserve"> — </w:t>
      </w:r>
      <w:r w:rsidR="001244E7" w:rsidRPr="004A11E2">
        <w:rPr>
          <w:rFonts w:cs="Times New Roman"/>
          <w:lang w:val="fr-CA"/>
        </w:rPr>
        <w:t xml:space="preserve">Le présent pourvoi porte sur la constitutionnalité de la limite restreignant le droit de vote aux élections fédérales des citoyens qui n’ont pas résidé au Canada depuis cinq années ou plus. Le gouvernement fédéral concède que cette limite constitue une violation de l’art. 3 de la </w:t>
      </w:r>
      <w:r w:rsidR="001244E7" w:rsidRPr="004A11E2">
        <w:rPr>
          <w:rFonts w:cs="Times New Roman"/>
          <w:i/>
          <w:lang w:val="fr-CA"/>
        </w:rPr>
        <w:t>Charte canadienne des droits et libertés</w:t>
      </w:r>
      <w:r w:rsidR="001244E7" w:rsidRPr="004A11E2">
        <w:rPr>
          <w:rFonts w:cs="Times New Roman"/>
          <w:lang w:val="fr-CA"/>
        </w:rPr>
        <w:t>.</w:t>
      </w:r>
      <w:r w:rsidR="001244E7" w:rsidRPr="004A11E2">
        <w:rPr>
          <w:rFonts w:cs="Times New Roman"/>
          <w:i/>
          <w:lang w:val="fr-CA"/>
        </w:rPr>
        <w:t xml:space="preserve"> </w:t>
      </w:r>
      <w:r w:rsidR="001244E7" w:rsidRPr="004A11E2">
        <w:rPr>
          <w:rFonts w:cs="Times New Roman"/>
          <w:lang w:val="fr-CA"/>
        </w:rPr>
        <w:t xml:space="preserve">Je reconnais que le gouvernement fédéral n’a pas satisfait aux exigences </w:t>
      </w:r>
      <w:r w:rsidR="001244E7" w:rsidRPr="004A11E2">
        <w:rPr>
          <w:rFonts w:cs="Times New Roman"/>
          <w:lang w:val="fr-CA"/>
        </w:rPr>
        <w:lastRenderedPageBreak/>
        <w:t xml:space="preserve">applicables pour justifier la limite en question au regard de l’article premier. Selon moi, toutefois, toute évaluation de ce type de limites doit tenir compte du caractère important et central de l’obligation de résidence dans notre système de démocratie représentative, et ne doit pas écarter la possibilité que, dans un autre contexte, des exigences en la matière puissent être constitutionnelles. Bien que je sois d’avis d’accueillir le pourvoi, je le ferais pour des motifs différents de ceux des juges majoritaires. </w:t>
      </w:r>
    </w:p>
    <w:p w:rsidR="001244E7" w:rsidRPr="004A11E2" w:rsidRDefault="001244E7" w:rsidP="001244E7">
      <w:pPr>
        <w:pStyle w:val="Title2LevelTitre2Niveau"/>
        <w:rPr>
          <w:rFonts w:cs="Times New Roman"/>
          <w:lang w:val="fr-CA"/>
        </w:rPr>
      </w:pPr>
      <w:r w:rsidRPr="004A11E2">
        <w:rPr>
          <w:rFonts w:cs="Times New Roman"/>
          <w:lang w:val="fr-CA"/>
        </w:rPr>
        <w:t xml:space="preserve">L’importance de l’obligation de résidence au regard du droit de vote </w:t>
      </w:r>
    </w:p>
    <w:p w:rsidR="001244E7" w:rsidRPr="004A11E2" w:rsidRDefault="001244E7" w:rsidP="001244E7">
      <w:pPr>
        <w:pStyle w:val="ParaNoNdepar-AltN"/>
        <w:rPr>
          <w:rFonts w:cs="Times New Roman"/>
          <w:lang w:val="fr-CA"/>
        </w:rPr>
      </w:pPr>
      <w:r w:rsidRPr="004A11E2">
        <w:rPr>
          <w:rFonts w:eastAsia="Calibri" w:cs="Times New Roman"/>
          <w:lang w:val="fr-CA"/>
        </w:rPr>
        <w:t>Les mesures contestées sont en phase avec l’approche historique du Canada en ce qui concerne le droit de vote des non</w:t>
      </w:r>
      <w:r w:rsidRPr="004A11E2">
        <w:rPr>
          <w:rFonts w:eastAsia="Calibri" w:cs="Times New Roman"/>
          <w:lang w:val="fr-CA"/>
        </w:rPr>
        <w:noBreakHyphen/>
        <w:t>résidents. Depuis 1920, des lois fédérales régissent le droit de voter et les procédures de scrutin aux élections fédérales au Canada (</w:t>
      </w:r>
      <w:r>
        <w:rPr>
          <w:rFonts w:eastAsia="Calibri" w:cs="Times New Roman"/>
          <w:i/>
          <w:lang w:val="fr-CA"/>
        </w:rPr>
        <w:t xml:space="preserve">Loi </w:t>
      </w:r>
      <w:r w:rsidRPr="004A11E2">
        <w:rPr>
          <w:rFonts w:eastAsia="Calibri" w:cs="Times New Roman"/>
          <w:i/>
          <w:lang w:val="fr-CA"/>
        </w:rPr>
        <w:t>des élections fédérales</w:t>
      </w:r>
      <w:r w:rsidRPr="004A11E2">
        <w:rPr>
          <w:rFonts w:eastAsia="Calibri" w:cs="Times New Roman"/>
          <w:lang w:val="fr-CA"/>
        </w:rPr>
        <w:t>, S.C. 1920, c. 46). Avant cette date, les lois électorales fédérales étaient basées sur les exigences relatives au droit de vote édictées par les provinces. Pour l’ensemble des Canadiens, à quelques exceptions près — notamment les militaires —, le fait d’avoir résidé au pays pendant une période donnée est une condition de participation au scrutin depuis cette époque. Bien que le fait de résider au Canada soit demeuré une condition nécessaire à l’exercice du droit de vote pour la plupart des Canadiens, ce droit a lentement été accordé à un plus grand nombre de non</w:t>
      </w:r>
      <w:r w:rsidRPr="004A11E2">
        <w:rPr>
          <w:rFonts w:eastAsia="Calibri" w:cs="Times New Roman"/>
          <w:lang w:val="fr-CA"/>
        </w:rPr>
        <w:noBreakHyphen/>
        <w:t>résidents à compter de 1955. Cette année</w:t>
      </w:r>
      <w:r w:rsidRPr="004A11E2">
        <w:rPr>
          <w:rFonts w:eastAsia="Calibri" w:cs="Times New Roman"/>
          <w:lang w:val="fr-CA"/>
        </w:rPr>
        <w:noBreakHyphen/>
        <w:t>là, le droit de voter en tant que non</w:t>
      </w:r>
      <w:r w:rsidRPr="004A11E2">
        <w:rPr>
          <w:rFonts w:eastAsia="Calibri" w:cs="Times New Roman"/>
          <w:lang w:val="fr-CA"/>
        </w:rPr>
        <w:noBreakHyphen/>
        <w:t>résident qui est reconnu aux membres des Forces armées canadiennes (« FAC ») a été élargi à leurs conjoints, pendant que les membres en question des FAC résident à l’extérieur du Canada. En 1970, le droit de voter en tant que non</w:t>
      </w:r>
      <w:r w:rsidRPr="004A11E2">
        <w:rPr>
          <w:rFonts w:eastAsia="Calibri" w:cs="Times New Roman"/>
          <w:lang w:val="fr-CA"/>
        </w:rPr>
        <w:noBreakHyphen/>
        <w:t xml:space="preserve">résident a été étendu </w:t>
      </w:r>
      <w:r w:rsidRPr="004A11E2">
        <w:rPr>
          <w:rFonts w:eastAsia="Calibri" w:cs="Times New Roman"/>
          <w:lang w:val="fr-CA"/>
        </w:rPr>
        <w:lastRenderedPageBreak/>
        <w:t>aux personnes à charge des membres des FAC, ainsi qu’aux personnes travaillant à l’étranger dans les ambassades et les consulats, et aux personnes à leur charge.</w:t>
      </w:r>
    </w:p>
    <w:p w:rsidR="001244E7" w:rsidRPr="004A11E2" w:rsidRDefault="001244E7" w:rsidP="001244E7">
      <w:pPr>
        <w:pStyle w:val="ParaNoNdepar-AltN"/>
        <w:rPr>
          <w:rFonts w:cs="Times New Roman"/>
          <w:lang w:val="fr-CA"/>
        </w:rPr>
      </w:pPr>
      <w:r w:rsidRPr="004A11E2">
        <w:rPr>
          <w:rFonts w:cs="Times New Roman"/>
          <w:lang w:val="fr-CA"/>
        </w:rPr>
        <w:t xml:space="preserve">Depuis l’édiction de la </w:t>
      </w:r>
      <w:r w:rsidRPr="004A11E2">
        <w:rPr>
          <w:rFonts w:cs="Times New Roman"/>
          <w:i/>
          <w:lang w:val="fr-CA"/>
        </w:rPr>
        <w:t>Charte</w:t>
      </w:r>
      <w:r w:rsidRPr="004A11E2">
        <w:rPr>
          <w:rFonts w:cs="Times New Roman"/>
          <w:lang w:val="fr-CA"/>
        </w:rPr>
        <w:t xml:space="preserve">, plusieurs rapports ont recommandé que de profondes réformes soient apportées à la </w:t>
      </w:r>
      <w:r w:rsidRPr="004A11E2">
        <w:rPr>
          <w:rFonts w:cs="Times New Roman"/>
          <w:i/>
          <w:lang w:val="fr-CA"/>
        </w:rPr>
        <w:t>Loi électorale du Canada</w:t>
      </w:r>
      <w:r w:rsidRPr="004A11E2">
        <w:rPr>
          <w:rFonts w:cs="Times New Roman"/>
          <w:lang w:val="fr-CA"/>
        </w:rPr>
        <w:t xml:space="preserve">, L.C. 2000, c. 9 (« Loi »). En 1986, le </w:t>
      </w:r>
      <w:r w:rsidRPr="004A11E2">
        <w:rPr>
          <w:rFonts w:cs="Times New Roman"/>
          <w:i/>
          <w:lang w:val="fr-CA"/>
        </w:rPr>
        <w:t xml:space="preserve">Livre blanc sur la réforme de la loi électorale </w:t>
      </w:r>
      <w:r w:rsidRPr="004A11E2">
        <w:rPr>
          <w:rFonts w:cs="Times New Roman"/>
          <w:lang w:val="fr-CA"/>
        </w:rPr>
        <w:t xml:space="preserve">a recommandé que le droit de vote soit élargi, sans restriction, aux électeurs vivant à l’étranger. Un autre rapport sur la question a suivi en 1991 : </w:t>
      </w:r>
      <w:r w:rsidRPr="004A11E2">
        <w:rPr>
          <w:rFonts w:cs="Times New Roman"/>
          <w:i/>
          <w:lang w:val="fr-CA"/>
        </w:rPr>
        <w:t xml:space="preserve">Pour une démocratie électorale </w:t>
      </w:r>
      <w:r w:rsidR="00A450CF">
        <w:rPr>
          <w:rFonts w:cs="Times New Roman"/>
          <w:i/>
          <w:lang w:val="fr-CA"/>
        </w:rPr>
        <w:t>renouvelée</w:t>
      </w:r>
      <w:r w:rsidRPr="00A450CF">
        <w:rPr>
          <w:rFonts w:cs="Times New Roman"/>
          <w:lang w:val="fr-CA"/>
        </w:rPr>
        <w:t>,</w:t>
      </w:r>
      <w:r w:rsidRPr="004A11E2">
        <w:rPr>
          <w:rFonts w:cs="Times New Roman"/>
          <w:lang w:val="fr-CA"/>
        </w:rPr>
        <w:t xml:space="preserve"> vol. 1, publié par la Commission royale sur la réforme électorale et le financement des partis (« Commission </w:t>
      </w:r>
      <w:proofErr w:type="spellStart"/>
      <w:r w:rsidRPr="004A11E2">
        <w:rPr>
          <w:rFonts w:cs="Times New Roman"/>
          <w:lang w:val="fr-CA"/>
        </w:rPr>
        <w:t>Lortie</w:t>
      </w:r>
      <w:proofErr w:type="spellEnd"/>
      <w:r w:rsidRPr="004A11E2">
        <w:rPr>
          <w:rFonts w:cs="Times New Roman"/>
          <w:lang w:val="fr-CA"/>
        </w:rPr>
        <w:t> »). Ce rapport faisait état d’une préoccupation qui avait déjà été soulevée, à savoir que certains Canadiens vivant à l’étranger ne possédaient peut</w:t>
      </w:r>
      <w:r w:rsidRPr="004A11E2">
        <w:rPr>
          <w:rFonts w:cs="Times New Roman"/>
          <w:lang w:val="fr-CA"/>
        </w:rPr>
        <w:noBreakHyphen/>
        <w:t xml:space="preserve">être pas de liens suffisants avec le Canada. Néanmoins, la Commission </w:t>
      </w:r>
      <w:proofErr w:type="spellStart"/>
      <w:r w:rsidRPr="004A11E2">
        <w:rPr>
          <w:rFonts w:cs="Times New Roman"/>
          <w:lang w:val="fr-CA"/>
        </w:rPr>
        <w:t>Lortie</w:t>
      </w:r>
      <w:proofErr w:type="spellEnd"/>
      <w:r w:rsidRPr="004A11E2">
        <w:rPr>
          <w:rFonts w:cs="Times New Roman"/>
          <w:lang w:val="fr-CA"/>
        </w:rPr>
        <w:t xml:space="preserve"> a proposé que les citoyens canadiens </w:t>
      </w:r>
      <w:proofErr w:type="spellStart"/>
      <w:r w:rsidRPr="004A11E2">
        <w:rPr>
          <w:rFonts w:cs="Times New Roman"/>
          <w:lang w:val="fr-CA"/>
        </w:rPr>
        <w:t>non résidents</w:t>
      </w:r>
      <w:proofErr w:type="spellEnd"/>
      <w:r w:rsidRPr="004A11E2">
        <w:rPr>
          <w:rFonts w:cs="Times New Roman"/>
          <w:lang w:val="fr-CA"/>
        </w:rPr>
        <w:t xml:space="preserve"> disposent du droit de vote, pourvu qu’ils « manifestent leur intérêt envers la vie publique canadienne » (Rapport de la Commission </w:t>
      </w:r>
      <w:proofErr w:type="spellStart"/>
      <w:r w:rsidRPr="004A11E2">
        <w:rPr>
          <w:rFonts w:cs="Times New Roman"/>
          <w:lang w:val="fr-CA"/>
        </w:rPr>
        <w:t>Lortie</w:t>
      </w:r>
      <w:proofErr w:type="spellEnd"/>
      <w:r w:rsidRPr="004A11E2">
        <w:rPr>
          <w:rFonts w:cs="Times New Roman"/>
          <w:lang w:val="fr-CA"/>
        </w:rPr>
        <w:t>, p. 48).</w:t>
      </w:r>
    </w:p>
    <w:p w:rsidR="001244E7" w:rsidRPr="004A11E2" w:rsidRDefault="001244E7" w:rsidP="001244E7">
      <w:pPr>
        <w:pStyle w:val="ParaNoNdepar-AltN"/>
        <w:rPr>
          <w:rFonts w:cs="Times New Roman"/>
          <w:lang w:val="fr-CA"/>
        </w:rPr>
      </w:pPr>
      <w:r w:rsidRPr="004A11E2">
        <w:rPr>
          <w:rFonts w:cs="Times New Roman"/>
          <w:lang w:val="fr-CA"/>
        </w:rPr>
        <w:t xml:space="preserve">En 1992, un comité spécial de la Chambre des communes sur la réforme électorale a examiné le rapport de la Commission </w:t>
      </w:r>
      <w:proofErr w:type="spellStart"/>
      <w:r w:rsidRPr="004A11E2">
        <w:rPr>
          <w:rFonts w:cs="Times New Roman"/>
          <w:lang w:val="fr-CA"/>
        </w:rPr>
        <w:t>Lortie</w:t>
      </w:r>
      <w:proofErr w:type="spellEnd"/>
      <w:r w:rsidRPr="004A11E2">
        <w:rPr>
          <w:rFonts w:cs="Times New Roman"/>
          <w:lang w:val="fr-CA"/>
        </w:rPr>
        <w:t xml:space="preserve"> et recommandé des modifications à la Loi. Le Comité spécial n’a pas retenu les recommandations de la Commission </w:t>
      </w:r>
      <w:proofErr w:type="spellStart"/>
      <w:r w:rsidRPr="004A11E2">
        <w:rPr>
          <w:rFonts w:cs="Times New Roman"/>
          <w:lang w:val="fr-CA"/>
        </w:rPr>
        <w:t>Lortie</w:t>
      </w:r>
      <w:proofErr w:type="spellEnd"/>
      <w:r w:rsidRPr="004A11E2">
        <w:rPr>
          <w:rFonts w:cs="Times New Roman"/>
          <w:lang w:val="fr-CA"/>
        </w:rPr>
        <w:t xml:space="preserve"> quant à l’octroi du droit de vote aux non</w:t>
      </w:r>
      <w:r w:rsidRPr="004A11E2">
        <w:rPr>
          <w:rFonts w:cs="Times New Roman"/>
          <w:lang w:val="fr-CA"/>
        </w:rPr>
        <w:noBreakHyphen/>
        <w:t xml:space="preserve">résidents, mais a plutôt proposé des modifications visant à permettre la participation au scrutin des citoyens qui se trouvent dans l’une ou l’autre des situations suivantes : (i) ils sont à l’extérieur de la circonscription dans laquelle ils résident, mais se trouvent néanmoins au Canada </w:t>
      </w:r>
      <w:r w:rsidRPr="004A11E2">
        <w:rPr>
          <w:rFonts w:cs="Times New Roman"/>
          <w:lang w:val="fr-CA"/>
        </w:rPr>
        <w:lastRenderedPageBreak/>
        <w:t xml:space="preserve">le jour du scrutin; (ii) ils se trouvent temporairement à l’étranger pendant la période électorale, mais résident au Canada; (iii) ils vivent à l’étranger depuis moins de cinq années et ont l’intention de revenir au Canada (Chambre des communes, Comité spécial sur la réforme électorale, </w:t>
      </w:r>
      <w:r w:rsidRPr="004A11E2">
        <w:rPr>
          <w:rFonts w:cs="Times New Roman"/>
          <w:i/>
          <w:lang w:val="fr-CA"/>
        </w:rPr>
        <w:t>Troisième rapport à la Chambre des communes</w:t>
      </w:r>
      <w:r w:rsidRPr="004A11E2">
        <w:rPr>
          <w:rFonts w:cs="Times New Roman"/>
          <w:lang w:val="fr-CA"/>
        </w:rPr>
        <w:t>, n</w:t>
      </w:r>
      <w:r w:rsidRPr="004A11E2">
        <w:rPr>
          <w:rFonts w:cs="Times New Roman"/>
          <w:vertAlign w:val="superscript"/>
          <w:lang w:val="fr-CA"/>
        </w:rPr>
        <w:t>o</w:t>
      </w:r>
      <w:r w:rsidRPr="004A11E2">
        <w:rPr>
          <w:rFonts w:cs="Times New Roman"/>
          <w:lang w:val="fr-CA"/>
        </w:rPr>
        <w:t> 7, 3</w:t>
      </w:r>
      <w:r w:rsidRPr="004A11E2">
        <w:rPr>
          <w:rFonts w:cs="Times New Roman"/>
          <w:vertAlign w:val="superscript"/>
          <w:lang w:val="fr-CA"/>
        </w:rPr>
        <w:t>e</w:t>
      </w:r>
      <w:r w:rsidRPr="004A11E2">
        <w:rPr>
          <w:rFonts w:cs="Times New Roman"/>
          <w:lang w:val="fr-CA"/>
        </w:rPr>
        <w:t> </w:t>
      </w:r>
      <w:proofErr w:type="spellStart"/>
      <w:r w:rsidRPr="004A11E2">
        <w:rPr>
          <w:rFonts w:cs="Times New Roman"/>
          <w:lang w:val="fr-CA"/>
        </w:rPr>
        <w:t>sess</w:t>
      </w:r>
      <w:proofErr w:type="spellEnd"/>
      <w:r w:rsidR="00594D8C">
        <w:rPr>
          <w:rFonts w:cs="Times New Roman"/>
          <w:lang w:val="fr-CA"/>
        </w:rPr>
        <w:t>.</w:t>
      </w:r>
      <w:r w:rsidRPr="004A11E2">
        <w:rPr>
          <w:rFonts w:cs="Times New Roman"/>
          <w:lang w:val="fr-CA"/>
        </w:rPr>
        <w:t>, 34</w:t>
      </w:r>
      <w:r w:rsidRPr="004A11E2">
        <w:rPr>
          <w:rFonts w:cs="Times New Roman"/>
          <w:vertAlign w:val="superscript"/>
          <w:lang w:val="fr-CA"/>
        </w:rPr>
        <w:t>e</w:t>
      </w:r>
      <w:r w:rsidRPr="004A11E2">
        <w:rPr>
          <w:rFonts w:cs="Times New Roman"/>
          <w:lang w:val="fr-CA"/>
        </w:rPr>
        <w:t> </w:t>
      </w:r>
      <w:proofErr w:type="spellStart"/>
      <w:r w:rsidRPr="004A11E2">
        <w:rPr>
          <w:rFonts w:cs="Times New Roman"/>
          <w:lang w:val="fr-CA"/>
        </w:rPr>
        <w:t>lég</w:t>
      </w:r>
      <w:proofErr w:type="spellEnd"/>
      <w:r w:rsidR="00594D8C">
        <w:rPr>
          <w:rFonts w:cs="Times New Roman"/>
          <w:lang w:val="fr-CA"/>
        </w:rPr>
        <w:t>.</w:t>
      </w:r>
      <w:r w:rsidRPr="004A11E2">
        <w:rPr>
          <w:rFonts w:cs="Times New Roman"/>
          <w:lang w:val="fr-CA"/>
        </w:rPr>
        <w:t>, 11 décembre 1992, p. 7:3</w:t>
      </w:r>
      <w:r w:rsidRPr="004A11E2">
        <w:rPr>
          <w:rFonts w:cs="Times New Roman"/>
          <w:lang w:val="fr-CA"/>
        </w:rPr>
        <w:noBreakHyphen/>
        <w:t>7:5). Bien que les dispositions contestées aient eu pour effet de conférer le droit de voter à des Canadiens qui auraient auparavant été privés de cette possibilité, elles exprimaient le choix du législateur fédéral de continuer à limiter la participation au scrutin des non</w:t>
      </w:r>
      <w:r w:rsidRPr="004A11E2">
        <w:rPr>
          <w:rFonts w:cs="Times New Roman"/>
          <w:lang w:val="fr-CA"/>
        </w:rPr>
        <w:noBreakHyphen/>
        <w:t xml:space="preserve">résidents à long terme, et confirmaient l’importance de l’obligation de résidence pour ce dernier. </w:t>
      </w:r>
    </w:p>
    <w:p w:rsidR="001244E7" w:rsidRPr="004A11E2" w:rsidRDefault="001244E7" w:rsidP="001244E7">
      <w:pPr>
        <w:pStyle w:val="ParaNoNdepar-AltN"/>
        <w:rPr>
          <w:rFonts w:cs="Times New Roman"/>
          <w:lang w:val="fr-CA"/>
        </w:rPr>
      </w:pPr>
      <w:r w:rsidRPr="004A11E2">
        <w:rPr>
          <w:rFonts w:cs="Times New Roman"/>
          <w:lang w:val="fr-CA"/>
        </w:rPr>
        <w:t>La place prédominante réservée à l’obligation de résidence dans nos lois électorales doit être comprise dans son contexte historique. Comme la citoyenneté canadienne n’a été reconnue juridiquement qu’en 1947, le fait de résider au Canada était jusque</w:t>
      </w:r>
      <w:r w:rsidRPr="004A11E2">
        <w:rPr>
          <w:rFonts w:cs="Times New Roman"/>
          <w:lang w:val="fr-CA"/>
        </w:rPr>
        <w:noBreakHyphen/>
        <w:t xml:space="preserve">là l’unique moyen par lequel les électeurs démontraient l’existence de liens les rattachant au Canada et, de ce fait, leur habileté à voter. Quoique la qualité de citoyen puisse aujourd’hui être considérée comme un des liens rattachant une personne au Canada, sa présence dans le texte de l’art. 3 de la </w:t>
      </w:r>
      <w:r w:rsidRPr="004A11E2">
        <w:rPr>
          <w:rFonts w:cs="Times New Roman"/>
          <w:i/>
          <w:lang w:val="fr-CA"/>
        </w:rPr>
        <w:t>Charte</w:t>
      </w:r>
      <w:r w:rsidRPr="004A11E2">
        <w:rPr>
          <w:rFonts w:cs="Times New Roman"/>
          <w:lang w:val="fr-CA"/>
        </w:rPr>
        <w:t xml:space="preserve"> n’atténue pas l’importance de l’obligation de résidence. Au contraire, cette obligation demeure un aspect fondamental du système électoral canadien.</w:t>
      </w:r>
    </w:p>
    <w:p w:rsidR="001244E7" w:rsidRPr="004A11E2" w:rsidRDefault="001244E7" w:rsidP="001244E7">
      <w:pPr>
        <w:pStyle w:val="ParaNoNdepar-AltN"/>
        <w:rPr>
          <w:rFonts w:cs="Times New Roman"/>
          <w:lang w:val="fr-CA"/>
        </w:rPr>
      </w:pPr>
      <w:r w:rsidRPr="004A11E2">
        <w:rPr>
          <w:rFonts w:cs="Times New Roman"/>
          <w:lang w:val="fr-CA"/>
        </w:rPr>
        <w:t xml:space="preserve">À l’instar du régime parlementaire britannique, le régime canadien ne comporte pas de postes électifs nationaux. Par exemple, les Canadiennes et les Canadiens n’élisent pas leur premier ministre de la façon dont les citoyens de la </w:t>
      </w:r>
      <w:r w:rsidRPr="004A11E2">
        <w:rPr>
          <w:rFonts w:cs="Times New Roman"/>
          <w:lang w:val="fr-CA"/>
        </w:rPr>
        <w:lastRenderedPageBreak/>
        <w:t>République française élisent leur président. Les citoyens canadiens élisent plutôt le représentant de leur circonscription géographique respective. Comme le souligne le procureur général du Canada (« PGC »)</w:t>
      </w:r>
      <w:r w:rsidR="002F2D5E">
        <w:rPr>
          <w:rFonts w:cs="Times New Roman"/>
          <w:lang w:val="fr-CA"/>
        </w:rPr>
        <w:t>,</w:t>
      </w:r>
      <w:r w:rsidRPr="004A11E2">
        <w:rPr>
          <w:rFonts w:cs="Times New Roman"/>
          <w:lang w:val="fr-CA"/>
        </w:rPr>
        <w:t xml:space="preserve"> [</w:t>
      </w:r>
      <w:r w:rsidRPr="004A11E2">
        <w:rPr>
          <w:rFonts w:cs="Times New Roman"/>
          <w:smallCaps/>
          <w:lang w:val="fr-CA"/>
        </w:rPr>
        <w:t>traduction</w:t>
      </w:r>
      <w:r w:rsidRPr="004A11E2">
        <w:rPr>
          <w:rFonts w:cs="Times New Roman"/>
          <w:lang w:val="fr-CA"/>
        </w:rPr>
        <w:t>] « une élection générale fédérale peut, à certains égards importants, être considérée comme un ensemble de 338 élections se déroulant simultanément dans les différentes circonscriptions » (</w:t>
      </w:r>
      <w:proofErr w:type="spellStart"/>
      <w:proofErr w:type="gramStart"/>
      <w:r w:rsidRPr="004A11E2">
        <w:rPr>
          <w:rFonts w:cs="Times New Roman"/>
          <w:lang w:val="fr-CA"/>
        </w:rPr>
        <w:t>m.i</w:t>
      </w:r>
      <w:proofErr w:type="spellEnd"/>
      <w:r w:rsidRPr="004A11E2">
        <w:rPr>
          <w:rFonts w:cs="Times New Roman"/>
          <w:lang w:val="fr-CA"/>
        </w:rPr>
        <w:t>.,</w:t>
      </w:r>
      <w:proofErr w:type="gramEnd"/>
      <w:r w:rsidRPr="004A11E2">
        <w:rPr>
          <w:rFonts w:cs="Times New Roman"/>
          <w:lang w:val="fr-CA"/>
        </w:rPr>
        <w:t xml:space="preserve"> par. 14). Ce système « fait en sorte que les élections fédérales canadiennes impliquent à la fois des aspects locaux et des aspects nationaux » (</w:t>
      </w:r>
      <w:proofErr w:type="spellStart"/>
      <w:proofErr w:type="gramStart"/>
      <w:r w:rsidRPr="004A11E2">
        <w:rPr>
          <w:rFonts w:cs="Times New Roman"/>
          <w:lang w:val="fr-CA"/>
        </w:rPr>
        <w:t>m.i</w:t>
      </w:r>
      <w:proofErr w:type="spellEnd"/>
      <w:r w:rsidRPr="004A11E2">
        <w:rPr>
          <w:rFonts w:cs="Times New Roman"/>
          <w:lang w:val="fr-CA"/>
        </w:rPr>
        <w:t>.,</w:t>
      </w:r>
      <w:proofErr w:type="gramEnd"/>
      <w:r w:rsidRPr="004A11E2">
        <w:rPr>
          <w:rFonts w:cs="Times New Roman"/>
          <w:lang w:val="fr-CA"/>
        </w:rPr>
        <w:t xml:space="preserve"> par. 14). Le postulat à la base de cette affirmation est qu’une politique fédérale peut avoir une incidence différente selon les régions. Par exemple, l’influence de </w:t>
      </w:r>
      <w:r w:rsidRPr="00C03A97">
        <w:rPr>
          <w:rFonts w:cs="Times New Roman"/>
          <w:lang w:val="fr-CA"/>
        </w:rPr>
        <w:t>la</w:t>
      </w:r>
      <w:r w:rsidRPr="004A11E2">
        <w:rPr>
          <w:rFonts w:cs="Times New Roman"/>
          <w:i/>
          <w:lang w:val="fr-CA"/>
        </w:rPr>
        <w:t xml:space="preserve"> Loi sur les brevets</w:t>
      </w:r>
      <w:r w:rsidRPr="004A11E2">
        <w:rPr>
          <w:rFonts w:cs="Times New Roman"/>
          <w:lang w:val="fr-CA"/>
        </w:rPr>
        <w:t>, L.R.C. 1985</w:t>
      </w:r>
      <w:r>
        <w:rPr>
          <w:rFonts w:cs="Times New Roman"/>
          <w:lang w:val="fr-CA"/>
        </w:rPr>
        <w:t>,</w:t>
      </w:r>
      <w:r w:rsidRPr="004A11E2">
        <w:rPr>
          <w:rFonts w:cs="Times New Roman"/>
          <w:lang w:val="fr-CA"/>
        </w:rPr>
        <w:t xml:space="preserve"> c. P</w:t>
      </w:r>
      <w:r w:rsidRPr="004A11E2">
        <w:rPr>
          <w:rFonts w:cs="Times New Roman"/>
          <w:lang w:val="fr-CA"/>
        </w:rPr>
        <w:noBreakHyphen/>
        <w:t>4, sur l’industrie pharmaceutique se fait sentir de manière plus importante dans la région de Montréal qu’à Regina. La politique sur les langues officielles a une incidence plus large au Nouveau</w:t>
      </w:r>
      <w:r w:rsidRPr="004A11E2">
        <w:rPr>
          <w:rFonts w:cs="Times New Roman"/>
          <w:lang w:val="fr-CA"/>
        </w:rPr>
        <w:noBreakHyphen/>
        <w:t>Brunswick qu’en Colombie</w:t>
      </w:r>
      <w:r w:rsidRPr="004A11E2">
        <w:rPr>
          <w:rFonts w:cs="Times New Roman"/>
          <w:lang w:val="fr-CA"/>
        </w:rPr>
        <w:noBreakHyphen/>
        <w:t xml:space="preserve">Britannique. La notion de résidence revêt de l’importance du point de vue des liens qui rattachent l’électeur à une circonscription électorale donnée et des questions qui sont importantes pour les personnes qui vivent dans cette circonscription. </w:t>
      </w:r>
    </w:p>
    <w:p w:rsidR="001244E7" w:rsidRPr="004A11E2" w:rsidRDefault="001244E7" w:rsidP="001244E7">
      <w:pPr>
        <w:pStyle w:val="ParaNoNdepar-AltN"/>
        <w:rPr>
          <w:rFonts w:cs="Times New Roman"/>
          <w:lang w:val="fr-CA"/>
        </w:rPr>
      </w:pPr>
      <w:r w:rsidRPr="004A11E2">
        <w:rPr>
          <w:rFonts w:cs="Times New Roman"/>
          <w:lang w:val="fr-CA"/>
        </w:rPr>
        <w:t xml:space="preserve">Cet aspect de notre démocratie représentative n’est pas inscrit dans la Constitution; toutefois, la notion de résidence a toujours été — et demeure aujourd’hui — davantage qu’un simple « mécanisme </w:t>
      </w:r>
      <w:r>
        <w:rPr>
          <w:rFonts w:cs="Times New Roman"/>
          <w:lang w:val="fr-CA"/>
        </w:rPr>
        <w:t>d’organisation</w:t>
      </w:r>
      <w:r w:rsidRPr="004A11E2">
        <w:rPr>
          <w:rFonts w:cs="Times New Roman"/>
          <w:lang w:val="fr-CA"/>
        </w:rPr>
        <w:t> ». Elle fait partie des assises de notre système; il en est ainsi depuis que les premiers parlements ont été réunis en Angleterre au 13</w:t>
      </w:r>
      <w:r w:rsidRPr="004A11E2">
        <w:rPr>
          <w:rFonts w:cs="Times New Roman"/>
          <w:vertAlign w:val="superscript"/>
          <w:lang w:val="fr-CA"/>
        </w:rPr>
        <w:t>e</w:t>
      </w:r>
      <w:r w:rsidRPr="004A11E2">
        <w:rPr>
          <w:rFonts w:cs="Times New Roman"/>
          <w:lang w:val="fr-CA"/>
        </w:rPr>
        <w:t xml:space="preserve"> siècle. L’accroissement des déplacements et l’existence des moyens modernes de communication n’ont pas pour effet de rompre le lien organique qui existe entre le lieu de résidence et l’exercice du droit de vote, ni de faire du lieu de résidence </w:t>
      </w:r>
      <w:r w:rsidRPr="004A11E2">
        <w:rPr>
          <w:rFonts w:cs="Times New Roman"/>
          <w:lang w:val="fr-CA"/>
        </w:rPr>
        <w:lastRenderedPageBreak/>
        <w:t>un concept désuet. Je reconnais que l’importance du lieu de résidence n’élève pas celui</w:t>
      </w:r>
      <w:r w:rsidRPr="004A11E2">
        <w:rPr>
          <w:rFonts w:cs="Times New Roman"/>
          <w:lang w:val="fr-CA"/>
        </w:rPr>
        <w:noBreakHyphen/>
        <w:t>ci au rang de limite intrinsèque du droit de vote garanti par l’art. 3. Cependant, cette conclusion ne nous dit pas si une exigence donnée en matière de résidence constitue une limite du droit susmentionné ou si une telle limite est justifiée au regard de l’article premier. Le fait que l’art. 3 ne fasse pas état du lieu de résidence concerne le premier point, sans toutefois permettre de le trancher, mais il ne dit rien au sujet du deuxième.</w:t>
      </w:r>
    </w:p>
    <w:p w:rsidR="001244E7" w:rsidRPr="004A11E2" w:rsidRDefault="001244E7" w:rsidP="001244E7">
      <w:pPr>
        <w:pStyle w:val="ParaNoNdepar-AltN"/>
        <w:rPr>
          <w:rFonts w:cs="Times New Roman"/>
          <w:lang w:val="fr-CA"/>
        </w:rPr>
      </w:pPr>
      <w:r w:rsidRPr="004A11E2">
        <w:rPr>
          <w:rFonts w:cs="Times New Roman"/>
          <w:lang w:val="fr-CA"/>
        </w:rPr>
        <w:t>L’article 3 protège le droit des citoyens canadiens de voter, mais il ne s’ensuit pas, corollairement, que ceux</w:t>
      </w:r>
      <w:r w:rsidRPr="004A11E2">
        <w:rPr>
          <w:rFonts w:cs="Times New Roman"/>
          <w:lang w:val="fr-CA"/>
        </w:rPr>
        <w:noBreakHyphen/>
        <w:t>ci ont le droit de voter dans la circonscription ou la province de leur choix. Chaque province et territoire a établi, en matière de résidence, des exigences reflétant les préoccupations et circonstances qui lui sont propres. Par exemple, au Nunavut, pour qu’une personne ait le droit de voter à une élection territoriale, elle doit avoir résidé dans ce territoire « depuis au moins 12 mois, sans interruption » (</w:t>
      </w:r>
      <w:r w:rsidRPr="004A11E2">
        <w:rPr>
          <w:rFonts w:cs="Times New Roman"/>
          <w:i/>
          <w:lang w:val="fr-CA"/>
        </w:rPr>
        <w:t>Loi électorale du Nunavut</w:t>
      </w:r>
      <w:r w:rsidR="00AA5CD4">
        <w:rPr>
          <w:rFonts w:cs="Times New Roman"/>
          <w:lang w:val="fr-CA"/>
        </w:rPr>
        <w:t xml:space="preserve">, L. </w:t>
      </w:r>
      <w:proofErr w:type="spellStart"/>
      <w:r w:rsidR="00AA5CD4">
        <w:rPr>
          <w:rFonts w:cs="Times New Roman"/>
          <w:lang w:val="fr-CA"/>
        </w:rPr>
        <w:t>Nun</w:t>
      </w:r>
      <w:proofErr w:type="spellEnd"/>
      <w:r w:rsidR="00AA5CD4">
        <w:rPr>
          <w:rFonts w:cs="Times New Roman"/>
          <w:lang w:val="fr-CA"/>
        </w:rPr>
        <w:t>. 2002, c. 23</w:t>
      </w:r>
      <w:r w:rsidRPr="004A11E2">
        <w:rPr>
          <w:rFonts w:cs="Times New Roman"/>
          <w:lang w:val="fr-CA"/>
        </w:rPr>
        <w:t>, par. 7(1)). Cette loi précise également qu’ « [u]ne personne n’est pas considérée résider dans une maison ou un logement qu’elle n’occupe que de façon saisonnière, pour une période d’au plus 180 jours au total dans l’année, sauf si, lors d’une élection, elle n’a de résidence dans aucun autre lieu</w:t>
      </w:r>
      <w:r w:rsidRPr="004A11E2">
        <w:rPr>
          <w:rFonts w:cs="Times New Roman"/>
          <w:szCs w:val="24"/>
          <w:lang w:val="fr-CA"/>
        </w:rPr>
        <w:t> » (</w:t>
      </w:r>
      <w:r w:rsidRPr="004A11E2">
        <w:rPr>
          <w:rFonts w:cs="Times New Roman"/>
          <w:i/>
          <w:szCs w:val="24"/>
          <w:lang w:val="fr-CA"/>
        </w:rPr>
        <w:t>Loi électorale du Nunavut</w:t>
      </w:r>
      <w:r w:rsidRPr="004A11E2">
        <w:rPr>
          <w:rFonts w:cs="Times New Roman"/>
          <w:szCs w:val="24"/>
          <w:lang w:val="fr-CA"/>
        </w:rPr>
        <w:t>, par. 4(12)). En Ontario, en règle générale, les personnes qui sont absentes pendant plus de deux ans perdent leur droit de voter à une élection dans la province (</w:t>
      </w:r>
      <w:r w:rsidRPr="004A11E2">
        <w:rPr>
          <w:rFonts w:cs="Times New Roman"/>
          <w:i/>
          <w:szCs w:val="24"/>
          <w:lang w:val="fr-CA"/>
        </w:rPr>
        <w:t>Loi électorale</w:t>
      </w:r>
      <w:r w:rsidRPr="004A11E2">
        <w:rPr>
          <w:rFonts w:cs="Times New Roman"/>
          <w:szCs w:val="24"/>
          <w:lang w:val="fr-CA"/>
        </w:rPr>
        <w:t>, L.R.O. 1990, c. E.6, par. 15(1.1)). Au Québec, une personne doit être « domiciliée » dans la province depuis six mois pour avoir le droit de voter à une élection provinciale (</w:t>
      </w:r>
      <w:r w:rsidRPr="004A11E2">
        <w:rPr>
          <w:rFonts w:cs="Times New Roman"/>
          <w:i/>
          <w:szCs w:val="24"/>
          <w:lang w:val="fr-CA"/>
        </w:rPr>
        <w:t>Loi électorale</w:t>
      </w:r>
      <w:r w:rsidRPr="004A11E2">
        <w:rPr>
          <w:rFonts w:cs="Times New Roman"/>
          <w:szCs w:val="24"/>
          <w:lang w:val="fr-CA"/>
        </w:rPr>
        <w:t xml:space="preserve">, </w:t>
      </w:r>
      <w:r>
        <w:rPr>
          <w:rFonts w:cs="Times New Roman"/>
          <w:szCs w:val="24"/>
          <w:lang w:val="fr-CA"/>
        </w:rPr>
        <w:t xml:space="preserve">RLRQ, </w:t>
      </w:r>
      <w:r>
        <w:rPr>
          <w:rFonts w:cs="Times New Roman"/>
          <w:szCs w:val="24"/>
          <w:lang w:val="fr-CA"/>
        </w:rPr>
        <w:lastRenderedPageBreak/>
        <w:t>c. </w:t>
      </w:r>
      <w:r w:rsidRPr="004A11E2">
        <w:rPr>
          <w:rFonts w:cs="Times New Roman"/>
          <w:szCs w:val="24"/>
          <w:lang w:val="fr-CA"/>
        </w:rPr>
        <w:t>E</w:t>
      </w:r>
      <w:r w:rsidRPr="004A11E2">
        <w:rPr>
          <w:rFonts w:cs="Times New Roman"/>
          <w:szCs w:val="24"/>
          <w:lang w:val="fr-CA"/>
        </w:rPr>
        <w:noBreakHyphen/>
        <w:t xml:space="preserve">3.3, art. 1). À mon avis, la concession du PGC selon laquelle les mesures contestées violent l’art. 3 n’empêche pas les gouvernements des provinces et des territoires de plaider que leurs lois n’ont pas cet effet. Elle ne détermine pas non plus la constitutionnalité de toute autre exigence fédérale en matière de résidence. </w:t>
      </w:r>
      <w:r w:rsidRPr="004A11E2">
        <w:rPr>
          <w:rFonts w:cs="Times New Roman"/>
          <w:lang w:val="fr-CA"/>
        </w:rPr>
        <w:t xml:space="preserve">Quoi qu’il en soit, diverses considérations s’appliqueront lors de l’analyse, au regard de l’article premier, de toute violation établie (ou concédée) de l’art. 3 à l’échelle provinciale. Je souligne que, dans l’arrêt </w:t>
      </w:r>
      <w:r w:rsidRPr="004A11E2">
        <w:rPr>
          <w:rFonts w:cs="Times New Roman"/>
          <w:i/>
          <w:lang w:val="fr-CA"/>
        </w:rPr>
        <w:t xml:space="preserve">Reference </w:t>
      </w:r>
      <w:proofErr w:type="spellStart"/>
      <w:r w:rsidRPr="004A11E2">
        <w:rPr>
          <w:rFonts w:cs="Times New Roman"/>
          <w:i/>
          <w:lang w:val="fr-CA"/>
        </w:rPr>
        <w:t>re</w:t>
      </w:r>
      <w:proofErr w:type="spellEnd"/>
      <w:r w:rsidRPr="004A11E2">
        <w:rPr>
          <w:rFonts w:cs="Times New Roman"/>
          <w:i/>
          <w:lang w:val="fr-CA"/>
        </w:rPr>
        <w:t xml:space="preserve"> Yukon </w:t>
      </w:r>
      <w:proofErr w:type="spellStart"/>
      <w:r w:rsidRPr="004A11E2">
        <w:rPr>
          <w:rFonts w:cs="Times New Roman"/>
          <w:i/>
          <w:lang w:val="fr-CA"/>
        </w:rPr>
        <w:t>Election</w:t>
      </w:r>
      <w:proofErr w:type="spellEnd"/>
      <w:r w:rsidRPr="004A11E2">
        <w:rPr>
          <w:rFonts w:cs="Times New Roman"/>
          <w:i/>
          <w:lang w:val="fr-CA"/>
        </w:rPr>
        <w:t xml:space="preserve"> </w:t>
      </w:r>
      <w:proofErr w:type="spellStart"/>
      <w:r w:rsidRPr="004A11E2">
        <w:rPr>
          <w:rFonts w:cs="Times New Roman"/>
          <w:i/>
          <w:lang w:val="fr-CA"/>
        </w:rPr>
        <w:t>Residency</w:t>
      </w:r>
      <w:proofErr w:type="spellEnd"/>
      <w:r w:rsidRPr="004A11E2">
        <w:rPr>
          <w:rFonts w:cs="Times New Roman"/>
          <w:i/>
          <w:lang w:val="fr-CA"/>
        </w:rPr>
        <w:t xml:space="preserve"> </w:t>
      </w:r>
      <w:proofErr w:type="spellStart"/>
      <w:r w:rsidRPr="004A11E2">
        <w:rPr>
          <w:rFonts w:cs="Times New Roman"/>
          <w:i/>
          <w:lang w:val="fr-CA"/>
        </w:rPr>
        <w:t>Requirements</w:t>
      </w:r>
      <w:proofErr w:type="spellEnd"/>
      <w:r w:rsidRPr="004A11E2">
        <w:rPr>
          <w:rFonts w:cs="Times New Roman"/>
          <w:lang w:val="fr-CA"/>
        </w:rPr>
        <w:t xml:space="preserve"> </w:t>
      </w:r>
      <w:r w:rsidR="00B71D98">
        <w:rPr>
          <w:rStyle w:val="nowrap"/>
          <w:rFonts w:cs="Times New Roman"/>
          <w:lang w:val="fr-CA"/>
        </w:rPr>
        <w:t>(1986), 1 Y.R. 23</w:t>
      </w:r>
      <w:r w:rsidRPr="004A11E2">
        <w:rPr>
          <w:rStyle w:val="nowrap"/>
          <w:rFonts w:cs="Times New Roman"/>
          <w:lang w:val="fr-CA"/>
        </w:rPr>
        <w:t xml:space="preserve"> (C.A.), </w:t>
      </w:r>
      <w:r w:rsidRPr="004A11E2">
        <w:rPr>
          <w:rFonts w:cs="Times New Roman"/>
          <w:lang w:val="fr-CA"/>
        </w:rPr>
        <w:t xml:space="preserve">dans son examen de la constitutionnalité des exigences établies par le territoire en matière de résidence, la Cour d’appel du Territoire du Yukon a pris en compte la faible marge par laquelle les candidats l’emportent dans plusieurs circonscriptions de ce territoire lors des élections (par. 15), et l’importante population de passage qui s’y trouve (par. 18), deux facteurs susceptibles d’avoir une incidence appréciable sur les intérêts locaux. Les exigences en matière de résidence fixées par le Yukon ont été déclarées constitutionnelles à la lumière de ces circonstances. Comme l’a affirmé notre Cour dans l’arrêt </w:t>
      </w:r>
      <w:r w:rsidRPr="004A11E2">
        <w:rPr>
          <w:rFonts w:cs="Times New Roman"/>
          <w:i/>
          <w:lang w:val="fr-CA"/>
        </w:rPr>
        <w:t>Haig</w:t>
      </w:r>
      <w:r w:rsidRPr="004A11E2">
        <w:rPr>
          <w:rFonts w:cs="Times New Roman"/>
          <w:lang w:val="fr-CA"/>
        </w:rPr>
        <w:t>, « [d]es exigences territoriales, comme celles existant dans les territoires du Nord, peuvent justifier une foule de règles propres à une province donnée, et la possibilité de ce genre de divergence fait partie intégrante du fédéralisme canadien lui</w:t>
      </w:r>
      <w:r w:rsidRPr="004A11E2">
        <w:rPr>
          <w:rFonts w:cs="Times New Roman"/>
          <w:lang w:val="fr-CA"/>
        </w:rPr>
        <w:noBreakHyphen/>
        <w:t>même » (</w:t>
      </w:r>
      <w:r w:rsidRPr="004A11E2">
        <w:rPr>
          <w:rFonts w:cs="Times New Roman"/>
          <w:i/>
          <w:lang w:val="fr-CA"/>
        </w:rPr>
        <w:t>Haig c. Canada (Directeur général des élections)</w:t>
      </w:r>
      <w:r w:rsidRPr="004A11E2">
        <w:rPr>
          <w:rFonts w:cs="Times New Roman"/>
          <w:lang w:val="fr-CA"/>
        </w:rPr>
        <w:t>, [1993] 2 R.C.S. 995, p. 1029).</w:t>
      </w:r>
      <w:r w:rsidRPr="004A11E2">
        <w:rPr>
          <w:rFonts w:cs="Times New Roman"/>
          <w:i/>
          <w:lang w:val="fr-CA"/>
        </w:rPr>
        <w:t xml:space="preserve"> </w:t>
      </w:r>
      <w:r w:rsidRPr="004A11E2">
        <w:rPr>
          <w:rFonts w:cs="Times New Roman"/>
          <w:lang w:val="fr-CA"/>
        </w:rPr>
        <w:t xml:space="preserve">Il est fort possible que la preuve des circonstances relatives aux diverses exigences en matière de résidence dans chaque province ou territoire influe sur l’analyse de toute allégation de violation de la </w:t>
      </w:r>
      <w:r w:rsidRPr="004A11E2">
        <w:rPr>
          <w:rFonts w:cs="Times New Roman"/>
          <w:i/>
          <w:lang w:val="fr-CA"/>
        </w:rPr>
        <w:t>Charte</w:t>
      </w:r>
      <w:r w:rsidRPr="004A11E2">
        <w:rPr>
          <w:rFonts w:cs="Times New Roman"/>
          <w:lang w:val="fr-CA"/>
        </w:rPr>
        <w:t xml:space="preserve">. </w:t>
      </w:r>
      <w:r w:rsidRPr="004A11E2">
        <w:rPr>
          <w:rFonts w:cs="Times New Roman"/>
          <w:szCs w:val="24"/>
          <w:lang w:val="fr-CA"/>
        </w:rPr>
        <w:t xml:space="preserve">Il me semble que toutes les exigences susmentionnées en matière de résidence contreviendraient à la </w:t>
      </w:r>
      <w:r w:rsidRPr="004A11E2">
        <w:rPr>
          <w:rFonts w:cs="Times New Roman"/>
          <w:i/>
          <w:szCs w:val="24"/>
          <w:lang w:val="fr-CA"/>
        </w:rPr>
        <w:t>Charte</w:t>
      </w:r>
      <w:r w:rsidRPr="004A11E2">
        <w:rPr>
          <w:rFonts w:cs="Times New Roman"/>
          <w:szCs w:val="24"/>
          <w:lang w:val="fr-CA"/>
        </w:rPr>
        <w:t xml:space="preserve"> si nous admettions, ce que je ne fais pas, que le lieu de résidence n’a aucun lien </w:t>
      </w:r>
      <w:r w:rsidRPr="004A11E2">
        <w:rPr>
          <w:rFonts w:cs="Times New Roman"/>
          <w:szCs w:val="24"/>
          <w:lang w:val="fr-CA"/>
        </w:rPr>
        <w:lastRenderedPageBreak/>
        <w:t xml:space="preserve">rationnel avec l’équité électorale et ne saurait </w:t>
      </w:r>
      <w:r w:rsidRPr="004A11E2">
        <w:rPr>
          <w:rFonts w:cs="Times New Roman"/>
          <w:i/>
          <w:szCs w:val="24"/>
          <w:lang w:val="fr-CA"/>
        </w:rPr>
        <w:t>jamais</w:t>
      </w:r>
      <w:r w:rsidRPr="004A11E2">
        <w:rPr>
          <w:rFonts w:cs="Times New Roman"/>
          <w:szCs w:val="24"/>
          <w:lang w:val="fr-CA"/>
        </w:rPr>
        <w:t xml:space="preserve"> être invoqué comme fondement pour limiter le droit de vote. Lors d’un éventuel contrôle de </w:t>
      </w:r>
      <w:r w:rsidRPr="004A11E2">
        <w:rPr>
          <w:rFonts w:cs="Times New Roman"/>
          <w:lang w:val="fr-CA"/>
        </w:rPr>
        <w:t>la constitutionnalité de ces exigences (si elles sont un jour contestées), l’approche adoptée en l’espèce sera certainement pertinente.</w:t>
      </w:r>
    </w:p>
    <w:p w:rsidR="001244E7" w:rsidRPr="004A11E2" w:rsidRDefault="001244E7" w:rsidP="001244E7">
      <w:pPr>
        <w:pStyle w:val="Title2LevelTitre2Niveau"/>
        <w:rPr>
          <w:rFonts w:cs="Times New Roman"/>
          <w:lang w:val="fr-CA"/>
        </w:rPr>
      </w:pPr>
      <w:r w:rsidRPr="004A11E2">
        <w:rPr>
          <w:rFonts w:cs="Times New Roman"/>
          <w:lang w:val="fr-CA"/>
        </w:rPr>
        <w:t>L’analyse fondée sur l’article premier</w:t>
      </w:r>
    </w:p>
    <w:p w:rsidR="001244E7" w:rsidRPr="004A11E2" w:rsidRDefault="001244E7" w:rsidP="001244E7">
      <w:pPr>
        <w:pStyle w:val="ParaNoNdepar-AltN"/>
        <w:rPr>
          <w:rFonts w:cs="Times New Roman"/>
          <w:lang w:val="fr-CA"/>
        </w:rPr>
      </w:pPr>
      <w:r w:rsidRPr="004A11E2">
        <w:rPr>
          <w:rFonts w:cs="Times New Roman"/>
          <w:lang w:val="fr-CA"/>
        </w:rPr>
        <w:t>La promotion de l’équité électorale constitue un objectif urgent et réel. Comme l’a précisé le PGC, les mots [</w:t>
      </w:r>
      <w:r w:rsidRPr="004A11E2">
        <w:rPr>
          <w:rFonts w:cs="Times New Roman"/>
          <w:smallCaps/>
          <w:lang w:val="fr-CA"/>
        </w:rPr>
        <w:t>traduction</w:t>
      </w:r>
      <w:r w:rsidRPr="004A11E2">
        <w:rPr>
          <w:rFonts w:cs="Times New Roman"/>
          <w:lang w:val="fr-CA"/>
        </w:rPr>
        <w:t>] « la préservation du contrat social » n’étaient qu’une façon commode et concise d’exprimer cet objectif. À mon avis, il existe également un lien rationnel entre les mesures contestées et cet objectif. En définitive, toutefois, ces mesures ne résistent pas à l’examen fondé sur l’article premier. L’aspect décisif, en ce qui me concerne, est la mise en balance de leurs effets bénéfiques et de leurs effets préjudiciables. En conséquence, je n’examinerai pas la question de savoir si les mesures contestées sont minimalement attentatoires.</w:t>
      </w:r>
    </w:p>
    <w:p w:rsidR="001244E7" w:rsidRPr="004A11E2" w:rsidRDefault="001244E7" w:rsidP="001244E7">
      <w:pPr>
        <w:pStyle w:val="ParaNoNdepar-AltN"/>
        <w:rPr>
          <w:rFonts w:cs="Times New Roman"/>
          <w:lang w:val="fr-CA"/>
        </w:rPr>
      </w:pPr>
      <w:r w:rsidRPr="004A11E2">
        <w:rPr>
          <w:rFonts w:cs="Times New Roman"/>
          <w:lang w:val="fr-CA"/>
        </w:rPr>
        <w:t>Avant d’entreprendre l’analyse en question, il est important d’exposer la manière dont l’équité électorale joue en l’espèce. Contrairement à d’autres types de mesures qui, affirme</w:t>
      </w:r>
      <w:r w:rsidRPr="004A11E2">
        <w:rPr>
          <w:rFonts w:cs="Times New Roman"/>
          <w:lang w:val="fr-CA"/>
        </w:rPr>
        <w:noBreakHyphen/>
        <w:t>t</w:t>
      </w:r>
      <w:r w:rsidRPr="004A11E2">
        <w:rPr>
          <w:rFonts w:cs="Times New Roman"/>
          <w:lang w:val="fr-CA"/>
        </w:rPr>
        <w:noBreakHyphen/>
        <w:t>on, renforcent l’équité électorale, par exemple en prévenant le vote frauduleux, les mesures contestées dans la présente affaire ne favorisent pas l’équité électorale pour tous les électeurs. Elles favorisent plutôt les intérêts d’un groupe de citoyens (les résidents) au détriment de ceux d’un autre groupe de citoyens (les non</w:t>
      </w:r>
      <w:r w:rsidRPr="004A11E2">
        <w:rPr>
          <w:rFonts w:cs="Times New Roman"/>
          <w:lang w:val="fr-CA"/>
        </w:rPr>
        <w:noBreakHyphen/>
        <w:t>résidents à long terme). Selon les prétentions du PGC, un des objectifs visés par les mesures contestées consiste à [</w:t>
      </w:r>
      <w:r w:rsidRPr="004A11E2">
        <w:rPr>
          <w:rFonts w:cs="Times New Roman"/>
          <w:smallCaps/>
          <w:lang w:val="fr-CA"/>
        </w:rPr>
        <w:t>traduction</w:t>
      </w:r>
      <w:r w:rsidRPr="004A11E2">
        <w:rPr>
          <w:rFonts w:cs="Times New Roman"/>
          <w:lang w:val="fr-CA"/>
        </w:rPr>
        <w:t xml:space="preserve">] « maintenir l’équité du système </w:t>
      </w:r>
      <w:r w:rsidRPr="004A11E2">
        <w:rPr>
          <w:rFonts w:cs="Times New Roman"/>
          <w:lang w:val="fr-CA"/>
        </w:rPr>
        <w:lastRenderedPageBreak/>
        <w:t xml:space="preserve">électoral pour le citoyen Canadien </w:t>
      </w:r>
      <w:r w:rsidRPr="004A11E2">
        <w:rPr>
          <w:rFonts w:cs="Times New Roman"/>
          <w:i/>
          <w:lang w:val="fr-CA"/>
        </w:rPr>
        <w:t>résident</w:t>
      </w:r>
      <w:r w:rsidRPr="004A11E2">
        <w:rPr>
          <w:rFonts w:cs="Times New Roman"/>
          <w:lang w:val="fr-CA"/>
        </w:rPr>
        <w:t> » (</w:t>
      </w:r>
      <w:proofErr w:type="spellStart"/>
      <w:proofErr w:type="gramStart"/>
      <w:r w:rsidRPr="004A11E2">
        <w:rPr>
          <w:rFonts w:cs="Times New Roman"/>
          <w:lang w:val="fr-CA"/>
        </w:rPr>
        <w:t>m.i</w:t>
      </w:r>
      <w:proofErr w:type="spellEnd"/>
      <w:r w:rsidRPr="004A11E2">
        <w:rPr>
          <w:rFonts w:cs="Times New Roman"/>
          <w:lang w:val="fr-CA"/>
        </w:rPr>
        <w:t>.,</w:t>
      </w:r>
      <w:proofErr w:type="gramEnd"/>
      <w:r w:rsidRPr="004A11E2">
        <w:rPr>
          <w:rFonts w:cs="Times New Roman"/>
          <w:lang w:val="fr-CA"/>
        </w:rPr>
        <w:t xml:space="preserve"> par. 1 (italiques ajoutés)). Cette situation diffère de celle en cause dans d’autres affaires examinées par notre Cour, où des dispositions législatives visaient à promouvoir l’équité électorale pour tous les électeurs. À titre d’exemple, dans l’arrêt </w:t>
      </w:r>
      <w:r w:rsidRPr="004A11E2">
        <w:rPr>
          <w:rFonts w:cs="Times New Roman"/>
          <w:i/>
          <w:lang w:val="fr-CA"/>
        </w:rPr>
        <w:t>Harper c. Canada (Procureur général)</w:t>
      </w:r>
      <w:r w:rsidRPr="004A11E2">
        <w:rPr>
          <w:rFonts w:cs="Times New Roman"/>
          <w:lang w:val="fr-CA"/>
        </w:rPr>
        <w:t>, 2004 CSC 33, [2004] 1 R.C.S. 827, notre Cour s’est penchée sur la constitutionnalité de dispositions législatives limitant les dépenses électorales en période de campagne électorale. Les dispositions litigieuses, qui visaient à favoriser l’égalité dans le cadre du débat électoral, ont en définitive été jugées constitutionnelles, malgré les limites qu’elles imposaient à la liberté d’expression. Il est important, en l’espèce, de garder à l’esprit l’existence d’intérêts intrinsèquement opposés dans l’évaluation des mesures contestées. De façon plus particulière, est</w:t>
      </w:r>
      <w:r w:rsidRPr="004A11E2">
        <w:rPr>
          <w:rFonts w:cs="Times New Roman"/>
          <w:lang w:val="fr-CA"/>
        </w:rPr>
        <w:noBreakHyphen/>
        <w:t>ce que les avantages (pour les citoyens résidents) des limites restreignant le droit de vote des non</w:t>
      </w:r>
      <w:r w:rsidRPr="004A11E2">
        <w:rPr>
          <w:rFonts w:cs="Times New Roman"/>
          <w:lang w:val="fr-CA"/>
        </w:rPr>
        <w:noBreakHyphen/>
        <w:t>résidents à long terme l’emportent sur les conséquences de ces limites pour ces derniers?</w:t>
      </w:r>
    </w:p>
    <w:p w:rsidR="001244E7" w:rsidRPr="004A11E2" w:rsidRDefault="001244E7" w:rsidP="001244E7">
      <w:pPr>
        <w:pStyle w:val="Title3LevelTitre3Niveau"/>
        <w:rPr>
          <w:rFonts w:cs="Times New Roman"/>
          <w:lang w:val="fr-CA"/>
        </w:rPr>
      </w:pPr>
      <w:r w:rsidRPr="004A11E2">
        <w:rPr>
          <w:rFonts w:cs="Times New Roman"/>
          <w:lang w:val="fr-CA"/>
        </w:rPr>
        <w:t>Le lien rationnel</w:t>
      </w:r>
    </w:p>
    <w:p w:rsidR="001244E7" w:rsidRPr="004A11E2" w:rsidRDefault="001244E7" w:rsidP="001244E7">
      <w:pPr>
        <w:pStyle w:val="ParaNoNdepar-AltN"/>
        <w:rPr>
          <w:rFonts w:cs="Times New Roman"/>
          <w:lang w:val="fr-CA"/>
        </w:rPr>
      </w:pPr>
      <w:r w:rsidRPr="004A11E2">
        <w:rPr>
          <w:rFonts w:cs="Times New Roman"/>
          <w:lang w:val="fr-CA"/>
        </w:rPr>
        <w:t>Le gouvernement doit démontrer que les mesures contestées ont un lien rationnel avec l’objectif urgent et réel. Je suis d’avis que ces mesures possèdent un tel lien avec l’objectif qui consiste à maintenir l’équité électorale en faveur des Canadiens résidents.</w:t>
      </w:r>
    </w:p>
    <w:p w:rsidR="001244E7" w:rsidRPr="004A11E2" w:rsidRDefault="001244E7" w:rsidP="001244E7">
      <w:pPr>
        <w:pStyle w:val="ParaNoNdepar-AltN"/>
        <w:rPr>
          <w:rFonts w:cs="Times New Roman"/>
          <w:lang w:val="fr-CA"/>
        </w:rPr>
      </w:pPr>
      <w:r w:rsidRPr="004A11E2">
        <w:rPr>
          <w:rFonts w:cs="Times New Roman"/>
          <w:lang w:val="fr-CA"/>
        </w:rPr>
        <w:t>À cette étape</w:t>
      </w:r>
      <w:r w:rsidRPr="004A11E2">
        <w:rPr>
          <w:rFonts w:cs="Times New Roman"/>
          <w:lang w:val="fr-CA"/>
        </w:rPr>
        <w:noBreakHyphen/>
        <w:t xml:space="preserve">ci de l’analyse, le gouvernement doit démontrer, en s’appuyant sur la preuve ou le bon sens, que le moyen choisi favorise l’objectif urgent et réel. Il n’est pas tenu de le faire selon les règles de preuve en matière civile. « Il lui </w:t>
      </w:r>
      <w:r w:rsidRPr="004A11E2">
        <w:rPr>
          <w:rFonts w:cs="Times New Roman"/>
          <w:lang w:val="fr-CA"/>
        </w:rPr>
        <w:lastRenderedPageBreak/>
        <w:t>suffit plutôt de démontrer qu’il avait des motifs raisonnables de croire à l’existence d’un tel lien » (</w:t>
      </w:r>
      <w:r w:rsidRPr="004A11E2">
        <w:rPr>
          <w:rFonts w:cs="Times New Roman"/>
          <w:i/>
          <w:lang w:val="fr-CA"/>
        </w:rPr>
        <w:t>RJR</w:t>
      </w:r>
      <w:r w:rsidRPr="004A11E2">
        <w:rPr>
          <w:rFonts w:cs="Times New Roman"/>
          <w:i/>
          <w:lang w:val="fr-CA"/>
        </w:rPr>
        <w:noBreakHyphen/>
      </w:r>
      <w:proofErr w:type="spellStart"/>
      <w:r w:rsidRPr="004A11E2">
        <w:rPr>
          <w:rFonts w:cs="Times New Roman"/>
          <w:i/>
          <w:lang w:val="fr-CA"/>
        </w:rPr>
        <w:t>Mac</w:t>
      </w:r>
      <w:r>
        <w:rPr>
          <w:rFonts w:cs="Times New Roman"/>
          <w:i/>
          <w:lang w:val="fr-CA"/>
        </w:rPr>
        <w:t>D</w:t>
      </w:r>
      <w:r w:rsidRPr="004A11E2">
        <w:rPr>
          <w:rFonts w:cs="Times New Roman"/>
          <w:i/>
          <w:lang w:val="fr-CA"/>
        </w:rPr>
        <w:t>onald</w:t>
      </w:r>
      <w:proofErr w:type="spellEnd"/>
      <w:r w:rsidRPr="004A11E2">
        <w:rPr>
          <w:rFonts w:cs="Times New Roman"/>
          <w:i/>
          <w:lang w:val="fr-CA"/>
        </w:rPr>
        <w:t xml:space="preserve"> Inc. c. Canada (Procureur général</w:t>
      </w:r>
      <w:r w:rsidRPr="004A11E2">
        <w:rPr>
          <w:rFonts w:cs="Times New Roman"/>
          <w:lang w:val="fr-CA"/>
        </w:rPr>
        <w:t>), [1995] 3 R.C.S. 199, par. 82). Il faut que les moyens retenus « favorisent logiquement » la réalisation des objectifs du législateur (</w:t>
      </w:r>
      <w:r w:rsidRPr="004A11E2">
        <w:rPr>
          <w:rFonts w:cs="Times New Roman"/>
          <w:i/>
          <w:lang w:val="fr-CA"/>
        </w:rPr>
        <w:t>Lavigne c. Syndicat des employés de la fonction publique de l’Ontario</w:t>
      </w:r>
      <w:r w:rsidRPr="004A11E2">
        <w:rPr>
          <w:rFonts w:cs="Times New Roman"/>
          <w:lang w:val="fr-CA"/>
        </w:rPr>
        <w:t>,</w:t>
      </w:r>
      <w:r w:rsidRPr="004A11E2">
        <w:rPr>
          <w:rFonts w:cs="Times New Roman"/>
          <w:i/>
          <w:lang w:val="fr-CA"/>
        </w:rPr>
        <w:t xml:space="preserve"> </w:t>
      </w:r>
      <w:r w:rsidRPr="004A11E2">
        <w:rPr>
          <w:rFonts w:cs="Times New Roman"/>
          <w:lang w:val="fr-CA"/>
        </w:rPr>
        <w:t>[1991] 2 R.C.S. 211, p. 291). Pour qu’une règle de droit possède un lien rationnel avec l’objectif urgent et réel identifié, il n’est pas nécessaire que les mesures en question soient parfaitement adaptées à cet objectif. Autrement dit, la barre n’est pas élevée.</w:t>
      </w:r>
    </w:p>
    <w:p w:rsidR="001244E7" w:rsidRPr="004A11E2" w:rsidRDefault="001244E7" w:rsidP="001244E7">
      <w:pPr>
        <w:pStyle w:val="ParaNoNdepar-AltN"/>
        <w:rPr>
          <w:rFonts w:cs="Times New Roman"/>
          <w:lang w:val="fr-CA"/>
        </w:rPr>
      </w:pPr>
      <w:r w:rsidRPr="004A11E2">
        <w:rPr>
          <w:rFonts w:cs="Times New Roman"/>
          <w:lang w:val="fr-CA"/>
        </w:rPr>
        <w:t>On a soutenu que, à cette étape</w:t>
      </w:r>
      <w:r w:rsidRPr="004A11E2">
        <w:rPr>
          <w:rFonts w:cs="Times New Roman"/>
          <w:lang w:val="fr-CA"/>
        </w:rPr>
        <w:noBreakHyphen/>
        <w:t xml:space="preserve">ci, la question à laquelle il convient de s’attacher consiste à se demander si quelque limite </w:t>
      </w:r>
      <w:r w:rsidRPr="004A11E2">
        <w:rPr>
          <w:rFonts w:cs="Times New Roman"/>
          <w:i/>
          <w:lang w:val="fr-CA"/>
        </w:rPr>
        <w:t>temporelle</w:t>
      </w:r>
      <w:r w:rsidRPr="004A11E2">
        <w:rPr>
          <w:rFonts w:cs="Times New Roman"/>
          <w:lang w:val="fr-CA"/>
        </w:rPr>
        <w:t xml:space="preserve"> que ce soit peut présenter un lien rationnel avec l’objectif d’équité électorale. Selon moi, ce n’est pas le point sur lequel il faut se concentrer. Il convient plutôt de se demander si le </w:t>
      </w:r>
      <w:r w:rsidRPr="004A11E2">
        <w:rPr>
          <w:rFonts w:cs="Times New Roman"/>
          <w:i/>
          <w:lang w:val="fr-CA"/>
        </w:rPr>
        <w:t>lieu de</w:t>
      </w:r>
      <w:r w:rsidRPr="004A11E2">
        <w:rPr>
          <w:rFonts w:cs="Times New Roman"/>
          <w:lang w:val="fr-CA"/>
        </w:rPr>
        <w:t xml:space="preserve"> </w:t>
      </w:r>
      <w:r w:rsidRPr="004A11E2">
        <w:rPr>
          <w:rFonts w:cs="Times New Roman"/>
          <w:i/>
          <w:lang w:val="fr-CA"/>
        </w:rPr>
        <w:t>résidence</w:t>
      </w:r>
      <w:r w:rsidRPr="004A11E2">
        <w:rPr>
          <w:rFonts w:cs="Times New Roman"/>
          <w:lang w:val="fr-CA"/>
        </w:rPr>
        <w:t xml:space="preserve"> possède un lien rationnel avec l’équité électorale. Le PGC prétend que les dispositions contestées contribuent à faire en sorte que les électeurs maintiennent un lien à la fois subjectif et objectif avec le Canada, et que le maintien de ce lien permet de réaliser l’objectif d’équité électorale. Le lien subjectif a trait à l’engagement de quelqu’un à l’égard d’enjeux d’intérêt national et d’intérêt local (à l’échelle de la circonscription). Le principe invoqué au soutien de cet argument est qu’il n’est pas juste que les personnes qui ne sont pas engagées à l’égard de ces enjeux votent. Le lien objectif a trait à la question de savoir si l’intéressé est assujetti aux lois canadiennes. Le postulat est qu’il n’est pas juste que les personnes qui ne le sont pas (ou qui le sont nettement </w:t>
      </w:r>
      <w:r w:rsidRPr="004A11E2">
        <w:rPr>
          <w:rFonts w:cs="Times New Roman"/>
          <w:lang w:val="fr-CA"/>
        </w:rPr>
        <w:lastRenderedPageBreak/>
        <w:t xml:space="preserve">moins) participent à l’adoption de lois régissant d’autres personnes, qui elles résident au Canada et seront pleinement assujetties aux lois du pays. </w:t>
      </w:r>
    </w:p>
    <w:p w:rsidR="001244E7" w:rsidRPr="004A11E2" w:rsidRDefault="001244E7" w:rsidP="001244E7">
      <w:pPr>
        <w:pStyle w:val="ParaNoNdepar-AltN"/>
        <w:rPr>
          <w:rFonts w:cs="Times New Roman"/>
          <w:lang w:val="fr-CA"/>
        </w:rPr>
      </w:pPr>
      <w:r w:rsidRPr="004A11E2">
        <w:rPr>
          <w:rFonts w:cs="Times New Roman"/>
          <w:lang w:val="fr-CA"/>
        </w:rPr>
        <w:t>Bien que les parties n’aient pas toujours exprimé clairement leur position à cet égard, si je comprends bien les arguments du PGC, la participation des non</w:t>
      </w:r>
      <w:r w:rsidRPr="004A11E2">
        <w:rPr>
          <w:rFonts w:cs="Times New Roman"/>
          <w:lang w:val="fr-CA"/>
        </w:rPr>
        <w:noBreakHyphen/>
        <w:t>résidents à long terme aux scrutins est injuste de deux façons à l’égard des Canadiens résidents. Ces deux formes d’injustice correspondent à deux conceptions différentes des notions de résidence ou de liens. Suivant la première conception, la participation des non</w:t>
      </w:r>
      <w:r w:rsidRPr="004A11E2">
        <w:rPr>
          <w:rFonts w:cs="Times New Roman"/>
          <w:lang w:val="fr-CA"/>
        </w:rPr>
        <w:noBreakHyphen/>
        <w:t>résidents à long terme aux scrutins est injuste parce que ceux</w:t>
      </w:r>
      <w:r w:rsidRPr="004A11E2">
        <w:rPr>
          <w:rFonts w:cs="Times New Roman"/>
          <w:lang w:val="fr-CA"/>
        </w:rPr>
        <w:noBreakHyphen/>
        <w:t>ci ne possèdent pas de liens suffisants avec la circonscription où ils voteraient. Selon la seconde, leur participation est injuste parce que ces personnes ne possèdent pas de liens suffisants avec le Canada.</w:t>
      </w:r>
    </w:p>
    <w:p w:rsidR="001244E7" w:rsidRPr="004A11E2" w:rsidRDefault="001244E7" w:rsidP="001244E7">
      <w:pPr>
        <w:pStyle w:val="ParaNoNdepar-AltN"/>
        <w:rPr>
          <w:rFonts w:cs="Times New Roman"/>
          <w:lang w:val="fr-CA"/>
        </w:rPr>
      </w:pPr>
      <w:r w:rsidRPr="004A11E2">
        <w:rPr>
          <w:rFonts w:cs="Times New Roman"/>
          <w:lang w:val="fr-CA"/>
        </w:rPr>
        <w:t>Pour ce qui est de la première injustice, dans le cadre de notre système électoral, les Canadiens élisent un député chargé de représenter leur circonscription à la Chambre des communes. Ce député connaît et comprend les différentes communautés de sa circonscription ainsi que les divers défis auxquels ses électeurs font face, et il se fait leur porte</w:t>
      </w:r>
      <w:r w:rsidRPr="004A11E2">
        <w:rPr>
          <w:rFonts w:cs="Times New Roman"/>
          <w:lang w:val="fr-CA"/>
        </w:rPr>
        <w:noBreakHyphen/>
        <w:t>parole à leur égard. Toutefois, les non</w:t>
      </w:r>
      <w:r w:rsidRPr="004A11E2">
        <w:rPr>
          <w:rFonts w:cs="Times New Roman"/>
          <w:lang w:val="fr-CA"/>
        </w:rPr>
        <w:noBreakHyphen/>
        <w:t>résidents voteraient pour un candidat qu’ils ne rencontreront presque certainement jamais et qui représenterait une circonscription dans laquelle ces non</w:t>
      </w:r>
      <w:r w:rsidRPr="004A11E2">
        <w:rPr>
          <w:rFonts w:cs="Times New Roman"/>
          <w:lang w:val="fr-CA"/>
        </w:rPr>
        <w:noBreakHyphen/>
        <w:t>résidents n’ont pas vécu depuis longtemps (à supposer qu’ils y aient même vécu) et où ils n’ont peut</w:t>
      </w:r>
      <w:r w:rsidRPr="004A11E2">
        <w:rPr>
          <w:rFonts w:cs="Times New Roman"/>
          <w:lang w:val="fr-CA"/>
        </w:rPr>
        <w:noBreakHyphen/>
        <w:t xml:space="preserve">être aucunement l’intention de retourner. L’injustice résulte du fait que des personnes qui n’ont pas à </w:t>
      </w:r>
      <w:r w:rsidRPr="004A11E2">
        <w:rPr>
          <w:rFonts w:cs="Times New Roman"/>
          <w:lang w:val="fr-CA"/>
        </w:rPr>
        <w:lastRenderedPageBreak/>
        <w:t>subir, localement, les conséquences de décisions gouvernementales jouent néanmoins un rôle dans le choix du député qui représentera cette collectivité.</w:t>
      </w:r>
    </w:p>
    <w:p w:rsidR="001244E7" w:rsidRPr="004A11E2" w:rsidRDefault="001244E7" w:rsidP="001244E7">
      <w:pPr>
        <w:pStyle w:val="ParaNoNdepar-AltN"/>
        <w:rPr>
          <w:rFonts w:cs="Times New Roman"/>
          <w:lang w:val="fr-CA"/>
        </w:rPr>
      </w:pPr>
      <w:r w:rsidRPr="004A11E2">
        <w:rPr>
          <w:rFonts w:cs="Times New Roman"/>
          <w:lang w:val="fr-CA"/>
        </w:rPr>
        <w:t>En passant, j’aimerais dire un mot sur la question de l’endroit où les non</w:t>
      </w:r>
      <w:r w:rsidRPr="004A11E2">
        <w:rPr>
          <w:rFonts w:cs="Times New Roman"/>
          <w:lang w:val="fr-CA"/>
        </w:rPr>
        <w:noBreakHyphen/>
        <w:t>résidents à long terme exerceraient leur droit de vote. En vertu de la Loi, les non</w:t>
      </w:r>
      <w:r w:rsidRPr="004A11E2">
        <w:rPr>
          <w:rFonts w:cs="Times New Roman"/>
          <w:lang w:val="fr-CA"/>
        </w:rPr>
        <w:noBreakHyphen/>
        <w:t xml:space="preserve">résidents temporaires qui veulent voter par bulletin de vote spécial doivent soumettre un formulaire de demande pour être inscrits sur un registre d’électeurs </w:t>
      </w:r>
      <w:proofErr w:type="spellStart"/>
      <w:r w:rsidRPr="004A11E2">
        <w:rPr>
          <w:rFonts w:cs="Times New Roman"/>
          <w:lang w:val="fr-CA"/>
        </w:rPr>
        <w:t>non résidents</w:t>
      </w:r>
      <w:proofErr w:type="spellEnd"/>
      <w:r w:rsidRPr="004A11E2">
        <w:rPr>
          <w:rFonts w:cs="Times New Roman"/>
          <w:lang w:val="fr-CA"/>
        </w:rPr>
        <w:t xml:space="preserve"> temporaires. Lorsqu’ils présentent leur demande d’inscription, les citoyens doivent fournir notamment les renseignements suivants (al. </w:t>
      </w:r>
      <w:r w:rsidRPr="004A11E2">
        <w:rPr>
          <w:rFonts w:cs="Times New Roman"/>
          <w:szCs w:val="24"/>
          <w:lang w:val="fr-CA"/>
        </w:rPr>
        <w:t>223(1</w:t>
      </w:r>
      <w:proofErr w:type="gramStart"/>
      <w:r w:rsidRPr="004A11E2">
        <w:rPr>
          <w:rFonts w:cs="Times New Roman"/>
          <w:szCs w:val="24"/>
          <w:lang w:val="fr-CA"/>
        </w:rPr>
        <w:t>)e</w:t>
      </w:r>
      <w:proofErr w:type="gramEnd"/>
      <w:r w:rsidRPr="004A11E2">
        <w:rPr>
          <w:rFonts w:cs="Times New Roman"/>
          <w:szCs w:val="24"/>
          <w:lang w:val="fr-CA"/>
        </w:rPr>
        <w:t>)) :</w:t>
      </w:r>
    </w:p>
    <w:p w:rsidR="001244E7" w:rsidRPr="004A11E2" w:rsidRDefault="001244E7" w:rsidP="001244E7">
      <w:pPr>
        <w:pStyle w:val="Citation-AltC"/>
        <w:ind w:hanging="1166"/>
        <w:contextualSpacing w:val="0"/>
        <w:rPr>
          <w:rFonts w:eastAsiaTheme="minorEastAsia"/>
          <w:lang w:val="fr-CA" w:eastAsia="en-US"/>
        </w:rPr>
      </w:pPr>
      <w:r w:rsidRPr="004A11E2">
        <w:rPr>
          <w:rStyle w:val="lawlabel"/>
          <w:b/>
          <w:bCs/>
          <w:lang w:val="fr-CA"/>
        </w:rPr>
        <w:tab/>
      </w:r>
      <w:r w:rsidRPr="004A11E2">
        <w:rPr>
          <w:rStyle w:val="lawlabel"/>
          <w:b/>
          <w:bCs/>
          <w:lang w:val="fr-CA"/>
        </w:rPr>
        <w:tab/>
      </w:r>
      <w:proofErr w:type="gramStart"/>
      <w:r w:rsidRPr="004A11E2">
        <w:rPr>
          <w:rFonts w:eastAsiaTheme="minorEastAsia"/>
          <w:lang w:val="fr-CA" w:eastAsia="en-US"/>
        </w:rPr>
        <w:t>l’adresse</w:t>
      </w:r>
      <w:proofErr w:type="gramEnd"/>
      <w:r w:rsidRPr="004A11E2">
        <w:rPr>
          <w:rFonts w:eastAsiaTheme="minorEastAsia"/>
          <w:lang w:val="fr-CA" w:eastAsia="en-US"/>
        </w:rPr>
        <w:t xml:space="preserve"> soit du lieu de sa résidence habituelle au Canada avant son départ pour l’étranger, soit du lieu de la résidence habituelle au Canada de son époux, de son conjoint de fait, d’un parent, d’un parent de son époux ou de son conjoint de fait, d’une personne à la charge de qui il est ou de la personne avec laquelle il demeurerait s’il ne résidait pas temporairement à l’étranger.</w:t>
      </w:r>
    </w:p>
    <w:p w:rsidR="001244E7" w:rsidRPr="004A11E2" w:rsidRDefault="001244E7" w:rsidP="001244E7">
      <w:pPr>
        <w:pStyle w:val="ContinueParaSuitedupar-AltP"/>
        <w:rPr>
          <w:rFonts w:cs="Times New Roman"/>
          <w:lang w:val="fr-CA"/>
        </w:rPr>
      </w:pPr>
      <w:r w:rsidRPr="004A11E2">
        <w:rPr>
          <w:rFonts w:cs="Times New Roman"/>
          <w:lang w:val="fr-CA"/>
        </w:rPr>
        <w:t>La circonscription dans laquelle vote un citoyen est déterminée en fonction de ces renseignements. Si les restrictions touchant le vote des non</w:t>
      </w:r>
      <w:r w:rsidRPr="004A11E2">
        <w:rPr>
          <w:rFonts w:cs="Times New Roman"/>
          <w:lang w:val="fr-CA"/>
        </w:rPr>
        <w:noBreakHyphen/>
        <w:t xml:space="preserve">résidents à long terme sont éliminées, l’endroit où le suffrage est exprimé serait déterminé de la même manière. </w:t>
      </w:r>
    </w:p>
    <w:p w:rsidR="001244E7" w:rsidRPr="004A11E2" w:rsidRDefault="001244E7" w:rsidP="001244E7">
      <w:pPr>
        <w:pStyle w:val="ParaNoNdepar-AltN"/>
        <w:rPr>
          <w:rFonts w:cs="Times New Roman"/>
          <w:lang w:val="fr-CA"/>
        </w:rPr>
      </w:pPr>
      <w:r w:rsidRPr="004A11E2">
        <w:rPr>
          <w:rFonts w:cs="Times New Roman"/>
          <w:lang w:val="fr-CA"/>
        </w:rPr>
        <w:t>La deuxième injustice a trait aux liens qui rattachent l’intéressé à l’échelle de la nation plutôt qu’à l’échelle d’une circonscription. Le PGC fait valoir que les non</w:t>
      </w:r>
      <w:r w:rsidRPr="004A11E2">
        <w:rPr>
          <w:rFonts w:cs="Times New Roman"/>
          <w:lang w:val="fr-CA"/>
        </w:rPr>
        <w:noBreakHyphen/>
        <w:t xml:space="preserve">résidents à long terme ne possèdent pas de liens suffisants avec le Canada et qu’ils ne sont pas suffisamment concernés par les lois et les politiques canadiennes par comparaison avec les Canadiens qui résident au pays. Par exemple, il apparaît </w:t>
      </w:r>
      <w:r w:rsidRPr="004A11E2">
        <w:rPr>
          <w:rFonts w:cs="Times New Roman"/>
          <w:lang w:val="fr-CA"/>
        </w:rPr>
        <w:lastRenderedPageBreak/>
        <w:t>naturellement injuste qu’un non</w:t>
      </w:r>
      <w:r w:rsidRPr="004A11E2">
        <w:rPr>
          <w:rFonts w:cs="Times New Roman"/>
          <w:lang w:val="fr-CA"/>
        </w:rPr>
        <w:noBreakHyphen/>
        <w:t xml:space="preserve">résident appuie d’importantes hausses d’impôts qu’il n’aura jamais à supporter (sauf en ce qui concerne l’impôt sur tout revenu gagné au Canada). </w:t>
      </w:r>
    </w:p>
    <w:p w:rsidR="001244E7" w:rsidRPr="004A11E2" w:rsidRDefault="001244E7" w:rsidP="001244E7">
      <w:pPr>
        <w:pStyle w:val="ParaNoNdepar-AltN"/>
        <w:rPr>
          <w:rFonts w:cs="Times New Roman"/>
          <w:lang w:val="fr-CA"/>
        </w:rPr>
      </w:pPr>
      <w:r w:rsidRPr="004A11E2">
        <w:rPr>
          <w:rFonts w:cs="Times New Roman"/>
          <w:lang w:val="fr-CA"/>
        </w:rPr>
        <w:t>En résumé, les arguments du PGC relèvent deux sortes d’injustice : l’injustice découlant du fait que des non</w:t>
      </w:r>
      <w:r w:rsidRPr="004A11E2">
        <w:rPr>
          <w:rFonts w:cs="Times New Roman"/>
          <w:lang w:val="fr-CA"/>
        </w:rPr>
        <w:noBreakHyphen/>
        <w:t xml:space="preserve">résidents votent dans un </w:t>
      </w:r>
      <w:r w:rsidRPr="004A11E2">
        <w:rPr>
          <w:rFonts w:cs="Times New Roman"/>
          <w:i/>
          <w:lang w:val="fr-CA"/>
        </w:rPr>
        <w:t>endroit précis</w:t>
      </w:r>
      <w:r w:rsidRPr="004A11E2">
        <w:rPr>
          <w:rFonts w:cs="Times New Roman"/>
          <w:lang w:val="fr-CA"/>
        </w:rPr>
        <w:t xml:space="preserve"> (pour le motif qu’ils n’ont pas de liens suffisants avec une circonscription particulière), et l’injustice découlant du fait que des non</w:t>
      </w:r>
      <w:r w:rsidRPr="004A11E2">
        <w:rPr>
          <w:rFonts w:cs="Times New Roman"/>
          <w:lang w:val="fr-CA"/>
        </w:rPr>
        <w:noBreakHyphen/>
        <w:t xml:space="preserve">résidents votent, et ce, </w:t>
      </w:r>
      <w:r w:rsidRPr="004A11E2">
        <w:rPr>
          <w:rFonts w:cs="Times New Roman"/>
          <w:i/>
          <w:lang w:val="fr-CA"/>
        </w:rPr>
        <w:t>peu importe où</w:t>
      </w:r>
      <w:r w:rsidRPr="004A11E2">
        <w:rPr>
          <w:rFonts w:cs="Times New Roman"/>
          <w:lang w:val="fr-CA"/>
        </w:rPr>
        <w:t xml:space="preserve"> (pour le motif qu’ils n’ont pas de liens suffisants avec le Canada). </w:t>
      </w:r>
    </w:p>
    <w:p w:rsidR="001244E7" w:rsidRPr="004A11E2" w:rsidRDefault="001244E7" w:rsidP="001244E7">
      <w:pPr>
        <w:pStyle w:val="ParaNoNdepar-AltN"/>
        <w:rPr>
          <w:rFonts w:cs="Times New Roman"/>
          <w:lang w:val="fr-CA"/>
        </w:rPr>
      </w:pPr>
      <w:r w:rsidRPr="004A11E2">
        <w:rPr>
          <w:rFonts w:cs="Times New Roman"/>
          <w:lang w:val="fr-CA"/>
        </w:rPr>
        <w:t xml:space="preserve">La logique à la base de ce qui précède ressort des motifs de la juge en chef </w:t>
      </w:r>
      <w:proofErr w:type="spellStart"/>
      <w:r w:rsidRPr="004A11E2">
        <w:rPr>
          <w:rFonts w:cs="Times New Roman"/>
          <w:lang w:val="fr-CA"/>
        </w:rPr>
        <w:t>McLachlin</w:t>
      </w:r>
      <w:proofErr w:type="spellEnd"/>
      <w:r w:rsidRPr="004A11E2">
        <w:rPr>
          <w:rFonts w:cs="Times New Roman"/>
          <w:lang w:val="fr-CA"/>
        </w:rPr>
        <w:t xml:space="preserve"> dans l’arrêt</w:t>
      </w:r>
      <w:r w:rsidRPr="004A11E2">
        <w:rPr>
          <w:rFonts w:cs="Times New Roman"/>
          <w:i/>
          <w:lang w:val="fr-CA"/>
        </w:rPr>
        <w:t xml:space="preserve"> Sauvé c. Canada (Directeur général des élections)</w:t>
      </w:r>
      <w:r w:rsidRPr="004A11E2">
        <w:rPr>
          <w:rFonts w:cs="Times New Roman"/>
          <w:lang w:val="fr-CA"/>
        </w:rPr>
        <w:t>, 2002 CSC 68, [2002] 3 R.C.S. 519 (</w:t>
      </w:r>
      <w:r w:rsidRPr="004A11E2">
        <w:rPr>
          <w:rFonts w:cs="Times New Roman"/>
          <w:i/>
          <w:lang w:val="fr-CA"/>
        </w:rPr>
        <w:t>Sauvé n</w:t>
      </w:r>
      <w:r w:rsidRPr="004A11E2">
        <w:rPr>
          <w:rFonts w:cs="Times New Roman"/>
          <w:i/>
          <w:vertAlign w:val="superscript"/>
          <w:lang w:val="fr-CA"/>
        </w:rPr>
        <w:t>o</w:t>
      </w:r>
      <w:r w:rsidRPr="004A11E2">
        <w:rPr>
          <w:rFonts w:cs="Times New Roman"/>
          <w:i/>
          <w:lang w:val="fr-CA"/>
        </w:rPr>
        <w:t> 2</w:t>
      </w:r>
      <w:r w:rsidRPr="004A11E2">
        <w:rPr>
          <w:rFonts w:cs="Times New Roman"/>
          <w:lang w:val="fr-CA"/>
        </w:rPr>
        <w:t xml:space="preserve">). Ces motifs établissent un lien entre le droit de voter et l’obligation de respecter la loi (par. 31) : </w:t>
      </w:r>
    </w:p>
    <w:p w:rsidR="001244E7" w:rsidRPr="004A11E2" w:rsidRDefault="001244E7" w:rsidP="001244E7">
      <w:pPr>
        <w:pStyle w:val="Citation-AltC"/>
        <w:ind w:hanging="1166"/>
        <w:contextualSpacing w:val="0"/>
        <w:rPr>
          <w:lang w:val="fr-CA"/>
        </w:rPr>
      </w:pPr>
      <w:r w:rsidRPr="004A11E2">
        <w:rPr>
          <w:lang w:val="fr-CA"/>
        </w:rPr>
        <w:tab/>
        <w:t>Cette délégation de pouvoir des électeurs aux législateurs confère à la loi sa légitimité ou force. En corollaire, l’obligation de respecter la loi découle du fait que celle</w:t>
      </w:r>
      <w:r w:rsidRPr="004A11E2">
        <w:rPr>
          <w:lang w:val="fr-CA"/>
        </w:rPr>
        <w:noBreakHyphen/>
        <w:t>ci est élaborée par les citoyens et en leur nom. En somme, la légitimité de la loi et l’obligation de la respecter découlent directement du droit de vote de chaque citoyen.</w:t>
      </w:r>
      <w:r>
        <w:rPr>
          <w:lang w:val="fr-CA"/>
        </w:rPr>
        <w:t xml:space="preserve"> </w:t>
      </w:r>
      <w:r w:rsidRPr="004A11E2">
        <w:rPr>
          <w:lang w:val="fr-CA"/>
        </w:rPr>
        <w:t>Sur le plan pratique, nous demandons à tous ceux qui se trouvent à l’intérieur des frontières de notre pays de respecter ses lois, qu’ils aient le droit de voter ou non.</w:t>
      </w:r>
      <w:r>
        <w:rPr>
          <w:lang w:val="fr-CA"/>
        </w:rPr>
        <w:t xml:space="preserve"> </w:t>
      </w:r>
      <w:r w:rsidRPr="004A11E2">
        <w:rPr>
          <w:lang w:val="fr-CA"/>
        </w:rPr>
        <w:t>Mais cela ne rompt pas le lien vital qui existe, d’un point de vue symbolique, théorique et pratique, entre la participation à l’élaboration de la loi et l’obligation de la respecter.</w:t>
      </w:r>
    </w:p>
    <w:p w:rsidR="001244E7" w:rsidRPr="004A11E2" w:rsidRDefault="001244E7" w:rsidP="001244E7">
      <w:pPr>
        <w:pStyle w:val="ContinueParaSuitedupar-AltP"/>
        <w:rPr>
          <w:rFonts w:cs="Times New Roman"/>
          <w:lang w:val="fr-CA"/>
        </w:rPr>
      </w:pPr>
      <w:r w:rsidRPr="004A11E2">
        <w:rPr>
          <w:rFonts w:cs="Times New Roman"/>
          <w:lang w:val="fr-CA"/>
        </w:rPr>
        <w:t xml:space="preserve">La juge en chef </w:t>
      </w:r>
      <w:proofErr w:type="spellStart"/>
      <w:r w:rsidRPr="004A11E2">
        <w:rPr>
          <w:rFonts w:cs="Times New Roman"/>
          <w:lang w:val="fr-CA"/>
        </w:rPr>
        <w:t>McLachlin</w:t>
      </w:r>
      <w:proofErr w:type="spellEnd"/>
      <w:r w:rsidRPr="004A11E2">
        <w:rPr>
          <w:rFonts w:cs="Times New Roman"/>
          <w:lang w:val="fr-CA"/>
        </w:rPr>
        <w:t xml:space="preserve"> s’est concentrée sur le problème découlant du fait qu’une personne serait assujettie à des lois à l’égard desquelles elle ne peut pas voter. Ce </w:t>
      </w:r>
      <w:r w:rsidRPr="004A11E2">
        <w:rPr>
          <w:rFonts w:cs="Times New Roman"/>
          <w:lang w:val="fr-CA"/>
        </w:rPr>
        <w:lastRenderedPageBreak/>
        <w:t>raisonnement ne s’applique</w:t>
      </w:r>
      <w:r w:rsidRPr="004A11E2">
        <w:rPr>
          <w:rFonts w:cs="Times New Roman"/>
          <w:lang w:val="fr-CA"/>
        </w:rPr>
        <w:noBreakHyphen/>
        <w:t>t</w:t>
      </w:r>
      <w:r w:rsidRPr="004A11E2">
        <w:rPr>
          <w:rFonts w:cs="Times New Roman"/>
          <w:lang w:val="fr-CA"/>
        </w:rPr>
        <w:noBreakHyphen/>
        <w:t>il pas dans l’autre sens également? Si la légitimité d’une loi découle du fait que les personnes qui y sont assujetties sont celles qui l’ont (indirectement) élaborée, n’est</w:t>
      </w:r>
      <w:r w:rsidRPr="004A11E2">
        <w:rPr>
          <w:rFonts w:cs="Times New Roman"/>
          <w:lang w:val="fr-CA"/>
        </w:rPr>
        <w:noBreakHyphen/>
        <w:t>il pas injuste, à l’inverse, que des personnes qui ne sont pas assujetties à une telle loi ou touchées par celle</w:t>
      </w:r>
      <w:r w:rsidRPr="004A11E2">
        <w:rPr>
          <w:rFonts w:cs="Times New Roman"/>
          <w:lang w:val="fr-CA"/>
        </w:rPr>
        <w:noBreakHyphen/>
        <w:t>ci puissent se prononcer au même titre que celles qui le seront? Il m’est difficile de conclure que ce n’est pas injuste.</w:t>
      </w:r>
    </w:p>
    <w:p w:rsidR="001244E7" w:rsidRPr="004A11E2" w:rsidRDefault="001244E7" w:rsidP="001244E7">
      <w:pPr>
        <w:pStyle w:val="ParaNoNdepar-AltN"/>
        <w:rPr>
          <w:rFonts w:cs="Times New Roman"/>
          <w:lang w:val="fr-CA"/>
        </w:rPr>
      </w:pPr>
      <w:r w:rsidRPr="004A11E2">
        <w:rPr>
          <w:rFonts w:cs="Times New Roman"/>
          <w:lang w:val="fr-CA"/>
        </w:rPr>
        <w:t>Nous devons ensuite nous demander s’il existe un rapport entre la notion de résidence et l’existence de liens rattachant quelqu’un à une circonscription en particulier ou, peut</w:t>
      </w:r>
      <w:r w:rsidRPr="004A11E2">
        <w:rPr>
          <w:rFonts w:cs="Times New Roman"/>
          <w:lang w:val="fr-CA"/>
        </w:rPr>
        <w:noBreakHyphen/>
        <w:t>être, au Canada en général. Formulée autrement, la question consiste à se demander si les non</w:t>
      </w:r>
      <w:r w:rsidRPr="004A11E2">
        <w:rPr>
          <w:rFonts w:cs="Times New Roman"/>
          <w:lang w:val="fr-CA"/>
        </w:rPr>
        <w:noBreakHyphen/>
        <w:t>résidents à long terme sont susceptibles de posséder moins de liens avec une circonscription ou avec le Canada? Particulièrement à l’échelle de la circonscription, il m’apparaît difficile d’éviter de conclure que les non</w:t>
      </w:r>
      <w:r w:rsidRPr="004A11E2">
        <w:rPr>
          <w:rFonts w:cs="Times New Roman"/>
          <w:lang w:val="fr-CA"/>
        </w:rPr>
        <w:noBreakHyphen/>
        <w:t>résidents à long terme sont susceptibles de posséder moins de liens avec leur communauté. À titre de postulat général, je dirais que les personnes qui n’ont pas vécu dans une circonscription depuis plus de cinq ans sont moins susceptibles d’être au fait des enjeux touchant cette circonscription. (Comment pourrait</w:t>
      </w:r>
      <w:r w:rsidRPr="004A11E2">
        <w:rPr>
          <w:rFonts w:cs="Times New Roman"/>
          <w:lang w:val="fr-CA"/>
        </w:rPr>
        <w:noBreakHyphen/>
        <w:t>il en être autrement?) En outre, si un électeur non résident à long terme n’a pas l’intention de retourner dans cette circonscription, il ne ressentira pas les effets des lois et politiques fédérales de la manière dont elles se manifestent au niveau local. Bien qu’à un degré peut</w:t>
      </w:r>
      <w:r w:rsidRPr="004A11E2">
        <w:rPr>
          <w:rFonts w:cs="Times New Roman"/>
          <w:lang w:val="fr-CA"/>
        </w:rPr>
        <w:noBreakHyphen/>
        <w:t xml:space="preserve">être moindre, le même raisonnement s’applique à l’échelle nationale. Les personnes qui n’ont pas vécu au pays depuis longtemps sont susceptibles d’avoir des liens moins forts avec le Canada que celles qui y résident. Quoique les citoyens </w:t>
      </w:r>
      <w:proofErr w:type="spellStart"/>
      <w:r w:rsidRPr="004A11E2">
        <w:rPr>
          <w:rFonts w:cs="Times New Roman"/>
          <w:lang w:val="fr-CA"/>
        </w:rPr>
        <w:t>non résidents</w:t>
      </w:r>
      <w:proofErr w:type="spellEnd"/>
      <w:r w:rsidRPr="004A11E2">
        <w:rPr>
          <w:rFonts w:cs="Times New Roman"/>
          <w:lang w:val="fr-CA"/>
        </w:rPr>
        <w:t xml:space="preserve"> soient dans une certaine mesure touchés par les lois canadiennes, ils le sont à un degré bien moindre </w:t>
      </w:r>
      <w:r w:rsidRPr="004A11E2">
        <w:rPr>
          <w:rFonts w:cs="Times New Roman"/>
          <w:lang w:val="fr-CA"/>
        </w:rPr>
        <w:lastRenderedPageBreak/>
        <w:t>que les Canadiens vivant au pays. Par conséquent, il serait injuste que des personnes qui, dans une large mesure, ne seront pas touchées (les non</w:t>
      </w:r>
      <w:r w:rsidRPr="004A11E2">
        <w:rPr>
          <w:rFonts w:cs="Times New Roman"/>
          <w:lang w:val="fr-CA"/>
        </w:rPr>
        <w:noBreakHyphen/>
        <w:t>résidents) par des décisions participent à ces décisions qui auront des incidences sur d’autres personnes (les résidents).</w:t>
      </w:r>
    </w:p>
    <w:p w:rsidR="001244E7" w:rsidRPr="004A11E2" w:rsidRDefault="001244E7" w:rsidP="001244E7">
      <w:pPr>
        <w:pStyle w:val="Title3LevelTitre3Niveau"/>
        <w:rPr>
          <w:rFonts w:cs="Times New Roman"/>
          <w:lang w:val="fr-CA"/>
        </w:rPr>
      </w:pPr>
      <w:r w:rsidRPr="004A11E2">
        <w:rPr>
          <w:rFonts w:cs="Times New Roman"/>
          <w:lang w:val="fr-CA"/>
        </w:rPr>
        <w:t>Proportionnalité des effets</w:t>
      </w:r>
    </w:p>
    <w:p w:rsidR="001244E7" w:rsidRPr="004A11E2" w:rsidRDefault="001244E7" w:rsidP="001244E7">
      <w:pPr>
        <w:pStyle w:val="ParaNoNdepar-AltN"/>
        <w:rPr>
          <w:rFonts w:cs="Times New Roman"/>
          <w:lang w:val="fr-CA"/>
        </w:rPr>
      </w:pPr>
      <w:r w:rsidRPr="004A11E2">
        <w:rPr>
          <w:rFonts w:cs="Times New Roman"/>
          <w:lang w:val="fr-CA"/>
        </w:rPr>
        <w:t xml:space="preserve">Je dois maintenant décider si les effets préjudiciables découlant du fait de priver les Canadiens </w:t>
      </w:r>
      <w:proofErr w:type="spellStart"/>
      <w:r w:rsidRPr="004A11E2">
        <w:rPr>
          <w:rFonts w:cs="Times New Roman"/>
          <w:lang w:val="fr-CA"/>
        </w:rPr>
        <w:t>non résidents</w:t>
      </w:r>
      <w:proofErr w:type="spellEnd"/>
      <w:r w:rsidRPr="004A11E2">
        <w:rPr>
          <w:rFonts w:cs="Times New Roman"/>
          <w:lang w:val="fr-CA"/>
        </w:rPr>
        <w:t xml:space="preserve"> à long terme du droit de voter aux élections fédérales l’emportent sur les effets bénéfiques d’une mesure visant à promouvoir l’équité en faveur des Canadiens qui résident au pays. À mon sens, cette étape de l’analyse de la proportionnalité est décisive en l’espèce.</w:t>
      </w:r>
    </w:p>
    <w:p w:rsidR="001244E7" w:rsidRPr="004A11E2" w:rsidRDefault="001244E7" w:rsidP="001244E7">
      <w:pPr>
        <w:pStyle w:val="ParaNoNdepar-AltN"/>
        <w:rPr>
          <w:rFonts w:cs="Times New Roman"/>
          <w:lang w:val="fr-CA"/>
        </w:rPr>
      </w:pPr>
      <w:r w:rsidRPr="004A11E2">
        <w:rPr>
          <w:rFonts w:cs="Times New Roman"/>
          <w:lang w:val="fr-CA"/>
        </w:rPr>
        <w:t>Les effets bénéfiques d’une mesure contestée sont appréciés en déterminant à quel point cette mesure favorise la réalisation de l’objectif qui a été jugé urgent et réel à la première étape de l’analyse. La conséquence des limites imposées au droit de vote des non</w:t>
      </w:r>
      <w:r w:rsidRPr="004A11E2">
        <w:rPr>
          <w:rFonts w:cs="Times New Roman"/>
          <w:lang w:val="fr-CA"/>
        </w:rPr>
        <w:noBreakHyphen/>
        <w:t xml:space="preserve">résidents à long terme est que ces personnes n’exprimeront jamais un vote décisif dans une circonscription où elles ne résident pas. Il s’agit d’un effet bénéfique des mesures contestées, car le représentant local ne sera pas choisi par des personnes de l’extérieur de la circonscription. Bien que cette affirmation vaille en tant que postulat général, le PGC n’a présenté presqu’aucune preuve de l’incidence qu’auraient eue ou qu’auraient pu avoir les résidents à long terme, soit à l’échelle locale soit à l’échelle nationale, s’ils avaient été autorisés à voter. </w:t>
      </w:r>
    </w:p>
    <w:p w:rsidR="001244E7" w:rsidRPr="004A11E2" w:rsidRDefault="001244E7" w:rsidP="001244E7">
      <w:pPr>
        <w:pStyle w:val="ParaNoNdepar-AltN"/>
        <w:rPr>
          <w:rFonts w:cs="Times New Roman"/>
          <w:lang w:val="fr-CA"/>
        </w:rPr>
      </w:pPr>
      <w:r w:rsidRPr="004A11E2">
        <w:rPr>
          <w:rFonts w:cs="Times New Roman"/>
          <w:lang w:val="fr-CA"/>
        </w:rPr>
        <w:lastRenderedPageBreak/>
        <w:t>Il ressort de la preuve dont nous disposons que l’incidence serait vraisemblablement négligeable. Un très petit nombre de Canadiens qui vivent à l’étranger et qui ont actuellement le droit de voter choisissent d’exercer ce droit par bulletin de vote spécial.</w:t>
      </w:r>
      <w:r>
        <w:rPr>
          <w:rFonts w:cs="Times New Roman"/>
          <w:lang w:val="fr-CA"/>
        </w:rPr>
        <w:t xml:space="preserve"> </w:t>
      </w:r>
      <w:r w:rsidRPr="004A11E2">
        <w:rPr>
          <w:rFonts w:cs="Times New Roman"/>
          <w:lang w:val="fr-CA"/>
        </w:rPr>
        <w:t>À l’élection qui a suivi la mise en œuvre des Règles électorales spéciales prévues à la partie 11 de la Loi, lesquelles établissent les procédures relatives aux bulletins de vote spéciaux, y compris les votes exprimés par les non</w:t>
      </w:r>
      <w:r w:rsidRPr="004A11E2">
        <w:rPr>
          <w:rFonts w:cs="Times New Roman"/>
          <w:lang w:val="fr-CA"/>
        </w:rPr>
        <w:noBreakHyphen/>
        <w:t>résidents, un peu plus seulement de 15 000 bulletins de vote spéciaux ont été demandés et délivrés. À l’élection de 2011, dans les dix circonscriptions canadiennes comptant le nombre le plus élevé de bulletins de vote spéciaux, le vote des non</w:t>
      </w:r>
      <w:r w:rsidRPr="004A11E2">
        <w:rPr>
          <w:rFonts w:cs="Times New Roman"/>
          <w:lang w:val="fr-CA"/>
        </w:rPr>
        <w:noBreakHyphen/>
        <w:t>résidents — exprimé en pourcentage du nombre total d’électeurs inscrits dans ces diverses circonscriptions</w:t>
      </w:r>
      <w:r w:rsidR="002F2D5E">
        <w:rPr>
          <w:rFonts w:cs="Times New Roman"/>
          <w:lang w:val="fr-CA"/>
        </w:rPr>
        <w:t xml:space="preserve"> — a varié d’un minimum de 0,05 p. 100</w:t>
      </w:r>
      <w:r w:rsidRPr="004A11E2">
        <w:rPr>
          <w:rFonts w:cs="Times New Roman"/>
          <w:lang w:val="fr-CA"/>
        </w:rPr>
        <w:t xml:space="preserve"> à un maximum de 0,2</w:t>
      </w:r>
      <w:r>
        <w:rPr>
          <w:rFonts w:cs="Times New Roman"/>
          <w:lang w:val="fr-CA"/>
        </w:rPr>
        <w:t> </w:t>
      </w:r>
      <w:r w:rsidR="00E4750A">
        <w:rPr>
          <w:rFonts w:cs="Times New Roman"/>
          <w:lang w:val="fr-CA"/>
        </w:rPr>
        <w:t>p.</w:t>
      </w:r>
      <w:r>
        <w:rPr>
          <w:rFonts w:cs="Times New Roman"/>
          <w:lang w:val="fr-CA"/>
        </w:rPr>
        <w:t> </w:t>
      </w:r>
      <w:r w:rsidR="00E4750A">
        <w:rPr>
          <w:rFonts w:cs="Times New Roman"/>
          <w:lang w:val="fr-CA"/>
        </w:rPr>
        <w:t>100</w:t>
      </w:r>
      <w:r w:rsidRPr="004A11E2">
        <w:rPr>
          <w:rFonts w:cs="Times New Roman"/>
          <w:lang w:val="fr-CA"/>
        </w:rPr>
        <w:t>. Élections Canada a signalé qu’à peine 6 000</w:t>
      </w:r>
      <w:r>
        <w:rPr>
          <w:rFonts w:cs="Times New Roman"/>
          <w:lang w:val="fr-CA"/>
        </w:rPr>
        <w:t> </w:t>
      </w:r>
      <w:r w:rsidRPr="004A11E2">
        <w:rPr>
          <w:rFonts w:cs="Times New Roman"/>
          <w:lang w:val="fr-CA"/>
        </w:rPr>
        <w:t>votes avaient été recensés dans le bassin des électeurs internationaux. Quoique ces chiffres concernent les non</w:t>
      </w:r>
      <w:r w:rsidRPr="004A11E2">
        <w:rPr>
          <w:rFonts w:cs="Times New Roman"/>
          <w:lang w:val="fr-CA"/>
        </w:rPr>
        <w:noBreakHyphen/>
        <w:t>résidents qui avaient droit de vote en vertu du régime législatif actuel — c’est</w:t>
      </w:r>
      <w:r w:rsidRPr="004A11E2">
        <w:rPr>
          <w:rFonts w:cs="Times New Roman"/>
          <w:lang w:val="fr-CA"/>
        </w:rPr>
        <w:noBreakHyphen/>
        <w:t>à</w:t>
      </w:r>
      <w:r w:rsidRPr="004A11E2">
        <w:rPr>
          <w:rFonts w:cs="Times New Roman"/>
          <w:lang w:val="fr-CA"/>
        </w:rPr>
        <w:noBreakHyphen/>
        <w:t xml:space="preserve">dire des citoyens </w:t>
      </w:r>
      <w:proofErr w:type="spellStart"/>
      <w:r w:rsidRPr="004A11E2">
        <w:rPr>
          <w:rFonts w:cs="Times New Roman"/>
          <w:lang w:val="fr-CA"/>
        </w:rPr>
        <w:t>non résidents</w:t>
      </w:r>
      <w:proofErr w:type="spellEnd"/>
      <w:r w:rsidRPr="004A11E2">
        <w:rPr>
          <w:rFonts w:cs="Times New Roman"/>
          <w:lang w:val="fr-CA"/>
        </w:rPr>
        <w:t xml:space="preserve"> depuis moins de cinq ans — ils sont néanmoins révélateurs. Comme l’a expliqué le juge Penny dans sa décision sur la demande de jugement déclaratoire</w:t>
      </w:r>
      <w:r>
        <w:rPr>
          <w:rFonts w:cs="Times New Roman"/>
          <w:lang w:val="fr-CA"/>
        </w:rPr>
        <w:t>,</w:t>
      </w:r>
      <w:r w:rsidRPr="004A11E2">
        <w:rPr>
          <w:rFonts w:cs="Times New Roman"/>
          <w:lang w:val="fr-CA"/>
        </w:rPr>
        <w:t xml:space="preserve"> [</w:t>
      </w:r>
      <w:r w:rsidRPr="004A11E2">
        <w:rPr>
          <w:rFonts w:cs="Times New Roman"/>
          <w:smallCaps/>
          <w:lang w:val="fr-CA"/>
        </w:rPr>
        <w:t>traduction</w:t>
      </w:r>
      <w:r w:rsidRPr="004A11E2">
        <w:rPr>
          <w:rFonts w:cs="Times New Roman"/>
          <w:lang w:val="fr-CA"/>
        </w:rPr>
        <w:t xml:space="preserve">] « il est difficile de voir quelle iniquité cause à la majorité l’exercice par les [autres] citoyens </w:t>
      </w:r>
      <w:proofErr w:type="spellStart"/>
      <w:r w:rsidRPr="004A11E2">
        <w:rPr>
          <w:rFonts w:cs="Times New Roman"/>
          <w:lang w:val="fr-CA"/>
        </w:rPr>
        <w:t>non résidents</w:t>
      </w:r>
      <w:proofErr w:type="spellEnd"/>
      <w:r w:rsidRPr="004A11E2">
        <w:rPr>
          <w:rFonts w:cs="Times New Roman"/>
          <w:lang w:val="fr-CA"/>
        </w:rPr>
        <w:t xml:space="preserve"> de leur droit de vote » (par. 113). Dans de telles circonstances, les effets bénéfiques sont sans conséquence. Il en serait autrement si un grand nombre d’électeurs </w:t>
      </w:r>
      <w:proofErr w:type="spellStart"/>
      <w:r w:rsidRPr="004A11E2">
        <w:rPr>
          <w:rFonts w:cs="Times New Roman"/>
          <w:lang w:val="fr-CA"/>
        </w:rPr>
        <w:t>non résidents</w:t>
      </w:r>
      <w:proofErr w:type="spellEnd"/>
      <w:r w:rsidRPr="004A11E2">
        <w:rPr>
          <w:rFonts w:cs="Times New Roman"/>
          <w:lang w:val="fr-CA"/>
        </w:rPr>
        <w:t xml:space="preserve"> votaient, surtout s’ils le faisaient de façon concertée pour maximiser l’effet de leur geste sur les résultats de l’élection. En effet, un million d’électeurs de plus participant au scrutin pourraient bien changer le cours d’une élection.</w:t>
      </w:r>
      <w:r>
        <w:rPr>
          <w:rFonts w:cs="Times New Roman"/>
          <w:lang w:val="fr-CA"/>
        </w:rPr>
        <w:t xml:space="preserve"> </w:t>
      </w:r>
    </w:p>
    <w:p w:rsidR="001244E7" w:rsidRPr="004A11E2" w:rsidRDefault="001244E7" w:rsidP="001244E7">
      <w:pPr>
        <w:pStyle w:val="ParaNoNdepar-AltN"/>
        <w:rPr>
          <w:rFonts w:cs="Times New Roman"/>
          <w:lang w:val="fr-CA"/>
        </w:rPr>
      </w:pPr>
      <w:r w:rsidRPr="004A11E2">
        <w:rPr>
          <w:rFonts w:cs="Times New Roman"/>
          <w:lang w:val="fr-CA"/>
        </w:rPr>
        <w:lastRenderedPageBreak/>
        <w:t>En revanche, les effets préjudiciables des dispositions sur les non</w:t>
      </w:r>
      <w:r w:rsidRPr="004A11E2">
        <w:rPr>
          <w:rFonts w:cs="Times New Roman"/>
          <w:lang w:val="fr-CA"/>
        </w:rPr>
        <w:noBreakHyphen/>
        <w:t>résidents à long terme sont évidents : ces personnes ne peuvent pas voter. Bien qu’il soit possible qu’elles ne ressentent pas les conséquences à l’échelle locale de politiques fédérales particulières dans les circonscriptions où leurs votes seraient comptés, elles sont néanmoins susceptibles d’être touchées par certaines lois et politiques fédérales, peut</w:t>
      </w:r>
      <w:r w:rsidRPr="004A11E2">
        <w:rPr>
          <w:rFonts w:cs="Times New Roman"/>
          <w:lang w:val="fr-CA"/>
        </w:rPr>
        <w:noBreakHyphen/>
        <w:t xml:space="preserve">être de façons déterminantes pour leur avenir. Suivant le raisonnement des juges majoritaires dans </w:t>
      </w:r>
      <w:r w:rsidRPr="004A11E2">
        <w:rPr>
          <w:rFonts w:cs="Times New Roman"/>
          <w:i/>
          <w:lang w:val="fr-CA"/>
        </w:rPr>
        <w:t>Sauvé n</w:t>
      </w:r>
      <w:r w:rsidRPr="004A11E2">
        <w:rPr>
          <w:rFonts w:cs="Times New Roman"/>
          <w:i/>
          <w:vertAlign w:val="superscript"/>
          <w:lang w:val="fr-CA"/>
        </w:rPr>
        <w:t>o</w:t>
      </w:r>
      <w:r w:rsidRPr="004A11E2">
        <w:rPr>
          <w:rFonts w:cs="Times New Roman"/>
          <w:i/>
          <w:lang w:val="fr-CA"/>
        </w:rPr>
        <w:t> 2</w:t>
      </w:r>
      <w:r w:rsidRPr="004A11E2">
        <w:rPr>
          <w:rFonts w:cs="Times New Roman"/>
          <w:lang w:val="fr-CA"/>
        </w:rPr>
        <w:t>, nous devons être sensibles à la réalité des personnes qui n’ont pas la possibilité de s’exprimer sur des questions susceptibles d’influer profondément sur elles. Je souligne que le même raisonnement pourrait ne pas s’appliquer à l’échelle provinciale ou territoriale; il est peu probable que des non</w:t>
      </w:r>
      <w:r w:rsidRPr="004A11E2">
        <w:rPr>
          <w:rFonts w:cs="Times New Roman"/>
          <w:lang w:val="fr-CA"/>
        </w:rPr>
        <w:noBreakHyphen/>
        <w:t>résidents à long terme soient touchés de façon importante par les lois provinciales et territoriales, puisque les pouvoirs des provinces et des territoires ne s’étendent généralement pas à des sujets ayant des incidences internationales.</w:t>
      </w:r>
    </w:p>
    <w:p w:rsidR="001244E7" w:rsidRPr="004A11E2" w:rsidRDefault="001244E7" w:rsidP="001244E7">
      <w:pPr>
        <w:pStyle w:val="ParaNoNdepar-AltN"/>
        <w:rPr>
          <w:rFonts w:cs="Times New Roman"/>
          <w:lang w:val="fr-CA"/>
        </w:rPr>
      </w:pPr>
      <w:proofErr w:type="gramStart"/>
      <w:r w:rsidRPr="004A11E2">
        <w:rPr>
          <w:rFonts w:cs="Times New Roman"/>
          <w:lang w:val="fr-CA"/>
        </w:rPr>
        <w:t>J’ajouterais</w:t>
      </w:r>
      <w:proofErr w:type="gramEnd"/>
      <w:r w:rsidRPr="004A11E2">
        <w:rPr>
          <w:rFonts w:cs="Times New Roman"/>
          <w:lang w:val="fr-CA"/>
        </w:rPr>
        <w:t xml:space="preserve"> que la valeur du droit garanti à l’art. 3 va au</w:t>
      </w:r>
      <w:r w:rsidRPr="004A11E2">
        <w:rPr>
          <w:rFonts w:cs="Times New Roman"/>
          <w:lang w:val="fr-CA"/>
        </w:rPr>
        <w:noBreakHyphen/>
        <w:t>delà du fait qu’il permet aux citoyens de jouer un « rôle important dans l’élection de députés » (</w:t>
      </w:r>
      <w:proofErr w:type="spellStart"/>
      <w:r w:rsidRPr="004A11E2">
        <w:rPr>
          <w:rFonts w:cs="Times New Roman"/>
          <w:i/>
          <w:lang w:val="fr-CA"/>
        </w:rPr>
        <w:t>Figueroa</w:t>
      </w:r>
      <w:proofErr w:type="spellEnd"/>
      <w:r w:rsidRPr="004A11E2">
        <w:rPr>
          <w:rFonts w:cs="Times New Roman"/>
          <w:i/>
          <w:lang w:val="fr-CA"/>
        </w:rPr>
        <w:t xml:space="preserve"> c. Canada (Procureur général)</w:t>
      </w:r>
      <w:r w:rsidRPr="004A11E2">
        <w:rPr>
          <w:rFonts w:cs="Times New Roman"/>
          <w:lang w:val="fr-CA"/>
        </w:rPr>
        <w:t xml:space="preserve">, 2003 CSC 37, [2003] 1 R.C.S. 912, par. 25). Ce droit n’a pas seulement un caractère fonctionnel; il ne protège pas uniquement la possibilité pour l’électeur d’être représenté par le candidat qu’il préfère. Comme l’a reconnu le juge </w:t>
      </w:r>
      <w:proofErr w:type="spellStart"/>
      <w:r w:rsidRPr="004A11E2">
        <w:rPr>
          <w:rFonts w:cs="Times New Roman"/>
          <w:lang w:val="fr-CA"/>
        </w:rPr>
        <w:t>Iacobucci</w:t>
      </w:r>
      <w:proofErr w:type="spellEnd"/>
      <w:r w:rsidRPr="004A11E2">
        <w:rPr>
          <w:rFonts w:cs="Times New Roman"/>
          <w:lang w:val="fr-CA"/>
        </w:rPr>
        <w:t xml:space="preserve"> dans </w:t>
      </w:r>
      <w:proofErr w:type="spellStart"/>
      <w:r w:rsidRPr="004A11E2">
        <w:rPr>
          <w:rFonts w:cs="Times New Roman"/>
          <w:i/>
          <w:lang w:val="fr-CA"/>
        </w:rPr>
        <w:t>Figueroa</w:t>
      </w:r>
      <w:proofErr w:type="spellEnd"/>
      <w:r w:rsidRPr="004A11E2">
        <w:rPr>
          <w:rFonts w:cs="Times New Roman"/>
          <w:lang w:val="fr-CA"/>
        </w:rPr>
        <w:t xml:space="preserve">, le droit de vote « possède une valeur intrinsèque indépendamment de son effet sur le résultat concret des élections » (par. 29). L’exercice du droit de vote constitue le « principal moyen permettant au citoyen ordinaire de participer au débat public qui précède l’établissement de la politique </w:t>
      </w:r>
      <w:r w:rsidRPr="004A11E2">
        <w:rPr>
          <w:rFonts w:cs="Times New Roman"/>
          <w:lang w:val="fr-CA"/>
        </w:rPr>
        <w:lastRenderedPageBreak/>
        <w:t xml:space="preserve">sociale » (par. 29). Chaque vote a un contenu expressif, en ce qu’il communique non seulement l’identité du candidat que </w:t>
      </w:r>
      <w:proofErr w:type="gramStart"/>
      <w:r w:rsidRPr="004A11E2">
        <w:rPr>
          <w:rFonts w:cs="Times New Roman"/>
          <w:lang w:val="fr-CA"/>
        </w:rPr>
        <w:t>préfère</w:t>
      </w:r>
      <w:proofErr w:type="gramEnd"/>
      <w:r w:rsidRPr="004A11E2">
        <w:rPr>
          <w:rFonts w:cs="Times New Roman"/>
          <w:lang w:val="fr-CA"/>
        </w:rPr>
        <w:t xml:space="preserve"> un électeur, mais également les valeurs et les choix en matière de politiques générales que représente ce candidat. Refuser le droit de vote aux non</w:t>
      </w:r>
      <w:r w:rsidRPr="004A11E2">
        <w:rPr>
          <w:rFonts w:cs="Times New Roman"/>
          <w:lang w:val="fr-CA"/>
        </w:rPr>
        <w:noBreakHyphen/>
        <w:t>résidents à long terme revient à nier à ces citoyens la « possibilité d’exprimer une opinion sur l’élaboration de la politique sociale et le fonctionnement des institutions publiques en participant au processus électoral » (par. 29).</w:t>
      </w:r>
    </w:p>
    <w:p w:rsidR="001244E7" w:rsidRPr="004A11E2" w:rsidRDefault="001244E7" w:rsidP="001244E7">
      <w:pPr>
        <w:pStyle w:val="ParaNoNdepar-AltN"/>
        <w:rPr>
          <w:rFonts w:cs="Times New Roman"/>
          <w:lang w:val="fr-CA"/>
        </w:rPr>
      </w:pPr>
      <w:r w:rsidRPr="004A11E2">
        <w:rPr>
          <w:rFonts w:cs="Times New Roman"/>
          <w:lang w:val="fr-CA"/>
        </w:rPr>
        <w:t>Par conséquent, bien que, au regard de la preuve dont nous disposons, les effets bénéfiques soient sans conséquence, les effets préjudiciables sont évidents et l’emportent sur les effets bénéfiques.</w:t>
      </w:r>
    </w:p>
    <w:p w:rsidR="001244E7" w:rsidRPr="004A11E2" w:rsidRDefault="001244E7" w:rsidP="001244E7">
      <w:pPr>
        <w:pStyle w:val="Title2LevelTitre2Niveau"/>
        <w:rPr>
          <w:rFonts w:cs="Times New Roman"/>
          <w:lang w:val="fr-CA"/>
        </w:rPr>
      </w:pPr>
      <w:r w:rsidRPr="004A11E2">
        <w:rPr>
          <w:rFonts w:cs="Times New Roman"/>
          <w:lang w:val="fr-CA"/>
        </w:rPr>
        <w:t>Conclusion</w:t>
      </w:r>
    </w:p>
    <w:p w:rsidR="001244E7" w:rsidRPr="003360AE" w:rsidRDefault="001244E7" w:rsidP="00805B11">
      <w:pPr>
        <w:pStyle w:val="ParaNoNdepar-AltN"/>
        <w:rPr>
          <w:rFonts w:cs="Times New Roman"/>
          <w:lang w:val="fr-CA"/>
        </w:rPr>
      </w:pPr>
      <w:r w:rsidRPr="004A11E2">
        <w:rPr>
          <w:rFonts w:cs="Times New Roman"/>
          <w:lang w:val="fr-CA"/>
        </w:rPr>
        <w:t xml:space="preserve">Je ne veux pas fermer la porte à toute possible limite du droit de voter aux élections fédérales sur la base </w:t>
      </w:r>
      <w:r>
        <w:rPr>
          <w:rFonts w:cs="Times New Roman"/>
          <w:lang w:val="fr-CA"/>
        </w:rPr>
        <w:t xml:space="preserve">de la notion </w:t>
      </w:r>
      <w:r w:rsidRPr="004A11E2">
        <w:rPr>
          <w:rFonts w:cs="Times New Roman"/>
          <w:lang w:val="fr-CA"/>
        </w:rPr>
        <w:t>de résidence. Je ne veux pas non plus préjuger, par implication, de la constitutionnalité de limites fixées par les provinces ou territoires sur la base de ce même fondement. Toutefois, à la lumière de ce qui précède, je conclurais que la limite qui, comme l’a concédé le PGC, a été apportée à l’art. 3 n’a pas été justifiée au regard de l’article premier.</w:t>
      </w:r>
    </w:p>
    <w:p w:rsidR="001244E7" w:rsidRDefault="001244E7" w:rsidP="00C52B23">
      <w:pPr>
        <w:ind w:firstLine="1170"/>
        <w:rPr>
          <w:szCs w:val="24"/>
          <w:lang w:val="fr-CA"/>
        </w:rPr>
      </w:pPr>
      <w:r w:rsidRPr="00CB0DCB">
        <w:rPr>
          <w:szCs w:val="24"/>
          <w:lang w:val="fr-CA"/>
        </w:rPr>
        <w:t>Version française</w:t>
      </w:r>
      <w:r>
        <w:rPr>
          <w:szCs w:val="24"/>
          <w:lang w:val="fr-CA"/>
        </w:rPr>
        <w:t xml:space="preserve"> des motifs rendus par</w:t>
      </w:r>
    </w:p>
    <w:p w:rsidR="001244E7" w:rsidRDefault="001244E7" w:rsidP="001244E7">
      <w:pPr>
        <w:rPr>
          <w:szCs w:val="24"/>
          <w:lang w:val="fr-CA"/>
        </w:rPr>
      </w:pPr>
    </w:p>
    <w:p w:rsidR="001244E7" w:rsidRPr="005F7D29" w:rsidRDefault="001244E7" w:rsidP="001244E7">
      <w:pPr>
        <w:pStyle w:val="JudgeJuge"/>
        <w:spacing w:before="480"/>
        <w:rPr>
          <w:lang w:val="fr-CA"/>
        </w:rPr>
      </w:pPr>
      <w:r w:rsidRPr="005F7D29">
        <w:rPr>
          <w:lang w:val="fr-CA"/>
        </w:rPr>
        <w:tab/>
        <w:t xml:space="preserve">Les juges Côté et Brown </w:t>
      </w:r>
      <w:r w:rsidR="00A1564D">
        <w:rPr>
          <w:lang w:val="fr-CA"/>
        </w:rPr>
        <w:t>(</w:t>
      </w:r>
      <w:r w:rsidR="00A1564D" w:rsidRPr="00A1564D">
        <w:rPr>
          <w:smallCaps w:val="0"/>
          <w:lang w:val="fr-CA"/>
        </w:rPr>
        <w:t>dissidents</w:t>
      </w:r>
      <w:r w:rsidR="00A1564D">
        <w:rPr>
          <w:lang w:val="fr-CA"/>
        </w:rPr>
        <w:t xml:space="preserve">) </w:t>
      </w:r>
      <w:r w:rsidRPr="005F7D29">
        <w:rPr>
          <w:lang w:val="fr-CA"/>
        </w:rPr>
        <w:t xml:space="preserve">— </w:t>
      </w:r>
    </w:p>
    <w:p w:rsidR="001244E7" w:rsidRPr="001244E7" w:rsidRDefault="001244E7" w:rsidP="001244E7">
      <w:pPr>
        <w:pStyle w:val="Title1LevelTitre1Niveau-AltL"/>
        <w:numPr>
          <w:ilvl w:val="0"/>
          <w:numId w:val="16"/>
        </w:numPr>
        <w:rPr>
          <w:rFonts w:cs="Times New Roman"/>
          <w:lang w:val="fr-CA"/>
        </w:rPr>
      </w:pPr>
      <w:r w:rsidRPr="001244E7">
        <w:rPr>
          <w:rFonts w:cs="Times New Roman"/>
          <w:lang w:val="fr-CA"/>
        </w:rPr>
        <w:lastRenderedPageBreak/>
        <w:t>Aperçu</w:t>
      </w:r>
    </w:p>
    <w:p w:rsidR="001244E7" w:rsidRPr="005F7D29" w:rsidRDefault="001244E7" w:rsidP="001244E7">
      <w:pPr>
        <w:pStyle w:val="ParaNoNdepar-AltN"/>
        <w:rPr>
          <w:rFonts w:cs="Times New Roman"/>
          <w:lang w:val="fr-CA"/>
        </w:rPr>
      </w:pPr>
      <w:r w:rsidRPr="005F7D29">
        <w:rPr>
          <w:rFonts w:cs="Times New Roman"/>
          <w:lang w:val="fr-CA"/>
        </w:rPr>
        <w:t>En 1993, le législateur a accordé le droit de vote à un grand nombre de Canadiens vivant à l’étranger, y compris tous les citoyens ayant été absents du Canada depuis moins de cinq années consécutives. Toutefois, il a laissé en place des restrictions légales de longue date, qui empêchaient de voter la plupart des citoyens vivant à l’extérieur du Canada depuis cinq années consécutives ou plus et n’ayant pas autrement le droit de voter en application d’exemptions particulières, comme les fonctionnaires et leurs familles. Dans le présent pourvoi, nous sommes appelés à examiner la constitutionnalité de ces restrictions — plus particulièrement, la question de savoir si l’interdiction de voter imposée aux non</w:t>
      </w:r>
      <w:r w:rsidRPr="005F7D29">
        <w:rPr>
          <w:rFonts w:cs="Times New Roman"/>
          <w:lang w:val="fr-CA"/>
        </w:rPr>
        <w:noBreakHyphen/>
        <w:t xml:space="preserve">résidents à long terme constitue une limite raisonnable au droit démocratique de voter garanti par l’art. 3 de la </w:t>
      </w:r>
      <w:r w:rsidRPr="005F7D29">
        <w:rPr>
          <w:rFonts w:cs="Times New Roman"/>
          <w:i/>
          <w:lang w:val="fr-CA"/>
        </w:rPr>
        <w:t>Charte canadienne des droits et libertés</w:t>
      </w:r>
      <w:r w:rsidRPr="005F7D29">
        <w:rPr>
          <w:rFonts w:cs="Times New Roman"/>
          <w:lang w:val="fr-CA"/>
        </w:rPr>
        <w:t>, ou si l’art. 3</w:t>
      </w:r>
      <w:r w:rsidRPr="005F7D29">
        <w:rPr>
          <w:rFonts w:cs="Times New Roman"/>
          <w:i/>
          <w:lang w:val="fr-CA"/>
        </w:rPr>
        <w:t xml:space="preserve"> </w:t>
      </w:r>
      <w:r w:rsidRPr="005F7D29">
        <w:rPr>
          <w:rFonts w:cs="Times New Roman"/>
          <w:lang w:val="fr-CA"/>
        </w:rPr>
        <w:t xml:space="preserve">prescrit que </w:t>
      </w:r>
      <w:r w:rsidRPr="005F7D29">
        <w:rPr>
          <w:rFonts w:cs="Times New Roman"/>
          <w:i/>
          <w:lang w:val="fr-CA"/>
        </w:rPr>
        <w:t>tous</w:t>
      </w:r>
      <w:r w:rsidRPr="005F7D29">
        <w:rPr>
          <w:rFonts w:cs="Times New Roman"/>
          <w:lang w:val="fr-CA"/>
        </w:rPr>
        <w:t xml:space="preserve"> les citoyens, indépendamment du nombre d’années où ils ont vécu à l’étranger, ou même s’ils n’ont jamais mis les pieds au Canada, sont autorisés à participer au scrutin aux élections fédérales (voire provinciales).</w:t>
      </w:r>
    </w:p>
    <w:p w:rsidR="001244E7" w:rsidRPr="005F7D29" w:rsidRDefault="001244E7" w:rsidP="001244E7">
      <w:pPr>
        <w:pStyle w:val="ParaNoNdepar-AltN"/>
        <w:rPr>
          <w:rFonts w:cs="Times New Roman"/>
          <w:lang w:val="fr-CA"/>
        </w:rPr>
      </w:pPr>
      <w:r w:rsidRPr="005F7D29">
        <w:rPr>
          <w:rFonts w:cs="Times New Roman"/>
          <w:lang w:val="fr-CA"/>
        </w:rPr>
        <w:t>Le procureur général du Canada reconnaît que la restriction au droit de vote des non</w:t>
      </w:r>
      <w:r w:rsidRPr="005F7D29">
        <w:rPr>
          <w:rFonts w:cs="Times New Roman"/>
          <w:lang w:val="fr-CA"/>
        </w:rPr>
        <w:noBreakHyphen/>
        <w:t>résidents à long terme constitue une limite au droit garanti par l’art. 3, mais affirme que cette limite est constitutionnelle. Sous réserve de ce que nous affirmons au par. 1</w:t>
      </w:r>
      <w:r>
        <w:rPr>
          <w:rFonts w:cs="Times New Roman"/>
          <w:lang w:val="fr-CA"/>
        </w:rPr>
        <w:t>2</w:t>
      </w:r>
      <w:r w:rsidRPr="005F7D29">
        <w:rPr>
          <w:rFonts w:cs="Times New Roman"/>
          <w:lang w:val="fr-CA"/>
        </w:rPr>
        <w:t xml:space="preserve">3, nous sommes d’accord. Les modifications de 1993 avaient pour objectif d’accorder le droit de vote aux citoyens </w:t>
      </w:r>
      <w:proofErr w:type="spellStart"/>
      <w:r w:rsidRPr="005F7D29">
        <w:rPr>
          <w:rFonts w:cs="Times New Roman"/>
          <w:lang w:val="fr-CA"/>
        </w:rPr>
        <w:t>non résidents</w:t>
      </w:r>
      <w:proofErr w:type="spellEnd"/>
      <w:r w:rsidRPr="005F7D29">
        <w:rPr>
          <w:rFonts w:cs="Times New Roman"/>
          <w:lang w:val="fr-CA"/>
        </w:rPr>
        <w:t xml:space="preserve"> qui vivaient temporairement à l’extérieur du Canada, tout en faisant en sorte que les électeurs conservent un lien actuel </w:t>
      </w:r>
      <w:r w:rsidRPr="005F7D29">
        <w:rPr>
          <w:rFonts w:cs="Times New Roman"/>
          <w:lang w:val="fr-CA"/>
        </w:rPr>
        <w:lastRenderedPageBreak/>
        <w:t xml:space="preserve">avec leurs collectivités </w:t>
      </w:r>
      <w:r w:rsidRPr="005F7D29">
        <w:rPr>
          <w:rFonts w:cs="Times New Roman"/>
          <w:i/>
          <w:lang w:val="fr-CA"/>
        </w:rPr>
        <w:t>au Canada</w:t>
      </w:r>
      <w:r w:rsidRPr="005F7D29">
        <w:rPr>
          <w:rFonts w:cs="Times New Roman"/>
          <w:lang w:val="fr-CA"/>
        </w:rPr>
        <w:t xml:space="preserve">. Cet objectif est urgent et réel, et le moyen que le Parlement a choisi pour l’atteindre — un système électoral qui s’apparente à ceux en place dans des démocraties semblables de type Westminster, dont les parlements, comme celui du Canada, sont constitués de représentants élus de la collectivité — peut se justifier dans une société libre et démocratique. </w:t>
      </w:r>
    </w:p>
    <w:p w:rsidR="001244E7" w:rsidRPr="005F7D29" w:rsidRDefault="001244E7" w:rsidP="001244E7">
      <w:pPr>
        <w:pStyle w:val="ParaNoNdepar-AltN"/>
        <w:rPr>
          <w:rFonts w:cs="Times New Roman"/>
          <w:lang w:val="fr-CA"/>
        </w:rPr>
      </w:pPr>
      <w:r w:rsidRPr="005F7D29">
        <w:rPr>
          <w:rFonts w:cs="Times New Roman"/>
          <w:lang w:val="fr-CA"/>
        </w:rPr>
        <w:t xml:space="preserve">Bien que nous arrivions à un résultat différent de celui auquel arrive le juge en chef, nous estimons que le point fondamental de notre désaccord se situe dans la démarche qu’il convient d’adopter relativement à l’analyse des restrictions. Nous partons du principe que l’art. 3 représente un droit </w:t>
      </w:r>
      <w:r w:rsidRPr="005F7D29">
        <w:rPr>
          <w:rFonts w:cs="Times New Roman"/>
          <w:i/>
          <w:lang w:val="fr-CA"/>
        </w:rPr>
        <w:t>positif</w:t>
      </w:r>
      <w:r w:rsidRPr="005F7D29">
        <w:rPr>
          <w:rFonts w:cs="Times New Roman"/>
          <w:lang w:val="fr-CA"/>
        </w:rPr>
        <w:t xml:space="preserve"> qui, contrairement à la plupart des droits garantis par la </w:t>
      </w:r>
      <w:r w:rsidRPr="005F7D29">
        <w:rPr>
          <w:rFonts w:cs="Times New Roman"/>
          <w:i/>
          <w:lang w:val="fr-CA"/>
        </w:rPr>
        <w:t>Charte</w:t>
      </w:r>
      <w:r w:rsidRPr="005F7D29">
        <w:rPr>
          <w:rFonts w:cs="Times New Roman"/>
          <w:lang w:val="fr-CA"/>
        </w:rPr>
        <w:t xml:space="preserve">, </w:t>
      </w:r>
      <w:r w:rsidRPr="005F7D29">
        <w:rPr>
          <w:rFonts w:cs="Times New Roman"/>
          <w:i/>
          <w:lang w:val="fr-CA"/>
        </w:rPr>
        <w:t>doit</w:t>
      </w:r>
      <w:r w:rsidRPr="005F7D29">
        <w:rPr>
          <w:rFonts w:cs="Times New Roman"/>
          <w:lang w:val="fr-CA"/>
        </w:rPr>
        <w:t xml:space="preserve"> être précisé par voie législative pour produire des effets. Il s’ensuit que le législateur a pris des mesures pour circonscrire un droit positif qui, en tant que tel, doit nécessairement être précisé par voie législative. </w:t>
      </w:r>
    </w:p>
    <w:p w:rsidR="001244E7" w:rsidRPr="005F7D29" w:rsidRDefault="001244E7" w:rsidP="001244E7">
      <w:pPr>
        <w:pStyle w:val="ParaNoNdepar-AltN"/>
        <w:rPr>
          <w:rFonts w:cs="Times New Roman"/>
          <w:lang w:val="fr-CA"/>
        </w:rPr>
      </w:pPr>
      <w:r w:rsidRPr="005F7D29">
        <w:rPr>
          <w:rFonts w:cs="Times New Roman"/>
          <w:lang w:val="fr-CA"/>
        </w:rPr>
        <w:t xml:space="preserve">Qui plus est, et contrairement à l’aspect apparemment absolu de l’interprétation que donnent les juges majoritaires à la garantie prévue à l’art. 3, cette précision législative, en plus d’être nécessaire, est incontestable. Personne ne prétend que l’art. 3 confère aux citoyens canadiens âgés de trois ans le droit de voter. De même, la </w:t>
      </w:r>
      <w:r w:rsidRPr="005F7D29">
        <w:rPr>
          <w:rFonts w:cs="Times New Roman"/>
          <w:i/>
          <w:lang w:val="fr-CA"/>
        </w:rPr>
        <w:t>Loi électorale du Canada</w:t>
      </w:r>
      <w:r w:rsidRPr="005F7D29">
        <w:rPr>
          <w:rFonts w:cs="Times New Roman"/>
          <w:lang w:val="fr-CA"/>
        </w:rPr>
        <w:t>, L.C. 2000, c. 9, ne permet pas aux citoyens canadiens qui n’ont jamais vécu au Canada de voter. Pourtant, comme le reconnaissent les appelants, leur logique — et, ajouterions</w:t>
      </w:r>
      <w:r w:rsidRPr="005F7D29">
        <w:rPr>
          <w:rFonts w:cs="Times New Roman"/>
          <w:lang w:val="fr-CA"/>
        </w:rPr>
        <w:noBreakHyphen/>
        <w:t xml:space="preserve">nous, la logique des motifs des juges majoritaires dans le présent pourvoi — aurait nécessairement pour effet d’invalider cette restriction également, ce qui permettrait à des personnes n’ayant jamais mis les pieds au Canada </w:t>
      </w:r>
      <w:r w:rsidRPr="005F7D29">
        <w:rPr>
          <w:rFonts w:cs="Times New Roman"/>
          <w:lang w:val="fr-CA"/>
        </w:rPr>
        <w:lastRenderedPageBreak/>
        <w:t>d’avoir le droit de vote. Loin d’être un exemple de l’« octroi progressif du droit de vote » (motifs des juges majoritaires, par.</w:t>
      </w:r>
      <w:r>
        <w:rPr>
          <w:rFonts w:cs="Times New Roman"/>
          <w:lang w:val="fr-CA"/>
        </w:rPr>
        <w:t xml:space="preserve"> 2 et </w:t>
      </w:r>
      <w:r w:rsidRPr="005F7D29">
        <w:rPr>
          <w:rFonts w:cs="Times New Roman"/>
          <w:lang w:val="fr-CA"/>
        </w:rPr>
        <w:t>62), nous estimons qu’un tel changement constitue un recul, et qu’il mine la pratique de longue date et éminemment bénéfique des démocraties parlementaires de type Westminster, laquelle consiste à privilégier les liens locaux lorsqu’il s’agit de décider qui peut élire des représentants locaux. De toute façon, qu’elle soit « progressive » ou non, la restriction contestée au droit de vote est raisonnable. Nous sommes donc d’avis de rejeter le pourvoi.</w:t>
      </w:r>
    </w:p>
    <w:p w:rsidR="001244E7" w:rsidRPr="005F7D29" w:rsidRDefault="001244E7" w:rsidP="001244E7">
      <w:pPr>
        <w:pStyle w:val="Title1LevelTitre1Niveau-AltL"/>
        <w:rPr>
          <w:rFonts w:cs="Times New Roman"/>
          <w:lang w:val="fr-CA"/>
        </w:rPr>
      </w:pPr>
      <w:r w:rsidRPr="005F7D29">
        <w:rPr>
          <w:rFonts w:cs="Times New Roman"/>
          <w:lang w:val="fr-CA"/>
        </w:rPr>
        <w:t>Contexte</w:t>
      </w:r>
    </w:p>
    <w:p w:rsidR="001244E7" w:rsidRPr="005F7D29" w:rsidRDefault="001244E7" w:rsidP="001244E7">
      <w:pPr>
        <w:pStyle w:val="ParaNoNdepar-AltN"/>
        <w:rPr>
          <w:rFonts w:cs="Times New Roman"/>
          <w:lang w:val="fr-CA"/>
        </w:rPr>
      </w:pPr>
      <w:r w:rsidRPr="005F7D29">
        <w:rPr>
          <w:rFonts w:cs="Times New Roman"/>
          <w:lang w:val="fr-CA"/>
        </w:rPr>
        <w:t>La Loi</w:t>
      </w:r>
      <w:r w:rsidRPr="005F7D29">
        <w:rPr>
          <w:rFonts w:cs="Times New Roman"/>
          <w:i/>
          <w:lang w:val="fr-CA"/>
        </w:rPr>
        <w:t xml:space="preserve"> </w:t>
      </w:r>
      <w:r w:rsidRPr="005F7D29">
        <w:rPr>
          <w:rFonts w:cs="Times New Roman"/>
          <w:lang w:val="fr-CA"/>
        </w:rPr>
        <w:t>régit l’admissibilité au droit de vote et les modes de scrutin aux élections fédérales au Canada. Elle permet aux citoyens de voter de trois façons : (1) en personne à un bureau de scrutin le jour de l’élection; (2) en personne à un bureau de vote par anticipation avant le jour de l’élection; (3) au moyen d’un bulletin de vote spécial (al. 127a) à c)). Le présent pourvoi porte sur la troisième modalité — plus particulièrement, les situations où un bulletin de vote spécial peut être remis à des citoyens vivant à l’étranger.</w:t>
      </w:r>
    </w:p>
    <w:p w:rsidR="001244E7" w:rsidRPr="005F7D29" w:rsidRDefault="001244E7" w:rsidP="001244E7">
      <w:pPr>
        <w:pStyle w:val="ParaNoNdepar-AltN"/>
        <w:rPr>
          <w:rFonts w:cs="Times New Roman"/>
          <w:lang w:val="fr-CA"/>
        </w:rPr>
      </w:pPr>
      <w:r w:rsidRPr="005F7D29">
        <w:rPr>
          <w:rFonts w:cs="Times New Roman"/>
          <w:lang w:val="fr-CA"/>
        </w:rPr>
        <w:t xml:space="preserve">Avant 1993, les Canadiens </w:t>
      </w:r>
      <w:proofErr w:type="spellStart"/>
      <w:r w:rsidRPr="005F7D29">
        <w:rPr>
          <w:rFonts w:cs="Times New Roman"/>
          <w:lang w:val="fr-CA"/>
        </w:rPr>
        <w:t>non résidents</w:t>
      </w:r>
      <w:proofErr w:type="spellEnd"/>
      <w:r w:rsidRPr="005F7D29">
        <w:rPr>
          <w:rFonts w:cs="Times New Roman"/>
          <w:lang w:val="fr-CA"/>
        </w:rPr>
        <w:t xml:space="preserve"> n’étaient pas autorisés à voter par bulletin de vote spécial — de fait, ils n’étaient pas autorisés à voter du tout — à moins d’être au service du Canada (c.</w:t>
      </w:r>
      <w:r w:rsidRPr="005F7D29">
        <w:rPr>
          <w:rFonts w:cs="Times New Roman"/>
          <w:lang w:val="fr-CA"/>
        </w:rPr>
        <w:noBreakHyphen/>
        <w:t>à</w:t>
      </w:r>
      <w:r w:rsidRPr="005F7D29">
        <w:rPr>
          <w:rFonts w:cs="Times New Roman"/>
          <w:lang w:val="fr-CA"/>
        </w:rPr>
        <w:noBreakHyphen/>
        <w:t xml:space="preserve">d. les diplomates, les militaires ou les autres fonctionnaires) ou d’être membre de la famille d’un électeur admissible en poste à l’étranger. Cette restriction au droit de vote s’appliquait indépendamment du nombre d’années où le citoyen avait vécu à l’étranger. </w:t>
      </w:r>
    </w:p>
    <w:p w:rsidR="001244E7" w:rsidRPr="005F7D29" w:rsidRDefault="001244E7" w:rsidP="001244E7">
      <w:pPr>
        <w:pStyle w:val="ParaNoNdepar-AltN"/>
        <w:rPr>
          <w:rFonts w:cs="Times New Roman"/>
          <w:lang w:val="fr-CA"/>
        </w:rPr>
      </w:pPr>
      <w:r w:rsidRPr="005F7D29">
        <w:rPr>
          <w:rFonts w:cs="Times New Roman"/>
          <w:lang w:val="fr-CA"/>
        </w:rPr>
        <w:lastRenderedPageBreak/>
        <w:t>À compter du début des années 1980, une série de rapports et de commissions royales ainsi qu’un comité spécial de la Chambre des communes ont analysé la question du vote des absents. L’aboutissement de ces efforts est la décision du législateur, en 1993, d’accorder le droit de vote à un plus grand nombre de Canadiens vivant à l’étranger en modifiant la Loi pour permettre aux citoyens qui étaient absents du Canada depuis moins de cinq années consécutives de voter, pour la première fois, par bulletin de vote spécial et ce, sans égard à leur emploi ou à la raison pour laquelle ils ont quitté le Canada.</w:t>
      </w:r>
    </w:p>
    <w:p w:rsidR="001244E7" w:rsidRPr="005F7D29" w:rsidRDefault="001244E7" w:rsidP="001244E7">
      <w:pPr>
        <w:pStyle w:val="ParaNoNdepar-AltN"/>
        <w:rPr>
          <w:rFonts w:cs="Times New Roman"/>
          <w:lang w:val="fr-CA"/>
        </w:rPr>
      </w:pPr>
      <w:r w:rsidRPr="005F7D29">
        <w:rPr>
          <w:rFonts w:cs="Times New Roman"/>
          <w:lang w:val="fr-CA"/>
        </w:rPr>
        <w:t>Aujourd’hui, le processus de vote par bulletin de vote spécial — les dispositions au cœur du présent pourvoi — est énoncé à l’art. 11 et à la partie 11 de la Loi. L’effet de l’art. 11 est que les non</w:t>
      </w:r>
      <w:r w:rsidRPr="005F7D29">
        <w:rPr>
          <w:rFonts w:cs="Times New Roman"/>
          <w:lang w:val="fr-CA"/>
        </w:rPr>
        <w:noBreakHyphen/>
        <w:t>résidents à long terme — c’est</w:t>
      </w:r>
      <w:r w:rsidRPr="005F7D29">
        <w:rPr>
          <w:rFonts w:cs="Times New Roman"/>
          <w:lang w:val="fr-CA"/>
        </w:rPr>
        <w:noBreakHyphen/>
        <w:t>à</w:t>
      </w:r>
      <w:r w:rsidRPr="005F7D29">
        <w:rPr>
          <w:rFonts w:cs="Times New Roman"/>
          <w:lang w:val="fr-CA"/>
        </w:rPr>
        <w:noBreakHyphen/>
        <w:t>dire les citoyens qui vivent à l’extérieur du Canada depuis cinq années consécutives ou plus, ou ceux qui n’ont pas l’intention de revenir — ne peuvent voter par bulletin de vote spécial, à moins d’être visés par une des exceptions. En réalité, cette restriction existait avant les modifications de 1993. Les non</w:t>
      </w:r>
      <w:r w:rsidRPr="005F7D29">
        <w:rPr>
          <w:rFonts w:cs="Times New Roman"/>
          <w:lang w:val="fr-CA"/>
        </w:rPr>
        <w:noBreakHyphen/>
        <w:t xml:space="preserve">résidents à long terme n’avaient </w:t>
      </w:r>
      <w:r w:rsidRPr="005F7D29">
        <w:rPr>
          <w:rFonts w:cs="Times New Roman"/>
          <w:i/>
          <w:lang w:val="fr-CA"/>
        </w:rPr>
        <w:t>jamais</w:t>
      </w:r>
      <w:r w:rsidRPr="005F7D29">
        <w:rPr>
          <w:rFonts w:cs="Times New Roman"/>
          <w:lang w:val="fr-CA"/>
        </w:rPr>
        <w:t xml:space="preserve"> été autorisés à voter de l’étranger par bulletin de vote spéci</w:t>
      </w:r>
      <w:r>
        <w:rPr>
          <w:rFonts w:cs="Times New Roman"/>
          <w:lang w:val="fr-CA"/>
        </w:rPr>
        <w:t xml:space="preserve">al. </w:t>
      </w:r>
      <w:r w:rsidRPr="005F7D29">
        <w:rPr>
          <w:rFonts w:cs="Times New Roman"/>
          <w:lang w:val="fr-CA"/>
        </w:rPr>
        <w:t xml:space="preserve">Toutefois, les modifications de 1993 ont accordé aux citoyens qui étaient absents depuis moins de cinq ans la possibilité de voter par bulletin de vote spécial, pourvu qu’ils aient l’intention de revenir résider au Canada. Par conséquent, loin de « priver [. . .] du droit de vote » certains Canadiens (motifs des juges majoritaires, par. 75), la disposition législative en cause dans le présent pourvoi a eu exactement l’effet inverse. Elle </w:t>
      </w:r>
      <w:r w:rsidRPr="005F7D29">
        <w:rPr>
          <w:rFonts w:cs="Times New Roman"/>
          <w:i/>
          <w:lang w:val="fr-CA"/>
        </w:rPr>
        <w:t>a</w:t>
      </w:r>
      <w:r w:rsidRPr="005F7D29">
        <w:rPr>
          <w:rFonts w:cs="Times New Roman"/>
          <w:lang w:val="fr-CA"/>
        </w:rPr>
        <w:t xml:space="preserve"> </w:t>
      </w:r>
      <w:r w:rsidRPr="005F7D29">
        <w:rPr>
          <w:rFonts w:cs="Times New Roman"/>
          <w:i/>
          <w:lang w:val="fr-CA"/>
        </w:rPr>
        <w:t xml:space="preserve">conféré le droit de vote </w:t>
      </w:r>
      <w:r w:rsidRPr="005F7D29">
        <w:rPr>
          <w:rFonts w:cs="Times New Roman"/>
          <w:lang w:val="fr-CA"/>
        </w:rPr>
        <w:t xml:space="preserve">à un ensemble de citoyens canadiens qui n’avaient jamais pu voter auparavant. </w:t>
      </w:r>
      <w:r w:rsidRPr="005F7D29">
        <w:rPr>
          <w:rFonts w:cs="Times New Roman"/>
          <w:lang w:val="fr-CA"/>
        </w:rPr>
        <w:lastRenderedPageBreak/>
        <w:t>Comme nous l’exposons plus loin (par. 1</w:t>
      </w:r>
      <w:r>
        <w:rPr>
          <w:rFonts w:cs="Times New Roman"/>
          <w:lang w:val="fr-CA"/>
        </w:rPr>
        <w:t>2</w:t>
      </w:r>
      <w:r w:rsidRPr="005F7D29">
        <w:rPr>
          <w:rFonts w:cs="Times New Roman"/>
          <w:lang w:val="fr-CA"/>
        </w:rPr>
        <w:t xml:space="preserve">6, </w:t>
      </w:r>
      <w:r>
        <w:rPr>
          <w:rFonts w:cs="Times New Roman"/>
          <w:lang w:val="fr-CA"/>
        </w:rPr>
        <w:t>13</w:t>
      </w:r>
      <w:r w:rsidRPr="005F7D29">
        <w:rPr>
          <w:rFonts w:cs="Times New Roman"/>
          <w:lang w:val="fr-CA"/>
        </w:rPr>
        <w:t xml:space="preserve">2 et </w:t>
      </w:r>
      <w:r>
        <w:rPr>
          <w:rFonts w:cs="Times New Roman"/>
          <w:lang w:val="fr-CA"/>
        </w:rPr>
        <w:t>13</w:t>
      </w:r>
      <w:r w:rsidRPr="005F7D29">
        <w:rPr>
          <w:rFonts w:cs="Times New Roman"/>
          <w:lang w:val="fr-CA"/>
        </w:rPr>
        <w:t>7), c’est précisément de cette façon que le législateur voyait les choses. Et bien que ce point ne soit évidemment pas déterminant, nous faisons remarquer en outre que, contrairement à ce qu’affirment les juges majoritaires, l’État n’a pas reconnu (et il ne peut être considéré à juste titre comme l’ayant fait) que les dispositions contestées traduisent « la décision du législateur de priver [. . .] du droit de vote » des Canadiens (motifs des juges majoritaires, par. 44).</w:t>
      </w:r>
    </w:p>
    <w:p w:rsidR="001244E7" w:rsidRPr="005F7D29" w:rsidRDefault="001244E7" w:rsidP="001244E7">
      <w:pPr>
        <w:pStyle w:val="ParaNoNdepar-AltN"/>
        <w:rPr>
          <w:rFonts w:cs="Times New Roman"/>
          <w:lang w:val="fr-CA"/>
        </w:rPr>
      </w:pPr>
      <w:r w:rsidRPr="005F7D29">
        <w:rPr>
          <w:rFonts w:cs="Times New Roman"/>
          <w:lang w:val="fr-CA"/>
        </w:rPr>
        <w:t>Une question distincte, mais qui n’est pas directement en cause en l’espèce, est de déterminer si la Loi permet à des non</w:t>
      </w:r>
      <w:r w:rsidRPr="005F7D29">
        <w:rPr>
          <w:rFonts w:cs="Times New Roman"/>
          <w:lang w:val="fr-CA"/>
        </w:rPr>
        <w:noBreakHyphen/>
        <w:t xml:space="preserve">résidents à long terme de voter </w:t>
      </w:r>
      <w:r w:rsidRPr="005F7D29">
        <w:rPr>
          <w:rFonts w:cs="Times New Roman"/>
          <w:i/>
          <w:lang w:val="fr-CA"/>
        </w:rPr>
        <w:t>en personne</w:t>
      </w:r>
      <w:r w:rsidRPr="005F7D29">
        <w:rPr>
          <w:rFonts w:cs="Times New Roman"/>
          <w:lang w:val="fr-CA"/>
        </w:rPr>
        <w:t>. En pratique, une politique administrative d’Élections Canada permet à tout non</w:t>
      </w:r>
      <w:r w:rsidRPr="005F7D29">
        <w:rPr>
          <w:rFonts w:cs="Times New Roman"/>
          <w:lang w:val="fr-CA"/>
        </w:rPr>
        <w:noBreakHyphen/>
        <w:t>résident de voter en se présentant en personne à un bureau de scrutin, soit le jour de l’élection, soit durant la période de vote par anticipation. Le procureur général soutient que cette politique repose sur une interprétation erronée de la Loi, et fait valoir que les non</w:t>
      </w:r>
      <w:r w:rsidRPr="005F7D29">
        <w:rPr>
          <w:rFonts w:cs="Times New Roman"/>
          <w:lang w:val="fr-CA"/>
        </w:rPr>
        <w:noBreakHyphen/>
        <w:t>résidents à long terme (sauf ceux qui sont autorisés à voter en application d’autres dispositions) ne peuvent voter d’aucune façon (transcription, p. 76</w:t>
      </w:r>
      <w:r w:rsidRPr="005F7D29">
        <w:rPr>
          <w:rFonts w:cs="Times New Roman"/>
          <w:lang w:val="fr-CA"/>
        </w:rPr>
        <w:noBreakHyphen/>
        <w:t>77). Puisqu’il n’est pas strictement nécessaire de trancher cette question, nous nous limiterons à examiner la constitutionnalité de la restriction relative au bulletin de vote spécial. Les appelants eux</w:t>
      </w:r>
      <w:r w:rsidRPr="005F7D29">
        <w:rPr>
          <w:rFonts w:cs="Times New Roman"/>
          <w:lang w:val="fr-CA"/>
        </w:rPr>
        <w:noBreakHyphen/>
        <w:t>mêmes reconnaissent que le vote en personne est, en grande partie, une [</w:t>
      </w:r>
      <w:r w:rsidRPr="005F7D29">
        <w:rPr>
          <w:rFonts w:cs="Times New Roman"/>
          <w:smallCaps/>
          <w:lang w:val="fr-CA"/>
        </w:rPr>
        <w:t>traduction</w:t>
      </w:r>
      <w:r w:rsidRPr="005F7D29">
        <w:rPr>
          <w:rFonts w:cs="Times New Roman"/>
          <w:lang w:val="fr-CA"/>
        </w:rPr>
        <w:t>] « possibilité illusoire » pour les non</w:t>
      </w:r>
      <w:r w:rsidRPr="005F7D29">
        <w:rPr>
          <w:rFonts w:cs="Times New Roman"/>
          <w:lang w:val="fr-CA"/>
        </w:rPr>
        <w:noBreakHyphen/>
        <w:t xml:space="preserve">résidents à long terme (transcription, p. 13). La restriction touchant le dépôt d’un bulletin de vote spécial équivaut donc à une restriction de fait au droit de vote dans son ensemble, et elle devrait être traitée ainsi pour les fins de l’analyse des restrictions. </w:t>
      </w:r>
    </w:p>
    <w:p w:rsidR="001244E7" w:rsidRPr="005F7D29" w:rsidRDefault="001244E7" w:rsidP="001244E7">
      <w:pPr>
        <w:pStyle w:val="Title1LevelTitre1Niveau-AltL"/>
        <w:rPr>
          <w:rFonts w:cs="Times New Roman"/>
          <w:lang w:val="fr-CA"/>
        </w:rPr>
      </w:pPr>
      <w:r w:rsidRPr="005F7D29">
        <w:rPr>
          <w:rFonts w:cs="Times New Roman"/>
          <w:lang w:val="fr-CA"/>
        </w:rPr>
        <w:lastRenderedPageBreak/>
        <w:t>Analyse</w:t>
      </w:r>
    </w:p>
    <w:p w:rsidR="001244E7" w:rsidRPr="005F7D29" w:rsidRDefault="001244E7" w:rsidP="001244E7">
      <w:pPr>
        <w:pStyle w:val="ParaNoNdepar-AltN"/>
        <w:rPr>
          <w:rFonts w:cs="Times New Roman"/>
          <w:lang w:val="fr-CA"/>
        </w:rPr>
      </w:pPr>
      <w:r w:rsidRPr="005F7D29">
        <w:rPr>
          <w:rFonts w:cs="Times New Roman"/>
          <w:lang w:val="fr-CA"/>
        </w:rPr>
        <w:t xml:space="preserve">Nous commençons par noter, avec égards, que les juges majoritaires déforment l’analyse des restrictions en parlant de « violation » ou d’« atteinte » uniquement parce qu’une mesure contestée impose une limite à un droit garanti par la </w:t>
      </w:r>
      <w:r w:rsidRPr="005F7D29">
        <w:rPr>
          <w:rFonts w:cs="Times New Roman"/>
          <w:i/>
          <w:lang w:val="fr-CA"/>
        </w:rPr>
        <w:t>Charte</w:t>
      </w:r>
      <w:r w:rsidRPr="005F7D29">
        <w:rPr>
          <w:rFonts w:cs="Times New Roman"/>
          <w:lang w:val="fr-CA"/>
        </w:rPr>
        <w:t xml:space="preserve"> (voir, p. ex., motifs des juges majoritaires, par. 24, 31, 38, 42, 53, 60, 76, 79, 81 et 83). Il importe de préciser que l’article premier « autorise et prévoit la </w:t>
      </w:r>
      <w:r w:rsidRPr="005F7D29">
        <w:rPr>
          <w:rFonts w:cs="Times New Roman"/>
          <w:i/>
          <w:lang w:val="fr-CA"/>
        </w:rPr>
        <w:t>restriction</w:t>
      </w:r>
      <w:r w:rsidRPr="005F7D29">
        <w:rPr>
          <w:rFonts w:cs="Times New Roman"/>
          <w:lang w:val="fr-CA"/>
        </w:rPr>
        <w:t xml:space="preserve"> d’un droit ou d’une liberté garanti par la</w:t>
      </w:r>
      <w:r w:rsidRPr="005F7D29">
        <w:rPr>
          <w:rFonts w:cs="Times New Roman"/>
          <w:i/>
          <w:lang w:val="fr-CA"/>
        </w:rPr>
        <w:t xml:space="preserve"> Charte</w:t>
      </w:r>
      <w:r w:rsidRPr="005F7D29">
        <w:rPr>
          <w:rFonts w:cs="Times New Roman"/>
          <w:lang w:val="fr-CA"/>
        </w:rPr>
        <w:t> » à condition que la « </w:t>
      </w:r>
      <w:r w:rsidRPr="005F7D29">
        <w:rPr>
          <w:rFonts w:cs="Times New Roman"/>
          <w:i/>
          <w:lang w:val="fr-CA"/>
        </w:rPr>
        <w:t>restriction</w:t>
      </w:r>
      <w:r w:rsidRPr="003360AE">
        <w:rPr>
          <w:rFonts w:cs="Times New Roman"/>
          <w:lang w:val="fr-CA"/>
        </w:rPr>
        <w:t xml:space="preserve">[. . .] </w:t>
      </w:r>
      <w:r w:rsidRPr="005F7D29">
        <w:rPr>
          <w:rFonts w:cs="Times New Roman"/>
          <w:lang w:val="fr-CA"/>
        </w:rPr>
        <w:t>soi[t] rationnelle[. . .] et raisonnable[. . .] » (</w:t>
      </w:r>
      <w:r w:rsidRPr="005F7D29">
        <w:rPr>
          <w:rFonts w:cs="Times New Roman"/>
          <w:i/>
          <w:lang w:val="fr-CA"/>
        </w:rPr>
        <w:t>Sauvé c. Canada (Directeur général des élections)</w:t>
      </w:r>
      <w:r w:rsidRPr="005F7D29">
        <w:rPr>
          <w:rFonts w:cs="Times New Roman"/>
          <w:lang w:val="fr-CA"/>
        </w:rPr>
        <w:t>, 2002 CSC 68, [2002] 3 R.C.S. 519 (« </w:t>
      </w:r>
      <w:r w:rsidRPr="005F7D29">
        <w:rPr>
          <w:rFonts w:cs="Times New Roman"/>
          <w:i/>
          <w:lang w:val="fr-CA"/>
        </w:rPr>
        <w:t>Sauvé n</w:t>
      </w:r>
      <w:r w:rsidRPr="005F7D29">
        <w:rPr>
          <w:rFonts w:cs="Times New Roman"/>
          <w:i/>
          <w:vertAlign w:val="superscript"/>
          <w:lang w:val="fr-CA"/>
        </w:rPr>
        <w:t>o</w:t>
      </w:r>
      <w:r w:rsidRPr="005F7D29">
        <w:rPr>
          <w:rFonts w:cs="Times New Roman"/>
          <w:i/>
          <w:lang w:val="fr-CA"/>
        </w:rPr>
        <w:t> 2 </w:t>
      </w:r>
      <w:r w:rsidRPr="005F7D29">
        <w:rPr>
          <w:rFonts w:cs="Times New Roman"/>
          <w:lang w:val="fr-CA"/>
        </w:rPr>
        <w:t>»),</w:t>
      </w:r>
      <w:r w:rsidRPr="005F7D29">
        <w:rPr>
          <w:rFonts w:cs="Times New Roman"/>
          <w:i/>
          <w:lang w:val="fr-CA"/>
        </w:rPr>
        <w:t xml:space="preserve"> </w:t>
      </w:r>
      <w:r w:rsidRPr="005F7D29">
        <w:rPr>
          <w:rFonts w:cs="Times New Roman"/>
          <w:lang w:val="fr-CA"/>
        </w:rPr>
        <w:t xml:space="preserve">par. 84 et 89 (italiques ajoutés); voir aussi </w:t>
      </w:r>
      <w:r w:rsidRPr="005F7D29">
        <w:rPr>
          <w:rFonts w:cs="Times New Roman"/>
          <w:i/>
          <w:lang w:val="fr-CA"/>
        </w:rPr>
        <w:t>R. c.</w:t>
      </w:r>
      <w:r w:rsidRPr="005F7D29">
        <w:rPr>
          <w:rFonts w:cs="Times New Roman"/>
          <w:lang w:val="fr-CA"/>
        </w:rPr>
        <w:t xml:space="preserve"> </w:t>
      </w:r>
      <w:proofErr w:type="spellStart"/>
      <w:r w:rsidRPr="005F7D29">
        <w:rPr>
          <w:rFonts w:cs="Times New Roman"/>
          <w:i/>
          <w:lang w:val="fr-CA"/>
        </w:rPr>
        <w:t>Oakes</w:t>
      </w:r>
      <w:proofErr w:type="spellEnd"/>
      <w:r w:rsidRPr="005F7D29">
        <w:rPr>
          <w:rFonts w:cs="Times New Roman"/>
          <w:lang w:val="fr-CA"/>
        </w:rPr>
        <w:t>, [1986] 1 R.C.S. 103, p. 136), sans qu’il soit question d’« </w:t>
      </w:r>
      <w:r w:rsidRPr="005F7D29">
        <w:rPr>
          <w:rFonts w:cs="Times New Roman"/>
          <w:i/>
          <w:lang w:val="fr-CA"/>
        </w:rPr>
        <w:t>atteintes</w:t>
      </w:r>
      <w:r w:rsidRPr="005F7D29">
        <w:rPr>
          <w:rFonts w:cs="Times New Roman"/>
          <w:lang w:val="fr-CA"/>
        </w:rPr>
        <w:t xml:space="preserve"> rationnelles et raisonnables ». Nous constatons que le texte de l’article premier lui</w:t>
      </w:r>
      <w:r w:rsidRPr="005F7D29">
        <w:rPr>
          <w:rFonts w:cs="Times New Roman"/>
          <w:lang w:val="fr-CA"/>
        </w:rPr>
        <w:noBreakHyphen/>
        <w:t>même étaye ce constat; il y est question non pas d’</w:t>
      </w:r>
      <w:r w:rsidRPr="005F7D29">
        <w:rPr>
          <w:rFonts w:cs="Times New Roman"/>
          <w:i/>
          <w:lang w:val="fr-CA"/>
        </w:rPr>
        <w:t>atteintes</w:t>
      </w:r>
      <w:r w:rsidRPr="005F7D29">
        <w:rPr>
          <w:rFonts w:cs="Times New Roman"/>
          <w:lang w:val="fr-CA"/>
        </w:rPr>
        <w:t xml:space="preserve"> mais de </w:t>
      </w:r>
      <w:r w:rsidRPr="005F7D29">
        <w:rPr>
          <w:rFonts w:cs="Times New Roman"/>
          <w:i/>
          <w:lang w:val="fr-CA"/>
        </w:rPr>
        <w:t>limites</w:t>
      </w:r>
      <w:r w:rsidRPr="005F7D29">
        <w:rPr>
          <w:rFonts w:cs="Times New Roman"/>
          <w:lang w:val="fr-CA"/>
        </w:rPr>
        <w:t xml:space="preserve"> qui soient raisonnables et dont la justification puisse se démontrer. Il s’agit simplement d’un exemple (bien qu’il soit consacré dans la Constitution) du principe voulant qu’aucun droit </w:t>
      </w:r>
      <w:proofErr w:type="gramStart"/>
      <w:r w:rsidRPr="005F7D29">
        <w:rPr>
          <w:rFonts w:cs="Times New Roman"/>
          <w:lang w:val="fr-CA"/>
        </w:rPr>
        <w:t>n’est</w:t>
      </w:r>
      <w:proofErr w:type="gramEnd"/>
      <w:r w:rsidRPr="005F7D29">
        <w:rPr>
          <w:rFonts w:cs="Times New Roman"/>
          <w:lang w:val="fr-CA"/>
        </w:rPr>
        <w:t xml:space="preserve"> absolu, y compris les droits garantis par la </w:t>
      </w:r>
      <w:r w:rsidRPr="005F7D29">
        <w:rPr>
          <w:rFonts w:cs="Times New Roman"/>
          <w:i/>
          <w:lang w:val="fr-CA"/>
        </w:rPr>
        <w:t>Charte</w:t>
      </w:r>
      <w:r w:rsidRPr="005F7D29">
        <w:rPr>
          <w:rFonts w:cs="Times New Roman"/>
          <w:lang w:val="fr-CA"/>
        </w:rPr>
        <w:t xml:space="preserve">, comme le droit de vote prévu à l’art. 3. En clair, donc, une limite raisonnable ne justifie pas une </w:t>
      </w:r>
      <w:r w:rsidRPr="005F7D29">
        <w:rPr>
          <w:rFonts w:cs="Times New Roman"/>
          <w:i/>
          <w:lang w:val="fr-CA"/>
        </w:rPr>
        <w:t>atteinte</w:t>
      </w:r>
      <w:r w:rsidRPr="005F7D29">
        <w:rPr>
          <w:rFonts w:cs="Times New Roman"/>
          <w:lang w:val="fr-CA"/>
        </w:rPr>
        <w:t>, mais est inhérente au droit lui</w:t>
      </w:r>
      <w:r w:rsidRPr="005F7D29">
        <w:rPr>
          <w:rFonts w:cs="Times New Roman"/>
          <w:lang w:val="fr-CA"/>
        </w:rPr>
        <w:noBreakHyphen/>
        <w:t>même puisqu’elle définit les contours du droit (B.</w:t>
      </w:r>
      <w:r w:rsidR="003360AE">
        <w:rPr>
          <w:rFonts w:cs="Times New Roman"/>
          <w:lang w:val="fr-CA"/>
        </w:rPr>
        <w:t> </w:t>
      </w:r>
      <w:r w:rsidRPr="005F7D29">
        <w:rPr>
          <w:rFonts w:cs="Times New Roman"/>
          <w:lang w:val="fr-CA"/>
        </w:rPr>
        <w:t xml:space="preserve">W. Miller, « Justification and </w:t>
      </w:r>
      <w:proofErr w:type="spellStart"/>
      <w:r w:rsidRPr="005F7D29">
        <w:rPr>
          <w:rFonts w:cs="Times New Roman"/>
          <w:lang w:val="fr-CA"/>
        </w:rPr>
        <w:t>Rights</w:t>
      </w:r>
      <w:proofErr w:type="spellEnd"/>
      <w:r w:rsidRPr="005F7D29">
        <w:rPr>
          <w:rFonts w:cs="Times New Roman"/>
          <w:lang w:val="fr-CA"/>
        </w:rPr>
        <w:t xml:space="preserve"> Limitations », dans G. </w:t>
      </w:r>
      <w:proofErr w:type="spellStart"/>
      <w:r w:rsidRPr="005F7D29">
        <w:rPr>
          <w:rFonts w:cs="Times New Roman"/>
          <w:lang w:val="fr-CA"/>
        </w:rPr>
        <w:t>Huscroft</w:t>
      </w:r>
      <w:proofErr w:type="spellEnd"/>
      <w:r w:rsidRPr="005F7D29">
        <w:rPr>
          <w:rFonts w:cs="Times New Roman"/>
          <w:lang w:val="fr-CA"/>
        </w:rPr>
        <w:t xml:space="preserve">, </w:t>
      </w:r>
      <w:proofErr w:type="spellStart"/>
      <w:proofErr w:type="gramStart"/>
      <w:r w:rsidRPr="005F7D29">
        <w:rPr>
          <w:rFonts w:cs="Times New Roman"/>
          <w:lang w:val="fr-CA"/>
        </w:rPr>
        <w:t>dir</w:t>
      </w:r>
      <w:proofErr w:type="spellEnd"/>
      <w:r w:rsidRPr="005F7D29">
        <w:rPr>
          <w:rFonts w:cs="Times New Roman"/>
          <w:lang w:val="fr-CA"/>
        </w:rPr>
        <w:t>.,</w:t>
      </w:r>
      <w:proofErr w:type="gramEnd"/>
      <w:r w:rsidRPr="005F7D29">
        <w:rPr>
          <w:rFonts w:cs="Times New Roman"/>
          <w:lang w:val="fr-CA"/>
        </w:rPr>
        <w:t xml:space="preserve"> </w:t>
      </w:r>
      <w:proofErr w:type="spellStart"/>
      <w:r w:rsidRPr="005F7D29">
        <w:rPr>
          <w:rFonts w:cs="Times New Roman"/>
          <w:i/>
          <w:lang w:val="fr-CA"/>
        </w:rPr>
        <w:t>Expounding</w:t>
      </w:r>
      <w:proofErr w:type="spellEnd"/>
      <w:r w:rsidRPr="005F7D29">
        <w:rPr>
          <w:rFonts w:cs="Times New Roman"/>
          <w:i/>
          <w:lang w:val="fr-CA"/>
        </w:rPr>
        <w:t xml:space="preserve"> the Constitution: </w:t>
      </w:r>
      <w:proofErr w:type="spellStart"/>
      <w:r w:rsidRPr="005F7D29">
        <w:rPr>
          <w:rFonts w:cs="Times New Roman"/>
          <w:i/>
          <w:lang w:val="fr-CA"/>
        </w:rPr>
        <w:t>Essays</w:t>
      </w:r>
      <w:proofErr w:type="spellEnd"/>
      <w:r w:rsidRPr="005F7D29">
        <w:rPr>
          <w:rFonts w:cs="Times New Roman"/>
          <w:i/>
          <w:lang w:val="fr-CA"/>
        </w:rPr>
        <w:t xml:space="preserve"> in </w:t>
      </w:r>
      <w:proofErr w:type="spellStart"/>
      <w:r w:rsidRPr="005F7D29">
        <w:rPr>
          <w:rFonts w:cs="Times New Roman"/>
          <w:i/>
          <w:lang w:val="fr-CA"/>
        </w:rPr>
        <w:t>Constitutional</w:t>
      </w:r>
      <w:proofErr w:type="spellEnd"/>
      <w:r w:rsidRPr="005F7D29">
        <w:rPr>
          <w:rFonts w:cs="Times New Roman"/>
          <w:i/>
          <w:lang w:val="fr-CA"/>
        </w:rPr>
        <w:t xml:space="preserve"> Theory</w:t>
      </w:r>
      <w:r w:rsidRPr="005F7D29">
        <w:rPr>
          <w:rFonts w:cs="Times New Roman"/>
          <w:lang w:val="fr-CA"/>
        </w:rPr>
        <w:t xml:space="preserve"> (2008), 93, p. 96). La jurisprudence récente de la Cour confirme ce traitement des « limites raisonnables » dont il est question à l’article premier (voir, p. ex., </w:t>
      </w:r>
      <w:r w:rsidRPr="005F7D29">
        <w:rPr>
          <w:rFonts w:cs="Times New Roman"/>
          <w:i/>
          <w:lang w:val="fr-CA"/>
        </w:rPr>
        <w:t>R. c. K.R.J.</w:t>
      </w:r>
      <w:r w:rsidRPr="005F7D29">
        <w:rPr>
          <w:rFonts w:cs="Times New Roman"/>
          <w:lang w:val="fr-CA"/>
        </w:rPr>
        <w:t>, 2016 CSC 31, [2016] 1 R.C.S. 906). En bref, il y a atteinte à un droit seulement si celui</w:t>
      </w:r>
      <w:r w:rsidRPr="005F7D29">
        <w:rPr>
          <w:rFonts w:cs="Times New Roman"/>
          <w:lang w:val="fr-CA"/>
        </w:rPr>
        <w:noBreakHyphen/>
        <w:t>ci,</w:t>
      </w:r>
      <w:r w:rsidRPr="005F7D29">
        <w:rPr>
          <w:rFonts w:cs="Times New Roman"/>
          <w:i/>
          <w:lang w:val="fr-CA"/>
        </w:rPr>
        <w:t xml:space="preserve"> raisonnablement </w:t>
      </w:r>
      <w:r w:rsidRPr="005F7D29">
        <w:rPr>
          <w:rFonts w:cs="Times New Roman"/>
          <w:i/>
          <w:lang w:val="fr-CA"/>
        </w:rPr>
        <w:lastRenderedPageBreak/>
        <w:t>limité</w:t>
      </w:r>
      <w:r w:rsidRPr="005F7D29">
        <w:rPr>
          <w:rFonts w:cs="Times New Roman"/>
          <w:lang w:val="fr-CA"/>
        </w:rPr>
        <w:t xml:space="preserve">, est violé. La question que soulève le présent pourvoi </w:t>
      </w:r>
      <w:r w:rsidRPr="003360AE">
        <w:rPr>
          <w:rFonts w:cs="Times New Roman"/>
          <w:i/>
          <w:lang w:val="fr-CA"/>
        </w:rPr>
        <w:t>n’</w:t>
      </w:r>
      <w:r w:rsidRPr="005F7D29">
        <w:rPr>
          <w:rFonts w:cs="Times New Roman"/>
          <w:lang w:val="fr-CA"/>
        </w:rPr>
        <w:t xml:space="preserve">est donc </w:t>
      </w:r>
      <w:r w:rsidRPr="005F7D29">
        <w:rPr>
          <w:rFonts w:cs="Times New Roman"/>
          <w:i/>
          <w:lang w:val="fr-CA"/>
        </w:rPr>
        <w:t>pas</w:t>
      </w:r>
      <w:r w:rsidRPr="005F7D29">
        <w:rPr>
          <w:rFonts w:cs="Times New Roman"/>
          <w:lang w:val="fr-CA"/>
        </w:rPr>
        <w:t xml:space="preserve"> de savoir si la limite au droit de vote créée par la restriction à l’égard des non</w:t>
      </w:r>
      <w:r w:rsidRPr="005F7D29">
        <w:rPr>
          <w:rFonts w:cs="Times New Roman"/>
          <w:lang w:val="fr-CA"/>
        </w:rPr>
        <w:noBreakHyphen/>
        <w:t xml:space="preserve">résidents à long terme justifie une atteinte à l’art. 3, mais plutôt de savoir si cette limite est déraisonnable, si bien qu’il y a atteinte à l’art. 3. </w:t>
      </w:r>
    </w:p>
    <w:p w:rsidR="001244E7" w:rsidRDefault="001244E7" w:rsidP="001244E7">
      <w:pPr>
        <w:pStyle w:val="ParaNoNdepar-AltN"/>
        <w:rPr>
          <w:rFonts w:cs="Times New Roman"/>
          <w:lang w:val="fr-CA"/>
        </w:rPr>
      </w:pPr>
      <w:r w:rsidRPr="005F7D29">
        <w:rPr>
          <w:rFonts w:cs="Times New Roman"/>
          <w:lang w:val="fr-CA"/>
        </w:rPr>
        <w:t>Contrairement à ce que semblent suggérer les juges majoritaires (par. 42), nous ne contestons pas le fait qu’une séparation analytique est nécessaire pour faire la distinction entre le fardeau qui incombe à la partie revendiquant un droit d’établir qu’il y a eu restriction à ses droits, et le fardeau qui incombe au gouvernement de justifier la restriction au regard de l’article premier. Nos motifs ne soulèvent pas une question de fardeau; nous convenons que le fardeau de justifier les restrictions aux droits repose toujours sur l’État (</w:t>
      </w:r>
      <w:r w:rsidRPr="005F7D29">
        <w:rPr>
          <w:rFonts w:cs="Times New Roman"/>
          <w:i/>
          <w:lang w:val="fr-CA"/>
        </w:rPr>
        <w:t xml:space="preserve">Law Society of British Columbia </w:t>
      </w:r>
      <w:r w:rsidRPr="005F7D29">
        <w:rPr>
          <w:rFonts w:cs="Times New Roman"/>
          <w:i/>
          <w:iCs/>
          <w:lang w:val="fr-CA"/>
        </w:rPr>
        <w:t>c.</w:t>
      </w:r>
      <w:r w:rsidRPr="005F7D29">
        <w:rPr>
          <w:rFonts w:cs="Times New Roman"/>
          <w:i/>
          <w:lang w:val="fr-CA"/>
        </w:rPr>
        <w:t xml:space="preserve"> Trinity Western </w:t>
      </w:r>
      <w:proofErr w:type="spellStart"/>
      <w:r w:rsidRPr="005F7D29">
        <w:rPr>
          <w:rFonts w:cs="Times New Roman"/>
          <w:i/>
          <w:lang w:val="fr-CA"/>
        </w:rPr>
        <w:t>University</w:t>
      </w:r>
      <w:proofErr w:type="spellEnd"/>
      <w:r w:rsidRPr="005F7D29">
        <w:rPr>
          <w:rFonts w:cs="Times New Roman"/>
          <w:lang w:val="fr-CA"/>
        </w:rPr>
        <w:t>, 2018 C</w:t>
      </w:r>
      <w:r>
        <w:rPr>
          <w:rFonts w:cs="Times New Roman"/>
          <w:lang w:val="fr-CA"/>
        </w:rPr>
        <w:t>S</w:t>
      </w:r>
      <w:r w:rsidRPr="005F7D29">
        <w:rPr>
          <w:rFonts w:cs="Times New Roman"/>
          <w:lang w:val="fr-CA"/>
        </w:rPr>
        <w:t xml:space="preserve">C 32, </w:t>
      </w:r>
      <w:r w:rsidR="00E705D2">
        <w:rPr>
          <w:rFonts w:cs="Times New Roman"/>
          <w:lang w:val="fr-CA"/>
        </w:rPr>
        <w:t xml:space="preserve">[2018] 2 R.C.S. 453, </w:t>
      </w:r>
      <w:r w:rsidRPr="005F7D29">
        <w:rPr>
          <w:rFonts w:cs="Times New Roman"/>
          <w:lang w:val="fr-CA"/>
        </w:rPr>
        <w:t>par. 314). Le point de divergence entre nous et les juges majoritaires est beaucoup plus circonscrit que ces derniers l’entendent, et se réduit à la question suivante : qu’est</w:t>
      </w:r>
      <w:r w:rsidRPr="005F7D29">
        <w:rPr>
          <w:rFonts w:cs="Times New Roman"/>
          <w:lang w:val="fr-CA"/>
        </w:rPr>
        <w:noBreakHyphen/>
        <w:t xml:space="preserve">ce qui doit être justifié — une atteinte ou une limite? Nous croyons que la </w:t>
      </w:r>
      <w:r w:rsidRPr="005F7D29">
        <w:rPr>
          <w:rFonts w:cs="Times New Roman"/>
          <w:i/>
          <w:lang w:val="fr-CA"/>
        </w:rPr>
        <w:t xml:space="preserve">Charte </w:t>
      </w:r>
      <w:r w:rsidRPr="005F7D29">
        <w:rPr>
          <w:rFonts w:cs="Times New Roman"/>
          <w:lang w:val="fr-CA"/>
        </w:rPr>
        <w:t>ne pourrait (ou ne devrait) jamais être interprétée de manière à permettre des « atteintes » justifiées. Cependant, elle permet des « limites » justifiées. Une « atteinte » est une limite qui n’est pas justifiée (</w:t>
      </w:r>
      <w:r w:rsidRPr="005F7D29">
        <w:rPr>
          <w:rFonts w:cs="Times New Roman"/>
          <w:i/>
          <w:lang w:val="fr-CA"/>
        </w:rPr>
        <w:t>K.R.J</w:t>
      </w:r>
      <w:r w:rsidRPr="005F7D29">
        <w:rPr>
          <w:rFonts w:cs="Times New Roman"/>
          <w:lang w:val="fr-CA"/>
        </w:rPr>
        <w:t xml:space="preserve">., par. 91, 115 et 116; </w:t>
      </w:r>
      <w:proofErr w:type="spellStart"/>
      <w:r w:rsidRPr="005F7D29">
        <w:rPr>
          <w:rFonts w:cs="Times New Roman"/>
          <w:i/>
          <w:lang w:val="fr-CA"/>
        </w:rPr>
        <w:t>Bracken</w:t>
      </w:r>
      <w:proofErr w:type="spellEnd"/>
      <w:r w:rsidRPr="005F7D29">
        <w:rPr>
          <w:rFonts w:cs="Times New Roman"/>
          <w:i/>
          <w:lang w:val="fr-CA"/>
        </w:rPr>
        <w:t xml:space="preserve"> c. Niagara Parks Police</w:t>
      </w:r>
      <w:r w:rsidRPr="005F7D29">
        <w:rPr>
          <w:rFonts w:cs="Times New Roman"/>
          <w:lang w:val="fr-CA"/>
        </w:rPr>
        <w:t xml:space="preserve">, 2018 ONCA 261, 141 O.R. (3d) 168, par. 33). Nous notons avec égards que les motifs des juges majoritaires confondent ces notions et font abstraction du texte de l’article premier. Une analyse fondée sur l’article premier, logique et fidèle au texte, vise principalement à établir si une </w:t>
      </w:r>
      <w:r w:rsidRPr="005F7D29">
        <w:rPr>
          <w:rFonts w:cs="Times New Roman"/>
          <w:i/>
          <w:lang w:val="fr-CA"/>
        </w:rPr>
        <w:t>limite</w:t>
      </w:r>
      <w:r w:rsidRPr="005F7D29">
        <w:rPr>
          <w:rFonts w:cs="Times New Roman"/>
          <w:lang w:val="fr-CA"/>
        </w:rPr>
        <w:t xml:space="preserve"> à un droit garanti par la </w:t>
      </w:r>
      <w:r w:rsidRPr="005F7D29">
        <w:rPr>
          <w:rFonts w:cs="Times New Roman"/>
          <w:i/>
          <w:lang w:val="fr-CA"/>
        </w:rPr>
        <w:t>Charte</w:t>
      </w:r>
      <w:r w:rsidRPr="005F7D29">
        <w:rPr>
          <w:rFonts w:cs="Times New Roman"/>
          <w:lang w:val="fr-CA"/>
        </w:rPr>
        <w:t xml:space="preserve"> est justifiée.</w:t>
      </w:r>
    </w:p>
    <w:p w:rsidR="001244E7" w:rsidRPr="005F7D29" w:rsidRDefault="001244E7" w:rsidP="001244E7">
      <w:pPr>
        <w:pStyle w:val="ParaNoNdepar-AltN"/>
        <w:rPr>
          <w:rFonts w:cs="Times New Roman"/>
          <w:lang w:val="fr-CA"/>
        </w:rPr>
      </w:pPr>
      <w:r w:rsidRPr="005F7D29">
        <w:rPr>
          <w:rFonts w:cs="Times New Roman"/>
          <w:lang w:val="fr-CA"/>
        </w:rPr>
        <w:lastRenderedPageBreak/>
        <w:t xml:space="preserve">À notre avis, avec égards, la réponse que donnent les juges majoritaires à ce raisonnement est intrinsèquement contradictoire. D’une part, la question a suffisamment d’importance selon eux pour justifier une déviation du texte de l’article premier. Cependant, ils qualifient aussi la question de « sémantique », soulignant que la Cour a, au fil des ans, utilisé les termes « atteinte » et « restriction » de façon interchangeable. Nous reconnaissons que la Cour a, à l’occasion, </w:t>
      </w:r>
      <w:proofErr w:type="gramStart"/>
      <w:r w:rsidRPr="005F7D29">
        <w:rPr>
          <w:rFonts w:cs="Times New Roman"/>
          <w:lang w:val="fr-CA"/>
        </w:rPr>
        <w:t>parlé</w:t>
      </w:r>
      <w:proofErr w:type="gramEnd"/>
      <w:r w:rsidRPr="005F7D29">
        <w:rPr>
          <w:rFonts w:cs="Times New Roman"/>
          <w:lang w:val="fr-CA"/>
        </w:rPr>
        <w:t xml:space="preserve"> de justification des « atteintes ». Nous ne prétendons pas qu’elle ne l’a jamais fait; nous soutenons cependant qu’elle devrait cesser de le faire. S’il s’agit, comme l’affirment les juges majoritaires, d’une question de « sémantique », il n’y a aucune raison valable de continuer à faire fi du texte constitutionnel. Quoi qu’il en soit, nous considérons que la question dépasse la simple sémantique. Affirmer que des personnes ont des droits qui peuvent être violés de façon justifiable par l’État déforme notre débat constitutionnel, ainsi que notre compréhension des droits et des frontières légitimes des actions de l’État. De fait, les juges majoritaires nous en fournissent un exemple dans leurs motifs, en laissant entendre que l’art. 3 accorde un droit absolu, violé par les restrictions au droit de vote des non</w:t>
      </w:r>
      <w:r w:rsidRPr="005F7D29">
        <w:rPr>
          <w:rFonts w:cs="Times New Roman"/>
          <w:lang w:val="fr-CA"/>
        </w:rPr>
        <w:noBreakHyphen/>
        <w:t>résidents à long terme. Les limites raisonnables sont [</w:t>
      </w:r>
      <w:r w:rsidRPr="005F7D29">
        <w:rPr>
          <w:rFonts w:cs="Times New Roman"/>
          <w:smallCaps/>
          <w:lang w:val="fr-CA"/>
        </w:rPr>
        <w:t>traduction</w:t>
      </w:r>
      <w:r w:rsidRPr="005F7D29">
        <w:rPr>
          <w:rFonts w:cs="Times New Roman"/>
          <w:lang w:val="fr-CA"/>
        </w:rPr>
        <w:t>] « inhérentes aux droits eux</w:t>
      </w:r>
      <w:r w:rsidRPr="005F7D29">
        <w:rPr>
          <w:rFonts w:cs="Times New Roman"/>
          <w:lang w:val="fr-CA"/>
        </w:rPr>
        <w:noBreakHyphen/>
        <w:t>mêmes » et ce sont ces limites qui doivent être justifiées (Miller, p. 96).</w:t>
      </w:r>
    </w:p>
    <w:p w:rsidR="001244E7" w:rsidRPr="005F7D29" w:rsidRDefault="001244E7" w:rsidP="001244E7">
      <w:pPr>
        <w:pStyle w:val="ParaNoNdepar-AltN"/>
        <w:rPr>
          <w:rFonts w:cs="Times New Roman"/>
          <w:lang w:val="fr-CA"/>
        </w:rPr>
      </w:pPr>
      <w:r w:rsidRPr="005F7D29">
        <w:rPr>
          <w:rFonts w:cs="Times New Roman"/>
          <w:lang w:val="fr-CA"/>
        </w:rPr>
        <w:t xml:space="preserve">Nous notons que devant nous, l’avocat du procureur général a perpétué lui aussi cette erreur d’analyse en reconnaissant qu’il y a eu « atteinte ». Si le procureur général reconnaissait effectivement qu’il y a eu atteinte, il serait inutile de trancher le présent pourvoi : il se trouverait à concéder la cause. Toutefois, comme nous l’avons </w:t>
      </w:r>
      <w:r w:rsidRPr="005F7D29">
        <w:rPr>
          <w:rFonts w:cs="Times New Roman"/>
          <w:lang w:val="fr-CA"/>
        </w:rPr>
        <w:lastRenderedPageBreak/>
        <w:t>déjà noté, nous comprenons que le procureur général reconnaît que la restriction au droit de vote des non</w:t>
      </w:r>
      <w:r w:rsidRPr="005F7D29">
        <w:rPr>
          <w:rFonts w:cs="Times New Roman"/>
          <w:lang w:val="fr-CA"/>
        </w:rPr>
        <w:noBreakHyphen/>
        <w:t xml:space="preserve">résidents à long terme constitue une limite au droit de vote garanti par l’art. 3 de la </w:t>
      </w:r>
      <w:r w:rsidRPr="005F7D29">
        <w:rPr>
          <w:rFonts w:cs="Times New Roman"/>
          <w:i/>
          <w:lang w:val="fr-CA"/>
        </w:rPr>
        <w:t>Charte</w:t>
      </w:r>
      <w:r w:rsidRPr="005F7D29">
        <w:rPr>
          <w:rFonts w:cs="Times New Roman"/>
          <w:lang w:val="fr-CA"/>
        </w:rPr>
        <w:t xml:space="preserve">, de sorte que la seule question à trancher est de savoir s’il s’agit d’une limite dont la justification peut se démontrer dans le cadre d’une société libre et démocratique. L’énoncé qui suit tiré des </w:t>
      </w:r>
      <w:r w:rsidRPr="005F7D29">
        <w:rPr>
          <w:rFonts w:cs="Times New Roman"/>
          <w:i/>
          <w:lang w:val="fr-CA"/>
        </w:rPr>
        <w:t>Principes guidant le procureur général du Canada dans les litiges fondés sur la Charte</w:t>
      </w:r>
      <w:r w:rsidRPr="005F7D29">
        <w:rPr>
          <w:rFonts w:cs="Times New Roman"/>
          <w:lang w:val="fr-CA"/>
        </w:rPr>
        <w:t xml:space="preserve"> renforce ce point de vue :</w:t>
      </w:r>
    </w:p>
    <w:p w:rsidR="001244E7" w:rsidRPr="005F7D29" w:rsidRDefault="001244E7" w:rsidP="001244E7">
      <w:pPr>
        <w:pStyle w:val="Citation-AltC"/>
        <w:spacing w:after="240"/>
        <w:ind w:left="1168" w:hanging="1168"/>
        <w:contextualSpacing w:val="0"/>
        <w:rPr>
          <w:lang w:val="fr-CA"/>
        </w:rPr>
      </w:pPr>
      <w:r w:rsidRPr="005F7D29">
        <w:rPr>
          <w:lang w:val="fr-CA"/>
        </w:rPr>
        <w:tab/>
        <w:t xml:space="preserve">. . . le Parlement peut adopter des lois qui limitent les droits et libertés et [. . .] </w:t>
      </w:r>
      <w:r w:rsidRPr="005F7D29">
        <w:rPr>
          <w:u w:val="single"/>
          <w:lang w:val="fr-CA"/>
        </w:rPr>
        <w:t xml:space="preserve">la </w:t>
      </w:r>
      <w:r w:rsidRPr="005F7D29">
        <w:rPr>
          <w:i/>
          <w:u w:val="single"/>
          <w:lang w:val="fr-CA"/>
        </w:rPr>
        <w:t>Charte</w:t>
      </w:r>
      <w:r w:rsidRPr="005F7D29">
        <w:rPr>
          <w:u w:val="single"/>
          <w:lang w:val="fr-CA"/>
        </w:rPr>
        <w:t xml:space="preserve"> sera violée uniquement lorsque la restriction n’est pas justifiée</w:t>
      </w:r>
      <w:r w:rsidRPr="005F7D29">
        <w:rPr>
          <w:lang w:val="fr-CA"/>
        </w:rPr>
        <w:t>.</w:t>
      </w:r>
    </w:p>
    <w:p w:rsidR="001244E7" w:rsidRPr="005F7D29" w:rsidRDefault="001244E7" w:rsidP="001244E7">
      <w:pPr>
        <w:pStyle w:val="Citation-AltC"/>
        <w:spacing w:after="240"/>
        <w:ind w:left="1168" w:hanging="1168"/>
        <w:contextualSpacing w:val="0"/>
        <w:rPr>
          <w:lang w:val="fr-CA"/>
        </w:rPr>
      </w:pPr>
      <w:r w:rsidRPr="005F7D29">
        <w:rPr>
          <w:lang w:val="fr-CA"/>
        </w:rPr>
        <w:tab/>
        <w:t xml:space="preserve">Par conséquent, le procureur général appliquera parfois le principe de constitutionnalisme et de primauté du droit </w:t>
      </w:r>
      <w:r w:rsidRPr="005F7D29">
        <w:rPr>
          <w:u w:val="single"/>
          <w:lang w:val="fr-CA"/>
        </w:rPr>
        <w:t>en reconnaissant qu’un droit ou une liberté a été restreint, mais sans admettre que la restriction n’est pas justifiée</w:t>
      </w:r>
      <w:r w:rsidRPr="005F7D29">
        <w:rPr>
          <w:lang w:val="fr-CA"/>
        </w:rPr>
        <w:t xml:space="preserve">. Le procureur général tentera plutôt de démontrer par voie judiciaire qu’il s’avère justifié pour la loi fédérale de restreindre les droits et libertés, et de ce fait qu’elle respecte la </w:t>
      </w:r>
      <w:r w:rsidRPr="005F7D29">
        <w:rPr>
          <w:i/>
          <w:lang w:val="fr-CA"/>
        </w:rPr>
        <w:t>Charte</w:t>
      </w:r>
      <w:r w:rsidRPr="005F7D29">
        <w:rPr>
          <w:lang w:val="fr-CA"/>
        </w:rPr>
        <w:t>. [Nous soulignons; p. 6.]</w:t>
      </w:r>
    </w:p>
    <w:p w:rsidR="001244E7" w:rsidRPr="005F7D29" w:rsidRDefault="00B5344B" w:rsidP="00B5344B">
      <w:pPr>
        <w:pStyle w:val="Citation-AltC"/>
        <w:ind w:left="0"/>
        <w:rPr>
          <w:lang w:val="fr-CA"/>
        </w:rPr>
      </w:pPr>
      <w:r>
        <w:rPr>
          <w:lang w:val="fr-CA"/>
        </w:rPr>
        <w:t>(Canada, m</w:t>
      </w:r>
      <w:r w:rsidR="001244E7" w:rsidRPr="005F7D29">
        <w:rPr>
          <w:lang w:val="fr-CA"/>
        </w:rPr>
        <w:t xml:space="preserve">inistère de la Justice, </w:t>
      </w:r>
      <w:r w:rsidR="001244E7" w:rsidRPr="005F7D29">
        <w:rPr>
          <w:i/>
          <w:lang w:val="fr-CA"/>
        </w:rPr>
        <w:t>Principes guidant le procureur général du Canada dans les litiges fondés sur la Charte</w:t>
      </w:r>
      <w:r w:rsidR="001244E7" w:rsidRPr="005F7D29">
        <w:rPr>
          <w:lang w:val="fr-CA"/>
        </w:rPr>
        <w:t xml:space="preserve"> (2017) (en ligne))</w:t>
      </w:r>
    </w:p>
    <w:p w:rsidR="001244E7" w:rsidRPr="005F7D29" w:rsidRDefault="001244E7" w:rsidP="001244E7">
      <w:pPr>
        <w:pStyle w:val="ParaNoNdepar-AltN"/>
        <w:rPr>
          <w:rFonts w:cs="Times New Roman"/>
          <w:lang w:val="fr-CA"/>
        </w:rPr>
      </w:pPr>
      <w:r w:rsidRPr="005F7D29">
        <w:rPr>
          <w:rFonts w:cs="Times New Roman"/>
          <w:lang w:val="fr-CA"/>
        </w:rPr>
        <w:t>Les modifications de 1993 marquent l’effort du législateur visant à préciser les limites au droit garanti par l’art. 3 — c’est</w:t>
      </w:r>
      <w:r w:rsidRPr="005F7D29">
        <w:rPr>
          <w:rFonts w:cs="Times New Roman"/>
          <w:lang w:val="fr-CA"/>
        </w:rPr>
        <w:noBreakHyphen/>
        <w:t>à</w:t>
      </w:r>
      <w:r w:rsidRPr="005F7D29">
        <w:rPr>
          <w:rFonts w:cs="Times New Roman"/>
          <w:lang w:val="fr-CA"/>
        </w:rPr>
        <w:noBreakHyphen/>
        <w:t>dire de circonscrire un droit positif, qui, à ce titre, doit nécessairement être précisé par voie législative. Pour établir si une limite est justifiée, notre Cour a favorisé une « application contextuelle et souple de l’article premier » (</w:t>
      </w:r>
      <w:r w:rsidRPr="005F7D29">
        <w:rPr>
          <w:rFonts w:cs="Times New Roman"/>
          <w:i/>
          <w:lang w:val="fr-CA"/>
        </w:rPr>
        <w:t>Sauvé n</w:t>
      </w:r>
      <w:r w:rsidRPr="005F7D29">
        <w:rPr>
          <w:rFonts w:cs="Times New Roman"/>
          <w:i/>
          <w:vertAlign w:val="superscript"/>
          <w:lang w:val="fr-CA"/>
        </w:rPr>
        <w:t>o</w:t>
      </w:r>
      <w:r w:rsidRPr="005F7D29">
        <w:rPr>
          <w:rFonts w:cs="Times New Roman"/>
          <w:i/>
          <w:lang w:val="fr-CA"/>
        </w:rPr>
        <w:t> 2</w:t>
      </w:r>
      <w:r w:rsidRPr="005F7D29">
        <w:rPr>
          <w:rFonts w:cs="Times New Roman"/>
          <w:lang w:val="fr-CA"/>
        </w:rPr>
        <w:t>, par. 84) qui prend en compte l’ensemble du contexte factuel dans lequel l’atteinte prétendue se serait produite — une approche qui évite l’application rigide et formaliste et qui « variera en fonction des circonstances » (</w:t>
      </w:r>
      <w:r w:rsidRPr="005F7D29">
        <w:rPr>
          <w:rFonts w:cs="Times New Roman"/>
          <w:i/>
          <w:lang w:val="fr-CA"/>
        </w:rPr>
        <w:t>Sauvé n</w:t>
      </w:r>
      <w:r w:rsidRPr="005F7D29">
        <w:rPr>
          <w:rFonts w:cs="Times New Roman"/>
          <w:i/>
          <w:vertAlign w:val="superscript"/>
          <w:lang w:val="fr-CA"/>
        </w:rPr>
        <w:t>o</w:t>
      </w:r>
      <w:r w:rsidRPr="005F7D29">
        <w:rPr>
          <w:rFonts w:cs="Times New Roman"/>
          <w:i/>
          <w:lang w:val="fr-CA"/>
        </w:rPr>
        <w:t> 2</w:t>
      </w:r>
      <w:r w:rsidRPr="005F7D29">
        <w:rPr>
          <w:rFonts w:cs="Times New Roman"/>
          <w:lang w:val="fr-CA"/>
        </w:rPr>
        <w:t xml:space="preserve">, par. 80, citant </w:t>
      </w:r>
      <w:r w:rsidRPr="005F7D29">
        <w:rPr>
          <w:rFonts w:cs="Times New Roman"/>
          <w:i/>
          <w:lang w:val="fr-CA"/>
        </w:rPr>
        <w:t xml:space="preserve">R c. </w:t>
      </w:r>
      <w:proofErr w:type="spellStart"/>
      <w:r w:rsidRPr="005F7D29">
        <w:rPr>
          <w:rFonts w:cs="Times New Roman"/>
          <w:i/>
          <w:lang w:val="fr-CA"/>
        </w:rPr>
        <w:t>Keegstra</w:t>
      </w:r>
      <w:proofErr w:type="spellEnd"/>
      <w:r w:rsidRPr="005F7D29">
        <w:rPr>
          <w:rFonts w:cs="Times New Roman"/>
          <w:lang w:val="fr-CA"/>
        </w:rPr>
        <w:t>, [1990] 3 R.C.S. 697, p. 737</w:t>
      </w:r>
      <w:r w:rsidRPr="005F7D29">
        <w:rPr>
          <w:rFonts w:cs="Times New Roman"/>
          <w:lang w:val="fr-CA"/>
        </w:rPr>
        <w:noBreakHyphen/>
        <w:t xml:space="preserve">738; voir également </w:t>
      </w:r>
      <w:r w:rsidRPr="005F7D29">
        <w:rPr>
          <w:rFonts w:cs="Times New Roman"/>
          <w:i/>
          <w:lang w:val="fr-CA"/>
        </w:rPr>
        <w:t>R. c. Sharpe</w:t>
      </w:r>
      <w:r w:rsidRPr="005F7D29">
        <w:rPr>
          <w:rFonts w:cs="Times New Roman"/>
          <w:lang w:val="fr-CA"/>
        </w:rPr>
        <w:t xml:space="preserve">, 2001 CSC 2, [2001] 1 R.C.S. 45, par. 154, motifs des juges </w:t>
      </w:r>
      <w:r w:rsidRPr="005F7D29">
        <w:rPr>
          <w:rFonts w:cs="Times New Roman"/>
          <w:lang w:val="fr-CA"/>
        </w:rPr>
        <w:lastRenderedPageBreak/>
        <w:t>L’Heureux</w:t>
      </w:r>
      <w:r w:rsidRPr="005F7D29">
        <w:rPr>
          <w:rFonts w:cs="Times New Roman"/>
          <w:lang w:val="fr-CA"/>
        </w:rPr>
        <w:noBreakHyphen/>
        <w:t xml:space="preserve">Dubé, Gonthier et </w:t>
      </w:r>
      <w:proofErr w:type="spellStart"/>
      <w:r w:rsidRPr="005F7D29">
        <w:rPr>
          <w:rFonts w:cs="Times New Roman"/>
          <w:lang w:val="fr-CA"/>
        </w:rPr>
        <w:t>Bastarache</w:t>
      </w:r>
      <w:proofErr w:type="spellEnd"/>
      <w:r>
        <w:rPr>
          <w:rFonts w:cs="Times New Roman"/>
          <w:lang w:val="fr-CA"/>
        </w:rPr>
        <w:t>,</w:t>
      </w:r>
      <w:r w:rsidRPr="005F7D29">
        <w:rPr>
          <w:rFonts w:cs="Times New Roman"/>
          <w:lang w:val="fr-CA"/>
        </w:rPr>
        <w:t xml:space="preserve"> </w:t>
      </w:r>
      <w:r w:rsidRPr="005F7D29">
        <w:rPr>
          <w:rFonts w:cs="Times New Roman"/>
          <w:i/>
          <w:lang w:val="fr-CA"/>
        </w:rPr>
        <w:t xml:space="preserve">Thomson </w:t>
      </w:r>
      <w:proofErr w:type="spellStart"/>
      <w:r w:rsidRPr="005F7D29">
        <w:rPr>
          <w:rFonts w:cs="Times New Roman"/>
          <w:i/>
          <w:lang w:val="fr-CA"/>
        </w:rPr>
        <w:t>Newspapers</w:t>
      </w:r>
      <w:proofErr w:type="spellEnd"/>
      <w:r w:rsidRPr="005F7D29">
        <w:rPr>
          <w:rFonts w:cs="Times New Roman"/>
          <w:i/>
          <w:lang w:val="fr-CA"/>
        </w:rPr>
        <w:t xml:space="preserve"> Co. c. Canada (Procureur général)</w:t>
      </w:r>
      <w:r w:rsidRPr="005F7D29">
        <w:rPr>
          <w:rFonts w:cs="Times New Roman"/>
          <w:lang w:val="fr-CA"/>
        </w:rPr>
        <w:t xml:space="preserve">, [1998] 1 R.C.S. 877, par. 87, motifs du juge </w:t>
      </w:r>
      <w:proofErr w:type="spellStart"/>
      <w:r w:rsidRPr="005F7D29">
        <w:rPr>
          <w:rFonts w:cs="Times New Roman"/>
          <w:lang w:val="fr-CA"/>
        </w:rPr>
        <w:t>Bastarache</w:t>
      </w:r>
      <w:proofErr w:type="spellEnd"/>
      <w:r>
        <w:rPr>
          <w:rFonts w:cs="Times New Roman"/>
          <w:lang w:val="fr-CA"/>
        </w:rPr>
        <w:t>,</w:t>
      </w:r>
      <w:r w:rsidRPr="005F7D29">
        <w:rPr>
          <w:rFonts w:cs="Times New Roman"/>
          <w:lang w:val="fr-CA"/>
        </w:rPr>
        <w:t xml:space="preserve"> et </w:t>
      </w:r>
      <w:proofErr w:type="spellStart"/>
      <w:r w:rsidRPr="005F7D29">
        <w:rPr>
          <w:rFonts w:cs="Times New Roman"/>
          <w:i/>
          <w:lang w:val="fr-CA"/>
        </w:rPr>
        <w:t>Oakes</w:t>
      </w:r>
      <w:proofErr w:type="spellEnd"/>
      <w:r w:rsidRPr="005F7D29">
        <w:rPr>
          <w:rFonts w:cs="Times New Roman"/>
          <w:lang w:val="fr-CA"/>
        </w:rPr>
        <w:t xml:space="preserve">, p. 139). Cette approche est logique. La justification est forcément un exercice contextuel. </w:t>
      </w:r>
    </w:p>
    <w:p w:rsidR="001244E7" w:rsidRPr="005F7D29" w:rsidRDefault="001244E7" w:rsidP="001244E7">
      <w:pPr>
        <w:pStyle w:val="ParaNoNdepar-AltN"/>
        <w:rPr>
          <w:rFonts w:cs="Times New Roman"/>
          <w:lang w:val="fr-CA"/>
        </w:rPr>
      </w:pPr>
      <w:r w:rsidRPr="005F7D29">
        <w:rPr>
          <w:rFonts w:cs="Times New Roman"/>
          <w:lang w:val="fr-CA"/>
        </w:rPr>
        <w:t>Cette précision étant apportée, l’analyse des limites se fait en deux étapes générales. Premièrement, nous devons cerner l’objectif qui sous</w:t>
      </w:r>
      <w:r w:rsidRPr="005F7D29">
        <w:rPr>
          <w:rFonts w:cs="Times New Roman"/>
          <w:lang w:val="fr-CA"/>
        </w:rPr>
        <w:noBreakHyphen/>
        <w:t xml:space="preserve">tend la mesure contestée et déterminer s’il est suffisamment important pour justifier la limite à un droit garanti par la </w:t>
      </w:r>
      <w:r w:rsidRPr="005F7D29">
        <w:rPr>
          <w:rFonts w:cs="Times New Roman"/>
          <w:i/>
          <w:lang w:val="fr-CA"/>
        </w:rPr>
        <w:t>Charte</w:t>
      </w:r>
      <w:r w:rsidRPr="005F7D29">
        <w:rPr>
          <w:rFonts w:cs="Times New Roman"/>
          <w:lang w:val="fr-CA"/>
        </w:rPr>
        <w:t xml:space="preserve">. Deuxièmement, nous devons évaluer si les moyens qu’a choisis le Parlement pour atteindre son objectif sont proportionnés à la restriction des droits — un examen qui consiste à se demander si la mesure a un lien rationnel avec l’objectif; si la mesure constitue une atteinte minimale aux droits que garantit la </w:t>
      </w:r>
      <w:r w:rsidRPr="005F7D29">
        <w:rPr>
          <w:rFonts w:cs="Times New Roman"/>
          <w:i/>
          <w:lang w:val="fr-CA"/>
        </w:rPr>
        <w:t>Charte</w:t>
      </w:r>
      <w:r w:rsidRPr="005F7D29">
        <w:rPr>
          <w:rFonts w:cs="Times New Roman"/>
          <w:lang w:val="fr-CA"/>
        </w:rPr>
        <w:t xml:space="preserve"> à celui qui les revendique; et s’il y a proportionnalité entre les effets de la mesure et l’objectif identifié à la première étape (</w:t>
      </w:r>
      <w:proofErr w:type="spellStart"/>
      <w:r w:rsidRPr="005F7D29">
        <w:rPr>
          <w:rFonts w:cs="Times New Roman"/>
          <w:i/>
          <w:lang w:val="fr-CA"/>
        </w:rPr>
        <w:t>Oakes</w:t>
      </w:r>
      <w:proofErr w:type="spellEnd"/>
      <w:r w:rsidRPr="005F7D29">
        <w:rPr>
          <w:rFonts w:cs="Times New Roman"/>
          <w:lang w:val="fr-CA"/>
        </w:rPr>
        <w:t xml:space="preserve">, p. 139). </w:t>
      </w:r>
    </w:p>
    <w:p w:rsidR="001244E7" w:rsidRPr="005F7D29" w:rsidRDefault="001244E7" w:rsidP="001244E7">
      <w:pPr>
        <w:pStyle w:val="Title2LevelTitre2Niveau"/>
        <w:numPr>
          <w:ilvl w:val="1"/>
          <w:numId w:val="9"/>
        </w:numPr>
        <w:jc w:val="left"/>
        <w:rPr>
          <w:rFonts w:cs="Times New Roman"/>
          <w:lang w:val="fr-CA"/>
        </w:rPr>
      </w:pPr>
      <w:r w:rsidRPr="005F7D29">
        <w:rPr>
          <w:rFonts w:cs="Times New Roman"/>
          <w:lang w:val="fr-CA"/>
        </w:rPr>
        <w:t>L’objectif du gouvernement</w:t>
      </w:r>
    </w:p>
    <w:p w:rsidR="001244E7" w:rsidRPr="005F7D29" w:rsidRDefault="001244E7" w:rsidP="001244E7">
      <w:pPr>
        <w:pStyle w:val="ParaNoNdepar-AltN"/>
        <w:rPr>
          <w:rFonts w:cs="Times New Roman"/>
          <w:lang w:val="fr-CA"/>
        </w:rPr>
      </w:pPr>
      <w:r w:rsidRPr="005F7D29">
        <w:rPr>
          <w:rFonts w:cs="Times New Roman"/>
          <w:lang w:val="fr-CA"/>
        </w:rPr>
        <w:t xml:space="preserve">Les débats devant notre Cour ont porté en grande partie sur l’objectif du gouvernement lorsqu’il a apporté des modifications à la Loi en 1993, et sur la question de savoir si le procureur général a identifié un objectif suffisamment important pour justifier la restriction d’un droit garanti par la </w:t>
      </w:r>
      <w:r w:rsidRPr="005F7D29">
        <w:rPr>
          <w:rFonts w:cs="Times New Roman"/>
          <w:i/>
          <w:lang w:val="fr-CA"/>
        </w:rPr>
        <w:t>Charte</w:t>
      </w:r>
      <w:r w:rsidRPr="005F7D29">
        <w:rPr>
          <w:rFonts w:cs="Times New Roman"/>
          <w:lang w:val="fr-CA"/>
        </w:rPr>
        <w:t xml:space="preserve">. Avec égards, les juges majoritaires ont tort de mettre l’accent sur l’absence de problème concret ou de méfait. Cette façon de procéder ignore le fait indéniable que le Parlement peut constitutionnellement légiférer en fonction de considérations de moralité ou de </w:t>
      </w:r>
      <w:r w:rsidRPr="005F7D29">
        <w:rPr>
          <w:rFonts w:cs="Times New Roman"/>
          <w:lang w:val="fr-CA"/>
        </w:rPr>
        <w:lastRenderedPageBreak/>
        <w:t>philosophie politiques. L’analyse des limites doit être assez souple pour que soient prises en compte des préoccupations de cet ordre et pour que soient respectées l’expertise du Parlement en matière d’élaboration de politiques et la vaste étendue de sa capacité de légiférer. La nuance morale inhérente à la définition et à la délimitation des droits — c’est</w:t>
      </w:r>
      <w:r w:rsidRPr="005F7D29">
        <w:rPr>
          <w:rFonts w:cs="Times New Roman"/>
          <w:lang w:val="fr-CA"/>
        </w:rPr>
        <w:noBreakHyphen/>
        <w:t>à</w:t>
      </w:r>
      <w:r w:rsidRPr="005F7D29">
        <w:rPr>
          <w:rFonts w:cs="Times New Roman"/>
          <w:lang w:val="fr-CA"/>
        </w:rPr>
        <w:noBreakHyphen/>
        <w:t>dire lors de la justification des limites des droits — n’est pas un exercice mécanique ou purement empirique qui peut se réduire à une [</w:t>
      </w:r>
      <w:r w:rsidRPr="005F7D29">
        <w:rPr>
          <w:rFonts w:cs="Times New Roman"/>
          <w:smallCaps/>
          <w:lang w:val="fr-CA"/>
        </w:rPr>
        <w:t>traduction</w:t>
      </w:r>
      <w:r w:rsidRPr="005F7D29">
        <w:rPr>
          <w:rFonts w:cs="Times New Roman"/>
          <w:lang w:val="fr-CA"/>
        </w:rPr>
        <w:t xml:space="preserve">] « entreprise formaliste de pondération et de mise en balance » (G. C. N. Webber, </w:t>
      </w:r>
      <w:r w:rsidRPr="005F7D29">
        <w:rPr>
          <w:rFonts w:cs="Times New Roman"/>
          <w:i/>
          <w:iCs/>
          <w:lang w:val="fr-CA"/>
        </w:rPr>
        <w:t xml:space="preserve">The </w:t>
      </w:r>
      <w:proofErr w:type="spellStart"/>
      <w:r w:rsidRPr="005F7D29">
        <w:rPr>
          <w:rFonts w:cs="Times New Roman"/>
          <w:i/>
          <w:iCs/>
          <w:lang w:val="fr-CA"/>
        </w:rPr>
        <w:t>Negotiable</w:t>
      </w:r>
      <w:proofErr w:type="spellEnd"/>
      <w:r w:rsidRPr="005F7D29">
        <w:rPr>
          <w:rFonts w:cs="Times New Roman"/>
          <w:i/>
          <w:iCs/>
          <w:lang w:val="fr-CA"/>
        </w:rPr>
        <w:t xml:space="preserve"> Constitution : On the Limitation of </w:t>
      </w:r>
      <w:proofErr w:type="spellStart"/>
      <w:r w:rsidRPr="005F7D29">
        <w:rPr>
          <w:rFonts w:cs="Times New Roman"/>
          <w:i/>
          <w:iCs/>
          <w:lang w:val="fr-CA"/>
        </w:rPr>
        <w:t>Rights</w:t>
      </w:r>
      <w:proofErr w:type="spellEnd"/>
      <w:r w:rsidRPr="005F7D29">
        <w:rPr>
          <w:rFonts w:cs="Times New Roman"/>
          <w:lang w:val="fr-CA"/>
        </w:rPr>
        <w:t xml:space="preserve"> (2009), p. 104). Elle exige plutôt des prémisses et des principes qui doivent être pris au sérieux (R. Pound, « </w:t>
      </w:r>
      <w:proofErr w:type="spellStart"/>
      <w:r w:rsidRPr="005F7D29">
        <w:rPr>
          <w:rFonts w:cs="Times New Roman"/>
          <w:lang w:val="fr-CA"/>
        </w:rPr>
        <w:t>Mechanical</w:t>
      </w:r>
      <w:proofErr w:type="spellEnd"/>
      <w:r w:rsidRPr="005F7D29">
        <w:rPr>
          <w:rFonts w:cs="Times New Roman"/>
          <w:lang w:val="fr-CA"/>
        </w:rPr>
        <w:t xml:space="preserve"> Jurisprudence » (1908), 8 </w:t>
      </w:r>
      <w:r w:rsidRPr="005F7D29">
        <w:rPr>
          <w:rFonts w:cs="Times New Roman"/>
          <w:i/>
          <w:iCs/>
          <w:lang w:val="fr-CA"/>
        </w:rPr>
        <w:t xml:space="preserve">Colum. L. </w:t>
      </w:r>
      <w:proofErr w:type="spellStart"/>
      <w:r w:rsidRPr="005F7D29">
        <w:rPr>
          <w:rFonts w:cs="Times New Roman"/>
          <w:i/>
          <w:iCs/>
          <w:lang w:val="fr-CA"/>
        </w:rPr>
        <w:t>Rev</w:t>
      </w:r>
      <w:proofErr w:type="spellEnd"/>
      <w:r w:rsidRPr="005F7D29">
        <w:rPr>
          <w:rFonts w:cs="Times New Roman"/>
          <w:i/>
          <w:iCs/>
          <w:lang w:val="fr-CA"/>
        </w:rPr>
        <w:t>.</w:t>
      </w:r>
      <w:r w:rsidRPr="005F7D29">
        <w:rPr>
          <w:rFonts w:cs="Times New Roman"/>
          <w:lang w:val="fr-CA"/>
        </w:rPr>
        <w:t xml:space="preserve"> 605, p. 612). </w:t>
      </w:r>
    </w:p>
    <w:p w:rsidR="001244E7" w:rsidRPr="005F7D29" w:rsidRDefault="001244E7" w:rsidP="001244E7">
      <w:pPr>
        <w:pStyle w:val="ParaNoNdepar-AltN"/>
        <w:rPr>
          <w:rFonts w:cs="Times New Roman"/>
          <w:lang w:val="fr-CA"/>
        </w:rPr>
      </w:pPr>
      <w:r w:rsidRPr="005F7D29">
        <w:rPr>
          <w:rFonts w:cs="Times New Roman"/>
          <w:lang w:val="fr-CA"/>
        </w:rPr>
        <w:t>Comme nous l’expliquons ci</w:t>
      </w:r>
      <w:r w:rsidRPr="005F7D29">
        <w:rPr>
          <w:rFonts w:cs="Times New Roman"/>
          <w:lang w:val="fr-CA"/>
        </w:rPr>
        <w:noBreakHyphen/>
        <w:t>après, l’objectif que visait le Parlement en maintenant la restriction au droit de vote de non</w:t>
      </w:r>
      <w:r w:rsidRPr="005F7D29">
        <w:rPr>
          <w:rFonts w:cs="Times New Roman"/>
          <w:lang w:val="fr-CA"/>
        </w:rPr>
        <w:noBreakHyphen/>
        <w:t xml:space="preserve">résidents à long terme était de privilégier un certain lien actuel entre les électeurs et leurs collectivités. À notre avis, cet objectif est suffisamment urgent et réel pour résister à un examen fondé sur l’article premier. </w:t>
      </w:r>
    </w:p>
    <w:p w:rsidR="001244E7" w:rsidRPr="005F7D29" w:rsidRDefault="001244E7" w:rsidP="001244E7">
      <w:pPr>
        <w:pStyle w:val="Title3LevelTitre3Niveau"/>
        <w:numPr>
          <w:ilvl w:val="2"/>
          <w:numId w:val="9"/>
        </w:numPr>
        <w:jc w:val="left"/>
        <w:rPr>
          <w:rFonts w:cs="Times New Roman"/>
          <w:lang w:val="fr-CA"/>
        </w:rPr>
      </w:pPr>
      <w:r w:rsidRPr="005F7D29">
        <w:rPr>
          <w:rFonts w:cs="Times New Roman"/>
          <w:lang w:val="fr-CA"/>
        </w:rPr>
        <w:t>Identification de l’objectif</w:t>
      </w:r>
    </w:p>
    <w:p w:rsidR="001244E7" w:rsidRPr="005F7D29" w:rsidRDefault="001244E7" w:rsidP="001244E7">
      <w:pPr>
        <w:pStyle w:val="ParaNoNdepar-AltN"/>
        <w:rPr>
          <w:rFonts w:cs="Times New Roman"/>
          <w:lang w:val="fr-CA"/>
        </w:rPr>
      </w:pPr>
      <w:r w:rsidRPr="005F7D29">
        <w:rPr>
          <w:rFonts w:cs="Times New Roman"/>
          <w:lang w:val="fr-CA"/>
        </w:rPr>
        <w:t>L’identification de l’objectif d’une mesure</w:t>
      </w:r>
      <w:r>
        <w:rPr>
          <w:rFonts w:cs="Times New Roman"/>
          <w:lang w:val="fr-CA"/>
        </w:rPr>
        <w:t>,</w:t>
      </w:r>
      <w:r w:rsidRPr="005F7D29">
        <w:rPr>
          <w:rFonts w:cs="Times New Roman"/>
          <w:lang w:val="fr-CA"/>
        </w:rPr>
        <w:t xml:space="preserve"> édicté</w:t>
      </w:r>
      <w:r>
        <w:rPr>
          <w:rFonts w:cs="Times New Roman"/>
          <w:lang w:val="fr-CA"/>
        </w:rPr>
        <w:t>e</w:t>
      </w:r>
      <w:r w:rsidRPr="005F7D29">
        <w:rPr>
          <w:rFonts w:cs="Times New Roman"/>
          <w:lang w:val="fr-CA"/>
        </w:rPr>
        <w:t xml:space="preserve"> par le législateur</w:t>
      </w:r>
      <w:r>
        <w:rPr>
          <w:rFonts w:cs="Times New Roman"/>
          <w:lang w:val="fr-CA"/>
        </w:rPr>
        <w:t>,</w:t>
      </w:r>
      <w:r w:rsidRPr="005F7D29">
        <w:rPr>
          <w:rFonts w:cs="Times New Roman"/>
          <w:lang w:val="fr-CA"/>
        </w:rPr>
        <w:t xml:space="preserve"> qui limite un droit soulève une difficulté méthodologique, à savoir que l’objectif en question — ou le degré de généralité de la formulation de l’objectif — n’est peut</w:t>
      </w:r>
      <w:r w:rsidRPr="005F7D29">
        <w:rPr>
          <w:rFonts w:cs="Times New Roman"/>
          <w:lang w:val="fr-CA"/>
        </w:rPr>
        <w:noBreakHyphen/>
        <w:t xml:space="preserve">être pas manifeste à première vue, surtout si la contestation constitutionnelle se rapporte à un élément d’un régime législatif général ou d’un texte de loi dans son ensemble (voir, </w:t>
      </w:r>
      <w:r w:rsidRPr="005F7D29">
        <w:rPr>
          <w:rFonts w:cs="Times New Roman"/>
          <w:lang w:val="fr-CA"/>
        </w:rPr>
        <w:lastRenderedPageBreak/>
        <w:t>p. ex., P. W. </w:t>
      </w:r>
      <w:proofErr w:type="spellStart"/>
      <w:r w:rsidRPr="005F7D29">
        <w:rPr>
          <w:rFonts w:cs="Times New Roman"/>
          <w:lang w:val="fr-CA"/>
        </w:rPr>
        <w:t>Hogg</w:t>
      </w:r>
      <w:proofErr w:type="spellEnd"/>
      <w:r w:rsidRPr="005F7D29">
        <w:rPr>
          <w:rFonts w:cs="Times New Roman"/>
          <w:lang w:val="fr-CA"/>
        </w:rPr>
        <w:t xml:space="preserve">, </w:t>
      </w:r>
      <w:proofErr w:type="spellStart"/>
      <w:r w:rsidRPr="005F7D29">
        <w:rPr>
          <w:rFonts w:cs="Times New Roman"/>
          <w:i/>
          <w:lang w:val="fr-CA"/>
        </w:rPr>
        <w:t>Constitutional</w:t>
      </w:r>
      <w:proofErr w:type="spellEnd"/>
      <w:r w:rsidRPr="005F7D29">
        <w:rPr>
          <w:rFonts w:cs="Times New Roman"/>
          <w:i/>
          <w:lang w:val="fr-CA"/>
        </w:rPr>
        <w:t xml:space="preserve"> Law of Canada </w:t>
      </w:r>
      <w:r w:rsidRPr="005F7D29">
        <w:rPr>
          <w:rFonts w:cs="Times New Roman"/>
          <w:lang w:val="fr-CA"/>
        </w:rPr>
        <w:t>(5</w:t>
      </w:r>
      <w:r w:rsidRPr="005F7D29">
        <w:rPr>
          <w:rFonts w:cs="Times New Roman"/>
          <w:vertAlign w:val="superscript"/>
          <w:lang w:val="fr-CA"/>
        </w:rPr>
        <w:t>e</w:t>
      </w:r>
      <w:r w:rsidRPr="005F7D29">
        <w:rPr>
          <w:rFonts w:cs="Times New Roman"/>
          <w:lang w:val="fr-CA"/>
        </w:rPr>
        <w:t xml:space="preserve"> éd. 2017), vol. 2, c. 38.9a)). Cette difficulté s’accroît lorsqu’on prétend, comme en l’espèce, que la limite aux droits contestée découle </w:t>
      </w:r>
      <w:r w:rsidRPr="005F7D29">
        <w:rPr>
          <w:rFonts w:cs="Times New Roman"/>
          <w:i/>
          <w:lang w:val="fr-CA"/>
        </w:rPr>
        <w:t>non pas</w:t>
      </w:r>
      <w:r w:rsidRPr="005F7D29">
        <w:rPr>
          <w:rFonts w:cs="Times New Roman"/>
          <w:lang w:val="fr-CA"/>
        </w:rPr>
        <w:t xml:space="preserve"> d’une mesure législative, mais de l’absence d’une telle mesure — en l’espèce, l’omission du Parlement d’accorder le droit de voter par bulletin de vote spécial aux non</w:t>
      </w:r>
      <w:r w:rsidRPr="005F7D29">
        <w:rPr>
          <w:rFonts w:cs="Times New Roman"/>
          <w:lang w:val="fr-CA"/>
        </w:rPr>
        <w:noBreakHyphen/>
        <w:t>résidents à long terme.</w:t>
      </w:r>
    </w:p>
    <w:p w:rsidR="001244E7" w:rsidRPr="005F7D29" w:rsidRDefault="001244E7" w:rsidP="001244E7">
      <w:pPr>
        <w:pStyle w:val="ParaNoNdepar-AltN"/>
        <w:rPr>
          <w:rFonts w:cs="Times New Roman"/>
          <w:lang w:val="fr-CA"/>
        </w:rPr>
      </w:pPr>
      <w:r w:rsidRPr="005F7D29">
        <w:rPr>
          <w:rFonts w:cs="Times New Roman"/>
          <w:lang w:val="fr-CA"/>
        </w:rPr>
        <w:t>De telles contestations renforcent l’importance du contexte, « l’indispensable support qui permet de bien qualifier l’objectif » — et ce, à toutes les étapes de l’analyse des restrictions (</w:t>
      </w:r>
      <w:r w:rsidRPr="005F7D29">
        <w:rPr>
          <w:rFonts w:cs="Times New Roman"/>
          <w:i/>
          <w:lang w:val="fr-CA"/>
        </w:rPr>
        <w:t xml:space="preserve">Thomson </w:t>
      </w:r>
      <w:proofErr w:type="spellStart"/>
      <w:r w:rsidRPr="005F7D29">
        <w:rPr>
          <w:rFonts w:cs="Times New Roman"/>
          <w:i/>
          <w:lang w:val="fr-CA"/>
        </w:rPr>
        <w:t>Newspapers</w:t>
      </w:r>
      <w:proofErr w:type="spellEnd"/>
      <w:r w:rsidRPr="005F7D29">
        <w:rPr>
          <w:rFonts w:cs="Times New Roman"/>
          <w:i/>
          <w:lang w:val="fr-CA"/>
        </w:rPr>
        <w:t xml:space="preserve"> Co.</w:t>
      </w:r>
      <w:r w:rsidRPr="005F7D29">
        <w:rPr>
          <w:rFonts w:cs="Times New Roman"/>
          <w:lang w:val="fr-CA"/>
        </w:rPr>
        <w:t xml:space="preserve">, par. 87, motifs du juge </w:t>
      </w:r>
      <w:proofErr w:type="spellStart"/>
      <w:r w:rsidRPr="005F7D29">
        <w:rPr>
          <w:rFonts w:cs="Times New Roman"/>
          <w:lang w:val="fr-CA"/>
        </w:rPr>
        <w:t>Bastarache</w:t>
      </w:r>
      <w:proofErr w:type="spellEnd"/>
      <w:r w:rsidRPr="005F7D29">
        <w:rPr>
          <w:rFonts w:cs="Times New Roman"/>
          <w:lang w:val="fr-CA"/>
        </w:rPr>
        <w:t>). En l’espèce (et, selon nous, généralement), deux éléments contextuels — les dispositions législatives contestées elles</w:t>
      </w:r>
      <w:r w:rsidRPr="005F7D29">
        <w:rPr>
          <w:rFonts w:cs="Times New Roman"/>
          <w:lang w:val="fr-CA"/>
        </w:rPr>
        <w:noBreakHyphen/>
        <w:t>mêmes (dans le cas présent, les modifications de 1993), et l’état du droit avant l’adoption de ces dispositions — fournissent une preuve convaincante de l’objectif législatif pertinent qui sous</w:t>
      </w:r>
      <w:r w:rsidRPr="005F7D29">
        <w:rPr>
          <w:rFonts w:cs="Times New Roman"/>
          <w:lang w:val="fr-CA"/>
        </w:rPr>
        <w:noBreakHyphen/>
        <w:t>tend la décision de ne pas octroyer le droit de vote à tous les non</w:t>
      </w:r>
      <w:r w:rsidRPr="005F7D29">
        <w:rPr>
          <w:rFonts w:cs="Times New Roman"/>
          <w:lang w:val="fr-CA"/>
        </w:rPr>
        <w:noBreakHyphen/>
        <w:t>résidents.</w:t>
      </w:r>
    </w:p>
    <w:p w:rsidR="001244E7" w:rsidRPr="005F7D29" w:rsidRDefault="001244E7" w:rsidP="001244E7">
      <w:pPr>
        <w:pStyle w:val="ParaNoNdepar-AltN"/>
        <w:rPr>
          <w:rFonts w:cs="Times New Roman"/>
          <w:lang w:val="fr-CA"/>
        </w:rPr>
      </w:pPr>
      <w:r w:rsidRPr="005F7D29">
        <w:rPr>
          <w:rFonts w:cs="Times New Roman"/>
          <w:lang w:val="fr-CA"/>
        </w:rPr>
        <w:t>Premièrement, la meilleure façon de cerner l’objectif du législateur consistera habituellement à examiner la disposition législative elle</w:t>
      </w:r>
      <w:r w:rsidRPr="005F7D29">
        <w:rPr>
          <w:rFonts w:cs="Times New Roman"/>
          <w:lang w:val="fr-CA"/>
        </w:rPr>
        <w:noBreakHyphen/>
        <w:t>même (J. </w:t>
      </w:r>
      <w:proofErr w:type="spellStart"/>
      <w:r w:rsidRPr="005F7D29">
        <w:rPr>
          <w:rFonts w:cs="Times New Roman"/>
          <w:lang w:val="fr-CA"/>
        </w:rPr>
        <w:t>Sikkema</w:t>
      </w:r>
      <w:proofErr w:type="spellEnd"/>
      <w:r w:rsidRPr="005F7D29">
        <w:rPr>
          <w:rFonts w:cs="Times New Roman"/>
          <w:lang w:val="fr-CA"/>
        </w:rPr>
        <w:t xml:space="preserve">, « The </w:t>
      </w:r>
      <w:r w:rsidR="00B5344B">
        <w:rPr>
          <w:rFonts w:cs="Times New Roman"/>
          <w:lang w:val="fr-CA"/>
        </w:rPr>
        <w:t>“</w:t>
      </w:r>
      <w:r w:rsidRPr="005F7D29">
        <w:rPr>
          <w:rFonts w:cs="Times New Roman"/>
          <w:lang w:val="fr-CA"/>
        </w:rPr>
        <w:t xml:space="preserve">Basic Bedford </w:t>
      </w:r>
      <w:proofErr w:type="spellStart"/>
      <w:r w:rsidRPr="005F7D29">
        <w:rPr>
          <w:rFonts w:cs="Times New Roman"/>
          <w:lang w:val="fr-CA"/>
        </w:rPr>
        <w:t>Rule</w:t>
      </w:r>
      <w:proofErr w:type="spellEnd"/>
      <w:r w:rsidR="00B5344B">
        <w:rPr>
          <w:rFonts w:cs="Times New Roman"/>
          <w:lang w:val="fr-CA"/>
        </w:rPr>
        <w:t>”</w:t>
      </w:r>
      <w:r w:rsidRPr="005F7D29">
        <w:rPr>
          <w:rFonts w:cs="Times New Roman"/>
          <w:lang w:val="fr-CA"/>
        </w:rPr>
        <w:t xml:space="preserve"> and Substantive </w:t>
      </w:r>
      <w:proofErr w:type="spellStart"/>
      <w:r w:rsidRPr="005F7D29">
        <w:rPr>
          <w:rFonts w:cs="Times New Roman"/>
          <w:lang w:val="fr-CA"/>
        </w:rPr>
        <w:t>Review</w:t>
      </w:r>
      <w:proofErr w:type="spellEnd"/>
      <w:r w:rsidRPr="005F7D29">
        <w:rPr>
          <w:rFonts w:cs="Times New Roman"/>
          <w:lang w:val="fr-CA"/>
        </w:rPr>
        <w:t xml:space="preserve"> of </w:t>
      </w:r>
      <w:proofErr w:type="spellStart"/>
      <w:r w:rsidRPr="005F7D29">
        <w:rPr>
          <w:rFonts w:cs="Times New Roman"/>
          <w:lang w:val="fr-CA"/>
        </w:rPr>
        <w:t>Criminal</w:t>
      </w:r>
      <w:proofErr w:type="spellEnd"/>
      <w:r w:rsidRPr="005F7D29">
        <w:rPr>
          <w:rFonts w:cs="Times New Roman"/>
          <w:lang w:val="fr-CA"/>
        </w:rPr>
        <w:t xml:space="preserve"> Law Prohibitions Under Section 7 of the Charter », dans D. B. M. Ross, </w:t>
      </w:r>
      <w:proofErr w:type="spellStart"/>
      <w:proofErr w:type="gramStart"/>
      <w:r w:rsidRPr="005F7D29">
        <w:rPr>
          <w:rFonts w:cs="Times New Roman"/>
          <w:lang w:val="fr-CA"/>
        </w:rPr>
        <w:t>dir</w:t>
      </w:r>
      <w:proofErr w:type="spellEnd"/>
      <w:r w:rsidRPr="005F7D29">
        <w:rPr>
          <w:rFonts w:cs="Times New Roman"/>
          <w:lang w:val="fr-CA"/>
        </w:rPr>
        <w:t>.,</w:t>
      </w:r>
      <w:proofErr w:type="gramEnd"/>
      <w:r w:rsidRPr="005F7D29">
        <w:rPr>
          <w:rFonts w:cs="Times New Roman"/>
          <w:lang w:val="fr-CA"/>
        </w:rPr>
        <w:t xml:space="preserve"> </w:t>
      </w:r>
      <w:proofErr w:type="spellStart"/>
      <w:r w:rsidRPr="005F7D29">
        <w:rPr>
          <w:rFonts w:cs="Times New Roman"/>
          <w:i/>
          <w:lang w:val="fr-CA"/>
        </w:rPr>
        <w:t>Assisted</w:t>
      </w:r>
      <w:proofErr w:type="spellEnd"/>
      <w:r w:rsidRPr="005F7D29">
        <w:rPr>
          <w:rFonts w:cs="Times New Roman"/>
          <w:i/>
          <w:lang w:val="fr-CA"/>
        </w:rPr>
        <w:t xml:space="preserve"> </w:t>
      </w:r>
      <w:proofErr w:type="spellStart"/>
      <w:r w:rsidRPr="005F7D29">
        <w:rPr>
          <w:rFonts w:cs="Times New Roman"/>
          <w:i/>
          <w:lang w:val="fr-CA"/>
        </w:rPr>
        <w:t>Death</w:t>
      </w:r>
      <w:proofErr w:type="spellEnd"/>
      <w:r w:rsidRPr="005F7D29">
        <w:rPr>
          <w:rFonts w:cs="Times New Roman"/>
          <w:i/>
          <w:lang w:val="fr-CA"/>
        </w:rPr>
        <w:t xml:space="preserve">: </w:t>
      </w:r>
      <w:proofErr w:type="spellStart"/>
      <w:r w:rsidRPr="005F7D29">
        <w:rPr>
          <w:rFonts w:cs="Times New Roman"/>
          <w:i/>
          <w:lang w:val="fr-CA"/>
        </w:rPr>
        <w:t>Legal</w:t>
      </w:r>
      <w:proofErr w:type="spellEnd"/>
      <w:r w:rsidRPr="005F7D29">
        <w:rPr>
          <w:rFonts w:cs="Times New Roman"/>
          <w:i/>
          <w:lang w:val="fr-CA"/>
        </w:rPr>
        <w:t xml:space="preserve">, Social and </w:t>
      </w:r>
      <w:proofErr w:type="spellStart"/>
      <w:r w:rsidRPr="005F7D29">
        <w:rPr>
          <w:rFonts w:cs="Times New Roman"/>
          <w:i/>
          <w:lang w:val="fr-CA"/>
        </w:rPr>
        <w:t>Ethical</w:t>
      </w:r>
      <w:proofErr w:type="spellEnd"/>
      <w:r w:rsidRPr="005F7D29">
        <w:rPr>
          <w:rFonts w:cs="Times New Roman"/>
          <w:i/>
          <w:lang w:val="fr-CA"/>
        </w:rPr>
        <w:t xml:space="preserve"> Issues </w:t>
      </w:r>
      <w:proofErr w:type="spellStart"/>
      <w:r w:rsidRPr="005F7D29">
        <w:rPr>
          <w:rFonts w:cs="Times New Roman"/>
          <w:i/>
          <w:lang w:val="fr-CA"/>
        </w:rPr>
        <w:t>after</w:t>
      </w:r>
      <w:proofErr w:type="spellEnd"/>
      <w:r w:rsidRPr="005F7D29">
        <w:rPr>
          <w:rFonts w:cs="Times New Roman"/>
          <w:i/>
          <w:lang w:val="fr-CA"/>
        </w:rPr>
        <w:t xml:space="preserve"> Carter</w:t>
      </w:r>
      <w:r w:rsidRPr="005F7D29">
        <w:rPr>
          <w:rFonts w:cs="Times New Roman"/>
          <w:lang w:val="fr-CA"/>
        </w:rPr>
        <w:t xml:space="preserve"> (2018), 49, p. 51 et 71). L’examen de la portée de ce que le législateur entendait réglementer — et, corollairement, de la portée et de la nature de toute exception ou exclusion prévue dans la loi — permettra presque toujours de comprendre la « volonté générale du législateur » en tant qu’entité (</w:t>
      </w:r>
      <w:r w:rsidRPr="005F7D29">
        <w:rPr>
          <w:rFonts w:cs="Times New Roman"/>
          <w:i/>
          <w:lang w:val="fr-CA"/>
        </w:rPr>
        <w:t xml:space="preserve">R. c. </w:t>
      </w:r>
      <w:r w:rsidRPr="005F7D29">
        <w:rPr>
          <w:rFonts w:cs="Times New Roman"/>
          <w:i/>
          <w:lang w:val="fr-CA"/>
        </w:rPr>
        <w:lastRenderedPageBreak/>
        <w:t>Heywood</w:t>
      </w:r>
      <w:r w:rsidRPr="005F7D29">
        <w:rPr>
          <w:rFonts w:cs="Times New Roman"/>
          <w:lang w:val="fr-CA"/>
        </w:rPr>
        <w:t xml:space="preserve">, [1994] 3 R.C.S. 761, p. 788; voir également R. Sullivan, </w:t>
      </w:r>
      <w:r w:rsidRPr="005F7D29">
        <w:rPr>
          <w:rFonts w:cs="Times New Roman"/>
          <w:i/>
          <w:lang w:val="fr-CA"/>
        </w:rPr>
        <w:t xml:space="preserve">Sullivan on the Construction of </w:t>
      </w:r>
      <w:proofErr w:type="spellStart"/>
      <w:r w:rsidRPr="005F7D29">
        <w:rPr>
          <w:rFonts w:cs="Times New Roman"/>
          <w:i/>
          <w:lang w:val="fr-CA"/>
        </w:rPr>
        <w:t>Statutes</w:t>
      </w:r>
      <w:proofErr w:type="spellEnd"/>
      <w:r w:rsidRPr="005F7D29">
        <w:rPr>
          <w:rFonts w:cs="Times New Roman"/>
          <w:lang w:val="fr-CA"/>
        </w:rPr>
        <w:t xml:space="preserve"> (6</w:t>
      </w:r>
      <w:r w:rsidRPr="005F7D29">
        <w:rPr>
          <w:rFonts w:cs="Times New Roman"/>
          <w:vertAlign w:val="superscript"/>
          <w:lang w:val="fr-CA"/>
        </w:rPr>
        <w:t>e</w:t>
      </w:r>
      <w:r w:rsidRPr="005F7D29">
        <w:rPr>
          <w:rFonts w:cs="Times New Roman"/>
          <w:lang w:val="fr-CA"/>
        </w:rPr>
        <w:t xml:space="preserve"> éd. 2014), par. 9.56 et 9.57). Autrement dit, les moyens que le Parlement a adoptés révéleront habituellement l’objectif que celui</w:t>
      </w:r>
      <w:r w:rsidRPr="005F7D29">
        <w:rPr>
          <w:rFonts w:cs="Times New Roman"/>
          <w:lang w:val="fr-CA"/>
        </w:rPr>
        <w:noBreakHyphen/>
        <w:t xml:space="preserve">ci s’était fixé. De plus, l’énoncé exprès de l’objectif de la loi, le cas échéant, sera généralement déterminant, puisque tous les membres de la législature en avaient connaissance et ont voté en conséquence, sachant qu’il représenterait l’énoncé général de l’objectif de la loi. </w:t>
      </w:r>
    </w:p>
    <w:p w:rsidR="001244E7" w:rsidRPr="005F7D29" w:rsidRDefault="001244E7" w:rsidP="001244E7">
      <w:pPr>
        <w:pStyle w:val="ParaNoNdepar-AltN"/>
        <w:rPr>
          <w:rFonts w:cs="Times New Roman"/>
          <w:lang w:val="fr-CA"/>
        </w:rPr>
      </w:pPr>
      <w:r w:rsidRPr="005F7D29">
        <w:rPr>
          <w:rFonts w:cs="Times New Roman"/>
          <w:lang w:val="fr-CA"/>
        </w:rPr>
        <w:t xml:space="preserve">Mais le contexte historique est aussi pertinent. L’état du droit tel qu’il existait avant l’entrée en vigueur de la disposition contestée peut, à la lumière de la disposition législative subséquente examinée, permettre de comprendre pourquoi la disposition a été édictée et quel était l’objectif visé par la disposition (R. </w:t>
      </w:r>
      <w:proofErr w:type="spellStart"/>
      <w:r w:rsidRPr="005F7D29">
        <w:rPr>
          <w:rFonts w:cs="Times New Roman"/>
          <w:lang w:val="fr-CA"/>
        </w:rPr>
        <w:t>Ekins</w:t>
      </w:r>
      <w:proofErr w:type="spellEnd"/>
      <w:r w:rsidRPr="005F7D29">
        <w:rPr>
          <w:rFonts w:cs="Times New Roman"/>
          <w:lang w:val="fr-CA"/>
        </w:rPr>
        <w:t xml:space="preserve">, </w:t>
      </w:r>
      <w:r w:rsidRPr="005F7D29">
        <w:rPr>
          <w:rFonts w:cs="Times New Roman"/>
          <w:i/>
          <w:lang w:val="fr-CA"/>
        </w:rPr>
        <w:t xml:space="preserve">The Nature of </w:t>
      </w:r>
      <w:proofErr w:type="spellStart"/>
      <w:r w:rsidRPr="005F7D29">
        <w:rPr>
          <w:rFonts w:cs="Times New Roman"/>
          <w:i/>
          <w:lang w:val="fr-CA"/>
        </w:rPr>
        <w:t>Legislative</w:t>
      </w:r>
      <w:proofErr w:type="spellEnd"/>
      <w:r w:rsidRPr="005F7D29">
        <w:rPr>
          <w:rFonts w:cs="Times New Roman"/>
          <w:i/>
          <w:lang w:val="fr-CA"/>
        </w:rPr>
        <w:t xml:space="preserve"> </w:t>
      </w:r>
      <w:proofErr w:type="spellStart"/>
      <w:r w:rsidRPr="005F7D29">
        <w:rPr>
          <w:rFonts w:cs="Times New Roman"/>
          <w:i/>
          <w:lang w:val="fr-CA"/>
        </w:rPr>
        <w:t>Intent</w:t>
      </w:r>
      <w:proofErr w:type="spellEnd"/>
      <w:r w:rsidRPr="005F7D29">
        <w:rPr>
          <w:rFonts w:cs="Times New Roman"/>
          <w:i/>
          <w:lang w:val="fr-CA"/>
        </w:rPr>
        <w:t xml:space="preserve"> </w:t>
      </w:r>
      <w:r w:rsidRPr="005F7D29">
        <w:rPr>
          <w:rFonts w:cs="Times New Roman"/>
          <w:lang w:val="fr-CA"/>
        </w:rPr>
        <w:t>(2012), p. 258</w:t>
      </w:r>
      <w:r w:rsidRPr="005F7D29">
        <w:rPr>
          <w:rFonts w:cs="Times New Roman"/>
          <w:lang w:val="fr-CA"/>
        </w:rPr>
        <w:noBreakHyphen/>
        <w:t>259).</w:t>
      </w:r>
    </w:p>
    <w:p w:rsidR="001244E7" w:rsidRPr="005F7D29" w:rsidRDefault="001244E7" w:rsidP="001244E7">
      <w:pPr>
        <w:pStyle w:val="ParaNoNdepar-AltN"/>
        <w:rPr>
          <w:rFonts w:cs="Times New Roman"/>
          <w:lang w:val="fr-CA"/>
        </w:rPr>
      </w:pPr>
      <w:r w:rsidRPr="005F7D29">
        <w:rPr>
          <w:rFonts w:cs="Times New Roman"/>
          <w:lang w:val="fr-CA"/>
        </w:rPr>
        <w:t xml:space="preserve">En l’espèce, ces deux facteurs — l’état actuel et l’état antérieur du droit — vont de pair. Les modifications de 1993 ont considérablement </w:t>
      </w:r>
      <w:r w:rsidRPr="005F7D29">
        <w:rPr>
          <w:rFonts w:cs="Times New Roman"/>
          <w:i/>
          <w:lang w:val="fr-CA"/>
        </w:rPr>
        <w:t>élargi</w:t>
      </w:r>
      <w:r w:rsidRPr="005F7D29">
        <w:rPr>
          <w:rFonts w:cs="Times New Roman"/>
          <w:lang w:val="fr-CA"/>
        </w:rPr>
        <w:t xml:space="preserve"> le droit de vote de Canadiens </w:t>
      </w:r>
      <w:proofErr w:type="spellStart"/>
      <w:r w:rsidRPr="005F7D29">
        <w:rPr>
          <w:rFonts w:cs="Times New Roman"/>
          <w:lang w:val="fr-CA"/>
        </w:rPr>
        <w:t>non résidents</w:t>
      </w:r>
      <w:proofErr w:type="spellEnd"/>
      <w:r w:rsidRPr="005F7D29">
        <w:rPr>
          <w:rFonts w:cs="Times New Roman"/>
          <w:lang w:val="fr-CA"/>
        </w:rPr>
        <w:t>, mais cet élargissement comportait des limites; cela ressort d’emblée du contexte législatif général de la restriction contestée du droit de vote. Les modifications de 1993 à la Loi</w:t>
      </w:r>
      <w:r w:rsidRPr="005F7D29">
        <w:rPr>
          <w:rFonts w:cs="Times New Roman"/>
          <w:i/>
          <w:lang w:val="fr-CA"/>
        </w:rPr>
        <w:t xml:space="preserve"> </w:t>
      </w:r>
      <w:r w:rsidRPr="005F7D29">
        <w:rPr>
          <w:rFonts w:cs="Times New Roman"/>
          <w:lang w:val="fr-CA"/>
        </w:rPr>
        <w:t>permettent aux non</w:t>
      </w:r>
      <w:r w:rsidRPr="005F7D29">
        <w:rPr>
          <w:rFonts w:cs="Times New Roman"/>
          <w:lang w:val="fr-CA"/>
        </w:rPr>
        <w:noBreakHyphen/>
        <w:t>résidents temporaires de voter par bulletin de vote spécial, mais obligent les non</w:t>
      </w:r>
      <w:r w:rsidRPr="005F7D29">
        <w:rPr>
          <w:rFonts w:cs="Times New Roman"/>
          <w:lang w:val="fr-CA"/>
        </w:rPr>
        <w:noBreakHyphen/>
        <w:t>résidents à long terme à reprendre leur résidence au Canada avant de pouvoir voter aux élections fédérales. L’octroi du droit de vote aux non</w:t>
      </w:r>
      <w:r w:rsidRPr="005F7D29">
        <w:rPr>
          <w:rFonts w:cs="Times New Roman"/>
          <w:lang w:val="fr-CA"/>
        </w:rPr>
        <w:noBreakHyphen/>
        <w:t>résidents temporaires, conjugué au maintien de la restriction antérieure visant les non</w:t>
      </w:r>
      <w:r w:rsidRPr="005F7D29">
        <w:rPr>
          <w:rFonts w:cs="Times New Roman"/>
          <w:lang w:val="fr-CA"/>
        </w:rPr>
        <w:noBreakHyphen/>
        <w:t xml:space="preserve">résidents à long terme, révèle l’objectif clair et facile à déceler qui </w:t>
      </w:r>
      <w:r w:rsidRPr="005F7D29">
        <w:rPr>
          <w:rFonts w:cs="Times New Roman"/>
          <w:lang w:val="fr-CA"/>
        </w:rPr>
        <w:lastRenderedPageBreak/>
        <w:t>sous</w:t>
      </w:r>
      <w:r w:rsidRPr="005F7D29">
        <w:rPr>
          <w:rFonts w:cs="Times New Roman"/>
          <w:lang w:val="fr-CA"/>
        </w:rPr>
        <w:noBreakHyphen/>
        <w:t>tend l’intention du législateur dans son ensemble : le Parlement a voulu privilégier un certain lien actuel entre les électeurs et les collectivités dans lesquelles ils sont habiles à voter. On peut raisonnablement inférer cet objectif de la nouvelle permission accordée aux non</w:t>
      </w:r>
      <w:r w:rsidRPr="005F7D29">
        <w:rPr>
          <w:rFonts w:cs="Times New Roman"/>
          <w:lang w:val="fr-CA"/>
        </w:rPr>
        <w:noBreakHyphen/>
        <w:t xml:space="preserve">résidents </w:t>
      </w:r>
      <w:r w:rsidRPr="005F7D29">
        <w:rPr>
          <w:rFonts w:cs="Times New Roman"/>
          <w:i/>
          <w:lang w:val="fr-CA"/>
        </w:rPr>
        <w:t>temporaires</w:t>
      </w:r>
      <w:r w:rsidRPr="005F7D29">
        <w:rPr>
          <w:rFonts w:cs="Times New Roman"/>
          <w:lang w:val="fr-CA"/>
        </w:rPr>
        <w:t xml:space="preserve"> de voter, alors que les non</w:t>
      </w:r>
      <w:r w:rsidRPr="005F7D29">
        <w:rPr>
          <w:rFonts w:cs="Times New Roman"/>
          <w:lang w:val="fr-CA"/>
        </w:rPr>
        <w:noBreakHyphen/>
        <w:t xml:space="preserve">résidents </w:t>
      </w:r>
      <w:r w:rsidRPr="005F7D29">
        <w:rPr>
          <w:rFonts w:cs="Times New Roman"/>
          <w:i/>
          <w:lang w:val="fr-CA"/>
        </w:rPr>
        <w:t>à long terme</w:t>
      </w:r>
      <w:r w:rsidRPr="005F7D29">
        <w:rPr>
          <w:rFonts w:cs="Times New Roman"/>
          <w:lang w:val="fr-CA"/>
        </w:rPr>
        <w:t xml:space="preserve"> ne peuvent toujours pas voter, et de la disposition qui rétablit immédiatement le droit de vote de </w:t>
      </w:r>
      <w:r w:rsidRPr="005F7D29">
        <w:rPr>
          <w:rFonts w:cs="Times New Roman"/>
          <w:i/>
          <w:lang w:val="fr-CA"/>
        </w:rPr>
        <w:t>tout</w:t>
      </w:r>
      <w:r w:rsidRPr="005F7D29">
        <w:rPr>
          <w:rFonts w:cs="Times New Roman"/>
          <w:lang w:val="fr-CA"/>
        </w:rPr>
        <w:t xml:space="preserve"> non</w:t>
      </w:r>
      <w:r w:rsidRPr="005F7D29">
        <w:rPr>
          <w:rFonts w:cs="Times New Roman"/>
          <w:lang w:val="fr-CA"/>
        </w:rPr>
        <w:noBreakHyphen/>
        <w:t>résident à long terme (en personne, à un bureau de vote par anticipation ou par bulletin de vote spécial) dès qu’il redevient résident du Canada. Qui plus est, cet objectif est confirmé par les autres exceptions à la restriction du droit de vote des non</w:t>
      </w:r>
      <w:r w:rsidRPr="005F7D29">
        <w:rPr>
          <w:rFonts w:cs="Times New Roman"/>
          <w:lang w:val="fr-CA"/>
        </w:rPr>
        <w:noBreakHyphen/>
        <w:t>résidents à long terme prévues dans la Loi — les électeurs en poste à l’étranger qui font partie des Forces canadiennes ou de la fonction publique, par exemple — c’est</w:t>
      </w:r>
      <w:r w:rsidRPr="005F7D29">
        <w:rPr>
          <w:rFonts w:cs="Times New Roman"/>
          <w:lang w:val="fr-CA"/>
        </w:rPr>
        <w:noBreakHyphen/>
        <w:t>à</w:t>
      </w:r>
      <w:r w:rsidRPr="005F7D29">
        <w:rPr>
          <w:rFonts w:cs="Times New Roman"/>
          <w:lang w:val="fr-CA"/>
        </w:rPr>
        <w:noBreakHyphen/>
        <w:t>dire des cas où, en raison des circonstances de leur résidence à l’étranger, les citoyens canadiens conservent nécessairement des liens avec leurs collectivités au Canada.</w:t>
      </w:r>
    </w:p>
    <w:p w:rsidR="001244E7" w:rsidRPr="005F7D29" w:rsidRDefault="001244E7" w:rsidP="001244E7">
      <w:pPr>
        <w:pStyle w:val="ParaNoNdepar-AltN"/>
        <w:rPr>
          <w:rFonts w:cs="Times New Roman"/>
          <w:lang w:val="fr-CA"/>
        </w:rPr>
      </w:pPr>
      <w:r w:rsidRPr="005F7D29">
        <w:rPr>
          <w:rFonts w:cs="Times New Roman"/>
          <w:lang w:val="fr-CA"/>
        </w:rPr>
        <w:t>Dans le présent pourvoi, les parties ont porté à notre attention des passages tirés des Débats de la Chambre des communes qui, selon elles, permettent de mieux comprendre l’objectif qui sous</w:t>
      </w:r>
      <w:r w:rsidRPr="005F7D29">
        <w:rPr>
          <w:rFonts w:cs="Times New Roman"/>
          <w:lang w:val="fr-CA"/>
        </w:rPr>
        <w:noBreakHyphen/>
        <w:t>tend les modifications de 1993. Bien qu’une telle preuve puisse être utile dans certaines circonstances (par exemple, lorsque le discours en deuxième lecture du ministre porte sur l’objectif qui sous</w:t>
      </w:r>
      <w:r w:rsidRPr="005F7D29">
        <w:rPr>
          <w:rFonts w:cs="Times New Roman"/>
          <w:lang w:val="fr-CA"/>
        </w:rPr>
        <w:noBreakHyphen/>
        <w:t xml:space="preserve">tend la disposition particulière contestée), le fait de s’appuyer sur des extraits de débats parlementaires afin d’identifier l’objectif législatif d’une disposition est, en règle générale, une pratique discutable. Il se peut que des déclarations faites par des députés ne représentent pas l’intention collective de la législature exprimée dans le texte de loi (et, dans bien </w:t>
      </w:r>
      <w:r w:rsidRPr="005F7D29">
        <w:rPr>
          <w:rFonts w:cs="Times New Roman"/>
          <w:lang w:val="fr-CA"/>
        </w:rPr>
        <w:lastRenderedPageBreak/>
        <w:t>des cas, elles ne pourraient pas le faire). Comme notre Cour l’a reconnu, « l’intention de certains députés n’est pas toujours la même que celle de l’ensemble du Parlement » (</w:t>
      </w:r>
      <w:r w:rsidRPr="005F7D29">
        <w:rPr>
          <w:rFonts w:cs="Times New Roman"/>
          <w:i/>
          <w:lang w:val="fr-CA"/>
        </w:rPr>
        <w:t>Heywood</w:t>
      </w:r>
      <w:r w:rsidRPr="005F7D29">
        <w:rPr>
          <w:rFonts w:cs="Times New Roman"/>
          <w:lang w:val="fr-CA"/>
        </w:rPr>
        <w:t xml:space="preserve">, p. 788). </w:t>
      </w:r>
    </w:p>
    <w:p w:rsidR="001244E7" w:rsidRPr="005F7D29" w:rsidRDefault="001244E7" w:rsidP="001244E7">
      <w:pPr>
        <w:pStyle w:val="ParaNoNdepar-AltN"/>
        <w:rPr>
          <w:rFonts w:cs="Times New Roman"/>
          <w:lang w:val="fr-CA"/>
        </w:rPr>
      </w:pPr>
      <w:r w:rsidRPr="005F7D29">
        <w:rPr>
          <w:rFonts w:cs="Times New Roman"/>
          <w:lang w:val="fr-CA"/>
        </w:rPr>
        <w:t>Il est particulièrement important de faire preuve de circonspection lorsque l’on s’appuie sur les Débats de la Chambre des communes si les déclarations des députés, prises ensemble, expriment des interprétations ou des objectifs concurrents. « Entre ces deux personnes, qui sont membres d’une des deux chambres du Parlement, quelle est celle dont on peut dire que sa version révèle des secrets d’interprétation? » (</w:t>
      </w:r>
      <w:proofErr w:type="spellStart"/>
      <w:r w:rsidRPr="005F7D29">
        <w:rPr>
          <w:rFonts w:cs="Times New Roman"/>
          <w:i/>
          <w:lang w:val="fr-CA"/>
        </w:rPr>
        <w:t>Ruparel</w:t>
      </w:r>
      <w:proofErr w:type="spellEnd"/>
      <w:r w:rsidRPr="005F7D29">
        <w:rPr>
          <w:rFonts w:cs="Times New Roman"/>
          <w:i/>
          <w:lang w:val="fr-CA"/>
        </w:rPr>
        <w:t xml:space="preserve"> c. Canada (Ministre de l’Emploi et de l’Immigration)</w:t>
      </w:r>
      <w:r w:rsidRPr="005F7D29">
        <w:rPr>
          <w:rFonts w:cs="Times New Roman"/>
          <w:lang w:val="fr-CA"/>
        </w:rPr>
        <w:t>, [1990] 3 C.F. 615 (1</w:t>
      </w:r>
      <w:r w:rsidRPr="005F7D29">
        <w:rPr>
          <w:rFonts w:cs="Times New Roman"/>
          <w:vertAlign w:val="superscript"/>
          <w:lang w:val="fr-CA"/>
        </w:rPr>
        <w:t>re</w:t>
      </w:r>
      <w:r w:rsidRPr="005F7D29">
        <w:rPr>
          <w:rFonts w:cs="Times New Roman"/>
          <w:lang w:val="fr-CA"/>
        </w:rPr>
        <w:t> </w:t>
      </w:r>
      <w:proofErr w:type="spellStart"/>
      <w:r w:rsidRPr="005F7D29">
        <w:rPr>
          <w:rFonts w:cs="Times New Roman"/>
          <w:lang w:val="fr-CA"/>
        </w:rPr>
        <w:t>inst</w:t>
      </w:r>
      <w:proofErr w:type="spellEnd"/>
      <w:r w:rsidRPr="005F7D29">
        <w:rPr>
          <w:rFonts w:cs="Times New Roman"/>
          <w:lang w:val="fr-CA"/>
        </w:rPr>
        <w:t>.), p</w:t>
      </w:r>
      <w:r w:rsidR="004D2D91">
        <w:rPr>
          <w:rFonts w:cs="Times New Roman"/>
          <w:lang w:val="fr-CA"/>
        </w:rPr>
        <w:t>. 625</w:t>
      </w:r>
      <w:r w:rsidRPr="005F7D29">
        <w:rPr>
          <w:rFonts w:cs="Times New Roman"/>
          <w:lang w:val="fr-CA"/>
        </w:rPr>
        <w:t>). Indépendamment des déclarations contradictoires des députés, la pratique qui consiste à s’appuyer sur des déclarations faites par des députés en particulier — déclarations qui n’ont pas fait l’objet d’un vote et qui n’ont pas nécessairement été entérinées par les autres députés — est fondamentalement en contradiction avec l’idée d’une institution qui n’agit que par l’expression de la volonté générale de ses membres quant à la mesure proposée dans un projet de loi. Cette expression générale [</w:t>
      </w:r>
      <w:r w:rsidRPr="005F7D29">
        <w:rPr>
          <w:rFonts w:cs="Times New Roman"/>
          <w:smallCaps/>
          <w:lang w:val="fr-CA"/>
        </w:rPr>
        <w:t>traduction</w:t>
      </w:r>
      <w:r w:rsidRPr="005F7D29">
        <w:rPr>
          <w:rFonts w:cs="Times New Roman"/>
          <w:lang w:val="fr-CA"/>
        </w:rPr>
        <w:t>] « ne se réduit pas à l’intention d’un ou plusieurs députés » (</w:t>
      </w:r>
      <w:proofErr w:type="spellStart"/>
      <w:r w:rsidRPr="005F7D29">
        <w:rPr>
          <w:rFonts w:cs="Times New Roman"/>
          <w:lang w:val="fr-CA"/>
        </w:rPr>
        <w:t>Ekins</w:t>
      </w:r>
      <w:proofErr w:type="spellEnd"/>
      <w:r w:rsidRPr="005F7D29">
        <w:rPr>
          <w:rFonts w:cs="Times New Roman"/>
          <w:lang w:val="fr-CA"/>
        </w:rPr>
        <w:t xml:space="preserve">, </w:t>
      </w:r>
      <w:r w:rsidRPr="005F7D29">
        <w:rPr>
          <w:rFonts w:cs="Times New Roman"/>
          <w:i/>
          <w:lang w:val="fr-CA"/>
        </w:rPr>
        <w:t xml:space="preserve">The Nature of </w:t>
      </w:r>
      <w:proofErr w:type="spellStart"/>
      <w:r w:rsidRPr="005F7D29">
        <w:rPr>
          <w:rFonts w:cs="Times New Roman"/>
          <w:i/>
          <w:lang w:val="fr-CA"/>
        </w:rPr>
        <w:t>Legislative</w:t>
      </w:r>
      <w:proofErr w:type="spellEnd"/>
      <w:r w:rsidRPr="005F7D29">
        <w:rPr>
          <w:rFonts w:cs="Times New Roman"/>
          <w:i/>
          <w:lang w:val="fr-CA"/>
        </w:rPr>
        <w:t xml:space="preserve"> </w:t>
      </w:r>
      <w:proofErr w:type="spellStart"/>
      <w:r w:rsidRPr="005F7D29">
        <w:rPr>
          <w:rFonts w:cs="Times New Roman"/>
          <w:i/>
          <w:lang w:val="fr-CA"/>
        </w:rPr>
        <w:t>Intent</w:t>
      </w:r>
      <w:proofErr w:type="spellEnd"/>
      <w:r w:rsidRPr="005F7D29">
        <w:rPr>
          <w:rFonts w:cs="Times New Roman"/>
          <w:lang w:val="fr-CA"/>
        </w:rPr>
        <w:t>, p. 10). Il est donc difficile de voir comment l’inverse peut être possible — c’est</w:t>
      </w:r>
      <w:r w:rsidRPr="005F7D29">
        <w:rPr>
          <w:rFonts w:cs="Times New Roman"/>
          <w:lang w:val="fr-CA"/>
        </w:rPr>
        <w:noBreakHyphen/>
        <w:t>à</w:t>
      </w:r>
      <w:r w:rsidRPr="005F7D29">
        <w:rPr>
          <w:rFonts w:cs="Times New Roman"/>
          <w:lang w:val="fr-CA"/>
        </w:rPr>
        <w:noBreakHyphen/>
        <w:t xml:space="preserve">dire que les intentions exprimées par des </w:t>
      </w:r>
      <w:r w:rsidRPr="005F7D29">
        <w:rPr>
          <w:rFonts w:cs="Times New Roman"/>
          <w:i/>
          <w:lang w:val="fr-CA"/>
        </w:rPr>
        <w:t xml:space="preserve">députés particuliers </w:t>
      </w:r>
      <w:r w:rsidRPr="005F7D29">
        <w:rPr>
          <w:rFonts w:cs="Times New Roman"/>
          <w:lang w:val="fr-CA"/>
        </w:rPr>
        <w:t xml:space="preserve">doivent (ou puissent) être cumulées ou autrement considérées pour cerner l’intention générale de la </w:t>
      </w:r>
      <w:r w:rsidRPr="005F7D29">
        <w:rPr>
          <w:rFonts w:cs="Times New Roman"/>
          <w:i/>
          <w:lang w:val="fr-CA"/>
        </w:rPr>
        <w:t>législature</w:t>
      </w:r>
      <w:r w:rsidRPr="005F7D29">
        <w:rPr>
          <w:rFonts w:cs="Times New Roman"/>
          <w:lang w:val="fr-CA"/>
        </w:rPr>
        <w:t>. Cela ne signifie pas pour autant que les législatures ne peuvent pas répondre au point de vue de députés particuliers; la possibilité de le faire est toutefois incorporée dans la dynamique « donnant</w:t>
      </w:r>
      <w:r w:rsidRPr="005F7D29">
        <w:rPr>
          <w:rFonts w:cs="Times New Roman"/>
          <w:lang w:val="fr-CA"/>
        </w:rPr>
        <w:noBreakHyphen/>
        <w:t xml:space="preserve">donnant » </w:t>
      </w:r>
      <w:r w:rsidRPr="005F7D29">
        <w:rPr>
          <w:rFonts w:cs="Times New Roman"/>
          <w:lang w:val="fr-CA"/>
        </w:rPr>
        <w:lastRenderedPageBreak/>
        <w:t xml:space="preserve">du processus législatif (qui, dans bien des cas, ne sera pas apparente dans un document public comme les </w:t>
      </w:r>
      <w:r w:rsidRPr="005C7E8B">
        <w:rPr>
          <w:rFonts w:cs="Times New Roman"/>
          <w:lang w:val="fr-CA"/>
        </w:rPr>
        <w:t>Débats de la Chambre des communes</w:t>
      </w:r>
      <w:r w:rsidRPr="005F7D29">
        <w:rPr>
          <w:rFonts w:cs="Times New Roman"/>
          <w:lang w:val="fr-CA"/>
        </w:rPr>
        <w:t>) (R. </w:t>
      </w:r>
      <w:proofErr w:type="spellStart"/>
      <w:r w:rsidRPr="005F7D29">
        <w:rPr>
          <w:rFonts w:cs="Times New Roman"/>
          <w:lang w:val="fr-CA"/>
        </w:rPr>
        <w:t>Ekins</w:t>
      </w:r>
      <w:proofErr w:type="spellEnd"/>
      <w:r w:rsidRPr="005F7D29">
        <w:rPr>
          <w:rFonts w:cs="Times New Roman"/>
          <w:lang w:val="fr-CA"/>
        </w:rPr>
        <w:t>, « </w:t>
      </w:r>
      <w:proofErr w:type="spellStart"/>
      <w:r w:rsidRPr="005F7D29">
        <w:rPr>
          <w:rFonts w:cs="Times New Roman"/>
          <w:lang w:val="fr-CA"/>
        </w:rPr>
        <w:t>Legislation</w:t>
      </w:r>
      <w:proofErr w:type="spellEnd"/>
      <w:r w:rsidRPr="005F7D29">
        <w:rPr>
          <w:rFonts w:cs="Times New Roman"/>
          <w:lang w:val="fr-CA"/>
        </w:rPr>
        <w:t xml:space="preserve"> as </w:t>
      </w:r>
      <w:proofErr w:type="spellStart"/>
      <w:r w:rsidRPr="005F7D29">
        <w:rPr>
          <w:rFonts w:cs="Times New Roman"/>
          <w:lang w:val="fr-CA"/>
        </w:rPr>
        <w:t>Reasoned</w:t>
      </w:r>
      <w:proofErr w:type="spellEnd"/>
      <w:r w:rsidRPr="005F7D29">
        <w:rPr>
          <w:rFonts w:cs="Times New Roman"/>
          <w:lang w:val="fr-CA"/>
        </w:rPr>
        <w:t xml:space="preserve"> Action », dans G. Webber et autres, </w:t>
      </w:r>
      <w:proofErr w:type="spellStart"/>
      <w:r w:rsidRPr="005F7D29">
        <w:rPr>
          <w:rFonts w:cs="Times New Roman"/>
          <w:i/>
          <w:lang w:val="fr-CA"/>
        </w:rPr>
        <w:t>Legislated</w:t>
      </w:r>
      <w:proofErr w:type="spellEnd"/>
      <w:r w:rsidRPr="005F7D29">
        <w:rPr>
          <w:rFonts w:cs="Times New Roman"/>
          <w:i/>
          <w:lang w:val="fr-CA"/>
        </w:rPr>
        <w:t xml:space="preserve"> </w:t>
      </w:r>
      <w:proofErr w:type="spellStart"/>
      <w:r w:rsidRPr="005F7D29">
        <w:rPr>
          <w:rFonts w:cs="Times New Roman"/>
          <w:i/>
          <w:lang w:val="fr-CA"/>
        </w:rPr>
        <w:t>Rights</w:t>
      </w:r>
      <w:proofErr w:type="spellEnd"/>
      <w:r w:rsidRPr="005F7D29">
        <w:rPr>
          <w:rFonts w:cs="Times New Roman"/>
          <w:i/>
          <w:lang w:val="fr-CA"/>
        </w:rPr>
        <w:t xml:space="preserve">: </w:t>
      </w:r>
      <w:proofErr w:type="spellStart"/>
      <w:r w:rsidRPr="005F7D29">
        <w:rPr>
          <w:rFonts w:cs="Times New Roman"/>
          <w:i/>
          <w:lang w:val="fr-CA"/>
        </w:rPr>
        <w:t>Securing</w:t>
      </w:r>
      <w:proofErr w:type="spellEnd"/>
      <w:r w:rsidRPr="005F7D29">
        <w:rPr>
          <w:rFonts w:cs="Times New Roman"/>
          <w:i/>
          <w:lang w:val="fr-CA"/>
        </w:rPr>
        <w:t xml:space="preserve"> </w:t>
      </w:r>
      <w:proofErr w:type="spellStart"/>
      <w:r w:rsidRPr="005F7D29">
        <w:rPr>
          <w:rFonts w:cs="Times New Roman"/>
          <w:i/>
          <w:lang w:val="fr-CA"/>
        </w:rPr>
        <w:t>Human</w:t>
      </w:r>
      <w:proofErr w:type="spellEnd"/>
      <w:r w:rsidRPr="005F7D29">
        <w:rPr>
          <w:rFonts w:cs="Times New Roman"/>
          <w:i/>
          <w:lang w:val="fr-CA"/>
        </w:rPr>
        <w:t xml:space="preserve"> </w:t>
      </w:r>
      <w:proofErr w:type="spellStart"/>
      <w:r w:rsidRPr="005F7D29">
        <w:rPr>
          <w:rFonts w:cs="Times New Roman"/>
          <w:i/>
          <w:lang w:val="fr-CA"/>
        </w:rPr>
        <w:t>Rights</w:t>
      </w:r>
      <w:proofErr w:type="spellEnd"/>
      <w:r w:rsidRPr="005F7D29">
        <w:rPr>
          <w:rFonts w:cs="Times New Roman"/>
          <w:i/>
          <w:lang w:val="fr-CA"/>
        </w:rPr>
        <w:t xml:space="preserve"> </w:t>
      </w:r>
      <w:proofErr w:type="spellStart"/>
      <w:r w:rsidRPr="005F7D29">
        <w:rPr>
          <w:rFonts w:cs="Times New Roman"/>
          <w:i/>
          <w:lang w:val="fr-CA"/>
        </w:rPr>
        <w:t>through</w:t>
      </w:r>
      <w:proofErr w:type="spellEnd"/>
      <w:r w:rsidRPr="005F7D29">
        <w:rPr>
          <w:rFonts w:cs="Times New Roman"/>
          <w:i/>
          <w:lang w:val="fr-CA"/>
        </w:rPr>
        <w:t xml:space="preserve"> </w:t>
      </w:r>
      <w:proofErr w:type="spellStart"/>
      <w:r w:rsidRPr="005F7D29">
        <w:rPr>
          <w:rFonts w:cs="Times New Roman"/>
          <w:i/>
          <w:lang w:val="fr-CA"/>
        </w:rPr>
        <w:t>Legislation</w:t>
      </w:r>
      <w:proofErr w:type="spellEnd"/>
      <w:r w:rsidRPr="005F7D29">
        <w:rPr>
          <w:rFonts w:cs="Times New Roman"/>
          <w:lang w:val="fr-CA"/>
        </w:rPr>
        <w:t xml:space="preserve"> (2018), 86, p. 111).</w:t>
      </w:r>
    </w:p>
    <w:p w:rsidR="001244E7" w:rsidRPr="005F7D29" w:rsidRDefault="001244E7" w:rsidP="001244E7">
      <w:pPr>
        <w:pStyle w:val="ParaNoNdepar-AltN"/>
        <w:rPr>
          <w:rFonts w:cs="Times New Roman"/>
          <w:lang w:val="fr-CA"/>
        </w:rPr>
      </w:pPr>
      <w:r w:rsidRPr="005F7D29">
        <w:rPr>
          <w:rFonts w:cs="Times New Roman"/>
          <w:lang w:val="fr-CA"/>
        </w:rPr>
        <w:t>Qui plus est, même si ce problème pouvait être surmonté, des difficultés d’ordre pratique subsisteraient concernant la fiabilité de ces déclarations comme indicateurs de l’objectif législatif. Par exemple, les déclarations de députés peuvent être partiales, incomplètes, faites sous toutes réserves ou simplement erronées. De plus, s’il fallait que les tribunaux aient régulièrement recours aux Débats de la Chambre des communes, certains députés pourraient être tentés d’adopter des comportements stratégiques, ce qui aurait pour effet d’obscurcir tout objectif « véritable » sous</w:t>
      </w:r>
      <w:r w:rsidRPr="005F7D29">
        <w:rPr>
          <w:rFonts w:cs="Times New Roman"/>
          <w:lang w:val="fr-CA"/>
        </w:rPr>
        <w:noBreakHyphen/>
        <w:t>jacent d’un texte de loi plutôt que de faire la lumière sur celui</w:t>
      </w:r>
      <w:r w:rsidRPr="005F7D29">
        <w:rPr>
          <w:rFonts w:cs="Times New Roman"/>
          <w:lang w:val="fr-CA"/>
        </w:rPr>
        <w:noBreakHyphen/>
        <w:t>ci. Il se peut que les députés qui se prononcent en faveur d’un projet de loi ne tiennent pas suffisamment compte des moyens limités par lesquels le projet de loi vise l’objectif déclaré, créant ainsi le risque — si les tribunaux devaient se fier à de telles déclarations — qu’ils appuient des interprétations trop larges de l’objectif. Ces préoccupations, entre autres, ont été examinées de façon exhaustive par plusieurs auteurs éminents (voir, p. ex., W. N. </w:t>
      </w:r>
      <w:proofErr w:type="spellStart"/>
      <w:r w:rsidRPr="005F7D29">
        <w:rPr>
          <w:rFonts w:cs="Times New Roman"/>
          <w:lang w:val="fr-CA"/>
        </w:rPr>
        <w:t>Eskridge</w:t>
      </w:r>
      <w:proofErr w:type="spellEnd"/>
      <w:r w:rsidRPr="005F7D29">
        <w:rPr>
          <w:rFonts w:cs="Times New Roman"/>
          <w:lang w:val="fr-CA"/>
        </w:rPr>
        <w:t xml:space="preserve">, Jr., </w:t>
      </w:r>
      <w:proofErr w:type="spellStart"/>
      <w:r w:rsidRPr="005F7D29">
        <w:rPr>
          <w:rFonts w:cs="Times New Roman"/>
          <w:i/>
          <w:lang w:val="fr-CA"/>
        </w:rPr>
        <w:t>Dynamic</w:t>
      </w:r>
      <w:proofErr w:type="spellEnd"/>
      <w:r w:rsidRPr="005F7D29">
        <w:rPr>
          <w:rFonts w:cs="Times New Roman"/>
          <w:i/>
          <w:lang w:val="fr-CA"/>
        </w:rPr>
        <w:t xml:space="preserve"> </w:t>
      </w:r>
      <w:proofErr w:type="spellStart"/>
      <w:r w:rsidRPr="005F7D29">
        <w:rPr>
          <w:rFonts w:cs="Times New Roman"/>
          <w:i/>
          <w:lang w:val="fr-CA"/>
        </w:rPr>
        <w:t>Statutory</w:t>
      </w:r>
      <w:proofErr w:type="spellEnd"/>
      <w:r w:rsidRPr="005F7D29">
        <w:rPr>
          <w:rFonts w:cs="Times New Roman"/>
          <w:i/>
          <w:lang w:val="fr-CA"/>
        </w:rPr>
        <w:t xml:space="preserve"> </w:t>
      </w:r>
      <w:proofErr w:type="spellStart"/>
      <w:r w:rsidRPr="005F7D29">
        <w:rPr>
          <w:rFonts w:cs="Times New Roman"/>
          <w:i/>
          <w:lang w:val="fr-CA"/>
        </w:rPr>
        <w:t>Interpretation</w:t>
      </w:r>
      <w:proofErr w:type="spellEnd"/>
      <w:r w:rsidRPr="005F7D29">
        <w:rPr>
          <w:rFonts w:cs="Times New Roman"/>
          <w:i/>
          <w:lang w:val="fr-CA"/>
        </w:rPr>
        <w:t xml:space="preserve"> </w:t>
      </w:r>
      <w:r w:rsidRPr="005F7D29">
        <w:rPr>
          <w:rFonts w:cs="Times New Roman"/>
          <w:lang w:val="fr-CA"/>
        </w:rPr>
        <w:t>(1994), p. 222</w:t>
      </w:r>
      <w:r w:rsidRPr="005F7D29">
        <w:rPr>
          <w:rFonts w:cs="Times New Roman"/>
          <w:lang w:val="fr-CA"/>
        </w:rPr>
        <w:noBreakHyphen/>
        <w:t xml:space="preserve">223; C. R. </w:t>
      </w:r>
      <w:proofErr w:type="spellStart"/>
      <w:r w:rsidRPr="005F7D29">
        <w:rPr>
          <w:rFonts w:cs="Times New Roman"/>
          <w:lang w:val="fr-CA"/>
        </w:rPr>
        <w:t>Sunstein</w:t>
      </w:r>
      <w:proofErr w:type="spellEnd"/>
      <w:r w:rsidRPr="005F7D29">
        <w:rPr>
          <w:rFonts w:cs="Times New Roman"/>
          <w:lang w:val="fr-CA"/>
        </w:rPr>
        <w:t>, « </w:t>
      </w:r>
      <w:proofErr w:type="spellStart"/>
      <w:r w:rsidRPr="005F7D29">
        <w:rPr>
          <w:rFonts w:cs="Times New Roman"/>
          <w:lang w:val="fr-CA"/>
        </w:rPr>
        <w:t>Interpreting</w:t>
      </w:r>
      <w:proofErr w:type="spellEnd"/>
      <w:r w:rsidRPr="005F7D29">
        <w:rPr>
          <w:rFonts w:cs="Times New Roman"/>
          <w:lang w:val="fr-CA"/>
        </w:rPr>
        <w:t xml:space="preserve"> </w:t>
      </w:r>
      <w:proofErr w:type="spellStart"/>
      <w:r w:rsidRPr="005F7D29">
        <w:rPr>
          <w:rFonts w:cs="Times New Roman"/>
          <w:lang w:val="fr-CA"/>
        </w:rPr>
        <w:t>Sta</w:t>
      </w:r>
      <w:r w:rsidR="00124081">
        <w:rPr>
          <w:rFonts w:cs="Times New Roman"/>
          <w:lang w:val="fr-CA"/>
        </w:rPr>
        <w:t>tutes</w:t>
      </w:r>
      <w:proofErr w:type="spellEnd"/>
      <w:r w:rsidR="00124081">
        <w:rPr>
          <w:rFonts w:cs="Times New Roman"/>
          <w:lang w:val="fr-CA"/>
        </w:rPr>
        <w:t xml:space="preserve"> in the </w:t>
      </w:r>
      <w:proofErr w:type="spellStart"/>
      <w:r w:rsidR="00124081">
        <w:rPr>
          <w:rFonts w:cs="Times New Roman"/>
          <w:lang w:val="fr-CA"/>
        </w:rPr>
        <w:t>Regulatory</w:t>
      </w:r>
      <w:proofErr w:type="spellEnd"/>
      <w:r w:rsidR="00124081">
        <w:rPr>
          <w:rFonts w:cs="Times New Roman"/>
          <w:lang w:val="fr-CA"/>
        </w:rPr>
        <w:t xml:space="preserve"> State »</w:t>
      </w:r>
      <w:r w:rsidRPr="005F7D29">
        <w:rPr>
          <w:rFonts w:cs="Times New Roman"/>
          <w:lang w:val="fr-CA"/>
        </w:rPr>
        <w:t xml:space="preserve"> (1989)</w:t>
      </w:r>
      <w:r w:rsidR="00124081">
        <w:rPr>
          <w:rFonts w:cs="Times New Roman"/>
          <w:lang w:val="fr-CA"/>
        </w:rPr>
        <w:t>,</w:t>
      </w:r>
      <w:r w:rsidRPr="005F7D29">
        <w:rPr>
          <w:rFonts w:cs="Times New Roman"/>
          <w:lang w:val="fr-CA"/>
        </w:rPr>
        <w:t xml:space="preserve"> 103 </w:t>
      </w:r>
      <w:proofErr w:type="spellStart"/>
      <w:r w:rsidRPr="005F7D29">
        <w:rPr>
          <w:rFonts w:cs="Times New Roman"/>
          <w:i/>
          <w:lang w:val="fr-CA"/>
        </w:rPr>
        <w:t>Harv</w:t>
      </w:r>
      <w:proofErr w:type="spellEnd"/>
      <w:r w:rsidRPr="005F7D29">
        <w:rPr>
          <w:rFonts w:cs="Times New Roman"/>
          <w:i/>
          <w:lang w:val="fr-CA"/>
        </w:rPr>
        <w:t xml:space="preserve">. L. </w:t>
      </w:r>
      <w:proofErr w:type="spellStart"/>
      <w:r w:rsidRPr="005F7D29">
        <w:rPr>
          <w:rFonts w:cs="Times New Roman"/>
          <w:i/>
          <w:lang w:val="fr-CA"/>
        </w:rPr>
        <w:t>Rev</w:t>
      </w:r>
      <w:proofErr w:type="spellEnd"/>
      <w:r w:rsidRPr="005F7D29">
        <w:rPr>
          <w:rFonts w:cs="Times New Roman"/>
          <w:i/>
          <w:lang w:val="fr-CA"/>
        </w:rPr>
        <w:t>.</w:t>
      </w:r>
      <w:r w:rsidRPr="005F7D29">
        <w:rPr>
          <w:rFonts w:cs="Times New Roman"/>
          <w:lang w:val="fr-CA"/>
        </w:rPr>
        <w:t xml:space="preserve"> 405, p. 433; A. </w:t>
      </w:r>
      <w:proofErr w:type="spellStart"/>
      <w:r w:rsidRPr="005F7D29">
        <w:rPr>
          <w:rFonts w:cs="Times New Roman"/>
          <w:lang w:val="fr-CA"/>
        </w:rPr>
        <w:t>Scalia</w:t>
      </w:r>
      <w:proofErr w:type="spellEnd"/>
      <w:r w:rsidRPr="005F7D29">
        <w:rPr>
          <w:rFonts w:cs="Times New Roman"/>
          <w:lang w:val="fr-CA"/>
        </w:rPr>
        <w:t xml:space="preserve"> et B. A. Garner, </w:t>
      </w:r>
      <w:r w:rsidRPr="005F7D29">
        <w:rPr>
          <w:rFonts w:cs="Times New Roman"/>
          <w:i/>
          <w:lang w:val="fr-CA"/>
        </w:rPr>
        <w:t xml:space="preserve">Reading Law: The </w:t>
      </w:r>
      <w:proofErr w:type="spellStart"/>
      <w:r w:rsidRPr="005F7D29">
        <w:rPr>
          <w:rFonts w:cs="Times New Roman"/>
          <w:i/>
          <w:lang w:val="fr-CA"/>
        </w:rPr>
        <w:t>Interpretation</w:t>
      </w:r>
      <w:proofErr w:type="spellEnd"/>
      <w:r w:rsidRPr="005F7D29">
        <w:rPr>
          <w:rFonts w:cs="Times New Roman"/>
          <w:i/>
          <w:lang w:val="fr-CA"/>
        </w:rPr>
        <w:t xml:space="preserve"> of </w:t>
      </w:r>
      <w:proofErr w:type="spellStart"/>
      <w:r w:rsidRPr="005F7D29">
        <w:rPr>
          <w:rFonts w:cs="Times New Roman"/>
          <w:i/>
          <w:lang w:val="fr-CA"/>
        </w:rPr>
        <w:t>Legal</w:t>
      </w:r>
      <w:proofErr w:type="spellEnd"/>
      <w:r w:rsidRPr="005F7D29">
        <w:rPr>
          <w:rFonts w:cs="Times New Roman"/>
          <w:i/>
          <w:lang w:val="fr-CA"/>
        </w:rPr>
        <w:t xml:space="preserve"> </w:t>
      </w:r>
      <w:proofErr w:type="spellStart"/>
      <w:r w:rsidRPr="005F7D29">
        <w:rPr>
          <w:rFonts w:cs="Times New Roman"/>
          <w:i/>
          <w:lang w:val="fr-CA"/>
        </w:rPr>
        <w:t>Texts</w:t>
      </w:r>
      <w:proofErr w:type="spellEnd"/>
      <w:r w:rsidRPr="005F7D29">
        <w:rPr>
          <w:rFonts w:cs="Times New Roman"/>
          <w:i/>
          <w:lang w:val="fr-CA"/>
        </w:rPr>
        <w:t xml:space="preserve"> </w:t>
      </w:r>
      <w:r w:rsidRPr="005F7D29">
        <w:rPr>
          <w:rFonts w:cs="Times New Roman"/>
          <w:lang w:val="fr-CA"/>
        </w:rPr>
        <w:t>(2012), p. 369</w:t>
      </w:r>
      <w:r w:rsidRPr="005F7D29">
        <w:rPr>
          <w:rFonts w:cs="Times New Roman"/>
          <w:lang w:val="fr-CA"/>
        </w:rPr>
        <w:noBreakHyphen/>
        <w:t xml:space="preserve">390; J. H. Baker, « Case and Comment: </w:t>
      </w:r>
      <w:proofErr w:type="spellStart"/>
      <w:r w:rsidRPr="005F7D29">
        <w:rPr>
          <w:rFonts w:cs="Times New Roman"/>
          <w:lang w:val="fr-CA"/>
        </w:rPr>
        <w:t>Statutory</w:t>
      </w:r>
      <w:proofErr w:type="spellEnd"/>
      <w:r w:rsidRPr="005F7D29">
        <w:rPr>
          <w:rFonts w:cs="Times New Roman"/>
          <w:lang w:val="fr-CA"/>
        </w:rPr>
        <w:t xml:space="preserve"> </w:t>
      </w:r>
      <w:proofErr w:type="spellStart"/>
      <w:r w:rsidRPr="005F7D29">
        <w:rPr>
          <w:rFonts w:cs="Times New Roman"/>
          <w:lang w:val="fr-CA"/>
        </w:rPr>
        <w:t>Interpretation</w:t>
      </w:r>
      <w:proofErr w:type="spellEnd"/>
      <w:r w:rsidRPr="005F7D29">
        <w:rPr>
          <w:rFonts w:cs="Times New Roman"/>
          <w:lang w:val="fr-CA"/>
        </w:rPr>
        <w:t xml:space="preserve"> and </w:t>
      </w:r>
      <w:proofErr w:type="spellStart"/>
      <w:r w:rsidRPr="005F7D29">
        <w:rPr>
          <w:rFonts w:cs="Times New Roman"/>
          <w:lang w:val="fr-CA"/>
        </w:rPr>
        <w:lastRenderedPageBreak/>
        <w:t>Parliamentary</w:t>
      </w:r>
      <w:proofErr w:type="spellEnd"/>
      <w:r w:rsidRPr="005F7D29">
        <w:rPr>
          <w:rFonts w:cs="Times New Roman"/>
          <w:lang w:val="fr-CA"/>
        </w:rPr>
        <w:t xml:space="preserve"> Intention » (1993), 52 </w:t>
      </w:r>
      <w:r w:rsidRPr="005F7D29">
        <w:rPr>
          <w:rFonts w:cs="Times New Roman"/>
          <w:i/>
          <w:lang w:val="fr-CA"/>
        </w:rPr>
        <w:t>Cambridge L.J.</w:t>
      </w:r>
      <w:r w:rsidRPr="005F7D29">
        <w:rPr>
          <w:rFonts w:cs="Times New Roman"/>
          <w:lang w:val="fr-CA"/>
        </w:rPr>
        <w:t xml:space="preserve"> 353, p. 356</w:t>
      </w:r>
      <w:r w:rsidRPr="005F7D29">
        <w:rPr>
          <w:rFonts w:cs="Times New Roman"/>
          <w:lang w:val="fr-CA"/>
        </w:rPr>
        <w:noBreakHyphen/>
        <w:t>357; J.</w:t>
      </w:r>
      <w:r>
        <w:rPr>
          <w:rFonts w:cs="Times New Roman"/>
          <w:lang w:val="fr-CA"/>
        </w:rPr>
        <w:t> </w:t>
      </w:r>
      <w:r w:rsidRPr="005F7D29">
        <w:rPr>
          <w:rFonts w:cs="Times New Roman"/>
          <w:lang w:val="fr-CA"/>
        </w:rPr>
        <w:t xml:space="preserve">Waldron, </w:t>
      </w:r>
      <w:r w:rsidRPr="005F7D29">
        <w:rPr>
          <w:rFonts w:cs="Times New Roman"/>
          <w:i/>
          <w:lang w:val="fr-CA"/>
        </w:rPr>
        <w:t xml:space="preserve">Law and </w:t>
      </w:r>
      <w:proofErr w:type="spellStart"/>
      <w:r w:rsidRPr="005F7D29">
        <w:rPr>
          <w:rFonts w:cs="Times New Roman"/>
          <w:i/>
          <w:lang w:val="fr-CA"/>
        </w:rPr>
        <w:t>Disagreement</w:t>
      </w:r>
      <w:proofErr w:type="spellEnd"/>
      <w:r w:rsidRPr="005F7D29">
        <w:rPr>
          <w:rFonts w:cs="Times New Roman"/>
          <w:i/>
          <w:lang w:val="fr-CA"/>
        </w:rPr>
        <w:t xml:space="preserve"> </w:t>
      </w:r>
      <w:r w:rsidRPr="005F7D29">
        <w:rPr>
          <w:rFonts w:cs="Times New Roman"/>
          <w:lang w:val="fr-CA"/>
        </w:rPr>
        <w:t>(2001), p. 142</w:t>
      </w:r>
      <w:r w:rsidRPr="005F7D29">
        <w:rPr>
          <w:rFonts w:cs="Times New Roman"/>
          <w:lang w:val="fr-CA"/>
        </w:rPr>
        <w:noBreakHyphen/>
        <w:t xml:space="preserve">146; et </w:t>
      </w:r>
      <w:proofErr w:type="spellStart"/>
      <w:r w:rsidRPr="005F7D29">
        <w:rPr>
          <w:rFonts w:cs="Times New Roman"/>
          <w:lang w:val="fr-CA"/>
        </w:rPr>
        <w:t>Ekins</w:t>
      </w:r>
      <w:proofErr w:type="spellEnd"/>
      <w:r w:rsidRPr="005F7D29">
        <w:rPr>
          <w:rFonts w:cs="Times New Roman"/>
          <w:lang w:val="fr-CA"/>
        </w:rPr>
        <w:t xml:space="preserve">, </w:t>
      </w:r>
      <w:r w:rsidRPr="005F7D29">
        <w:rPr>
          <w:rFonts w:cs="Times New Roman"/>
          <w:i/>
          <w:lang w:val="fr-CA"/>
        </w:rPr>
        <w:t xml:space="preserve">The Nature of </w:t>
      </w:r>
      <w:proofErr w:type="spellStart"/>
      <w:r w:rsidRPr="005F7D29">
        <w:rPr>
          <w:rFonts w:cs="Times New Roman"/>
          <w:i/>
          <w:lang w:val="fr-CA"/>
        </w:rPr>
        <w:t>Legislative</w:t>
      </w:r>
      <w:proofErr w:type="spellEnd"/>
      <w:r w:rsidRPr="005F7D29">
        <w:rPr>
          <w:rFonts w:cs="Times New Roman"/>
          <w:i/>
          <w:lang w:val="fr-CA"/>
        </w:rPr>
        <w:t xml:space="preserve"> </w:t>
      </w:r>
      <w:proofErr w:type="spellStart"/>
      <w:r w:rsidRPr="005F7D29">
        <w:rPr>
          <w:rFonts w:cs="Times New Roman"/>
          <w:i/>
          <w:lang w:val="fr-CA"/>
        </w:rPr>
        <w:t>Intent</w:t>
      </w:r>
      <w:proofErr w:type="spellEnd"/>
      <w:r w:rsidRPr="005F7D29">
        <w:rPr>
          <w:rFonts w:cs="Times New Roman"/>
          <w:lang w:val="fr-CA"/>
        </w:rPr>
        <w:t xml:space="preserve">). </w:t>
      </w:r>
    </w:p>
    <w:p w:rsidR="001244E7" w:rsidRPr="005F7D29" w:rsidRDefault="001244E7" w:rsidP="001244E7">
      <w:pPr>
        <w:pStyle w:val="ParaNoNdepar-AltN"/>
        <w:rPr>
          <w:rFonts w:cs="Times New Roman"/>
          <w:lang w:val="fr-CA"/>
        </w:rPr>
      </w:pPr>
      <w:r w:rsidRPr="005F7D29">
        <w:rPr>
          <w:rFonts w:cs="Times New Roman"/>
          <w:lang w:val="fr-CA"/>
        </w:rPr>
        <w:t>Notre Cour a aussi fait une mise en garde relative à la nature « foncièrement douteuse » et « indéterminée » des allocutions et des déclarations faites par les députés qui sont utilisées pour discerner l’objectif législatif (</w:t>
      </w:r>
      <w:r w:rsidRPr="005F7D29">
        <w:rPr>
          <w:rFonts w:cs="Times New Roman"/>
          <w:i/>
          <w:lang w:val="fr-CA"/>
        </w:rPr>
        <w:t xml:space="preserve">Renvoi </w:t>
      </w:r>
      <w:r>
        <w:rPr>
          <w:rFonts w:cs="Times New Roman"/>
          <w:i/>
          <w:lang w:val="fr-CA"/>
        </w:rPr>
        <w:t xml:space="preserve">sur </w:t>
      </w:r>
      <w:r w:rsidRPr="005F7D29">
        <w:rPr>
          <w:rFonts w:cs="Times New Roman"/>
          <w:i/>
          <w:lang w:val="fr-CA"/>
        </w:rPr>
        <w:t xml:space="preserve">la </w:t>
      </w:r>
      <w:proofErr w:type="spellStart"/>
      <w:r w:rsidRPr="005F7D29">
        <w:rPr>
          <w:rFonts w:cs="Times New Roman"/>
          <w:i/>
          <w:lang w:val="fr-CA"/>
        </w:rPr>
        <w:t>Motor</w:t>
      </w:r>
      <w:proofErr w:type="spellEnd"/>
      <w:r w:rsidRPr="005F7D29">
        <w:rPr>
          <w:rFonts w:cs="Times New Roman"/>
          <w:i/>
          <w:lang w:val="fr-CA"/>
        </w:rPr>
        <w:t xml:space="preserve"> </w:t>
      </w:r>
      <w:proofErr w:type="spellStart"/>
      <w:r w:rsidRPr="005F7D29">
        <w:rPr>
          <w:rFonts w:cs="Times New Roman"/>
          <w:i/>
          <w:lang w:val="fr-CA"/>
        </w:rPr>
        <w:t>Vehicle</w:t>
      </w:r>
      <w:proofErr w:type="spellEnd"/>
      <w:r w:rsidRPr="005F7D29">
        <w:rPr>
          <w:rFonts w:cs="Times New Roman"/>
          <w:i/>
          <w:lang w:val="fr-CA"/>
        </w:rPr>
        <w:t xml:space="preserve"> </w:t>
      </w:r>
      <w:proofErr w:type="spellStart"/>
      <w:r w:rsidRPr="005F7D29">
        <w:rPr>
          <w:rFonts w:cs="Times New Roman"/>
          <w:i/>
          <w:lang w:val="fr-CA"/>
        </w:rPr>
        <w:t>Act</w:t>
      </w:r>
      <w:proofErr w:type="spellEnd"/>
      <w:r w:rsidRPr="005F7D29">
        <w:rPr>
          <w:rFonts w:cs="Times New Roman"/>
          <w:i/>
          <w:lang w:val="fr-CA"/>
        </w:rPr>
        <w:t xml:space="preserve"> (C.</w:t>
      </w:r>
      <w:r w:rsidRPr="005F7D29">
        <w:rPr>
          <w:rFonts w:cs="Times New Roman"/>
          <w:i/>
          <w:lang w:val="fr-CA"/>
        </w:rPr>
        <w:noBreakHyphen/>
        <w:t>B.)</w:t>
      </w:r>
      <w:r w:rsidRPr="005F7D29">
        <w:rPr>
          <w:rFonts w:cs="Times New Roman"/>
          <w:lang w:val="fr-CA"/>
        </w:rPr>
        <w:t>, [1985] 2 R.C.S. 48</w:t>
      </w:r>
      <w:r>
        <w:rPr>
          <w:rFonts w:cs="Times New Roman"/>
          <w:lang w:val="fr-CA"/>
        </w:rPr>
        <w:t>6</w:t>
      </w:r>
      <w:r w:rsidRPr="005F7D29">
        <w:rPr>
          <w:rFonts w:cs="Times New Roman"/>
          <w:lang w:val="fr-CA"/>
        </w:rPr>
        <w:t>, p. 508</w:t>
      </w:r>
      <w:r w:rsidRPr="005F7D29">
        <w:rPr>
          <w:rFonts w:cs="Times New Roman"/>
          <w:lang w:val="fr-CA"/>
        </w:rPr>
        <w:noBreakHyphen/>
        <w:t xml:space="preserve">509). Bien que les documents dans lesquels sont consignées de telles déclarations soient admissibles, nous avons </w:t>
      </w:r>
      <w:r w:rsidRPr="005F7D29">
        <w:rPr>
          <w:rFonts w:cs="Times New Roman"/>
          <w:i/>
          <w:lang w:val="fr-CA"/>
        </w:rPr>
        <w:t>à maintes reprises</w:t>
      </w:r>
      <w:r w:rsidRPr="005F7D29">
        <w:rPr>
          <w:rFonts w:cs="Times New Roman"/>
          <w:lang w:val="fr-CA"/>
        </w:rPr>
        <w:t xml:space="preserve"> souligné que leur fiabilité et leur poids seront généralement limités (voir, p. ex., </w:t>
      </w:r>
      <w:r w:rsidRPr="005F7D29">
        <w:rPr>
          <w:rFonts w:cs="Times New Roman"/>
          <w:i/>
          <w:lang w:val="fr-CA"/>
        </w:rPr>
        <w:t xml:space="preserve">Renvoi relatif à la </w:t>
      </w:r>
      <w:proofErr w:type="spellStart"/>
      <w:r w:rsidRPr="005F7D29">
        <w:rPr>
          <w:rFonts w:cs="Times New Roman"/>
          <w:i/>
          <w:lang w:val="fr-CA"/>
        </w:rPr>
        <w:t>Upper</w:t>
      </w:r>
      <w:proofErr w:type="spellEnd"/>
      <w:r w:rsidRPr="005F7D29">
        <w:rPr>
          <w:rFonts w:cs="Times New Roman"/>
          <w:i/>
          <w:lang w:val="fr-CA"/>
        </w:rPr>
        <w:t xml:space="preserve"> Churchill Water </w:t>
      </w:r>
      <w:proofErr w:type="spellStart"/>
      <w:r w:rsidRPr="005F7D29">
        <w:rPr>
          <w:rFonts w:cs="Times New Roman"/>
          <w:i/>
          <w:lang w:val="fr-CA"/>
        </w:rPr>
        <w:t>Rights</w:t>
      </w:r>
      <w:proofErr w:type="spellEnd"/>
      <w:r w:rsidRPr="005F7D29">
        <w:rPr>
          <w:rFonts w:cs="Times New Roman"/>
          <w:i/>
          <w:lang w:val="fr-CA"/>
        </w:rPr>
        <w:t xml:space="preserve"> </w:t>
      </w:r>
      <w:proofErr w:type="spellStart"/>
      <w:r w:rsidRPr="005F7D29">
        <w:rPr>
          <w:rFonts w:cs="Times New Roman"/>
          <w:i/>
          <w:lang w:val="fr-CA"/>
        </w:rPr>
        <w:t>Reversion</w:t>
      </w:r>
      <w:proofErr w:type="spellEnd"/>
      <w:r w:rsidRPr="005F7D29">
        <w:rPr>
          <w:rFonts w:cs="Times New Roman"/>
          <w:i/>
          <w:lang w:val="fr-CA"/>
        </w:rPr>
        <w:t xml:space="preserve"> </w:t>
      </w:r>
      <w:proofErr w:type="spellStart"/>
      <w:r w:rsidRPr="005F7D29">
        <w:rPr>
          <w:rFonts w:cs="Times New Roman"/>
          <w:i/>
          <w:lang w:val="fr-CA"/>
        </w:rPr>
        <w:t>Act</w:t>
      </w:r>
      <w:proofErr w:type="spellEnd"/>
      <w:r w:rsidRPr="005F7D29">
        <w:rPr>
          <w:rFonts w:cs="Times New Roman"/>
          <w:lang w:val="fr-CA"/>
        </w:rPr>
        <w:t xml:space="preserve">, [1984] 1 R.C.S. 297, p. 319; </w:t>
      </w:r>
      <w:proofErr w:type="spellStart"/>
      <w:r w:rsidRPr="005F7D29">
        <w:rPr>
          <w:rFonts w:cs="Times New Roman"/>
          <w:i/>
          <w:lang w:val="fr-CA"/>
        </w:rPr>
        <w:t>Rizzo</w:t>
      </w:r>
      <w:proofErr w:type="spellEnd"/>
      <w:r w:rsidRPr="005F7D29">
        <w:rPr>
          <w:rFonts w:cs="Times New Roman"/>
          <w:i/>
          <w:lang w:val="fr-CA"/>
        </w:rPr>
        <w:t xml:space="preserve"> &amp; </w:t>
      </w:r>
      <w:proofErr w:type="spellStart"/>
      <w:r w:rsidRPr="005F7D29">
        <w:rPr>
          <w:rFonts w:cs="Times New Roman"/>
          <w:i/>
          <w:lang w:val="fr-CA"/>
        </w:rPr>
        <w:t>Rizzo</w:t>
      </w:r>
      <w:proofErr w:type="spellEnd"/>
      <w:r w:rsidRPr="005F7D29">
        <w:rPr>
          <w:rFonts w:cs="Times New Roman"/>
          <w:i/>
          <w:lang w:val="fr-CA"/>
        </w:rPr>
        <w:t xml:space="preserve"> </w:t>
      </w:r>
      <w:proofErr w:type="spellStart"/>
      <w:r w:rsidRPr="005F7D29">
        <w:rPr>
          <w:rFonts w:cs="Times New Roman"/>
          <w:i/>
          <w:lang w:val="fr-CA"/>
        </w:rPr>
        <w:t>Shoes</w:t>
      </w:r>
      <w:proofErr w:type="spellEnd"/>
      <w:r w:rsidRPr="005F7D29">
        <w:rPr>
          <w:rFonts w:cs="Times New Roman"/>
          <w:i/>
          <w:lang w:val="fr-CA"/>
        </w:rPr>
        <w:t xml:space="preserve"> Ltd.</w:t>
      </w:r>
      <w:r>
        <w:rPr>
          <w:rFonts w:cs="Times New Roman"/>
          <w:i/>
          <w:lang w:val="fr-CA"/>
        </w:rPr>
        <w:t xml:space="preserve"> (</w:t>
      </w:r>
      <w:proofErr w:type="spellStart"/>
      <w:r w:rsidRPr="005F7D29">
        <w:rPr>
          <w:rFonts w:cs="Times New Roman"/>
          <w:i/>
          <w:lang w:val="fr-CA"/>
        </w:rPr>
        <w:t>Re</w:t>
      </w:r>
      <w:proofErr w:type="spellEnd"/>
      <w:r>
        <w:rPr>
          <w:rFonts w:cs="Times New Roman"/>
          <w:i/>
          <w:lang w:val="fr-CA"/>
        </w:rPr>
        <w:t>)</w:t>
      </w:r>
      <w:r w:rsidRPr="005F7D29">
        <w:rPr>
          <w:rFonts w:cs="Times New Roman"/>
          <w:lang w:val="fr-CA"/>
        </w:rPr>
        <w:t xml:space="preserve">, [1998] 1 R.C.S. 27, par. 35; </w:t>
      </w:r>
      <w:r w:rsidRPr="005F7D29">
        <w:rPr>
          <w:rFonts w:cs="Times New Roman"/>
          <w:i/>
          <w:lang w:val="fr-CA"/>
        </w:rPr>
        <w:t xml:space="preserve">Placer </w:t>
      </w:r>
      <w:proofErr w:type="spellStart"/>
      <w:r w:rsidRPr="005F7D29">
        <w:rPr>
          <w:rFonts w:cs="Times New Roman"/>
          <w:i/>
          <w:lang w:val="fr-CA"/>
        </w:rPr>
        <w:t>Dome</w:t>
      </w:r>
      <w:proofErr w:type="spellEnd"/>
      <w:r w:rsidRPr="005F7D29">
        <w:rPr>
          <w:rFonts w:cs="Times New Roman"/>
          <w:i/>
          <w:lang w:val="fr-CA"/>
        </w:rPr>
        <w:t xml:space="preserve"> Canada Ltd. c. Ontario (Ministre des Finances)</w:t>
      </w:r>
      <w:r w:rsidRPr="005F7D29">
        <w:rPr>
          <w:rFonts w:cs="Times New Roman"/>
          <w:lang w:val="fr-CA"/>
        </w:rPr>
        <w:t xml:space="preserve">, 2006 CSC 20, [2006] 1 R.C.S. 715, par. 39; </w:t>
      </w:r>
      <w:r w:rsidRPr="005F7D29">
        <w:rPr>
          <w:rFonts w:cs="Times New Roman"/>
          <w:i/>
          <w:lang w:val="fr-CA"/>
        </w:rPr>
        <w:t>Compagnie des chemins de fer nationaux du Canada c. Canada (Procureur général)</w:t>
      </w:r>
      <w:r w:rsidRPr="005F7D29">
        <w:rPr>
          <w:rFonts w:cs="Times New Roman"/>
          <w:lang w:val="fr-CA"/>
        </w:rPr>
        <w:t>, 2014 CSC 40, [2014] 2 R.C.S. 135, par. 44</w:t>
      </w:r>
      <w:r w:rsidRPr="005F7D29">
        <w:rPr>
          <w:rFonts w:cs="Times New Roman"/>
          <w:lang w:val="fr-CA"/>
        </w:rPr>
        <w:noBreakHyphen/>
        <w:t xml:space="preserve">47; Sullivan, par. 23.88; voir également </w:t>
      </w:r>
      <w:r w:rsidRPr="005F7D29">
        <w:rPr>
          <w:rFonts w:cs="Times New Roman"/>
          <w:i/>
          <w:lang w:val="fr-CA"/>
        </w:rPr>
        <w:t>R. c. Morgentaler</w:t>
      </w:r>
      <w:r w:rsidRPr="005F7D29">
        <w:rPr>
          <w:rFonts w:cs="Times New Roman"/>
          <w:lang w:val="fr-CA"/>
        </w:rPr>
        <w:t xml:space="preserve">, [1993] 3 R.C.S. 463, p. 484). </w:t>
      </w:r>
    </w:p>
    <w:p w:rsidR="001244E7" w:rsidRPr="005F7D29" w:rsidRDefault="001244E7" w:rsidP="001244E7">
      <w:pPr>
        <w:pStyle w:val="ParaNoNdepar-AltN"/>
        <w:rPr>
          <w:rFonts w:cs="Times New Roman"/>
          <w:lang w:val="fr-CA"/>
        </w:rPr>
      </w:pPr>
      <w:r w:rsidRPr="005F7D29">
        <w:rPr>
          <w:rFonts w:cs="Times New Roman"/>
          <w:lang w:val="fr-CA"/>
        </w:rPr>
        <w:t xml:space="preserve">Cela dit, et pour conclure sur cette question, nous notons que les quelques passages épars des Débats de la Chambre des communes qui nous ont été présentés tendent à confirmer l’objectif que nous avons identifié lors de l’examen des modifications de 1993 et de l’état antérieur du droit. Par exemple, des membres du Comité spécial chargé de la réforme électorale (dont les travaux ont donné lieu au projet de loi soumis au Parlement) ont indiqué qu’ils voulaient que les électeurs conservent « suffisamment de liens » avec le Canada (Chambre des communes, </w:t>
      </w:r>
      <w:r w:rsidRPr="005F7D29">
        <w:rPr>
          <w:rFonts w:cs="Times New Roman"/>
          <w:i/>
          <w:lang w:val="fr-CA"/>
        </w:rPr>
        <w:t>Procès</w:t>
      </w:r>
      <w:r w:rsidRPr="005F7D29">
        <w:rPr>
          <w:rFonts w:cs="Times New Roman"/>
          <w:i/>
          <w:lang w:val="fr-CA"/>
        </w:rPr>
        <w:noBreakHyphen/>
        <w:t xml:space="preserve">verbaux et </w:t>
      </w:r>
      <w:r w:rsidRPr="005F7D29">
        <w:rPr>
          <w:rFonts w:cs="Times New Roman"/>
          <w:i/>
          <w:lang w:val="fr-CA"/>
        </w:rPr>
        <w:lastRenderedPageBreak/>
        <w:t>témoignages du</w:t>
      </w:r>
      <w:r w:rsidRPr="005F7D29">
        <w:rPr>
          <w:rFonts w:cs="Times New Roman"/>
          <w:lang w:val="fr-CA"/>
        </w:rPr>
        <w:t xml:space="preserve"> </w:t>
      </w:r>
      <w:r w:rsidRPr="005F7D29">
        <w:rPr>
          <w:rFonts w:cs="Times New Roman"/>
          <w:i/>
          <w:lang w:val="fr-CA"/>
        </w:rPr>
        <w:t>Comité spécial sur la réforme électorale</w:t>
      </w:r>
      <w:r w:rsidRPr="005F7D29">
        <w:rPr>
          <w:rFonts w:cs="Times New Roman"/>
          <w:lang w:val="fr-CA"/>
        </w:rPr>
        <w:t>, n</w:t>
      </w:r>
      <w:r w:rsidRPr="005F7D29">
        <w:rPr>
          <w:rFonts w:cs="Times New Roman"/>
          <w:vertAlign w:val="superscript"/>
          <w:lang w:val="fr-CA"/>
        </w:rPr>
        <w:t>o</w:t>
      </w:r>
      <w:r w:rsidRPr="005F7D29">
        <w:rPr>
          <w:rFonts w:cs="Times New Roman"/>
          <w:lang w:val="fr-CA"/>
        </w:rPr>
        <w:t> 5, 3</w:t>
      </w:r>
      <w:r w:rsidRPr="005F7D29">
        <w:rPr>
          <w:rFonts w:cs="Times New Roman"/>
          <w:vertAlign w:val="superscript"/>
          <w:lang w:val="fr-CA"/>
        </w:rPr>
        <w:t>e</w:t>
      </w:r>
      <w:r w:rsidRPr="005F7D29">
        <w:rPr>
          <w:rFonts w:cs="Times New Roman"/>
          <w:lang w:val="fr-CA"/>
        </w:rPr>
        <w:t xml:space="preserve"> </w:t>
      </w:r>
      <w:proofErr w:type="spellStart"/>
      <w:r w:rsidRPr="005F7D29">
        <w:rPr>
          <w:rFonts w:cs="Times New Roman"/>
          <w:lang w:val="fr-CA"/>
        </w:rPr>
        <w:t>sess</w:t>
      </w:r>
      <w:proofErr w:type="spellEnd"/>
      <w:r w:rsidRPr="005F7D29">
        <w:rPr>
          <w:rFonts w:cs="Times New Roman"/>
          <w:lang w:val="fr-CA"/>
        </w:rPr>
        <w:t>., 34</w:t>
      </w:r>
      <w:r w:rsidRPr="005F7D29">
        <w:rPr>
          <w:rFonts w:cs="Times New Roman"/>
          <w:vertAlign w:val="superscript"/>
          <w:lang w:val="fr-CA"/>
        </w:rPr>
        <w:t>e</w:t>
      </w:r>
      <w:r w:rsidRPr="005F7D29">
        <w:rPr>
          <w:rFonts w:cs="Times New Roman"/>
          <w:lang w:val="fr-CA"/>
        </w:rPr>
        <w:t xml:space="preserve"> </w:t>
      </w:r>
      <w:proofErr w:type="spellStart"/>
      <w:r w:rsidRPr="005F7D29">
        <w:rPr>
          <w:rFonts w:cs="Times New Roman"/>
          <w:lang w:val="fr-CA"/>
        </w:rPr>
        <w:t>lég</w:t>
      </w:r>
      <w:proofErr w:type="spellEnd"/>
      <w:r w:rsidRPr="005F7D29">
        <w:rPr>
          <w:rFonts w:cs="Times New Roman"/>
          <w:lang w:val="fr-CA"/>
        </w:rPr>
        <w:t>., 2</w:t>
      </w:r>
      <w:r>
        <w:rPr>
          <w:rFonts w:cs="Times New Roman"/>
          <w:lang w:val="fr-CA"/>
        </w:rPr>
        <w:t>4 </w:t>
      </w:r>
      <w:r w:rsidRPr="005F7D29">
        <w:rPr>
          <w:rFonts w:cs="Times New Roman"/>
          <w:lang w:val="fr-CA"/>
        </w:rPr>
        <w:t>novembre 1992, à 5:61). Le député de la circonscription de Halifax Ouest a affirmé qu’il n’était pas favorable à ce que les non</w:t>
      </w:r>
      <w:r w:rsidRPr="005F7D29">
        <w:rPr>
          <w:rFonts w:cs="Times New Roman"/>
          <w:lang w:val="fr-CA"/>
        </w:rPr>
        <w:noBreakHyphen/>
        <w:t>résidents votent « sans aucune restriction », et qu’ils devraient donc être « rattachés d’une façon ou d’une autre [. . .] à leur circonscription [. . .] avant d’être autorisés à voter dans une circonscription particulière » (Chambre des communes,</w:t>
      </w:r>
      <w:r w:rsidRPr="005F7D29">
        <w:rPr>
          <w:rFonts w:cs="Times New Roman"/>
          <w:i/>
          <w:lang w:val="fr-CA"/>
        </w:rPr>
        <w:t xml:space="preserve"> Procès</w:t>
      </w:r>
      <w:r w:rsidRPr="005F7D29">
        <w:rPr>
          <w:rFonts w:cs="Times New Roman"/>
          <w:i/>
          <w:lang w:val="fr-CA"/>
        </w:rPr>
        <w:noBreakHyphen/>
        <w:t>verbaux et témoignages du Comité spécial sur la réforme électorale</w:t>
      </w:r>
      <w:r w:rsidRPr="005F7D29">
        <w:rPr>
          <w:rFonts w:cs="Times New Roman"/>
          <w:lang w:val="fr-CA"/>
        </w:rPr>
        <w:t>, n</w:t>
      </w:r>
      <w:r w:rsidRPr="005F7D29">
        <w:rPr>
          <w:rFonts w:cs="Times New Roman"/>
          <w:vertAlign w:val="superscript"/>
          <w:lang w:val="fr-CA"/>
        </w:rPr>
        <w:t>o</w:t>
      </w:r>
      <w:r w:rsidRPr="005F7D29">
        <w:rPr>
          <w:rFonts w:cs="Times New Roman"/>
          <w:lang w:val="fr-CA"/>
        </w:rPr>
        <w:t> 3, 3</w:t>
      </w:r>
      <w:r w:rsidRPr="005F7D29">
        <w:rPr>
          <w:rFonts w:cs="Times New Roman"/>
          <w:vertAlign w:val="superscript"/>
          <w:lang w:val="fr-CA"/>
        </w:rPr>
        <w:t>e</w:t>
      </w:r>
      <w:r w:rsidRPr="005F7D29">
        <w:rPr>
          <w:rFonts w:cs="Times New Roman"/>
          <w:lang w:val="fr-CA"/>
        </w:rPr>
        <w:t xml:space="preserve"> </w:t>
      </w:r>
      <w:proofErr w:type="spellStart"/>
      <w:r w:rsidRPr="005F7D29">
        <w:rPr>
          <w:rFonts w:cs="Times New Roman"/>
          <w:lang w:val="fr-CA"/>
        </w:rPr>
        <w:t>sess</w:t>
      </w:r>
      <w:proofErr w:type="spellEnd"/>
      <w:r w:rsidRPr="005F7D29">
        <w:rPr>
          <w:rFonts w:cs="Times New Roman"/>
          <w:lang w:val="fr-CA"/>
        </w:rPr>
        <w:t>., 34</w:t>
      </w:r>
      <w:r w:rsidRPr="005F7D29">
        <w:rPr>
          <w:rFonts w:cs="Times New Roman"/>
          <w:vertAlign w:val="superscript"/>
          <w:lang w:val="fr-CA"/>
        </w:rPr>
        <w:t>e</w:t>
      </w:r>
      <w:r w:rsidRPr="005F7D29">
        <w:rPr>
          <w:rFonts w:cs="Times New Roman"/>
          <w:lang w:val="fr-CA"/>
        </w:rPr>
        <w:t xml:space="preserve"> </w:t>
      </w:r>
      <w:proofErr w:type="spellStart"/>
      <w:r w:rsidRPr="005F7D29">
        <w:rPr>
          <w:rFonts w:cs="Times New Roman"/>
          <w:lang w:val="fr-CA"/>
        </w:rPr>
        <w:t>lég</w:t>
      </w:r>
      <w:proofErr w:type="spellEnd"/>
      <w:r w:rsidRPr="005F7D29">
        <w:rPr>
          <w:rFonts w:cs="Times New Roman"/>
          <w:lang w:val="fr-CA"/>
        </w:rPr>
        <w:t>., 25 mars 1992, à 3:30</w:t>
      </w:r>
      <w:r w:rsidRPr="005F7D29">
        <w:rPr>
          <w:rFonts w:cs="Times New Roman"/>
          <w:lang w:val="fr-CA"/>
        </w:rPr>
        <w:noBreakHyphen/>
        <w:t>3:31). Ces commentaires font écho à des discussions antérieures qui ont eu lieu en 1984, lors desquelles le député de la circonscription de Kenora</w:t>
      </w:r>
      <w:r w:rsidRPr="005F7D29">
        <w:rPr>
          <w:rFonts w:cs="Times New Roman"/>
          <w:lang w:val="fr-CA"/>
        </w:rPr>
        <w:noBreakHyphen/>
      </w:r>
      <w:proofErr w:type="spellStart"/>
      <w:r w:rsidRPr="005F7D29">
        <w:rPr>
          <w:rFonts w:cs="Times New Roman"/>
          <w:lang w:val="fr-CA"/>
        </w:rPr>
        <w:t>Rainy</w:t>
      </w:r>
      <w:proofErr w:type="spellEnd"/>
      <w:r w:rsidRPr="005F7D29">
        <w:rPr>
          <w:rFonts w:cs="Times New Roman"/>
          <w:lang w:val="fr-CA"/>
        </w:rPr>
        <w:t xml:space="preserve"> River a signalé que le vote des non</w:t>
      </w:r>
      <w:r w:rsidRPr="005F7D29">
        <w:rPr>
          <w:rFonts w:cs="Times New Roman"/>
          <w:lang w:val="fr-CA"/>
        </w:rPr>
        <w:noBreakHyphen/>
        <w:t>résidents ne devrait pas être permis au point que cela « porte atteinte [. . .] aux prérogatives de l’électorat local » (Chambre des communes,</w:t>
      </w:r>
      <w:r w:rsidRPr="005F7D29">
        <w:rPr>
          <w:rFonts w:cs="Times New Roman"/>
          <w:i/>
          <w:lang w:val="fr-CA"/>
        </w:rPr>
        <w:t xml:space="preserve"> Procès</w:t>
      </w:r>
      <w:r w:rsidRPr="005F7D29">
        <w:rPr>
          <w:rFonts w:cs="Times New Roman"/>
          <w:i/>
          <w:lang w:val="fr-CA"/>
        </w:rPr>
        <w:noBreakHyphen/>
        <w:t xml:space="preserve">verbaux et témoignages du Comité permanent des privilèges et élections </w:t>
      </w:r>
      <w:r w:rsidRPr="005F7D29">
        <w:rPr>
          <w:rFonts w:cs="Times New Roman"/>
          <w:lang w:val="fr-CA"/>
        </w:rPr>
        <w:t>(sur le rapport statutaire de 1983 du Directeur général des élections), n</w:t>
      </w:r>
      <w:r w:rsidRPr="005F7D29">
        <w:rPr>
          <w:rFonts w:cs="Times New Roman"/>
          <w:vertAlign w:val="superscript"/>
          <w:lang w:val="fr-CA"/>
        </w:rPr>
        <w:t>o</w:t>
      </w:r>
      <w:r w:rsidRPr="005F7D29">
        <w:rPr>
          <w:rFonts w:cs="Times New Roman"/>
          <w:lang w:val="fr-CA"/>
        </w:rPr>
        <w:t> 2, 2</w:t>
      </w:r>
      <w:r w:rsidRPr="005F7D29">
        <w:rPr>
          <w:rFonts w:cs="Times New Roman"/>
          <w:vertAlign w:val="superscript"/>
          <w:lang w:val="fr-CA"/>
        </w:rPr>
        <w:t>e</w:t>
      </w:r>
      <w:r w:rsidRPr="005F7D29">
        <w:rPr>
          <w:rFonts w:cs="Times New Roman"/>
          <w:lang w:val="fr-CA"/>
        </w:rPr>
        <w:t xml:space="preserve"> </w:t>
      </w:r>
      <w:proofErr w:type="spellStart"/>
      <w:r w:rsidRPr="005F7D29">
        <w:rPr>
          <w:rFonts w:cs="Times New Roman"/>
          <w:lang w:val="fr-CA"/>
        </w:rPr>
        <w:t>sess</w:t>
      </w:r>
      <w:proofErr w:type="spellEnd"/>
      <w:r w:rsidRPr="005F7D29">
        <w:rPr>
          <w:rFonts w:cs="Times New Roman"/>
          <w:lang w:val="fr-CA"/>
        </w:rPr>
        <w:t xml:space="preserve">., 32 </w:t>
      </w:r>
      <w:proofErr w:type="spellStart"/>
      <w:r w:rsidRPr="005F7D29">
        <w:rPr>
          <w:rFonts w:cs="Times New Roman"/>
          <w:lang w:val="fr-CA"/>
        </w:rPr>
        <w:t>lég</w:t>
      </w:r>
      <w:proofErr w:type="spellEnd"/>
      <w:r w:rsidRPr="005F7D29">
        <w:rPr>
          <w:rFonts w:cs="Times New Roman"/>
          <w:lang w:val="fr-CA"/>
        </w:rPr>
        <w:t>., 27 mars 1984, à 1:30). Comme le montrent ces extraits, des discussions législatives entreprises dans les années 1980, et se poursuivant jusqu’au processus de modification de 1993, témoignent d’une préoccupation constante que les électeurs conservent un certain lien actuel avec leurs collectivités.</w:t>
      </w:r>
    </w:p>
    <w:p w:rsidR="001244E7" w:rsidRPr="005F7D29" w:rsidRDefault="001244E7" w:rsidP="001244E7">
      <w:pPr>
        <w:pStyle w:val="Title3LevelTitre3Niveau"/>
        <w:rPr>
          <w:rFonts w:cs="Times New Roman"/>
          <w:lang w:val="fr-CA"/>
        </w:rPr>
      </w:pPr>
      <w:r w:rsidRPr="005F7D29">
        <w:rPr>
          <w:rFonts w:cs="Times New Roman"/>
          <w:lang w:val="fr-CA"/>
        </w:rPr>
        <w:t>Évaluation de l’objectif</w:t>
      </w:r>
    </w:p>
    <w:p w:rsidR="001244E7" w:rsidRPr="005F7D29" w:rsidRDefault="001244E7" w:rsidP="001244E7">
      <w:pPr>
        <w:pStyle w:val="ParaNoNdepar-AltN"/>
        <w:rPr>
          <w:rFonts w:cs="Times New Roman"/>
          <w:lang w:val="fr-CA"/>
        </w:rPr>
      </w:pPr>
      <w:r w:rsidRPr="005F7D29">
        <w:rPr>
          <w:rFonts w:cs="Times New Roman"/>
          <w:lang w:val="fr-CA"/>
        </w:rPr>
        <w:t xml:space="preserve">Suivant l’arrêt </w:t>
      </w:r>
      <w:proofErr w:type="spellStart"/>
      <w:r w:rsidRPr="005F7D29">
        <w:rPr>
          <w:rFonts w:cs="Times New Roman"/>
          <w:i/>
          <w:lang w:val="fr-CA"/>
        </w:rPr>
        <w:t>Oakes</w:t>
      </w:r>
      <w:proofErr w:type="spellEnd"/>
      <w:r w:rsidRPr="005F7D29">
        <w:rPr>
          <w:rFonts w:cs="Times New Roman"/>
          <w:lang w:val="fr-CA"/>
        </w:rPr>
        <w:t>, nous devons nous demander si l’objectif qui sous</w:t>
      </w:r>
      <w:r w:rsidRPr="005F7D29">
        <w:rPr>
          <w:rFonts w:cs="Times New Roman"/>
          <w:lang w:val="fr-CA"/>
        </w:rPr>
        <w:noBreakHyphen/>
        <w:t xml:space="preserve">tend la limite des droits — en l’espèce, l’objectif qui consiste à étendre le droit de vote à un plus grand nombre de Canadiens tout en veillant à ce que les électeurs </w:t>
      </w:r>
      <w:r w:rsidRPr="005F7D29">
        <w:rPr>
          <w:rFonts w:cs="Times New Roman"/>
          <w:lang w:val="fr-CA"/>
        </w:rPr>
        <w:lastRenderedPageBreak/>
        <w:t>conservent un certain lien actuel avec leurs collectivités — est « urgent et réel ». Nous concluons qu’il l’est. Dans l’analyse qui suit, nous aborderons d’abord la question préliminaire de savoir comment les tribunaux devraient examiner les objectifs législatifs dans le contexte des droits de vote, comme celui en cause en l’espèce, qui ont un fondement philosophique. Ensuite, nous examinerons l’objectif particulier que nous avons cerné et expliquerons pourquoi il est urgent et réel.</w:t>
      </w:r>
    </w:p>
    <w:p w:rsidR="001244E7" w:rsidRPr="005F7D29" w:rsidRDefault="001244E7" w:rsidP="00124081">
      <w:pPr>
        <w:pStyle w:val="Title4LevelTitre4Niveau"/>
        <w:rPr>
          <w:lang w:val="fr-CA"/>
        </w:rPr>
      </w:pPr>
      <w:r w:rsidRPr="005F7D29">
        <w:rPr>
          <w:lang w:val="fr-CA"/>
        </w:rPr>
        <w:t>Définition des frontières du droit de vote</w:t>
      </w:r>
    </w:p>
    <w:p w:rsidR="001244E7" w:rsidRPr="005F7D29" w:rsidRDefault="001244E7" w:rsidP="001244E7">
      <w:pPr>
        <w:pStyle w:val="ParaNoNdepar-AltN"/>
        <w:rPr>
          <w:rFonts w:cs="Times New Roman"/>
          <w:lang w:val="fr-CA"/>
        </w:rPr>
      </w:pPr>
      <w:r w:rsidRPr="005F7D29">
        <w:rPr>
          <w:rFonts w:cs="Times New Roman"/>
          <w:lang w:val="fr-CA"/>
        </w:rPr>
        <w:t xml:space="preserve">Lors de l’évaluation des objectifs législatifs dans le cadre d’une analyse des limites, les tribunaux doivent reconnaître que le législateur peut viser une foule d’objectifs de toutes sortes. Alors que certaines lois ont pour but de s’attaquer à des problèmes distincts et précis, d’autres lois visent des objectifs philosophiques plus larges, sans nécessairement cibler un « problème » ou un </w:t>
      </w:r>
      <w:r>
        <w:rPr>
          <w:rFonts w:cs="Times New Roman"/>
          <w:lang w:val="fr-CA"/>
        </w:rPr>
        <w:t>« </w:t>
      </w:r>
      <w:r w:rsidRPr="005F7D29">
        <w:rPr>
          <w:rFonts w:cs="Times New Roman"/>
          <w:lang w:val="fr-CA"/>
        </w:rPr>
        <w:t>méfait</w:t>
      </w:r>
      <w:r>
        <w:rPr>
          <w:rFonts w:cs="Times New Roman"/>
          <w:lang w:val="fr-CA"/>
        </w:rPr>
        <w:t> »</w:t>
      </w:r>
      <w:r w:rsidRPr="005F7D29">
        <w:rPr>
          <w:rFonts w:cs="Times New Roman"/>
          <w:lang w:val="fr-CA"/>
        </w:rPr>
        <w:t xml:space="preserve"> identifiable. Tout comme il peut validement « légiférer en se fondant sur une certaine conception fondamentale de la moralité » (</w:t>
      </w:r>
      <w:r w:rsidRPr="005F7D29">
        <w:rPr>
          <w:rFonts w:cs="Times New Roman"/>
          <w:i/>
          <w:lang w:val="fr-CA"/>
        </w:rPr>
        <w:t>R. c. Butler</w:t>
      </w:r>
      <w:r w:rsidRPr="005F7D29">
        <w:rPr>
          <w:rFonts w:cs="Times New Roman"/>
          <w:lang w:val="fr-CA"/>
        </w:rPr>
        <w:t>, [1992] 1 R.C.S. 452, p. 493), le Parlement peut aussi légiférer en fonction de conceptions normatives de ce que constitue la communauté politique canadienne et de la meilleure manière d’assurer sa protection et son épanouissement. Dans un cas comme dans l’autre, il n’est pas nécessaire de faire la preuve d’un « préjudice concret » pour établir qu’un objectif déclaré est urgent et réel (</w:t>
      </w:r>
      <w:r w:rsidRPr="005F7D29">
        <w:rPr>
          <w:rFonts w:cs="Times New Roman"/>
          <w:i/>
          <w:lang w:val="fr-CA"/>
        </w:rPr>
        <w:t>Harper c. Canada (Procureur général)</w:t>
      </w:r>
      <w:r w:rsidRPr="005F7D29">
        <w:rPr>
          <w:rFonts w:cs="Times New Roman"/>
          <w:lang w:val="fr-CA"/>
        </w:rPr>
        <w:t xml:space="preserve">, 2004 CSC 33, [2004] 1 R.C.S. 827, par. 93). </w:t>
      </w:r>
    </w:p>
    <w:p w:rsidR="001244E7" w:rsidRPr="005F7D29" w:rsidRDefault="001244E7" w:rsidP="001244E7">
      <w:pPr>
        <w:pStyle w:val="ParaNoNdepar-AltN"/>
        <w:rPr>
          <w:rFonts w:cs="Times New Roman"/>
          <w:lang w:val="fr-CA"/>
        </w:rPr>
      </w:pPr>
      <w:r w:rsidRPr="005F7D29">
        <w:rPr>
          <w:rFonts w:cs="Times New Roman"/>
          <w:lang w:val="fr-CA"/>
        </w:rPr>
        <w:lastRenderedPageBreak/>
        <w:t xml:space="preserve">En conséquence, en mettant l’accent sur le problème ou le méfait, on perd de vue la raison pour laquelle le Parlement a agi comme il l’a fait en l’espèce. L’objectif du Parlement dans la présente affaire — faire en sorte qu’un certain lien actuel soit maintenu entre les électeurs et leurs collectivités — s’inspire manifestement d’une compréhension philosophique morale particulière de la relation entre le citoyen et l’État dans une démocratie. En outre, cet objectif concorde parfaitement avec « la reconnaissance nécessaire » que notre Cour a exprimée dans </w:t>
      </w:r>
      <w:r w:rsidRPr="005F7D29">
        <w:rPr>
          <w:rFonts w:cs="Times New Roman"/>
          <w:i/>
          <w:lang w:val="fr-CA"/>
        </w:rPr>
        <w:t>Renvoi : Circ. électorales provinciales (</w:t>
      </w:r>
      <w:proofErr w:type="spellStart"/>
      <w:r w:rsidRPr="005F7D29">
        <w:rPr>
          <w:rFonts w:cs="Times New Roman"/>
          <w:i/>
          <w:lang w:val="fr-CA"/>
        </w:rPr>
        <w:t>Sask</w:t>
      </w:r>
      <w:proofErr w:type="spellEnd"/>
      <w:r w:rsidRPr="005F7D29">
        <w:rPr>
          <w:rFonts w:cs="Times New Roman"/>
          <w:i/>
          <w:lang w:val="fr-CA"/>
        </w:rPr>
        <w:t>.)</w:t>
      </w:r>
      <w:r w:rsidRPr="005F7D29">
        <w:rPr>
          <w:rFonts w:cs="Times New Roman"/>
          <w:lang w:val="fr-CA"/>
        </w:rPr>
        <w:t>, [1991] 2 R.</w:t>
      </w:r>
      <w:r>
        <w:rPr>
          <w:rFonts w:cs="Times New Roman"/>
          <w:lang w:val="fr-CA"/>
        </w:rPr>
        <w:t>C.S.</w:t>
      </w:r>
      <w:r w:rsidRPr="005F7D29">
        <w:rPr>
          <w:rFonts w:cs="Times New Roman"/>
          <w:lang w:val="fr-CA"/>
        </w:rPr>
        <w:t xml:space="preserve"> 158, p. 188</w:t>
      </w:r>
      <w:r>
        <w:rPr>
          <w:rFonts w:cs="Times New Roman"/>
          <w:lang w:val="fr-CA"/>
        </w:rPr>
        <w:t>,</w:t>
      </w:r>
      <w:r w:rsidRPr="005F7D29">
        <w:rPr>
          <w:rFonts w:cs="Times New Roman"/>
          <w:lang w:val="fr-CA"/>
        </w:rPr>
        <w:t xml:space="preserve"> « des cultures et des groupes et l’amélioration de la participation des particuliers au processus électoral et à la société [qui] exigent que l’on tienne également</w:t>
      </w:r>
      <w:r w:rsidR="004D2D91">
        <w:rPr>
          <w:rFonts w:cs="Times New Roman"/>
          <w:lang w:val="fr-CA"/>
        </w:rPr>
        <w:t xml:space="preserve"> compte d’autres préoccupations</w:t>
      </w:r>
      <w:r w:rsidRPr="005F7D29">
        <w:rPr>
          <w:rFonts w:cs="Times New Roman"/>
          <w:lang w:val="fr-CA"/>
        </w:rPr>
        <w:t> »</w:t>
      </w:r>
      <w:r w:rsidR="004D2D91">
        <w:rPr>
          <w:rFonts w:cs="Times New Roman"/>
          <w:lang w:val="fr-CA"/>
        </w:rPr>
        <w:t>.</w:t>
      </w:r>
      <w:r w:rsidRPr="005F7D29">
        <w:rPr>
          <w:rFonts w:cs="Times New Roman"/>
          <w:lang w:val="fr-CA"/>
        </w:rPr>
        <w:t xml:space="preserve"> En conséquence, la mesure ne ciblait pas un « problème » ou un « méfait » empiriquement démontrable, mais visait plutôt à circonscrire en quoi consiste un droit garanti par la </w:t>
      </w:r>
      <w:r w:rsidRPr="005F7D29">
        <w:rPr>
          <w:rFonts w:cs="Times New Roman"/>
          <w:i/>
          <w:lang w:val="fr-CA"/>
        </w:rPr>
        <w:t xml:space="preserve">Charte </w:t>
      </w:r>
      <w:r w:rsidRPr="005F7D29">
        <w:rPr>
          <w:rFonts w:cs="Times New Roman"/>
          <w:lang w:val="fr-CA"/>
        </w:rPr>
        <w:t>qui, bien que libellé en termes absolus (« </w:t>
      </w:r>
      <w:r w:rsidRPr="009A6847">
        <w:rPr>
          <w:rFonts w:cs="Times New Roman"/>
          <w:u w:val="single"/>
          <w:lang w:val="fr-CA"/>
        </w:rPr>
        <w:t>[t]</w:t>
      </w:r>
      <w:r w:rsidRPr="005F7D29">
        <w:rPr>
          <w:rFonts w:cs="Times New Roman"/>
          <w:u w:val="single"/>
          <w:lang w:val="fr-CA"/>
        </w:rPr>
        <w:t>out</w:t>
      </w:r>
      <w:r w:rsidRPr="005F7D29">
        <w:rPr>
          <w:rFonts w:cs="Times New Roman"/>
          <w:i/>
          <w:u w:val="single"/>
          <w:lang w:val="fr-CA"/>
        </w:rPr>
        <w:t xml:space="preserve"> </w:t>
      </w:r>
      <w:r w:rsidRPr="005F7D29">
        <w:rPr>
          <w:rFonts w:cs="Times New Roman"/>
          <w:u w:val="single"/>
          <w:lang w:val="fr-CA"/>
        </w:rPr>
        <w:t>citoyen canadien</w:t>
      </w:r>
      <w:r w:rsidRPr="005F7D29">
        <w:rPr>
          <w:rFonts w:cs="Times New Roman"/>
          <w:i/>
          <w:lang w:val="fr-CA"/>
        </w:rPr>
        <w:t xml:space="preserve"> </w:t>
      </w:r>
      <w:r w:rsidRPr="005F7D29">
        <w:rPr>
          <w:rFonts w:cs="Times New Roman"/>
          <w:lang w:val="fr-CA"/>
        </w:rPr>
        <w:t xml:space="preserve">a le droit de vote »), </w:t>
      </w:r>
      <w:r w:rsidRPr="00124081">
        <w:rPr>
          <w:rFonts w:cs="Times New Roman"/>
          <w:i/>
          <w:lang w:val="fr-CA"/>
        </w:rPr>
        <w:t>n’</w:t>
      </w:r>
      <w:r w:rsidRPr="005F7D29">
        <w:rPr>
          <w:rFonts w:cs="Times New Roman"/>
          <w:lang w:val="fr-CA"/>
        </w:rPr>
        <w:t xml:space="preserve">est </w:t>
      </w:r>
      <w:r w:rsidRPr="005F7D29">
        <w:rPr>
          <w:rFonts w:cs="Times New Roman"/>
          <w:i/>
          <w:lang w:val="fr-CA"/>
        </w:rPr>
        <w:t>pas</w:t>
      </w:r>
      <w:r w:rsidRPr="005F7D29">
        <w:rPr>
          <w:rFonts w:cs="Times New Roman"/>
          <w:lang w:val="fr-CA"/>
        </w:rPr>
        <w:t xml:space="preserve"> absolu. S’il en était autrement, l’article premier perdrait son sens en l’espèce. Autrement dit, le Parlement tentait de façon tout à fait appropriée de circonscrire les frontières du droit en édictant une loi régissant les conditions relatives aux élections — en l’espèce, en traçant une ligne de démarcation qui s’arrête aux citoyens qui entretiennent un lien actuel avec la collectivité dans laquelle ils veulent exprimer leur suffrage.</w:t>
      </w:r>
    </w:p>
    <w:p w:rsidR="001244E7" w:rsidRPr="005F7D29" w:rsidRDefault="001244E7" w:rsidP="001244E7">
      <w:pPr>
        <w:pStyle w:val="ParaNoNdepar-AltN"/>
        <w:rPr>
          <w:rFonts w:cs="Times New Roman"/>
          <w:lang w:val="fr-CA"/>
        </w:rPr>
      </w:pPr>
      <w:r w:rsidRPr="005F7D29">
        <w:rPr>
          <w:rFonts w:cs="Times New Roman"/>
          <w:lang w:val="fr-CA"/>
        </w:rPr>
        <w:t xml:space="preserve">Les juges majoritaires affirment que la </w:t>
      </w:r>
      <w:r w:rsidRPr="005F7D29">
        <w:rPr>
          <w:rFonts w:cs="Times New Roman"/>
          <w:i/>
          <w:lang w:val="fr-CA"/>
        </w:rPr>
        <w:t>Charte</w:t>
      </w:r>
      <w:r w:rsidRPr="005F7D29">
        <w:rPr>
          <w:rFonts w:cs="Times New Roman"/>
          <w:lang w:val="fr-CA"/>
        </w:rPr>
        <w:t xml:space="preserve"> « rattache les droits de vote à la citoyenneté, et seulement à la citoyenneté » (par. 29) et cette approche ne laisse aucune place à une analyse sérieuse des limites. Dans </w:t>
      </w:r>
      <w:r w:rsidRPr="005F7D29">
        <w:rPr>
          <w:rFonts w:cs="Times New Roman"/>
          <w:i/>
          <w:lang w:val="fr-CA"/>
        </w:rPr>
        <w:t>Sauvé n</w:t>
      </w:r>
      <w:r w:rsidRPr="005F7D29">
        <w:rPr>
          <w:rFonts w:cs="Times New Roman"/>
          <w:i/>
          <w:vertAlign w:val="superscript"/>
          <w:lang w:val="fr-CA"/>
        </w:rPr>
        <w:t>o</w:t>
      </w:r>
      <w:r w:rsidRPr="005F7D29">
        <w:rPr>
          <w:rFonts w:cs="Times New Roman"/>
          <w:i/>
          <w:lang w:val="fr-CA"/>
        </w:rPr>
        <w:t> 2</w:t>
      </w:r>
      <w:r w:rsidRPr="005F7D29">
        <w:rPr>
          <w:rFonts w:cs="Times New Roman"/>
          <w:lang w:val="fr-CA"/>
        </w:rPr>
        <w:t xml:space="preserve">, notre Cour n’est pas </w:t>
      </w:r>
      <w:r w:rsidRPr="005F7D29">
        <w:rPr>
          <w:rFonts w:cs="Times New Roman"/>
          <w:lang w:val="fr-CA"/>
        </w:rPr>
        <w:lastRenderedPageBreak/>
        <w:t xml:space="preserve">allée jusqu’à énoncer le droit garanti par l’art. 3 en termes aussi absolutistes; de fait, l’affirmation même selon laquelle le droit de vote garanti par l’art. 3 « ne peut être écarté [. . .] à la légère » et doit être soumis à « une norme stricte en matière de justification » confirme justement que la limite de ce droit </w:t>
      </w:r>
      <w:r w:rsidRPr="005F7D29">
        <w:rPr>
          <w:rFonts w:cs="Times New Roman"/>
          <w:i/>
          <w:lang w:val="fr-CA"/>
        </w:rPr>
        <w:t>peut</w:t>
      </w:r>
      <w:r w:rsidRPr="005F7D29">
        <w:rPr>
          <w:rFonts w:cs="Times New Roman"/>
          <w:lang w:val="fr-CA"/>
        </w:rPr>
        <w:t xml:space="preserve"> être justifiée (</w:t>
      </w:r>
      <w:r w:rsidRPr="005F7D29">
        <w:rPr>
          <w:rFonts w:cs="Times New Roman"/>
          <w:i/>
          <w:lang w:val="fr-CA"/>
        </w:rPr>
        <w:t>Sauvé n</w:t>
      </w:r>
      <w:r w:rsidRPr="005F7D29">
        <w:rPr>
          <w:rFonts w:cs="Times New Roman"/>
          <w:i/>
          <w:vertAlign w:val="superscript"/>
          <w:lang w:val="fr-CA"/>
        </w:rPr>
        <w:t>o</w:t>
      </w:r>
      <w:r w:rsidRPr="005F7D29">
        <w:rPr>
          <w:rFonts w:cs="Times New Roman"/>
          <w:i/>
          <w:lang w:val="fr-CA"/>
        </w:rPr>
        <w:t> 2</w:t>
      </w:r>
      <w:r w:rsidRPr="005F7D29">
        <w:rPr>
          <w:rFonts w:cs="Times New Roman"/>
          <w:lang w:val="fr-CA"/>
        </w:rPr>
        <w:t xml:space="preserve">, par. 14). De plus, l’affirmation des juges majoritaires selon laquelle l’art. 3 ne peut être écarté par l’application de la disposition de dérogation de l’art. 33 ne devrait pas, à notre avis, être interprétée comme conférant aux tribunaux le pouvoir d’annuler des dispositions législatives parce que ces tribunaux ne sont pas d’accord avec les objectifs de principe du Parlement lorsque ce dernier a légiféré sur l’exercice du droit de vote. Elle devrait plutôt encourager les tribunaux à faire preuve de retenue lors de l’examen de ces objectifs, car une conclusion d’inconstitutionnalité empêcherait absolument le Parlement de les poursuivre. Trois considérations étayent la thèse selon laquelle le Parlement peut, à l’intérieur de certaines limites, circonscrire la portée des droits de vote en application de l’article premier. </w:t>
      </w:r>
    </w:p>
    <w:p w:rsidR="001244E7" w:rsidRPr="005F7D29" w:rsidRDefault="001244E7" w:rsidP="001244E7">
      <w:pPr>
        <w:pStyle w:val="ParaNoNdepar-AltN"/>
        <w:rPr>
          <w:rFonts w:cs="Times New Roman"/>
          <w:lang w:val="fr-CA"/>
        </w:rPr>
      </w:pPr>
      <w:r w:rsidRPr="005F7D29">
        <w:rPr>
          <w:rFonts w:cs="Times New Roman"/>
          <w:lang w:val="fr-CA"/>
        </w:rPr>
        <w:t xml:space="preserve">Premièrement, alors que la plupart des droits garantis par la </w:t>
      </w:r>
      <w:r w:rsidRPr="005F7D29">
        <w:rPr>
          <w:rFonts w:cs="Times New Roman"/>
          <w:i/>
          <w:iCs/>
          <w:lang w:val="fr-CA"/>
        </w:rPr>
        <w:t>Charte</w:t>
      </w:r>
      <w:r w:rsidRPr="005F7D29">
        <w:rPr>
          <w:rFonts w:cs="Times New Roman"/>
          <w:lang w:val="fr-CA"/>
        </w:rPr>
        <w:t xml:space="preserve"> sont </w:t>
      </w:r>
      <w:r w:rsidRPr="005F7D29">
        <w:rPr>
          <w:rFonts w:cs="Times New Roman"/>
          <w:i/>
          <w:iCs/>
          <w:lang w:val="fr-CA"/>
        </w:rPr>
        <w:t>négatifs</w:t>
      </w:r>
      <w:r w:rsidRPr="005F7D29">
        <w:rPr>
          <w:rFonts w:cs="Times New Roman"/>
          <w:lang w:val="fr-CA"/>
        </w:rPr>
        <w:t xml:space="preserve"> en ce qu’ils empêchent l’État d’agir d’une façon qui y porterait atteinte, le droit de vote est un droit </w:t>
      </w:r>
      <w:r w:rsidRPr="005F7D29">
        <w:rPr>
          <w:rFonts w:cs="Times New Roman"/>
          <w:i/>
          <w:lang w:val="fr-CA"/>
        </w:rPr>
        <w:t>positif</w:t>
      </w:r>
      <w:r w:rsidRPr="005F7D29">
        <w:rPr>
          <w:rFonts w:cs="Times New Roman"/>
          <w:lang w:val="fr-CA"/>
        </w:rPr>
        <w:t xml:space="preserve">. Il s’agit donc forcément, en partie du moins, d’un droit qui </w:t>
      </w:r>
      <w:r w:rsidRPr="005F7D29">
        <w:rPr>
          <w:rFonts w:cs="Times New Roman"/>
          <w:i/>
          <w:lang w:val="fr-CA"/>
        </w:rPr>
        <w:t>trouve son expression dans les</w:t>
      </w:r>
      <w:r w:rsidRPr="005F7D29">
        <w:rPr>
          <w:rFonts w:cs="Times New Roman"/>
          <w:lang w:val="fr-CA"/>
        </w:rPr>
        <w:t xml:space="preserve"> </w:t>
      </w:r>
      <w:r w:rsidRPr="005F7D29">
        <w:rPr>
          <w:rFonts w:cs="Times New Roman"/>
          <w:i/>
          <w:lang w:val="fr-CA"/>
        </w:rPr>
        <w:t>lois</w:t>
      </w:r>
      <w:r w:rsidRPr="005F7D29">
        <w:rPr>
          <w:rFonts w:cs="Times New Roman"/>
          <w:lang w:val="fr-CA"/>
        </w:rPr>
        <w:t>. Autrement dit, [</w:t>
      </w:r>
      <w:r w:rsidRPr="005F7D29">
        <w:rPr>
          <w:rFonts w:cs="Times New Roman"/>
          <w:smallCaps/>
          <w:lang w:val="fr-CA"/>
        </w:rPr>
        <w:t>traduction</w:t>
      </w:r>
      <w:r w:rsidRPr="005F7D29">
        <w:rPr>
          <w:rFonts w:cs="Times New Roman"/>
          <w:lang w:val="fr-CA"/>
        </w:rPr>
        <w:t>] « sa forme et son contenu sont donnés par les lois » qui précisent « les distinctions qui ne sont pas énoncées dans l’affirmation générale » (</w:t>
      </w:r>
      <w:proofErr w:type="spellStart"/>
      <w:r w:rsidRPr="005F7D29">
        <w:rPr>
          <w:rFonts w:cs="Times New Roman"/>
          <w:lang w:val="fr-CA"/>
        </w:rPr>
        <w:t>Ekins</w:t>
      </w:r>
      <w:proofErr w:type="spellEnd"/>
      <w:r w:rsidRPr="005F7D29">
        <w:rPr>
          <w:rFonts w:cs="Times New Roman"/>
          <w:lang w:val="fr-CA"/>
        </w:rPr>
        <w:t>, « </w:t>
      </w:r>
      <w:proofErr w:type="spellStart"/>
      <w:r w:rsidRPr="005F7D29">
        <w:rPr>
          <w:rFonts w:cs="Times New Roman"/>
          <w:lang w:val="fr-CA"/>
        </w:rPr>
        <w:t>Legislation</w:t>
      </w:r>
      <w:proofErr w:type="spellEnd"/>
      <w:r w:rsidRPr="005F7D29">
        <w:rPr>
          <w:rFonts w:cs="Times New Roman"/>
          <w:lang w:val="fr-CA"/>
        </w:rPr>
        <w:t xml:space="preserve"> as </w:t>
      </w:r>
      <w:proofErr w:type="spellStart"/>
      <w:r w:rsidRPr="005F7D29">
        <w:rPr>
          <w:rFonts w:cs="Times New Roman"/>
          <w:lang w:val="fr-CA"/>
        </w:rPr>
        <w:t>Reasoned</w:t>
      </w:r>
      <w:proofErr w:type="spellEnd"/>
      <w:r w:rsidRPr="005F7D29">
        <w:rPr>
          <w:rFonts w:cs="Times New Roman"/>
          <w:lang w:val="fr-CA"/>
        </w:rPr>
        <w:t xml:space="preserve"> Action »,</w:t>
      </w:r>
      <w:r w:rsidRPr="005F7D29" w:rsidDel="00CC0699">
        <w:rPr>
          <w:rFonts w:cs="Times New Roman"/>
          <w:lang w:val="fr-CA"/>
        </w:rPr>
        <w:t xml:space="preserve"> </w:t>
      </w:r>
      <w:r w:rsidRPr="005F7D29">
        <w:rPr>
          <w:rFonts w:cs="Times New Roman"/>
          <w:lang w:val="fr-CA"/>
        </w:rPr>
        <w:t>p. 102</w:t>
      </w:r>
      <w:r w:rsidRPr="005F7D29">
        <w:rPr>
          <w:rFonts w:cs="Times New Roman"/>
          <w:lang w:val="fr-CA"/>
        </w:rPr>
        <w:noBreakHyphen/>
        <w:t xml:space="preserve">103). Une loi comme telle n’est jamais conçue pour régler un problème ou pour redresser un méfait précis. Elle donne plutôt vie au droit, afin qu’il puisse être reconnu </w:t>
      </w:r>
      <w:r w:rsidRPr="005F7D29">
        <w:rPr>
          <w:rFonts w:cs="Times New Roman"/>
          <w:lang w:val="fr-CA"/>
        </w:rPr>
        <w:lastRenderedPageBreak/>
        <w:t>et exercé. Cela serait vrai pour la restriction en cause en l’espèce, mais aussi pour les règlements d’ordre pratique régissant les bureaux de scrutin, les heures de scrutin et les exigences relatives à l’identification des électeurs, lesquels déterminent tous, dans une certaine mesure, l’accès qu’ont les Canadiens au scrutin — ou, pour le dire plus généralement, la portée réelle du droit garanti par l’art. 3. Sur cette question, les juges majoritaires exagèrent nos divergences respectives lorsqu’ils affirment que les restrictions au droit de vote doivent être soulevées et justifiées en vertu de l’article premier, plutôt qu’incorporées à la portée du droit lui</w:t>
      </w:r>
      <w:r w:rsidRPr="005F7D29">
        <w:rPr>
          <w:rFonts w:cs="Times New Roman"/>
          <w:lang w:val="fr-CA"/>
        </w:rPr>
        <w:noBreakHyphen/>
        <w:t xml:space="preserve">même (par. 31 et 42). Personne ne conteste que les limites au droit de vote doivent être justifiées. Toutefois, contrairement aux juges majoritaires, nous estimons que certaines restrictions au droit de vote </w:t>
      </w:r>
      <w:r w:rsidRPr="005F7D29">
        <w:rPr>
          <w:rFonts w:cs="Times New Roman"/>
          <w:i/>
          <w:lang w:val="fr-CA"/>
        </w:rPr>
        <w:t>peuvent</w:t>
      </w:r>
      <w:r w:rsidRPr="005F7D29">
        <w:rPr>
          <w:rFonts w:cs="Times New Roman"/>
          <w:lang w:val="fr-CA"/>
        </w:rPr>
        <w:t xml:space="preserve"> être justifiées, parce qu’il est nécessaire de préciser dans une certaine mesure la portée du droit de vote (que ce soit en lien avec l’âge ou avec le caractère actuel du lien entre les électeurs et les collectivités). En raison de l’approche absolutiste des juges majoritaires relativement à l’analyse des limites, ceux</w:t>
      </w:r>
      <w:r w:rsidRPr="005F7D29">
        <w:rPr>
          <w:rFonts w:cs="Times New Roman"/>
          <w:lang w:val="fr-CA"/>
        </w:rPr>
        <w:noBreakHyphen/>
        <w:t>ci adoptent le point de vue contraire : la « citoyenneté », étant la seule qualification mentionnée à l’art. 3, est la seule exigence, et toute autre précision est nécessairement inconstitutionnelle (motifs des juges majoritaires, par. 29 et 35). Autrement dit, les juges majoritaires considèrent l’article premier comme lettre morte en ce qui concerne l’art. 3.</w:t>
      </w:r>
    </w:p>
    <w:p w:rsidR="001244E7" w:rsidRPr="005F7D29" w:rsidRDefault="001244E7" w:rsidP="001244E7">
      <w:pPr>
        <w:pStyle w:val="ParaNoNdepar-AltN"/>
        <w:rPr>
          <w:rFonts w:cs="Times New Roman"/>
          <w:lang w:val="fr-CA"/>
        </w:rPr>
      </w:pPr>
      <w:r w:rsidRPr="005F7D29">
        <w:rPr>
          <w:rFonts w:cs="Times New Roman"/>
          <w:lang w:val="fr-CA"/>
        </w:rPr>
        <w:t>Deuxièmement, la Loi</w:t>
      </w:r>
      <w:r w:rsidRPr="005F7D29">
        <w:rPr>
          <w:rFonts w:cs="Times New Roman"/>
          <w:i/>
          <w:lang w:val="fr-CA"/>
        </w:rPr>
        <w:t xml:space="preserve"> </w:t>
      </w:r>
      <w:r w:rsidRPr="005F7D29">
        <w:rPr>
          <w:rFonts w:cs="Times New Roman"/>
          <w:lang w:val="fr-CA"/>
        </w:rPr>
        <w:t>contient une gamme de restrictions au droit de vote qui, bien que non contestées en l’espèce, ne sont pas moins le fruit d’un raisonnement inévitablement philosophique et fondé sur des principes concernant le droit de vote démocratique que la restriction touchant le droit de vote des non</w:t>
      </w:r>
      <w:r w:rsidRPr="005F7D29">
        <w:rPr>
          <w:rFonts w:cs="Times New Roman"/>
          <w:lang w:val="fr-CA"/>
        </w:rPr>
        <w:noBreakHyphen/>
        <w:t xml:space="preserve">résidents à long terme. </w:t>
      </w:r>
      <w:r w:rsidRPr="005F7D29">
        <w:rPr>
          <w:rFonts w:cs="Times New Roman"/>
          <w:lang w:val="fr-CA"/>
        </w:rPr>
        <w:lastRenderedPageBreak/>
        <w:t>En particulier, la Loi</w:t>
      </w:r>
      <w:r w:rsidRPr="005F7D29">
        <w:rPr>
          <w:rFonts w:cs="Times New Roman"/>
          <w:i/>
          <w:lang w:val="fr-CA"/>
        </w:rPr>
        <w:t xml:space="preserve"> </w:t>
      </w:r>
      <w:r w:rsidRPr="005F7D29">
        <w:rPr>
          <w:rFonts w:cs="Times New Roman"/>
          <w:lang w:val="fr-CA"/>
        </w:rPr>
        <w:t>empêche de voter les citoyens canadiens qui n’ont jamais vécu au Canada. Encore une fois, le Parlement, lorsqu’il a circonscrit le droit garanti à l’art. 3, a estimé qu’une personne qui n’est pas née au Canada, qui n’a jamais vécu au Canada et qui n’aura peut</w:t>
      </w:r>
      <w:r w:rsidRPr="005F7D29">
        <w:rPr>
          <w:rFonts w:cs="Times New Roman"/>
          <w:lang w:val="fr-CA"/>
        </w:rPr>
        <w:noBreakHyphen/>
        <w:t xml:space="preserve">être jamais l’intention de vivre au Canada n’a pas le droit inconditionnel de voter. Bien entendu, l’argument des juges majoritaires voulant que la </w:t>
      </w:r>
      <w:r w:rsidRPr="005F7D29">
        <w:rPr>
          <w:rFonts w:cs="Times New Roman"/>
          <w:i/>
          <w:lang w:val="fr-CA"/>
        </w:rPr>
        <w:t>Charte</w:t>
      </w:r>
      <w:r w:rsidRPr="005F7D29">
        <w:rPr>
          <w:rFonts w:cs="Times New Roman"/>
          <w:lang w:val="fr-CA"/>
        </w:rPr>
        <w:t xml:space="preserve"> « rattache les droits de vote à la citoyenneté, et seulement à la citoyenneté » (par. 29) a pour conséquence logique que cette restriction est injustifiable et donc inconstitutionnelle — ce qui signifie que le Parlement ne peut interdire à un citoyen qui n’a </w:t>
      </w:r>
      <w:r w:rsidRPr="005F7D29">
        <w:rPr>
          <w:rFonts w:cs="Times New Roman"/>
          <w:i/>
          <w:lang w:val="fr-CA"/>
        </w:rPr>
        <w:t xml:space="preserve">jamais </w:t>
      </w:r>
      <w:r w:rsidRPr="005F7D29">
        <w:rPr>
          <w:rFonts w:cs="Times New Roman"/>
          <w:lang w:val="fr-CA"/>
        </w:rPr>
        <w:t xml:space="preserve">mis les pieds au Canada, et qui ne le fera </w:t>
      </w:r>
      <w:r w:rsidRPr="005F7D29">
        <w:rPr>
          <w:rFonts w:cs="Times New Roman"/>
          <w:i/>
          <w:lang w:val="fr-CA"/>
        </w:rPr>
        <w:t>jamais</w:t>
      </w:r>
      <w:r w:rsidRPr="005F7D29">
        <w:rPr>
          <w:rFonts w:cs="Times New Roman"/>
          <w:lang w:val="fr-CA"/>
        </w:rPr>
        <w:t>, de voter aux élections fédérales (transcription, p. 6 et 25). À notre avis, la décision des juges majoritaires donne inévitablement lieu à une telle situation, qui représenterait un élargissement radical des droits de vote par les tribunaux, élargissement que le Parlement a clairement jugé indésirable.</w:t>
      </w:r>
    </w:p>
    <w:p w:rsidR="001244E7" w:rsidRPr="005F7D29" w:rsidRDefault="001244E7" w:rsidP="001244E7">
      <w:pPr>
        <w:pStyle w:val="ParaNoNdepar-AltN"/>
        <w:rPr>
          <w:rFonts w:cs="Times New Roman"/>
          <w:lang w:val="fr-CA"/>
        </w:rPr>
      </w:pPr>
      <w:r w:rsidRPr="005F7D29">
        <w:rPr>
          <w:rFonts w:cs="Times New Roman"/>
          <w:lang w:val="fr-CA"/>
        </w:rPr>
        <w:t>Une autre restriction au droit de vote prévue dans la Loi empêche les mineurs de voter. Encore une fois, une telle restriction est inconciliable avec une approche absolutiste relative à la garantie de l’art. 3 selon laquelle « </w:t>
      </w:r>
      <w:r w:rsidRPr="00302AE0">
        <w:rPr>
          <w:rFonts w:cs="Times New Roman"/>
          <w:u w:val="single"/>
          <w:lang w:val="fr-CA"/>
        </w:rPr>
        <w:t>[</w:t>
      </w:r>
      <w:r w:rsidRPr="005F7D29">
        <w:rPr>
          <w:rFonts w:cs="Times New Roman"/>
          <w:u w:val="single"/>
          <w:lang w:val="fr-CA"/>
        </w:rPr>
        <w:t>t</w:t>
      </w:r>
      <w:r>
        <w:rPr>
          <w:rFonts w:cs="Times New Roman"/>
          <w:u w:val="single"/>
          <w:lang w:val="fr-CA"/>
        </w:rPr>
        <w:t>]</w:t>
      </w:r>
      <w:r w:rsidRPr="005F7D29">
        <w:rPr>
          <w:rFonts w:cs="Times New Roman"/>
          <w:u w:val="single"/>
          <w:lang w:val="fr-CA"/>
        </w:rPr>
        <w:t>out citoyen</w:t>
      </w:r>
      <w:r w:rsidRPr="005F7D29">
        <w:rPr>
          <w:rFonts w:cs="Times New Roman"/>
          <w:lang w:val="fr-CA"/>
        </w:rPr>
        <w:t xml:space="preserve"> [. . .] a le droit de vote ». Nous reconnaissons que notre Cour, dans </w:t>
      </w:r>
      <w:r w:rsidRPr="005F7D29">
        <w:rPr>
          <w:rFonts w:cs="Times New Roman"/>
          <w:i/>
          <w:lang w:val="fr-CA"/>
        </w:rPr>
        <w:t>Sauvé n</w:t>
      </w:r>
      <w:r w:rsidRPr="005F7D29">
        <w:rPr>
          <w:rFonts w:cs="Times New Roman"/>
          <w:i/>
          <w:vertAlign w:val="superscript"/>
          <w:lang w:val="fr-CA"/>
        </w:rPr>
        <w:t>o</w:t>
      </w:r>
      <w:r w:rsidRPr="005F7D29">
        <w:rPr>
          <w:rFonts w:cs="Times New Roman"/>
          <w:i/>
          <w:lang w:val="fr-CA"/>
        </w:rPr>
        <w:t> 2</w:t>
      </w:r>
      <w:r w:rsidRPr="005F7D29">
        <w:rPr>
          <w:rFonts w:cs="Times New Roman"/>
          <w:lang w:val="fr-CA"/>
        </w:rPr>
        <w:t xml:space="preserve">, a voulu faire une distinction en ce qui concerne la restriction fondée sur l’âge au motif qu’elle « établit une </w:t>
      </w:r>
      <w:r w:rsidRPr="005F7D29">
        <w:rPr>
          <w:rFonts w:cs="Times New Roman"/>
          <w:i/>
          <w:lang w:val="fr-CA"/>
        </w:rPr>
        <w:t>modalité</w:t>
      </w:r>
      <w:r w:rsidRPr="005F7D29">
        <w:rPr>
          <w:rFonts w:cs="Times New Roman"/>
          <w:lang w:val="fr-CA"/>
        </w:rPr>
        <w:t xml:space="preserve"> </w:t>
      </w:r>
      <w:r w:rsidRPr="005F7D29">
        <w:rPr>
          <w:rFonts w:cs="Times New Roman"/>
          <w:i/>
          <w:lang w:val="fr-CA"/>
        </w:rPr>
        <w:t>d’application</w:t>
      </w:r>
      <w:r w:rsidRPr="005F7D29">
        <w:rPr>
          <w:rFonts w:cs="Times New Roman"/>
          <w:lang w:val="fr-CA"/>
        </w:rPr>
        <w:t xml:space="preserve"> du</w:t>
      </w:r>
      <w:r w:rsidR="00124081">
        <w:rPr>
          <w:rFonts w:cs="Times New Roman"/>
          <w:lang w:val="fr-CA"/>
        </w:rPr>
        <w:t xml:space="preserve"> suffrage universel » (par. 37 (</w:t>
      </w:r>
      <w:r w:rsidRPr="005F7D29">
        <w:rPr>
          <w:rFonts w:cs="Times New Roman"/>
          <w:lang w:val="fr-CA"/>
        </w:rPr>
        <w:t>italiques ajoutés</w:t>
      </w:r>
      <w:r w:rsidR="00124081">
        <w:rPr>
          <w:rFonts w:cs="Times New Roman"/>
          <w:lang w:val="fr-CA"/>
        </w:rPr>
        <w:t>)</w:t>
      </w:r>
      <w:r w:rsidRPr="005F7D29">
        <w:rPr>
          <w:rFonts w:cs="Times New Roman"/>
          <w:lang w:val="fr-CA"/>
        </w:rPr>
        <w:t xml:space="preserve">), la caractérisant ainsi de restriction catégoriquement différente des autres limites au droit garanti par l’art. 3. Selon l’arrêt </w:t>
      </w:r>
      <w:r w:rsidRPr="005F7D29">
        <w:rPr>
          <w:rFonts w:cs="Times New Roman"/>
          <w:i/>
          <w:lang w:val="fr-CA"/>
        </w:rPr>
        <w:t>Sauvé n</w:t>
      </w:r>
      <w:r w:rsidRPr="005F7D29">
        <w:rPr>
          <w:rFonts w:cs="Times New Roman"/>
          <w:i/>
          <w:vertAlign w:val="superscript"/>
          <w:lang w:val="fr-CA"/>
        </w:rPr>
        <w:t>o</w:t>
      </w:r>
      <w:r w:rsidRPr="005F7D29">
        <w:rPr>
          <w:rFonts w:cs="Times New Roman"/>
          <w:i/>
          <w:lang w:val="fr-CA"/>
        </w:rPr>
        <w:t> 2</w:t>
      </w:r>
      <w:r w:rsidRPr="005F7D29">
        <w:rPr>
          <w:rFonts w:cs="Times New Roman"/>
          <w:lang w:val="fr-CA"/>
        </w:rPr>
        <w:t xml:space="preserve">, « le législateur prend une décision fondée sur la situation expérientielle dans laquelle se trouvent tous les citoyens </w:t>
      </w:r>
      <w:r w:rsidRPr="005F7D29">
        <w:rPr>
          <w:rFonts w:cs="Times New Roman"/>
          <w:lang w:val="fr-CA"/>
        </w:rPr>
        <w:lastRenderedPageBreak/>
        <w:t xml:space="preserve">lorsqu’ils sont jeunes » (par. 37). Or, ce raisonnement s’appliquerait sans doute pour justifier </w:t>
      </w:r>
      <w:r w:rsidRPr="005F7D29">
        <w:rPr>
          <w:rFonts w:cs="Times New Roman"/>
          <w:i/>
          <w:lang w:val="fr-CA"/>
        </w:rPr>
        <w:t>tout</w:t>
      </w:r>
      <w:r w:rsidRPr="005F7D29">
        <w:rPr>
          <w:rFonts w:cs="Times New Roman"/>
          <w:lang w:val="fr-CA"/>
        </w:rPr>
        <w:t xml:space="preserve"> exercice de démarcation. Par exemple, selon cette logique, lorsque le législateur « prend une décision fondée sur la situation expérientielle dans laquelle se trouvent tous les citoyens lorsqu’ils sont jeunes », il pourrait légitimement fixer l’âge du vote à 75 ans sans enfreindre l’art. 3. Cependant, plus important encore pour le présent pourvoi, la distinction entre une </w:t>
      </w:r>
      <w:r w:rsidRPr="005F7D29">
        <w:rPr>
          <w:rFonts w:cs="Times New Roman"/>
          <w:i/>
          <w:lang w:val="fr-CA"/>
        </w:rPr>
        <w:t xml:space="preserve">limite </w:t>
      </w:r>
      <w:r w:rsidRPr="005F7D29">
        <w:rPr>
          <w:rFonts w:cs="Times New Roman"/>
          <w:lang w:val="fr-CA"/>
        </w:rPr>
        <w:t xml:space="preserve">au droit garanti par l’art. 3 et une simple </w:t>
      </w:r>
      <w:r w:rsidRPr="005F7D29">
        <w:rPr>
          <w:rFonts w:cs="Times New Roman"/>
          <w:i/>
          <w:lang w:val="fr-CA"/>
        </w:rPr>
        <w:t xml:space="preserve">restriction de la modalité </w:t>
      </w:r>
      <w:r w:rsidRPr="005F7D29">
        <w:rPr>
          <w:rFonts w:cs="Times New Roman"/>
          <w:lang w:val="fr-CA"/>
        </w:rPr>
        <w:t>d’application du droit de vote n’est pas évidente. Pourquoi une exigence fondée sur l’âge serait</w:t>
      </w:r>
      <w:r w:rsidRPr="005F7D29">
        <w:rPr>
          <w:rFonts w:cs="Times New Roman"/>
          <w:lang w:val="fr-CA"/>
        </w:rPr>
        <w:noBreakHyphen/>
        <w:t>elle une « modalité d’application » acceptable de la réglementation du droit de vote, alors qu’une exigence fondée sur la résidence ne le serait pas? Plus particulièrement, si (comme les appelants le prétendent) la caractéristique distinctive de l’exigence fondée sur l’âge [</w:t>
      </w:r>
      <w:r w:rsidRPr="005F7D29">
        <w:rPr>
          <w:rFonts w:cs="Times New Roman"/>
          <w:smallCaps/>
          <w:lang w:val="fr-CA"/>
        </w:rPr>
        <w:t>traduction</w:t>
      </w:r>
      <w:r w:rsidRPr="005F7D29">
        <w:rPr>
          <w:rFonts w:cs="Times New Roman"/>
          <w:lang w:val="fr-CA"/>
        </w:rPr>
        <w:t>] « n’est qu’une [question] de nature temporelle quant au moment où [un citoyen peut voter] » (transcription, p. 21), pourquoi ce même raisonnement ne s’appliquerait</w:t>
      </w:r>
      <w:r w:rsidRPr="005F7D29">
        <w:rPr>
          <w:rFonts w:cs="Times New Roman"/>
          <w:lang w:val="fr-CA"/>
        </w:rPr>
        <w:noBreakHyphen/>
      </w:r>
      <w:proofErr w:type="spellStart"/>
      <w:r w:rsidRPr="005F7D29">
        <w:rPr>
          <w:rFonts w:cs="Times New Roman"/>
          <w:lang w:val="fr-CA"/>
        </w:rPr>
        <w:t>il</w:t>
      </w:r>
      <w:proofErr w:type="spellEnd"/>
      <w:r w:rsidRPr="005F7D29">
        <w:rPr>
          <w:rFonts w:cs="Times New Roman"/>
          <w:lang w:val="fr-CA"/>
        </w:rPr>
        <w:t xml:space="preserve"> pas aussi à l’exigence fondée sur la résidence, puisqu’un non</w:t>
      </w:r>
      <w:r w:rsidRPr="005F7D29">
        <w:rPr>
          <w:rFonts w:cs="Times New Roman"/>
          <w:lang w:val="fr-CA"/>
        </w:rPr>
        <w:noBreakHyphen/>
        <w:t>résident à long terme peut voter s’il revient résider au Canada — une question qui, contrairement à l’âge, relève entièrement de sa volonté?</w:t>
      </w:r>
    </w:p>
    <w:p w:rsidR="001244E7" w:rsidRPr="005F7D29" w:rsidRDefault="001244E7" w:rsidP="001244E7">
      <w:pPr>
        <w:pStyle w:val="ParaNoNdepar-AltN"/>
        <w:rPr>
          <w:rFonts w:cs="Times New Roman"/>
          <w:lang w:val="fr-CA"/>
        </w:rPr>
      </w:pPr>
      <w:r w:rsidRPr="005F7D29">
        <w:rPr>
          <w:rFonts w:cs="Times New Roman"/>
          <w:lang w:val="fr-CA"/>
        </w:rPr>
        <w:t>La seule explication cohérente de la restriction prévue dans la Loi quant au droit de vote des citoyens can</w:t>
      </w:r>
      <w:r w:rsidR="004D2D91">
        <w:rPr>
          <w:rFonts w:cs="Times New Roman"/>
          <w:lang w:val="fr-CA"/>
        </w:rPr>
        <w:t>adiens âgés de moins de 18</w:t>
      </w:r>
      <w:r w:rsidRPr="005F7D29">
        <w:rPr>
          <w:rFonts w:cs="Times New Roman"/>
          <w:lang w:val="fr-CA"/>
        </w:rPr>
        <w:t xml:space="preserve"> ans — surtout à la lumière de l’argument des appelants selon lequel le droit garanti par l’art. 3 s’applique nécessairement à </w:t>
      </w:r>
      <w:r w:rsidRPr="005F7D29">
        <w:rPr>
          <w:rFonts w:cs="Times New Roman"/>
          <w:i/>
          <w:lang w:val="fr-CA"/>
        </w:rPr>
        <w:t>tous</w:t>
      </w:r>
      <w:r w:rsidRPr="005F7D29">
        <w:rPr>
          <w:rFonts w:cs="Times New Roman"/>
          <w:lang w:val="fr-CA"/>
        </w:rPr>
        <w:t xml:space="preserve"> les citoyens — est qu’une telle limite au droit garanti par l’art. 3 est justifiée. À l’instar de la mesure contestée en l’espèce, cette justification reflète nécessairement une certaine théorie normative ou philosophique — qui retient certaines </w:t>
      </w:r>
      <w:r w:rsidRPr="005F7D29">
        <w:rPr>
          <w:rFonts w:cs="Times New Roman"/>
          <w:lang w:val="fr-CA"/>
        </w:rPr>
        <w:lastRenderedPageBreak/>
        <w:t>considérations (faire en sorte que l’électorat soit éclairé et capable d’exercer un choix rationnel et indépendant) plutôt que d’autres (étendre la portée du droit de vote à tous les citoyens) d’une façon particulière. Interprétée correctement, la capacité incontestée du législateur d’interdire aux mineurs de voter — que l’interdiction soit présentée comme une limite ou comme une modalité d’application du droit de vote — confirme la thèse selon laquelle le Parlement a un rôle essentiel à jouer pour circonscrire le droit garanti par l’art. 3, et qu’il exerce nécessairement ce rôle en vue de certains objectifs philosophiques, moraux ou autrement normatifs. Qui plus est, la restriction fondée sur l’âge contredit clairement l’idée selon laquelle la non</w:t>
      </w:r>
      <w:r w:rsidRPr="005F7D29">
        <w:rPr>
          <w:rFonts w:cs="Times New Roman"/>
          <w:lang w:val="fr-CA"/>
        </w:rPr>
        <w:noBreakHyphen/>
        <w:t xml:space="preserve">citoyenneté canadienne est le </w:t>
      </w:r>
      <w:r w:rsidRPr="005F7D29">
        <w:rPr>
          <w:rFonts w:cs="Times New Roman"/>
          <w:i/>
          <w:lang w:val="fr-CA"/>
        </w:rPr>
        <w:t>seul</w:t>
      </w:r>
      <w:r w:rsidRPr="005F7D29">
        <w:rPr>
          <w:rFonts w:cs="Times New Roman"/>
          <w:lang w:val="fr-CA"/>
        </w:rPr>
        <w:t xml:space="preserve"> fondement acceptable sur le plan constitutionnel sur lequel le Parlement peut s’appuyer pour refuser à quelqu’un le droit de voter.</w:t>
      </w:r>
    </w:p>
    <w:p w:rsidR="001244E7" w:rsidRPr="005F7D29" w:rsidRDefault="001244E7" w:rsidP="001244E7">
      <w:pPr>
        <w:pStyle w:val="ParaNoNdepar-AltN"/>
        <w:rPr>
          <w:rFonts w:cs="Times New Roman"/>
          <w:lang w:val="fr-CA"/>
        </w:rPr>
      </w:pPr>
      <w:r w:rsidRPr="005F7D29">
        <w:rPr>
          <w:rFonts w:cs="Times New Roman"/>
          <w:lang w:val="fr-CA"/>
        </w:rPr>
        <w:t xml:space="preserve">La troisième considération permettant d’affirmer que les modifications de 1993 représentaient une tentative légitime du Parlement de circonscrire l’art. 3 ressort de l’analyse qu’a faite notre Cour dans </w:t>
      </w:r>
      <w:r w:rsidRPr="005F7D29">
        <w:rPr>
          <w:rFonts w:cs="Times New Roman"/>
          <w:i/>
          <w:lang w:val="fr-CA"/>
        </w:rPr>
        <w:t>Sauvé n</w:t>
      </w:r>
      <w:r w:rsidRPr="005F7D29">
        <w:rPr>
          <w:rFonts w:cs="Times New Roman"/>
          <w:i/>
          <w:vertAlign w:val="superscript"/>
          <w:lang w:val="fr-CA"/>
        </w:rPr>
        <w:t>o</w:t>
      </w:r>
      <w:r w:rsidRPr="005F7D29">
        <w:rPr>
          <w:rFonts w:cs="Times New Roman"/>
          <w:i/>
          <w:lang w:val="fr-CA"/>
        </w:rPr>
        <w:t> 2</w:t>
      </w:r>
      <w:r w:rsidRPr="005F7D29">
        <w:rPr>
          <w:rFonts w:cs="Times New Roman"/>
          <w:lang w:val="fr-CA"/>
        </w:rPr>
        <w:t xml:space="preserve">. S’exprimant au nom des juges majoritaires, la juge en chef </w:t>
      </w:r>
      <w:proofErr w:type="spellStart"/>
      <w:r w:rsidRPr="005F7D29">
        <w:rPr>
          <w:rFonts w:cs="Times New Roman"/>
          <w:lang w:val="fr-CA"/>
        </w:rPr>
        <w:t>McLachlin</w:t>
      </w:r>
      <w:proofErr w:type="spellEnd"/>
      <w:r w:rsidRPr="005F7D29">
        <w:rPr>
          <w:rFonts w:cs="Times New Roman"/>
          <w:lang w:val="fr-CA"/>
        </w:rPr>
        <w:t>, lorsqu’elle a annulé une ancienne disposition de la Loi qui privait du droit de vote « toute personne détenue dans un établissement correctionnel et y purgeant une peine de deux ans ou plus » (</w:t>
      </w:r>
      <w:r w:rsidRPr="005F7D29">
        <w:rPr>
          <w:rFonts w:cs="Times New Roman"/>
          <w:i/>
          <w:lang w:val="fr-CA"/>
        </w:rPr>
        <w:t>Loi électorale du Canada</w:t>
      </w:r>
      <w:r w:rsidRPr="005F7D29">
        <w:rPr>
          <w:rFonts w:cs="Times New Roman"/>
          <w:lang w:val="fr-CA"/>
        </w:rPr>
        <w:t>, L.R.C. 1985, c. E</w:t>
      </w:r>
      <w:r w:rsidRPr="005F7D29">
        <w:rPr>
          <w:rFonts w:cs="Times New Roman"/>
          <w:lang w:val="fr-CA"/>
        </w:rPr>
        <w:noBreakHyphen/>
        <w:t>2, al. 51e)), a invoqué un argument d’ordre purement déontologique — spécifiquement que le pouvoir des législateurs, et donc la légitimité ou la force de la loi qu’ils élaborent, émane d’une délégation de pouvoir des électeurs, et que l’obligation morale de respecter la loi découle directement de la participation à son élaboration (par. 31). Avec égards, nous voyons tout autrement le bien</w:t>
      </w:r>
      <w:r w:rsidRPr="005F7D29">
        <w:rPr>
          <w:rFonts w:cs="Times New Roman"/>
          <w:lang w:val="fr-CA"/>
        </w:rPr>
        <w:noBreakHyphen/>
        <w:t xml:space="preserve">fondé de cet </w:t>
      </w:r>
      <w:r w:rsidRPr="005F7D29">
        <w:rPr>
          <w:rFonts w:cs="Times New Roman"/>
          <w:lang w:val="fr-CA"/>
        </w:rPr>
        <w:lastRenderedPageBreak/>
        <w:t>argument philosophique moral. En effet, cette justification de la mesure législative fondée sur l’« assentiment des gouvernés » ne s’appuie sur aucune source ni explication, et elle a été rejetée à bon droit en faveur d’une justification qui conçoit le pouvoir législatif comme étant [</w:t>
      </w:r>
      <w:r w:rsidRPr="005F7D29">
        <w:rPr>
          <w:rFonts w:cs="Times New Roman"/>
          <w:smallCaps/>
          <w:lang w:val="fr-CA"/>
        </w:rPr>
        <w:t>traduction</w:t>
      </w:r>
      <w:r w:rsidRPr="005F7D29">
        <w:rPr>
          <w:rFonts w:cs="Times New Roman"/>
          <w:lang w:val="fr-CA"/>
        </w:rPr>
        <w:t>] « fondé sur la capacité d’assurer l’intérêt commun », et son objet comme étant l’intérêt commun lui</w:t>
      </w:r>
      <w:r w:rsidRPr="005F7D29">
        <w:rPr>
          <w:rFonts w:cs="Times New Roman"/>
          <w:lang w:val="fr-CA"/>
        </w:rPr>
        <w:noBreakHyphen/>
        <w:t>même (</w:t>
      </w:r>
      <w:proofErr w:type="spellStart"/>
      <w:r w:rsidRPr="005F7D29">
        <w:rPr>
          <w:rFonts w:cs="Times New Roman"/>
          <w:lang w:val="fr-CA"/>
        </w:rPr>
        <w:t>Ekins</w:t>
      </w:r>
      <w:proofErr w:type="spellEnd"/>
      <w:r w:rsidRPr="005F7D29">
        <w:rPr>
          <w:rFonts w:cs="Times New Roman"/>
          <w:lang w:val="fr-CA"/>
        </w:rPr>
        <w:t>, « </w:t>
      </w:r>
      <w:proofErr w:type="spellStart"/>
      <w:r w:rsidRPr="005F7D29">
        <w:rPr>
          <w:rFonts w:cs="Times New Roman"/>
          <w:lang w:val="fr-CA"/>
        </w:rPr>
        <w:t>Legislation</w:t>
      </w:r>
      <w:proofErr w:type="spellEnd"/>
      <w:r w:rsidRPr="005F7D29">
        <w:rPr>
          <w:rFonts w:cs="Times New Roman"/>
          <w:lang w:val="fr-CA"/>
        </w:rPr>
        <w:t xml:space="preserve"> as </w:t>
      </w:r>
      <w:proofErr w:type="spellStart"/>
      <w:r w:rsidRPr="005F7D29">
        <w:rPr>
          <w:rFonts w:cs="Times New Roman"/>
          <w:lang w:val="fr-CA"/>
        </w:rPr>
        <w:t>Reasoned</w:t>
      </w:r>
      <w:proofErr w:type="spellEnd"/>
      <w:r w:rsidRPr="005F7D29">
        <w:rPr>
          <w:rFonts w:cs="Times New Roman"/>
          <w:lang w:val="fr-CA"/>
        </w:rPr>
        <w:t xml:space="preserve"> Action », p. 92). Nous sommes donc d’avis que l’exercice du pouvoir législatif se conçoit comme [</w:t>
      </w:r>
      <w:r w:rsidRPr="005F7D29">
        <w:rPr>
          <w:rFonts w:cs="Times New Roman"/>
          <w:smallCaps/>
          <w:lang w:val="fr-CA"/>
        </w:rPr>
        <w:t>traduction</w:t>
      </w:r>
      <w:r w:rsidRPr="005F7D29">
        <w:rPr>
          <w:rFonts w:cs="Times New Roman"/>
          <w:lang w:val="fr-CA"/>
        </w:rPr>
        <w:t xml:space="preserve">] « un choix moral fait en réponse à des raisons précises : un choix portant sur les propositions qui sont censées encadrer notre vie en commun » (p. 99). Toutefois, ce désaccord mis à part, le fait même que les juges majoritaires dans </w:t>
      </w:r>
      <w:r w:rsidRPr="005F7D29">
        <w:rPr>
          <w:rFonts w:cs="Times New Roman"/>
          <w:i/>
          <w:lang w:val="fr-CA"/>
        </w:rPr>
        <w:t>Sauvé n</w:t>
      </w:r>
      <w:r w:rsidRPr="005F7D29">
        <w:rPr>
          <w:rFonts w:cs="Times New Roman"/>
          <w:i/>
          <w:vertAlign w:val="superscript"/>
          <w:lang w:val="fr-CA"/>
        </w:rPr>
        <w:t>o</w:t>
      </w:r>
      <w:r w:rsidRPr="005F7D29">
        <w:rPr>
          <w:rFonts w:cs="Times New Roman"/>
          <w:i/>
          <w:lang w:val="fr-CA"/>
        </w:rPr>
        <w:t xml:space="preserve"> 2 </w:t>
      </w:r>
      <w:r w:rsidRPr="005F7D29">
        <w:rPr>
          <w:rFonts w:cs="Times New Roman"/>
          <w:lang w:val="fr-CA"/>
        </w:rPr>
        <w:t>aient invoqué un argument d’ordre déontologique pour étayer leur position quant à la portée du droit garanti par l’art. 3 démontre l’inévitabilité de considérations philosophiques morales dans la définition des frontières de ce droit. Qui plus est, lorsque de telles considérations motivent l’action législative, si bien que l’expertise relative que possèdent les tribunaux en matière de raisonnement juridique ne s’applique plus, les tribunaux doivent être particulièrement prudents lorsqu’ils remettent en question l’évaluation par le Parlement de ces frontières.</w:t>
      </w:r>
    </w:p>
    <w:p w:rsidR="001244E7" w:rsidRPr="005F7D29" w:rsidRDefault="001244E7" w:rsidP="001244E7">
      <w:pPr>
        <w:pStyle w:val="ParaNoNdepar-AltN"/>
        <w:rPr>
          <w:rFonts w:cs="Times New Roman"/>
          <w:lang w:val="fr-CA"/>
        </w:rPr>
      </w:pPr>
      <w:r w:rsidRPr="005F7D29">
        <w:rPr>
          <w:rFonts w:cs="Times New Roman"/>
          <w:lang w:val="fr-CA"/>
        </w:rPr>
        <w:t>À vrai dire, l’approche des juges majoritaires en l’espèce découle tout autant d’une conception philosophique ou théorique du droit de vote que les restrictions contestées. Les juges majoritaires, tout en disant rejeter les perspectives philosophiques sur la relation entre l’électeur et l’État</w:t>
      </w:r>
      <w:r w:rsidR="004D2D91">
        <w:rPr>
          <w:rFonts w:cs="Times New Roman"/>
          <w:lang w:val="fr-CA"/>
        </w:rPr>
        <w:t>,</w:t>
      </w:r>
      <w:r w:rsidRPr="005F7D29">
        <w:rPr>
          <w:rFonts w:cs="Times New Roman"/>
          <w:lang w:val="fr-CA"/>
        </w:rPr>
        <w:t xml:space="preserve"> car elles ne méritent pas d’être prises en considération en tant que telles, ne font en fait que préférer leur propre perspective philosophique à celle du Parlement. Par exemple, lorsque les juges majoritaires parlent </w:t>
      </w:r>
      <w:r w:rsidRPr="005F7D29">
        <w:rPr>
          <w:rFonts w:cs="Times New Roman"/>
          <w:lang w:val="fr-CA"/>
        </w:rPr>
        <w:lastRenderedPageBreak/>
        <w:t xml:space="preserve">d’« une perspective fondamentalement </w:t>
      </w:r>
      <w:r w:rsidRPr="005F7D29">
        <w:rPr>
          <w:rFonts w:cs="Times New Roman"/>
          <w:i/>
          <w:lang w:val="fr-CA"/>
        </w:rPr>
        <w:t xml:space="preserve">inclusive </w:t>
      </w:r>
      <w:r w:rsidRPr="005F7D29">
        <w:rPr>
          <w:rFonts w:cs="Times New Roman"/>
          <w:lang w:val="fr-CA"/>
        </w:rPr>
        <w:t xml:space="preserve">des droits de vote au Canada » (par. 51), voilà justement </w:t>
      </w:r>
      <w:proofErr w:type="gramStart"/>
      <w:r w:rsidRPr="005F7D29">
        <w:rPr>
          <w:rFonts w:cs="Times New Roman"/>
          <w:lang w:val="fr-CA"/>
        </w:rPr>
        <w:t>ce à</w:t>
      </w:r>
      <w:proofErr w:type="gramEnd"/>
      <w:r w:rsidRPr="005F7D29">
        <w:rPr>
          <w:rFonts w:cs="Times New Roman"/>
          <w:lang w:val="fr-CA"/>
        </w:rPr>
        <w:t xml:space="preserve"> quoi ils font référence — une </w:t>
      </w:r>
      <w:r w:rsidRPr="005F7D29">
        <w:rPr>
          <w:rFonts w:cs="Times New Roman"/>
          <w:i/>
          <w:lang w:val="fr-CA"/>
        </w:rPr>
        <w:t xml:space="preserve">perspective </w:t>
      </w:r>
      <w:r w:rsidRPr="005F7D29">
        <w:rPr>
          <w:rFonts w:cs="Times New Roman"/>
          <w:lang w:val="fr-CA"/>
        </w:rPr>
        <w:t xml:space="preserve">du droit de vote garanti par l’art. 3 et des conséquences qui en découlent. Ainsi donc, que l’on adopte une perspective large ou étroite de l’art. 3, le Parlement — tout autant que les juges majoritaires — doit inévitablement </w:t>
      </w:r>
      <w:r w:rsidRPr="005F7D29">
        <w:rPr>
          <w:rFonts w:cs="Times New Roman"/>
          <w:i/>
          <w:lang w:val="fr-CA"/>
        </w:rPr>
        <w:t xml:space="preserve">circonscrire le droit </w:t>
      </w:r>
      <w:r w:rsidRPr="005F7D29">
        <w:rPr>
          <w:rFonts w:cs="Times New Roman"/>
          <w:lang w:val="fr-CA"/>
        </w:rPr>
        <w:t xml:space="preserve">en se fondant sur des considérations philosophiques. En conséquence, dans le cadre de l’analyse des restrictions, la question qu’il faut se poser n’est pas de savoir si l’objectif législatif du Parlement repose sur des considérations théoriques, mais plutôt de savoir si l’objectif qu’il vise est urgent et réel. </w:t>
      </w:r>
    </w:p>
    <w:p w:rsidR="001244E7" w:rsidRPr="005F7D29" w:rsidRDefault="001244E7" w:rsidP="001244E7">
      <w:pPr>
        <w:pStyle w:val="ParaNoNdepar-AltN"/>
        <w:rPr>
          <w:rFonts w:cs="Times New Roman"/>
          <w:lang w:val="fr-CA"/>
        </w:rPr>
      </w:pPr>
      <w:r w:rsidRPr="005F7D29">
        <w:rPr>
          <w:rFonts w:cs="Times New Roman"/>
          <w:lang w:val="fr-CA"/>
        </w:rPr>
        <w:t xml:space="preserve">Nous sommes donc d’avis que l’analyse des limites doit être assez souple pour tenir compte de la faculté qu’a le Parlement de légiférer en fonction de considérations philosophiques, morales ou autrement normatives. Notre objection fondamentale à l’égard de l’analyse des restrictions que font les juges majoritaires est qu’elle est absolutiste, et ce, de manière injustifiée : elle requiert que </w:t>
      </w:r>
      <w:r w:rsidRPr="005F7D29">
        <w:rPr>
          <w:rFonts w:cs="Times New Roman"/>
          <w:i/>
          <w:lang w:val="fr-CA"/>
        </w:rPr>
        <w:t xml:space="preserve">tous </w:t>
      </w:r>
      <w:r w:rsidRPr="005F7D29">
        <w:rPr>
          <w:rFonts w:cs="Times New Roman"/>
          <w:lang w:val="fr-CA"/>
        </w:rPr>
        <w:t xml:space="preserve">les citoyens soient autorisés à voter en </w:t>
      </w:r>
      <w:r w:rsidRPr="005F7D29">
        <w:rPr>
          <w:rFonts w:cs="Times New Roman"/>
          <w:i/>
          <w:lang w:val="fr-CA"/>
        </w:rPr>
        <w:t>tout</w:t>
      </w:r>
      <w:r w:rsidRPr="005F7D29">
        <w:rPr>
          <w:rFonts w:cs="Times New Roman"/>
          <w:lang w:val="fr-CA"/>
        </w:rPr>
        <w:t xml:space="preserve"> temps et dans </w:t>
      </w:r>
      <w:r w:rsidRPr="005F7D29">
        <w:rPr>
          <w:rFonts w:cs="Times New Roman"/>
          <w:i/>
          <w:lang w:val="fr-CA"/>
        </w:rPr>
        <w:t>tous</w:t>
      </w:r>
      <w:r w:rsidRPr="005F7D29">
        <w:rPr>
          <w:rFonts w:cs="Times New Roman"/>
          <w:lang w:val="fr-CA"/>
        </w:rPr>
        <w:t xml:space="preserve"> les contextes. L’analyse des juges majoritaires est incompatible avec les pratiques actuelles (particulièrement en ce qui concerne les mineurs et les citoyens qui n’ont jamais vécu au Canada et qui n’ont pas l’intention de le faire) et ne laisse aucun rôle au Parlement dans l’élaboration de limites raisonnables en vue de la réalisation d’objectifs impérieux. De plus, et de façon tout aussi incompatible, alors que les juges majoritaires citent volontiers les conclusions d’</w:t>
      </w:r>
      <w:r w:rsidRPr="005F7D29">
        <w:rPr>
          <w:rFonts w:cs="Times New Roman"/>
          <w:i/>
          <w:lang w:val="fr-CA"/>
        </w:rPr>
        <w:t>études</w:t>
      </w:r>
      <w:r w:rsidRPr="005F7D29">
        <w:rPr>
          <w:rFonts w:cs="Times New Roman"/>
          <w:lang w:val="fr-CA"/>
        </w:rPr>
        <w:t xml:space="preserve"> de politique parlementaire et s’en remettent à celles</w:t>
      </w:r>
      <w:r w:rsidRPr="005F7D29">
        <w:rPr>
          <w:rFonts w:cs="Times New Roman"/>
          <w:lang w:val="fr-CA"/>
        </w:rPr>
        <w:noBreakHyphen/>
        <w:t xml:space="preserve">ci (par. 64), ils refusent de faire preuve du même respect à l’égard de </w:t>
      </w:r>
      <w:r w:rsidRPr="005F7D29">
        <w:rPr>
          <w:rFonts w:cs="Times New Roman"/>
          <w:i/>
          <w:lang w:val="fr-CA"/>
        </w:rPr>
        <w:t>décisions</w:t>
      </w:r>
      <w:r w:rsidRPr="005F7D29">
        <w:rPr>
          <w:rFonts w:cs="Times New Roman"/>
          <w:lang w:val="fr-CA"/>
        </w:rPr>
        <w:t xml:space="preserve"> de politique parlementaire.</w:t>
      </w:r>
    </w:p>
    <w:p w:rsidR="001244E7" w:rsidRPr="005F7D29" w:rsidRDefault="001244E7" w:rsidP="001244E7">
      <w:pPr>
        <w:pStyle w:val="ParaNoNdepar-AltN"/>
        <w:rPr>
          <w:rFonts w:cs="Times New Roman"/>
          <w:lang w:val="fr-CA"/>
        </w:rPr>
      </w:pPr>
      <w:r w:rsidRPr="005F7D29">
        <w:rPr>
          <w:rFonts w:cs="Times New Roman"/>
          <w:lang w:val="fr-CA"/>
        </w:rPr>
        <w:lastRenderedPageBreak/>
        <w:t xml:space="preserve">À notre avis, le principe directeur de l’article premier selon lequel aucun droit n’est absolu ne doit pas être considéré comme lettre morte dans l’examen de demandes fondées sur l’art. 3. Dans les paragraphes qui suivent, nous appliquons ce que nous considérons être la bonne méthode d’analyse des limites appropriées au droit garanti par l’art. 3 — une méthode qui témoigne du respect qui s’impose à l’égard du jugement du législateur en vue de l’atteinte d’objectifs bénéfiques, mais fondés sur le plan philosophique. </w:t>
      </w:r>
    </w:p>
    <w:p w:rsidR="001244E7" w:rsidRPr="005F7D29" w:rsidRDefault="001244E7" w:rsidP="001244E7">
      <w:pPr>
        <w:pStyle w:val="Title4LevelTitre4Niveau"/>
        <w:rPr>
          <w:rFonts w:cs="Times New Roman"/>
          <w:lang w:val="fr-CA"/>
        </w:rPr>
      </w:pPr>
      <w:r w:rsidRPr="005F7D29">
        <w:rPr>
          <w:rFonts w:cs="Times New Roman"/>
          <w:lang w:val="fr-CA"/>
        </w:rPr>
        <w:t>Maintien d’un lien actuel entre les électeurs et leurs collectivités</w:t>
      </w:r>
    </w:p>
    <w:p w:rsidR="001244E7" w:rsidRPr="005F7D29" w:rsidRDefault="001244E7" w:rsidP="001244E7">
      <w:pPr>
        <w:pStyle w:val="ParaNoNdepar-AltN"/>
        <w:rPr>
          <w:rFonts w:cs="Times New Roman"/>
          <w:lang w:val="fr-CA"/>
        </w:rPr>
      </w:pPr>
      <w:r w:rsidRPr="005F7D29">
        <w:rPr>
          <w:rFonts w:cs="Times New Roman"/>
          <w:lang w:val="fr-CA"/>
        </w:rPr>
        <w:t xml:space="preserve">Dans </w:t>
      </w:r>
      <w:r w:rsidRPr="005F7D29">
        <w:rPr>
          <w:rFonts w:cs="Times New Roman"/>
          <w:i/>
          <w:lang w:val="fr-CA"/>
        </w:rPr>
        <w:t xml:space="preserve">Opitz c. </w:t>
      </w:r>
      <w:proofErr w:type="spellStart"/>
      <w:r w:rsidRPr="005F7D29">
        <w:rPr>
          <w:rFonts w:cs="Times New Roman"/>
          <w:i/>
          <w:lang w:val="fr-CA"/>
        </w:rPr>
        <w:t>Wrzesnewskyj</w:t>
      </w:r>
      <w:proofErr w:type="spellEnd"/>
      <w:r w:rsidRPr="005F7D29">
        <w:rPr>
          <w:rFonts w:cs="Times New Roman"/>
          <w:lang w:val="fr-CA"/>
        </w:rPr>
        <w:t>, 2012 CSC 55, [2012] 3 R.C.S. 76, par. 32, notre Cour a qualifié la résidence d’ « attribut</w:t>
      </w:r>
      <w:r w:rsidR="0066753F">
        <w:rPr>
          <w:rFonts w:cs="Times New Roman"/>
          <w:lang w:val="fr-CA"/>
        </w:rPr>
        <w:t xml:space="preserve"> </w:t>
      </w:r>
      <w:r w:rsidRPr="005F7D29">
        <w:rPr>
          <w:rFonts w:cs="Times New Roman"/>
          <w:lang w:val="fr-CA"/>
        </w:rPr>
        <w:t xml:space="preserve">[. . .] </w:t>
      </w:r>
      <w:proofErr w:type="spellStart"/>
      <w:r w:rsidRPr="005F7D29">
        <w:rPr>
          <w:rFonts w:cs="Times New Roman"/>
          <w:lang w:val="fr-CA"/>
        </w:rPr>
        <w:t>fondamenta</w:t>
      </w:r>
      <w:proofErr w:type="spellEnd"/>
      <w:r w:rsidRPr="005F7D29">
        <w:rPr>
          <w:rFonts w:cs="Times New Roman"/>
          <w:lang w:val="fr-CA"/>
        </w:rPr>
        <w:t xml:space="preserve">[l] » du droit de voter, au même titre que l’âge et la citoyenneté. Les juges majoritaires soulignent que, dans </w:t>
      </w:r>
      <w:r w:rsidRPr="005F7D29">
        <w:rPr>
          <w:rFonts w:cs="Times New Roman"/>
          <w:i/>
          <w:lang w:val="fr-CA"/>
        </w:rPr>
        <w:t>Opitz</w:t>
      </w:r>
      <w:r w:rsidRPr="005F7D29">
        <w:rPr>
          <w:rFonts w:cs="Times New Roman"/>
          <w:lang w:val="fr-CA"/>
        </w:rPr>
        <w:t>, la Cour a analysé la résidence dans le contexte de l’art. 6 de la Loi,</w:t>
      </w:r>
      <w:r w:rsidRPr="005F7D29">
        <w:rPr>
          <w:rFonts w:cs="Times New Roman"/>
          <w:i/>
          <w:lang w:val="fr-CA"/>
        </w:rPr>
        <w:t xml:space="preserve"> </w:t>
      </w:r>
      <w:r w:rsidRPr="005F7D29">
        <w:rPr>
          <w:rFonts w:cs="Times New Roman"/>
          <w:lang w:val="fr-CA"/>
        </w:rPr>
        <w:t xml:space="preserve">et non de l’art. 3 de la </w:t>
      </w:r>
      <w:r w:rsidRPr="005F7D29">
        <w:rPr>
          <w:rFonts w:cs="Times New Roman"/>
          <w:i/>
          <w:lang w:val="fr-CA"/>
        </w:rPr>
        <w:t>Charte</w:t>
      </w:r>
      <w:r w:rsidRPr="005F7D29">
        <w:rPr>
          <w:rFonts w:cs="Times New Roman"/>
          <w:lang w:val="fr-CA"/>
        </w:rPr>
        <w:t>. C’est exact. Il importe toutefois de préciser que la Cour a qualifié le critère fondé sur la résidence de « fondamental », alors que rien ne l’obligeait à le faire, puisque la Loi elle</w:t>
      </w:r>
      <w:r w:rsidRPr="005F7D29">
        <w:rPr>
          <w:rFonts w:cs="Times New Roman"/>
          <w:lang w:val="fr-CA"/>
        </w:rPr>
        <w:noBreakHyphen/>
        <w:t xml:space="preserve">même n’utilise pas ce langage. Tenant pour acquis que la Cour ne s’exprime pas inutilement, nous considérons qu’elle définissait </w:t>
      </w:r>
      <w:proofErr w:type="spellStart"/>
      <w:r w:rsidRPr="005F7D29">
        <w:rPr>
          <w:rFonts w:cs="Times New Roman"/>
          <w:lang w:val="fr-CA"/>
        </w:rPr>
        <w:t>par là</w:t>
      </w:r>
      <w:proofErr w:type="spellEnd"/>
      <w:r w:rsidRPr="005F7D29">
        <w:rPr>
          <w:rFonts w:cs="Times New Roman"/>
          <w:lang w:val="fr-CA"/>
        </w:rPr>
        <w:t xml:space="preserve"> la résidence comme étant une condition fondamentale à l’exercice du droit de vote. En conséquence, bien que la citoyenneté constitue une condition nécessaire à l’exercice du droit de vote, il ne s’ensuit pas, comme l’affirment les juges majoritaires (par. 29), que la citoyenneté </w:t>
      </w:r>
      <w:proofErr w:type="gramStart"/>
      <w:r w:rsidRPr="005F7D29">
        <w:rPr>
          <w:rFonts w:cs="Times New Roman"/>
          <w:lang w:val="fr-CA"/>
        </w:rPr>
        <w:t>est</w:t>
      </w:r>
      <w:proofErr w:type="gramEnd"/>
      <w:r w:rsidRPr="005F7D29">
        <w:rPr>
          <w:rFonts w:cs="Times New Roman"/>
          <w:lang w:val="fr-CA"/>
        </w:rPr>
        <w:t xml:space="preserve"> la </w:t>
      </w:r>
      <w:r w:rsidRPr="005F7D29">
        <w:rPr>
          <w:rFonts w:cs="Times New Roman"/>
          <w:i/>
          <w:lang w:val="fr-CA"/>
        </w:rPr>
        <w:t>seule</w:t>
      </w:r>
      <w:r w:rsidRPr="005F7D29">
        <w:rPr>
          <w:rFonts w:cs="Times New Roman"/>
          <w:lang w:val="fr-CA"/>
        </w:rPr>
        <w:t xml:space="preserve"> restriction constitutionnellement acceptable. La citoyenneté est un </w:t>
      </w:r>
      <w:r w:rsidRPr="005F7D29">
        <w:rPr>
          <w:rFonts w:cs="Times New Roman"/>
          <w:i/>
          <w:lang w:val="fr-CA"/>
        </w:rPr>
        <w:t>statut</w:t>
      </w:r>
      <w:r w:rsidRPr="005F7D29">
        <w:rPr>
          <w:rFonts w:cs="Times New Roman"/>
          <w:lang w:val="fr-CA"/>
        </w:rPr>
        <w:t xml:space="preserve">; elle appartient aux personnes qui y ont droit en vertu de la </w:t>
      </w:r>
      <w:r w:rsidRPr="005F7D29">
        <w:rPr>
          <w:rFonts w:cs="Times New Roman"/>
          <w:i/>
          <w:lang w:val="fr-CA"/>
        </w:rPr>
        <w:t>Loi sur la citoyenneté</w:t>
      </w:r>
      <w:r w:rsidRPr="005F7D29">
        <w:rPr>
          <w:rFonts w:cs="Times New Roman"/>
          <w:lang w:val="fr-CA"/>
        </w:rPr>
        <w:t xml:space="preserve">, L.R.C. </w:t>
      </w:r>
      <w:r w:rsidR="003129ED">
        <w:rPr>
          <w:rFonts w:cs="Times New Roman"/>
          <w:lang w:val="fr-CA"/>
        </w:rPr>
        <w:lastRenderedPageBreak/>
        <w:t>1985, c</w:t>
      </w:r>
      <w:r w:rsidRPr="005F7D29">
        <w:rPr>
          <w:rFonts w:cs="Times New Roman"/>
          <w:lang w:val="fr-CA"/>
        </w:rPr>
        <w:t>. C</w:t>
      </w:r>
      <w:r w:rsidRPr="005F7D29">
        <w:rPr>
          <w:rFonts w:cs="Times New Roman"/>
          <w:lang w:val="fr-CA"/>
        </w:rPr>
        <w:noBreakHyphen/>
        <w:t>29, art. 3, y compris les personnes nées à l’extérieur du Canada d’un père ou d’une mère ayant qualité de citoyen canadien. En soi, la citoyenneté ne reflète pas l’existence de quelque lien actuel avec une collectivité canadienne particulière. D’une manière qui n’est pas déraisonnable, le Parlement a estimé que le fait de résider (ou d’avoir résidé récemment) au Canada est indicatif d’un tel lien — d’où la règle des cinq ans. Le fait que la Loi</w:t>
      </w:r>
      <w:r w:rsidRPr="005F7D29">
        <w:rPr>
          <w:rFonts w:cs="Times New Roman"/>
          <w:i/>
          <w:lang w:val="fr-CA"/>
        </w:rPr>
        <w:t xml:space="preserve"> </w:t>
      </w:r>
      <w:r w:rsidRPr="005F7D29">
        <w:rPr>
          <w:rFonts w:cs="Times New Roman"/>
          <w:lang w:val="fr-CA"/>
        </w:rPr>
        <w:t>comporte certaines exceptions à la règle de cinq ans relative à la résidence (par exemple, pour les fonctionnaires en poste à l’étranger) appuie — plutôt qu’infirme — la thèse selon laquelle l’existence d’un lien actuel est essentielle. Chacune des catégories d’exceptions confirme la règle, en ce qu’elles visent des personnes qui, de par leur situation à l’étranger, maintiennent nécessairement un lien avec leurs collectivités au Canada.</w:t>
      </w:r>
    </w:p>
    <w:p w:rsidR="001244E7" w:rsidRPr="005F7D29" w:rsidRDefault="001244E7" w:rsidP="001244E7">
      <w:pPr>
        <w:pStyle w:val="ParaNoNdepar-AltN"/>
        <w:rPr>
          <w:rFonts w:cs="Times New Roman"/>
          <w:lang w:val="fr-CA"/>
        </w:rPr>
      </w:pPr>
      <w:r w:rsidRPr="005F7D29">
        <w:rPr>
          <w:rFonts w:cs="Times New Roman"/>
          <w:lang w:val="fr-CA"/>
        </w:rPr>
        <w:t>Comme nous l’avons indiqué, la restriction dont le Parlement a assorti le droit de vote des non</w:t>
      </w:r>
      <w:r w:rsidRPr="005F7D29">
        <w:rPr>
          <w:rFonts w:cs="Times New Roman"/>
          <w:lang w:val="fr-CA"/>
        </w:rPr>
        <w:noBreakHyphen/>
        <w:t>résidents à long terme a pour but de faire en sorte que les électeurs maintiennent un certain lien actuel avec leurs collectivités. Avec égards, et même s’ils reconnaissent que l’expression n’est qu’un terme commode, les juges majoritaires accordent dans leur analyse une importance exagérée à la thèse, avancée par le procureur général et la Cour d’appel, de la préservation du « contrat social » (par. 47</w:t>
      </w:r>
      <w:r w:rsidRPr="005F7D29">
        <w:rPr>
          <w:rFonts w:cs="Times New Roman"/>
          <w:lang w:val="fr-CA"/>
        </w:rPr>
        <w:noBreakHyphen/>
        <w:t>54). La théorie du contrat social n’est ni uniformément définie, ni statique : bien que les juges majoritaires se réfèrent à Jean</w:t>
      </w:r>
      <w:r w:rsidRPr="005F7D29">
        <w:rPr>
          <w:rFonts w:cs="Times New Roman"/>
          <w:lang w:val="fr-CA"/>
        </w:rPr>
        <w:noBreakHyphen/>
        <w:t xml:space="preserve">Jacques Rousseau (par. 48), beaucoup d’autres philosophes ont élaboré diverses théories du contrat social au fil des siècles. Contrairement à ce qu’affirment les juges majoritaires, le procureur général n’a pas modifié devant notre Cour le fond de son argument relatif à l’objectif législatif </w:t>
      </w:r>
      <w:r w:rsidRPr="005F7D29">
        <w:rPr>
          <w:rFonts w:cs="Times New Roman"/>
          <w:lang w:val="fr-CA"/>
        </w:rPr>
        <w:lastRenderedPageBreak/>
        <w:t>(par. 47). Il a simplement employé la notion de contrat social comme étiquette qui — bien que peut</w:t>
      </w:r>
      <w:r w:rsidRPr="005F7D29">
        <w:rPr>
          <w:rFonts w:cs="Times New Roman"/>
          <w:lang w:val="fr-CA"/>
        </w:rPr>
        <w:noBreakHyphen/>
        <w:t xml:space="preserve">être inutile et imprécise — n’est pas incompatible avec l’objectif qui peut clairement être dégagé de la </w:t>
      </w:r>
      <w:r w:rsidRPr="00BF3938">
        <w:rPr>
          <w:rFonts w:cs="Times New Roman"/>
          <w:lang w:val="fr-CA"/>
        </w:rPr>
        <w:t>Loi</w:t>
      </w:r>
      <w:r w:rsidRPr="005F7D29">
        <w:rPr>
          <w:rFonts w:cs="Times New Roman"/>
          <w:lang w:val="fr-CA"/>
        </w:rPr>
        <w:t xml:space="preserve">. À notre avis, le maintien d’un lien actuel entre les électeurs et leurs collectivités est un objectif urgent et réel qui s’attaque à deux préoccupations clés. </w:t>
      </w:r>
    </w:p>
    <w:p w:rsidR="001244E7" w:rsidRPr="005F7D29" w:rsidRDefault="001244E7" w:rsidP="001244E7">
      <w:pPr>
        <w:pStyle w:val="ParaNoNdepar-AltN"/>
        <w:rPr>
          <w:rFonts w:cs="Times New Roman"/>
          <w:lang w:val="fr-CA"/>
        </w:rPr>
      </w:pPr>
      <w:r w:rsidRPr="005F7D29">
        <w:rPr>
          <w:rFonts w:cs="Times New Roman"/>
          <w:lang w:val="fr-CA"/>
        </w:rPr>
        <w:t>Premièrement, le fait de maintenir le lien entre les électeurs et leurs collectivités au moyen d’une restriction au droit de vote des non</w:t>
      </w:r>
      <w:r w:rsidRPr="005F7D29">
        <w:rPr>
          <w:rFonts w:cs="Times New Roman"/>
          <w:lang w:val="fr-CA"/>
        </w:rPr>
        <w:noBreakHyphen/>
        <w:t xml:space="preserve">résidents à long terme assure un rapport de mutualité entre l’exercice de ce droit et le fait d’être assujetti aux lois canadiennes. La juge en chef </w:t>
      </w:r>
      <w:proofErr w:type="spellStart"/>
      <w:r w:rsidRPr="005F7D29">
        <w:rPr>
          <w:rFonts w:cs="Times New Roman"/>
          <w:lang w:val="fr-CA"/>
        </w:rPr>
        <w:t>McLachlin</w:t>
      </w:r>
      <w:proofErr w:type="spellEnd"/>
      <w:r w:rsidRPr="005F7D29">
        <w:rPr>
          <w:rFonts w:cs="Times New Roman"/>
          <w:lang w:val="fr-CA"/>
        </w:rPr>
        <w:t xml:space="preserve"> a reconnu en termes très forts l’importance constitutionnelle de cette notion de mutualité dans l’arrêt </w:t>
      </w:r>
      <w:r w:rsidRPr="005F7D29">
        <w:rPr>
          <w:rFonts w:cs="Times New Roman"/>
          <w:i/>
          <w:lang w:val="fr-CA"/>
        </w:rPr>
        <w:t>Sauvé n</w:t>
      </w:r>
      <w:r w:rsidRPr="005F7D29">
        <w:rPr>
          <w:rFonts w:cs="Times New Roman"/>
          <w:i/>
          <w:vertAlign w:val="superscript"/>
          <w:lang w:val="fr-CA"/>
        </w:rPr>
        <w:t>o</w:t>
      </w:r>
      <w:r w:rsidRPr="005F7D29">
        <w:rPr>
          <w:rFonts w:cs="Times New Roman"/>
          <w:i/>
          <w:lang w:val="fr-CA"/>
        </w:rPr>
        <w:t xml:space="preserve"> 2 </w:t>
      </w:r>
      <w:r w:rsidRPr="005F7D29">
        <w:rPr>
          <w:rFonts w:cs="Times New Roman"/>
          <w:lang w:val="fr-CA"/>
        </w:rPr>
        <w:t>(par. 31) :</w:t>
      </w:r>
    </w:p>
    <w:p w:rsidR="001244E7" w:rsidRPr="005F7D29" w:rsidRDefault="001244E7" w:rsidP="001244E7">
      <w:pPr>
        <w:pStyle w:val="Citation-AltC"/>
        <w:ind w:hanging="1166"/>
        <w:contextualSpacing w:val="0"/>
        <w:rPr>
          <w:lang w:val="fr-CA"/>
        </w:rPr>
      </w:pPr>
      <w:r w:rsidRPr="005F7D29">
        <w:rPr>
          <w:lang w:val="fr-CA"/>
        </w:rPr>
        <w:tab/>
        <w:t>Dans une démocratie comme la nôtre, le pouvoir des législateurs émane des citoyens votants, et ces législateurs agissent à titre de mandataires des citoyens. Cette délégation de pouvoir des électeurs aux législateurs confère à la loi sa légitimité ou force. En corollaire, l’obligation de respecter la loi découle du fait que celle</w:t>
      </w:r>
      <w:r w:rsidRPr="005F7D29">
        <w:rPr>
          <w:lang w:val="fr-CA"/>
        </w:rPr>
        <w:noBreakHyphen/>
        <w:t xml:space="preserve">ci est élaborée par les citoyens et en leur nom. En somme, la légitimité de la loi et l’obligation de la respecter découlent directement du droit de vote de chaque citoyen. Sur le plan pratique, nous demandons à tous ceux qui se trouvent à l’intérieur des frontières de notre pays de respecter ses lois, qu’ils aient le droit de voter ou non. Mais cela ne rompt pas le lien vital qui existe, d’un point de vue symbolique, théorique et pratique, entre la participation à l’élaboration de la loi et l’obligation de la respecter. Ce lien, issu de la théorie du contrat social et consacré dans la </w:t>
      </w:r>
      <w:r w:rsidRPr="005F7D29">
        <w:rPr>
          <w:i/>
          <w:lang w:val="fr-CA"/>
        </w:rPr>
        <w:t>Charte</w:t>
      </w:r>
      <w:r w:rsidRPr="005F7D29">
        <w:rPr>
          <w:lang w:val="fr-CA"/>
        </w:rPr>
        <w:t xml:space="preserve">, est au cœur de notre système de démocratie constitutionnelle. </w:t>
      </w:r>
    </w:p>
    <w:p w:rsidR="001244E7" w:rsidRPr="005F7D29" w:rsidRDefault="001244E7" w:rsidP="001244E7">
      <w:pPr>
        <w:pStyle w:val="ParaNoNdepar-AltN"/>
        <w:rPr>
          <w:rFonts w:cs="Times New Roman"/>
          <w:lang w:val="fr-CA"/>
        </w:rPr>
      </w:pPr>
      <w:r w:rsidRPr="005F7D29">
        <w:rPr>
          <w:rFonts w:cs="Times New Roman"/>
          <w:lang w:val="fr-CA"/>
        </w:rPr>
        <w:t xml:space="preserve">Dans l’affaire </w:t>
      </w:r>
      <w:r w:rsidRPr="005F7D29">
        <w:rPr>
          <w:rFonts w:cs="Times New Roman"/>
          <w:i/>
          <w:lang w:val="fr-CA"/>
        </w:rPr>
        <w:t>Sauvé n</w:t>
      </w:r>
      <w:r w:rsidRPr="005F7D29">
        <w:rPr>
          <w:rFonts w:cs="Times New Roman"/>
          <w:i/>
          <w:vertAlign w:val="superscript"/>
          <w:lang w:val="fr-CA"/>
        </w:rPr>
        <w:t>o</w:t>
      </w:r>
      <w:r w:rsidRPr="005F7D29">
        <w:rPr>
          <w:rFonts w:cs="Times New Roman"/>
          <w:i/>
          <w:lang w:val="fr-CA"/>
        </w:rPr>
        <w:t> 2</w:t>
      </w:r>
      <w:r w:rsidRPr="005F7D29">
        <w:rPr>
          <w:rFonts w:cs="Times New Roman"/>
          <w:lang w:val="fr-CA"/>
        </w:rPr>
        <w:t xml:space="preserve">, les juges majoritaires ont invoqué l’argument de la mutualité pour justifier le droit de vote des détenus au motif que ces derniers, privés </w:t>
      </w:r>
      <w:r w:rsidRPr="005F7D29">
        <w:rPr>
          <w:rFonts w:cs="Times New Roman"/>
          <w:lang w:val="fr-CA"/>
        </w:rPr>
        <w:lastRenderedPageBreak/>
        <w:t xml:space="preserve">de liberté par l’État, sont tout particulièrement touchés par les lois canadiennes. Toutefois, dans le présent pourvoi, le principe de la mutualité qui, selon l’arrêt </w:t>
      </w:r>
      <w:r w:rsidRPr="005F7D29">
        <w:rPr>
          <w:rFonts w:cs="Times New Roman"/>
          <w:i/>
          <w:lang w:val="fr-CA"/>
        </w:rPr>
        <w:t>Sauvé n</w:t>
      </w:r>
      <w:r w:rsidRPr="005F7D29">
        <w:rPr>
          <w:rFonts w:cs="Times New Roman"/>
          <w:i/>
          <w:vertAlign w:val="superscript"/>
          <w:lang w:val="fr-CA"/>
        </w:rPr>
        <w:t>o</w:t>
      </w:r>
      <w:r w:rsidRPr="005F7D29">
        <w:rPr>
          <w:rFonts w:cs="Times New Roman"/>
          <w:i/>
          <w:lang w:val="fr-CA"/>
        </w:rPr>
        <w:t> 2</w:t>
      </w:r>
      <w:r w:rsidRPr="005F7D29">
        <w:rPr>
          <w:rFonts w:cs="Times New Roman"/>
          <w:lang w:val="fr-CA"/>
        </w:rPr>
        <w:t>, est</w:t>
      </w:r>
      <w:r w:rsidRPr="005F7D29">
        <w:rPr>
          <w:rFonts w:cs="Times New Roman"/>
          <w:i/>
          <w:lang w:val="fr-CA"/>
        </w:rPr>
        <w:t xml:space="preserve"> </w:t>
      </w:r>
      <w:r w:rsidRPr="005F7D29">
        <w:rPr>
          <w:rFonts w:cs="Times New Roman"/>
          <w:lang w:val="fr-CA"/>
        </w:rPr>
        <w:t xml:space="preserve">« consacré dans la </w:t>
      </w:r>
      <w:r w:rsidRPr="005F7D29">
        <w:rPr>
          <w:rFonts w:cs="Times New Roman"/>
          <w:i/>
          <w:lang w:val="fr-CA"/>
        </w:rPr>
        <w:t>Charte</w:t>
      </w:r>
      <w:r w:rsidRPr="005F7D29">
        <w:rPr>
          <w:rFonts w:cs="Times New Roman"/>
          <w:lang w:val="fr-CA"/>
        </w:rPr>
        <w:t>, [et] au cœur de notre système de démocratie constitutionnelle », justifie la limite au droit de vote des non</w:t>
      </w:r>
      <w:r w:rsidRPr="005F7D29">
        <w:rPr>
          <w:rFonts w:cs="Times New Roman"/>
          <w:lang w:val="fr-CA"/>
        </w:rPr>
        <w:noBreakHyphen/>
        <w:t xml:space="preserve">résidents </w:t>
      </w:r>
      <w:r w:rsidRPr="005F7D29">
        <w:rPr>
          <w:rFonts w:cs="Times New Roman"/>
          <w:i/>
          <w:lang w:val="fr-CA"/>
        </w:rPr>
        <w:t>justement</w:t>
      </w:r>
      <w:r w:rsidRPr="005F7D29">
        <w:rPr>
          <w:rFonts w:cs="Times New Roman"/>
          <w:lang w:val="fr-CA"/>
        </w:rPr>
        <w:t xml:space="preserve"> parce les non</w:t>
      </w:r>
      <w:r w:rsidRPr="005F7D29">
        <w:rPr>
          <w:rFonts w:cs="Times New Roman"/>
          <w:lang w:val="fr-CA"/>
        </w:rPr>
        <w:noBreakHyphen/>
        <w:t>résidents à long terme ne sont généralement pas assujettis aux lois canadiennes. Pour cette raison, la Loi permet aux non</w:t>
      </w:r>
      <w:r w:rsidRPr="005F7D29">
        <w:rPr>
          <w:rFonts w:cs="Times New Roman"/>
          <w:lang w:val="fr-CA"/>
        </w:rPr>
        <w:noBreakHyphen/>
        <w:t xml:space="preserve">résidents à long terme d’exercer leur droit de vote immédiatement lorsqu’ils reviennent </w:t>
      </w:r>
      <w:r>
        <w:rPr>
          <w:rFonts w:cs="Times New Roman"/>
          <w:lang w:val="fr-CA"/>
        </w:rPr>
        <w:t xml:space="preserve">résider </w:t>
      </w:r>
      <w:r w:rsidRPr="005F7D29">
        <w:rPr>
          <w:rFonts w:cs="Times New Roman"/>
          <w:lang w:val="fr-CA"/>
        </w:rPr>
        <w:t>au Canada : puisqu’ils ont réintégré la collectivité, ils retrouvent le droit d’élire ses législateurs. Le maintien d’un rapport de mutualité entre l’élection des législateurs et le devoir d’obéissance à la loi est nécessaire pour assurer l’équité à l’égard des Canadiens résidents. En fait, il est injuste envers les résidents canadiens que leurs législateurs soient élus par des non</w:t>
      </w:r>
      <w:r w:rsidRPr="005F7D29">
        <w:rPr>
          <w:rFonts w:cs="Times New Roman"/>
          <w:lang w:val="fr-CA"/>
        </w:rPr>
        <w:noBreakHyphen/>
        <w:t xml:space="preserve">résidents à long terme qui n’ont aucun lien actuel avec leur circonscription (J. P. Boyer, </w:t>
      </w:r>
      <w:proofErr w:type="spellStart"/>
      <w:r w:rsidRPr="005F7D29">
        <w:rPr>
          <w:rFonts w:cs="Times New Roman"/>
          <w:i/>
          <w:lang w:val="fr-CA"/>
        </w:rPr>
        <w:t>Election</w:t>
      </w:r>
      <w:proofErr w:type="spellEnd"/>
      <w:r w:rsidRPr="005F7D29">
        <w:rPr>
          <w:rFonts w:cs="Times New Roman"/>
          <w:i/>
          <w:lang w:val="fr-CA"/>
        </w:rPr>
        <w:t xml:space="preserve"> Law in Canada: The Law and </w:t>
      </w:r>
      <w:proofErr w:type="spellStart"/>
      <w:r w:rsidRPr="005F7D29">
        <w:rPr>
          <w:rFonts w:cs="Times New Roman"/>
          <w:i/>
          <w:lang w:val="fr-CA"/>
        </w:rPr>
        <w:t>Procedure</w:t>
      </w:r>
      <w:proofErr w:type="spellEnd"/>
      <w:r w:rsidRPr="005F7D29">
        <w:rPr>
          <w:rFonts w:cs="Times New Roman"/>
          <w:i/>
          <w:lang w:val="fr-CA"/>
        </w:rPr>
        <w:t xml:space="preserve"> of </w:t>
      </w:r>
      <w:proofErr w:type="spellStart"/>
      <w:r w:rsidRPr="005F7D29">
        <w:rPr>
          <w:rFonts w:cs="Times New Roman"/>
          <w:i/>
          <w:lang w:val="fr-CA"/>
        </w:rPr>
        <w:t>Federal</w:t>
      </w:r>
      <w:proofErr w:type="spellEnd"/>
      <w:r w:rsidRPr="005F7D29">
        <w:rPr>
          <w:rFonts w:cs="Times New Roman"/>
          <w:i/>
          <w:lang w:val="fr-CA"/>
        </w:rPr>
        <w:t xml:space="preserve">, Provincial and Territorial </w:t>
      </w:r>
      <w:proofErr w:type="spellStart"/>
      <w:r w:rsidRPr="005F7D29">
        <w:rPr>
          <w:rFonts w:cs="Times New Roman"/>
          <w:i/>
          <w:lang w:val="fr-CA"/>
        </w:rPr>
        <w:t>Elections</w:t>
      </w:r>
      <w:proofErr w:type="spellEnd"/>
      <w:r w:rsidRPr="005F7D29">
        <w:rPr>
          <w:rFonts w:cs="Times New Roman"/>
          <w:lang w:val="fr-CA"/>
        </w:rPr>
        <w:t xml:space="preserve"> (1987), vol.</w:t>
      </w:r>
      <w:r w:rsidR="007B048D">
        <w:rPr>
          <w:rFonts w:cs="Times New Roman"/>
          <w:lang w:val="fr-CA"/>
        </w:rPr>
        <w:t xml:space="preserve"> </w:t>
      </w:r>
      <w:r w:rsidRPr="005F7D29">
        <w:rPr>
          <w:rFonts w:cs="Times New Roman"/>
          <w:lang w:val="fr-CA"/>
        </w:rPr>
        <w:t>1, p. 393).</w:t>
      </w:r>
    </w:p>
    <w:p w:rsidR="001244E7" w:rsidRPr="005F7D29" w:rsidRDefault="001244E7" w:rsidP="001244E7">
      <w:pPr>
        <w:pStyle w:val="ParaNoNdepar-AltN"/>
        <w:rPr>
          <w:rFonts w:cs="Times New Roman"/>
          <w:lang w:val="fr-CA"/>
        </w:rPr>
      </w:pPr>
      <w:r w:rsidRPr="005F7D29">
        <w:rPr>
          <w:rFonts w:cs="Times New Roman"/>
          <w:lang w:val="fr-CA"/>
        </w:rPr>
        <w:t>Deuxièmement, faire en sorte que les électeurs conservent un lien actuel avec leurs collectivités au moyen de restrictions au droit de vote des non</w:t>
      </w:r>
      <w:r w:rsidRPr="005F7D29">
        <w:rPr>
          <w:rFonts w:cs="Times New Roman"/>
          <w:lang w:val="fr-CA"/>
        </w:rPr>
        <w:noBreakHyphen/>
        <w:t>résidents à long terme protège l’intégrité du système électoral canadien, qui est fondé sur la représentation géographique. En ce sens, elle sert « le concept plus large de la représentation effective qui sert le mieux les intérêts d’une société libre et démocratique » (</w:t>
      </w:r>
      <w:r w:rsidRPr="005F7D29">
        <w:rPr>
          <w:rFonts w:cs="Times New Roman"/>
          <w:i/>
          <w:lang w:val="fr-CA"/>
        </w:rPr>
        <w:t>Renvoi : Circ. électorales provinciales (</w:t>
      </w:r>
      <w:proofErr w:type="spellStart"/>
      <w:r w:rsidRPr="005F7D29">
        <w:rPr>
          <w:rFonts w:cs="Times New Roman"/>
          <w:i/>
          <w:lang w:val="fr-CA"/>
        </w:rPr>
        <w:t>Sask</w:t>
      </w:r>
      <w:proofErr w:type="spellEnd"/>
      <w:r w:rsidRPr="005F7D29">
        <w:rPr>
          <w:rFonts w:cs="Times New Roman"/>
          <w:i/>
          <w:lang w:val="fr-CA"/>
        </w:rPr>
        <w:t>.)</w:t>
      </w:r>
      <w:r w:rsidRPr="005F7D29">
        <w:rPr>
          <w:rFonts w:cs="Times New Roman"/>
          <w:lang w:val="fr-CA"/>
        </w:rPr>
        <w:t xml:space="preserve">, p. 189). La </w:t>
      </w:r>
      <w:r w:rsidRPr="005F7D29">
        <w:rPr>
          <w:rFonts w:cs="Times New Roman"/>
          <w:i/>
          <w:lang w:val="fr-CA"/>
        </w:rPr>
        <w:t xml:space="preserve">Loi constitutionnelle de 1867 </w:t>
      </w:r>
      <w:r w:rsidRPr="005F7D29">
        <w:rPr>
          <w:rFonts w:cs="Times New Roman"/>
          <w:lang w:val="fr-CA"/>
        </w:rPr>
        <w:t xml:space="preserve">crée la démocratie parlementaire qu’est le Canada, laquelle est dotée d’« une constitution reposant sur les mêmes principes que celle du </w:t>
      </w:r>
      <w:r w:rsidRPr="005F7D29">
        <w:rPr>
          <w:rFonts w:cs="Times New Roman"/>
          <w:lang w:val="fr-CA"/>
        </w:rPr>
        <w:lastRenderedPageBreak/>
        <w:t>Royaume</w:t>
      </w:r>
      <w:r w:rsidRPr="005F7D29">
        <w:rPr>
          <w:rFonts w:cs="Times New Roman"/>
          <w:lang w:val="fr-CA"/>
        </w:rPr>
        <w:noBreakHyphen/>
        <w:t>Uni » et donc, d’un système électoral reposant sur des circonscriptions définies géographiquement en ce qui concerne la Chambre des communes, le Sénat et les législatures provinciales (</w:t>
      </w:r>
      <w:r w:rsidRPr="005F7D29">
        <w:rPr>
          <w:rFonts w:cs="Times New Roman"/>
          <w:i/>
          <w:lang w:val="fr-CA"/>
        </w:rPr>
        <w:t>Loi constitutionnelle de 1867</w:t>
      </w:r>
      <w:r w:rsidRPr="004D2D91">
        <w:rPr>
          <w:rFonts w:cs="Times New Roman"/>
          <w:lang w:val="fr-CA"/>
        </w:rPr>
        <w:t>,</w:t>
      </w:r>
      <w:r w:rsidRPr="005F7D29">
        <w:rPr>
          <w:rFonts w:cs="Times New Roman"/>
          <w:lang w:val="fr-CA"/>
        </w:rPr>
        <w:t xml:space="preserve"> préambule, art. 21, 22, 37 à 40, 52 et 69 à 72). Au Canada, comme au Royaume</w:t>
      </w:r>
      <w:r w:rsidRPr="005F7D29">
        <w:rPr>
          <w:rFonts w:cs="Times New Roman"/>
          <w:lang w:val="fr-CA"/>
        </w:rPr>
        <w:noBreakHyphen/>
        <w:t>Uni et dans d’autres démocraties de type Westminster, les origines du système électoral sont ancrées dans [</w:t>
      </w:r>
      <w:r w:rsidRPr="005F7D29">
        <w:rPr>
          <w:rFonts w:cs="Times New Roman"/>
          <w:smallCaps/>
          <w:lang w:val="fr-CA"/>
        </w:rPr>
        <w:t>traduction</w:t>
      </w:r>
      <w:r w:rsidRPr="005F7D29">
        <w:rPr>
          <w:rFonts w:cs="Times New Roman"/>
          <w:lang w:val="fr-CA"/>
        </w:rPr>
        <w:t xml:space="preserve">] « la notion de représentation territoriale » (V. </w:t>
      </w:r>
      <w:proofErr w:type="spellStart"/>
      <w:r w:rsidRPr="005F7D29">
        <w:rPr>
          <w:rFonts w:cs="Times New Roman"/>
          <w:lang w:val="fr-CA"/>
        </w:rPr>
        <w:t>Bogdanor</w:t>
      </w:r>
      <w:proofErr w:type="spellEnd"/>
      <w:r w:rsidRPr="005F7D29">
        <w:rPr>
          <w:rFonts w:cs="Times New Roman"/>
          <w:lang w:val="fr-CA"/>
        </w:rPr>
        <w:t>, « Introdu</w:t>
      </w:r>
      <w:r>
        <w:rPr>
          <w:rFonts w:cs="Times New Roman"/>
          <w:lang w:val="fr-CA"/>
        </w:rPr>
        <w:t>ction », dans V. </w:t>
      </w:r>
      <w:proofErr w:type="spellStart"/>
      <w:r>
        <w:rPr>
          <w:rFonts w:cs="Times New Roman"/>
          <w:lang w:val="fr-CA"/>
        </w:rPr>
        <w:t>Bogdanor</w:t>
      </w:r>
      <w:proofErr w:type="spellEnd"/>
      <w:r>
        <w:rPr>
          <w:rFonts w:cs="Times New Roman"/>
          <w:lang w:val="fr-CA"/>
        </w:rPr>
        <w:t xml:space="preserve"> et D. </w:t>
      </w:r>
      <w:r w:rsidRPr="005F7D29">
        <w:rPr>
          <w:rFonts w:cs="Times New Roman"/>
          <w:lang w:val="fr-CA"/>
        </w:rPr>
        <w:t xml:space="preserve">Butler, </w:t>
      </w:r>
      <w:proofErr w:type="spellStart"/>
      <w:proofErr w:type="gramStart"/>
      <w:r w:rsidRPr="005F7D29">
        <w:rPr>
          <w:rFonts w:cs="Times New Roman"/>
          <w:lang w:val="fr-CA"/>
        </w:rPr>
        <w:t>dir</w:t>
      </w:r>
      <w:proofErr w:type="spellEnd"/>
      <w:r w:rsidRPr="005F7D29">
        <w:rPr>
          <w:rFonts w:cs="Times New Roman"/>
          <w:lang w:val="fr-CA"/>
        </w:rPr>
        <w:t>.,</w:t>
      </w:r>
      <w:proofErr w:type="gramEnd"/>
      <w:r w:rsidRPr="005F7D29">
        <w:rPr>
          <w:rFonts w:cs="Times New Roman"/>
          <w:lang w:val="fr-CA"/>
        </w:rPr>
        <w:t xml:space="preserve"> </w:t>
      </w:r>
      <w:proofErr w:type="spellStart"/>
      <w:r w:rsidRPr="005F7D29">
        <w:rPr>
          <w:rFonts w:cs="Times New Roman"/>
          <w:i/>
          <w:lang w:val="fr-CA"/>
        </w:rPr>
        <w:t>Democracy</w:t>
      </w:r>
      <w:proofErr w:type="spellEnd"/>
      <w:r w:rsidRPr="005F7D29">
        <w:rPr>
          <w:rFonts w:cs="Times New Roman"/>
          <w:i/>
          <w:lang w:val="fr-CA"/>
        </w:rPr>
        <w:t xml:space="preserve"> and </w:t>
      </w:r>
      <w:proofErr w:type="spellStart"/>
      <w:r w:rsidRPr="005F7D29">
        <w:rPr>
          <w:rFonts w:cs="Times New Roman"/>
          <w:i/>
          <w:lang w:val="fr-CA"/>
        </w:rPr>
        <w:t>Elections</w:t>
      </w:r>
      <w:proofErr w:type="spellEnd"/>
      <w:r w:rsidRPr="005F7D29">
        <w:rPr>
          <w:rFonts w:cs="Times New Roman"/>
          <w:i/>
          <w:lang w:val="fr-CA"/>
        </w:rPr>
        <w:t xml:space="preserve">: </w:t>
      </w:r>
      <w:proofErr w:type="spellStart"/>
      <w:r w:rsidRPr="005F7D29">
        <w:rPr>
          <w:rFonts w:cs="Times New Roman"/>
          <w:i/>
          <w:lang w:val="fr-CA"/>
        </w:rPr>
        <w:t>Electoral</w:t>
      </w:r>
      <w:proofErr w:type="spellEnd"/>
      <w:r w:rsidRPr="005F7D29">
        <w:rPr>
          <w:rFonts w:cs="Times New Roman"/>
          <w:i/>
          <w:lang w:val="fr-CA"/>
        </w:rPr>
        <w:t xml:space="preserve"> </w:t>
      </w:r>
      <w:proofErr w:type="spellStart"/>
      <w:r w:rsidRPr="005F7D29">
        <w:rPr>
          <w:rFonts w:cs="Times New Roman"/>
          <w:i/>
          <w:lang w:val="fr-CA"/>
        </w:rPr>
        <w:t>Systems</w:t>
      </w:r>
      <w:proofErr w:type="spellEnd"/>
      <w:r w:rsidRPr="005F7D29">
        <w:rPr>
          <w:rFonts w:cs="Times New Roman"/>
          <w:i/>
          <w:lang w:val="fr-CA"/>
        </w:rPr>
        <w:t xml:space="preserve"> and </w:t>
      </w:r>
      <w:proofErr w:type="spellStart"/>
      <w:r w:rsidRPr="005F7D29">
        <w:rPr>
          <w:rFonts w:cs="Times New Roman"/>
          <w:i/>
          <w:lang w:val="fr-CA"/>
        </w:rPr>
        <w:t>Their</w:t>
      </w:r>
      <w:proofErr w:type="spellEnd"/>
      <w:r w:rsidRPr="005F7D29">
        <w:rPr>
          <w:rFonts w:cs="Times New Roman"/>
          <w:i/>
          <w:lang w:val="fr-CA"/>
        </w:rPr>
        <w:t xml:space="preserve"> </w:t>
      </w:r>
      <w:proofErr w:type="spellStart"/>
      <w:r w:rsidRPr="005F7D29">
        <w:rPr>
          <w:rFonts w:cs="Times New Roman"/>
          <w:i/>
          <w:lang w:val="fr-CA"/>
        </w:rPr>
        <w:t>Political</w:t>
      </w:r>
      <w:proofErr w:type="spellEnd"/>
      <w:r w:rsidRPr="005F7D29">
        <w:rPr>
          <w:rFonts w:cs="Times New Roman"/>
          <w:i/>
          <w:lang w:val="fr-CA"/>
        </w:rPr>
        <w:t xml:space="preserve"> </w:t>
      </w:r>
      <w:proofErr w:type="spellStart"/>
      <w:r w:rsidRPr="005F7D29">
        <w:rPr>
          <w:rFonts w:cs="Times New Roman"/>
          <w:i/>
          <w:lang w:val="fr-CA"/>
        </w:rPr>
        <w:t>Consequences</w:t>
      </w:r>
      <w:proofErr w:type="spellEnd"/>
      <w:r w:rsidRPr="005F7D29">
        <w:rPr>
          <w:rFonts w:cs="Times New Roman"/>
          <w:lang w:val="fr-CA"/>
        </w:rPr>
        <w:t xml:space="preserve"> (1983), p. 2). Devant nous, les appelants ont reconnu que [</w:t>
      </w:r>
      <w:r w:rsidRPr="005F7D29">
        <w:rPr>
          <w:rFonts w:cs="Times New Roman"/>
          <w:smallCaps/>
          <w:lang w:val="fr-CA"/>
        </w:rPr>
        <w:t>traduction</w:t>
      </w:r>
      <w:r w:rsidRPr="005F7D29">
        <w:rPr>
          <w:rFonts w:cs="Times New Roman"/>
          <w:lang w:val="fr-CA"/>
        </w:rPr>
        <w:t>] « la résidence était une caractéristique déterminante » du système démocratique canadien (transcription, p. 19</w:t>
      </w:r>
      <w:r w:rsidRPr="005F7D29">
        <w:rPr>
          <w:rFonts w:cs="Times New Roman"/>
          <w:lang w:val="fr-CA"/>
        </w:rPr>
        <w:noBreakHyphen/>
        <w:t>20).</w:t>
      </w:r>
    </w:p>
    <w:p w:rsidR="001244E7" w:rsidRPr="005F7D29" w:rsidRDefault="001244E7" w:rsidP="001244E7">
      <w:pPr>
        <w:pStyle w:val="ParaNoNdepar-AltN"/>
        <w:rPr>
          <w:rFonts w:cs="Times New Roman"/>
          <w:lang w:val="fr-CA"/>
        </w:rPr>
      </w:pPr>
      <w:r w:rsidRPr="005F7D29">
        <w:rPr>
          <w:rFonts w:cs="Times New Roman"/>
          <w:lang w:val="fr-CA"/>
        </w:rPr>
        <w:t>Dans notre système parlementaire fondé sur le modèle de Westminster, les électeurs canadiens votent pour un député (plus précisément, un député de la Chambre des communes), qui agit en tant que représentant de l’électorat dans une collectivité définie géographiquement (</w:t>
      </w:r>
      <w:r w:rsidRPr="005F7D29">
        <w:rPr>
          <w:rFonts w:cs="Times New Roman"/>
          <w:i/>
          <w:lang w:val="fr-CA"/>
        </w:rPr>
        <w:t>Haig c. Canada (Directeur général des élections)</w:t>
      </w:r>
      <w:r w:rsidRPr="005F7D29">
        <w:rPr>
          <w:rFonts w:cs="Times New Roman"/>
          <w:lang w:val="fr-CA"/>
        </w:rPr>
        <w:t>, [1993] 2 R.C.S. 995, p. 1031). Au moment de la Confédération, le caractère régional de la composition de la Chambre des communes a été consacré dans la Constitution (</w:t>
      </w:r>
      <w:r w:rsidRPr="005F7D29">
        <w:rPr>
          <w:rFonts w:cs="Times New Roman"/>
          <w:i/>
          <w:lang w:val="fr-CA"/>
        </w:rPr>
        <w:t>Loi constitutionnelle de 1867</w:t>
      </w:r>
      <w:r w:rsidRPr="005F7D29">
        <w:rPr>
          <w:rFonts w:cs="Times New Roman"/>
          <w:lang w:val="fr-CA"/>
        </w:rPr>
        <w:t xml:space="preserve">, art. 37 et 40). (Bien que l’art. 40 soit maintenant considéré comme périmé, le Parlement continue de prévoir des mesures relatives à l’établissement de circonscriptions électorales en application de la </w:t>
      </w:r>
      <w:r w:rsidRPr="005F7D29">
        <w:rPr>
          <w:rFonts w:cs="Times New Roman"/>
          <w:i/>
          <w:lang w:val="fr-CA"/>
        </w:rPr>
        <w:t>Loi sur la révision des limites des circonscriptions électorales</w:t>
      </w:r>
      <w:r w:rsidRPr="005F7D29">
        <w:rPr>
          <w:rFonts w:cs="Times New Roman"/>
          <w:lang w:val="fr-CA"/>
        </w:rPr>
        <w:t>, L.R.C. 1985, c. E</w:t>
      </w:r>
      <w:r w:rsidRPr="005F7D29">
        <w:rPr>
          <w:rFonts w:cs="Times New Roman"/>
          <w:lang w:val="fr-CA"/>
        </w:rPr>
        <w:noBreakHyphen/>
        <w:t xml:space="preserve">3; voir A. </w:t>
      </w:r>
      <w:proofErr w:type="spellStart"/>
      <w:r w:rsidRPr="005F7D29">
        <w:rPr>
          <w:rFonts w:cs="Times New Roman"/>
          <w:lang w:val="fr-CA"/>
        </w:rPr>
        <w:t>Dodek</w:t>
      </w:r>
      <w:proofErr w:type="spellEnd"/>
      <w:r w:rsidRPr="005F7D29">
        <w:rPr>
          <w:rFonts w:cs="Times New Roman"/>
          <w:lang w:val="fr-CA"/>
        </w:rPr>
        <w:t xml:space="preserve">, </w:t>
      </w:r>
      <w:r w:rsidRPr="005F7D29">
        <w:rPr>
          <w:rFonts w:cs="Times New Roman"/>
          <w:i/>
          <w:lang w:val="fr-CA"/>
        </w:rPr>
        <w:t>The Canadian Constitution</w:t>
      </w:r>
      <w:r w:rsidRPr="005F7D29">
        <w:rPr>
          <w:rFonts w:cs="Times New Roman"/>
          <w:lang w:val="fr-CA"/>
        </w:rPr>
        <w:t xml:space="preserve"> (2</w:t>
      </w:r>
      <w:r w:rsidRPr="005F7D29">
        <w:rPr>
          <w:rFonts w:cs="Times New Roman"/>
          <w:vertAlign w:val="superscript"/>
          <w:lang w:val="fr-CA"/>
        </w:rPr>
        <w:t>e</w:t>
      </w:r>
      <w:r w:rsidRPr="005F7D29">
        <w:rPr>
          <w:rFonts w:cs="Times New Roman"/>
          <w:lang w:val="fr-CA"/>
        </w:rPr>
        <w:t xml:space="preserve"> éd. 2016), p. 54.) Même si le Parlement, formé de l’ensemble des députés, représente [</w:t>
      </w:r>
      <w:r w:rsidRPr="005F7D29">
        <w:rPr>
          <w:rFonts w:cs="Times New Roman"/>
          <w:smallCaps/>
          <w:lang w:val="fr-CA"/>
        </w:rPr>
        <w:t>traduction</w:t>
      </w:r>
      <w:r w:rsidRPr="005F7D29">
        <w:rPr>
          <w:rFonts w:cs="Times New Roman"/>
          <w:lang w:val="fr-CA"/>
        </w:rPr>
        <w:t xml:space="preserve">] « toutes les circonscriptions, tout le </w:t>
      </w:r>
      <w:r w:rsidRPr="005F7D29">
        <w:rPr>
          <w:rFonts w:cs="Times New Roman"/>
          <w:lang w:val="fr-CA"/>
        </w:rPr>
        <w:lastRenderedPageBreak/>
        <w:t>territoire, tous les partis, tous les intérêts, tous les citoyens, tous les habitants » (J. </w:t>
      </w:r>
      <w:proofErr w:type="spellStart"/>
      <w:r w:rsidRPr="005F7D29">
        <w:rPr>
          <w:rFonts w:cs="Times New Roman"/>
          <w:lang w:val="fr-CA"/>
        </w:rPr>
        <w:t>Ajzenstat</w:t>
      </w:r>
      <w:proofErr w:type="spellEnd"/>
      <w:r w:rsidRPr="005F7D29">
        <w:rPr>
          <w:rFonts w:cs="Times New Roman"/>
          <w:lang w:val="fr-CA"/>
        </w:rPr>
        <w:t xml:space="preserve">, </w:t>
      </w:r>
      <w:r w:rsidRPr="005F7D29">
        <w:rPr>
          <w:rFonts w:cs="Times New Roman"/>
          <w:i/>
          <w:lang w:val="fr-CA"/>
        </w:rPr>
        <w:t xml:space="preserve">The Canadian </w:t>
      </w:r>
      <w:proofErr w:type="spellStart"/>
      <w:r w:rsidRPr="005F7D29">
        <w:rPr>
          <w:rFonts w:cs="Times New Roman"/>
          <w:i/>
          <w:lang w:val="fr-CA"/>
        </w:rPr>
        <w:t>Founding</w:t>
      </w:r>
      <w:proofErr w:type="spellEnd"/>
      <w:r w:rsidRPr="005F7D29">
        <w:rPr>
          <w:rFonts w:cs="Times New Roman"/>
          <w:i/>
          <w:lang w:val="fr-CA"/>
        </w:rPr>
        <w:t xml:space="preserve">: John Locke and </w:t>
      </w:r>
      <w:proofErr w:type="spellStart"/>
      <w:r w:rsidRPr="005F7D29">
        <w:rPr>
          <w:rFonts w:cs="Times New Roman"/>
          <w:i/>
          <w:lang w:val="fr-CA"/>
        </w:rPr>
        <w:t>Parliament</w:t>
      </w:r>
      <w:proofErr w:type="spellEnd"/>
      <w:r w:rsidRPr="005F7D29">
        <w:rPr>
          <w:rFonts w:cs="Times New Roman"/>
          <w:lang w:val="fr-CA"/>
        </w:rPr>
        <w:t xml:space="preserve"> (2007), p. 61), le droit de vote garanti par l’art. 3 </w:t>
      </w:r>
      <w:proofErr w:type="gramStart"/>
      <w:r w:rsidRPr="005F7D29">
        <w:rPr>
          <w:rFonts w:cs="Times New Roman"/>
          <w:lang w:val="fr-CA"/>
        </w:rPr>
        <w:t>repose</w:t>
      </w:r>
      <w:proofErr w:type="gramEnd"/>
      <w:r w:rsidRPr="005F7D29">
        <w:rPr>
          <w:rFonts w:cs="Times New Roman"/>
          <w:lang w:val="fr-CA"/>
        </w:rPr>
        <w:t xml:space="preserve"> sur le principe voulant que les électeurs votent pour un représentant de leur collectivité. Cette structure régionale doit donc guider tout examen du système électoral et de la participation des Canadiens à celui</w:t>
      </w:r>
      <w:r w:rsidRPr="005F7D29">
        <w:rPr>
          <w:rFonts w:cs="Times New Roman"/>
          <w:lang w:val="fr-CA"/>
        </w:rPr>
        <w:noBreakHyphen/>
        <w:t xml:space="preserve">ci. </w:t>
      </w:r>
    </w:p>
    <w:p w:rsidR="001244E7" w:rsidRPr="005F7D29" w:rsidRDefault="001244E7" w:rsidP="001244E7">
      <w:pPr>
        <w:pStyle w:val="ParaNoNdepar-AltN"/>
        <w:rPr>
          <w:rFonts w:cs="Times New Roman"/>
          <w:lang w:val="fr-CA"/>
        </w:rPr>
      </w:pPr>
      <w:r w:rsidRPr="005F7D29">
        <w:rPr>
          <w:rFonts w:cs="Times New Roman"/>
          <w:lang w:val="fr-CA"/>
        </w:rPr>
        <w:t>En fait, la composition régionale de la Chambre des communes occupe une place de choix dans notre jurisprudence portant sur la redéfinition des limites des circonscriptions électorales, qui permet la prise en considération de « la géographie, [de] la démographie et [d]es communautés d’intérêts » lors de la délimitation des circonscriptions, même lorsque de telles considérations peuvent donner lieu à des disparités du pouvoir électoral qui seraient inéquitables par ailleurs (</w:t>
      </w:r>
      <w:r w:rsidRPr="005F7D29">
        <w:rPr>
          <w:rFonts w:cs="Times New Roman"/>
          <w:i/>
          <w:lang w:val="fr-CA"/>
        </w:rPr>
        <w:t>Renvoi : Circ. électorales provinciales (</w:t>
      </w:r>
      <w:proofErr w:type="spellStart"/>
      <w:r w:rsidRPr="005F7D29">
        <w:rPr>
          <w:rFonts w:cs="Times New Roman"/>
          <w:i/>
          <w:lang w:val="fr-CA"/>
        </w:rPr>
        <w:t>Sask</w:t>
      </w:r>
      <w:proofErr w:type="spellEnd"/>
      <w:r w:rsidRPr="005F7D29">
        <w:rPr>
          <w:rFonts w:cs="Times New Roman"/>
          <w:i/>
          <w:lang w:val="fr-CA"/>
        </w:rPr>
        <w:t>.)</w:t>
      </w:r>
      <w:r w:rsidRPr="005F7D29">
        <w:rPr>
          <w:rFonts w:cs="Times New Roman"/>
          <w:lang w:val="fr-CA"/>
        </w:rPr>
        <w:t>, p. 172; voir également</w:t>
      </w:r>
      <w:r>
        <w:rPr>
          <w:rFonts w:cs="Times New Roman"/>
          <w:lang w:val="fr-CA"/>
        </w:rPr>
        <w:t xml:space="preserve"> R. </w:t>
      </w:r>
      <w:proofErr w:type="spellStart"/>
      <w:r w:rsidRPr="005F7D29">
        <w:rPr>
          <w:rFonts w:cs="Times New Roman"/>
          <w:lang w:val="fr-CA"/>
        </w:rPr>
        <w:t>MacGregor</w:t>
      </w:r>
      <w:proofErr w:type="spellEnd"/>
      <w:r w:rsidRPr="005F7D29">
        <w:rPr>
          <w:rFonts w:cs="Times New Roman"/>
          <w:lang w:val="fr-CA"/>
        </w:rPr>
        <w:t xml:space="preserve"> Dawson, </w:t>
      </w:r>
      <w:r w:rsidRPr="005F7D29">
        <w:rPr>
          <w:rFonts w:cs="Times New Roman"/>
          <w:i/>
          <w:lang w:val="fr-CA"/>
        </w:rPr>
        <w:t xml:space="preserve">The </w:t>
      </w:r>
      <w:proofErr w:type="spellStart"/>
      <w:r w:rsidRPr="005F7D29">
        <w:rPr>
          <w:rFonts w:cs="Times New Roman"/>
          <w:i/>
          <w:lang w:val="fr-CA"/>
        </w:rPr>
        <w:t>Government</w:t>
      </w:r>
      <w:proofErr w:type="spellEnd"/>
      <w:r w:rsidRPr="005F7D29">
        <w:rPr>
          <w:rFonts w:cs="Times New Roman"/>
          <w:i/>
          <w:lang w:val="fr-CA"/>
        </w:rPr>
        <w:t xml:space="preserve"> of Canada</w:t>
      </w:r>
      <w:r w:rsidRPr="005F7D29">
        <w:rPr>
          <w:rFonts w:cs="Times New Roman"/>
          <w:lang w:val="fr-CA"/>
        </w:rPr>
        <w:t xml:space="preserve"> (4</w:t>
      </w:r>
      <w:r w:rsidRPr="005F7D29">
        <w:rPr>
          <w:rFonts w:cs="Times New Roman"/>
          <w:vertAlign w:val="superscript"/>
          <w:lang w:val="fr-CA"/>
        </w:rPr>
        <w:t>e</w:t>
      </w:r>
      <w:r w:rsidRPr="005F7D29">
        <w:rPr>
          <w:rFonts w:cs="Times New Roman"/>
          <w:lang w:val="fr-CA"/>
        </w:rPr>
        <w:t xml:space="preserve"> éd. 1963), p. 341). De même, la notion de « résidence habituelle » est au cœur de la Loi,</w:t>
      </w:r>
      <w:r w:rsidRPr="005F7D29">
        <w:rPr>
          <w:rFonts w:cs="Times New Roman"/>
          <w:i/>
          <w:lang w:val="fr-CA"/>
        </w:rPr>
        <w:t xml:space="preserve"> </w:t>
      </w:r>
      <w:r w:rsidRPr="005F7D29">
        <w:rPr>
          <w:rFonts w:cs="Times New Roman"/>
          <w:lang w:val="fr-CA"/>
        </w:rPr>
        <w:t xml:space="preserve">car elle détermine la section de vote dans laquelle l’électeur exerce son droit de vote (art. 3 et 6; et </w:t>
      </w:r>
      <w:r w:rsidRPr="005F7D29">
        <w:rPr>
          <w:rFonts w:cs="Times New Roman"/>
          <w:i/>
          <w:lang w:val="fr-CA"/>
        </w:rPr>
        <w:t>Opitz</w:t>
      </w:r>
      <w:r w:rsidRPr="005F7D29">
        <w:rPr>
          <w:rFonts w:cs="Times New Roman"/>
          <w:lang w:val="fr-CA"/>
        </w:rPr>
        <w:t>, par. 11). Elle s’entend de « l’endroit qui a toujours été, ou [que l’électeur] a adopté comme étant, son lieu d’habitation ou sa demeure, où [l’électeur] entend revenir après une absence » (art. 8). La restriction au droit de vote des non</w:t>
      </w:r>
      <w:r w:rsidRPr="005F7D29">
        <w:rPr>
          <w:rFonts w:cs="Times New Roman"/>
          <w:lang w:val="fr-CA"/>
        </w:rPr>
        <w:noBreakHyphen/>
        <w:t>résidents à long terme fait donc en sorte que les électeurs résidant dans une circonscription donnée, qui partagent une communauté d’intérêts découlant généralement (du moins en partie) de la proximité géographique, conservent le pouvoir de décider pour eux</w:t>
      </w:r>
      <w:r w:rsidRPr="005F7D29">
        <w:rPr>
          <w:rFonts w:cs="Times New Roman"/>
          <w:lang w:val="fr-CA"/>
        </w:rPr>
        <w:noBreakHyphen/>
        <w:t xml:space="preserve">mêmes qui sera en mesure de mieux faire valoir ces intérêts partagés en leur nom à la Chambre des communes. Il s’ensuit que les </w:t>
      </w:r>
      <w:r w:rsidRPr="005F7D29">
        <w:rPr>
          <w:rFonts w:cs="Times New Roman"/>
          <w:lang w:val="fr-CA"/>
        </w:rPr>
        <w:lastRenderedPageBreak/>
        <w:t>appelants et les juges majoritaires (par. 69), en insistant sur le fait que des liens peuvent être maintenus</w:t>
      </w:r>
      <w:r w:rsidRPr="005F7D29">
        <w:rPr>
          <w:rFonts w:cs="Times New Roman"/>
          <w:i/>
          <w:lang w:val="fr-CA"/>
        </w:rPr>
        <w:t xml:space="preserve"> avec le</w:t>
      </w:r>
      <w:r w:rsidRPr="005F7D29">
        <w:rPr>
          <w:rFonts w:cs="Times New Roman"/>
          <w:lang w:val="fr-CA"/>
        </w:rPr>
        <w:t xml:space="preserve"> </w:t>
      </w:r>
      <w:r w:rsidRPr="005F7D29">
        <w:rPr>
          <w:rFonts w:cs="Times New Roman"/>
          <w:i/>
          <w:lang w:val="fr-CA"/>
        </w:rPr>
        <w:t>Canada</w:t>
      </w:r>
      <w:r w:rsidRPr="005F7D29">
        <w:rPr>
          <w:rFonts w:cs="Times New Roman"/>
          <w:lang w:val="fr-CA"/>
        </w:rPr>
        <w:t xml:space="preserve">, par exemple, grâce à des sites d’information en ligne, évitent l’essentiel des modifications de 1993 : on ne peut conserver des liens </w:t>
      </w:r>
      <w:r w:rsidRPr="005F7D29">
        <w:rPr>
          <w:rFonts w:cs="Times New Roman"/>
          <w:i/>
          <w:lang w:val="fr-CA"/>
        </w:rPr>
        <w:t>avec des collectivités précises</w:t>
      </w:r>
      <w:r w:rsidRPr="005F7D29">
        <w:rPr>
          <w:rFonts w:cs="Times New Roman"/>
          <w:lang w:val="fr-CA"/>
        </w:rPr>
        <w:t xml:space="preserve"> aussi facilement.</w:t>
      </w:r>
    </w:p>
    <w:p w:rsidR="001244E7" w:rsidRPr="005F7D29" w:rsidRDefault="001244E7" w:rsidP="001244E7">
      <w:pPr>
        <w:pStyle w:val="ParaNoNdepar-AltN"/>
        <w:rPr>
          <w:rFonts w:cs="Times New Roman"/>
          <w:lang w:val="fr-CA"/>
        </w:rPr>
      </w:pPr>
      <w:r w:rsidRPr="005F7D29">
        <w:rPr>
          <w:rFonts w:cs="Times New Roman"/>
          <w:lang w:val="fr-CA"/>
        </w:rPr>
        <w:t>En réalité, les juges majoritaires eux</w:t>
      </w:r>
      <w:r w:rsidRPr="005F7D29">
        <w:rPr>
          <w:rFonts w:cs="Times New Roman"/>
          <w:lang w:val="fr-CA"/>
        </w:rPr>
        <w:noBreakHyphen/>
        <w:t>mêmes hésitent quant au rôle que joue, ou que devrait jouer, la résidence dans le régime canadien des droits de vote. Tout en reconnaissant que la résidence est un « dispositif important » et qu’elle « sous</w:t>
      </w:r>
      <w:r w:rsidRPr="005F7D29">
        <w:rPr>
          <w:rFonts w:cs="Times New Roman"/>
          <w:lang w:val="fr-CA"/>
        </w:rPr>
        <w:noBreakHyphen/>
        <w:t>tend notre système de représentation électorale déterminé par la géographie et les circonscriptions », ils minimisent ensuite la résidence, affirmant qu’elle joue un « rôle nécessaire », mais qu’elle n’est pas une « exigence essentielle » du droit de vote (par. 28 et 31</w:t>
      </w:r>
      <w:r w:rsidRPr="005F7D29">
        <w:rPr>
          <w:rFonts w:cs="Times New Roman"/>
          <w:lang w:val="fr-CA"/>
        </w:rPr>
        <w:noBreakHyphen/>
        <w:t>32). Avec égards, la distinction entre un rôle nécessaire et une exigence essentielle — une distinction qui sous</w:t>
      </w:r>
      <w:r w:rsidRPr="005F7D29">
        <w:rPr>
          <w:rFonts w:cs="Times New Roman"/>
          <w:lang w:val="fr-CA"/>
        </w:rPr>
        <w:noBreakHyphen/>
        <w:t xml:space="preserve">tend toute l’analyse des juges majoritaires — nous échappe. Elle contredit en outre la reconnaissance par notre Cour, dans </w:t>
      </w:r>
      <w:r w:rsidRPr="005F7D29">
        <w:rPr>
          <w:rFonts w:cs="Times New Roman"/>
          <w:i/>
          <w:lang w:val="fr-CA"/>
        </w:rPr>
        <w:t>Opitz</w:t>
      </w:r>
      <w:r w:rsidRPr="005F7D29">
        <w:rPr>
          <w:rFonts w:cs="Times New Roman"/>
          <w:lang w:val="fr-CA"/>
        </w:rPr>
        <w:t>,</w:t>
      </w:r>
      <w:r w:rsidRPr="005F7D29">
        <w:rPr>
          <w:rFonts w:cs="Times New Roman"/>
          <w:i/>
          <w:lang w:val="fr-CA"/>
        </w:rPr>
        <w:t xml:space="preserve"> </w:t>
      </w:r>
      <w:r w:rsidRPr="005F7D29">
        <w:rPr>
          <w:rFonts w:cs="Times New Roman"/>
          <w:lang w:val="fr-CA"/>
        </w:rPr>
        <w:t xml:space="preserve">du fait que la résidence est un attribut fondamental du droit de vote, et non pas seulement un mécanisme d’organisation — une observation qui s’applique tout autant dans le contexte de la </w:t>
      </w:r>
      <w:r w:rsidRPr="005F7D29">
        <w:rPr>
          <w:rFonts w:cs="Times New Roman"/>
          <w:i/>
          <w:lang w:val="fr-CA"/>
        </w:rPr>
        <w:t xml:space="preserve">Charte </w:t>
      </w:r>
      <w:r w:rsidRPr="005F7D29">
        <w:rPr>
          <w:rFonts w:cs="Times New Roman"/>
          <w:lang w:val="fr-CA"/>
        </w:rPr>
        <w:t xml:space="preserve">(par. 32). Et, quoi qu’il en soit, les juges majoritaires n’expliquent pas pourquoi la résidence </w:t>
      </w:r>
      <w:r w:rsidRPr="007B048D">
        <w:rPr>
          <w:rFonts w:cs="Times New Roman"/>
          <w:i/>
          <w:lang w:val="fr-CA"/>
        </w:rPr>
        <w:t>ne</w:t>
      </w:r>
      <w:r w:rsidRPr="005F7D29">
        <w:rPr>
          <w:rFonts w:cs="Times New Roman"/>
          <w:lang w:val="fr-CA"/>
        </w:rPr>
        <w:t xml:space="preserve"> devrait </w:t>
      </w:r>
      <w:r w:rsidRPr="005F7D29">
        <w:rPr>
          <w:rFonts w:cs="Times New Roman"/>
          <w:i/>
          <w:lang w:val="fr-CA"/>
        </w:rPr>
        <w:t>pas</w:t>
      </w:r>
      <w:r w:rsidRPr="005F7D29">
        <w:rPr>
          <w:rFonts w:cs="Times New Roman"/>
          <w:lang w:val="fr-CA"/>
        </w:rPr>
        <w:t xml:space="preserve"> être considérée comme une </w:t>
      </w:r>
      <w:r>
        <w:rPr>
          <w:rFonts w:cs="Times New Roman"/>
          <w:lang w:val="fr-CA"/>
        </w:rPr>
        <w:t xml:space="preserve">exigence </w:t>
      </w:r>
      <w:r w:rsidRPr="005F7D29">
        <w:rPr>
          <w:rFonts w:cs="Times New Roman"/>
          <w:lang w:val="fr-CA"/>
        </w:rPr>
        <w:t>essentielle — une appréciation qui est nettement contraire à celle du Parlement et de la jurisprudence de notre Cour et qui n’est nullement justifiée dans les motifs des juges majoritaires.</w:t>
      </w:r>
    </w:p>
    <w:p w:rsidR="001244E7" w:rsidRPr="005F7D29" w:rsidRDefault="001244E7" w:rsidP="001244E7">
      <w:pPr>
        <w:pStyle w:val="ParaNoNdepar-AltN"/>
        <w:rPr>
          <w:rFonts w:cs="Times New Roman"/>
          <w:lang w:val="fr-CA"/>
        </w:rPr>
      </w:pPr>
      <w:r w:rsidRPr="005F7D29">
        <w:rPr>
          <w:rFonts w:cs="Times New Roman"/>
          <w:lang w:val="fr-CA"/>
        </w:rPr>
        <w:lastRenderedPageBreak/>
        <w:t>En résumé, nous sommes d’avis de conclure que l’objectif du Parlement est urgent et réel. Nous traitons maintenant la question de la proportionnalité.</w:t>
      </w:r>
    </w:p>
    <w:p w:rsidR="001244E7" w:rsidRPr="005F7D29" w:rsidRDefault="001244E7" w:rsidP="001244E7">
      <w:pPr>
        <w:pStyle w:val="Title2LevelTitre2Niveau"/>
        <w:rPr>
          <w:rFonts w:cs="Times New Roman"/>
          <w:lang w:val="fr-CA"/>
        </w:rPr>
      </w:pPr>
      <w:r w:rsidRPr="005F7D29">
        <w:rPr>
          <w:rFonts w:cs="Times New Roman"/>
          <w:lang w:val="fr-CA"/>
        </w:rPr>
        <w:t>Proportionnalité</w:t>
      </w:r>
    </w:p>
    <w:p w:rsidR="001244E7" w:rsidRPr="005F7D29" w:rsidRDefault="001244E7" w:rsidP="001244E7">
      <w:pPr>
        <w:pStyle w:val="ParaNoNdepar-AltN"/>
        <w:rPr>
          <w:rFonts w:cs="Times New Roman"/>
          <w:lang w:val="fr-CA"/>
        </w:rPr>
      </w:pPr>
      <w:r w:rsidRPr="005F7D29">
        <w:rPr>
          <w:rFonts w:cs="Times New Roman"/>
          <w:lang w:val="fr-CA"/>
        </w:rPr>
        <w:t>La deuxième question qui se pose dans l’analyse des restrictions est celle de savoir si la restriction au droit de vote est proportionnée. En répondant à cette question, nous devons prendre garde de ne pas usurper la fonction d’élaboration de politiques du Parlement. L’examen consiste non pas à se demander ce que préfèreraient les membres de la Cour, mais à savoir si la limite en est une que le Parlement pouvait raisonnablement imposer : « [l]es tribunaux ne sont pas appelés à substituer des opinions judiciaires à celles du législateur quant à l’endroit où tracer une ligne de démarcation » (</w:t>
      </w:r>
      <w:r w:rsidRPr="005F7D29">
        <w:rPr>
          <w:rFonts w:cs="Times New Roman"/>
          <w:i/>
          <w:lang w:val="fr-CA"/>
        </w:rPr>
        <w:t>R. c. Edward Books and Art Ltd.</w:t>
      </w:r>
      <w:r w:rsidRPr="005F7D29">
        <w:rPr>
          <w:rFonts w:cs="Times New Roman"/>
          <w:lang w:val="fr-CA"/>
        </w:rPr>
        <w:t xml:space="preserve">, [1986] 2 R.C.S. 713, p. 782; voir également </w:t>
      </w:r>
      <w:proofErr w:type="spellStart"/>
      <w:r w:rsidRPr="005F7D29">
        <w:rPr>
          <w:rFonts w:cs="Times New Roman"/>
          <w:i/>
          <w:lang w:val="fr-CA"/>
        </w:rPr>
        <w:t>Stoffman</w:t>
      </w:r>
      <w:proofErr w:type="spellEnd"/>
      <w:r w:rsidRPr="005F7D29">
        <w:rPr>
          <w:rFonts w:cs="Times New Roman"/>
          <w:i/>
          <w:lang w:val="fr-CA"/>
        </w:rPr>
        <w:t xml:space="preserve"> c. Vancouver General </w:t>
      </w:r>
      <w:proofErr w:type="spellStart"/>
      <w:r w:rsidRPr="005F7D29">
        <w:rPr>
          <w:rFonts w:cs="Times New Roman"/>
          <w:i/>
          <w:lang w:val="fr-CA"/>
        </w:rPr>
        <w:t>Hospital</w:t>
      </w:r>
      <w:proofErr w:type="spellEnd"/>
      <w:r w:rsidRPr="005F7D29">
        <w:rPr>
          <w:rFonts w:cs="Times New Roman"/>
          <w:lang w:val="fr-CA"/>
        </w:rPr>
        <w:t xml:space="preserve">, [1990] 3 R.C.S. 483, p. 531, motifs du juge La Forest; </w:t>
      </w:r>
      <w:r w:rsidRPr="005F7D29">
        <w:rPr>
          <w:rFonts w:cs="Times New Roman"/>
          <w:i/>
          <w:lang w:val="fr-CA"/>
        </w:rPr>
        <w:t>Irwin Toy Ltd. c. Québec (Procureur général)</w:t>
      </w:r>
      <w:r w:rsidRPr="005F7D29">
        <w:rPr>
          <w:rFonts w:cs="Times New Roman"/>
          <w:lang w:val="fr-CA"/>
        </w:rPr>
        <w:t>, [1989] 1 R.C.S. 927, p. 993, motifs du juge en chef Dickson et des juges Lamer et Wilson). Cela est particulièrement vrai lorsque nous sommes saisis d’une contestation relative aux lois électorales du Canada, un ensemble de lois envers lequel, selon nous, les tribunaux « doivent naturellement faire preuve de déférence » (</w:t>
      </w:r>
      <w:r w:rsidRPr="005F7D29">
        <w:rPr>
          <w:rFonts w:cs="Times New Roman"/>
          <w:i/>
          <w:lang w:val="fr-CA"/>
        </w:rPr>
        <w:t>R. c. Bryan</w:t>
      </w:r>
      <w:r w:rsidRPr="005F7D29">
        <w:rPr>
          <w:rFonts w:cs="Times New Roman"/>
          <w:lang w:val="fr-CA"/>
        </w:rPr>
        <w:t xml:space="preserve">, 2007 CSC 12, [2007] 1 R.C.S. 527, par. 9; voir également </w:t>
      </w:r>
      <w:r w:rsidRPr="005F7D29">
        <w:rPr>
          <w:rFonts w:cs="Times New Roman"/>
          <w:i/>
          <w:lang w:val="fr-CA"/>
        </w:rPr>
        <w:t>Harper</w:t>
      </w:r>
      <w:r w:rsidRPr="005F7D29">
        <w:rPr>
          <w:rFonts w:cs="Times New Roman"/>
          <w:lang w:val="fr-CA"/>
        </w:rPr>
        <w:t>, par. 87).</w:t>
      </w:r>
    </w:p>
    <w:p w:rsidR="001244E7" w:rsidRPr="005F7D29" w:rsidRDefault="001244E7" w:rsidP="001244E7">
      <w:pPr>
        <w:pStyle w:val="ParaNoNdepar-AltN"/>
        <w:rPr>
          <w:rFonts w:cs="Times New Roman"/>
          <w:lang w:val="fr-CA"/>
        </w:rPr>
      </w:pPr>
      <w:r w:rsidRPr="005F7D29">
        <w:rPr>
          <w:rFonts w:cs="Times New Roman"/>
          <w:lang w:val="fr-CA"/>
        </w:rPr>
        <w:t xml:space="preserve">Puisque nous acceptons que l’objectif du Parlement — privilégier un lien actuel entre les électeurs et leurs collectivités — est urgent et réel, nous n’avons aucune hésitation à conclure que le moyen par lequel il a choisi d’atteindre cet objectif — une </w:t>
      </w:r>
      <w:r w:rsidRPr="005F7D29">
        <w:rPr>
          <w:rFonts w:cs="Times New Roman"/>
          <w:lang w:val="fr-CA"/>
        </w:rPr>
        <w:lastRenderedPageBreak/>
        <w:t xml:space="preserve">période limite de </w:t>
      </w:r>
      <w:proofErr w:type="spellStart"/>
      <w:r w:rsidRPr="005F7D29">
        <w:rPr>
          <w:rFonts w:cs="Times New Roman"/>
          <w:lang w:val="fr-CA"/>
        </w:rPr>
        <w:t>non</w:t>
      </w:r>
      <w:r w:rsidRPr="005F7D29">
        <w:rPr>
          <w:rFonts w:cs="Times New Roman"/>
          <w:lang w:val="fr-CA"/>
        </w:rPr>
        <w:noBreakHyphen/>
        <w:t>résidence</w:t>
      </w:r>
      <w:proofErr w:type="spellEnd"/>
      <w:r w:rsidRPr="005F7D29">
        <w:rPr>
          <w:rFonts w:cs="Times New Roman"/>
          <w:lang w:val="fr-CA"/>
        </w:rPr>
        <w:t xml:space="preserve"> de cinq ans — est proportionné. Le procureur général s’est acquitté de son fardeau de démontrer qu’une période de cinq années consécutives (par opposition à toute autre période plus courte ou plus longue) est une ligne de démarcation raisonnable — et donc constitutionnelle. </w:t>
      </w:r>
    </w:p>
    <w:p w:rsidR="001244E7" w:rsidRPr="005F7D29" w:rsidRDefault="001244E7" w:rsidP="001244E7">
      <w:pPr>
        <w:pStyle w:val="ParaNoNdepar-AltN"/>
        <w:rPr>
          <w:rFonts w:cs="Times New Roman"/>
          <w:lang w:val="fr-CA"/>
        </w:rPr>
      </w:pPr>
      <w:r w:rsidRPr="005F7D29">
        <w:rPr>
          <w:rFonts w:cs="Times New Roman"/>
          <w:lang w:val="fr-CA"/>
        </w:rPr>
        <w:t>Premièrement, la période de cinq ans correspond à la durée maximale d’une législature; de cette façon, tous les non</w:t>
      </w:r>
      <w:r w:rsidRPr="005F7D29">
        <w:rPr>
          <w:rFonts w:cs="Times New Roman"/>
          <w:lang w:val="fr-CA"/>
        </w:rPr>
        <w:noBreakHyphen/>
        <w:t xml:space="preserve">résidents peuvent voter à au moins une élection après avoir quitté le Canada. Une période de cinq ans est aussi suffisamment longue pour englober la plupart des programmes d’enseignement postsecondaire (du premier cycle jusqu’au doctorat), ce qui permet aux étudiants qui vont étudier à l’étranger de redevenir résidents du Canada après avoir terminé leur programme, sans perdre la capacité de voter. Dans la mesure où la limite est conçue pour établir une distinction raisonnable entre la </w:t>
      </w:r>
      <w:proofErr w:type="spellStart"/>
      <w:r w:rsidRPr="005F7D29">
        <w:rPr>
          <w:rFonts w:cs="Times New Roman"/>
          <w:lang w:val="fr-CA"/>
        </w:rPr>
        <w:t>non</w:t>
      </w:r>
      <w:r w:rsidRPr="005F7D29">
        <w:rPr>
          <w:rFonts w:cs="Times New Roman"/>
          <w:lang w:val="fr-CA"/>
        </w:rPr>
        <w:noBreakHyphen/>
        <w:t>résidence</w:t>
      </w:r>
      <w:proofErr w:type="spellEnd"/>
      <w:r w:rsidRPr="005F7D29">
        <w:rPr>
          <w:rFonts w:cs="Times New Roman"/>
          <w:lang w:val="fr-CA"/>
        </w:rPr>
        <w:t xml:space="preserve"> de courte durée et la </w:t>
      </w:r>
      <w:proofErr w:type="spellStart"/>
      <w:r w:rsidRPr="005F7D29">
        <w:rPr>
          <w:rFonts w:cs="Times New Roman"/>
          <w:lang w:val="fr-CA"/>
        </w:rPr>
        <w:t>non</w:t>
      </w:r>
      <w:r w:rsidRPr="005F7D29">
        <w:rPr>
          <w:rFonts w:cs="Times New Roman"/>
          <w:lang w:val="fr-CA"/>
        </w:rPr>
        <w:noBreakHyphen/>
        <w:t>résidence</w:t>
      </w:r>
      <w:proofErr w:type="spellEnd"/>
      <w:r w:rsidRPr="005F7D29">
        <w:rPr>
          <w:rFonts w:cs="Times New Roman"/>
          <w:lang w:val="fr-CA"/>
        </w:rPr>
        <w:t xml:space="preserve"> de longue durée, on ne peut prétendre que la période de cinq ans ne réussit pas à le faire de façon raisonnable. </w:t>
      </w:r>
    </w:p>
    <w:p w:rsidR="001244E7" w:rsidRPr="005F7D29" w:rsidRDefault="001244E7" w:rsidP="001244E7">
      <w:pPr>
        <w:pStyle w:val="ParaNoNdepar-AltN"/>
        <w:rPr>
          <w:rFonts w:cs="Times New Roman"/>
          <w:lang w:val="fr-CA"/>
        </w:rPr>
      </w:pPr>
      <w:r w:rsidRPr="005F7D29">
        <w:rPr>
          <w:rFonts w:cs="Times New Roman"/>
          <w:lang w:val="fr-CA"/>
        </w:rPr>
        <w:t>Les juges majoritaires soutiennent que la limite de cinq ans relative au droit de vote des non</w:t>
      </w:r>
      <w:r w:rsidRPr="005F7D29">
        <w:rPr>
          <w:rFonts w:cs="Times New Roman"/>
          <w:lang w:val="fr-CA"/>
        </w:rPr>
        <w:noBreakHyphen/>
        <w:t xml:space="preserve">résidents est arbitraire (par. 4). À cela, nous répondons simplement que, comme les appelants l’ont admis dans leurs observations (transcription, p. 25), la position absolutiste des juges majoritaires selon laquelle l’art. 3 rattache le droit de vote à la seule citoyenneté rendrait arbitraire </w:t>
      </w:r>
      <w:r w:rsidRPr="005F7D29">
        <w:rPr>
          <w:rFonts w:cs="Times New Roman"/>
          <w:i/>
          <w:lang w:val="fr-CA"/>
        </w:rPr>
        <w:t>toute</w:t>
      </w:r>
      <w:r w:rsidRPr="005F7D29">
        <w:rPr>
          <w:rFonts w:cs="Times New Roman"/>
          <w:lang w:val="fr-CA"/>
        </w:rPr>
        <w:t xml:space="preserve"> limite temporelle — et non uniquement dans le contexte des droits de vote fédéraux. Bien que les juges majoritaires affirment qu’une distinction doit être faite pour ce qui est des exigences provinciales en matière </w:t>
      </w:r>
      <w:r w:rsidRPr="005F7D29">
        <w:rPr>
          <w:rFonts w:cs="Times New Roman"/>
          <w:lang w:val="fr-CA"/>
        </w:rPr>
        <w:lastRenderedPageBreak/>
        <w:t>de résidence, puisqu’il n’existe aucun équivalent provincial de la citoyenneté (par. 6</w:t>
      </w:r>
      <w:r>
        <w:rPr>
          <w:rFonts w:cs="Times New Roman"/>
          <w:lang w:val="fr-CA"/>
        </w:rPr>
        <w:t>1</w:t>
      </w:r>
      <w:r w:rsidRPr="005F7D29">
        <w:rPr>
          <w:rFonts w:cs="Times New Roman"/>
          <w:lang w:val="fr-CA"/>
        </w:rPr>
        <w:t xml:space="preserve">), l’art. 3 renvoie non seulement au droit de vote des citoyens aux élections des membres de la Chambre des communes, mais aussi à celles des membres d’une assemblée législative provinciale. En conséquence, l’affirmation des juges majoritaires selon laquelle la </w:t>
      </w:r>
      <w:r w:rsidRPr="005F7D29">
        <w:rPr>
          <w:rFonts w:cs="Times New Roman"/>
          <w:i/>
          <w:lang w:val="fr-CA"/>
        </w:rPr>
        <w:t>citoyenneté conjuguée à la résidence</w:t>
      </w:r>
      <w:r w:rsidRPr="005F7D29">
        <w:rPr>
          <w:rFonts w:cs="Times New Roman"/>
          <w:lang w:val="fr-CA"/>
        </w:rPr>
        <w:t xml:space="preserve"> peut constituer le lien nécessaire entre l’électeur et la province, mais que la </w:t>
      </w:r>
      <w:r w:rsidRPr="005F7D29">
        <w:rPr>
          <w:rFonts w:cs="Times New Roman"/>
          <w:i/>
          <w:lang w:val="fr-CA"/>
        </w:rPr>
        <w:t>citoyenneté à elle seule</w:t>
      </w:r>
      <w:r w:rsidRPr="005F7D29">
        <w:rPr>
          <w:rFonts w:cs="Times New Roman"/>
          <w:lang w:val="fr-CA"/>
        </w:rPr>
        <w:t xml:space="preserve"> suffit à établir ce lien dans le contexte des élections fédérales, revient à interpréter le libellé de l’art. 3 comme établissant une distinction qui n’existe tout simplement pas.</w:t>
      </w:r>
    </w:p>
    <w:p w:rsidR="001244E7" w:rsidRPr="005F7D29" w:rsidRDefault="001244E7" w:rsidP="001244E7">
      <w:pPr>
        <w:pStyle w:val="ParaNoNdepar-AltN"/>
        <w:rPr>
          <w:rFonts w:cs="Times New Roman"/>
          <w:lang w:val="fr-CA"/>
        </w:rPr>
      </w:pPr>
      <w:r w:rsidRPr="005F7D29">
        <w:rPr>
          <w:rFonts w:cs="Times New Roman"/>
          <w:lang w:val="fr-CA"/>
        </w:rPr>
        <w:t>Qui plus est, l’effort peu convaincant des juges majoritaires visant à valider les exigences provinciales en matière de résidence est mis en doute par tous leurs autres propos au sujet de l’art. 3. Après que les juges majoritaires se sont efforcés d’expliquer comment les résidents à l’étranger « demeurent au courant des actualités canadiennes » (par. 69), comment les lois n’ont pas une incidence égale sur les citoyens résidents (par. 71), et comment les citoyens à l’étranger deviennent des « ambassadeurs » du pays dont ils sont ressortissants (par. 80), on se demande pourquoi ces arguments ne s’appliqueraient pas tout autant, par exemple, au Manitobain qui déménage en Colombie</w:t>
      </w:r>
      <w:r w:rsidRPr="005F7D29">
        <w:rPr>
          <w:rFonts w:cs="Times New Roman"/>
          <w:lang w:val="fr-CA"/>
        </w:rPr>
        <w:noBreakHyphen/>
        <w:t xml:space="preserve">Britannique. Malheureusement pour ce qui est des lois électorales provinciales, les juges majoritaires ne peuvent dire une chose et son contraire : leur approche absolutiste à l’égard de l’art. 3 exclut toute justification des limites au droit garanti par l’art. 3 fondées sur la résidence, et ce, que la limite ait été imposée par le Parlement ou par une législature provinciale. </w:t>
      </w:r>
    </w:p>
    <w:p w:rsidR="001244E7" w:rsidRPr="005F7D29" w:rsidRDefault="001244E7" w:rsidP="001244E7">
      <w:pPr>
        <w:pStyle w:val="ParaNoNdepar-AltN"/>
        <w:rPr>
          <w:rFonts w:cs="Times New Roman"/>
          <w:lang w:val="fr-CA"/>
        </w:rPr>
      </w:pPr>
      <w:r w:rsidRPr="005F7D29">
        <w:rPr>
          <w:rFonts w:cs="Times New Roman"/>
          <w:lang w:val="fr-CA"/>
        </w:rPr>
        <w:lastRenderedPageBreak/>
        <w:t>Deuxièmement, la période de cinq ans se situe dans la gamme des limites adoptées par d’autres démocraties de type Westminster dans lesquelles les régimes électoraux, comme ici, sont structurés en fonction de circonscriptions électorales définies géographiquement. Il convient de noter que les pays de tradition démocratique de type Westminster ont tendance à avoir une réglementation en matière de vote plus restrictive quant au vote des non</w:t>
      </w:r>
      <w:r w:rsidRPr="005F7D29">
        <w:rPr>
          <w:rFonts w:cs="Times New Roman"/>
          <w:lang w:val="fr-CA"/>
        </w:rPr>
        <w:noBreakHyphen/>
        <w:t>résidents (A. Blais et autres, « </w:t>
      </w:r>
      <w:proofErr w:type="spellStart"/>
      <w:r w:rsidRPr="005F7D29">
        <w:rPr>
          <w:rFonts w:cs="Times New Roman"/>
          <w:lang w:val="fr-CA"/>
        </w:rPr>
        <w:t>Deciding</w:t>
      </w:r>
      <w:proofErr w:type="spellEnd"/>
      <w:r w:rsidRPr="005F7D29">
        <w:rPr>
          <w:rFonts w:cs="Times New Roman"/>
          <w:lang w:val="fr-CA"/>
        </w:rPr>
        <w:t xml:space="preserve"> </w:t>
      </w:r>
      <w:proofErr w:type="spellStart"/>
      <w:r w:rsidRPr="005F7D29">
        <w:rPr>
          <w:rFonts w:cs="Times New Roman"/>
          <w:lang w:val="fr-CA"/>
        </w:rPr>
        <w:t>Who</w:t>
      </w:r>
      <w:proofErr w:type="spellEnd"/>
      <w:r w:rsidRPr="005F7D29">
        <w:rPr>
          <w:rFonts w:cs="Times New Roman"/>
          <w:lang w:val="fr-CA"/>
        </w:rPr>
        <w:t xml:space="preserve"> Has the Right to Vote: A Comparative </w:t>
      </w:r>
      <w:proofErr w:type="spellStart"/>
      <w:r w:rsidRPr="005F7D29">
        <w:rPr>
          <w:rFonts w:cs="Times New Roman"/>
          <w:lang w:val="fr-CA"/>
        </w:rPr>
        <w:t>Analysis</w:t>
      </w:r>
      <w:proofErr w:type="spellEnd"/>
      <w:r w:rsidRPr="005F7D29">
        <w:rPr>
          <w:rFonts w:cs="Times New Roman"/>
          <w:lang w:val="fr-CA"/>
        </w:rPr>
        <w:t xml:space="preserve"> of </w:t>
      </w:r>
      <w:proofErr w:type="spellStart"/>
      <w:r w:rsidRPr="005F7D29">
        <w:rPr>
          <w:rFonts w:cs="Times New Roman"/>
          <w:lang w:val="fr-CA"/>
        </w:rPr>
        <w:t>Election</w:t>
      </w:r>
      <w:proofErr w:type="spellEnd"/>
      <w:r w:rsidRPr="005F7D29">
        <w:rPr>
          <w:rFonts w:cs="Times New Roman"/>
          <w:lang w:val="fr-CA"/>
        </w:rPr>
        <w:t xml:space="preserve"> </w:t>
      </w:r>
      <w:proofErr w:type="spellStart"/>
      <w:r w:rsidRPr="005F7D29">
        <w:rPr>
          <w:rFonts w:cs="Times New Roman"/>
          <w:lang w:val="fr-CA"/>
        </w:rPr>
        <w:t>Laws</w:t>
      </w:r>
      <w:proofErr w:type="spellEnd"/>
      <w:r w:rsidRPr="005F7D29">
        <w:rPr>
          <w:rFonts w:cs="Times New Roman"/>
          <w:lang w:val="fr-CA"/>
        </w:rPr>
        <w:t xml:space="preserve"> » (2001), </w:t>
      </w:r>
      <w:proofErr w:type="spellStart"/>
      <w:r w:rsidRPr="005F7D29">
        <w:rPr>
          <w:rFonts w:cs="Times New Roman"/>
          <w:i/>
          <w:lang w:val="fr-CA"/>
        </w:rPr>
        <w:t>Electoral</w:t>
      </w:r>
      <w:proofErr w:type="spellEnd"/>
      <w:r w:rsidRPr="005F7D29">
        <w:rPr>
          <w:rFonts w:cs="Times New Roman"/>
          <w:i/>
          <w:lang w:val="fr-CA"/>
        </w:rPr>
        <w:t xml:space="preserve"> </w:t>
      </w:r>
      <w:proofErr w:type="spellStart"/>
      <w:r w:rsidRPr="005F7D29">
        <w:rPr>
          <w:rFonts w:cs="Times New Roman"/>
          <w:i/>
          <w:lang w:val="fr-CA"/>
        </w:rPr>
        <w:t>Studies</w:t>
      </w:r>
      <w:proofErr w:type="spellEnd"/>
      <w:r w:rsidRPr="005F7D29">
        <w:rPr>
          <w:rFonts w:cs="Times New Roman"/>
          <w:i/>
          <w:lang w:val="fr-CA"/>
        </w:rPr>
        <w:t xml:space="preserve"> </w:t>
      </w:r>
      <w:r w:rsidRPr="005F7D29">
        <w:rPr>
          <w:rFonts w:cs="Times New Roman"/>
          <w:lang w:val="fr-CA"/>
        </w:rPr>
        <w:t>20). En effet, lorsque les élections sont structurées de façon à ce que le choix de représentants se fasse pour des collectivités particulières définies régionalement, plutôt que les candidats nationaux se présentent à l’échelle du pays, la justification du fait de limiter les droits de vote aux particuliers qui ont un lien avec ces communautés locales particulières est plus grande. Par exemple, la Nouvelle</w:t>
      </w:r>
      <w:r w:rsidRPr="005F7D29">
        <w:rPr>
          <w:rFonts w:cs="Times New Roman"/>
          <w:lang w:val="fr-CA"/>
        </w:rPr>
        <w:noBreakHyphen/>
        <w:t>Zélande permet à ses citoyens à l’étranger de voter pendant trois ans après avoir quitté le pays. L’Australie fixe la limite à six ans. Au Royaume</w:t>
      </w:r>
      <w:r w:rsidRPr="005F7D29">
        <w:rPr>
          <w:rFonts w:cs="Times New Roman"/>
          <w:lang w:val="fr-CA"/>
        </w:rPr>
        <w:noBreakHyphen/>
        <w:t xml:space="preserve">Uni, la limite est de </w:t>
      </w:r>
      <w:r w:rsidR="007B048D">
        <w:rPr>
          <w:rFonts w:cs="Times New Roman"/>
          <w:lang w:val="fr-CA"/>
        </w:rPr>
        <w:t>15</w:t>
      </w:r>
      <w:r w:rsidRPr="005F7D29">
        <w:rPr>
          <w:rFonts w:cs="Times New Roman"/>
          <w:lang w:val="fr-CA"/>
        </w:rPr>
        <w:t xml:space="preserve"> ans. </w:t>
      </w:r>
    </w:p>
    <w:p w:rsidR="001244E7" w:rsidRPr="005F7D29" w:rsidRDefault="001244E7" w:rsidP="001244E7">
      <w:pPr>
        <w:pStyle w:val="ParaNoNdepar-AltN"/>
        <w:rPr>
          <w:rFonts w:cs="Times New Roman"/>
          <w:lang w:val="fr-CA"/>
        </w:rPr>
      </w:pPr>
      <w:r w:rsidRPr="005F7D29">
        <w:rPr>
          <w:rFonts w:cs="Times New Roman"/>
          <w:lang w:val="fr-CA"/>
        </w:rPr>
        <w:t>En réponse à ces arguments, les juges majoritaires rejettent tous les exemples comparatifs relatifs aux non</w:t>
      </w:r>
      <w:r w:rsidRPr="005F7D29">
        <w:rPr>
          <w:rFonts w:cs="Times New Roman"/>
          <w:lang w:val="fr-CA"/>
        </w:rPr>
        <w:noBreakHyphen/>
        <w:t>résidents. « [L]’histoire du système électoral canadien en est une d’octroi progressif du droit de vote », déclarent les juges majoritaires (par. 62). « Le Canada fait figure de chef de file mondial à cet égard » et « [n]</w:t>
      </w:r>
      <w:proofErr w:type="spellStart"/>
      <w:r w:rsidRPr="005F7D29">
        <w:rPr>
          <w:rFonts w:cs="Times New Roman"/>
          <w:lang w:val="fr-CA"/>
        </w:rPr>
        <w:t>ous</w:t>
      </w:r>
      <w:proofErr w:type="spellEnd"/>
      <w:r w:rsidRPr="005F7D29">
        <w:rPr>
          <w:rFonts w:cs="Times New Roman"/>
          <w:lang w:val="fr-CA"/>
        </w:rPr>
        <w:t xml:space="preserve"> ne devons pas nous en remettre aux normes de systèmes comparables dans d’autres pays » (par. 62). De plus, même s’il s’agissait de comparateurs adéquats, les juges majoritaires ajoutent que les règles de l’Australie et de la Nouvelle</w:t>
      </w:r>
      <w:r w:rsidRPr="005F7D29">
        <w:rPr>
          <w:rFonts w:cs="Times New Roman"/>
          <w:lang w:val="fr-CA"/>
        </w:rPr>
        <w:noBreakHyphen/>
        <w:t xml:space="preserve">Zélande </w:t>
      </w:r>
      <w:r w:rsidRPr="005F7D29">
        <w:rPr>
          <w:rFonts w:cs="Times New Roman"/>
          <w:lang w:val="fr-CA"/>
        </w:rPr>
        <w:lastRenderedPageBreak/>
        <w:t>relatives à leur limite respective de six et de trois ans sont mises en œuvre différemment (par. 74).</w:t>
      </w:r>
    </w:p>
    <w:p w:rsidR="001244E7" w:rsidRPr="005F7D29" w:rsidRDefault="001244E7" w:rsidP="001244E7">
      <w:pPr>
        <w:pStyle w:val="ParaNoNdepar-AltN"/>
        <w:rPr>
          <w:rFonts w:cs="Times New Roman"/>
          <w:lang w:val="fr-CA"/>
        </w:rPr>
      </w:pPr>
      <w:r w:rsidRPr="005F7D29">
        <w:rPr>
          <w:rFonts w:cs="Times New Roman"/>
          <w:lang w:val="fr-CA"/>
        </w:rPr>
        <w:t>Nous notons d’abord, avec égards, qu’en raison de leur rejet des comparaisons avec d’autres régimes parlementaires de type Westminster, le patriotisme des juges majoritaires risque de verser dans l’exceptionnalisme. À diverses époques de son histoire, le Canada aurait eu intérêt à suivre l’exemple d’autres pays. Par exemple, la Nouvelle</w:t>
      </w:r>
      <w:r w:rsidRPr="005F7D29">
        <w:rPr>
          <w:rFonts w:cs="Times New Roman"/>
          <w:lang w:val="fr-CA"/>
        </w:rPr>
        <w:noBreakHyphen/>
        <w:t>Zélande a accordé le droit de vote à ses Autochtones, les Maoris, en 1867, presque un siècle avant que le Canada fasse de même</w:t>
      </w:r>
      <w:r>
        <w:rPr>
          <w:rFonts w:cs="Times New Roman"/>
          <w:lang w:val="fr-CA"/>
        </w:rPr>
        <w:t xml:space="preserve"> (N. </w:t>
      </w:r>
      <w:r w:rsidRPr="005F7D29">
        <w:rPr>
          <w:rFonts w:cs="Times New Roman"/>
          <w:lang w:val="fr-CA"/>
        </w:rPr>
        <w:t>Atkinson, « </w:t>
      </w:r>
      <w:proofErr w:type="spellStart"/>
      <w:r w:rsidRPr="005F7D29">
        <w:rPr>
          <w:rFonts w:cs="Times New Roman"/>
          <w:lang w:val="fr-CA"/>
        </w:rPr>
        <w:t>Voting</w:t>
      </w:r>
      <w:proofErr w:type="spellEnd"/>
      <w:r w:rsidRPr="005F7D29">
        <w:rPr>
          <w:rFonts w:cs="Times New Roman"/>
          <w:lang w:val="fr-CA"/>
        </w:rPr>
        <w:t xml:space="preserve"> </w:t>
      </w:r>
      <w:proofErr w:type="spellStart"/>
      <w:r w:rsidRPr="005F7D29">
        <w:rPr>
          <w:rFonts w:cs="Times New Roman"/>
          <w:lang w:val="fr-CA"/>
        </w:rPr>
        <w:t>rights</w:t>
      </w:r>
      <w:proofErr w:type="spellEnd"/>
      <w:r w:rsidRPr="005F7D29">
        <w:rPr>
          <w:rFonts w:cs="Times New Roman"/>
          <w:lang w:val="fr-CA"/>
        </w:rPr>
        <w:t xml:space="preserve"> », dans </w:t>
      </w:r>
      <w:r w:rsidRPr="005F7D29">
        <w:rPr>
          <w:rFonts w:cs="Times New Roman"/>
          <w:i/>
          <w:lang w:val="fr-CA"/>
        </w:rPr>
        <w:t xml:space="preserve">Te Ara — The </w:t>
      </w:r>
      <w:proofErr w:type="spellStart"/>
      <w:r w:rsidRPr="005F7D29">
        <w:rPr>
          <w:rFonts w:cs="Times New Roman"/>
          <w:i/>
          <w:lang w:val="fr-CA"/>
        </w:rPr>
        <w:t>Encyclopedia</w:t>
      </w:r>
      <w:proofErr w:type="spellEnd"/>
      <w:r w:rsidRPr="005F7D29">
        <w:rPr>
          <w:rFonts w:cs="Times New Roman"/>
          <w:i/>
          <w:lang w:val="fr-CA"/>
        </w:rPr>
        <w:t xml:space="preserve"> of New </w:t>
      </w:r>
      <w:proofErr w:type="spellStart"/>
      <w:r w:rsidRPr="005F7D29">
        <w:rPr>
          <w:rFonts w:cs="Times New Roman"/>
          <w:i/>
          <w:lang w:val="fr-CA"/>
        </w:rPr>
        <w:t>Zealand</w:t>
      </w:r>
      <w:proofErr w:type="spellEnd"/>
      <w:r w:rsidRPr="005F7D29">
        <w:rPr>
          <w:rFonts w:cs="Times New Roman"/>
          <w:lang w:val="fr-CA"/>
        </w:rPr>
        <w:t xml:space="preserve"> (2015) (en ligne)). Les femmes de Nouvelle</w:t>
      </w:r>
      <w:r w:rsidRPr="005F7D29">
        <w:rPr>
          <w:rFonts w:cs="Times New Roman"/>
          <w:lang w:val="fr-CA"/>
        </w:rPr>
        <w:noBreakHyphen/>
        <w:t>Zélande ont obtenu le droit de vote en 1893, presque un quart de siècle avant que le Canada n’accorde aux femmes un droit de vote limité (</w:t>
      </w:r>
      <w:r w:rsidRPr="005F7D29">
        <w:rPr>
          <w:rFonts w:cs="Times New Roman"/>
          <w:i/>
          <w:lang w:val="fr-CA"/>
        </w:rPr>
        <w:t>ibid.</w:t>
      </w:r>
      <w:r w:rsidRPr="005F7D29">
        <w:rPr>
          <w:rFonts w:cs="Times New Roman"/>
          <w:lang w:val="fr-CA"/>
        </w:rPr>
        <w:t>). Compte tenu de cet historique, nous ne parvenons pas à comprendre ce qui amène les juges majoritaires à rejeter les choix des législateurs néo</w:t>
      </w:r>
      <w:r w:rsidRPr="005F7D29">
        <w:rPr>
          <w:rFonts w:cs="Times New Roman"/>
          <w:lang w:val="fr-CA"/>
        </w:rPr>
        <w:noBreakHyphen/>
        <w:t>zélandais au motif qu’ils ne méritent pas d’être pris en considération par la Cour. Certes, les juges majoritaires soulignent par ailleurs de petites différences entre les façons dont la Nouvelle</w:t>
      </w:r>
      <w:r w:rsidRPr="005F7D29">
        <w:rPr>
          <w:rFonts w:cs="Times New Roman"/>
          <w:lang w:val="fr-CA"/>
        </w:rPr>
        <w:noBreakHyphen/>
        <w:t>Zélande et l’Australie mettent en œuvre leurs limites (motifs des juges majoritaires, par. 74), mais, ce faisant, ils ne font qu’insister sur des détails de préférences de politique générale du législateur canadien (et, du reste, des législateurs d’Australie et de Nouvelle</w:t>
      </w:r>
      <w:r w:rsidRPr="005F7D29">
        <w:rPr>
          <w:rFonts w:cs="Times New Roman"/>
          <w:lang w:val="fr-CA"/>
        </w:rPr>
        <w:noBreakHyphen/>
        <w:t xml:space="preserve">Zélande) concernant des questions à l’égard desquelles notre Cour, en tant qu’institution, n’a que peu d’expertise relative. </w:t>
      </w:r>
    </w:p>
    <w:p w:rsidR="001244E7" w:rsidRPr="005F7D29" w:rsidRDefault="001244E7" w:rsidP="001244E7">
      <w:pPr>
        <w:pStyle w:val="ParaNoNdepar-AltN"/>
        <w:rPr>
          <w:rFonts w:cs="Times New Roman"/>
          <w:lang w:val="fr-CA"/>
        </w:rPr>
      </w:pPr>
      <w:r w:rsidRPr="005F7D29">
        <w:rPr>
          <w:rFonts w:cs="Times New Roman"/>
          <w:lang w:val="fr-CA"/>
        </w:rPr>
        <w:lastRenderedPageBreak/>
        <w:t>Le point est simple. Dans les cas où d’autres démocraties libérales respectées à l’échelle internationale, et ayant le même cadre parlementaire de type Westminster que le Canada, ont adopté des limites temporelles comparables du droit de vote des non</w:t>
      </w:r>
      <w:r w:rsidRPr="005F7D29">
        <w:rPr>
          <w:rFonts w:cs="Times New Roman"/>
          <w:lang w:val="fr-CA"/>
        </w:rPr>
        <w:noBreakHyphen/>
        <w:t>résidents à long terme, ces exemples constituent une preuve convaincante qui satisfait au critère peu exigeant de la rationalité. Dans la mesure où les juges majoritaires laissent entendre le contraire au motif que le Canada ferait figure de « chef de file mondial » en ce qui concerne les droits de vote et qu’il ne devrait pas « [s’]en remettre » aux décisions prises dans d’autres pays (par. 62), ils utilisent des arguments hautement politiques et rhétoriques — des arguments qui, selon nous, vont à l’encontre des notions d’internationalisme et de « mondialisation » des liens et des communications mises en avant par les juges majoritaires eux</w:t>
      </w:r>
      <w:r w:rsidRPr="005F7D29">
        <w:rPr>
          <w:rFonts w:cs="Times New Roman"/>
          <w:lang w:val="fr-CA"/>
        </w:rPr>
        <w:noBreakHyphen/>
        <w:t xml:space="preserve">mêmes (par. 34). Quoi qu’il en soit, le législateur aurait été parfaitement justifié de prendre en considération ces arguments dans l’élaboration des lois du Canada en tout premier lieu. Toutefois, avec égards, il ne s’agit pas là d’arguments juridiques qui autorisent notre Cour à affirmer que la disposition législative contestée est irrationnelle. </w:t>
      </w:r>
    </w:p>
    <w:p w:rsidR="001244E7" w:rsidRPr="005F7D29" w:rsidRDefault="001244E7" w:rsidP="001244E7">
      <w:pPr>
        <w:pStyle w:val="ParaNoNdepar-AltN"/>
        <w:rPr>
          <w:rFonts w:cs="Times New Roman"/>
          <w:lang w:val="fr-CA"/>
        </w:rPr>
      </w:pPr>
      <w:r w:rsidRPr="005F7D29">
        <w:rPr>
          <w:rFonts w:cs="Times New Roman"/>
          <w:lang w:val="fr-CA"/>
        </w:rPr>
        <w:t>Ensuite, tout citoyen canadien adulte peut encore exercer son droit de vote à tout moment, pourvu qu’il revienne résider au Canada. En conséquence, la restriction en cause n’est pas une privation permanente du droit de vote. Tout comme l’exigence fondée sur l’âge, elle représente une distinction « fondée sur la situation expérientielle dans laquelle se trouvent tous les citoyens » dans cette catégorie (</w:t>
      </w:r>
      <w:r w:rsidRPr="005F7D29">
        <w:rPr>
          <w:rFonts w:cs="Times New Roman"/>
          <w:i/>
          <w:lang w:val="fr-CA"/>
        </w:rPr>
        <w:t>Sauvé n</w:t>
      </w:r>
      <w:r w:rsidRPr="005F7D29">
        <w:rPr>
          <w:rFonts w:cs="Times New Roman"/>
          <w:i/>
          <w:vertAlign w:val="superscript"/>
          <w:lang w:val="fr-CA"/>
        </w:rPr>
        <w:t>o</w:t>
      </w:r>
      <w:r w:rsidRPr="005F7D29">
        <w:rPr>
          <w:rFonts w:cs="Times New Roman"/>
          <w:i/>
          <w:lang w:val="fr-CA"/>
        </w:rPr>
        <w:t> 2</w:t>
      </w:r>
      <w:r w:rsidRPr="005F7D29">
        <w:rPr>
          <w:rFonts w:cs="Times New Roman"/>
          <w:lang w:val="fr-CA"/>
        </w:rPr>
        <w:t xml:space="preserve">, par. 37), et non pas d’une distinction fondée sur la valeur morale (le sujet de préoccupation de la Cour dans </w:t>
      </w:r>
      <w:r w:rsidRPr="005F7D29">
        <w:rPr>
          <w:rFonts w:cs="Times New Roman"/>
          <w:i/>
          <w:lang w:val="fr-CA"/>
        </w:rPr>
        <w:t>Sauvé n</w:t>
      </w:r>
      <w:r w:rsidRPr="005F7D29">
        <w:rPr>
          <w:rFonts w:cs="Times New Roman"/>
          <w:i/>
          <w:vertAlign w:val="superscript"/>
          <w:lang w:val="fr-CA"/>
        </w:rPr>
        <w:t>o</w:t>
      </w:r>
      <w:r w:rsidRPr="005F7D29">
        <w:rPr>
          <w:rFonts w:cs="Times New Roman"/>
          <w:i/>
          <w:lang w:val="fr-CA"/>
        </w:rPr>
        <w:t> 2</w:t>
      </w:r>
      <w:r w:rsidRPr="005F7D29">
        <w:rPr>
          <w:rFonts w:cs="Times New Roman"/>
          <w:lang w:val="fr-CA"/>
        </w:rPr>
        <w:t xml:space="preserve">). Les effets préjudiciables de la restriction sont donc de </w:t>
      </w:r>
      <w:r w:rsidRPr="005F7D29">
        <w:rPr>
          <w:rFonts w:cs="Times New Roman"/>
          <w:lang w:val="fr-CA"/>
        </w:rPr>
        <w:lastRenderedPageBreak/>
        <w:t>moindre importance, et les autres effets bénéfiques dont nous avons discuté — à savoir assurer le rapport de mutualité entre l’exercice du droit de vote et le fait d’être assujetti aux lois canadiennes et protéger l’intégrité du système électoral canadien — l’emportent sur ceux</w:t>
      </w:r>
      <w:r w:rsidRPr="005F7D29">
        <w:rPr>
          <w:rFonts w:cs="Times New Roman"/>
          <w:lang w:val="fr-CA"/>
        </w:rPr>
        <w:noBreakHyphen/>
        <w:t>ci.</w:t>
      </w:r>
    </w:p>
    <w:p w:rsidR="001244E7" w:rsidRPr="005F7D29" w:rsidRDefault="001244E7" w:rsidP="001244E7">
      <w:pPr>
        <w:pStyle w:val="ParaNoNdepar-AltN"/>
        <w:rPr>
          <w:rFonts w:cs="Times New Roman"/>
          <w:lang w:val="fr-CA"/>
        </w:rPr>
      </w:pPr>
      <w:r w:rsidRPr="005F7D29">
        <w:rPr>
          <w:rFonts w:cs="Times New Roman"/>
          <w:lang w:val="fr-CA"/>
        </w:rPr>
        <w:t xml:space="preserve">Les juges majoritaires écartent les effets bénéfiques au motif qu’ils sont hypothétiques et illusoires (par. 78) — faisant abstraction, entre autres, de l’importance de la résidence, que notre jurisprudence reconnaît depuis longtemps (voir </w:t>
      </w:r>
      <w:r w:rsidRPr="005F7D29">
        <w:rPr>
          <w:rFonts w:cs="Times New Roman"/>
          <w:i/>
          <w:lang w:val="fr-CA"/>
        </w:rPr>
        <w:t>Opitz</w:t>
      </w:r>
      <w:r w:rsidRPr="005F7D29">
        <w:rPr>
          <w:rFonts w:cs="Times New Roman"/>
          <w:lang w:val="fr-CA"/>
        </w:rPr>
        <w:t>, par. 32) et de l’importance de la « représentation effective » qui, comme nous l’avons conclu, est « au cœur même du droit de vote » (</w:t>
      </w:r>
      <w:r w:rsidRPr="005F7D29">
        <w:rPr>
          <w:rFonts w:cs="Times New Roman"/>
          <w:i/>
          <w:lang w:val="fr-CA"/>
        </w:rPr>
        <w:t>Renvoi : Circ. électorales provinciales (</w:t>
      </w:r>
      <w:proofErr w:type="spellStart"/>
      <w:r w:rsidRPr="005F7D29">
        <w:rPr>
          <w:rFonts w:cs="Times New Roman"/>
          <w:i/>
          <w:lang w:val="fr-CA"/>
        </w:rPr>
        <w:t>Sask</w:t>
      </w:r>
      <w:proofErr w:type="spellEnd"/>
      <w:r w:rsidRPr="005F7D29">
        <w:rPr>
          <w:rFonts w:cs="Times New Roman"/>
          <w:i/>
          <w:lang w:val="fr-CA"/>
        </w:rPr>
        <w:t>.)</w:t>
      </w:r>
      <w:r w:rsidRPr="005F7D29">
        <w:rPr>
          <w:rFonts w:cs="Times New Roman"/>
          <w:lang w:val="fr-CA"/>
        </w:rPr>
        <w:t>, p. 188), et qui est manifestement minée si le Parlement ne peut pas légiférer à l’appui d’un système électoral basé sur la géographie qui répond aux besoins de collectivités locales.</w:t>
      </w:r>
    </w:p>
    <w:p w:rsidR="001244E7" w:rsidRPr="005F7D29" w:rsidRDefault="001244E7" w:rsidP="001244E7">
      <w:pPr>
        <w:pStyle w:val="ParaNoNdepar-AltN"/>
        <w:rPr>
          <w:rFonts w:cs="Times New Roman"/>
          <w:lang w:val="fr-CA"/>
        </w:rPr>
      </w:pPr>
      <w:r w:rsidRPr="005F7D29">
        <w:rPr>
          <w:rFonts w:cs="Times New Roman"/>
          <w:lang w:val="fr-CA"/>
        </w:rPr>
        <w:t>Qui plus est, à notre humble avis, il est regrettable que les juges majoritaires adoptent l’argument hyperbolique des appelants selon lequel les Canadiens vivant à l’étranger sont souvent « des ambassadeurs des valeurs canadiennes» (par. 80). Bien que les « valeurs canadiennes » (quelles qu’elles soient) puissent être attrayantes, le fait de les invoquer dans ce contexte est un piètre substitut à un raisonnement juridique expliquant précisément pourquoi la disposition législative contestée ne représente pas une limite raisonnable du droit de vote garanti par l’art. 3. Qui plus est, et même sur le fond, cette affirmation exagère la situation des Canadiens non</w:t>
      </w:r>
      <w:r w:rsidRPr="005F7D29">
        <w:rPr>
          <w:rFonts w:cs="Times New Roman"/>
          <w:lang w:val="fr-CA"/>
        </w:rPr>
        <w:noBreakHyphen/>
        <w:t xml:space="preserve">résidents et présume de façon déraisonnable des motifs qui les ont amenés à quitter </w:t>
      </w:r>
      <w:r w:rsidRPr="005F7D29">
        <w:rPr>
          <w:rFonts w:cs="Times New Roman"/>
          <w:lang w:val="fr-CA"/>
        </w:rPr>
        <w:lastRenderedPageBreak/>
        <w:t>le pays. Des citoyens canadiens peuvent quitter le Canada pour toutes sortes de raisons « non ambassadoriales », que ce soit parce qu’ils veulent améliorer leurs perspectives de carrière ou payer moins d’impôts, ou parce qu’ils préfèrent les « valeurs » d’autres pays.</w:t>
      </w:r>
    </w:p>
    <w:p w:rsidR="001244E7" w:rsidRPr="005F7D29" w:rsidRDefault="001244E7" w:rsidP="001244E7">
      <w:pPr>
        <w:pStyle w:val="ParaNoNdepar-AltN"/>
        <w:rPr>
          <w:rFonts w:cs="Times New Roman"/>
          <w:lang w:val="fr-CA"/>
        </w:rPr>
      </w:pPr>
      <w:r w:rsidRPr="005F7D29">
        <w:rPr>
          <w:rFonts w:cs="Times New Roman"/>
          <w:lang w:val="fr-CA"/>
        </w:rPr>
        <w:t xml:space="preserve">Enfin, les juges majoritaires affirment aussi, en termes concluants, que la privation d’un droit cause en soi du tort (par. 82). Toutefois, si cette affirmation est vraie en l’espèce, il en serait ainsi dans tous les cas où un droit est restreint. Comme nous l’avons déjà expliqué, aucun droit n’est absolu. S’il en était autrement, l’article premier n’aurait aucune raison d’être. Présumer qu’un préjudice quelconque découle du seul fait qu’un droit est restreint revient, encore une fois, à adopter une approche absolutiste inacceptable à l’égard des droits garantis par la </w:t>
      </w:r>
      <w:r w:rsidRPr="005F7D29">
        <w:rPr>
          <w:rFonts w:cs="Times New Roman"/>
          <w:i/>
          <w:lang w:val="fr-CA"/>
        </w:rPr>
        <w:t>Charte</w:t>
      </w:r>
      <w:r w:rsidRPr="005F7D29">
        <w:rPr>
          <w:rFonts w:cs="Times New Roman"/>
          <w:lang w:val="fr-CA"/>
        </w:rPr>
        <w:t xml:space="preserve"> et, de fait, à faire entièrement abstraction de son article premier. Quoi qu’il en soit, cette approche transforme l’analyse des limites faite par les juges majoritaires en une analyse unilatérale : le préjudice présumé qui, selon eux, découlerait du seul fait qu’un droit est restreint est précisément le type de conséquence hypothétique et illusoire que désavouent les juges majoritaires dans leur examen des effets bénéfiques de la restriction. </w:t>
      </w:r>
    </w:p>
    <w:p w:rsidR="001244E7" w:rsidRPr="005F7D29" w:rsidRDefault="001244E7" w:rsidP="001244E7">
      <w:pPr>
        <w:pStyle w:val="ParaNoNdepar-AltN"/>
        <w:rPr>
          <w:rFonts w:cs="Times New Roman"/>
          <w:lang w:val="fr-CA"/>
        </w:rPr>
      </w:pPr>
      <w:r w:rsidRPr="005F7D29">
        <w:rPr>
          <w:rFonts w:cs="Times New Roman"/>
          <w:lang w:val="fr-CA"/>
        </w:rPr>
        <w:t>À la lumière de ces considérations, nous concluons que le procureur général a démontré que la restriction au droit de vote des non</w:t>
      </w:r>
      <w:r w:rsidRPr="005F7D29">
        <w:rPr>
          <w:rFonts w:cs="Times New Roman"/>
          <w:lang w:val="fr-CA"/>
        </w:rPr>
        <w:noBreakHyphen/>
        <w:t xml:space="preserve">résidents représente une limite raisonnable du droit garanti par l’art. 3, dont la justification peut se démontrer dans le cadre d’une société libre et démocratique. La mesure a un lien rationnel avec </w:t>
      </w:r>
      <w:r w:rsidRPr="005F7D29">
        <w:rPr>
          <w:rFonts w:cs="Times New Roman"/>
          <w:lang w:val="fr-CA"/>
        </w:rPr>
        <w:lastRenderedPageBreak/>
        <w:t>l’objectif visant à faire en sorte que les électeurs conservent un lien actuel avec leurs collectivités parce qu’elle établit une distinction logique entre les non</w:t>
      </w:r>
      <w:r w:rsidRPr="005F7D29">
        <w:rPr>
          <w:rFonts w:cs="Times New Roman"/>
          <w:lang w:val="fr-CA"/>
        </w:rPr>
        <w:noBreakHyphen/>
        <w:t>résidents depuis peu et les non</w:t>
      </w:r>
      <w:r w:rsidRPr="005F7D29">
        <w:rPr>
          <w:rFonts w:cs="Times New Roman"/>
          <w:lang w:val="fr-CA"/>
        </w:rPr>
        <w:noBreakHyphen/>
        <w:t>résidents à long terme. La limite constitue une atteinte minimale car, tout bien considéré, une période de cinq ans fait partie des options raisonnables qui étaient à la disposition du Parlement, et il n’appartient pas à notre Cour, et cela ne relève pas non plus de son champ d’expertise, de remettre en question la ligne de démarcation précise que le Parlement a choisie. De plus, dans la mise en balance finale, les effets bénéfiques de la préservation de l’intégrité du système électoral canadien, axé sur la géographie, et du maintien d’une conception démocratiquement édictée de la portée du droit de vote au Canada, sont importants. L’effet préjudiciable du fait de priver certains citoyens du droit de vote n’est pas sans importance, mais il est atténué par le fait que la restriction est réversible plutôt que permanente — tout Canadien peut immédiatement retrouver le droit de vote dès qu’il revient résider au Canada.</w:t>
      </w:r>
    </w:p>
    <w:p w:rsidR="001244E7" w:rsidRPr="005F7D29" w:rsidRDefault="001244E7" w:rsidP="001244E7">
      <w:pPr>
        <w:pStyle w:val="Title1LevelTitre1Niveau-AltL"/>
        <w:rPr>
          <w:rFonts w:cs="Times New Roman"/>
          <w:lang w:val="fr-CA"/>
        </w:rPr>
      </w:pPr>
      <w:r w:rsidRPr="005F7D29">
        <w:rPr>
          <w:rFonts w:cs="Times New Roman"/>
          <w:lang w:val="fr-CA"/>
        </w:rPr>
        <w:t>Conclusion</w:t>
      </w:r>
    </w:p>
    <w:p w:rsidR="001244E7" w:rsidRPr="0046058F" w:rsidRDefault="001244E7" w:rsidP="00805B11">
      <w:pPr>
        <w:pStyle w:val="ParaNoNdepar-AltN"/>
        <w:rPr>
          <w:rFonts w:cs="Times New Roman"/>
          <w:lang w:val="fr-CA"/>
        </w:rPr>
      </w:pPr>
      <w:r w:rsidRPr="005F7D29">
        <w:rPr>
          <w:rFonts w:eastAsia="Times New Roman" w:cs="Times New Roman"/>
          <w:lang w:val="fr-CA"/>
        </w:rPr>
        <w:t xml:space="preserve">Nous sommes d’avis de rejeter le pourvoi. </w:t>
      </w:r>
    </w:p>
    <w:p w:rsidR="004D7D95" w:rsidRPr="00555AB6" w:rsidRDefault="00462C4D" w:rsidP="00805B11">
      <w:pPr>
        <w:pStyle w:val="SCCNormalDoubleSpacing"/>
        <w:spacing w:after="480"/>
        <w:rPr>
          <w:lang w:val="fr-CA"/>
        </w:rPr>
      </w:pPr>
      <w:r w:rsidRPr="00555AB6">
        <w:rPr>
          <w:lang w:val="fr-CA"/>
        </w:rPr>
        <w:tab/>
      </w:r>
      <w:r w:rsidRPr="00555AB6">
        <w:rPr>
          <w:i/>
          <w:lang w:val="fr-CA"/>
        </w:rPr>
        <w:t xml:space="preserve">Pourvoi </w:t>
      </w:r>
      <w:r w:rsidR="00801C69">
        <w:rPr>
          <w:i/>
          <w:lang w:val="fr-CA"/>
        </w:rPr>
        <w:t xml:space="preserve">accueilli avec dépens devant toutes les cours, les juges </w:t>
      </w:r>
      <w:r w:rsidR="00801C69" w:rsidRPr="00801C69">
        <w:rPr>
          <w:smallCaps/>
          <w:lang w:val="fr-CA"/>
        </w:rPr>
        <w:t>Côté</w:t>
      </w:r>
      <w:r w:rsidR="00801C69">
        <w:rPr>
          <w:i/>
          <w:lang w:val="fr-CA"/>
        </w:rPr>
        <w:t xml:space="preserve"> et </w:t>
      </w:r>
      <w:r w:rsidR="00801C69" w:rsidRPr="00801C69">
        <w:rPr>
          <w:smallCaps/>
          <w:lang w:val="fr-CA"/>
        </w:rPr>
        <w:t>Brown</w:t>
      </w:r>
      <w:r w:rsidR="00801C69">
        <w:rPr>
          <w:i/>
          <w:lang w:val="fr-CA"/>
        </w:rPr>
        <w:t xml:space="preserve"> sont dissidents.</w:t>
      </w:r>
      <w:r w:rsidRPr="00555AB6">
        <w:rPr>
          <w:i/>
          <w:lang w:val="fr-CA"/>
        </w:rPr>
        <w:t xml:space="preserve"> </w:t>
      </w:r>
    </w:p>
    <w:p w:rsidR="001871C7" w:rsidRPr="00555AB6" w:rsidRDefault="009C4D45" w:rsidP="00805B11">
      <w:pPr>
        <w:pStyle w:val="SCCLawFirm"/>
        <w:spacing w:after="480"/>
        <w:rPr>
          <w:lang w:val="fr-CA"/>
        </w:rPr>
      </w:pPr>
      <w:r>
        <w:rPr>
          <w:lang w:val="fr-CA"/>
        </w:rPr>
        <w:tab/>
        <w:t>Procureur</w:t>
      </w:r>
      <w:r w:rsidR="000172A6" w:rsidRPr="00555AB6">
        <w:rPr>
          <w:lang w:val="fr-CA"/>
        </w:rPr>
        <w:t>s de</w:t>
      </w:r>
      <w:r>
        <w:rPr>
          <w:lang w:val="fr-CA"/>
        </w:rPr>
        <w:t>s</w:t>
      </w:r>
      <w:r w:rsidR="000172A6" w:rsidRPr="00555AB6">
        <w:rPr>
          <w:lang w:val="fr-CA"/>
        </w:rPr>
        <w:t xml:space="preserve"> appelant</w:t>
      </w:r>
      <w:r>
        <w:rPr>
          <w:lang w:val="fr-CA"/>
        </w:rPr>
        <w:t>s</w:t>
      </w:r>
      <w:r w:rsidR="00382AA5">
        <w:rPr>
          <w:lang w:val="fr-CA"/>
        </w:rPr>
        <w:t> </w:t>
      </w:r>
      <w:r w:rsidR="00842071">
        <w:rPr>
          <w:lang w:val="fr-CA"/>
        </w:rPr>
        <w:t>: </w:t>
      </w:r>
      <w:proofErr w:type="spellStart"/>
      <w:r w:rsidR="000172A6" w:rsidRPr="00555AB6">
        <w:rPr>
          <w:lang w:val="fr-CA"/>
        </w:rPr>
        <w:t>Cavalluzzo</w:t>
      </w:r>
      <w:proofErr w:type="spellEnd"/>
      <w:r w:rsidR="000172A6" w:rsidRPr="00555AB6">
        <w:rPr>
          <w:lang w:val="fr-CA"/>
        </w:rPr>
        <w:t>, Toronto.</w:t>
      </w:r>
    </w:p>
    <w:p w:rsidR="001871C7" w:rsidRPr="00064431" w:rsidRDefault="000172A6" w:rsidP="00805B11">
      <w:pPr>
        <w:pStyle w:val="SCCLawFirm"/>
        <w:spacing w:after="480"/>
        <w:rPr>
          <w:lang w:val="fr-CA"/>
        </w:rPr>
      </w:pPr>
      <w:r w:rsidRPr="00C7366F">
        <w:rPr>
          <w:lang w:val="fr-CA"/>
        </w:rPr>
        <w:tab/>
      </w:r>
      <w:r w:rsidR="00064431" w:rsidRPr="00064431">
        <w:rPr>
          <w:lang w:val="fr-CA"/>
        </w:rPr>
        <w:t>Procureur</w:t>
      </w:r>
      <w:r w:rsidRPr="00064431">
        <w:rPr>
          <w:lang w:val="fr-CA"/>
        </w:rPr>
        <w:t xml:space="preserve"> de l</w:t>
      </w:r>
      <w:r w:rsidR="00805B11">
        <w:rPr>
          <w:lang w:val="fr-CA"/>
        </w:rPr>
        <w:t>’</w:t>
      </w:r>
      <w:r w:rsidRPr="00064431">
        <w:rPr>
          <w:lang w:val="fr-CA"/>
        </w:rPr>
        <w:t>intimé</w:t>
      </w:r>
      <w:r w:rsidR="00382AA5">
        <w:rPr>
          <w:lang w:val="fr-CA"/>
        </w:rPr>
        <w:t> </w:t>
      </w:r>
      <w:r w:rsidR="00842071">
        <w:rPr>
          <w:lang w:val="fr-CA"/>
        </w:rPr>
        <w:t>: </w:t>
      </w:r>
      <w:r w:rsidR="00064431" w:rsidRPr="00064431">
        <w:rPr>
          <w:lang w:val="fr-CA"/>
        </w:rPr>
        <w:t>Procureur général du Canada</w:t>
      </w:r>
      <w:r w:rsidRPr="00064431">
        <w:rPr>
          <w:lang w:val="fr-CA"/>
        </w:rPr>
        <w:t>, Toronto.</w:t>
      </w:r>
    </w:p>
    <w:p w:rsidR="001871C7" w:rsidRPr="0063681A" w:rsidRDefault="000172A6" w:rsidP="00805B11">
      <w:pPr>
        <w:pStyle w:val="SCCLawFirm"/>
        <w:spacing w:after="480"/>
        <w:rPr>
          <w:lang w:val="fr-CA"/>
        </w:rPr>
      </w:pPr>
      <w:r w:rsidRPr="00064431">
        <w:rPr>
          <w:lang w:val="fr-CA"/>
        </w:rPr>
        <w:lastRenderedPageBreak/>
        <w:tab/>
      </w:r>
      <w:r w:rsidR="00064431">
        <w:rPr>
          <w:lang w:val="fr-CA"/>
        </w:rPr>
        <w:t>Procureur</w:t>
      </w:r>
      <w:r w:rsidRPr="0063681A">
        <w:rPr>
          <w:lang w:val="fr-CA"/>
        </w:rPr>
        <w:t xml:space="preserve"> de l</w:t>
      </w:r>
      <w:r w:rsidR="00805B11">
        <w:rPr>
          <w:lang w:val="fr-CA"/>
        </w:rPr>
        <w:t>’</w:t>
      </w:r>
      <w:r w:rsidR="00064431">
        <w:rPr>
          <w:lang w:val="fr-CA"/>
        </w:rPr>
        <w:t>intervenante la p</w:t>
      </w:r>
      <w:r w:rsidRPr="0063681A">
        <w:rPr>
          <w:lang w:val="fr-CA"/>
        </w:rPr>
        <w:t xml:space="preserve">rocureure générale du </w:t>
      </w:r>
      <w:r w:rsidRPr="000B3B31">
        <w:rPr>
          <w:lang w:val="fr-CA"/>
        </w:rPr>
        <w:t>Québec</w:t>
      </w:r>
      <w:r w:rsidR="00382AA5" w:rsidRPr="000B3B31">
        <w:rPr>
          <w:lang w:val="fr-CA"/>
        </w:rPr>
        <w:t> </w:t>
      </w:r>
      <w:r w:rsidR="00842071" w:rsidRPr="000B3B31">
        <w:rPr>
          <w:lang w:val="fr-CA"/>
        </w:rPr>
        <w:t>: </w:t>
      </w:r>
      <w:r w:rsidRPr="000B3B31">
        <w:rPr>
          <w:lang w:val="fr-CA"/>
        </w:rPr>
        <w:t>Procureur</w:t>
      </w:r>
      <w:r w:rsidR="00064431" w:rsidRPr="000B3B31">
        <w:rPr>
          <w:lang w:val="fr-CA"/>
        </w:rPr>
        <w:t>e</w:t>
      </w:r>
      <w:r w:rsidRPr="000B3B31">
        <w:rPr>
          <w:lang w:val="fr-CA"/>
        </w:rPr>
        <w:t xml:space="preserve"> général</w:t>
      </w:r>
      <w:r w:rsidR="00064431" w:rsidRPr="000B3B31">
        <w:rPr>
          <w:lang w:val="fr-CA"/>
        </w:rPr>
        <w:t>e</w:t>
      </w:r>
      <w:r w:rsidRPr="000B3B31">
        <w:rPr>
          <w:lang w:val="fr-CA"/>
        </w:rPr>
        <w:t xml:space="preserve"> du Québec, Québec</w:t>
      </w:r>
      <w:r w:rsidRPr="0063681A">
        <w:rPr>
          <w:lang w:val="fr-CA"/>
        </w:rPr>
        <w:t>.</w:t>
      </w:r>
    </w:p>
    <w:p w:rsidR="001871C7" w:rsidRPr="0063681A" w:rsidRDefault="00064431" w:rsidP="00805B11">
      <w:pPr>
        <w:pStyle w:val="SCCLawFirm"/>
        <w:spacing w:after="480"/>
        <w:rPr>
          <w:lang w:val="fr-CA"/>
        </w:rPr>
      </w:pPr>
      <w:r>
        <w:rPr>
          <w:lang w:val="fr-CA"/>
        </w:rPr>
        <w:tab/>
        <w:t>Procureur</w:t>
      </w:r>
      <w:r w:rsidR="000172A6" w:rsidRPr="0063681A">
        <w:rPr>
          <w:lang w:val="fr-CA"/>
        </w:rPr>
        <w:t>s de l</w:t>
      </w:r>
      <w:r w:rsidR="00805B11">
        <w:rPr>
          <w:lang w:val="fr-CA"/>
        </w:rPr>
        <w:t>’</w:t>
      </w:r>
      <w:r>
        <w:rPr>
          <w:lang w:val="fr-CA"/>
        </w:rPr>
        <w:t>intervenante</w:t>
      </w:r>
      <w:r w:rsidR="000172A6" w:rsidRPr="0063681A">
        <w:rPr>
          <w:lang w:val="fr-CA"/>
        </w:rPr>
        <w:t xml:space="preserve"> Canadian American Bar Association</w:t>
      </w:r>
      <w:r w:rsidR="00382AA5">
        <w:rPr>
          <w:lang w:val="fr-CA"/>
        </w:rPr>
        <w:t> </w:t>
      </w:r>
      <w:r w:rsidR="00842071">
        <w:rPr>
          <w:lang w:val="fr-CA"/>
        </w:rPr>
        <w:t>: </w:t>
      </w:r>
      <w:r w:rsidR="000172A6" w:rsidRPr="0063681A">
        <w:rPr>
          <w:lang w:val="fr-CA"/>
        </w:rPr>
        <w:t xml:space="preserve">Blake, </w:t>
      </w:r>
      <w:proofErr w:type="spellStart"/>
      <w:r w:rsidR="000172A6" w:rsidRPr="0063681A">
        <w:rPr>
          <w:lang w:val="fr-CA"/>
        </w:rPr>
        <w:t>Cassels</w:t>
      </w:r>
      <w:proofErr w:type="spellEnd"/>
      <w:r w:rsidR="000172A6" w:rsidRPr="0063681A">
        <w:rPr>
          <w:lang w:val="fr-CA"/>
        </w:rPr>
        <w:t xml:space="preserve"> &amp; </w:t>
      </w:r>
      <w:proofErr w:type="spellStart"/>
      <w:r w:rsidR="000172A6" w:rsidRPr="0063681A">
        <w:rPr>
          <w:lang w:val="fr-CA"/>
        </w:rPr>
        <w:t>Graydon</w:t>
      </w:r>
      <w:proofErr w:type="spellEnd"/>
      <w:r w:rsidR="000172A6" w:rsidRPr="0063681A">
        <w:rPr>
          <w:lang w:val="fr-CA"/>
        </w:rPr>
        <w:t>, Toronto.</w:t>
      </w:r>
    </w:p>
    <w:p w:rsidR="001871C7" w:rsidRPr="0063681A" w:rsidRDefault="000172A6" w:rsidP="00805B11">
      <w:pPr>
        <w:pStyle w:val="SCCLawFirm"/>
        <w:spacing w:after="480"/>
        <w:rPr>
          <w:lang w:val="fr-CA"/>
        </w:rPr>
      </w:pPr>
      <w:r w:rsidRPr="0063681A">
        <w:rPr>
          <w:lang w:val="fr-CA"/>
        </w:rPr>
        <w:tab/>
        <w:t>Procureurs de l</w:t>
      </w:r>
      <w:r w:rsidR="00805B11">
        <w:rPr>
          <w:lang w:val="fr-CA"/>
        </w:rPr>
        <w:t>’</w:t>
      </w:r>
      <w:r w:rsidRPr="0063681A">
        <w:rPr>
          <w:lang w:val="fr-CA"/>
        </w:rPr>
        <w:t>inte</w:t>
      </w:r>
      <w:r w:rsidR="00064431">
        <w:rPr>
          <w:lang w:val="fr-CA"/>
        </w:rPr>
        <w:t>rvenante</w:t>
      </w:r>
      <w:r w:rsidRPr="0063681A">
        <w:rPr>
          <w:lang w:val="fr-CA"/>
        </w:rPr>
        <w:t xml:space="preserve"> Canadian </w:t>
      </w:r>
      <w:proofErr w:type="spellStart"/>
      <w:r w:rsidRPr="0063681A">
        <w:rPr>
          <w:lang w:val="fr-CA"/>
        </w:rPr>
        <w:t>Expat</w:t>
      </w:r>
      <w:proofErr w:type="spellEnd"/>
      <w:r w:rsidRPr="0063681A">
        <w:rPr>
          <w:lang w:val="fr-CA"/>
        </w:rPr>
        <w:t xml:space="preserve"> Associatio</w:t>
      </w:r>
      <w:r w:rsidR="00BF1EDC">
        <w:rPr>
          <w:lang w:val="fr-CA"/>
        </w:rPr>
        <w:t>n</w:t>
      </w:r>
      <w:r w:rsidR="00382AA5">
        <w:rPr>
          <w:lang w:val="fr-CA"/>
        </w:rPr>
        <w:t> </w:t>
      </w:r>
      <w:r w:rsidR="00842071">
        <w:rPr>
          <w:lang w:val="fr-CA"/>
        </w:rPr>
        <w:t>: </w:t>
      </w:r>
      <w:r w:rsidR="00BF1EDC">
        <w:rPr>
          <w:lang w:val="fr-CA"/>
        </w:rPr>
        <w:t xml:space="preserve">Osler, </w:t>
      </w:r>
      <w:proofErr w:type="spellStart"/>
      <w:r w:rsidR="00BF1EDC">
        <w:rPr>
          <w:lang w:val="fr-CA"/>
        </w:rPr>
        <w:t>Hoskin</w:t>
      </w:r>
      <w:proofErr w:type="spellEnd"/>
      <w:r w:rsidR="00BF1EDC">
        <w:rPr>
          <w:lang w:val="fr-CA"/>
        </w:rPr>
        <w:t xml:space="preserve"> &amp; Harcourt</w:t>
      </w:r>
      <w:r w:rsidRPr="0063681A">
        <w:rPr>
          <w:lang w:val="fr-CA"/>
        </w:rPr>
        <w:t>, Calgary.</w:t>
      </w:r>
    </w:p>
    <w:p w:rsidR="00BF1EDC" w:rsidRDefault="000172A6" w:rsidP="00805B11">
      <w:pPr>
        <w:pStyle w:val="SCCLawFirm"/>
        <w:spacing w:after="480"/>
      </w:pPr>
      <w:r w:rsidRPr="0063681A">
        <w:rPr>
          <w:lang w:val="fr-CA"/>
        </w:rPr>
        <w:tab/>
      </w:r>
      <w:proofErr w:type="spellStart"/>
      <w:r w:rsidR="00BF1EDC">
        <w:rPr>
          <w:lang w:val="en-US"/>
        </w:rPr>
        <w:t>Procureurs</w:t>
      </w:r>
      <w:proofErr w:type="spellEnd"/>
      <w:r w:rsidRPr="00555AB6">
        <w:rPr>
          <w:lang w:val="en-US"/>
        </w:rPr>
        <w:t xml:space="preserve"> de </w:t>
      </w:r>
      <w:proofErr w:type="spellStart"/>
      <w:r w:rsidRPr="00555AB6">
        <w:rPr>
          <w:lang w:val="en-US"/>
        </w:rPr>
        <w:t>l</w:t>
      </w:r>
      <w:r w:rsidR="00805B11">
        <w:rPr>
          <w:lang w:val="en-US"/>
        </w:rPr>
        <w:t>’</w:t>
      </w:r>
      <w:r w:rsidR="00BF1EDC">
        <w:rPr>
          <w:lang w:val="en-US"/>
        </w:rPr>
        <w:t>intervenant</w:t>
      </w:r>
      <w:proofErr w:type="spellEnd"/>
      <w:r w:rsidR="00BF1EDC">
        <w:rPr>
          <w:lang w:val="en-US"/>
        </w:rPr>
        <w:t xml:space="preserve"> </w:t>
      </w:r>
      <w:r w:rsidRPr="00555AB6">
        <w:rPr>
          <w:lang w:val="en-US"/>
        </w:rPr>
        <w:t xml:space="preserve">David Asper Centre for Constitutional </w:t>
      </w:r>
      <w:proofErr w:type="gramStart"/>
      <w:r w:rsidRPr="00555AB6">
        <w:rPr>
          <w:lang w:val="en-US"/>
        </w:rPr>
        <w:t>Rights</w:t>
      </w:r>
      <w:r w:rsidR="00382AA5">
        <w:rPr>
          <w:lang w:val="en-US"/>
        </w:rPr>
        <w:t> </w:t>
      </w:r>
      <w:r w:rsidR="00842071">
        <w:rPr>
          <w:lang w:val="en-US"/>
        </w:rPr>
        <w:t>:</w:t>
      </w:r>
      <w:proofErr w:type="gramEnd"/>
      <w:r w:rsidR="00842071">
        <w:rPr>
          <w:lang w:val="en-US"/>
        </w:rPr>
        <w:t> </w:t>
      </w:r>
      <w:proofErr w:type="spellStart"/>
      <w:r w:rsidR="00BF1EDC">
        <w:t>Goldblatt</w:t>
      </w:r>
      <w:proofErr w:type="spellEnd"/>
      <w:r w:rsidR="00BF1EDC">
        <w:t xml:space="preserve"> Partners, </w:t>
      </w:r>
      <w:r w:rsidR="00BF1EDC" w:rsidRPr="000B3B31">
        <w:t>Toronto; University of Toronto Faculty of Law, Toronto.</w:t>
      </w:r>
    </w:p>
    <w:p w:rsidR="001871C7" w:rsidRPr="00E24043" w:rsidRDefault="00BF1EDC" w:rsidP="00805B11">
      <w:pPr>
        <w:pStyle w:val="SCCLawFirm"/>
        <w:spacing w:after="480"/>
        <w:rPr>
          <w:lang w:val="fr-CA"/>
        </w:rPr>
      </w:pPr>
      <w:r>
        <w:rPr>
          <w:lang w:val="en-US"/>
        </w:rPr>
        <w:tab/>
      </w:r>
      <w:r w:rsidRPr="00BF1EDC">
        <w:rPr>
          <w:lang w:val="fr-CA"/>
        </w:rPr>
        <w:t>Procureurs</w:t>
      </w:r>
      <w:r w:rsidR="000172A6" w:rsidRPr="00BF1EDC">
        <w:rPr>
          <w:lang w:val="fr-CA"/>
        </w:rPr>
        <w:t xml:space="preserve"> de l</w:t>
      </w:r>
      <w:r w:rsidR="00805B11">
        <w:rPr>
          <w:lang w:val="fr-CA"/>
        </w:rPr>
        <w:t>’</w:t>
      </w:r>
      <w:r>
        <w:rPr>
          <w:lang w:val="fr-CA"/>
        </w:rPr>
        <w:t>intervenante</w:t>
      </w:r>
      <w:r w:rsidR="000172A6" w:rsidRPr="00BF1EDC">
        <w:rPr>
          <w:lang w:val="fr-CA"/>
        </w:rPr>
        <w:t xml:space="preserve"> </w:t>
      </w:r>
      <w:r>
        <w:rPr>
          <w:rStyle w:val="SCCCounselPartyRoleChar"/>
          <w:lang w:val="fr-CA"/>
        </w:rPr>
        <w:t>l</w:t>
      </w:r>
      <w:r w:rsidR="00805B11">
        <w:rPr>
          <w:rStyle w:val="SCCCounselPartyRoleChar"/>
          <w:lang w:val="fr-CA"/>
        </w:rPr>
        <w:t>’</w:t>
      </w:r>
      <w:r w:rsidRPr="00F77246">
        <w:rPr>
          <w:rStyle w:val="SCCCounselPartyRoleChar"/>
          <w:lang w:val="fr-CA"/>
        </w:rPr>
        <w:t xml:space="preserve">Association </w:t>
      </w:r>
      <w:r>
        <w:rPr>
          <w:rStyle w:val="SCCCounselPartyRoleChar"/>
          <w:lang w:val="fr-CA"/>
        </w:rPr>
        <w:t>canadienne des libertés civiles</w:t>
      </w:r>
      <w:r w:rsidR="00842071">
        <w:rPr>
          <w:lang w:val="fr-CA"/>
        </w:rPr>
        <w:t>: </w:t>
      </w:r>
      <w:proofErr w:type="spellStart"/>
      <w:r w:rsidR="003C4784" w:rsidRPr="00E24043">
        <w:rPr>
          <w:lang w:val="fr-CA"/>
        </w:rPr>
        <w:t>Lerners</w:t>
      </w:r>
      <w:proofErr w:type="spellEnd"/>
      <w:r w:rsidR="000172A6" w:rsidRPr="00E24043">
        <w:rPr>
          <w:lang w:val="fr-CA"/>
        </w:rPr>
        <w:t>, Toronto.</w:t>
      </w:r>
    </w:p>
    <w:p w:rsidR="001871C7" w:rsidRPr="00DB6F22" w:rsidRDefault="000172A6" w:rsidP="00805B11">
      <w:pPr>
        <w:pStyle w:val="SCCLawFirm"/>
        <w:spacing w:after="480"/>
        <w:rPr>
          <w:lang w:val="en-US"/>
        </w:rPr>
      </w:pPr>
      <w:r w:rsidRPr="00E24043">
        <w:rPr>
          <w:lang w:val="fr-CA"/>
        </w:rPr>
        <w:tab/>
      </w:r>
      <w:proofErr w:type="spellStart"/>
      <w:r w:rsidR="003C4784" w:rsidRPr="00DB6F22">
        <w:rPr>
          <w:lang w:val="en-US"/>
        </w:rPr>
        <w:t>Procureur</w:t>
      </w:r>
      <w:proofErr w:type="spellEnd"/>
      <w:r w:rsidR="003C4784" w:rsidRPr="00DB6F22">
        <w:rPr>
          <w:lang w:val="en-US"/>
        </w:rPr>
        <w:t xml:space="preserve"> </w:t>
      </w:r>
      <w:r w:rsidRPr="00DB6F22">
        <w:rPr>
          <w:lang w:val="en-US"/>
        </w:rPr>
        <w:t xml:space="preserve">de </w:t>
      </w:r>
      <w:proofErr w:type="spellStart"/>
      <w:r w:rsidRPr="00DB6F22">
        <w:rPr>
          <w:lang w:val="en-US"/>
        </w:rPr>
        <w:t>l</w:t>
      </w:r>
      <w:r w:rsidR="00805B11" w:rsidRPr="00DB6F22">
        <w:rPr>
          <w:lang w:val="en-US"/>
        </w:rPr>
        <w:t>’</w:t>
      </w:r>
      <w:r w:rsidRPr="00DB6F22">
        <w:rPr>
          <w:lang w:val="en-US"/>
        </w:rPr>
        <w:t>intervenant</w:t>
      </w:r>
      <w:r w:rsidR="003C4784" w:rsidRPr="00DB6F22">
        <w:rPr>
          <w:lang w:val="en-US"/>
        </w:rPr>
        <w:t>e</w:t>
      </w:r>
      <w:proofErr w:type="spellEnd"/>
      <w:r w:rsidR="00E24043" w:rsidRPr="00DB6F22">
        <w:rPr>
          <w:lang w:val="en-US"/>
        </w:rPr>
        <w:t xml:space="preserve"> Chinese and Southeast Asian Legal </w:t>
      </w:r>
      <w:proofErr w:type="gramStart"/>
      <w:r w:rsidR="00E24043" w:rsidRPr="00DB6F22">
        <w:rPr>
          <w:lang w:val="en-US"/>
        </w:rPr>
        <w:t>Clinic</w:t>
      </w:r>
      <w:r w:rsidR="00DB6F22">
        <w:rPr>
          <w:lang w:val="en-US"/>
        </w:rPr>
        <w:t> </w:t>
      </w:r>
      <w:r w:rsidR="00DB6F22">
        <w:t>:</w:t>
      </w:r>
      <w:proofErr w:type="gramEnd"/>
      <w:r w:rsidR="00DB6F22">
        <w:t> Chinese and Southeast Asian Legal Clinic</w:t>
      </w:r>
      <w:r w:rsidRPr="00DB6F22">
        <w:rPr>
          <w:lang w:val="en-US"/>
        </w:rPr>
        <w:t>, Toronto.</w:t>
      </w:r>
    </w:p>
    <w:p w:rsidR="001871C7" w:rsidRPr="000B3B31" w:rsidRDefault="003C4784" w:rsidP="00382AA5">
      <w:pPr>
        <w:pStyle w:val="SCCLawFirm"/>
        <w:spacing w:after="480"/>
        <w:rPr>
          <w:lang w:val="fr-CA"/>
        </w:rPr>
      </w:pPr>
      <w:r w:rsidRPr="00DB6F22">
        <w:rPr>
          <w:lang w:val="en-US"/>
        </w:rPr>
        <w:tab/>
      </w:r>
      <w:r w:rsidRPr="000B3B31">
        <w:rPr>
          <w:lang w:val="fr-CA"/>
        </w:rPr>
        <w:t xml:space="preserve">Procureurs </w:t>
      </w:r>
      <w:r w:rsidR="000172A6" w:rsidRPr="000B3B31">
        <w:rPr>
          <w:lang w:val="fr-CA"/>
        </w:rPr>
        <w:t>de l</w:t>
      </w:r>
      <w:r w:rsidR="00805B11">
        <w:rPr>
          <w:lang w:val="fr-CA"/>
        </w:rPr>
        <w:t>’</w:t>
      </w:r>
      <w:r w:rsidRPr="000B3B31">
        <w:rPr>
          <w:lang w:val="fr-CA"/>
        </w:rPr>
        <w:t>intervenante</w:t>
      </w:r>
      <w:r w:rsidR="000172A6" w:rsidRPr="000B3B31">
        <w:rPr>
          <w:lang w:val="fr-CA"/>
        </w:rPr>
        <w:t xml:space="preserve"> </w:t>
      </w:r>
      <w:r w:rsidR="000B3B31" w:rsidRPr="000B3B31">
        <w:rPr>
          <w:lang w:val="fr-CA"/>
        </w:rPr>
        <w:t>l</w:t>
      </w:r>
      <w:r w:rsidR="00805B11">
        <w:rPr>
          <w:lang w:val="fr-CA"/>
        </w:rPr>
        <w:t>’</w:t>
      </w:r>
      <w:r w:rsidR="000B3B31" w:rsidRPr="000B3B31">
        <w:rPr>
          <w:lang w:val="fr-CA"/>
        </w:rPr>
        <w:t>Association des libert</w:t>
      </w:r>
      <w:r w:rsidR="000B3B31">
        <w:rPr>
          <w:lang w:val="fr-CA"/>
        </w:rPr>
        <w:t>és civiles de la Colombie-Britannique </w:t>
      </w:r>
      <w:r w:rsidR="00842071" w:rsidRPr="000B3B31">
        <w:rPr>
          <w:lang w:val="fr-CA"/>
        </w:rPr>
        <w:t>: </w:t>
      </w:r>
      <w:proofErr w:type="spellStart"/>
      <w:r w:rsidR="00D07FE2" w:rsidRPr="000B3B31">
        <w:rPr>
          <w:lang w:val="fr-CA"/>
        </w:rPr>
        <w:t>Stockwoods</w:t>
      </w:r>
      <w:proofErr w:type="spellEnd"/>
      <w:r w:rsidR="00D07FE2" w:rsidRPr="000B3B31">
        <w:rPr>
          <w:lang w:val="fr-CA"/>
        </w:rPr>
        <w:t xml:space="preserve">, Toronto; Michael </w:t>
      </w:r>
      <w:proofErr w:type="spellStart"/>
      <w:r w:rsidR="00D07FE2" w:rsidRPr="000B3B31">
        <w:rPr>
          <w:lang w:val="fr-CA"/>
        </w:rPr>
        <w:t>Sobkin</w:t>
      </w:r>
      <w:proofErr w:type="spellEnd"/>
      <w:r w:rsidR="00D07FE2" w:rsidRPr="000B3B31">
        <w:rPr>
          <w:lang w:val="fr-CA"/>
        </w:rPr>
        <w:t>, Ottawa.</w:t>
      </w:r>
    </w:p>
    <w:sectPr w:rsidR="001871C7" w:rsidRPr="000B3B31" w:rsidSect="000648CC">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9F4" w:rsidRDefault="00A859F4">
      <w:r>
        <w:separator/>
      </w:r>
    </w:p>
  </w:endnote>
  <w:endnote w:type="continuationSeparator" w:id="0">
    <w:p w:rsidR="00A859F4" w:rsidRDefault="00A85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546" w:rsidRDefault="001905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546" w:rsidRDefault="001905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546" w:rsidRDefault="00190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9F4" w:rsidRDefault="00A859F4">
      <w:r>
        <w:separator/>
      </w:r>
    </w:p>
  </w:footnote>
  <w:footnote w:type="continuationSeparator" w:id="0">
    <w:p w:rsidR="00A859F4" w:rsidRDefault="00A85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546" w:rsidRDefault="001905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546" w:rsidRDefault="001905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AAF5D35"/>
    <w:multiLevelType w:val="hybridMultilevel"/>
    <w:tmpl w:val="1FFA31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93581"/>
    <w:multiLevelType w:val="hybridMultilevel"/>
    <w:tmpl w:val="ABFA1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603130A"/>
    <w:multiLevelType w:val="multilevel"/>
    <w:tmpl w:val="A3D0D41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F57122E"/>
    <w:multiLevelType w:val="hybridMultilevel"/>
    <w:tmpl w:val="9BC8D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5A25FAD"/>
    <w:multiLevelType w:val="hybridMultilevel"/>
    <w:tmpl w:val="97820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BB253B7"/>
    <w:multiLevelType w:val="hybridMultilevel"/>
    <w:tmpl w:val="D502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D66C6A"/>
    <w:multiLevelType w:val="multilevel"/>
    <w:tmpl w:val="F5567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0"/>
  </w:num>
  <w:num w:numId="6">
    <w:abstractNumId w:val="5"/>
  </w:num>
  <w:num w:numId="7">
    <w:abstractNumId w:val="6"/>
  </w:num>
  <w:num w:numId="8">
    <w:abstractNumId w:val="4"/>
  </w:num>
  <w:num w:numId="9">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7"/>
  </w:num>
  <w:num w:numId="11">
    <w:abstractNumId w:val="12"/>
  </w:num>
  <w:num w:numId="12">
    <w:abstractNumId w:val="1"/>
  </w:num>
  <w:num w:numId="13">
    <w:abstractNumId w:val="2"/>
  </w:num>
  <w:num w:numId="14">
    <w:abstractNumId w:val="9"/>
  </w:num>
  <w:num w:numId="15">
    <w:abstractNumId w:val="11"/>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72A6"/>
    <w:rsid w:val="00023FC7"/>
    <w:rsid w:val="00025198"/>
    <w:rsid w:val="00034367"/>
    <w:rsid w:val="000360A6"/>
    <w:rsid w:val="00046519"/>
    <w:rsid w:val="000578A3"/>
    <w:rsid w:val="0006117D"/>
    <w:rsid w:val="00061E50"/>
    <w:rsid w:val="00064431"/>
    <w:rsid w:val="000648CC"/>
    <w:rsid w:val="00073B8D"/>
    <w:rsid w:val="000A0705"/>
    <w:rsid w:val="000A3797"/>
    <w:rsid w:val="000B2BD0"/>
    <w:rsid w:val="000B3B31"/>
    <w:rsid w:val="000C59B8"/>
    <w:rsid w:val="000C6AF0"/>
    <w:rsid w:val="000D0A77"/>
    <w:rsid w:val="000F7993"/>
    <w:rsid w:val="0010163F"/>
    <w:rsid w:val="00104F33"/>
    <w:rsid w:val="00105F22"/>
    <w:rsid w:val="00111DE2"/>
    <w:rsid w:val="00116B38"/>
    <w:rsid w:val="00124081"/>
    <w:rsid w:val="001244E7"/>
    <w:rsid w:val="00127CB8"/>
    <w:rsid w:val="00135406"/>
    <w:rsid w:val="00135972"/>
    <w:rsid w:val="001426A9"/>
    <w:rsid w:val="00154D7C"/>
    <w:rsid w:val="001570B0"/>
    <w:rsid w:val="0015752C"/>
    <w:rsid w:val="00157737"/>
    <w:rsid w:val="00161049"/>
    <w:rsid w:val="00165277"/>
    <w:rsid w:val="00170592"/>
    <w:rsid w:val="001720F7"/>
    <w:rsid w:val="001871C7"/>
    <w:rsid w:val="00190546"/>
    <w:rsid w:val="00195D83"/>
    <w:rsid w:val="001A00C1"/>
    <w:rsid w:val="001A2731"/>
    <w:rsid w:val="001B33E0"/>
    <w:rsid w:val="001B4573"/>
    <w:rsid w:val="001B5DB0"/>
    <w:rsid w:val="001C779F"/>
    <w:rsid w:val="001D2AC1"/>
    <w:rsid w:val="001D4E88"/>
    <w:rsid w:val="001D63E0"/>
    <w:rsid w:val="001E5850"/>
    <w:rsid w:val="001F6807"/>
    <w:rsid w:val="00212667"/>
    <w:rsid w:val="00220FC2"/>
    <w:rsid w:val="002222F4"/>
    <w:rsid w:val="00224FC0"/>
    <w:rsid w:val="00225EA4"/>
    <w:rsid w:val="00226EAF"/>
    <w:rsid w:val="00231F3A"/>
    <w:rsid w:val="002406EE"/>
    <w:rsid w:val="00243EC8"/>
    <w:rsid w:val="00262ED5"/>
    <w:rsid w:val="00270D93"/>
    <w:rsid w:val="002745CC"/>
    <w:rsid w:val="002B6FBE"/>
    <w:rsid w:val="002B7924"/>
    <w:rsid w:val="002C10A6"/>
    <w:rsid w:val="002D06CF"/>
    <w:rsid w:val="002D28C3"/>
    <w:rsid w:val="002D39A4"/>
    <w:rsid w:val="002E2CCF"/>
    <w:rsid w:val="002E6705"/>
    <w:rsid w:val="002F2D5E"/>
    <w:rsid w:val="0030329A"/>
    <w:rsid w:val="0031086F"/>
    <w:rsid w:val="003129ED"/>
    <w:rsid w:val="0031414C"/>
    <w:rsid w:val="00314E01"/>
    <w:rsid w:val="0032089D"/>
    <w:rsid w:val="003310DE"/>
    <w:rsid w:val="003323B0"/>
    <w:rsid w:val="003337C4"/>
    <w:rsid w:val="003360AE"/>
    <w:rsid w:val="00340A49"/>
    <w:rsid w:val="003469F8"/>
    <w:rsid w:val="00347BC4"/>
    <w:rsid w:val="0035169A"/>
    <w:rsid w:val="0035259D"/>
    <w:rsid w:val="00364B18"/>
    <w:rsid w:val="00372E12"/>
    <w:rsid w:val="00382AA5"/>
    <w:rsid w:val="00391CA1"/>
    <w:rsid w:val="003A125D"/>
    <w:rsid w:val="003A4C70"/>
    <w:rsid w:val="003B215F"/>
    <w:rsid w:val="003C4784"/>
    <w:rsid w:val="003C799C"/>
    <w:rsid w:val="003D0399"/>
    <w:rsid w:val="003D24AF"/>
    <w:rsid w:val="003E1C71"/>
    <w:rsid w:val="003E4FE1"/>
    <w:rsid w:val="003F327B"/>
    <w:rsid w:val="003F465B"/>
    <w:rsid w:val="003F6326"/>
    <w:rsid w:val="00400226"/>
    <w:rsid w:val="00406166"/>
    <w:rsid w:val="0040704B"/>
    <w:rsid w:val="00410A55"/>
    <w:rsid w:val="00411300"/>
    <w:rsid w:val="00413F17"/>
    <w:rsid w:val="00415417"/>
    <w:rsid w:val="00415465"/>
    <w:rsid w:val="00423ABF"/>
    <w:rsid w:val="00424D8C"/>
    <w:rsid w:val="00426659"/>
    <w:rsid w:val="00450352"/>
    <w:rsid w:val="00452EC6"/>
    <w:rsid w:val="00454BDB"/>
    <w:rsid w:val="0046058F"/>
    <w:rsid w:val="00462C4D"/>
    <w:rsid w:val="00465132"/>
    <w:rsid w:val="00480C90"/>
    <w:rsid w:val="0048174C"/>
    <w:rsid w:val="0048396F"/>
    <w:rsid w:val="00493C18"/>
    <w:rsid w:val="004A600C"/>
    <w:rsid w:val="004A6118"/>
    <w:rsid w:val="004C14C9"/>
    <w:rsid w:val="004C478D"/>
    <w:rsid w:val="004C520C"/>
    <w:rsid w:val="004D2D91"/>
    <w:rsid w:val="004D7D95"/>
    <w:rsid w:val="004E2C26"/>
    <w:rsid w:val="004F02D7"/>
    <w:rsid w:val="005125A8"/>
    <w:rsid w:val="00516111"/>
    <w:rsid w:val="00517549"/>
    <w:rsid w:val="00520ABC"/>
    <w:rsid w:val="00521AE8"/>
    <w:rsid w:val="00527180"/>
    <w:rsid w:val="00527C08"/>
    <w:rsid w:val="005352BA"/>
    <w:rsid w:val="00555291"/>
    <w:rsid w:val="00555AB6"/>
    <w:rsid w:val="00566AD1"/>
    <w:rsid w:val="00574326"/>
    <w:rsid w:val="00583EDE"/>
    <w:rsid w:val="005872B8"/>
    <w:rsid w:val="00594D8C"/>
    <w:rsid w:val="005A6079"/>
    <w:rsid w:val="005B1CDC"/>
    <w:rsid w:val="005D199D"/>
    <w:rsid w:val="005E4698"/>
    <w:rsid w:val="005F40B2"/>
    <w:rsid w:val="005F4E1B"/>
    <w:rsid w:val="00603924"/>
    <w:rsid w:val="00610539"/>
    <w:rsid w:val="00613969"/>
    <w:rsid w:val="00625C35"/>
    <w:rsid w:val="0063681A"/>
    <w:rsid w:val="0064253A"/>
    <w:rsid w:val="00647E49"/>
    <w:rsid w:val="00653969"/>
    <w:rsid w:val="00656313"/>
    <w:rsid w:val="006565F4"/>
    <w:rsid w:val="0066753F"/>
    <w:rsid w:val="006734D6"/>
    <w:rsid w:val="00675A2A"/>
    <w:rsid w:val="00684EEA"/>
    <w:rsid w:val="0069689B"/>
    <w:rsid w:val="0069752A"/>
    <w:rsid w:val="006A5B7F"/>
    <w:rsid w:val="006B5FF5"/>
    <w:rsid w:val="006B6F0D"/>
    <w:rsid w:val="006C6324"/>
    <w:rsid w:val="006F30AF"/>
    <w:rsid w:val="00701759"/>
    <w:rsid w:val="00703A47"/>
    <w:rsid w:val="00705C15"/>
    <w:rsid w:val="00707274"/>
    <w:rsid w:val="007110F6"/>
    <w:rsid w:val="0071239F"/>
    <w:rsid w:val="007208D1"/>
    <w:rsid w:val="00744518"/>
    <w:rsid w:val="0074459A"/>
    <w:rsid w:val="00747288"/>
    <w:rsid w:val="00747DD3"/>
    <w:rsid w:val="007549C8"/>
    <w:rsid w:val="00762D7F"/>
    <w:rsid w:val="0076623F"/>
    <w:rsid w:val="00766D14"/>
    <w:rsid w:val="00767A0F"/>
    <w:rsid w:val="00791272"/>
    <w:rsid w:val="007933D2"/>
    <w:rsid w:val="007A05F6"/>
    <w:rsid w:val="007B048D"/>
    <w:rsid w:val="007B0952"/>
    <w:rsid w:val="007B1513"/>
    <w:rsid w:val="007B6F4A"/>
    <w:rsid w:val="007E1C47"/>
    <w:rsid w:val="007E337A"/>
    <w:rsid w:val="007E5C70"/>
    <w:rsid w:val="007F2FF5"/>
    <w:rsid w:val="007F3F08"/>
    <w:rsid w:val="00801C69"/>
    <w:rsid w:val="00804CC6"/>
    <w:rsid w:val="00805B11"/>
    <w:rsid w:val="00817190"/>
    <w:rsid w:val="008260E2"/>
    <w:rsid w:val="008322BD"/>
    <w:rsid w:val="00834A8E"/>
    <w:rsid w:val="00834F73"/>
    <w:rsid w:val="00836DEF"/>
    <w:rsid w:val="00842071"/>
    <w:rsid w:val="00864C8A"/>
    <w:rsid w:val="00864CF8"/>
    <w:rsid w:val="00873E2E"/>
    <w:rsid w:val="008740DB"/>
    <w:rsid w:val="00874914"/>
    <w:rsid w:val="00876662"/>
    <w:rsid w:val="008859F7"/>
    <w:rsid w:val="00891422"/>
    <w:rsid w:val="00892E1A"/>
    <w:rsid w:val="008B660A"/>
    <w:rsid w:val="008C01DA"/>
    <w:rsid w:val="008C5EFA"/>
    <w:rsid w:val="008F041D"/>
    <w:rsid w:val="008F2674"/>
    <w:rsid w:val="008F78E9"/>
    <w:rsid w:val="009027BF"/>
    <w:rsid w:val="009179F9"/>
    <w:rsid w:val="00917C7A"/>
    <w:rsid w:val="009201B3"/>
    <w:rsid w:val="00933E5E"/>
    <w:rsid w:val="00935218"/>
    <w:rsid w:val="00937C52"/>
    <w:rsid w:val="009403F3"/>
    <w:rsid w:val="00953783"/>
    <w:rsid w:val="009555B7"/>
    <w:rsid w:val="009567AA"/>
    <w:rsid w:val="009602C9"/>
    <w:rsid w:val="0096339B"/>
    <w:rsid w:val="00966F42"/>
    <w:rsid w:val="00967374"/>
    <w:rsid w:val="0098668C"/>
    <w:rsid w:val="009914A1"/>
    <w:rsid w:val="009A343A"/>
    <w:rsid w:val="009A61AE"/>
    <w:rsid w:val="009B2E22"/>
    <w:rsid w:val="009B2F23"/>
    <w:rsid w:val="009B57B3"/>
    <w:rsid w:val="009C0A10"/>
    <w:rsid w:val="009C4D45"/>
    <w:rsid w:val="009C6729"/>
    <w:rsid w:val="009C7DE7"/>
    <w:rsid w:val="009D2920"/>
    <w:rsid w:val="009D5AEB"/>
    <w:rsid w:val="009D6777"/>
    <w:rsid w:val="009E70D2"/>
    <w:rsid w:val="009F0E33"/>
    <w:rsid w:val="00A149DF"/>
    <w:rsid w:val="00A1564D"/>
    <w:rsid w:val="00A1755C"/>
    <w:rsid w:val="00A21B90"/>
    <w:rsid w:val="00A22AAC"/>
    <w:rsid w:val="00A41805"/>
    <w:rsid w:val="00A4187A"/>
    <w:rsid w:val="00A450CF"/>
    <w:rsid w:val="00A51873"/>
    <w:rsid w:val="00A51882"/>
    <w:rsid w:val="00A52AFB"/>
    <w:rsid w:val="00A548CB"/>
    <w:rsid w:val="00A5521C"/>
    <w:rsid w:val="00A5697D"/>
    <w:rsid w:val="00A643E7"/>
    <w:rsid w:val="00A70D95"/>
    <w:rsid w:val="00A73C38"/>
    <w:rsid w:val="00A803DF"/>
    <w:rsid w:val="00A859F4"/>
    <w:rsid w:val="00A921A7"/>
    <w:rsid w:val="00AA3F7B"/>
    <w:rsid w:val="00AA5CD4"/>
    <w:rsid w:val="00AB670D"/>
    <w:rsid w:val="00AB6CA4"/>
    <w:rsid w:val="00AD5C63"/>
    <w:rsid w:val="00AE5658"/>
    <w:rsid w:val="00AF03C5"/>
    <w:rsid w:val="00B000D8"/>
    <w:rsid w:val="00B00F75"/>
    <w:rsid w:val="00B036C3"/>
    <w:rsid w:val="00B048BC"/>
    <w:rsid w:val="00B05028"/>
    <w:rsid w:val="00B145B6"/>
    <w:rsid w:val="00B25FAA"/>
    <w:rsid w:val="00B279EB"/>
    <w:rsid w:val="00B50C81"/>
    <w:rsid w:val="00B516D3"/>
    <w:rsid w:val="00B5344B"/>
    <w:rsid w:val="00B557F8"/>
    <w:rsid w:val="00B71D98"/>
    <w:rsid w:val="00B7758A"/>
    <w:rsid w:val="00B815FC"/>
    <w:rsid w:val="00B93FBC"/>
    <w:rsid w:val="00B97D70"/>
    <w:rsid w:val="00BA7DA0"/>
    <w:rsid w:val="00BB2EE4"/>
    <w:rsid w:val="00BB4C92"/>
    <w:rsid w:val="00BC2108"/>
    <w:rsid w:val="00BD0E9E"/>
    <w:rsid w:val="00BD1BEC"/>
    <w:rsid w:val="00BD32FF"/>
    <w:rsid w:val="00BF1EDC"/>
    <w:rsid w:val="00BF6FE9"/>
    <w:rsid w:val="00C02092"/>
    <w:rsid w:val="00C21633"/>
    <w:rsid w:val="00C24D91"/>
    <w:rsid w:val="00C26DB2"/>
    <w:rsid w:val="00C42FCE"/>
    <w:rsid w:val="00C52B23"/>
    <w:rsid w:val="00C53F14"/>
    <w:rsid w:val="00C600CF"/>
    <w:rsid w:val="00C6084F"/>
    <w:rsid w:val="00C62A66"/>
    <w:rsid w:val="00C66359"/>
    <w:rsid w:val="00C71458"/>
    <w:rsid w:val="00C72442"/>
    <w:rsid w:val="00C7366F"/>
    <w:rsid w:val="00C77613"/>
    <w:rsid w:val="00C828E7"/>
    <w:rsid w:val="00C84060"/>
    <w:rsid w:val="00C86719"/>
    <w:rsid w:val="00C921DD"/>
    <w:rsid w:val="00CA6391"/>
    <w:rsid w:val="00CA7108"/>
    <w:rsid w:val="00CD5791"/>
    <w:rsid w:val="00CD5D55"/>
    <w:rsid w:val="00CE036E"/>
    <w:rsid w:val="00CE108D"/>
    <w:rsid w:val="00CE3171"/>
    <w:rsid w:val="00CF14B2"/>
    <w:rsid w:val="00CF1601"/>
    <w:rsid w:val="00D0172F"/>
    <w:rsid w:val="00D01E33"/>
    <w:rsid w:val="00D068A7"/>
    <w:rsid w:val="00D07FE2"/>
    <w:rsid w:val="00D17476"/>
    <w:rsid w:val="00D17B0E"/>
    <w:rsid w:val="00D31DD5"/>
    <w:rsid w:val="00D32086"/>
    <w:rsid w:val="00D37A3F"/>
    <w:rsid w:val="00D37C25"/>
    <w:rsid w:val="00D4431D"/>
    <w:rsid w:val="00D45ABC"/>
    <w:rsid w:val="00D4667A"/>
    <w:rsid w:val="00D52BB1"/>
    <w:rsid w:val="00D63A1C"/>
    <w:rsid w:val="00D6557C"/>
    <w:rsid w:val="00D71C3A"/>
    <w:rsid w:val="00D7516F"/>
    <w:rsid w:val="00D904D8"/>
    <w:rsid w:val="00D95F8E"/>
    <w:rsid w:val="00DA0590"/>
    <w:rsid w:val="00DB6F22"/>
    <w:rsid w:val="00DC1739"/>
    <w:rsid w:val="00DC1788"/>
    <w:rsid w:val="00DC6FDB"/>
    <w:rsid w:val="00DD584C"/>
    <w:rsid w:val="00DE319C"/>
    <w:rsid w:val="00DE3841"/>
    <w:rsid w:val="00DF0CA8"/>
    <w:rsid w:val="00DF2410"/>
    <w:rsid w:val="00DF2B48"/>
    <w:rsid w:val="00DF49A7"/>
    <w:rsid w:val="00DF702A"/>
    <w:rsid w:val="00E07EE2"/>
    <w:rsid w:val="00E07FD1"/>
    <w:rsid w:val="00E24043"/>
    <w:rsid w:val="00E24573"/>
    <w:rsid w:val="00E25E1E"/>
    <w:rsid w:val="00E27EE7"/>
    <w:rsid w:val="00E31E2E"/>
    <w:rsid w:val="00E35404"/>
    <w:rsid w:val="00E417DD"/>
    <w:rsid w:val="00E45109"/>
    <w:rsid w:val="00E4750A"/>
    <w:rsid w:val="00E47B7A"/>
    <w:rsid w:val="00E56A44"/>
    <w:rsid w:val="00E60269"/>
    <w:rsid w:val="00E705D2"/>
    <w:rsid w:val="00E7661C"/>
    <w:rsid w:val="00E82B1A"/>
    <w:rsid w:val="00E9631C"/>
    <w:rsid w:val="00E97830"/>
    <w:rsid w:val="00EA143C"/>
    <w:rsid w:val="00EC47F3"/>
    <w:rsid w:val="00EE0830"/>
    <w:rsid w:val="00EE6CB8"/>
    <w:rsid w:val="00EF0683"/>
    <w:rsid w:val="00EF2D02"/>
    <w:rsid w:val="00EF355F"/>
    <w:rsid w:val="00EF5DA4"/>
    <w:rsid w:val="00F0070C"/>
    <w:rsid w:val="00F00EB7"/>
    <w:rsid w:val="00F04350"/>
    <w:rsid w:val="00F075C5"/>
    <w:rsid w:val="00F145B1"/>
    <w:rsid w:val="00F2171D"/>
    <w:rsid w:val="00F36AB6"/>
    <w:rsid w:val="00F37A09"/>
    <w:rsid w:val="00F409CE"/>
    <w:rsid w:val="00F4379D"/>
    <w:rsid w:val="00F50D2D"/>
    <w:rsid w:val="00F563CA"/>
    <w:rsid w:val="00F56C8B"/>
    <w:rsid w:val="00F62639"/>
    <w:rsid w:val="00F65599"/>
    <w:rsid w:val="00F66810"/>
    <w:rsid w:val="00F77246"/>
    <w:rsid w:val="00F82E7F"/>
    <w:rsid w:val="00F84DF4"/>
    <w:rsid w:val="00F85C97"/>
    <w:rsid w:val="00FA0845"/>
    <w:rsid w:val="00FB37D2"/>
    <w:rsid w:val="00FC4EFB"/>
    <w:rsid w:val="00FD068D"/>
    <w:rsid w:val="00FD4F28"/>
    <w:rsid w:val="00FD7F80"/>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customStyle="1" w:styleId="nowrap">
    <w:name w:val="nowrap"/>
    <w:basedOn w:val="DefaultParagraphFont"/>
    <w:rsid w:val="008859F7"/>
  </w:style>
  <w:style w:type="character" w:styleId="Hyperlink">
    <w:name w:val="Hyperlink"/>
    <w:basedOn w:val="DefaultParagraphFont"/>
    <w:uiPriority w:val="99"/>
    <w:unhideWhenUsed/>
    <w:rsid w:val="00161049"/>
    <w:rPr>
      <w:color w:val="0000FF" w:themeColor="hyperlink"/>
      <w:u w:val="single"/>
    </w:rPr>
  </w:style>
  <w:style w:type="paragraph" w:customStyle="1" w:styleId="ParaNoNdepar-AltN">
    <w:name w:val="Para. No. / Nº de par. - Alt N"/>
    <w:qFormat/>
    <w:rsid w:val="00834A8E"/>
    <w:pPr>
      <w:numPr>
        <w:numId w:val="1"/>
      </w:numPr>
      <w:spacing w:before="480" w:after="480" w:line="480" w:lineRule="auto"/>
      <w:jc w:val="both"/>
    </w:pPr>
    <w:rPr>
      <w:rFonts w:eastAsiaTheme="minorEastAsia" w:cstheme="minorBidi"/>
      <w:sz w:val="24"/>
      <w:szCs w:val="22"/>
      <w:lang w:eastAsia="en-US"/>
    </w:rPr>
  </w:style>
  <w:style w:type="character" w:styleId="CommentReference">
    <w:name w:val="annotation reference"/>
    <w:basedOn w:val="DefaultParagraphFont"/>
    <w:uiPriority w:val="99"/>
    <w:semiHidden/>
    <w:unhideWhenUsed/>
    <w:rsid w:val="00834A8E"/>
    <w:rPr>
      <w:sz w:val="16"/>
      <w:szCs w:val="16"/>
    </w:rPr>
  </w:style>
  <w:style w:type="character" w:styleId="FollowedHyperlink">
    <w:name w:val="FollowedHyperlink"/>
    <w:basedOn w:val="DefaultParagraphFont"/>
    <w:uiPriority w:val="99"/>
    <w:semiHidden/>
    <w:unhideWhenUsed/>
    <w:rsid w:val="003D24AF"/>
    <w:rPr>
      <w:color w:val="800080" w:themeColor="followedHyperlink"/>
      <w:u w:val="single"/>
    </w:rPr>
  </w:style>
  <w:style w:type="paragraph" w:customStyle="1" w:styleId="SCCLsocOtherPartyRoleSeparator">
    <w:name w:val="SCC.Lsoc.OtherPartyRoleSeparator"/>
    <w:basedOn w:val="Normal"/>
    <w:next w:val="Normal"/>
    <w:link w:val="SCCLsocOtherPartyRoleSeparatorChar"/>
    <w:rsid w:val="001244E7"/>
    <w:pPr>
      <w:spacing w:after="480"/>
    </w:pPr>
    <w:rPr>
      <w:rFonts w:eastAsiaTheme="minorHAnsi" w:cstheme="minorBidi"/>
      <w:szCs w:val="22"/>
      <w:lang w:eastAsia="en-US"/>
    </w:rPr>
  </w:style>
  <w:style w:type="paragraph" w:customStyle="1" w:styleId="SCCCoram">
    <w:name w:val="SCC.Coram"/>
    <w:basedOn w:val="Normal"/>
    <w:next w:val="Normal"/>
    <w:link w:val="SCCCoramChar"/>
    <w:rsid w:val="001244E7"/>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1244E7"/>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1244E7"/>
    <w:rPr>
      <w:rFonts w:eastAsiaTheme="minorHAnsi" w:cstheme="minorBidi"/>
      <w:sz w:val="24"/>
      <w:szCs w:val="22"/>
      <w:lang w:eastAsia="en-US"/>
    </w:rPr>
  </w:style>
  <w:style w:type="character" w:customStyle="1" w:styleId="SCCBanSummaryChar">
    <w:name w:val="SCC.BanSummary Char"/>
    <w:basedOn w:val="DefaultParagraphFont"/>
    <w:link w:val="SCCBanSummary"/>
    <w:rsid w:val="001244E7"/>
    <w:rPr>
      <w:b/>
      <w:sz w:val="24"/>
    </w:rPr>
  </w:style>
  <w:style w:type="table" w:styleId="TableGrid">
    <w:name w:val="Table Grid"/>
    <w:basedOn w:val="TableNormal"/>
    <w:uiPriority w:val="59"/>
    <w:rsid w:val="001244E7"/>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1244E7"/>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1244E7"/>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1244E7"/>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1244E7"/>
    <w:pPr>
      <w:numPr>
        <w:numId w:val="8"/>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1244E7"/>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1244E7"/>
    <w:pPr>
      <w:numPr>
        <w:ilvl w:val="2"/>
      </w:numPr>
      <w:outlineLvl w:val="2"/>
    </w:pPr>
  </w:style>
  <w:style w:type="paragraph" w:customStyle="1" w:styleId="Title4LevelTitre4Niveau">
    <w:name w:val="Title 4 Level / Titre 4 Niveau"/>
    <w:basedOn w:val="Title3LevelTitre3Niveau"/>
    <w:next w:val="ParaNoNdepar-AltN"/>
    <w:uiPriority w:val="4"/>
    <w:qFormat/>
    <w:rsid w:val="001244E7"/>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1244E7"/>
    <w:pPr>
      <w:numPr>
        <w:ilvl w:val="4"/>
      </w:numPr>
      <w:outlineLvl w:val="4"/>
    </w:pPr>
  </w:style>
  <w:style w:type="paragraph" w:styleId="TOC1">
    <w:name w:val="toc 1"/>
    <w:basedOn w:val="Normal"/>
    <w:next w:val="Normal"/>
    <w:autoRedefine/>
    <w:uiPriority w:val="39"/>
    <w:unhideWhenUsed/>
    <w:rsid w:val="001244E7"/>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1244E7"/>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1244E7"/>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1244E7"/>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1244E7"/>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1244E7"/>
    <w:pPr>
      <w:tabs>
        <w:tab w:val="left" w:pos="2160"/>
        <w:tab w:val="right" w:leader="dot" w:pos="8270"/>
      </w:tabs>
      <w:spacing w:after="100"/>
      <w:ind w:left="1800"/>
    </w:pPr>
    <w:rPr>
      <w:noProof/>
    </w:rPr>
  </w:style>
  <w:style w:type="table" w:customStyle="1" w:styleId="TableGrid1">
    <w:name w:val="Table Grid1"/>
    <w:basedOn w:val="TableNormal"/>
    <w:uiPriority w:val="59"/>
    <w:rsid w:val="001244E7"/>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1244E7"/>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1244E7"/>
    <w:pPr>
      <w:numPr>
        <w:ilvl w:val="5"/>
      </w:numPr>
      <w:outlineLvl w:val="5"/>
    </w:pPr>
    <w:rPr>
      <w:i/>
      <w:u w:val="none"/>
    </w:rPr>
  </w:style>
  <w:style w:type="paragraph" w:styleId="FootnoteText">
    <w:name w:val="footnote text"/>
    <w:basedOn w:val="Normal"/>
    <w:link w:val="FootnoteTextChar"/>
    <w:uiPriority w:val="99"/>
    <w:unhideWhenUsed/>
    <w:rsid w:val="001244E7"/>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1244E7"/>
  </w:style>
  <w:style w:type="character" w:styleId="FootnoteReference">
    <w:name w:val="footnote reference"/>
    <w:basedOn w:val="DefaultParagraphFont"/>
    <w:uiPriority w:val="99"/>
    <w:semiHidden/>
    <w:unhideWhenUsed/>
    <w:rsid w:val="001244E7"/>
    <w:rPr>
      <w:vertAlign w:val="superscript"/>
    </w:rPr>
  </w:style>
  <w:style w:type="paragraph" w:styleId="CommentText">
    <w:name w:val="annotation text"/>
    <w:basedOn w:val="Normal"/>
    <w:link w:val="CommentTextChar"/>
    <w:uiPriority w:val="99"/>
    <w:unhideWhenUsed/>
    <w:rsid w:val="001244E7"/>
    <w:rPr>
      <w:sz w:val="20"/>
    </w:rPr>
  </w:style>
  <w:style w:type="character" w:customStyle="1" w:styleId="CommentTextChar">
    <w:name w:val="Comment Text Char"/>
    <w:basedOn w:val="DefaultParagraphFont"/>
    <w:link w:val="CommentText"/>
    <w:uiPriority w:val="99"/>
    <w:rsid w:val="001244E7"/>
  </w:style>
  <w:style w:type="paragraph" w:styleId="CommentSubject">
    <w:name w:val="annotation subject"/>
    <w:basedOn w:val="CommentText"/>
    <w:next w:val="CommentText"/>
    <w:link w:val="CommentSubjectChar"/>
    <w:uiPriority w:val="99"/>
    <w:semiHidden/>
    <w:unhideWhenUsed/>
    <w:rsid w:val="001244E7"/>
    <w:rPr>
      <w:b/>
      <w:bCs/>
    </w:rPr>
  </w:style>
  <w:style w:type="character" w:customStyle="1" w:styleId="CommentSubjectChar">
    <w:name w:val="Comment Subject Char"/>
    <w:basedOn w:val="CommentTextChar"/>
    <w:link w:val="CommentSubject"/>
    <w:uiPriority w:val="99"/>
    <w:semiHidden/>
    <w:rsid w:val="001244E7"/>
    <w:rPr>
      <w:b/>
      <w:bCs/>
    </w:rPr>
  </w:style>
  <w:style w:type="paragraph" w:customStyle="1" w:styleId="paragraph">
    <w:name w:val="paragraph"/>
    <w:basedOn w:val="Normal"/>
    <w:rsid w:val="001244E7"/>
    <w:pPr>
      <w:spacing w:before="100" w:beforeAutospacing="1" w:after="100" w:afterAutospacing="1"/>
    </w:pPr>
    <w:rPr>
      <w:szCs w:val="24"/>
      <w:lang w:val="en-US" w:eastAsia="en-US"/>
    </w:rPr>
  </w:style>
  <w:style w:type="character" w:customStyle="1" w:styleId="lawlabel">
    <w:name w:val="lawlabel"/>
    <w:basedOn w:val="DefaultParagraphFont"/>
    <w:rsid w:val="001244E7"/>
  </w:style>
  <w:style w:type="paragraph" w:styleId="ListParagraph">
    <w:name w:val="List Paragraph"/>
    <w:basedOn w:val="Normal"/>
    <w:uiPriority w:val="34"/>
    <w:qFormat/>
    <w:rsid w:val="001244E7"/>
    <w:pPr>
      <w:ind w:left="720"/>
      <w:contextualSpacing/>
    </w:pPr>
    <w:rPr>
      <w:szCs w:val="24"/>
    </w:rPr>
  </w:style>
  <w:style w:type="character" w:customStyle="1" w:styleId="sectionlabel">
    <w:name w:val="sectionlabel"/>
    <w:basedOn w:val="DefaultParagraphFont"/>
    <w:rsid w:val="001244E7"/>
    <w:rPr>
      <w:rFonts w:cs="Times New Roman"/>
    </w:rPr>
  </w:style>
  <w:style w:type="table" w:customStyle="1" w:styleId="TableGrid2">
    <w:name w:val="Table Grid2"/>
    <w:basedOn w:val="TableNormal"/>
    <w:next w:val="TableGrid"/>
    <w:uiPriority w:val="59"/>
    <w:rsid w:val="001244E7"/>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AA3F7B"/>
    <w:rPr>
      <w:lang w:val="fr-CA"/>
    </w:rPr>
  </w:style>
  <w:style w:type="paragraph" w:customStyle="1" w:styleId="SCCLsocPrefix">
    <w:name w:val="SCC.Lsoc.Prefix"/>
    <w:basedOn w:val="Normal"/>
    <w:next w:val="Normal"/>
    <w:link w:val="SCCLsocPrefixChar"/>
    <w:rsid w:val="00AA3F7B"/>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AA3F7B"/>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scc-csc.ca/cso-dce/2019SCC-CSC1_2_fra.pdf" TargetMode="External"/><Relationship Id="rId4" Type="http://schemas.openxmlformats.org/officeDocument/2006/relationships/webSettings" Target="webSettings.xml"/><Relationship Id="rId9" Type="http://schemas.openxmlformats.org/officeDocument/2006/relationships/hyperlink" Target="https://www.scc-csc.ca/cso-dce/2019SCC-CSC1_1_eng.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127</Pages>
  <Words>32141</Words>
  <Characters>183208</Characters>
  <Application>Microsoft Office Word</Application>
  <DocSecurity>0</DocSecurity>
  <Lines>1526</Lines>
  <Paragraphs>429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214920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2019-05-09T13:29:00Z</dcterms:created>
  <dcterms:modified xsi:type="dcterms:W3CDTF">2020-02-13T13:35:00Z</dcterms:modified>
</cp:coreProperties>
</file>