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5E9" w:rsidRPr="0050340A" w:rsidRDefault="009C65E9" w:rsidP="0050340A">
      <w:pPr>
        <w:pStyle w:val="Header"/>
        <w:jc w:val="center"/>
      </w:pPr>
      <w:r w:rsidRPr="0050340A">
        <w:ptab w:relativeTo="margin" w:alignment="center" w:leader="none"/>
      </w:r>
      <w:r w:rsidRPr="0050340A">
        <w:t xml:space="preserve"> </w:t>
      </w:r>
      <w:r w:rsidRPr="0050340A">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05pt;height:64.5pt" o:ole="">
            <v:imagedata r:id="rId6" o:title=""/>
          </v:shape>
          <o:OLEObject Type="Embed" ProgID="Presentations.Drawing.13" ShapeID="_x0000_i1025" DrawAspect="Content" ObjectID="_1702986398" r:id="rId7"/>
        </w:object>
      </w:r>
      <w:r w:rsidRPr="0050340A">
        <w:t xml:space="preserve"> </w:t>
      </w:r>
      <w:r w:rsidRPr="0050340A">
        <w:ptab w:relativeTo="margin" w:alignment="right" w:leader="none"/>
      </w:r>
    </w:p>
    <w:p w:rsidR="009C65E9" w:rsidRPr="0050340A" w:rsidRDefault="009C65E9" w:rsidP="009C65E9">
      <w:pPr>
        <w:pStyle w:val="Header"/>
      </w:pPr>
    </w:p>
    <w:p w:rsidR="009C65E9" w:rsidRPr="0050340A" w:rsidRDefault="009C65E9" w:rsidP="009C65E9">
      <w:pPr>
        <w:jc w:val="center"/>
        <w:rPr>
          <w:b/>
        </w:rPr>
      </w:pPr>
      <w:r w:rsidRPr="0050340A">
        <w:rPr>
          <w:b/>
        </w:rPr>
        <w:t>COUR SUPRÊME DU CANADA</w:t>
      </w:r>
    </w:p>
    <w:p w:rsidR="009C65E9" w:rsidRPr="0050340A" w:rsidRDefault="009C65E9" w:rsidP="009C65E9"/>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310"/>
        <w:gridCol w:w="4266"/>
      </w:tblGrid>
      <w:tr w:rsidR="009C65E9" w:rsidRPr="0050340A" w:rsidTr="00341CBD">
        <w:trPr>
          <w:cantSplit/>
        </w:trPr>
        <w:tc>
          <w:tcPr>
            <w:tcW w:w="5310" w:type="dxa"/>
          </w:tcPr>
          <w:p w:rsidR="009C65E9" w:rsidRPr="0050340A" w:rsidRDefault="009C65E9" w:rsidP="009C65E9">
            <w:pPr>
              <w:rPr>
                <w:lang w:val="fr-CA"/>
              </w:rPr>
            </w:pPr>
            <w:r w:rsidRPr="0050340A">
              <w:rPr>
                <w:b/>
                <w:smallCaps/>
                <w:lang w:val="fr-CA"/>
              </w:rPr>
              <w:t>Référence :</w:t>
            </w:r>
            <w:r w:rsidRPr="0050340A">
              <w:rPr>
                <w:lang w:val="fr-CA"/>
              </w:rPr>
              <w:t xml:space="preserve"> </w:t>
            </w:r>
            <w:r w:rsidRPr="0050340A">
              <w:rPr>
                <w:rStyle w:val="SCCAppellantForRunningHeadChar"/>
                <w:smallCaps w:val="0"/>
                <w:lang w:val="fr-CA"/>
              </w:rPr>
              <w:t xml:space="preserve">R. </w:t>
            </w:r>
            <w:r w:rsidRPr="0050340A">
              <w:rPr>
                <w:rStyle w:val="SCCAppellantForRunningHeadChar"/>
                <w:i/>
                <w:smallCaps w:val="0"/>
                <w:lang w:val="fr-CA"/>
              </w:rPr>
              <w:t>c.</w:t>
            </w:r>
            <w:r w:rsidRPr="0050340A">
              <w:rPr>
                <w:rStyle w:val="SCCAppellantForRunningHeadChar"/>
                <w:smallCaps w:val="0"/>
                <w:lang w:val="fr-CA"/>
              </w:rPr>
              <w:t xml:space="preserve"> Blanchard</w:t>
            </w:r>
            <w:r w:rsidRPr="0050340A">
              <w:rPr>
                <w:rStyle w:val="SCCAppellantForRunningHeadChar"/>
                <w:lang w:val="fr-CA"/>
              </w:rPr>
              <w:t xml:space="preserve">, </w:t>
            </w:r>
            <w:r w:rsidRPr="0050340A">
              <w:rPr>
                <w:smallCaps/>
                <w:lang w:val="fr-CA"/>
              </w:rPr>
              <w:t>2019 CSC 9, [2019] 1 R.C.S. 486</w:t>
            </w:r>
          </w:p>
        </w:tc>
        <w:tc>
          <w:tcPr>
            <w:tcW w:w="4266" w:type="dxa"/>
          </w:tcPr>
          <w:p w:rsidR="009C65E9" w:rsidRPr="0050340A" w:rsidRDefault="009C65E9" w:rsidP="00341CBD">
            <w:pPr>
              <w:rPr>
                <w:lang w:val="fr-CA"/>
              </w:rPr>
            </w:pPr>
            <w:r w:rsidRPr="0050340A">
              <w:rPr>
                <w:b/>
                <w:smallCaps/>
                <w:lang w:val="fr-CA"/>
              </w:rPr>
              <w:t>Appel entendu:</w:t>
            </w:r>
            <w:r w:rsidRPr="0050340A">
              <w:rPr>
                <w:lang w:val="fr-CA"/>
              </w:rPr>
              <w:t xml:space="preserve"> 13 février 2019</w:t>
            </w:r>
          </w:p>
          <w:p w:rsidR="009C65E9" w:rsidRPr="0050340A" w:rsidRDefault="009C65E9" w:rsidP="00341CBD">
            <w:pPr>
              <w:rPr>
                <w:b/>
                <w:smallCaps/>
                <w:lang w:val="fr-CA"/>
              </w:rPr>
            </w:pPr>
            <w:r w:rsidRPr="0050340A">
              <w:rPr>
                <w:b/>
                <w:smallCaps/>
                <w:lang w:val="fr-CA"/>
              </w:rPr>
              <w:t>Jugement rendu :</w:t>
            </w:r>
            <w:r w:rsidRPr="0050340A">
              <w:rPr>
                <w:lang w:val="fr-CA"/>
              </w:rPr>
              <w:t xml:space="preserve"> 13 février 2019</w:t>
            </w:r>
          </w:p>
          <w:p w:rsidR="009C65E9" w:rsidRPr="0050340A" w:rsidRDefault="009C65E9" w:rsidP="00341CBD">
            <w:r w:rsidRPr="0050340A">
              <w:rPr>
                <w:b/>
                <w:smallCaps/>
              </w:rPr>
              <w:t>Dossier :</w:t>
            </w:r>
            <w:r w:rsidRPr="0050340A">
              <w:t xml:space="preserve"> 38258</w:t>
            </w:r>
          </w:p>
        </w:tc>
      </w:tr>
    </w:tbl>
    <w:p w:rsidR="009C65E9" w:rsidRPr="0050340A" w:rsidRDefault="009C65E9" w:rsidP="009C65E9">
      <w:pPr>
        <w:pStyle w:val="SCCLsocPrefix"/>
      </w:pPr>
    </w:p>
    <w:p w:rsidR="009C65E9" w:rsidRPr="0050340A" w:rsidRDefault="009C65E9" w:rsidP="009C65E9">
      <w:pPr>
        <w:pStyle w:val="SCCLsocPrefix"/>
      </w:pPr>
      <w:r w:rsidRPr="0050340A">
        <w:t>Entre :</w:t>
      </w:r>
    </w:p>
    <w:p w:rsidR="009C65E9" w:rsidRPr="0050340A" w:rsidRDefault="009C65E9" w:rsidP="00175969">
      <w:pPr>
        <w:jc w:val="center"/>
        <w:rPr>
          <w:b/>
          <w:lang w:val="fr-CA"/>
        </w:rPr>
      </w:pPr>
      <w:r w:rsidRPr="0050340A">
        <w:rPr>
          <w:b/>
          <w:lang w:val="fr-CA"/>
        </w:rPr>
        <w:t>Kathleen Blanchard</w:t>
      </w:r>
    </w:p>
    <w:p w:rsidR="009C65E9" w:rsidRPr="0050340A" w:rsidRDefault="009C65E9" w:rsidP="00175969">
      <w:pPr>
        <w:jc w:val="center"/>
        <w:rPr>
          <w:lang w:val="fr-CA"/>
        </w:rPr>
      </w:pPr>
      <w:r w:rsidRPr="0050340A">
        <w:rPr>
          <w:lang w:val="fr-CA"/>
        </w:rPr>
        <w:t>Appelante</w:t>
      </w:r>
    </w:p>
    <w:p w:rsidR="009C65E9" w:rsidRPr="0050340A" w:rsidRDefault="009C65E9" w:rsidP="00175969">
      <w:pPr>
        <w:jc w:val="center"/>
        <w:rPr>
          <w:lang w:val="fr-CA"/>
        </w:rPr>
      </w:pPr>
    </w:p>
    <w:p w:rsidR="009C65E9" w:rsidRPr="0050340A" w:rsidRDefault="009C65E9" w:rsidP="00175969">
      <w:pPr>
        <w:pStyle w:val="SCCLsocVersus"/>
        <w:spacing w:after="0"/>
        <w:jc w:val="center"/>
        <w:rPr>
          <w:i w:val="0"/>
          <w:lang w:val="fr-CA"/>
        </w:rPr>
      </w:pPr>
      <w:r w:rsidRPr="0050340A">
        <w:rPr>
          <w:i w:val="0"/>
          <w:lang w:val="fr-CA"/>
        </w:rPr>
        <w:t>et</w:t>
      </w:r>
    </w:p>
    <w:p w:rsidR="009C65E9" w:rsidRPr="0050340A" w:rsidRDefault="009C65E9" w:rsidP="00175969">
      <w:pPr>
        <w:jc w:val="center"/>
        <w:rPr>
          <w:lang w:val="fr-CA"/>
        </w:rPr>
      </w:pPr>
    </w:p>
    <w:p w:rsidR="009C65E9" w:rsidRPr="0050340A" w:rsidRDefault="009C65E9" w:rsidP="00175969">
      <w:pPr>
        <w:pStyle w:val="SCCLsocParty"/>
        <w:jc w:val="center"/>
        <w:rPr>
          <w:lang w:val="fr-CA"/>
        </w:rPr>
      </w:pPr>
      <w:r w:rsidRPr="0050340A">
        <w:rPr>
          <w:lang w:val="fr-CA"/>
        </w:rPr>
        <w:t>Sa Majesté la Reine</w:t>
      </w:r>
    </w:p>
    <w:p w:rsidR="009C65E9" w:rsidRPr="0050340A" w:rsidRDefault="009C65E9" w:rsidP="00175969">
      <w:pPr>
        <w:jc w:val="center"/>
      </w:pPr>
      <w:r w:rsidRPr="0050340A">
        <w:t>Intimée</w:t>
      </w:r>
    </w:p>
    <w:p w:rsidR="009C65E9" w:rsidRPr="0050340A" w:rsidRDefault="009C65E9" w:rsidP="009C65E9"/>
    <w:p w:rsidR="009C65E9" w:rsidRPr="0050340A" w:rsidRDefault="009C65E9" w:rsidP="009C65E9"/>
    <w:p w:rsidR="009C65E9" w:rsidRPr="0050340A" w:rsidRDefault="009C65E9" w:rsidP="009C65E9">
      <w:pPr>
        <w:jc w:val="center"/>
        <w:rPr>
          <w:b/>
          <w:smallCaps/>
          <w:lang w:val="fr-CA"/>
        </w:rPr>
      </w:pPr>
      <w:r w:rsidRPr="0050340A">
        <w:rPr>
          <w:b/>
          <w:smallCaps/>
          <w:lang w:val="fr-CA"/>
        </w:rPr>
        <w:t>Traduction française officielle</w:t>
      </w:r>
    </w:p>
    <w:p w:rsidR="009C65E9" w:rsidRPr="0050340A" w:rsidRDefault="009C65E9" w:rsidP="009C65E9">
      <w:pPr>
        <w:rPr>
          <w:lang w:val="fr-CA"/>
        </w:rPr>
      </w:pPr>
    </w:p>
    <w:p w:rsidR="009C65E9" w:rsidRPr="0050340A" w:rsidRDefault="009C65E9" w:rsidP="009C65E9">
      <w:pPr>
        <w:rPr>
          <w:lang w:val="fr-CA"/>
        </w:rPr>
      </w:pPr>
      <w:r w:rsidRPr="0050340A">
        <w:rPr>
          <w:b/>
          <w:smallCaps/>
          <w:lang w:val="fr-CA"/>
        </w:rPr>
        <w:t>Coram :</w:t>
      </w:r>
      <w:r w:rsidRPr="0050340A">
        <w:rPr>
          <w:lang w:val="fr-CA"/>
        </w:rPr>
        <w:t xml:space="preserve"> Le juge en chef Wagner et les juges Abella, Moldaver, Karakatsanis, Gascon, Côté, Brown, Rowe et Martin</w:t>
      </w:r>
    </w:p>
    <w:p w:rsidR="009C65E9" w:rsidRPr="0050340A" w:rsidRDefault="009C65E9" w:rsidP="009C65E9">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9C65E9" w:rsidRPr="0050340A" w:rsidTr="00341CBD">
        <w:trPr>
          <w:cantSplit/>
        </w:trPr>
        <w:tc>
          <w:tcPr>
            <w:tcW w:w="3618" w:type="dxa"/>
          </w:tcPr>
          <w:p w:rsidR="009C65E9" w:rsidRPr="0050340A" w:rsidRDefault="009C65E9" w:rsidP="00341CBD">
            <w:pPr>
              <w:rPr>
                <w:b/>
                <w:smallCaps/>
              </w:rPr>
            </w:pPr>
            <w:r w:rsidRPr="0050340A">
              <w:rPr>
                <w:b/>
                <w:smallCaps/>
              </w:rPr>
              <w:t>Motifs de jugement :</w:t>
            </w:r>
          </w:p>
          <w:p w:rsidR="009C65E9" w:rsidRPr="0050340A" w:rsidRDefault="009C65E9" w:rsidP="00341CBD">
            <w:r w:rsidRPr="0050340A">
              <w:t>(par. 1)</w:t>
            </w:r>
          </w:p>
        </w:tc>
        <w:tc>
          <w:tcPr>
            <w:tcW w:w="5958" w:type="dxa"/>
          </w:tcPr>
          <w:p w:rsidR="009C65E9" w:rsidRPr="0050340A" w:rsidRDefault="009C65E9" w:rsidP="00341CBD">
            <w:pPr>
              <w:rPr>
                <w:lang w:val="fr-CA"/>
              </w:rPr>
            </w:pPr>
            <w:r w:rsidRPr="0050340A">
              <w:rPr>
                <w:lang w:val="fr-CA"/>
              </w:rPr>
              <w:t>Le juge Brown (avec l’accord du juge en chef Wagner et des juges Abella, Moldaver, Karakatsanis, Gascon, Côté, Brown, Rowe et Martin)</w:t>
            </w:r>
          </w:p>
        </w:tc>
      </w:tr>
    </w:tbl>
    <w:p w:rsidR="009C65E9" w:rsidRPr="0050340A" w:rsidRDefault="009C65E9" w:rsidP="009C65E9">
      <w:pPr>
        <w:rPr>
          <w:lang w:val="fr-CA"/>
        </w:rPr>
      </w:pPr>
    </w:p>
    <w:p w:rsidR="009C65E9" w:rsidRPr="0050340A" w:rsidRDefault="009C65E9" w:rsidP="009C65E9">
      <w:pPr>
        <w:rPr>
          <w:lang w:val="fr-CA"/>
        </w:rPr>
      </w:pPr>
      <w:r w:rsidRPr="0050340A">
        <w:rPr>
          <w:noProof/>
          <w:lang w:val="en-US" w:eastAsia="en-US"/>
        </w:rPr>
        <mc:AlternateContent>
          <mc:Choice Requires="wps">
            <w:drawing>
              <wp:anchor distT="0" distB="0" distL="114300" distR="114300" simplePos="0" relativeHeight="251659264" behindDoc="0" locked="0" layoutInCell="1" allowOverlap="1" wp14:anchorId="21D0B098" wp14:editId="5E138D9C">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744D1F"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9C65E9" w:rsidRPr="0050340A" w:rsidRDefault="009C65E9" w:rsidP="009C65E9">
      <w:pPr>
        <w:rPr>
          <w:lang w:val="fr-CA"/>
        </w:rPr>
      </w:pPr>
    </w:p>
    <w:p w:rsidR="009C65E9" w:rsidRPr="0050340A" w:rsidRDefault="009C65E9" w:rsidP="00990CF6">
      <w:pPr>
        <w:spacing w:after="720"/>
        <w:jc w:val="both"/>
        <w:rPr>
          <w:lang w:val="fr-CA"/>
        </w:rPr>
      </w:pPr>
    </w:p>
    <w:p w:rsidR="004D7D95" w:rsidRPr="0050340A" w:rsidRDefault="00BB5ACC" w:rsidP="00990CF6">
      <w:pPr>
        <w:spacing w:after="720"/>
        <w:jc w:val="both"/>
        <w:rPr>
          <w:lang w:val="fr-CA"/>
        </w:rPr>
      </w:pPr>
      <w:r w:rsidRPr="0050340A">
        <w:rPr>
          <w:lang w:val="fr-CA"/>
        </w:rPr>
        <w:t>R</w:t>
      </w:r>
      <w:r w:rsidR="00E73433" w:rsidRPr="0050340A">
        <w:rPr>
          <w:lang w:val="fr-CA"/>
        </w:rPr>
        <w:t xml:space="preserve">. </w:t>
      </w:r>
      <w:r w:rsidR="00E73433" w:rsidRPr="0050340A">
        <w:rPr>
          <w:i/>
          <w:lang w:val="fr-CA"/>
        </w:rPr>
        <w:t>c</w:t>
      </w:r>
      <w:r w:rsidR="00E73433" w:rsidRPr="0050340A">
        <w:rPr>
          <w:lang w:val="fr-CA"/>
        </w:rPr>
        <w:t xml:space="preserve">. </w:t>
      </w:r>
      <w:r w:rsidRPr="0050340A">
        <w:rPr>
          <w:rStyle w:val="SCCAppellantForRunningHeadChar"/>
          <w:smallCaps w:val="0"/>
          <w:lang w:val="fr-CA"/>
        </w:rPr>
        <w:t>B</w:t>
      </w:r>
      <w:r w:rsidR="004D7D95" w:rsidRPr="0050340A">
        <w:rPr>
          <w:rStyle w:val="SCCAppellantForRunningHeadChar"/>
          <w:smallCaps w:val="0"/>
          <w:lang w:val="fr-CA"/>
        </w:rPr>
        <w:t>lanchard</w:t>
      </w:r>
      <w:r w:rsidRPr="0050340A">
        <w:rPr>
          <w:rStyle w:val="SCCAppellantForRunningHeadChar"/>
          <w:smallCaps w:val="0"/>
          <w:lang w:val="fr-CA"/>
        </w:rPr>
        <w:t xml:space="preserve">, </w:t>
      </w:r>
      <w:r w:rsidRPr="0050340A">
        <w:rPr>
          <w:lang w:val="fr-CA"/>
        </w:rPr>
        <w:t>2019 CSC 9, [2019] 1 R.C.S. 486</w:t>
      </w:r>
      <w:r w:rsidR="004D7D95" w:rsidRPr="0050340A">
        <w:rPr>
          <w:lang w:val="fr-CA"/>
        </w:rPr>
        <w:t xml:space="preserve"> </w:t>
      </w:r>
    </w:p>
    <w:p w:rsidR="00ED7443" w:rsidRPr="0050340A" w:rsidRDefault="00CF3557">
      <w:pPr>
        <w:pStyle w:val="SCCLsocLastPartyInRole"/>
        <w:rPr>
          <w:lang w:val="fr-CA"/>
        </w:rPr>
      </w:pPr>
      <w:r w:rsidRPr="0050340A">
        <w:rPr>
          <w:lang w:val="fr-CA"/>
        </w:rPr>
        <w:t>Kathleen Blanchard</w:t>
      </w:r>
      <w:r w:rsidR="00C97434" w:rsidRPr="0050340A">
        <w:rPr>
          <w:rStyle w:val="SCCLsocPartyRole"/>
          <w:lang w:val="fr-CA"/>
        </w:rPr>
        <w:tab/>
        <w:t>Appelante</w:t>
      </w:r>
    </w:p>
    <w:p w:rsidR="00ED7443" w:rsidRPr="0050340A" w:rsidRDefault="00CF3557">
      <w:pPr>
        <w:pStyle w:val="SCCLsocVersus"/>
        <w:rPr>
          <w:lang w:val="fr-CA"/>
        </w:rPr>
      </w:pPr>
      <w:r w:rsidRPr="0050340A">
        <w:rPr>
          <w:lang w:val="fr-CA"/>
        </w:rPr>
        <w:t>c.</w:t>
      </w:r>
    </w:p>
    <w:p w:rsidR="00ED7443" w:rsidRPr="0050340A" w:rsidRDefault="00CF3557">
      <w:pPr>
        <w:pStyle w:val="SCCLsocLastPartyInRole"/>
        <w:rPr>
          <w:lang w:val="fr-CA"/>
        </w:rPr>
      </w:pPr>
      <w:r w:rsidRPr="0050340A">
        <w:rPr>
          <w:lang w:val="fr-CA"/>
        </w:rPr>
        <w:t>Sa Majesté la Reine</w:t>
      </w:r>
      <w:r w:rsidR="00C97434" w:rsidRPr="0050340A">
        <w:rPr>
          <w:rStyle w:val="SCCLsocPartyRole"/>
          <w:lang w:val="fr-CA"/>
        </w:rPr>
        <w:tab/>
        <w:t>Intimée</w:t>
      </w:r>
    </w:p>
    <w:p w:rsidR="004D7D95" w:rsidRPr="0050340A" w:rsidRDefault="00E73433" w:rsidP="00990CF6">
      <w:pPr>
        <w:spacing w:after="720"/>
        <w:jc w:val="both"/>
        <w:rPr>
          <w:lang w:val="fr-CA"/>
        </w:rPr>
      </w:pPr>
      <w:r w:rsidRPr="0050340A">
        <w:rPr>
          <w:b/>
          <w:lang w:val="fr-CA"/>
        </w:rPr>
        <w:lastRenderedPageBreak/>
        <w:t xml:space="preserve">Répertorié : R. </w:t>
      </w:r>
      <w:r w:rsidRPr="0050340A">
        <w:rPr>
          <w:b/>
          <w:i/>
          <w:lang w:val="fr-CA"/>
        </w:rPr>
        <w:t xml:space="preserve">c. </w:t>
      </w:r>
      <w:r w:rsidR="004D7D95" w:rsidRPr="0050340A">
        <w:rPr>
          <w:rStyle w:val="SCCAppellantForIndexChar"/>
          <w:lang w:val="fr-CA"/>
        </w:rPr>
        <w:t>Blanchard</w:t>
      </w:r>
      <w:r w:rsidR="004D7D95" w:rsidRPr="0050340A">
        <w:rPr>
          <w:b/>
          <w:lang w:val="fr-CA"/>
        </w:rPr>
        <w:t xml:space="preserve"> </w:t>
      </w:r>
    </w:p>
    <w:p w:rsidR="004D7D95" w:rsidRPr="0050340A" w:rsidRDefault="00D17B0E" w:rsidP="00990CF6">
      <w:pPr>
        <w:pStyle w:val="SCCSystemYear"/>
        <w:spacing w:after="720"/>
        <w:jc w:val="both"/>
        <w:rPr>
          <w:lang w:val="fr-CA"/>
        </w:rPr>
      </w:pPr>
      <w:r w:rsidRPr="0050340A">
        <w:rPr>
          <w:lang w:val="fr-CA"/>
        </w:rPr>
        <w:t>2019</w:t>
      </w:r>
      <w:r w:rsidR="00E73433" w:rsidRPr="0050340A">
        <w:rPr>
          <w:lang w:val="fr-CA"/>
        </w:rPr>
        <w:t xml:space="preserve"> CSC 9</w:t>
      </w:r>
    </w:p>
    <w:p w:rsidR="004D7D95" w:rsidRPr="0050340A" w:rsidRDefault="004D7D95" w:rsidP="00990CF6">
      <w:pPr>
        <w:spacing w:after="720"/>
        <w:jc w:val="both"/>
        <w:rPr>
          <w:lang w:val="fr-CA"/>
        </w:rPr>
      </w:pPr>
      <w:r w:rsidRPr="0050340A">
        <w:rPr>
          <w:lang w:val="fr-CA"/>
        </w:rPr>
        <w:t>N</w:t>
      </w:r>
      <w:r w:rsidRPr="0050340A">
        <w:rPr>
          <w:vertAlign w:val="superscript"/>
          <w:lang w:val="fr-CA"/>
        </w:rPr>
        <w:t>o</w:t>
      </w:r>
      <w:r w:rsidRPr="0050340A">
        <w:rPr>
          <w:lang w:val="fr-CA"/>
        </w:rPr>
        <w:t xml:space="preserve"> du greffe : 38258.</w:t>
      </w:r>
    </w:p>
    <w:p w:rsidR="004D7D95" w:rsidRPr="0050340A" w:rsidRDefault="00D17B0E" w:rsidP="00990CF6">
      <w:pPr>
        <w:spacing w:after="720"/>
        <w:jc w:val="both"/>
        <w:rPr>
          <w:lang w:val="fr-CA"/>
        </w:rPr>
      </w:pPr>
      <w:r w:rsidRPr="0050340A">
        <w:rPr>
          <w:lang w:val="fr-CA"/>
        </w:rPr>
        <w:t>2019 : 13 février</w:t>
      </w:r>
      <w:r w:rsidR="00E73433" w:rsidRPr="0050340A">
        <w:rPr>
          <w:lang w:val="fr-CA"/>
        </w:rPr>
        <w:t>.</w:t>
      </w:r>
    </w:p>
    <w:p w:rsidR="004D7D95" w:rsidRPr="0050340A" w:rsidRDefault="004D7D95" w:rsidP="00990CF6">
      <w:pPr>
        <w:spacing w:after="720"/>
        <w:jc w:val="both"/>
        <w:rPr>
          <w:lang w:val="fr-CA"/>
        </w:rPr>
      </w:pPr>
      <w:r w:rsidRPr="0050340A">
        <w:rPr>
          <w:lang w:val="fr-CA"/>
        </w:rPr>
        <w:t>Présents : Le juge en chef Wagner et les juges Abella, Moldaver, Karakatsanis, Gascon, Côté, Brown, Rowe et Martin.</w:t>
      </w:r>
    </w:p>
    <w:p w:rsidR="004D7D95" w:rsidRPr="0050340A" w:rsidRDefault="004D7D95" w:rsidP="00990CF6">
      <w:pPr>
        <w:pStyle w:val="SCCLowerCourtNameLowercase"/>
        <w:spacing w:after="720" w:line="240" w:lineRule="auto"/>
        <w:rPr>
          <w:lang w:val="fr-CA"/>
        </w:rPr>
      </w:pPr>
      <w:r w:rsidRPr="0050340A">
        <w:rPr>
          <w:lang w:val="fr-CA"/>
        </w:rPr>
        <w:t>en appel de la cour d</w:t>
      </w:r>
      <w:r w:rsidR="00C97434" w:rsidRPr="0050340A">
        <w:rPr>
          <w:lang w:val="fr-CA"/>
        </w:rPr>
        <w:t>’</w:t>
      </w:r>
      <w:r w:rsidRPr="0050340A">
        <w:rPr>
          <w:lang w:val="fr-CA"/>
        </w:rPr>
        <w:t xml:space="preserve">appel du québec </w:t>
      </w:r>
    </w:p>
    <w:p w:rsidR="004D7D95" w:rsidRPr="0050340A" w:rsidRDefault="004D7D95" w:rsidP="00582FB8">
      <w:pPr>
        <w:pStyle w:val="SCCNormalDoubleSpacing"/>
        <w:rPr>
          <w:i/>
          <w:lang w:val="fr-CA"/>
        </w:rPr>
      </w:pPr>
      <w:r w:rsidRPr="0050340A">
        <w:rPr>
          <w:lang w:val="fr-CA"/>
        </w:rPr>
        <w:tab/>
      </w:r>
      <w:r w:rsidR="00A6665B" w:rsidRPr="0050340A">
        <w:rPr>
          <w:i/>
          <w:lang w:val="fr-CA"/>
        </w:rPr>
        <w:t>Droit criminel — Moyens de défense — Automatisme — Intoxication extrême s’apparentant à l’automatisme — Accusé</w:t>
      </w:r>
      <w:r w:rsidR="009011E6" w:rsidRPr="0050340A">
        <w:rPr>
          <w:i/>
          <w:lang w:val="fr-CA"/>
        </w:rPr>
        <w:t>e</w:t>
      </w:r>
      <w:r w:rsidR="00A6665B" w:rsidRPr="0050340A">
        <w:rPr>
          <w:i/>
          <w:lang w:val="fr-CA"/>
        </w:rPr>
        <w:t xml:space="preserve"> inculpé</w:t>
      </w:r>
      <w:r w:rsidR="008D6CFE" w:rsidRPr="0050340A">
        <w:rPr>
          <w:i/>
          <w:lang w:val="fr-CA"/>
        </w:rPr>
        <w:t>e</w:t>
      </w:r>
      <w:r w:rsidR="00A6665B" w:rsidRPr="0050340A">
        <w:rPr>
          <w:i/>
          <w:lang w:val="fr-CA"/>
        </w:rPr>
        <w:t xml:space="preserve"> d’avoir refusé </w:t>
      </w:r>
      <w:r w:rsidR="00B233B1" w:rsidRPr="0050340A">
        <w:rPr>
          <w:i/>
          <w:lang w:val="fr-CA"/>
        </w:rPr>
        <w:t>d’ob</w:t>
      </w:r>
      <w:r w:rsidR="00994F54" w:rsidRPr="0050340A">
        <w:rPr>
          <w:i/>
          <w:lang w:val="fr-CA"/>
        </w:rPr>
        <w:t xml:space="preserve">tempérer </w:t>
      </w:r>
      <w:r w:rsidR="00B233B1" w:rsidRPr="0050340A">
        <w:rPr>
          <w:i/>
          <w:lang w:val="fr-CA"/>
        </w:rPr>
        <w:t xml:space="preserve">à </w:t>
      </w:r>
      <w:r w:rsidR="00994F54" w:rsidRPr="0050340A">
        <w:rPr>
          <w:i/>
          <w:lang w:val="fr-CA"/>
        </w:rPr>
        <w:t xml:space="preserve">un </w:t>
      </w:r>
      <w:r w:rsidR="00B233B1" w:rsidRPr="0050340A">
        <w:rPr>
          <w:i/>
          <w:lang w:val="fr-CA"/>
        </w:rPr>
        <w:t>ordre lui intimant</w:t>
      </w:r>
      <w:r w:rsidR="00A6665B" w:rsidRPr="0050340A">
        <w:rPr>
          <w:i/>
          <w:lang w:val="fr-CA"/>
        </w:rPr>
        <w:t xml:space="preserve"> </w:t>
      </w:r>
      <w:r w:rsidR="00994F54" w:rsidRPr="0050340A">
        <w:rPr>
          <w:i/>
          <w:lang w:val="fr-CA"/>
        </w:rPr>
        <w:t>de fournir un échantillon d’haleine</w:t>
      </w:r>
      <w:r w:rsidR="00A6665B" w:rsidRPr="0050340A">
        <w:rPr>
          <w:i/>
          <w:lang w:val="fr-CA"/>
        </w:rPr>
        <w:t xml:space="preserve"> — C</w:t>
      </w:r>
      <w:r w:rsidR="00B233B1" w:rsidRPr="0050340A">
        <w:rPr>
          <w:i/>
          <w:lang w:val="fr-CA"/>
        </w:rPr>
        <w:t>oncession par le ministère public au procès et durant les plaidoiries orales en Cour d’appel portant que la défense d’intoxication extrême s’apparentant à l’automatisme pouvait être invoqué</w:t>
      </w:r>
      <w:r w:rsidR="009011E6" w:rsidRPr="0050340A">
        <w:rPr>
          <w:i/>
          <w:lang w:val="fr-CA"/>
        </w:rPr>
        <w:t>e</w:t>
      </w:r>
      <w:r w:rsidR="00B233B1" w:rsidRPr="0050340A">
        <w:rPr>
          <w:i/>
          <w:lang w:val="fr-CA"/>
        </w:rPr>
        <w:t xml:space="preserve"> — La Cour d’appel a fait erreur en soulevant et tranchant la question de l’ouverture d</w:t>
      </w:r>
      <w:r w:rsidR="00994F54" w:rsidRPr="0050340A">
        <w:rPr>
          <w:i/>
          <w:lang w:val="fr-CA"/>
        </w:rPr>
        <w:t xml:space="preserve">e ce </w:t>
      </w:r>
      <w:r w:rsidR="00B233B1" w:rsidRPr="0050340A">
        <w:rPr>
          <w:i/>
          <w:lang w:val="fr-CA"/>
        </w:rPr>
        <w:t>moyen de défense vu la concession du ministère public</w:t>
      </w:r>
      <w:r w:rsidR="00A6665B" w:rsidRPr="0050340A">
        <w:rPr>
          <w:i/>
          <w:lang w:val="fr-CA"/>
        </w:rPr>
        <w:t xml:space="preserve"> —</w:t>
      </w:r>
      <w:r w:rsidR="009011E6" w:rsidRPr="0050340A">
        <w:rPr>
          <w:i/>
          <w:lang w:val="fr-CA"/>
        </w:rPr>
        <w:t xml:space="preserve"> </w:t>
      </w:r>
      <w:r w:rsidR="00A6665B" w:rsidRPr="0050340A">
        <w:rPr>
          <w:i/>
          <w:lang w:val="fr-CA"/>
        </w:rPr>
        <w:t>Acquitt</w:t>
      </w:r>
      <w:r w:rsidR="00B233B1" w:rsidRPr="0050340A">
        <w:rPr>
          <w:i/>
          <w:lang w:val="fr-CA"/>
        </w:rPr>
        <w:t>ement rétabli</w:t>
      </w:r>
      <w:r w:rsidR="00A6665B" w:rsidRPr="0050340A">
        <w:rPr>
          <w:i/>
          <w:lang w:val="fr-CA"/>
        </w:rPr>
        <w:t>.</w:t>
      </w:r>
    </w:p>
    <w:p w:rsidR="004D7D95" w:rsidRPr="0050340A" w:rsidRDefault="004D7D95" w:rsidP="004D7D95">
      <w:pPr>
        <w:pStyle w:val="SCCNormalDoubleSpacing"/>
        <w:spacing w:line="240" w:lineRule="auto"/>
        <w:ind w:left="540" w:hanging="540"/>
        <w:rPr>
          <w:lang w:val="fr-CA"/>
        </w:rPr>
      </w:pPr>
    </w:p>
    <w:p w:rsidR="004D7D95" w:rsidRPr="0050340A" w:rsidRDefault="00E73433" w:rsidP="004D7D95">
      <w:pPr>
        <w:pStyle w:val="SCCNormalDoubleSpacing"/>
        <w:rPr>
          <w:lang w:val="fr-CA"/>
        </w:rPr>
      </w:pPr>
      <w:r w:rsidRPr="0050340A">
        <w:rPr>
          <w:lang w:val="fr-CA"/>
        </w:rPr>
        <w:tab/>
      </w:r>
      <w:r w:rsidR="004D7D95" w:rsidRPr="0050340A">
        <w:rPr>
          <w:lang w:val="fr-CA"/>
        </w:rPr>
        <w:t>POURVOI contre un arrêt de la Cour d</w:t>
      </w:r>
      <w:r w:rsidR="00C97434" w:rsidRPr="0050340A">
        <w:rPr>
          <w:lang w:val="fr-CA"/>
        </w:rPr>
        <w:t>’</w:t>
      </w:r>
      <w:r w:rsidR="004D7D95" w:rsidRPr="0050340A">
        <w:rPr>
          <w:lang w:val="fr-CA"/>
        </w:rPr>
        <w:t xml:space="preserve">appel du Québec </w:t>
      </w:r>
      <w:r w:rsidR="006D00ED" w:rsidRPr="0050340A">
        <w:rPr>
          <w:lang w:val="fr-CA"/>
        </w:rPr>
        <w:t>(les juges Doyon, Bouchard et Mainville), 2018 QCCA 1069,</w:t>
      </w:r>
      <w:r w:rsidR="0022467E" w:rsidRPr="0050340A">
        <w:rPr>
          <w:lang w:val="fr-CA"/>
        </w:rPr>
        <w:t xml:space="preserve"> [2018] AZ-51506641,</w:t>
      </w:r>
      <w:r w:rsidR="006D00ED" w:rsidRPr="0050340A">
        <w:rPr>
          <w:lang w:val="fr-CA"/>
        </w:rPr>
        <w:t xml:space="preserve"> [2018] J.Q. n</w:t>
      </w:r>
      <w:r w:rsidR="006D00ED" w:rsidRPr="0050340A">
        <w:rPr>
          <w:vertAlign w:val="superscript"/>
          <w:lang w:val="fr-CA"/>
        </w:rPr>
        <w:t>o</w:t>
      </w:r>
      <w:r w:rsidR="006D00ED" w:rsidRPr="0050340A">
        <w:rPr>
          <w:lang w:val="fr-CA"/>
        </w:rPr>
        <w:t xml:space="preserve"> 5689 (QL), 2018 CarswellQue 5</w:t>
      </w:r>
      <w:r w:rsidR="00AF6E7C" w:rsidRPr="0050340A">
        <w:rPr>
          <w:lang w:val="fr-CA"/>
        </w:rPr>
        <w:t>3</w:t>
      </w:r>
      <w:r w:rsidR="006D00ED" w:rsidRPr="0050340A">
        <w:rPr>
          <w:lang w:val="fr-CA"/>
        </w:rPr>
        <w:t xml:space="preserve">84 (WL Can.), qui a </w:t>
      </w:r>
      <w:r w:rsidR="00202AA3" w:rsidRPr="0050340A">
        <w:rPr>
          <w:lang w:val="fr-CA"/>
        </w:rPr>
        <w:t xml:space="preserve">écarté l’acquittement prononcé par le juge </w:t>
      </w:r>
      <w:r w:rsidR="006D00ED" w:rsidRPr="0050340A">
        <w:rPr>
          <w:lang w:val="fr-CA"/>
        </w:rPr>
        <w:t xml:space="preserve">Vanchestein, </w:t>
      </w:r>
      <w:r w:rsidR="00D304A6" w:rsidRPr="0050340A">
        <w:rPr>
          <w:lang w:val="fr-CA"/>
        </w:rPr>
        <w:t>2016 QCCQ 9556</w:t>
      </w:r>
      <w:r w:rsidR="006D00ED" w:rsidRPr="0050340A">
        <w:rPr>
          <w:lang w:val="fr-CA"/>
        </w:rPr>
        <w:t xml:space="preserve">, </w:t>
      </w:r>
      <w:r w:rsidR="00940810" w:rsidRPr="0050340A">
        <w:rPr>
          <w:lang w:val="fr-CA"/>
        </w:rPr>
        <w:t xml:space="preserve">[2016] AZ-51324967, </w:t>
      </w:r>
      <w:r w:rsidR="006D00ED" w:rsidRPr="0050340A">
        <w:rPr>
          <w:lang w:val="fr-CA"/>
        </w:rPr>
        <w:t>[2016] J.Q. n</w:t>
      </w:r>
      <w:r w:rsidR="006D00ED" w:rsidRPr="0050340A">
        <w:rPr>
          <w:vertAlign w:val="superscript"/>
          <w:lang w:val="fr-CA"/>
        </w:rPr>
        <w:t>o</w:t>
      </w:r>
      <w:r w:rsidR="006D00ED" w:rsidRPr="0050340A">
        <w:rPr>
          <w:lang w:val="fr-CA"/>
        </w:rPr>
        <w:t xml:space="preserve"> 12000</w:t>
      </w:r>
      <w:r w:rsidR="00582FB8" w:rsidRPr="0050340A">
        <w:rPr>
          <w:lang w:val="fr-CA"/>
        </w:rPr>
        <w:t xml:space="preserve"> (QL</w:t>
      </w:r>
      <w:r w:rsidR="00D304A6" w:rsidRPr="0050340A">
        <w:rPr>
          <w:lang w:val="fr-CA"/>
        </w:rPr>
        <w:t>)</w:t>
      </w:r>
      <w:r w:rsidR="00202AA3" w:rsidRPr="0050340A">
        <w:rPr>
          <w:lang w:val="fr-CA"/>
        </w:rPr>
        <w:t>, et inscrit une déclaration de culpabilité</w:t>
      </w:r>
      <w:r w:rsidR="006D00ED" w:rsidRPr="0050340A">
        <w:rPr>
          <w:lang w:val="fr-CA"/>
        </w:rPr>
        <w:t>.</w:t>
      </w:r>
      <w:r w:rsidR="00582FB8" w:rsidRPr="0050340A">
        <w:rPr>
          <w:lang w:val="fr-CA"/>
        </w:rPr>
        <w:t xml:space="preserve"> Pourvoi accueilli.</w:t>
      </w:r>
    </w:p>
    <w:p w:rsidR="004D7D95" w:rsidRPr="0050340A" w:rsidRDefault="004D7D95" w:rsidP="004D7D95">
      <w:pPr>
        <w:pStyle w:val="SCCNormalDoubleSpacing"/>
        <w:rPr>
          <w:lang w:val="fr-CA"/>
        </w:rPr>
      </w:pPr>
    </w:p>
    <w:p w:rsidR="00ED7443" w:rsidRPr="0050340A" w:rsidRDefault="00CF3557">
      <w:pPr>
        <w:pStyle w:val="SCCNormalDoubleSpacing"/>
        <w:rPr>
          <w:lang w:val="fr-CA"/>
        </w:rPr>
      </w:pPr>
      <w:r w:rsidRPr="0050340A">
        <w:rPr>
          <w:rStyle w:val="SCCCounselNameChar"/>
          <w:lang w:val="fr-CA"/>
        </w:rPr>
        <w:tab/>
        <w:t>Giuseppe Battista</w:t>
      </w:r>
      <w:r w:rsidRPr="0050340A">
        <w:rPr>
          <w:rStyle w:val="SCCCounselPartyRoleChar"/>
          <w:lang w:val="fr-CA"/>
        </w:rPr>
        <w:t>, pour l</w:t>
      </w:r>
      <w:r w:rsidR="00C97434" w:rsidRPr="0050340A">
        <w:rPr>
          <w:rStyle w:val="SCCCounselPartyRoleChar"/>
          <w:lang w:val="fr-CA"/>
        </w:rPr>
        <w:t>’</w:t>
      </w:r>
      <w:r w:rsidR="005B4EBA" w:rsidRPr="0050340A">
        <w:rPr>
          <w:rStyle w:val="SCCCounselPartyRoleChar"/>
          <w:lang w:val="fr-CA"/>
        </w:rPr>
        <w:t>appelante</w:t>
      </w:r>
      <w:r w:rsidRPr="0050340A">
        <w:rPr>
          <w:rStyle w:val="SCCCounselPartyRoleChar"/>
          <w:lang w:val="fr-CA"/>
        </w:rPr>
        <w:t>.</w:t>
      </w:r>
    </w:p>
    <w:p w:rsidR="00ED7443" w:rsidRPr="0050340A" w:rsidRDefault="00ED7443">
      <w:pPr>
        <w:pStyle w:val="SCCNormalDoubleSpacing"/>
        <w:rPr>
          <w:lang w:val="fr-CA"/>
        </w:rPr>
      </w:pPr>
    </w:p>
    <w:p w:rsidR="00ED7443" w:rsidRPr="0050340A" w:rsidRDefault="00CF3557">
      <w:pPr>
        <w:pStyle w:val="SCCNormalDoubleSpacing"/>
        <w:rPr>
          <w:lang w:val="fr-CA"/>
        </w:rPr>
      </w:pPr>
      <w:r w:rsidRPr="0050340A">
        <w:rPr>
          <w:rStyle w:val="SCCCounselNameChar"/>
          <w:lang w:val="fr-CA"/>
        </w:rPr>
        <w:tab/>
        <w:t>Maxime Hébrard</w:t>
      </w:r>
      <w:r w:rsidR="00DB49C8" w:rsidRPr="0050340A">
        <w:rPr>
          <w:rStyle w:val="SCCCounselNameChar"/>
          <w:lang w:val="fr-CA"/>
        </w:rPr>
        <w:t xml:space="preserve"> </w:t>
      </w:r>
      <w:r w:rsidR="00DB49C8" w:rsidRPr="0050340A">
        <w:rPr>
          <w:rStyle w:val="SCCCounselNameChar"/>
          <w:i w:val="0"/>
          <w:lang w:val="fr-CA"/>
        </w:rPr>
        <w:t xml:space="preserve">et </w:t>
      </w:r>
      <w:r w:rsidR="00DB49C8" w:rsidRPr="0050340A">
        <w:rPr>
          <w:rStyle w:val="SCCCounselNameChar"/>
          <w:lang w:val="fr-CA"/>
        </w:rPr>
        <w:t>Kevin Mailhiot</w:t>
      </w:r>
      <w:r w:rsidRPr="0050340A">
        <w:rPr>
          <w:rStyle w:val="SCCCounselPartyRoleChar"/>
          <w:lang w:val="fr-CA"/>
        </w:rPr>
        <w:t>, pour l</w:t>
      </w:r>
      <w:r w:rsidR="00C97434" w:rsidRPr="0050340A">
        <w:rPr>
          <w:rStyle w:val="SCCCounselPartyRoleChar"/>
          <w:lang w:val="fr-CA"/>
        </w:rPr>
        <w:t>’</w:t>
      </w:r>
      <w:r w:rsidR="005B4EBA" w:rsidRPr="0050340A">
        <w:rPr>
          <w:rStyle w:val="SCCCounselPartyRoleChar"/>
          <w:lang w:val="fr-CA"/>
        </w:rPr>
        <w:t>intimée</w:t>
      </w:r>
      <w:r w:rsidRPr="0050340A">
        <w:rPr>
          <w:rStyle w:val="SCCCounselPartyRoleChar"/>
          <w:lang w:val="fr-CA"/>
        </w:rPr>
        <w:t>.</w:t>
      </w:r>
    </w:p>
    <w:p w:rsidR="00582FB8" w:rsidRPr="0050340A" w:rsidRDefault="00582FB8">
      <w:pPr>
        <w:pStyle w:val="SCCNormalDoubleSpacing"/>
        <w:rPr>
          <w:lang w:val="fr-CA"/>
        </w:rPr>
      </w:pPr>
    </w:p>
    <w:p w:rsidR="00582FB8" w:rsidRPr="0050340A" w:rsidRDefault="004D7D95" w:rsidP="004D7D95">
      <w:pPr>
        <w:pStyle w:val="SCCNormalDoubleSpacing"/>
        <w:rPr>
          <w:rStyle w:val="SCCCounselPartyRoleChar"/>
          <w:lang w:val="fr-CA"/>
        </w:rPr>
      </w:pPr>
      <w:r w:rsidRPr="0050340A">
        <w:rPr>
          <w:lang w:val="fr-CA"/>
        </w:rPr>
        <w:tab/>
      </w:r>
      <w:r w:rsidR="00582FB8" w:rsidRPr="0050340A">
        <w:rPr>
          <w:lang w:val="fr-FR"/>
        </w:rPr>
        <w:t>Version française du jugement de la Cour rendu oralement par</w:t>
      </w:r>
    </w:p>
    <w:p w:rsidR="00582FB8" w:rsidRPr="0050340A" w:rsidRDefault="00582FB8" w:rsidP="004D7D95">
      <w:pPr>
        <w:pStyle w:val="SCCNormalDoubleSpacing"/>
        <w:rPr>
          <w:lang w:val="fr-CA"/>
        </w:rPr>
      </w:pPr>
    </w:p>
    <w:p w:rsidR="00582FB8" w:rsidRPr="0050340A" w:rsidRDefault="00582FB8" w:rsidP="004D7D95">
      <w:pPr>
        <w:pStyle w:val="SCCNormalDoubleSpacing"/>
        <w:rPr>
          <w:lang w:val="fr-CA"/>
        </w:rPr>
      </w:pPr>
      <w:r w:rsidRPr="0050340A">
        <w:rPr>
          <w:smallCaps/>
          <w:lang w:val="fr-CA"/>
        </w:rPr>
        <w:t>[</w:t>
      </w:r>
      <w:r w:rsidRPr="0050340A">
        <w:rPr>
          <w:iCs/>
          <w:smallCaps/>
          <w:lang w:val="fr-CA"/>
        </w:rPr>
        <w:t>1</w:t>
      </w:r>
      <w:r w:rsidRPr="0050340A">
        <w:rPr>
          <w:smallCaps/>
          <w:lang w:val="fr-CA"/>
        </w:rPr>
        <w:t xml:space="preserve">] </w:t>
      </w:r>
      <w:r w:rsidRPr="0050340A">
        <w:rPr>
          <w:smallCaps/>
          <w:lang w:val="fr-CA"/>
        </w:rPr>
        <w:tab/>
        <w:t>Le juge Brown</w:t>
      </w:r>
      <w:r w:rsidRPr="0050340A">
        <w:rPr>
          <w:lang w:val="fr-CA"/>
        </w:rPr>
        <w:t xml:space="preserve"> — Nous sommes d’avis d’accueillir l’appel. Au procès et durant les plaidoiries orales devant la Cour d’appel, le ministère public a concédé qu</w:t>
      </w:r>
      <w:r w:rsidR="00990CF6" w:rsidRPr="0050340A">
        <w:rPr>
          <w:lang w:val="fr-CA"/>
        </w:rPr>
        <w:t xml:space="preserve">’un </w:t>
      </w:r>
      <w:r w:rsidRPr="0050340A">
        <w:rPr>
          <w:lang w:val="fr-CA"/>
        </w:rPr>
        <w:t xml:space="preserve">accusé pouvait contester une accusation d’avoir refusé de fournir un échantillon d’haleine en invoquant la défense d’intoxication extrême s’apparentant à l’automatisme. Compte tenu de cette concession, et soit dit en tout respect, nous estimons que les juges majoritaires de la Cour d’appel ont commis une erreur en soulevant la question du droit d’invoquer cette défense </w:t>
      </w:r>
      <w:r w:rsidRPr="0050340A">
        <w:rPr>
          <w:i/>
          <w:lang w:val="fr-CA"/>
        </w:rPr>
        <w:t>et en la tranchant</w:t>
      </w:r>
      <w:r w:rsidRPr="0050340A">
        <w:rPr>
          <w:lang w:val="fr-CA"/>
        </w:rPr>
        <w:t>. Au regard de la concession du ministère public, nous ne sommes pas convaincus que le juge du procès a commis une erreur de droit dans sa compréhension ou son application de la défense d’automatisme. Dans ces circonstances inhabituelles, il ne serait pas dans l’intérêt de la justice d’annuler le verdict d’acquittement; nous le rétablissons donc. Ce faisant, en l’absence d’un dossier adéquat sur les questions constitutionnelles que soulève cette question, d’observations étoffées et d’un avis aux parties qui doivent en recevoir un, nous nous abstenons toutefois expressément de décider s’il est permis d’invoquer cette défense.</w:t>
      </w:r>
    </w:p>
    <w:p w:rsidR="00582FB8" w:rsidRPr="0050340A" w:rsidRDefault="00582FB8" w:rsidP="004D7D95">
      <w:pPr>
        <w:pStyle w:val="SCCNormalDoubleSpacing"/>
        <w:rPr>
          <w:lang w:val="fr-CA"/>
        </w:rPr>
      </w:pPr>
    </w:p>
    <w:p w:rsidR="004D7D95" w:rsidRPr="0050340A" w:rsidRDefault="00582FB8" w:rsidP="004D7D95">
      <w:pPr>
        <w:pStyle w:val="SCCNormalDoubleSpacing"/>
        <w:rPr>
          <w:lang w:val="fr-CA"/>
        </w:rPr>
      </w:pPr>
      <w:r w:rsidRPr="0050340A">
        <w:rPr>
          <w:lang w:val="fr-CA"/>
        </w:rPr>
        <w:tab/>
      </w:r>
      <w:r w:rsidRPr="0050340A">
        <w:rPr>
          <w:i/>
          <w:lang w:val="fr-CA"/>
        </w:rPr>
        <w:t>Jugement en conséquence.</w:t>
      </w:r>
    </w:p>
    <w:p w:rsidR="004D7D95" w:rsidRPr="0050340A" w:rsidRDefault="004D7D95" w:rsidP="004D7D95">
      <w:pPr>
        <w:pStyle w:val="SCCNormalDoubleSpacing"/>
        <w:rPr>
          <w:lang w:val="fr-CA"/>
        </w:rPr>
      </w:pPr>
    </w:p>
    <w:p w:rsidR="00ED7443" w:rsidRPr="0050340A" w:rsidRDefault="00E73433">
      <w:pPr>
        <w:pStyle w:val="SCCLawFirm"/>
        <w:rPr>
          <w:lang w:val="fr-CA"/>
        </w:rPr>
      </w:pPr>
      <w:r w:rsidRPr="0050340A">
        <w:rPr>
          <w:lang w:val="fr-CA"/>
        </w:rPr>
        <w:lastRenderedPageBreak/>
        <w:tab/>
        <w:t>Procureurs</w:t>
      </w:r>
      <w:r w:rsidR="00CF3557" w:rsidRPr="0050340A">
        <w:rPr>
          <w:lang w:val="fr-CA"/>
        </w:rPr>
        <w:t xml:space="preserve"> de l</w:t>
      </w:r>
      <w:r w:rsidR="00C97434" w:rsidRPr="0050340A">
        <w:rPr>
          <w:lang w:val="fr-CA"/>
        </w:rPr>
        <w:t>’</w:t>
      </w:r>
      <w:r w:rsidRPr="0050340A">
        <w:rPr>
          <w:lang w:val="fr-CA"/>
        </w:rPr>
        <w:t>appelante</w:t>
      </w:r>
      <w:r w:rsidR="00CF3557" w:rsidRPr="0050340A">
        <w:rPr>
          <w:lang w:val="fr-CA"/>
        </w:rPr>
        <w:t> : Battista Turcot Israel Corbo, Montréal.</w:t>
      </w:r>
    </w:p>
    <w:p w:rsidR="00ED7443" w:rsidRPr="0050340A" w:rsidRDefault="00ED7443">
      <w:pPr>
        <w:pStyle w:val="SCCLawFirm"/>
        <w:rPr>
          <w:lang w:val="fr-CA"/>
        </w:rPr>
      </w:pPr>
    </w:p>
    <w:p w:rsidR="009B57B3" w:rsidRPr="006D00ED" w:rsidRDefault="00E73433" w:rsidP="00C1512D">
      <w:pPr>
        <w:pStyle w:val="SCCLawFirm"/>
        <w:rPr>
          <w:lang w:val="fr-CA"/>
        </w:rPr>
      </w:pPr>
      <w:r w:rsidRPr="0050340A">
        <w:rPr>
          <w:lang w:val="fr-CA"/>
        </w:rPr>
        <w:tab/>
        <w:t>Procureur</w:t>
      </w:r>
      <w:r w:rsidR="00CF3557" w:rsidRPr="0050340A">
        <w:rPr>
          <w:lang w:val="fr-CA"/>
        </w:rPr>
        <w:t xml:space="preserve"> de l</w:t>
      </w:r>
      <w:r w:rsidR="00C97434" w:rsidRPr="0050340A">
        <w:rPr>
          <w:lang w:val="fr-CA"/>
        </w:rPr>
        <w:t>’</w:t>
      </w:r>
      <w:r w:rsidRPr="0050340A">
        <w:rPr>
          <w:lang w:val="fr-CA"/>
        </w:rPr>
        <w:t>intimée</w:t>
      </w:r>
      <w:r w:rsidR="00CF3557" w:rsidRPr="0050340A">
        <w:rPr>
          <w:lang w:val="fr-CA"/>
        </w:rPr>
        <w:t xml:space="preserve"> : Directeur des poursuites </w:t>
      </w:r>
      <w:r w:rsidR="00940810" w:rsidRPr="0050340A">
        <w:rPr>
          <w:lang w:val="fr-CA"/>
        </w:rPr>
        <w:t>criminelles et pénales</w:t>
      </w:r>
      <w:r w:rsidR="00CF3557" w:rsidRPr="0050340A">
        <w:rPr>
          <w:lang w:val="fr-CA"/>
        </w:rPr>
        <w:t>, Longueuil.</w:t>
      </w:r>
      <w:bookmarkStart w:id="0" w:name="_GoBack"/>
      <w:bookmarkEnd w:id="0"/>
    </w:p>
    <w:sectPr w:rsidR="009B57B3" w:rsidRPr="006D00ED" w:rsidSect="000648CC">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B0E" w:rsidRDefault="00D17B0E">
      <w:r>
        <w:separator/>
      </w:r>
    </w:p>
  </w:endnote>
  <w:endnote w:type="continuationSeparator" w:id="0">
    <w:p w:rsidR="00D17B0E" w:rsidRDefault="00D17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B0E" w:rsidRDefault="00D17B0E">
      <w:r>
        <w:separator/>
      </w:r>
    </w:p>
  </w:footnote>
  <w:footnote w:type="continuationSeparator" w:id="0">
    <w:p w:rsidR="00D17B0E" w:rsidRDefault="00D17B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bordersDoNotSurroundHeader/>
  <w:bordersDoNotSurroundFooter/>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3FC7"/>
    <w:rsid w:val="00025198"/>
    <w:rsid w:val="000578A3"/>
    <w:rsid w:val="000648CC"/>
    <w:rsid w:val="000C59B8"/>
    <w:rsid w:val="000C6AF0"/>
    <w:rsid w:val="000D0A77"/>
    <w:rsid w:val="000F7993"/>
    <w:rsid w:val="00104F33"/>
    <w:rsid w:val="00111DE2"/>
    <w:rsid w:val="00116B38"/>
    <w:rsid w:val="00135406"/>
    <w:rsid w:val="00135972"/>
    <w:rsid w:val="001426A9"/>
    <w:rsid w:val="00154D7C"/>
    <w:rsid w:val="001570B0"/>
    <w:rsid w:val="0015752C"/>
    <w:rsid w:val="00157737"/>
    <w:rsid w:val="00165277"/>
    <w:rsid w:val="00170592"/>
    <w:rsid w:val="001720F7"/>
    <w:rsid w:val="00175969"/>
    <w:rsid w:val="00195D83"/>
    <w:rsid w:val="001A00C1"/>
    <w:rsid w:val="001B33E0"/>
    <w:rsid w:val="001B4573"/>
    <w:rsid w:val="001C779F"/>
    <w:rsid w:val="001D2AC1"/>
    <w:rsid w:val="001D4E88"/>
    <w:rsid w:val="00202AA3"/>
    <w:rsid w:val="00220FC2"/>
    <w:rsid w:val="002222F4"/>
    <w:rsid w:val="0022467E"/>
    <w:rsid w:val="00224FC0"/>
    <w:rsid w:val="00225EA4"/>
    <w:rsid w:val="00226EAF"/>
    <w:rsid w:val="00231F3A"/>
    <w:rsid w:val="002406EE"/>
    <w:rsid w:val="00243EC8"/>
    <w:rsid w:val="00257959"/>
    <w:rsid w:val="00270D93"/>
    <w:rsid w:val="002745CC"/>
    <w:rsid w:val="002B6FBE"/>
    <w:rsid w:val="002B7924"/>
    <w:rsid w:val="002C10A6"/>
    <w:rsid w:val="002D28C3"/>
    <w:rsid w:val="002D39A4"/>
    <w:rsid w:val="002E6705"/>
    <w:rsid w:val="0030329A"/>
    <w:rsid w:val="0031086F"/>
    <w:rsid w:val="0031414C"/>
    <w:rsid w:val="00314E01"/>
    <w:rsid w:val="0032089D"/>
    <w:rsid w:val="003310DE"/>
    <w:rsid w:val="003323B0"/>
    <w:rsid w:val="00340A49"/>
    <w:rsid w:val="0035169A"/>
    <w:rsid w:val="0035259D"/>
    <w:rsid w:val="00364B18"/>
    <w:rsid w:val="003A125D"/>
    <w:rsid w:val="003A4C70"/>
    <w:rsid w:val="003B215F"/>
    <w:rsid w:val="003C799C"/>
    <w:rsid w:val="003D0399"/>
    <w:rsid w:val="003E1C71"/>
    <w:rsid w:val="003F327B"/>
    <w:rsid w:val="00406166"/>
    <w:rsid w:val="0040704B"/>
    <w:rsid w:val="00410A55"/>
    <w:rsid w:val="00411300"/>
    <w:rsid w:val="00413F17"/>
    <w:rsid w:val="00415417"/>
    <w:rsid w:val="00426659"/>
    <w:rsid w:val="00450352"/>
    <w:rsid w:val="00454BDB"/>
    <w:rsid w:val="00465132"/>
    <w:rsid w:val="00480C90"/>
    <w:rsid w:val="0048396F"/>
    <w:rsid w:val="00493C18"/>
    <w:rsid w:val="004A600C"/>
    <w:rsid w:val="004A6118"/>
    <w:rsid w:val="004A7B43"/>
    <w:rsid w:val="004C478D"/>
    <w:rsid w:val="004D7D95"/>
    <w:rsid w:val="004E2C26"/>
    <w:rsid w:val="0050340A"/>
    <w:rsid w:val="005125A8"/>
    <w:rsid w:val="00517549"/>
    <w:rsid w:val="00520ABC"/>
    <w:rsid w:val="00521AE8"/>
    <w:rsid w:val="00527180"/>
    <w:rsid w:val="00555291"/>
    <w:rsid w:val="00566AD1"/>
    <w:rsid w:val="00582FB8"/>
    <w:rsid w:val="00583EDE"/>
    <w:rsid w:val="005A6079"/>
    <w:rsid w:val="005B4EBA"/>
    <w:rsid w:val="005E4698"/>
    <w:rsid w:val="00603924"/>
    <w:rsid w:val="00610539"/>
    <w:rsid w:val="00613969"/>
    <w:rsid w:val="00625C35"/>
    <w:rsid w:val="00647E49"/>
    <w:rsid w:val="00656313"/>
    <w:rsid w:val="006565F4"/>
    <w:rsid w:val="00684EEA"/>
    <w:rsid w:val="0069689B"/>
    <w:rsid w:val="006B5FF5"/>
    <w:rsid w:val="006D00ED"/>
    <w:rsid w:val="006F30AF"/>
    <w:rsid w:val="00701759"/>
    <w:rsid w:val="00705C15"/>
    <w:rsid w:val="007110F6"/>
    <w:rsid w:val="007208D1"/>
    <w:rsid w:val="00744518"/>
    <w:rsid w:val="00747288"/>
    <w:rsid w:val="00747DD3"/>
    <w:rsid w:val="007549C8"/>
    <w:rsid w:val="00766D14"/>
    <w:rsid w:val="00767A0F"/>
    <w:rsid w:val="00791272"/>
    <w:rsid w:val="007A05F6"/>
    <w:rsid w:val="007B6F4A"/>
    <w:rsid w:val="007E1C47"/>
    <w:rsid w:val="007E337A"/>
    <w:rsid w:val="007E5C70"/>
    <w:rsid w:val="007F2FF5"/>
    <w:rsid w:val="007F3F08"/>
    <w:rsid w:val="00804CC6"/>
    <w:rsid w:val="00817190"/>
    <w:rsid w:val="008260E2"/>
    <w:rsid w:val="008322BD"/>
    <w:rsid w:val="00834F73"/>
    <w:rsid w:val="00864C8A"/>
    <w:rsid w:val="00864CF8"/>
    <w:rsid w:val="00874914"/>
    <w:rsid w:val="00891422"/>
    <w:rsid w:val="00892E1A"/>
    <w:rsid w:val="008B6208"/>
    <w:rsid w:val="008B660A"/>
    <w:rsid w:val="008C01DA"/>
    <w:rsid w:val="008C351F"/>
    <w:rsid w:val="008D6CFE"/>
    <w:rsid w:val="008F2674"/>
    <w:rsid w:val="008F78E9"/>
    <w:rsid w:val="009011E6"/>
    <w:rsid w:val="009179F9"/>
    <w:rsid w:val="00917C7A"/>
    <w:rsid w:val="00933E5E"/>
    <w:rsid w:val="00935218"/>
    <w:rsid w:val="00937C52"/>
    <w:rsid w:val="009403F3"/>
    <w:rsid w:val="00940810"/>
    <w:rsid w:val="009555B7"/>
    <w:rsid w:val="009567AA"/>
    <w:rsid w:val="009602C9"/>
    <w:rsid w:val="00967374"/>
    <w:rsid w:val="0096799E"/>
    <w:rsid w:val="00990CF6"/>
    <w:rsid w:val="00994F54"/>
    <w:rsid w:val="009A343A"/>
    <w:rsid w:val="009B2F23"/>
    <w:rsid w:val="009B57B3"/>
    <w:rsid w:val="009C65E9"/>
    <w:rsid w:val="009D2920"/>
    <w:rsid w:val="009D5AEB"/>
    <w:rsid w:val="009F0E33"/>
    <w:rsid w:val="00A00EFD"/>
    <w:rsid w:val="00A149DF"/>
    <w:rsid w:val="00A1755C"/>
    <w:rsid w:val="00A21B90"/>
    <w:rsid w:val="00A22AAC"/>
    <w:rsid w:val="00A41805"/>
    <w:rsid w:val="00A51882"/>
    <w:rsid w:val="00A52AFB"/>
    <w:rsid w:val="00A548CB"/>
    <w:rsid w:val="00A5521C"/>
    <w:rsid w:val="00A643E7"/>
    <w:rsid w:val="00A6665B"/>
    <w:rsid w:val="00A73C38"/>
    <w:rsid w:val="00A921A7"/>
    <w:rsid w:val="00AB670D"/>
    <w:rsid w:val="00AF03C5"/>
    <w:rsid w:val="00AF6E7C"/>
    <w:rsid w:val="00B000D8"/>
    <w:rsid w:val="00B00F75"/>
    <w:rsid w:val="00B145B6"/>
    <w:rsid w:val="00B233B1"/>
    <w:rsid w:val="00B279EB"/>
    <w:rsid w:val="00B50C81"/>
    <w:rsid w:val="00B557F8"/>
    <w:rsid w:val="00B815FC"/>
    <w:rsid w:val="00B93FBC"/>
    <w:rsid w:val="00BA7DA0"/>
    <w:rsid w:val="00BB2EE4"/>
    <w:rsid w:val="00BB4C92"/>
    <w:rsid w:val="00BB5ACC"/>
    <w:rsid w:val="00BC2108"/>
    <w:rsid w:val="00BD0E9E"/>
    <w:rsid w:val="00BD1BEC"/>
    <w:rsid w:val="00BD32FF"/>
    <w:rsid w:val="00BF59F8"/>
    <w:rsid w:val="00BF6FE9"/>
    <w:rsid w:val="00C02092"/>
    <w:rsid w:val="00C1512D"/>
    <w:rsid w:val="00C24D91"/>
    <w:rsid w:val="00C26DB2"/>
    <w:rsid w:val="00C53F14"/>
    <w:rsid w:val="00C600CF"/>
    <w:rsid w:val="00C6084F"/>
    <w:rsid w:val="00C62A66"/>
    <w:rsid w:val="00C66359"/>
    <w:rsid w:val="00C71458"/>
    <w:rsid w:val="00C77613"/>
    <w:rsid w:val="00C828E7"/>
    <w:rsid w:val="00C86719"/>
    <w:rsid w:val="00C921DD"/>
    <w:rsid w:val="00C97434"/>
    <w:rsid w:val="00CA6391"/>
    <w:rsid w:val="00CE036E"/>
    <w:rsid w:val="00CE2251"/>
    <w:rsid w:val="00CE3171"/>
    <w:rsid w:val="00CF1601"/>
    <w:rsid w:val="00CF3557"/>
    <w:rsid w:val="00D0172F"/>
    <w:rsid w:val="00D01E33"/>
    <w:rsid w:val="00D068A7"/>
    <w:rsid w:val="00D17476"/>
    <w:rsid w:val="00D17B0E"/>
    <w:rsid w:val="00D304A6"/>
    <w:rsid w:val="00D32086"/>
    <w:rsid w:val="00D37A3F"/>
    <w:rsid w:val="00D4431D"/>
    <w:rsid w:val="00D4667A"/>
    <w:rsid w:val="00D63A1C"/>
    <w:rsid w:val="00D7516F"/>
    <w:rsid w:val="00D95F8E"/>
    <w:rsid w:val="00DA0590"/>
    <w:rsid w:val="00DB49C8"/>
    <w:rsid w:val="00DC1739"/>
    <w:rsid w:val="00DC1788"/>
    <w:rsid w:val="00DE319C"/>
    <w:rsid w:val="00DF0CA8"/>
    <w:rsid w:val="00DF2B48"/>
    <w:rsid w:val="00DF49A7"/>
    <w:rsid w:val="00E07EE2"/>
    <w:rsid w:val="00E07FD1"/>
    <w:rsid w:val="00E24573"/>
    <w:rsid w:val="00E25E1E"/>
    <w:rsid w:val="00E27EE7"/>
    <w:rsid w:val="00E35404"/>
    <w:rsid w:val="00E45109"/>
    <w:rsid w:val="00E47B7A"/>
    <w:rsid w:val="00E56A44"/>
    <w:rsid w:val="00E60269"/>
    <w:rsid w:val="00E73433"/>
    <w:rsid w:val="00E97830"/>
    <w:rsid w:val="00ED7443"/>
    <w:rsid w:val="00EE0830"/>
    <w:rsid w:val="00EE6CB8"/>
    <w:rsid w:val="00EF0683"/>
    <w:rsid w:val="00F0070C"/>
    <w:rsid w:val="00F00EB7"/>
    <w:rsid w:val="00F36AB6"/>
    <w:rsid w:val="00F37A09"/>
    <w:rsid w:val="00F409CE"/>
    <w:rsid w:val="00F4379D"/>
    <w:rsid w:val="00F50D2D"/>
    <w:rsid w:val="00F56C8B"/>
    <w:rsid w:val="00F62639"/>
    <w:rsid w:val="00F66810"/>
    <w:rsid w:val="00F84DF4"/>
    <w:rsid w:val="00F85C97"/>
    <w:rsid w:val="00FB37D2"/>
    <w:rsid w:val="00FC4EFB"/>
    <w:rsid w:val="00FD068D"/>
    <w:rsid w:val="00FD4F28"/>
    <w:rsid w:val="00FE6784"/>
    <w:rsid w:val="00FE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table" w:styleId="TableGrid">
    <w:name w:val="Table Grid"/>
    <w:basedOn w:val="TableNormal"/>
    <w:uiPriority w:val="59"/>
    <w:rsid w:val="009C65E9"/>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9C65E9"/>
    <w:rPr>
      <w:rFonts w:ascii="Times New Roman" w:hAnsi="Times New Roman"/>
      <w:sz w:val="24"/>
      <w:szCs w:val="24"/>
      <w:lang w:val="fr-CA"/>
    </w:rPr>
  </w:style>
  <w:style w:type="paragraph" w:customStyle="1" w:styleId="SCCLsocPrefix">
    <w:name w:val="SCC.Lsoc.Prefix"/>
    <w:basedOn w:val="Normal"/>
    <w:next w:val="Normal"/>
    <w:link w:val="SCCLsocPrefixChar"/>
    <w:rsid w:val="009C65E9"/>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9C65E9"/>
    <w:rPr>
      <w:rFonts w:eastAsiaTheme="minorHAnsi" w:cstheme="minorBidi"/>
      <w:b/>
      <w:smallCap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516</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2019-02-21T19:48:00Z</dcterms:created>
  <dcterms:modified xsi:type="dcterms:W3CDTF">2022-01-06T20:00:00Z</dcterms:modified>
</cp:coreProperties>
</file>