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67" w:rsidRPr="00743475" w:rsidRDefault="00DA2667" w:rsidP="00743475">
      <w:pPr>
        <w:pStyle w:val="Header"/>
        <w:jc w:val="center"/>
      </w:pPr>
      <w:r w:rsidRPr="00743475">
        <w:ptab w:relativeTo="margin" w:alignment="center" w:leader="none"/>
      </w:r>
      <w:r w:rsidRPr="00743475">
        <w:t xml:space="preserve"> </w:t>
      </w:r>
      <w:r w:rsidRPr="00743475">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5pt" o:ole="">
            <v:imagedata r:id="rId7" o:title=""/>
          </v:shape>
          <o:OLEObject Type="Embed" ProgID="Presentations.Drawing.13" ShapeID="_x0000_i1025" DrawAspect="Content" ObjectID="_1703049332" r:id="rId8"/>
        </w:object>
      </w:r>
      <w:r w:rsidRPr="00743475">
        <w:t xml:space="preserve"> </w:t>
      </w:r>
      <w:r w:rsidRPr="00743475">
        <w:ptab w:relativeTo="margin" w:alignment="right" w:leader="none"/>
      </w:r>
    </w:p>
    <w:p w:rsidR="00DA2667" w:rsidRPr="00743475" w:rsidRDefault="00DA2667" w:rsidP="00DA2667">
      <w:pPr>
        <w:pStyle w:val="Header"/>
      </w:pPr>
    </w:p>
    <w:p w:rsidR="00DA2667" w:rsidRPr="00743475" w:rsidRDefault="00DA2667" w:rsidP="00DA2667">
      <w:pPr>
        <w:jc w:val="center"/>
        <w:rPr>
          <w:b/>
        </w:rPr>
      </w:pPr>
      <w:r w:rsidRPr="00743475">
        <w:rPr>
          <w:b/>
        </w:rPr>
        <w:t>COUR SUPRÊME DU CANADA</w:t>
      </w:r>
    </w:p>
    <w:p w:rsidR="00DA2667" w:rsidRPr="00743475" w:rsidRDefault="00DA2667" w:rsidP="00DA266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DA2667" w:rsidRPr="00743475" w:rsidTr="00AC2B90">
        <w:trPr>
          <w:cantSplit/>
        </w:trPr>
        <w:tc>
          <w:tcPr>
            <w:tcW w:w="5310" w:type="dxa"/>
          </w:tcPr>
          <w:p w:rsidR="00DA2667" w:rsidRPr="00743475" w:rsidRDefault="00DA2667" w:rsidP="00C60897">
            <w:r w:rsidRPr="00743475">
              <w:rPr>
                <w:b/>
                <w:smallCaps/>
              </w:rPr>
              <w:t>Référence :</w:t>
            </w:r>
            <w:r w:rsidRPr="00743475">
              <w:t xml:space="preserve"> </w:t>
            </w:r>
            <w:r w:rsidRPr="00743475">
              <w:rPr>
                <w:rStyle w:val="SCCAppellantForRunningHeadChar"/>
                <w:smallCaps w:val="0"/>
                <w:lang w:val="fr-CA"/>
              </w:rPr>
              <w:t xml:space="preserve">R. </w:t>
            </w:r>
            <w:r w:rsidRPr="00743475">
              <w:rPr>
                <w:rStyle w:val="SCCAppellantForRunningHeadChar"/>
                <w:i/>
                <w:smallCaps w:val="0"/>
                <w:lang w:val="fr-CA"/>
              </w:rPr>
              <w:t>c.</w:t>
            </w:r>
            <w:r w:rsidRPr="00743475">
              <w:rPr>
                <w:rStyle w:val="SCCAppellantForRunningHeadChar"/>
                <w:smallCaps w:val="0"/>
                <w:lang w:val="fr-CA"/>
              </w:rPr>
              <w:t xml:space="preserve"> George-Nurse</w:t>
            </w:r>
            <w:r w:rsidRPr="00743475">
              <w:rPr>
                <w:rStyle w:val="SCCAppellantForRunningHeadChar"/>
                <w:lang w:val="fr-CA"/>
              </w:rPr>
              <w:t xml:space="preserve">, </w:t>
            </w:r>
            <w:r w:rsidRPr="00743475">
              <w:rPr>
                <w:smallCaps/>
              </w:rPr>
              <w:t>2019 CSC 12, [2019] 1 R.C.S. 5</w:t>
            </w:r>
            <w:r w:rsidR="00C60897" w:rsidRPr="00743475">
              <w:rPr>
                <w:smallCaps/>
              </w:rPr>
              <w:t>70</w:t>
            </w:r>
          </w:p>
        </w:tc>
        <w:tc>
          <w:tcPr>
            <w:tcW w:w="4266" w:type="dxa"/>
          </w:tcPr>
          <w:p w:rsidR="00DA2667" w:rsidRPr="00743475" w:rsidRDefault="00DA2667" w:rsidP="00AC2B90">
            <w:pPr>
              <w:rPr>
                <w:lang w:val="fr-CA"/>
              </w:rPr>
            </w:pPr>
            <w:r w:rsidRPr="00743475">
              <w:rPr>
                <w:b/>
                <w:smallCaps/>
                <w:lang w:val="fr-CA"/>
              </w:rPr>
              <w:t>Appel entendu:</w:t>
            </w:r>
            <w:r w:rsidRPr="00743475">
              <w:rPr>
                <w:lang w:val="fr-CA"/>
              </w:rPr>
              <w:t xml:space="preserve"> 15 février 2019</w:t>
            </w:r>
          </w:p>
          <w:p w:rsidR="00DA2667" w:rsidRPr="00743475" w:rsidRDefault="00DA2667" w:rsidP="00AC2B90">
            <w:pPr>
              <w:rPr>
                <w:b/>
                <w:smallCaps/>
                <w:lang w:val="fr-CA"/>
              </w:rPr>
            </w:pPr>
            <w:r w:rsidRPr="00743475">
              <w:rPr>
                <w:b/>
                <w:smallCaps/>
                <w:lang w:val="fr-CA"/>
              </w:rPr>
              <w:t>Jugement rendu :</w:t>
            </w:r>
            <w:r w:rsidRPr="00743475">
              <w:rPr>
                <w:lang w:val="fr-CA"/>
              </w:rPr>
              <w:t xml:space="preserve"> 15 février 2019</w:t>
            </w:r>
          </w:p>
          <w:p w:rsidR="00DA2667" w:rsidRPr="00743475" w:rsidRDefault="00DA2667" w:rsidP="00AC2B90">
            <w:r w:rsidRPr="00743475">
              <w:rPr>
                <w:b/>
                <w:smallCaps/>
              </w:rPr>
              <w:t>Dossier :</w:t>
            </w:r>
            <w:r w:rsidRPr="00743475">
              <w:t xml:space="preserve"> 38217</w:t>
            </w:r>
          </w:p>
        </w:tc>
      </w:tr>
    </w:tbl>
    <w:p w:rsidR="00DA2667" w:rsidRPr="00743475" w:rsidRDefault="00DA2667" w:rsidP="00DA2667">
      <w:pPr>
        <w:pStyle w:val="SCCLsocPrefix"/>
      </w:pPr>
    </w:p>
    <w:p w:rsidR="00DA2667" w:rsidRPr="00743475" w:rsidRDefault="00DA2667" w:rsidP="00DA2667">
      <w:pPr>
        <w:pStyle w:val="SCCLsocPrefix"/>
      </w:pPr>
    </w:p>
    <w:p w:rsidR="00DA2667" w:rsidRPr="00743475" w:rsidRDefault="00DA2667" w:rsidP="00DA2667">
      <w:pPr>
        <w:pStyle w:val="SCCLsocPrefix"/>
      </w:pPr>
      <w:r w:rsidRPr="00743475">
        <w:t>Entre :</w:t>
      </w:r>
    </w:p>
    <w:p w:rsidR="00DA2667" w:rsidRPr="00743475" w:rsidRDefault="00DA2667" w:rsidP="00DA2667">
      <w:pPr>
        <w:jc w:val="center"/>
        <w:rPr>
          <w:b/>
          <w:lang w:val="en-US"/>
        </w:rPr>
      </w:pPr>
      <w:r w:rsidRPr="00743475">
        <w:rPr>
          <w:b/>
          <w:lang w:val="en-US"/>
        </w:rPr>
        <w:t>Devante George-Nurse</w:t>
      </w:r>
    </w:p>
    <w:p w:rsidR="00DA2667" w:rsidRPr="00743475" w:rsidRDefault="00DA2667" w:rsidP="00DA2667">
      <w:pPr>
        <w:jc w:val="center"/>
      </w:pPr>
      <w:r w:rsidRPr="00743475">
        <w:t>Appelant</w:t>
      </w:r>
    </w:p>
    <w:p w:rsidR="00DA2667" w:rsidRPr="00743475" w:rsidRDefault="00DA2667" w:rsidP="00DA2667">
      <w:pPr>
        <w:jc w:val="center"/>
      </w:pPr>
    </w:p>
    <w:p w:rsidR="00DA2667" w:rsidRPr="00743475" w:rsidRDefault="00DA2667" w:rsidP="00DA2667">
      <w:pPr>
        <w:pStyle w:val="SCCLsocVersus"/>
        <w:spacing w:after="0"/>
        <w:jc w:val="center"/>
        <w:rPr>
          <w:i w:val="0"/>
        </w:rPr>
      </w:pPr>
      <w:r w:rsidRPr="00743475">
        <w:rPr>
          <w:i w:val="0"/>
        </w:rPr>
        <w:t>et</w:t>
      </w:r>
    </w:p>
    <w:p w:rsidR="00DA2667" w:rsidRPr="00743475" w:rsidRDefault="00DA2667" w:rsidP="00DA2667">
      <w:pPr>
        <w:jc w:val="center"/>
      </w:pPr>
    </w:p>
    <w:p w:rsidR="00DA2667" w:rsidRPr="00743475" w:rsidRDefault="00DA2667" w:rsidP="00DA2667">
      <w:pPr>
        <w:pStyle w:val="SCCLsocParty"/>
        <w:jc w:val="center"/>
      </w:pPr>
      <w:r w:rsidRPr="00743475">
        <w:t>Sa Majesté la Reine</w:t>
      </w:r>
    </w:p>
    <w:p w:rsidR="00DA2667" w:rsidRPr="00743475" w:rsidRDefault="00DA2667" w:rsidP="00DA2667">
      <w:pPr>
        <w:jc w:val="center"/>
      </w:pPr>
      <w:r w:rsidRPr="00743475">
        <w:t>Intimée</w:t>
      </w:r>
    </w:p>
    <w:p w:rsidR="00DA2667" w:rsidRPr="00743475" w:rsidRDefault="00DA2667" w:rsidP="00DA2667">
      <w:pPr>
        <w:jc w:val="center"/>
      </w:pPr>
    </w:p>
    <w:p w:rsidR="00DA2667" w:rsidRPr="00743475" w:rsidRDefault="00DA2667" w:rsidP="00DA2667">
      <w:pPr>
        <w:pStyle w:val="ListParagraph"/>
        <w:ind w:left="0"/>
        <w:jc w:val="center"/>
      </w:pPr>
      <w:r w:rsidRPr="00743475">
        <w:t>- et -</w:t>
      </w:r>
    </w:p>
    <w:p w:rsidR="00DA2667" w:rsidRPr="00743475" w:rsidRDefault="00DA2667" w:rsidP="00DA2667">
      <w:pPr>
        <w:jc w:val="center"/>
      </w:pPr>
    </w:p>
    <w:p w:rsidR="00DA2667" w:rsidRPr="00743475" w:rsidRDefault="00DA2667" w:rsidP="00DA2667">
      <w:pPr>
        <w:jc w:val="center"/>
        <w:rPr>
          <w:b/>
        </w:rPr>
      </w:pPr>
      <w:r w:rsidRPr="00743475">
        <w:rPr>
          <w:b/>
        </w:rPr>
        <w:t>Criminal Lawyers’ Association</w:t>
      </w:r>
    </w:p>
    <w:p w:rsidR="00DA2667" w:rsidRPr="00743475" w:rsidRDefault="00DA2667" w:rsidP="00DA2667">
      <w:pPr>
        <w:jc w:val="center"/>
      </w:pPr>
      <w:r w:rsidRPr="00743475">
        <w:t>Intervenante</w:t>
      </w:r>
    </w:p>
    <w:p w:rsidR="00DA2667" w:rsidRPr="00743475" w:rsidRDefault="00DA2667" w:rsidP="00DA2667"/>
    <w:p w:rsidR="00DA2667" w:rsidRPr="00743475" w:rsidRDefault="00DA2667" w:rsidP="00DA2667"/>
    <w:p w:rsidR="00DA2667" w:rsidRPr="00743475" w:rsidRDefault="00DA2667" w:rsidP="00DA2667">
      <w:pPr>
        <w:jc w:val="center"/>
        <w:rPr>
          <w:b/>
          <w:smallCaps/>
          <w:lang w:val="fr-CA"/>
        </w:rPr>
      </w:pPr>
      <w:r w:rsidRPr="00743475">
        <w:rPr>
          <w:b/>
          <w:smallCaps/>
          <w:lang w:val="fr-CA"/>
        </w:rPr>
        <w:t>Traduction française officielle</w:t>
      </w:r>
    </w:p>
    <w:p w:rsidR="00DA2667" w:rsidRPr="00743475" w:rsidRDefault="00DA2667" w:rsidP="00DA2667">
      <w:pPr>
        <w:rPr>
          <w:lang w:val="fr-CA"/>
        </w:rPr>
      </w:pPr>
    </w:p>
    <w:p w:rsidR="00DA2667" w:rsidRPr="00743475" w:rsidRDefault="00DA2667" w:rsidP="00DA2667">
      <w:pPr>
        <w:rPr>
          <w:lang w:val="fr-CA"/>
        </w:rPr>
      </w:pPr>
      <w:r w:rsidRPr="00743475">
        <w:rPr>
          <w:b/>
          <w:smallCaps/>
          <w:lang w:val="fr-CA"/>
        </w:rPr>
        <w:t>Coram :</w:t>
      </w:r>
      <w:r w:rsidRPr="00743475">
        <w:rPr>
          <w:lang w:val="fr-CA"/>
        </w:rPr>
        <w:t xml:space="preserve"> Les juges Abella, Moldaver, Karakatsanis, Côté et Rowe</w:t>
      </w:r>
    </w:p>
    <w:p w:rsidR="00DA2667" w:rsidRPr="00743475" w:rsidRDefault="00DA2667" w:rsidP="00DA266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A2667" w:rsidRPr="00743475" w:rsidTr="00AC2B90">
        <w:trPr>
          <w:cantSplit/>
        </w:trPr>
        <w:tc>
          <w:tcPr>
            <w:tcW w:w="3618" w:type="dxa"/>
          </w:tcPr>
          <w:p w:rsidR="00DA2667" w:rsidRPr="00743475" w:rsidRDefault="00DA2667" w:rsidP="00AC2B90">
            <w:pPr>
              <w:rPr>
                <w:b/>
                <w:smallCaps/>
                <w:lang w:val="fr-CA"/>
              </w:rPr>
            </w:pPr>
            <w:r w:rsidRPr="00743475">
              <w:rPr>
                <w:b/>
                <w:smallCaps/>
                <w:lang w:val="fr-CA"/>
              </w:rPr>
              <w:t>Motifs de jugement :</w:t>
            </w:r>
          </w:p>
          <w:p w:rsidR="00DA2667" w:rsidRPr="00743475" w:rsidRDefault="00DA2667" w:rsidP="00AC2B90">
            <w:pPr>
              <w:rPr>
                <w:lang w:val="fr-CA"/>
              </w:rPr>
            </w:pPr>
            <w:r w:rsidRPr="00743475">
              <w:rPr>
                <w:lang w:val="fr-CA"/>
              </w:rPr>
              <w:t>(par. 1 à 4)</w:t>
            </w:r>
          </w:p>
        </w:tc>
        <w:tc>
          <w:tcPr>
            <w:tcW w:w="5958" w:type="dxa"/>
          </w:tcPr>
          <w:p w:rsidR="00DA2667" w:rsidRPr="00743475" w:rsidRDefault="00DA2667" w:rsidP="00AC2B90">
            <w:pPr>
              <w:rPr>
                <w:lang w:val="fr-CA"/>
              </w:rPr>
            </w:pPr>
            <w:r w:rsidRPr="00743475">
              <w:rPr>
                <w:lang w:val="fr-CA"/>
              </w:rPr>
              <w:t>Le juge Moldaver (avec l’accord des juges Abella, Karakatsanis, Côté et Rowe)</w:t>
            </w:r>
          </w:p>
        </w:tc>
      </w:tr>
    </w:tbl>
    <w:p w:rsidR="00DA2667" w:rsidRPr="00743475" w:rsidRDefault="00DA2667" w:rsidP="00DA2667">
      <w:pPr>
        <w:rPr>
          <w:lang w:val="fr-CA"/>
        </w:rPr>
      </w:pPr>
    </w:p>
    <w:p w:rsidR="00DA2667" w:rsidRPr="00743475" w:rsidRDefault="00DA2667" w:rsidP="00DA2667">
      <w:pPr>
        <w:rPr>
          <w:lang w:val="fr-CA"/>
        </w:rPr>
      </w:pPr>
      <w:r w:rsidRPr="00743475">
        <w:rPr>
          <w:noProof/>
          <w:lang w:val="en-US" w:eastAsia="en-US"/>
        </w:rPr>
        <mc:AlternateContent>
          <mc:Choice Requires="wps">
            <w:drawing>
              <wp:anchor distT="0" distB="0" distL="114300" distR="114300" simplePos="0" relativeHeight="251659264" behindDoc="0" locked="0" layoutInCell="1" allowOverlap="1" wp14:anchorId="640EC583" wp14:editId="25BC0E9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387A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A2667" w:rsidRPr="00743475" w:rsidRDefault="00DA2667" w:rsidP="00DA2667">
      <w:pPr>
        <w:rPr>
          <w:lang w:val="fr-CA"/>
        </w:rPr>
      </w:pPr>
    </w:p>
    <w:p w:rsidR="00DA2667" w:rsidRPr="00743475" w:rsidRDefault="00DA2667" w:rsidP="00DA2667">
      <w:pPr>
        <w:rPr>
          <w:lang w:val="fr-CA"/>
        </w:rPr>
      </w:pPr>
    </w:p>
    <w:p w:rsidR="00DA2667" w:rsidRPr="00743475" w:rsidRDefault="00DA2667" w:rsidP="00DA2667">
      <w:pPr>
        <w:rPr>
          <w:lang w:val="fr-CA"/>
        </w:rPr>
      </w:pPr>
    </w:p>
    <w:p w:rsidR="004D7D95" w:rsidRPr="00743475" w:rsidRDefault="006A7AB3" w:rsidP="006453CE">
      <w:pPr>
        <w:spacing w:after="720"/>
        <w:jc w:val="both"/>
        <w:rPr>
          <w:smallCaps/>
          <w:lang w:val="en-US"/>
        </w:rPr>
      </w:pPr>
      <w:r w:rsidRPr="00743475">
        <w:rPr>
          <w:rStyle w:val="SCCAppellantForRunningHeadChar"/>
          <w:smallCaps w:val="0"/>
          <w:lang w:val="en-US"/>
        </w:rPr>
        <w:t>R</w:t>
      </w:r>
      <w:r w:rsidR="009704A5" w:rsidRPr="00743475">
        <w:rPr>
          <w:rStyle w:val="SCCAppellantForRunningHeadChar"/>
          <w:smallCaps w:val="0"/>
          <w:lang w:val="en-US"/>
        </w:rPr>
        <w:t xml:space="preserve">. </w:t>
      </w:r>
      <w:r w:rsidR="009704A5" w:rsidRPr="00743475">
        <w:rPr>
          <w:i/>
          <w:lang w:val="en-US"/>
        </w:rPr>
        <w:t>c.</w:t>
      </w:r>
      <w:r w:rsidR="009704A5" w:rsidRPr="00743475">
        <w:rPr>
          <w:smallCaps/>
          <w:lang w:val="en-US"/>
        </w:rPr>
        <w:t xml:space="preserve"> </w:t>
      </w:r>
      <w:r w:rsidRPr="00743475">
        <w:rPr>
          <w:rStyle w:val="SCCAppellantForRunningHeadChar"/>
          <w:smallCaps w:val="0"/>
          <w:lang w:val="en-US"/>
        </w:rPr>
        <w:t>G</w:t>
      </w:r>
      <w:r w:rsidR="00EC230F" w:rsidRPr="00743475">
        <w:rPr>
          <w:rStyle w:val="SCCAppellantForRunningHeadChar"/>
          <w:smallCaps w:val="0"/>
          <w:lang w:val="en-US"/>
        </w:rPr>
        <w:t>eorge-</w:t>
      </w:r>
      <w:r w:rsidRPr="00743475">
        <w:rPr>
          <w:rStyle w:val="SCCAppellantForRunningHeadChar"/>
          <w:smallCaps w:val="0"/>
          <w:lang w:val="en-US"/>
        </w:rPr>
        <w:t>N</w:t>
      </w:r>
      <w:r w:rsidR="004D7D95" w:rsidRPr="00743475">
        <w:rPr>
          <w:rStyle w:val="SCCAppellantForRunningHeadChar"/>
          <w:smallCaps w:val="0"/>
          <w:lang w:val="en-US"/>
        </w:rPr>
        <w:t>urse</w:t>
      </w:r>
      <w:r w:rsidRPr="00743475">
        <w:rPr>
          <w:rStyle w:val="SCCAppellantForRunningHeadChar"/>
          <w:smallCaps w:val="0"/>
          <w:lang w:val="en-US"/>
        </w:rPr>
        <w:t xml:space="preserve">, </w:t>
      </w:r>
      <w:r w:rsidRPr="00743475">
        <w:rPr>
          <w:lang w:val="en-US"/>
        </w:rPr>
        <w:t>2019 CSC 12, [2019] 1 R.C.S. 5</w:t>
      </w:r>
      <w:r w:rsidR="00C60897" w:rsidRPr="00743475">
        <w:rPr>
          <w:lang w:val="en-US"/>
        </w:rPr>
        <w:t>70</w:t>
      </w:r>
      <w:r w:rsidR="004D7D95" w:rsidRPr="00743475">
        <w:rPr>
          <w:smallCaps/>
          <w:lang w:val="en-US"/>
        </w:rPr>
        <w:t xml:space="preserve"> </w:t>
      </w:r>
    </w:p>
    <w:p w:rsidR="003431F1" w:rsidRPr="00743475" w:rsidRDefault="00A242C1">
      <w:pPr>
        <w:pStyle w:val="SCCLsocLastPartyInRole"/>
        <w:rPr>
          <w:lang w:val="fr-CA"/>
        </w:rPr>
      </w:pPr>
      <w:r w:rsidRPr="00743475">
        <w:rPr>
          <w:lang w:val="fr-CA"/>
        </w:rPr>
        <w:t>Devante George-Nurse</w:t>
      </w:r>
      <w:r w:rsidR="009704A5" w:rsidRPr="00743475">
        <w:rPr>
          <w:rStyle w:val="SCCLsocPartyRole"/>
          <w:lang w:val="fr-CA"/>
        </w:rPr>
        <w:tab/>
        <w:t>Appelant</w:t>
      </w:r>
    </w:p>
    <w:p w:rsidR="003431F1" w:rsidRPr="00743475" w:rsidRDefault="00A242C1">
      <w:pPr>
        <w:pStyle w:val="SCCLsocVersus"/>
        <w:rPr>
          <w:lang w:val="fr-CA"/>
        </w:rPr>
      </w:pPr>
      <w:r w:rsidRPr="00743475">
        <w:rPr>
          <w:lang w:val="fr-CA"/>
        </w:rPr>
        <w:t>c.</w:t>
      </w:r>
    </w:p>
    <w:p w:rsidR="003431F1" w:rsidRPr="00743475" w:rsidRDefault="00A242C1">
      <w:pPr>
        <w:pStyle w:val="SCCLsocLastPartyInRole"/>
        <w:rPr>
          <w:lang w:val="fr-CA"/>
        </w:rPr>
      </w:pPr>
      <w:r w:rsidRPr="00743475">
        <w:rPr>
          <w:lang w:val="fr-CA"/>
        </w:rPr>
        <w:lastRenderedPageBreak/>
        <w:t>Sa Majesté la Reine</w:t>
      </w:r>
      <w:r w:rsidR="009704A5" w:rsidRPr="00743475">
        <w:rPr>
          <w:rStyle w:val="SCCLsocPartyRole"/>
          <w:lang w:val="fr-CA"/>
        </w:rPr>
        <w:tab/>
        <w:t>Intimée</w:t>
      </w:r>
    </w:p>
    <w:p w:rsidR="003431F1" w:rsidRPr="00743475" w:rsidRDefault="00A242C1">
      <w:pPr>
        <w:pStyle w:val="SCCLsocOtherPartySeparator"/>
        <w:rPr>
          <w:lang w:val="fr-CA"/>
        </w:rPr>
      </w:pPr>
      <w:r w:rsidRPr="00743475">
        <w:rPr>
          <w:lang w:val="fr-CA"/>
        </w:rPr>
        <w:t>et</w:t>
      </w:r>
    </w:p>
    <w:p w:rsidR="003431F1" w:rsidRPr="00743475" w:rsidRDefault="00A242C1">
      <w:pPr>
        <w:pStyle w:val="SCCLsocLastPartyInRole"/>
        <w:rPr>
          <w:lang w:val="fr-CA"/>
        </w:rPr>
      </w:pPr>
      <w:r w:rsidRPr="00743475">
        <w:rPr>
          <w:lang w:val="fr-CA"/>
        </w:rPr>
        <w:t>Criminal Lawyers</w:t>
      </w:r>
      <w:r w:rsidR="009704A5" w:rsidRPr="00743475">
        <w:rPr>
          <w:lang w:val="fr-CA"/>
        </w:rPr>
        <w:t>’</w:t>
      </w:r>
      <w:r w:rsidR="00932D88" w:rsidRPr="00743475">
        <w:rPr>
          <w:lang w:val="fr-CA"/>
        </w:rPr>
        <w:t xml:space="preserve"> Association</w:t>
      </w:r>
      <w:r w:rsidR="009704A5" w:rsidRPr="00743475">
        <w:rPr>
          <w:rStyle w:val="SCCLsocPartyRole"/>
          <w:lang w:val="fr-CA"/>
        </w:rPr>
        <w:tab/>
        <w:t>Intervenante</w:t>
      </w:r>
    </w:p>
    <w:p w:rsidR="004D7D95" w:rsidRPr="00743475" w:rsidRDefault="009704A5" w:rsidP="006453CE">
      <w:pPr>
        <w:spacing w:after="720"/>
        <w:jc w:val="both"/>
        <w:rPr>
          <w:b/>
          <w:lang w:val="fr-CA"/>
        </w:rPr>
      </w:pPr>
      <w:r w:rsidRPr="00743475">
        <w:rPr>
          <w:b/>
          <w:lang w:val="fr-CA"/>
        </w:rPr>
        <w:t xml:space="preserve">Répertorié : R. </w:t>
      </w:r>
      <w:r w:rsidR="00FE06D6" w:rsidRPr="00743475">
        <w:rPr>
          <w:b/>
          <w:i/>
          <w:lang w:val="fr-CA"/>
        </w:rPr>
        <w:t>c</w:t>
      </w:r>
      <w:r w:rsidRPr="00743475">
        <w:rPr>
          <w:b/>
          <w:i/>
          <w:lang w:val="fr-CA"/>
        </w:rPr>
        <w:t xml:space="preserve">. </w:t>
      </w:r>
      <w:r w:rsidR="004D7D95" w:rsidRPr="00743475">
        <w:rPr>
          <w:rStyle w:val="SCCAppellantForIndexChar"/>
          <w:lang w:val="fr-CA"/>
        </w:rPr>
        <w:t>George-Nurse</w:t>
      </w:r>
      <w:r w:rsidR="004D7D95" w:rsidRPr="00743475">
        <w:rPr>
          <w:b/>
          <w:lang w:val="fr-CA"/>
        </w:rPr>
        <w:t xml:space="preserve"> </w:t>
      </w:r>
    </w:p>
    <w:p w:rsidR="004D7D95" w:rsidRPr="00743475" w:rsidRDefault="00D17B0E" w:rsidP="006453CE">
      <w:pPr>
        <w:pStyle w:val="SCCSystemYear"/>
        <w:spacing w:after="720"/>
        <w:jc w:val="both"/>
        <w:rPr>
          <w:lang w:val="fr-CA"/>
        </w:rPr>
      </w:pPr>
      <w:r w:rsidRPr="00743475">
        <w:rPr>
          <w:lang w:val="fr-CA"/>
        </w:rPr>
        <w:t>2019</w:t>
      </w:r>
      <w:r w:rsidR="004D7D95" w:rsidRPr="00743475">
        <w:rPr>
          <w:lang w:val="fr-CA"/>
        </w:rPr>
        <w:t xml:space="preserve"> CSC </w:t>
      </w:r>
      <w:r w:rsidR="009704A5" w:rsidRPr="00743475">
        <w:rPr>
          <w:lang w:val="fr-CA"/>
        </w:rPr>
        <w:t>12</w:t>
      </w:r>
    </w:p>
    <w:p w:rsidR="004D7D95" w:rsidRPr="00743475" w:rsidRDefault="004D7D95" w:rsidP="006453CE">
      <w:pPr>
        <w:spacing w:after="720"/>
        <w:jc w:val="both"/>
        <w:rPr>
          <w:lang w:val="fr-CA"/>
        </w:rPr>
      </w:pPr>
      <w:r w:rsidRPr="00743475">
        <w:rPr>
          <w:lang w:val="fr-CA"/>
        </w:rPr>
        <w:t>N</w:t>
      </w:r>
      <w:r w:rsidRPr="00743475">
        <w:rPr>
          <w:vertAlign w:val="superscript"/>
          <w:lang w:val="fr-CA"/>
        </w:rPr>
        <w:t>o</w:t>
      </w:r>
      <w:r w:rsidRPr="00743475">
        <w:rPr>
          <w:lang w:val="fr-CA"/>
        </w:rPr>
        <w:t xml:space="preserve"> du greffe : 38217.</w:t>
      </w:r>
    </w:p>
    <w:p w:rsidR="004D7D95" w:rsidRPr="00743475" w:rsidRDefault="00D17B0E" w:rsidP="006453CE">
      <w:pPr>
        <w:spacing w:after="720"/>
        <w:jc w:val="both"/>
        <w:rPr>
          <w:lang w:val="fr-CA"/>
        </w:rPr>
      </w:pPr>
      <w:r w:rsidRPr="00743475">
        <w:rPr>
          <w:lang w:val="fr-CA"/>
        </w:rPr>
        <w:t>2019 : 15 février</w:t>
      </w:r>
      <w:r w:rsidR="009704A5" w:rsidRPr="00743475">
        <w:rPr>
          <w:lang w:val="fr-CA"/>
        </w:rPr>
        <w:t>.</w:t>
      </w:r>
    </w:p>
    <w:p w:rsidR="004D7D95" w:rsidRPr="00743475" w:rsidRDefault="004D7D95" w:rsidP="006453CE">
      <w:pPr>
        <w:spacing w:after="720"/>
        <w:jc w:val="both"/>
        <w:rPr>
          <w:lang w:val="fr-CA"/>
        </w:rPr>
      </w:pPr>
      <w:r w:rsidRPr="00743475">
        <w:rPr>
          <w:lang w:val="fr-CA"/>
        </w:rPr>
        <w:t>Présents : Les juges Abella, Moldaver, Karakatsanis, Côté et Rowe.</w:t>
      </w:r>
    </w:p>
    <w:p w:rsidR="004D7D95" w:rsidRPr="00743475" w:rsidRDefault="004D7D95" w:rsidP="000C27CC">
      <w:pPr>
        <w:pStyle w:val="SCCLowerCourtNameLowercase"/>
        <w:spacing w:after="720" w:line="240" w:lineRule="auto"/>
        <w:rPr>
          <w:smallCaps w:val="0"/>
          <w:lang w:val="fr-CA"/>
        </w:rPr>
      </w:pPr>
      <w:r w:rsidRPr="00743475">
        <w:rPr>
          <w:lang w:val="fr-CA"/>
        </w:rPr>
        <w:t>en appel de la cour d</w:t>
      </w:r>
      <w:r w:rsidR="009704A5" w:rsidRPr="00743475">
        <w:rPr>
          <w:lang w:val="fr-CA"/>
        </w:rPr>
        <w:t>’</w:t>
      </w:r>
      <w:r w:rsidRPr="00743475">
        <w:rPr>
          <w:lang w:val="fr-CA"/>
        </w:rPr>
        <w:t>appel de l</w:t>
      </w:r>
      <w:r w:rsidR="009704A5" w:rsidRPr="00743475">
        <w:rPr>
          <w:lang w:val="fr-CA"/>
        </w:rPr>
        <w:t>’</w:t>
      </w:r>
      <w:r w:rsidRPr="00743475">
        <w:rPr>
          <w:lang w:val="fr-CA"/>
        </w:rPr>
        <w:t>ontario</w:t>
      </w:r>
    </w:p>
    <w:p w:rsidR="004D7D95" w:rsidRPr="00743475" w:rsidRDefault="004D7D95" w:rsidP="000C27CC">
      <w:pPr>
        <w:pStyle w:val="ParaNoNdepar-AltN"/>
        <w:numPr>
          <w:ilvl w:val="0"/>
          <w:numId w:val="0"/>
        </w:numPr>
        <w:rPr>
          <w:i/>
          <w:lang w:val="fr-CA"/>
        </w:rPr>
      </w:pPr>
      <w:r w:rsidRPr="00743475">
        <w:rPr>
          <w:lang w:val="fr-CA"/>
        </w:rPr>
        <w:tab/>
      </w:r>
      <w:r w:rsidR="009A1BB7" w:rsidRPr="00743475">
        <w:rPr>
          <w:i/>
          <w:lang w:val="fr-CA"/>
        </w:rPr>
        <w:t>Droit criminel — Appels — Verdict déraisonnable — Preuve circonstancielle — Accus</w:t>
      </w:r>
      <w:r w:rsidR="00D12402" w:rsidRPr="00743475">
        <w:rPr>
          <w:i/>
          <w:lang w:val="fr-CA"/>
        </w:rPr>
        <w:t>é n</w:t>
      </w:r>
      <w:r w:rsidR="00770E27" w:rsidRPr="00743475">
        <w:rPr>
          <w:i/>
          <w:lang w:val="fr-CA"/>
        </w:rPr>
        <w:t xml:space="preserve">’ayant pas </w:t>
      </w:r>
      <w:r w:rsidR="00D12402" w:rsidRPr="00743475">
        <w:rPr>
          <w:i/>
          <w:lang w:val="fr-CA"/>
        </w:rPr>
        <w:t>témoign</w:t>
      </w:r>
      <w:r w:rsidR="00770E27" w:rsidRPr="00743475">
        <w:rPr>
          <w:i/>
          <w:lang w:val="fr-CA"/>
        </w:rPr>
        <w:t>é lors d</w:t>
      </w:r>
      <w:r w:rsidR="001D28D7" w:rsidRPr="00743475">
        <w:rPr>
          <w:i/>
          <w:lang w:val="fr-CA"/>
        </w:rPr>
        <w:t>e son</w:t>
      </w:r>
      <w:r w:rsidR="00770E27" w:rsidRPr="00743475">
        <w:rPr>
          <w:i/>
          <w:lang w:val="fr-CA"/>
        </w:rPr>
        <w:t xml:space="preserve"> </w:t>
      </w:r>
      <w:r w:rsidR="00D12402" w:rsidRPr="00743475">
        <w:rPr>
          <w:i/>
          <w:lang w:val="fr-CA"/>
        </w:rPr>
        <w:t>procès déclaré coupable par le jury</w:t>
      </w:r>
      <w:r w:rsidR="00770E27" w:rsidRPr="00743475">
        <w:rPr>
          <w:i/>
          <w:lang w:val="fr-CA"/>
        </w:rPr>
        <w:t xml:space="preserve"> — Présentation au procès d’une preuve établissant une cause solide à réfuter</w:t>
      </w:r>
      <w:r w:rsidR="009A1BB7" w:rsidRPr="00743475">
        <w:rPr>
          <w:i/>
          <w:lang w:val="fr-CA"/>
        </w:rPr>
        <w:t xml:space="preserve"> — Cour</w:t>
      </w:r>
      <w:r w:rsidR="00770E27" w:rsidRPr="00743475">
        <w:rPr>
          <w:i/>
          <w:lang w:val="fr-CA"/>
        </w:rPr>
        <w:t xml:space="preserve"> d’appel autorisée </w:t>
      </w:r>
      <w:r w:rsidR="001D28D7" w:rsidRPr="00743475">
        <w:rPr>
          <w:i/>
          <w:lang w:val="fr-CA"/>
        </w:rPr>
        <w:t>lors d</w:t>
      </w:r>
      <w:r w:rsidR="00770E27" w:rsidRPr="00743475">
        <w:rPr>
          <w:i/>
          <w:lang w:val="fr-CA"/>
        </w:rPr>
        <w:t xml:space="preserve">e l’appréciation du caractère raisonnable des verdicts à considérer que le silence de l’accusé </w:t>
      </w:r>
      <w:r w:rsidR="005F2B3F" w:rsidRPr="00743475">
        <w:rPr>
          <w:i/>
          <w:lang w:val="fr-CA"/>
        </w:rPr>
        <w:t xml:space="preserve">est indicatif de l’absence d’explication </w:t>
      </w:r>
      <w:r w:rsidR="001D28D7" w:rsidRPr="00743475">
        <w:rPr>
          <w:i/>
          <w:lang w:val="fr-CA"/>
        </w:rPr>
        <w:t>dis</w:t>
      </w:r>
      <w:r w:rsidR="005F2B3F" w:rsidRPr="00743475">
        <w:rPr>
          <w:i/>
          <w:lang w:val="fr-CA"/>
        </w:rPr>
        <w:t xml:space="preserve">culpatoire ou d’inférence </w:t>
      </w:r>
      <w:r w:rsidR="001D28D7" w:rsidRPr="00743475">
        <w:rPr>
          <w:i/>
          <w:lang w:val="fr-CA"/>
        </w:rPr>
        <w:t xml:space="preserve">favorable à la thèse </w:t>
      </w:r>
      <w:r w:rsidR="005F2B3F" w:rsidRPr="00743475">
        <w:rPr>
          <w:i/>
          <w:lang w:val="fr-CA"/>
        </w:rPr>
        <w:t xml:space="preserve">de l’innocence </w:t>
      </w:r>
      <w:r w:rsidR="009A1BB7" w:rsidRPr="00743475">
        <w:rPr>
          <w:i/>
          <w:lang w:val="fr-CA"/>
        </w:rPr>
        <w:t xml:space="preserve">— </w:t>
      </w:r>
      <w:r w:rsidR="005F2B3F" w:rsidRPr="00743475">
        <w:rPr>
          <w:i/>
          <w:lang w:val="fr-CA"/>
        </w:rPr>
        <w:t xml:space="preserve">Formulation au jury par le juge du procès de directives indiquant clairement que le silence de l’accusé ne pouvait être </w:t>
      </w:r>
      <w:r w:rsidR="00264C45" w:rsidRPr="00743475">
        <w:rPr>
          <w:i/>
          <w:lang w:val="fr-CA"/>
        </w:rPr>
        <w:t>invoqué contre lui</w:t>
      </w:r>
      <w:r w:rsidR="009A1BB7" w:rsidRPr="00743475">
        <w:rPr>
          <w:i/>
          <w:lang w:val="fr-CA"/>
        </w:rPr>
        <w:t xml:space="preserve"> — Déclarations de culpabilité confirmées.</w:t>
      </w:r>
    </w:p>
    <w:p w:rsidR="004D7D95" w:rsidRPr="00743475" w:rsidRDefault="004D7D95" w:rsidP="000C27CC">
      <w:pPr>
        <w:pStyle w:val="SCCNormalDoubleSpacing"/>
        <w:spacing w:after="720" w:line="240" w:lineRule="auto"/>
        <w:rPr>
          <w:b/>
          <w:lang w:val="fr-CA"/>
        </w:rPr>
      </w:pPr>
      <w:r w:rsidRPr="00743475">
        <w:rPr>
          <w:b/>
          <w:lang w:val="fr-CA"/>
        </w:rPr>
        <w:lastRenderedPageBreak/>
        <w:t>Jurisprudence</w:t>
      </w:r>
    </w:p>
    <w:p w:rsidR="004D7D95" w:rsidRPr="00743475" w:rsidRDefault="004D7D95" w:rsidP="000C27CC">
      <w:pPr>
        <w:tabs>
          <w:tab w:val="left" w:pos="1170"/>
        </w:tabs>
        <w:spacing w:after="480" w:line="480" w:lineRule="auto"/>
        <w:jc w:val="both"/>
        <w:rPr>
          <w:b/>
          <w:lang w:val="fr-CA"/>
        </w:rPr>
      </w:pPr>
      <w:r w:rsidRPr="00743475">
        <w:rPr>
          <w:lang w:val="fr-CA"/>
        </w:rPr>
        <w:tab/>
      </w:r>
      <w:r w:rsidRPr="00743475">
        <w:rPr>
          <w:b/>
          <w:lang w:val="fr-CA"/>
        </w:rPr>
        <w:t>Arrêt</w:t>
      </w:r>
      <w:r w:rsidR="00CC4B39" w:rsidRPr="00743475">
        <w:rPr>
          <w:b/>
          <w:lang w:val="fr-CA"/>
        </w:rPr>
        <w:t xml:space="preserve"> </w:t>
      </w:r>
      <w:r w:rsidRPr="00743475">
        <w:rPr>
          <w:b/>
          <w:lang w:val="fr-CA"/>
        </w:rPr>
        <w:t>mentionné :</w:t>
      </w:r>
      <w:r w:rsidRPr="00743475">
        <w:rPr>
          <w:lang w:val="fr-CA"/>
        </w:rPr>
        <w:t xml:space="preserve"> </w:t>
      </w:r>
      <w:r w:rsidR="009704A5" w:rsidRPr="00743475">
        <w:rPr>
          <w:i/>
          <w:lang w:val="fr-CA"/>
        </w:rPr>
        <w:t xml:space="preserve">R. </w:t>
      </w:r>
      <w:r w:rsidR="00C4185A" w:rsidRPr="00743475">
        <w:rPr>
          <w:i/>
          <w:lang w:val="fr-CA"/>
        </w:rPr>
        <w:t>c</w:t>
      </w:r>
      <w:r w:rsidR="009704A5" w:rsidRPr="00743475">
        <w:rPr>
          <w:i/>
          <w:lang w:val="fr-CA"/>
        </w:rPr>
        <w:t>. Noble</w:t>
      </w:r>
      <w:r w:rsidR="009704A5" w:rsidRPr="00743475">
        <w:rPr>
          <w:lang w:val="fr-CA"/>
        </w:rPr>
        <w:t>, [1997] 1 R.C.S. 874.</w:t>
      </w:r>
    </w:p>
    <w:p w:rsidR="004D7D95" w:rsidRPr="00743475" w:rsidRDefault="009704A5" w:rsidP="004D7D95">
      <w:pPr>
        <w:pStyle w:val="SCCNormalDoubleSpacing"/>
        <w:rPr>
          <w:lang w:val="fr-CA"/>
        </w:rPr>
      </w:pPr>
      <w:r w:rsidRPr="00743475">
        <w:rPr>
          <w:lang w:val="fr-CA"/>
        </w:rPr>
        <w:tab/>
      </w:r>
      <w:r w:rsidR="004D7D95" w:rsidRPr="00743475">
        <w:rPr>
          <w:lang w:val="fr-CA"/>
        </w:rPr>
        <w:t>POURVOI contre un arrêt de la Cour d</w:t>
      </w:r>
      <w:r w:rsidRPr="00743475">
        <w:rPr>
          <w:lang w:val="fr-CA"/>
        </w:rPr>
        <w:t>’</w:t>
      </w:r>
      <w:r w:rsidR="004D7D95" w:rsidRPr="00743475">
        <w:rPr>
          <w:lang w:val="fr-CA"/>
        </w:rPr>
        <w:t>appel de l</w:t>
      </w:r>
      <w:r w:rsidRPr="00743475">
        <w:rPr>
          <w:lang w:val="fr-CA"/>
        </w:rPr>
        <w:t>’</w:t>
      </w:r>
      <w:r w:rsidR="004D7D95" w:rsidRPr="00743475">
        <w:rPr>
          <w:lang w:val="fr-CA"/>
        </w:rPr>
        <w:t>Ontario</w:t>
      </w:r>
      <w:r w:rsidRPr="00743475">
        <w:rPr>
          <w:lang w:val="fr-CA"/>
        </w:rPr>
        <w:t xml:space="preserve"> (les juges MacPherson, </w:t>
      </w:r>
      <w:r w:rsidR="00122679" w:rsidRPr="00743475">
        <w:rPr>
          <w:lang w:val="fr-CA"/>
        </w:rPr>
        <w:t xml:space="preserve">Hourigan </w:t>
      </w:r>
      <w:r w:rsidRPr="00743475">
        <w:rPr>
          <w:lang w:val="fr-CA"/>
        </w:rPr>
        <w:t xml:space="preserve">et </w:t>
      </w:r>
      <w:r w:rsidR="00122679" w:rsidRPr="00743475">
        <w:rPr>
          <w:lang w:val="fr-CA"/>
        </w:rPr>
        <w:t>Miller</w:t>
      </w:r>
      <w:r w:rsidRPr="00743475">
        <w:rPr>
          <w:lang w:val="fr-CA"/>
        </w:rPr>
        <w:t>), 2018 ONCA 515, 362 C.C.C. (3d) 76, 47 C.R. (7th) 175, [2018] O.J. No. 3013 (QL), 2018 CarswellOnt</w:t>
      </w:r>
      <w:r w:rsidR="00D059DC" w:rsidRPr="00743475">
        <w:rPr>
          <w:lang w:val="fr-CA"/>
        </w:rPr>
        <w:t xml:space="preserve"> </w:t>
      </w:r>
      <w:r w:rsidRPr="00743475">
        <w:rPr>
          <w:lang w:val="fr-CA"/>
        </w:rPr>
        <w:t xml:space="preserve">8833 (WL Can.), </w:t>
      </w:r>
      <w:r w:rsidR="00107803" w:rsidRPr="00743475">
        <w:rPr>
          <w:lang w:val="fr-CA"/>
        </w:rPr>
        <w:t>qui a confirmé</w:t>
      </w:r>
      <w:r w:rsidRPr="00743475">
        <w:rPr>
          <w:lang w:val="fr-CA"/>
        </w:rPr>
        <w:t xml:space="preserve"> les déclarations de culpabilité </w:t>
      </w:r>
      <w:r w:rsidR="00264C45" w:rsidRPr="00743475">
        <w:rPr>
          <w:lang w:val="fr-CA"/>
        </w:rPr>
        <w:t xml:space="preserve">prononcées contre l’accusé </w:t>
      </w:r>
      <w:r w:rsidR="00107803" w:rsidRPr="00743475">
        <w:rPr>
          <w:lang w:val="fr-CA"/>
        </w:rPr>
        <w:t>pour</w:t>
      </w:r>
      <w:r w:rsidR="008E29EF" w:rsidRPr="00743475">
        <w:rPr>
          <w:lang w:val="fr-CA"/>
        </w:rPr>
        <w:t xml:space="preserve"> avoir déchargé intentionnellement une arme à feu sans se soucier </w:t>
      </w:r>
      <w:r w:rsidR="006A68DC" w:rsidRPr="00743475">
        <w:rPr>
          <w:lang w:val="fr-CA"/>
        </w:rPr>
        <w:t xml:space="preserve">de la vie ou </w:t>
      </w:r>
      <w:r w:rsidR="008E29EF" w:rsidRPr="00743475">
        <w:rPr>
          <w:lang w:val="fr-CA"/>
        </w:rPr>
        <w:t>de la sécurité d’autrui</w:t>
      </w:r>
      <w:r w:rsidR="009E3CFC" w:rsidRPr="00743475">
        <w:rPr>
          <w:lang w:val="fr-CA"/>
        </w:rPr>
        <w:t xml:space="preserve"> et </w:t>
      </w:r>
      <w:r w:rsidR="00D47C6D" w:rsidRPr="00743475">
        <w:rPr>
          <w:lang w:val="fr-CA"/>
        </w:rPr>
        <w:t xml:space="preserve">pour </w:t>
      </w:r>
      <w:r w:rsidR="008E29EF" w:rsidRPr="00743475">
        <w:rPr>
          <w:lang w:val="fr-CA"/>
        </w:rPr>
        <w:t xml:space="preserve">avoir occupé un véhicule </w:t>
      </w:r>
      <w:r w:rsidR="00D47C6D" w:rsidRPr="00743475">
        <w:rPr>
          <w:lang w:val="fr-CA"/>
        </w:rPr>
        <w:t xml:space="preserve">automobile </w:t>
      </w:r>
      <w:r w:rsidR="00837FC4" w:rsidRPr="00743475">
        <w:rPr>
          <w:lang w:val="fr-CA"/>
        </w:rPr>
        <w:t xml:space="preserve">tout en sachant qu’une arme à feu se trouvait </w:t>
      </w:r>
      <w:r w:rsidR="00264C45" w:rsidRPr="00743475">
        <w:rPr>
          <w:lang w:val="fr-CA"/>
        </w:rPr>
        <w:t>dans celui-ci</w:t>
      </w:r>
      <w:r w:rsidRPr="00743475">
        <w:rPr>
          <w:lang w:val="fr-CA"/>
        </w:rPr>
        <w:t>. Pourvoi rejeté.</w:t>
      </w:r>
    </w:p>
    <w:p w:rsidR="004D7D95" w:rsidRPr="00743475" w:rsidRDefault="004D7D95" w:rsidP="004D7D95">
      <w:pPr>
        <w:pStyle w:val="SCCNormalDoubleSpacing"/>
        <w:rPr>
          <w:lang w:val="fr-CA"/>
        </w:rPr>
      </w:pPr>
    </w:p>
    <w:p w:rsidR="003431F1" w:rsidRPr="00743475" w:rsidRDefault="00A242C1">
      <w:pPr>
        <w:pStyle w:val="SCCNormalDoubleSpacing"/>
        <w:rPr>
          <w:lang w:val="fr-CA"/>
        </w:rPr>
      </w:pPr>
      <w:r w:rsidRPr="00743475">
        <w:rPr>
          <w:rStyle w:val="SCCCounselNameChar"/>
          <w:lang w:val="fr-CA"/>
        </w:rPr>
        <w:tab/>
        <w:t>Brian Snell</w:t>
      </w:r>
      <w:r w:rsidR="009704A5" w:rsidRPr="00743475">
        <w:rPr>
          <w:rStyle w:val="SCCCounselPartyRoleChar"/>
          <w:lang w:val="fr-CA"/>
        </w:rPr>
        <w:t>, pour l’appelant</w:t>
      </w:r>
      <w:r w:rsidRPr="00743475">
        <w:rPr>
          <w:rStyle w:val="SCCCounselPartyRoleChar"/>
          <w:lang w:val="fr-CA"/>
        </w:rPr>
        <w:t>.</w:t>
      </w:r>
    </w:p>
    <w:p w:rsidR="003431F1" w:rsidRPr="00743475" w:rsidRDefault="003431F1">
      <w:pPr>
        <w:pStyle w:val="SCCNormalDoubleSpacing"/>
        <w:rPr>
          <w:lang w:val="fr-CA"/>
        </w:rPr>
      </w:pPr>
    </w:p>
    <w:p w:rsidR="003431F1" w:rsidRPr="00743475" w:rsidRDefault="00A242C1">
      <w:pPr>
        <w:pStyle w:val="SCCNormalDoubleSpacing"/>
        <w:rPr>
          <w:lang w:val="fr-CA"/>
        </w:rPr>
      </w:pPr>
      <w:r w:rsidRPr="00743475">
        <w:rPr>
          <w:rStyle w:val="SCCCounselNameChar"/>
          <w:lang w:val="fr-CA"/>
        </w:rPr>
        <w:tab/>
        <w:t>Leslie Paine</w:t>
      </w:r>
      <w:r w:rsidRPr="00743475">
        <w:rPr>
          <w:rStyle w:val="SCCCounselPartyRoleChar"/>
          <w:lang w:val="fr-CA"/>
        </w:rPr>
        <w:t xml:space="preserve">, </w:t>
      </w:r>
      <w:r w:rsidR="009704A5" w:rsidRPr="00743475">
        <w:rPr>
          <w:rStyle w:val="SCCCounselPartyRoleChar"/>
          <w:lang w:val="fr-CA"/>
        </w:rPr>
        <w:t>pour l’intimée</w:t>
      </w:r>
      <w:r w:rsidRPr="00743475">
        <w:rPr>
          <w:rStyle w:val="SCCCounselPartyRoleChar"/>
          <w:lang w:val="fr-CA"/>
        </w:rPr>
        <w:t>.</w:t>
      </w:r>
    </w:p>
    <w:p w:rsidR="003431F1" w:rsidRPr="00743475" w:rsidRDefault="003431F1">
      <w:pPr>
        <w:pStyle w:val="SCCNormalDoubleSpacing"/>
        <w:rPr>
          <w:lang w:val="fr-CA"/>
        </w:rPr>
      </w:pPr>
    </w:p>
    <w:p w:rsidR="003431F1" w:rsidRPr="00743475" w:rsidRDefault="00A242C1">
      <w:pPr>
        <w:pStyle w:val="SCCNormalDoubleSpacing"/>
        <w:rPr>
          <w:rStyle w:val="SCCCounselPartyRoleChar"/>
          <w:lang w:val="fr-CA"/>
        </w:rPr>
      </w:pPr>
      <w:r w:rsidRPr="00743475">
        <w:rPr>
          <w:rStyle w:val="SCCCounselNameChar"/>
          <w:lang w:val="fr-CA"/>
        </w:rPr>
        <w:tab/>
        <w:t>Michael Dineen</w:t>
      </w:r>
      <w:r w:rsidR="009704A5" w:rsidRPr="00743475">
        <w:rPr>
          <w:rStyle w:val="SCCCounselPartyRoleChar"/>
          <w:lang w:val="fr-CA"/>
        </w:rPr>
        <w:t>, pour l’intervenante</w:t>
      </w:r>
      <w:r w:rsidRPr="00743475">
        <w:rPr>
          <w:rStyle w:val="SCCCounselPartyRoleChar"/>
          <w:lang w:val="fr-CA"/>
        </w:rPr>
        <w:t>.</w:t>
      </w:r>
    </w:p>
    <w:p w:rsidR="00AC6A18" w:rsidRPr="00743475" w:rsidRDefault="00AC6A18" w:rsidP="009704A5">
      <w:pPr>
        <w:pStyle w:val="SCCNormalDoubleSpacing"/>
        <w:rPr>
          <w:smallCaps/>
          <w:lang w:val="fr-CA"/>
        </w:rPr>
      </w:pPr>
    </w:p>
    <w:p w:rsidR="00AC6A18" w:rsidRPr="00743475" w:rsidRDefault="00AC6A18" w:rsidP="009704A5">
      <w:pPr>
        <w:pStyle w:val="SCCNormalDoubleSpacing"/>
        <w:rPr>
          <w:lang w:val="fr-FR"/>
        </w:rPr>
      </w:pPr>
      <w:r w:rsidRPr="00743475">
        <w:rPr>
          <w:lang w:val="fr-FR"/>
        </w:rPr>
        <w:tab/>
        <w:t>Version française du jugement de la Cour rendu oralement par</w:t>
      </w:r>
    </w:p>
    <w:p w:rsidR="00AC6A18" w:rsidRPr="00743475" w:rsidRDefault="00AC6A18" w:rsidP="009704A5">
      <w:pPr>
        <w:pStyle w:val="SCCNormalDoubleSpacing"/>
        <w:rPr>
          <w:smallCaps/>
          <w:lang w:val="fr-CA"/>
        </w:rPr>
      </w:pPr>
    </w:p>
    <w:p w:rsidR="009704A5" w:rsidRPr="00743475" w:rsidRDefault="009704A5" w:rsidP="009704A5">
      <w:pPr>
        <w:pStyle w:val="SCCNormalDoubleSpacing"/>
        <w:rPr>
          <w:lang w:val="fr-CA"/>
        </w:rPr>
      </w:pPr>
      <w:r w:rsidRPr="00743475">
        <w:rPr>
          <w:smallCaps/>
          <w:lang w:val="fr-CA"/>
        </w:rPr>
        <w:t>[</w:t>
      </w:r>
      <w:r w:rsidRPr="00743475">
        <w:rPr>
          <w:iCs/>
          <w:smallCaps/>
          <w:lang w:val="fr-CA"/>
        </w:rPr>
        <w:t>1</w:t>
      </w:r>
      <w:r w:rsidRPr="00743475">
        <w:rPr>
          <w:smallCaps/>
          <w:lang w:val="fr-CA"/>
        </w:rPr>
        <w:t xml:space="preserve">] </w:t>
      </w:r>
      <w:r w:rsidRPr="00743475">
        <w:rPr>
          <w:smallCaps/>
          <w:lang w:val="fr-CA"/>
        </w:rPr>
        <w:tab/>
        <w:t>Le juge</w:t>
      </w:r>
      <w:r w:rsidRPr="00743475">
        <w:rPr>
          <w:lang w:val="fr-CA"/>
        </w:rPr>
        <w:t xml:space="preserve"> </w:t>
      </w:r>
      <w:r w:rsidRPr="00743475">
        <w:rPr>
          <w:smallCaps/>
          <w:lang w:val="fr-CA"/>
        </w:rPr>
        <w:t>Moldaver</w:t>
      </w:r>
      <w:r w:rsidRPr="00743475">
        <w:rPr>
          <w:lang w:val="fr-CA"/>
        </w:rPr>
        <w:t xml:space="preserve"> — Nous sommes d’accord avec les juges majoritaires de la Cour d’appel pour dire que la preuve circonstancielle présentée contre l’appelant le plaçait dans la position de devoir réfuter une cause fort bien étayée. Selon les motifs des juges majoritaires, auxquels nous souscrivons, il s’agissait d’un [</w:t>
      </w:r>
      <w:r w:rsidRPr="00743475">
        <w:rPr>
          <w:smallCaps/>
          <w:lang w:val="fr-CA"/>
        </w:rPr>
        <w:t>traduction</w:t>
      </w:r>
      <w:r w:rsidRPr="00743475">
        <w:rPr>
          <w:lang w:val="fr-CA"/>
        </w:rPr>
        <w:t xml:space="preserve">] </w:t>
      </w:r>
      <w:r w:rsidRPr="00743475">
        <w:rPr>
          <w:lang w:val="fr-CA"/>
        </w:rPr>
        <w:lastRenderedPageBreak/>
        <w:t>« paradigme de preuve complète, très différent du cas où il n’y a “pas de preuve à réfuter” » : par. 34.</w:t>
      </w:r>
    </w:p>
    <w:p w:rsidR="009704A5" w:rsidRPr="00743475" w:rsidRDefault="009704A5" w:rsidP="009704A5">
      <w:pPr>
        <w:pStyle w:val="SCCNormalDoubleSpacing"/>
        <w:rPr>
          <w:lang w:val="fr-CA"/>
        </w:rPr>
      </w:pPr>
    </w:p>
    <w:p w:rsidR="009704A5" w:rsidRPr="00743475" w:rsidRDefault="009704A5" w:rsidP="009704A5">
      <w:pPr>
        <w:pStyle w:val="SCCNormalDoubleSpacing"/>
        <w:rPr>
          <w:lang w:val="fr-CA"/>
        </w:rPr>
      </w:pPr>
      <w:r w:rsidRPr="00743475">
        <w:rPr>
          <w:smallCaps/>
          <w:lang w:val="fr-CA"/>
        </w:rPr>
        <w:t>[</w:t>
      </w:r>
      <w:r w:rsidRPr="00743475">
        <w:rPr>
          <w:iCs/>
          <w:smallCaps/>
          <w:lang w:val="fr-CA"/>
        </w:rPr>
        <w:t>2</w:t>
      </w:r>
      <w:r w:rsidRPr="00743475">
        <w:rPr>
          <w:smallCaps/>
          <w:lang w:val="fr-CA"/>
        </w:rPr>
        <w:t xml:space="preserve">] </w:t>
      </w:r>
      <w:r w:rsidRPr="00743475">
        <w:rPr>
          <w:smallCaps/>
          <w:lang w:val="fr-CA"/>
        </w:rPr>
        <w:tab/>
      </w:r>
      <w:r w:rsidRPr="00743475">
        <w:rPr>
          <w:lang w:val="fr-CA"/>
        </w:rPr>
        <w:t xml:space="preserve">Cela étant, la cour était autorisée en appel à tenir compte du silence de l’appelant lorsqu’elle a examiné sa prétention selon laquelle le verdict était déraisonnable et lorsqu’elle l’a ultimement rejetée : voir </w:t>
      </w:r>
      <w:r w:rsidRPr="00743475">
        <w:rPr>
          <w:i/>
          <w:lang w:val="fr-CA"/>
        </w:rPr>
        <w:t>R. c. Noble</w:t>
      </w:r>
      <w:r w:rsidRPr="00743475">
        <w:rPr>
          <w:lang w:val="fr-CA"/>
        </w:rPr>
        <w:t>, [</w:t>
      </w:r>
      <w:r w:rsidR="00EF63C4" w:rsidRPr="00743475">
        <w:rPr>
          <w:lang w:val="fr-CA"/>
        </w:rPr>
        <w:t xml:space="preserve">1997] 1 R.C.S. 874, par. 103. </w:t>
      </w:r>
    </w:p>
    <w:p w:rsidR="009704A5" w:rsidRPr="00743475" w:rsidRDefault="009704A5" w:rsidP="009704A5">
      <w:pPr>
        <w:pStyle w:val="SCCLawFirm"/>
        <w:rPr>
          <w:i w:val="0"/>
          <w:lang w:val="fr-CA"/>
        </w:rPr>
      </w:pPr>
    </w:p>
    <w:p w:rsidR="009704A5" w:rsidRPr="00743475" w:rsidRDefault="009704A5" w:rsidP="009704A5">
      <w:pPr>
        <w:pStyle w:val="SCCNormalDoubleSpacing"/>
        <w:rPr>
          <w:lang w:val="fr-CA"/>
        </w:rPr>
      </w:pPr>
      <w:r w:rsidRPr="00743475">
        <w:rPr>
          <w:smallCaps/>
          <w:lang w:val="fr-CA"/>
        </w:rPr>
        <w:t>[</w:t>
      </w:r>
      <w:r w:rsidRPr="00743475">
        <w:rPr>
          <w:iCs/>
          <w:smallCaps/>
          <w:lang w:val="fr-CA"/>
        </w:rPr>
        <w:t>3</w:t>
      </w:r>
      <w:r w:rsidRPr="00743475">
        <w:rPr>
          <w:smallCaps/>
          <w:lang w:val="fr-CA"/>
        </w:rPr>
        <w:t xml:space="preserve">] </w:t>
      </w:r>
      <w:r w:rsidRPr="00743475">
        <w:rPr>
          <w:smallCaps/>
          <w:lang w:val="fr-CA"/>
        </w:rPr>
        <w:tab/>
      </w:r>
      <w:r w:rsidRPr="00743475">
        <w:rPr>
          <w:lang w:val="fr-CA"/>
        </w:rPr>
        <w:t xml:space="preserve">En concluant de la sorte, nous notons que le juge de première instance a clairement indiqué au jury, à de nombreuses reprises, qu’il ne pouvait considérer le défaut de l’appelant de témoigner comme un facteur complétant la preuve de la Couronne. À cet égard, nous n’approuvons pas les par. 32 et 36 des motifs des juges majoritaires, dans la mesure où ils peuvent être interprétés comme suggérant le contraire. </w:t>
      </w:r>
    </w:p>
    <w:p w:rsidR="009704A5" w:rsidRPr="00743475" w:rsidRDefault="009704A5" w:rsidP="009704A5">
      <w:pPr>
        <w:pStyle w:val="SCCLawFirm"/>
        <w:rPr>
          <w:i w:val="0"/>
          <w:lang w:val="fr-CA"/>
        </w:rPr>
      </w:pPr>
    </w:p>
    <w:p w:rsidR="009704A5" w:rsidRPr="00743475" w:rsidRDefault="009704A5" w:rsidP="009704A5">
      <w:pPr>
        <w:pStyle w:val="SCCNormalDoubleSpacing"/>
        <w:rPr>
          <w:lang w:val="fr-CA"/>
        </w:rPr>
      </w:pPr>
      <w:r w:rsidRPr="00743475">
        <w:rPr>
          <w:smallCaps/>
          <w:lang w:val="fr-CA"/>
        </w:rPr>
        <w:t>[</w:t>
      </w:r>
      <w:r w:rsidRPr="00743475">
        <w:rPr>
          <w:iCs/>
          <w:smallCaps/>
          <w:lang w:val="fr-CA"/>
        </w:rPr>
        <w:t>4</w:t>
      </w:r>
      <w:r w:rsidRPr="00743475">
        <w:rPr>
          <w:smallCaps/>
          <w:lang w:val="fr-CA"/>
        </w:rPr>
        <w:t xml:space="preserve">] </w:t>
      </w:r>
      <w:r w:rsidRPr="00743475">
        <w:rPr>
          <w:smallCaps/>
          <w:lang w:val="fr-CA"/>
        </w:rPr>
        <w:tab/>
      </w:r>
      <w:r w:rsidRPr="00743475">
        <w:rPr>
          <w:lang w:val="fr-CA"/>
        </w:rPr>
        <w:t>En conséquence, nous sommes d’avis de rejeter l’appel.</w:t>
      </w:r>
    </w:p>
    <w:p w:rsidR="009704A5" w:rsidRPr="00743475" w:rsidRDefault="009704A5" w:rsidP="009704A5">
      <w:pPr>
        <w:pStyle w:val="SCCNormalDoubleSpacing"/>
        <w:rPr>
          <w:lang w:val="fr-CA"/>
        </w:rPr>
      </w:pPr>
    </w:p>
    <w:p w:rsidR="004D7D95" w:rsidRPr="00743475" w:rsidRDefault="004D7D95" w:rsidP="004D7D95">
      <w:pPr>
        <w:pStyle w:val="SCCNormalDoubleSpacing"/>
        <w:rPr>
          <w:i/>
          <w:lang w:val="fr-CA"/>
        </w:rPr>
      </w:pPr>
      <w:r w:rsidRPr="00743475">
        <w:rPr>
          <w:lang w:val="fr-CA"/>
        </w:rPr>
        <w:tab/>
      </w:r>
      <w:r w:rsidR="009704A5" w:rsidRPr="00743475">
        <w:rPr>
          <w:i/>
          <w:lang w:val="fr-CA"/>
        </w:rPr>
        <w:t>Jugement en conséquence.</w:t>
      </w:r>
    </w:p>
    <w:p w:rsidR="004D7D95" w:rsidRPr="00743475" w:rsidRDefault="004D7D95" w:rsidP="004D7D95">
      <w:pPr>
        <w:pStyle w:val="SCCNormalDoubleSpacing"/>
        <w:rPr>
          <w:lang w:val="fr-CA"/>
        </w:rPr>
      </w:pPr>
    </w:p>
    <w:p w:rsidR="003431F1" w:rsidRPr="00743475" w:rsidRDefault="00A242C1">
      <w:pPr>
        <w:pStyle w:val="SCCLawFirm"/>
        <w:rPr>
          <w:lang w:val="fr-CA"/>
        </w:rPr>
      </w:pPr>
      <w:r w:rsidRPr="00743475">
        <w:rPr>
          <w:lang w:val="fr-CA"/>
        </w:rPr>
        <w:tab/>
      </w:r>
      <w:r w:rsidR="009704A5" w:rsidRPr="00743475">
        <w:rPr>
          <w:lang w:val="fr-CA"/>
        </w:rPr>
        <w:t>Procureur de l’appelant</w:t>
      </w:r>
      <w:r w:rsidRPr="00743475">
        <w:rPr>
          <w:lang w:val="fr-CA"/>
        </w:rPr>
        <w:t> : Brian Snell, Toronto.</w:t>
      </w:r>
    </w:p>
    <w:p w:rsidR="003431F1" w:rsidRPr="00743475" w:rsidRDefault="003431F1">
      <w:pPr>
        <w:pStyle w:val="SCCLawFirm"/>
        <w:rPr>
          <w:lang w:val="fr-CA"/>
        </w:rPr>
      </w:pPr>
    </w:p>
    <w:p w:rsidR="003431F1" w:rsidRPr="00743475" w:rsidRDefault="00A242C1">
      <w:pPr>
        <w:pStyle w:val="SCCLawFirm"/>
        <w:rPr>
          <w:lang w:val="fr-CA"/>
        </w:rPr>
      </w:pPr>
      <w:r w:rsidRPr="00743475">
        <w:rPr>
          <w:lang w:val="fr-CA"/>
        </w:rPr>
        <w:tab/>
      </w:r>
      <w:r w:rsidR="009704A5" w:rsidRPr="00743475">
        <w:rPr>
          <w:lang w:val="fr-CA"/>
        </w:rPr>
        <w:t>Procureur</w:t>
      </w:r>
      <w:r w:rsidRPr="00743475">
        <w:rPr>
          <w:lang w:val="fr-CA"/>
        </w:rPr>
        <w:t xml:space="preserve"> de </w:t>
      </w:r>
      <w:r w:rsidR="009704A5" w:rsidRPr="00743475">
        <w:rPr>
          <w:lang w:val="fr-CA"/>
        </w:rPr>
        <w:t>l’intimée</w:t>
      </w:r>
      <w:r w:rsidRPr="00743475">
        <w:rPr>
          <w:lang w:val="fr-CA"/>
        </w:rPr>
        <w:t xml:space="preserve"> : </w:t>
      </w:r>
      <w:r w:rsidR="009704A5" w:rsidRPr="00743475">
        <w:rPr>
          <w:lang w:val="fr-CA"/>
        </w:rPr>
        <w:t>Procureure générale de l’Ontario</w:t>
      </w:r>
      <w:r w:rsidRPr="00743475">
        <w:rPr>
          <w:lang w:val="fr-CA"/>
        </w:rPr>
        <w:t>, Toronto.</w:t>
      </w:r>
    </w:p>
    <w:p w:rsidR="003431F1" w:rsidRPr="00743475" w:rsidRDefault="003431F1">
      <w:pPr>
        <w:pStyle w:val="SCCLawFirm"/>
        <w:rPr>
          <w:lang w:val="fr-CA"/>
        </w:rPr>
      </w:pPr>
    </w:p>
    <w:p w:rsidR="009B57B3" w:rsidRPr="00A34861" w:rsidRDefault="009704A5" w:rsidP="00A34861">
      <w:pPr>
        <w:pStyle w:val="SCCLawFirm"/>
        <w:rPr>
          <w:lang w:val="fr-CA"/>
        </w:rPr>
      </w:pPr>
      <w:r w:rsidRPr="00743475">
        <w:rPr>
          <w:lang w:val="fr-CA"/>
        </w:rPr>
        <w:tab/>
        <w:t>Procureur de l’intervenante</w:t>
      </w:r>
      <w:r w:rsidR="00A242C1" w:rsidRPr="00743475">
        <w:rPr>
          <w:lang w:val="fr-CA"/>
        </w:rPr>
        <w:t xml:space="preserve"> : </w:t>
      </w:r>
      <w:r w:rsidRPr="00743475">
        <w:rPr>
          <w:lang w:val="fr-CA"/>
        </w:rPr>
        <w:t>Michael Dineen</w:t>
      </w:r>
      <w:r w:rsidR="00A242C1" w:rsidRPr="00743475">
        <w:rPr>
          <w:lang w:val="fr-CA"/>
        </w:rPr>
        <w:t>, Toronto.</w:t>
      </w:r>
      <w:bookmarkStart w:id="0" w:name="_GoBack"/>
      <w:bookmarkEnd w:id="0"/>
    </w:p>
    <w:sectPr w:rsidR="009B57B3" w:rsidRPr="00A34861"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4153"/>
    <w:multiLevelType w:val="multilevel"/>
    <w:tmpl w:val="C0667FAE"/>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C27CC"/>
    <w:rsid w:val="000C59B8"/>
    <w:rsid w:val="000C6AF0"/>
    <w:rsid w:val="000D0A77"/>
    <w:rsid w:val="000F7993"/>
    <w:rsid w:val="00104F33"/>
    <w:rsid w:val="00107803"/>
    <w:rsid w:val="00111DE2"/>
    <w:rsid w:val="00116B38"/>
    <w:rsid w:val="00122679"/>
    <w:rsid w:val="00135406"/>
    <w:rsid w:val="00135972"/>
    <w:rsid w:val="001426A9"/>
    <w:rsid w:val="00154D7C"/>
    <w:rsid w:val="001570B0"/>
    <w:rsid w:val="0015752C"/>
    <w:rsid w:val="00157737"/>
    <w:rsid w:val="00165277"/>
    <w:rsid w:val="00170592"/>
    <w:rsid w:val="001720F7"/>
    <w:rsid w:val="00181B6B"/>
    <w:rsid w:val="00195D83"/>
    <w:rsid w:val="001A00C1"/>
    <w:rsid w:val="001B33E0"/>
    <w:rsid w:val="001B4573"/>
    <w:rsid w:val="001C779F"/>
    <w:rsid w:val="001D28D7"/>
    <w:rsid w:val="001D2AC1"/>
    <w:rsid w:val="001D4E88"/>
    <w:rsid w:val="00214956"/>
    <w:rsid w:val="00220FC2"/>
    <w:rsid w:val="002222F4"/>
    <w:rsid w:val="00224FC0"/>
    <w:rsid w:val="00225EA4"/>
    <w:rsid w:val="00226EAF"/>
    <w:rsid w:val="00231F3A"/>
    <w:rsid w:val="002406EE"/>
    <w:rsid w:val="00243EC8"/>
    <w:rsid w:val="00264C45"/>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431F1"/>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A6079"/>
    <w:rsid w:val="005E4698"/>
    <w:rsid w:val="005F2B3F"/>
    <w:rsid w:val="00603924"/>
    <w:rsid w:val="00610539"/>
    <w:rsid w:val="00613969"/>
    <w:rsid w:val="00625C35"/>
    <w:rsid w:val="006453CE"/>
    <w:rsid w:val="00647E49"/>
    <w:rsid w:val="00656313"/>
    <w:rsid w:val="006565F4"/>
    <w:rsid w:val="00684EEA"/>
    <w:rsid w:val="0069689B"/>
    <w:rsid w:val="006A68DC"/>
    <w:rsid w:val="006A7AB3"/>
    <w:rsid w:val="006B5FF5"/>
    <w:rsid w:val="006F30AF"/>
    <w:rsid w:val="00701759"/>
    <w:rsid w:val="00705C15"/>
    <w:rsid w:val="007110F6"/>
    <w:rsid w:val="007208D1"/>
    <w:rsid w:val="00743475"/>
    <w:rsid w:val="00744518"/>
    <w:rsid w:val="00747288"/>
    <w:rsid w:val="00747DD3"/>
    <w:rsid w:val="007549C8"/>
    <w:rsid w:val="00766D14"/>
    <w:rsid w:val="00767A0F"/>
    <w:rsid w:val="00770E27"/>
    <w:rsid w:val="00791272"/>
    <w:rsid w:val="007A05F6"/>
    <w:rsid w:val="007B6F4A"/>
    <w:rsid w:val="007E1C47"/>
    <w:rsid w:val="007E337A"/>
    <w:rsid w:val="007E5C70"/>
    <w:rsid w:val="007F2FF5"/>
    <w:rsid w:val="007F3F08"/>
    <w:rsid w:val="00804CC6"/>
    <w:rsid w:val="00817190"/>
    <w:rsid w:val="008260E2"/>
    <w:rsid w:val="008322BD"/>
    <w:rsid w:val="00834F73"/>
    <w:rsid w:val="00837FC4"/>
    <w:rsid w:val="00864C8A"/>
    <w:rsid w:val="00864CF8"/>
    <w:rsid w:val="00874914"/>
    <w:rsid w:val="00891422"/>
    <w:rsid w:val="00892E1A"/>
    <w:rsid w:val="008B660A"/>
    <w:rsid w:val="008C01DA"/>
    <w:rsid w:val="008E29EF"/>
    <w:rsid w:val="008F2674"/>
    <w:rsid w:val="008F78E9"/>
    <w:rsid w:val="009179F9"/>
    <w:rsid w:val="00917C7A"/>
    <w:rsid w:val="00932D88"/>
    <w:rsid w:val="00933E5E"/>
    <w:rsid w:val="00935218"/>
    <w:rsid w:val="00937C52"/>
    <w:rsid w:val="009403F3"/>
    <w:rsid w:val="009555B7"/>
    <w:rsid w:val="009567AA"/>
    <w:rsid w:val="009602C9"/>
    <w:rsid w:val="00967374"/>
    <w:rsid w:val="009704A5"/>
    <w:rsid w:val="009A1BB7"/>
    <w:rsid w:val="009A343A"/>
    <w:rsid w:val="009B2F23"/>
    <w:rsid w:val="009B57B3"/>
    <w:rsid w:val="009D2920"/>
    <w:rsid w:val="009D5AEB"/>
    <w:rsid w:val="009E3CFC"/>
    <w:rsid w:val="009F0E33"/>
    <w:rsid w:val="00A149DF"/>
    <w:rsid w:val="00A1755C"/>
    <w:rsid w:val="00A21B90"/>
    <w:rsid w:val="00A22AAC"/>
    <w:rsid w:val="00A242C1"/>
    <w:rsid w:val="00A34861"/>
    <w:rsid w:val="00A41805"/>
    <w:rsid w:val="00A51882"/>
    <w:rsid w:val="00A52AFB"/>
    <w:rsid w:val="00A548CB"/>
    <w:rsid w:val="00A5521C"/>
    <w:rsid w:val="00A643E7"/>
    <w:rsid w:val="00A73C38"/>
    <w:rsid w:val="00A921A7"/>
    <w:rsid w:val="00AB670D"/>
    <w:rsid w:val="00AC6A18"/>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F33E5"/>
    <w:rsid w:val="00BF6FE9"/>
    <w:rsid w:val="00C02092"/>
    <w:rsid w:val="00C24D91"/>
    <w:rsid w:val="00C26DB2"/>
    <w:rsid w:val="00C4185A"/>
    <w:rsid w:val="00C53F14"/>
    <w:rsid w:val="00C600CF"/>
    <w:rsid w:val="00C6084F"/>
    <w:rsid w:val="00C60897"/>
    <w:rsid w:val="00C62A66"/>
    <w:rsid w:val="00C66359"/>
    <w:rsid w:val="00C71458"/>
    <w:rsid w:val="00C77613"/>
    <w:rsid w:val="00C828E7"/>
    <w:rsid w:val="00C86719"/>
    <w:rsid w:val="00C921DD"/>
    <w:rsid w:val="00CA6391"/>
    <w:rsid w:val="00CC4B39"/>
    <w:rsid w:val="00CE036E"/>
    <w:rsid w:val="00CE3171"/>
    <w:rsid w:val="00CF1601"/>
    <w:rsid w:val="00D0172F"/>
    <w:rsid w:val="00D01E33"/>
    <w:rsid w:val="00D059DC"/>
    <w:rsid w:val="00D068A7"/>
    <w:rsid w:val="00D12402"/>
    <w:rsid w:val="00D17476"/>
    <w:rsid w:val="00D17B0E"/>
    <w:rsid w:val="00D32086"/>
    <w:rsid w:val="00D37A3F"/>
    <w:rsid w:val="00D4431D"/>
    <w:rsid w:val="00D4667A"/>
    <w:rsid w:val="00D47C6D"/>
    <w:rsid w:val="00D63A1C"/>
    <w:rsid w:val="00D7516F"/>
    <w:rsid w:val="00D95F8E"/>
    <w:rsid w:val="00DA0590"/>
    <w:rsid w:val="00DA2667"/>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C230F"/>
    <w:rsid w:val="00EC503E"/>
    <w:rsid w:val="00EE0830"/>
    <w:rsid w:val="00EE6CB8"/>
    <w:rsid w:val="00EF0683"/>
    <w:rsid w:val="00EF63C4"/>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06D6"/>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0C27CC"/>
    <w:pPr>
      <w:numPr>
        <w:numId w:val="1"/>
      </w:numPr>
      <w:tabs>
        <w:tab w:val="left" w:pos="1166"/>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DA266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A2667"/>
    <w:rPr>
      <w:rFonts w:ascii="Times New Roman" w:hAnsi="Times New Roman"/>
      <w:sz w:val="24"/>
      <w:szCs w:val="24"/>
      <w:lang w:val="fr-CA"/>
    </w:rPr>
  </w:style>
  <w:style w:type="paragraph" w:customStyle="1" w:styleId="SCCLsocPrefix">
    <w:name w:val="SCC.Lsoc.Prefix"/>
    <w:basedOn w:val="Normal"/>
    <w:next w:val="Normal"/>
    <w:link w:val="SCCLsocPrefixChar"/>
    <w:rsid w:val="00DA266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A2667"/>
    <w:rPr>
      <w:rFonts w:eastAsiaTheme="minorHAnsi" w:cstheme="minorBidi"/>
      <w:b/>
      <w:smallCaps/>
      <w:sz w:val="24"/>
      <w:szCs w:val="24"/>
      <w:lang w:val="fr-CA" w:eastAsia="en-US"/>
    </w:rPr>
  </w:style>
  <w:style w:type="paragraph" w:styleId="ListParagraph">
    <w:name w:val="List Paragraph"/>
    <w:basedOn w:val="Normal"/>
    <w:uiPriority w:val="34"/>
    <w:qFormat/>
    <w:rsid w:val="00DA2667"/>
    <w:pPr>
      <w:ind w:left="720"/>
      <w:contextualSpacing/>
    </w:pPr>
    <w:rPr>
      <w:rFonts w:eastAsiaTheme="minorHAnsi" w:cstheme="minorBidi"/>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2019-02-21T19:53:00Z</dcterms:created>
  <dcterms:modified xsi:type="dcterms:W3CDTF">2022-01-07T13:29:00Z</dcterms:modified>
</cp:coreProperties>
</file>