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FA" w:rsidRDefault="000139FA" w:rsidP="000139F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4pt" o:ole="">
            <v:imagedata r:id="rId7" o:title=""/>
          </v:shape>
          <o:OLEObject Type="Embed" ProgID="Presentations.Drawing.13" ShapeID="_x0000_i1025" DrawAspect="Content" ObjectID="_1644737258" r:id="rId8"/>
        </w:object>
      </w:r>
      <w:r>
        <w:t xml:space="preserve"> </w:t>
      </w:r>
      <w:r>
        <w:ptab w:relativeTo="margin" w:alignment="right" w:leader="none"/>
      </w:r>
    </w:p>
    <w:p w:rsidR="000139FA" w:rsidRDefault="000139FA" w:rsidP="000139FA">
      <w:pPr>
        <w:pStyle w:val="Header"/>
      </w:pPr>
    </w:p>
    <w:p w:rsidR="000139FA" w:rsidRPr="001E12E2" w:rsidRDefault="000139FA" w:rsidP="000139FA">
      <w:pPr>
        <w:jc w:val="center"/>
        <w:rPr>
          <w:b/>
        </w:rPr>
      </w:pPr>
      <w:r w:rsidRPr="001E12E2">
        <w:rPr>
          <w:b/>
        </w:rPr>
        <w:t>COUR SUPRÊME DU CANADA</w:t>
      </w:r>
    </w:p>
    <w:p w:rsidR="000139FA" w:rsidRDefault="000139FA" w:rsidP="000139F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50"/>
        <w:gridCol w:w="3726"/>
      </w:tblGrid>
      <w:tr w:rsidR="000139FA" w:rsidRPr="001E12E2" w:rsidTr="000533BD">
        <w:trPr>
          <w:cantSplit/>
        </w:trPr>
        <w:tc>
          <w:tcPr>
            <w:tcW w:w="5850" w:type="dxa"/>
          </w:tcPr>
          <w:p w:rsidR="000139FA" w:rsidRPr="000139FA" w:rsidRDefault="000139FA" w:rsidP="000533BD">
            <w:pPr>
              <w:rPr>
                <w:lang w:val="fr-CA"/>
              </w:rPr>
            </w:pPr>
            <w:r w:rsidRPr="000139FA">
              <w:rPr>
                <w:b/>
                <w:smallCaps/>
                <w:lang w:val="fr-CA"/>
              </w:rPr>
              <w:t>Référence :</w:t>
            </w:r>
            <w:r w:rsidRPr="000139FA">
              <w:rPr>
                <w:lang w:val="fr-CA"/>
              </w:rPr>
              <w:t xml:space="preserve"> Salomon </w:t>
            </w:r>
            <w:r w:rsidRPr="000139FA">
              <w:rPr>
                <w:i/>
                <w:lang w:val="fr-CA"/>
              </w:rPr>
              <w:t xml:space="preserve">c. </w:t>
            </w:r>
            <w:r w:rsidRPr="000139FA">
              <w:rPr>
                <w:lang w:val="fr-CA"/>
              </w:rPr>
              <w:t xml:space="preserve">Matte-Thompson, </w:t>
            </w:r>
          </w:p>
          <w:p w:rsidR="000139FA" w:rsidRPr="006920C1" w:rsidRDefault="000139FA" w:rsidP="000533BD">
            <w:r>
              <w:t>2019 CSC 14</w:t>
            </w:r>
            <w:r>
              <w:t>,</w:t>
            </w:r>
            <w:r>
              <w:rPr>
                <w:lang w:val="fr-CA"/>
              </w:rPr>
              <w:t xml:space="preserve"> </w:t>
            </w:r>
            <w:bookmarkStart w:id="0" w:name="_GoBack"/>
            <w:bookmarkEnd w:id="0"/>
            <w:r>
              <w:rPr>
                <w:lang w:val="fr-CA"/>
              </w:rPr>
              <w:t>[2019] 1 R.C.S. 729</w:t>
            </w:r>
          </w:p>
        </w:tc>
        <w:tc>
          <w:tcPr>
            <w:tcW w:w="3726" w:type="dxa"/>
          </w:tcPr>
          <w:p w:rsidR="000139FA" w:rsidRPr="000139FA" w:rsidRDefault="000139FA" w:rsidP="000533BD">
            <w:pPr>
              <w:rPr>
                <w:lang w:val="fr-CA"/>
              </w:rPr>
            </w:pPr>
            <w:r w:rsidRPr="000139FA">
              <w:rPr>
                <w:b/>
                <w:smallCaps/>
                <w:lang w:val="fr-CA"/>
              </w:rPr>
              <w:t>Appel entendu :</w:t>
            </w:r>
            <w:r w:rsidRPr="000139FA">
              <w:rPr>
                <w:lang w:val="fr-CA"/>
              </w:rPr>
              <w:t xml:space="preserve"> 19 mars 2018</w:t>
            </w:r>
          </w:p>
          <w:p w:rsidR="000139FA" w:rsidRPr="000139FA" w:rsidRDefault="000139FA" w:rsidP="000533BD">
            <w:pPr>
              <w:rPr>
                <w:lang w:val="fr-CA"/>
              </w:rPr>
            </w:pPr>
            <w:r w:rsidRPr="000139FA">
              <w:rPr>
                <w:b/>
                <w:smallCaps/>
                <w:lang w:val="fr-CA"/>
              </w:rPr>
              <w:t>Jugement rendu :</w:t>
            </w:r>
            <w:r w:rsidRPr="000139FA">
              <w:rPr>
                <w:lang w:val="fr-CA"/>
              </w:rPr>
              <w:t xml:space="preserve"> 28 février 2019</w:t>
            </w:r>
          </w:p>
          <w:p w:rsidR="000139FA" w:rsidRPr="001E12E2" w:rsidRDefault="000139FA" w:rsidP="000533BD">
            <w:r w:rsidRPr="001E12E2">
              <w:rPr>
                <w:b/>
                <w:smallCaps/>
              </w:rPr>
              <w:t>Do</w:t>
            </w:r>
            <w:r>
              <w:rPr>
                <w:b/>
                <w:smallCaps/>
              </w:rPr>
              <w:t>ssier :</w:t>
            </w:r>
            <w:r w:rsidRPr="001E12E2">
              <w:t xml:space="preserve"> </w:t>
            </w:r>
            <w:r>
              <w:t>37537</w:t>
            </w:r>
          </w:p>
        </w:tc>
      </w:tr>
    </w:tbl>
    <w:p w:rsidR="000139FA" w:rsidRPr="001E12E2" w:rsidRDefault="000139FA" w:rsidP="000139FA"/>
    <w:p w:rsidR="000139FA" w:rsidRDefault="000139FA" w:rsidP="000139FA">
      <w:pPr>
        <w:pStyle w:val="SCCLsocPrefix"/>
      </w:pPr>
      <w:r>
        <w:t>Entre :</w:t>
      </w:r>
    </w:p>
    <w:p w:rsidR="000139FA" w:rsidRPr="000139FA" w:rsidRDefault="000139FA" w:rsidP="000139FA">
      <w:pPr>
        <w:rPr>
          <w:lang w:val="fr-CA" w:eastAsia="en-US"/>
        </w:rPr>
      </w:pPr>
    </w:p>
    <w:p w:rsidR="000139FA" w:rsidRPr="006920C1" w:rsidRDefault="000139FA" w:rsidP="000139FA">
      <w:pPr>
        <w:pStyle w:val="SCCLsocParty"/>
        <w:jc w:val="center"/>
      </w:pPr>
      <w:r w:rsidRPr="006920C1">
        <w:t>Kenneth F. Salomon</w:t>
      </w:r>
      <w:r>
        <w:t xml:space="preserve"> et</w:t>
      </w:r>
      <w:r w:rsidRPr="006920C1">
        <w:t xml:space="preserve"> </w:t>
      </w:r>
      <w:r>
        <w:t>Sternthal Katznelson Montigny, s.e.n.c.r.l</w:t>
      </w:r>
      <w:r w:rsidRPr="006920C1">
        <w:t>.</w:t>
      </w:r>
    </w:p>
    <w:p w:rsidR="000139FA" w:rsidRDefault="000139FA" w:rsidP="000139FA">
      <w:pPr>
        <w:jc w:val="center"/>
      </w:pPr>
      <w:r>
        <w:t>Appelant</w:t>
      </w:r>
      <w:r w:rsidRPr="006920C1">
        <w:t>s</w:t>
      </w:r>
    </w:p>
    <w:p w:rsidR="000139FA" w:rsidRPr="006920C1" w:rsidRDefault="000139FA" w:rsidP="000139FA">
      <w:pPr>
        <w:jc w:val="center"/>
      </w:pPr>
    </w:p>
    <w:p w:rsidR="000139FA" w:rsidRPr="000139FA" w:rsidRDefault="000139FA" w:rsidP="000139FA">
      <w:pPr>
        <w:pStyle w:val="SCCLsocVersus"/>
        <w:spacing w:after="0"/>
        <w:jc w:val="center"/>
        <w:rPr>
          <w:i w:val="0"/>
        </w:rPr>
      </w:pPr>
      <w:r w:rsidRPr="000139FA">
        <w:rPr>
          <w:i w:val="0"/>
        </w:rPr>
        <w:t>et</w:t>
      </w:r>
    </w:p>
    <w:p w:rsidR="000139FA" w:rsidRPr="006920C1" w:rsidRDefault="000139FA" w:rsidP="000139FA">
      <w:pPr>
        <w:jc w:val="center"/>
      </w:pPr>
    </w:p>
    <w:p w:rsidR="000139FA" w:rsidRPr="000139FA" w:rsidRDefault="000139FA" w:rsidP="000139FA">
      <w:pPr>
        <w:pStyle w:val="SCCLsocParty"/>
        <w:jc w:val="center"/>
        <w:rPr>
          <w:lang w:val="fr-CA"/>
        </w:rPr>
      </w:pPr>
      <w:r w:rsidRPr="000139FA">
        <w:rPr>
          <w:lang w:val="fr-CA"/>
        </w:rPr>
        <w:t>Judith Matte-Thompson et 166376 Canada Inc.</w:t>
      </w:r>
    </w:p>
    <w:p w:rsidR="000139FA" w:rsidRPr="000139FA" w:rsidRDefault="000139FA" w:rsidP="000139FA">
      <w:pPr>
        <w:jc w:val="center"/>
        <w:rPr>
          <w:lang w:val="fr-CA"/>
        </w:rPr>
      </w:pPr>
      <w:r w:rsidRPr="000139FA">
        <w:rPr>
          <w:lang w:val="fr-CA"/>
        </w:rPr>
        <w:t>Intimées</w:t>
      </w:r>
    </w:p>
    <w:p w:rsidR="000139FA" w:rsidRPr="000139FA" w:rsidRDefault="000139FA" w:rsidP="000139FA">
      <w:pPr>
        <w:jc w:val="center"/>
        <w:rPr>
          <w:lang w:val="fr-CA"/>
        </w:rPr>
      </w:pPr>
    </w:p>
    <w:p w:rsidR="000139FA" w:rsidRPr="000139FA" w:rsidRDefault="000139FA" w:rsidP="000139FA">
      <w:pPr>
        <w:rPr>
          <w:lang w:val="fr-CA"/>
        </w:rPr>
      </w:pPr>
    </w:p>
    <w:p w:rsidR="000139FA" w:rsidRPr="000139FA" w:rsidRDefault="000139FA" w:rsidP="000139FA">
      <w:pPr>
        <w:jc w:val="center"/>
        <w:rPr>
          <w:b/>
          <w:smallCaps/>
          <w:lang w:val="fr-CA"/>
        </w:rPr>
      </w:pPr>
      <w:r w:rsidRPr="000139FA">
        <w:rPr>
          <w:b/>
          <w:smallCaps/>
          <w:lang w:val="fr-CA"/>
        </w:rPr>
        <w:t>Traduction française officielle</w:t>
      </w:r>
    </w:p>
    <w:p w:rsidR="000139FA" w:rsidRPr="000139FA" w:rsidRDefault="000139FA" w:rsidP="000139FA">
      <w:pPr>
        <w:rPr>
          <w:lang w:val="fr-CA"/>
        </w:rPr>
      </w:pPr>
    </w:p>
    <w:p w:rsidR="000139FA" w:rsidRPr="000139FA" w:rsidRDefault="000139FA" w:rsidP="000139FA">
      <w:pPr>
        <w:rPr>
          <w:lang w:val="fr-CA"/>
        </w:rPr>
      </w:pPr>
      <w:r w:rsidRPr="000139FA">
        <w:rPr>
          <w:b/>
          <w:smallCaps/>
          <w:lang w:val="fr-CA"/>
        </w:rPr>
        <w:t>Coram :</w:t>
      </w:r>
      <w:r w:rsidRPr="000139FA">
        <w:rPr>
          <w:lang w:val="fr-CA"/>
        </w:rPr>
        <w:t xml:space="preserve"> Le juge en chef Wagner et les juges Abella, Moldaver, Karakatsanis, Gascon, Côté, Brown, Rowe et Martin</w:t>
      </w:r>
    </w:p>
    <w:p w:rsidR="000139FA" w:rsidRPr="000139FA" w:rsidRDefault="000139FA" w:rsidP="000139FA">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139FA" w:rsidRPr="000139FA" w:rsidTr="000533BD">
        <w:trPr>
          <w:cantSplit/>
        </w:trPr>
        <w:tc>
          <w:tcPr>
            <w:tcW w:w="3618" w:type="dxa"/>
          </w:tcPr>
          <w:p w:rsidR="000139FA" w:rsidRPr="000139FA" w:rsidRDefault="000139FA" w:rsidP="000533BD">
            <w:pPr>
              <w:rPr>
                <w:b/>
                <w:smallCaps/>
                <w:lang w:val="fr-CA"/>
              </w:rPr>
            </w:pPr>
            <w:r w:rsidRPr="000139FA">
              <w:rPr>
                <w:b/>
                <w:smallCaps/>
                <w:lang w:val="fr-CA"/>
              </w:rPr>
              <w:t>Motifs de jugement :</w:t>
            </w:r>
          </w:p>
          <w:p w:rsidR="000139FA" w:rsidRPr="000139FA" w:rsidRDefault="000139FA" w:rsidP="000533BD">
            <w:pPr>
              <w:rPr>
                <w:lang w:val="fr-CA"/>
              </w:rPr>
            </w:pPr>
            <w:r w:rsidRPr="000139FA">
              <w:rPr>
                <w:lang w:val="fr-CA"/>
              </w:rPr>
              <w:t>(par. 1 à 97)</w:t>
            </w:r>
          </w:p>
        </w:tc>
        <w:tc>
          <w:tcPr>
            <w:tcW w:w="5958" w:type="dxa"/>
          </w:tcPr>
          <w:p w:rsidR="000139FA" w:rsidRPr="000139FA" w:rsidRDefault="000139FA" w:rsidP="000533BD">
            <w:pPr>
              <w:rPr>
                <w:lang w:val="fr-CA"/>
              </w:rPr>
            </w:pPr>
            <w:r w:rsidRPr="000139FA">
              <w:rPr>
                <w:lang w:val="fr-CA"/>
              </w:rPr>
              <w:t>Le juge Gascon (avec l’accord du juge en chef Wagner et des juges Abella, Moldaver, Karakatsanis, Brown, Rowe et Martin)</w:t>
            </w:r>
          </w:p>
          <w:p w:rsidR="000139FA" w:rsidRPr="000139FA" w:rsidRDefault="000139FA" w:rsidP="000533BD">
            <w:pPr>
              <w:rPr>
                <w:lang w:val="fr-CA"/>
              </w:rPr>
            </w:pPr>
          </w:p>
        </w:tc>
      </w:tr>
      <w:tr w:rsidR="000139FA" w:rsidRPr="001E12E2" w:rsidTr="000533BD">
        <w:trPr>
          <w:cantSplit/>
        </w:trPr>
        <w:tc>
          <w:tcPr>
            <w:tcW w:w="3618" w:type="dxa"/>
          </w:tcPr>
          <w:p w:rsidR="000139FA" w:rsidRPr="00E353B4" w:rsidRDefault="000139FA" w:rsidP="000533BD">
            <w:pPr>
              <w:rPr>
                <w:b/>
                <w:smallCaps/>
              </w:rPr>
            </w:pPr>
            <w:r w:rsidRPr="00E353B4">
              <w:rPr>
                <w:b/>
                <w:smallCaps/>
              </w:rPr>
              <w:t>Motifs dissidents :</w:t>
            </w:r>
          </w:p>
          <w:p w:rsidR="000139FA" w:rsidRPr="00E353B4" w:rsidRDefault="000139FA" w:rsidP="000533BD">
            <w:r w:rsidRPr="00E353B4">
              <w:t>(par. 98 à 215)</w:t>
            </w:r>
          </w:p>
        </w:tc>
        <w:tc>
          <w:tcPr>
            <w:tcW w:w="5958" w:type="dxa"/>
          </w:tcPr>
          <w:p w:rsidR="000139FA" w:rsidRPr="001E12E2" w:rsidRDefault="000139FA" w:rsidP="000533BD">
            <w:r>
              <w:t>La juge Côté</w:t>
            </w:r>
          </w:p>
        </w:tc>
      </w:tr>
    </w:tbl>
    <w:p w:rsidR="000139FA" w:rsidRDefault="000139FA" w:rsidP="000139FA"/>
    <w:p w:rsidR="000139FA" w:rsidRPr="000139FA" w:rsidRDefault="000139FA" w:rsidP="000139FA">
      <w:pPr>
        <w:rPr>
          <w:lang w:val="fr-CA"/>
        </w:rPr>
      </w:pPr>
      <w:r>
        <w:rPr>
          <w:noProof/>
          <w:lang w:val="en-US"/>
        </w:rPr>
        <mc:AlternateContent>
          <mc:Choice Requires="wps">
            <w:drawing>
              <wp:anchor distT="0" distB="0" distL="114300" distR="114300" simplePos="0" relativeHeight="251659264" behindDoc="0" locked="0" layoutInCell="1" allowOverlap="1" wp14:anchorId="331BDC92" wp14:editId="4EE988F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F026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0139FA" w:rsidRDefault="000139FA" w:rsidP="0041746D">
      <w:pPr>
        <w:spacing w:after="720"/>
        <w:jc w:val="both"/>
        <w:rPr>
          <w:rStyle w:val="SCCAppellantForRunningHeadChar"/>
          <w:smallCaps w:val="0"/>
          <w:lang w:val="fr-CA"/>
        </w:rPr>
      </w:pPr>
    </w:p>
    <w:p w:rsidR="0041746D" w:rsidRPr="003E2652" w:rsidRDefault="003E2652" w:rsidP="0041746D">
      <w:pPr>
        <w:spacing w:after="720"/>
        <w:jc w:val="both"/>
        <w:rPr>
          <w:smallCaps/>
          <w:lang w:val="fr-CA"/>
        </w:rPr>
      </w:pPr>
      <w:r>
        <w:rPr>
          <w:rStyle w:val="SCCAppellantForRunningHeadChar"/>
          <w:smallCaps w:val="0"/>
          <w:lang w:val="fr-CA"/>
        </w:rPr>
        <w:t>S</w:t>
      </w:r>
      <w:r w:rsidR="0041746D" w:rsidRPr="003E2652">
        <w:rPr>
          <w:rStyle w:val="SCCAppellantForRunningHeadChar"/>
          <w:smallCaps w:val="0"/>
          <w:lang w:val="fr-CA"/>
        </w:rPr>
        <w:t xml:space="preserve">alomon </w:t>
      </w:r>
      <w:r w:rsidR="0041746D" w:rsidRPr="003E2652">
        <w:rPr>
          <w:i/>
          <w:lang w:val="fr-CA"/>
        </w:rPr>
        <w:t>c.</w:t>
      </w:r>
      <w:r w:rsidR="0041746D" w:rsidRPr="003E2652">
        <w:rPr>
          <w:smallCaps/>
          <w:lang w:val="fr-CA"/>
        </w:rPr>
        <w:t xml:space="preserve"> </w:t>
      </w:r>
      <w:r>
        <w:rPr>
          <w:rStyle w:val="SCCRespondentForRunningHeadChar"/>
          <w:smallCaps w:val="0"/>
          <w:lang w:val="fr-CA"/>
        </w:rPr>
        <w:t>M</w:t>
      </w:r>
      <w:r w:rsidR="0041746D" w:rsidRPr="003E2652">
        <w:rPr>
          <w:rStyle w:val="SCCRespondentForRunningHeadChar"/>
          <w:smallCaps w:val="0"/>
          <w:lang w:val="fr-CA"/>
        </w:rPr>
        <w:t>atte</w:t>
      </w:r>
      <w:r w:rsidR="0041746D" w:rsidRPr="003E2652">
        <w:rPr>
          <w:rStyle w:val="SCCRespondentForRunningHeadChar"/>
          <w:smallCaps w:val="0"/>
          <w:lang w:val="fr-CA"/>
        </w:rPr>
        <w:noBreakHyphen/>
      </w:r>
      <w:r>
        <w:rPr>
          <w:rStyle w:val="SCCRespondentForRunningHeadChar"/>
          <w:smallCaps w:val="0"/>
          <w:lang w:val="fr-CA"/>
        </w:rPr>
        <w:t>T</w:t>
      </w:r>
      <w:r w:rsidR="0041746D" w:rsidRPr="003E2652">
        <w:rPr>
          <w:rStyle w:val="SCCRespondentForRunningHeadChar"/>
          <w:smallCaps w:val="0"/>
          <w:lang w:val="fr-CA"/>
        </w:rPr>
        <w:t>hompson</w:t>
      </w:r>
      <w:r>
        <w:rPr>
          <w:rStyle w:val="SCCRespondentForRunningHeadChar"/>
          <w:smallCaps w:val="0"/>
          <w:lang w:val="fr-CA"/>
        </w:rPr>
        <w:t xml:space="preserve">, </w:t>
      </w:r>
      <w:r w:rsidRPr="000E25BD">
        <w:rPr>
          <w:lang w:val="fr-CA"/>
        </w:rPr>
        <w:t>2019 CSC 14</w:t>
      </w:r>
      <w:r>
        <w:rPr>
          <w:lang w:val="fr-CA"/>
        </w:rPr>
        <w:t>, [2019] 1 R.C.S. 729</w:t>
      </w:r>
      <w:r w:rsidR="0041746D" w:rsidRPr="003E2652">
        <w:rPr>
          <w:rStyle w:val="SCCRespondentForRunningHeadChar"/>
          <w:smallCaps w:val="0"/>
          <w:lang w:val="fr-CA"/>
        </w:rPr>
        <w:t xml:space="preserve"> </w:t>
      </w:r>
    </w:p>
    <w:p w:rsidR="0041746D" w:rsidRPr="000E25BD" w:rsidRDefault="0041746D" w:rsidP="0041746D">
      <w:pPr>
        <w:pStyle w:val="SCCLsocParty"/>
        <w:rPr>
          <w:lang w:val="fr-CA"/>
        </w:rPr>
      </w:pPr>
      <w:r w:rsidRPr="000E25BD">
        <w:rPr>
          <w:lang w:val="fr-CA"/>
        </w:rPr>
        <w:t>Kenneth F. Salomon et</w:t>
      </w:r>
    </w:p>
    <w:p w:rsidR="0041746D" w:rsidRPr="000E25BD" w:rsidRDefault="0041746D" w:rsidP="0041746D">
      <w:pPr>
        <w:pStyle w:val="SCCLsocLastPartyInRole"/>
        <w:rPr>
          <w:rStyle w:val="SCCLsocPartyRole"/>
          <w:b/>
          <w:i w:val="0"/>
          <w:lang w:val="fr-CA"/>
        </w:rPr>
      </w:pPr>
      <w:r w:rsidRPr="000E25BD">
        <w:rPr>
          <w:lang w:val="fr-CA"/>
        </w:rPr>
        <w:t>Sternthal Katznelson Montigny, s.e.n.c.r.l.</w:t>
      </w:r>
      <w:r w:rsidRPr="000E25BD">
        <w:rPr>
          <w:rStyle w:val="SCCLsocPartyRole"/>
          <w:lang w:val="fr-CA"/>
        </w:rPr>
        <w:tab/>
        <w:t>Appelants</w:t>
      </w:r>
    </w:p>
    <w:p w:rsidR="0041746D" w:rsidRPr="000E25BD" w:rsidRDefault="0041746D" w:rsidP="0041746D">
      <w:pPr>
        <w:pStyle w:val="SCCLsocVersus"/>
        <w:rPr>
          <w:lang w:val="fr-CA"/>
        </w:rPr>
      </w:pPr>
      <w:r w:rsidRPr="000E25BD">
        <w:rPr>
          <w:lang w:val="fr-CA"/>
        </w:rPr>
        <w:t>c.</w:t>
      </w:r>
    </w:p>
    <w:p w:rsidR="0041746D" w:rsidRPr="000E25BD" w:rsidRDefault="0041746D" w:rsidP="0041746D">
      <w:pPr>
        <w:pStyle w:val="SCCLsocParty"/>
        <w:rPr>
          <w:lang w:val="fr-CA"/>
        </w:rPr>
      </w:pPr>
      <w:r w:rsidRPr="000E25BD">
        <w:rPr>
          <w:lang w:val="fr-CA"/>
        </w:rPr>
        <w:lastRenderedPageBreak/>
        <w:t>Judith Matte</w:t>
      </w:r>
      <w:r>
        <w:rPr>
          <w:lang w:val="fr-CA"/>
        </w:rPr>
        <w:noBreakHyphen/>
      </w:r>
      <w:r w:rsidRPr="000E25BD">
        <w:rPr>
          <w:lang w:val="fr-CA"/>
        </w:rPr>
        <w:t>Thompson et</w:t>
      </w:r>
    </w:p>
    <w:p w:rsidR="0041746D" w:rsidRPr="000E25BD" w:rsidRDefault="0041746D" w:rsidP="0041746D">
      <w:pPr>
        <w:pStyle w:val="SCCLsocLastPartyInRole"/>
        <w:rPr>
          <w:lang w:val="fr-CA"/>
        </w:rPr>
      </w:pPr>
      <w:r w:rsidRPr="000E25BD">
        <w:rPr>
          <w:lang w:val="fr-CA"/>
        </w:rPr>
        <w:t>166376 Canada Inc.</w:t>
      </w:r>
      <w:r w:rsidRPr="000E25BD">
        <w:rPr>
          <w:rStyle w:val="SCCLsocPartyRole"/>
          <w:lang w:val="fr-CA"/>
        </w:rPr>
        <w:tab/>
        <w:t>Intimées</w:t>
      </w:r>
    </w:p>
    <w:p w:rsidR="0041746D" w:rsidRPr="000E25BD" w:rsidRDefault="0041746D" w:rsidP="0041746D">
      <w:pPr>
        <w:spacing w:after="720"/>
        <w:jc w:val="both"/>
        <w:rPr>
          <w:b/>
          <w:lang w:val="fr-CA"/>
        </w:rPr>
      </w:pPr>
      <w:r w:rsidRPr="000E25BD">
        <w:rPr>
          <w:b/>
          <w:lang w:val="fr-CA"/>
        </w:rPr>
        <w:t>Répertorié</w:t>
      </w:r>
      <w:r>
        <w:rPr>
          <w:b/>
          <w:lang w:val="fr-CA"/>
        </w:rPr>
        <w:t> :</w:t>
      </w:r>
      <w:r w:rsidRPr="000E25BD">
        <w:rPr>
          <w:b/>
          <w:lang w:val="fr-CA"/>
        </w:rPr>
        <w:t> </w:t>
      </w:r>
      <w:r w:rsidRPr="000E25BD">
        <w:rPr>
          <w:rStyle w:val="SCCAppellantForIndexChar"/>
          <w:lang w:val="fr-CA"/>
        </w:rPr>
        <w:t>Salomon</w:t>
      </w:r>
      <w:r w:rsidRPr="000E25BD">
        <w:rPr>
          <w:b/>
          <w:lang w:val="fr-CA"/>
        </w:rPr>
        <w:t xml:space="preserve"> </w:t>
      </w:r>
      <w:r w:rsidRPr="000E25BD">
        <w:rPr>
          <w:b/>
          <w:i/>
          <w:lang w:val="fr-CA"/>
        </w:rPr>
        <w:t>c.</w:t>
      </w:r>
      <w:r w:rsidRPr="000E25BD">
        <w:rPr>
          <w:b/>
          <w:lang w:val="fr-CA"/>
        </w:rPr>
        <w:t xml:space="preserve"> </w:t>
      </w:r>
      <w:r w:rsidRPr="000E25BD">
        <w:rPr>
          <w:rStyle w:val="SCCRespondentForIndexChar"/>
          <w:lang w:val="fr-CA"/>
        </w:rPr>
        <w:t>Matte</w:t>
      </w:r>
      <w:r>
        <w:rPr>
          <w:rStyle w:val="SCCRespondentForIndexChar"/>
          <w:lang w:val="fr-CA"/>
        </w:rPr>
        <w:noBreakHyphen/>
      </w:r>
      <w:r w:rsidRPr="000E25BD">
        <w:rPr>
          <w:rStyle w:val="SCCRespondentForIndexChar"/>
          <w:lang w:val="fr-CA"/>
        </w:rPr>
        <w:t xml:space="preserve">Thompson </w:t>
      </w:r>
    </w:p>
    <w:p w:rsidR="0041746D" w:rsidRPr="000E25BD" w:rsidRDefault="0041746D" w:rsidP="0041746D">
      <w:pPr>
        <w:pStyle w:val="SCCSystemYear"/>
        <w:spacing w:after="720"/>
        <w:jc w:val="both"/>
        <w:rPr>
          <w:lang w:val="fr-CA"/>
        </w:rPr>
      </w:pPr>
      <w:r w:rsidRPr="000E25BD">
        <w:rPr>
          <w:lang w:val="fr-CA"/>
        </w:rPr>
        <w:t>2019 CSC 14</w:t>
      </w:r>
    </w:p>
    <w:p w:rsidR="0041746D" w:rsidRPr="000E25BD" w:rsidRDefault="0041746D" w:rsidP="0041746D">
      <w:pPr>
        <w:spacing w:after="720"/>
        <w:jc w:val="both"/>
        <w:rPr>
          <w:lang w:val="fr-CA"/>
        </w:rPr>
      </w:pPr>
      <w:r w:rsidRPr="000E25BD">
        <w:rPr>
          <w:lang w:val="fr-CA"/>
        </w:rPr>
        <w:t>N</w:t>
      </w:r>
      <w:r w:rsidRPr="000E25BD">
        <w:rPr>
          <w:vertAlign w:val="superscript"/>
          <w:lang w:val="fr-CA"/>
        </w:rPr>
        <w:t>o</w:t>
      </w:r>
      <w:r w:rsidRPr="000E25BD">
        <w:rPr>
          <w:lang w:val="fr-CA"/>
        </w:rPr>
        <w:t xml:space="preserve"> du greffe</w:t>
      </w:r>
      <w:r>
        <w:rPr>
          <w:lang w:val="fr-CA"/>
        </w:rPr>
        <w:t> :</w:t>
      </w:r>
      <w:r w:rsidRPr="000E25BD">
        <w:rPr>
          <w:lang w:val="fr-CA"/>
        </w:rPr>
        <w:t> 37537.</w:t>
      </w:r>
    </w:p>
    <w:p w:rsidR="0041746D" w:rsidRPr="000E25BD" w:rsidRDefault="0041746D" w:rsidP="0041746D">
      <w:pPr>
        <w:spacing w:after="720"/>
        <w:jc w:val="both"/>
        <w:rPr>
          <w:lang w:val="fr-CA"/>
        </w:rPr>
      </w:pPr>
      <w:r w:rsidRPr="000E25BD">
        <w:rPr>
          <w:lang w:val="fr-CA"/>
        </w:rPr>
        <w:t>2018</w:t>
      </w:r>
      <w:r>
        <w:rPr>
          <w:lang w:val="fr-CA"/>
        </w:rPr>
        <w:t> :</w:t>
      </w:r>
      <w:r w:rsidRPr="000E25BD">
        <w:rPr>
          <w:lang w:val="fr-CA"/>
        </w:rPr>
        <w:t> 19 mars; 2019</w:t>
      </w:r>
      <w:r>
        <w:rPr>
          <w:lang w:val="fr-CA"/>
        </w:rPr>
        <w:t> :</w:t>
      </w:r>
      <w:r w:rsidRPr="000E25BD">
        <w:rPr>
          <w:lang w:val="fr-CA"/>
        </w:rPr>
        <w:t xml:space="preserve"> 28</w:t>
      </w:r>
      <w:r>
        <w:rPr>
          <w:lang w:val="fr-CA"/>
        </w:rPr>
        <w:t> </w:t>
      </w:r>
      <w:r w:rsidRPr="000E25BD">
        <w:rPr>
          <w:lang w:val="fr-CA"/>
        </w:rPr>
        <w:t>février.</w:t>
      </w:r>
    </w:p>
    <w:p w:rsidR="0041746D" w:rsidRPr="000E25BD" w:rsidRDefault="0041746D" w:rsidP="0041746D">
      <w:pPr>
        <w:spacing w:after="720"/>
        <w:jc w:val="both"/>
        <w:rPr>
          <w:lang w:val="fr-CA"/>
        </w:rPr>
      </w:pPr>
      <w:r w:rsidRPr="000E25BD">
        <w:rPr>
          <w:lang w:val="fr-CA"/>
        </w:rPr>
        <w:t>Présents</w:t>
      </w:r>
      <w:r>
        <w:rPr>
          <w:lang w:val="fr-CA"/>
        </w:rPr>
        <w:t> :</w:t>
      </w:r>
      <w:r w:rsidRPr="000E25BD">
        <w:rPr>
          <w:lang w:val="fr-CA"/>
        </w:rPr>
        <w:t> Le juge en chef Wagner et les juges Abella, Moldaver, Karakatsanis, Gascon, Côté, Brown, Rowe et Martin.</w:t>
      </w:r>
    </w:p>
    <w:p w:rsidR="0041746D" w:rsidRPr="000E25BD" w:rsidRDefault="0041746D" w:rsidP="0041746D">
      <w:pPr>
        <w:spacing w:after="720"/>
        <w:jc w:val="both"/>
        <w:rPr>
          <w:lang w:val="fr-CA"/>
        </w:rPr>
      </w:pPr>
      <w:r w:rsidRPr="000E25BD">
        <w:rPr>
          <w:smallCaps/>
          <w:lang w:val="fr-CA"/>
        </w:rPr>
        <w:t>en appel de la cour d</w:t>
      </w:r>
      <w:r>
        <w:rPr>
          <w:smallCaps/>
          <w:lang w:val="fr-CA"/>
        </w:rPr>
        <w:t>’</w:t>
      </w:r>
      <w:r w:rsidRPr="000E25BD">
        <w:rPr>
          <w:smallCaps/>
          <w:lang w:val="fr-CA"/>
        </w:rPr>
        <w:t>appel du québec</w:t>
      </w:r>
      <w:r w:rsidRPr="000E25BD">
        <w:rPr>
          <w:lang w:val="fr-CA"/>
        </w:rPr>
        <w:t xml:space="preserve"> </w:t>
      </w:r>
    </w:p>
    <w:p w:rsidR="0041746D" w:rsidRPr="000E25BD" w:rsidRDefault="0041746D" w:rsidP="0041746D">
      <w:pPr>
        <w:pStyle w:val="SCCNormalDoubleSpacing"/>
        <w:spacing w:after="480"/>
        <w:rPr>
          <w:i/>
          <w:lang w:val="fr-CA"/>
        </w:rPr>
      </w:pPr>
      <w:r w:rsidRPr="000E25BD">
        <w:rPr>
          <w:lang w:val="fr-CA"/>
        </w:rPr>
        <w:tab/>
      </w:r>
      <w:r w:rsidRPr="00984715">
        <w:rPr>
          <w:i/>
          <w:lang w:val="fr-CA"/>
        </w:rPr>
        <w:t xml:space="preserve">Droit des professions — Avocats — Responsabilité professionnelle — Devoir de conseil — Devoir de loyauté — Recommandation par un avocat d’un conseiller financier à des clientes — Investissement par les clientes de millions de dollars auprès de la société de placements du conseiller financier recommandé — Formulation de façon répétée par l’avocat aux clientes de commentaires favorables au sujet du conseiller et d’encouragements à effectuer et à conserver leurs placements </w:t>
      </w:r>
      <w:r>
        <w:rPr>
          <w:i/>
          <w:lang w:val="fr-CA"/>
        </w:rPr>
        <w:t>auprès de celui</w:t>
      </w:r>
      <w:r>
        <w:rPr>
          <w:i/>
          <w:lang w:val="fr-CA"/>
        </w:rPr>
        <w:noBreakHyphen/>
      </w:r>
      <w:r w:rsidRPr="00984715">
        <w:rPr>
          <w:i/>
          <w:lang w:val="fr-CA"/>
        </w:rPr>
        <w:t xml:space="preserve">ci — Placements effectués dans des fonds qui faisaient partie d’un stratagème de type Ponzi — Millions de dollars perdus par suite de la fraude — Prétentions des clientes portant que l’avocat et son cabinet ont fait preuve de négligence professionnelle — Décision de la juge de première instance rejetant l’action — Arrêt de la Cour d’appel accueillant l’appel et ordonnant que les clientes soient </w:t>
      </w:r>
      <w:r w:rsidRPr="00984715">
        <w:rPr>
          <w:i/>
          <w:lang w:val="fr-CA"/>
        </w:rPr>
        <w:lastRenderedPageBreak/>
        <w:t>dédommagées de leurs pertes — La Cour d’appel a</w:t>
      </w:r>
      <w:r>
        <w:rPr>
          <w:i/>
          <w:lang w:val="fr-CA"/>
        </w:rPr>
        <w:noBreakHyphen/>
      </w:r>
      <w:r w:rsidRPr="00984715">
        <w:rPr>
          <w:i/>
          <w:lang w:val="fr-CA"/>
        </w:rPr>
        <w:t>t</w:t>
      </w:r>
      <w:r>
        <w:rPr>
          <w:i/>
          <w:lang w:val="fr-CA"/>
        </w:rPr>
        <w:noBreakHyphen/>
      </w:r>
      <w:r w:rsidRPr="00984715">
        <w:rPr>
          <w:i/>
          <w:lang w:val="fr-CA"/>
        </w:rPr>
        <w:t>elle commis une erreur en recourant à la notion du prisme déformant pour décider si la juge de première instance a commis des erreurs manifestes et déterminantes? — La Cour d’appel a</w:t>
      </w:r>
      <w:r>
        <w:rPr>
          <w:i/>
          <w:lang w:val="fr-CA"/>
        </w:rPr>
        <w:noBreakHyphen/>
      </w:r>
      <w:r w:rsidRPr="00984715">
        <w:rPr>
          <w:i/>
          <w:lang w:val="fr-CA"/>
        </w:rPr>
        <w:t>t</w:t>
      </w:r>
      <w:r>
        <w:rPr>
          <w:i/>
          <w:lang w:val="fr-CA"/>
        </w:rPr>
        <w:noBreakHyphen/>
      </w:r>
      <w:r w:rsidRPr="00984715">
        <w:rPr>
          <w:i/>
          <w:lang w:val="fr-CA"/>
        </w:rPr>
        <w:t>elle élargi la portée des obligations professionnelles des avocats qui aiguillent leurs clients vers des conseillers indépendants? — La Cour d’appel a</w:t>
      </w:r>
      <w:r>
        <w:rPr>
          <w:i/>
          <w:lang w:val="fr-CA"/>
        </w:rPr>
        <w:noBreakHyphen/>
      </w:r>
      <w:r w:rsidRPr="00984715">
        <w:rPr>
          <w:i/>
          <w:lang w:val="fr-CA"/>
        </w:rPr>
        <w:t>t</w:t>
      </w:r>
      <w:r>
        <w:rPr>
          <w:i/>
          <w:lang w:val="fr-CA"/>
        </w:rPr>
        <w:noBreakHyphen/>
      </w:r>
      <w:r w:rsidRPr="00984715">
        <w:rPr>
          <w:i/>
          <w:lang w:val="fr-CA"/>
        </w:rPr>
        <w:t>elle fait erreur en intervenant à l’égard des conclusions de la juge de première instance relativement aux fautes commises par l’avocat et au lien de causalité?</w:t>
      </w:r>
    </w:p>
    <w:p w:rsidR="0041746D" w:rsidRPr="000E25BD" w:rsidRDefault="0041746D" w:rsidP="0041746D">
      <w:pPr>
        <w:pStyle w:val="SCCNormalDoubleSpacing"/>
        <w:spacing w:after="480"/>
        <w:rPr>
          <w:lang w:val="fr-CA"/>
        </w:rPr>
      </w:pPr>
      <w:r w:rsidRPr="000E25BD">
        <w:rPr>
          <w:lang w:val="fr-CA"/>
        </w:rPr>
        <w:tab/>
        <w:t>En 2003, un avocat présente à deux clientes son conseiller financier personnel et ami proche, et leur recommande de le consulter. Au cours des quatre années qui suivent, les clientes finissent par investir plus de 7,5 millions de dollars dans la société de placements du conseiller financier recommandé. Durant ces quatre années, l</w:t>
      </w:r>
      <w:r>
        <w:rPr>
          <w:lang w:val="fr-CA"/>
        </w:rPr>
        <w:t>’</w:t>
      </w:r>
      <w:r w:rsidRPr="000E25BD">
        <w:rPr>
          <w:lang w:val="fr-CA"/>
        </w:rPr>
        <w:t>avocat commente favorablement et de façon répétée les services du conseiller recommandé en tant que conseiller financier, en plus d</w:t>
      </w:r>
      <w:r>
        <w:rPr>
          <w:lang w:val="fr-CA"/>
        </w:rPr>
        <w:t>’</w:t>
      </w:r>
      <w:r w:rsidRPr="000E25BD">
        <w:rPr>
          <w:lang w:val="fr-CA"/>
        </w:rPr>
        <w:t>encourager ses clientes à effectuer et à conserver leurs placements aupr</w:t>
      </w:r>
      <w:r>
        <w:rPr>
          <w:lang w:val="fr-CA"/>
        </w:rPr>
        <w:t xml:space="preserve">ès de la société de placements. </w:t>
      </w:r>
      <w:r w:rsidRPr="000E25BD">
        <w:rPr>
          <w:lang w:val="fr-CA"/>
        </w:rPr>
        <w:t>En 2007, le conseiller recommandé et son associé se volatilisent avec les économies d</w:t>
      </w:r>
      <w:r>
        <w:rPr>
          <w:lang w:val="fr-CA"/>
        </w:rPr>
        <w:t>’</w:t>
      </w:r>
      <w:r w:rsidRPr="000E25BD">
        <w:rPr>
          <w:lang w:val="fr-CA"/>
        </w:rPr>
        <w:t>une centaine d</w:t>
      </w:r>
      <w:r>
        <w:rPr>
          <w:lang w:val="fr-CA"/>
        </w:rPr>
        <w:t>’</w:t>
      </w:r>
      <w:r w:rsidRPr="000E25BD">
        <w:rPr>
          <w:lang w:val="fr-CA"/>
        </w:rPr>
        <w:t>investisseurs, dont celles des clientes de l</w:t>
      </w:r>
      <w:r>
        <w:rPr>
          <w:lang w:val="fr-CA"/>
        </w:rPr>
        <w:t>’</w:t>
      </w:r>
      <w:r w:rsidRPr="000E25BD">
        <w:rPr>
          <w:lang w:val="fr-CA"/>
        </w:rPr>
        <w:t>avocat. Les clientes intentent une action en justice, au motif que l</w:t>
      </w:r>
      <w:r>
        <w:rPr>
          <w:lang w:val="fr-CA"/>
        </w:rPr>
        <w:t>’</w:t>
      </w:r>
      <w:r w:rsidRPr="000E25BD">
        <w:rPr>
          <w:lang w:val="fr-CA"/>
        </w:rPr>
        <w:t>avocat et son cabinet ont fait preuve de négligence professionnelle de deux façons</w:t>
      </w:r>
      <w:r>
        <w:rPr>
          <w:lang w:val="fr-CA"/>
        </w:rPr>
        <w:t> :</w:t>
      </w:r>
      <w:r w:rsidRPr="000E25BD">
        <w:rPr>
          <w:lang w:val="fr-CA"/>
        </w:rPr>
        <w:t xml:space="preserve"> premièrement, en manquant à leur devoir de conseil envers elles, et deuxièmement, en manquant à leur devoir de loyauté envers elles. </w:t>
      </w:r>
    </w:p>
    <w:p w:rsidR="0041746D" w:rsidRPr="000E25BD" w:rsidRDefault="0041746D" w:rsidP="0041746D">
      <w:pPr>
        <w:pStyle w:val="SCCNormalDoubleSpacing"/>
        <w:spacing w:after="480"/>
        <w:rPr>
          <w:lang w:val="fr-CA"/>
        </w:rPr>
      </w:pPr>
      <w:r w:rsidRPr="000E25BD">
        <w:rPr>
          <w:lang w:val="fr-CA"/>
        </w:rPr>
        <w:tab/>
        <w:t>La juge de première instance a rejeté l</w:t>
      </w:r>
      <w:r>
        <w:rPr>
          <w:lang w:val="fr-CA"/>
        </w:rPr>
        <w:t>’</w:t>
      </w:r>
      <w:r w:rsidRPr="000E25BD">
        <w:rPr>
          <w:lang w:val="fr-CA"/>
        </w:rPr>
        <w:t>action. La Cour d</w:t>
      </w:r>
      <w:r>
        <w:rPr>
          <w:lang w:val="fr-CA"/>
        </w:rPr>
        <w:t>’</w:t>
      </w:r>
      <w:r w:rsidRPr="000E25BD">
        <w:rPr>
          <w:lang w:val="fr-CA"/>
        </w:rPr>
        <w:t>appel a statué que la juge de première instance a commis des erreurs donnant ouverture à son intervention et elle a infirmé la décision. À son avis, la juge de première instance a analysé les agissements de l</w:t>
      </w:r>
      <w:r>
        <w:rPr>
          <w:lang w:val="fr-CA"/>
        </w:rPr>
        <w:t>’</w:t>
      </w:r>
      <w:r w:rsidRPr="000E25BD">
        <w:rPr>
          <w:lang w:val="fr-CA"/>
        </w:rPr>
        <w:t>avocat et leurs conséquences à travers un prisme déformant, qui l</w:t>
      </w:r>
      <w:r>
        <w:rPr>
          <w:lang w:val="fr-CA"/>
        </w:rPr>
        <w:t>’</w:t>
      </w:r>
      <w:r w:rsidRPr="000E25BD">
        <w:rPr>
          <w:lang w:val="fr-CA"/>
        </w:rPr>
        <w:t xml:space="preserve">a </w:t>
      </w:r>
      <w:r w:rsidRPr="000E25BD">
        <w:rPr>
          <w:lang w:val="fr-CA"/>
        </w:rPr>
        <w:lastRenderedPageBreak/>
        <w:t>amenée à apprécier erronément la preuve de façon compartimentée, sans l</w:t>
      </w:r>
      <w:r>
        <w:rPr>
          <w:lang w:val="fr-CA"/>
        </w:rPr>
        <w:t>’</w:t>
      </w:r>
      <w:r w:rsidRPr="000E25BD">
        <w:rPr>
          <w:lang w:val="fr-CA"/>
        </w:rPr>
        <w:t>éclairage que lui aurait procuré une vision d</w:t>
      </w:r>
      <w:r>
        <w:rPr>
          <w:lang w:val="fr-CA"/>
        </w:rPr>
        <w:t>’</w:t>
      </w:r>
      <w:r w:rsidRPr="000E25BD">
        <w:rPr>
          <w:lang w:val="fr-CA"/>
        </w:rPr>
        <w:t>ensemble des événements. La Cour d</w:t>
      </w:r>
      <w:r>
        <w:rPr>
          <w:lang w:val="fr-CA"/>
        </w:rPr>
        <w:t>’</w:t>
      </w:r>
      <w:r w:rsidRPr="000E25BD">
        <w:rPr>
          <w:lang w:val="fr-CA"/>
        </w:rPr>
        <w:t>appel a condamné solidairement l</w:t>
      </w:r>
      <w:r>
        <w:rPr>
          <w:lang w:val="fr-CA"/>
        </w:rPr>
        <w:t>’</w:t>
      </w:r>
      <w:r w:rsidRPr="000E25BD">
        <w:rPr>
          <w:lang w:val="fr-CA"/>
        </w:rPr>
        <w:t>avocat et son cabinet à indemniser pleinement les clients des pertes qu</w:t>
      </w:r>
      <w:r>
        <w:rPr>
          <w:lang w:val="fr-CA"/>
        </w:rPr>
        <w:t>’</w:t>
      </w:r>
      <w:r w:rsidRPr="000E25BD">
        <w:rPr>
          <w:lang w:val="fr-CA"/>
        </w:rPr>
        <w:t xml:space="preserve">elles ont subies. </w:t>
      </w:r>
    </w:p>
    <w:p w:rsidR="0041746D" w:rsidRPr="000E25BD" w:rsidRDefault="0041746D" w:rsidP="0041746D">
      <w:pPr>
        <w:pStyle w:val="SCCNormalDoubleSpacing"/>
        <w:spacing w:after="480"/>
        <w:rPr>
          <w:lang w:val="fr-CA"/>
        </w:rPr>
      </w:pPr>
      <w:r w:rsidRPr="000E25BD">
        <w:rPr>
          <w:lang w:val="fr-CA"/>
        </w:rPr>
        <w:tab/>
      </w:r>
      <w:r w:rsidRPr="000E25BD">
        <w:rPr>
          <w:rStyle w:val="QuoteChar"/>
          <w:lang w:val="fr-CA"/>
        </w:rPr>
        <w:t xml:space="preserve">Arrêt </w:t>
      </w:r>
      <w:r w:rsidRPr="00FD3B8A">
        <w:rPr>
          <w:rStyle w:val="QuoteChar"/>
          <w:i w:val="0"/>
          <w:lang w:val="fr-CA"/>
        </w:rPr>
        <w:t>(la juge Côté est dissidente) :</w:t>
      </w:r>
      <w:r w:rsidRPr="00FD3B8A">
        <w:rPr>
          <w:i/>
          <w:lang w:val="fr-CA"/>
        </w:rPr>
        <w:t xml:space="preserve"> </w:t>
      </w:r>
      <w:r w:rsidRPr="000E25BD">
        <w:rPr>
          <w:lang w:val="fr-CA"/>
        </w:rPr>
        <w:t>L</w:t>
      </w:r>
      <w:r>
        <w:rPr>
          <w:lang w:val="fr-CA"/>
        </w:rPr>
        <w:t>’</w:t>
      </w:r>
      <w:r w:rsidRPr="000E25BD">
        <w:rPr>
          <w:lang w:val="fr-CA"/>
        </w:rPr>
        <w:t>appel est rejeté.</w:t>
      </w:r>
    </w:p>
    <w:p w:rsidR="0041746D" w:rsidRPr="000E25BD" w:rsidRDefault="0041746D" w:rsidP="0041746D">
      <w:pPr>
        <w:pStyle w:val="SCCNormalDoubleSpacing"/>
        <w:spacing w:after="480"/>
        <w:rPr>
          <w:lang w:val="fr-CA"/>
        </w:rPr>
      </w:pPr>
      <w:r w:rsidRPr="000E25BD">
        <w:rPr>
          <w:lang w:val="fr-CA"/>
        </w:rPr>
        <w:tab/>
      </w:r>
      <w:r w:rsidRPr="000E25BD">
        <w:rPr>
          <w:i/>
          <w:lang w:val="fr-CA"/>
        </w:rPr>
        <w:t xml:space="preserve">Le </w:t>
      </w:r>
      <w:r w:rsidRPr="000E25BD">
        <w:rPr>
          <w:lang w:val="fr-CA"/>
        </w:rPr>
        <w:t xml:space="preserve">juge en chef Wagner et les juges Abella, Moldaver, Karakatsanis, </w:t>
      </w:r>
      <w:r w:rsidRPr="002849A2">
        <w:rPr>
          <w:lang w:val="fr-CA"/>
        </w:rPr>
        <w:t>Gascon</w:t>
      </w:r>
      <w:r w:rsidRPr="000E25BD">
        <w:rPr>
          <w:lang w:val="fr-CA"/>
        </w:rPr>
        <w:t>, Brown, Rowe et Martin</w:t>
      </w:r>
      <w:r>
        <w:rPr>
          <w:lang w:val="fr-CA"/>
        </w:rPr>
        <w:t> :</w:t>
      </w:r>
      <w:r w:rsidRPr="000E25BD">
        <w:rPr>
          <w:lang w:val="fr-CA"/>
        </w:rPr>
        <w:t xml:space="preserve"> La Cour d</w:t>
      </w:r>
      <w:r>
        <w:rPr>
          <w:lang w:val="fr-CA"/>
        </w:rPr>
        <w:t>’</w:t>
      </w:r>
      <w:r w:rsidRPr="000E25BD">
        <w:rPr>
          <w:lang w:val="fr-CA"/>
        </w:rPr>
        <w:t>appel disposait d</w:t>
      </w:r>
      <w:r>
        <w:rPr>
          <w:lang w:val="fr-CA"/>
        </w:rPr>
        <w:t>’</w:t>
      </w:r>
      <w:r w:rsidRPr="000E25BD">
        <w:rPr>
          <w:lang w:val="fr-CA"/>
        </w:rPr>
        <w:t>assises suffisantes pour intervenir et pour infirmer la décision de la juge de première instance. Elle a appliqué adéquatement les normes de contrôle pertinentes en appel énoncées dans l</w:t>
      </w:r>
      <w:r>
        <w:rPr>
          <w:lang w:val="fr-CA"/>
        </w:rPr>
        <w:t>’</w:t>
      </w:r>
      <w:r w:rsidRPr="000E25BD">
        <w:rPr>
          <w:lang w:val="fr-CA"/>
        </w:rPr>
        <w:t xml:space="preserve">arrêt </w:t>
      </w:r>
      <w:r w:rsidRPr="000E25BD">
        <w:rPr>
          <w:i/>
          <w:lang w:val="fr-CA"/>
        </w:rPr>
        <w:t>Housen c. Nikolaisen</w:t>
      </w:r>
      <w:r w:rsidRPr="002849A2">
        <w:rPr>
          <w:lang w:val="fr-CA"/>
        </w:rPr>
        <w:t>,</w:t>
      </w:r>
      <w:r w:rsidRPr="000E25BD">
        <w:rPr>
          <w:i/>
          <w:lang w:val="fr-CA"/>
        </w:rPr>
        <w:t xml:space="preserve"> </w:t>
      </w:r>
      <w:r w:rsidRPr="000E25BD">
        <w:rPr>
          <w:lang w:val="fr-CA"/>
        </w:rPr>
        <w:t>2002 CSC 33, [2002] 2 R.C.S. 235. La responsabilité professionnelle de l</w:t>
      </w:r>
      <w:r>
        <w:rPr>
          <w:lang w:val="fr-CA"/>
        </w:rPr>
        <w:t>’</w:t>
      </w:r>
      <w:r w:rsidRPr="000E25BD">
        <w:rPr>
          <w:lang w:val="fr-CA"/>
        </w:rPr>
        <w:t>avocat et de son cabinet à l</w:t>
      </w:r>
      <w:r>
        <w:rPr>
          <w:lang w:val="fr-CA"/>
        </w:rPr>
        <w:t>’</w:t>
      </w:r>
      <w:r w:rsidRPr="000E25BD">
        <w:rPr>
          <w:lang w:val="fr-CA"/>
        </w:rPr>
        <w:t>égard des pertes subies par les clientes a été établie.</w:t>
      </w:r>
    </w:p>
    <w:p w:rsidR="0041746D" w:rsidRPr="000E25BD" w:rsidRDefault="0041746D" w:rsidP="0041746D">
      <w:pPr>
        <w:pStyle w:val="SCCNormalDoubleSpacing"/>
        <w:spacing w:after="480"/>
        <w:rPr>
          <w:lang w:val="fr-CA"/>
        </w:rPr>
      </w:pPr>
      <w:r w:rsidRPr="000E25BD">
        <w:rPr>
          <w:lang w:val="fr-CA"/>
        </w:rPr>
        <w:tab/>
        <w:t>L</w:t>
      </w:r>
      <w:r>
        <w:rPr>
          <w:lang w:val="fr-CA"/>
        </w:rPr>
        <w:t>’</w:t>
      </w:r>
      <w:r w:rsidRPr="000E25BD">
        <w:rPr>
          <w:lang w:val="fr-CA"/>
        </w:rPr>
        <w:t>existence ou non d</w:t>
      </w:r>
      <w:r>
        <w:rPr>
          <w:lang w:val="fr-CA"/>
        </w:rPr>
        <w:t>’</w:t>
      </w:r>
      <w:r w:rsidRPr="000E25BD">
        <w:rPr>
          <w:lang w:val="fr-CA"/>
        </w:rPr>
        <w:t>une faute est une question mixte de fait et de droit, et la détermination du lien de causalité est une question de fait. Dans les deux cas, en l</w:t>
      </w:r>
      <w:r>
        <w:rPr>
          <w:lang w:val="fr-CA"/>
        </w:rPr>
        <w:t>’</w:t>
      </w:r>
      <w:r w:rsidRPr="000E25BD">
        <w:rPr>
          <w:lang w:val="fr-CA"/>
        </w:rPr>
        <w:t>absence d</w:t>
      </w:r>
      <w:r>
        <w:rPr>
          <w:lang w:val="fr-CA"/>
        </w:rPr>
        <w:t>’</w:t>
      </w:r>
      <w:r w:rsidRPr="000E25BD">
        <w:rPr>
          <w:lang w:val="fr-CA"/>
        </w:rPr>
        <w:t>erreur manifeste et déterminante, la juridiction d</w:t>
      </w:r>
      <w:r>
        <w:rPr>
          <w:lang w:val="fr-CA"/>
        </w:rPr>
        <w:t>’</w:t>
      </w:r>
      <w:r w:rsidRPr="000E25BD">
        <w:rPr>
          <w:lang w:val="fr-CA"/>
        </w:rPr>
        <w:t>appel doit faire preuve de déférence envers les conclusions du juge de première instance. Elle ne peut intervenir que dans le cas où la décision de première instance est entachée d</w:t>
      </w:r>
      <w:r>
        <w:rPr>
          <w:lang w:val="fr-CA"/>
        </w:rPr>
        <w:t>’</w:t>
      </w:r>
      <w:r w:rsidRPr="000E25BD">
        <w:rPr>
          <w:lang w:val="fr-CA"/>
        </w:rPr>
        <w:t>une erreur évidente qui a déterminé l</w:t>
      </w:r>
      <w:r>
        <w:rPr>
          <w:lang w:val="fr-CA"/>
        </w:rPr>
        <w:t>’</w:t>
      </w:r>
      <w:r w:rsidRPr="000E25BD">
        <w:rPr>
          <w:lang w:val="fr-CA"/>
        </w:rPr>
        <w:t>issue de l</w:t>
      </w:r>
      <w:r>
        <w:rPr>
          <w:lang w:val="fr-CA"/>
        </w:rPr>
        <w:t>’</w:t>
      </w:r>
      <w:r w:rsidRPr="000E25BD">
        <w:rPr>
          <w:lang w:val="fr-CA"/>
        </w:rPr>
        <w:t>affaire. Le fait qu</w:t>
      </w:r>
      <w:r>
        <w:rPr>
          <w:lang w:val="fr-CA"/>
        </w:rPr>
        <w:t>’</w:t>
      </w:r>
      <w:r w:rsidRPr="000E25BD">
        <w:rPr>
          <w:lang w:val="fr-CA"/>
        </w:rPr>
        <w:t xml:space="preserve">une conclusion de fait différente aurait pu être tirée sur la base </w:t>
      </w:r>
      <w:r>
        <w:rPr>
          <w:lang w:val="fr-CA"/>
        </w:rPr>
        <w:t xml:space="preserve">du poids attribué </w:t>
      </w:r>
      <w:r w:rsidRPr="000E25BD">
        <w:rPr>
          <w:lang w:val="fr-CA"/>
        </w:rPr>
        <w:t>à différents éléments de preuve ne signifie pas qu</w:t>
      </w:r>
      <w:r>
        <w:rPr>
          <w:lang w:val="fr-CA"/>
        </w:rPr>
        <w:t>’</w:t>
      </w:r>
      <w:r w:rsidRPr="000E25BD">
        <w:rPr>
          <w:lang w:val="fr-CA"/>
        </w:rPr>
        <w:t>une erreur manifeste et déterminante a été commise. La juridiction d</w:t>
      </w:r>
      <w:r>
        <w:rPr>
          <w:lang w:val="fr-CA"/>
        </w:rPr>
        <w:t>’</w:t>
      </w:r>
      <w:r w:rsidRPr="000E25BD">
        <w:rPr>
          <w:lang w:val="fr-CA"/>
        </w:rPr>
        <w:t>appel doit dégager l</w:t>
      </w:r>
      <w:r>
        <w:rPr>
          <w:lang w:val="fr-CA"/>
        </w:rPr>
        <w:t>’</w:t>
      </w:r>
      <w:r w:rsidRPr="000E25BD">
        <w:rPr>
          <w:lang w:val="fr-CA"/>
        </w:rPr>
        <w:t>erreur fatale que comporte la décision de la juridiction inférieure, et l</w:t>
      </w:r>
      <w:r>
        <w:rPr>
          <w:lang w:val="fr-CA"/>
        </w:rPr>
        <w:t>’</w:t>
      </w:r>
      <w:r w:rsidRPr="000E25BD">
        <w:rPr>
          <w:lang w:val="fr-CA"/>
        </w:rPr>
        <w:t>image du prisme déformant, c</w:t>
      </w:r>
      <w:r>
        <w:rPr>
          <w:lang w:val="fr-CA"/>
        </w:rPr>
        <w:t>’</w:t>
      </w:r>
      <w:r w:rsidRPr="000E25BD">
        <w:rPr>
          <w:lang w:val="fr-CA"/>
        </w:rPr>
        <w:t>est</w:t>
      </w:r>
      <w:r>
        <w:rPr>
          <w:lang w:val="fr-CA"/>
        </w:rPr>
        <w:noBreakHyphen/>
      </w:r>
      <w:r w:rsidRPr="000E25BD">
        <w:rPr>
          <w:lang w:val="fr-CA"/>
        </w:rPr>
        <w:t>à</w:t>
      </w:r>
      <w:r>
        <w:rPr>
          <w:lang w:val="fr-CA"/>
        </w:rPr>
        <w:noBreakHyphen/>
      </w:r>
      <w:r w:rsidRPr="000E25BD">
        <w:rPr>
          <w:lang w:val="fr-CA"/>
        </w:rPr>
        <w:t xml:space="preserve">dire un prisme au moyen duquel le juge de première instance a analysé la preuve et qui a eu un effet déformant, ne peut être invoquée pour </w:t>
      </w:r>
      <w:r w:rsidRPr="000E25BD">
        <w:rPr>
          <w:lang w:val="fr-CA"/>
        </w:rPr>
        <w:lastRenderedPageBreak/>
        <w:t>remplacer l</w:t>
      </w:r>
      <w:r>
        <w:rPr>
          <w:lang w:val="fr-CA"/>
        </w:rPr>
        <w:t>’</w:t>
      </w:r>
      <w:r w:rsidRPr="000E25BD">
        <w:rPr>
          <w:lang w:val="fr-CA"/>
        </w:rPr>
        <w:t>obligation de déceler la présence d</w:t>
      </w:r>
      <w:r>
        <w:rPr>
          <w:lang w:val="fr-CA"/>
        </w:rPr>
        <w:t>’</w:t>
      </w:r>
      <w:r w:rsidRPr="000E25BD">
        <w:rPr>
          <w:lang w:val="fr-CA"/>
        </w:rPr>
        <w:t>une erreur révisable ou masquer le fait qu</w:t>
      </w:r>
      <w:r>
        <w:rPr>
          <w:lang w:val="fr-CA"/>
        </w:rPr>
        <w:t>’</w:t>
      </w:r>
      <w:r w:rsidRPr="000E25BD">
        <w:rPr>
          <w:lang w:val="fr-CA"/>
        </w:rPr>
        <w:t>une erreur constatée par une cour d</w:t>
      </w:r>
      <w:r>
        <w:rPr>
          <w:lang w:val="fr-CA"/>
        </w:rPr>
        <w:t>’</w:t>
      </w:r>
      <w:r w:rsidRPr="000E25BD">
        <w:rPr>
          <w:lang w:val="fr-CA"/>
        </w:rPr>
        <w:t>appel ne respecte pas la norme élevée imposée par l</w:t>
      </w:r>
      <w:r>
        <w:rPr>
          <w:lang w:val="fr-CA"/>
        </w:rPr>
        <w:t>’</w:t>
      </w:r>
      <w:r w:rsidRPr="000E25BD">
        <w:rPr>
          <w:lang w:val="fr-CA"/>
        </w:rPr>
        <w:t xml:space="preserve">arrêt </w:t>
      </w:r>
      <w:r w:rsidRPr="000E25BD">
        <w:rPr>
          <w:i/>
          <w:lang w:val="fr-CA"/>
        </w:rPr>
        <w:t>Housen</w:t>
      </w:r>
      <w:r w:rsidRPr="000E25BD">
        <w:rPr>
          <w:lang w:val="fr-CA"/>
        </w:rPr>
        <w:t>. Dans la présente affaire, la Cour d</w:t>
      </w:r>
      <w:r>
        <w:rPr>
          <w:lang w:val="fr-CA"/>
        </w:rPr>
        <w:t>’</w:t>
      </w:r>
      <w:r w:rsidRPr="000E25BD">
        <w:rPr>
          <w:lang w:val="fr-CA"/>
        </w:rPr>
        <w:t xml:space="preserve">appel a conclu que le </w:t>
      </w:r>
      <w:r w:rsidRPr="000E25BD">
        <w:rPr>
          <w:lang w:val="fr-FR"/>
        </w:rPr>
        <w:t>prisme déformant au moyen duquel la juge de première instance a examiné la preuve — en l</w:t>
      </w:r>
      <w:r>
        <w:rPr>
          <w:lang w:val="fr-FR"/>
        </w:rPr>
        <w:t>’</w:t>
      </w:r>
      <w:r w:rsidRPr="000E25BD">
        <w:rPr>
          <w:lang w:val="fr-FR"/>
        </w:rPr>
        <w:t>espèce, une approche étroite et compartimentée —</w:t>
      </w:r>
      <w:r w:rsidRPr="000E25BD">
        <w:rPr>
          <w:lang w:val="fr-CA"/>
        </w:rPr>
        <w:t xml:space="preserve"> a amené cette dernière à commettre des erreurs manifestes et déterminantes identifiée</w:t>
      </w:r>
      <w:r>
        <w:rPr>
          <w:lang w:val="fr-CA"/>
        </w:rPr>
        <w:t xml:space="preserve">s de façon précise par la cour. </w:t>
      </w:r>
      <w:r w:rsidRPr="000E25BD">
        <w:rPr>
          <w:lang w:val="fr-CA"/>
        </w:rPr>
        <w:t>L</w:t>
      </w:r>
      <w:r>
        <w:rPr>
          <w:lang w:val="fr-CA"/>
        </w:rPr>
        <w:t>’</w:t>
      </w:r>
      <w:r w:rsidRPr="000E25BD">
        <w:rPr>
          <w:lang w:val="fr-CA"/>
        </w:rPr>
        <w:t>image du prisme déformant n</w:t>
      </w:r>
      <w:r>
        <w:rPr>
          <w:lang w:val="fr-CA"/>
        </w:rPr>
        <w:t>’</w:t>
      </w:r>
      <w:r w:rsidRPr="000E25BD">
        <w:rPr>
          <w:lang w:val="fr-CA"/>
        </w:rPr>
        <w:t>était rien de plus qu</w:t>
      </w:r>
      <w:r>
        <w:rPr>
          <w:lang w:val="fr-CA"/>
        </w:rPr>
        <w:t>’</w:t>
      </w:r>
      <w:r w:rsidRPr="000E25BD">
        <w:rPr>
          <w:lang w:val="fr-CA"/>
        </w:rPr>
        <w:t>une métaphore utilisée par la Cour d</w:t>
      </w:r>
      <w:r>
        <w:rPr>
          <w:lang w:val="fr-CA"/>
        </w:rPr>
        <w:t>’</w:t>
      </w:r>
      <w:r w:rsidRPr="000E25BD">
        <w:rPr>
          <w:lang w:val="fr-CA"/>
        </w:rPr>
        <w:t>appel pour expliquer en quoi la norme de contrôle applicable en appel établie dans l</w:t>
      </w:r>
      <w:r>
        <w:rPr>
          <w:lang w:val="fr-CA"/>
        </w:rPr>
        <w:t>’</w:t>
      </w:r>
      <w:r w:rsidRPr="000E25BD">
        <w:rPr>
          <w:lang w:val="fr-CA"/>
        </w:rPr>
        <w:t xml:space="preserve">arrêt </w:t>
      </w:r>
      <w:r w:rsidRPr="000E25BD">
        <w:rPr>
          <w:i/>
          <w:lang w:val="fr-CA"/>
        </w:rPr>
        <w:t>Housen</w:t>
      </w:r>
      <w:r w:rsidRPr="000E25BD">
        <w:rPr>
          <w:lang w:val="fr-CA"/>
        </w:rPr>
        <w:t xml:space="preserve"> était respectée; elle n</w:t>
      </w:r>
      <w:r>
        <w:rPr>
          <w:lang w:val="fr-CA"/>
        </w:rPr>
        <w:t>’</w:t>
      </w:r>
      <w:r w:rsidRPr="000E25BD">
        <w:rPr>
          <w:lang w:val="fr-CA"/>
        </w:rPr>
        <w:t>a pas été utilisée pour masquer une absence d</w:t>
      </w:r>
      <w:r>
        <w:rPr>
          <w:lang w:val="fr-CA"/>
        </w:rPr>
        <w:t>’</w:t>
      </w:r>
      <w:r w:rsidRPr="000E25BD">
        <w:rPr>
          <w:lang w:val="fr-CA"/>
        </w:rPr>
        <w:t>erreurs manifestes et déterminantes. La Cour d</w:t>
      </w:r>
      <w:r>
        <w:rPr>
          <w:lang w:val="fr-CA"/>
        </w:rPr>
        <w:t>’</w:t>
      </w:r>
      <w:r w:rsidRPr="000E25BD">
        <w:rPr>
          <w:lang w:val="fr-CA"/>
        </w:rPr>
        <w:t>appel n</w:t>
      </w:r>
      <w:r>
        <w:rPr>
          <w:lang w:val="fr-CA"/>
        </w:rPr>
        <w:t>’</w:t>
      </w:r>
      <w:r w:rsidRPr="000E25BD">
        <w:rPr>
          <w:lang w:val="fr-CA"/>
        </w:rPr>
        <w:t>a pas commis une erreur en recourant à la notion du prisme déformant pour décider si la juge de première instance a commis des erreurs manifestes et déterminantes.</w:t>
      </w:r>
    </w:p>
    <w:p w:rsidR="0041746D" w:rsidRPr="000E25BD" w:rsidRDefault="0041746D" w:rsidP="0041746D">
      <w:pPr>
        <w:pStyle w:val="SCCNormalDoubleSpacing"/>
        <w:spacing w:after="480"/>
        <w:rPr>
          <w:lang w:val="fr-CA"/>
        </w:rPr>
      </w:pPr>
      <w:r w:rsidRPr="000E25BD">
        <w:rPr>
          <w:lang w:val="fr-CA"/>
        </w:rPr>
        <w:tab/>
        <w:t>Dans les cas où la première juridiction d</w:t>
      </w:r>
      <w:r>
        <w:rPr>
          <w:lang w:val="fr-CA"/>
        </w:rPr>
        <w:t>’</w:t>
      </w:r>
      <w:r w:rsidRPr="000E25BD">
        <w:rPr>
          <w:lang w:val="fr-CA"/>
        </w:rPr>
        <w:t>appel était justifiée d</w:t>
      </w:r>
      <w:r>
        <w:rPr>
          <w:lang w:val="fr-CA"/>
        </w:rPr>
        <w:t>’</w:t>
      </w:r>
      <w:r w:rsidRPr="000E25BD">
        <w:rPr>
          <w:lang w:val="fr-CA"/>
        </w:rPr>
        <w:t>intervenir à l</w:t>
      </w:r>
      <w:r>
        <w:rPr>
          <w:lang w:val="fr-CA"/>
        </w:rPr>
        <w:t>’</w:t>
      </w:r>
      <w:r w:rsidRPr="000E25BD">
        <w:rPr>
          <w:lang w:val="fr-CA"/>
        </w:rPr>
        <w:t>égard du jugement de première instance et a exprimé son désaccord avec le tribunal qui l</w:t>
      </w:r>
      <w:r>
        <w:rPr>
          <w:lang w:val="fr-CA"/>
        </w:rPr>
        <w:t>’</w:t>
      </w:r>
      <w:r w:rsidRPr="000E25BD">
        <w:rPr>
          <w:lang w:val="fr-CA"/>
        </w:rPr>
        <w:t>a rendu, la Cour n</w:t>
      </w:r>
      <w:r>
        <w:rPr>
          <w:lang w:val="fr-CA"/>
        </w:rPr>
        <w:t>’</w:t>
      </w:r>
      <w:r w:rsidRPr="000E25BD">
        <w:rPr>
          <w:lang w:val="fr-CA"/>
        </w:rPr>
        <w:t>interviendra que si son désaccord découle de la nette conviction qu</w:t>
      </w:r>
      <w:r>
        <w:rPr>
          <w:lang w:val="fr-CA"/>
        </w:rPr>
        <w:t>’</w:t>
      </w:r>
      <w:r w:rsidRPr="000E25BD">
        <w:rPr>
          <w:lang w:val="fr-CA"/>
        </w:rPr>
        <w:t>une erreur s</w:t>
      </w:r>
      <w:r>
        <w:rPr>
          <w:lang w:val="fr-CA"/>
        </w:rPr>
        <w:t>’</w:t>
      </w:r>
      <w:r w:rsidRPr="000E25BD">
        <w:rPr>
          <w:lang w:val="fr-CA"/>
        </w:rPr>
        <w:t>est produite dans l</w:t>
      </w:r>
      <w:r>
        <w:rPr>
          <w:lang w:val="fr-CA"/>
        </w:rPr>
        <w:t>’</w:t>
      </w:r>
      <w:r w:rsidRPr="000E25BD">
        <w:rPr>
          <w:lang w:val="fr-CA"/>
        </w:rPr>
        <w:t>appréciation</w:t>
      </w:r>
      <w:r>
        <w:rPr>
          <w:lang w:val="fr-CA"/>
        </w:rPr>
        <w:t xml:space="preserve"> des faits par la première cour </w:t>
      </w:r>
      <w:r w:rsidRPr="000E25BD">
        <w:rPr>
          <w:lang w:val="fr-CA"/>
        </w:rPr>
        <w:t>d</w:t>
      </w:r>
      <w:r>
        <w:rPr>
          <w:lang w:val="fr-CA"/>
        </w:rPr>
        <w:t>’</w:t>
      </w:r>
      <w:r w:rsidRPr="000E25BD">
        <w:rPr>
          <w:lang w:val="fr-CA"/>
        </w:rPr>
        <w:t>appel. La décision de la première cour d</w:t>
      </w:r>
      <w:r>
        <w:rPr>
          <w:lang w:val="fr-CA"/>
        </w:rPr>
        <w:t>’</w:t>
      </w:r>
      <w:r w:rsidRPr="000E25BD">
        <w:rPr>
          <w:lang w:val="fr-CA"/>
        </w:rPr>
        <w:t>appel, et non celle du juge de première instance, constitue l</w:t>
      </w:r>
      <w:r>
        <w:rPr>
          <w:lang w:val="fr-CA"/>
        </w:rPr>
        <w:t>’</w:t>
      </w:r>
      <w:r w:rsidRPr="000E25BD">
        <w:rPr>
          <w:lang w:val="fr-CA"/>
        </w:rPr>
        <w:t>aspect principal de l</w:t>
      </w:r>
      <w:r>
        <w:rPr>
          <w:lang w:val="fr-CA"/>
        </w:rPr>
        <w:t>’</w:t>
      </w:r>
      <w:r w:rsidRPr="000E25BD">
        <w:rPr>
          <w:lang w:val="fr-CA"/>
        </w:rPr>
        <w:t>analyse que la Cour — en tant que seconde et ultime juridiction d</w:t>
      </w:r>
      <w:r>
        <w:rPr>
          <w:lang w:val="fr-CA"/>
        </w:rPr>
        <w:t>’</w:t>
      </w:r>
      <w:r w:rsidRPr="000E25BD">
        <w:rPr>
          <w:lang w:val="fr-CA"/>
        </w:rPr>
        <w:t>appel — doit effectuer dans le cadre de l</w:t>
      </w:r>
      <w:r>
        <w:rPr>
          <w:lang w:val="fr-CA"/>
        </w:rPr>
        <w:t>’</w:t>
      </w:r>
      <w:r w:rsidRPr="000E25BD">
        <w:rPr>
          <w:lang w:val="fr-CA"/>
        </w:rPr>
        <w:t xml:space="preserve">application des normes de contrôle établies dans </w:t>
      </w:r>
      <w:r w:rsidRPr="000E25BD">
        <w:rPr>
          <w:i/>
          <w:lang w:val="fr-CA"/>
        </w:rPr>
        <w:t>Housen</w:t>
      </w:r>
      <w:r w:rsidRPr="000E25BD">
        <w:rPr>
          <w:lang w:val="fr-CA"/>
        </w:rPr>
        <w:t>. C</w:t>
      </w:r>
      <w:r>
        <w:rPr>
          <w:lang w:val="fr-CA"/>
        </w:rPr>
        <w:t>’</w:t>
      </w:r>
      <w:r w:rsidRPr="000E25BD">
        <w:rPr>
          <w:lang w:val="fr-CA"/>
        </w:rPr>
        <w:t>est aux appelants qu</w:t>
      </w:r>
      <w:r>
        <w:rPr>
          <w:lang w:val="fr-CA"/>
        </w:rPr>
        <w:t>’</w:t>
      </w:r>
      <w:r w:rsidRPr="000E25BD">
        <w:rPr>
          <w:lang w:val="fr-CA"/>
        </w:rPr>
        <w:t>il incombe de démontrer la présence d</w:t>
      </w:r>
      <w:r>
        <w:rPr>
          <w:lang w:val="fr-CA"/>
        </w:rPr>
        <w:t>’</w:t>
      </w:r>
      <w:r w:rsidRPr="000E25BD">
        <w:rPr>
          <w:lang w:val="fr-CA"/>
        </w:rPr>
        <w:t>une erreur dans la décision de la cour d</w:t>
      </w:r>
      <w:r>
        <w:rPr>
          <w:lang w:val="fr-CA"/>
        </w:rPr>
        <w:t>’</w:t>
      </w:r>
      <w:r w:rsidRPr="000E25BD">
        <w:rPr>
          <w:lang w:val="fr-CA"/>
        </w:rPr>
        <w:t>appel. En l</w:t>
      </w:r>
      <w:r>
        <w:rPr>
          <w:lang w:val="fr-CA"/>
        </w:rPr>
        <w:t>’</w:t>
      </w:r>
      <w:r w:rsidRPr="000E25BD">
        <w:rPr>
          <w:lang w:val="fr-CA"/>
        </w:rPr>
        <w:t>espèce, les appelants ne se sont pas acquittés de ce fardeau. La Cour d</w:t>
      </w:r>
      <w:r>
        <w:rPr>
          <w:lang w:val="fr-CA"/>
        </w:rPr>
        <w:t>’</w:t>
      </w:r>
      <w:r w:rsidRPr="000E25BD">
        <w:rPr>
          <w:lang w:val="fr-CA"/>
        </w:rPr>
        <w:t>appel n</w:t>
      </w:r>
      <w:r>
        <w:rPr>
          <w:lang w:val="fr-CA"/>
        </w:rPr>
        <w:t>’</w:t>
      </w:r>
      <w:r w:rsidRPr="000E25BD">
        <w:rPr>
          <w:lang w:val="fr-CA"/>
        </w:rPr>
        <w:t>a pas commis d</w:t>
      </w:r>
      <w:r>
        <w:rPr>
          <w:lang w:val="fr-CA"/>
        </w:rPr>
        <w:t>’</w:t>
      </w:r>
      <w:r w:rsidRPr="000E25BD">
        <w:rPr>
          <w:lang w:val="fr-CA"/>
        </w:rPr>
        <w:t xml:space="preserve">erreur en concluant que la juge de première instance a commis des erreurs manifestes et déterminantes, en intervenant dans les conclusions de la juge de première instance </w:t>
      </w:r>
      <w:r w:rsidRPr="000E25BD">
        <w:rPr>
          <w:lang w:val="fr-CA"/>
        </w:rPr>
        <w:lastRenderedPageBreak/>
        <w:t>relativement au devoir de conseil et au devoir de loyauté de l</w:t>
      </w:r>
      <w:r>
        <w:rPr>
          <w:lang w:val="fr-CA"/>
        </w:rPr>
        <w:t>’</w:t>
      </w:r>
      <w:r w:rsidRPr="000E25BD">
        <w:rPr>
          <w:lang w:val="fr-CA"/>
        </w:rPr>
        <w:t>avocat, et en intervenant dans les conclusions de la juge de première instance selon lesquelles les fautes de l</w:t>
      </w:r>
      <w:r>
        <w:rPr>
          <w:lang w:val="fr-CA"/>
        </w:rPr>
        <w:t>’</w:t>
      </w:r>
      <w:r w:rsidRPr="000E25BD">
        <w:rPr>
          <w:lang w:val="fr-CA"/>
        </w:rPr>
        <w:t>avocat n</w:t>
      </w:r>
      <w:r>
        <w:rPr>
          <w:lang w:val="fr-CA"/>
        </w:rPr>
        <w:t>’</w:t>
      </w:r>
      <w:r w:rsidRPr="000E25BD">
        <w:rPr>
          <w:lang w:val="fr-CA"/>
        </w:rPr>
        <w:t>ont pas causé les pertes des clientes. Il n</w:t>
      </w:r>
      <w:r>
        <w:rPr>
          <w:lang w:val="fr-CA"/>
        </w:rPr>
        <w:t>’</w:t>
      </w:r>
      <w:r w:rsidRPr="000E25BD">
        <w:rPr>
          <w:lang w:val="fr-CA"/>
        </w:rPr>
        <w:t>est pas justifié que la Cour modifie les conclusions de la Cour d</w:t>
      </w:r>
      <w:r>
        <w:rPr>
          <w:lang w:val="fr-CA"/>
        </w:rPr>
        <w:t>’</w:t>
      </w:r>
      <w:r w:rsidRPr="000E25BD">
        <w:rPr>
          <w:lang w:val="fr-CA"/>
        </w:rPr>
        <w:t>appel.</w:t>
      </w:r>
    </w:p>
    <w:p w:rsidR="0041746D" w:rsidRPr="000E25BD" w:rsidRDefault="0041746D" w:rsidP="0041746D">
      <w:pPr>
        <w:pStyle w:val="SCCNormalDoubleSpacing"/>
        <w:spacing w:after="480"/>
        <w:rPr>
          <w:lang w:val="fr-CA"/>
        </w:rPr>
      </w:pPr>
      <w:r>
        <w:rPr>
          <w:lang w:val="fr-CA"/>
        </w:rPr>
        <w:tab/>
      </w:r>
      <w:r w:rsidRPr="000E25BD">
        <w:rPr>
          <w:lang w:val="fr-CA"/>
        </w:rPr>
        <w:t>La relation avocat</w:t>
      </w:r>
      <w:r>
        <w:rPr>
          <w:lang w:val="fr-CA"/>
        </w:rPr>
        <w:noBreakHyphen/>
      </w:r>
      <w:r w:rsidRPr="000E25BD">
        <w:rPr>
          <w:lang w:val="fr-CA"/>
        </w:rPr>
        <w:t>client peut habituellement être qualifiée de contrat de mandat. Bien que l</w:t>
      </w:r>
      <w:r>
        <w:rPr>
          <w:lang w:val="fr-CA"/>
        </w:rPr>
        <w:t>’</w:t>
      </w:r>
      <w:r w:rsidRPr="000E25BD">
        <w:rPr>
          <w:lang w:val="fr-CA"/>
        </w:rPr>
        <w:t>avocat, en tant que mandataire, n</w:t>
      </w:r>
      <w:r>
        <w:rPr>
          <w:lang w:val="fr-CA"/>
        </w:rPr>
        <w:t>’</w:t>
      </w:r>
      <w:r w:rsidRPr="000E25BD">
        <w:rPr>
          <w:lang w:val="fr-CA"/>
        </w:rPr>
        <w:t>agisse pas comme garant des services rendus par le professionnel ou le conseiller vers lequel il dirige ses clients, il doit néanmoins faire preuve de compétence, prudence et diligence lorsqu</w:t>
      </w:r>
      <w:r>
        <w:rPr>
          <w:lang w:val="fr-CA"/>
        </w:rPr>
        <w:t>’</w:t>
      </w:r>
      <w:r w:rsidRPr="000E25BD">
        <w:rPr>
          <w:lang w:val="fr-CA"/>
        </w:rPr>
        <w:t>il formule une telle recommandation, laquelle doit être basée sur une connaissance raisonnable du professionnel ou du conseiller en question. L</w:t>
      </w:r>
      <w:r>
        <w:rPr>
          <w:lang w:val="fr-CA"/>
        </w:rPr>
        <w:t>’</w:t>
      </w:r>
      <w:r w:rsidRPr="000E25BD">
        <w:rPr>
          <w:lang w:val="fr-CA"/>
        </w:rPr>
        <w:t>avocat qui aiguille des clients vers un autre professionnel ou conseiller a une obligation de moyens et non de résultat. Il doit être convaincu que la personne qu</w:t>
      </w:r>
      <w:r>
        <w:rPr>
          <w:lang w:val="fr-CA"/>
        </w:rPr>
        <w:t>’</w:t>
      </w:r>
      <w:r w:rsidRPr="000E25BD">
        <w:rPr>
          <w:lang w:val="fr-CA"/>
        </w:rPr>
        <w:t>il recommande à son client est suffisamment compétente pour s</w:t>
      </w:r>
      <w:r>
        <w:rPr>
          <w:lang w:val="fr-CA"/>
        </w:rPr>
        <w:t>’</w:t>
      </w:r>
      <w:r w:rsidRPr="000E25BD">
        <w:rPr>
          <w:lang w:val="fr-CA"/>
        </w:rPr>
        <w:t>acquitter du mandat envisagé. Le fait de recommander à un client un professionnel ou un conseiller ne saurait constituer une garantie des services rendus, mais une telle recommandation ne saurait pas non plus protéger l</w:t>
      </w:r>
      <w:r>
        <w:rPr>
          <w:lang w:val="fr-CA"/>
        </w:rPr>
        <w:t>’</w:t>
      </w:r>
      <w:r w:rsidRPr="000E25BD">
        <w:rPr>
          <w:lang w:val="fr-CA"/>
        </w:rPr>
        <w:t>avocat qui l</w:t>
      </w:r>
      <w:r>
        <w:rPr>
          <w:lang w:val="fr-CA"/>
        </w:rPr>
        <w:t>’</w:t>
      </w:r>
      <w:r w:rsidRPr="000E25BD">
        <w:rPr>
          <w:lang w:val="fr-CA"/>
        </w:rPr>
        <w:t>a formulée contre toute responsabilité pour d</w:t>
      </w:r>
      <w:r>
        <w:rPr>
          <w:lang w:val="fr-CA"/>
        </w:rPr>
        <w:t>’</w:t>
      </w:r>
      <w:r w:rsidRPr="000E25BD">
        <w:rPr>
          <w:lang w:val="fr-CA"/>
        </w:rPr>
        <w:t>autres actes répréhensibles qu</w:t>
      </w:r>
      <w:r>
        <w:rPr>
          <w:lang w:val="fr-CA"/>
        </w:rPr>
        <w:t>’</w:t>
      </w:r>
      <w:r w:rsidRPr="000E25BD">
        <w:rPr>
          <w:lang w:val="fr-CA"/>
        </w:rPr>
        <w:t>il aurait commis. En l</w:t>
      </w:r>
      <w:r>
        <w:rPr>
          <w:lang w:val="fr-CA"/>
        </w:rPr>
        <w:t>’</w:t>
      </w:r>
      <w:r w:rsidRPr="000E25BD">
        <w:rPr>
          <w:lang w:val="fr-CA"/>
        </w:rPr>
        <w:t>espèce, l</w:t>
      </w:r>
      <w:r>
        <w:rPr>
          <w:lang w:val="fr-CA"/>
        </w:rPr>
        <w:t>’</w:t>
      </w:r>
      <w:r w:rsidRPr="000E25BD">
        <w:rPr>
          <w:lang w:val="fr-CA"/>
        </w:rPr>
        <w:t>avocat est allé bien au</w:t>
      </w:r>
      <w:r>
        <w:rPr>
          <w:lang w:val="fr-CA"/>
        </w:rPr>
        <w:noBreakHyphen/>
      </w:r>
      <w:r w:rsidRPr="000E25BD">
        <w:rPr>
          <w:lang w:val="fr-CA"/>
        </w:rPr>
        <w:t>delà d</w:t>
      </w:r>
      <w:r>
        <w:rPr>
          <w:lang w:val="fr-CA"/>
        </w:rPr>
        <w:t>’</w:t>
      </w:r>
      <w:r w:rsidRPr="000E25BD">
        <w:rPr>
          <w:lang w:val="fr-CA"/>
        </w:rPr>
        <w:t>un simple aiguillage. C</w:t>
      </w:r>
      <w:r>
        <w:rPr>
          <w:lang w:val="fr-CA"/>
        </w:rPr>
        <w:t>’</w:t>
      </w:r>
      <w:r w:rsidRPr="000E25BD">
        <w:rPr>
          <w:lang w:val="fr-CA"/>
        </w:rPr>
        <w:t>est l</w:t>
      </w:r>
      <w:r>
        <w:rPr>
          <w:lang w:val="fr-CA"/>
        </w:rPr>
        <w:t>’</w:t>
      </w:r>
      <w:r w:rsidRPr="000E25BD">
        <w:rPr>
          <w:lang w:val="fr-CA"/>
        </w:rPr>
        <w:t>ensemble de son comportement qui a amené la Cour d</w:t>
      </w:r>
      <w:r>
        <w:rPr>
          <w:lang w:val="fr-CA"/>
        </w:rPr>
        <w:t>’</w:t>
      </w:r>
      <w:r w:rsidRPr="000E25BD">
        <w:rPr>
          <w:lang w:val="fr-CA"/>
        </w:rPr>
        <w:t>appel à conclure à la responsabilité de l</w:t>
      </w:r>
      <w:r>
        <w:rPr>
          <w:lang w:val="fr-CA"/>
        </w:rPr>
        <w:t>’</w:t>
      </w:r>
      <w:r w:rsidRPr="000E25BD">
        <w:rPr>
          <w:lang w:val="fr-CA"/>
        </w:rPr>
        <w:t>avocat et de son cabinet dans les circonstances. La décision rendue par la Cour d</w:t>
      </w:r>
      <w:r>
        <w:rPr>
          <w:lang w:val="fr-CA"/>
        </w:rPr>
        <w:t>’</w:t>
      </w:r>
      <w:r w:rsidRPr="000E25BD">
        <w:rPr>
          <w:lang w:val="fr-CA"/>
        </w:rPr>
        <w:t>appel en l</w:t>
      </w:r>
      <w:r>
        <w:rPr>
          <w:lang w:val="fr-CA"/>
        </w:rPr>
        <w:t>’</w:t>
      </w:r>
      <w:r w:rsidRPr="000E25BD">
        <w:rPr>
          <w:lang w:val="fr-CA"/>
        </w:rPr>
        <w:t>espèce n</w:t>
      </w:r>
      <w:r>
        <w:rPr>
          <w:lang w:val="fr-CA"/>
        </w:rPr>
        <w:t>’</w:t>
      </w:r>
      <w:r w:rsidRPr="000E25BD">
        <w:rPr>
          <w:lang w:val="fr-CA"/>
        </w:rPr>
        <w:t>a pas élargi les bases de la responsabilité des avocats qui aiguillent des clients vers d</w:t>
      </w:r>
      <w:r>
        <w:rPr>
          <w:lang w:val="fr-CA"/>
        </w:rPr>
        <w:t>’</w:t>
      </w:r>
      <w:r w:rsidRPr="000E25BD">
        <w:rPr>
          <w:lang w:val="fr-CA"/>
        </w:rPr>
        <w:t>autres professionnels ou d</w:t>
      </w:r>
      <w:r>
        <w:rPr>
          <w:lang w:val="fr-CA"/>
        </w:rPr>
        <w:t>’</w:t>
      </w:r>
      <w:r w:rsidRPr="000E25BD">
        <w:rPr>
          <w:lang w:val="fr-CA"/>
        </w:rPr>
        <w:t xml:space="preserve">autres conseillers. </w:t>
      </w:r>
    </w:p>
    <w:p w:rsidR="0041746D" w:rsidRPr="000E25BD" w:rsidRDefault="0041746D" w:rsidP="0041746D">
      <w:pPr>
        <w:pStyle w:val="SCCNormalDoubleSpacing"/>
        <w:spacing w:after="480"/>
        <w:rPr>
          <w:lang w:val="fr-CA"/>
        </w:rPr>
      </w:pPr>
      <w:r w:rsidRPr="000E25BD">
        <w:rPr>
          <w:lang w:val="fr-CA"/>
        </w:rPr>
        <w:tab/>
        <w:t>Le devoir de conseil de l</w:t>
      </w:r>
      <w:r>
        <w:rPr>
          <w:lang w:val="fr-CA"/>
        </w:rPr>
        <w:t>’</w:t>
      </w:r>
      <w:r w:rsidRPr="000E25BD">
        <w:rPr>
          <w:lang w:val="fr-CA"/>
        </w:rPr>
        <w:t>avocat comporte trois volets</w:t>
      </w:r>
      <w:r>
        <w:rPr>
          <w:lang w:val="fr-CA"/>
        </w:rPr>
        <w:t> :</w:t>
      </w:r>
      <w:r w:rsidRPr="000E25BD">
        <w:rPr>
          <w:lang w:val="fr-CA"/>
        </w:rPr>
        <w:t xml:space="preserve"> informer, expliquer et conseiller au sens strict du terme. Il fait partie intégrante de la profession d</w:t>
      </w:r>
      <w:r>
        <w:rPr>
          <w:lang w:val="fr-CA"/>
        </w:rPr>
        <w:t>’</w:t>
      </w:r>
      <w:r w:rsidRPr="000E25BD">
        <w:rPr>
          <w:lang w:val="fr-CA"/>
        </w:rPr>
        <w:t xml:space="preserve">avocat et </w:t>
      </w:r>
      <w:r w:rsidRPr="000E25BD">
        <w:rPr>
          <w:lang w:val="fr-CA"/>
        </w:rPr>
        <w:lastRenderedPageBreak/>
        <w:t xml:space="preserve">existe </w:t>
      </w:r>
      <w:r w:rsidRPr="000E25BD">
        <w:rPr>
          <w:bCs/>
          <w:spacing w:val="-2"/>
          <w:szCs w:val="24"/>
          <w:lang w:val="fr-FR"/>
        </w:rPr>
        <w:t>indépendamment de la nature du mandat.</w:t>
      </w:r>
      <w:r w:rsidRPr="000E25BD">
        <w:rPr>
          <w:lang w:val="fr-CA"/>
        </w:rPr>
        <w:t xml:space="preserve"> L</w:t>
      </w:r>
      <w:r>
        <w:rPr>
          <w:lang w:val="fr-CA"/>
        </w:rPr>
        <w:t>’</w:t>
      </w:r>
      <w:r w:rsidRPr="000E25BD">
        <w:rPr>
          <w:lang w:val="fr-CA"/>
        </w:rPr>
        <w:t>étendue exacte de ce devoir varie selon les circonstances, en fonction notamment de l</w:t>
      </w:r>
      <w:r>
        <w:rPr>
          <w:lang w:val="fr-CA"/>
        </w:rPr>
        <w:t>’</w:t>
      </w:r>
      <w:r w:rsidRPr="000E25BD">
        <w:rPr>
          <w:lang w:val="fr-CA"/>
        </w:rPr>
        <w:t>objet du mandat, des caractéristiques du client et de l</w:t>
      </w:r>
      <w:r>
        <w:rPr>
          <w:lang w:val="fr-CA"/>
        </w:rPr>
        <w:t>’</w:t>
      </w:r>
      <w:r w:rsidRPr="000E25BD">
        <w:rPr>
          <w:lang w:val="fr-CA"/>
        </w:rPr>
        <w:t>expertise que soutient avoir l</w:t>
      </w:r>
      <w:r>
        <w:rPr>
          <w:lang w:val="fr-CA"/>
        </w:rPr>
        <w:t>’</w:t>
      </w:r>
      <w:r w:rsidRPr="000E25BD">
        <w:rPr>
          <w:lang w:val="fr-CA"/>
        </w:rPr>
        <w:t>avocat dans le domaine en question. L</w:t>
      </w:r>
      <w:r>
        <w:rPr>
          <w:lang w:val="fr-CA"/>
        </w:rPr>
        <w:t>’</w:t>
      </w:r>
      <w:r w:rsidRPr="000E25BD">
        <w:rPr>
          <w:lang w:val="fr-CA"/>
        </w:rPr>
        <w:t>avocat qui prodigue des conseils à un client doit toujours agir dans l</w:t>
      </w:r>
      <w:r>
        <w:rPr>
          <w:lang w:val="fr-CA"/>
        </w:rPr>
        <w:t>’</w:t>
      </w:r>
      <w:r w:rsidRPr="000E25BD">
        <w:rPr>
          <w:lang w:val="fr-CA"/>
        </w:rPr>
        <w:t xml:space="preserve">intérêt supérieur de ce dernier et respecter les normes que tout avocat compétent, prudent et diligent aurait suivies dans les mêmes circonstances. Tout </w:t>
      </w:r>
      <w:r w:rsidRPr="000E25BD">
        <w:rPr>
          <w:lang w:val="fr-FR"/>
        </w:rPr>
        <w:t>conseil qu</w:t>
      </w:r>
      <w:r>
        <w:rPr>
          <w:lang w:val="fr-FR"/>
        </w:rPr>
        <w:t>’</w:t>
      </w:r>
      <w:r w:rsidRPr="000E25BD">
        <w:rPr>
          <w:lang w:val="fr-FR"/>
        </w:rPr>
        <w:t>un avocat prend l</w:t>
      </w:r>
      <w:r>
        <w:rPr>
          <w:lang w:val="fr-FR"/>
        </w:rPr>
        <w:t>’</w:t>
      </w:r>
      <w:r w:rsidRPr="000E25BD">
        <w:rPr>
          <w:lang w:val="fr-FR"/>
        </w:rPr>
        <w:t>initiative de donner au</w:t>
      </w:r>
      <w:r>
        <w:rPr>
          <w:lang w:val="fr-FR"/>
        </w:rPr>
        <w:noBreakHyphen/>
      </w:r>
      <w:r w:rsidRPr="000E25BD">
        <w:rPr>
          <w:lang w:val="fr-FR"/>
        </w:rPr>
        <w:t>delà de son mandat peut, s</w:t>
      </w:r>
      <w:r>
        <w:rPr>
          <w:lang w:val="fr-FR"/>
        </w:rPr>
        <w:t>’</w:t>
      </w:r>
      <w:r w:rsidRPr="000E25BD">
        <w:rPr>
          <w:lang w:val="fr-FR"/>
        </w:rPr>
        <w:t>il est erroné, engager sa responsabilité. En l</w:t>
      </w:r>
      <w:r>
        <w:rPr>
          <w:lang w:val="fr-FR"/>
        </w:rPr>
        <w:t>’</w:t>
      </w:r>
      <w:r w:rsidRPr="000E25BD">
        <w:rPr>
          <w:lang w:val="fr-FR"/>
        </w:rPr>
        <w:t xml:space="preserve">espèce, </w:t>
      </w:r>
      <w:r w:rsidRPr="000E25BD">
        <w:rPr>
          <w:lang w:val="fr-CA"/>
        </w:rPr>
        <w:t>la Cour d</w:t>
      </w:r>
      <w:r>
        <w:rPr>
          <w:lang w:val="fr-CA"/>
        </w:rPr>
        <w:t>’</w:t>
      </w:r>
      <w:r w:rsidRPr="000E25BD">
        <w:rPr>
          <w:lang w:val="fr-CA"/>
        </w:rPr>
        <w:t>appel disposait d</w:t>
      </w:r>
      <w:r>
        <w:rPr>
          <w:lang w:val="fr-CA"/>
        </w:rPr>
        <w:t>’</w:t>
      </w:r>
      <w:r w:rsidRPr="000E25BD">
        <w:rPr>
          <w:lang w:val="fr-CA"/>
        </w:rPr>
        <w:t>assises suffisantes pour intervenir et pour conclure que l</w:t>
      </w:r>
      <w:r>
        <w:rPr>
          <w:lang w:val="fr-CA"/>
        </w:rPr>
        <w:t>’</w:t>
      </w:r>
      <w:r w:rsidRPr="000E25BD">
        <w:rPr>
          <w:lang w:val="fr-CA"/>
        </w:rPr>
        <w:t>avocat n</w:t>
      </w:r>
      <w:r>
        <w:rPr>
          <w:lang w:val="fr-CA"/>
        </w:rPr>
        <w:t>’</w:t>
      </w:r>
      <w:r w:rsidRPr="000E25BD">
        <w:rPr>
          <w:lang w:val="fr-CA"/>
        </w:rPr>
        <w:t>a pas conseillé ses clientes comme il incombe à un avocat compétent, prudent et diligent de le faire. Elle a relevé effectivement et de façon précise la présence d</w:t>
      </w:r>
      <w:r>
        <w:rPr>
          <w:lang w:val="fr-CA"/>
        </w:rPr>
        <w:t>’</w:t>
      </w:r>
      <w:r w:rsidRPr="000E25BD">
        <w:rPr>
          <w:lang w:val="fr-CA"/>
        </w:rPr>
        <w:t>erreurs manifestes et déterminantes dans l</w:t>
      </w:r>
      <w:r>
        <w:rPr>
          <w:lang w:val="fr-CA"/>
        </w:rPr>
        <w:t>’</w:t>
      </w:r>
      <w:r w:rsidRPr="000E25BD">
        <w:rPr>
          <w:lang w:val="fr-CA"/>
        </w:rPr>
        <w:t>appréciation par la juge du procès des relations des parties, qui ont influencé directement ses conclusions quant à l</w:t>
      </w:r>
      <w:r>
        <w:rPr>
          <w:lang w:val="fr-CA"/>
        </w:rPr>
        <w:t>’</w:t>
      </w:r>
      <w:r w:rsidRPr="000E25BD">
        <w:rPr>
          <w:lang w:val="fr-CA"/>
        </w:rPr>
        <w:t>ampleur des conseils erronés donnés. Appréciée adéquatement dans son ensemble, comme l</w:t>
      </w:r>
      <w:r>
        <w:rPr>
          <w:lang w:val="fr-CA"/>
        </w:rPr>
        <w:t>’</w:t>
      </w:r>
      <w:r w:rsidRPr="000E25BD">
        <w:rPr>
          <w:lang w:val="fr-CA"/>
        </w:rPr>
        <w:t>a fait la Cour d</w:t>
      </w:r>
      <w:r>
        <w:rPr>
          <w:lang w:val="fr-CA"/>
        </w:rPr>
        <w:t>’</w:t>
      </w:r>
      <w:r w:rsidRPr="000E25BD">
        <w:rPr>
          <w:lang w:val="fr-CA"/>
        </w:rPr>
        <w:t>appel, la preuve révèle que les conseils et assurances donnés par l</w:t>
      </w:r>
      <w:r>
        <w:rPr>
          <w:lang w:val="fr-CA"/>
        </w:rPr>
        <w:t>’</w:t>
      </w:r>
      <w:r w:rsidRPr="000E25BD">
        <w:rPr>
          <w:lang w:val="fr-CA"/>
        </w:rPr>
        <w:t>avocat s</w:t>
      </w:r>
      <w:r>
        <w:rPr>
          <w:lang w:val="fr-CA"/>
        </w:rPr>
        <w:t>’</w:t>
      </w:r>
      <w:r w:rsidRPr="000E25BD">
        <w:rPr>
          <w:lang w:val="fr-CA"/>
        </w:rPr>
        <w:t>inscrivaient dans un seul et même continuum, et qu</w:t>
      </w:r>
      <w:r>
        <w:rPr>
          <w:lang w:val="fr-CA"/>
        </w:rPr>
        <w:t>’</w:t>
      </w:r>
      <w:r w:rsidRPr="000E25BD">
        <w:rPr>
          <w:lang w:val="fr-CA"/>
        </w:rPr>
        <w:t xml:space="preserve">il est artificiel de </w:t>
      </w:r>
      <w:bookmarkStart w:id="1" w:name="_Hlk522535395"/>
      <w:r w:rsidRPr="000E25BD">
        <w:rPr>
          <w:lang w:val="fr-CA"/>
        </w:rPr>
        <w:t>les compartimente</w:t>
      </w:r>
      <w:bookmarkEnd w:id="1"/>
      <w:r w:rsidRPr="000E25BD">
        <w:rPr>
          <w:lang w:val="fr-CA"/>
        </w:rPr>
        <w:t>r. L</w:t>
      </w:r>
      <w:r>
        <w:rPr>
          <w:lang w:val="fr-CA"/>
        </w:rPr>
        <w:t>’</w:t>
      </w:r>
      <w:r w:rsidRPr="000E25BD">
        <w:rPr>
          <w:lang w:val="fr-CA"/>
        </w:rPr>
        <w:t xml:space="preserve">avocat a manqué à son devoir de conseil en recommandant un placement non diversifié dans des </w:t>
      </w:r>
      <w:r w:rsidRPr="000E25BD">
        <w:rPr>
          <w:lang w:val="fr-FR"/>
        </w:rPr>
        <w:t>fonds spéculatifs extraterritoriaux</w:t>
      </w:r>
      <w:r w:rsidRPr="000E25BD">
        <w:rPr>
          <w:lang w:val="fr-CA"/>
        </w:rPr>
        <w:t xml:space="preserve"> à des client</w:t>
      </w:r>
      <w:r>
        <w:rPr>
          <w:lang w:val="fr-CA"/>
        </w:rPr>
        <w:t>e</w:t>
      </w:r>
      <w:r w:rsidRPr="000E25BD">
        <w:rPr>
          <w:lang w:val="fr-CA"/>
        </w:rPr>
        <w:t>s dont l</w:t>
      </w:r>
      <w:r>
        <w:rPr>
          <w:lang w:val="fr-CA"/>
        </w:rPr>
        <w:t>’</w:t>
      </w:r>
      <w:r w:rsidRPr="000E25BD">
        <w:rPr>
          <w:lang w:val="fr-CA"/>
        </w:rPr>
        <w:t>objectif principal était la préservation de leur capital, en recommandant des produits financiers sans faire preuve d</w:t>
      </w:r>
      <w:r>
        <w:rPr>
          <w:lang w:val="fr-CA"/>
        </w:rPr>
        <w:t>’</w:t>
      </w:r>
      <w:r w:rsidRPr="000E25BD">
        <w:rPr>
          <w:lang w:val="fr-CA"/>
        </w:rPr>
        <w:t>aucune forme de diligence appropriée au sujet de ces produits et en rassurant de façon répétée les clientes quant au fait que leurs placements garantissent la sécurité de leur capit</w:t>
      </w:r>
      <w:r>
        <w:rPr>
          <w:lang w:val="fr-CA"/>
        </w:rPr>
        <w:t>al. </w:t>
      </w:r>
    </w:p>
    <w:p w:rsidR="0041746D" w:rsidRPr="000E25BD" w:rsidRDefault="0041746D" w:rsidP="0041746D">
      <w:pPr>
        <w:pStyle w:val="SCCNormalDoubleSpacing"/>
        <w:spacing w:after="480"/>
        <w:rPr>
          <w:lang w:val="fr-CA"/>
        </w:rPr>
      </w:pPr>
      <w:r w:rsidRPr="000E25BD">
        <w:rPr>
          <w:lang w:val="fr-CA"/>
        </w:rPr>
        <w:tab/>
        <w:t>En tant que mandataires, les avocats sont aussi tenus d</w:t>
      </w:r>
      <w:r>
        <w:rPr>
          <w:lang w:val="fr-CA"/>
        </w:rPr>
        <w:t>’</w:t>
      </w:r>
      <w:r w:rsidRPr="000E25BD">
        <w:rPr>
          <w:lang w:val="fr-CA"/>
        </w:rPr>
        <w:t xml:space="preserve">éviter </w:t>
      </w:r>
      <w:r w:rsidRPr="000E25BD">
        <w:rPr>
          <w:lang w:val="fr-FR"/>
        </w:rPr>
        <w:t xml:space="preserve">de se placer </w:t>
      </w:r>
      <w:r w:rsidRPr="006B44F0">
        <w:rPr>
          <w:lang w:val="fr-CA"/>
        </w:rPr>
        <w:t>dans</w:t>
      </w:r>
      <w:r w:rsidRPr="000E25BD">
        <w:rPr>
          <w:lang w:val="fr-FR"/>
        </w:rPr>
        <w:t xml:space="preserve"> une situation de conflit entre leurs intérêts personnels et les intérêts de leurs clients. L</w:t>
      </w:r>
      <w:r>
        <w:rPr>
          <w:lang w:val="fr-FR"/>
        </w:rPr>
        <w:t>’</w:t>
      </w:r>
      <w:r w:rsidRPr="000E25BD">
        <w:rPr>
          <w:lang w:val="fr-FR"/>
        </w:rPr>
        <w:t>obligation d</w:t>
      </w:r>
      <w:r>
        <w:rPr>
          <w:lang w:val="fr-FR"/>
        </w:rPr>
        <w:t>’</w:t>
      </w:r>
      <w:r w:rsidRPr="000E25BD">
        <w:rPr>
          <w:lang w:val="fr-FR"/>
        </w:rPr>
        <w:t>éviter les conflits d</w:t>
      </w:r>
      <w:r>
        <w:rPr>
          <w:lang w:val="fr-FR"/>
        </w:rPr>
        <w:t>’</w:t>
      </w:r>
      <w:r w:rsidRPr="000E25BD">
        <w:rPr>
          <w:lang w:val="fr-FR"/>
        </w:rPr>
        <w:t xml:space="preserve">intérêts est un des principaux aspects du </w:t>
      </w:r>
      <w:r w:rsidRPr="000E25BD">
        <w:rPr>
          <w:szCs w:val="24"/>
          <w:lang w:val="fr-CA"/>
        </w:rPr>
        <w:lastRenderedPageBreak/>
        <w:t>devoir de loyauté des avocats envers leurs clients.</w:t>
      </w:r>
      <w:r w:rsidRPr="000E25BD">
        <w:rPr>
          <w:lang w:val="fr-FR"/>
        </w:rPr>
        <w:t xml:space="preserve"> Le </w:t>
      </w:r>
      <w:r w:rsidRPr="000E25BD">
        <w:rPr>
          <w:szCs w:val="24"/>
          <w:lang w:val="fr-CA"/>
        </w:rPr>
        <w:t>devoir de loyauté protège l</w:t>
      </w:r>
      <w:r>
        <w:rPr>
          <w:szCs w:val="24"/>
          <w:lang w:val="fr-CA"/>
        </w:rPr>
        <w:t>’</w:t>
      </w:r>
      <w:r w:rsidRPr="000E25BD">
        <w:rPr>
          <w:szCs w:val="24"/>
          <w:lang w:val="fr-CA"/>
        </w:rPr>
        <w:t>accomplissement du devoir de conseil que les avocats doivent à leurs clients contre l</w:t>
      </w:r>
      <w:r>
        <w:rPr>
          <w:szCs w:val="24"/>
          <w:lang w:val="fr-CA"/>
        </w:rPr>
        <w:t>’</w:t>
      </w:r>
      <w:r w:rsidRPr="000E25BD">
        <w:rPr>
          <w:szCs w:val="24"/>
          <w:lang w:val="fr-CA"/>
        </w:rPr>
        <w:t>effet d</w:t>
      </w:r>
      <w:r>
        <w:rPr>
          <w:szCs w:val="24"/>
          <w:lang w:val="fr-CA"/>
        </w:rPr>
        <w:t>’</w:t>
      </w:r>
      <w:r w:rsidRPr="000E25BD">
        <w:rPr>
          <w:szCs w:val="24"/>
          <w:lang w:val="fr-CA"/>
        </w:rPr>
        <w:t>influences inappropriées. Dans le présent cas, l</w:t>
      </w:r>
      <w:r w:rsidRPr="000E25BD">
        <w:rPr>
          <w:lang w:val="fr-CA"/>
        </w:rPr>
        <w:t>a Cour d</w:t>
      </w:r>
      <w:r>
        <w:rPr>
          <w:lang w:val="fr-CA"/>
        </w:rPr>
        <w:t>’</w:t>
      </w:r>
      <w:r w:rsidRPr="000E25BD">
        <w:rPr>
          <w:lang w:val="fr-CA"/>
        </w:rPr>
        <w:t>appel était justifiée de conclure que les relations personnelles et financières qu</w:t>
      </w:r>
      <w:r>
        <w:rPr>
          <w:lang w:val="fr-CA"/>
        </w:rPr>
        <w:t>’</w:t>
      </w:r>
      <w:r w:rsidRPr="000E25BD">
        <w:rPr>
          <w:lang w:val="fr-CA"/>
        </w:rPr>
        <w:t>entretenait l</w:t>
      </w:r>
      <w:r>
        <w:rPr>
          <w:lang w:val="fr-CA"/>
        </w:rPr>
        <w:t>’</w:t>
      </w:r>
      <w:r w:rsidRPr="000E25BD">
        <w:rPr>
          <w:lang w:val="fr-CA"/>
        </w:rPr>
        <w:t>avocat avec le conseiller financier a placé celui</w:t>
      </w:r>
      <w:r>
        <w:rPr>
          <w:lang w:val="fr-CA"/>
        </w:rPr>
        <w:noBreakHyphen/>
      </w:r>
      <w:r w:rsidRPr="000E25BD">
        <w:rPr>
          <w:lang w:val="fr-CA"/>
        </w:rPr>
        <w:t>ci dans une situation de conflit d</w:t>
      </w:r>
      <w:r>
        <w:rPr>
          <w:lang w:val="fr-CA"/>
        </w:rPr>
        <w:t>’</w:t>
      </w:r>
      <w:r w:rsidRPr="000E25BD">
        <w:rPr>
          <w:lang w:val="fr-CA"/>
        </w:rPr>
        <w:t>intérêts, et qu</w:t>
      </w:r>
      <w:r>
        <w:rPr>
          <w:lang w:val="fr-CA"/>
        </w:rPr>
        <w:t>’</w:t>
      </w:r>
      <w:r w:rsidRPr="000E25BD">
        <w:rPr>
          <w:lang w:val="fr-CA"/>
        </w:rPr>
        <w:t>il a en définitive négligé les intérêts de ses clientes. La juge de première instance a adopté une approche indûment restrictive dans son analyse des principes relatifs aux conflits d</w:t>
      </w:r>
      <w:r>
        <w:rPr>
          <w:lang w:val="fr-CA"/>
        </w:rPr>
        <w:t>’</w:t>
      </w:r>
      <w:r w:rsidRPr="000E25BD">
        <w:rPr>
          <w:lang w:val="fr-CA"/>
        </w:rPr>
        <w:t>intérêts, ce qui a entaché toute son analyse relative au manquement de l</w:t>
      </w:r>
      <w:r>
        <w:rPr>
          <w:lang w:val="fr-CA"/>
        </w:rPr>
        <w:t>’</w:t>
      </w:r>
      <w:r w:rsidRPr="000E25BD">
        <w:rPr>
          <w:lang w:val="fr-CA"/>
        </w:rPr>
        <w:t>avocat à son devoir de loyauté. Il ressort d</w:t>
      </w:r>
      <w:r>
        <w:rPr>
          <w:lang w:val="fr-CA"/>
        </w:rPr>
        <w:t>’</w:t>
      </w:r>
      <w:r w:rsidRPr="000E25BD">
        <w:rPr>
          <w:lang w:val="fr-CA"/>
        </w:rPr>
        <w:t>un examen adéquat de l</w:t>
      </w:r>
      <w:r>
        <w:rPr>
          <w:lang w:val="fr-CA"/>
        </w:rPr>
        <w:t>’</w:t>
      </w:r>
      <w:r w:rsidRPr="000E25BD">
        <w:rPr>
          <w:lang w:val="fr-CA"/>
        </w:rPr>
        <w:t>ensemble de la preuve que ces liens très étroits ont eu une incidence sur l</w:t>
      </w:r>
      <w:r>
        <w:rPr>
          <w:lang w:val="fr-CA"/>
        </w:rPr>
        <w:t>’</w:t>
      </w:r>
      <w:r w:rsidRPr="000E25BD">
        <w:rPr>
          <w:lang w:val="fr-CA"/>
        </w:rPr>
        <w:t>objectivité de l</w:t>
      </w:r>
      <w:r>
        <w:rPr>
          <w:lang w:val="fr-CA"/>
        </w:rPr>
        <w:t>’</w:t>
      </w:r>
      <w:r w:rsidRPr="000E25BD">
        <w:rPr>
          <w:lang w:val="fr-CA"/>
        </w:rPr>
        <w:t>avocat lorsqu</w:t>
      </w:r>
      <w:r>
        <w:rPr>
          <w:lang w:val="fr-CA"/>
        </w:rPr>
        <w:t>’</w:t>
      </w:r>
      <w:r w:rsidRPr="000E25BD">
        <w:rPr>
          <w:lang w:val="fr-CA"/>
        </w:rPr>
        <w:t>il conseillait ses clientes. Les loyautés partagées de l</w:t>
      </w:r>
      <w:r>
        <w:rPr>
          <w:lang w:val="fr-CA"/>
        </w:rPr>
        <w:t>’</w:t>
      </w:r>
      <w:r w:rsidRPr="000E25BD">
        <w:rPr>
          <w:lang w:val="fr-CA"/>
        </w:rPr>
        <w:t>avocat l</w:t>
      </w:r>
      <w:r>
        <w:rPr>
          <w:lang w:val="fr-CA"/>
        </w:rPr>
        <w:t>’</w:t>
      </w:r>
      <w:r w:rsidRPr="000E25BD">
        <w:rPr>
          <w:lang w:val="fr-CA"/>
        </w:rPr>
        <w:t>ont amené à négliger les intérêts de ses clientes</w:t>
      </w:r>
      <w:r>
        <w:rPr>
          <w:lang w:val="fr-CA"/>
        </w:rPr>
        <w:t> :</w:t>
      </w:r>
      <w:r w:rsidRPr="000E25BD">
        <w:rPr>
          <w:lang w:val="fr-CA"/>
        </w:rPr>
        <w:t xml:space="preserve"> il a négligé son obligation de protéger la confidentialité de ses communications avec elles et a fait équipe avec le conseiller recommandé pour tenter de les convaincre de ne pas retirer leurs placements. </w:t>
      </w:r>
    </w:p>
    <w:p w:rsidR="0041746D" w:rsidRPr="000E25BD" w:rsidRDefault="0041746D" w:rsidP="0041746D">
      <w:pPr>
        <w:pStyle w:val="SCCNormalDoubleSpacing"/>
        <w:spacing w:after="480"/>
        <w:rPr>
          <w:lang w:val="fr-CA"/>
        </w:rPr>
      </w:pPr>
      <w:r w:rsidRPr="000E25BD">
        <w:rPr>
          <w:lang w:val="fr-CA"/>
        </w:rPr>
        <w:tab/>
        <w:t>Il peut arriver que plus d</w:t>
      </w:r>
      <w:r>
        <w:rPr>
          <w:lang w:val="fr-CA"/>
        </w:rPr>
        <w:t>’</w:t>
      </w:r>
      <w:r w:rsidRPr="000E25BD">
        <w:rPr>
          <w:lang w:val="fr-CA"/>
        </w:rPr>
        <w:t>une faute cause un seul préjudice, pour autant toutefois que chacune d</w:t>
      </w:r>
      <w:r>
        <w:rPr>
          <w:lang w:val="fr-CA"/>
        </w:rPr>
        <w:t>’</w:t>
      </w:r>
      <w:r w:rsidRPr="000E25BD">
        <w:rPr>
          <w:lang w:val="fr-CA"/>
        </w:rPr>
        <w:t>entre elles soit une véritable cause du préjudice et non une simple occasion de celui</w:t>
      </w:r>
      <w:r>
        <w:rPr>
          <w:lang w:val="fr-CA"/>
        </w:rPr>
        <w:noBreakHyphen/>
      </w:r>
      <w:r w:rsidRPr="000E25BD">
        <w:rPr>
          <w:lang w:val="fr-CA"/>
        </w:rPr>
        <w:t>ci. Une faute constitue une cause véritable du préjudice si celui</w:t>
      </w:r>
      <w:r>
        <w:rPr>
          <w:lang w:val="fr-CA"/>
        </w:rPr>
        <w:noBreakHyphen/>
      </w:r>
      <w:r w:rsidRPr="000E25BD">
        <w:rPr>
          <w:lang w:val="fr-CA"/>
        </w:rPr>
        <w:t>ci en est la suite logique, directe et immédiate. Cette détermination est dans une large mesure une question de fait et elle dépend de l</w:t>
      </w:r>
      <w:r>
        <w:rPr>
          <w:lang w:val="fr-CA"/>
        </w:rPr>
        <w:t>’</w:t>
      </w:r>
      <w:r w:rsidRPr="000E25BD">
        <w:rPr>
          <w:lang w:val="fr-CA"/>
        </w:rPr>
        <w:t>ensemble des circonstances de l</w:t>
      </w:r>
      <w:r>
        <w:rPr>
          <w:lang w:val="fr-CA"/>
        </w:rPr>
        <w:t>’</w:t>
      </w:r>
      <w:r w:rsidRPr="000E25BD">
        <w:rPr>
          <w:lang w:val="fr-CA"/>
        </w:rPr>
        <w:t>affaire. L</w:t>
      </w:r>
      <w:r>
        <w:rPr>
          <w:lang w:val="fr-CA"/>
        </w:rPr>
        <w:t>’</w:t>
      </w:r>
      <w:r w:rsidRPr="000E25BD">
        <w:rPr>
          <w:lang w:val="fr-CA"/>
        </w:rPr>
        <w:t>auteur d</w:t>
      </w:r>
      <w:r>
        <w:rPr>
          <w:lang w:val="fr-CA"/>
        </w:rPr>
        <w:t>’</w:t>
      </w:r>
      <w:r w:rsidRPr="000E25BD">
        <w:rPr>
          <w:lang w:val="fr-CA"/>
        </w:rPr>
        <w:t>une faute n</w:t>
      </w:r>
      <w:r>
        <w:rPr>
          <w:lang w:val="fr-CA"/>
        </w:rPr>
        <w:t>’</w:t>
      </w:r>
      <w:r w:rsidRPr="000E25BD">
        <w:rPr>
          <w:lang w:val="fr-CA"/>
        </w:rPr>
        <w:t>est pas responsable des conséquences d</w:t>
      </w:r>
      <w:r>
        <w:rPr>
          <w:lang w:val="fr-CA"/>
        </w:rPr>
        <w:t>’</w:t>
      </w:r>
      <w:r w:rsidRPr="000E25BD">
        <w:rPr>
          <w:lang w:val="fr-CA"/>
        </w:rPr>
        <w:t xml:space="preserve">un événement subséquent qui est indépendant de lui et qui est sans rapport avec la faute initiale. Deux conditions doivent être réunies pour que le principe appelé </w:t>
      </w:r>
      <w:r w:rsidRPr="000E25BD">
        <w:rPr>
          <w:i/>
          <w:lang w:val="fr-CA"/>
        </w:rPr>
        <w:t>novus actus interveniens</w:t>
      </w:r>
      <w:r w:rsidRPr="000E25BD">
        <w:rPr>
          <w:lang w:val="fr-CA"/>
        </w:rPr>
        <w:t> s</w:t>
      </w:r>
      <w:r>
        <w:rPr>
          <w:lang w:val="fr-CA"/>
        </w:rPr>
        <w:t>’</w:t>
      </w:r>
      <w:r w:rsidRPr="000E25BD">
        <w:rPr>
          <w:lang w:val="fr-CA"/>
        </w:rPr>
        <w:t xml:space="preserve">applique. Dans un premier temps, il faut que le lien de causalité entre la faute initiale et le préjudice subi soit complètement rompu. Dans un second temps, il </w:t>
      </w:r>
      <w:r w:rsidRPr="000E25BD">
        <w:rPr>
          <w:lang w:val="fr-CA"/>
        </w:rPr>
        <w:lastRenderedPageBreak/>
        <w:t>doit exister un lien de causalité entre ce nouvel événement et le préjudice subi. La capacité d</w:t>
      </w:r>
      <w:r>
        <w:rPr>
          <w:lang w:val="fr-CA"/>
        </w:rPr>
        <w:t>’</w:t>
      </w:r>
      <w:r w:rsidRPr="000E25BD">
        <w:rPr>
          <w:lang w:val="fr-CA"/>
        </w:rPr>
        <w:t>un client de se fier aux conseils de son avocat est un aspect central de la relation avocat</w:t>
      </w:r>
      <w:r>
        <w:rPr>
          <w:lang w:val="fr-CA"/>
        </w:rPr>
        <w:noBreakHyphen/>
      </w:r>
      <w:r w:rsidRPr="000E25BD">
        <w:rPr>
          <w:lang w:val="fr-CA"/>
        </w:rPr>
        <w:t>client et le fait qu</w:t>
      </w:r>
      <w:r>
        <w:rPr>
          <w:lang w:val="fr-CA"/>
        </w:rPr>
        <w:t>’</w:t>
      </w:r>
      <w:r w:rsidRPr="000E25BD">
        <w:rPr>
          <w:lang w:val="fr-CA"/>
        </w:rPr>
        <w:t>un client accepte les conseils que lui formule de façon négligente son avocat ne saurait exonérer ce dernier de sa responsabilité.</w:t>
      </w:r>
      <w:r>
        <w:rPr>
          <w:lang w:val="fr-CA"/>
        </w:rPr>
        <w:t xml:space="preserve"> </w:t>
      </w:r>
      <w:r w:rsidRPr="000E25BD">
        <w:rPr>
          <w:lang w:val="fr-CA"/>
        </w:rPr>
        <w:t>La commission d</w:t>
      </w:r>
      <w:r>
        <w:rPr>
          <w:lang w:val="fr-CA"/>
        </w:rPr>
        <w:t>’</w:t>
      </w:r>
      <w:r w:rsidRPr="000E25BD">
        <w:rPr>
          <w:lang w:val="fr-CA"/>
        </w:rPr>
        <w:t>une fraude par un tiers n</w:t>
      </w:r>
      <w:r>
        <w:rPr>
          <w:lang w:val="fr-CA"/>
        </w:rPr>
        <w:t>’</w:t>
      </w:r>
      <w:r w:rsidRPr="000E25BD">
        <w:rPr>
          <w:lang w:val="fr-CA"/>
        </w:rPr>
        <w:t xml:space="preserve">empêche pas non plus que des personnes qui ont omis de prendre les précautions requises soient tenues responsables. </w:t>
      </w:r>
      <w:r w:rsidRPr="000E25BD">
        <w:rPr>
          <w:szCs w:val="24"/>
          <w:lang w:val="fr-CA"/>
        </w:rPr>
        <w:t>Lorsque le risque de baisse des prix du marché ou de fraude commise par un tiers se matérialise et que les avocats n</w:t>
      </w:r>
      <w:r>
        <w:rPr>
          <w:szCs w:val="24"/>
          <w:lang w:val="fr-CA"/>
        </w:rPr>
        <w:t>’</w:t>
      </w:r>
      <w:r w:rsidRPr="000E25BD">
        <w:rPr>
          <w:szCs w:val="24"/>
          <w:lang w:val="fr-CA"/>
        </w:rPr>
        <w:t>ont pas respecté les normes de conduite professionnelle destinées à protéger leurs clients contre ce risque précis, ils peuvent être tenus responsables des pertes subies par leurs clients au titre de leurs placements. En l</w:t>
      </w:r>
      <w:r>
        <w:rPr>
          <w:szCs w:val="24"/>
          <w:lang w:val="fr-CA"/>
        </w:rPr>
        <w:t>’</w:t>
      </w:r>
      <w:r w:rsidRPr="000E25BD">
        <w:rPr>
          <w:szCs w:val="24"/>
          <w:lang w:val="fr-CA"/>
        </w:rPr>
        <w:t xml:space="preserve">espèce, il ne fait aucun doute que </w:t>
      </w:r>
      <w:r w:rsidRPr="000E25BD">
        <w:rPr>
          <w:lang w:val="fr-CA"/>
        </w:rPr>
        <w:t>les conclusions de la juge de première instance quant à l</w:t>
      </w:r>
      <w:r>
        <w:rPr>
          <w:lang w:val="fr-CA"/>
        </w:rPr>
        <w:t>’</w:t>
      </w:r>
      <w:r w:rsidRPr="000E25BD">
        <w:rPr>
          <w:lang w:val="fr-CA"/>
        </w:rPr>
        <w:t>ampleur des fautes de l</w:t>
      </w:r>
      <w:r>
        <w:rPr>
          <w:lang w:val="fr-CA"/>
        </w:rPr>
        <w:t>’</w:t>
      </w:r>
      <w:r w:rsidRPr="000E25BD">
        <w:rPr>
          <w:lang w:val="fr-CA"/>
        </w:rPr>
        <w:t>avocat ont influencé son analyse du lien de causalité. Il était artificiel d</w:t>
      </w:r>
      <w:r>
        <w:rPr>
          <w:lang w:val="fr-CA"/>
        </w:rPr>
        <w:t>’</w:t>
      </w:r>
      <w:r w:rsidRPr="000E25BD">
        <w:rPr>
          <w:lang w:val="fr-CA"/>
        </w:rPr>
        <w:t>apprécier la preuve de façon compartimentée en se fondant sur la chronologie des faits et sur les fonds précis qui avaient été recommandés. La conclusion erronée de la juge de première instance suivant laquelle l</w:t>
      </w:r>
      <w:r>
        <w:rPr>
          <w:lang w:val="fr-CA"/>
        </w:rPr>
        <w:t>’</w:t>
      </w:r>
      <w:r w:rsidRPr="000E25BD">
        <w:rPr>
          <w:lang w:val="fr-CA"/>
        </w:rPr>
        <w:t>avocat n</w:t>
      </w:r>
      <w:r>
        <w:rPr>
          <w:lang w:val="fr-CA"/>
        </w:rPr>
        <w:t>’</w:t>
      </w:r>
      <w:r w:rsidRPr="000E25BD">
        <w:rPr>
          <w:lang w:val="fr-CA"/>
        </w:rPr>
        <w:t>a pas manqué à son devoir de loyauté a également faussé son analyse de la causalité. Considérées globalement, les fautes de l</w:t>
      </w:r>
      <w:r>
        <w:rPr>
          <w:lang w:val="fr-CA"/>
        </w:rPr>
        <w:t>’</w:t>
      </w:r>
      <w:r w:rsidRPr="000E25BD">
        <w:rPr>
          <w:lang w:val="fr-CA"/>
        </w:rPr>
        <w:t>avocat relativement à son devoir de conseil et à son devoir de loyauté constituent une cause véritable des pertes subies par ses clientes. La fraude n</w:t>
      </w:r>
      <w:r>
        <w:rPr>
          <w:lang w:val="fr-CA"/>
        </w:rPr>
        <w:t>’</w:t>
      </w:r>
      <w:r w:rsidRPr="000E25BD">
        <w:rPr>
          <w:lang w:val="fr-CA"/>
        </w:rPr>
        <w:t>a pas rompu le lien de causalité; aucune perte n</w:t>
      </w:r>
      <w:r>
        <w:rPr>
          <w:lang w:val="fr-CA"/>
        </w:rPr>
        <w:t>’</w:t>
      </w:r>
      <w:r w:rsidRPr="000E25BD">
        <w:rPr>
          <w:lang w:val="fr-CA"/>
        </w:rPr>
        <w:t>aurait été subie sans les fautes commises au départ par l</w:t>
      </w:r>
      <w:r>
        <w:rPr>
          <w:lang w:val="fr-CA"/>
        </w:rPr>
        <w:t>’</w:t>
      </w:r>
      <w:r w:rsidRPr="000E25BD">
        <w:rPr>
          <w:lang w:val="fr-CA"/>
        </w:rPr>
        <w:t>avocat.</w:t>
      </w:r>
    </w:p>
    <w:p w:rsidR="0041746D" w:rsidRPr="000E25BD" w:rsidRDefault="0041746D" w:rsidP="0041746D">
      <w:pPr>
        <w:pStyle w:val="SCCNormalDoubleSpacing"/>
        <w:spacing w:after="480"/>
        <w:rPr>
          <w:lang w:val="fr-CA"/>
        </w:rPr>
      </w:pPr>
      <w:r w:rsidRPr="000E25BD">
        <w:rPr>
          <w:lang w:val="fr-CA"/>
        </w:rPr>
        <w:tab/>
      </w:r>
      <w:r w:rsidRPr="000E25BD">
        <w:rPr>
          <w:i/>
          <w:lang w:val="fr-CA"/>
        </w:rPr>
        <w:t xml:space="preserve">La </w:t>
      </w:r>
      <w:r w:rsidRPr="000E25BD">
        <w:rPr>
          <w:lang w:val="fr-CA"/>
        </w:rPr>
        <w:t>juge</w:t>
      </w:r>
      <w:r w:rsidRPr="000E25BD">
        <w:rPr>
          <w:i/>
          <w:lang w:val="fr-CA"/>
        </w:rPr>
        <w:t xml:space="preserve"> </w:t>
      </w:r>
      <w:r w:rsidRPr="002849A2">
        <w:rPr>
          <w:lang w:val="fr-CA"/>
        </w:rPr>
        <w:t xml:space="preserve">Côté </w:t>
      </w:r>
      <w:r w:rsidRPr="000E25BD">
        <w:rPr>
          <w:lang w:val="fr-CA"/>
        </w:rPr>
        <w:t>(dissidente)</w:t>
      </w:r>
      <w:r>
        <w:rPr>
          <w:lang w:val="fr-CA"/>
        </w:rPr>
        <w:t> :</w:t>
      </w:r>
      <w:r w:rsidRPr="000E25BD">
        <w:rPr>
          <w:lang w:val="fr-CA"/>
        </w:rPr>
        <w:t xml:space="preserve"> L</w:t>
      </w:r>
      <w:r>
        <w:rPr>
          <w:lang w:val="fr-CA"/>
        </w:rPr>
        <w:t>’</w:t>
      </w:r>
      <w:r w:rsidRPr="000E25BD">
        <w:rPr>
          <w:lang w:val="fr-CA"/>
        </w:rPr>
        <w:t>appel devrait être accueilli. La Cour d</w:t>
      </w:r>
      <w:r>
        <w:rPr>
          <w:lang w:val="fr-CA"/>
        </w:rPr>
        <w:t>’</w:t>
      </w:r>
      <w:r w:rsidRPr="000E25BD">
        <w:rPr>
          <w:lang w:val="fr-CA"/>
        </w:rPr>
        <w:t>appel n</w:t>
      </w:r>
      <w:r>
        <w:rPr>
          <w:lang w:val="fr-CA"/>
        </w:rPr>
        <w:t>’</w:t>
      </w:r>
      <w:r w:rsidRPr="000E25BD">
        <w:rPr>
          <w:lang w:val="fr-CA"/>
        </w:rPr>
        <w:t>aurait pas dû substituer sa propre analyse du dossier à celle de la juge du procès car aucune erreur manifeste et déterminante n</w:t>
      </w:r>
      <w:r>
        <w:rPr>
          <w:lang w:val="fr-CA"/>
        </w:rPr>
        <w:t>’</w:t>
      </w:r>
      <w:r w:rsidRPr="000E25BD">
        <w:rPr>
          <w:lang w:val="fr-CA"/>
        </w:rPr>
        <w:t>entachait les conclusions clés de la juge du procès. La Cour d</w:t>
      </w:r>
      <w:r>
        <w:rPr>
          <w:lang w:val="fr-CA"/>
        </w:rPr>
        <w:t>’</w:t>
      </w:r>
      <w:r w:rsidRPr="000E25BD">
        <w:rPr>
          <w:lang w:val="fr-CA"/>
        </w:rPr>
        <w:t>appel est intervenue à tort en se fondant sur de simples différences d</w:t>
      </w:r>
      <w:r>
        <w:rPr>
          <w:lang w:val="fr-CA"/>
        </w:rPr>
        <w:t>’</w:t>
      </w:r>
      <w:r w:rsidRPr="000E25BD">
        <w:rPr>
          <w:lang w:val="fr-CA"/>
        </w:rPr>
        <w:t>opinions concernant l</w:t>
      </w:r>
      <w:r>
        <w:rPr>
          <w:lang w:val="fr-CA"/>
        </w:rPr>
        <w:t>’</w:t>
      </w:r>
      <w:r w:rsidRPr="000E25BD">
        <w:rPr>
          <w:lang w:val="fr-CA"/>
        </w:rPr>
        <w:t xml:space="preserve">appréciation de la preuve, ce qui est manifestement </w:t>
      </w:r>
      <w:r w:rsidRPr="000E25BD">
        <w:rPr>
          <w:lang w:val="fr-CA"/>
        </w:rPr>
        <w:lastRenderedPageBreak/>
        <w:t>incompatible avec le rôle d</w:t>
      </w:r>
      <w:r>
        <w:rPr>
          <w:lang w:val="fr-CA"/>
        </w:rPr>
        <w:t>’</w:t>
      </w:r>
      <w:r w:rsidRPr="000E25BD">
        <w:rPr>
          <w:lang w:val="fr-CA"/>
        </w:rPr>
        <w:t>une juridiction d</w:t>
      </w:r>
      <w:r>
        <w:rPr>
          <w:lang w:val="fr-CA"/>
        </w:rPr>
        <w:t>’</w:t>
      </w:r>
      <w:r w:rsidRPr="000E25BD">
        <w:rPr>
          <w:lang w:val="fr-CA"/>
        </w:rPr>
        <w:t>appel. Lorsqu</w:t>
      </w:r>
      <w:r>
        <w:rPr>
          <w:lang w:val="fr-CA"/>
        </w:rPr>
        <w:t>’</w:t>
      </w:r>
      <w:r w:rsidRPr="000E25BD">
        <w:rPr>
          <w:lang w:val="fr-CA"/>
        </w:rPr>
        <w:t>une première juridiction d</w:t>
      </w:r>
      <w:r>
        <w:rPr>
          <w:lang w:val="fr-CA"/>
        </w:rPr>
        <w:t>’</w:t>
      </w:r>
      <w:r w:rsidRPr="000E25BD">
        <w:rPr>
          <w:lang w:val="fr-CA"/>
        </w:rPr>
        <w:t>appel modifie les conclusions du juge du procès en l</w:t>
      </w:r>
      <w:r>
        <w:rPr>
          <w:lang w:val="fr-CA"/>
        </w:rPr>
        <w:t>’</w:t>
      </w:r>
      <w:r w:rsidRPr="000E25BD">
        <w:rPr>
          <w:lang w:val="fr-CA"/>
        </w:rPr>
        <w:t>absence d</w:t>
      </w:r>
      <w:r>
        <w:rPr>
          <w:lang w:val="fr-CA"/>
        </w:rPr>
        <w:t>’</w:t>
      </w:r>
      <w:r w:rsidRPr="000E25BD">
        <w:rPr>
          <w:lang w:val="fr-CA"/>
        </w:rPr>
        <w:t>erreurs révisables, il appartient à la Cour d</w:t>
      </w:r>
      <w:r>
        <w:rPr>
          <w:lang w:val="fr-CA"/>
        </w:rPr>
        <w:t>’</w:t>
      </w:r>
      <w:r w:rsidRPr="000E25BD">
        <w:rPr>
          <w:lang w:val="fr-CA"/>
        </w:rPr>
        <w:t xml:space="preserve">intervenir et de rétablir la décision du juge du procès. </w:t>
      </w:r>
    </w:p>
    <w:p w:rsidR="0041746D" w:rsidRPr="000E25BD" w:rsidRDefault="0041746D" w:rsidP="0041746D">
      <w:pPr>
        <w:pStyle w:val="SCCNormalDoubleSpacing"/>
        <w:spacing w:after="480"/>
        <w:rPr>
          <w:lang w:val="fr-CA"/>
        </w:rPr>
      </w:pPr>
      <w:r w:rsidRPr="000E25BD">
        <w:rPr>
          <w:lang w:val="fr-CA"/>
        </w:rPr>
        <w:tab/>
        <w:t>Pour ce qui est des questions de fait ou des questions mixtes de fait et de droit, une cour d</w:t>
      </w:r>
      <w:r>
        <w:rPr>
          <w:lang w:val="fr-CA"/>
        </w:rPr>
        <w:t>’</w:t>
      </w:r>
      <w:r w:rsidRPr="000E25BD">
        <w:rPr>
          <w:lang w:val="fr-CA"/>
        </w:rPr>
        <w:t>appel ne peut tirer ses propres conclusions et inférences que s</w:t>
      </w:r>
      <w:r>
        <w:rPr>
          <w:lang w:val="fr-CA"/>
        </w:rPr>
        <w:t>’</w:t>
      </w:r>
      <w:r w:rsidRPr="000E25BD">
        <w:rPr>
          <w:lang w:val="fr-CA"/>
        </w:rPr>
        <w:t>il est établi que le juge du procès a commis une erreur manifeste et déterminante. Pour pouvoir intervenir à l</w:t>
      </w:r>
      <w:r>
        <w:rPr>
          <w:lang w:val="fr-CA"/>
        </w:rPr>
        <w:t>’</w:t>
      </w:r>
      <w:r w:rsidRPr="000E25BD">
        <w:rPr>
          <w:lang w:val="fr-CA"/>
        </w:rPr>
        <w:t>égard de la décision d</w:t>
      </w:r>
      <w:r>
        <w:rPr>
          <w:lang w:val="fr-CA"/>
        </w:rPr>
        <w:t>’</w:t>
      </w:r>
      <w:r w:rsidRPr="000E25BD">
        <w:rPr>
          <w:lang w:val="fr-CA"/>
        </w:rPr>
        <w:t>un juge du procès, la juridiction d</w:t>
      </w:r>
      <w:r>
        <w:rPr>
          <w:lang w:val="fr-CA"/>
        </w:rPr>
        <w:t>’</w:t>
      </w:r>
      <w:r w:rsidRPr="000E25BD">
        <w:rPr>
          <w:lang w:val="fr-CA"/>
        </w:rPr>
        <w:t>appel doit cibler une erreur précise et discernable qui n</w:t>
      </w:r>
      <w:r>
        <w:rPr>
          <w:lang w:val="fr-CA"/>
        </w:rPr>
        <w:t>’</w:t>
      </w:r>
      <w:r w:rsidRPr="000E25BD">
        <w:rPr>
          <w:lang w:val="fr-CA"/>
        </w:rPr>
        <w:t>équivaut pas simplement à une divergence d</w:t>
      </w:r>
      <w:r>
        <w:rPr>
          <w:lang w:val="fr-CA"/>
        </w:rPr>
        <w:t xml:space="preserve">’opinions, </w:t>
      </w:r>
      <w:r w:rsidRPr="000E25BD">
        <w:rPr>
          <w:lang w:val="fr-CA"/>
        </w:rPr>
        <w:t>et il doit aussi être</w:t>
      </w:r>
      <w:r w:rsidRPr="000E25BD">
        <w:rPr>
          <w:i/>
          <w:lang w:val="fr-CA"/>
        </w:rPr>
        <w:t xml:space="preserve"> </w:t>
      </w:r>
      <w:r w:rsidRPr="000E25BD">
        <w:rPr>
          <w:lang w:val="fr-CA"/>
        </w:rPr>
        <w:t>démontré que l</w:t>
      </w:r>
      <w:r>
        <w:rPr>
          <w:lang w:val="fr-CA"/>
        </w:rPr>
        <w:t>’</w:t>
      </w:r>
      <w:r w:rsidRPr="000E25BD">
        <w:rPr>
          <w:lang w:val="fr-CA"/>
        </w:rPr>
        <w:t>erreur est déterminante pour l</w:t>
      </w:r>
      <w:r>
        <w:rPr>
          <w:lang w:val="fr-CA"/>
        </w:rPr>
        <w:t>’</w:t>
      </w:r>
      <w:r w:rsidRPr="000E25BD">
        <w:rPr>
          <w:lang w:val="fr-CA"/>
        </w:rPr>
        <w:t>issue de l</w:t>
      </w:r>
      <w:r>
        <w:rPr>
          <w:lang w:val="fr-CA"/>
        </w:rPr>
        <w:t>’</w:t>
      </w:r>
      <w:r w:rsidRPr="000E25BD">
        <w:rPr>
          <w:lang w:val="fr-CA"/>
        </w:rPr>
        <w:t>affaire. Identifier une erreur manifeste et déterminante n</w:t>
      </w:r>
      <w:r>
        <w:rPr>
          <w:lang w:val="fr-CA"/>
        </w:rPr>
        <w:t>’</w:t>
      </w:r>
      <w:r w:rsidRPr="000E25BD">
        <w:rPr>
          <w:lang w:val="fr-CA"/>
        </w:rPr>
        <w:t>exige pas un examen de l</w:t>
      </w:r>
      <w:r>
        <w:rPr>
          <w:lang w:val="fr-CA"/>
        </w:rPr>
        <w:t>’</w:t>
      </w:r>
      <w:r w:rsidRPr="000E25BD">
        <w:rPr>
          <w:lang w:val="fr-CA"/>
        </w:rPr>
        <w:t>ensemble de la preuve. L</w:t>
      </w:r>
      <w:r>
        <w:rPr>
          <w:lang w:val="fr-CA"/>
        </w:rPr>
        <w:t>’</w:t>
      </w:r>
      <w:r w:rsidRPr="000E25BD">
        <w:rPr>
          <w:lang w:val="fr-CA"/>
        </w:rPr>
        <w:t>examen doit être axé sur les motifs du juge du procès et, au besoin, sur des éléments de preuve précis sur lesquels l</w:t>
      </w:r>
      <w:r>
        <w:rPr>
          <w:lang w:val="fr-CA"/>
        </w:rPr>
        <w:t>’</w:t>
      </w:r>
      <w:r w:rsidRPr="000E25BD">
        <w:rPr>
          <w:lang w:val="fr-CA"/>
        </w:rPr>
        <w:t>appelant attire l</w:t>
      </w:r>
      <w:r>
        <w:rPr>
          <w:lang w:val="fr-CA"/>
        </w:rPr>
        <w:t>’</w:t>
      </w:r>
      <w:r w:rsidRPr="000E25BD">
        <w:rPr>
          <w:lang w:val="fr-CA"/>
        </w:rPr>
        <w:t>attention de la cour d</w:t>
      </w:r>
      <w:r>
        <w:rPr>
          <w:lang w:val="fr-CA"/>
        </w:rPr>
        <w:t>’</w:t>
      </w:r>
      <w:r w:rsidRPr="000E25BD">
        <w:rPr>
          <w:lang w:val="fr-CA"/>
        </w:rPr>
        <w:t>appel afin de montrer qu</w:t>
      </w:r>
      <w:r>
        <w:rPr>
          <w:lang w:val="fr-CA"/>
        </w:rPr>
        <w:t>’</w:t>
      </w:r>
      <w:r w:rsidRPr="000E25BD">
        <w:rPr>
          <w:lang w:val="fr-CA"/>
        </w:rPr>
        <w:t>une conclusion donnée n</w:t>
      </w:r>
      <w:r>
        <w:rPr>
          <w:lang w:val="fr-CA"/>
        </w:rPr>
        <w:t>’</w:t>
      </w:r>
      <w:r w:rsidRPr="000E25BD">
        <w:rPr>
          <w:lang w:val="fr-CA"/>
        </w:rPr>
        <w:t>est pas étayée par la preuve. Il serait inapproprié que la cour d</w:t>
      </w:r>
      <w:r>
        <w:rPr>
          <w:lang w:val="fr-CA"/>
        </w:rPr>
        <w:t>’</w:t>
      </w:r>
      <w:r w:rsidRPr="000E25BD">
        <w:rPr>
          <w:lang w:val="fr-CA"/>
        </w:rPr>
        <w:t>appel procède à sa propre appréciation indépendante de la preuve, pour ensuite relever les conclusions du juge du procès auxquelles elle ne souscrit pas et conclure que celles</w:t>
      </w:r>
      <w:r>
        <w:rPr>
          <w:lang w:val="fr-CA"/>
        </w:rPr>
        <w:noBreakHyphen/>
      </w:r>
      <w:r w:rsidRPr="000E25BD">
        <w:rPr>
          <w:lang w:val="fr-CA"/>
        </w:rPr>
        <w:t>ci découlent d</w:t>
      </w:r>
      <w:r>
        <w:rPr>
          <w:lang w:val="fr-CA"/>
        </w:rPr>
        <w:t>’</w:t>
      </w:r>
      <w:r w:rsidRPr="000E25BD">
        <w:rPr>
          <w:lang w:val="fr-CA"/>
        </w:rPr>
        <w:t>erreurs manifestes et dominantes afin de justifier son intervention. Les juridictions d</w:t>
      </w:r>
      <w:r>
        <w:rPr>
          <w:lang w:val="fr-CA"/>
        </w:rPr>
        <w:t>’</w:t>
      </w:r>
      <w:r w:rsidRPr="000E25BD">
        <w:rPr>
          <w:lang w:val="fr-CA"/>
        </w:rPr>
        <w:t>appel, en comparaison aux juges du procès, ne sont pas bien outillées pour la tâche de tirer des conclusions de fait, et doivent donc laisser cette tâche à ceux</w:t>
      </w:r>
      <w:r>
        <w:rPr>
          <w:lang w:val="fr-CA"/>
        </w:rPr>
        <w:noBreakHyphen/>
      </w:r>
      <w:r w:rsidRPr="000E25BD">
        <w:rPr>
          <w:lang w:val="fr-CA"/>
        </w:rPr>
        <w:t xml:space="preserve">ci. </w:t>
      </w:r>
    </w:p>
    <w:p w:rsidR="0041746D" w:rsidRPr="000E25BD" w:rsidRDefault="0041746D" w:rsidP="0041746D">
      <w:pPr>
        <w:pStyle w:val="SCCNormalDoubleSpacing"/>
        <w:spacing w:after="480"/>
        <w:rPr>
          <w:lang w:val="fr-CA"/>
        </w:rPr>
      </w:pPr>
      <w:r w:rsidRPr="000E25BD">
        <w:rPr>
          <w:lang w:val="fr-CA"/>
        </w:rPr>
        <w:tab/>
        <w:t>La métaphore du prisme déformant n</w:t>
      </w:r>
      <w:r>
        <w:rPr>
          <w:lang w:val="fr-CA"/>
        </w:rPr>
        <w:t>’</w:t>
      </w:r>
      <w:r w:rsidRPr="000E25BD">
        <w:rPr>
          <w:lang w:val="fr-CA"/>
        </w:rPr>
        <w:t>écarte pas l</w:t>
      </w:r>
      <w:r>
        <w:rPr>
          <w:lang w:val="fr-CA"/>
        </w:rPr>
        <w:t>’</w:t>
      </w:r>
      <w:r w:rsidRPr="000E25BD">
        <w:rPr>
          <w:lang w:val="fr-CA"/>
        </w:rPr>
        <w:t>obligation de relever la présence d</w:t>
      </w:r>
      <w:r>
        <w:rPr>
          <w:lang w:val="fr-CA"/>
        </w:rPr>
        <w:t>’</w:t>
      </w:r>
      <w:r w:rsidRPr="000E25BD">
        <w:rPr>
          <w:lang w:val="fr-CA"/>
        </w:rPr>
        <w:t xml:space="preserve">erreurs révisables conformément aux normes formulées dans </w:t>
      </w:r>
      <w:r w:rsidRPr="000E25BD">
        <w:rPr>
          <w:i/>
          <w:lang w:val="fr-CA"/>
        </w:rPr>
        <w:t>Housen</w:t>
      </w:r>
      <w:r w:rsidRPr="000E25BD">
        <w:rPr>
          <w:lang w:val="fr-CA"/>
        </w:rPr>
        <w:t>. Un « prisme déformant » ne peut justifier un examen général de l</w:t>
      </w:r>
      <w:r>
        <w:rPr>
          <w:lang w:val="fr-CA"/>
        </w:rPr>
        <w:t>’</w:t>
      </w:r>
      <w:r w:rsidRPr="000E25BD">
        <w:rPr>
          <w:lang w:val="fr-CA"/>
        </w:rPr>
        <w:t>ensemble du dossier sauf s</w:t>
      </w:r>
      <w:r>
        <w:rPr>
          <w:lang w:val="fr-CA"/>
        </w:rPr>
        <w:t>’</w:t>
      </w:r>
      <w:r w:rsidRPr="000E25BD">
        <w:rPr>
          <w:lang w:val="fr-CA"/>
        </w:rPr>
        <w:t xml:space="preserve">il est démontré que le recours à un tel prisme déformant constitue, en soi, une erreur </w:t>
      </w:r>
      <w:r w:rsidRPr="000E25BD">
        <w:rPr>
          <w:lang w:val="fr-CA"/>
        </w:rPr>
        <w:lastRenderedPageBreak/>
        <w:t>ouvrant droit à révision. La métaphore du prisme déformant peut sans doute servir à illustrer la façon dont certaines erreurs manifestes vicient l</w:t>
      </w:r>
      <w:r>
        <w:rPr>
          <w:lang w:val="fr-CA"/>
        </w:rPr>
        <w:t>’</w:t>
      </w:r>
      <w:r w:rsidRPr="000E25BD">
        <w:rPr>
          <w:lang w:val="fr-CA"/>
        </w:rPr>
        <w:t>analyse de la preuve au point d</w:t>
      </w:r>
      <w:r>
        <w:rPr>
          <w:lang w:val="fr-CA"/>
        </w:rPr>
        <w:t>’</w:t>
      </w:r>
      <w:r w:rsidRPr="000E25BD">
        <w:rPr>
          <w:lang w:val="fr-CA"/>
        </w:rPr>
        <w:t>avoir un effet déterminant, mais une métaphore ne constitue toutefois pas une explication complète. La juridiction d</w:t>
      </w:r>
      <w:r>
        <w:rPr>
          <w:lang w:val="fr-CA"/>
        </w:rPr>
        <w:t>’</w:t>
      </w:r>
      <w:r w:rsidRPr="000E25BD">
        <w:rPr>
          <w:lang w:val="fr-CA"/>
        </w:rPr>
        <w:t>appel doit expliquer pourquoi le juge du procès a commis une erreur en analysant l</w:t>
      </w:r>
      <w:r>
        <w:rPr>
          <w:lang w:val="fr-CA"/>
        </w:rPr>
        <w:t>’</w:t>
      </w:r>
      <w:r w:rsidRPr="000E25BD">
        <w:rPr>
          <w:lang w:val="fr-CA"/>
        </w:rPr>
        <w:t>affaire sous l</w:t>
      </w:r>
      <w:r>
        <w:rPr>
          <w:lang w:val="fr-CA"/>
        </w:rPr>
        <w:t xml:space="preserve">’angle du « prisme </w:t>
      </w:r>
      <w:r w:rsidRPr="000E25BD">
        <w:rPr>
          <w:lang w:val="fr-CA"/>
        </w:rPr>
        <w:t>déformant » contesté, pourquoi cette erreur représente plus qu</w:t>
      </w:r>
      <w:r>
        <w:rPr>
          <w:lang w:val="fr-CA"/>
        </w:rPr>
        <w:t>’</w:t>
      </w:r>
      <w:r w:rsidRPr="000E25BD">
        <w:rPr>
          <w:lang w:val="fr-CA"/>
        </w:rPr>
        <w:t>une simple divergence d</w:t>
      </w:r>
      <w:r>
        <w:rPr>
          <w:lang w:val="fr-CA"/>
        </w:rPr>
        <w:t>’</w:t>
      </w:r>
      <w:r w:rsidRPr="000E25BD">
        <w:rPr>
          <w:lang w:val="fr-CA"/>
        </w:rPr>
        <w:t>opinions, et de quelle façon précise elle fausse l</w:t>
      </w:r>
      <w:r>
        <w:rPr>
          <w:lang w:val="fr-CA"/>
        </w:rPr>
        <w:t>’</w:t>
      </w:r>
      <w:r w:rsidRPr="000E25BD">
        <w:rPr>
          <w:lang w:val="fr-CA"/>
        </w:rPr>
        <w:t>analyse du juge du procès et influe sur l</w:t>
      </w:r>
      <w:r>
        <w:rPr>
          <w:lang w:val="fr-CA"/>
        </w:rPr>
        <w:t>’</w:t>
      </w:r>
      <w:r w:rsidRPr="000E25BD">
        <w:rPr>
          <w:lang w:val="fr-CA"/>
        </w:rPr>
        <w:t>issue de l</w:t>
      </w:r>
      <w:r>
        <w:rPr>
          <w:lang w:val="fr-CA"/>
        </w:rPr>
        <w:t>’</w:t>
      </w:r>
      <w:r w:rsidRPr="000E25BD">
        <w:rPr>
          <w:lang w:val="fr-CA"/>
        </w:rPr>
        <w:t xml:space="preserve">affaire. </w:t>
      </w:r>
    </w:p>
    <w:p w:rsidR="0041746D" w:rsidRPr="000E25BD" w:rsidRDefault="0041746D" w:rsidP="0041746D">
      <w:pPr>
        <w:pStyle w:val="SCCNormalDoubleSpacing"/>
        <w:spacing w:after="480"/>
        <w:rPr>
          <w:lang w:val="fr-CA"/>
        </w:rPr>
      </w:pPr>
      <w:r w:rsidRPr="000E25BD">
        <w:rPr>
          <w:lang w:val="fr-CA"/>
        </w:rPr>
        <w:tab/>
        <w:t>Il incombe à la Cour, en tant que juridiction d</w:t>
      </w:r>
      <w:r>
        <w:rPr>
          <w:lang w:val="fr-CA"/>
        </w:rPr>
        <w:t>’</w:t>
      </w:r>
      <w:r w:rsidRPr="000E25BD">
        <w:rPr>
          <w:lang w:val="fr-CA"/>
        </w:rPr>
        <w:t>appel de second et ultime ressort, de s</w:t>
      </w:r>
      <w:r>
        <w:rPr>
          <w:lang w:val="fr-CA"/>
        </w:rPr>
        <w:t>’</w:t>
      </w:r>
      <w:r w:rsidRPr="000E25BD">
        <w:rPr>
          <w:lang w:val="fr-CA"/>
        </w:rPr>
        <w:t>assurer que les conclusions de fait ou les conclusions mixtes de fait et de droit du juge du procès sont respectées, à moins que l</w:t>
      </w:r>
      <w:r>
        <w:rPr>
          <w:lang w:val="fr-CA"/>
        </w:rPr>
        <w:t>’</w:t>
      </w:r>
      <w:r w:rsidRPr="000E25BD">
        <w:rPr>
          <w:lang w:val="fr-CA"/>
        </w:rPr>
        <w:t>existence d</w:t>
      </w:r>
      <w:r>
        <w:rPr>
          <w:lang w:val="fr-CA"/>
        </w:rPr>
        <w:t>’</w:t>
      </w:r>
      <w:r w:rsidRPr="000E25BD">
        <w:rPr>
          <w:lang w:val="fr-CA"/>
        </w:rPr>
        <w:t>une erreur manifeste et déterminante ne soit établie. Bien que l</w:t>
      </w:r>
      <w:r>
        <w:rPr>
          <w:lang w:val="fr-CA"/>
        </w:rPr>
        <w:t>’</w:t>
      </w:r>
      <w:r w:rsidRPr="000E25BD">
        <w:rPr>
          <w:lang w:val="fr-CA"/>
        </w:rPr>
        <w:t>objet principal de l</w:t>
      </w:r>
      <w:r>
        <w:rPr>
          <w:lang w:val="fr-CA"/>
        </w:rPr>
        <w:t>’</w:t>
      </w:r>
      <w:r w:rsidRPr="000E25BD">
        <w:rPr>
          <w:lang w:val="fr-CA"/>
        </w:rPr>
        <w:t>examen de la Cour est la décision de la première juridiction d</w:t>
      </w:r>
      <w:r>
        <w:rPr>
          <w:lang w:val="fr-CA"/>
        </w:rPr>
        <w:t>’</w:t>
      </w:r>
      <w:r w:rsidRPr="000E25BD">
        <w:rPr>
          <w:lang w:val="fr-CA"/>
        </w:rPr>
        <w:t>appel, et non celle du juge du procès, la Cour doit nécessairement examiner les motifs du juge du procès pour déterminer si la première juridiction d</w:t>
      </w:r>
      <w:r>
        <w:rPr>
          <w:lang w:val="fr-CA"/>
        </w:rPr>
        <w:t>’</w:t>
      </w:r>
      <w:r w:rsidRPr="000E25BD">
        <w:rPr>
          <w:lang w:val="fr-CA"/>
        </w:rPr>
        <w:t>appel a correctement identifié des erreurs révisables. À cet égard, la Cour ne devrait pas faire montre de retenue à l</w:t>
      </w:r>
      <w:r>
        <w:rPr>
          <w:lang w:val="fr-CA"/>
        </w:rPr>
        <w:t>’</w:t>
      </w:r>
      <w:r w:rsidRPr="000E25BD">
        <w:rPr>
          <w:lang w:val="fr-CA"/>
        </w:rPr>
        <w:t>égard de la première juridiction d</w:t>
      </w:r>
      <w:r>
        <w:rPr>
          <w:lang w:val="fr-CA"/>
        </w:rPr>
        <w:t>’</w:t>
      </w:r>
      <w:r w:rsidRPr="000E25BD">
        <w:rPr>
          <w:lang w:val="fr-CA"/>
        </w:rPr>
        <w:t>appel en ce qui concerne l</w:t>
      </w:r>
      <w:r>
        <w:rPr>
          <w:lang w:val="fr-CA"/>
        </w:rPr>
        <w:t>’</w:t>
      </w:r>
      <w:r w:rsidRPr="000E25BD">
        <w:rPr>
          <w:lang w:val="fr-CA"/>
        </w:rPr>
        <w:t>identification des erreurs révisables. Lorsqu</w:t>
      </w:r>
      <w:r>
        <w:rPr>
          <w:lang w:val="fr-CA"/>
        </w:rPr>
        <w:t>’</w:t>
      </w:r>
      <w:r w:rsidRPr="000E25BD">
        <w:rPr>
          <w:lang w:val="fr-CA"/>
        </w:rPr>
        <w:t>elle examine une décision dans laquelle la première cour d</w:t>
      </w:r>
      <w:r>
        <w:rPr>
          <w:lang w:val="fr-CA"/>
        </w:rPr>
        <w:t>’</w:t>
      </w:r>
      <w:r w:rsidRPr="000E25BD">
        <w:rPr>
          <w:lang w:val="fr-CA"/>
        </w:rPr>
        <w:t>appel a substitué ses propres conclusions de fait, ou conclusions mixtes de fait et de droit, à celles du juge du procès, la Cour doit d</w:t>
      </w:r>
      <w:r>
        <w:rPr>
          <w:lang w:val="fr-CA"/>
        </w:rPr>
        <w:t>’</w:t>
      </w:r>
      <w:r w:rsidRPr="000E25BD">
        <w:rPr>
          <w:lang w:val="fr-CA"/>
        </w:rPr>
        <w:t>abord se demander si la première cour d</w:t>
      </w:r>
      <w:r>
        <w:rPr>
          <w:lang w:val="fr-CA"/>
        </w:rPr>
        <w:t>’</w:t>
      </w:r>
      <w:r w:rsidRPr="000E25BD">
        <w:rPr>
          <w:lang w:val="fr-CA"/>
        </w:rPr>
        <w:t>appel a correctement identifié des erreurs révisables. Dans la négative, les conclusions du juge du procès doivent être rétablies sans égard au bien</w:t>
      </w:r>
      <w:r>
        <w:rPr>
          <w:lang w:val="fr-CA"/>
        </w:rPr>
        <w:noBreakHyphen/>
      </w:r>
      <w:r w:rsidRPr="000E25BD">
        <w:rPr>
          <w:lang w:val="fr-CA"/>
        </w:rPr>
        <w:t>fondé des conclusions de la première cour d</w:t>
      </w:r>
      <w:r>
        <w:rPr>
          <w:lang w:val="fr-CA"/>
        </w:rPr>
        <w:t>’</w:t>
      </w:r>
      <w:r w:rsidRPr="000E25BD">
        <w:rPr>
          <w:lang w:val="fr-CA"/>
        </w:rPr>
        <w:t>appel. Cependant, si la Cour reconnaît que l</w:t>
      </w:r>
      <w:r>
        <w:rPr>
          <w:lang w:val="fr-CA"/>
        </w:rPr>
        <w:t>’</w:t>
      </w:r>
      <w:r w:rsidRPr="000E25BD">
        <w:rPr>
          <w:lang w:val="fr-CA"/>
        </w:rPr>
        <w:t>intervention était justifiée, elle doit se demander si la première cour d</w:t>
      </w:r>
      <w:r>
        <w:rPr>
          <w:lang w:val="fr-CA"/>
        </w:rPr>
        <w:t>’</w:t>
      </w:r>
      <w:r w:rsidRPr="000E25BD">
        <w:rPr>
          <w:lang w:val="fr-CA"/>
        </w:rPr>
        <w:t xml:space="preserve">appel a commis une erreur dans sa propre appréciation indépendante des éléments de </w:t>
      </w:r>
      <w:r w:rsidRPr="000E25BD">
        <w:rPr>
          <w:lang w:val="fr-CA"/>
        </w:rPr>
        <w:lastRenderedPageBreak/>
        <w:t>preuve pertinents. Ce n</w:t>
      </w:r>
      <w:r>
        <w:rPr>
          <w:lang w:val="fr-CA"/>
        </w:rPr>
        <w:t>’</w:t>
      </w:r>
      <w:r w:rsidRPr="000E25BD">
        <w:rPr>
          <w:lang w:val="fr-CA"/>
        </w:rPr>
        <w:t>est qu</w:t>
      </w:r>
      <w:r>
        <w:rPr>
          <w:lang w:val="fr-CA"/>
        </w:rPr>
        <w:t>’</w:t>
      </w:r>
      <w:r w:rsidRPr="000E25BD">
        <w:rPr>
          <w:lang w:val="fr-CA"/>
        </w:rPr>
        <w:t>à cette étape que la Cour fera preuve d</w:t>
      </w:r>
      <w:r>
        <w:rPr>
          <w:lang w:val="fr-CA"/>
        </w:rPr>
        <w:t>’</w:t>
      </w:r>
      <w:r w:rsidRPr="000E25BD">
        <w:rPr>
          <w:lang w:val="fr-CA"/>
        </w:rPr>
        <w:t>une certaine déférence, et elle évitera donc d</w:t>
      </w:r>
      <w:r>
        <w:rPr>
          <w:lang w:val="fr-CA"/>
        </w:rPr>
        <w:t>’</w:t>
      </w:r>
      <w:r w:rsidRPr="000E25BD">
        <w:rPr>
          <w:lang w:val="fr-CA"/>
        </w:rPr>
        <w:t>intervenir sauf si elle est clairement satisfaite que les conclusions de la première cour d</w:t>
      </w:r>
      <w:r>
        <w:rPr>
          <w:lang w:val="fr-CA"/>
        </w:rPr>
        <w:t>’</w:t>
      </w:r>
      <w:r w:rsidRPr="000E25BD">
        <w:rPr>
          <w:lang w:val="fr-CA"/>
        </w:rPr>
        <w:t xml:space="preserve">appel sont erronées. </w:t>
      </w:r>
    </w:p>
    <w:p w:rsidR="0041746D" w:rsidRPr="000E25BD" w:rsidRDefault="0041746D" w:rsidP="0041746D">
      <w:pPr>
        <w:pStyle w:val="SCCNormalDoubleSpacing"/>
        <w:spacing w:after="480"/>
        <w:rPr>
          <w:lang w:val="fr-CA"/>
        </w:rPr>
      </w:pPr>
      <w:r w:rsidRPr="000E25BD">
        <w:rPr>
          <w:lang w:val="fr-CA"/>
        </w:rPr>
        <w:tab/>
        <w:t>Dans le cas présent, la juge du procès n</w:t>
      </w:r>
      <w:r>
        <w:rPr>
          <w:lang w:val="fr-CA"/>
        </w:rPr>
        <w:t>’</w:t>
      </w:r>
      <w:r w:rsidRPr="000E25BD">
        <w:rPr>
          <w:lang w:val="fr-CA"/>
        </w:rPr>
        <w:t>a pas commis d</w:t>
      </w:r>
      <w:r>
        <w:rPr>
          <w:lang w:val="fr-CA"/>
        </w:rPr>
        <w:t>’</w:t>
      </w:r>
      <w:r w:rsidRPr="000E25BD">
        <w:rPr>
          <w:lang w:val="fr-CA"/>
        </w:rPr>
        <w:t>erreur manifeste et déterminante en ce qui concerne la faute et le lien de causalité. La Cour d</w:t>
      </w:r>
      <w:r>
        <w:rPr>
          <w:lang w:val="fr-CA"/>
        </w:rPr>
        <w:t>’</w:t>
      </w:r>
      <w:r w:rsidRPr="000E25BD">
        <w:rPr>
          <w:lang w:val="fr-CA"/>
        </w:rPr>
        <w:t>appel a simplement privilégié un « prisme » différent de celui auquel a recouru la juge du procès. De plus, elle s</w:t>
      </w:r>
      <w:r>
        <w:rPr>
          <w:lang w:val="fr-CA"/>
        </w:rPr>
        <w:t>’</w:t>
      </w:r>
      <w:r w:rsidRPr="000E25BD">
        <w:rPr>
          <w:lang w:val="fr-CA"/>
        </w:rPr>
        <w:t>est fondée sur un réexamen général de la preuve afin de déceler les erreurs dont il est question, ce qui est contraire à l</w:t>
      </w:r>
      <w:r>
        <w:rPr>
          <w:lang w:val="fr-CA"/>
        </w:rPr>
        <w:t>’</w:t>
      </w:r>
      <w:r w:rsidRPr="000E25BD">
        <w:rPr>
          <w:lang w:val="fr-CA"/>
        </w:rPr>
        <w:t xml:space="preserve">arrêt </w:t>
      </w:r>
      <w:r w:rsidRPr="000E25BD">
        <w:rPr>
          <w:i/>
          <w:lang w:val="fr-CA"/>
        </w:rPr>
        <w:t>Housen</w:t>
      </w:r>
      <w:r w:rsidRPr="000E25BD">
        <w:rPr>
          <w:lang w:val="fr-CA"/>
        </w:rPr>
        <w:t xml:space="preserve"> et à ceux rendus dans sa foulée. L</w:t>
      </w:r>
      <w:r>
        <w:rPr>
          <w:lang w:val="fr-CA"/>
        </w:rPr>
        <w:t>’</w:t>
      </w:r>
      <w:r w:rsidRPr="000E25BD">
        <w:rPr>
          <w:lang w:val="fr-CA"/>
        </w:rPr>
        <w:t>intervention de la Cour d</w:t>
      </w:r>
      <w:r>
        <w:rPr>
          <w:lang w:val="fr-CA"/>
        </w:rPr>
        <w:t>’</w:t>
      </w:r>
      <w:r w:rsidRPr="000E25BD">
        <w:rPr>
          <w:lang w:val="fr-CA"/>
        </w:rPr>
        <w:t>appel n</w:t>
      </w:r>
      <w:r>
        <w:rPr>
          <w:lang w:val="fr-CA"/>
        </w:rPr>
        <w:t>’</w:t>
      </w:r>
      <w:r w:rsidRPr="000E25BD">
        <w:rPr>
          <w:lang w:val="fr-CA"/>
        </w:rPr>
        <w:t xml:space="preserve">était pas justifiée et la Cour doit intervenir pour rétablir les conclusions de la juge du procès. </w:t>
      </w:r>
    </w:p>
    <w:p w:rsidR="0041746D" w:rsidRPr="000E25BD" w:rsidRDefault="0041746D" w:rsidP="0041746D">
      <w:pPr>
        <w:pStyle w:val="SCCNormalDoubleSpacing"/>
        <w:spacing w:after="480"/>
        <w:rPr>
          <w:lang w:val="fr-CA"/>
        </w:rPr>
      </w:pPr>
      <w:r w:rsidRPr="000E25BD">
        <w:rPr>
          <w:lang w:val="fr-CA"/>
        </w:rPr>
        <w:tab/>
        <w:t>Chaque fois que les avocats recommandent d</w:t>
      </w:r>
      <w:r>
        <w:rPr>
          <w:lang w:val="fr-CA"/>
        </w:rPr>
        <w:t>’</w:t>
      </w:r>
      <w:r w:rsidRPr="000E25BD">
        <w:rPr>
          <w:lang w:val="fr-CA"/>
        </w:rPr>
        <w:t>autres professionnels ou qu</w:t>
      </w:r>
      <w:r>
        <w:rPr>
          <w:lang w:val="fr-CA"/>
        </w:rPr>
        <w:t>’</w:t>
      </w:r>
      <w:r w:rsidRPr="000E25BD">
        <w:rPr>
          <w:lang w:val="fr-CA"/>
        </w:rPr>
        <w:t>ils expriment leur confiance en eux, ils doivent satisfaire à la norme de l</w:t>
      </w:r>
      <w:r>
        <w:rPr>
          <w:lang w:val="fr-CA"/>
        </w:rPr>
        <w:t>’</w:t>
      </w:r>
      <w:r w:rsidRPr="000E25BD">
        <w:rPr>
          <w:lang w:val="fr-CA"/>
        </w:rPr>
        <w:t>avocat raisonnablement compétent, prudent et diligent dans la même situation. Les avocats devraient faire des recherches sur les professionnels qu</w:t>
      </w:r>
      <w:r>
        <w:rPr>
          <w:lang w:val="fr-CA"/>
        </w:rPr>
        <w:t>’</w:t>
      </w:r>
      <w:r w:rsidRPr="000E25BD">
        <w:rPr>
          <w:lang w:val="fr-CA"/>
        </w:rPr>
        <w:t>ils recommandent afin d</w:t>
      </w:r>
      <w:r>
        <w:rPr>
          <w:lang w:val="fr-CA"/>
        </w:rPr>
        <w:t>’</w:t>
      </w:r>
      <w:r w:rsidRPr="000E25BD">
        <w:rPr>
          <w:lang w:val="fr-CA"/>
        </w:rPr>
        <w:t>en avoir une connaissance raisonnable, à moins qu</w:t>
      </w:r>
      <w:r>
        <w:rPr>
          <w:lang w:val="fr-CA"/>
        </w:rPr>
        <w:t>’</w:t>
      </w:r>
      <w:r w:rsidRPr="000E25BD">
        <w:rPr>
          <w:lang w:val="fr-CA"/>
        </w:rPr>
        <w:t>ils n</w:t>
      </w:r>
      <w:r>
        <w:rPr>
          <w:lang w:val="fr-CA"/>
        </w:rPr>
        <w:t>’</w:t>
      </w:r>
      <w:r w:rsidRPr="000E25BD">
        <w:rPr>
          <w:lang w:val="fr-CA"/>
        </w:rPr>
        <w:t xml:space="preserve">aient déjà eu une expérience de collaboration pertinente avec eux. </w:t>
      </w:r>
      <w:r>
        <w:rPr>
          <w:lang w:val="fr-CA"/>
        </w:rPr>
        <w:t xml:space="preserve">Toutes les </w:t>
      </w:r>
      <w:r w:rsidRPr="000E25BD">
        <w:rPr>
          <w:lang w:val="fr-CA"/>
        </w:rPr>
        <w:t>erreurs professionnelles relatives à ces recherches — ou à l</w:t>
      </w:r>
      <w:r>
        <w:rPr>
          <w:lang w:val="fr-CA"/>
        </w:rPr>
        <w:t>’</w:t>
      </w:r>
      <w:r w:rsidRPr="000E25BD">
        <w:rPr>
          <w:lang w:val="fr-CA"/>
        </w:rPr>
        <w:t>omission d</w:t>
      </w:r>
      <w:r>
        <w:rPr>
          <w:lang w:val="fr-CA"/>
        </w:rPr>
        <w:t>’</w:t>
      </w:r>
      <w:r w:rsidRPr="000E25BD">
        <w:rPr>
          <w:lang w:val="fr-CA"/>
        </w:rPr>
        <w:t>en faire — ne constitueront pas une faute si la conduite de l</w:t>
      </w:r>
      <w:r>
        <w:rPr>
          <w:lang w:val="fr-CA"/>
        </w:rPr>
        <w:t>’</w:t>
      </w:r>
      <w:r w:rsidRPr="000E25BD">
        <w:rPr>
          <w:lang w:val="fr-CA"/>
        </w:rPr>
        <w:t>avocat respecte la norme à laquelle il devrait se conformer, et les tribunaux doivent se garder de juger des recommandations à la lumière de faits découverts subséquemment. De plus, l</w:t>
      </w:r>
      <w:r>
        <w:rPr>
          <w:lang w:val="fr-CA"/>
        </w:rPr>
        <w:t>’</w:t>
      </w:r>
      <w:r w:rsidRPr="000E25BD">
        <w:rPr>
          <w:lang w:val="fr-CA"/>
        </w:rPr>
        <w:t>avocat n</w:t>
      </w:r>
      <w:r>
        <w:rPr>
          <w:lang w:val="fr-CA"/>
        </w:rPr>
        <w:t>’</w:t>
      </w:r>
      <w:r w:rsidRPr="000E25BD">
        <w:rPr>
          <w:lang w:val="fr-CA"/>
        </w:rPr>
        <w:t>est pas tenu de vérifier les conseils donnés par les professionnels qu</w:t>
      </w:r>
      <w:r>
        <w:rPr>
          <w:lang w:val="fr-CA"/>
        </w:rPr>
        <w:t>’</w:t>
      </w:r>
      <w:r w:rsidRPr="000E25BD">
        <w:rPr>
          <w:lang w:val="fr-CA"/>
        </w:rPr>
        <w:t>il a recommandés, vu que ce serait contraire à l</w:t>
      </w:r>
      <w:r>
        <w:rPr>
          <w:lang w:val="fr-CA"/>
        </w:rPr>
        <w:t>’</w:t>
      </w:r>
      <w:r w:rsidRPr="000E25BD">
        <w:rPr>
          <w:lang w:val="fr-CA"/>
        </w:rPr>
        <w:t xml:space="preserve">objectif de la recommandation. </w:t>
      </w:r>
    </w:p>
    <w:p w:rsidR="0041746D" w:rsidRPr="000E25BD" w:rsidRDefault="0041746D" w:rsidP="0041746D">
      <w:pPr>
        <w:pStyle w:val="SCCNormalDoubleSpacing"/>
        <w:spacing w:after="480"/>
        <w:rPr>
          <w:lang w:val="fr-CA"/>
        </w:rPr>
      </w:pPr>
      <w:r w:rsidRPr="000E25BD">
        <w:rPr>
          <w:lang w:val="fr-CA"/>
        </w:rPr>
        <w:lastRenderedPageBreak/>
        <w:tab/>
        <w:t>Dans la présente affaire, la Cour d</w:t>
      </w:r>
      <w:r>
        <w:rPr>
          <w:lang w:val="fr-CA"/>
        </w:rPr>
        <w:t>’</w:t>
      </w:r>
      <w:r w:rsidRPr="000E25BD">
        <w:rPr>
          <w:lang w:val="fr-CA"/>
        </w:rPr>
        <w:t>appel n</w:t>
      </w:r>
      <w:r>
        <w:rPr>
          <w:lang w:val="fr-CA"/>
        </w:rPr>
        <w:t>’</w:t>
      </w:r>
      <w:r w:rsidRPr="000E25BD">
        <w:rPr>
          <w:lang w:val="fr-CA"/>
        </w:rPr>
        <w:t>a pas identifié d</w:t>
      </w:r>
      <w:r>
        <w:rPr>
          <w:lang w:val="fr-CA"/>
        </w:rPr>
        <w:t>’</w:t>
      </w:r>
      <w:r w:rsidRPr="000E25BD">
        <w:rPr>
          <w:lang w:val="fr-CA"/>
        </w:rPr>
        <w:t>erreur révisable précise dans les motifs de la juge du procès concernant la recommandation initiale de l</w:t>
      </w:r>
      <w:r>
        <w:rPr>
          <w:lang w:val="fr-CA"/>
        </w:rPr>
        <w:t>’</w:t>
      </w:r>
      <w:r w:rsidRPr="000E25BD">
        <w:rPr>
          <w:lang w:val="fr-CA"/>
        </w:rPr>
        <w:t>avocat et ses témoignages subséquents de confiance. L</w:t>
      </w:r>
      <w:r>
        <w:rPr>
          <w:lang w:val="fr-CA"/>
        </w:rPr>
        <w:t>’</w:t>
      </w:r>
      <w:r w:rsidRPr="000E25BD">
        <w:rPr>
          <w:lang w:val="fr-CA"/>
        </w:rPr>
        <w:t>avocat n</w:t>
      </w:r>
      <w:r>
        <w:rPr>
          <w:lang w:val="fr-CA"/>
        </w:rPr>
        <w:t>’</w:t>
      </w:r>
      <w:r w:rsidRPr="000E25BD">
        <w:rPr>
          <w:lang w:val="fr-CA"/>
        </w:rPr>
        <w:t>a pas commis de faute en recommandant la société de placements et le conseiller financier et en témoignant de sa confiance en eux. Bien que l</w:t>
      </w:r>
      <w:r>
        <w:rPr>
          <w:lang w:val="fr-CA"/>
        </w:rPr>
        <w:t>’</w:t>
      </w:r>
      <w:r w:rsidRPr="000E25BD">
        <w:rPr>
          <w:lang w:val="fr-CA"/>
        </w:rPr>
        <w:t>avocat avait un devoir de conseil et un devoir de loyauté envers ses deux clientes, ces devoirs étaient dans une large mesure circonscrits par la nature et l</w:t>
      </w:r>
      <w:r>
        <w:rPr>
          <w:lang w:val="fr-CA"/>
        </w:rPr>
        <w:t>’</w:t>
      </w:r>
      <w:r w:rsidRPr="000E25BD">
        <w:rPr>
          <w:lang w:val="fr-CA"/>
        </w:rPr>
        <w:t>étendue mêmes de ses mandats. Les devoirs d</w:t>
      </w:r>
      <w:r>
        <w:rPr>
          <w:lang w:val="fr-CA"/>
        </w:rPr>
        <w:t>’</w:t>
      </w:r>
      <w:r w:rsidRPr="000E25BD">
        <w:rPr>
          <w:lang w:val="fr-CA"/>
        </w:rPr>
        <w:t>un avocat ne se résument pas toujours à l</w:t>
      </w:r>
      <w:r>
        <w:rPr>
          <w:lang w:val="fr-CA"/>
        </w:rPr>
        <w:t>’</w:t>
      </w:r>
      <w:r w:rsidRPr="000E25BD">
        <w:rPr>
          <w:lang w:val="fr-CA"/>
        </w:rPr>
        <w:t>étendue précise de son mandat, mais celle</w:t>
      </w:r>
      <w:r>
        <w:rPr>
          <w:lang w:val="fr-CA"/>
        </w:rPr>
        <w:noBreakHyphen/>
      </w:r>
      <w:r w:rsidRPr="000E25BD">
        <w:rPr>
          <w:lang w:val="fr-CA"/>
        </w:rPr>
        <w:t>ci constitue certainement l</w:t>
      </w:r>
      <w:r>
        <w:rPr>
          <w:lang w:val="fr-CA"/>
        </w:rPr>
        <w:t>’</w:t>
      </w:r>
      <w:r w:rsidRPr="000E25BD">
        <w:rPr>
          <w:lang w:val="fr-CA"/>
        </w:rPr>
        <w:t>une des considérations principales dont le juge doit tenir compte pour évaluer la responsabilité professionnelle. En l</w:t>
      </w:r>
      <w:r>
        <w:rPr>
          <w:lang w:val="fr-CA"/>
        </w:rPr>
        <w:t>’</w:t>
      </w:r>
      <w:r w:rsidRPr="000E25BD">
        <w:rPr>
          <w:lang w:val="fr-CA"/>
        </w:rPr>
        <w:t>espèce, vu que l</w:t>
      </w:r>
      <w:r>
        <w:rPr>
          <w:lang w:val="fr-CA"/>
        </w:rPr>
        <w:t>’</w:t>
      </w:r>
      <w:r w:rsidRPr="000E25BD">
        <w:rPr>
          <w:lang w:val="fr-CA"/>
        </w:rPr>
        <w:t>avocat n</w:t>
      </w:r>
      <w:r>
        <w:rPr>
          <w:lang w:val="fr-CA"/>
        </w:rPr>
        <w:t>’</w:t>
      </w:r>
      <w:r w:rsidRPr="000E25BD">
        <w:rPr>
          <w:lang w:val="fr-CA"/>
        </w:rPr>
        <w:t>avait aucun mandat précis en ce qui concerne les placements de ses clientes, il était opportun que la juge du procès évite d</w:t>
      </w:r>
      <w:r>
        <w:rPr>
          <w:lang w:val="fr-CA"/>
        </w:rPr>
        <w:t>’</w:t>
      </w:r>
      <w:r w:rsidRPr="000E25BD">
        <w:rPr>
          <w:lang w:val="fr-CA"/>
        </w:rPr>
        <w:t>adopter une approche trop large en ce qui concerne la responsabilité. La confiance de l</w:t>
      </w:r>
      <w:r>
        <w:rPr>
          <w:lang w:val="fr-CA"/>
        </w:rPr>
        <w:t>’</w:t>
      </w:r>
      <w:r w:rsidRPr="000E25BD">
        <w:rPr>
          <w:lang w:val="fr-CA"/>
        </w:rPr>
        <w:t>avocat en la compétence et la probité de la société de placements et le conseiller recommandé reposait sur une connaissance raisonnable. Il a donc agi comme l</w:t>
      </w:r>
      <w:r>
        <w:rPr>
          <w:lang w:val="fr-CA"/>
        </w:rPr>
        <w:t>’</w:t>
      </w:r>
      <w:r w:rsidRPr="000E25BD">
        <w:rPr>
          <w:lang w:val="fr-CA"/>
        </w:rPr>
        <w:t xml:space="preserve">aurait fait un avocat raisonnablement compétent, prudent et diligent dans la situation. </w:t>
      </w:r>
    </w:p>
    <w:p w:rsidR="0041746D" w:rsidRPr="000E25BD" w:rsidRDefault="0041746D" w:rsidP="0041746D">
      <w:pPr>
        <w:pStyle w:val="SCCNormalDoubleSpacing"/>
        <w:spacing w:after="480"/>
        <w:rPr>
          <w:lang w:val="fr-CA"/>
        </w:rPr>
      </w:pPr>
      <w:r w:rsidRPr="000E25BD">
        <w:rPr>
          <w:lang w:val="fr-CA"/>
        </w:rPr>
        <w:tab/>
        <w:t>Le devoir de conseil de l</w:t>
      </w:r>
      <w:r>
        <w:rPr>
          <w:lang w:val="fr-CA"/>
        </w:rPr>
        <w:t>’</w:t>
      </w:r>
      <w:r w:rsidRPr="000E25BD">
        <w:rPr>
          <w:lang w:val="fr-CA"/>
        </w:rPr>
        <w:t>avocat inclut généralement l</w:t>
      </w:r>
      <w:r>
        <w:rPr>
          <w:lang w:val="fr-CA"/>
        </w:rPr>
        <w:t>’</w:t>
      </w:r>
      <w:r w:rsidRPr="000E25BD">
        <w:rPr>
          <w:lang w:val="fr-CA"/>
        </w:rPr>
        <w:t>obligation d</w:t>
      </w:r>
      <w:r>
        <w:rPr>
          <w:lang w:val="fr-CA"/>
        </w:rPr>
        <w:t>’</w:t>
      </w:r>
      <w:r w:rsidRPr="000E25BD">
        <w:rPr>
          <w:lang w:val="fr-CA"/>
        </w:rPr>
        <w:t>informer son client des faits pertinents, celle d</w:t>
      </w:r>
      <w:r>
        <w:rPr>
          <w:lang w:val="fr-CA"/>
        </w:rPr>
        <w:t>’</w:t>
      </w:r>
      <w:r w:rsidRPr="000E25BD">
        <w:rPr>
          <w:lang w:val="fr-CA"/>
        </w:rPr>
        <w:t>expliquer les options possibles et leurs conséquences et celle de recommander une ligne de conduite. Le contenu précis de ce devoir est toutefois hautement tributaire des circonstances, à savoir l</w:t>
      </w:r>
      <w:r>
        <w:rPr>
          <w:lang w:val="fr-CA"/>
        </w:rPr>
        <w:t>’</w:t>
      </w:r>
      <w:r w:rsidRPr="000E25BD">
        <w:rPr>
          <w:lang w:val="fr-CA"/>
        </w:rPr>
        <w:t>étendue du mandat, les obligations qu</w:t>
      </w:r>
      <w:r>
        <w:rPr>
          <w:lang w:val="fr-CA"/>
        </w:rPr>
        <w:t>’</w:t>
      </w:r>
      <w:r w:rsidRPr="000E25BD">
        <w:rPr>
          <w:lang w:val="fr-CA"/>
        </w:rPr>
        <w:t>assume l</w:t>
      </w:r>
      <w:r>
        <w:rPr>
          <w:lang w:val="fr-CA"/>
        </w:rPr>
        <w:t>’</w:t>
      </w:r>
      <w:r w:rsidRPr="000E25BD">
        <w:rPr>
          <w:lang w:val="fr-CA"/>
        </w:rPr>
        <w:t>avocat et ses domaines d</w:t>
      </w:r>
      <w:r>
        <w:rPr>
          <w:lang w:val="fr-CA"/>
        </w:rPr>
        <w:t>’</w:t>
      </w:r>
      <w:r w:rsidRPr="000E25BD">
        <w:rPr>
          <w:lang w:val="fr-CA"/>
        </w:rPr>
        <w:t>expertise. Dans la présente affaire, la juge du procès n</w:t>
      </w:r>
      <w:r>
        <w:rPr>
          <w:lang w:val="fr-CA"/>
        </w:rPr>
        <w:t>’</w:t>
      </w:r>
      <w:r w:rsidRPr="000E25BD">
        <w:rPr>
          <w:lang w:val="fr-CA"/>
        </w:rPr>
        <w:t>a commis aucune erreur manifeste et déterminante en concluant que la seule faute de l</w:t>
      </w:r>
      <w:r>
        <w:rPr>
          <w:lang w:val="fr-CA"/>
        </w:rPr>
        <w:t>’</w:t>
      </w:r>
      <w:r w:rsidRPr="000E25BD">
        <w:rPr>
          <w:lang w:val="fr-CA"/>
        </w:rPr>
        <w:t>avocat quant à son devoir de conseil a été de recommander des produits de placement précis. Comme l</w:t>
      </w:r>
      <w:r>
        <w:rPr>
          <w:lang w:val="fr-CA"/>
        </w:rPr>
        <w:t>’</w:t>
      </w:r>
      <w:r w:rsidRPr="000E25BD">
        <w:rPr>
          <w:lang w:val="fr-CA"/>
        </w:rPr>
        <w:t xml:space="preserve">a conclu la juge du procès, </w:t>
      </w:r>
      <w:r w:rsidRPr="000E25BD">
        <w:rPr>
          <w:lang w:val="fr-CA"/>
        </w:rPr>
        <w:lastRenderedPageBreak/>
        <w:t>l</w:t>
      </w:r>
      <w:r>
        <w:rPr>
          <w:lang w:val="fr-CA"/>
        </w:rPr>
        <w:t>’</w:t>
      </w:r>
      <w:r w:rsidRPr="000E25BD">
        <w:rPr>
          <w:lang w:val="fr-CA"/>
        </w:rPr>
        <w:t>avocat a omis d</w:t>
      </w:r>
      <w:r>
        <w:rPr>
          <w:lang w:val="fr-CA"/>
        </w:rPr>
        <w:t>’</w:t>
      </w:r>
      <w:r w:rsidRPr="000E25BD">
        <w:rPr>
          <w:lang w:val="fr-CA"/>
        </w:rPr>
        <w:t>agir comme l</w:t>
      </w:r>
      <w:r>
        <w:rPr>
          <w:lang w:val="fr-CA"/>
        </w:rPr>
        <w:t>’</w:t>
      </w:r>
      <w:r w:rsidRPr="000E25BD">
        <w:rPr>
          <w:lang w:val="fr-CA"/>
        </w:rPr>
        <w:t>aurait fait un avocat raisonnablement compétent, prudent et diligent lorsqu</w:t>
      </w:r>
      <w:r>
        <w:rPr>
          <w:lang w:val="fr-CA"/>
        </w:rPr>
        <w:t>’</w:t>
      </w:r>
      <w:r w:rsidRPr="000E25BD">
        <w:rPr>
          <w:lang w:val="fr-CA"/>
        </w:rPr>
        <w:t>il a recommandé des produits de placement précis et lorsqu</w:t>
      </w:r>
      <w:r>
        <w:rPr>
          <w:lang w:val="fr-CA"/>
        </w:rPr>
        <w:t>’</w:t>
      </w:r>
      <w:r w:rsidRPr="000E25BD">
        <w:rPr>
          <w:lang w:val="fr-CA"/>
        </w:rPr>
        <w:t>il a donné de son propre chef des conseils en matière de placements même si de tels conseils ne faisaient pas partie de ses mandats. En faisant cela, il a manqué à son devoir de conseil. D</w:t>
      </w:r>
      <w:r>
        <w:rPr>
          <w:lang w:val="fr-CA"/>
        </w:rPr>
        <w:t>’</w:t>
      </w:r>
      <w:r w:rsidRPr="000E25BD">
        <w:rPr>
          <w:lang w:val="fr-CA"/>
        </w:rPr>
        <w:t>ailleurs, dans la mesure où un avocat donne des conseils, il doit respecter la norme à laquelle se conformerait un avocat raisonnablement compétent, prudent et diligent dans la même situation, quelle que soit l</w:t>
      </w:r>
      <w:r>
        <w:rPr>
          <w:lang w:val="fr-CA"/>
        </w:rPr>
        <w:t>’</w:t>
      </w:r>
      <w:r w:rsidRPr="000E25BD">
        <w:rPr>
          <w:lang w:val="fr-CA"/>
        </w:rPr>
        <w:t xml:space="preserve">étendue précise de son mandat. </w:t>
      </w:r>
    </w:p>
    <w:p w:rsidR="0041746D" w:rsidRPr="000E25BD" w:rsidRDefault="0041746D" w:rsidP="0041746D">
      <w:pPr>
        <w:pStyle w:val="SCCNormalDoubleSpacing"/>
        <w:spacing w:after="480"/>
        <w:rPr>
          <w:lang w:val="fr-CA"/>
        </w:rPr>
      </w:pPr>
      <w:r w:rsidRPr="000E25BD">
        <w:rPr>
          <w:lang w:val="fr-CA"/>
        </w:rPr>
        <w:tab/>
        <w:t>La Cour d</w:t>
      </w:r>
      <w:r>
        <w:rPr>
          <w:lang w:val="fr-CA"/>
        </w:rPr>
        <w:t>’</w:t>
      </w:r>
      <w:r w:rsidRPr="000E25BD">
        <w:rPr>
          <w:lang w:val="fr-CA"/>
        </w:rPr>
        <w:t>appel disposait de certains éléments sur lesquels se fonder pour conclure que l</w:t>
      </w:r>
      <w:r>
        <w:rPr>
          <w:lang w:val="fr-CA"/>
        </w:rPr>
        <w:t>’</w:t>
      </w:r>
      <w:r w:rsidRPr="000E25BD">
        <w:rPr>
          <w:lang w:val="fr-CA"/>
        </w:rPr>
        <w:t>avocat a commis les mêmes fautes à l</w:t>
      </w:r>
      <w:r>
        <w:rPr>
          <w:lang w:val="fr-CA"/>
        </w:rPr>
        <w:t>’</w:t>
      </w:r>
      <w:r w:rsidRPr="000E25BD">
        <w:rPr>
          <w:lang w:val="fr-CA"/>
        </w:rPr>
        <w:t>égard de ses deux clientes, mais même si cette erreur est tenue pour manifeste, elle n</w:t>
      </w:r>
      <w:r>
        <w:rPr>
          <w:lang w:val="fr-CA"/>
        </w:rPr>
        <w:t>’</w:t>
      </w:r>
      <w:r w:rsidRPr="000E25BD">
        <w:rPr>
          <w:lang w:val="fr-CA"/>
        </w:rPr>
        <w:t>a pas eu d</w:t>
      </w:r>
      <w:r>
        <w:rPr>
          <w:lang w:val="fr-CA"/>
        </w:rPr>
        <w:t>’</w:t>
      </w:r>
      <w:r w:rsidRPr="000E25BD">
        <w:rPr>
          <w:lang w:val="fr-CA"/>
        </w:rPr>
        <w:t>incidence sur l</w:t>
      </w:r>
      <w:r>
        <w:rPr>
          <w:lang w:val="fr-CA"/>
        </w:rPr>
        <w:t>’</w:t>
      </w:r>
      <w:r w:rsidRPr="000E25BD">
        <w:rPr>
          <w:lang w:val="fr-CA"/>
        </w:rPr>
        <w:t>issue de l</w:t>
      </w:r>
      <w:r>
        <w:rPr>
          <w:lang w:val="fr-CA"/>
        </w:rPr>
        <w:t>’</w:t>
      </w:r>
      <w:r w:rsidRPr="000E25BD">
        <w:rPr>
          <w:lang w:val="fr-CA"/>
        </w:rPr>
        <w:t>affaire. Cette erreur ne permettait pas non plus à la Cour d</w:t>
      </w:r>
      <w:r>
        <w:rPr>
          <w:lang w:val="fr-CA"/>
        </w:rPr>
        <w:t>’</w:t>
      </w:r>
      <w:r w:rsidRPr="000E25BD">
        <w:rPr>
          <w:lang w:val="fr-CA"/>
        </w:rPr>
        <w:t>appel de procéder à un réexamen général de la preuve afin de déceler d</w:t>
      </w:r>
      <w:r>
        <w:rPr>
          <w:lang w:val="fr-CA"/>
        </w:rPr>
        <w:t>’</w:t>
      </w:r>
      <w:r w:rsidRPr="000E25BD">
        <w:rPr>
          <w:lang w:val="fr-CA"/>
        </w:rPr>
        <w:t xml:space="preserve">autres erreurs potentielles. </w:t>
      </w:r>
    </w:p>
    <w:p w:rsidR="0041746D" w:rsidRPr="000E25BD" w:rsidRDefault="0041746D" w:rsidP="0041746D">
      <w:pPr>
        <w:pStyle w:val="SCCNormalDoubleSpacing"/>
        <w:spacing w:after="480"/>
        <w:rPr>
          <w:lang w:val="fr-CA"/>
        </w:rPr>
      </w:pPr>
      <w:r w:rsidRPr="000E25BD">
        <w:rPr>
          <w:lang w:val="fr-CA"/>
        </w:rPr>
        <w:tab/>
        <w:t>L</w:t>
      </w:r>
      <w:r>
        <w:rPr>
          <w:lang w:val="fr-CA"/>
        </w:rPr>
        <w:t>’</w:t>
      </w:r>
      <w:r w:rsidRPr="000E25BD">
        <w:rPr>
          <w:lang w:val="fr-CA"/>
        </w:rPr>
        <w:t>analyse d</w:t>
      </w:r>
      <w:r>
        <w:rPr>
          <w:lang w:val="fr-CA"/>
        </w:rPr>
        <w:t>’</w:t>
      </w:r>
      <w:r w:rsidRPr="000E25BD">
        <w:rPr>
          <w:lang w:val="fr-CA"/>
        </w:rPr>
        <w:t>une faute reprochée quant au devoir de loyauté soulève des questions mixtes de fait et de droit et, à moins qu</w:t>
      </w:r>
      <w:r>
        <w:rPr>
          <w:lang w:val="fr-CA"/>
        </w:rPr>
        <w:t>’</w:t>
      </w:r>
      <w:r w:rsidRPr="000E25BD">
        <w:rPr>
          <w:lang w:val="fr-CA"/>
        </w:rPr>
        <w:t>on puisse facilement isoler une pure question de droit, la norme appropriée est celle de l</w:t>
      </w:r>
      <w:r>
        <w:rPr>
          <w:lang w:val="fr-CA"/>
        </w:rPr>
        <w:t>’</w:t>
      </w:r>
      <w:r w:rsidRPr="000E25BD">
        <w:rPr>
          <w:lang w:val="fr-CA"/>
        </w:rPr>
        <w:t>erreur manifeste et déterminante. Une question de droit isolable consiste généralement en une formulation erronée du critère juridique applicable ou en l</w:t>
      </w:r>
      <w:r>
        <w:rPr>
          <w:lang w:val="fr-CA"/>
        </w:rPr>
        <w:t>’</w:t>
      </w:r>
      <w:r w:rsidRPr="000E25BD">
        <w:rPr>
          <w:lang w:val="fr-CA"/>
        </w:rPr>
        <w:t>omission de tenir compte d</w:t>
      </w:r>
      <w:r>
        <w:rPr>
          <w:lang w:val="fr-CA"/>
        </w:rPr>
        <w:t>’</w:t>
      </w:r>
      <w:r w:rsidRPr="000E25BD">
        <w:rPr>
          <w:lang w:val="fr-CA"/>
        </w:rPr>
        <w:t>un élément essentiel de ce critère. L</w:t>
      </w:r>
      <w:r>
        <w:rPr>
          <w:lang w:val="fr-CA"/>
        </w:rPr>
        <w:t>’</w:t>
      </w:r>
      <w:r w:rsidRPr="000E25BD">
        <w:rPr>
          <w:lang w:val="fr-CA"/>
        </w:rPr>
        <w:t>analyse d</w:t>
      </w:r>
      <w:r>
        <w:rPr>
          <w:lang w:val="fr-CA"/>
        </w:rPr>
        <w:t>’</w:t>
      </w:r>
      <w:r w:rsidRPr="000E25BD">
        <w:rPr>
          <w:lang w:val="fr-CA"/>
        </w:rPr>
        <w:t>un prétendu conflit d</w:t>
      </w:r>
      <w:r>
        <w:rPr>
          <w:lang w:val="fr-CA"/>
        </w:rPr>
        <w:t>’</w:t>
      </w:r>
      <w:r w:rsidRPr="000E25BD">
        <w:rPr>
          <w:lang w:val="fr-CA"/>
        </w:rPr>
        <w:t>intérêts est intrinsèquement factuelle et les prétendus conflits d</w:t>
      </w:r>
      <w:r>
        <w:rPr>
          <w:lang w:val="fr-CA"/>
        </w:rPr>
        <w:t>’</w:t>
      </w:r>
      <w:r w:rsidRPr="000E25BD">
        <w:rPr>
          <w:lang w:val="fr-CA"/>
        </w:rPr>
        <w:t>intérêts doivent être évalués au cas par cas. Ce ne sont pas tous les possibles manquements au devoir de loyauté qui donneront ouverture à une action en responsabilité civile. Le tribunal doit analyser la nature et les circonstances du prétendu conflit afin de qualifier la contravention et de déterminer, le cas échéant, la réparation qui s</w:t>
      </w:r>
      <w:r>
        <w:rPr>
          <w:lang w:val="fr-CA"/>
        </w:rPr>
        <w:t>’</w:t>
      </w:r>
      <w:r w:rsidRPr="000E25BD">
        <w:rPr>
          <w:lang w:val="fr-CA"/>
        </w:rPr>
        <w:t xml:space="preserve">impose. </w:t>
      </w:r>
    </w:p>
    <w:p w:rsidR="0041746D" w:rsidRPr="000E25BD" w:rsidRDefault="0041746D" w:rsidP="0041746D">
      <w:pPr>
        <w:pStyle w:val="SCCNormalDoubleSpacing"/>
        <w:spacing w:after="480"/>
        <w:rPr>
          <w:lang w:val="fr-CA"/>
        </w:rPr>
      </w:pPr>
      <w:r w:rsidRPr="000E25BD">
        <w:rPr>
          <w:lang w:val="fr-CA"/>
        </w:rPr>
        <w:lastRenderedPageBreak/>
        <w:tab/>
        <w:t>Un juge de première instance n</w:t>
      </w:r>
      <w:r>
        <w:rPr>
          <w:lang w:val="fr-CA"/>
        </w:rPr>
        <w:t>’</w:t>
      </w:r>
      <w:r w:rsidRPr="000E25BD">
        <w:rPr>
          <w:lang w:val="fr-CA"/>
        </w:rPr>
        <w:t>est pas tenu de traiter en détail de chaque fait particulier allégué par les parties ou de chaque élément de preuve, et la décision de refuser de tirer une inférence relève entièrement du juge des faits. La question n</w:t>
      </w:r>
      <w:r>
        <w:rPr>
          <w:lang w:val="fr-CA"/>
        </w:rPr>
        <w:t>’</w:t>
      </w:r>
      <w:r w:rsidRPr="000E25BD">
        <w:rPr>
          <w:lang w:val="fr-CA"/>
        </w:rPr>
        <w:t>est pas de savoir si l</w:t>
      </w:r>
      <w:r>
        <w:rPr>
          <w:lang w:val="fr-CA"/>
        </w:rPr>
        <w:t>e</w:t>
      </w:r>
      <w:r w:rsidRPr="000E25BD">
        <w:rPr>
          <w:lang w:val="fr-CA"/>
        </w:rPr>
        <w:t xml:space="preserve"> juge du procès a écarté des éléments que la </w:t>
      </w:r>
      <w:r>
        <w:rPr>
          <w:lang w:val="fr-CA"/>
        </w:rPr>
        <w:t>c</w:t>
      </w:r>
      <w:r w:rsidRPr="000E25BD">
        <w:rPr>
          <w:lang w:val="fr-CA"/>
        </w:rPr>
        <w:t>our d</w:t>
      </w:r>
      <w:r>
        <w:rPr>
          <w:lang w:val="fr-CA"/>
        </w:rPr>
        <w:t>’</w:t>
      </w:r>
      <w:r w:rsidRPr="000E25BD">
        <w:rPr>
          <w:lang w:val="fr-CA"/>
        </w:rPr>
        <w:t>appel estime importants, mais plutôt si de telles omissions auraient pu avoir une incidence sur la conclusion. En l</w:t>
      </w:r>
      <w:r>
        <w:rPr>
          <w:lang w:val="fr-CA"/>
        </w:rPr>
        <w:t>’</w:t>
      </w:r>
      <w:r w:rsidRPr="000E25BD">
        <w:rPr>
          <w:lang w:val="fr-CA"/>
        </w:rPr>
        <w:t>espèce, la Cour d</w:t>
      </w:r>
      <w:r>
        <w:rPr>
          <w:lang w:val="fr-CA"/>
        </w:rPr>
        <w:t>’</w:t>
      </w:r>
      <w:r w:rsidRPr="000E25BD">
        <w:rPr>
          <w:lang w:val="fr-CA"/>
        </w:rPr>
        <w:t>appel a commis une erreur en infirmant la conclusion de la juge du procès selon laquelle l</w:t>
      </w:r>
      <w:r>
        <w:rPr>
          <w:lang w:val="fr-CA"/>
        </w:rPr>
        <w:t>’</w:t>
      </w:r>
      <w:r w:rsidRPr="000E25BD">
        <w:rPr>
          <w:lang w:val="fr-CA"/>
        </w:rPr>
        <w:t>avocat n</w:t>
      </w:r>
      <w:r>
        <w:rPr>
          <w:lang w:val="fr-CA"/>
        </w:rPr>
        <w:t>’</w:t>
      </w:r>
      <w:r w:rsidRPr="000E25BD">
        <w:rPr>
          <w:lang w:val="fr-CA"/>
        </w:rPr>
        <w:t>a pas manqué à son devoir de loyauté envers ses clientes. Elle a procédé au réexamen de la question du conflit d</w:t>
      </w:r>
      <w:r>
        <w:rPr>
          <w:lang w:val="fr-CA"/>
        </w:rPr>
        <w:t>’</w:t>
      </w:r>
      <w:r w:rsidRPr="000E25BD">
        <w:rPr>
          <w:lang w:val="fr-CA"/>
        </w:rPr>
        <w:t>intérêts en appliquant la norme de la décision correcte, comme si une question de droit avait été relevée. Cependant, la Cour d</w:t>
      </w:r>
      <w:r>
        <w:rPr>
          <w:lang w:val="fr-CA"/>
        </w:rPr>
        <w:t>’</w:t>
      </w:r>
      <w:r w:rsidRPr="000E25BD">
        <w:rPr>
          <w:lang w:val="fr-CA"/>
        </w:rPr>
        <w:t>appel n</w:t>
      </w:r>
      <w:r>
        <w:rPr>
          <w:lang w:val="fr-CA"/>
        </w:rPr>
        <w:t>’</w:t>
      </w:r>
      <w:r w:rsidRPr="000E25BD">
        <w:rPr>
          <w:lang w:val="fr-CA"/>
        </w:rPr>
        <w:t>a pas laissé entendre que la juge du procès avait omis de cerner les bons principes juridiques applicables à la faute reprochée liée au devoir de loyauté ou que sa description du critère juridique applicable comportait une erreur. La Cour d</w:t>
      </w:r>
      <w:r>
        <w:rPr>
          <w:lang w:val="fr-CA"/>
        </w:rPr>
        <w:t>’</w:t>
      </w:r>
      <w:r w:rsidRPr="000E25BD">
        <w:rPr>
          <w:lang w:val="fr-CA"/>
        </w:rPr>
        <w:t>appel n</w:t>
      </w:r>
      <w:r>
        <w:rPr>
          <w:lang w:val="fr-CA"/>
        </w:rPr>
        <w:t>’</w:t>
      </w:r>
      <w:r w:rsidRPr="000E25BD">
        <w:rPr>
          <w:lang w:val="fr-CA"/>
        </w:rPr>
        <w:t>a pas relevé la présence d</w:t>
      </w:r>
      <w:r>
        <w:rPr>
          <w:lang w:val="fr-CA"/>
        </w:rPr>
        <w:t>’</w:t>
      </w:r>
      <w:r w:rsidRPr="000E25BD">
        <w:rPr>
          <w:lang w:val="fr-CA"/>
        </w:rPr>
        <w:t>une erreur manifeste et déterminante et elle a procédé de façon inacceptable à un réexamen de l</w:t>
      </w:r>
      <w:r>
        <w:rPr>
          <w:lang w:val="fr-CA"/>
        </w:rPr>
        <w:t>’</w:t>
      </w:r>
      <w:r w:rsidRPr="000E25BD">
        <w:rPr>
          <w:lang w:val="fr-CA"/>
        </w:rPr>
        <w:t>ensemble de la preuve en se fondant sur une divergence d</w:t>
      </w:r>
      <w:r>
        <w:rPr>
          <w:lang w:val="fr-CA"/>
        </w:rPr>
        <w:t>’</w:t>
      </w:r>
      <w:r w:rsidRPr="000E25BD">
        <w:rPr>
          <w:lang w:val="fr-CA"/>
        </w:rPr>
        <w:t>opinions quant à l</w:t>
      </w:r>
      <w:r>
        <w:rPr>
          <w:lang w:val="fr-CA"/>
        </w:rPr>
        <w:t>’</w:t>
      </w:r>
      <w:r w:rsidRPr="000E25BD">
        <w:rPr>
          <w:lang w:val="fr-CA"/>
        </w:rPr>
        <w:t>importance qu</w:t>
      </w:r>
      <w:r>
        <w:rPr>
          <w:lang w:val="fr-CA"/>
        </w:rPr>
        <w:t>’</w:t>
      </w:r>
      <w:r w:rsidRPr="000E25BD">
        <w:rPr>
          <w:lang w:val="fr-CA"/>
        </w:rPr>
        <w:t>il faut donner à la preuve. Le fait que la Cour d</w:t>
      </w:r>
      <w:r>
        <w:rPr>
          <w:lang w:val="fr-CA"/>
        </w:rPr>
        <w:t>’</w:t>
      </w:r>
      <w:r w:rsidRPr="000E25BD">
        <w:rPr>
          <w:lang w:val="fr-CA"/>
        </w:rPr>
        <w:t>appel aurait apprécié différemment la preuve ou tiré des inférences différentes ne justifie pas son intervention. Même si la juge du procès n</w:t>
      </w:r>
      <w:r>
        <w:rPr>
          <w:lang w:val="fr-CA"/>
        </w:rPr>
        <w:t>’</w:t>
      </w:r>
      <w:r w:rsidRPr="000E25BD">
        <w:rPr>
          <w:lang w:val="fr-CA"/>
        </w:rPr>
        <w:t>a pas traité de certains aspects de la relation professionnelle qui unissait l</w:t>
      </w:r>
      <w:r>
        <w:rPr>
          <w:lang w:val="fr-CA"/>
        </w:rPr>
        <w:t>’</w:t>
      </w:r>
      <w:r w:rsidRPr="000E25BD">
        <w:rPr>
          <w:lang w:val="fr-CA"/>
        </w:rPr>
        <w:t>avocat et le conseiller recommandé, en particulier la divulgation par l</w:t>
      </w:r>
      <w:r>
        <w:rPr>
          <w:lang w:val="fr-CA"/>
        </w:rPr>
        <w:t>’</w:t>
      </w:r>
      <w:r w:rsidRPr="000E25BD">
        <w:rPr>
          <w:lang w:val="fr-CA"/>
        </w:rPr>
        <w:t>avocat de communications qu</w:t>
      </w:r>
      <w:r>
        <w:rPr>
          <w:lang w:val="fr-CA"/>
        </w:rPr>
        <w:t>’</w:t>
      </w:r>
      <w:r w:rsidRPr="000E25BD">
        <w:rPr>
          <w:lang w:val="fr-CA"/>
        </w:rPr>
        <w:t>il a eues avec sa cliente et le fait qu</w:t>
      </w:r>
      <w:r>
        <w:rPr>
          <w:lang w:val="fr-CA"/>
        </w:rPr>
        <w:t>’</w:t>
      </w:r>
      <w:r w:rsidRPr="000E25BD">
        <w:rPr>
          <w:lang w:val="fr-CA"/>
        </w:rPr>
        <w:t>il a collaboré avec le conseiller recommandé et la société de placements à au moins une occasion, de telles omissions n</w:t>
      </w:r>
      <w:r>
        <w:rPr>
          <w:lang w:val="fr-CA"/>
        </w:rPr>
        <w:t>’</w:t>
      </w:r>
      <w:r w:rsidRPr="000E25BD">
        <w:rPr>
          <w:lang w:val="fr-CA"/>
        </w:rPr>
        <w:t>ont pas eu d</w:t>
      </w:r>
      <w:r>
        <w:rPr>
          <w:lang w:val="fr-CA"/>
        </w:rPr>
        <w:t>’</w:t>
      </w:r>
      <w:r w:rsidRPr="000E25BD">
        <w:rPr>
          <w:lang w:val="fr-CA"/>
        </w:rPr>
        <w:t>incidence sur ses conclusions. La juge du procès a examiné comme il convient les facteurs qui auraient pu soulever des doutes quant à la loyauté et au dévouement exclusifs de l</w:t>
      </w:r>
      <w:r>
        <w:rPr>
          <w:lang w:val="fr-CA"/>
        </w:rPr>
        <w:t>’</w:t>
      </w:r>
      <w:r w:rsidRPr="000E25BD">
        <w:rPr>
          <w:lang w:val="fr-CA"/>
        </w:rPr>
        <w:t xml:space="preserve">avocat envers ses clientes, à savoir son amitié avec le conseiller recommandé et leur relation financière, notamment les </w:t>
      </w:r>
      <w:r w:rsidRPr="000E25BD">
        <w:rPr>
          <w:lang w:val="fr-CA"/>
        </w:rPr>
        <w:lastRenderedPageBreak/>
        <w:t>cadeaux ou les commissions qu</w:t>
      </w:r>
      <w:r>
        <w:rPr>
          <w:lang w:val="fr-CA"/>
        </w:rPr>
        <w:t>’</w:t>
      </w:r>
      <w:r w:rsidRPr="000E25BD">
        <w:rPr>
          <w:lang w:val="fr-CA"/>
        </w:rPr>
        <w:t>il a reçus. La juge du procès pouvait tirer la conclusion que de tels facteurs ne suffisaient pas à placer l</w:t>
      </w:r>
      <w:r>
        <w:rPr>
          <w:lang w:val="fr-CA"/>
        </w:rPr>
        <w:t>’</w:t>
      </w:r>
      <w:r w:rsidRPr="000E25BD">
        <w:rPr>
          <w:lang w:val="fr-CA"/>
        </w:rPr>
        <w:t>avocat dans une situation où son intérêt personnel entrerait en conflit avec celui de ses clientes, et il convient de faire preuve de déférence à l</w:t>
      </w:r>
      <w:r>
        <w:rPr>
          <w:lang w:val="fr-CA"/>
        </w:rPr>
        <w:t>’</w:t>
      </w:r>
      <w:r w:rsidRPr="000E25BD">
        <w:rPr>
          <w:lang w:val="fr-CA"/>
        </w:rPr>
        <w:t>égard de cette conclusion.</w:t>
      </w:r>
    </w:p>
    <w:p w:rsidR="0041746D" w:rsidRPr="000E25BD" w:rsidRDefault="0041746D" w:rsidP="0041746D">
      <w:pPr>
        <w:pStyle w:val="SCCNormalDoubleSpacing"/>
        <w:spacing w:after="480"/>
        <w:rPr>
          <w:lang w:val="fr-CA"/>
        </w:rPr>
      </w:pPr>
      <w:r w:rsidRPr="000E25BD">
        <w:rPr>
          <w:lang w:val="fr-CA"/>
        </w:rPr>
        <w:tab/>
        <w:t>Selon un principe fondamental de la responsabilité civile, une personne ne peut être tenue responsable que des préjudices causés par sa faute. Une cause véritable est établie lorsque le demandeur prouve que le préjudice est une conséquence logique, directe</w:t>
      </w:r>
      <w:r>
        <w:rPr>
          <w:lang w:val="fr-CA"/>
        </w:rPr>
        <w:t xml:space="preserve"> et immédiate de la faute. </w:t>
      </w:r>
      <w:r w:rsidRPr="000E25BD">
        <w:rPr>
          <w:lang w:val="fr-CA"/>
        </w:rPr>
        <w:t>En l</w:t>
      </w:r>
      <w:r>
        <w:rPr>
          <w:lang w:val="fr-CA"/>
        </w:rPr>
        <w:t>’</w:t>
      </w:r>
      <w:r w:rsidRPr="000E25BD">
        <w:rPr>
          <w:lang w:val="fr-CA"/>
        </w:rPr>
        <w:t>absence de toute preuve que la faute a directement causé le préjudice en totalité ou en partie, il ne suffit pas de démontrer que la faute a augmenté la probabilité qu</w:t>
      </w:r>
      <w:r>
        <w:rPr>
          <w:lang w:val="fr-CA"/>
        </w:rPr>
        <w:t>’</w:t>
      </w:r>
      <w:r w:rsidRPr="000E25BD">
        <w:rPr>
          <w:lang w:val="fr-CA"/>
        </w:rPr>
        <w:t>il y ait préjudice. L</w:t>
      </w:r>
      <w:r>
        <w:rPr>
          <w:lang w:val="fr-CA"/>
        </w:rPr>
        <w:t>’</w:t>
      </w:r>
      <w:r w:rsidRPr="000E25BD">
        <w:rPr>
          <w:lang w:val="fr-CA"/>
        </w:rPr>
        <w:t>analyse du lien de causalité demeure une démarche contextuelle qui se prête mal à la théorisation juridique. Il appartient au juge des faits de tirer une ligne, ou d</w:t>
      </w:r>
      <w:r>
        <w:rPr>
          <w:lang w:val="fr-CA"/>
        </w:rPr>
        <w:t>’</w:t>
      </w:r>
      <w:r w:rsidRPr="000E25BD">
        <w:rPr>
          <w:lang w:val="fr-CA"/>
        </w:rPr>
        <w:t>identifier le point de rupture, entre les conséquences qui découlent directement et immédiatement de la faute et les autres. Il ne suffit pas de prouver qu</w:t>
      </w:r>
      <w:r>
        <w:rPr>
          <w:lang w:val="fr-CA"/>
        </w:rPr>
        <w:t>’</w:t>
      </w:r>
      <w:r w:rsidRPr="000E25BD">
        <w:rPr>
          <w:lang w:val="fr-CA"/>
        </w:rPr>
        <w:t>un avocat a manqué à ses devoirs professionnels pour établir une responsabilité civile; un lien causal avec le préjudice doit aussi être établi. </w:t>
      </w:r>
    </w:p>
    <w:p w:rsidR="0041746D" w:rsidRPr="000E25BD" w:rsidRDefault="0041746D" w:rsidP="0041746D">
      <w:pPr>
        <w:pStyle w:val="SCCNormalDoubleSpacing"/>
        <w:spacing w:after="480"/>
        <w:rPr>
          <w:lang w:val="fr-CA"/>
        </w:rPr>
      </w:pPr>
      <w:r>
        <w:rPr>
          <w:lang w:val="fr-CA"/>
        </w:rPr>
        <w:tab/>
      </w:r>
      <w:r w:rsidRPr="000E25BD">
        <w:rPr>
          <w:lang w:val="fr-CA"/>
        </w:rPr>
        <w:t>Dans la présente affaire, la Cour d</w:t>
      </w:r>
      <w:r>
        <w:rPr>
          <w:lang w:val="fr-CA"/>
        </w:rPr>
        <w:t>’</w:t>
      </w:r>
      <w:r w:rsidRPr="000E25BD">
        <w:rPr>
          <w:lang w:val="fr-CA"/>
        </w:rPr>
        <w:t>appel n</w:t>
      </w:r>
      <w:r>
        <w:rPr>
          <w:lang w:val="fr-CA"/>
        </w:rPr>
        <w:t>’</w:t>
      </w:r>
      <w:r w:rsidRPr="000E25BD">
        <w:rPr>
          <w:lang w:val="fr-CA"/>
        </w:rPr>
        <w:t>aurait pas dû procéder à une nouvelle appréciation complète de la preuve et modifier les conclusions de la juge du procès concernant le lien de causalité en se fondant sur la métaphore du prisme déformant. La juge du procès pouvait donc conclure que la fraude est la seule cause véritable des pertes et que la recommandation de la société de placements et du conseiller financier n</w:t>
      </w:r>
      <w:r>
        <w:rPr>
          <w:lang w:val="fr-CA"/>
        </w:rPr>
        <w:t xml:space="preserve">’a pas de lien suffisamment </w:t>
      </w:r>
      <w:r w:rsidRPr="000E25BD">
        <w:rPr>
          <w:lang w:val="fr-CA"/>
        </w:rPr>
        <w:t>étroit avec le préjudice pour constituer une cause logique, directe et immédiate. Pour ce qui est des devoirs de loyauté et de confidentialité, il n</w:t>
      </w:r>
      <w:r>
        <w:rPr>
          <w:lang w:val="fr-CA"/>
        </w:rPr>
        <w:t>’</w:t>
      </w:r>
      <w:r w:rsidRPr="000E25BD">
        <w:rPr>
          <w:lang w:val="fr-CA"/>
        </w:rPr>
        <w:t xml:space="preserve">apparaît pas clairement de quelle façon les manquements reprochés </w:t>
      </w:r>
      <w:r w:rsidRPr="000E25BD">
        <w:rPr>
          <w:lang w:val="fr-CA"/>
        </w:rPr>
        <w:lastRenderedPageBreak/>
        <w:t>auraient pu causer les pertes. De plus, même si l</w:t>
      </w:r>
      <w:r>
        <w:rPr>
          <w:lang w:val="fr-CA"/>
        </w:rPr>
        <w:t>’</w:t>
      </w:r>
      <w:r w:rsidRPr="000E25BD">
        <w:rPr>
          <w:lang w:val="fr-CA"/>
        </w:rPr>
        <w:t>avocat avait effectivement commis d</w:t>
      </w:r>
      <w:r>
        <w:rPr>
          <w:lang w:val="fr-CA"/>
        </w:rPr>
        <w:t>’</w:t>
      </w:r>
      <w:r w:rsidRPr="000E25BD">
        <w:rPr>
          <w:lang w:val="fr-CA"/>
        </w:rPr>
        <w:t>autres fautes relativement à son devoir de conseil et à ses devoirs de loyauté et de confidentialité après avoir eu connaissance d</w:t>
      </w:r>
      <w:r>
        <w:rPr>
          <w:lang w:val="fr-CA"/>
        </w:rPr>
        <w:t>’</w:t>
      </w:r>
      <w:r w:rsidRPr="000E25BD">
        <w:rPr>
          <w:lang w:val="fr-CA"/>
        </w:rPr>
        <w:t>un article publié dans le journal qui soulevait des doutes relativement aux pratiques de la société de placements, l</w:t>
      </w:r>
      <w:r>
        <w:rPr>
          <w:lang w:val="fr-CA"/>
        </w:rPr>
        <w:t>’</w:t>
      </w:r>
      <w:r w:rsidRPr="000E25BD">
        <w:rPr>
          <w:lang w:val="fr-CA"/>
        </w:rPr>
        <w:t>issue aurait été la même étant donné que les fonds ne pouvaient plus être recouvrés à ce moment. Par conséquent, les fautes commises après cette date n</w:t>
      </w:r>
      <w:r>
        <w:rPr>
          <w:lang w:val="fr-CA"/>
        </w:rPr>
        <w:t>’</w:t>
      </w:r>
      <w:r w:rsidRPr="000E25BD">
        <w:rPr>
          <w:lang w:val="fr-CA"/>
        </w:rPr>
        <w:t xml:space="preserve">ont eu aucune conséquence sur les pertes. </w:t>
      </w:r>
    </w:p>
    <w:p w:rsidR="0041746D" w:rsidRPr="00EA7540" w:rsidRDefault="0041746D" w:rsidP="0041746D">
      <w:pPr>
        <w:pStyle w:val="SCCNormalDoubleSpacing"/>
        <w:spacing w:after="480"/>
        <w:rPr>
          <w:lang w:val="fr-CA"/>
        </w:rPr>
      </w:pPr>
      <w:r w:rsidRPr="00854ED3">
        <w:rPr>
          <w:rStyle w:val="Strong"/>
          <w:lang w:val="fr-CA"/>
        </w:rPr>
        <w:t>Jurisprudence</w:t>
      </w:r>
    </w:p>
    <w:p w:rsidR="0041746D" w:rsidRPr="000E25BD" w:rsidRDefault="0041746D" w:rsidP="0041746D">
      <w:pPr>
        <w:pStyle w:val="SCCNormalDoubleSpacing"/>
        <w:spacing w:after="480"/>
        <w:rPr>
          <w:lang w:val="fr-CA"/>
        </w:rPr>
      </w:pPr>
      <w:r w:rsidRPr="000E25BD">
        <w:rPr>
          <w:lang w:val="fr-CA"/>
        </w:rPr>
        <w:t xml:space="preserve">Citée </w:t>
      </w:r>
      <w:r w:rsidRPr="00EA7540">
        <w:rPr>
          <w:lang w:val="fr-CA"/>
        </w:rPr>
        <w:t>par</w:t>
      </w:r>
      <w:r w:rsidRPr="000E25BD">
        <w:rPr>
          <w:lang w:val="fr-CA"/>
        </w:rPr>
        <w:t xml:space="preserve"> le juge Gascon</w:t>
      </w:r>
    </w:p>
    <w:p w:rsidR="0041746D" w:rsidRPr="000E25BD" w:rsidRDefault="0041746D" w:rsidP="0041746D">
      <w:pPr>
        <w:pStyle w:val="SCCNormalDoubleSpacing"/>
        <w:spacing w:after="480"/>
        <w:rPr>
          <w:b/>
          <w:lang w:val="fr-CA"/>
        </w:rPr>
      </w:pPr>
      <w:r w:rsidRPr="000E25BD">
        <w:rPr>
          <w:b/>
          <w:lang w:val="fr-CA"/>
        </w:rPr>
        <w:tab/>
      </w:r>
      <w:r w:rsidRPr="000E25BD">
        <w:rPr>
          <w:rStyle w:val="Strong"/>
          <w:lang w:val="fr-CA"/>
        </w:rPr>
        <w:t>Distinction d</w:t>
      </w:r>
      <w:r>
        <w:rPr>
          <w:rStyle w:val="Strong"/>
          <w:lang w:val="fr-CA"/>
        </w:rPr>
        <w:t>’</w:t>
      </w:r>
      <w:r w:rsidRPr="000E25BD">
        <w:rPr>
          <w:rStyle w:val="Strong"/>
          <w:lang w:val="fr-CA"/>
        </w:rPr>
        <w:t>avec l</w:t>
      </w:r>
      <w:r>
        <w:rPr>
          <w:rStyle w:val="Strong"/>
          <w:lang w:val="fr-CA"/>
        </w:rPr>
        <w:t>’</w:t>
      </w:r>
      <w:r w:rsidRPr="000E25BD">
        <w:rPr>
          <w:rStyle w:val="Strong"/>
          <w:lang w:val="fr-CA"/>
        </w:rPr>
        <w:t>arrêt</w:t>
      </w:r>
      <w:r>
        <w:rPr>
          <w:rStyle w:val="Strong"/>
          <w:lang w:val="fr-CA"/>
        </w:rPr>
        <w:t> :</w:t>
      </w:r>
      <w:r w:rsidRPr="000E25BD">
        <w:rPr>
          <w:rStyle w:val="Strong"/>
          <w:lang w:val="fr-CA"/>
        </w:rPr>
        <w:t xml:space="preserve"> </w:t>
      </w:r>
      <w:r w:rsidRPr="000E25BD">
        <w:rPr>
          <w:i/>
          <w:lang w:val="fr-CA"/>
        </w:rPr>
        <w:t>Harris (Succession), Re</w:t>
      </w:r>
      <w:r w:rsidRPr="000E25BD">
        <w:rPr>
          <w:lang w:val="fr-CA"/>
        </w:rPr>
        <w:t>,</w:t>
      </w:r>
      <w:r w:rsidRPr="000E25BD">
        <w:rPr>
          <w:i/>
          <w:lang w:val="fr-CA"/>
        </w:rPr>
        <w:t xml:space="preserve"> </w:t>
      </w:r>
      <w:r w:rsidRPr="000E25BD">
        <w:rPr>
          <w:lang w:val="fr-CA"/>
        </w:rPr>
        <w:t xml:space="preserve">2016 QCCA 50, 25 C.C.L.T. (4th) 1; </w:t>
      </w:r>
      <w:r w:rsidRPr="000E25BD">
        <w:rPr>
          <w:b/>
          <w:lang w:val="fr-CA"/>
        </w:rPr>
        <w:t>arrêts mentionnés</w:t>
      </w:r>
      <w:r>
        <w:rPr>
          <w:b/>
          <w:lang w:val="fr-CA"/>
        </w:rPr>
        <w:t> :</w:t>
      </w:r>
      <w:r w:rsidRPr="000E25BD">
        <w:rPr>
          <w:b/>
          <w:lang w:val="fr-CA"/>
        </w:rPr>
        <w:t xml:space="preserve"> </w:t>
      </w:r>
      <w:r w:rsidRPr="000E25BD">
        <w:rPr>
          <w:i/>
          <w:lang w:val="fr-CA"/>
        </w:rPr>
        <w:t>Housen c. Nikolaisen</w:t>
      </w:r>
      <w:r w:rsidRPr="000E25BD">
        <w:rPr>
          <w:lang w:val="fr-CA"/>
        </w:rPr>
        <w:t xml:space="preserve">, 2002 CSC 33, [2002] 2 R.C.S. 235; </w:t>
      </w:r>
      <w:r w:rsidRPr="000E25BD">
        <w:rPr>
          <w:i/>
          <w:lang w:val="fr-CA"/>
        </w:rPr>
        <w:t>Montréal (Ville) c. Lonardi</w:t>
      </w:r>
      <w:r w:rsidRPr="000E25BD">
        <w:rPr>
          <w:lang w:val="fr-CA"/>
        </w:rPr>
        <w:t>, 2018 CSC 29</w:t>
      </w:r>
      <w:r w:rsidR="002849A2">
        <w:rPr>
          <w:lang w:val="fr-CA"/>
        </w:rPr>
        <w:t>, [2018] 2 R.C.S. 103</w:t>
      </w:r>
      <w:r w:rsidRPr="000E25BD">
        <w:rPr>
          <w:lang w:val="fr-CA"/>
        </w:rPr>
        <w:t xml:space="preserve">; </w:t>
      </w:r>
      <w:r w:rsidRPr="000E25BD">
        <w:rPr>
          <w:i/>
          <w:lang w:val="fr-CA"/>
        </w:rPr>
        <w:t>Benhaim c. St</w:t>
      </w:r>
      <w:r>
        <w:rPr>
          <w:i/>
          <w:lang w:val="fr-CA"/>
        </w:rPr>
        <w:noBreakHyphen/>
      </w:r>
      <w:r w:rsidRPr="000E25BD">
        <w:rPr>
          <w:i/>
          <w:lang w:val="fr-CA"/>
        </w:rPr>
        <w:t>Germain</w:t>
      </w:r>
      <w:r w:rsidRPr="000E25BD">
        <w:rPr>
          <w:lang w:val="fr-CA"/>
        </w:rPr>
        <w:t xml:space="preserve">, 2016 CSC 48, [2016] 2 R.C.S. 352; </w:t>
      </w:r>
      <w:r w:rsidRPr="000E25BD">
        <w:rPr>
          <w:i/>
          <w:lang w:val="fr-CA"/>
        </w:rPr>
        <w:t>3091</w:t>
      </w:r>
      <w:r>
        <w:rPr>
          <w:i/>
          <w:lang w:val="fr-CA"/>
        </w:rPr>
        <w:noBreakHyphen/>
      </w:r>
      <w:r w:rsidRPr="000E25BD">
        <w:rPr>
          <w:i/>
          <w:lang w:val="fr-CA"/>
        </w:rPr>
        <w:t xml:space="preserve">5177 Québec inc. (Éconolodge Aéroport) </w:t>
      </w:r>
      <w:r w:rsidRPr="000E25BD">
        <w:rPr>
          <w:i/>
          <w:iCs/>
          <w:lang w:val="fr-CA"/>
        </w:rPr>
        <w:t>c.</w:t>
      </w:r>
      <w:r w:rsidRPr="000E25BD">
        <w:rPr>
          <w:i/>
          <w:lang w:val="fr-CA"/>
        </w:rPr>
        <w:t xml:space="preserve"> Cie canadienne d</w:t>
      </w:r>
      <w:r>
        <w:rPr>
          <w:i/>
          <w:lang w:val="fr-CA"/>
        </w:rPr>
        <w:t>’</w:t>
      </w:r>
      <w:r w:rsidRPr="000E25BD">
        <w:rPr>
          <w:i/>
          <w:lang w:val="fr-CA"/>
        </w:rPr>
        <w:t>assurances générales Lombard</w:t>
      </w:r>
      <w:r w:rsidRPr="000E25BD">
        <w:rPr>
          <w:lang w:val="fr-CA"/>
        </w:rPr>
        <w:t>, 2018 CSC 43</w:t>
      </w:r>
      <w:r w:rsidR="009736FB">
        <w:rPr>
          <w:lang w:val="fr-CA"/>
        </w:rPr>
        <w:t>, [2018] 3 R.C.S. 8</w:t>
      </w:r>
      <w:r w:rsidRPr="000E25BD">
        <w:rPr>
          <w:lang w:val="fr-CA"/>
        </w:rPr>
        <w:t xml:space="preserve">; </w:t>
      </w:r>
      <w:r w:rsidRPr="000E25BD">
        <w:rPr>
          <w:i/>
          <w:lang w:val="fr-CA"/>
        </w:rPr>
        <w:t>St</w:t>
      </w:r>
      <w:r>
        <w:rPr>
          <w:i/>
          <w:lang w:val="fr-CA"/>
        </w:rPr>
        <w:noBreakHyphen/>
      </w:r>
      <w:r w:rsidRPr="000E25BD">
        <w:rPr>
          <w:i/>
          <w:lang w:val="fr-CA"/>
        </w:rPr>
        <w:t>Jean c. Mercier</w:t>
      </w:r>
      <w:r w:rsidRPr="000E25BD">
        <w:rPr>
          <w:lang w:val="fr-CA"/>
        </w:rPr>
        <w:t xml:space="preserve">, 2002 CSC 15, [2002] 1 R.C.S. 491; </w:t>
      </w:r>
      <w:r w:rsidRPr="000E25BD">
        <w:rPr>
          <w:i/>
          <w:lang w:val="fr-CA"/>
        </w:rPr>
        <w:t>South Yukon Forest Cor</w:t>
      </w:r>
      <w:r>
        <w:rPr>
          <w:i/>
          <w:lang w:val="fr-CA"/>
        </w:rPr>
        <w:t>p. </w:t>
      </w:r>
      <w:r w:rsidRPr="000E25BD">
        <w:rPr>
          <w:i/>
          <w:lang w:val="fr-CA"/>
        </w:rPr>
        <w:t>c. R.</w:t>
      </w:r>
      <w:r w:rsidRPr="000E25BD">
        <w:rPr>
          <w:lang w:val="fr-CA"/>
        </w:rPr>
        <w:t xml:space="preserve">, 2012 CAF 165, 4 B.L.R. (5th) 31; </w:t>
      </w:r>
      <w:r w:rsidRPr="000E25BD">
        <w:rPr>
          <w:i/>
          <w:lang w:val="fr-CA"/>
        </w:rPr>
        <w:t xml:space="preserve">H.L. </w:t>
      </w:r>
      <w:r w:rsidRPr="000E25BD">
        <w:rPr>
          <w:i/>
          <w:iCs/>
          <w:lang w:val="fr-CA"/>
        </w:rPr>
        <w:t>c.</w:t>
      </w:r>
      <w:r w:rsidRPr="000E25BD">
        <w:rPr>
          <w:i/>
          <w:lang w:val="fr-CA"/>
        </w:rPr>
        <w:t xml:space="preserve"> Canada (Procureur général</w:t>
      </w:r>
      <w:r w:rsidRPr="000E25BD">
        <w:rPr>
          <w:lang w:val="fr-CA"/>
        </w:rPr>
        <w:t xml:space="preserve">), 2005 CSC 25, [2005] 1 R.C.S. 401; </w:t>
      </w:r>
      <w:r w:rsidRPr="000E25BD">
        <w:rPr>
          <w:i/>
          <w:lang w:val="fr-CA"/>
        </w:rPr>
        <w:t>J.G. c. Nadeau</w:t>
      </w:r>
      <w:r w:rsidRPr="000E25BD">
        <w:rPr>
          <w:lang w:val="fr-CA"/>
        </w:rPr>
        <w:t xml:space="preserve">, 2016 QCCA 167; </w:t>
      </w:r>
      <w:r w:rsidRPr="000E25BD">
        <w:rPr>
          <w:rStyle w:val="sccappellantforindexchar1"/>
          <w:b w:val="0"/>
          <w:bCs w:val="0"/>
          <w:i/>
          <w:lang w:val="fr-CA"/>
        </w:rPr>
        <w:t>Nelson (City)</w:t>
      </w:r>
      <w:r w:rsidRPr="000E25BD">
        <w:rPr>
          <w:i/>
          <w:lang w:val="fr-CA"/>
        </w:rPr>
        <w:t xml:space="preserve"> </w:t>
      </w:r>
      <w:r w:rsidRPr="000E25BD">
        <w:rPr>
          <w:i/>
          <w:iCs/>
          <w:lang w:val="fr-CA"/>
        </w:rPr>
        <w:t>c.</w:t>
      </w:r>
      <w:r w:rsidRPr="000E25BD">
        <w:rPr>
          <w:b/>
          <w:bCs/>
          <w:i/>
          <w:lang w:val="fr-CA"/>
        </w:rPr>
        <w:t xml:space="preserve"> </w:t>
      </w:r>
      <w:r w:rsidRPr="000E25BD">
        <w:rPr>
          <w:rStyle w:val="sccrespondentforindexchar1"/>
          <w:b w:val="0"/>
          <w:bCs w:val="0"/>
          <w:i/>
          <w:lang w:val="fr-CA"/>
        </w:rPr>
        <w:t>Mowatt</w:t>
      </w:r>
      <w:r w:rsidRPr="000E25BD">
        <w:rPr>
          <w:rStyle w:val="sccrespondentforindexchar1"/>
          <w:b w:val="0"/>
          <w:bCs w:val="0"/>
          <w:lang w:val="fr-CA"/>
        </w:rPr>
        <w:t>, 2017 CSC 8</w:t>
      </w:r>
      <w:r w:rsidRPr="000E25BD">
        <w:rPr>
          <w:lang w:val="fr-CA"/>
        </w:rPr>
        <w:t xml:space="preserve">, [2017] 1 R.C.S. 138; </w:t>
      </w:r>
      <w:r w:rsidRPr="000E25BD">
        <w:rPr>
          <w:i/>
          <w:lang w:val="fr-CA"/>
        </w:rPr>
        <w:t xml:space="preserve">Québec (Directeur des poursuites criminelles et pénales) </w:t>
      </w:r>
      <w:r w:rsidRPr="000E25BD">
        <w:rPr>
          <w:i/>
          <w:iCs/>
          <w:lang w:val="fr-CA"/>
        </w:rPr>
        <w:t>c.</w:t>
      </w:r>
      <w:r w:rsidRPr="000E25BD">
        <w:rPr>
          <w:i/>
          <w:lang w:val="fr-CA"/>
        </w:rPr>
        <w:t xml:space="preserve"> Jodoin</w:t>
      </w:r>
      <w:r w:rsidRPr="009B1ECF">
        <w:rPr>
          <w:lang w:val="fr-CA"/>
        </w:rPr>
        <w:t>,</w:t>
      </w:r>
      <w:r w:rsidRPr="000E25BD">
        <w:rPr>
          <w:i/>
          <w:lang w:val="fr-CA"/>
        </w:rPr>
        <w:t xml:space="preserve"> </w:t>
      </w:r>
      <w:r w:rsidRPr="000E25BD">
        <w:rPr>
          <w:lang w:val="fr-CA"/>
        </w:rPr>
        <w:t xml:space="preserve">2017 CSC 26, [2017] 1 R.C.S. 478; </w:t>
      </w:r>
      <w:r w:rsidRPr="000E25BD">
        <w:rPr>
          <w:i/>
          <w:lang w:val="fr-CA"/>
        </w:rPr>
        <w:t>Ford du Canada ltée c. Automobiles Duclos inc.</w:t>
      </w:r>
      <w:r w:rsidRPr="000E25BD">
        <w:rPr>
          <w:lang w:val="fr-CA"/>
        </w:rPr>
        <w:t xml:space="preserve">, 2007 QCCA 1541; </w:t>
      </w:r>
      <w:r w:rsidRPr="000E25BD">
        <w:rPr>
          <w:i/>
          <w:lang w:val="fr-CA"/>
        </w:rPr>
        <w:t>Softmedical inc. c. Daabous</w:t>
      </w:r>
      <w:r w:rsidRPr="000E25BD">
        <w:rPr>
          <w:lang w:val="fr-CA"/>
        </w:rPr>
        <w:t xml:space="preserve">, 2017 QCCA 1270; </w:t>
      </w:r>
      <w:r w:rsidRPr="000E25BD">
        <w:rPr>
          <w:i/>
          <w:lang w:val="fr-CA"/>
        </w:rPr>
        <w:t>Droit de la famille — 161960</w:t>
      </w:r>
      <w:r w:rsidRPr="000E25BD">
        <w:rPr>
          <w:lang w:val="fr-CA"/>
        </w:rPr>
        <w:t xml:space="preserve">, 2016 QCCA 1300; </w:t>
      </w:r>
      <w:r w:rsidRPr="000E25BD">
        <w:rPr>
          <w:i/>
          <w:lang w:val="fr-CA"/>
        </w:rPr>
        <w:t>Droit de la famille — 132381</w:t>
      </w:r>
      <w:r w:rsidRPr="000E25BD">
        <w:rPr>
          <w:lang w:val="fr-CA"/>
        </w:rPr>
        <w:t xml:space="preserve">, 2013 QCCA 1505; </w:t>
      </w:r>
      <w:r w:rsidRPr="000E25BD">
        <w:rPr>
          <w:i/>
          <w:lang w:val="fr-CA"/>
        </w:rPr>
        <w:t>Francoeur c. 4417186 Canada inc.</w:t>
      </w:r>
      <w:r w:rsidRPr="000E25BD">
        <w:rPr>
          <w:lang w:val="fr-CA"/>
        </w:rPr>
        <w:t xml:space="preserve">, 2013 QCCA 191; </w:t>
      </w:r>
      <w:r w:rsidRPr="000E25BD">
        <w:rPr>
          <w:i/>
          <w:lang w:val="fr-CA"/>
        </w:rPr>
        <w:lastRenderedPageBreak/>
        <w:t>Desrochers c. 2533</w:t>
      </w:r>
      <w:r>
        <w:rPr>
          <w:i/>
          <w:lang w:val="fr-CA"/>
        </w:rPr>
        <w:noBreakHyphen/>
      </w:r>
      <w:r w:rsidRPr="000E25BD">
        <w:rPr>
          <w:i/>
          <w:lang w:val="fr-CA"/>
        </w:rPr>
        <w:t>0838 Québec inc.</w:t>
      </w:r>
      <w:r w:rsidRPr="000E25BD">
        <w:rPr>
          <w:lang w:val="fr-CA"/>
        </w:rPr>
        <w:t xml:space="preserve">, 2016 QCCA 825; </w:t>
      </w:r>
      <w:r w:rsidRPr="000E25BD">
        <w:rPr>
          <w:i/>
          <w:lang w:val="fr-CA"/>
        </w:rPr>
        <w:t>Gutin c. Cenfood International Inc.</w:t>
      </w:r>
      <w:r w:rsidRPr="000E25BD">
        <w:rPr>
          <w:lang w:val="fr-CA"/>
        </w:rPr>
        <w:t xml:space="preserve">, 2018 QCCA 317; </w:t>
      </w:r>
      <w:r w:rsidRPr="000E25BD">
        <w:rPr>
          <w:i/>
          <w:lang w:val="fr-CA"/>
        </w:rPr>
        <w:t>2758792 Canada inc. c. Bell Distribution inc.</w:t>
      </w:r>
      <w:r w:rsidRPr="000E25BD">
        <w:rPr>
          <w:lang w:val="fr-CA"/>
        </w:rPr>
        <w:t xml:space="preserve">, 2017 QCCA 603; </w:t>
      </w:r>
      <w:r w:rsidRPr="000E25BD">
        <w:rPr>
          <w:i/>
          <w:lang w:val="fr-CA"/>
        </w:rPr>
        <w:t>Mangiola c. R.</w:t>
      </w:r>
      <w:r w:rsidRPr="000E25BD">
        <w:rPr>
          <w:lang w:val="fr-CA"/>
        </w:rPr>
        <w:t xml:space="preserve">, 2017 QCCA 741; </w:t>
      </w:r>
      <w:r w:rsidRPr="000E25BD">
        <w:rPr>
          <w:i/>
          <w:lang w:val="fr-CA"/>
        </w:rPr>
        <w:t>Dunkin</w:t>
      </w:r>
      <w:r>
        <w:rPr>
          <w:i/>
          <w:lang w:val="fr-CA"/>
        </w:rPr>
        <w:t>’</w:t>
      </w:r>
      <w:r w:rsidRPr="000E25BD">
        <w:rPr>
          <w:i/>
          <w:lang w:val="fr-CA"/>
        </w:rPr>
        <w:t xml:space="preserve"> Brands Canada Ltd. c. Bertico Inc.</w:t>
      </w:r>
      <w:r w:rsidRPr="000E25BD">
        <w:rPr>
          <w:lang w:val="fr-CA"/>
        </w:rPr>
        <w:t xml:space="preserve">, 2015 QCCA 624, 41 B.L.R. (5th) 1; </w:t>
      </w:r>
      <w:r w:rsidRPr="000E25BD">
        <w:rPr>
          <w:i/>
          <w:lang w:val="fr-CA"/>
        </w:rPr>
        <w:t>Hydro</w:t>
      </w:r>
      <w:r>
        <w:rPr>
          <w:i/>
          <w:lang w:val="fr-CA"/>
        </w:rPr>
        <w:noBreakHyphen/>
      </w:r>
      <w:r w:rsidRPr="000E25BD">
        <w:rPr>
          <w:i/>
          <w:lang w:val="fr-CA"/>
        </w:rPr>
        <w:t>Québec c. Construction Kiewit cie</w:t>
      </w:r>
      <w:r w:rsidRPr="000E25BD">
        <w:rPr>
          <w:lang w:val="fr-CA"/>
        </w:rPr>
        <w:t xml:space="preserve">, 2014 QCCA 947; </w:t>
      </w:r>
      <w:r w:rsidRPr="000E25BD">
        <w:rPr>
          <w:i/>
          <w:lang w:val="fr-CA"/>
        </w:rPr>
        <w:t>R. c. Lalonde</w:t>
      </w:r>
      <w:r w:rsidRPr="000E25BD">
        <w:rPr>
          <w:lang w:val="fr-CA"/>
        </w:rPr>
        <w:t xml:space="preserve">, 2014 QCCA 639; </w:t>
      </w:r>
      <w:r w:rsidRPr="000E25BD">
        <w:rPr>
          <w:i/>
          <w:lang w:val="fr-CA"/>
        </w:rPr>
        <w:t>Poulin c. Pilon</w:t>
      </w:r>
      <w:r w:rsidRPr="000E25BD">
        <w:rPr>
          <w:lang w:val="fr-CA"/>
        </w:rPr>
        <w:t xml:space="preserve">, [1984] C.S. 177; </w:t>
      </w:r>
      <w:r w:rsidRPr="000E25BD">
        <w:rPr>
          <w:i/>
          <w:lang w:val="fr-CA"/>
        </w:rPr>
        <w:t>Labrie c. Tremblay</w:t>
      </w:r>
      <w:r w:rsidRPr="000E25BD">
        <w:rPr>
          <w:lang w:val="fr-CA"/>
        </w:rPr>
        <w:t xml:space="preserve">, [2000] R.R.A. 5; </w:t>
      </w:r>
      <w:r w:rsidRPr="000E25BD">
        <w:rPr>
          <w:i/>
          <w:lang w:val="fr-CA"/>
        </w:rPr>
        <w:t>Côté c. Rancourt</w:t>
      </w:r>
      <w:r w:rsidRPr="000E25BD">
        <w:rPr>
          <w:lang w:val="fr-CA"/>
        </w:rPr>
        <w:t xml:space="preserve">, 2004 CSC 58, [2004] 3 R.C.S. 248; </w:t>
      </w:r>
      <w:r w:rsidRPr="000E25BD">
        <w:rPr>
          <w:i/>
          <w:lang w:val="fr-CA"/>
        </w:rPr>
        <w:t>Sylvestre c. Karpinski</w:t>
      </w:r>
      <w:r w:rsidRPr="000E25BD">
        <w:rPr>
          <w:lang w:val="fr-CA"/>
        </w:rPr>
        <w:t xml:space="preserve">, 2011 QCCA 2161; </w:t>
      </w:r>
      <w:r w:rsidRPr="000E25BD">
        <w:rPr>
          <w:i/>
          <w:lang w:val="fr-CA"/>
        </w:rPr>
        <w:t>Daigneault c. Lapierre</w:t>
      </w:r>
      <w:r w:rsidRPr="000E25BD">
        <w:rPr>
          <w:lang w:val="fr-CA"/>
        </w:rPr>
        <w:t xml:space="preserve">, [2003] R.R.A. 902; </w:t>
      </w:r>
      <w:r w:rsidRPr="000E25BD">
        <w:rPr>
          <w:i/>
          <w:lang w:val="fr-CA"/>
        </w:rPr>
        <w:t xml:space="preserve">Compagnie des chemins de fer nationaux du Canada </w:t>
      </w:r>
      <w:r w:rsidRPr="000E25BD">
        <w:rPr>
          <w:i/>
          <w:iCs/>
          <w:lang w:val="fr-CA"/>
        </w:rPr>
        <w:t>c.</w:t>
      </w:r>
      <w:r w:rsidRPr="000E25BD">
        <w:rPr>
          <w:i/>
          <w:lang w:val="fr-CA"/>
        </w:rPr>
        <w:t xml:space="preserve"> McKercher LLP</w:t>
      </w:r>
      <w:r w:rsidRPr="000E25BD">
        <w:rPr>
          <w:lang w:val="fr-CA"/>
        </w:rPr>
        <w:t xml:space="preserve">, 2013 CSC 39, [2013] 2 R.C.S. 649; </w:t>
      </w:r>
      <w:r w:rsidRPr="000E25BD">
        <w:rPr>
          <w:i/>
          <w:lang w:val="fr-CA"/>
        </w:rPr>
        <w:t>R. c. Neil</w:t>
      </w:r>
      <w:r w:rsidRPr="000E25BD">
        <w:rPr>
          <w:lang w:val="fr-CA"/>
        </w:rPr>
        <w:t xml:space="preserve">, 2002 CSC 70, [2002] 3 R.C.S. 631; </w:t>
      </w:r>
      <w:r w:rsidRPr="000E25BD">
        <w:rPr>
          <w:i/>
          <w:lang w:val="fr-CA"/>
        </w:rPr>
        <w:t>Parizeau c. Poulin De Courval</w:t>
      </w:r>
      <w:r w:rsidRPr="000E25BD">
        <w:rPr>
          <w:lang w:val="fr-CA"/>
        </w:rPr>
        <w:t xml:space="preserve">, [2000] R.R.A. 67; </w:t>
      </w:r>
      <w:r w:rsidRPr="000E25BD">
        <w:rPr>
          <w:i/>
          <w:lang w:val="fr-CA"/>
        </w:rPr>
        <w:t>Dallaire c. Paul</w:t>
      </w:r>
      <w:r>
        <w:rPr>
          <w:i/>
          <w:lang w:val="fr-CA"/>
        </w:rPr>
        <w:noBreakHyphen/>
      </w:r>
      <w:r w:rsidRPr="000E25BD">
        <w:rPr>
          <w:i/>
          <w:lang w:val="fr-CA"/>
        </w:rPr>
        <w:t>Émile Martel Inc.</w:t>
      </w:r>
      <w:r w:rsidRPr="000E25BD">
        <w:rPr>
          <w:lang w:val="fr-CA"/>
        </w:rPr>
        <w:t xml:space="preserve">, [1989] 2 R.C.S. 419; </w:t>
      </w:r>
      <w:r w:rsidRPr="000E25BD">
        <w:rPr>
          <w:i/>
          <w:lang w:val="fr-CA"/>
        </w:rPr>
        <w:t>Compagnie 99885 Canada Inc.</w:t>
      </w:r>
      <w:r w:rsidRPr="000E25BD">
        <w:rPr>
          <w:lang w:val="fr-CA"/>
        </w:rPr>
        <w:t xml:space="preserve"> </w:t>
      </w:r>
      <w:r w:rsidRPr="000E25BD">
        <w:rPr>
          <w:i/>
          <w:lang w:val="fr-CA"/>
        </w:rPr>
        <w:t>c. Monast</w:t>
      </w:r>
      <w:r w:rsidRPr="000E25BD">
        <w:rPr>
          <w:lang w:val="fr-CA"/>
        </w:rPr>
        <w:t xml:space="preserve">, [1994] R.R.A. 217; </w:t>
      </w:r>
      <w:r w:rsidRPr="000E25BD">
        <w:rPr>
          <w:i/>
          <w:lang w:val="fr-CA"/>
        </w:rPr>
        <w:t xml:space="preserve">Québec (Commission des droits de la personne et des droits de la jeunesse) </w:t>
      </w:r>
      <w:r w:rsidRPr="000E25BD">
        <w:rPr>
          <w:i/>
          <w:iCs/>
          <w:lang w:val="fr-CA"/>
        </w:rPr>
        <w:t>c.</w:t>
      </w:r>
      <w:r w:rsidRPr="000E25BD">
        <w:rPr>
          <w:i/>
          <w:lang w:val="fr-CA"/>
        </w:rPr>
        <w:t xml:space="preserve"> Bombardier Inc. (Bombardier Aéronautique Centre de formation)</w:t>
      </w:r>
      <w:r w:rsidRPr="000E25BD">
        <w:rPr>
          <w:lang w:val="fr-CA"/>
        </w:rPr>
        <w:t xml:space="preserve">, 2015 CSC 39, [2015] 2 R.C.S. 789; </w:t>
      </w:r>
      <w:r w:rsidRPr="000E25BD">
        <w:rPr>
          <w:i/>
          <w:lang w:val="fr-CA"/>
        </w:rPr>
        <w:t>Stellaire Construction Inc. c. Ciment Québec Inc.</w:t>
      </w:r>
      <w:r w:rsidRPr="000E25BD">
        <w:rPr>
          <w:lang w:val="fr-CA"/>
        </w:rPr>
        <w:t xml:space="preserve">, 2002 CanLII 35591; </w:t>
      </w:r>
      <w:r w:rsidRPr="000E25BD">
        <w:rPr>
          <w:i/>
          <w:lang w:val="fr-CA"/>
        </w:rPr>
        <w:t xml:space="preserve">Laflamme </w:t>
      </w:r>
      <w:r w:rsidRPr="000E25BD">
        <w:rPr>
          <w:i/>
          <w:iCs/>
          <w:lang w:val="fr-CA"/>
        </w:rPr>
        <w:t>c.</w:t>
      </w:r>
      <w:r w:rsidRPr="000E25BD">
        <w:rPr>
          <w:i/>
          <w:lang w:val="fr-CA"/>
        </w:rPr>
        <w:t xml:space="preserve"> Prudential</w:t>
      </w:r>
      <w:r>
        <w:rPr>
          <w:i/>
          <w:lang w:val="fr-CA"/>
        </w:rPr>
        <w:noBreakHyphen/>
      </w:r>
      <w:r w:rsidRPr="000E25BD">
        <w:rPr>
          <w:i/>
          <w:lang w:val="fr-CA"/>
        </w:rPr>
        <w:t>Bache Commodities Canada Ltd.</w:t>
      </w:r>
      <w:r w:rsidRPr="000E25BD">
        <w:rPr>
          <w:lang w:val="fr-CA"/>
        </w:rPr>
        <w:t>,</w:t>
      </w:r>
      <w:r w:rsidRPr="000E25BD">
        <w:rPr>
          <w:i/>
          <w:lang w:val="fr-CA"/>
        </w:rPr>
        <w:t xml:space="preserve"> </w:t>
      </w:r>
      <w:r w:rsidRPr="000E25BD">
        <w:rPr>
          <w:lang w:val="fr-CA"/>
        </w:rPr>
        <w:t xml:space="preserve">2000 CSC 26, [2000] 1 R.C.S. 638; </w:t>
      </w:r>
      <w:r w:rsidRPr="000E25BD">
        <w:rPr>
          <w:i/>
          <w:szCs w:val="24"/>
          <w:lang w:val="fr-CA"/>
        </w:rPr>
        <w:t>Laval (Ville de) (Service de protection des citoyens, département de police et centre d</w:t>
      </w:r>
      <w:r>
        <w:rPr>
          <w:i/>
          <w:szCs w:val="24"/>
          <w:lang w:val="fr-CA"/>
        </w:rPr>
        <w:t>’</w:t>
      </w:r>
      <w:r w:rsidRPr="000E25BD">
        <w:rPr>
          <w:i/>
          <w:szCs w:val="24"/>
          <w:lang w:val="fr-CA"/>
        </w:rPr>
        <w:t>appels d</w:t>
      </w:r>
      <w:r>
        <w:rPr>
          <w:i/>
          <w:szCs w:val="24"/>
          <w:lang w:val="fr-CA"/>
        </w:rPr>
        <w:t>’</w:t>
      </w:r>
      <w:r w:rsidRPr="000E25BD">
        <w:rPr>
          <w:i/>
          <w:szCs w:val="24"/>
          <w:lang w:val="fr-CA"/>
        </w:rPr>
        <w:t>urgence 911) c. Ducharme</w:t>
      </w:r>
      <w:r w:rsidRPr="000E25BD">
        <w:rPr>
          <w:szCs w:val="24"/>
          <w:lang w:val="fr-CA"/>
        </w:rPr>
        <w:t xml:space="preserve">, 2012 QCCA 2122, [2012] R.J.Q. 2090; </w:t>
      </w:r>
      <w:r w:rsidRPr="000E25BD">
        <w:rPr>
          <w:i/>
          <w:szCs w:val="24"/>
          <w:lang w:val="fr-CA"/>
        </w:rPr>
        <w:t>Lacombe c. André</w:t>
      </w:r>
      <w:r w:rsidRPr="000E25BD">
        <w:rPr>
          <w:szCs w:val="24"/>
          <w:lang w:val="fr-CA"/>
        </w:rPr>
        <w:t xml:space="preserve">, [2003] R.J.Q. 720; </w:t>
      </w:r>
      <w:r w:rsidRPr="000E25BD">
        <w:rPr>
          <w:i/>
          <w:lang w:val="fr-CA"/>
        </w:rPr>
        <w:t>Beaulieu c. Paquet</w:t>
      </w:r>
      <w:r w:rsidRPr="000E25BD">
        <w:rPr>
          <w:lang w:val="fr-CA"/>
        </w:rPr>
        <w:t xml:space="preserve">, 2016 QCCA 1284; </w:t>
      </w:r>
      <w:r w:rsidRPr="000E25BD">
        <w:rPr>
          <w:i/>
          <w:lang w:val="fr-CA"/>
        </w:rPr>
        <w:t>124329 Canada inc. c. Banque Nationale du Canada</w:t>
      </w:r>
      <w:r w:rsidRPr="000E25BD">
        <w:rPr>
          <w:lang w:val="fr-CA"/>
        </w:rPr>
        <w:t xml:space="preserve">, 2011 QCCA 226, [2011] R.J.Q. 295; </w:t>
      </w:r>
      <w:r w:rsidRPr="000E25BD">
        <w:rPr>
          <w:i/>
          <w:lang w:val="fr-CA"/>
        </w:rPr>
        <w:t>Hodgkinson c. Simms</w:t>
      </w:r>
      <w:r w:rsidRPr="000E25BD">
        <w:rPr>
          <w:lang w:val="fr-CA"/>
        </w:rPr>
        <w:t>, [1994] 3 R.C.S. 377.</w:t>
      </w:r>
    </w:p>
    <w:p w:rsidR="0041746D" w:rsidRPr="000E25BD" w:rsidRDefault="0041746D" w:rsidP="0041746D">
      <w:pPr>
        <w:pStyle w:val="SCCNormalDoubleSpacing"/>
        <w:spacing w:after="480"/>
        <w:rPr>
          <w:lang w:val="fr-CA"/>
        </w:rPr>
      </w:pPr>
      <w:r w:rsidRPr="000E25BD">
        <w:rPr>
          <w:lang w:val="fr-CA"/>
        </w:rPr>
        <w:t xml:space="preserve">Citée </w:t>
      </w:r>
      <w:r>
        <w:rPr>
          <w:lang w:val="fr-CA"/>
        </w:rPr>
        <w:t xml:space="preserve">par </w:t>
      </w:r>
      <w:r w:rsidRPr="000E25BD">
        <w:rPr>
          <w:lang w:val="fr-CA"/>
        </w:rPr>
        <w:t>la juge Côté (dissidente)</w:t>
      </w:r>
    </w:p>
    <w:p w:rsidR="0041746D" w:rsidRPr="000E25BD" w:rsidRDefault="0041746D" w:rsidP="0041746D">
      <w:pPr>
        <w:pStyle w:val="SCCNormalDoubleSpacing"/>
        <w:spacing w:after="480"/>
        <w:rPr>
          <w:lang w:val="fr-CA"/>
        </w:rPr>
      </w:pPr>
      <w:r w:rsidRPr="000E25BD">
        <w:rPr>
          <w:i/>
          <w:lang w:val="fr-CA"/>
        </w:rPr>
        <w:tab/>
      </w:r>
      <w:r w:rsidRPr="000E25BD">
        <w:rPr>
          <w:i/>
        </w:rPr>
        <w:t>Laferrière c. Lawson</w:t>
      </w:r>
      <w:r w:rsidRPr="000E25BD">
        <w:t xml:space="preserve">, [1991] 1 R.C.S. 541; </w:t>
      </w:r>
      <w:r w:rsidRPr="000E25BD">
        <w:rPr>
          <w:i/>
        </w:rPr>
        <w:t>Housen c. Nikolaisen</w:t>
      </w:r>
      <w:r w:rsidRPr="000E25BD">
        <w:t xml:space="preserve">, 2002 CSC 33, [2002] 2 R.C.S. 235; </w:t>
      </w:r>
      <w:r w:rsidRPr="000E25BD">
        <w:rPr>
          <w:i/>
        </w:rPr>
        <w:t>Underwood c. Ocean City Realty Ltd</w:t>
      </w:r>
      <w:r w:rsidRPr="000E25BD">
        <w:t xml:space="preserve">. (1987), 12 </w:t>
      </w:r>
      <w:r w:rsidRPr="000E25BD">
        <w:lastRenderedPageBreak/>
        <w:t xml:space="preserve">B.C.L.R. (2d) 199; </w:t>
      </w:r>
      <w:r w:rsidRPr="000E25BD">
        <w:rPr>
          <w:i/>
        </w:rPr>
        <w:t>Prud</w:t>
      </w:r>
      <w:r>
        <w:rPr>
          <w:i/>
        </w:rPr>
        <w:t>’</w:t>
      </w:r>
      <w:r w:rsidRPr="000E25BD">
        <w:rPr>
          <w:i/>
        </w:rPr>
        <w:t>homme c. Prud</w:t>
      </w:r>
      <w:r>
        <w:rPr>
          <w:i/>
        </w:rPr>
        <w:t>’</w:t>
      </w:r>
      <w:r w:rsidRPr="000E25BD">
        <w:rPr>
          <w:i/>
        </w:rPr>
        <w:t>homme</w:t>
      </w:r>
      <w:r w:rsidRPr="000E25BD">
        <w:t xml:space="preserve">, 2002 CSC 85, [2002] 4 R.C.S. 663; </w:t>
      </w:r>
      <w:r w:rsidRPr="000E25BD">
        <w:rPr>
          <w:i/>
        </w:rPr>
        <w:t>St</w:t>
      </w:r>
      <w:r>
        <w:rPr>
          <w:i/>
        </w:rPr>
        <w:noBreakHyphen/>
      </w:r>
      <w:r w:rsidRPr="000E25BD">
        <w:rPr>
          <w:i/>
        </w:rPr>
        <w:t>Jean c. Mercier</w:t>
      </w:r>
      <w:r w:rsidRPr="000E25BD">
        <w:t xml:space="preserve">, 2002 CSC 15, [2002] 1 R.C.S. 491; </w:t>
      </w:r>
      <w:r w:rsidRPr="000E25BD">
        <w:rPr>
          <w:i/>
        </w:rPr>
        <w:t>Montréal (Ville) c. Lonardi</w:t>
      </w:r>
      <w:r w:rsidRPr="000E25BD">
        <w:t>, 2018 CSC 29</w:t>
      </w:r>
      <w:r w:rsidR="00A56D73">
        <w:t>, [2018] 2 R.C.S. 103</w:t>
      </w:r>
      <w:r w:rsidRPr="000E25BD">
        <w:t xml:space="preserve">; </w:t>
      </w:r>
      <w:r w:rsidRPr="000E25BD">
        <w:rPr>
          <w:i/>
        </w:rPr>
        <w:t>Benhaim c. St‑Germain</w:t>
      </w:r>
      <w:r w:rsidRPr="000E25BD">
        <w:t xml:space="preserve">, 2016 CSC 48, [2016] 2 R.C.S. 352; </w:t>
      </w:r>
      <w:r w:rsidRPr="000E25BD">
        <w:rPr>
          <w:i/>
        </w:rPr>
        <w:t>South Yukon Forest Cor</w:t>
      </w:r>
      <w:r>
        <w:rPr>
          <w:i/>
        </w:rPr>
        <w:t>p. </w:t>
      </w:r>
      <w:r w:rsidRPr="000E25BD">
        <w:rPr>
          <w:i/>
        </w:rPr>
        <w:t>c. Canada</w:t>
      </w:r>
      <w:r w:rsidRPr="000E25BD">
        <w:t xml:space="preserve">, 2012 CAF 165, 4 B.L.R. (5th) 31; </w:t>
      </w:r>
      <w:r w:rsidRPr="000E25BD">
        <w:rPr>
          <w:i/>
          <w:iCs/>
        </w:rPr>
        <w:t>Jaegli Enterprises Ltd. c. Taylor</w:t>
      </w:r>
      <w:r w:rsidRPr="000E25BD">
        <w:t xml:space="preserve">, [1981] 2 R.C.S. 2; </w:t>
      </w:r>
      <w:r w:rsidRPr="000E25BD">
        <w:rPr>
          <w:i/>
          <w:iCs/>
        </w:rPr>
        <w:t>Schreiber Brothers Ltd. c. Currie Products Ltd.</w:t>
      </w:r>
      <w:r w:rsidRPr="000E25BD">
        <w:t xml:space="preserve">, [1980] 2 R.C.S. 78; </w:t>
      </w:r>
      <w:r w:rsidRPr="000E25BD">
        <w:rPr>
          <w:i/>
        </w:rPr>
        <w:t>Galambos c. Perez</w:t>
      </w:r>
      <w:r w:rsidRPr="000E25BD">
        <w:t xml:space="preserve">, 2009 CSC 48, [2009] 3 R.C.S. 247; </w:t>
      </w:r>
      <w:r w:rsidRPr="000E25BD">
        <w:rPr>
          <w:i/>
        </w:rPr>
        <w:t>Laflamme c. Prudential</w:t>
      </w:r>
      <w:r>
        <w:rPr>
          <w:i/>
        </w:rPr>
        <w:noBreakHyphen/>
      </w:r>
      <w:r w:rsidRPr="000E25BD">
        <w:rPr>
          <w:i/>
        </w:rPr>
        <w:t>Bache Commodities Canada Ltd</w:t>
      </w:r>
      <w:r w:rsidRPr="000E25BD">
        <w:t xml:space="preserve">., 2000 CSC 26, [2000] 1 R.C.S. 638; </w:t>
      </w:r>
      <w:r w:rsidRPr="000E25BD">
        <w:rPr>
          <w:i/>
        </w:rPr>
        <w:t>Hodgkinson c. Simms</w:t>
      </w:r>
      <w:r w:rsidRPr="000E25BD">
        <w:t xml:space="preserve">, [1994] 3 R.C.S. 377; </w:t>
      </w:r>
      <w:r w:rsidRPr="000E25BD">
        <w:rPr>
          <w:i/>
          <w:iCs/>
        </w:rPr>
        <w:t>Lapointe c. Hôpital Le Gardeur</w:t>
      </w:r>
      <w:r w:rsidRPr="000E25BD">
        <w:t xml:space="preserve">, [1992] 1 R.C.S. 351; </w:t>
      </w:r>
      <w:r w:rsidRPr="000E25BD">
        <w:rPr>
          <w:i/>
        </w:rPr>
        <w:t>H.L. c. Canada (Procureur général)</w:t>
      </w:r>
      <w:r w:rsidRPr="000E25BD">
        <w:t xml:space="preserve">, 2005 CSC 25, [2005] 1 R.C.S. 401; </w:t>
      </w:r>
      <w:r w:rsidRPr="000E25BD">
        <w:rPr>
          <w:i/>
        </w:rPr>
        <w:t>P.L. c. Benchetrit</w:t>
      </w:r>
      <w:r w:rsidRPr="000E25BD">
        <w:t xml:space="preserve">, 2010 QCCA 1505, [2010] R.J.Q. 1853; </w:t>
      </w:r>
      <w:r w:rsidRPr="000E25BD">
        <w:rPr>
          <w:i/>
        </w:rPr>
        <w:t>Schwartz c. Canada</w:t>
      </w:r>
      <w:r w:rsidRPr="000E25BD">
        <w:t xml:space="preserve">, [1996] 1 R.C.S. 254; </w:t>
      </w:r>
      <w:r w:rsidRPr="000E25BD">
        <w:rPr>
          <w:i/>
        </w:rPr>
        <w:t>Nelson (City) c. Mowatt</w:t>
      </w:r>
      <w:r w:rsidRPr="000E25BD">
        <w:t xml:space="preserve">, 2017 CSC 8, [2017] 1 R.C.S. 138; </w:t>
      </w:r>
      <w:r w:rsidRPr="000E25BD">
        <w:rPr>
          <w:i/>
        </w:rPr>
        <w:t>Van de Perre c. Edwards</w:t>
      </w:r>
      <w:r w:rsidRPr="000E25BD">
        <w:t xml:space="preserve">, 2001 CSC 60, [2001] 2 R.C.S. 1014; </w:t>
      </w:r>
      <w:r w:rsidRPr="000E25BD">
        <w:rPr>
          <w:i/>
        </w:rPr>
        <w:t>J.G. c. Nadeau</w:t>
      </w:r>
      <w:r w:rsidRPr="000E25BD">
        <w:t xml:space="preserve">, 2016 QCCA 167; </w:t>
      </w:r>
      <w:r w:rsidRPr="000E25BD">
        <w:rPr>
          <w:i/>
        </w:rPr>
        <w:t>Canada (Procureur général) c. Bedford</w:t>
      </w:r>
      <w:r w:rsidRPr="000E25BD">
        <w:t xml:space="preserve">, 2013 CSC 72, [2013] 3 R.C.S. 1101; </w:t>
      </w:r>
      <w:r w:rsidRPr="000E25BD">
        <w:rPr>
          <w:i/>
        </w:rPr>
        <w:t xml:space="preserve">Waxman c. Waxman </w:t>
      </w:r>
      <w:r w:rsidRPr="000E25BD">
        <w:t xml:space="preserve">(2004), 186 O.A.C. 201; </w:t>
      </w:r>
      <w:r w:rsidRPr="000E25BD">
        <w:rPr>
          <w:i/>
        </w:rPr>
        <w:t>Ford du Canada ltée c. Automobiles Duclos inc.</w:t>
      </w:r>
      <w:r w:rsidRPr="000E25BD">
        <w:t xml:space="preserve">, 2007 QCCA 1541; </w:t>
      </w:r>
      <w:r w:rsidRPr="000E25BD">
        <w:rPr>
          <w:i/>
        </w:rPr>
        <w:t>Beaudoin</w:t>
      </w:r>
      <w:r>
        <w:rPr>
          <w:i/>
        </w:rPr>
        <w:noBreakHyphen/>
      </w:r>
      <w:r w:rsidRPr="000E25BD">
        <w:rPr>
          <w:i/>
        </w:rPr>
        <w:t>Daigneault c. Richard</w:t>
      </w:r>
      <w:r w:rsidRPr="000E25BD">
        <w:t xml:space="preserve">, [1984] 1 R.C.S. 2; </w:t>
      </w:r>
      <w:r w:rsidRPr="000E25BD">
        <w:rPr>
          <w:i/>
        </w:rPr>
        <w:t>Palsky c. Humphrey</w:t>
      </w:r>
      <w:r w:rsidRPr="000E25BD">
        <w:t xml:space="preserve">, [1964] R.C.S. 580; </w:t>
      </w:r>
      <w:r w:rsidRPr="000E25BD">
        <w:rPr>
          <w:i/>
        </w:rPr>
        <w:t>Maze c. Empson</w:t>
      </w:r>
      <w:r w:rsidRPr="000E25BD">
        <w:t xml:space="preserve">, [1964] R.C.S. 576; </w:t>
      </w:r>
      <w:r w:rsidRPr="000E25BD">
        <w:rPr>
          <w:i/>
        </w:rPr>
        <w:t>Côté c. Rancourt</w:t>
      </w:r>
      <w:r w:rsidRPr="000E25BD">
        <w:t xml:space="preserve">, 2004 CSC 58, [2004] 3 R.C.S. 248; </w:t>
      </w:r>
      <w:r w:rsidRPr="000E25BD">
        <w:rPr>
          <w:i/>
        </w:rPr>
        <w:t>Sylvestre c. Karpinski</w:t>
      </w:r>
      <w:r w:rsidRPr="000E25BD">
        <w:t xml:space="preserve">, 2011 QCCA 2161; </w:t>
      </w:r>
      <w:r w:rsidRPr="000E25BD">
        <w:rPr>
          <w:i/>
        </w:rPr>
        <w:t>Bessette c. Pharmacie Suzanne Payer inc.</w:t>
      </w:r>
      <w:r w:rsidRPr="000E25BD">
        <w:t xml:space="preserve">, 2017 QCCS 2474; </w:t>
      </w:r>
      <w:r w:rsidRPr="000E25BD">
        <w:rPr>
          <w:i/>
        </w:rPr>
        <w:t>Harris (Succession),</w:t>
      </w:r>
      <w:r w:rsidRPr="000E25BD">
        <w:t xml:space="preserve"> </w:t>
      </w:r>
      <w:r w:rsidRPr="000E25BD">
        <w:rPr>
          <w:i/>
        </w:rPr>
        <w:t>Re</w:t>
      </w:r>
      <w:r w:rsidRPr="000E25BD">
        <w:t xml:space="preserve">, 2016 QCCA 50, 25 C.C.L.T. (4th) 1; </w:t>
      </w:r>
      <w:r w:rsidRPr="000E25BD">
        <w:rPr>
          <w:i/>
        </w:rPr>
        <w:t>Roberge c. Bolduc</w:t>
      </w:r>
      <w:r w:rsidRPr="000E25BD">
        <w:t xml:space="preserve">, [1991] 1 R.C.S. 374; </w:t>
      </w:r>
      <w:r w:rsidRPr="000E25BD">
        <w:rPr>
          <w:i/>
        </w:rPr>
        <w:t>Phillips c. Naamani</w:t>
      </w:r>
      <w:r w:rsidRPr="000E25BD">
        <w:t xml:space="preserve">, 1998 CanLII 9332; </w:t>
      </w:r>
      <w:r w:rsidRPr="000E25BD">
        <w:rPr>
          <w:i/>
        </w:rPr>
        <w:t>F.H. c. McDougall</w:t>
      </w:r>
      <w:r w:rsidRPr="000E25BD">
        <w:t xml:space="preserve">, 2008 CSC 53, [2008] 3 R.C.S. 41; </w:t>
      </w:r>
      <w:r w:rsidRPr="000E25BD">
        <w:rPr>
          <w:i/>
        </w:rPr>
        <w:t>Hinse c. Canada (Procureur général)</w:t>
      </w:r>
      <w:r w:rsidRPr="000E25BD">
        <w:t xml:space="preserve">, 2015 CSC 35, [2015] 2 R.C.S. 621; </w:t>
      </w:r>
      <w:r w:rsidRPr="000E25BD">
        <w:rPr>
          <w:i/>
          <w:iCs/>
        </w:rPr>
        <w:t>Parrot c. Thompson</w:t>
      </w:r>
      <w:r w:rsidRPr="000E25BD">
        <w:t xml:space="preserve">, [1984] 1 R.C.S. 57; </w:t>
      </w:r>
      <w:r w:rsidRPr="000E25BD">
        <w:rPr>
          <w:i/>
        </w:rPr>
        <w:t xml:space="preserve">Québec (Commission des droits de la personne et des droits de la jeunesse) </w:t>
      </w:r>
      <w:r w:rsidRPr="000E25BD">
        <w:rPr>
          <w:i/>
          <w:iCs/>
        </w:rPr>
        <w:t>c.</w:t>
      </w:r>
      <w:r w:rsidRPr="000E25BD">
        <w:rPr>
          <w:i/>
        </w:rPr>
        <w:t xml:space="preserve"> Bombardier Inc. </w:t>
      </w:r>
      <w:r w:rsidRPr="000E25BD">
        <w:rPr>
          <w:i/>
          <w:lang w:val="fr-CA"/>
        </w:rPr>
        <w:t>(Bombardier Aéronautique Centre de formation)</w:t>
      </w:r>
      <w:r w:rsidRPr="000E25BD">
        <w:rPr>
          <w:lang w:val="fr-CA"/>
        </w:rPr>
        <w:t>,</w:t>
      </w:r>
      <w:r w:rsidRPr="000E25BD">
        <w:rPr>
          <w:i/>
          <w:lang w:val="fr-CA"/>
        </w:rPr>
        <w:t xml:space="preserve"> </w:t>
      </w:r>
      <w:r w:rsidRPr="000E25BD">
        <w:rPr>
          <w:lang w:val="fr-CA"/>
        </w:rPr>
        <w:t>2015 CSC 39, [2015] 2 R.C.S. 789;</w:t>
      </w:r>
      <w:r w:rsidRPr="000E25BD">
        <w:rPr>
          <w:i/>
          <w:lang w:val="fr-CA"/>
        </w:rPr>
        <w:t xml:space="preserve"> Dallaire c. </w:t>
      </w:r>
      <w:r w:rsidRPr="000E25BD">
        <w:rPr>
          <w:i/>
          <w:lang w:val="fr-CA"/>
        </w:rPr>
        <w:lastRenderedPageBreak/>
        <w:t>Paul</w:t>
      </w:r>
      <w:r>
        <w:rPr>
          <w:i/>
          <w:lang w:val="fr-CA"/>
        </w:rPr>
        <w:noBreakHyphen/>
      </w:r>
      <w:r w:rsidRPr="000E25BD">
        <w:rPr>
          <w:i/>
          <w:lang w:val="fr-CA"/>
        </w:rPr>
        <w:t>Émile Martel Inc.</w:t>
      </w:r>
      <w:r w:rsidRPr="000E25BD">
        <w:rPr>
          <w:lang w:val="fr-CA"/>
        </w:rPr>
        <w:t>, [1989] 2 R.C.S. 419;</w:t>
      </w:r>
      <w:r w:rsidRPr="000E25BD">
        <w:rPr>
          <w:i/>
          <w:lang w:val="fr-CA"/>
        </w:rPr>
        <w:t xml:space="preserve"> Stellaire Construction Inc. c. Ciment Québec Inc.</w:t>
      </w:r>
      <w:r w:rsidRPr="000E25BD">
        <w:rPr>
          <w:lang w:val="fr-CA"/>
        </w:rPr>
        <w:t xml:space="preserve">, 2002 CanLII 35591; </w:t>
      </w:r>
      <w:r w:rsidRPr="000E25BD">
        <w:rPr>
          <w:i/>
          <w:lang w:val="fr-CA"/>
        </w:rPr>
        <w:t>Lacombe c. André</w:t>
      </w:r>
      <w:r w:rsidRPr="000E25BD">
        <w:rPr>
          <w:lang w:val="fr-CA"/>
        </w:rPr>
        <w:t>, [2003] R.J.Q. 720.</w:t>
      </w:r>
    </w:p>
    <w:p w:rsidR="0041746D" w:rsidRPr="000E25BD" w:rsidRDefault="0041746D" w:rsidP="0041746D">
      <w:pPr>
        <w:pStyle w:val="SCCNormalDoubleSpacing"/>
        <w:spacing w:after="720" w:line="240" w:lineRule="auto"/>
        <w:rPr>
          <w:b/>
          <w:lang w:val="fr-CA"/>
        </w:rPr>
      </w:pPr>
      <w:r w:rsidRPr="000E25BD">
        <w:rPr>
          <w:b/>
          <w:lang w:val="fr-CA"/>
        </w:rPr>
        <w:t>Lois et règlements cités</w:t>
      </w:r>
    </w:p>
    <w:p w:rsidR="0041746D" w:rsidRPr="000E25BD" w:rsidRDefault="0041746D" w:rsidP="0041746D">
      <w:pPr>
        <w:pStyle w:val="SCCNormalDoubleSpacing"/>
        <w:spacing w:after="240" w:line="240" w:lineRule="auto"/>
        <w:ind w:left="547" w:hanging="547"/>
        <w:rPr>
          <w:lang w:val="fr-CA"/>
        </w:rPr>
      </w:pPr>
      <w:r w:rsidRPr="000E25BD">
        <w:rPr>
          <w:i/>
          <w:lang w:val="fr-CA"/>
        </w:rPr>
        <w:t>Code civil du Québec</w:t>
      </w:r>
      <w:r w:rsidRPr="000E25BD">
        <w:rPr>
          <w:lang w:val="fr-CA"/>
        </w:rPr>
        <w:t xml:space="preserve">, </w:t>
      </w:r>
      <w:r>
        <w:rPr>
          <w:lang w:val="fr-CA"/>
        </w:rPr>
        <w:t>art. </w:t>
      </w:r>
      <w:r w:rsidRPr="000E25BD">
        <w:rPr>
          <w:lang w:val="fr-CA"/>
        </w:rPr>
        <w:t>1607, 1613, 2138.</w:t>
      </w:r>
    </w:p>
    <w:p w:rsidR="0041746D" w:rsidRPr="000E25BD" w:rsidRDefault="0041746D" w:rsidP="0041746D">
      <w:pPr>
        <w:pStyle w:val="SCCNormalDoubleSpacing"/>
        <w:spacing w:after="240" w:line="240" w:lineRule="auto"/>
        <w:ind w:left="547" w:hanging="547"/>
        <w:rPr>
          <w:lang w:val="fr-CA"/>
        </w:rPr>
      </w:pPr>
      <w:r w:rsidRPr="000E25BD">
        <w:rPr>
          <w:i/>
          <w:lang w:val="fr-CA"/>
        </w:rPr>
        <w:t>Code de déontologie des avocats</w:t>
      </w:r>
      <w:r w:rsidRPr="000E25BD">
        <w:rPr>
          <w:lang w:val="fr-CA"/>
        </w:rPr>
        <w:t xml:space="preserve">, </w:t>
      </w:r>
      <w:r>
        <w:rPr>
          <w:lang w:val="fr-CA"/>
        </w:rPr>
        <w:t>RLRQ</w:t>
      </w:r>
      <w:r w:rsidRPr="000E25BD">
        <w:rPr>
          <w:lang w:val="fr-CA"/>
        </w:rPr>
        <w:t>, c. B</w:t>
      </w:r>
      <w:r>
        <w:rPr>
          <w:lang w:val="fr-CA"/>
        </w:rPr>
        <w:noBreakHyphen/>
      </w:r>
      <w:r w:rsidRPr="000E25BD">
        <w:rPr>
          <w:lang w:val="fr-CA"/>
        </w:rPr>
        <w:t>1, r. 3.</w:t>
      </w:r>
    </w:p>
    <w:p w:rsidR="0041746D" w:rsidRPr="000E25BD" w:rsidRDefault="0041746D" w:rsidP="0041746D">
      <w:pPr>
        <w:pStyle w:val="SCCNormalDoubleSpacing"/>
        <w:spacing w:after="720" w:line="240" w:lineRule="auto"/>
        <w:ind w:left="547" w:hanging="547"/>
        <w:rPr>
          <w:lang w:val="fr-CA"/>
        </w:rPr>
      </w:pPr>
      <w:r w:rsidRPr="000E25BD">
        <w:rPr>
          <w:i/>
          <w:lang w:val="fr-CA"/>
        </w:rPr>
        <w:t>Code de déontologie des avocats</w:t>
      </w:r>
      <w:r w:rsidRPr="000E25BD">
        <w:rPr>
          <w:lang w:val="fr-CA"/>
        </w:rPr>
        <w:t>, RLRQ, c. B</w:t>
      </w:r>
      <w:r>
        <w:rPr>
          <w:lang w:val="fr-CA"/>
        </w:rPr>
        <w:noBreakHyphen/>
      </w:r>
      <w:r w:rsidRPr="000E25BD">
        <w:rPr>
          <w:lang w:val="fr-CA"/>
        </w:rPr>
        <w:t xml:space="preserve">1, r. 3.1, </w:t>
      </w:r>
      <w:r>
        <w:rPr>
          <w:lang w:val="fr-CA"/>
        </w:rPr>
        <w:t>art. </w:t>
      </w:r>
      <w:r w:rsidRPr="000E25BD">
        <w:rPr>
          <w:lang w:val="fr-CA"/>
        </w:rPr>
        <w:t>25.</w:t>
      </w:r>
    </w:p>
    <w:p w:rsidR="0041746D" w:rsidRPr="000E25BD" w:rsidRDefault="0041746D" w:rsidP="0041746D">
      <w:pPr>
        <w:pStyle w:val="SCCNormalDoubleSpacing"/>
        <w:spacing w:after="720" w:line="240" w:lineRule="auto"/>
        <w:rPr>
          <w:b/>
          <w:lang w:val="fr-CA"/>
        </w:rPr>
      </w:pPr>
      <w:r w:rsidRPr="000E25BD">
        <w:rPr>
          <w:b/>
          <w:lang w:val="fr-CA"/>
        </w:rPr>
        <w:t>Doctrine et autres documents cités</w:t>
      </w:r>
    </w:p>
    <w:p w:rsidR="00A00B09" w:rsidRPr="000E25BD" w:rsidRDefault="00A00B09" w:rsidP="00A00B09">
      <w:pPr>
        <w:pStyle w:val="SCCNormalDoubleSpacing"/>
        <w:spacing w:after="240" w:line="240" w:lineRule="auto"/>
        <w:ind w:left="540" w:hanging="540"/>
        <w:rPr>
          <w:lang w:val="fr-CA"/>
        </w:rPr>
      </w:pPr>
      <w:r w:rsidRPr="000E25BD">
        <w:rPr>
          <w:lang w:val="fr-CA"/>
        </w:rPr>
        <w:t>Baudouin, Jean</w:t>
      </w:r>
      <w:r>
        <w:rPr>
          <w:lang w:val="fr-CA"/>
        </w:rPr>
        <w:noBreakHyphen/>
      </w:r>
      <w:r w:rsidRPr="000E25BD">
        <w:rPr>
          <w:lang w:val="fr-CA"/>
        </w:rPr>
        <w:t xml:space="preserve">Louis, et Pierre‑Gabriel Jobin. </w:t>
      </w:r>
      <w:r w:rsidRPr="000E25BD">
        <w:rPr>
          <w:i/>
          <w:lang w:val="fr-CA"/>
        </w:rPr>
        <w:t>Les obligations</w:t>
      </w:r>
      <w:r w:rsidRPr="000E25BD">
        <w:rPr>
          <w:lang w:val="fr-CA"/>
        </w:rPr>
        <w:t>, 7</w:t>
      </w:r>
      <w:r w:rsidRPr="000E25BD">
        <w:rPr>
          <w:vertAlign w:val="superscript"/>
          <w:lang w:val="fr-CA"/>
        </w:rPr>
        <w:t>e</w:t>
      </w:r>
      <w:r w:rsidRPr="000E25BD">
        <w:rPr>
          <w:lang w:val="fr-CA"/>
        </w:rPr>
        <w:t xml:space="preserve"> éd. par Pierre</w:t>
      </w:r>
      <w:r>
        <w:rPr>
          <w:lang w:val="fr-CA"/>
        </w:rPr>
        <w:noBreakHyphen/>
      </w:r>
      <w:r w:rsidRPr="000E25BD">
        <w:rPr>
          <w:lang w:val="fr-CA"/>
        </w:rPr>
        <w:t>Gabriel Jobin et Nathalie Vézina</w:t>
      </w:r>
      <w:r>
        <w:rPr>
          <w:lang w:val="fr-CA"/>
        </w:rPr>
        <w:t>,</w:t>
      </w:r>
      <w:r w:rsidR="008E4387">
        <w:rPr>
          <w:lang w:val="fr-CA"/>
        </w:rPr>
        <w:t xml:space="preserve"> dir.,</w:t>
      </w:r>
      <w:r w:rsidRPr="000E25BD">
        <w:rPr>
          <w:lang w:val="fr-CA"/>
        </w:rPr>
        <w:t xml:space="preserve"> Cowansville (Qc), Yvon Blais, 2013.</w:t>
      </w:r>
    </w:p>
    <w:p w:rsidR="0041746D" w:rsidRPr="000E25BD" w:rsidRDefault="0041746D" w:rsidP="0041746D">
      <w:pPr>
        <w:pStyle w:val="SCCNormalDoubleSpacing"/>
        <w:spacing w:after="240" w:line="240" w:lineRule="auto"/>
        <w:ind w:left="540" w:hanging="540"/>
        <w:rPr>
          <w:lang w:val="fr-CA"/>
        </w:rPr>
      </w:pPr>
      <w:r w:rsidRPr="000E25BD">
        <w:rPr>
          <w:lang w:val="fr-CA"/>
        </w:rPr>
        <w:t>Baudouin, Jean</w:t>
      </w:r>
      <w:r>
        <w:rPr>
          <w:lang w:val="fr-CA"/>
        </w:rPr>
        <w:noBreakHyphen/>
      </w:r>
      <w:r w:rsidRPr="000E25BD">
        <w:rPr>
          <w:lang w:val="fr-CA"/>
        </w:rPr>
        <w:t xml:space="preserve">Louis, Patrice Deslauriers et Benoît Moore. </w:t>
      </w:r>
      <w:r w:rsidRPr="000E25BD">
        <w:rPr>
          <w:i/>
          <w:lang w:val="fr-CA"/>
        </w:rPr>
        <w:t>La responsabilité civile</w:t>
      </w:r>
      <w:r w:rsidRPr="000E25BD">
        <w:rPr>
          <w:lang w:val="fr-CA"/>
        </w:rPr>
        <w:t>, 8</w:t>
      </w:r>
      <w:r w:rsidRPr="000E25BD">
        <w:rPr>
          <w:vertAlign w:val="superscript"/>
          <w:lang w:val="fr-CA"/>
        </w:rPr>
        <w:t>e</w:t>
      </w:r>
      <w:r w:rsidRPr="000E25BD">
        <w:rPr>
          <w:lang w:val="fr-CA"/>
        </w:rPr>
        <w:t xml:space="preserve"> éd.</w:t>
      </w:r>
      <w:r>
        <w:rPr>
          <w:lang w:val="fr-CA"/>
        </w:rPr>
        <w:t>,</w:t>
      </w:r>
      <w:r w:rsidRPr="000E25BD">
        <w:rPr>
          <w:lang w:val="fr-CA"/>
        </w:rPr>
        <w:t xml:space="preserve"> Cowansville (Qc), Yvon Blais, 2014.</w:t>
      </w:r>
    </w:p>
    <w:p w:rsidR="0041746D" w:rsidRPr="000E25BD" w:rsidRDefault="0041746D" w:rsidP="0041746D">
      <w:pPr>
        <w:pStyle w:val="SCCNormalDoubleSpacing"/>
        <w:spacing w:after="240" w:line="240" w:lineRule="auto"/>
        <w:ind w:left="540" w:hanging="540"/>
        <w:rPr>
          <w:lang w:val="fr-CA"/>
        </w:rPr>
      </w:pPr>
      <w:r w:rsidRPr="000E25BD">
        <w:rPr>
          <w:lang w:val="fr-CA"/>
        </w:rPr>
        <w:t xml:space="preserve">Lévesque, Frédéric. </w:t>
      </w:r>
      <w:r w:rsidRPr="000E25BD">
        <w:rPr>
          <w:i/>
          <w:lang w:val="fr-CA"/>
        </w:rPr>
        <w:t>Précis de droit québécois des obligations</w:t>
      </w:r>
      <w:r>
        <w:rPr>
          <w:lang w:val="fr-CA"/>
        </w:rPr>
        <w:t>,</w:t>
      </w:r>
      <w:r w:rsidRPr="000E25BD">
        <w:rPr>
          <w:lang w:val="fr-CA"/>
        </w:rPr>
        <w:t xml:space="preserve"> Cowans</w:t>
      </w:r>
      <w:r>
        <w:rPr>
          <w:lang w:val="fr-CA"/>
        </w:rPr>
        <w:t>v</w:t>
      </w:r>
      <w:r w:rsidRPr="000E25BD">
        <w:rPr>
          <w:lang w:val="fr-CA"/>
        </w:rPr>
        <w:t>ille (Qc), Yvon Blais, 2014.</w:t>
      </w:r>
    </w:p>
    <w:p w:rsidR="0041746D" w:rsidRPr="000E25BD" w:rsidRDefault="0041746D" w:rsidP="0041746D">
      <w:pPr>
        <w:pStyle w:val="SCCNormalDoubleSpacing"/>
        <w:spacing w:after="240" w:line="240" w:lineRule="auto"/>
        <w:ind w:left="540" w:hanging="540"/>
        <w:rPr>
          <w:lang w:val="fr-CA"/>
        </w:rPr>
      </w:pPr>
      <w:r w:rsidRPr="000E25BD">
        <w:rPr>
          <w:lang w:val="fr-CA"/>
        </w:rPr>
        <w:t xml:space="preserve">Lluelles, Didier, et Benoît Moore. </w:t>
      </w:r>
      <w:r w:rsidRPr="000E25BD">
        <w:rPr>
          <w:i/>
          <w:lang w:val="fr-CA"/>
        </w:rPr>
        <w:t>Droit des obligations</w:t>
      </w:r>
      <w:r w:rsidRPr="000E25BD">
        <w:rPr>
          <w:lang w:val="fr-CA"/>
        </w:rPr>
        <w:t>, 2</w:t>
      </w:r>
      <w:r w:rsidRPr="000E25BD">
        <w:rPr>
          <w:vertAlign w:val="superscript"/>
          <w:lang w:val="fr-CA"/>
        </w:rPr>
        <w:t>e</w:t>
      </w:r>
      <w:r w:rsidRPr="000E25BD">
        <w:rPr>
          <w:lang w:val="fr-CA"/>
        </w:rPr>
        <w:t xml:space="preserve"> éd.</w:t>
      </w:r>
      <w:r>
        <w:rPr>
          <w:lang w:val="fr-CA"/>
        </w:rPr>
        <w:t>,</w:t>
      </w:r>
      <w:r w:rsidRPr="000E25BD">
        <w:rPr>
          <w:lang w:val="fr-CA"/>
        </w:rPr>
        <w:t xml:space="preserve"> Montréal, Thémis, 2012.</w:t>
      </w:r>
    </w:p>
    <w:p w:rsidR="0041746D" w:rsidRPr="000E25BD" w:rsidRDefault="0041746D" w:rsidP="0041746D">
      <w:pPr>
        <w:pStyle w:val="SCCNormalDoubleSpacing"/>
        <w:spacing w:after="240" w:line="240" w:lineRule="auto"/>
        <w:ind w:left="540" w:hanging="540"/>
        <w:rPr>
          <w:lang w:val="fr-CA"/>
        </w:rPr>
      </w:pPr>
      <w:r w:rsidRPr="000E25BD">
        <w:rPr>
          <w:lang w:val="fr-CA"/>
        </w:rPr>
        <w:t xml:space="preserve">Tancelin, Maurice. </w:t>
      </w:r>
      <w:r w:rsidRPr="000E25BD">
        <w:rPr>
          <w:i/>
          <w:lang w:val="fr-CA"/>
        </w:rPr>
        <w:t>Des obligations en droit mixte du Québec</w:t>
      </w:r>
      <w:r w:rsidRPr="000E25BD">
        <w:rPr>
          <w:lang w:val="fr-CA"/>
        </w:rPr>
        <w:t>, 7</w:t>
      </w:r>
      <w:r w:rsidRPr="000E25BD">
        <w:rPr>
          <w:vertAlign w:val="superscript"/>
          <w:lang w:val="fr-CA"/>
        </w:rPr>
        <w:t>e</w:t>
      </w:r>
      <w:r w:rsidRPr="000E25BD">
        <w:rPr>
          <w:lang w:val="fr-CA"/>
        </w:rPr>
        <w:t xml:space="preserve"> éd.</w:t>
      </w:r>
      <w:r>
        <w:rPr>
          <w:lang w:val="fr-CA"/>
        </w:rPr>
        <w:t>,</w:t>
      </w:r>
      <w:r w:rsidRPr="000E25BD">
        <w:rPr>
          <w:lang w:val="fr-CA"/>
        </w:rPr>
        <w:t xml:space="preserve"> Montréal, Wilson &amp; Lafleur, 2009.</w:t>
      </w:r>
    </w:p>
    <w:p w:rsidR="0041746D" w:rsidRPr="000E25BD" w:rsidRDefault="0041746D" w:rsidP="0041746D">
      <w:pPr>
        <w:pStyle w:val="SCCNormalDoubleSpacing"/>
        <w:spacing w:after="720" w:line="240" w:lineRule="auto"/>
        <w:ind w:left="547" w:hanging="547"/>
        <w:rPr>
          <w:lang w:val="fr-FR"/>
        </w:rPr>
      </w:pPr>
      <w:r w:rsidRPr="000E25BD">
        <w:rPr>
          <w:lang w:val="fr-CA"/>
        </w:rPr>
        <w:t>Thouin, Marie</w:t>
      </w:r>
      <w:r>
        <w:rPr>
          <w:lang w:val="fr-CA"/>
        </w:rPr>
        <w:noBreakHyphen/>
      </w:r>
      <w:r w:rsidRPr="000E25BD">
        <w:rPr>
          <w:lang w:val="fr-CA"/>
        </w:rPr>
        <w:t>Chant</w:t>
      </w:r>
      <w:r>
        <w:rPr>
          <w:lang w:val="fr-CA"/>
        </w:rPr>
        <w:t xml:space="preserve">al. </w:t>
      </w:r>
      <w:r w:rsidRPr="000E25BD">
        <w:rPr>
          <w:lang w:val="fr-FR"/>
        </w:rPr>
        <w:t>« </w:t>
      </w:r>
      <w:r w:rsidRPr="000E25BD">
        <w:rPr>
          <w:lang w:val="fr-CA"/>
        </w:rPr>
        <w:t>L</w:t>
      </w:r>
      <w:r>
        <w:rPr>
          <w:lang w:val="fr-CA"/>
        </w:rPr>
        <w:t>’</w:t>
      </w:r>
      <w:r w:rsidRPr="000E25BD">
        <w:rPr>
          <w:lang w:val="fr-CA"/>
        </w:rPr>
        <w:t>avocat, toujours de bon conseil? </w:t>
      </w:r>
      <w:r w:rsidRPr="000E25BD">
        <w:rPr>
          <w:lang w:val="fr-FR"/>
        </w:rPr>
        <w:t xml:space="preserve">», </w:t>
      </w:r>
      <w:r w:rsidRPr="000E25BD">
        <w:rPr>
          <w:lang w:val="fr-CA"/>
        </w:rPr>
        <w:t xml:space="preserve">dans Service de la formation permanente du Barreau du Québec, </w:t>
      </w:r>
      <w:r>
        <w:rPr>
          <w:lang w:val="fr-CA"/>
        </w:rPr>
        <w:t>vol. </w:t>
      </w:r>
      <w:r w:rsidRPr="000E25BD">
        <w:rPr>
          <w:lang w:val="fr-CA"/>
        </w:rPr>
        <w:t xml:space="preserve">228, </w:t>
      </w:r>
      <w:r w:rsidRPr="000E25BD">
        <w:rPr>
          <w:i/>
          <w:lang w:val="fr-CA"/>
        </w:rPr>
        <w:t>Développements récents en déontologie, droit professionnel et disciplinaire</w:t>
      </w:r>
      <w:r>
        <w:rPr>
          <w:lang w:val="fr-CA"/>
        </w:rPr>
        <w:t>,</w:t>
      </w:r>
      <w:r w:rsidRPr="000E25BD">
        <w:rPr>
          <w:lang w:val="fr-CA"/>
        </w:rPr>
        <w:t xml:space="preserve"> Cowans</w:t>
      </w:r>
      <w:r>
        <w:rPr>
          <w:lang w:val="fr-CA"/>
        </w:rPr>
        <w:t>v</w:t>
      </w:r>
      <w:r w:rsidRPr="000E25BD">
        <w:rPr>
          <w:lang w:val="fr-CA"/>
        </w:rPr>
        <w:t>ille (Qc), Yvon Blais, 2005, 49</w:t>
      </w:r>
      <w:r>
        <w:rPr>
          <w:lang w:val="fr-CA"/>
        </w:rPr>
        <w:t xml:space="preserve">. </w:t>
      </w:r>
    </w:p>
    <w:p w:rsidR="0041746D" w:rsidRPr="000E25BD" w:rsidRDefault="0041746D" w:rsidP="0041746D">
      <w:pPr>
        <w:pStyle w:val="SCCNormalDoubleSpacing"/>
        <w:spacing w:after="480"/>
        <w:rPr>
          <w:lang w:val="fr-CA"/>
        </w:rPr>
      </w:pPr>
      <w:r w:rsidRPr="000E25BD">
        <w:rPr>
          <w:lang w:val="fr-CA"/>
        </w:rPr>
        <w:tab/>
        <w:t>POURVOI contre un arrêt de la Cour d</w:t>
      </w:r>
      <w:r>
        <w:rPr>
          <w:lang w:val="fr-CA"/>
        </w:rPr>
        <w:t>’</w:t>
      </w:r>
      <w:r w:rsidRPr="000E25BD">
        <w:rPr>
          <w:lang w:val="fr-CA"/>
        </w:rPr>
        <w:t>appel du Québec (les juges Kasirer, Vauclair et Parent), 2017 QCCA 273, 41 C.C.L.T. (4th) 1, [2017] AZ</w:t>
      </w:r>
      <w:r>
        <w:rPr>
          <w:lang w:val="fr-CA"/>
        </w:rPr>
        <w:noBreakHyphen/>
      </w:r>
      <w:r w:rsidRPr="000E25BD">
        <w:rPr>
          <w:lang w:val="fr-CA"/>
        </w:rPr>
        <w:t>51368107, [2017] J.Q. n</w:t>
      </w:r>
      <w:r w:rsidRPr="000E25BD">
        <w:rPr>
          <w:vertAlign w:val="superscript"/>
          <w:lang w:val="fr-CA"/>
        </w:rPr>
        <w:t>o </w:t>
      </w:r>
      <w:r w:rsidRPr="000E25BD">
        <w:rPr>
          <w:lang w:val="fr-CA"/>
        </w:rPr>
        <w:t xml:space="preserve">1326 (QL), 2017 CarswellQue 1076 (WL Can.), </w:t>
      </w:r>
      <w:r w:rsidRPr="000E25BD">
        <w:rPr>
          <w:lang w:val="fr-FR"/>
        </w:rPr>
        <w:t>qui a infirmé une décision de la juge Dulude, 2014 QCCS 3072, [2014] AZ</w:t>
      </w:r>
      <w:r>
        <w:rPr>
          <w:lang w:val="fr-FR"/>
        </w:rPr>
        <w:noBreakHyphen/>
      </w:r>
      <w:r w:rsidRPr="000E25BD">
        <w:rPr>
          <w:lang w:val="fr-FR"/>
        </w:rPr>
        <w:t xml:space="preserve">51085557, [2014] Q.J. </w:t>
      </w:r>
      <w:r>
        <w:rPr>
          <w:lang w:val="fr-FR"/>
        </w:rPr>
        <w:lastRenderedPageBreak/>
        <w:t>No. </w:t>
      </w:r>
      <w:r w:rsidRPr="000E25BD">
        <w:rPr>
          <w:lang w:val="fr-FR"/>
        </w:rPr>
        <w:t>6361 (QL), 2014 CarswellQue 6527 (WL Can.). Pourvoi rejet</w:t>
      </w:r>
      <w:r w:rsidRPr="000E25BD">
        <w:rPr>
          <w:lang w:val="fr-CA"/>
        </w:rPr>
        <w:t xml:space="preserve">é, la juge Côté est dissidente. </w:t>
      </w:r>
    </w:p>
    <w:p w:rsidR="0041746D" w:rsidRPr="000E25BD" w:rsidRDefault="0041746D" w:rsidP="0041746D">
      <w:pPr>
        <w:pStyle w:val="SCCNormalDoubleSpacing"/>
        <w:spacing w:after="480"/>
        <w:rPr>
          <w:lang w:val="fr-CA"/>
        </w:rPr>
      </w:pPr>
      <w:r w:rsidRPr="000E25BD">
        <w:rPr>
          <w:rStyle w:val="SCCCounselNameChar"/>
          <w:lang w:val="fr-CA"/>
        </w:rPr>
        <w:tab/>
        <w:t>Douglas C. Mitchell</w:t>
      </w:r>
      <w:r w:rsidRPr="000E25BD">
        <w:rPr>
          <w:rStyle w:val="SCCCounselSeparatorChar"/>
          <w:lang w:val="fr-CA"/>
        </w:rPr>
        <w:t xml:space="preserve">, </w:t>
      </w:r>
      <w:r w:rsidRPr="000E25BD">
        <w:rPr>
          <w:rStyle w:val="SCCCounselNameChar"/>
          <w:lang w:val="fr-CA"/>
        </w:rPr>
        <w:t>Audrey Boctor</w:t>
      </w:r>
      <w:r w:rsidRPr="000E25BD">
        <w:rPr>
          <w:rStyle w:val="SCCCounselSeparatorChar"/>
          <w:lang w:val="fr-CA"/>
        </w:rPr>
        <w:t xml:space="preserve"> et </w:t>
      </w:r>
      <w:r w:rsidRPr="000E25BD">
        <w:rPr>
          <w:rStyle w:val="SCCCounselNameChar"/>
          <w:lang w:val="fr-CA"/>
        </w:rPr>
        <w:t>Olga Redko</w:t>
      </w:r>
      <w:r w:rsidRPr="000E25BD">
        <w:rPr>
          <w:rStyle w:val="SCCCounselPartyRoleChar"/>
          <w:lang w:val="fr-CA"/>
        </w:rPr>
        <w:t>, pour les appelants.</w:t>
      </w:r>
    </w:p>
    <w:p w:rsidR="0041746D" w:rsidRDefault="0041746D" w:rsidP="0041746D">
      <w:pPr>
        <w:pStyle w:val="SCCNormalDoubleSpacing"/>
        <w:spacing w:after="480"/>
        <w:rPr>
          <w:rStyle w:val="SCCCounselPartyRoleChar"/>
          <w:lang w:val="fr-CA"/>
        </w:rPr>
      </w:pPr>
      <w:r w:rsidRPr="000E25BD">
        <w:rPr>
          <w:rStyle w:val="SCCCounselNameChar"/>
          <w:lang w:val="fr-CA"/>
        </w:rPr>
        <w:tab/>
        <w:t>Pierre Bienvenu</w:t>
      </w:r>
      <w:r w:rsidRPr="000E25BD">
        <w:rPr>
          <w:rStyle w:val="SCCCounselNameChar"/>
          <w:i w:val="0"/>
          <w:lang w:val="fr-CA"/>
        </w:rPr>
        <w:t>,</w:t>
      </w:r>
      <w:r w:rsidRPr="000E25BD">
        <w:rPr>
          <w:rStyle w:val="SCCCounselNameChar"/>
          <w:lang w:val="fr-CA"/>
        </w:rPr>
        <w:t xml:space="preserve"> Azim Hussain</w:t>
      </w:r>
      <w:r w:rsidRPr="000E25BD">
        <w:rPr>
          <w:rStyle w:val="SCCCounselPartyRoleChar"/>
          <w:lang w:val="fr-CA"/>
        </w:rPr>
        <w:t xml:space="preserve">, </w:t>
      </w:r>
      <w:r w:rsidRPr="000E25BD">
        <w:rPr>
          <w:rStyle w:val="SCCCounselNameChar"/>
          <w:lang w:val="fr-CA"/>
        </w:rPr>
        <w:t xml:space="preserve">Andres C. Garin </w:t>
      </w:r>
      <w:r w:rsidRPr="000E25BD">
        <w:rPr>
          <w:rStyle w:val="SCCCounselSeparatorChar"/>
          <w:lang w:val="fr-CA"/>
        </w:rPr>
        <w:t xml:space="preserve">et </w:t>
      </w:r>
      <w:r w:rsidRPr="000E25BD">
        <w:rPr>
          <w:rStyle w:val="SCCCounselNameChar"/>
          <w:lang w:val="fr-CA"/>
        </w:rPr>
        <w:t>Frédéric Wilson</w:t>
      </w:r>
      <w:r w:rsidRPr="000E25BD">
        <w:rPr>
          <w:rStyle w:val="SCCCounselPartyRoleChar"/>
          <w:lang w:val="fr-CA"/>
        </w:rPr>
        <w:t>, pour les intimées.</w:t>
      </w:r>
    </w:p>
    <w:p w:rsidR="0041746D" w:rsidRPr="000A5748" w:rsidRDefault="008C2B4E" w:rsidP="000A5748">
      <w:pPr>
        <w:pStyle w:val="JudgeJuge"/>
        <w:spacing w:before="480"/>
        <w:jc w:val="both"/>
        <w:rPr>
          <w:smallCaps w:val="0"/>
          <w:lang w:val="fr-CA"/>
        </w:rPr>
      </w:pPr>
      <w:r>
        <w:rPr>
          <w:smallCaps w:val="0"/>
          <w:lang w:val="fr-CA"/>
        </w:rPr>
        <w:tab/>
      </w:r>
      <w:r w:rsidR="0041746D" w:rsidRPr="008C2B4E">
        <w:rPr>
          <w:smallCaps w:val="0"/>
          <w:lang w:val="fr-CA"/>
        </w:rPr>
        <w:t>Version française du jugement du juge en chef Wagner et des juges Abella, Moldaver, Karakatsanis, Gascon, Brown, Rowe et Martin rendu par</w:t>
      </w:r>
    </w:p>
    <w:p w:rsidR="0041746D" w:rsidRPr="00080FA4" w:rsidRDefault="0041746D" w:rsidP="0041746D">
      <w:pPr>
        <w:pStyle w:val="JudgeJuge"/>
        <w:spacing w:before="480"/>
        <w:rPr>
          <w:lang w:val="fr-CA"/>
        </w:rPr>
      </w:pPr>
      <w:r w:rsidRPr="00080FA4">
        <w:rPr>
          <w:lang w:val="fr-CA"/>
        </w:rPr>
        <w:tab/>
        <w:t xml:space="preserve">Le juge Gascon — </w:t>
      </w:r>
    </w:p>
    <w:p w:rsidR="0041746D" w:rsidRPr="00080FA4" w:rsidRDefault="0041746D" w:rsidP="0041746D">
      <w:pPr>
        <w:pStyle w:val="Title1LevelTitre1Niveau-AltL"/>
        <w:numPr>
          <w:ilvl w:val="0"/>
          <w:numId w:val="7"/>
        </w:numPr>
        <w:tabs>
          <w:tab w:val="clear" w:pos="1002"/>
          <w:tab w:val="num" w:pos="576"/>
        </w:tabs>
        <w:ind w:left="576"/>
        <w:rPr>
          <w:rFonts w:cs="Times New Roman"/>
          <w:lang w:val="fr-CA"/>
        </w:rPr>
      </w:pPr>
      <w:r w:rsidRPr="00080FA4">
        <w:rPr>
          <w:rFonts w:cs="Times New Roman"/>
          <w:lang w:val="fr-CA"/>
        </w:rPr>
        <w:t>Aperçu</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La présente affaire concerne la responsabilité professionnelle imputable à un avocat qui aiguille des clients vers un conseiller financier qui se révèle ultérieurement être un fraudeur, dans un contexte où, outre l’aiguillage lui</w:t>
      </w:r>
      <w:r w:rsidRPr="00080FA4">
        <w:rPr>
          <w:rFonts w:cs="Times New Roman"/>
          <w:lang w:val="fr-CA"/>
        </w:rPr>
        <w:noBreakHyphen/>
        <w:t xml:space="preserve">même, l’avocat recommande et commente favorablement les placements de ce conseiller au fil des ans.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En 2003, le premier appelant, Kenneth F. Salomon, est l’avocat de longue date des intimées, Judith Matte</w:t>
      </w:r>
      <w:r w:rsidRPr="00080FA4">
        <w:rPr>
          <w:rFonts w:cs="Times New Roman"/>
          <w:lang w:val="fr-CA"/>
        </w:rPr>
        <w:noBreakHyphen/>
        <w:t>Thompson et 166376 Canada Inc. (« 166 »), au Québec. Au cours de l’année, il leur présente Themis</w:t>
      </w:r>
      <w:r>
        <w:rPr>
          <w:rFonts w:cs="Times New Roman"/>
          <w:lang w:val="fr-CA"/>
        </w:rPr>
        <w:t xml:space="preserve"> </w:t>
      </w:r>
      <w:r w:rsidRPr="00080FA4">
        <w:rPr>
          <w:rFonts w:cs="Times New Roman"/>
          <w:lang w:val="fr-CA"/>
        </w:rPr>
        <w:t xml:space="preserve">Papadopoulos, son ami proche et conseiller financier personnel, et leur recommande de le consulter. Au cours des quatre années qui suivent, les intimées finissent par investir plus de 7,5 millions de dollars dans la </w:t>
      </w:r>
      <w:r w:rsidRPr="00080FA4">
        <w:rPr>
          <w:rFonts w:cs="Times New Roman"/>
          <w:lang w:val="fr-CA"/>
        </w:rPr>
        <w:lastRenderedPageBreak/>
        <w:t>société de placements de M. Papadopoulos, Triglobal Capital Management Inc. (« Triglobal »). Durant ces quatre années, M</w:t>
      </w:r>
      <w:r w:rsidRPr="00080FA4">
        <w:rPr>
          <w:rFonts w:cs="Times New Roman"/>
          <w:vertAlign w:val="superscript"/>
          <w:lang w:val="fr-CA"/>
        </w:rPr>
        <w:t>e</w:t>
      </w:r>
      <w:r w:rsidRPr="00080FA4">
        <w:rPr>
          <w:rFonts w:cs="Times New Roman"/>
          <w:lang w:val="fr-CA"/>
        </w:rPr>
        <w:t xml:space="preserve"> Salomon commente favorablement et de façon répétée les services de M. Papadopoulos en tant que conseiller financier, en plus d’encourager les intimées à effectuer et à conserver leurs placements chez Triglobal. En 2007, M. Papadopoulos et son associé, Mario Bright, se volatilisent avec les économies d’une centaine d’investisseurs, dont celles des intimées.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Pour les intimées, MM. Papadopoulos et Bright ont détourné frauduleusement leurs investissements. Elles soutiennent aussi que M</w:t>
      </w:r>
      <w:r w:rsidRPr="00080FA4">
        <w:rPr>
          <w:rFonts w:cs="Times New Roman"/>
          <w:vertAlign w:val="superscript"/>
          <w:lang w:val="fr-CA"/>
        </w:rPr>
        <w:t>e</w:t>
      </w:r>
      <w:r w:rsidRPr="00080FA4">
        <w:rPr>
          <w:rFonts w:cs="Times New Roman"/>
          <w:lang w:val="fr-CA"/>
        </w:rPr>
        <w:t> Salomon et le deuxième appelant, son cabinet d’avocats Sternthal Katznelson Montigny</w:t>
      </w:r>
      <w:r>
        <w:rPr>
          <w:rFonts w:cs="Times New Roman"/>
          <w:lang w:val="fr-CA"/>
        </w:rPr>
        <w:t>,</w:t>
      </w:r>
      <w:r w:rsidRPr="00080FA4">
        <w:rPr>
          <w:rFonts w:cs="Times New Roman"/>
          <w:lang w:val="fr-CA"/>
        </w:rPr>
        <w:t xml:space="preserve"> s.e.n.c.r.l. (« SKM »)</w:t>
      </w:r>
      <w:r w:rsidRPr="008C2B4E">
        <w:rPr>
          <w:rStyle w:val="Hyperlink"/>
          <w:u w:val="none"/>
          <w:vertAlign w:val="superscript"/>
        </w:rPr>
        <w:footnoteReference w:id="1"/>
      </w:r>
      <w:r w:rsidRPr="00080FA4">
        <w:rPr>
          <w:rFonts w:cs="Times New Roman"/>
          <w:lang w:val="fr-CA"/>
        </w:rPr>
        <w:t>, ont fait preuve de négligence professionnelle de deux façons. Premièrement, M</w:t>
      </w:r>
      <w:r w:rsidRPr="00080FA4">
        <w:rPr>
          <w:rFonts w:cs="Times New Roman"/>
          <w:vertAlign w:val="superscript"/>
          <w:lang w:val="fr-CA"/>
        </w:rPr>
        <w:t>e</w:t>
      </w:r>
      <w:r w:rsidRPr="00080FA4">
        <w:rPr>
          <w:rFonts w:cs="Times New Roman"/>
          <w:lang w:val="fr-CA"/>
        </w:rPr>
        <w:t> Salomon et SKM ont manqué à leur devoir de conseil envers les intimées en recommandant, commentant favorablement et encourageant des investissements inopportuns auprès de la société de M. Papadopoulos. Deuxièmement, ils ont manqué à leur devoir de loyauté envers les intimées en se plaçant dans une situation de conflit d’intérêts qui les a amenés à fermer les yeux sur la situation. Les intimées ont poursuivi MM. Papadopoulos, Bright et Salomon et le cabinet SKM pour la perte de leurs investissements en capital, pour la perte de la possibilité de tirer des revenus de ces capitaux et pour leur préjudice moral. Elles ont également demandé que MM. Papadopoulos et Bright soient condamnés à leur verser des dommages</w:t>
      </w:r>
      <w:r w:rsidRPr="00080FA4">
        <w:rPr>
          <w:rFonts w:cs="Times New Roman"/>
          <w:lang w:val="fr-CA"/>
        </w:rPr>
        <w:noBreakHyphen/>
        <w:t>intérêts punitifs.</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La juge de première instance conclu</w:t>
      </w:r>
      <w:r>
        <w:rPr>
          <w:rFonts w:cs="Times New Roman"/>
          <w:lang w:val="fr-CA"/>
        </w:rPr>
        <w:t>t</w:t>
      </w:r>
      <w:r w:rsidRPr="00080FA4">
        <w:rPr>
          <w:rFonts w:cs="Times New Roman"/>
          <w:lang w:val="fr-CA"/>
        </w:rPr>
        <w:t xml:space="preserve"> que MM. Papadopoulos et Bright sont responsables des pertes subies par les intimées au titre de leurs placements et de </w:t>
      </w:r>
      <w:r w:rsidRPr="00080FA4">
        <w:rPr>
          <w:rFonts w:cs="Times New Roman"/>
          <w:lang w:val="fr-CA"/>
        </w:rPr>
        <w:lastRenderedPageBreak/>
        <w:t>leur préjudice moral, en plus de les condamner au paiement de dommages</w:t>
      </w:r>
      <w:r w:rsidRPr="00080FA4">
        <w:rPr>
          <w:rFonts w:cs="Times New Roman"/>
          <w:lang w:val="fr-CA"/>
        </w:rPr>
        <w:noBreakHyphen/>
        <w:t xml:space="preserve">intérêts punitifs. Elle </w:t>
      </w:r>
      <w:r>
        <w:rPr>
          <w:rFonts w:cs="Times New Roman"/>
          <w:lang w:val="fr-CA"/>
        </w:rPr>
        <w:t xml:space="preserve">rejette </w:t>
      </w:r>
      <w:r w:rsidRPr="00080FA4">
        <w:rPr>
          <w:rFonts w:cs="Times New Roman"/>
          <w:lang w:val="fr-CA"/>
        </w:rPr>
        <w:t>toutefois l’action contre M</w:t>
      </w:r>
      <w:r w:rsidRPr="00080FA4">
        <w:rPr>
          <w:rFonts w:cs="Times New Roman"/>
          <w:vertAlign w:val="superscript"/>
          <w:lang w:val="fr-CA"/>
        </w:rPr>
        <w:t>e</w:t>
      </w:r>
      <w:r w:rsidRPr="00080FA4">
        <w:rPr>
          <w:rFonts w:cs="Times New Roman"/>
          <w:lang w:val="fr-CA"/>
        </w:rPr>
        <w:t> Salomon et SKM, statuant que le premier n’a commis aucune faute qui aurait causé les pertes subies par les intimées. De l’avis de la juge de première instance, bien que M</w:t>
      </w:r>
      <w:r w:rsidRPr="00080FA4">
        <w:rPr>
          <w:rFonts w:cs="Times New Roman"/>
          <w:vertAlign w:val="superscript"/>
          <w:lang w:val="fr-CA"/>
        </w:rPr>
        <w:t>e</w:t>
      </w:r>
      <w:r w:rsidRPr="00080FA4">
        <w:rPr>
          <w:rFonts w:cs="Times New Roman"/>
          <w:lang w:val="fr-CA"/>
        </w:rPr>
        <w:t> Salomon ait manqué à son obligation de diligence professionnelle en formulant à l’intimée, M</w:t>
      </w:r>
      <w:r w:rsidRPr="00080FA4">
        <w:rPr>
          <w:rFonts w:cs="Times New Roman"/>
          <w:vertAlign w:val="superscript"/>
          <w:lang w:val="fr-CA"/>
        </w:rPr>
        <w:t>me </w:t>
      </w:r>
      <w:r w:rsidRPr="00080FA4">
        <w:rPr>
          <w:rFonts w:cs="Times New Roman"/>
          <w:lang w:val="fr-CA"/>
        </w:rPr>
        <w:t>Matte</w:t>
      </w:r>
      <w:r w:rsidRPr="00080FA4">
        <w:rPr>
          <w:rFonts w:cs="Times New Roman"/>
          <w:lang w:val="fr-CA"/>
        </w:rPr>
        <w:noBreakHyphen/>
        <w:t>Thompson, sa recommandation initiale quant à ses placements, il n’existe aucun lien de causalité entre cette faute et les pertes subséquentes de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La juge du procès conclu</w:t>
      </w:r>
      <w:r>
        <w:rPr>
          <w:rFonts w:cs="Times New Roman"/>
          <w:lang w:val="fr-CA"/>
        </w:rPr>
        <w:t>t</w:t>
      </w:r>
      <w:r w:rsidRPr="00080FA4">
        <w:rPr>
          <w:rFonts w:cs="Times New Roman"/>
          <w:lang w:val="fr-CA"/>
        </w:rPr>
        <w:t xml:space="preserve"> </w:t>
      </w:r>
      <w:r>
        <w:rPr>
          <w:rFonts w:cs="Times New Roman"/>
          <w:lang w:val="fr-CA"/>
        </w:rPr>
        <w:t xml:space="preserve">en outre </w:t>
      </w:r>
      <w:r w:rsidRPr="00080FA4">
        <w:rPr>
          <w:rFonts w:cs="Times New Roman"/>
          <w:lang w:val="fr-CA"/>
        </w:rPr>
        <w:t>que M</w:t>
      </w:r>
      <w:r w:rsidRPr="00080FA4">
        <w:rPr>
          <w:rFonts w:cs="Times New Roman"/>
          <w:vertAlign w:val="superscript"/>
          <w:lang w:val="fr-CA"/>
        </w:rPr>
        <w:t>e</w:t>
      </w:r>
      <w:r w:rsidRPr="00080FA4">
        <w:rPr>
          <w:rFonts w:cs="Times New Roman"/>
          <w:lang w:val="fr-CA"/>
        </w:rPr>
        <w:t xml:space="preserve"> Salomon ne s’est pas placé dans une situation de conflit d’intérêts et qu’il n’a pas fourni de conseils financiers à l’autre intimée, 166.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 xml:space="preserve">La Cour d’appel </w:t>
      </w:r>
      <w:r>
        <w:rPr>
          <w:rFonts w:cs="Times New Roman"/>
          <w:lang w:val="fr-CA"/>
        </w:rPr>
        <w:t>statue</w:t>
      </w:r>
      <w:r w:rsidRPr="00080FA4">
        <w:rPr>
          <w:rFonts w:cs="Times New Roman"/>
          <w:lang w:val="fr-CA"/>
        </w:rPr>
        <w:t xml:space="preserve"> que la juge de première instance a commis des erreurs donnant ouverture à son intervention et elle a infirmé la décision. Elle tir</w:t>
      </w:r>
      <w:r>
        <w:rPr>
          <w:rFonts w:cs="Times New Roman"/>
          <w:lang w:val="fr-CA"/>
        </w:rPr>
        <w:t>e</w:t>
      </w:r>
      <w:r w:rsidRPr="00080FA4">
        <w:rPr>
          <w:rFonts w:cs="Times New Roman"/>
          <w:lang w:val="fr-CA"/>
        </w:rPr>
        <w:t xml:space="preserve"> un certain nombre de conclusions, statuant notamment : (1) que les fautes commises par M</w:t>
      </w:r>
      <w:r w:rsidRPr="00080FA4">
        <w:rPr>
          <w:rFonts w:cs="Times New Roman"/>
          <w:vertAlign w:val="superscript"/>
          <w:lang w:val="fr-CA"/>
        </w:rPr>
        <w:t>e</w:t>
      </w:r>
      <w:r w:rsidRPr="00080FA4">
        <w:rPr>
          <w:rFonts w:cs="Times New Roman"/>
          <w:lang w:val="fr-CA"/>
        </w:rPr>
        <w:t> Salomon ne se limitent pas dans le temps à celle relative à sa recommandation initiale, (2) que ces fautes ont été commises à l’égard non seulement de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mais également de 166 et (3) que ces fautes ont causé les pertes subies par les deux intimées. De l’avis de la Cour d’appel, la juge de première instance a analysé les agissements de M</w:t>
      </w:r>
      <w:r w:rsidRPr="00080FA4">
        <w:rPr>
          <w:rFonts w:cs="Times New Roman"/>
          <w:vertAlign w:val="superscript"/>
          <w:lang w:val="fr-CA"/>
        </w:rPr>
        <w:t>e</w:t>
      </w:r>
      <w:r w:rsidRPr="00080FA4">
        <w:rPr>
          <w:rFonts w:cs="Times New Roman"/>
          <w:lang w:val="fr-CA"/>
        </w:rPr>
        <w:t> Salomon et leurs conséquences à travers un prisme déformant, qui l’a amenée à apprécier erronément la preuve de façon compartimentée, sans l’éclairage que lui aurait procuré une vision d’ensemble des événements. La Cour d’appel conclu</w:t>
      </w:r>
      <w:r>
        <w:rPr>
          <w:rFonts w:cs="Times New Roman"/>
          <w:lang w:val="fr-CA"/>
        </w:rPr>
        <w:t>t également</w:t>
      </w:r>
      <w:r w:rsidRPr="00080FA4">
        <w:rPr>
          <w:rFonts w:cs="Times New Roman"/>
          <w:lang w:val="fr-CA"/>
        </w:rPr>
        <w:t xml:space="preserve"> que la juge de première instance a adopté une approche indûment restrictive lors de son analyse du conflit d’intérêts de M</w:t>
      </w:r>
      <w:r w:rsidRPr="00080FA4">
        <w:rPr>
          <w:rFonts w:cs="Times New Roman"/>
          <w:vertAlign w:val="superscript"/>
          <w:lang w:val="fr-CA"/>
        </w:rPr>
        <w:t>e</w:t>
      </w:r>
      <w:r w:rsidRPr="00080FA4">
        <w:rPr>
          <w:rFonts w:cs="Times New Roman"/>
          <w:lang w:val="fr-CA"/>
        </w:rPr>
        <w:t> Salomon.</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J’estime que la Cour d’appel disposait d’assises suffisantes pour intervenir comme elle l’a fait. Je suis par conséquent d’avis de rejeter le pourvoi.</w:t>
      </w:r>
    </w:p>
    <w:p w:rsidR="0041746D" w:rsidRPr="00080FA4" w:rsidRDefault="0041746D" w:rsidP="0041746D">
      <w:pPr>
        <w:pStyle w:val="Title1LevelTitre1Niveau-AltL"/>
        <w:numPr>
          <w:ilvl w:val="0"/>
          <w:numId w:val="7"/>
        </w:numPr>
        <w:tabs>
          <w:tab w:val="clear" w:pos="1002"/>
          <w:tab w:val="num" w:pos="576"/>
        </w:tabs>
        <w:ind w:left="576"/>
        <w:rPr>
          <w:rFonts w:cs="Times New Roman"/>
          <w:lang w:val="fr-CA"/>
        </w:rPr>
      </w:pPr>
      <w:r w:rsidRPr="00080FA4">
        <w:rPr>
          <w:rFonts w:cs="Times New Roman"/>
          <w:lang w:val="fr-CA"/>
        </w:rPr>
        <w:lastRenderedPageBreak/>
        <w:t>Contexte</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À l’époque pertinente, Malcolm Thompson et son épouse,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sont des gens d’affaires qui exploitent des franchises de restaurants en Ontario et au Québec. Quatre sociétés (« Sociétés »), dont 166, sont alors constituées pour l’exploitation des restaurants. Monsieur Thompson et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détiennent respectivement les deux tiers et le tiers des actions de 166, et M. Thompson est le seul actionnaire des trois autres sociétés. En 2002, les Thompson vendent toutes leurs franchises de restaurants, sauf une. Hormis le cas de cette dernière, les Sociétés ne conservent que les actifs immobiliers.</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Monsieur Thompson décède en 2003 et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devient alors l’unique administratrice des Sociétés. Elle demeure la seule administratrice de 166 jusqu’en octobre 2006, alors que David Gemmill (l’avocat de M. Thompson en Ontario) et Joseph Miller (le beau</w:t>
      </w:r>
      <w:r w:rsidRPr="00080FA4">
        <w:rPr>
          <w:rFonts w:cs="Times New Roman"/>
          <w:lang w:val="fr-CA"/>
        </w:rPr>
        <w:noBreakHyphen/>
        <w:t xml:space="preserve">frère de M. Thompson) sont nommés membres du conseil d’administration.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Monsieur Thompson laisse deux testaments aux termes desquels il constitue trois fiducies pour ses petits</w:t>
      </w:r>
      <w:r w:rsidRPr="00080FA4">
        <w:rPr>
          <w:rFonts w:cs="Times New Roman"/>
          <w:lang w:val="fr-CA"/>
        </w:rPr>
        <w:noBreakHyphen/>
        <w:t>enfants et une fiducie (« Fiducie ») composée de la majorité de ses actifs, y compris les actions qu’</w:t>
      </w:r>
      <w:r w:rsidR="008E4387">
        <w:rPr>
          <w:rFonts w:cs="Times New Roman"/>
          <w:lang w:val="fr-CA"/>
        </w:rPr>
        <w:t>il détient dans les Sociétés. Monsieur</w:t>
      </w:r>
      <w:r w:rsidRPr="00080FA4">
        <w:rPr>
          <w:rFonts w:cs="Times New Roman"/>
          <w:lang w:val="fr-CA"/>
        </w:rPr>
        <w:t> Thompson désigne son épouse, ainsi que M</w:t>
      </w:r>
      <w:r w:rsidRPr="00080FA4">
        <w:rPr>
          <w:rFonts w:cs="Times New Roman"/>
          <w:vertAlign w:val="superscript"/>
          <w:lang w:val="fr-CA"/>
        </w:rPr>
        <w:t>e</w:t>
      </w:r>
      <w:r w:rsidRPr="00080FA4">
        <w:rPr>
          <w:rFonts w:cs="Times New Roman"/>
          <w:lang w:val="fr-CA"/>
        </w:rPr>
        <w:t> Gemmill et M. Miller, à titre de fiduciaires et de liquidateurs de la succession. Dans les testaments,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est désignée à titre de bénéficiaire des fruits et revenus de la Fiducie jusqu’à son décès. Après le décès de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le capital de la Fiducie doit être distribué aux enfants de M. Thompson et à ceux de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 xml:space="preserve">Thompson. Cet arrangement vise à pourvoir aux besoins de </w:t>
      </w:r>
      <w:r w:rsidRPr="00080FA4">
        <w:rPr>
          <w:rFonts w:cs="Times New Roman"/>
          <w:lang w:val="fr-CA"/>
        </w:rPr>
        <w:lastRenderedPageBreak/>
        <w:t>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et à assurer sa sécurité financière, tout en préservant le capital pour les enfants. La préservation du capital est un objectif primordial aux termes des testaments.</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Depuis 1989, M</w:t>
      </w:r>
      <w:r w:rsidRPr="00080FA4">
        <w:rPr>
          <w:rFonts w:cs="Times New Roman"/>
          <w:vertAlign w:val="superscript"/>
          <w:lang w:val="fr-CA"/>
        </w:rPr>
        <w:t>e</w:t>
      </w:r>
      <w:r w:rsidRPr="00080FA4">
        <w:rPr>
          <w:rFonts w:cs="Times New Roman"/>
          <w:lang w:val="fr-CA"/>
        </w:rPr>
        <w:t> Salomon est l’avocat des Thompson pour leurs activités commerciales au Québec. Après le décès de son époux,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consulte régulièrement M</w:t>
      </w:r>
      <w:r w:rsidRPr="00080FA4">
        <w:rPr>
          <w:rFonts w:cs="Times New Roman"/>
          <w:vertAlign w:val="superscript"/>
          <w:lang w:val="fr-CA"/>
        </w:rPr>
        <w:t>e</w:t>
      </w:r>
      <w:r w:rsidRPr="00080FA4">
        <w:rPr>
          <w:rFonts w:cs="Times New Roman"/>
          <w:lang w:val="fr-CA"/>
        </w:rPr>
        <w:t> Salomon pour obtenir ses conseils quant à l’interprétation et à l’exécution des testaments. Elle est mal à l’aise d’être à la fois bénéficiaire des fruits et revenus de la Fiducie et fiduciaire de celle</w:t>
      </w:r>
      <w:r w:rsidRPr="00080FA4">
        <w:rPr>
          <w:rFonts w:cs="Times New Roman"/>
          <w:lang w:val="fr-CA"/>
        </w:rPr>
        <w:noBreakHyphen/>
        <w:t>ci, et elle se demande comment maintenir son style de vie sans entamer le capital destiné aux enfants. Bien qu’elle soit une femme d’affaires instruite et expérimentée,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ne possède pas une connaissance approfondie du milieu des placements.</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En septembre 2003, M</w:t>
      </w:r>
      <w:r w:rsidRPr="00080FA4">
        <w:rPr>
          <w:rFonts w:cs="Times New Roman"/>
          <w:vertAlign w:val="superscript"/>
          <w:lang w:val="fr-CA"/>
        </w:rPr>
        <w:t>e</w:t>
      </w:r>
      <w:r w:rsidRPr="00080FA4">
        <w:rPr>
          <w:rFonts w:cs="Times New Roman"/>
          <w:lang w:val="fr-CA"/>
        </w:rPr>
        <w:t> Salomon présente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à M. Papadopoulos, son conseiller financier personnel et l’âme dirigeante de Triglobal.</w:t>
      </w:r>
      <w:r>
        <w:rPr>
          <w:rFonts w:cs="Times New Roman"/>
          <w:lang w:val="fr-CA"/>
        </w:rPr>
        <w:t xml:space="preserve"> </w:t>
      </w:r>
      <w:r w:rsidRPr="00080FA4">
        <w:rPr>
          <w:rFonts w:cs="Times New Roman"/>
          <w:lang w:val="fr-CA"/>
        </w:rPr>
        <w:t>Il avait rencontré M. Papadopoulos en 2001 lorsqu’il était lui</w:t>
      </w:r>
      <w:r w:rsidRPr="00080FA4">
        <w:rPr>
          <w:rFonts w:cs="Times New Roman"/>
          <w:lang w:val="fr-CA"/>
        </w:rPr>
        <w:noBreakHyphen/>
        <w:t>même à la recherche d’un conseiller financier personnel, et les deux sont devenus par la suite des amis proches. Maître Salomon a personnellement investi dans trois fonds dont Triglobal fait la promotion : il a placé le gros de ses économies dans un produit Manulife Financial (« Manulife ») ainsi que des sommes de moindre importance dans les fonds Focus Management Inc. (« Focus ») et iVest Fund Ltd. (« iVest »). Situés respectivement aux îles Cayman et aux Bahamas, Focus et iVest sont deux fonds spéculatifs extraterritoriaux (« </w:t>
      </w:r>
      <w:r w:rsidRPr="00080FA4">
        <w:rPr>
          <w:rFonts w:cs="Times New Roman"/>
          <w:i/>
          <w:lang w:val="fr-CA"/>
        </w:rPr>
        <w:t>offshore hedge fund</w:t>
      </w:r>
      <w:r w:rsidRPr="00080FA4">
        <w:rPr>
          <w:rFonts w:cs="Times New Roman"/>
          <w:lang w:val="fr-CA"/>
        </w:rPr>
        <w:t> ») liés à Triglobal et à MM. Papadopoulos et Bright.</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lastRenderedPageBreak/>
        <w:t>M</w:t>
      </w:r>
      <w:r>
        <w:rPr>
          <w:rFonts w:cs="Times New Roman"/>
          <w:lang w:val="fr-CA"/>
        </w:rPr>
        <w:t xml:space="preserve">aître </w:t>
      </w:r>
      <w:r w:rsidRPr="00080FA4">
        <w:rPr>
          <w:rFonts w:cs="Times New Roman"/>
          <w:lang w:val="fr-CA"/>
        </w:rPr>
        <w:t>Salomon recommande Triglobal et son fonds iVest à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Il qualifie notamment iVest [</w:t>
      </w:r>
      <w:r w:rsidRPr="00080FA4">
        <w:rPr>
          <w:rFonts w:cs="Times New Roman"/>
          <w:smallCaps/>
          <w:lang w:val="fr-CA"/>
        </w:rPr>
        <w:t>traduction</w:t>
      </w:r>
      <w:r w:rsidRPr="00080FA4">
        <w:rPr>
          <w:rFonts w:cs="Times New Roman"/>
          <w:lang w:val="fr-CA"/>
        </w:rPr>
        <w:t>] « d’excellent véhicule de placement dans les cas où la sécurité du capital est une considération importante » (d.a., vol. 3, p. 352). Se fiant à ce conseil,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décide d’investir une partie de ses économies personnelles auprès de Triglobal au début de l’année 2004. Elle place d’abord 100 000 $ dans le fonds iVest, puis 1 245 000 $ dans le fonds Manulife. Dans les mois qui suivent, elle transfère une somme de 400 000 $ du compte Manulife vers le fonds iVest.</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De 2003 à 2006, M</w:t>
      </w:r>
      <w:r w:rsidRPr="00080FA4">
        <w:rPr>
          <w:rFonts w:cs="Times New Roman"/>
          <w:vertAlign w:val="superscript"/>
          <w:lang w:val="fr-CA"/>
        </w:rPr>
        <w:t>e</w:t>
      </w:r>
      <w:r w:rsidRPr="00080FA4">
        <w:rPr>
          <w:rFonts w:cs="Times New Roman"/>
          <w:lang w:val="fr-CA"/>
        </w:rPr>
        <w:t> Salomon participe à la réorganisation des Sociétés. À l’exception de celle qui exploite encore un restaurant, les Sociétés fusionnent alors avec 166. En février 2006, M</w:t>
      </w:r>
      <w:r w:rsidRPr="00080FA4">
        <w:rPr>
          <w:rFonts w:cs="Times New Roman"/>
          <w:vertAlign w:val="superscript"/>
          <w:lang w:val="fr-CA"/>
        </w:rPr>
        <w:t>e</w:t>
      </w:r>
      <w:r w:rsidRPr="00080FA4">
        <w:rPr>
          <w:rFonts w:cs="Times New Roman"/>
          <w:lang w:val="fr-CA"/>
        </w:rPr>
        <w:t> Salomon organise également la vente des actifs de 166 et prépare des résolutions autorisant l’ouverture pour 166 de comptes dans les fonds iVest et Manulife. En février</w:t>
      </w:r>
      <w:r>
        <w:rPr>
          <w:rFonts w:cs="Times New Roman"/>
          <w:lang w:val="fr-CA"/>
        </w:rPr>
        <w:t xml:space="preserve"> </w:t>
      </w:r>
      <w:r w:rsidRPr="00080FA4">
        <w:rPr>
          <w:rFonts w:cs="Times New Roman"/>
          <w:lang w:val="fr-CA"/>
        </w:rPr>
        <w:t>et en avril 2006, conformément aux directives données par un représentant de Triglobal, le produit de la vente, qui s’élève à 5 830 642 $, est placé au complet dans le fonds Focus. En juillet 2006,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rachète une partie de son placement dans le fonds iVest, et elle place également une somme totale de 1 188 949 $ dans le fonds Focus en mars et octobre 2006.</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À partir d’avril 2006,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commence à faire part à M</w:t>
      </w:r>
      <w:r w:rsidRPr="00080FA4">
        <w:rPr>
          <w:rFonts w:cs="Times New Roman"/>
          <w:vertAlign w:val="superscript"/>
          <w:lang w:val="fr-CA"/>
        </w:rPr>
        <w:t>e</w:t>
      </w:r>
      <w:r w:rsidRPr="00080FA4">
        <w:rPr>
          <w:rFonts w:cs="Times New Roman"/>
          <w:lang w:val="fr-CA"/>
        </w:rPr>
        <w:t> Salomon de ses inquiétudes au sujet de ces placements, y compris dans le fonds Focus. Elle veut obtenir davantage de renseignements sur la nature des placements, et elle a de la difficulté à communiquer avec Triglobal. Chaque fois qu’elle exprime des préoccupations, ou bien M</w:t>
      </w:r>
      <w:r w:rsidRPr="00080FA4">
        <w:rPr>
          <w:rFonts w:cs="Times New Roman"/>
          <w:vertAlign w:val="superscript"/>
          <w:lang w:val="fr-CA"/>
        </w:rPr>
        <w:t>e</w:t>
      </w:r>
      <w:r w:rsidRPr="00080FA4">
        <w:rPr>
          <w:rFonts w:cs="Times New Roman"/>
          <w:lang w:val="fr-CA"/>
        </w:rPr>
        <w:t> Salomon la rassure promptement, ou bien il en informe M. Papadopoulos, qui communique lui</w:t>
      </w:r>
      <w:r w:rsidRPr="00080FA4">
        <w:rPr>
          <w:rFonts w:cs="Times New Roman"/>
          <w:lang w:val="fr-CA"/>
        </w:rPr>
        <w:noBreakHyphen/>
        <w:t>même avec elle pour la rassurer.</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lastRenderedPageBreak/>
        <w:t xml:space="preserve">Vers la fin de 2006, M. Miller conseille fortement aux deux autres fiduciaires et liquidateurs de la succession de demander le remboursement des placements de 166 dans le fonds Focus. Ils suivent son conseil en janvier 2007, mais ne demandent que des remboursements progressifs, dans le but d’éviter toute pénalité. Entre février et juillet 2007, 166 reçoit des remboursements totalisant 900 000 $.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 xml:space="preserve">En mai 2007, le cahier </w:t>
      </w:r>
      <w:r w:rsidRPr="00080FA4">
        <w:rPr>
          <w:rFonts w:cs="Times New Roman"/>
          <w:i/>
          <w:lang w:val="fr-CA"/>
        </w:rPr>
        <w:t>La Presse Affaires</w:t>
      </w:r>
      <w:r w:rsidRPr="00080FA4">
        <w:rPr>
          <w:rFonts w:cs="Times New Roman"/>
          <w:lang w:val="fr-CA"/>
        </w:rPr>
        <w:t xml:space="preserve"> publie un article qui met en doute les placements faits par l’entremise de Triglobal dans les fonds iVest et Focus. En décembre 2007,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réclame le remboursement intégral des placements dans le fonds Focus, mais, à cette date, Triglobal, iVest et Focus ont cessé leurs activités et leurs actifs ont été bloqués. Malheureusement pour les intimées, les fonds Focus et iVest se révèlent faire partie d’un stratagème de type Ponzi. Madame Matte</w:t>
      </w:r>
      <w:r w:rsidRPr="00080FA4">
        <w:rPr>
          <w:rFonts w:cs="Times New Roman"/>
          <w:lang w:val="fr-CA"/>
        </w:rPr>
        <w:noBreakHyphen/>
        <w:t>Thompson perd une somme de 1 188 068 $ dans les fonds Focus et iVest, tandis que 166 perd 4 006 366 $ dans ces mêmes fonds. Globalement, cette fraude fait perdre près de 100 millions de dollars à une centaine d’investisseurs.</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Quelque temps après l’effondrement de Triglobal,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apprend que M</w:t>
      </w:r>
      <w:r w:rsidRPr="00080FA4">
        <w:rPr>
          <w:rFonts w:cs="Times New Roman"/>
          <w:vertAlign w:val="superscript"/>
          <w:lang w:val="fr-CA"/>
        </w:rPr>
        <w:t>e</w:t>
      </w:r>
      <w:r w:rsidRPr="00080FA4">
        <w:rPr>
          <w:rFonts w:cs="Times New Roman"/>
          <w:lang w:val="fr-CA"/>
        </w:rPr>
        <w:t> Salomon a reçu de M. Papadopoulos des sommes totalisant 38 000 $ en 2006 et 2007. Au début de 2006, par suite d’une recommandation de M. Papadopoulos, M</w:t>
      </w:r>
      <w:r w:rsidRPr="00080FA4">
        <w:rPr>
          <w:rFonts w:cs="Times New Roman"/>
          <w:vertAlign w:val="superscript"/>
          <w:lang w:val="fr-CA"/>
        </w:rPr>
        <w:t>e</w:t>
      </w:r>
      <w:r w:rsidRPr="00080FA4">
        <w:rPr>
          <w:rFonts w:cs="Times New Roman"/>
          <w:lang w:val="fr-CA"/>
        </w:rPr>
        <w:t> Salomon a constitué une société, 4307909 Canada Inc. (« 430 »), afin de fournir des services de [</w:t>
      </w:r>
      <w:r w:rsidRPr="00080FA4">
        <w:rPr>
          <w:rFonts w:cs="Times New Roman"/>
          <w:smallCaps/>
          <w:lang w:val="fr-CA"/>
        </w:rPr>
        <w:t>traduction</w:t>
      </w:r>
      <w:r w:rsidRPr="00080FA4">
        <w:rPr>
          <w:rFonts w:cs="Times New Roman"/>
          <w:lang w:val="fr-CA"/>
        </w:rPr>
        <w:t>] « consultation financière » (d.a., vol. 6, p. 1778). Conformément aux instructions de M. Papadopoulos, 430 a produit deux factures de 10 000 $ chacune, à l’égard desquelles des paiements ont été reçus en mai et juin 2006 bien qu’aucun service n’ait été fourni. Selon M</w:t>
      </w:r>
      <w:r w:rsidRPr="00080FA4">
        <w:rPr>
          <w:rFonts w:cs="Times New Roman"/>
          <w:vertAlign w:val="superscript"/>
          <w:lang w:val="fr-CA"/>
        </w:rPr>
        <w:t>e</w:t>
      </w:r>
      <w:r w:rsidRPr="00080FA4">
        <w:rPr>
          <w:rFonts w:cs="Times New Roman"/>
          <w:lang w:val="fr-CA"/>
        </w:rPr>
        <w:t> Salomon, ces sommes constituaient un [</w:t>
      </w:r>
      <w:r w:rsidRPr="00080FA4">
        <w:rPr>
          <w:rFonts w:cs="Times New Roman"/>
          <w:smallCaps/>
          <w:lang w:val="fr-CA"/>
        </w:rPr>
        <w:t>traduction</w:t>
      </w:r>
      <w:r w:rsidRPr="00080FA4">
        <w:rPr>
          <w:rFonts w:cs="Times New Roman"/>
          <w:lang w:val="fr-CA"/>
        </w:rPr>
        <w:t xml:space="preserve">] « cadeau » en vue de l’aider à rénover son appartement </w:t>
      </w:r>
      <w:r w:rsidRPr="00080FA4">
        <w:rPr>
          <w:rFonts w:cs="Times New Roman"/>
          <w:lang w:val="fr-CA"/>
        </w:rPr>
        <w:lastRenderedPageBreak/>
        <w:t>(d.a., vol. 10, p. 3108). En février</w:t>
      </w:r>
      <w:r>
        <w:rPr>
          <w:rFonts w:cs="Times New Roman"/>
          <w:lang w:val="fr-CA"/>
        </w:rPr>
        <w:t xml:space="preserve"> </w:t>
      </w:r>
      <w:r w:rsidRPr="00080FA4">
        <w:rPr>
          <w:rFonts w:cs="Times New Roman"/>
          <w:lang w:val="fr-CA"/>
        </w:rPr>
        <w:t xml:space="preserve">2007, 430 a reçu une autre somme de 8 000 $, supposément destinée à payer les impôts relatifs au « cadeau » précédent de 20 000 $.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Ensuite, en juin 2007, M</w:t>
      </w:r>
      <w:r w:rsidRPr="00080FA4">
        <w:rPr>
          <w:rFonts w:cs="Times New Roman"/>
          <w:vertAlign w:val="superscript"/>
          <w:lang w:val="fr-CA"/>
        </w:rPr>
        <w:t>e</w:t>
      </w:r>
      <w:r w:rsidRPr="00080FA4">
        <w:rPr>
          <w:rFonts w:cs="Times New Roman"/>
          <w:lang w:val="fr-CA"/>
        </w:rPr>
        <w:t> Salomon a demandé le remboursement de la somme de 70 000 $ qu’il avait placée dans le fonds Focus; il a finalement reçu 50 000 $ à cet égard. En septembre 2007, toujours conformément aux instructions de M. Papadopoulos, M</w:t>
      </w:r>
      <w:r w:rsidRPr="00080FA4">
        <w:rPr>
          <w:rFonts w:cs="Times New Roman"/>
          <w:vertAlign w:val="superscript"/>
          <w:lang w:val="fr-CA"/>
        </w:rPr>
        <w:t>e</w:t>
      </w:r>
      <w:r w:rsidRPr="00080FA4">
        <w:rPr>
          <w:rFonts w:cs="Times New Roman"/>
          <w:lang w:val="fr-CA"/>
        </w:rPr>
        <w:t> Salomon a produit une facture de 50 000 $ par l’entremise de 430 afin de recevoir un premier chèque [</w:t>
      </w:r>
      <w:r w:rsidRPr="00080FA4">
        <w:rPr>
          <w:rFonts w:cs="Times New Roman"/>
          <w:smallCaps/>
          <w:lang w:val="fr-CA"/>
        </w:rPr>
        <w:t>traduction</w:t>
      </w:r>
      <w:r w:rsidRPr="00080FA4">
        <w:rPr>
          <w:rFonts w:cs="Times New Roman"/>
          <w:lang w:val="fr-CA"/>
        </w:rPr>
        <w:t>] « bimensuel ». Le mois suivant, 430 a reçu deux chèques de 5 000 $ chacun d’une société appartenant à M. Papadopoulos appelée Themis Papadopoulos Financial Services Inc. M</w:t>
      </w:r>
      <w:r>
        <w:rPr>
          <w:rFonts w:cs="Times New Roman"/>
          <w:lang w:val="fr-CA"/>
        </w:rPr>
        <w:t xml:space="preserve">aître </w:t>
      </w:r>
      <w:r w:rsidRPr="00080FA4">
        <w:rPr>
          <w:rFonts w:cs="Times New Roman"/>
          <w:lang w:val="fr-CA"/>
        </w:rPr>
        <w:t xml:space="preserve">Salomon a témoigné que les sommes ainsi versées représentent un remboursement de son propre placement dans le fonds Focus, mais dans un courriel rédigé à la même époque par M. Papadopoulos, ces paiements sont qualifiés de commissions.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Lors de l’audience qui s’est déroulée devant nous, l’avocat des appelants confirme que M</w:t>
      </w:r>
      <w:r w:rsidRPr="00080FA4">
        <w:rPr>
          <w:rFonts w:cs="Times New Roman"/>
          <w:vertAlign w:val="superscript"/>
          <w:lang w:val="fr-CA"/>
        </w:rPr>
        <w:t>e</w:t>
      </w:r>
      <w:r w:rsidRPr="00080FA4">
        <w:rPr>
          <w:rFonts w:cs="Times New Roman"/>
          <w:lang w:val="fr-CA"/>
        </w:rPr>
        <w:t> Salomon a personnellement perdu environ 20 000 $ par suite de la fraude. Bien que les paiements reçus par M</w:t>
      </w:r>
      <w:r w:rsidRPr="00080FA4">
        <w:rPr>
          <w:rFonts w:cs="Times New Roman"/>
          <w:vertAlign w:val="superscript"/>
          <w:lang w:val="fr-CA"/>
        </w:rPr>
        <w:t>e</w:t>
      </w:r>
      <w:r w:rsidRPr="00080FA4">
        <w:rPr>
          <w:rFonts w:cs="Times New Roman"/>
          <w:lang w:val="fr-CA"/>
        </w:rPr>
        <w:t xml:space="preserve"> Salomon (38 000 $) soient peu élevés comparativement aux placements des intimées chez Triglobal, je signale qu’ils sont en définitive supérieurs à cette somme qu’il a personnellement perdue (20 000 $).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Les intimées intentent leur action en justice en janvier 2008.</w:t>
      </w:r>
    </w:p>
    <w:p w:rsidR="0041746D" w:rsidRPr="00080FA4" w:rsidRDefault="0041746D" w:rsidP="0041746D">
      <w:pPr>
        <w:pStyle w:val="Title1LevelTitre1Niveau-AltL"/>
        <w:numPr>
          <w:ilvl w:val="0"/>
          <w:numId w:val="7"/>
        </w:numPr>
        <w:tabs>
          <w:tab w:val="clear" w:pos="1002"/>
          <w:tab w:val="num" w:pos="576"/>
        </w:tabs>
        <w:ind w:left="576"/>
        <w:rPr>
          <w:rFonts w:cs="Times New Roman"/>
          <w:lang w:val="fr-CA"/>
        </w:rPr>
      </w:pPr>
      <w:r w:rsidRPr="00080FA4">
        <w:rPr>
          <w:rFonts w:cs="Times New Roman"/>
          <w:lang w:val="fr-CA"/>
        </w:rPr>
        <w:t>Décisions des cours d’instances inférieures</w:t>
      </w:r>
    </w:p>
    <w:p w:rsidR="0041746D" w:rsidRPr="00080FA4" w:rsidRDefault="0041746D" w:rsidP="0041746D">
      <w:pPr>
        <w:pStyle w:val="Title2LevelTitre2Niveau"/>
        <w:numPr>
          <w:ilvl w:val="1"/>
          <w:numId w:val="7"/>
        </w:numPr>
        <w:rPr>
          <w:rFonts w:cs="Times New Roman"/>
          <w:lang w:val="fr-CA"/>
        </w:rPr>
      </w:pPr>
      <w:r w:rsidRPr="00080FA4">
        <w:rPr>
          <w:rFonts w:cs="Times New Roman"/>
          <w:lang w:val="fr-CA"/>
        </w:rPr>
        <w:t>Cour supérieure du Québec (2014 QCCS 3072)</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lastRenderedPageBreak/>
        <w:t>Messieurs Papadopoulos et Bright ne contestent pas l’action intentée contre eux. Dans un jugement rendu par défaut, la juge de première instance conclut qu’ils sont responsables des pertes subies par les intimées au titre de leurs placements ainsi que du préjudice moral causé à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De plus, elle condamne MM. Papadopoulos et Bright à verser des dommages</w:t>
      </w:r>
      <w:r w:rsidRPr="00080FA4">
        <w:rPr>
          <w:rFonts w:cs="Times New Roman"/>
          <w:lang w:val="fr-CA"/>
        </w:rPr>
        <w:noBreakHyphen/>
        <w:t>intérêts punitifs aux intimées. Les conclusions formulées par la juge de première instance à l’égard de MM. Papadopoulos et Bright ne sont pas portées en appel.</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La juge de première instance rejette toutefois l’action visant M</w:t>
      </w:r>
      <w:r w:rsidRPr="00080FA4">
        <w:rPr>
          <w:rFonts w:cs="Times New Roman"/>
          <w:vertAlign w:val="superscript"/>
          <w:lang w:val="fr-CA"/>
        </w:rPr>
        <w:t>e</w:t>
      </w:r>
      <w:r w:rsidRPr="00080FA4">
        <w:rPr>
          <w:rFonts w:cs="Times New Roman"/>
          <w:lang w:val="fr-CA"/>
        </w:rPr>
        <w:t> Salomon et SKM. Elle conclut que, bien que M</w:t>
      </w:r>
      <w:r w:rsidRPr="00080FA4">
        <w:rPr>
          <w:rFonts w:cs="Times New Roman"/>
          <w:vertAlign w:val="superscript"/>
          <w:lang w:val="fr-CA"/>
        </w:rPr>
        <w:t>e</w:t>
      </w:r>
      <w:r w:rsidRPr="00080FA4">
        <w:rPr>
          <w:rFonts w:cs="Times New Roman"/>
          <w:lang w:val="fr-CA"/>
        </w:rPr>
        <w:t> Salomon ait commis une faute en recommandant expressément à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d’investir dans le fonds iVest en 2003, cette faute n’est pas la cause des pertes ultérieures de cette dernière au titre de ses placements dans le fonds Focus. Selon la juge, lorsque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investit dans ce fonds en 2006, elle a déjà établi des liens personnels avec M. Papadopoulos, et elle ne s’appuie donc plus sur les conseils de M</w:t>
      </w:r>
      <w:r w:rsidRPr="00080FA4">
        <w:rPr>
          <w:rFonts w:cs="Times New Roman"/>
          <w:vertAlign w:val="superscript"/>
          <w:lang w:val="fr-CA"/>
        </w:rPr>
        <w:t>e</w:t>
      </w:r>
      <w:r w:rsidRPr="00080FA4">
        <w:rPr>
          <w:rFonts w:cs="Times New Roman"/>
          <w:lang w:val="fr-CA"/>
        </w:rPr>
        <w:t> Salomon pour prendre ses décisions en matière de placements. La juge souligne que M</w:t>
      </w:r>
      <w:r w:rsidRPr="00080FA4">
        <w:rPr>
          <w:rFonts w:cs="Times New Roman"/>
          <w:vertAlign w:val="superscript"/>
          <w:lang w:val="fr-CA"/>
        </w:rPr>
        <w:t>e</w:t>
      </w:r>
      <w:r w:rsidRPr="00080FA4">
        <w:rPr>
          <w:rFonts w:cs="Times New Roman"/>
          <w:lang w:val="fr-CA"/>
        </w:rPr>
        <w:t> Salomon ne peut être tenu responsable de la fraude commise par M</w:t>
      </w:r>
      <w:r>
        <w:rPr>
          <w:rFonts w:cs="Times New Roman"/>
          <w:lang w:val="fr-CA"/>
        </w:rPr>
        <w:t>M</w:t>
      </w:r>
      <w:r w:rsidRPr="00080FA4">
        <w:rPr>
          <w:rFonts w:cs="Times New Roman"/>
          <w:lang w:val="fr-CA"/>
        </w:rPr>
        <w:t>. Papadopoulos et Bright.</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La juge de première instance conclut également que M</w:t>
      </w:r>
      <w:r w:rsidRPr="00080FA4">
        <w:rPr>
          <w:rFonts w:cs="Times New Roman"/>
          <w:vertAlign w:val="superscript"/>
          <w:lang w:val="fr-CA"/>
        </w:rPr>
        <w:t>e</w:t>
      </w:r>
      <w:r w:rsidRPr="00080FA4">
        <w:rPr>
          <w:rFonts w:cs="Times New Roman"/>
          <w:lang w:val="fr-CA"/>
        </w:rPr>
        <w:t> Salomon n’a commis aucune faute à l’endroit de 166, parce qu’il ne lui a donné aucun conseil en matière de placements et qu’il n’est pas allé jusqu’à se montrer trop rassurant de quelque manière. Soulignant que M</w:t>
      </w:r>
      <w:r w:rsidRPr="00080FA4">
        <w:rPr>
          <w:rFonts w:cs="Times New Roman"/>
          <w:vertAlign w:val="superscript"/>
          <w:lang w:val="fr-CA"/>
        </w:rPr>
        <w:t>e</w:t>
      </w:r>
      <w:r w:rsidRPr="00080FA4">
        <w:rPr>
          <w:rFonts w:cs="Times New Roman"/>
          <w:lang w:val="fr-CA"/>
        </w:rPr>
        <w:t xml:space="preserve"> Salomon n’a pas été consulté avant que l’argent de 166 ne soit viré dans le fonds Focus, la juge conclut que 166 ne s’en est pas remise à ses conseils pour décider d’investir dans ce fonds. Maître Salomon n’avait aucune obligation de vérifier si le placement recommandé par des spécialistes était opportun. </w:t>
      </w:r>
      <w:r w:rsidRPr="00080FA4">
        <w:rPr>
          <w:rFonts w:cs="Times New Roman"/>
          <w:lang w:val="fr-CA"/>
        </w:rPr>
        <w:lastRenderedPageBreak/>
        <w:t>De plus, rien ne prouve que M</w:t>
      </w:r>
      <w:r w:rsidRPr="00080FA4">
        <w:rPr>
          <w:rFonts w:cs="Times New Roman"/>
          <w:vertAlign w:val="superscript"/>
          <w:lang w:val="fr-CA"/>
        </w:rPr>
        <w:t>e</w:t>
      </w:r>
      <w:r w:rsidRPr="00080FA4">
        <w:rPr>
          <w:rFonts w:cs="Times New Roman"/>
          <w:lang w:val="fr-CA"/>
        </w:rPr>
        <w:t> Salomon aurait pu intervenir de quelque manière que ce soit après avoir été mis au courant de la décision de 166 d’investir dans le fonds Focus.</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Enfin, la juge de première instance conclut que M</w:t>
      </w:r>
      <w:r w:rsidRPr="00080FA4">
        <w:rPr>
          <w:rFonts w:cs="Times New Roman"/>
          <w:vertAlign w:val="superscript"/>
          <w:lang w:val="fr-CA"/>
        </w:rPr>
        <w:t>e</w:t>
      </w:r>
      <w:r w:rsidRPr="00080FA4">
        <w:rPr>
          <w:rFonts w:cs="Times New Roman"/>
          <w:lang w:val="fr-CA"/>
        </w:rPr>
        <w:t> Salomon ne s’est pas placé en situation de conflit d’intérêts. Elle croit le témoignage de ce dernier et déclare qu’il n’existe aucune preuve précise indiquant que l’une des sommes payées par M. Papadopoulos et reçues par M</w:t>
      </w:r>
      <w:r w:rsidRPr="00080FA4">
        <w:rPr>
          <w:rFonts w:cs="Times New Roman"/>
          <w:vertAlign w:val="superscript"/>
          <w:lang w:val="fr-CA"/>
        </w:rPr>
        <w:t>e</w:t>
      </w:r>
      <w:r w:rsidRPr="00080FA4">
        <w:rPr>
          <w:rFonts w:cs="Times New Roman"/>
          <w:lang w:val="fr-CA"/>
        </w:rPr>
        <w:t> Salomon par l’entremise de 430 constitue une commission versée à celui</w:t>
      </w:r>
      <w:r w:rsidRPr="00080FA4">
        <w:rPr>
          <w:rFonts w:cs="Times New Roman"/>
          <w:lang w:val="fr-CA"/>
        </w:rPr>
        <w:noBreakHyphen/>
        <w:t>ci pour avoir aiguillé des clients vers Triglobal.</w:t>
      </w:r>
    </w:p>
    <w:p w:rsidR="0041746D" w:rsidRPr="00080FA4" w:rsidRDefault="0041746D" w:rsidP="0041746D">
      <w:pPr>
        <w:pStyle w:val="Title2LevelTitre2Niveau"/>
        <w:numPr>
          <w:ilvl w:val="1"/>
          <w:numId w:val="7"/>
        </w:numPr>
        <w:rPr>
          <w:rFonts w:cs="Times New Roman"/>
          <w:i w:val="0"/>
          <w:lang w:val="fr-CA"/>
        </w:rPr>
      </w:pPr>
      <w:r w:rsidRPr="00080FA4">
        <w:rPr>
          <w:rFonts w:cs="Times New Roman"/>
          <w:lang w:val="fr-CA"/>
        </w:rPr>
        <w:t>Cour d’appel du Québec (2017 QCCA 273, 41 C.C.L.T. (4th) 1)</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La Cour d’appel accueille l’appel à l’unanimité et conclut que la juge de première instance a commis des erreurs manifestes et déterminantes dans sa décision. Premièrement, elle conclut que la juge de première instance a commis une erreur en limitant à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le manquement de M</w:t>
      </w:r>
      <w:r w:rsidRPr="00080FA4">
        <w:rPr>
          <w:rFonts w:cs="Times New Roman"/>
          <w:vertAlign w:val="superscript"/>
          <w:lang w:val="fr-CA"/>
        </w:rPr>
        <w:t>e </w:t>
      </w:r>
      <w:r w:rsidRPr="00080FA4">
        <w:rPr>
          <w:rFonts w:cs="Times New Roman"/>
          <w:lang w:val="fr-CA"/>
        </w:rPr>
        <w:t>Salomon à son devoir de conseil. À l’instar de la juge de première instance, la Cour d’appel estime que M</w:t>
      </w:r>
      <w:r w:rsidRPr="00080FA4">
        <w:rPr>
          <w:rFonts w:cs="Times New Roman"/>
          <w:vertAlign w:val="superscript"/>
          <w:lang w:val="fr-CA"/>
        </w:rPr>
        <w:t>e </w:t>
      </w:r>
      <w:r w:rsidRPr="00080FA4">
        <w:rPr>
          <w:rFonts w:cs="Times New Roman"/>
          <w:lang w:val="fr-CA"/>
        </w:rPr>
        <w:t>Salomon a manqué à son devoir de conseil envers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en lui recommandant le fonds iVest. Toutefois, la Cour d’appel statue que M</w:t>
      </w:r>
      <w:r w:rsidRPr="00080FA4">
        <w:rPr>
          <w:rFonts w:cs="Times New Roman"/>
          <w:vertAlign w:val="superscript"/>
          <w:lang w:val="fr-CA"/>
        </w:rPr>
        <w:t>e</w:t>
      </w:r>
      <w:r w:rsidRPr="00080FA4">
        <w:rPr>
          <w:rFonts w:cs="Times New Roman"/>
          <w:lang w:val="fr-CA"/>
        </w:rPr>
        <w:t> Salomon a agi pour le compte des deux intimées à compter de 2003, et qu’il était tenu aux mêmes obligations envers chacune d’elles. La Cour d’appel conclut que la juge de première instance a évalué la preuve à travers un prisme déformant (par. 66), ce qui l’a amenée à conclure à tort que M</w:t>
      </w:r>
      <w:r w:rsidRPr="00080FA4">
        <w:rPr>
          <w:rFonts w:cs="Times New Roman"/>
          <w:vertAlign w:val="superscript"/>
          <w:lang w:val="fr-CA"/>
        </w:rPr>
        <w:t>e</w:t>
      </w:r>
      <w:r w:rsidRPr="00080FA4">
        <w:rPr>
          <w:rFonts w:cs="Times New Roman"/>
          <w:lang w:val="fr-CA"/>
        </w:rPr>
        <w:t> Salomon a commis une faute uniquement à l’endroit de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lastRenderedPageBreak/>
        <w:t>Deuxièmement, la Cour d’appel statue que la juge de première instance a commis une erreur en limitant les fautes de M</w:t>
      </w:r>
      <w:r w:rsidRPr="00080FA4">
        <w:rPr>
          <w:rFonts w:cs="Times New Roman"/>
          <w:vertAlign w:val="superscript"/>
          <w:lang w:val="fr-CA"/>
        </w:rPr>
        <w:t>e</w:t>
      </w:r>
      <w:r w:rsidRPr="00080FA4">
        <w:rPr>
          <w:rFonts w:cs="Times New Roman"/>
          <w:lang w:val="fr-CA"/>
        </w:rPr>
        <w:t> Salomon au placement initial dans le fonds iVest en 2003 et 2004. La Cour d’appel juge que les fautes de ce dernier se sont poursuivies jusqu’en 2007 et qu’elles concernent les placements des intimées tant dans iVest que dans Focus. En rassurant de façon répétée les intimées, M</w:t>
      </w:r>
      <w:r w:rsidRPr="00080FA4">
        <w:rPr>
          <w:rFonts w:cs="Times New Roman"/>
          <w:vertAlign w:val="superscript"/>
          <w:lang w:val="fr-CA"/>
        </w:rPr>
        <w:t>e</w:t>
      </w:r>
      <w:r w:rsidRPr="00080FA4">
        <w:rPr>
          <w:rFonts w:cs="Times New Roman"/>
          <w:lang w:val="fr-CA"/>
        </w:rPr>
        <w:t> Salomon a suscité chez elles un sentiment de confiance à l’égard des placements, alors que ceux</w:t>
      </w:r>
      <w:r w:rsidRPr="00080FA4">
        <w:rPr>
          <w:rFonts w:cs="Times New Roman"/>
          <w:lang w:val="fr-CA"/>
        </w:rPr>
        <w:noBreakHyphen/>
        <w:t>ci ne convenaient manifestement pas à leurs besoins. Il n’a en outre pas fait preuve de diligence raisonnable. Ces fautes n’ont cessé qu’au moment de l’effondrement de Triglobal à la fin de 2007.</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Troisièmement, la Cour d’appel estime que la juge de première instance a erré en adoptant une approche restrictive à l’égard de la preuve dans le cadre de son examen du devoir de loyauté qui incombe à M</w:t>
      </w:r>
      <w:r w:rsidRPr="00080FA4">
        <w:rPr>
          <w:rFonts w:cs="Times New Roman"/>
          <w:vertAlign w:val="superscript"/>
          <w:lang w:val="fr-CA"/>
        </w:rPr>
        <w:t>e</w:t>
      </w:r>
      <w:r w:rsidRPr="00080FA4">
        <w:rPr>
          <w:rFonts w:cs="Times New Roman"/>
          <w:lang w:val="fr-CA"/>
        </w:rPr>
        <w:t> Salomon. De l’avis de la cour, ce dernier s’est placé en situation de conflit d’intérêts, ce qui constitue une faute additionnelle commise à l’endroit des intimées. Les liens qu’il entretenait avec M. Papadopoulos l’ont amené à manquer à son devoir de confidentialité et à négliger les intérêts des intimées. La Cour d’appel souligne que M</w:t>
      </w:r>
      <w:r w:rsidRPr="00080FA4">
        <w:rPr>
          <w:rFonts w:cs="Times New Roman"/>
          <w:vertAlign w:val="superscript"/>
          <w:lang w:val="fr-CA"/>
        </w:rPr>
        <w:t>e</w:t>
      </w:r>
      <w:r w:rsidRPr="00080FA4">
        <w:rPr>
          <w:rFonts w:cs="Times New Roman"/>
          <w:lang w:val="fr-CA"/>
        </w:rPr>
        <w:t> Salomon a fait équipe avec M. Papadopoulos pour faire en sorte que les intimées conservent leurs placements auprès de Triglobal, comme en témoigne éloquemment l’utilisation par le premier du pronom anglais « </w:t>
      </w:r>
      <w:r w:rsidRPr="00080FA4">
        <w:rPr>
          <w:rFonts w:cs="Times New Roman"/>
          <w:i/>
          <w:lang w:val="fr-CA"/>
        </w:rPr>
        <w:t>we</w:t>
      </w:r>
      <w:r w:rsidRPr="00080FA4">
        <w:rPr>
          <w:rFonts w:cs="Times New Roman"/>
          <w:lang w:val="fr-CA"/>
        </w:rPr>
        <w:t> » (« nous ») dans quelques</w:t>
      </w:r>
      <w:r w:rsidRPr="00080FA4">
        <w:rPr>
          <w:rFonts w:cs="Times New Roman"/>
          <w:lang w:val="fr-CA"/>
        </w:rPr>
        <w:noBreakHyphen/>
        <w:t>uns de ses courriels à M. Papadopoulos. La Cour d’appel est également d’avis que la juge de première instance n’a pas motivé de manière satisfaisante sa conclusion suivant laquelle M</w:t>
      </w:r>
      <w:r w:rsidRPr="00080FA4">
        <w:rPr>
          <w:rFonts w:cs="Times New Roman"/>
          <w:vertAlign w:val="superscript"/>
          <w:lang w:val="fr-CA"/>
        </w:rPr>
        <w:t>e</w:t>
      </w:r>
      <w:r w:rsidRPr="00080FA4">
        <w:rPr>
          <w:rFonts w:cs="Times New Roman"/>
          <w:lang w:val="fr-CA"/>
        </w:rPr>
        <w:t> Salomon n’a pas reçu de commissions pour les clients qu’il a aiguillés vers Triglobal.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lastRenderedPageBreak/>
        <w:t xml:space="preserve">Quatrièmement, recourant de nouveau à l’image du prisme déformant (par. 120), la Cour d’appel statue que la juge de première instance a commis une erreur lors de son analyse du lien de causalité, et </w:t>
      </w:r>
      <w:bookmarkStart w:id="2" w:name="_Hlk522559787"/>
      <w:r w:rsidRPr="00080FA4">
        <w:rPr>
          <w:rFonts w:cs="Times New Roman"/>
          <w:lang w:val="fr-CA"/>
        </w:rPr>
        <w:t>que l’impact des fautes de M</w:t>
      </w:r>
      <w:r w:rsidRPr="00080FA4">
        <w:rPr>
          <w:rFonts w:cs="Times New Roman"/>
          <w:vertAlign w:val="superscript"/>
          <w:lang w:val="fr-CA"/>
        </w:rPr>
        <w:t>e</w:t>
      </w:r>
      <w:r w:rsidRPr="00080FA4">
        <w:rPr>
          <w:rFonts w:cs="Times New Roman"/>
          <w:lang w:val="fr-CA"/>
        </w:rPr>
        <w:t xml:space="preserve"> Salomon a été beaucoup plus important que ce qu’a </w:t>
      </w:r>
      <w:bookmarkEnd w:id="2"/>
      <w:r w:rsidRPr="00080FA4">
        <w:rPr>
          <w:rFonts w:cs="Times New Roman"/>
          <w:lang w:val="fr-CA"/>
        </w:rPr>
        <w:t>conclu la juge. La Cour d’appel est convaincue que jamais les intimées n’auraient investi auprès de Triglobal si M</w:t>
      </w:r>
      <w:r w:rsidRPr="00080FA4">
        <w:rPr>
          <w:rFonts w:cs="Times New Roman"/>
          <w:vertAlign w:val="superscript"/>
          <w:lang w:val="fr-CA"/>
        </w:rPr>
        <w:t>e</w:t>
      </w:r>
      <w:r w:rsidRPr="00080FA4">
        <w:rPr>
          <w:rFonts w:cs="Times New Roman"/>
          <w:lang w:val="fr-CA"/>
        </w:rPr>
        <w:t> Salomon avait dès le départ agi avec la compétence, la prudence et la diligence attendues d’un avocat. Qui plus est, ce dernier n’a pas saisi les nombreuses occasions qu’il a eues de corriger le tir après 2003. La Cour d’appel explique aussi que la fraude n’a pas rompu le lien de causalité entre les fautes de M</w:t>
      </w:r>
      <w:r w:rsidRPr="00080FA4">
        <w:rPr>
          <w:rFonts w:cs="Times New Roman"/>
          <w:vertAlign w:val="superscript"/>
          <w:lang w:val="fr-CA"/>
        </w:rPr>
        <w:t>e</w:t>
      </w:r>
      <w:r w:rsidRPr="00080FA4">
        <w:rPr>
          <w:rFonts w:cs="Times New Roman"/>
          <w:lang w:val="fr-CA"/>
        </w:rPr>
        <w:t> Salomon et les pertes subies par les intimées.</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En conséquence, la Cour d’appel condamne solidairement M</w:t>
      </w:r>
      <w:r w:rsidRPr="00080FA4">
        <w:rPr>
          <w:rFonts w:cs="Times New Roman"/>
          <w:vertAlign w:val="superscript"/>
          <w:lang w:val="fr-CA"/>
        </w:rPr>
        <w:t>e</w:t>
      </w:r>
      <w:r w:rsidRPr="00080FA4">
        <w:rPr>
          <w:rFonts w:cs="Times New Roman"/>
          <w:lang w:val="fr-CA"/>
        </w:rPr>
        <w:t> Salomon et SKM à indemniser pleinement les intimées des pertes qu’elles ont subies au titre de leurs placements et à verser à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une indemnité à l’égard de ses pertes non pécuniaires.</w:t>
      </w:r>
    </w:p>
    <w:p w:rsidR="0041746D" w:rsidRPr="00080FA4" w:rsidRDefault="0041746D" w:rsidP="0041746D">
      <w:pPr>
        <w:pStyle w:val="Title1LevelTitre1Niveau-AltL"/>
        <w:numPr>
          <w:ilvl w:val="0"/>
          <w:numId w:val="7"/>
        </w:numPr>
        <w:tabs>
          <w:tab w:val="clear" w:pos="1002"/>
          <w:tab w:val="num" w:pos="576"/>
        </w:tabs>
        <w:ind w:left="576"/>
        <w:rPr>
          <w:rFonts w:cs="Times New Roman"/>
          <w:lang w:val="fr-CA"/>
        </w:rPr>
      </w:pPr>
      <w:r w:rsidRPr="00080FA4">
        <w:rPr>
          <w:rFonts w:cs="Times New Roman"/>
          <w:lang w:val="fr-CA"/>
        </w:rPr>
        <w:t>Questions en litige</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Les appelants contestent la décision de la Cour d’appel essentiellement pour quatre motifs :</w:t>
      </w:r>
    </w:p>
    <w:p w:rsidR="0041746D" w:rsidRPr="00080FA4" w:rsidRDefault="0041746D" w:rsidP="008C2B4E">
      <w:pPr>
        <w:pStyle w:val="Citation-AltC"/>
        <w:numPr>
          <w:ilvl w:val="0"/>
          <w:numId w:val="10"/>
        </w:numPr>
        <w:spacing w:after="240" w:line="480" w:lineRule="auto"/>
        <w:ind w:left="900" w:hanging="900"/>
        <w:contextualSpacing w:val="0"/>
        <w:rPr>
          <w:lang w:val="fr-CA"/>
        </w:rPr>
      </w:pPr>
      <w:r w:rsidRPr="00080FA4">
        <w:rPr>
          <w:lang w:val="fr-CA"/>
        </w:rPr>
        <w:t>La Cour d’appel a</w:t>
      </w:r>
      <w:r w:rsidRPr="00080FA4">
        <w:rPr>
          <w:lang w:val="fr-CA"/>
        </w:rPr>
        <w:noBreakHyphen/>
        <w:t>t</w:t>
      </w:r>
      <w:r w:rsidRPr="00080FA4">
        <w:rPr>
          <w:lang w:val="fr-CA"/>
        </w:rPr>
        <w:noBreakHyphen/>
        <w:t xml:space="preserve">elle commis une erreur en recourant à la notion du prisme déformant pour décider si la juge de première instance a commis des erreurs manifestes et déterminantes? </w:t>
      </w:r>
    </w:p>
    <w:p w:rsidR="0041746D" w:rsidRPr="00080FA4" w:rsidRDefault="0041746D" w:rsidP="008C2B4E">
      <w:pPr>
        <w:pStyle w:val="Citation-AltC"/>
        <w:numPr>
          <w:ilvl w:val="0"/>
          <w:numId w:val="10"/>
        </w:numPr>
        <w:spacing w:after="240" w:line="480" w:lineRule="auto"/>
        <w:ind w:left="900" w:hanging="900"/>
        <w:contextualSpacing w:val="0"/>
        <w:rPr>
          <w:lang w:val="fr-CA"/>
        </w:rPr>
      </w:pPr>
      <w:r w:rsidRPr="00080FA4">
        <w:rPr>
          <w:lang w:val="fr-CA"/>
        </w:rPr>
        <w:t>La Cour d’appel a</w:t>
      </w:r>
      <w:r w:rsidRPr="00080FA4">
        <w:rPr>
          <w:lang w:val="fr-CA"/>
        </w:rPr>
        <w:noBreakHyphen/>
        <w:t>t</w:t>
      </w:r>
      <w:r w:rsidRPr="00080FA4">
        <w:rPr>
          <w:lang w:val="fr-CA"/>
        </w:rPr>
        <w:noBreakHyphen/>
        <w:t xml:space="preserve">elle élargi à tort la portée des obligations professionnelles des avocats qui aiguillent leurs clients vers des conseillers indépendants? </w:t>
      </w:r>
    </w:p>
    <w:p w:rsidR="0041746D" w:rsidRPr="00080FA4" w:rsidRDefault="0041746D" w:rsidP="008C2B4E">
      <w:pPr>
        <w:pStyle w:val="Citation-AltC"/>
        <w:numPr>
          <w:ilvl w:val="0"/>
          <w:numId w:val="10"/>
        </w:numPr>
        <w:spacing w:after="240" w:line="480" w:lineRule="auto"/>
        <w:ind w:left="900" w:hanging="900"/>
        <w:contextualSpacing w:val="0"/>
        <w:rPr>
          <w:lang w:val="fr-CA"/>
        </w:rPr>
      </w:pPr>
      <w:r w:rsidRPr="00080FA4">
        <w:rPr>
          <w:lang w:val="fr-CA"/>
        </w:rPr>
        <w:lastRenderedPageBreak/>
        <w:t>La Cour d’appel a</w:t>
      </w:r>
      <w:r w:rsidRPr="00080FA4">
        <w:rPr>
          <w:lang w:val="fr-CA"/>
        </w:rPr>
        <w:noBreakHyphen/>
        <w:t>t</w:t>
      </w:r>
      <w:r w:rsidRPr="00080FA4">
        <w:rPr>
          <w:lang w:val="fr-CA"/>
        </w:rPr>
        <w:noBreakHyphen/>
        <w:t xml:space="preserve">elle erré en intervenant </w:t>
      </w:r>
      <w:r>
        <w:rPr>
          <w:lang w:val="fr-CA"/>
        </w:rPr>
        <w:t xml:space="preserve">à l’égard </w:t>
      </w:r>
      <w:r w:rsidRPr="00080FA4">
        <w:rPr>
          <w:lang w:val="fr-CA"/>
        </w:rPr>
        <w:t>d</w:t>
      </w:r>
      <w:r>
        <w:rPr>
          <w:lang w:val="fr-CA"/>
        </w:rPr>
        <w:t xml:space="preserve">es </w:t>
      </w:r>
      <w:r w:rsidRPr="00080FA4">
        <w:rPr>
          <w:lang w:val="fr-CA"/>
        </w:rPr>
        <w:t>conclusions de la juge de première instance relativement aux fautes commises par M</w:t>
      </w:r>
      <w:r w:rsidRPr="00080FA4">
        <w:rPr>
          <w:vertAlign w:val="superscript"/>
          <w:lang w:val="fr-CA"/>
        </w:rPr>
        <w:t>e</w:t>
      </w:r>
      <w:r w:rsidRPr="00080FA4">
        <w:rPr>
          <w:lang w:val="fr-CA"/>
        </w:rPr>
        <w:t> Salomon?</w:t>
      </w:r>
    </w:p>
    <w:p w:rsidR="0041746D" w:rsidRPr="00080FA4" w:rsidRDefault="0041746D" w:rsidP="008C2B4E">
      <w:pPr>
        <w:pStyle w:val="Citation-AltC"/>
        <w:numPr>
          <w:ilvl w:val="0"/>
          <w:numId w:val="10"/>
        </w:numPr>
        <w:spacing w:line="480" w:lineRule="auto"/>
        <w:ind w:left="900" w:hanging="900"/>
        <w:contextualSpacing w:val="0"/>
        <w:rPr>
          <w:lang w:val="fr-CA"/>
        </w:rPr>
      </w:pPr>
      <w:r w:rsidRPr="00080FA4">
        <w:rPr>
          <w:lang w:val="fr-CA"/>
        </w:rPr>
        <w:t>La Cour d’appel a</w:t>
      </w:r>
      <w:r w:rsidRPr="00080FA4">
        <w:rPr>
          <w:lang w:val="fr-CA"/>
        </w:rPr>
        <w:noBreakHyphen/>
        <w:t>t</w:t>
      </w:r>
      <w:r w:rsidRPr="00080FA4">
        <w:rPr>
          <w:lang w:val="fr-CA"/>
        </w:rPr>
        <w:noBreakHyphen/>
        <w:t xml:space="preserve">elle erré en intervenant </w:t>
      </w:r>
      <w:r>
        <w:rPr>
          <w:lang w:val="fr-CA"/>
        </w:rPr>
        <w:t xml:space="preserve">à l’égard </w:t>
      </w:r>
      <w:r w:rsidRPr="00080FA4">
        <w:rPr>
          <w:lang w:val="fr-CA"/>
        </w:rPr>
        <w:t>d</w:t>
      </w:r>
      <w:r>
        <w:rPr>
          <w:lang w:val="fr-CA"/>
        </w:rPr>
        <w:t>e</w:t>
      </w:r>
      <w:r w:rsidRPr="00080FA4">
        <w:rPr>
          <w:lang w:val="fr-CA"/>
        </w:rPr>
        <w:t>s conclusions de la juge de première instance relativement au lien de causalité?</w:t>
      </w:r>
    </w:p>
    <w:p w:rsidR="0041746D" w:rsidRPr="00080FA4" w:rsidRDefault="0041746D" w:rsidP="0041746D">
      <w:pPr>
        <w:pStyle w:val="Title1LevelTitre1Niveau-AltL"/>
        <w:numPr>
          <w:ilvl w:val="0"/>
          <w:numId w:val="7"/>
        </w:numPr>
        <w:tabs>
          <w:tab w:val="clear" w:pos="1002"/>
          <w:tab w:val="num" w:pos="576"/>
        </w:tabs>
        <w:ind w:left="576"/>
        <w:rPr>
          <w:rFonts w:cs="Times New Roman"/>
          <w:lang w:val="fr-CA"/>
        </w:rPr>
      </w:pPr>
      <w:r w:rsidRPr="00080FA4">
        <w:rPr>
          <w:rFonts w:cs="Times New Roman"/>
          <w:lang w:val="fr-CA"/>
        </w:rPr>
        <w:t>Analyse</w:t>
      </w:r>
    </w:p>
    <w:p w:rsidR="0041746D" w:rsidRPr="00080FA4" w:rsidRDefault="0041746D" w:rsidP="0041746D">
      <w:pPr>
        <w:pStyle w:val="Title2LevelTitre2Niveau"/>
        <w:numPr>
          <w:ilvl w:val="1"/>
          <w:numId w:val="7"/>
        </w:numPr>
        <w:rPr>
          <w:rFonts w:cs="Times New Roman"/>
          <w:lang w:val="fr-CA"/>
        </w:rPr>
      </w:pPr>
      <w:r w:rsidRPr="00080FA4">
        <w:rPr>
          <w:rFonts w:cs="Times New Roman"/>
          <w:lang w:val="fr-CA"/>
        </w:rPr>
        <w:t>La Cour d’appel a</w:t>
      </w:r>
      <w:r w:rsidRPr="00080FA4">
        <w:rPr>
          <w:rFonts w:cs="Times New Roman"/>
          <w:lang w:val="fr-CA"/>
        </w:rPr>
        <w:noBreakHyphen/>
        <w:t>t</w:t>
      </w:r>
      <w:r w:rsidRPr="00080FA4">
        <w:rPr>
          <w:rFonts w:cs="Times New Roman"/>
          <w:lang w:val="fr-CA"/>
        </w:rPr>
        <w:noBreakHyphen/>
        <w:t xml:space="preserve">elle commis une erreur en recourant à la notion du prisme déformant pour décider si la juge de première instance a commis des erreurs manifestes et déterminantes?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 xml:space="preserve">Pour décider si la Cour d’appel a commis une erreur en recourant à la notion du prisme déformant, je dois résumer les normes de contrôle en appel qu’elle devait appliquer en l’espèce. Ces normes de contrôle ne sont pas contestées devant notre Cour. Il s’agit de celles qui ont été énoncées dans l’arrêt </w:t>
      </w:r>
      <w:r w:rsidRPr="00080FA4">
        <w:rPr>
          <w:rFonts w:cs="Times New Roman"/>
          <w:i/>
          <w:lang w:val="fr-CA"/>
        </w:rPr>
        <w:t>Housen c. Nikolaisen</w:t>
      </w:r>
      <w:r w:rsidRPr="00080FA4">
        <w:rPr>
          <w:rFonts w:cs="Times New Roman"/>
          <w:lang w:val="fr-CA"/>
        </w:rPr>
        <w:t>, 2002 CSC 33, [2002] 2 R.C.S. 235, qui s’appliquent également aux affaires de droit civil québécois (voir, p. ex</w:t>
      </w:r>
      <w:r w:rsidRPr="00080FA4">
        <w:rPr>
          <w:rFonts w:cs="Times New Roman"/>
          <w:i/>
          <w:lang w:val="fr-CA"/>
        </w:rPr>
        <w:t>.</w:t>
      </w:r>
      <w:r w:rsidRPr="00080FA4">
        <w:rPr>
          <w:rFonts w:cs="Times New Roman"/>
          <w:lang w:val="fr-CA"/>
        </w:rPr>
        <w:t xml:space="preserve">, </w:t>
      </w:r>
      <w:r w:rsidRPr="00080FA4">
        <w:rPr>
          <w:rFonts w:cs="Times New Roman"/>
          <w:i/>
          <w:lang w:val="fr-CA"/>
        </w:rPr>
        <w:t>Montréal (Ville) c. Lonardi</w:t>
      </w:r>
      <w:r w:rsidRPr="00080FA4">
        <w:rPr>
          <w:rFonts w:cs="Times New Roman"/>
          <w:lang w:val="fr-CA"/>
        </w:rPr>
        <w:t>, 2018 CSC 29,</w:t>
      </w:r>
      <w:r w:rsidR="008C2B4E">
        <w:rPr>
          <w:rFonts w:cs="Times New Roman"/>
          <w:lang w:val="fr-CA"/>
        </w:rPr>
        <w:t xml:space="preserve"> [2018] 2 R.C.S. 103,</w:t>
      </w:r>
      <w:r w:rsidRPr="00080FA4">
        <w:rPr>
          <w:rFonts w:cs="Times New Roman"/>
          <w:lang w:val="fr-CA"/>
        </w:rPr>
        <w:t xml:space="preserve"> par. 68; </w:t>
      </w:r>
      <w:r w:rsidRPr="00080FA4">
        <w:rPr>
          <w:rFonts w:cs="Times New Roman"/>
          <w:i/>
          <w:lang w:val="fr-CA"/>
        </w:rPr>
        <w:t>Benhaim c. St</w:t>
      </w:r>
      <w:r w:rsidRPr="00080FA4">
        <w:rPr>
          <w:rFonts w:cs="Times New Roman"/>
          <w:i/>
          <w:lang w:val="fr-CA"/>
        </w:rPr>
        <w:noBreakHyphen/>
        <w:t>Germain</w:t>
      </w:r>
      <w:r w:rsidRPr="00080FA4">
        <w:rPr>
          <w:rFonts w:cs="Times New Roman"/>
          <w:lang w:val="fr-CA"/>
        </w:rPr>
        <w:t>, 2016 CSC 48, [2016] 2 R.C.S. 352, par. 36</w:t>
      </w:r>
      <w:r w:rsidRPr="00080FA4">
        <w:rPr>
          <w:rFonts w:cs="Times New Roman"/>
          <w:lang w:val="fr-CA"/>
        </w:rPr>
        <w:noBreakHyphen/>
        <w:t>37).</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L’existence ou non d’une faute est une question mixte de fait et de droit (</w:t>
      </w:r>
      <w:r w:rsidRPr="00080FA4">
        <w:rPr>
          <w:rFonts w:cs="Times New Roman"/>
          <w:i/>
          <w:lang w:val="fr-CA"/>
        </w:rPr>
        <w:t>3091</w:t>
      </w:r>
      <w:r w:rsidRPr="00080FA4">
        <w:rPr>
          <w:rFonts w:cs="Times New Roman"/>
          <w:i/>
          <w:lang w:val="fr-CA"/>
        </w:rPr>
        <w:noBreakHyphen/>
        <w:t>5177 Québec inc. (Éconolodge Aéroport) c. Cie canadienne d’assurances générales Lombard</w:t>
      </w:r>
      <w:r w:rsidRPr="00080FA4">
        <w:rPr>
          <w:rFonts w:cs="Times New Roman"/>
          <w:lang w:val="fr-CA"/>
        </w:rPr>
        <w:t xml:space="preserve">, 2018 CSC 43, </w:t>
      </w:r>
      <w:r w:rsidR="008C2B4E">
        <w:rPr>
          <w:rFonts w:cs="Times New Roman"/>
          <w:lang w:val="fr-CA"/>
        </w:rPr>
        <w:t xml:space="preserve">[2019] 3 R.C.S. 8, </w:t>
      </w:r>
      <w:r w:rsidRPr="00080FA4">
        <w:rPr>
          <w:rFonts w:cs="Times New Roman"/>
          <w:lang w:val="fr-CA"/>
        </w:rPr>
        <w:t xml:space="preserve">par. 23, citant </w:t>
      </w:r>
      <w:r w:rsidRPr="00080FA4">
        <w:rPr>
          <w:rFonts w:cs="Times New Roman"/>
          <w:i/>
          <w:lang w:val="fr-CA"/>
        </w:rPr>
        <w:t>St</w:t>
      </w:r>
      <w:r w:rsidRPr="00080FA4">
        <w:rPr>
          <w:rFonts w:cs="Times New Roman"/>
          <w:i/>
          <w:lang w:val="fr-CA"/>
        </w:rPr>
        <w:noBreakHyphen/>
        <w:t>Jean c. Mercier</w:t>
      </w:r>
      <w:r w:rsidRPr="00080FA4">
        <w:rPr>
          <w:rFonts w:cs="Times New Roman"/>
          <w:lang w:val="fr-CA"/>
        </w:rPr>
        <w:t>, 2002 CSC 15, [2002] 1 R.C.S. 491, par. 60 et 104). La détermination du lien de causalité est une question de fait (</w:t>
      </w:r>
      <w:r w:rsidRPr="00080FA4">
        <w:rPr>
          <w:rFonts w:cs="Times New Roman"/>
          <w:i/>
          <w:lang w:val="fr-CA"/>
        </w:rPr>
        <w:t>Éconolodge</w:t>
      </w:r>
      <w:r w:rsidRPr="00080FA4">
        <w:rPr>
          <w:rFonts w:cs="Times New Roman"/>
          <w:lang w:val="fr-CA"/>
        </w:rPr>
        <w:t xml:space="preserve">, par. 24, citant </w:t>
      </w:r>
      <w:r w:rsidRPr="00080FA4">
        <w:rPr>
          <w:rFonts w:cs="Times New Roman"/>
          <w:i/>
          <w:lang w:val="fr-CA"/>
        </w:rPr>
        <w:t>Lonardi</w:t>
      </w:r>
      <w:r w:rsidRPr="00080FA4">
        <w:rPr>
          <w:rFonts w:cs="Times New Roman"/>
          <w:lang w:val="fr-CA"/>
        </w:rPr>
        <w:t xml:space="preserve">, par. 41, </w:t>
      </w:r>
      <w:r w:rsidRPr="00080FA4">
        <w:rPr>
          <w:rFonts w:cs="Times New Roman"/>
          <w:i/>
          <w:lang w:val="fr-CA"/>
        </w:rPr>
        <w:t>Benhaim</w:t>
      </w:r>
      <w:r w:rsidRPr="00080FA4">
        <w:rPr>
          <w:rFonts w:cs="Times New Roman"/>
          <w:lang w:val="fr-CA"/>
        </w:rPr>
        <w:t>, par. 36</w:t>
      </w:r>
      <w:r w:rsidR="008C2B4E">
        <w:rPr>
          <w:rFonts w:cs="Times New Roman"/>
          <w:lang w:val="fr-CA"/>
        </w:rPr>
        <w:t>,</w:t>
      </w:r>
      <w:r w:rsidRPr="00080FA4">
        <w:rPr>
          <w:rFonts w:cs="Times New Roman"/>
          <w:lang w:val="fr-CA"/>
        </w:rPr>
        <w:t xml:space="preserve"> et </w:t>
      </w:r>
      <w:r w:rsidRPr="00080FA4">
        <w:rPr>
          <w:rFonts w:cs="Times New Roman"/>
          <w:i/>
          <w:lang w:val="fr-CA"/>
        </w:rPr>
        <w:t>St</w:t>
      </w:r>
      <w:r w:rsidRPr="00080FA4">
        <w:rPr>
          <w:rFonts w:cs="Times New Roman"/>
          <w:i/>
          <w:lang w:val="fr-CA"/>
        </w:rPr>
        <w:noBreakHyphen/>
        <w:t>Jean</w:t>
      </w:r>
      <w:r w:rsidRPr="00080FA4">
        <w:rPr>
          <w:rFonts w:cs="Times New Roman"/>
          <w:lang w:val="fr-CA"/>
        </w:rPr>
        <w:t>, par. 104</w:t>
      </w:r>
      <w:r w:rsidRPr="00080FA4">
        <w:rPr>
          <w:rFonts w:cs="Times New Roman"/>
          <w:lang w:val="fr-CA"/>
        </w:rPr>
        <w:noBreakHyphen/>
        <w:t xml:space="preserve">105). Dans les deux cas, en l’absence d’erreur </w:t>
      </w:r>
      <w:r w:rsidRPr="00080FA4">
        <w:rPr>
          <w:rFonts w:cs="Times New Roman"/>
          <w:lang w:val="fr-CA"/>
        </w:rPr>
        <w:lastRenderedPageBreak/>
        <w:t>manifeste et déterminante, la juridiction d’appel doit faire preuve de déférence envers les conclusions du juge de première instance.</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Lorsque la norme déférentielle de l’erreur manifeste et déterminante s’applique, les tribunaux d’appel ne peuvent intervenir que dans les cas où la décision de première instance est entachée d’une erreur évidente qui a déterminé l’issue de l’affaire (</w:t>
      </w:r>
      <w:r w:rsidRPr="00080FA4">
        <w:rPr>
          <w:rFonts w:cs="Times New Roman"/>
          <w:i/>
          <w:lang w:val="fr-CA"/>
        </w:rPr>
        <w:t>Benhaim</w:t>
      </w:r>
      <w:r w:rsidRPr="00080FA4">
        <w:rPr>
          <w:rFonts w:cs="Times New Roman"/>
          <w:lang w:val="fr-CA"/>
        </w:rPr>
        <w:t xml:space="preserve">, par. 38, citant l’arrêt </w:t>
      </w:r>
      <w:r w:rsidRPr="00080FA4">
        <w:rPr>
          <w:rFonts w:cs="Times New Roman"/>
          <w:i/>
          <w:lang w:val="fr-CA"/>
        </w:rPr>
        <w:t>South Yukon Forest Corp. c. R.</w:t>
      </w:r>
      <w:r w:rsidRPr="00080FA4">
        <w:rPr>
          <w:rFonts w:cs="Times New Roman"/>
          <w:lang w:val="fr-CA"/>
        </w:rPr>
        <w:t xml:space="preserve">, 2012 CAF 165, 4 B.L.R. (5th) 31, par. 46; voir également </w:t>
      </w:r>
      <w:r w:rsidRPr="00080FA4">
        <w:rPr>
          <w:rFonts w:cs="Times New Roman"/>
          <w:i/>
          <w:lang w:val="fr-CA"/>
        </w:rPr>
        <w:t>H.L. c. Canada (Procureur général)</w:t>
      </w:r>
      <w:r w:rsidRPr="00080FA4">
        <w:rPr>
          <w:rFonts w:cs="Times New Roman"/>
          <w:lang w:val="fr-CA"/>
        </w:rPr>
        <w:t>, 2005 CSC 25, [2005] 1 R.C.S. 401, par. 56 et 69</w:t>
      </w:r>
      <w:r w:rsidRPr="00080FA4">
        <w:rPr>
          <w:rFonts w:cs="Times New Roman"/>
          <w:lang w:val="fr-CA"/>
        </w:rPr>
        <w:noBreakHyphen/>
        <w:t xml:space="preserve">70). Le juge Morissette de la Cour d’appel a expliqué ce principe à l’aide d’une métaphore dans </w:t>
      </w:r>
      <w:r w:rsidRPr="00080FA4">
        <w:rPr>
          <w:rFonts w:cs="Times New Roman"/>
          <w:i/>
          <w:lang w:val="fr-CA"/>
        </w:rPr>
        <w:t>J.G. c. Nadeau</w:t>
      </w:r>
      <w:r w:rsidRPr="00080FA4">
        <w:rPr>
          <w:rFonts w:cs="Times New Roman"/>
          <w:lang w:val="fr-CA"/>
        </w:rPr>
        <w:t xml:space="preserve">, 2016 QCCA 167, par. 77 (CanLII) : « une erreur manifeste et dominante tient, non pas de l’aiguille dans une botte de foin, mais de la poutre dans l’œil. Et il est impossible de confondre ces deux dernières notions » (citée dans l’arrêt </w:t>
      </w:r>
      <w:r w:rsidRPr="00080FA4">
        <w:rPr>
          <w:rFonts w:cs="Times New Roman"/>
          <w:i/>
          <w:lang w:val="fr-CA"/>
        </w:rPr>
        <w:t>Benhaim</w:t>
      </w:r>
      <w:r w:rsidRPr="00080FA4">
        <w:rPr>
          <w:rFonts w:cs="Times New Roman"/>
          <w:lang w:val="fr-CA"/>
        </w:rPr>
        <w:t>, par. 39). Le fait qu’une conclusion de fait différente aurait pu être tirée sur la base d</w:t>
      </w:r>
      <w:r>
        <w:rPr>
          <w:rFonts w:cs="Times New Roman"/>
          <w:lang w:val="fr-CA"/>
        </w:rPr>
        <w:t xml:space="preserve">u poids </w:t>
      </w:r>
      <w:r w:rsidRPr="00080FA4">
        <w:rPr>
          <w:rFonts w:cs="Times New Roman"/>
          <w:lang w:val="fr-CA"/>
        </w:rPr>
        <w:t>attribu</w:t>
      </w:r>
      <w:r>
        <w:rPr>
          <w:rFonts w:cs="Times New Roman"/>
          <w:lang w:val="fr-CA"/>
        </w:rPr>
        <w:t>é</w:t>
      </w:r>
      <w:r w:rsidRPr="00080FA4">
        <w:rPr>
          <w:rFonts w:cs="Times New Roman"/>
          <w:lang w:val="fr-CA"/>
        </w:rPr>
        <w:t xml:space="preserve"> à différents éléments de preuve ne signifie pas qu’une erreur manifeste et déterminante a été commise (</w:t>
      </w:r>
      <w:r w:rsidRPr="00080FA4">
        <w:rPr>
          <w:rFonts w:cs="Times New Roman"/>
          <w:i/>
          <w:lang w:val="fr-CA"/>
        </w:rPr>
        <w:t>Nelson (City) c. Mowatt</w:t>
      </w:r>
      <w:r w:rsidRPr="00080FA4">
        <w:rPr>
          <w:rFonts w:cs="Times New Roman"/>
          <w:lang w:val="fr-CA"/>
        </w:rPr>
        <w:t xml:space="preserve">, 2017 CSC 8, [2017] 1 R.C.S. 138, par. 38).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Il est utile, à ce stade</w:t>
      </w:r>
      <w:r w:rsidRPr="00080FA4">
        <w:rPr>
          <w:rFonts w:cs="Times New Roman"/>
          <w:lang w:val="fr-CA"/>
        </w:rPr>
        <w:noBreakHyphen/>
        <w:t xml:space="preserve">ci, de reconnaître que les normes de contrôle énoncées dans </w:t>
      </w:r>
      <w:r w:rsidRPr="00080FA4">
        <w:rPr>
          <w:rFonts w:cs="Times New Roman"/>
          <w:i/>
          <w:lang w:val="fr-CA"/>
        </w:rPr>
        <w:t xml:space="preserve">Housen </w:t>
      </w:r>
      <w:r w:rsidRPr="00080FA4">
        <w:rPr>
          <w:rFonts w:cs="Times New Roman"/>
          <w:lang w:val="fr-CA"/>
        </w:rPr>
        <w:t>s’appliquent également à notre Cour (</w:t>
      </w:r>
      <w:r w:rsidRPr="00080FA4">
        <w:rPr>
          <w:rFonts w:cs="Times New Roman"/>
          <w:i/>
          <w:lang w:val="fr-CA"/>
        </w:rPr>
        <w:t>Québec</w:t>
      </w:r>
      <w:r w:rsidRPr="00080FA4">
        <w:rPr>
          <w:rFonts w:cs="Times New Roman"/>
          <w:lang w:val="fr-CA"/>
        </w:rPr>
        <w:t xml:space="preserve"> </w:t>
      </w:r>
      <w:r w:rsidRPr="008C2B4E">
        <w:rPr>
          <w:rFonts w:cs="Times New Roman"/>
          <w:i/>
          <w:lang w:val="fr-CA"/>
        </w:rPr>
        <w:t>(</w:t>
      </w:r>
      <w:r w:rsidRPr="00080FA4">
        <w:rPr>
          <w:rFonts w:cs="Times New Roman"/>
          <w:i/>
          <w:lang w:val="fr-CA"/>
        </w:rPr>
        <w:t>Directeur des poursuites criminelles et pénales) c. Jodoin</w:t>
      </w:r>
      <w:r w:rsidRPr="00080FA4">
        <w:rPr>
          <w:rFonts w:cs="Times New Roman"/>
          <w:lang w:val="fr-CA"/>
        </w:rPr>
        <w:t xml:space="preserve">, 2017 CSC 26, [2017] 1 R.C.S. 478, par. 51; voir également l’arrêt </w:t>
      </w:r>
      <w:r w:rsidRPr="00080FA4">
        <w:rPr>
          <w:rFonts w:cs="Times New Roman"/>
          <w:i/>
          <w:lang w:val="fr-CA"/>
        </w:rPr>
        <w:t>St</w:t>
      </w:r>
      <w:r w:rsidRPr="00080FA4">
        <w:rPr>
          <w:rFonts w:cs="Times New Roman"/>
          <w:i/>
          <w:lang w:val="fr-CA"/>
        </w:rPr>
        <w:noBreakHyphen/>
        <w:t>Jean</w:t>
      </w:r>
      <w:r w:rsidRPr="00080FA4">
        <w:rPr>
          <w:rFonts w:cs="Times New Roman"/>
          <w:lang w:val="fr-CA"/>
        </w:rPr>
        <w:t xml:space="preserve">, par. 37 et 46). Cela dit, la décision de la première cour d’appel, et non celle du juge de première instance, constitue l’aspect principal de l’analyse que notre Cour — en tant que seconde et ultime juridiction d’appel — doit effectuer dans le cadre de l’application de ces normes. C’est aux appelants qu’il incombe de démontrer la présence d’une erreur dans la décision de la </w:t>
      </w:r>
      <w:r w:rsidRPr="00080FA4">
        <w:rPr>
          <w:rFonts w:cs="Times New Roman"/>
          <w:lang w:val="fr-CA"/>
        </w:rPr>
        <w:lastRenderedPageBreak/>
        <w:t xml:space="preserve">cour d’appel; notre Cour n’a pas pour rôle de procéder à une analyse </w:t>
      </w:r>
      <w:r w:rsidRPr="00080FA4">
        <w:rPr>
          <w:rFonts w:cs="Times New Roman"/>
          <w:i/>
          <w:lang w:val="fr-CA"/>
        </w:rPr>
        <w:t>de novo</w:t>
      </w:r>
      <w:r w:rsidRPr="00080FA4">
        <w:rPr>
          <w:rFonts w:cs="Times New Roman"/>
          <w:lang w:val="fr-CA"/>
        </w:rPr>
        <w:t xml:space="preserve"> de la décision du juge de première instance. Dans les cas où la première juridiction d’appel était justifiée d’intervenir à l’égard du jugement de première instance et a exprimé son désaccord avec le tribunal qui l’a rendu, notre Cour n’interviendra que si son désaccord découle de « la nette conviction qu’une erreur s’est produite dans l’appréciation des faits par la première cour [d’appel] » (</w:t>
      </w:r>
      <w:r w:rsidRPr="00080FA4">
        <w:rPr>
          <w:rFonts w:cs="Times New Roman"/>
          <w:i/>
          <w:lang w:val="fr-CA"/>
        </w:rPr>
        <w:t>St</w:t>
      </w:r>
      <w:r w:rsidRPr="00080FA4">
        <w:rPr>
          <w:rFonts w:cs="Times New Roman"/>
          <w:i/>
          <w:lang w:val="fr-CA"/>
        </w:rPr>
        <w:noBreakHyphen/>
        <w:t>Jean</w:t>
      </w:r>
      <w:r w:rsidRPr="00080FA4">
        <w:rPr>
          <w:rFonts w:cs="Times New Roman"/>
          <w:lang w:val="fr-CA"/>
        </w:rPr>
        <w:t>, par. 38</w:t>
      </w:r>
      <w:r w:rsidRPr="00080FA4">
        <w:rPr>
          <w:rFonts w:cs="Times New Roman"/>
          <w:lang w:val="fr-CA"/>
        </w:rPr>
        <w:noBreakHyphen/>
        <w:t xml:space="preserve">39 et 46).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 xml:space="preserve">De façon générale, les appelants affirment que la Cour d’appel a commis une erreur lors de son application de la norme de contrôle pertinente en appel, puisqu’elle s’est fondée sur la notion de prisme déformant pour décider si la juge du procès a commis des erreurs manifestes et déterminantes. Je ne suis pas de cet avis.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Dans sa décision, la Cour d’appel se réfère à deux reprises à l’image du prisme déformant : une première fois dans son examen des fautes commises contre 166, puis une seconde fois dans son analyse du lien de causalité. Toutefois, elle déclare explicitement dans les deux cas qu’elle ne peut infirmer les conclusions de la juge de première instance que si elle y décèle des erreurs manifestes et déterminantes.</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 xml:space="preserve">Par conséquent, l’image du prisme déformant n’est rien de plus qu’une métaphore utilisée par la Cour d’appel pour expliquer en quoi la norme de contrôle applicable en appel établie dans l’arrêt </w:t>
      </w:r>
      <w:r w:rsidRPr="00080FA4">
        <w:rPr>
          <w:rFonts w:cs="Times New Roman"/>
          <w:i/>
          <w:lang w:val="fr-CA"/>
        </w:rPr>
        <w:t>Housen</w:t>
      </w:r>
      <w:r w:rsidRPr="00080FA4">
        <w:rPr>
          <w:rFonts w:cs="Times New Roman"/>
          <w:lang w:val="fr-CA"/>
        </w:rPr>
        <w:t xml:space="preserve"> est respectée. Cette métaphore tire ses origines de l’arrêt </w:t>
      </w:r>
      <w:r w:rsidRPr="00080FA4">
        <w:rPr>
          <w:rFonts w:cs="Times New Roman"/>
          <w:i/>
          <w:lang w:val="fr-CA"/>
        </w:rPr>
        <w:t>Ford du Canada ltée c. Automobiles Duclos inc.</w:t>
      </w:r>
      <w:r w:rsidRPr="00080FA4">
        <w:rPr>
          <w:rFonts w:cs="Times New Roman"/>
          <w:lang w:val="fr-CA"/>
        </w:rPr>
        <w:t>, 2007 QCCA 1541 :</w:t>
      </w:r>
    </w:p>
    <w:p w:rsidR="0041746D" w:rsidRPr="00080FA4" w:rsidRDefault="0041746D" w:rsidP="0041746D">
      <w:pPr>
        <w:pStyle w:val="Citation-AltC"/>
        <w:ind w:hanging="1166"/>
        <w:rPr>
          <w:lang w:val="fr-CA"/>
        </w:rPr>
      </w:pPr>
      <w:r w:rsidRPr="00080FA4">
        <w:rPr>
          <w:lang w:val="fr-CA"/>
        </w:rPr>
        <w:tab/>
        <w:t xml:space="preserve">. . . le haut degré de déférence due au juge de première instance en matière d’évaluation de la preuve, principe maintes fois énoncé par la Cour suprême, ne peut faire obstacle à l’intervention d’une cour d’appel lorsqu’une analyse du dossier révèle que l’évaluation du juge de première </w:t>
      </w:r>
      <w:r w:rsidRPr="00080FA4">
        <w:rPr>
          <w:lang w:val="fr-CA"/>
        </w:rPr>
        <w:lastRenderedPageBreak/>
        <w:t>instance s’est faite à travers un prisme qui doit être écarté et qui a clairement eu un effet déformant</w:t>
      </w:r>
      <w:r w:rsidR="008C2B4E">
        <w:rPr>
          <w:lang w:val="fr-CA"/>
        </w:rPr>
        <w:t>.</w:t>
      </w:r>
      <w:r w:rsidRPr="00080FA4">
        <w:rPr>
          <w:lang w:val="fr-CA"/>
        </w:rPr>
        <w:t xml:space="preserve"> [par. 128 (CanLII)]</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 xml:space="preserve">Depuis, la Cour d’appel du Québec a eu recours à de nombreuses occasions à la notion de prisme déformant pour infirmer des conclusions qu’avaient tirées des juges de première instance qu’elle considérait entachées dans une certaine mesure d’une erreur d’appréciation générale (voir </w:t>
      </w:r>
      <w:r w:rsidRPr="00080FA4">
        <w:rPr>
          <w:rFonts w:cs="Times New Roman"/>
          <w:i/>
          <w:lang w:val="fr-CA"/>
        </w:rPr>
        <w:t>Softmedical inc. c. Daabous</w:t>
      </w:r>
      <w:r w:rsidRPr="00080FA4">
        <w:rPr>
          <w:rFonts w:cs="Times New Roman"/>
          <w:lang w:val="fr-CA"/>
        </w:rPr>
        <w:t xml:space="preserve">, 2017 QCCA 1270, par. 47 et 66 (CanLII); </w:t>
      </w:r>
      <w:r w:rsidRPr="00080FA4">
        <w:rPr>
          <w:rFonts w:cs="Times New Roman"/>
          <w:i/>
          <w:lang w:val="fr-CA"/>
        </w:rPr>
        <w:t>Droit de la famille — 161960</w:t>
      </w:r>
      <w:r w:rsidRPr="00080FA4">
        <w:rPr>
          <w:rFonts w:cs="Times New Roman"/>
          <w:lang w:val="fr-CA"/>
        </w:rPr>
        <w:t>, 2016 QCCA 1300, par. 76</w:t>
      </w:r>
      <w:r w:rsidRPr="00080FA4">
        <w:rPr>
          <w:rFonts w:cs="Times New Roman"/>
          <w:lang w:val="fr-CA"/>
        </w:rPr>
        <w:noBreakHyphen/>
        <w:t xml:space="preserve">78 (CanLII); </w:t>
      </w:r>
      <w:r w:rsidRPr="00080FA4">
        <w:rPr>
          <w:rFonts w:cs="Times New Roman"/>
          <w:i/>
          <w:lang w:val="fr-CA"/>
        </w:rPr>
        <w:t>Droit de la famille — 132381</w:t>
      </w:r>
      <w:r w:rsidRPr="00080FA4">
        <w:rPr>
          <w:rFonts w:cs="Times New Roman"/>
          <w:lang w:val="fr-CA"/>
        </w:rPr>
        <w:t>, 2013 QCCA 1505, par. 104</w:t>
      </w:r>
      <w:r w:rsidRPr="00080FA4">
        <w:rPr>
          <w:rFonts w:cs="Times New Roman"/>
          <w:lang w:val="fr-CA"/>
        </w:rPr>
        <w:noBreakHyphen/>
        <w:t>105</w:t>
      </w:r>
      <w:r w:rsidR="008052D0">
        <w:rPr>
          <w:rFonts w:cs="Times New Roman"/>
          <w:lang w:val="fr-CA"/>
        </w:rPr>
        <w:t xml:space="preserve"> (CanLII)</w:t>
      </w:r>
      <w:r w:rsidRPr="00080FA4">
        <w:rPr>
          <w:rFonts w:cs="Times New Roman"/>
          <w:lang w:val="fr-CA"/>
        </w:rPr>
        <w:t xml:space="preserve">; </w:t>
      </w:r>
      <w:r w:rsidRPr="00080FA4">
        <w:rPr>
          <w:rFonts w:cs="Times New Roman"/>
          <w:i/>
          <w:lang w:val="fr-CA"/>
        </w:rPr>
        <w:t>Francoeur c. 4417186 Canada inc.</w:t>
      </w:r>
      <w:r w:rsidRPr="00080FA4">
        <w:rPr>
          <w:rFonts w:cs="Times New Roman"/>
          <w:lang w:val="fr-CA"/>
        </w:rPr>
        <w:t>, 2013 QCCA 191, par. 64</w:t>
      </w:r>
      <w:r w:rsidRPr="00080FA4">
        <w:rPr>
          <w:rFonts w:cs="Times New Roman"/>
          <w:lang w:val="fr-CA"/>
        </w:rPr>
        <w:noBreakHyphen/>
        <w:t>65 (CanLII)).</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 xml:space="preserve">Malheureusement, certains plaideurs considèrent qu’il s’agit là d’une invitation à demander à la cour d’instruire à nouveau l’affaire, ce qui n’est tout simplement pas l’objectif visé (voir </w:t>
      </w:r>
      <w:r w:rsidRPr="00080FA4">
        <w:rPr>
          <w:rFonts w:cs="Times New Roman"/>
          <w:i/>
          <w:lang w:val="fr-CA"/>
        </w:rPr>
        <w:t>Desrochers c. 2533</w:t>
      </w:r>
      <w:r w:rsidRPr="00080FA4">
        <w:rPr>
          <w:rFonts w:cs="Times New Roman"/>
          <w:i/>
          <w:lang w:val="fr-CA"/>
        </w:rPr>
        <w:noBreakHyphen/>
        <w:t>0838 Québec inc.</w:t>
      </w:r>
      <w:r w:rsidRPr="00080FA4">
        <w:rPr>
          <w:rFonts w:cs="Times New Roman"/>
          <w:lang w:val="fr-CA"/>
        </w:rPr>
        <w:t>, 2016 QCCA 825, par. 49 (CanLII)). De fait, il est intéressant de souligner que, dans plusieurs affaires, la Cour d’appel du Québec renvoie expressément à cette notion de prisme déformant pour refuser d’intervenir à l’égard des conclusions du juge des faits (</w:t>
      </w:r>
      <w:r w:rsidRPr="00080FA4">
        <w:rPr>
          <w:rFonts w:cs="Times New Roman"/>
          <w:i/>
          <w:lang w:val="fr-CA"/>
        </w:rPr>
        <w:t>Gutin c. Cenfood International Inc.</w:t>
      </w:r>
      <w:r w:rsidRPr="00080FA4">
        <w:rPr>
          <w:rFonts w:cs="Times New Roman"/>
          <w:lang w:val="fr-CA"/>
        </w:rPr>
        <w:t>, 2018 QCCA 317, par. 24</w:t>
      </w:r>
      <w:r w:rsidRPr="00080FA4">
        <w:rPr>
          <w:rFonts w:cs="Times New Roman"/>
          <w:lang w:val="fr-CA"/>
        </w:rPr>
        <w:noBreakHyphen/>
        <w:t xml:space="preserve">26 (CanLII); </w:t>
      </w:r>
      <w:r w:rsidRPr="00080FA4">
        <w:rPr>
          <w:rFonts w:cs="Times New Roman"/>
          <w:i/>
          <w:lang w:val="fr-CA"/>
        </w:rPr>
        <w:t>2758792 Canada inc. c. Bell Distribution inc.</w:t>
      </w:r>
      <w:r w:rsidRPr="00080FA4">
        <w:rPr>
          <w:rFonts w:cs="Times New Roman"/>
          <w:lang w:val="fr-CA"/>
        </w:rPr>
        <w:t xml:space="preserve">, 2017 QCCA 603, par. 9 (CanLII); </w:t>
      </w:r>
      <w:r w:rsidRPr="00080FA4">
        <w:rPr>
          <w:rFonts w:cs="Times New Roman"/>
          <w:i/>
          <w:lang w:val="fr-CA"/>
        </w:rPr>
        <w:t>Mangiola c. R.</w:t>
      </w:r>
      <w:r w:rsidRPr="00080FA4">
        <w:rPr>
          <w:rFonts w:cs="Times New Roman"/>
          <w:lang w:val="fr-CA"/>
        </w:rPr>
        <w:t>, 2017 QCCA 741, par. 4</w:t>
      </w:r>
      <w:r w:rsidRPr="00080FA4">
        <w:rPr>
          <w:rFonts w:cs="Times New Roman"/>
          <w:lang w:val="fr-CA"/>
        </w:rPr>
        <w:noBreakHyphen/>
        <w:t xml:space="preserve">5 (CanLII); </w:t>
      </w:r>
      <w:r w:rsidRPr="00080FA4">
        <w:rPr>
          <w:rFonts w:cs="Times New Roman"/>
          <w:i/>
          <w:lang w:val="fr-CA"/>
        </w:rPr>
        <w:t>Desrochers</w:t>
      </w:r>
      <w:r w:rsidRPr="00080FA4">
        <w:rPr>
          <w:rFonts w:cs="Times New Roman"/>
          <w:lang w:val="fr-CA"/>
        </w:rPr>
        <w:t xml:space="preserve">, par. 46; </w:t>
      </w:r>
      <w:r w:rsidRPr="00080FA4">
        <w:rPr>
          <w:rFonts w:cs="Times New Roman"/>
          <w:i/>
          <w:lang w:val="fr-CA"/>
        </w:rPr>
        <w:t>Dunkin’ Brands Canada Ltd. c. Bertico Inc.</w:t>
      </w:r>
      <w:r w:rsidRPr="00080FA4">
        <w:rPr>
          <w:rFonts w:cs="Times New Roman"/>
          <w:lang w:val="fr-CA"/>
        </w:rPr>
        <w:t xml:space="preserve">, 2015 QCCA 624, 41 B.L.R. (5th) 1, par. 120; </w:t>
      </w:r>
      <w:r w:rsidRPr="00080FA4">
        <w:rPr>
          <w:rFonts w:cs="Times New Roman"/>
          <w:i/>
          <w:lang w:val="fr-CA"/>
        </w:rPr>
        <w:t>Hydro</w:t>
      </w:r>
      <w:r w:rsidRPr="00080FA4">
        <w:rPr>
          <w:rFonts w:cs="Times New Roman"/>
          <w:i/>
          <w:lang w:val="fr-CA"/>
        </w:rPr>
        <w:noBreakHyphen/>
        <w:t>Québec c. Construction Kiewit cie</w:t>
      </w:r>
      <w:r w:rsidRPr="00080FA4">
        <w:rPr>
          <w:rFonts w:cs="Times New Roman"/>
          <w:lang w:val="fr-CA"/>
        </w:rPr>
        <w:t xml:space="preserve">, 2014 QCCA 947, par. 102 (CanLII); </w:t>
      </w:r>
      <w:r w:rsidRPr="00080FA4">
        <w:rPr>
          <w:rFonts w:cs="Times New Roman"/>
          <w:i/>
          <w:lang w:val="fr-CA"/>
        </w:rPr>
        <w:t>R. c.</w:t>
      </w:r>
      <w:r w:rsidRPr="00080FA4">
        <w:rPr>
          <w:rFonts w:cs="Times New Roman"/>
          <w:lang w:val="fr-CA"/>
        </w:rPr>
        <w:t xml:space="preserve"> </w:t>
      </w:r>
      <w:r w:rsidRPr="00080FA4">
        <w:rPr>
          <w:rFonts w:cs="Times New Roman"/>
          <w:i/>
          <w:lang w:val="fr-CA"/>
        </w:rPr>
        <w:t>Lalonde</w:t>
      </w:r>
      <w:r w:rsidRPr="00080FA4">
        <w:rPr>
          <w:rFonts w:cs="Times New Roman"/>
          <w:lang w:val="fr-CA"/>
        </w:rPr>
        <w:t>, 2014 QCCA 639, par. 16 (CanLII)).</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 xml:space="preserve">À ce propos, tout comme les appelants, je reconnais que l’image du prisme déformant ne peut être invoquée pour remplacer l’obligation de déceler la présence </w:t>
      </w:r>
      <w:r w:rsidRPr="00080FA4">
        <w:rPr>
          <w:rFonts w:cs="Times New Roman"/>
          <w:lang w:val="fr-CA"/>
        </w:rPr>
        <w:lastRenderedPageBreak/>
        <w:t>d’une erreur révisable [</w:t>
      </w:r>
      <w:r w:rsidRPr="00080FA4">
        <w:rPr>
          <w:rFonts w:cs="Times New Roman"/>
          <w:smallCaps/>
          <w:lang w:val="fr-CA"/>
        </w:rPr>
        <w:t>traduction</w:t>
      </w:r>
      <w:r w:rsidRPr="00080FA4">
        <w:rPr>
          <w:rFonts w:cs="Times New Roman"/>
          <w:lang w:val="fr-CA"/>
        </w:rPr>
        <w:t xml:space="preserve">] « ou masquer le fait qu’une </w:t>
      </w:r>
      <w:r w:rsidRPr="00386BB6">
        <w:rPr>
          <w:lang w:val="fr-CA"/>
        </w:rPr>
        <w:t>“</w:t>
      </w:r>
      <w:r w:rsidRPr="00080FA4">
        <w:rPr>
          <w:rFonts w:cs="Times New Roman"/>
          <w:lang w:val="fr-CA"/>
        </w:rPr>
        <w:t>erreur</w:t>
      </w:r>
      <w:r w:rsidRPr="007B33AF">
        <w:rPr>
          <w:lang w:val="fr-CA"/>
        </w:rPr>
        <w:t>”</w:t>
      </w:r>
      <w:r w:rsidRPr="00080FA4">
        <w:rPr>
          <w:rFonts w:cs="Times New Roman"/>
          <w:lang w:val="fr-CA"/>
        </w:rPr>
        <w:t xml:space="preserve"> constatée par une cour d’appel ne respecte pas la norme élevée imposée par l’arrêt </w:t>
      </w:r>
      <w:r w:rsidRPr="00080FA4">
        <w:rPr>
          <w:rFonts w:cs="Times New Roman"/>
          <w:i/>
          <w:lang w:val="fr-CA"/>
        </w:rPr>
        <w:t>Housen</w:t>
      </w:r>
      <w:r w:rsidRPr="00080FA4">
        <w:rPr>
          <w:rFonts w:cs="Times New Roman"/>
          <w:lang w:val="fr-CA"/>
        </w:rPr>
        <w:t xml:space="preserve"> » (m.a., par. 81). Bien que les cours d’appel puissent considérer cette notion utile pour expliquer le fondement de leurs interventions, elle ne change en rien les normes énoncées dans l’arrêt </w:t>
      </w:r>
      <w:r w:rsidRPr="00080FA4">
        <w:rPr>
          <w:rFonts w:cs="Times New Roman"/>
          <w:i/>
          <w:lang w:val="fr-CA"/>
        </w:rPr>
        <w:t>Housen</w:t>
      </w:r>
      <w:r w:rsidRPr="00080FA4">
        <w:rPr>
          <w:rFonts w:cs="Times New Roman"/>
          <w:lang w:val="fr-CA"/>
        </w:rPr>
        <w:t xml:space="preserve">. La juridiction d’appel doit dégager l’erreur fatale que comporte la décision de la juridiction inférieure, qu’il s’agisse — selon la norme énoncée dans l’arrêt </w:t>
      </w:r>
      <w:r w:rsidRPr="00080FA4">
        <w:rPr>
          <w:rFonts w:cs="Times New Roman"/>
          <w:i/>
          <w:lang w:val="fr-CA"/>
        </w:rPr>
        <w:t>Housen</w:t>
      </w:r>
      <w:r w:rsidRPr="00080FA4">
        <w:rPr>
          <w:rFonts w:cs="Times New Roman"/>
          <w:lang w:val="fr-CA"/>
        </w:rPr>
        <w:t xml:space="preserve"> qui s’applique — d’une erreur de droit ou d’une erreur manifeste et déterminante</w:t>
      </w:r>
      <w:r w:rsidRPr="00080FA4">
        <w:rPr>
          <w:rFonts w:cs="Times New Roman"/>
          <w:i/>
          <w:lang w:val="fr-CA"/>
        </w:rPr>
        <w:t xml:space="preserve">. </w:t>
      </w:r>
      <w:r w:rsidRPr="00080FA4">
        <w:rPr>
          <w:rFonts w:cs="Times New Roman"/>
          <w:lang w:val="fr-CA"/>
        </w:rPr>
        <w:t>De façon</w:t>
      </w:r>
      <w:r w:rsidRPr="00080FA4">
        <w:rPr>
          <w:rFonts w:cs="Times New Roman"/>
          <w:i/>
          <w:lang w:val="fr-CA"/>
        </w:rPr>
        <w:t xml:space="preserve"> </w:t>
      </w:r>
      <w:r w:rsidRPr="00080FA4">
        <w:rPr>
          <w:rFonts w:cs="Times New Roman"/>
          <w:lang w:val="fr-CA"/>
        </w:rPr>
        <w:t>plus précise, la notion de</w:t>
      </w:r>
      <w:r>
        <w:rPr>
          <w:rFonts w:cs="Times New Roman"/>
          <w:lang w:val="fr-CA"/>
        </w:rPr>
        <w:t xml:space="preserve"> prisme déformant </w:t>
      </w:r>
      <w:r w:rsidRPr="00080FA4">
        <w:rPr>
          <w:rFonts w:cs="Times New Roman"/>
          <w:lang w:val="fr-CA"/>
        </w:rPr>
        <w:t xml:space="preserve">n’autorise pas la juridiction d’appel à soupeser la preuve à nouveau ou à simplement substituer ses propres conclusions de fait à celles du juge de première instance.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 xml:space="preserve">Dans le cas qui nous occupe, la Cour d’appel n’utilise pas la notion de prisme déformant pour masquer une absence d’erreurs manifestes et déterminantes. Au contraire, la Cour d’appel conclut que le </w:t>
      </w:r>
      <w:r w:rsidRPr="00080FA4">
        <w:rPr>
          <w:rFonts w:cs="Times New Roman"/>
          <w:lang w:val="fr-FR"/>
        </w:rPr>
        <w:t>prisme déformant au moyen duquel la juge de première instance a examiné la preuve — en l’espèce, une approche étroite et compartimentée —</w:t>
      </w:r>
      <w:r w:rsidRPr="00080FA4">
        <w:rPr>
          <w:rFonts w:cs="Times New Roman"/>
          <w:lang w:val="fr-CA"/>
        </w:rPr>
        <w:t xml:space="preserve"> a amené cette dernière à commettre </w:t>
      </w:r>
      <w:r>
        <w:rPr>
          <w:rFonts w:cs="Times New Roman"/>
          <w:lang w:val="fr-CA"/>
        </w:rPr>
        <w:t xml:space="preserve">des </w:t>
      </w:r>
      <w:r w:rsidRPr="00080FA4">
        <w:rPr>
          <w:rFonts w:cs="Times New Roman"/>
          <w:lang w:val="fr-CA"/>
        </w:rPr>
        <w:t>erreurs manifestes et déterminantes identifiées de façon précise par la cour : premièrement, malgré la présence d’éléments de preuve montrant clairement que M</w:t>
      </w:r>
      <w:r w:rsidRPr="00080FA4">
        <w:rPr>
          <w:rFonts w:cs="Times New Roman"/>
          <w:vertAlign w:val="superscript"/>
          <w:lang w:val="fr-CA"/>
        </w:rPr>
        <w:t>e</w:t>
      </w:r>
      <w:r w:rsidRPr="00080FA4">
        <w:rPr>
          <w:rFonts w:cs="Times New Roman"/>
          <w:lang w:val="fr-CA"/>
        </w:rPr>
        <w:t> Salomon agit pour les deux intimées dès 2003, la juge du procès conclut que ce dernier a fourni des conseils financiers uniquement à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deuxièmement, en dépit d’éléments de preuve montrant clairement que les fautes de M</w:t>
      </w:r>
      <w:r w:rsidRPr="00080FA4">
        <w:rPr>
          <w:rFonts w:cs="Times New Roman"/>
          <w:vertAlign w:val="superscript"/>
          <w:lang w:val="fr-CA"/>
        </w:rPr>
        <w:t>e</w:t>
      </w:r>
      <w:r w:rsidRPr="00080FA4">
        <w:rPr>
          <w:rFonts w:cs="Times New Roman"/>
          <w:lang w:val="fr-CA"/>
        </w:rPr>
        <w:t> Salomon se perpétuent après 2004, la juge de première instance statue qu’elles se sont limitées dans le temps aux années 2003 et 2004; troisièmement, malgré une preuve claire des loyautés partagées de M</w:t>
      </w:r>
      <w:r w:rsidRPr="00080FA4">
        <w:rPr>
          <w:rFonts w:cs="Times New Roman"/>
          <w:vertAlign w:val="superscript"/>
          <w:lang w:val="fr-CA"/>
        </w:rPr>
        <w:t>e</w:t>
      </w:r>
      <w:r w:rsidRPr="00080FA4">
        <w:rPr>
          <w:rFonts w:cs="Times New Roman"/>
          <w:lang w:val="fr-CA"/>
        </w:rPr>
        <w:t> Salomon envers les intimées, d’une part, et envers M. Papadopoulos et Triglobal, d’autre part, la juge de première instance estime que celui</w:t>
      </w:r>
      <w:r w:rsidRPr="00080FA4">
        <w:rPr>
          <w:rFonts w:cs="Times New Roman"/>
          <w:lang w:val="fr-CA"/>
        </w:rPr>
        <w:noBreakHyphen/>
        <w:t xml:space="preserve">ci ne s’est pas placé dans </w:t>
      </w:r>
      <w:r w:rsidRPr="00080FA4">
        <w:rPr>
          <w:rFonts w:cs="Times New Roman"/>
          <w:lang w:val="fr-CA"/>
        </w:rPr>
        <w:lastRenderedPageBreak/>
        <w:t>une situation de conflit d’intérêts; et, quatrièmement, malgré le lien évident entre les fautes de M</w:t>
      </w:r>
      <w:r w:rsidRPr="00080FA4">
        <w:rPr>
          <w:rFonts w:cs="Times New Roman"/>
          <w:vertAlign w:val="superscript"/>
          <w:lang w:val="fr-CA"/>
        </w:rPr>
        <w:t>e</w:t>
      </w:r>
      <w:r w:rsidRPr="00080FA4">
        <w:rPr>
          <w:rFonts w:cs="Times New Roman"/>
          <w:lang w:val="fr-CA"/>
        </w:rPr>
        <w:t> Salomon et les pertes subies par les intimées, la juge de première instance conclut que le lien de causalité n’est pas établi.</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 xml:space="preserve">Les appelants ne me convainquent pas que la Cour d’appel a eu tort de conclure que la juge de première instance a commis ces erreurs manifestes et déterminantes. Je ne vois aucune raison de modifier les conclusions de la Cour d’appel. </w:t>
      </w:r>
    </w:p>
    <w:p w:rsidR="0041746D" w:rsidRPr="00080FA4" w:rsidRDefault="0041746D" w:rsidP="0041746D">
      <w:pPr>
        <w:pStyle w:val="Title2LevelTitre2Niveau"/>
        <w:numPr>
          <w:ilvl w:val="1"/>
          <w:numId w:val="7"/>
        </w:numPr>
        <w:rPr>
          <w:rFonts w:cs="Times New Roman"/>
          <w:lang w:val="fr-CA"/>
        </w:rPr>
      </w:pPr>
      <w:r w:rsidRPr="00080FA4">
        <w:rPr>
          <w:rFonts w:cs="Times New Roman"/>
          <w:lang w:val="fr-CA"/>
        </w:rPr>
        <w:t>La Cour d’appel a</w:t>
      </w:r>
      <w:r w:rsidRPr="00080FA4">
        <w:rPr>
          <w:rFonts w:cs="Times New Roman"/>
          <w:lang w:val="fr-CA"/>
        </w:rPr>
        <w:noBreakHyphen/>
        <w:t>t</w:t>
      </w:r>
      <w:r w:rsidRPr="00080FA4">
        <w:rPr>
          <w:rFonts w:cs="Times New Roman"/>
          <w:lang w:val="fr-CA"/>
        </w:rPr>
        <w:noBreakHyphen/>
        <w:t xml:space="preserve">elle élargi à tort la portée des obligations professionnelles des avocats qui aiguillent leurs clients vers des conseillers indépendants?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Avant d’analyser cette question en détail, je tiens à préciser que les cours d’instances inférieures ont à juste titre reconnu que la relation avocat</w:t>
      </w:r>
      <w:r w:rsidRPr="00080FA4">
        <w:rPr>
          <w:rFonts w:cs="Times New Roman"/>
          <w:lang w:val="fr-CA"/>
        </w:rPr>
        <w:noBreakHyphen/>
        <w:t xml:space="preserve">client peut habituellement être qualifiée de contrat de mandat, et que la relation dans la présente affaire ne fait pas exception (motifs de première instance, par. 113 (CanLII); motifs de la C.A., par. 94; voir J.‑L. Baudouin, P. Deslauriers et B. Moore, </w:t>
      </w:r>
      <w:r w:rsidRPr="00080FA4">
        <w:rPr>
          <w:rFonts w:cs="Times New Roman"/>
          <w:i/>
          <w:lang w:val="fr-CA"/>
        </w:rPr>
        <w:t>La responsabilité civile</w:t>
      </w:r>
      <w:r w:rsidRPr="00080FA4">
        <w:rPr>
          <w:rFonts w:cs="Times New Roman"/>
          <w:lang w:val="fr-CA"/>
        </w:rPr>
        <w:t xml:space="preserve"> (8</w:t>
      </w:r>
      <w:r w:rsidRPr="00080FA4">
        <w:rPr>
          <w:rFonts w:cs="Times New Roman"/>
          <w:vertAlign w:val="superscript"/>
          <w:lang w:val="fr-CA"/>
        </w:rPr>
        <w:t>e</w:t>
      </w:r>
      <w:r w:rsidRPr="00080FA4">
        <w:rPr>
          <w:rFonts w:cs="Times New Roman"/>
          <w:lang w:val="fr-CA"/>
        </w:rPr>
        <w:t> éd. 2014), n</w:t>
      </w:r>
      <w:r w:rsidRPr="00080FA4">
        <w:rPr>
          <w:rFonts w:cs="Times New Roman"/>
          <w:lang w:val="fr-CA"/>
        </w:rPr>
        <w:sym w:font="Symbol" w:char="F0B0"/>
      </w:r>
      <w:r w:rsidRPr="00080FA4">
        <w:rPr>
          <w:rFonts w:cs="Times New Roman"/>
          <w:lang w:val="fr-CA"/>
        </w:rPr>
        <w:t> 2</w:t>
      </w:r>
      <w:r w:rsidRPr="00080FA4">
        <w:rPr>
          <w:rFonts w:cs="Times New Roman"/>
          <w:lang w:val="fr-CA"/>
        </w:rPr>
        <w:noBreakHyphen/>
        <w:t>124). En tant que mandataires, les avocats sont assujettis aux obligations énoncées à l’art</w:t>
      </w:r>
      <w:r>
        <w:rPr>
          <w:rFonts w:cs="Times New Roman"/>
          <w:lang w:val="fr-CA"/>
        </w:rPr>
        <w:t>.</w:t>
      </w:r>
      <w:r w:rsidRPr="00080FA4">
        <w:rPr>
          <w:rFonts w:cs="Times New Roman"/>
          <w:lang w:val="fr-CA"/>
        </w:rPr>
        <w:t xml:space="preserve"> 2138 du </w:t>
      </w:r>
      <w:r w:rsidRPr="00080FA4">
        <w:rPr>
          <w:rFonts w:cs="Times New Roman"/>
          <w:i/>
          <w:lang w:val="fr-CA"/>
        </w:rPr>
        <w:t>Code civil du Québec</w:t>
      </w:r>
      <w:r w:rsidRPr="00080FA4">
        <w:rPr>
          <w:rFonts w:cs="Times New Roman"/>
          <w:lang w:val="fr-CA"/>
        </w:rPr>
        <w:t xml:space="preserve"> (« </w:t>
      </w:r>
      <w:r w:rsidRPr="00080FA4">
        <w:rPr>
          <w:rFonts w:cs="Times New Roman"/>
          <w:i/>
          <w:lang w:val="fr-CA"/>
        </w:rPr>
        <w:t>C.c.Q. </w:t>
      </w:r>
      <w:r w:rsidRPr="00080FA4">
        <w:rPr>
          <w:rFonts w:cs="Times New Roman"/>
          <w:lang w:val="fr-CA"/>
        </w:rPr>
        <w:t xml:space="preserve">»), dont voici le texte : </w:t>
      </w:r>
    </w:p>
    <w:p w:rsidR="0041746D" w:rsidRPr="00080FA4" w:rsidRDefault="0041746D" w:rsidP="0041746D">
      <w:pPr>
        <w:pStyle w:val="Citation-AltC"/>
        <w:spacing w:after="240"/>
        <w:ind w:hanging="1166"/>
        <w:contextualSpacing w:val="0"/>
        <w:rPr>
          <w:lang w:val="fr-CA"/>
        </w:rPr>
      </w:pPr>
      <w:bookmarkStart w:id="3" w:name="_Hlk521997492"/>
      <w:r w:rsidRPr="00080FA4">
        <w:rPr>
          <w:lang w:val="fr-CA"/>
        </w:rPr>
        <w:tab/>
      </w:r>
      <w:r w:rsidRPr="00080FA4">
        <w:rPr>
          <w:b/>
          <w:lang w:val="fr-CA"/>
        </w:rPr>
        <w:t>2138.</w:t>
      </w:r>
      <w:r w:rsidRPr="00080FA4">
        <w:rPr>
          <w:lang w:val="fr-CA"/>
        </w:rPr>
        <w:t> Le mandataire est tenu d’accomplir le mandat qu’il a accepté et il doit, dans l’exécution de son mandat, agir avec prudence et diligence.</w:t>
      </w:r>
    </w:p>
    <w:p w:rsidR="0041746D" w:rsidRPr="00080FA4" w:rsidRDefault="0041746D" w:rsidP="0041746D">
      <w:pPr>
        <w:pStyle w:val="Citation-AltC"/>
        <w:ind w:hanging="1166"/>
        <w:contextualSpacing w:val="0"/>
        <w:rPr>
          <w:lang w:val="fr-CA"/>
        </w:rPr>
      </w:pPr>
      <w:r w:rsidRPr="00080FA4">
        <w:rPr>
          <w:lang w:val="fr-CA"/>
        </w:rPr>
        <w:tab/>
      </w:r>
      <w:r w:rsidRPr="00080FA4">
        <w:rPr>
          <w:lang w:val="fr-CA"/>
        </w:rPr>
        <w:tab/>
        <w:t>Il doit également agir avec honnêteté et loyauté dans le meilleur intérêt du mandant et éviter de se placer dans une situation de conflit entre son intérêt personnel et celui de son mandant.</w:t>
      </w:r>
      <w:bookmarkEnd w:id="3"/>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 xml:space="preserve">Bien qu’ils ne formulent pas leurs arguments de façon à soulever une erreur de droit, les appelants affirment néanmoins que la Cour d’appel a omis de considérer </w:t>
      </w:r>
      <w:r w:rsidRPr="00080FA4">
        <w:rPr>
          <w:rFonts w:cs="Times New Roman"/>
          <w:lang w:val="fr-CA"/>
        </w:rPr>
        <w:lastRenderedPageBreak/>
        <w:t>une de ses décisions récentes (</w:t>
      </w:r>
      <w:r w:rsidRPr="00080FA4">
        <w:rPr>
          <w:rFonts w:cs="Times New Roman"/>
          <w:i/>
          <w:lang w:val="fr-CA"/>
        </w:rPr>
        <w:t>Harris (Succession), Re</w:t>
      </w:r>
      <w:r w:rsidRPr="00080FA4">
        <w:rPr>
          <w:rFonts w:cs="Times New Roman"/>
          <w:lang w:val="fr-CA"/>
        </w:rPr>
        <w:t>, 2016 QCCA 50, 25 C.C.L.T. (4th) 1), laquelle, prétendent</w:t>
      </w:r>
      <w:r w:rsidRPr="00080FA4">
        <w:rPr>
          <w:rFonts w:cs="Times New Roman"/>
          <w:lang w:val="fr-CA"/>
        </w:rPr>
        <w:noBreakHyphen/>
        <w:t xml:space="preserve">ils, limite les obligations auxquelles est tenu l’avocat qui aiguille son client vers un autre professionnel. Ils soutiennent que cet arrêt s’applique aux circonstances du présent pourvoi. Je ne partage pas cette opinion.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 xml:space="preserve">Les principes énoncés dans l’arrêt </w:t>
      </w:r>
      <w:r w:rsidRPr="00080FA4">
        <w:rPr>
          <w:rFonts w:cs="Times New Roman"/>
          <w:i/>
          <w:lang w:val="fr-CA"/>
        </w:rPr>
        <w:t>Harris</w:t>
      </w:r>
      <w:r w:rsidRPr="00080FA4">
        <w:rPr>
          <w:rFonts w:cs="Times New Roman"/>
          <w:lang w:val="fr-CA"/>
        </w:rPr>
        <w:t xml:space="preserve"> peuvent être résumés comme suit. L’avocat qui aiguille des clients vers un autre professionnel ou conseiller a une obligation de moyens et non de résultat. Bien que l’avocat n’agisse pas comme garant des services rendus par le professionnel ou le conseiller vers lequel il dirige ses clients, il doit néanmoins faire preuve de compétence, prudence et diligence lorsqu’il formule une telle recommandation, laquelle doit être basée sur une connaissance raisonnable du professionnel ou du conseiller en question. Il doit être convaincu que la personne qu’il recommande à son client est suffisamment compétente pour s’acquitter du mandat envisagé (</w:t>
      </w:r>
      <w:r w:rsidRPr="00080FA4">
        <w:rPr>
          <w:rFonts w:cs="Times New Roman"/>
          <w:i/>
          <w:lang w:val="fr-CA"/>
        </w:rPr>
        <w:t>Harris</w:t>
      </w:r>
      <w:r w:rsidRPr="00080FA4">
        <w:rPr>
          <w:rFonts w:cs="Times New Roman"/>
          <w:lang w:val="fr-CA"/>
        </w:rPr>
        <w:t xml:space="preserve">, par. 16, 20 et 22). Dans l’arrêt </w:t>
      </w:r>
      <w:r w:rsidRPr="00080FA4">
        <w:rPr>
          <w:rFonts w:cs="Times New Roman"/>
          <w:i/>
          <w:lang w:val="fr-CA"/>
        </w:rPr>
        <w:t>Harris</w:t>
      </w:r>
      <w:r w:rsidRPr="00080FA4">
        <w:rPr>
          <w:rFonts w:cs="Times New Roman"/>
          <w:lang w:val="fr-CA"/>
        </w:rPr>
        <w:t>, la Cour d’appel du Québec souligne que la question de la responsabilité de l’avocat qui recommande les services d’une personne « ne peut trouver réponse dans l’abstrait. Elle est nécessairement tributaire des faits de l’espèce » (</w:t>
      </w:r>
      <w:r w:rsidR="00ED30DF">
        <w:rPr>
          <w:rFonts w:cs="Times New Roman"/>
          <w:lang w:val="fr-CA"/>
        </w:rPr>
        <w:t>par. 13). La cour ajoute qu’</w:t>
      </w:r>
      <w:r w:rsidRPr="00080FA4">
        <w:rPr>
          <w:rFonts w:cs="Times New Roman"/>
          <w:lang w:val="fr-CA"/>
        </w:rPr>
        <w:t xml:space="preserve">« [e]n cette matière, tout est affaire de circonstances » (par. 22).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 xml:space="preserve">Ces observations décrivent adéquatement la norme de conduite pour les avocats qui aiguillent des clients vers d’autres professionnels et conseillers, et je les fais miennes.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 xml:space="preserve">Appliquant ces principes, la Cour d’appel du Québec conclut, dans l’arrêt </w:t>
      </w:r>
      <w:r w:rsidRPr="00080FA4">
        <w:rPr>
          <w:rFonts w:cs="Times New Roman"/>
          <w:i/>
          <w:lang w:val="fr-CA"/>
        </w:rPr>
        <w:t>Harris</w:t>
      </w:r>
      <w:r w:rsidRPr="00C62D0B">
        <w:rPr>
          <w:rFonts w:cs="Times New Roman"/>
          <w:lang w:val="fr-CA"/>
        </w:rPr>
        <w:t>,</w:t>
      </w:r>
      <w:r w:rsidRPr="00080FA4">
        <w:rPr>
          <w:rFonts w:cs="Times New Roman"/>
          <w:i/>
          <w:lang w:val="fr-CA"/>
        </w:rPr>
        <w:t xml:space="preserve"> </w:t>
      </w:r>
      <w:r w:rsidRPr="00080FA4">
        <w:rPr>
          <w:rFonts w:cs="Times New Roman"/>
          <w:lang w:val="fr-CA"/>
        </w:rPr>
        <w:t>que M</w:t>
      </w:r>
      <w:r w:rsidRPr="00080FA4">
        <w:rPr>
          <w:rFonts w:cs="Times New Roman"/>
          <w:vertAlign w:val="superscript"/>
          <w:lang w:val="fr-CA"/>
        </w:rPr>
        <w:t>e</w:t>
      </w:r>
      <w:r w:rsidRPr="00080FA4">
        <w:rPr>
          <w:rFonts w:cs="Times New Roman"/>
          <w:lang w:val="fr-CA"/>
        </w:rPr>
        <w:t xml:space="preserve"> Salomon et SKM (incidemment les mêmes avocat et cabinet concernés </w:t>
      </w:r>
      <w:r w:rsidRPr="00080FA4">
        <w:rPr>
          <w:rFonts w:cs="Times New Roman"/>
          <w:lang w:val="fr-CA"/>
        </w:rPr>
        <w:lastRenderedPageBreak/>
        <w:t>dans cette autre affaire) ne sont pas responsables des pertes subies par un client par suite de la fraude commise par le liquidateur de la succession, Earl Jones, que M</w:t>
      </w:r>
      <w:r w:rsidRPr="00080FA4">
        <w:rPr>
          <w:rFonts w:cs="Times New Roman"/>
          <w:vertAlign w:val="superscript"/>
          <w:lang w:val="fr-CA"/>
        </w:rPr>
        <w:t>e</w:t>
      </w:r>
      <w:r w:rsidRPr="00080FA4">
        <w:rPr>
          <w:rFonts w:cs="Times New Roman"/>
          <w:lang w:val="fr-CA"/>
        </w:rPr>
        <w:t xml:space="preserve"> Salomon avait recommandé. Selon les appelants, la présente espèce est analogue à l’affaire </w:t>
      </w:r>
      <w:r w:rsidRPr="00080FA4">
        <w:rPr>
          <w:rFonts w:cs="Times New Roman"/>
          <w:i/>
          <w:lang w:val="fr-CA"/>
        </w:rPr>
        <w:t>Harris</w:t>
      </w:r>
      <w:r w:rsidRPr="00080FA4">
        <w:rPr>
          <w:rFonts w:cs="Times New Roman"/>
          <w:lang w:val="fr-CA"/>
        </w:rPr>
        <w:t>, en ce que Triglobal jouissait d’une bonne réputation jusqu’à son effondrement en 2007, et qu’on ne peut reprocher à M</w:t>
      </w:r>
      <w:r w:rsidRPr="00080FA4">
        <w:rPr>
          <w:rFonts w:cs="Times New Roman"/>
          <w:vertAlign w:val="superscript"/>
          <w:lang w:val="fr-CA"/>
        </w:rPr>
        <w:t>e</w:t>
      </w:r>
      <w:r w:rsidRPr="00080FA4">
        <w:rPr>
          <w:rFonts w:cs="Times New Roman"/>
          <w:lang w:val="fr-CA"/>
        </w:rPr>
        <w:t> Salomon de ne pas avoir mis au jour une fraude que personne n’avait anticipée.</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L’affaire</w:t>
      </w:r>
      <w:r w:rsidRPr="00080FA4">
        <w:rPr>
          <w:rFonts w:cs="Times New Roman"/>
          <w:i/>
          <w:lang w:val="fr-CA"/>
        </w:rPr>
        <w:t xml:space="preserve"> Harris </w:t>
      </w:r>
      <w:r w:rsidRPr="00080FA4">
        <w:rPr>
          <w:rFonts w:cs="Times New Roman"/>
          <w:lang w:val="fr-CA"/>
        </w:rPr>
        <w:t>se distingue de la présente espèce en raison des faits entourant l’aiguillage, mais il existe une autre distinction importante entre cette affaire et celle qui nous occupe au regard de l’ensemble du comportement de M</w:t>
      </w:r>
      <w:r w:rsidRPr="00080FA4">
        <w:rPr>
          <w:rFonts w:cs="Times New Roman"/>
          <w:vertAlign w:val="superscript"/>
          <w:lang w:val="fr-CA"/>
        </w:rPr>
        <w:t>e</w:t>
      </w:r>
      <w:r w:rsidRPr="00080FA4">
        <w:rPr>
          <w:rFonts w:cs="Times New Roman"/>
          <w:lang w:val="fr-CA"/>
        </w:rPr>
        <w:t xml:space="preserve"> Salomon. Alors que l’affaire </w:t>
      </w:r>
      <w:r w:rsidRPr="00080FA4">
        <w:rPr>
          <w:rFonts w:cs="Times New Roman"/>
          <w:i/>
          <w:lang w:val="fr-CA"/>
        </w:rPr>
        <w:t xml:space="preserve">Harris </w:t>
      </w:r>
      <w:r w:rsidRPr="00080FA4">
        <w:rPr>
          <w:rFonts w:cs="Times New Roman"/>
          <w:lang w:val="fr-CA"/>
        </w:rPr>
        <w:t>porte sur un simple aiguillage, en l’espèce ni la juge de première instance ni la Cour d’appel ne concluent que M</w:t>
      </w:r>
      <w:r w:rsidRPr="00080FA4">
        <w:rPr>
          <w:rFonts w:cs="Times New Roman"/>
          <w:vertAlign w:val="superscript"/>
          <w:lang w:val="fr-CA"/>
        </w:rPr>
        <w:t>e</w:t>
      </w:r>
      <w:r w:rsidRPr="00080FA4">
        <w:rPr>
          <w:rFonts w:cs="Times New Roman"/>
          <w:lang w:val="fr-CA"/>
        </w:rPr>
        <w:t> Salomon a simplement aiguillé les intimées vers M. Papadopoulos. Quoique les deux tribunaux en arrivent à des résultats différents, ils analysent tous deux les conséquences juridiques de plusieurs gestes de M</w:t>
      </w:r>
      <w:r w:rsidRPr="00080FA4">
        <w:rPr>
          <w:rFonts w:cs="Times New Roman"/>
          <w:vertAlign w:val="superscript"/>
          <w:lang w:val="fr-CA"/>
        </w:rPr>
        <w:t>e</w:t>
      </w:r>
      <w:r w:rsidRPr="00080FA4">
        <w:rPr>
          <w:rFonts w:cs="Times New Roman"/>
          <w:lang w:val="fr-CA"/>
        </w:rPr>
        <w:t xml:space="preserve"> Salomon postérieurs à l’aiguillage, d’abord la recommandation d’investir dans le fonds iVest en 2003, puis la promotion des produits de Triglobal — par des commentaires favorables à leur égard et des encouragements à en acquérir —, et enfin les assurances répétées formulées au cours des mois qui précèdent l’effondrement de Triglobal en 2007.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Il ne s’agit pas en l’espèce de savoir si l’aiguillage initial des intimées vers M. Papadopoulos aurait pu suffire à lui seul à établir la responsabilité professionnelle des appelants. L’aspect central de l’analyse dans le cas qui nous occupe est plutôt l’ensemble du comportement de M</w:t>
      </w:r>
      <w:r w:rsidRPr="00080FA4">
        <w:rPr>
          <w:rFonts w:cs="Times New Roman"/>
          <w:vertAlign w:val="superscript"/>
          <w:lang w:val="fr-CA"/>
        </w:rPr>
        <w:t>e</w:t>
      </w:r>
      <w:r w:rsidRPr="00080FA4">
        <w:rPr>
          <w:rFonts w:cs="Times New Roman"/>
          <w:lang w:val="fr-CA"/>
        </w:rPr>
        <w:t xml:space="preserve"> Salomon. Toutefois, une chose est certaine : de même que le fait de recommander à un client un professionnel ou un conseiller ne </w:t>
      </w:r>
      <w:r w:rsidRPr="00080FA4">
        <w:rPr>
          <w:rFonts w:cs="Times New Roman"/>
          <w:lang w:val="fr-CA"/>
        </w:rPr>
        <w:lastRenderedPageBreak/>
        <w:t xml:space="preserve">saurait constituer une garantie des services rendus, une telle recommandation ne saurait pas non plus protéger l’avocat qui l’a formulée contre toute responsabilité pour d’autres actes répréhensibles qu’il aurait commis. Il s’agit là d’un des points sur lesquels les faits de la présente affaire diffèrent considérablement des faits dans l’arrêt </w:t>
      </w:r>
      <w:r w:rsidRPr="00080FA4">
        <w:rPr>
          <w:rFonts w:cs="Times New Roman"/>
          <w:i/>
          <w:lang w:val="fr-CA"/>
        </w:rPr>
        <w:t>Harris</w:t>
      </w:r>
      <w:r w:rsidRPr="00080FA4">
        <w:rPr>
          <w:rFonts w:cs="Times New Roman"/>
          <w:lang w:val="fr-CA"/>
        </w:rPr>
        <w:t xml:space="preserve">.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Contrairement à l’affirmation des appelants, la décision rendue par la Cour d’appel en l’espèce n’élargit pas les bases de la responsabilité des avocats qui aiguillent des clients vers d’autres professionnels ou d’autres conseillers au</w:t>
      </w:r>
      <w:r w:rsidRPr="00080FA4">
        <w:rPr>
          <w:rFonts w:cs="Times New Roman"/>
          <w:lang w:val="fr-CA"/>
        </w:rPr>
        <w:noBreakHyphen/>
        <w:t xml:space="preserve">delà de la norme récemment énoncée dans l’arrêt </w:t>
      </w:r>
      <w:r w:rsidRPr="00080FA4">
        <w:rPr>
          <w:rFonts w:cs="Times New Roman"/>
          <w:i/>
          <w:lang w:val="fr-CA"/>
        </w:rPr>
        <w:t>Harris</w:t>
      </w:r>
      <w:r w:rsidRPr="00080FA4">
        <w:rPr>
          <w:rFonts w:cs="Times New Roman"/>
          <w:lang w:val="fr-CA"/>
        </w:rPr>
        <w:t>; les avocats peuvent aiguiller leurs clients vers d’autres professionnels ou conseillers, tant qu’ils s’acquittent de leurs obligations professionnelles lorsqu’ils le font. La Cour d’appel ne conclut pas que l’aiguillage lui</w:t>
      </w:r>
      <w:r w:rsidRPr="00080FA4">
        <w:rPr>
          <w:rFonts w:cs="Times New Roman"/>
          <w:lang w:val="fr-CA"/>
        </w:rPr>
        <w:noBreakHyphen/>
        <w:t>même est décisif; elle apprécie plutôt l’ensemble de la conduite de M</w:t>
      </w:r>
      <w:r w:rsidRPr="00080FA4">
        <w:rPr>
          <w:rFonts w:cs="Times New Roman"/>
          <w:vertAlign w:val="superscript"/>
          <w:lang w:val="fr-CA"/>
        </w:rPr>
        <w:t>e</w:t>
      </w:r>
      <w:r w:rsidRPr="00080FA4">
        <w:rPr>
          <w:rFonts w:cs="Times New Roman"/>
          <w:lang w:val="fr-CA"/>
        </w:rPr>
        <w:t> Salomon au regard de ses obligations professionnelles — plus particulièrement son devoir de conseil et son devoir de loyauté — envers ses clients. Elle conclut que M</w:t>
      </w:r>
      <w:r w:rsidRPr="00080FA4">
        <w:rPr>
          <w:rFonts w:cs="Times New Roman"/>
          <w:vertAlign w:val="superscript"/>
          <w:lang w:val="fr-CA"/>
        </w:rPr>
        <w:t>e</w:t>
      </w:r>
      <w:r w:rsidRPr="00080FA4">
        <w:rPr>
          <w:rFonts w:cs="Times New Roman"/>
          <w:lang w:val="fr-CA"/>
        </w:rPr>
        <w:t> Salomon est allé bien au</w:t>
      </w:r>
      <w:r w:rsidRPr="00080FA4">
        <w:rPr>
          <w:rFonts w:cs="Times New Roman"/>
          <w:lang w:val="fr-CA"/>
        </w:rPr>
        <w:noBreakHyphen/>
        <w:t>delà d’un simple aiguillage. Comme je l’explique plus loin, M</w:t>
      </w:r>
      <w:r w:rsidRPr="00080FA4">
        <w:rPr>
          <w:rFonts w:cs="Times New Roman"/>
          <w:vertAlign w:val="superscript"/>
          <w:lang w:val="fr-CA"/>
        </w:rPr>
        <w:t>e</w:t>
      </w:r>
      <w:r w:rsidRPr="00080FA4">
        <w:rPr>
          <w:rFonts w:cs="Times New Roman"/>
          <w:lang w:val="fr-CA"/>
        </w:rPr>
        <w:t> Salomon a également recommandé de façon répétée aux intimées les services de M. Papadopoulos et de sa société de placements, ainsi que leurs produits, en plus de les encourager à investir dans des fonds de Triglobal et à conserver ces placements. Qui plus est, fermant les yeux sur un conflit d’intérêts, M</w:t>
      </w:r>
      <w:r w:rsidRPr="00080FA4">
        <w:rPr>
          <w:rFonts w:cs="Times New Roman"/>
          <w:vertAlign w:val="superscript"/>
          <w:lang w:val="fr-CA"/>
        </w:rPr>
        <w:t>e</w:t>
      </w:r>
      <w:r w:rsidRPr="00080FA4">
        <w:rPr>
          <w:rFonts w:cs="Times New Roman"/>
          <w:lang w:val="fr-CA"/>
        </w:rPr>
        <w:t> Salomon s’est trouvé à servir deux maîtres et à sacrifier les intérêts des intimées. C’est l’ensemble du comportement de M</w:t>
      </w:r>
      <w:r w:rsidRPr="00080FA4">
        <w:rPr>
          <w:rFonts w:cs="Times New Roman"/>
          <w:vertAlign w:val="superscript"/>
          <w:lang w:val="fr-CA"/>
        </w:rPr>
        <w:t>e</w:t>
      </w:r>
      <w:r w:rsidRPr="00080FA4">
        <w:rPr>
          <w:rFonts w:cs="Times New Roman"/>
          <w:lang w:val="fr-CA"/>
        </w:rPr>
        <w:t> Salomon qui amène la Cour d’appel à conclure à la responsabilité des appelants dans les circonstances.</w:t>
      </w:r>
    </w:p>
    <w:p w:rsidR="0041746D" w:rsidRPr="00080FA4" w:rsidRDefault="0041746D" w:rsidP="0041746D">
      <w:pPr>
        <w:pStyle w:val="Title2LevelTitre2Niveau"/>
        <w:numPr>
          <w:ilvl w:val="1"/>
          <w:numId w:val="7"/>
        </w:numPr>
        <w:rPr>
          <w:rFonts w:cs="Times New Roman"/>
          <w:lang w:val="fr-CA"/>
        </w:rPr>
      </w:pPr>
      <w:r w:rsidRPr="00080FA4">
        <w:rPr>
          <w:rFonts w:cs="Times New Roman"/>
          <w:lang w:val="fr-CA"/>
        </w:rPr>
        <w:t>La Cour d’appel a</w:t>
      </w:r>
      <w:r w:rsidRPr="00080FA4">
        <w:rPr>
          <w:rFonts w:cs="Times New Roman"/>
          <w:lang w:val="fr-CA"/>
        </w:rPr>
        <w:noBreakHyphen/>
        <w:t>t</w:t>
      </w:r>
      <w:r w:rsidRPr="00080FA4">
        <w:rPr>
          <w:rFonts w:cs="Times New Roman"/>
          <w:lang w:val="fr-CA"/>
        </w:rPr>
        <w:noBreakHyphen/>
        <w:t xml:space="preserve">elle erré en intervenant </w:t>
      </w:r>
      <w:r>
        <w:rPr>
          <w:rFonts w:cs="Times New Roman"/>
          <w:lang w:val="fr-CA"/>
        </w:rPr>
        <w:t xml:space="preserve">à l’égard </w:t>
      </w:r>
      <w:r w:rsidRPr="00080FA4">
        <w:rPr>
          <w:rFonts w:cs="Times New Roman"/>
          <w:lang w:val="fr-CA"/>
        </w:rPr>
        <w:t>d</w:t>
      </w:r>
      <w:r>
        <w:rPr>
          <w:rFonts w:cs="Times New Roman"/>
          <w:lang w:val="fr-CA"/>
        </w:rPr>
        <w:t>e</w:t>
      </w:r>
      <w:r w:rsidRPr="00080FA4">
        <w:rPr>
          <w:rFonts w:cs="Times New Roman"/>
          <w:lang w:val="fr-CA"/>
        </w:rPr>
        <w:t>s conclusions de la juge de première instance relativement aux fautes commises par M</w:t>
      </w:r>
      <w:r w:rsidRPr="00080FA4">
        <w:rPr>
          <w:rFonts w:cs="Times New Roman"/>
          <w:vertAlign w:val="superscript"/>
          <w:lang w:val="fr-CA"/>
        </w:rPr>
        <w:t>e </w:t>
      </w:r>
      <w:r w:rsidRPr="00080FA4">
        <w:rPr>
          <w:rFonts w:cs="Times New Roman"/>
          <w:lang w:val="fr-CA"/>
        </w:rPr>
        <w:t>Salomon?</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lastRenderedPageBreak/>
        <w:t xml:space="preserve">Les appelants plaident ensuite que la Cour d’appel a erré en intervenant </w:t>
      </w:r>
      <w:r>
        <w:rPr>
          <w:rFonts w:cs="Times New Roman"/>
          <w:lang w:val="fr-CA"/>
        </w:rPr>
        <w:t>à l’égard d</w:t>
      </w:r>
      <w:r w:rsidRPr="00080FA4">
        <w:rPr>
          <w:rFonts w:cs="Times New Roman"/>
          <w:lang w:val="fr-CA"/>
        </w:rPr>
        <w:t>es conclusions de la juge de première instance en ce qui concerne le devoir de conseil et le devoir de loyauté de M</w:t>
      </w:r>
      <w:r w:rsidRPr="00080FA4">
        <w:rPr>
          <w:rFonts w:cs="Times New Roman"/>
          <w:vertAlign w:val="superscript"/>
          <w:lang w:val="fr-CA"/>
        </w:rPr>
        <w:t>e</w:t>
      </w:r>
      <w:r w:rsidRPr="00080FA4">
        <w:rPr>
          <w:rFonts w:cs="Times New Roman"/>
          <w:lang w:val="fr-CA"/>
        </w:rPr>
        <w:t> Salomon. Je ne peux retenir cet argument. Je vais examiner chacune de ces conclusions à tour de rôle.</w:t>
      </w:r>
    </w:p>
    <w:p w:rsidR="0041746D" w:rsidRPr="00080FA4" w:rsidRDefault="0041746D" w:rsidP="000A5748">
      <w:pPr>
        <w:pStyle w:val="ParaNoNdepar-AltN"/>
        <w:numPr>
          <w:ilvl w:val="3"/>
          <w:numId w:val="1"/>
        </w:numPr>
        <w:tabs>
          <w:tab w:val="left" w:pos="1166"/>
        </w:tabs>
        <w:ind w:hanging="900"/>
        <w:rPr>
          <w:rFonts w:cs="Times New Roman"/>
          <w:u w:val="single"/>
          <w:lang w:val="fr-CA"/>
        </w:rPr>
      </w:pPr>
      <w:r w:rsidRPr="00080FA4">
        <w:rPr>
          <w:rFonts w:cs="Times New Roman"/>
          <w:u w:val="single"/>
          <w:lang w:val="fr-CA"/>
        </w:rPr>
        <w:t>Le devoir de conseil de M</w:t>
      </w:r>
      <w:r w:rsidRPr="00080FA4">
        <w:rPr>
          <w:rFonts w:cs="Times New Roman"/>
          <w:u w:val="single"/>
          <w:vertAlign w:val="superscript"/>
          <w:lang w:val="fr-CA"/>
        </w:rPr>
        <w:t>e</w:t>
      </w:r>
      <w:r w:rsidRPr="00080FA4">
        <w:rPr>
          <w:rFonts w:cs="Times New Roman"/>
          <w:u w:val="single"/>
          <w:lang w:val="fr-CA"/>
        </w:rPr>
        <w:t> Salomon</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Le devoir de conseil de l’avocat comporte trois volets : (1) informer, (2) expliquer et (3) conseiller au sens strict du terme.</w:t>
      </w:r>
      <w:r w:rsidRPr="00080FA4">
        <w:rPr>
          <w:rFonts w:cs="Times New Roman"/>
          <w:i/>
          <w:lang w:val="fr-CA"/>
        </w:rPr>
        <w:t xml:space="preserve"> </w:t>
      </w:r>
      <w:r w:rsidRPr="00080FA4">
        <w:rPr>
          <w:rFonts w:cs="Times New Roman"/>
          <w:lang w:val="fr-CA"/>
        </w:rPr>
        <w:t>L’obligation d’informer consiste à communiquer les faits pertinents; l’obligation d’expliquer requiert de l’avocat qu’il présente les conséquences juridiques et financières d’une ligne de conduite envisagée; et le devoir de conseil</w:t>
      </w:r>
      <w:r w:rsidRPr="00080FA4">
        <w:rPr>
          <w:rFonts w:cs="Times New Roman"/>
          <w:i/>
          <w:lang w:val="fr-CA"/>
        </w:rPr>
        <w:t xml:space="preserve"> </w:t>
      </w:r>
      <w:r w:rsidRPr="00080FA4">
        <w:rPr>
          <w:rFonts w:cs="Times New Roman"/>
          <w:lang w:val="fr-CA"/>
        </w:rPr>
        <w:t>au sens strict du terme l’oblige à recommander une ligne de conduite (</w:t>
      </w:r>
      <w:r w:rsidRPr="00080FA4">
        <w:rPr>
          <w:rFonts w:cs="Times New Roman"/>
          <w:i/>
          <w:lang w:val="fr-CA"/>
        </w:rPr>
        <w:t>Poulin c. Pilon</w:t>
      </w:r>
      <w:r w:rsidRPr="00080FA4">
        <w:rPr>
          <w:rFonts w:cs="Times New Roman"/>
          <w:lang w:val="fr-CA"/>
        </w:rPr>
        <w:t>, [1984] C.S. 177, p. 180; M.</w:t>
      </w:r>
      <w:r w:rsidRPr="00080FA4">
        <w:rPr>
          <w:rFonts w:cs="Times New Roman"/>
          <w:lang w:val="fr-CA"/>
        </w:rPr>
        <w:noBreakHyphen/>
        <w:t xml:space="preserve">C. Thouin, « L’avocat, toujours de bon conseil? », dans Service de la formation permanente du Barreau du Québec, vol. 228, </w:t>
      </w:r>
      <w:r w:rsidRPr="00080FA4">
        <w:rPr>
          <w:rFonts w:cs="Times New Roman"/>
          <w:i/>
          <w:lang w:val="fr-CA"/>
        </w:rPr>
        <w:t>Développements récents en déontologie, droit professionnel et disciplinaire</w:t>
      </w:r>
      <w:r w:rsidRPr="00080FA4">
        <w:rPr>
          <w:rFonts w:cs="Times New Roman"/>
          <w:lang w:val="fr-CA"/>
        </w:rPr>
        <w:t xml:space="preserve"> (2005), 49, p. 51</w:t>
      </w:r>
      <w:r w:rsidRPr="00080FA4">
        <w:rPr>
          <w:rFonts w:cs="Times New Roman"/>
          <w:lang w:val="fr-CA"/>
        </w:rPr>
        <w:noBreakHyphen/>
        <w:t>52).</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 xml:space="preserve">Le devoir de conseil fait partie intégrante de la profession d’avocat et existe </w:t>
      </w:r>
      <w:r w:rsidRPr="00080FA4">
        <w:rPr>
          <w:rFonts w:cs="Times New Roman"/>
          <w:bCs/>
          <w:spacing w:val="-2"/>
          <w:szCs w:val="24"/>
          <w:lang w:val="fr-FR"/>
        </w:rPr>
        <w:t xml:space="preserve">indépendamment de la nature du mandat </w:t>
      </w:r>
      <w:r w:rsidRPr="00080FA4">
        <w:rPr>
          <w:rFonts w:cs="Times New Roman"/>
          <w:lang w:val="fr-CA"/>
        </w:rPr>
        <w:t>(Baudouin, Deslauriers et Moore, n</w:t>
      </w:r>
      <w:r w:rsidRPr="00080FA4">
        <w:rPr>
          <w:rFonts w:cs="Times New Roman"/>
          <w:vertAlign w:val="superscript"/>
          <w:lang w:val="fr-CA"/>
        </w:rPr>
        <w:t>o</w:t>
      </w:r>
      <w:r>
        <w:rPr>
          <w:rFonts w:cs="Times New Roman"/>
          <w:vertAlign w:val="superscript"/>
          <w:lang w:val="fr-CA"/>
        </w:rPr>
        <w:t> </w:t>
      </w:r>
      <w:r w:rsidRPr="00080FA4">
        <w:rPr>
          <w:rFonts w:cs="Times New Roman"/>
          <w:lang w:val="fr-CA"/>
        </w:rPr>
        <w:t>2</w:t>
      </w:r>
      <w:r w:rsidRPr="00080FA4">
        <w:rPr>
          <w:rFonts w:cs="Times New Roman"/>
          <w:lang w:val="fr-CA"/>
        </w:rPr>
        <w:noBreakHyphen/>
        <w:t xml:space="preserve">138; </w:t>
      </w:r>
      <w:r w:rsidRPr="00080FA4">
        <w:rPr>
          <w:rFonts w:cs="Times New Roman"/>
          <w:i/>
          <w:lang w:val="fr-CA"/>
        </w:rPr>
        <w:t>Labrie c. Tremblay</w:t>
      </w:r>
      <w:r w:rsidRPr="00080FA4">
        <w:rPr>
          <w:rFonts w:cs="Times New Roman"/>
          <w:lang w:val="fr-CA"/>
        </w:rPr>
        <w:t>, [2000] R.R.A. 5</w:t>
      </w:r>
      <w:r w:rsidR="008052D0">
        <w:rPr>
          <w:rFonts w:cs="Times New Roman"/>
          <w:lang w:val="fr-CA"/>
        </w:rPr>
        <w:t xml:space="preserve"> </w:t>
      </w:r>
      <w:r w:rsidR="008052D0" w:rsidRPr="00080FA4">
        <w:rPr>
          <w:rFonts w:cs="Times New Roman"/>
          <w:lang w:val="fr-CA"/>
        </w:rPr>
        <w:t>(C.A. Qc)</w:t>
      </w:r>
      <w:r w:rsidRPr="00080FA4">
        <w:rPr>
          <w:rFonts w:cs="Times New Roman"/>
          <w:lang w:val="fr-CA"/>
        </w:rPr>
        <w:t>, p. 10). L’étendue exacte de ce devoir varie selon les circonstances, en fonction notamment de l’objet du mandat, des caractéristiques du client et de l’expertise que soutient avoir l’avocat dans le domaine en question (</w:t>
      </w:r>
      <w:r w:rsidRPr="00080FA4">
        <w:rPr>
          <w:rFonts w:cs="Times New Roman"/>
          <w:i/>
          <w:lang w:val="fr-CA"/>
        </w:rPr>
        <w:t>Côté c. Rancourt</w:t>
      </w:r>
      <w:r w:rsidRPr="00080FA4">
        <w:rPr>
          <w:rFonts w:cs="Times New Roman"/>
          <w:lang w:val="fr-CA"/>
        </w:rPr>
        <w:t>, 2004 CSC 58, [2004] 3 R.C.S. 248, par. 6; Thouin, p. 55</w:t>
      </w:r>
      <w:r w:rsidRPr="00080FA4">
        <w:rPr>
          <w:rFonts w:cs="Times New Roman"/>
          <w:lang w:val="fr-CA"/>
        </w:rPr>
        <w:noBreakHyphen/>
        <w:t>69).</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lastRenderedPageBreak/>
        <w:t>Vu qu’on ne peut tracer de lignes de démarcation nettes à cet égard, la jurisprudence regorge d’exemples de situations où les tribunaux ont dû s’acquitter de la tâche difficile de décider si les avocats devraient, lorsqu’ils conseillent leurs clients, aller au</w:t>
      </w:r>
      <w:r w:rsidRPr="00080FA4">
        <w:rPr>
          <w:rFonts w:cs="Times New Roman"/>
          <w:lang w:val="fr-CA"/>
        </w:rPr>
        <w:noBreakHyphen/>
        <w:t>delà de ce que ceux</w:t>
      </w:r>
      <w:r w:rsidRPr="00080FA4">
        <w:rPr>
          <w:rFonts w:cs="Times New Roman"/>
          <w:lang w:val="fr-CA"/>
        </w:rPr>
        <w:noBreakHyphen/>
        <w:t xml:space="preserve">ci leur demandent explicitement (voir, p. ex., </w:t>
      </w:r>
      <w:r w:rsidRPr="00080FA4">
        <w:rPr>
          <w:rFonts w:cs="Times New Roman"/>
          <w:i/>
          <w:lang w:val="fr-CA"/>
        </w:rPr>
        <w:t>Labrie</w:t>
      </w:r>
      <w:r w:rsidRPr="00080FA4">
        <w:rPr>
          <w:rFonts w:cs="Times New Roman"/>
          <w:lang w:val="fr-CA"/>
        </w:rPr>
        <w:t xml:space="preserve">, p. 11; </w:t>
      </w:r>
      <w:r w:rsidRPr="00080FA4">
        <w:rPr>
          <w:rFonts w:cs="Times New Roman"/>
          <w:i/>
          <w:lang w:val="fr-CA"/>
        </w:rPr>
        <w:t>Sylvestre c. Karpinski</w:t>
      </w:r>
      <w:r w:rsidRPr="00080FA4">
        <w:rPr>
          <w:rFonts w:cs="Times New Roman"/>
          <w:lang w:val="fr-CA"/>
        </w:rPr>
        <w:t xml:space="preserve">, 2011 QCCA 2161, par. 19 (CanLII); </w:t>
      </w:r>
      <w:r w:rsidRPr="00080FA4">
        <w:rPr>
          <w:rFonts w:cs="Times New Roman"/>
          <w:i/>
          <w:lang w:val="fr-CA"/>
        </w:rPr>
        <w:t>Daigneault c. Lapierre</w:t>
      </w:r>
      <w:r w:rsidRPr="00080FA4">
        <w:rPr>
          <w:rFonts w:cs="Times New Roman"/>
          <w:lang w:val="fr-CA"/>
        </w:rPr>
        <w:t xml:space="preserve">, [2003] R.R.A. 902 (C.S. Qc)). Une chose reste claire, toutefois : l’avocat qui prodigue des conseils à un client doit toujours agir dans l’intérêt supérieur de ce dernier et respecter les normes que tout avocat compétent, prudent et diligent aurait suivies dans les mêmes circonstances. À cet égard, je suis d’accord avec la Cour d’appel pour dire que tout </w:t>
      </w:r>
      <w:r w:rsidRPr="00080FA4">
        <w:rPr>
          <w:rFonts w:cs="Times New Roman"/>
          <w:lang w:val="fr-FR"/>
        </w:rPr>
        <w:t>conseil qu’un avocat prend l’initiative de donner au</w:t>
      </w:r>
      <w:r w:rsidRPr="00080FA4">
        <w:rPr>
          <w:rFonts w:cs="Times New Roman"/>
          <w:lang w:val="fr-FR"/>
        </w:rPr>
        <w:noBreakHyphen/>
        <w:t>delà de son mandat peut, s’il est erroné, engager sa responsabilité</w:t>
      </w:r>
      <w:r w:rsidRPr="00080FA4">
        <w:rPr>
          <w:rFonts w:cs="Times New Roman"/>
          <w:lang w:val="fr-CA"/>
        </w:rPr>
        <w:t>. La question de savoir si M</w:t>
      </w:r>
      <w:r w:rsidRPr="00080FA4">
        <w:rPr>
          <w:rFonts w:cs="Times New Roman"/>
          <w:vertAlign w:val="superscript"/>
          <w:lang w:val="fr-CA"/>
        </w:rPr>
        <w:t>e</w:t>
      </w:r>
      <w:r w:rsidRPr="00080FA4">
        <w:rPr>
          <w:rFonts w:cs="Times New Roman"/>
          <w:lang w:val="fr-CA"/>
        </w:rPr>
        <w:t> Salomon agissait ou non dans les limites de son mandat lorsqu’il a prodigué des conseils financiers aux intimées n’est donc pas pertinente. Il est responsable de tout conseil erroné qu’il a donné dans ce contexte.</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Dans le cas qui nous occupe, la Cour d’appel juge que M</w:t>
      </w:r>
      <w:r w:rsidRPr="00080FA4">
        <w:rPr>
          <w:rFonts w:cs="Times New Roman"/>
          <w:vertAlign w:val="superscript"/>
          <w:lang w:val="fr-CA"/>
        </w:rPr>
        <w:t>e</w:t>
      </w:r>
      <w:r w:rsidRPr="00080FA4">
        <w:rPr>
          <w:rFonts w:cs="Times New Roman"/>
          <w:lang w:val="fr-CA"/>
        </w:rPr>
        <w:t> Salomon n’a pas conseillé les intimées comme il incombe à un avocat compétent, prudent et diligent de le faire. Contrairement à la juge de première instance, la Cour d’appel conclut que M</w:t>
      </w:r>
      <w:r w:rsidRPr="00080FA4">
        <w:rPr>
          <w:rFonts w:cs="Times New Roman"/>
          <w:vertAlign w:val="superscript"/>
          <w:lang w:val="fr-CA"/>
        </w:rPr>
        <w:t>e</w:t>
      </w:r>
      <w:r w:rsidRPr="00080FA4">
        <w:rPr>
          <w:rFonts w:cs="Times New Roman"/>
          <w:lang w:val="fr-CA"/>
        </w:rPr>
        <w:t> Salomon agit à la fois pour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 xml:space="preserve">Thompson et pour 166 lorsqu’il donne des conseils erronés en matière de placements et que ses fautes se sont poursuivies pendant toute la période de 2003 à 2007. Dans les deux cas, la cour relève effectivement la présence d’erreurs manifestes et déterminantes dans l’appréciation par la juge du procès des relations des parties et dans sa conclusion selon laquelle ces relations ne se sont pas poursuivies jusqu’à l’effondrement de Triglobal. Ces erreurs, qui sont relevées de façon précise, ont influencé directement les conclusions de la juge de première instance quant </w:t>
      </w:r>
      <w:r w:rsidRPr="00080FA4">
        <w:rPr>
          <w:rFonts w:cs="Times New Roman"/>
          <w:lang w:val="fr-CA"/>
        </w:rPr>
        <w:lastRenderedPageBreak/>
        <w:t>à l’ampleur des conseils erronés donnés par M</w:t>
      </w:r>
      <w:r w:rsidRPr="00080FA4">
        <w:rPr>
          <w:rFonts w:cs="Times New Roman"/>
          <w:vertAlign w:val="superscript"/>
          <w:lang w:val="fr-CA"/>
        </w:rPr>
        <w:t>e</w:t>
      </w:r>
      <w:r w:rsidRPr="00080FA4">
        <w:rPr>
          <w:rFonts w:cs="Times New Roman"/>
          <w:lang w:val="fr-CA"/>
        </w:rPr>
        <w:t xml:space="preserve"> Salomon. Je considère que la Cour d’appel disposait d’assises suffisantes pour intervenir comme elle l’a fait.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Premièrement, la Cour d’appel ne commet pas d’erreur en concluant que M</w:t>
      </w:r>
      <w:r w:rsidRPr="00080FA4">
        <w:rPr>
          <w:rFonts w:cs="Times New Roman"/>
          <w:vertAlign w:val="superscript"/>
          <w:lang w:val="fr-CA"/>
        </w:rPr>
        <w:t>e </w:t>
      </w:r>
      <w:r w:rsidRPr="00080FA4">
        <w:rPr>
          <w:rFonts w:cs="Times New Roman"/>
          <w:lang w:val="fr-CA"/>
        </w:rPr>
        <w:t>Salomon a prodigué des conseils financiers aux deux intimées. Comme le souligne la Cour d’appel,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a consulté M</w:t>
      </w:r>
      <w:r w:rsidRPr="00080FA4">
        <w:rPr>
          <w:rFonts w:cs="Times New Roman"/>
          <w:vertAlign w:val="superscript"/>
          <w:lang w:val="fr-CA"/>
        </w:rPr>
        <w:t>e </w:t>
      </w:r>
      <w:r w:rsidRPr="00080FA4">
        <w:rPr>
          <w:rFonts w:cs="Times New Roman"/>
          <w:lang w:val="fr-CA"/>
        </w:rPr>
        <w:t>Salomon pour obtenir des conseils sur sa situation délicate en tant que bénéficiaire des fruits et des revenus de la Fiducie — lesquels sont censés pourvoir à ses besoins financiers — et en tant que fiduciaire — tenue à l’obligation de préserver le capital de la Fiducie pour les enfants</w:t>
      </w:r>
      <w:r w:rsidRPr="00080FA4">
        <w:rPr>
          <w:rFonts w:cs="Times New Roman"/>
          <w:szCs w:val="24"/>
          <w:lang w:val="fr-CA"/>
        </w:rPr>
        <w:t>.</w:t>
      </w:r>
      <w:r w:rsidRPr="00080FA4">
        <w:rPr>
          <w:rFonts w:cs="Times New Roman"/>
          <w:lang w:val="fr-CA"/>
        </w:rPr>
        <w:t xml:space="preserve"> À l’époque,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agit à plusieurs titres, car (1) elle est l’exécutrice des testaments de M. Thompson, (2) elle agit comme fiduciaire, (3) elle est présidente et administratrice de 166 et (4) elle agit à titre personnel. C’est à ces nombreux titres qu’elle retient les services de M</w:t>
      </w:r>
      <w:r w:rsidRPr="00080FA4">
        <w:rPr>
          <w:rFonts w:cs="Times New Roman"/>
          <w:vertAlign w:val="superscript"/>
          <w:lang w:val="fr-CA"/>
        </w:rPr>
        <w:t>e</w:t>
      </w:r>
      <w:r w:rsidRPr="00080FA4">
        <w:rPr>
          <w:rFonts w:cs="Times New Roman"/>
          <w:lang w:val="fr-CA"/>
        </w:rPr>
        <w:t> Salomon, qui est très au fait de toute cette situation. En isolant la relation qui existe entre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et M</w:t>
      </w:r>
      <w:r w:rsidRPr="00080FA4">
        <w:rPr>
          <w:rFonts w:cs="Times New Roman"/>
          <w:vertAlign w:val="superscript"/>
          <w:lang w:val="fr-CA"/>
        </w:rPr>
        <w:t>e </w:t>
      </w:r>
      <w:r w:rsidRPr="00080FA4">
        <w:rPr>
          <w:rFonts w:cs="Times New Roman"/>
          <w:lang w:val="fr-CA"/>
        </w:rPr>
        <w:t>Salomon et celle qu’entretiennent 166 et M</w:t>
      </w:r>
      <w:r w:rsidRPr="00080FA4">
        <w:rPr>
          <w:rFonts w:cs="Times New Roman"/>
          <w:vertAlign w:val="superscript"/>
          <w:lang w:val="fr-CA"/>
        </w:rPr>
        <w:t>e</w:t>
      </w:r>
      <w:r w:rsidRPr="00080FA4">
        <w:rPr>
          <w:rFonts w:cs="Times New Roman"/>
          <w:lang w:val="fr-CA"/>
        </w:rPr>
        <w:t xml:space="preserve"> Salomon, la juge de première instance se trouve dans les faits à adopter une vision erronément étroite de l’ensemble de la preuve, approche qui justifie les critiques formulées par la Cour d’appel à l’égard de la vision compartimentée de ces relations adoptée par la juge de première instance.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À cet égard, la Cour d’appel mentionne à titre d’exemple que, à partir de 2003, M</w:t>
      </w:r>
      <w:r w:rsidRPr="00080FA4">
        <w:rPr>
          <w:rFonts w:cs="Times New Roman"/>
          <w:vertAlign w:val="superscript"/>
          <w:lang w:val="fr-CA"/>
        </w:rPr>
        <w:t>e</w:t>
      </w:r>
      <w:r w:rsidRPr="00080FA4">
        <w:rPr>
          <w:rFonts w:cs="Times New Roman"/>
          <w:lang w:val="fr-CA"/>
        </w:rPr>
        <w:t xml:space="preserve"> Salomon a facturé pratiquement tous </w:t>
      </w:r>
      <w:r w:rsidRPr="00080FA4">
        <w:rPr>
          <w:rFonts w:cs="Times New Roman"/>
          <w:lang w:val="fr-FR"/>
        </w:rPr>
        <w:t>ses services professionnels à 166</w:t>
      </w:r>
      <w:r w:rsidRPr="00080FA4">
        <w:rPr>
          <w:rFonts w:cs="Times New Roman"/>
          <w:lang w:val="fr-CA"/>
        </w:rPr>
        <w:t>, y compris pour avoir présenté M. Papadopoulos à M</w:t>
      </w:r>
      <w:r w:rsidRPr="00080FA4">
        <w:rPr>
          <w:rFonts w:cs="Times New Roman"/>
          <w:vertAlign w:val="superscript"/>
          <w:lang w:val="fr-CA"/>
        </w:rPr>
        <w:t>me </w:t>
      </w:r>
      <w:r w:rsidRPr="00080FA4">
        <w:rPr>
          <w:rFonts w:cs="Times New Roman"/>
          <w:lang w:val="fr-CA"/>
        </w:rPr>
        <w:t>Matte</w:t>
      </w:r>
      <w:r w:rsidRPr="00080FA4">
        <w:rPr>
          <w:rFonts w:cs="Times New Roman"/>
          <w:lang w:val="fr-CA"/>
        </w:rPr>
        <w:noBreakHyphen/>
        <w:t>Thompson, rédigé le premier courriel recommandant le fonds iVest et demandé à Triglobal des renseignements sur les placements. De plus, M</w:t>
      </w:r>
      <w:r w:rsidRPr="00080FA4">
        <w:rPr>
          <w:rFonts w:cs="Times New Roman"/>
          <w:vertAlign w:val="superscript"/>
          <w:lang w:val="fr-CA"/>
        </w:rPr>
        <w:t>e</w:t>
      </w:r>
      <w:r w:rsidRPr="00080FA4">
        <w:rPr>
          <w:rFonts w:cs="Times New Roman"/>
          <w:lang w:val="fr-CA"/>
        </w:rPr>
        <w:t xml:space="preserve"> Salomon a adressé à 166 ses </w:t>
      </w:r>
      <w:r w:rsidRPr="00080FA4">
        <w:rPr>
          <w:rFonts w:cs="Times New Roman"/>
          <w:lang w:val="fr-CA"/>
        </w:rPr>
        <w:lastRenderedPageBreak/>
        <w:t>mémorandums clés exposant les stratégies financières envisagées pour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et pour la Fiducie.</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Deuxièmement, la Cour d’appel ne commet pas d’erreur en concluant que M</w:t>
      </w:r>
      <w:r w:rsidRPr="00080FA4">
        <w:rPr>
          <w:rFonts w:cs="Times New Roman"/>
          <w:vertAlign w:val="superscript"/>
          <w:lang w:val="fr-CA"/>
        </w:rPr>
        <w:t>e</w:t>
      </w:r>
      <w:r w:rsidRPr="00080FA4">
        <w:rPr>
          <w:rFonts w:cs="Times New Roman"/>
          <w:lang w:val="fr-CA"/>
        </w:rPr>
        <w:t> Salomon a manqué à son devoir de conseil envers les intimées. Outre le fait que M</w:t>
      </w:r>
      <w:r w:rsidRPr="00080FA4">
        <w:rPr>
          <w:rFonts w:cs="Times New Roman"/>
          <w:vertAlign w:val="superscript"/>
          <w:lang w:val="fr-CA"/>
        </w:rPr>
        <w:t>e</w:t>
      </w:r>
      <w:r w:rsidRPr="00080FA4">
        <w:rPr>
          <w:rFonts w:cs="Times New Roman"/>
          <w:lang w:val="fr-CA"/>
        </w:rPr>
        <w:t> Salomon agit souvent aux confins de ses capacités professionnelles (quand il ne les dépasse pas), les conseils qu’il donne aux intimées sont fautifs pour les nombreuses raisons que résume la Cour d’appel (par. 69). Tout d’abord, M</w:t>
      </w:r>
      <w:r w:rsidRPr="00080FA4">
        <w:rPr>
          <w:rFonts w:cs="Times New Roman"/>
          <w:vertAlign w:val="superscript"/>
          <w:lang w:val="fr-CA"/>
        </w:rPr>
        <w:t>e</w:t>
      </w:r>
      <w:r w:rsidRPr="00080FA4">
        <w:rPr>
          <w:rFonts w:cs="Times New Roman"/>
          <w:lang w:val="fr-CA"/>
        </w:rPr>
        <w:t xml:space="preserve"> Salomon n’aurait pas dû recommander un placement non diversifié dans des </w:t>
      </w:r>
      <w:r w:rsidRPr="00080FA4">
        <w:rPr>
          <w:rFonts w:cs="Times New Roman"/>
          <w:lang w:val="fr-FR"/>
        </w:rPr>
        <w:t>fonds spéculatifs extraterritoriaux</w:t>
      </w:r>
      <w:r w:rsidRPr="00080FA4">
        <w:rPr>
          <w:rFonts w:cs="Times New Roman"/>
          <w:lang w:val="fr-CA"/>
        </w:rPr>
        <w:t xml:space="preserve"> à des clients dont l’objectif principal est la préservation de leur capital. À cet égard, la juge de première instance déclare elle</w:t>
      </w:r>
      <w:r w:rsidRPr="00080FA4">
        <w:rPr>
          <w:rFonts w:cs="Times New Roman"/>
          <w:lang w:val="fr-CA"/>
        </w:rPr>
        <w:noBreakHyphen/>
        <w:t>même que M</w:t>
      </w:r>
      <w:r w:rsidRPr="00080FA4">
        <w:rPr>
          <w:rFonts w:cs="Times New Roman"/>
          <w:vertAlign w:val="superscript"/>
          <w:lang w:val="fr-CA"/>
        </w:rPr>
        <w:t>e</w:t>
      </w:r>
      <w:r w:rsidRPr="00080FA4">
        <w:rPr>
          <w:rFonts w:cs="Times New Roman"/>
          <w:lang w:val="fr-CA"/>
        </w:rPr>
        <w:t> Salomon [</w:t>
      </w:r>
      <w:r w:rsidRPr="00080FA4">
        <w:rPr>
          <w:rFonts w:cs="Times New Roman"/>
          <w:smallCaps/>
          <w:lang w:val="fr-CA"/>
        </w:rPr>
        <w:t>traduction</w:t>
      </w:r>
      <w:r w:rsidRPr="00080FA4">
        <w:rPr>
          <w:rFonts w:cs="Times New Roman"/>
          <w:lang w:val="fr-CA"/>
        </w:rPr>
        <w:t>] « savait que, pour qu’elles respectent les droits et les intérêts légaux de tous les bénéficiaires des fiducies ainsi que les conditions des testaments, les décisions en matière de placements devaient respecter l’exigence relative à la préservation du capital » (par. 172 (note en bas de page omise)). Pourtant, suivant le témoignage non contredit des experts, les fonds spéculatifs extraterritoriaux (tels iVest et Focus) ne sont pas des véhicules de placement qui offrent la sécurité du capital.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Maître Salomon manque aussi à son devoir de conseil en recommandant continuellement des produits financiers sans faire preuve d’aucune forme de diligence appropriée au sujet de ces produits ou poser quelque question que ce soit à leur égard. La juge du procès souligne que, avant de recommander d’investir dans iVest, M</w:t>
      </w:r>
      <w:r w:rsidRPr="00080FA4">
        <w:rPr>
          <w:rFonts w:cs="Times New Roman"/>
          <w:vertAlign w:val="superscript"/>
          <w:lang w:val="fr-CA"/>
        </w:rPr>
        <w:t>e</w:t>
      </w:r>
      <w:r w:rsidRPr="00080FA4">
        <w:rPr>
          <w:rFonts w:cs="Times New Roman"/>
          <w:lang w:val="fr-CA"/>
        </w:rPr>
        <w:t> Salomon s’est simplement [</w:t>
      </w:r>
      <w:r w:rsidRPr="00080FA4">
        <w:rPr>
          <w:rFonts w:cs="Times New Roman"/>
          <w:smallCaps/>
          <w:lang w:val="fr-CA"/>
        </w:rPr>
        <w:t>traduction</w:t>
      </w:r>
      <w:r w:rsidRPr="00080FA4">
        <w:rPr>
          <w:rFonts w:cs="Times New Roman"/>
          <w:lang w:val="fr-CA"/>
        </w:rPr>
        <w:t xml:space="preserve">] « fié à l’avis de [M.] Papadopoulos, estimant que ça lui convenait » (par. 188 (note en bas de page omise)). Maître Salomon omet de vérifier la nature ou les conditions et modalités des produits financiers </w:t>
      </w:r>
      <w:r w:rsidRPr="00080FA4">
        <w:rPr>
          <w:rFonts w:cs="Times New Roman"/>
          <w:lang w:val="fr-CA"/>
        </w:rPr>
        <w:lastRenderedPageBreak/>
        <w:t>recommandés. S’il s’était renseigné, il aurait appris qu’iVest et Focus n’étaient pas inscrits auprès de l’Autorité des marchés financiers (« AMF »). En fait, ni M. Papadopoulos ni Triglobal n’étaient inscrits auprès de l’AMF en tant que conseillers ou courtiers en valeurs mobilières conformément à la législation québécoise en la matière. Comme l’indique à juste titre la Cour d’appel, cette faute d’omission de la part de M</w:t>
      </w:r>
      <w:r w:rsidRPr="00080FA4">
        <w:rPr>
          <w:rFonts w:cs="Times New Roman"/>
          <w:vertAlign w:val="superscript"/>
          <w:lang w:val="fr-CA"/>
        </w:rPr>
        <w:t>e</w:t>
      </w:r>
      <w:r w:rsidRPr="00080FA4">
        <w:rPr>
          <w:rFonts w:cs="Times New Roman"/>
          <w:lang w:val="fr-CA"/>
        </w:rPr>
        <w:t> Salomon a un caractère continu, car il est intervenu à plusieurs reprises au fil des ans pour rassurer les intimées avant l’effondrement de Triglobal en 2007, sans jamais procéder à quelque recherche appropriée.</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Troisièmement, la Cour d’appel ne fait pas erreur en jugeant que les fautes commises par M</w:t>
      </w:r>
      <w:r w:rsidRPr="00080FA4">
        <w:rPr>
          <w:rFonts w:cs="Times New Roman"/>
          <w:vertAlign w:val="superscript"/>
          <w:lang w:val="fr-CA"/>
        </w:rPr>
        <w:t>e</w:t>
      </w:r>
      <w:r w:rsidRPr="00080FA4">
        <w:rPr>
          <w:rFonts w:cs="Times New Roman"/>
          <w:lang w:val="fr-CA"/>
        </w:rPr>
        <w:t> Salomon envers les intimées ont commencé en 2003 et se sont poursuivies jusqu’en 2007. Sur la seule foi de sa confiance aveugle en M. Papadopoulos, M</w:t>
      </w:r>
      <w:r w:rsidRPr="00080FA4">
        <w:rPr>
          <w:rFonts w:cs="Times New Roman"/>
          <w:vertAlign w:val="superscript"/>
          <w:lang w:val="fr-CA"/>
        </w:rPr>
        <w:t>e</w:t>
      </w:r>
      <w:r w:rsidRPr="00080FA4">
        <w:rPr>
          <w:rFonts w:cs="Times New Roman"/>
          <w:lang w:val="fr-CA"/>
        </w:rPr>
        <w:t> Salomon a incité ses clientes à croire erronément qu’elles pouvaient investir en toute sécurité dans iVest et dans Focus. De 2003 à 2007, il rassure de façon répétée les intimées quant au fait que leurs placements auprès de Triglobal garantissent la sécurité de leur capital. À cet égard, la Cour d’appel relève les commentaires suivants formulés par M</w:t>
      </w:r>
      <w:r w:rsidRPr="00080FA4">
        <w:rPr>
          <w:rFonts w:cs="Times New Roman"/>
          <w:vertAlign w:val="superscript"/>
          <w:lang w:val="fr-CA"/>
        </w:rPr>
        <w:t>e </w:t>
      </w:r>
      <w:r w:rsidRPr="00080FA4">
        <w:rPr>
          <w:rFonts w:cs="Times New Roman"/>
          <w:lang w:val="fr-CA"/>
        </w:rPr>
        <w:t>Salomon :</w:t>
      </w:r>
    </w:p>
    <w:p w:rsidR="0041746D" w:rsidRPr="00080FA4" w:rsidRDefault="008052D0" w:rsidP="008052D0">
      <w:pPr>
        <w:pStyle w:val="Citation-AltC"/>
        <w:numPr>
          <w:ilvl w:val="0"/>
          <w:numId w:val="22"/>
        </w:numPr>
        <w:spacing w:after="480" w:line="360" w:lineRule="auto"/>
        <w:ind w:left="900" w:hanging="900"/>
        <w:contextualSpacing w:val="0"/>
        <w:rPr>
          <w:lang w:val="fr-CA"/>
        </w:rPr>
      </w:pPr>
      <w:r>
        <w:rPr>
          <w:lang w:val="fr-CA"/>
        </w:rPr>
        <w:t xml:space="preserve">en août 2003, il déclare </w:t>
      </w:r>
      <w:r w:rsidR="0041746D" w:rsidRPr="00080FA4">
        <w:rPr>
          <w:lang w:val="fr-CA"/>
        </w:rPr>
        <w:t>[</w:t>
      </w:r>
      <w:r w:rsidR="0041746D" w:rsidRPr="00080FA4">
        <w:rPr>
          <w:smallCaps/>
          <w:lang w:val="fr-CA"/>
        </w:rPr>
        <w:t>traduction</w:t>
      </w:r>
      <w:r w:rsidR="0041746D" w:rsidRPr="00080FA4">
        <w:rPr>
          <w:lang w:val="fr-CA"/>
        </w:rPr>
        <w:t>] « </w:t>
      </w:r>
      <w:r w:rsidR="007054A6">
        <w:rPr>
          <w:lang w:val="fr-CA"/>
        </w:rPr>
        <w:t>[qu’]</w:t>
      </w:r>
      <w:r w:rsidR="0041746D" w:rsidRPr="00080FA4">
        <w:rPr>
          <w:lang w:val="fr-CA"/>
        </w:rPr>
        <w:t>iVest est un excellent véhicule de placement dans les cas où la sécurité du capital est une considération importante (comme c’est le cas pour vos petits</w:t>
      </w:r>
      <w:r w:rsidR="0041746D" w:rsidRPr="00080FA4">
        <w:rPr>
          <w:lang w:val="fr-CA"/>
        </w:rPr>
        <w:noBreakHyphen/>
        <w:t>enfants et pour vous) » (par. 52 (soulignement omis); d.a., vol. 3, p. 352);</w:t>
      </w:r>
    </w:p>
    <w:p w:rsidR="0041746D" w:rsidRPr="00080FA4" w:rsidRDefault="0041746D" w:rsidP="008052D0">
      <w:pPr>
        <w:pStyle w:val="Citation-AltC"/>
        <w:numPr>
          <w:ilvl w:val="0"/>
          <w:numId w:val="22"/>
        </w:numPr>
        <w:spacing w:after="480" w:line="360" w:lineRule="auto"/>
        <w:ind w:left="900" w:hanging="900"/>
        <w:contextualSpacing w:val="0"/>
        <w:rPr>
          <w:lang w:val="fr-CA"/>
        </w:rPr>
      </w:pPr>
      <w:r w:rsidRPr="00080FA4">
        <w:rPr>
          <w:lang w:val="fr-CA"/>
        </w:rPr>
        <w:t>en septembre 2003, il suggère aux intimées [</w:t>
      </w:r>
      <w:r w:rsidRPr="00080FA4">
        <w:rPr>
          <w:smallCaps/>
          <w:lang w:val="fr-CA"/>
        </w:rPr>
        <w:t>traduction</w:t>
      </w:r>
      <w:r w:rsidRPr="00080FA4">
        <w:rPr>
          <w:lang w:val="fr-CA"/>
        </w:rPr>
        <w:t>] « d’investir les actifs de la succession suivant une stratégie conservatrice, peut</w:t>
      </w:r>
      <w:r w:rsidRPr="00080FA4">
        <w:rPr>
          <w:lang w:val="fr-CA"/>
        </w:rPr>
        <w:noBreakHyphen/>
        <w:t xml:space="preserve">être en utilisant des produits iVest et une combinaison de produits distincts (pour une </w:t>
      </w:r>
      <w:r w:rsidRPr="00080FA4">
        <w:rPr>
          <w:lang w:val="fr-CA"/>
        </w:rPr>
        <w:lastRenderedPageBreak/>
        <w:t>sécurité absolue du capital) » (par. 59 (soulignement omis); d.a., vol. 6, p. 1828);</w:t>
      </w:r>
    </w:p>
    <w:p w:rsidR="0041746D" w:rsidRPr="00080FA4" w:rsidRDefault="0041746D" w:rsidP="008052D0">
      <w:pPr>
        <w:pStyle w:val="Citation-AltC"/>
        <w:numPr>
          <w:ilvl w:val="0"/>
          <w:numId w:val="22"/>
        </w:numPr>
        <w:spacing w:after="480" w:line="360" w:lineRule="auto"/>
        <w:ind w:left="900" w:hanging="900"/>
        <w:contextualSpacing w:val="0"/>
        <w:rPr>
          <w:lang w:val="fr-CA"/>
        </w:rPr>
      </w:pPr>
      <w:r w:rsidRPr="00080FA4">
        <w:rPr>
          <w:lang w:val="fr-CA"/>
        </w:rPr>
        <w:t>au cours du mois suivant, il ajoute : [</w:t>
      </w:r>
      <w:r w:rsidRPr="00080FA4">
        <w:rPr>
          <w:smallCaps/>
          <w:lang w:val="fr-CA"/>
        </w:rPr>
        <w:t>traduction</w:t>
      </w:r>
      <w:r w:rsidR="008052D0">
        <w:rPr>
          <w:lang w:val="fr-CA"/>
        </w:rPr>
        <w:t>] « Je tiens à signaler que [M.</w:t>
      </w:r>
      <w:r w:rsidRPr="00080FA4">
        <w:rPr>
          <w:lang w:val="fr-CA"/>
        </w:rPr>
        <w:t xml:space="preserve"> Papadopoulos</w:t>
      </w:r>
      <w:r w:rsidR="008052D0">
        <w:rPr>
          <w:lang w:val="fr-CA"/>
        </w:rPr>
        <w:t>]</w:t>
      </w:r>
      <w:r w:rsidRPr="00080FA4">
        <w:rPr>
          <w:lang w:val="fr-CA"/>
        </w:rPr>
        <w:t xml:space="preserve"> est très conservateur lorsqu’il s’agit de préservation du capital » (par. 62; d.a., vol. 3, p. 393);</w:t>
      </w:r>
    </w:p>
    <w:p w:rsidR="0041746D" w:rsidRPr="00080FA4" w:rsidRDefault="0041746D" w:rsidP="008052D0">
      <w:pPr>
        <w:pStyle w:val="Citation-AltC"/>
        <w:numPr>
          <w:ilvl w:val="0"/>
          <w:numId w:val="22"/>
        </w:numPr>
        <w:spacing w:after="480" w:line="360" w:lineRule="auto"/>
        <w:ind w:left="900" w:hanging="900"/>
        <w:contextualSpacing w:val="0"/>
        <w:rPr>
          <w:lang w:val="fr-CA"/>
        </w:rPr>
      </w:pPr>
      <w:r w:rsidRPr="00080FA4">
        <w:rPr>
          <w:lang w:val="fr-CA"/>
        </w:rPr>
        <w:t>en juillet 2004, il déclare que [</w:t>
      </w:r>
      <w:r w:rsidRPr="00080FA4">
        <w:rPr>
          <w:smallCaps/>
          <w:lang w:val="fr-CA"/>
        </w:rPr>
        <w:t>traduction</w:t>
      </w:r>
      <w:r w:rsidRPr="00080FA4">
        <w:rPr>
          <w:lang w:val="fr-CA"/>
        </w:rPr>
        <w:t>] « la proposition de la RBC est quelque peu unidimensionnelle et tributaire des taux d’intérêt. La proposition de Triglobal est moins risquée et les rendements sont bons. Il faut se parler » (par. 123 (soulignement omis); d.a., vol. 3, p. 566);</w:t>
      </w:r>
    </w:p>
    <w:p w:rsidR="0041746D" w:rsidRPr="00080FA4" w:rsidRDefault="0041746D" w:rsidP="008052D0">
      <w:pPr>
        <w:pStyle w:val="Citation-AltC"/>
        <w:numPr>
          <w:ilvl w:val="0"/>
          <w:numId w:val="22"/>
        </w:numPr>
        <w:spacing w:after="480" w:line="360" w:lineRule="auto"/>
        <w:ind w:left="900" w:hanging="900"/>
        <w:contextualSpacing w:val="0"/>
        <w:rPr>
          <w:lang w:val="fr-CA"/>
        </w:rPr>
      </w:pPr>
      <w:r w:rsidRPr="00080FA4">
        <w:rPr>
          <w:lang w:val="fr-CA"/>
        </w:rPr>
        <w:t>en juin 2005, il déclare, au sujet des fonds iVest et Manulife : [</w:t>
      </w:r>
      <w:r w:rsidRPr="00080FA4">
        <w:rPr>
          <w:smallCaps/>
          <w:lang w:val="fr-CA"/>
        </w:rPr>
        <w:t>traduction</w:t>
      </w:r>
      <w:r w:rsidRPr="00080FA4">
        <w:rPr>
          <w:lang w:val="fr-CA"/>
        </w:rPr>
        <w:t>] « Je crois que les deux types de placement sont excellents et très conservateurs, et je n’aurais aucune hésitation à vous recommander l’un ou l’autre, à vous et à votre cofiduciaire [. . .] (en tant que fiduciaires agissant de façon responsable) » (par. 125; d.a., vol. 4, p. 657);</w:t>
      </w:r>
    </w:p>
    <w:p w:rsidR="0041746D" w:rsidRPr="00080FA4" w:rsidRDefault="0041746D" w:rsidP="008052D0">
      <w:pPr>
        <w:pStyle w:val="Citation-AltC"/>
        <w:numPr>
          <w:ilvl w:val="0"/>
          <w:numId w:val="22"/>
        </w:numPr>
        <w:spacing w:after="480" w:line="360" w:lineRule="auto"/>
        <w:ind w:left="900" w:hanging="900"/>
        <w:contextualSpacing w:val="0"/>
        <w:rPr>
          <w:lang w:val="fr-CA"/>
        </w:rPr>
      </w:pPr>
      <w:r w:rsidRPr="00080FA4">
        <w:rPr>
          <w:lang w:val="fr-CA"/>
        </w:rPr>
        <w:t>en avril 2006, il répond aux préoccupations formulées par M</w:t>
      </w:r>
      <w:r w:rsidRPr="00080FA4">
        <w:rPr>
          <w:vertAlign w:val="superscript"/>
          <w:lang w:val="fr-CA"/>
        </w:rPr>
        <w:t>me</w:t>
      </w:r>
      <w:r w:rsidRPr="00080FA4">
        <w:rPr>
          <w:lang w:val="fr-CA"/>
        </w:rPr>
        <w:t> Matte</w:t>
      </w:r>
      <w:r w:rsidRPr="00080FA4">
        <w:rPr>
          <w:lang w:val="fr-CA"/>
        </w:rPr>
        <w:noBreakHyphen/>
        <w:t>Thompson quant à la sécurité des placements des intimées (y compris dans Focus), en disant qu’il était [</w:t>
      </w:r>
      <w:r w:rsidRPr="00080FA4">
        <w:rPr>
          <w:smallCaps/>
          <w:lang w:val="fr-CA"/>
        </w:rPr>
        <w:t>traduction</w:t>
      </w:r>
      <w:r w:rsidRPr="00080FA4">
        <w:rPr>
          <w:lang w:val="fr-CA"/>
        </w:rPr>
        <w:t>] « certain que tout [allait] bien » (par. 78 (</w:t>
      </w:r>
      <w:r w:rsidR="008052D0">
        <w:rPr>
          <w:lang w:val="fr-CA"/>
        </w:rPr>
        <w:t>italique</w:t>
      </w:r>
      <w:r w:rsidRPr="00080FA4">
        <w:rPr>
          <w:lang w:val="fr-CA"/>
        </w:rPr>
        <w:t xml:space="preserve"> omis); d.a., vol. 4, p. 935);</w:t>
      </w:r>
    </w:p>
    <w:p w:rsidR="0041746D" w:rsidRPr="00080FA4" w:rsidRDefault="0041746D" w:rsidP="008052D0">
      <w:pPr>
        <w:pStyle w:val="Citation-AltC"/>
        <w:numPr>
          <w:ilvl w:val="0"/>
          <w:numId w:val="22"/>
        </w:numPr>
        <w:spacing w:after="480" w:line="360" w:lineRule="auto"/>
        <w:ind w:left="900" w:hanging="900"/>
        <w:contextualSpacing w:val="0"/>
        <w:rPr>
          <w:lang w:val="fr-CA"/>
        </w:rPr>
      </w:pPr>
      <w:r w:rsidRPr="00080FA4">
        <w:rPr>
          <w:lang w:val="fr-CA"/>
        </w:rPr>
        <w:t>en novembre 2006, il déclare, informant M</w:t>
      </w:r>
      <w:r w:rsidRPr="00080FA4">
        <w:rPr>
          <w:vertAlign w:val="superscript"/>
          <w:lang w:val="fr-CA"/>
        </w:rPr>
        <w:t>me </w:t>
      </w:r>
      <w:r w:rsidRPr="00080FA4">
        <w:rPr>
          <w:lang w:val="fr-CA"/>
        </w:rPr>
        <w:t>Matte</w:t>
      </w:r>
      <w:r w:rsidRPr="00080FA4">
        <w:rPr>
          <w:lang w:val="fr-CA"/>
        </w:rPr>
        <w:noBreakHyphen/>
        <w:t>Thompson qu’il avait visité M. Bright à Nassau, que ce dernier [</w:t>
      </w:r>
      <w:r w:rsidRPr="00080FA4">
        <w:rPr>
          <w:smallCaps/>
          <w:lang w:val="fr-CA"/>
        </w:rPr>
        <w:t>traduction</w:t>
      </w:r>
      <w:r w:rsidRPr="00080FA4">
        <w:rPr>
          <w:lang w:val="fr-CA"/>
        </w:rPr>
        <w:t>] « est devenu résident de cet endroit afin de gérer le</w:t>
      </w:r>
      <w:r w:rsidR="008052D0">
        <w:rPr>
          <w:lang w:val="fr-CA"/>
        </w:rPr>
        <w:t>s</w:t>
      </w:r>
      <w:r w:rsidRPr="00080FA4">
        <w:rPr>
          <w:lang w:val="fr-CA"/>
        </w:rPr>
        <w:t xml:space="preserve"> fonds Focus</w:t>
      </w:r>
      <w:r w:rsidR="008052D0">
        <w:rPr>
          <w:lang w:val="fr-CA"/>
        </w:rPr>
        <w:t xml:space="preserve"> et Ivest et d</w:t>
      </w:r>
      <w:r w:rsidRPr="00080FA4">
        <w:rPr>
          <w:lang w:val="fr-CA"/>
        </w:rPr>
        <w:t>es fonds de produits structurés », et conclut en disant « [t]out va bien » (par. 130</w:t>
      </w:r>
      <w:r w:rsidR="008052D0">
        <w:rPr>
          <w:lang w:val="fr-CA"/>
        </w:rPr>
        <w:t xml:space="preserve"> (italique omis)</w:t>
      </w:r>
      <w:r w:rsidRPr="00080FA4">
        <w:rPr>
          <w:lang w:val="fr-CA"/>
        </w:rPr>
        <w:t>; d.a., vol. 5, p. 1248);</w:t>
      </w:r>
    </w:p>
    <w:p w:rsidR="0041746D" w:rsidRPr="00080FA4" w:rsidRDefault="0041746D" w:rsidP="008052D0">
      <w:pPr>
        <w:pStyle w:val="Citation-AltC"/>
        <w:numPr>
          <w:ilvl w:val="0"/>
          <w:numId w:val="22"/>
        </w:numPr>
        <w:spacing w:after="480" w:line="360" w:lineRule="auto"/>
        <w:ind w:left="900" w:hanging="900"/>
        <w:contextualSpacing w:val="0"/>
        <w:rPr>
          <w:lang w:val="fr-CA"/>
        </w:rPr>
      </w:pPr>
      <w:r w:rsidRPr="00080FA4">
        <w:rPr>
          <w:lang w:val="fr-CA"/>
        </w:rPr>
        <w:t>en juillet 2007, il affirme ceci : [</w:t>
      </w:r>
      <w:r w:rsidRPr="00080FA4">
        <w:rPr>
          <w:smallCaps/>
          <w:lang w:val="fr-CA"/>
        </w:rPr>
        <w:t>traduction</w:t>
      </w:r>
      <w:r w:rsidRPr="00080FA4">
        <w:rPr>
          <w:lang w:val="fr-CA"/>
        </w:rPr>
        <w:t xml:space="preserve">] « [l]es rendements de Triglobal demeurent excellents et je continue d’être très heureux que mes placements </w:t>
      </w:r>
      <w:r w:rsidR="008052D0">
        <w:rPr>
          <w:lang w:val="fr-CA"/>
        </w:rPr>
        <w:lastRenderedPageBreak/>
        <w:t xml:space="preserve">aient un aussi bon rendement avec un risque </w:t>
      </w:r>
      <w:r w:rsidRPr="00080FA4">
        <w:rPr>
          <w:lang w:val="fr-CA"/>
        </w:rPr>
        <w:t>aussi contrôlé » (par. 133; d.a., vol. 6, p. 1603);</w:t>
      </w:r>
    </w:p>
    <w:p w:rsidR="0041746D" w:rsidRPr="00080FA4" w:rsidRDefault="0041746D" w:rsidP="008052D0">
      <w:pPr>
        <w:pStyle w:val="Citation-AltC"/>
        <w:numPr>
          <w:ilvl w:val="0"/>
          <w:numId w:val="22"/>
        </w:numPr>
        <w:spacing w:after="480" w:line="360" w:lineRule="auto"/>
        <w:ind w:left="900" w:hanging="900"/>
        <w:contextualSpacing w:val="0"/>
        <w:rPr>
          <w:lang w:val="fr-CA"/>
        </w:rPr>
      </w:pPr>
      <w:r w:rsidRPr="00080FA4">
        <w:rPr>
          <w:lang w:val="fr-CA"/>
        </w:rPr>
        <w:t>en septembre 2007, il ajoute ce qui suit : [</w:t>
      </w:r>
      <w:r w:rsidRPr="00080FA4">
        <w:rPr>
          <w:smallCaps/>
          <w:lang w:val="fr-CA"/>
        </w:rPr>
        <w:t>traduction</w:t>
      </w:r>
      <w:r w:rsidRPr="00080FA4">
        <w:rPr>
          <w:lang w:val="fr-CA"/>
        </w:rPr>
        <w:t>] « Je pense que les deux fonds (iVest et Focus) se comportent comme prévu » (par. 134</w:t>
      </w:r>
      <w:r w:rsidR="00B85F07">
        <w:rPr>
          <w:lang w:val="fr-CA"/>
        </w:rPr>
        <w:t xml:space="preserve"> (italique omis)</w:t>
      </w:r>
      <w:r w:rsidRPr="00080FA4">
        <w:rPr>
          <w:lang w:val="fr-CA"/>
        </w:rPr>
        <w:t>; d.a., vol. 6, p. 1660);</w:t>
      </w:r>
    </w:p>
    <w:p w:rsidR="0041746D" w:rsidRPr="00080FA4" w:rsidRDefault="0041746D" w:rsidP="008052D0">
      <w:pPr>
        <w:pStyle w:val="Citation-AltC"/>
        <w:numPr>
          <w:ilvl w:val="0"/>
          <w:numId w:val="22"/>
        </w:numPr>
        <w:spacing w:after="480" w:line="360" w:lineRule="auto"/>
        <w:ind w:left="900" w:hanging="900"/>
        <w:contextualSpacing w:val="0"/>
        <w:rPr>
          <w:lang w:val="fr-CA"/>
        </w:rPr>
      </w:pPr>
      <w:r w:rsidRPr="00080FA4">
        <w:rPr>
          <w:lang w:val="fr-CA"/>
        </w:rPr>
        <w:t>en décembre 2007, il dit, commentant les dernières promesses de M. Papadopoulos aux investisseurs inquiets : [</w:t>
      </w:r>
      <w:r w:rsidRPr="00080FA4">
        <w:rPr>
          <w:smallCaps/>
          <w:lang w:val="fr-CA"/>
        </w:rPr>
        <w:t>traduction</w:t>
      </w:r>
      <w:r w:rsidRPr="00080FA4">
        <w:rPr>
          <w:lang w:val="fr-CA"/>
        </w:rPr>
        <w:t>] « Pour votre information. De bonnes nouvelles » (par. 138</w:t>
      </w:r>
      <w:r w:rsidR="00C81D6C">
        <w:rPr>
          <w:lang w:val="fr-CA"/>
        </w:rPr>
        <w:t xml:space="preserve"> (italique omis)</w:t>
      </w:r>
      <w:r w:rsidRPr="00080FA4">
        <w:rPr>
          <w:lang w:val="fr-CA"/>
        </w:rPr>
        <w:t>; d.a., vol. 6, p. 1690).</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Vu ce qui précède, la Cour d’appel disposait de solides assises pour conclure que la juge de première instance a erronément affirmé que M</w:t>
      </w:r>
      <w:r w:rsidRPr="00080FA4">
        <w:rPr>
          <w:rFonts w:cs="Times New Roman"/>
          <w:vertAlign w:val="superscript"/>
          <w:lang w:val="fr-CA"/>
        </w:rPr>
        <w:t>e</w:t>
      </w:r>
      <w:r w:rsidRPr="00080FA4">
        <w:rPr>
          <w:rFonts w:cs="Times New Roman"/>
          <w:lang w:val="fr-CA"/>
        </w:rPr>
        <w:t> Salomon avait uniquement commis une faute envers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personnellement et uniquement en 2003. Appréciée adéquatement dans son ensemble, comme l’a fait la Cour d’appel, la preuve révèle que les conseils et assurances donnés par M</w:t>
      </w:r>
      <w:r w:rsidRPr="00080FA4">
        <w:rPr>
          <w:rFonts w:cs="Times New Roman"/>
          <w:vertAlign w:val="superscript"/>
          <w:lang w:val="fr-CA"/>
        </w:rPr>
        <w:t>e</w:t>
      </w:r>
      <w:r w:rsidRPr="00080FA4">
        <w:rPr>
          <w:rFonts w:cs="Times New Roman"/>
          <w:lang w:val="fr-CA"/>
        </w:rPr>
        <w:t> Salomon entre 2003 et 2007 s’inscrivent dans un seul et même continuum, et qu’il est artificiel de les compartimenter. Indépendamment de l’étendue de son mandat initial, M</w:t>
      </w:r>
      <w:r w:rsidRPr="00080FA4">
        <w:rPr>
          <w:rFonts w:cs="Times New Roman"/>
          <w:vertAlign w:val="superscript"/>
          <w:lang w:val="fr-CA"/>
        </w:rPr>
        <w:t>e</w:t>
      </w:r>
      <w:r w:rsidRPr="00080FA4">
        <w:rPr>
          <w:rFonts w:cs="Times New Roman"/>
          <w:lang w:val="fr-CA"/>
        </w:rPr>
        <w:t> Salomon a volontairement choisi de donner (et ce contre rémunération) ses conseils et ses assurances aux intimées pendant la période de quatre ans qui s’est soldée par l’effondrement de Triglobal. Ayant fait ce choix, il ne peut se dérober à sa responsabilité en invoquant la portée étroite de son mandat initial.</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Dans ses interactions avec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M</w:t>
      </w:r>
      <w:r w:rsidRPr="00080FA4">
        <w:rPr>
          <w:rFonts w:cs="Times New Roman"/>
          <w:vertAlign w:val="superscript"/>
          <w:lang w:val="fr-CA"/>
        </w:rPr>
        <w:t>e</w:t>
      </w:r>
      <w:r w:rsidRPr="00080FA4">
        <w:rPr>
          <w:rFonts w:cs="Times New Roman"/>
          <w:lang w:val="fr-CA"/>
        </w:rPr>
        <w:t xml:space="preserve"> Salomon lui prodiguait des conseils sur tous les patrimoines qu’elle administrait. Il n’a jamais fait de distinction entre les intimées, et a souvent donné des conseils à toutes les deux dans les mêmes courriels et mémorandums qui étaient adressés à 166. Comme le souligne la </w:t>
      </w:r>
      <w:r w:rsidRPr="00080FA4">
        <w:rPr>
          <w:rFonts w:cs="Times New Roman"/>
          <w:lang w:val="fr-CA"/>
        </w:rPr>
        <w:lastRenderedPageBreak/>
        <w:t>Cour d’appel, les mentions que M</w:t>
      </w:r>
      <w:r w:rsidRPr="00080FA4">
        <w:rPr>
          <w:rFonts w:cs="Times New Roman"/>
          <w:vertAlign w:val="superscript"/>
          <w:lang w:val="fr-CA"/>
        </w:rPr>
        <w:t>e</w:t>
      </w:r>
      <w:r w:rsidRPr="00080FA4">
        <w:rPr>
          <w:rFonts w:cs="Times New Roman"/>
          <w:lang w:val="fr-CA"/>
        </w:rPr>
        <w:t> Salomon a faites en 2003 relativement aux fiducies, aux Sociétés et à la préservation du capital — élément qu’il savait être crucial pour la Fiducie — montrent que ses recommandations dépassaient les intérêts personnels de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Il convient de garder à l’esprit que la conciliation des nombreux rôles qu’elle jouait est la raison même pour laquelle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a commencé à consulter M</w:t>
      </w:r>
      <w:r w:rsidRPr="00080FA4">
        <w:rPr>
          <w:rFonts w:cs="Times New Roman"/>
          <w:vertAlign w:val="superscript"/>
          <w:lang w:val="fr-CA"/>
        </w:rPr>
        <w:t>e </w:t>
      </w:r>
      <w:r w:rsidRPr="00080FA4">
        <w:rPr>
          <w:rFonts w:cs="Times New Roman"/>
          <w:lang w:val="fr-CA"/>
        </w:rPr>
        <w:t>Salomon en 2003.</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À l’instar de la Cour d’appel, j’estime qu’il ressort d’un examen adéquat de l’ensemble de la preuve que, pendant toute la période de 2003 à 2007, M</w:t>
      </w:r>
      <w:r w:rsidRPr="00080FA4">
        <w:rPr>
          <w:rFonts w:cs="Times New Roman"/>
          <w:vertAlign w:val="superscript"/>
          <w:lang w:val="fr-CA"/>
        </w:rPr>
        <w:t>e</w:t>
      </w:r>
      <w:r w:rsidRPr="00080FA4">
        <w:rPr>
          <w:rFonts w:cs="Times New Roman"/>
          <w:lang w:val="fr-CA"/>
        </w:rPr>
        <w:t> Salomon agissait pour les deux intimées lorsqu’il fournissait des renseignements et des conseils financiers. Ses commentaires sur la nature et la qualité des placements chez Triglobal concernaient tant la stratégie financière de 166 que celle de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Lorsqu’on considère la situation sous cet angle, il importe peu que les actifs de 166 n’avaient pas encore été vendus en 2003, étant donné que M</w:t>
      </w:r>
      <w:r w:rsidRPr="00080FA4">
        <w:rPr>
          <w:rFonts w:cs="Times New Roman"/>
          <w:vertAlign w:val="superscript"/>
          <w:lang w:val="fr-CA"/>
        </w:rPr>
        <w:t>e</w:t>
      </w:r>
      <w:r w:rsidRPr="00080FA4">
        <w:rPr>
          <w:rFonts w:cs="Times New Roman"/>
          <w:lang w:val="fr-CA"/>
        </w:rPr>
        <w:t> Salomon n’a jamais modifié sa position relativement à Triglobal et à ses produits. En outre, il n’a jamais fait de distinction entre ses recommandations et assurances au sujet des placements personnels de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et celles au sujet des placements ultérieurs de 166. Même la juge de première instance refuse d’ajouter foi à l’affirmation de M</w:t>
      </w:r>
      <w:r w:rsidRPr="00080FA4">
        <w:rPr>
          <w:rFonts w:cs="Times New Roman"/>
          <w:vertAlign w:val="superscript"/>
          <w:lang w:val="fr-CA"/>
        </w:rPr>
        <w:t>e</w:t>
      </w:r>
      <w:r w:rsidRPr="00080FA4">
        <w:rPr>
          <w:rFonts w:cs="Times New Roman"/>
          <w:lang w:val="fr-CA"/>
        </w:rPr>
        <w:t> Salomon [</w:t>
      </w:r>
      <w:r w:rsidRPr="00080FA4">
        <w:rPr>
          <w:rFonts w:cs="Times New Roman"/>
          <w:smallCaps/>
          <w:lang w:val="fr-CA"/>
        </w:rPr>
        <w:t>traduction</w:t>
      </w:r>
      <w:r w:rsidRPr="00080FA4">
        <w:rPr>
          <w:rFonts w:cs="Times New Roman"/>
          <w:lang w:val="fr-CA"/>
        </w:rPr>
        <w:t>] « qu’il n’avait absolument rien à voir avec la décision de 166376 d’investir et qu’il n’en savait rien » (par. 220). En fait, M</w:t>
      </w:r>
      <w:r w:rsidRPr="00080FA4">
        <w:rPr>
          <w:rFonts w:cs="Times New Roman"/>
          <w:vertAlign w:val="superscript"/>
          <w:lang w:val="fr-CA"/>
        </w:rPr>
        <w:t>e </w:t>
      </w:r>
      <w:r w:rsidRPr="00080FA4">
        <w:rPr>
          <w:rFonts w:cs="Times New Roman"/>
          <w:lang w:val="fr-CA"/>
        </w:rPr>
        <w:t>Salomon a notamment formulé des observations au sujet de l’opportunité d’investir le produit de la vente des actifs de 166 dans iVest et il a participé avec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et M. Papadopoulos à des réunions où il a été question de la stratégie d’investissement du produit de la vente. Il convient de noter, comme le fait la Cour d’appel, que M</w:t>
      </w:r>
      <w:r w:rsidRPr="00080FA4">
        <w:rPr>
          <w:rFonts w:cs="Times New Roman"/>
          <w:vertAlign w:val="superscript"/>
          <w:lang w:val="fr-CA"/>
        </w:rPr>
        <w:t>e</w:t>
      </w:r>
      <w:r w:rsidRPr="00080FA4">
        <w:rPr>
          <w:rFonts w:cs="Times New Roman"/>
          <w:lang w:val="fr-CA"/>
        </w:rPr>
        <w:t xml:space="preserve"> Salomon </w:t>
      </w:r>
      <w:r w:rsidRPr="00080FA4">
        <w:rPr>
          <w:rFonts w:cs="Times New Roman"/>
          <w:lang w:val="fr-CA"/>
        </w:rPr>
        <w:lastRenderedPageBreak/>
        <w:t>lui</w:t>
      </w:r>
      <w:r w:rsidRPr="00080FA4">
        <w:rPr>
          <w:rFonts w:cs="Times New Roman"/>
          <w:lang w:val="fr-CA"/>
        </w:rPr>
        <w:noBreakHyphen/>
        <w:t>même considérait le fonds Focus comme</w:t>
      </w:r>
      <w:r w:rsidR="000A5748">
        <w:rPr>
          <w:rFonts w:cs="Times New Roman"/>
          <w:lang w:val="fr-CA"/>
        </w:rPr>
        <w:t xml:space="preserve"> [</w:t>
      </w:r>
      <w:r w:rsidR="000A5748" w:rsidRPr="000A5748">
        <w:rPr>
          <w:rFonts w:cs="Times New Roman"/>
          <w:smallCaps/>
          <w:lang w:val="fr-CA"/>
        </w:rPr>
        <w:t>traduction</w:t>
      </w:r>
      <w:r w:rsidR="000A5748">
        <w:rPr>
          <w:rFonts w:cs="Times New Roman"/>
          <w:lang w:val="fr-CA"/>
        </w:rPr>
        <w:t>]</w:t>
      </w:r>
      <w:r w:rsidRPr="00080FA4">
        <w:rPr>
          <w:rFonts w:cs="Times New Roman"/>
          <w:lang w:val="fr-CA"/>
        </w:rPr>
        <w:t xml:space="preserve"> « moins risqué » que le fonds iVest (par. 131</w:t>
      </w:r>
      <w:r w:rsidR="00681C38">
        <w:rPr>
          <w:rFonts w:cs="Times New Roman"/>
          <w:lang w:val="fr-CA"/>
        </w:rPr>
        <w:t xml:space="preserve"> (soulignement omis)</w:t>
      </w:r>
      <w:r w:rsidRPr="00080FA4">
        <w:rPr>
          <w:rFonts w:cs="Times New Roman"/>
          <w:lang w:val="fr-CA"/>
        </w:rPr>
        <w:t xml:space="preserve">, citant d.a., vol. 6, p. 1553).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En somme, la Cour d’appel fournit de solides justifications et explications au soutien de sa conclusion que ce n’est pas seulement la recommandation initiale d’iVest à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qui est fautive, mais que les manquements de M</w:t>
      </w:r>
      <w:r w:rsidRPr="00080FA4">
        <w:rPr>
          <w:rFonts w:cs="Times New Roman"/>
          <w:vertAlign w:val="superscript"/>
          <w:lang w:val="fr-CA"/>
        </w:rPr>
        <w:t>e </w:t>
      </w:r>
      <w:r w:rsidRPr="00080FA4">
        <w:rPr>
          <w:rFonts w:cs="Times New Roman"/>
          <w:lang w:val="fr-CA"/>
        </w:rPr>
        <w:t>Salomon à son devoir de conseil concernent aussi 166 et que ceux</w:t>
      </w:r>
      <w:r w:rsidRPr="00080FA4">
        <w:rPr>
          <w:rFonts w:cs="Times New Roman"/>
          <w:lang w:val="fr-CA"/>
        </w:rPr>
        <w:noBreakHyphen/>
        <w:t xml:space="preserve">ci se sont poursuivis jusqu’à l’effondrement de Triglobal en 2007. Rien ne justifie notre Cour d’intervenir et de modifier ce jugement de la première juridiction d’appel sur ce point. </w:t>
      </w:r>
    </w:p>
    <w:p w:rsidR="0041746D" w:rsidRPr="00080FA4" w:rsidRDefault="0041746D" w:rsidP="00681C38">
      <w:pPr>
        <w:pStyle w:val="Title3LevelTitre3Niveau"/>
        <w:numPr>
          <w:ilvl w:val="3"/>
          <w:numId w:val="19"/>
        </w:numPr>
        <w:ind w:left="1170" w:hanging="630"/>
        <w:rPr>
          <w:rFonts w:cs="Times New Roman"/>
          <w:lang w:val="fr-CA"/>
        </w:rPr>
      </w:pPr>
      <w:r w:rsidRPr="00080FA4">
        <w:rPr>
          <w:rFonts w:cs="Times New Roman"/>
          <w:lang w:val="fr-CA"/>
        </w:rPr>
        <w:t>Le devoir de loyauté de M</w:t>
      </w:r>
      <w:r w:rsidRPr="00080FA4">
        <w:rPr>
          <w:rFonts w:cs="Times New Roman"/>
          <w:vertAlign w:val="superscript"/>
          <w:lang w:val="fr-CA"/>
        </w:rPr>
        <w:t>e</w:t>
      </w:r>
      <w:r w:rsidRPr="00080FA4">
        <w:rPr>
          <w:rFonts w:cs="Times New Roman"/>
          <w:lang w:val="fr-CA"/>
        </w:rPr>
        <w:t xml:space="preserve"> Salomon</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La Cour d’appel conclut, de plus, que les relations personnelles et financières qu’entretenait M</w:t>
      </w:r>
      <w:r w:rsidRPr="00080FA4">
        <w:rPr>
          <w:rFonts w:cs="Times New Roman"/>
          <w:vertAlign w:val="superscript"/>
          <w:lang w:val="fr-CA"/>
        </w:rPr>
        <w:t>e</w:t>
      </w:r>
      <w:r w:rsidRPr="00080FA4">
        <w:rPr>
          <w:rFonts w:cs="Times New Roman"/>
          <w:lang w:val="fr-CA"/>
        </w:rPr>
        <w:t> Salomon avec M. Papadopoulos l’ont mis dans une situation de conflit d’intérêts, qui constitue une faute additionnelle commise par M</w:t>
      </w:r>
      <w:r w:rsidRPr="00080FA4">
        <w:rPr>
          <w:rFonts w:cs="Times New Roman"/>
          <w:vertAlign w:val="superscript"/>
          <w:lang w:val="fr-CA"/>
        </w:rPr>
        <w:t>e</w:t>
      </w:r>
      <w:r w:rsidRPr="00080FA4">
        <w:rPr>
          <w:rFonts w:cs="Times New Roman"/>
          <w:lang w:val="fr-CA"/>
        </w:rPr>
        <w:t> Salomon à l’endroit des intimées. La juge de première instance a conclu qu’il n’y avait pas de conflit d’intérêts. À cet égard, non seulement la preuve établit que M. Papadopoulos était un ami proche de M</w:t>
      </w:r>
      <w:r w:rsidRPr="00080FA4">
        <w:rPr>
          <w:rFonts w:cs="Times New Roman"/>
          <w:vertAlign w:val="superscript"/>
          <w:lang w:val="fr-CA"/>
        </w:rPr>
        <w:t>e</w:t>
      </w:r>
      <w:r w:rsidRPr="00080FA4">
        <w:rPr>
          <w:rFonts w:cs="Times New Roman"/>
          <w:lang w:val="fr-CA"/>
        </w:rPr>
        <w:t> Salomon et son conseiller financier personnel, mais plus particulièrement que, à l’insu des intimées, M</w:t>
      </w:r>
      <w:r w:rsidRPr="00080FA4">
        <w:rPr>
          <w:rFonts w:cs="Times New Roman"/>
          <w:vertAlign w:val="superscript"/>
          <w:lang w:val="fr-CA"/>
        </w:rPr>
        <w:t>e</w:t>
      </w:r>
      <w:r w:rsidRPr="00080FA4">
        <w:rPr>
          <w:rFonts w:cs="Times New Roman"/>
          <w:lang w:val="fr-CA"/>
        </w:rPr>
        <w:t> Salomon a reçu de M. Papadopoulos des sommes totalisant 38 000 $ en 2006 et en 2007 tout en continuant à rassurer les intimées au sujet de leurs placements chez Triglobal.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Sur ce point, la juge de première instance statue que [</w:t>
      </w:r>
      <w:r w:rsidRPr="00080FA4">
        <w:rPr>
          <w:rFonts w:cs="Times New Roman"/>
          <w:smallCaps/>
          <w:lang w:val="fr-CA"/>
        </w:rPr>
        <w:t>traduction</w:t>
      </w:r>
      <w:r w:rsidRPr="00080FA4">
        <w:rPr>
          <w:rFonts w:cs="Times New Roman"/>
          <w:lang w:val="fr-CA"/>
        </w:rPr>
        <w:t>] « [l]e fait que [M</w:t>
      </w:r>
      <w:r w:rsidRPr="00080FA4">
        <w:rPr>
          <w:rFonts w:cs="Times New Roman"/>
          <w:vertAlign w:val="superscript"/>
          <w:lang w:val="fr-CA"/>
        </w:rPr>
        <w:t>e</w:t>
      </w:r>
      <w:r w:rsidRPr="00080FA4">
        <w:rPr>
          <w:rFonts w:cs="Times New Roman"/>
          <w:lang w:val="fr-CA"/>
        </w:rPr>
        <w:t>] Salomon avait certains placements personnels chez Triglobal ne l’empêchait pas de recommander à ses client</w:t>
      </w:r>
      <w:r>
        <w:rPr>
          <w:rFonts w:cs="Times New Roman"/>
          <w:lang w:val="fr-CA"/>
        </w:rPr>
        <w:t>e</w:t>
      </w:r>
      <w:r w:rsidRPr="00080FA4">
        <w:rPr>
          <w:rFonts w:cs="Times New Roman"/>
          <w:lang w:val="fr-CA"/>
        </w:rPr>
        <w:t>s un conseiller financier dont il était satisfait », étant donné que les client</w:t>
      </w:r>
      <w:r>
        <w:rPr>
          <w:rFonts w:cs="Times New Roman"/>
          <w:lang w:val="fr-CA"/>
        </w:rPr>
        <w:t>e</w:t>
      </w:r>
      <w:r w:rsidRPr="00080FA4">
        <w:rPr>
          <w:rFonts w:cs="Times New Roman"/>
          <w:lang w:val="fr-CA"/>
        </w:rPr>
        <w:t xml:space="preserve">s étaient au courant de ces placements (par. 142). </w:t>
      </w:r>
      <w:r w:rsidRPr="00080FA4">
        <w:rPr>
          <w:rFonts w:cs="Times New Roman"/>
          <w:lang w:val="fr-CA"/>
        </w:rPr>
        <w:lastRenderedPageBreak/>
        <w:t>Toutefois, cette affirmation de portée particulièrement étroite néglige le fait que M</w:t>
      </w:r>
      <w:r w:rsidRPr="00080FA4">
        <w:rPr>
          <w:rFonts w:cs="Times New Roman"/>
          <w:vertAlign w:val="superscript"/>
          <w:lang w:val="fr-CA"/>
        </w:rPr>
        <w:t>e</w:t>
      </w:r>
      <w:r w:rsidRPr="00080FA4">
        <w:rPr>
          <w:rFonts w:cs="Times New Roman"/>
          <w:lang w:val="fr-CA"/>
        </w:rPr>
        <w:t> Salomon a fait bien davantage que d’aiguiller ses client</w:t>
      </w:r>
      <w:r>
        <w:rPr>
          <w:rFonts w:cs="Times New Roman"/>
          <w:lang w:val="fr-CA"/>
        </w:rPr>
        <w:t>e</w:t>
      </w:r>
      <w:r w:rsidRPr="00080FA4">
        <w:rPr>
          <w:rFonts w:cs="Times New Roman"/>
          <w:lang w:val="fr-CA"/>
        </w:rPr>
        <w:t>s.</w:t>
      </w:r>
      <w:r w:rsidR="00551F83">
        <w:rPr>
          <w:rFonts w:cs="Times New Roman"/>
          <w:lang w:val="fr-CA"/>
        </w:rPr>
        <w:t xml:space="preserve"> Comme le note la Cour d’appel,</w:t>
      </w:r>
      <w:r w:rsidRPr="00080FA4">
        <w:rPr>
          <w:rFonts w:cs="Times New Roman"/>
          <w:lang w:val="fr-CA"/>
        </w:rPr>
        <w:t xml:space="preserve"> « M</w:t>
      </w:r>
      <w:r w:rsidRPr="00080FA4">
        <w:rPr>
          <w:rFonts w:cs="Times New Roman"/>
          <w:vertAlign w:val="superscript"/>
          <w:lang w:val="fr-CA"/>
        </w:rPr>
        <w:t>e </w:t>
      </w:r>
      <w:r w:rsidRPr="00080FA4">
        <w:rPr>
          <w:rFonts w:cs="Times New Roman"/>
          <w:lang w:val="fr-CA"/>
        </w:rPr>
        <w:t xml:space="preserve">Salomon s’est placé en situation de conflit d’intérêts en ne limitant pas son intervention auprès des [intimées] à une simple recommandation de Triglobal, de son représentant </w:t>
      </w:r>
      <w:r>
        <w:rPr>
          <w:rFonts w:cs="Times New Roman"/>
          <w:lang w:val="fr-CA"/>
        </w:rPr>
        <w:t xml:space="preserve">[M.] </w:t>
      </w:r>
      <w:r w:rsidRPr="00080FA4">
        <w:rPr>
          <w:rFonts w:cs="Times New Roman"/>
          <w:lang w:val="fr-CA"/>
        </w:rPr>
        <w:t>Papadopoulos et des produits qu’ils offraient » (par. 98).</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La juge du procès accepte aussi les explications données par M</w:t>
      </w:r>
      <w:r w:rsidRPr="00080FA4">
        <w:rPr>
          <w:rFonts w:cs="Times New Roman"/>
          <w:vertAlign w:val="superscript"/>
          <w:lang w:val="fr-CA"/>
        </w:rPr>
        <w:t>e </w:t>
      </w:r>
      <w:r w:rsidRPr="00080FA4">
        <w:rPr>
          <w:rFonts w:cs="Times New Roman"/>
          <w:lang w:val="fr-CA"/>
        </w:rPr>
        <w:t>Salomon au sujet des divers paiements qu’il a reçus de M. Papadopoulos par l’intermédiaire de 430, notamment que ces paiements représentaient (1) des « cadeaux » pour la rénovation de son appartement; (2) une somme additionnelle pour le paiement des impôts sur ces « cadeaux »; et (3) le montant du remboursement de son propre placement dans Focus. Elle conclut qu’aucune preuve ne démontrait que ces paiements constituaient des commissions versées pour avoir aiguillé des clients vers Triglobal ou que M</w:t>
      </w:r>
      <w:r w:rsidRPr="00080FA4">
        <w:rPr>
          <w:rFonts w:cs="Times New Roman"/>
          <w:vertAlign w:val="superscript"/>
          <w:lang w:val="fr-CA"/>
        </w:rPr>
        <w:t>e</w:t>
      </w:r>
      <w:r w:rsidRPr="00080FA4">
        <w:rPr>
          <w:rFonts w:cs="Times New Roman"/>
          <w:lang w:val="fr-CA"/>
        </w:rPr>
        <w:t> Salomon a reçu de telles commissions en 2003 ou en 2006 lorsque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 xml:space="preserve">Thompson et 166, respectivement, ont effectué leurs premiers placements. Pour cette raison, </w:t>
      </w:r>
      <w:r>
        <w:rPr>
          <w:rFonts w:cs="Times New Roman"/>
          <w:lang w:val="fr-CA"/>
        </w:rPr>
        <w:t>elle affirme qu’</w:t>
      </w:r>
      <w:r w:rsidRPr="00080FA4">
        <w:rPr>
          <w:rFonts w:cs="Times New Roman"/>
          <w:lang w:val="fr-CA"/>
        </w:rPr>
        <w:t>il lui est impossible de conclure que ces circonstances avaient placé M</w:t>
      </w:r>
      <w:r w:rsidRPr="00080FA4">
        <w:rPr>
          <w:rFonts w:cs="Times New Roman"/>
          <w:vertAlign w:val="superscript"/>
          <w:lang w:val="fr-CA"/>
        </w:rPr>
        <w:t>e</w:t>
      </w:r>
      <w:r w:rsidRPr="00080FA4">
        <w:rPr>
          <w:rFonts w:cs="Times New Roman"/>
          <w:lang w:val="fr-CA"/>
        </w:rPr>
        <w:t xml:space="preserve"> Salomon dans une situation de conflit d’intérêts.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Sur cette question, la Cour d’appel exprime l’opinion que la juge de première instance a adopté une approche indûment restrictive dans son analyse des principes relatifs aux conflits d’intérêts. La cour estime que la juge a fait erreur en concluant qu’une concomitance parfaite entre les paiements et l’aiguillage ou une [</w:t>
      </w:r>
      <w:r w:rsidRPr="00080FA4">
        <w:rPr>
          <w:rFonts w:cs="Times New Roman"/>
          <w:smallCaps/>
          <w:lang w:val="fr-CA"/>
        </w:rPr>
        <w:t>traduction</w:t>
      </w:r>
      <w:r w:rsidRPr="00080FA4">
        <w:rPr>
          <w:rFonts w:cs="Times New Roman"/>
          <w:lang w:val="fr-CA"/>
        </w:rPr>
        <w:t xml:space="preserve">] « preuve précise » que les paiements étaient effectivement des commissions (motifs de première instance, par. 155) est nécessaire pour qu’il soit possible de conclure à l’existence d’un tel conflit d’intérêts. Cette interprétation </w:t>
      </w:r>
      <w:r w:rsidRPr="00080FA4">
        <w:rPr>
          <w:rFonts w:cs="Times New Roman"/>
          <w:lang w:val="fr-CA"/>
        </w:rPr>
        <w:lastRenderedPageBreak/>
        <w:t>indûment restrictive entache toute son analyse relative au manquement de M</w:t>
      </w:r>
      <w:r w:rsidRPr="00080FA4">
        <w:rPr>
          <w:rFonts w:cs="Times New Roman"/>
          <w:vertAlign w:val="superscript"/>
          <w:lang w:val="fr-CA"/>
        </w:rPr>
        <w:t>e</w:t>
      </w:r>
      <w:r w:rsidRPr="00080FA4">
        <w:rPr>
          <w:rFonts w:cs="Times New Roman"/>
          <w:lang w:val="fr-CA"/>
        </w:rPr>
        <w:t> Salomon à son devoir de loyauté envers les intimées.</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 xml:space="preserve">Ainsi que le signale à juste titre la Cour d’appel, la juge de première instance n’a ni commenté ni expliqué certains autres facteurs qui confirment la nature très </w:t>
      </w:r>
      <w:r w:rsidRPr="00080FA4">
        <w:rPr>
          <w:rFonts w:cs="Times New Roman"/>
          <w:lang w:val="fr-FR"/>
        </w:rPr>
        <w:t>étroite des liens qui existaient entre M</w:t>
      </w:r>
      <w:r w:rsidRPr="00080FA4">
        <w:rPr>
          <w:rFonts w:cs="Times New Roman"/>
          <w:vertAlign w:val="superscript"/>
          <w:lang w:val="fr-FR"/>
        </w:rPr>
        <w:t>e</w:t>
      </w:r>
      <w:r w:rsidRPr="00080FA4">
        <w:rPr>
          <w:rFonts w:cs="Times New Roman"/>
          <w:lang w:val="fr-FR"/>
        </w:rPr>
        <w:t> Salomon et M. </w:t>
      </w:r>
      <w:r w:rsidRPr="00080FA4">
        <w:rPr>
          <w:rFonts w:cs="Times New Roman"/>
          <w:lang w:val="fr-CA"/>
        </w:rPr>
        <w:t>Papadopoulos</w:t>
      </w:r>
      <w:r w:rsidRPr="00080FA4">
        <w:rPr>
          <w:rFonts w:cs="Times New Roman"/>
          <w:lang w:val="fr-FR"/>
        </w:rPr>
        <w:t xml:space="preserve"> et qui ne peuvent être passés sous silence dans l’appréciation des paiements </w:t>
      </w:r>
      <w:r w:rsidRPr="00080FA4">
        <w:rPr>
          <w:rFonts w:cs="Times New Roman"/>
          <w:lang w:val="fr-CA"/>
        </w:rPr>
        <w:t>reçus par M</w:t>
      </w:r>
      <w:r w:rsidRPr="00080FA4">
        <w:rPr>
          <w:rFonts w:cs="Times New Roman"/>
          <w:vertAlign w:val="superscript"/>
          <w:lang w:val="fr-CA"/>
        </w:rPr>
        <w:t>e</w:t>
      </w:r>
      <w:r w:rsidRPr="00080FA4">
        <w:rPr>
          <w:rFonts w:cs="Times New Roman"/>
          <w:lang w:val="fr-CA"/>
        </w:rPr>
        <w:t> Salomon en 2006 et en 2007. Il ressort d’un examen adéquat de l’ensemble de la preuve que ces liens très étroits ont eu une incidence sur l’objectivité de M</w:t>
      </w:r>
      <w:r w:rsidRPr="00080FA4">
        <w:rPr>
          <w:rFonts w:cs="Times New Roman"/>
          <w:vertAlign w:val="superscript"/>
          <w:lang w:val="fr-CA"/>
        </w:rPr>
        <w:t>e</w:t>
      </w:r>
      <w:r w:rsidRPr="00080FA4">
        <w:rPr>
          <w:rFonts w:cs="Times New Roman"/>
          <w:lang w:val="fr-CA"/>
        </w:rPr>
        <w:t> Salomon lorsqu’il conseillait les intimées. Ce manquement de M</w:t>
      </w:r>
      <w:r w:rsidRPr="00080FA4">
        <w:rPr>
          <w:rFonts w:cs="Times New Roman"/>
          <w:vertAlign w:val="superscript"/>
          <w:lang w:val="fr-CA"/>
        </w:rPr>
        <w:t>e</w:t>
      </w:r>
      <w:r w:rsidRPr="00080FA4">
        <w:rPr>
          <w:rFonts w:cs="Times New Roman"/>
          <w:lang w:val="fr-CA"/>
        </w:rPr>
        <w:t> Salomon à son devoir de loyauté éclaire l’analyse du manquement à son devoir de conseil, en ce qu’il l’a en définitive amené à fermer les yeux sur une situation à l’égard de laquelle il aurait dû être plus attentif et vigilant.</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 xml:space="preserve">En tant que mandataires, les avocats sont tenus d’éviter </w:t>
      </w:r>
      <w:r w:rsidRPr="00080FA4">
        <w:rPr>
          <w:rFonts w:cs="Times New Roman"/>
          <w:lang w:val="fr-FR"/>
        </w:rPr>
        <w:t xml:space="preserve">de se placer dans une situation de conflit entre leurs intérêts personnels et les intérêts de leurs clients </w:t>
      </w:r>
      <w:r w:rsidRPr="00080FA4">
        <w:rPr>
          <w:rFonts w:cs="Times New Roman"/>
          <w:szCs w:val="24"/>
          <w:lang w:val="fr-CA"/>
        </w:rPr>
        <w:t>(art. 2138</w:t>
      </w:r>
      <w:r>
        <w:rPr>
          <w:rFonts w:cs="Times New Roman"/>
          <w:szCs w:val="24"/>
          <w:lang w:val="fr-CA"/>
        </w:rPr>
        <w:t xml:space="preserve"> al</w:t>
      </w:r>
      <w:r w:rsidRPr="00080FA4">
        <w:rPr>
          <w:rFonts w:cs="Times New Roman"/>
          <w:szCs w:val="24"/>
          <w:lang w:val="fr-CA"/>
        </w:rPr>
        <w:t xml:space="preserve">. 2 </w:t>
      </w:r>
      <w:r w:rsidRPr="00080FA4">
        <w:rPr>
          <w:rFonts w:cs="Times New Roman"/>
          <w:i/>
          <w:szCs w:val="24"/>
          <w:lang w:val="fr-CA"/>
        </w:rPr>
        <w:t>C.c.Q</w:t>
      </w:r>
      <w:r w:rsidRPr="00080FA4">
        <w:rPr>
          <w:rFonts w:cs="Times New Roman"/>
          <w:szCs w:val="24"/>
          <w:lang w:val="fr-CA"/>
        </w:rPr>
        <w:t>.).</w:t>
      </w:r>
      <w:r w:rsidRPr="00080FA4">
        <w:rPr>
          <w:rFonts w:cs="Times New Roman"/>
          <w:lang w:val="fr-CA"/>
        </w:rPr>
        <w:t xml:space="preserve"> </w:t>
      </w:r>
      <w:r w:rsidRPr="00080FA4">
        <w:rPr>
          <w:rFonts w:cs="Times New Roman"/>
          <w:lang w:val="fr-FR"/>
        </w:rPr>
        <w:t xml:space="preserve">L’obligation d’éviter les conflits d’intérêts est un des principaux aspects du </w:t>
      </w:r>
      <w:r w:rsidRPr="00080FA4">
        <w:rPr>
          <w:rFonts w:cs="Times New Roman"/>
          <w:szCs w:val="24"/>
          <w:lang w:val="fr-CA"/>
        </w:rPr>
        <w:t>devoir de loyauté des avocats envers leurs clients (</w:t>
      </w:r>
      <w:r w:rsidRPr="00080FA4">
        <w:rPr>
          <w:rFonts w:cs="Times New Roman"/>
          <w:i/>
          <w:lang w:val="fr-CA"/>
        </w:rPr>
        <w:t xml:space="preserve">Compagnie des chemins de fer nationaux du Canada </w:t>
      </w:r>
      <w:r w:rsidRPr="00080FA4">
        <w:rPr>
          <w:rFonts w:cs="Times New Roman"/>
          <w:i/>
          <w:iCs/>
          <w:lang w:val="fr-CA"/>
        </w:rPr>
        <w:t>c.</w:t>
      </w:r>
      <w:r w:rsidRPr="00080FA4">
        <w:rPr>
          <w:rFonts w:cs="Times New Roman"/>
          <w:i/>
          <w:lang w:val="fr-CA"/>
        </w:rPr>
        <w:t xml:space="preserve"> McKercher LLP</w:t>
      </w:r>
      <w:r w:rsidRPr="00080FA4">
        <w:rPr>
          <w:rFonts w:cs="Times New Roman"/>
          <w:lang w:val="fr-CA"/>
        </w:rPr>
        <w:t>, 2013 CSC 39, [2013] 2 R.C.S. 649</w:t>
      </w:r>
      <w:r w:rsidRPr="00080FA4">
        <w:rPr>
          <w:rFonts w:cs="Times New Roman"/>
          <w:szCs w:val="24"/>
          <w:lang w:val="fr-CA"/>
        </w:rPr>
        <w:t xml:space="preserve">, par. 19, citant </w:t>
      </w:r>
      <w:r w:rsidRPr="00080FA4">
        <w:rPr>
          <w:rFonts w:cs="Times New Roman"/>
          <w:i/>
          <w:szCs w:val="24"/>
          <w:lang w:val="fr-CA"/>
        </w:rPr>
        <w:t>R. c. Neil</w:t>
      </w:r>
      <w:r w:rsidRPr="00080FA4">
        <w:rPr>
          <w:rFonts w:cs="Times New Roman"/>
          <w:szCs w:val="24"/>
          <w:lang w:val="fr-CA"/>
        </w:rPr>
        <w:t>, 2002 CSC 70, [2002] 3 R.C.S. 631, par. 19; voir aussi motifs de la C.A., par. 94). Conjugué au devoir de dévouement de l’avocat à la cause de son client, le devoir d’éviter les conflits d’intérêts vise à assurer qu’</w:t>
      </w:r>
      <w:r w:rsidRPr="00080FA4">
        <w:rPr>
          <w:rFonts w:cs="Times New Roman"/>
          <w:lang w:val="fr-FR"/>
        </w:rPr>
        <w:t>« </w:t>
      </w:r>
      <w:r w:rsidRPr="00080FA4">
        <w:rPr>
          <w:rFonts w:cs="Times New Roman"/>
          <w:szCs w:val="24"/>
          <w:lang w:val="fr-CA"/>
        </w:rPr>
        <w:t xml:space="preserve">une situation de loyauté[s] partagée[s] </w:t>
      </w:r>
      <w:r w:rsidRPr="00080FA4">
        <w:rPr>
          <w:rFonts w:cs="Times New Roman"/>
          <w:lang w:val="fr-FR"/>
        </w:rPr>
        <w:t xml:space="preserve">n’incite pas l’avocat à “mettre une sourdine” à la [représentation] de son client par souci [de] ménager [d’autres intérêts] » </w:t>
      </w:r>
      <w:r w:rsidRPr="00080FA4">
        <w:rPr>
          <w:rFonts w:cs="Times New Roman"/>
          <w:szCs w:val="24"/>
          <w:lang w:val="fr-CA"/>
        </w:rPr>
        <w:t>(</w:t>
      </w:r>
      <w:r w:rsidRPr="00080FA4">
        <w:rPr>
          <w:rFonts w:cs="Times New Roman"/>
          <w:i/>
          <w:szCs w:val="24"/>
          <w:lang w:val="fr-CA"/>
        </w:rPr>
        <w:t>McKercher</w:t>
      </w:r>
      <w:r w:rsidRPr="00080FA4">
        <w:rPr>
          <w:rFonts w:cs="Times New Roman"/>
          <w:szCs w:val="24"/>
          <w:lang w:val="fr-CA"/>
        </w:rPr>
        <w:t xml:space="preserve">, par. 43, </w:t>
      </w:r>
      <w:r w:rsidRPr="00080FA4">
        <w:rPr>
          <w:rFonts w:cs="Times New Roman"/>
          <w:lang w:val="fr-FR"/>
        </w:rPr>
        <w:t xml:space="preserve">citant l’arrêt </w:t>
      </w:r>
      <w:r w:rsidRPr="00080FA4">
        <w:rPr>
          <w:rFonts w:cs="Times New Roman"/>
          <w:i/>
          <w:iCs/>
          <w:lang w:val="fr-FR"/>
        </w:rPr>
        <w:t>Neil</w:t>
      </w:r>
      <w:r w:rsidRPr="00080FA4">
        <w:rPr>
          <w:rFonts w:cs="Times New Roman"/>
          <w:lang w:val="fr-FR"/>
        </w:rPr>
        <w:t xml:space="preserve">, par. 19). De même, le </w:t>
      </w:r>
      <w:r w:rsidRPr="00080FA4">
        <w:rPr>
          <w:rFonts w:cs="Times New Roman"/>
          <w:szCs w:val="24"/>
          <w:lang w:val="fr-CA"/>
        </w:rPr>
        <w:t xml:space="preserve">devoir de loyauté protège </w:t>
      </w:r>
      <w:r w:rsidRPr="00080FA4">
        <w:rPr>
          <w:rFonts w:cs="Times New Roman"/>
          <w:szCs w:val="24"/>
          <w:lang w:val="fr-CA"/>
        </w:rPr>
        <w:lastRenderedPageBreak/>
        <w:t>l’accomplissement du devoir de conseil que les avocats doivent à leurs clients contre l’effet d’influences inappropriées.</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Il est vrai que les liens d’amitié qu’entretenait M</w:t>
      </w:r>
      <w:r w:rsidRPr="00080FA4">
        <w:rPr>
          <w:rFonts w:cs="Times New Roman"/>
          <w:vertAlign w:val="superscript"/>
          <w:lang w:val="fr-CA"/>
        </w:rPr>
        <w:t>e</w:t>
      </w:r>
      <w:r w:rsidRPr="00080FA4">
        <w:rPr>
          <w:rFonts w:cs="Times New Roman"/>
          <w:lang w:val="fr-CA"/>
        </w:rPr>
        <w:t> Salomon avec M. Papadopoulos ont été divulgués à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La divulgation de ce fait n’autorisait toutefois pas M</w:t>
      </w:r>
      <w:r w:rsidRPr="00080FA4">
        <w:rPr>
          <w:rFonts w:cs="Times New Roman"/>
          <w:vertAlign w:val="superscript"/>
          <w:lang w:val="fr-CA"/>
        </w:rPr>
        <w:t>e </w:t>
      </w:r>
      <w:r w:rsidRPr="00080FA4">
        <w:rPr>
          <w:rFonts w:cs="Times New Roman"/>
          <w:lang w:val="fr-CA"/>
        </w:rPr>
        <w:t>Salomon à se dérober à son devoir de conseiller adéquatement les intimées. Là encore, la Cour d’appel disposait de solides assises lui permettant de conclure que, selon le dossier, la relation qu’entretenait M</w:t>
      </w:r>
      <w:r w:rsidRPr="00080FA4">
        <w:rPr>
          <w:rFonts w:cs="Times New Roman"/>
          <w:vertAlign w:val="superscript"/>
          <w:lang w:val="fr-CA"/>
        </w:rPr>
        <w:t>e </w:t>
      </w:r>
      <w:r w:rsidRPr="00080FA4">
        <w:rPr>
          <w:rFonts w:cs="Times New Roman"/>
          <w:lang w:val="fr-CA"/>
        </w:rPr>
        <w:t>Salomon avec M. Papadopoulos avait amené le premier à négliger son devoir professionnel de conseil envers les intimées. Outre les propos aveuglément favorables à Triglobal formulés par M</w:t>
      </w:r>
      <w:r w:rsidRPr="00080FA4">
        <w:rPr>
          <w:rFonts w:cs="Times New Roman"/>
          <w:vertAlign w:val="superscript"/>
          <w:lang w:val="fr-CA"/>
        </w:rPr>
        <w:t>e</w:t>
      </w:r>
      <w:r w:rsidRPr="00080FA4">
        <w:rPr>
          <w:rFonts w:cs="Times New Roman"/>
          <w:lang w:val="fr-CA"/>
        </w:rPr>
        <w:t> Salomon sans faire preuve de diligence appropriée, deux situations indiquent clairement que les loyautés partagées de M</w:t>
      </w:r>
      <w:r w:rsidRPr="00080FA4">
        <w:rPr>
          <w:rFonts w:cs="Times New Roman"/>
          <w:vertAlign w:val="superscript"/>
          <w:lang w:val="fr-CA"/>
        </w:rPr>
        <w:t>e</w:t>
      </w:r>
      <w:r w:rsidRPr="00080FA4">
        <w:rPr>
          <w:rFonts w:cs="Times New Roman"/>
          <w:lang w:val="fr-CA"/>
        </w:rPr>
        <w:t> Salomon l’ont amené à négliger les intérêts des intimées. Cependant, en raison de l’approche restrictive qu’elle applique à l’égard de l’analyse relative au conflit d’intérêts, la juge de première instance ne commente pas ces exemples éloquents des loyautés partagées de M</w:t>
      </w:r>
      <w:r w:rsidRPr="00080FA4">
        <w:rPr>
          <w:rFonts w:cs="Times New Roman"/>
          <w:vertAlign w:val="superscript"/>
          <w:lang w:val="fr-CA"/>
        </w:rPr>
        <w:t>e</w:t>
      </w:r>
      <w:r w:rsidRPr="00080FA4">
        <w:rPr>
          <w:rFonts w:cs="Times New Roman"/>
          <w:lang w:val="fr-CA"/>
        </w:rPr>
        <w:t> Salomon.</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La première de ces situations est que M</w:t>
      </w:r>
      <w:r w:rsidRPr="00080FA4">
        <w:rPr>
          <w:rFonts w:cs="Times New Roman"/>
          <w:vertAlign w:val="superscript"/>
          <w:lang w:val="fr-CA"/>
        </w:rPr>
        <w:t>e</w:t>
      </w:r>
      <w:r w:rsidRPr="00080FA4">
        <w:rPr>
          <w:rFonts w:cs="Times New Roman"/>
          <w:lang w:val="fr-CA"/>
        </w:rPr>
        <w:t xml:space="preserve"> Salomon a négligé son obligation de protéger la confidentialité de ses communications avec les intimées. Comme le déclare notre Cour dans l’arrêt </w:t>
      </w:r>
      <w:r w:rsidRPr="00080FA4">
        <w:rPr>
          <w:rFonts w:cs="Times New Roman"/>
          <w:i/>
          <w:lang w:val="fr-CA"/>
        </w:rPr>
        <w:t>McKercher</w:t>
      </w:r>
      <w:r w:rsidRPr="00080FA4">
        <w:rPr>
          <w:rFonts w:cs="Times New Roman"/>
          <w:lang w:val="fr-CA"/>
        </w:rPr>
        <w:t>, « [l]a prévention de l’utilisation à mauvais escient de renseignements confidentiels constitue la première considération importante visée par le devoir d’éviter les conflits d’intérêts. Ce devoir renforce le devoir de confidentialité de l’avocat — un devoir distinct — en prévenant les situations comportant un risque élevé de manquement à la confidentialité » (par. 24). En l’espèce, les liens étroits qu’entretenait M</w:t>
      </w:r>
      <w:r w:rsidRPr="00080FA4">
        <w:rPr>
          <w:rFonts w:cs="Times New Roman"/>
          <w:vertAlign w:val="superscript"/>
          <w:lang w:val="fr-CA"/>
        </w:rPr>
        <w:t>e</w:t>
      </w:r>
      <w:r w:rsidRPr="00080FA4">
        <w:rPr>
          <w:rFonts w:cs="Times New Roman"/>
          <w:lang w:val="fr-CA"/>
        </w:rPr>
        <w:t xml:space="preserve"> Salomon avec M. Papadopoulos ont favorisé le type précis de loyautés partagées susceptible d’accroître le risque de manquement à la </w:t>
      </w:r>
      <w:r w:rsidRPr="00080FA4">
        <w:rPr>
          <w:rFonts w:cs="Times New Roman"/>
          <w:lang w:val="fr-CA"/>
        </w:rPr>
        <w:lastRenderedPageBreak/>
        <w:t>confidentialité. De tels manquements se sont effectivement produits. M</w:t>
      </w:r>
      <w:r>
        <w:rPr>
          <w:rFonts w:cs="Times New Roman"/>
          <w:lang w:val="fr-CA"/>
        </w:rPr>
        <w:t xml:space="preserve">aître </w:t>
      </w:r>
      <w:r w:rsidRPr="00080FA4">
        <w:rPr>
          <w:rFonts w:cs="Times New Roman"/>
          <w:lang w:val="fr-CA"/>
        </w:rPr>
        <w:t>Salomon divulgue de façon répétée à M. Papadopoulos, sans l’autorisation de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des communications confidentielles reçues de cette dernière. Par exemple, il transmet à M. Papadopoulos le contenu de plusieurs courriels de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y compris certains dans lesquels celle</w:t>
      </w:r>
      <w:r w:rsidRPr="00080FA4">
        <w:rPr>
          <w:rFonts w:cs="Times New Roman"/>
          <w:lang w:val="fr-CA"/>
        </w:rPr>
        <w:noBreakHyphen/>
        <w:t xml:space="preserve">ci exprime des inquiétudes au sujet de la fiabilité de la société de placements, se demande s’il ne serait pas judicieux de retirer les placements et fait part de son intention d’intenter des procédures judiciaires.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La deuxième situation est celle où M</w:t>
      </w:r>
      <w:r w:rsidRPr="00080FA4">
        <w:rPr>
          <w:rFonts w:cs="Times New Roman"/>
          <w:vertAlign w:val="superscript"/>
          <w:lang w:val="fr-CA"/>
        </w:rPr>
        <w:t>e</w:t>
      </w:r>
      <w:r w:rsidRPr="00080FA4">
        <w:rPr>
          <w:rFonts w:cs="Times New Roman"/>
          <w:lang w:val="fr-CA"/>
        </w:rPr>
        <w:t> Salomon fait équipe avec M. Papadopoulos pour tenter de convaincre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de ne pas retirer les placements de</w:t>
      </w:r>
      <w:r w:rsidR="000A5748">
        <w:rPr>
          <w:rFonts w:cs="Times New Roman"/>
          <w:lang w:val="fr-CA"/>
        </w:rPr>
        <w:t xml:space="preserve">s intimées auprès de Triglobal. </w:t>
      </w:r>
      <w:r w:rsidRPr="00080FA4">
        <w:rPr>
          <w:rFonts w:cs="Times New Roman"/>
          <w:lang w:val="fr-CA"/>
        </w:rPr>
        <w:t>Dans des courriels adressés à M. Papadopoulos ou à son assistant, M</w:t>
      </w:r>
      <w:r w:rsidRPr="00080FA4">
        <w:rPr>
          <w:rFonts w:cs="Times New Roman"/>
          <w:vertAlign w:val="superscript"/>
          <w:lang w:val="fr-CA"/>
        </w:rPr>
        <w:t>e</w:t>
      </w:r>
      <w:r w:rsidRPr="00080FA4">
        <w:rPr>
          <w:rFonts w:cs="Times New Roman"/>
          <w:lang w:val="fr-CA"/>
        </w:rPr>
        <w:t> Salomon écrit ce qui suit :</w:t>
      </w:r>
    </w:p>
    <w:p w:rsidR="0041746D" w:rsidRPr="00080FA4" w:rsidRDefault="0041746D" w:rsidP="0041746D">
      <w:pPr>
        <w:pStyle w:val="Citation-AltC"/>
        <w:spacing w:after="240"/>
        <w:ind w:left="1168" w:hanging="1168"/>
        <w:contextualSpacing w:val="0"/>
        <w:rPr>
          <w:lang w:val="fr-CA"/>
        </w:rPr>
      </w:pPr>
      <w:r w:rsidRPr="00080FA4">
        <w:rPr>
          <w:lang w:val="fr-CA"/>
        </w:rPr>
        <w:tab/>
        <w:t>[</w:t>
      </w:r>
      <w:r w:rsidRPr="00080FA4">
        <w:rPr>
          <w:smallCaps/>
          <w:lang w:val="fr-CA"/>
        </w:rPr>
        <w:t>traduction</w:t>
      </w:r>
      <w:r w:rsidRPr="00080FA4">
        <w:rPr>
          <w:lang w:val="fr-CA"/>
        </w:rPr>
        <w:t>]</w:t>
      </w:r>
    </w:p>
    <w:p w:rsidR="0041746D" w:rsidRPr="00080FA4" w:rsidRDefault="0041746D" w:rsidP="0041746D">
      <w:pPr>
        <w:pStyle w:val="Citation-AltC"/>
        <w:spacing w:after="240"/>
        <w:ind w:left="1168" w:hanging="1168"/>
        <w:contextualSpacing w:val="0"/>
        <w:rPr>
          <w:lang w:val="fr-CA"/>
        </w:rPr>
      </w:pPr>
      <w:r w:rsidRPr="00080FA4">
        <w:rPr>
          <w:lang w:val="fr-CA"/>
        </w:rPr>
        <w:tab/>
        <w:t>Ce que veut [M</w:t>
      </w:r>
      <w:r w:rsidRPr="00080FA4">
        <w:rPr>
          <w:vertAlign w:val="superscript"/>
          <w:lang w:val="fr-CA"/>
        </w:rPr>
        <w:t>me</w:t>
      </w:r>
      <w:r w:rsidRPr="00080FA4">
        <w:rPr>
          <w:lang w:val="fr-CA"/>
        </w:rPr>
        <w:t> Matte</w:t>
      </w:r>
      <w:r w:rsidRPr="00080FA4">
        <w:rPr>
          <w:lang w:val="fr-CA"/>
        </w:rPr>
        <w:noBreakHyphen/>
        <w:t xml:space="preserve">Thompson], c’est un </w:t>
      </w:r>
      <w:r w:rsidR="008832C0">
        <w:rPr>
          <w:lang w:val="fr-CA"/>
        </w:rPr>
        <w:t>rapport . . .</w:t>
      </w:r>
      <w:r w:rsidRPr="00080FA4">
        <w:rPr>
          <w:lang w:val="fr-CA"/>
        </w:rPr>
        <w:t xml:space="preserve"> </w:t>
      </w:r>
    </w:p>
    <w:p w:rsidR="0041746D" w:rsidRPr="00080FA4" w:rsidRDefault="0041746D" w:rsidP="0041746D">
      <w:pPr>
        <w:pStyle w:val="Citation-AltC"/>
        <w:spacing w:after="240"/>
        <w:ind w:left="1168" w:hanging="1168"/>
        <w:contextualSpacing w:val="0"/>
        <w:rPr>
          <w:lang w:val="fr-CA"/>
        </w:rPr>
      </w:pPr>
      <w:r w:rsidRPr="00080FA4">
        <w:rPr>
          <w:lang w:val="fr-CA"/>
        </w:rPr>
        <w:tab/>
        <w:t xml:space="preserve">Je crois que je sais exactement ce qu’elle veut et je voudrais aider à la préparation de ce rapport [. . .] </w:t>
      </w:r>
      <w:r w:rsidRPr="00080FA4">
        <w:rPr>
          <w:u w:val="single"/>
          <w:lang w:val="fr-CA"/>
        </w:rPr>
        <w:t>Si nous nous y prenons comme il faut</w:t>
      </w:r>
      <w:r w:rsidRPr="00080FA4">
        <w:rPr>
          <w:lang w:val="fr-CA"/>
        </w:rPr>
        <w:t>, il n’y aura pas d’incertitude à l’avenir.</w:t>
      </w:r>
    </w:p>
    <w:p w:rsidR="0041746D" w:rsidRPr="00080FA4" w:rsidRDefault="0041746D" w:rsidP="0041746D">
      <w:pPr>
        <w:pStyle w:val="Citation-AltC"/>
        <w:spacing w:after="240"/>
        <w:ind w:left="1168" w:hanging="1168"/>
        <w:contextualSpacing w:val="0"/>
        <w:rPr>
          <w:lang w:val="fr-CA"/>
        </w:rPr>
      </w:pPr>
      <w:r w:rsidRPr="00080FA4">
        <w:rPr>
          <w:lang w:val="fr-CA"/>
        </w:rPr>
        <w:tab/>
        <w:t xml:space="preserve">Il est important que </w:t>
      </w:r>
      <w:r w:rsidRPr="00080FA4">
        <w:rPr>
          <w:u w:val="single"/>
          <w:lang w:val="fr-CA"/>
        </w:rPr>
        <w:t>nous fassions les choses adéquatement</w:t>
      </w:r>
      <w:r w:rsidRPr="00080FA4">
        <w:rPr>
          <w:lang w:val="fr-CA"/>
        </w:rPr>
        <w:t xml:space="preserve"> cette fois pour qu’elle se sente en sécurité et puisse répondre aux critiques (p. ex. son comptable). S’il te plaît, laisse</w:t>
      </w:r>
      <w:r w:rsidRPr="00080FA4">
        <w:rPr>
          <w:lang w:val="fr-CA"/>
        </w:rPr>
        <w:noBreakHyphen/>
        <w:t>moi savoir s’il n’y a pas d’inconvénients à ce que j’en discute brièvement avec Mario [Angelopoulos].</w:t>
      </w:r>
    </w:p>
    <w:p w:rsidR="0041746D" w:rsidRPr="00080FA4" w:rsidRDefault="0041746D" w:rsidP="008832C0">
      <w:pPr>
        <w:pStyle w:val="Citation-AltC"/>
        <w:spacing w:after="240"/>
        <w:ind w:left="0"/>
        <w:contextualSpacing w:val="0"/>
        <w:rPr>
          <w:lang w:val="fr-CA"/>
        </w:rPr>
      </w:pPr>
      <w:r w:rsidRPr="00080FA4">
        <w:rPr>
          <w:lang w:val="fr-CA"/>
        </w:rPr>
        <w:t>(d.a., vol. 5, p. 1441 (je souligne), mentionné dans les motifs de la C.A., par. 99</w:t>
      </w:r>
      <w:r w:rsidR="008E2A71">
        <w:rPr>
          <w:lang w:val="fr-CA"/>
        </w:rPr>
        <w:t>.</w:t>
      </w:r>
      <w:r w:rsidRPr="00080FA4">
        <w:rPr>
          <w:lang w:val="fr-CA"/>
        </w:rPr>
        <w:t>)</w:t>
      </w:r>
    </w:p>
    <w:p w:rsidR="0041746D" w:rsidRPr="00080FA4" w:rsidRDefault="0041746D" w:rsidP="0041746D">
      <w:pPr>
        <w:pStyle w:val="Citation-AltC"/>
        <w:spacing w:after="240"/>
        <w:ind w:left="1168" w:hanging="1166"/>
        <w:contextualSpacing w:val="0"/>
        <w:rPr>
          <w:lang w:val="fr-CA"/>
        </w:rPr>
      </w:pPr>
      <w:r w:rsidRPr="00080FA4">
        <w:rPr>
          <w:lang w:val="fr-CA"/>
        </w:rPr>
        <w:tab/>
        <w:t xml:space="preserve">Je crois que </w:t>
      </w:r>
      <w:r w:rsidRPr="00080FA4">
        <w:rPr>
          <w:u w:val="single"/>
          <w:lang w:val="fr-CA"/>
        </w:rPr>
        <w:t>nous avons</w:t>
      </w:r>
      <w:r w:rsidRPr="00080FA4">
        <w:rPr>
          <w:lang w:val="fr-CA"/>
        </w:rPr>
        <w:t xml:space="preserve"> une très bonne combinaison de placements pour Judy [. . .] Elle a reçu des commentaires (de son comptable) critiquant la stratégie de placement, et </w:t>
      </w:r>
      <w:r w:rsidRPr="00080FA4">
        <w:rPr>
          <w:u w:val="single"/>
          <w:lang w:val="fr-CA"/>
        </w:rPr>
        <w:t xml:space="preserve">je veux que nous soyons capables </w:t>
      </w:r>
      <w:r w:rsidRPr="00080FA4">
        <w:rPr>
          <w:lang w:val="fr-CA"/>
        </w:rPr>
        <w:t>de répondre à ces critiques.</w:t>
      </w:r>
    </w:p>
    <w:p w:rsidR="0041746D" w:rsidRPr="00080FA4" w:rsidRDefault="0041746D" w:rsidP="008832C0">
      <w:pPr>
        <w:pStyle w:val="Citation-AltC"/>
        <w:spacing w:after="240"/>
        <w:ind w:left="0"/>
        <w:contextualSpacing w:val="0"/>
        <w:rPr>
          <w:lang w:val="fr-CA"/>
        </w:rPr>
      </w:pPr>
      <w:r w:rsidRPr="00080FA4">
        <w:rPr>
          <w:lang w:val="fr-CA"/>
        </w:rPr>
        <w:t>(d.a., vol. 5, p. 1445 (je souligne))</w:t>
      </w:r>
    </w:p>
    <w:p w:rsidR="0041746D" w:rsidRPr="00080FA4" w:rsidRDefault="0041746D" w:rsidP="0041746D">
      <w:pPr>
        <w:pStyle w:val="Citation-AltC"/>
        <w:spacing w:after="240"/>
        <w:ind w:left="1168" w:hanging="1166"/>
        <w:contextualSpacing w:val="0"/>
        <w:rPr>
          <w:lang w:val="fr-CA"/>
        </w:rPr>
      </w:pPr>
      <w:r w:rsidRPr="00080FA4">
        <w:rPr>
          <w:lang w:val="fr-CA"/>
        </w:rPr>
        <w:lastRenderedPageBreak/>
        <w:tab/>
        <w:t xml:space="preserve">Le montage dans Focus ne lui plaît pas. </w:t>
      </w:r>
      <w:r w:rsidRPr="00080FA4">
        <w:rPr>
          <w:u w:val="single"/>
          <w:lang w:val="fr-CA"/>
        </w:rPr>
        <w:t>Pouvons</w:t>
      </w:r>
      <w:r w:rsidRPr="00080FA4">
        <w:rPr>
          <w:u w:val="single"/>
          <w:lang w:val="fr-CA"/>
        </w:rPr>
        <w:noBreakHyphen/>
        <w:t xml:space="preserve">nous faire quelque chose </w:t>
      </w:r>
      <w:r w:rsidRPr="00080FA4">
        <w:rPr>
          <w:lang w:val="fr-CA"/>
        </w:rPr>
        <w:t>de plus simple? Peut</w:t>
      </w:r>
      <w:r w:rsidRPr="00080FA4">
        <w:rPr>
          <w:lang w:val="fr-CA"/>
        </w:rPr>
        <w:noBreakHyphen/>
        <w:t>être strictement Ivest? Ou est</w:t>
      </w:r>
      <w:r w:rsidRPr="00080FA4">
        <w:rPr>
          <w:lang w:val="fr-CA"/>
        </w:rPr>
        <w:noBreakHyphen/>
        <w:t>ce que l’idée est de placer le capital dans Focus, le fonds moins risqué?</w:t>
      </w:r>
    </w:p>
    <w:p w:rsidR="0041746D" w:rsidRPr="00080FA4" w:rsidRDefault="0041746D" w:rsidP="008832C0">
      <w:pPr>
        <w:pStyle w:val="Citation-AltC"/>
        <w:ind w:left="0"/>
        <w:contextualSpacing w:val="0"/>
        <w:rPr>
          <w:lang w:val="fr-CA"/>
        </w:rPr>
      </w:pPr>
      <w:r w:rsidRPr="00080FA4">
        <w:rPr>
          <w:lang w:val="fr-CA"/>
        </w:rPr>
        <w:t>(d.a., vol. 6, p. 1553 (je souligne), cité dans les motifs de la C.A., par. 131</w:t>
      </w:r>
      <w:r w:rsidR="008E2A71">
        <w:rPr>
          <w:lang w:val="fr-CA"/>
        </w:rPr>
        <w:t xml:space="preserve"> (soulignement omis)</w:t>
      </w:r>
      <w:r w:rsidRPr="00080FA4">
        <w:rPr>
          <w:lang w:val="fr-CA"/>
        </w:rPr>
        <w:t>.)</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La Cour d’appel souligne que l’emploi du pronom « </w:t>
      </w:r>
      <w:r w:rsidRPr="00080FA4">
        <w:rPr>
          <w:rFonts w:cs="Times New Roman"/>
          <w:i/>
          <w:lang w:val="fr-CA"/>
        </w:rPr>
        <w:t>we </w:t>
      </w:r>
      <w:r w:rsidRPr="00080FA4">
        <w:rPr>
          <w:rFonts w:cs="Times New Roman"/>
          <w:lang w:val="fr-CA"/>
        </w:rPr>
        <w:t>» (« nous ») dans les courriels anglais originaux constitue une solide illustration des loyautés partagées de M</w:t>
      </w:r>
      <w:r w:rsidRPr="00080FA4">
        <w:rPr>
          <w:rFonts w:cs="Times New Roman"/>
          <w:vertAlign w:val="superscript"/>
          <w:lang w:val="fr-CA"/>
        </w:rPr>
        <w:t>e</w:t>
      </w:r>
      <w:r w:rsidRPr="00080FA4">
        <w:rPr>
          <w:rFonts w:cs="Times New Roman"/>
          <w:lang w:val="fr-CA"/>
        </w:rPr>
        <w:t> Salomon au cours de la période clé, soit 2006 à 2007. Ces courriels témoignent de l’existence d’une sorte de coalition entre M</w:t>
      </w:r>
      <w:r w:rsidRPr="00080FA4">
        <w:rPr>
          <w:rFonts w:cs="Times New Roman"/>
          <w:vertAlign w:val="superscript"/>
          <w:lang w:val="fr-CA"/>
        </w:rPr>
        <w:t>e</w:t>
      </w:r>
      <w:r w:rsidRPr="00080FA4">
        <w:rPr>
          <w:rFonts w:cs="Times New Roman"/>
          <w:lang w:val="fr-CA"/>
        </w:rPr>
        <w:t> Salomon et M. Papadopoulos. Lorsque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exprime ses inquiétudes au sujet des placements des intimées, M</w:t>
      </w:r>
      <w:r w:rsidRPr="00080FA4">
        <w:rPr>
          <w:rFonts w:cs="Times New Roman"/>
          <w:vertAlign w:val="superscript"/>
          <w:lang w:val="fr-CA"/>
        </w:rPr>
        <w:t>e</w:t>
      </w:r>
      <w:r w:rsidRPr="00080FA4">
        <w:rPr>
          <w:rFonts w:cs="Times New Roman"/>
          <w:lang w:val="fr-CA"/>
        </w:rPr>
        <w:t> Salomon décide d’aider M. Papadopoulos à préparer un rapport destiné à l’apaiser et à « [faire] taire les critiques » (motifs de la C.A., par. 100), sans jamais chercher à connaître la raison de ses inquiétudes. Une autre illustration des loyautés partagées de M</w:t>
      </w:r>
      <w:r w:rsidRPr="00080FA4">
        <w:rPr>
          <w:rFonts w:cs="Times New Roman"/>
          <w:vertAlign w:val="superscript"/>
          <w:lang w:val="fr-CA"/>
        </w:rPr>
        <w:t>e</w:t>
      </w:r>
      <w:r w:rsidRPr="00080FA4">
        <w:rPr>
          <w:rFonts w:cs="Times New Roman"/>
          <w:lang w:val="fr-CA"/>
        </w:rPr>
        <w:t xml:space="preserve"> Salomon se produit en mai 2007, lorsqu’il omet d’informer les intimées de l’article de </w:t>
      </w:r>
      <w:r w:rsidRPr="00080FA4">
        <w:rPr>
          <w:rFonts w:cs="Times New Roman"/>
          <w:i/>
          <w:lang w:val="fr-CA"/>
        </w:rPr>
        <w:t xml:space="preserve">La Presse Affaires </w:t>
      </w:r>
      <w:r w:rsidRPr="00080FA4">
        <w:rPr>
          <w:rFonts w:cs="Times New Roman"/>
          <w:lang w:val="fr-CA"/>
        </w:rPr>
        <w:t>qui soulève [</w:t>
      </w:r>
      <w:r w:rsidRPr="00080FA4">
        <w:rPr>
          <w:rFonts w:cs="Times New Roman"/>
          <w:smallCaps/>
          <w:lang w:val="fr-CA"/>
        </w:rPr>
        <w:t>traduction</w:t>
      </w:r>
      <w:r w:rsidRPr="00080FA4">
        <w:rPr>
          <w:rFonts w:cs="Times New Roman"/>
          <w:lang w:val="fr-CA"/>
        </w:rPr>
        <w:t>] « des doutes sérieux au sujet des placements faits par l’entremise de Triglobal dans les fonds iVest ou Focus » (motifs de première instance, par. 260</w:t>
      </w:r>
      <w:r w:rsidRPr="00080FA4">
        <w:rPr>
          <w:rFonts w:cs="Times New Roman"/>
          <w:lang w:val="fr-CA"/>
        </w:rPr>
        <w:noBreakHyphen/>
        <w:t>261). Dans ce contexte, c’est à bon droit que la Cour d’appel conclut que M</w:t>
      </w:r>
      <w:r w:rsidRPr="00080FA4">
        <w:rPr>
          <w:rFonts w:cs="Times New Roman"/>
          <w:vertAlign w:val="superscript"/>
          <w:lang w:val="fr-CA"/>
        </w:rPr>
        <w:t>e</w:t>
      </w:r>
      <w:r w:rsidRPr="00080FA4">
        <w:rPr>
          <w:rFonts w:cs="Times New Roman"/>
          <w:lang w:val="fr-CA"/>
        </w:rPr>
        <w:t> Salomon a agi d’une manière incompatible avec les intérêts des intimées. La preuve documentaire appuie cette conclusion, qui peut difficilement être laissée de côté dans l’examen d’une allégation de conflit d’intérêts comme celle formulée par les intimées contre M</w:t>
      </w:r>
      <w:r w:rsidRPr="00080FA4">
        <w:rPr>
          <w:rFonts w:cs="Times New Roman"/>
          <w:vertAlign w:val="superscript"/>
          <w:lang w:val="fr-CA"/>
        </w:rPr>
        <w:t>e</w:t>
      </w:r>
      <w:r w:rsidRPr="00080FA4">
        <w:rPr>
          <w:rFonts w:cs="Times New Roman"/>
          <w:lang w:val="fr-CA"/>
        </w:rPr>
        <w:t> Salomon.</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De plus, compte tenu des circonstances, y compris les liens étroits existant entre M</w:t>
      </w:r>
      <w:r w:rsidRPr="00080FA4">
        <w:rPr>
          <w:rFonts w:cs="Times New Roman"/>
          <w:vertAlign w:val="superscript"/>
          <w:lang w:val="fr-CA"/>
        </w:rPr>
        <w:t>e</w:t>
      </w:r>
      <w:r w:rsidRPr="00080FA4">
        <w:rPr>
          <w:rFonts w:cs="Times New Roman"/>
          <w:lang w:val="fr-CA"/>
        </w:rPr>
        <w:t xml:space="preserve"> Salomon et M. Papadopoulos, la Cour d’appel est d’avis, à juste titre, qu’il est troublant que M</w:t>
      </w:r>
      <w:r w:rsidRPr="00080FA4">
        <w:rPr>
          <w:rFonts w:cs="Times New Roman"/>
          <w:vertAlign w:val="superscript"/>
          <w:lang w:val="fr-CA"/>
        </w:rPr>
        <w:t>e</w:t>
      </w:r>
      <w:r w:rsidRPr="00080FA4">
        <w:rPr>
          <w:rFonts w:cs="Times New Roman"/>
          <w:lang w:val="fr-CA"/>
        </w:rPr>
        <w:t xml:space="preserve"> Salomon ait reçu des « cadeaux » totalisant 20 000 $ de M. Papadopoulos en mai et juin 2006, par l’entremise d’une société constituée à cette </w:t>
      </w:r>
      <w:r w:rsidRPr="00080FA4">
        <w:rPr>
          <w:rFonts w:cs="Times New Roman"/>
          <w:lang w:val="fr-CA"/>
        </w:rPr>
        <w:lastRenderedPageBreak/>
        <w:t xml:space="preserve">seule fin, après envoi de factures pour des services qui n’ont en fait jamais été rendus. À ces « cadeaux », s’ajoute ensuite, en février 2007, une somme additionnelle de 8 000 $ destinée à payer les impôts afférents au montant déjà reçu.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Malgré ces faits, la juge de première instance conclut qu’il n’y a pas de conflit d’intérêts, sur la seule foi des explications données par M</w:t>
      </w:r>
      <w:r w:rsidRPr="00080FA4">
        <w:rPr>
          <w:rFonts w:cs="Times New Roman"/>
          <w:vertAlign w:val="superscript"/>
          <w:lang w:val="fr-CA"/>
        </w:rPr>
        <w:t>e</w:t>
      </w:r>
      <w:r w:rsidRPr="00080FA4">
        <w:rPr>
          <w:rFonts w:cs="Times New Roman"/>
          <w:lang w:val="fr-CA"/>
        </w:rPr>
        <w:t> Salomon. Elle insiste sur le fait qu’il n’existe aucune preuve établissant que les paiements constituent des commissions pour l’aiguillage des intimées vers Triglobal, ou que l’aiguillage a coïncidé avec les paiements. Suivant la Cour d’appel, cette conclusion est manifestement erronée. Elle est incompatible avec la preuve documentaire, qui ne fait aucune mention de « cadeaux », et fait abstraction du fait que l’objet déclaré de 430 — la « consultation financière » — est pertinent pour répondre à la question de savoir si les paiements sont des cadeaux ou des commissions. De plus, les paiements ne sont pas situés dans le contexte de l’ensemble de la preuve, contexte qui suscite des préoccupations sur les loyautés partagées de M</w:t>
      </w:r>
      <w:r w:rsidRPr="00080FA4">
        <w:rPr>
          <w:rFonts w:cs="Times New Roman"/>
          <w:vertAlign w:val="superscript"/>
          <w:lang w:val="fr-CA"/>
        </w:rPr>
        <w:t>e</w:t>
      </w:r>
      <w:r w:rsidRPr="00080FA4">
        <w:rPr>
          <w:rFonts w:cs="Times New Roman"/>
          <w:lang w:val="fr-CA"/>
        </w:rPr>
        <w:t> Salomon; après tout, ces paiements ont en tout temps été cachés aux intimées. En outre, le fait troublant que M. Papadopoulos est disposé à demander et à payer à 430 des comptes d’honoraires factices est considéré à tort comme non pertinent, même si une telle situation soulève d’évidentes préoccupations quant à la probité générale de l’individu que M</w:t>
      </w:r>
      <w:r w:rsidRPr="00080FA4">
        <w:rPr>
          <w:rFonts w:cs="Times New Roman"/>
          <w:vertAlign w:val="superscript"/>
          <w:lang w:val="fr-CA"/>
        </w:rPr>
        <w:t>e</w:t>
      </w:r>
      <w:r w:rsidRPr="00080FA4">
        <w:rPr>
          <w:rFonts w:cs="Times New Roman"/>
          <w:lang w:val="fr-CA"/>
        </w:rPr>
        <w:t> Salomon recommande favorablement aux intimées, alors même qu’il reçoit les paiements en question. De fait, qu’on les qualifie de cadeaux ou de commissions, les paiements font naître de sérieux doutes quant à l’indépendance de l’avocat qui les reçoit.</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L’impact de ces éléments de preuve est renforcé par les deux chèques de 5 000 $ reçus subséquemment par M</w:t>
      </w:r>
      <w:r w:rsidRPr="00080FA4">
        <w:rPr>
          <w:rFonts w:cs="Times New Roman"/>
          <w:vertAlign w:val="superscript"/>
          <w:lang w:val="fr-CA"/>
        </w:rPr>
        <w:t>e</w:t>
      </w:r>
      <w:r w:rsidRPr="00080FA4">
        <w:rPr>
          <w:rFonts w:cs="Times New Roman"/>
          <w:lang w:val="fr-CA"/>
        </w:rPr>
        <w:t xml:space="preserve"> Salomon en octobre 2007, et par le courriel de </w:t>
      </w:r>
      <w:r w:rsidRPr="00080FA4">
        <w:rPr>
          <w:rFonts w:cs="Times New Roman"/>
          <w:lang w:val="fr-CA"/>
        </w:rPr>
        <w:lastRenderedPageBreak/>
        <w:t>M. Papadopoulos qualifiant ces paiements de « </w:t>
      </w:r>
      <w:r w:rsidRPr="00080FA4">
        <w:rPr>
          <w:rFonts w:cs="Times New Roman"/>
          <w:i/>
          <w:lang w:val="fr-CA"/>
        </w:rPr>
        <w:t>comms</w:t>
      </w:r>
      <w:r w:rsidRPr="00080FA4">
        <w:rPr>
          <w:rFonts w:cs="Times New Roman"/>
          <w:lang w:val="fr-CA"/>
        </w:rPr>
        <w:t> » (d.a., vol. 6, p. 1674). Lorsqu’elle examine ce courriel, la juge de première instance écrit qu’il n’y a néanmoins [</w:t>
      </w:r>
      <w:r w:rsidRPr="00080FA4">
        <w:rPr>
          <w:rFonts w:cs="Times New Roman"/>
          <w:smallCaps/>
          <w:lang w:val="fr-CA"/>
        </w:rPr>
        <w:t>traduction</w:t>
      </w:r>
      <w:r w:rsidRPr="00080FA4">
        <w:rPr>
          <w:rFonts w:cs="Times New Roman"/>
          <w:lang w:val="fr-CA"/>
        </w:rPr>
        <w:t>] « aucune preuve précise que ces commissions ont été versées à [M</w:t>
      </w:r>
      <w:r w:rsidRPr="00080FA4">
        <w:rPr>
          <w:rFonts w:cs="Times New Roman"/>
          <w:vertAlign w:val="superscript"/>
          <w:lang w:val="fr-CA"/>
        </w:rPr>
        <w:t>e</w:t>
      </w:r>
      <w:r w:rsidRPr="00080FA4">
        <w:rPr>
          <w:rFonts w:cs="Times New Roman"/>
          <w:lang w:val="fr-CA"/>
        </w:rPr>
        <w:t>] Salomon en contrepartie des placements effectués par les [intimées] ou par quelque autre client » (par. 155). La Cour d’appel est manifestement mal à l’aise face à cette conclusion, et elle déclare ceci : « Comment ne pas conclure que M</w:t>
      </w:r>
      <w:r w:rsidRPr="00080FA4">
        <w:rPr>
          <w:rFonts w:cs="Times New Roman"/>
          <w:vertAlign w:val="superscript"/>
          <w:lang w:val="fr-CA"/>
        </w:rPr>
        <w:t>e</w:t>
      </w:r>
      <w:r w:rsidRPr="00080FA4">
        <w:rPr>
          <w:rFonts w:cs="Times New Roman"/>
          <w:lang w:val="fr-CA"/>
        </w:rPr>
        <w:t xml:space="preserve"> Salomon reçoit des commissions pour les clients qu’il réfère à </w:t>
      </w:r>
      <w:r>
        <w:rPr>
          <w:rFonts w:cs="Times New Roman"/>
          <w:lang w:val="fr-CA"/>
        </w:rPr>
        <w:t xml:space="preserve">[M.] </w:t>
      </w:r>
      <w:r w:rsidRPr="00080FA4">
        <w:rPr>
          <w:rFonts w:cs="Times New Roman"/>
          <w:lang w:val="fr-CA"/>
        </w:rPr>
        <w:t>Papadopoulos? » (par. 107). Encore une fois, la Cour d’appel souligne le défaut de la juge de première instance de fournir des explications à ce sujet.</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Je tiens à rappeler que la constitution en personne morale de 430 afin de fournir des services de « consultation financière » et le paiement de comptes d’honoraires factices pour des services qui n’ont jamais été rendus ont lieu entre les mois de mars et de juin 2006. À ce moment, M</w:t>
      </w:r>
      <w:r w:rsidRPr="00080FA4">
        <w:rPr>
          <w:rFonts w:cs="Times New Roman"/>
          <w:vertAlign w:val="superscript"/>
          <w:lang w:val="fr-CA"/>
        </w:rPr>
        <w:t>e</w:t>
      </w:r>
      <w:r w:rsidRPr="00080FA4">
        <w:rPr>
          <w:rFonts w:cs="Times New Roman"/>
          <w:lang w:val="fr-CA"/>
        </w:rPr>
        <w:t> Salomon est donc au fait du manque de probité dont M. Papadopoulos a fait preuve en acquittant ces comptes d’honoraires factices. Pourtant, c’est en avril 2006 qu’il rassure expressément les intimées à quelques reprises quant à leurs placements chez Triglobal (placements qui comprennent alors ceux réalisés dans le fonds Focus), sans exprimer la moindre réserve. Pendant tout ce temps, les intimées ne connaissent pas l’existence de ces paiements, qui ne leur sont jamais divulgués.</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Par conséquent, j’estime que la Cour d’appel disposait de solides assises pour infirmer la conclusion de la juge de première instance sur ce point et pour conclure que M</w:t>
      </w:r>
      <w:r w:rsidRPr="00080FA4">
        <w:rPr>
          <w:rFonts w:cs="Times New Roman"/>
          <w:vertAlign w:val="superscript"/>
          <w:lang w:val="fr-CA"/>
        </w:rPr>
        <w:t>e</w:t>
      </w:r>
      <w:r w:rsidRPr="00080FA4">
        <w:rPr>
          <w:rFonts w:cs="Times New Roman"/>
          <w:lang w:val="fr-CA"/>
        </w:rPr>
        <w:t xml:space="preserve"> Salomon </w:t>
      </w:r>
      <w:r w:rsidRPr="00080FA4">
        <w:rPr>
          <w:rFonts w:cs="Times New Roman"/>
          <w:lang w:val="fr-FR"/>
        </w:rPr>
        <w:t xml:space="preserve">s’est placé à plus d’un égard en situation de conflit d’intérêts en raison des </w:t>
      </w:r>
      <w:r w:rsidRPr="00080FA4">
        <w:rPr>
          <w:rFonts w:cs="Times New Roman"/>
          <w:lang w:val="fr-CA"/>
        </w:rPr>
        <w:t xml:space="preserve">liens personnels et financiers qu’il entretenait avec M. Papadopoulos. L’approche </w:t>
      </w:r>
      <w:r w:rsidRPr="00080FA4">
        <w:rPr>
          <w:rFonts w:cs="Times New Roman"/>
          <w:lang w:val="fr-CA"/>
        </w:rPr>
        <w:lastRenderedPageBreak/>
        <w:t>indûment restrictive adoptée par la juge du procès l’a empêchée d’apprécier adéquatement l’ensemble de la preuve sur cette question. Les éléments de preuve font non seulement ressortir le caractère douteux des paiements qu’a reçus M</w:t>
      </w:r>
      <w:r w:rsidRPr="00080FA4">
        <w:rPr>
          <w:rFonts w:cs="Times New Roman"/>
          <w:vertAlign w:val="superscript"/>
          <w:lang w:val="fr-CA"/>
        </w:rPr>
        <w:t>e</w:t>
      </w:r>
      <w:r w:rsidRPr="00080FA4">
        <w:rPr>
          <w:rFonts w:cs="Times New Roman"/>
          <w:lang w:val="fr-CA"/>
        </w:rPr>
        <w:t> Salomon alors même qu’il rassure les intimées sur leurs placements, mais ils illustrent aussi les liens très étroits que ce dernier entretenait avec M. Papadopoulos, ainsi que les loyautés partagées qui découlent de ces liens. L’ensemble de la preuve sur cette question conduit à une seule conclusion raisonnable : M</w:t>
      </w:r>
      <w:r w:rsidRPr="00080FA4">
        <w:rPr>
          <w:rFonts w:cs="Times New Roman"/>
          <w:vertAlign w:val="superscript"/>
          <w:lang w:val="fr-CA"/>
        </w:rPr>
        <w:t>e</w:t>
      </w:r>
      <w:r w:rsidRPr="00080FA4">
        <w:rPr>
          <w:rFonts w:cs="Times New Roman"/>
          <w:lang w:val="fr-CA"/>
        </w:rPr>
        <w:t xml:space="preserve"> Salomon était en conflit d’intérêts.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L’existence d’un conflit d’intérêts doit être prouvée selon la prépondérance des probabilités (</w:t>
      </w:r>
      <w:r w:rsidRPr="00080FA4">
        <w:rPr>
          <w:rFonts w:cs="Times New Roman"/>
          <w:i/>
          <w:lang w:val="fr-CA"/>
        </w:rPr>
        <w:t>Parizeau c. Poulin De Courval</w:t>
      </w:r>
      <w:r w:rsidRPr="00080FA4">
        <w:rPr>
          <w:rFonts w:cs="Times New Roman"/>
          <w:lang w:val="fr-CA"/>
        </w:rPr>
        <w:t>, [2000] R.R.A. 67</w:t>
      </w:r>
      <w:r w:rsidR="008832C0">
        <w:rPr>
          <w:rFonts w:cs="Times New Roman"/>
          <w:lang w:val="fr-CA"/>
        </w:rPr>
        <w:t xml:space="preserve"> </w:t>
      </w:r>
      <w:r w:rsidR="008832C0" w:rsidRPr="00080FA4">
        <w:rPr>
          <w:rFonts w:cs="Times New Roman"/>
          <w:lang w:val="fr-CA"/>
        </w:rPr>
        <w:t>(C.A. Qc)</w:t>
      </w:r>
      <w:r w:rsidRPr="00080FA4">
        <w:rPr>
          <w:rFonts w:cs="Times New Roman"/>
          <w:lang w:val="fr-CA"/>
        </w:rPr>
        <w:t>, par. 22</w:t>
      </w:r>
      <w:r w:rsidRPr="00080FA4">
        <w:rPr>
          <w:rFonts w:cs="Times New Roman"/>
          <w:lang w:val="fr-CA"/>
        </w:rPr>
        <w:noBreakHyphen/>
        <w:t xml:space="preserve">23 et 29); voir également, en common law, </w:t>
      </w:r>
      <w:r w:rsidRPr="00080FA4">
        <w:rPr>
          <w:rFonts w:cs="Times New Roman"/>
          <w:i/>
          <w:lang w:val="fr-CA"/>
        </w:rPr>
        <w:t>McKercher</w:t>
      </w:r>
      <w:r w:rsidRPr="00080FA4">
        <w:rPr>
          <w:rFonts w:cs="Times New Roman"/>
          <w:lang w:val="fr-CA"/>
        </w:rPr>
        <w:t>, par. 38). La juge de première instance commet une erreur en ne tenant pas compte de la preuve abondante des liens personnels et financiers étroits qu’entretenait M</w:t>
      </w:r>
      <w:r w:rsidRPr="00080FA4">
        <w:rPr>
          <w:rFonts w:cs="Times New Roman"/>
          <w:vertAlign w:val="superscript"/>
          <w:lang w:val="fr-CA"/>
        </w:rPr>
        <w:t>e</w:t>
      </w:r>
      <w:r w:rsidRPr="00080FA4">
        <w:rPr>
          <w:rFonts w:cs="Times New Roman"/>
          <w:lang w:val="fr-CA"/>
        </w:rPr>
        <w:t> Salomon avec M. Papadopoulos au motif qu’elle ne permet pas de conclure à l’existence d’un conflit d’intérêts (par. 163</w:t>
      </w:r>
      <w:r w:rsidRPr="00080FA4">
        <w:rPr>
          <w:rFonts w:cs="Times New Roman"/>
          <w:lang w:val="fr-CA"/>
        </w:rPr>
        <w:noBreakHyphen/>
        <w:t>164; voir aussi les motifs de la C.A., par. 107). La Cour d’appel était justifiée de conclure que M</w:t>
      </w:r>
      <w:r w:rsidRPr="00080FA4">
        <w:rPr>
          <w:rFonts w:cs="Times New Roman"/>
          <w:vertAlign w:val="superscript"/>
          <w:lang w:val="fr-CA"/>
        </w:rPr>
        <w:t>e</w:t>
      </w:r>
      <w:r w:rsidRPr="00080FA4">
        <w:rPr>
          <w:rFonts w:cs="Times New Roman"/>
          <w:lang w:val="fr-CA"/>
        </w:rPr>
        <w:t xml:space="preserve"> Salomon s’est placé dans une situation de conflit d’intérêts, et qu’il a en définitive négligé les intérêts des intimées, manquant ainsi tant à son devoir de loyauté qu’à son devoir de conseil envers elles. </w:t>
      </w:r>
    </w:p>
    <w:p w:rsidR="0041746D" w:rsidRPr="00080FA4" w:rsidRDefault="0041746D" w:rsidP="0041746D">
      <w:pPr>
        <w:pStyle w:val="Title2LevelTitre2Niveau"/>
        <w:numPr>
          <w:ilvl w:val="1"/>
          <w:numId w:val="7"/>
        </w:numPr>
        <w:rPr>
          <w:rFonts w:cs="Times New Roman"/>
          <w:lang w:val="fr-CA"/>
        </w:rPr>
      </w:pPr>
      <w:r w:rsidRPr="00080FA4">
        <w:rPr>
          <w:rFonts w:cs="Times New Roman"/>
          <w:lang w:val="fr-CA"/>
        </w:rPr>
        <w:t>La Cour d’appel a</w:t>
      </w:r>
      <w:r w:rsidRPr="00080FA4">
        <w:rPr>
          <w:rFonts w:cs="Times New Roman"/>
          <w:lang w:val="fr-CA"/>
        </w:rPr>
        <w:noBreakHyphen/>
        <w:t>t</w:t>
      </w:r>
      <w:r w:rsidRPr="00080FA4">
        <w:rPr>
          <w:rFonts w:cs="Times New Roman"/>
          <w:lang w:val="fr-CA"/>
        </w:rPr>
        <w:noBreakHyphen/>
        <w:t xml:space="preserve">elle erré en intervenant </w:t>
      </w:r>
      <w:r>
        <w:rPr>
          <w:rFonts w:cs="Times New Roman"/>
          <w:lang w:val="fr-CA"/>
        </w:rPr>
        <w:t xml:space="preserve">à l’égard </w:t>
      </w:r>
      <w:r w:rsidRPr="00080FA4">
        <w:rPr>
          <w:rFonts w:cs="Times New Roman"/>
          <w:lang w:val="fr-CA"/>
        </w:rPr>
        <w:t>d</w:t>
      </w:r>
      <w:r>
        <w:rPr>
          <w:rFonts w:cs="Times New Roman"/>
          <w:lang w:val="fr-CA"/>
        </w:rPr>
        <w:t>e</w:t>
      </w:r>
      <w:r w:rsidRPr="00080FA4">
        <w:rPr>
          <w:rFonts w:cs="Times New Roman"/>
          <w:lang w:val="fr-CA"/>
        </w:rPr>
        <w:t>s conclusions de la juge de première instance relativement au lien de causalité?</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Enfin, la Cour d’appel décide que la juge de première instance a commis une erreur manifeste et déterminante en concluant que l</w:t>
      </w:r>
      <w:r>
        <w:rPr>
          <w:rFonts w:cs="Times New Roman"/>
          <w:lang w:val="fr-CA"/>
        </w:rPr>
        <w:t>a</w:t>
      </w:r>
      <w:r w:rsidRPr="00080FA4">
        <w:rPr>
          <w:rFonts w:cs="Times New Roman"/>
          <w:lang w:val="fr-CA"/>
        </w:rPr>
        <w:t xml:space="preserve"> faute de M</w:t>
      </w:r>
      <w:r w:rsidRPr="00080FA4">
        <w:rPr>
          <w:rFonts w:cs="Times New Roman"/>
          <w:vertAlign w:val="superscript"/>
          <w:lang w:val="fr-CA"/>
        </w:rPr>
        <w:t>e</w:t>
      </w:r>
      <w:r w:rsidRPr="00080FA4">
        <w:rPr>
          <w:rFonts w:cs="Times New Roman"/>
          <w:lang w:val="fr-CA"/>
        </w:rPr>
        <w:t> Salomon n’</w:t>
      </w:r>
      <w:r>
        <w:rPr>
          <w:rFonts w:cs="Times New Roman"/>
          <w:lang w:val="fr-CA"/>
        </w:rPr>
        <w:t>a</w:t>
      </w:r>
      <w:r w:rsidRPr="00080FA4">
        <w:rPr>
          <w:rFonts w:cs="Times New Roman"/>
          <w:lang w:val="fr-CA"/>
        </w:rPr>
        <w:t xml:space="preserve"> pas causé les pertes subies par les intimées. De l’avis de la Cour d’appel, les fautes de M</w:t>
      </w:r>
      <w:r w:rsidRPr="00080FA4">
        <w:rPr>
          <w:rFonts w:cs="Times New Roman"/>
          <w:vertAlign w:val="superscript"/>
          <w:lang w:val="fr-CA"/>
        </w:rPr>
        <w:t>e</w:t>
      </w:r>
      <w:r w:rsidRPr="00080FA4">
        <w:rPr>
          <w:rFonts w:cs="Times New Roman"/>
          <w:lang w:val="fr-CA"/>
        </w:rPr>
        <w:t xml:space="preserve"> Salomon ont eu un impact beaucoup plus grand que celui auquel en est arrivée la </w:t>
      </w:r>
      <w:r w:rsidRPr="00080FA4">
        <w:rPr>
          <w:rFonts w:cs="Times New Roman"/>
          <w:lang w:val="fr-CA"/>
        </w:rPr>
        <w:lastRenderedPageBreak/>
        <w:t>première juge. Les appelants prétendent que cette conclusion est erronée. Ils soulignent que la juge du procès a statué que les pertes subies par les intimées au titre de leurs placements sont la conséquence de la fraude commise par MM. Papadopoulos et Bright et non des fautes de M</w:t>
      </w:r>
      <w:r w:rsidRPr="00080FA4">
        <w:rPr>
          <w:rFonts w:cs="Times New Roman"/>
          <w:vertAlign w:val="superscript"/>
          <w:lang w:val="fr-CA"/>
        </w:rPr>
        <w:t>e </w:t>
      </w:r>
      <w:r w:rsidRPr="00080FA4">
        <w:rPr>
          <w:rFonts w:cs="Times New Roman"/>
          <w:lang w:val="fr-CA"/>
        </w:rPr>
        <w:t>Salomon. À nouveau, je suis en désaccord avec les appelants. Une fois les fautes de M</w:t>
      </w:r>
      <w:r w:rsidRPr="00080FA4">
        <w:rPr>
          <w:rFonts w:cs="Times New Roman"/>
          <w:vertAlign w:val="superscript"/>
          <w:lang w:val="fr-CA"/>
        </w:rPr>
        <w:t>e</w:t>
      </w:r>
      <w:r w:rsidRPr="00080FA4">
        <w:rPr>
          <w:rFonts w:cs="Times New Roman"/>
          <w:lang w:val="fr-CA"/>
        </w:rPr>
        <w:t> Salomon correctement déterminées et circonscrites, le lien de causalité entre celles</w:t>
      </w:r>
      <w:r w:rsidRPr="00080FA4">
        <w:rPr>
          <w:rFonts w:cs="Times New Roman"/>
          <w:lang w:val="fr-CA"/>
        </w:rPr>
        <w:noBreakHyphen/>
        <w:t>ci et les pertes subies par les intimées est de fait particulièrement évident. Comme je vais l’expliquer, c’est à juste titre que la Cour d’appel est intervenue à l’égard de la conclusion de la juge de première instance au sujet du lien de causalité.</w:t>
      </w:r>
    </w:p>
    <w:p w:rsidR="0041746D" w:rsidRPr="00080FA4" w:rsidRDefault="0041746D" w:rsidP="0041746D">
      <w:pPr>
        <w:pStyle w:val="Title3LevelTitre3Niveau"/>
        <w:numPr>
          <w:ilvl w:val="2"/>
          <w:numId w:val="7"/>
        </w:numPr>
        <w:rPr>
          <w:rFonts w:cs="Times New Roman"/>
          <w:lang w:val="fr-CA"/>
        </w:rPr>
      </w:pPr>
      <w:r w:rsidRPr="00080FA4">
        <w:rPr>
          <w:rFonts w:cs="Times New Roman"/>
          <w:lang w:val="fr-CA"/>
        </w:rPr>
        <w:t>Le véritable lien de causalité</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Il ne fait aucun doute que la fraude commise par le truchement du stratagème de type Ponzi constitue une cause des pertes subies par les intimées. Cela dit, il peut arriver que plus d’une faute — une faute de nature contractuelle en l’espèce — cause un seul préjudice, pour autant toutefois que chacune d’entre elles soit une véritable cause du préjudice et non une simple occasion de celui</w:t>
      </w:r>
      <w:r w:rsidRPr="00080FA4">
        <w:rPr>
          <w:rFonts w:cs="Times New Roman"/>
          <w:lang w:val="fr-CA"/>
        </w:rPr>
        <w:noBreakHyphen/>
        <w:t>ci (Baudouin, Deslauriers et Moore, n</w:t>
      </w:r>
      <w:r w:rsidRPr="00080FA4">
        <w:rPr>
          <w:rFonts w:cs="Times New Roman"/>
          <w:vertAlign w:val="superscript"/>
          <w:lang w:val="fr-CA"/>
        </w:rPr>
        <w:t>o</w:t>
      </w:r>
      <w:r w:rsidRPr="00080FA4">
        <w:rPr>
          <w:rFonts w:cs="Times New Roman"/>
          <w:lang w:val="fr-CA"/>
        </w:rPr>
        <w:t> 1</w:t>
      </w:r>
      <w:r w:rsidRPr="00080FA4">
        <w:rPr>
          <w:rFonts w:cs="Times New Roman"/>
          <w:lang w:val="fr-CA"/>
        </w:rPr>
        <w:noBreakHyphen/>
        <w:t xml:space="preserve">685; </w:t>
      </w:r>
      <w:r w:rsidRPr="00080FA4">
        <w:rPr>
          <w:rFonts w:cs="Times New Roman"/>
          <w:i/>
          <w:lang w:val="fr-CA"/>
        </w:rPr>
        <w:t>Dallaire c. Paul‑Émile Martel Inc.</w:t>
      </w:r>
      <w:r w:rsidRPr="00080FA4">
        <w:rPr>
          <w:rFonts w:cs="Times New Roman"/>
          <w:lang w:val="fr-CA"/>
        </w:rPr>
        <w:t xml:space="preserve">, [1989] 2 R.C.S. 419, p. 425; voir, p. ex., </w:t>
      </w:r>
      <w:r w:rsidRPr="00080FA4">
        <w:rPr>
          <w:rFonts w:cs="Times New Roman"/>
          <w:i/>
          <w:lang w:val="fr-CA"/>
        </w:rPr>
        <w:t>Compagnie 99885 Canada inc. c. Monast</w:t>
      </w:r>
      <w:r w:rsidRPr="00080FA4">
        <w:rPr>
          <w:rFonts w:cs="Times New Roman"/>
          <w:lang w:val="fr-CA"/>
        </w:rPr>
        <w:t>, [1994] R.R.A. 217</w:t>
      </w:r>
      <w:r w:rsidR="008832C0">
        <w:rPr>
          <w:rFonts w:cs="Times New Roman"/>
          <w:lang w:val="fr-CA"/>
        </w:rPr>
        <w:t xml:space="preserve"> </w:t>
      </w:r>
      <w:r w:rsidR="008832C0" w:rsidRPr="00080FA4">
        <w:rPr>
          <w:rFonts w:cs="Times New Roman"/>
          <w:lang w:val="fr-CA"/>
        </w:rPr>
        <w:t>(C.A. Qc)</w:t>
      </w:r>
      <w:r w:rsidRPr="00080FA4">
        <w:rPr>
          <w:rFonts w:cs="Times New Roman"/>
          <w:lang w:val="fr-CA"/>
        </w:rPr>
        <w:t>, p. 221). La responsabilité imputable à MM. Papadopoulos et Bright à l’égard de leur fraude ne signifie donc pas que les appelants ne sont pas responsables si les fautes commises par ces derniers ont causé les pertes des intimées.</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Une faute constitue une cause véritable du préjudice si celui</w:t>
      </w:r>
      <w:r w:rsidRPr="00080FA4">
        <w:rPr>
          <w:rFonts w:cs="Times New Roman"/>
          <w:lang w:val="fr-CA"/>
        </w:rPr>
        <w:noBreakHyphen/>
        <w:t>ci en est la suite logique, directe et immédiate (art. 1607 </w:t>
      </w:r>
      <w:r w:rsidRPr="00080FA4">
        <w:rPr>
          <w:rFonts w:cs="Times New Roman"/>
          <w:i/>
          <w:lang w:val="fr-CA"/>
        </w:rPr>
        <w:t>C.</w:t>
      </w:r>
      <w:r>
        <w:rPr>
          <w:rFonts w:cs="Times New Roman"/>
          <w:i/>
          <w:lang w:val="fr-CA"/>
        </w:rPr>
        <w:t>c</w:t>
      </w:r>
      <w:r w:rsidRPr="00080FA4">
        <w:rPr>
          <w:rFonts w:cs="Times New Roman"/>
          <w:i/>
          <w:lang w:val="fr-CA"/>
        </w:rPr>
        <w:t>.Q.</w:t>
      </w:r>
      <w:r w:rsidRPr="00080FA4">
        <w:rPr>
          <w:rFonts w:cs="Times New Roman"/>
          <w:lang w:val="fr-CA"/>
        </w:rPr>
        <w:t>; Baudouin, Deslauriers et Moore, n</w:t>
      </w:r>
      <w:r w:rsidRPr="00080FA4">
        <w:rPr>
          <w:rFonts w:cs="Times New Roman"/>
          <w:vertAlign w:val="superscript"/>
          <w:lang w:val="fr-CA"/>
        </w:rPr>
        <w:t>o</w:t>
      </w:r>
      <w:r w:rsidRPr="00080FA4">
        <w:rPr>
          <w:rFonts w:cs="Times New Roman"/>
          <w:lang w:val="fr-CA"/>
        </w:rPr>
        <w:t> 1</w:t>
      </w:r>
      <w:r w:rsidRPr="00080FA4">
        <w:rPr>
          <w:rFonts w:cs="Times New Roman"/>
          <w:lang w:val="fr-CA"/>
        </w:rPr>
        <w:noBreakHyphen/>
        <w:t>683</w:t>
      </w:r>
      <w:r w:rsidRPr="00080FA4">
        <w:rPr>
          <w:rFonts w:cs="Times New Roman"/>
          <w:szCs w:val="24"/>
          <w:lang w:val="fr-CA"/>
        </w:rPr>
        <w:t xml:space="preserve">; </w:t>
      </w:r>
      <w:r w:rsidRPr="00080FA4">
        <w:rPr>
          <w:rFonts w:cs="Times New Roman"/>
          <w:lang w:val="fr-CA"/>
        </w:rPr>
        <w:t xml:space="preserve">D. Lluelles et B. Moore, </w:t>
      </w:r>
      <w:r w:rsidRPr="00080FA4">
        <w:rPr>
          <w:rFonts w:cs="Times New Roman"/>
          <w:i/>
          <w:lang w:val="fr-CA"/>
        </w:rPr>
        <w:t>Droit des obligations</w:t>
      </w:r>
      <w:r w:rsidRPr="00080FA4">
        <w:rPr>
          <w:rFonts w:cs="Times New Roman"/>
          <w:lang w:val="fr-CA"/>
        </w:rPr>
        <w:t xml:space="preserve"> (2</w:t>
      </w:r>
      <w:r w:rsidRPr="00080FA4">
        <w:rPr>
          <w:rFonts w:cs="Times New Roman"/>
          <w:vertAlign w:val="superscript"/>
          <w:lang w:val="fr-CA"/>
        </w:rPr>
        <w:t>e</w:t>
      </w:r>
      <w:r w:rsidRPr="00080FA4">
        <w:rPr>
          <w:rFonts w:cs="Times New Roman"/>
          <w:lang w:val="fr-CA"/>
        </w:rPr>
        <w:t> éd. 2012), n</w:t>
      </w:r>
      <w:r w:rsidRPr="00080FA4">
        <w:rPr>
          <w:rFonts w:cs="Times New Roman"/>
          <w:vertAlign w:val="superscript"/>
          <w:lang w:val="fr-CA"/>
        </w:rPr>
        <w:t>o</w:t>
      </w:r>
      <w:r w:rsidRPr="00080FA4">
        <w:rPr>
          <w:rFonts w:cs="Times New Roman"/>
          <w:lang w:val="fr-CA"/>
        </w:rPr>
        <w:t xml:space="preserve"> 2962; voir </w:t>
      </w:r>
      <w:r w:rsidRPr="00080FA4">
        <w:rPr>
          <w:rFonts w:cs="Times New Roman"/>
          <w:i/>
          <w:lang w:val="fr-CA"/>
        </w:rPr>
        <w:t>Lonardi</w:t>
      </w:r>
      <w:r w:rsidRPr="00080FA4">
        <w:rPr>
          <w:rFonts w:cs="Times New Roman"/>
          <w:lang w:val="fr-CA"/>
        </w:rPr>
        <w:t xml:space="preserve">, par. 76; </w:t>
      </w:r>
      <w:r w:rsidRPr="00080FA4">
        <w:rPr>
          <w:rFonts w:cs="Times New Roman"/>
          <w:i/>
          <w:lang w:val="fr-CA"/>
        </w:rPr>
        <w:t xml:space="preserve">Québec (Commission des droits de la personne et des droits de la </w:t>
      </w:r>
      <w:r w:rsidRPr="00080FA4">
        <w:rPr>
          <w:rFonts w:cs="Times New Roman"/>
          <w:i/>
          <w:lang w:val="fr-CA"/>
        </w:rPr>
        <w:lastRenderedPageBreak/>
        <w:t>jeunesse) c. Bombardier Inc. (Bombardier Aéronautique Centre de formation)</w:t>
      </w:r>
      <w:r w:rsidRPr="00080FA4">
        <w:rPr>
          <w:rFonts w:cs="Times New Roman"/>
          <w:lang w:val="fr-CA"/>
        </w:rPr>
        <w:t>, 2015 CSC 39, [2015] 2 R.C.S. 789, par. 50). Cette détermination est dans une large mesure une question de fait et elle dépend de l’ensemble des circonstances de l’affaire (Lluelles et Moore, n</w:t>
      </w:r>
      <w:r w:rsidR="008832C0">
        <w:rPr>
          <w:rFonts w:cs="Times New Roman"/>
          <w:vertAlign w:val="superscript"/>
          <w:lang w:val="fr-CA"/>
        </w:rPr>
        <w:t>os</w:t>
      </w:r>
      <w:r w:rsidR="008832C0">
        <w:rPr>
          <w:rFonts w:cs="Times New Roman"/>
          <w:lang w:val="fr-CA"/>
        </w:rPr>
        <w:t xml:space="preserve"> </w:t>
      </w:r>
      <w:r w:rsidRPr="00080FA4">
        <w:rPr>
          <w:rFonts w:cs="Times New Roman"/>
          <w:lang w:val="fr-CA"/>
        </w:rPr>
        <w:t>2962</w:t>
      </w:r>
      <w:r w:rsidRPr="00080FA4">
        <w:rPr>
          <w:rFonts w:cs="Times New Roman"/>
          <w:lang w:val="fr-CA"/>
        </w:rPr>
        <w:noBreakHyphen/>
        <w:t xml:space="preserve">2963; </w:t>
      </w:r>
      <w:r w:rsidRPr="00080FA4">
        <w:rPr>
          <w:rFonts w:cs="Times New Roman"/>
          <w:i/>
          <w:lang w:val="fr-CA"/>
        </w:rPr>
        <w:t>Stellaire Construction Inc.</w:t>
      </w:r>
      <w:r w:rsidRPr="00080FA4">
        <w:rPr>
          <w:rFonts w:cs="Times New Roman"/>
          <w:lang w:val="fr-CA"/>
        </w:rPr>
        <w:t xml:space="preserve"> </w:t>
      </w:r>
      <w:r w:rsidRPr="00080FA4">
        <w:rPr>
          <w:rFonts w:cs="Times New Roman"/>
          <w:i/>
          <w:lang w:val="fr-CA"/>
        </w:rPr>
        <w:t>c.</w:t>
      </w:r>
      <w:r w:rsidRPr="00080FA4">
        <w:rPr>
          <w:rFonts w:cs="Times New Roman"/>
          <w:lang w:val="fr-CA"/>
        </w:rPr>
        <w:t xml:space="preserve"> </w:t>
      </w:r>
      <w:r w:rsidRPr="00080FA4">
        <w:rPr>
          <w:rFonts w:cs="Times New Roman"/>
          <w:i/>
          <w:lang w:val="fr-CA"/>
        </w:rPr>
        <w:t>Ciment Québec Inc.</w:t>
      </w:r>
      <w:r w:rsidRPr="00080FA4">
        <w:rPr>
          <w:rFonts w:cs="Times New Roman"/>
          <w:lang w:val="fr-CA"/>
        </w:rPr>
        <w:t>,</w:t>
      </w:r>
      <w:r w:rsidRPr="00080FA4">
        <w:rPr>
          <w:rFonts w:cs="Times New Roman"/>
          <w:i/>
          <w:lang w:val="fr-CA"/>
        </w:rPr>
        <w:t xml:space="preserve"> </w:t>
      </w:r>
      <w:r w:rsidRPr="00080FA4">
        <w:rPr>
          <w:rFonts w:cs="Times New Roman"/>
          <w:lang w:val="fr-CA"/>
        </w:rPr>
        <w:t>2002 CanLII 35591</w:t>
      </w:r>
      <w:r w:rsidR="008832C0">
        <w:rPr>
          <w:rFonts w:cs="Times New Roman"/>
          <w:lang w:val="fr-CA"/>
        </w:rPr>
        <w:t xml:space="preserve"> </w:t>
      </w:r>
      <w:r w:rsidR="008832C0" w:rsidRPr="00080FA4">
        <w:rPr>
          <w:rFonts w:cs="Times New Roman"/>
          <w:lang w:val="fr-CA"/>
        </w:rPr>
        <w:t>(C.A. Qc)</w:t>
      </w:r>
      <w:r w:rsidRPr="00080FA4">
        <w:rPr>
          <w:rFonts w:cs="Times New Roman"/>
          <w:lang w:val="fr-CA"/>
        </w:rPr>
        <w:t>, par. 39).</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À l’instar de la Cour d’appel, j’estime que la juge de première instance commet une erreur en minimisant les conséquences de la faute que M</w:t>
      </w:r>
      <w:r w:rsidRPr="00080FA4">
        <w:rPr>
          <w:rFonts w:cs="Times New Roman"/>
          <w:vertAlign w:val="superscript"/>
          <w:lang w:val="fr-CA"/>
        </w:rPr>
        <w:t>e </w:t>
      </w:r>
      <w:r w:rsidRPr="00080FA4">
        <w:rPr>
          <w:rFonts w:cs="Times New Roman"/>
          <w:lang w:val="fr-CA"/>
        </w:rPr>
        <w:t>Salomon a, selon elle, commise relativement à l’investissement initial de M</w:t>
      </w:r>
      <w:r w:rsidRPr="00080FA4">
        <w:rPr>
          <w:rFonts w:cs="Times New Roman"/>
          <w:vertAlign w:val="superscript"/>
          <w:lang w:val="fr-CA"/>
        </w:rPr>
        <w:t>me </w:t>
      </w:r>
      <w:r w:rsidRPr="00080FA4">
        <w:rPr>
          <w:rFonts w:cs="Times New Roman"/>
          <w:lang w:val="fr-CA"/>
        </w:rPr>
        <w:t>Matte</w:t>
      </w:r>
      <w:r w:rsidRPr="00080FA4">
        <w:rPr>
          <w:rFonts w:cs="Times New Roman"/>
          <w:lang w:val="fr-CA"/>
        </w:rPr>
        <w:noBreakHyphen/>
        <w:t>Thompson dans le fonds iVest. Premièrement, s’il avait fait preuve de la diligence appropriée à l’égard des fonds qu’il recommandait, M</w:t>
      </w:r>
      <w:r w:rsidRPr="00080FA4">
        <w:rPr>
          <w:rFonts w:cs="Times New Roman"/>
          <w:vertAlign w:val="superscript"/>
          <w:lang w:val="fr-CA"/>
        </w:rPr>
        <w:t>e</w:t>
      </w:r>
      <w:r w:rsidRPr="00080FA4">
        <w:rPr>
          <w:rFonts w:cs="Times New Roman"/>
          <w:lang w:val="fr-CA"/>
        </w:rPr>
        <w:t> Salomon aurait su que ni iVest ni Focus n’étaient inscrits auprès de l’AMF. Cette information aurait fait naître chez lui des soupçons additionnels au sujet de M. Papadopoulos et de Triglobal, lesquels n’étaient pas autorisés à offrir des fonds de placement tels iVest et Focus. Deuxièmement, si M</w:t>
      </w:r>
      <w:r w:rsidRPr="00080FA4">
        <w:rPr>
          <w:rFonts w:cs="Times New Roman"/>
          <w:vertAlign w:val="superscript"/>
          <w:lang w:val="fr-CA"/>
        </w:rPr>
        <w:t>e</w:t>
      </w:r>
      <w:r w:rsidRPr="00080FA4">
        <w:rPr>
          <w:rFonts w:cs="Times New Roman"/>
          <w:lang w:val="fr-CA"/>
        </w:rPr>
        <w:t> Salomon avait dès le départ avisé M</w:t>
      </w:r>
      <w:r w:rsidRPr="00080FA4">
        <w:rPr>
          <w:rFonts w:cs="Times New Roman"/>
          <w:vertAlign w:val="superscript"/>
          <w:lang w:val="fr-CA"/>
        </w:rPr>
        <w:t>me</w:t>
      </w:r>
      <w:r w:rsidRPr="00080FA4">
        <w:rPr>
          <w:rFonts w:cs="Times New Roman"/>
          <w:lang w:val="fr-CA"/>
        </w:rPr>
        <w:t> Matte</w:t>
      </w:r>
      <w:r w:rsidRPr="00080FA4">
        <w:rPr>
          <w:rFonts w:cs="Times New Roman"/>
          <w:lang w:val="fr-CA"/>
        </w:rPr>
        <w:noBreakHyphen/>
        <w:t>Thompson que des fonds spéculatifs extraterritoriaux n’étaient pas des véhicules qui garantissaient la sécurité du capital, cette dernière n’aurait investi ni dans iVest ni dans Focus.</w:t>
      </w:r>
    </w:p>
    <w:p w:rsidR="0041746D" w:rsidRPr="00080FA4" w:rsidRDefault="0041746D" w:rsidP="0041746D">
      <w:pPr>
        <w:pStyle w:val="ParaNoNdepar-AltN"/>
        <w:tabs>
          <w:tab w:val="clear" w:pos="1152"/>
          <w:tab w:val="left" w:pos="1166"/>
        </w:tabs>
        <w:rPr>
          <w:rFonts w:cs="Times New Roman"/>
          <w:lang w:val="fr-CA"/>
        </w:rPr>
      </w:pPr>
      <w:bookmarkStart w:id="4" w:name="_Hlk522617483"/>
      <w:r w:rsidRPr="00080FA4">
        <w:rPr>
          <w:rFonts w:cs="Times New Roman"/>
          <w:lang w:val="fr-CA"/>
        </w:rPr>
        <w:t>Il ne fait aucun doute que les conclusions de la juge de première instance quant à l’ampleur des fautes de M</w:t>
      </w:r>
      <w:r w:rsidRPr="00080FA4">
        <w:rPr>
          <w:rFonts w:cs="Times New Roman"/>
          <w:vertAlign w:val="superscript"/>
          <w:lang w:val="fr-CA"/>
        </w:rPr>
        <w:t>e</w:t>
      </w:r>
      <w:r w:rsidRPr="00080FA4">
        <w:rPr>
          <w:rFonts w:cs="Times New Roman"/>
          <w:lang w:val="fr-CA"/>
        </w:rPr>
        <w:t> Salomon ont influencé son analyse du lien de causalité. Comme je l’ai expliqué précédemment, il était artificiel d’apprécier la preuve de façon compartimentée en se fondant sur la chronologie des faits et sur les fonds précis qui avaient été recommandés. Les faits au cœur de la présente affaire s’inscrivent dans un seul et même continuum, qui concerne à la fois les intimées et les pertes qu’elles ont subies au titre de leurs placements dans iVest et dans Focus.</w:t>
      </w:r>
      <w:r>
        <w:rPr>
          <w:rFonts w:cs="Times New Roman"/>
          <w:lang w:val="fr-CA"/>
        </w:rPr>
        <w:t xml:space="preserve"> </w:t>
      </w:r>
      <w:r w:rsidRPr="00080FA4">
        <w:rPr>
          <w:rFonts w:cs="Times New Roman"/>
          <w:lang w:val="fr-CA"/>
        </w:rPr>
        <w:t xml:space="preserve">La conclusion </w:t>
      </w:r>
      <w:r w:rsidRPr="00080FA4">
        <w:rPr>
          <w:rFonts w:cs="Times New Roman"/>
          <w:lang w:val="fr-CA"/>
        </w:rPr>
        <w:lastRenderedPageBreak/>
        <w:t>erronée de la juge de première instance suivant laquelle M</w:t>
      </w:r>
      <w:r w:rsidRPr="00080FA4">
        <w:rPr>
          <w:rFonts w:cs="Times New Roman"/>
          <w:vertAlign w:val="superscript"/>
          <w:lang w:val="fr-CA"/>
        </w:rPr>
        <w:t>e</w:t>
      </w:r>
      <w:r w:rsidRPr="00080FA4">
        <w:rPr>
          <w:rFonts w:cs="Times New Roman"/>
          <w:lang w:val="fr-CA"/>
        </w:rPr>
        <w:t> Salomon n’a pas manqué à son devoir de loyauté a également faussé son analyse de la causalité.</w:t>
      </w:r>
    </w:p>
    <w:p w:rsidR="0041746D" w:rsidRPr="00080FA4" w:rsidRDefault="0041746D" w:rsidP="0041746D">
      <w:pPr>
        <w:pStyle w:val="ParaNoNdepar-AltN"/>
        <w:rPr>
          <w:rFonts w:cs="Times New Roman"/>
          <w:lang w:val="fr-CA"/>
        </w:rPr>
      </w:pPr>
      <w:r w:rsidRPr="00080FA4">
        <w:rPr>
          <w:rFonts w:cs="Times New Roman"/>
          <w:lang w:val="fr-CA"/>
        </w:rPr>
        <w:t>Considérées globalement, les fautes de M</w:t>
      </w:r>
      <w:r w:rsidRPr="00080FA4">
        <w:rPr>
          <w:rFonts w:cs="Times New Roman"/>
          <w:vertAlign w:val="superscript"/>
          <w:lang w:val="fr-CA"/>
        </w:rPr>
        <w:t>e</w:t>
      </w:r>
      <w:r w:rsidRPr="00080FA4">
        <w:rPr>
          <w:rFonts w:cs="Times New Roman"/>
          <w:lang w:val="fr-CA"/>
        </w:rPr>
        <w:t> Salomon relativement à son devoir de conseil et à son devoir de loyauté constituent une cause véritable des pertes subies par les intimées. Madame Matte</w:t>
      </w:r>
      <w:r w:rsidRPr="00080FA4">
        <w:rPr>
          <w:rFonts w:cs="Times New Roman"/>
          <w:lang w:val="fr-CA"/>
        </w:rPr>
        <w:noBreakHyphen/>
        <w:t>Thompson a dit de M</w:t>
      </w:r>
      <w:r w:rsidRPr="00080FA4">
        <w:rPr>
          <w:rFonts w:cs="Times New Roman"/>
          <w:vertAlign w:val="superscript"/>
          <w:lang w:val="fr-CA"/>
        </w:rPr>
        <w:t>e</w:t>
      </w:r>
      <w:r w:rsidRPr="00080FA4">
        <w:rPr>
          <w:rFonts w:cs="Times New Roman"/>
          <w:lang w:val="fr-CA"/>
        </w:rPr>
        <w:t> Salomon qu’il était son [</w:t>
      </w:r>
      <w:r w:rsidRPr="00080FA4">
        <w:rPr>
          <w:rFonts w:cs="Times New Roman"/>
          <w:smallCaps/>
          <w:lang w:val="fr-CA"/>
        </w:rPr>
        <w:t>traduction</w:t>
      </w:r>
      <w:r w:rsidRPr="00080FA4">
        <w:rPr>
          <w:rFonts w:cs="Times New Roman"/>
          <w:lang w:val="fr-CA"/>
        </w:rPr>
        <w:t>] « ami et [son] avocat depuis les 20 dernières années, sinon plus » (d.a., vol. 4, p. 948). Il ressort clairement du dossier qu’elle avait pleinement confiance en lui et qu’elle se fiait non seulement aux conseils juridiques que ce dernier lui donnait au sujet de la gestion des patrimoines qu’elle administrait, mais aussi à son jugement professionnel quant aux placements qu’elle envisageait de faire. Comme le fait observer la Cour d’appel, M</w:t>
      </w:r>
      <w:r w:rsidRPr="00080FA4">
        <w:rPr>
          <w:rFonts w:cs="Times New Roman"/>
          <w:vertAlign w:val="superscript"/>
          <w:lang w:val="fr-CA"/>
        </w:rPr>
        <w:t>e</w:t>
      </w:r>
      <w:r w:rsidRPr="00080FA4">
        <w:rPr>
          <w:rFonts w:cs="Times New Roman"/>
          <w:lang w:val="fr-CA"/>
        </w:rPr>
        <w:t xml:space="preserve"> Salomon a </w:t>
      </w:r>
      <w:r w:rsidRPr="00080FA4">
        <w:rPr>
          <w:rFonts w:cs="Times New Roman"/>
          <w:lang w:val="fr-FR"/>
        </w:rPr>
        <w:t xml:space="preserve">suscité un climat de confiance à l’égard des placements, alors qu’en réalité ils ne convenaient manifestement pas aux besoins des </w:t>
      </w:r>
      <w:r w:rsidRPr="00080FA4">
        <w:rPr>
          <w:rFonts w:cs="Times New Roman"/>
          <w:lang w:val="fr-CA"/>
        </w:rPr>
        <w:t>intimées. La preuve indique que cette perception favorable reposait sur bien plus qu’un simple sentiment général de confiance de la part des intimées. La confiance des intimées envers M</w:t>
      </w:r>
      <w:r w:rsidRPr="00080FA4">
        <w:rPr>
          <w:rFonts w:cs="Times New Roman"/>
          <w:vertAlign w:val="superscript"/>
          <w:lang w:val="fr-CA"/>
        </w:rPr>
        <w:t>e </w:t>
      </w:r>
      <w:r w:rsidRPr="00080FA4">
        <w:rPr>
          <w:rFonts w:cs="Times New Roman"/>
          <w:lang w:val="fr-CA"/>
        </w:rPr>
        <w:t>Salomon et ses conseils était fondée sur des recommandations, des commentaires favorables et des assurances que ce dernier a formulés de façon constante et uniforme au fil des ans. Maître Salomon a activement contribué à stimuler leur confiance en formulant de nombreuses recommandations en matière de placements et en déclarant être versé dans ce domaine. Au fil des années, M</w:t>
      </w:r>
      <w:r w:rsidRPr="00080FA4">
        <w:rPr>
          <w:rFonts w:cs="Times New Roman"/>
          <w:vertAlign w:val="superscript"/>
          <w:lang w:val="fr-CA"/>
        </w:rPr>
        <w:t>e</w:t>
      </w:r>
      <w:r w:rsidRPr="00080FA4">
        <w:rPr>
          <w:rFonts w:cs="Times New Roman"/>
          <w:lang w:val="fr-CA"/>
        </w:rPr>
        <w:t xml:space="preserve"> Salomon n’a ménagé aucun effort pour convaincre les intimées d’effectuer — et de conserver — des placements chez Triglobal. J’ajouterai qu’il n’est pas étonnant de voir un client se fier ainsi aux conseils et à l’opinion de son avocat, puisqu’il s’agit d’une caractéristique inhérente de la relation entre les avocats et leurs clients. </w:t>
      </w:r>
      <w:r w:rsidRPr="00080FA4">
        <w:rPr>
          <w:rFonts w:cs="Times New Roman"/>
          <w:lang w:val="fr-FR"/>
        </w:rPr>
        <w:t xml:space="preserve">La crédibilité dont jouissent généralement les avocats auprès de leurs clients est un facteur qu’il ne faut pas perdre </w:t>
      </w:r>
      <w:r w:rsidRPr="00080FA4">
        <w:rPr>
          <w:rFonts w:cs="Times New Roman"/>
          <w:lang w:val="fr-FR"/>
        </w:rPr>
        <w:lastRenderedPageBreak/>
        <w:t xml:space="preserve">de vue dans l’évaluation des répercussions </w:t>
      </w:r>
      <w:r w:rsidRPr="00080FA4">
        <w:rPr>
          <w:rFonts w:cs="Times New Roman"/>
          <w:lang w:val="fr-CA"/>
        </w:rPr>
        <w:t xml:space="preserve">des conseils qu’ils prodiguent (voir </w:t>
      </w:r>
      <w:r w:rsidRPr="00080FA4">
        <w:rPr>
          <w:rFonts w:cs="Times New Roman"/>
          <w:i/>
          <w:lang w:val="fr-CA"/>
        </w:rPr>
        <w:t>Harris</w:t>
      </w:r>
      <w:r w:rsidRPr="00080FA4">
        <w:rPr>
          <w:rFonts w:cs="Times New Roman"/>
          <w:lang w:val="fr-CA"/>
        </w:rPr>
        <w:t>, par. 19).</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Lorsqu’on envisage la question sous cet angle, le fait que M</w:t>
      </w:r>
      <w:r w:rsidRPr="00080FA4">
        <w:rPr>
          <w:rFonts w:cs="Times New Roman"/>
          <w:vertAlign w:val="superscript"/>
          <w:lang w:val="fr-CA"/>
        </w:rPr>
        <w:t>e </w:t>
      </w:r>
      <w:r w:rsidRPr="00080FA4">
        <w:rPr>
          <w:rFonts w:cs="Times New Roman"/>
          <w:lang w:val="fr-CA"/>
        </w:rPr>
        <w:t>Salomon ait recommandé au départ le fonds iVest et que la majeure partie de l’argent des intimées ait été transférée par la suite dans le fonds Focus ou investie directement dans celui</w:t>
      </w:r>
      <w:r w:rsidRPr="00080FA4">
        <w:rPr>
          <w:rFonts w:cs="Times New Roman"/>
          <w:lang w:val="fr-CA"/>
        </w:rPr>
        <w:noBreakHyphen/>
        <w:t>ci importe peu. Cette distinction ne porte pas à conséquence parce que, comme je l’ai mentionné précédemment, les intimées n’auraient jamais investi dans iVest ou dans Focus si M</w:t>
      </w:r>
      <w:r w:rsidRPr="00080FA4">
        <w:rPr>
          <w:rFonts w:cs="Times New Roman"/>
          <w:vertAlign w:val="superscript"/>
          <w:lang w:val="fr-CA"/>
        </w:rPr>
        <w:t>e </w:t>
      </w:r>
      <w:r w:rsidRPr="00080FA4">
        <w:rPr>
          <w:rFonts w:cs="Times New Roman"/>
          <w:lang w:val="fr-CA"/>
        </w:rPr>
        <w:t>Salomon avait fait preuve de la diligence appropriée avant de formuler sa recommandation initiale en matière de placements ou s’il avait dit aux intimées que les fonds spéculatifs extraterritoriaux n’étaient pas des véhicules de placement garantissant la sécurité du capital. À cet égard, il faut garder à l’esprit que les fonds iVest et Focus constituaient un seul et même stratagème de type Ponzi où les sommes investies transitaient par le fonds iVest pour rembourser les investisseurs ayant placé de l’argent dans le fonds Focus, et que M</w:t>
      </w:r>
      <w:r w:rsidRPr="00080FA4">
        <w:rPr>
          <w:rFonts w:cs="Times New Roman"/>
          <w:vertAlign w:val="superscript"/>
          <w:lang w:val="fr-CA"/>
        </w:rPr>
        <w:t>e</w:t>
      </w:r>
      <w:r w:rsidRPr="00080FA4">
        <w:rPr>
          <w:rFonts w:cs="Times New Roman"/>
          <w:lang w:val="fr-CA"/>
        </w:rPr>
        <w:t> Salomon considérait lui</w:t>
      </w:r>
      <w:r w:rsidRPr="00080FA4">
        <w:rPr>
          <w:rFonts w:cs="Times New Roman"/>
          <w:lang w:val="fr-CA"/>
        </w:rPr>
        <w:noBreakHyphen/>
        <w:t>même ce fonds [</w:t>
      </w:r>
      <w:r w:rsidRPr="00080FA4">
        <w:rPr>
          <w:rFonts w:cs="Times New Roman"/>
          <w:smallCaps/>
          <w:lang w:val="fr-CA"/>
        </w:rPr>
        <w:t>traduction</w:t>
      </w:r>
      <w:r w:rsidRPr="00080FA4">
        <w:rPr>
          <w:rFonts w:cs="Times New Roman"/>
          <w:lang w:val="fr-CA"/>
        </w:rPr>
        <w:t>] « moins risqué » que le fonds iVest (motifs de la C.A., par. 131</w:t>
      </w:r>
      <w:r w:rsidR="008832C0">
        <w:rPr>
          <w:rFonts w:cs="Times New Roman"/>
          <w:lang w:val="fr-CA"/>
        </w:rPr>
        <w:t xml:space="preserve"> (soulignement omis)</w:t>
      </w:r>
      <w:r w:rsidRPr="00080FA4">
        <w:rPr>
          <w:rFonts w:cs="Times New Roman"/>
          <w:lang w:val="fr-CA"/>
        </w:rPr>
        <w:t>, citant d.a., vol. 6, p. 1553). Comme le résume bien la Cour d’appel, les pertes subies par les intimées au titre de leurs placements « s’inscrivent de manière indissociable dans un engrenage où les [intimées] ont été entraînées par les fautes de M</w:t>
      </w:r>
      <w:r w:rsidRPr="00080FA4">
        <w:rPr>
          <w:rFonts w:cs="Times New Roman"/>
          <w:vertAlign w:val="superscript"/>
          <w:lang w:val="fr-CA"/>
        </w:rPr>
        <w:t>e</w:t>
      </w:r>
      <w:r w:rsidRPr="00080FA4">
        <w:rPr>
          <w:rFonts w:cs="Times New Roman"/>
          <w:lang w:val="fr-CA"/>
        </w:rPr>
        <w:t> Salomon » (par. 140).</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Pour la Cour d’appel,</w:t>
      </w:r>
      <w:r w:rsidRPr="00080FA4">
        <w:rPr>
          <w:rFonts w:cs="Times New Roman"/>
          <w:lang w:val="fr-FR"/>
        </w:rPr>
        <w:t xml:space="preserve"> si M</w:t>
      </w:r>
      <w:r w:rsidRPr="00080FA4">
        <w:rPr>
          <w:rFonts w:cs="Times New Roman"/>
          <w:vertAlign w:val="superscript"/>
          <w:lang w:val="fr-FR"/>
        </w:rPr>
        <w:t>e</w:t>
      </w:r>
      <w:r w:rsidRPr="00080FA4">
        <w:rPr>
          <w:rFonts w:cs="Times New Roman"/>
          <w:lang w:val="fr-FR"/>
        </w:rPr>
        <w:t> Salomon avait conseillé adéquatement les intimées comme un avocat compétent, prudent et diligent l’aurait fait</w:t>
      </w:r>
      <w:r w:rsidRPr="00080FA4">
        <w:rPr>
          <w:rFonts w:cs="Times New Roman"/>
          <w:lang w:val="fr-CA"/>
        </w:rPr>
        <w:t xml:space="preserve">, et si le conflit d’intérêts n’avait pas entaché les recommandations, ainsi que les commentaires favorables et les assurances qu’il leur a formulés au fil des ans, les intimées n’auraient </w:t>
      </w:r>
      <w:r w:rsidRPr="00080FA4">
        <w:rPr>
          <w:rFonts w:cs="Times New Roman"/>
          <w:lang w:val="fr-CA"/>
        </w:rPr>
        <w:lastRenderedPageBreak/>
        <w:t>jamais investi par l’entremise de Triglobal, ni conservé leurs placements chez celle</w:t>
      </w:r>
      <w:r w:rsidRPr="00080FA4">
        <w:rPr>
          <w:rFonts w:cs="Times New Roman"/>
          <w:lang w:val="fr-CA"/>
        </w:rPr>
        <w:noBreakHyphen/>
        <w:t>ci. Les pertes considérables qu’elles ont subies ne se seraient par conséquent jamais produites. Personne ne conteste que les fautes de M</w:t>
      </w:r>
      <w:r w:rsidRPr="00080FA4">
        <w:rPr>
          <w:rFonts w:cs="Times New Roman"/>
          <w:vertAlign w:val="superscript"/>
          <w:lang w:val="fr-CA"/>
        </w:rPr>
        <w:t>e</w:t>
      </w:r>
      <w:r w:rsidRPr="00080FA4">
        <w:rPr>
          <w:rFonts w:cs="Times New Roman"/>
          <w:lang w:val="fr-CA"/>
        </w:rPr>
        <w:t> Salomon sont survenues bien avant que les pertes en question ne se matérialisent.</w:t>
      </w:r>
    </w:p>
    <w:p w:rsidR="0041746D" w:rsidRPr="00080FA4" w:rsidRDefault="0041746D" w:rsidP="0041746D">
      <w:pPr>
        <w:pStyle w:val="ParaNoNdepar-AltN"/>
        <w:rPr>
          <w:rFonts w:cs="Times New Roman"/>
          <w:lang w:val="fr-CA"/>
        </w:rPr>
      </w:pPr>
      <w:r w:rsidRPr="00080FA4">
        <w:rPr>
          <w:rFonts w:cs="Times New Roman"/>
          <w:lang w:val="fr-CA"/>
        </w:rPr>
        <w:t>Je souligne que les appelants ont plaidé que les pertes subies par les intimées ont été également causées par l’imprudence de M</w:t>
      </w:r>
      <w:r w:rsidRPr="00080FA4">
        <w:rPr>
          <w:rFonts w:cs="Times New Roman"/>
          <w:vertAlign w:val="superscript"/>
          <w:lang w:val="fr-CA"/>
        </w:rPr>
        <w:t>me </w:t>
      </w:r>
      <w:r w:rsidRPr="00080FA4">
        <w:rPr>
          <w:rFonts w:cs="Times New Roman"/>
          <w:lang w:val="fr-CA"/>
        </w:rPr>
        <w:t>Matte</w:t>
      </w:r>
      <w:r w:rsidRPr="00080FA4">
        <w:rPr>
          <w:rFonts w:cs="Times New Roman"/>
          <w:lang w:val="fr-CA"/>
        </w:rPr>
        <w:noBreakHyphen/>
        <w:t>Thompson.</w:t>
      </w:r>
      <w:r w:rsidRPr="00AF3F21">
        <w:rPr>
          <w:rStyle w:val="Hyperlink"/>
          <w:vertAlign w:val="superscript"/>
          <w:lang w:val="fr-CA"/>
        </w:rPr>
        <w:t xml:space="preserve"> </w:t>
      </w:r>
      <w:r w:rsidRPr="00080FA4">
        <w:rPr>
          <w:rFonts w:cs="Times New Roman"/>
          <w:lang w:val="fr-CA"/>
        </w:rPr>
        <w:t>Compte tenu des circonstances de la présente affaire, je ne peux accepter cet argument. Bien qu’il soit permis de penser que M</w:t>
      </w:r>
      <w:r w:rsidRPr="00080FA4">
        <w:rPr>
          <w:rFonts w:cs="Times New Roman"/>
          <w:vertAlign w:val="superscript"/>
          <w:lang w:val="fr-CA"/>
        </w:rPr>
        <w:t>me </w:t>
      </w:r>
      <w:r w:rsidRPr="00080FA4">
        <w:rPr>
          <w:rFonts w:cs="Times New Roman"/>
          <w:lang w:val="fr-CA"/>
        </w:rPr>
        <w:t>Matte</w:t>
      </w:r>
      <w:r w:rsidRPr="00080FA4">
        <w:rPr>
          <w:rFonts w:cs="Times New Roman"/>
          <w:lang w:val="fr-CA"/>
        </w:rPr>
        <w:noBreakHyphen/>
        <w:t>Thompson semblait faire considérablement confiance à M</w:t>
      </w:r>
      <w:r w:rsidRPr="00080FA4">
        <w:rPr>
          <w:rFonts w:cs="Times New Roman"/>
          <w:vertAlign w:val="superscript"/>
          <w:lang w:val="fr-CA"/>
        </w:rPr>
        <w:t>e</w:t>
      </w:r>
      <w:r w:rsidRPr="00080FA4">
        <w:rPr>
          <w:rFonts w:cs="Times New Roman"/>
          <w:lang w:val="fr-CA"/>
        </w:rPr>
        <w:t> Salomon, ce dernier lui a non seulement donné des conseils fautifs, mais il l’a également rassurée de manière répétée lorsqu’elle lui faisait part de ses inquiétudes au sujet des placements. Dans un tel contexte, la responsabilité de M</w:t>
      </w:r>
      <w:r w:rsidRPr="00080FA4">
        <w:rPr>
          <w:rFonts w:cs="Times New Roman"/>
          <w:vertAlign w:val="superscript"/>
          <w:lang w:val="fr-CA"/>
        </w:rPr>
        <w:t>e </w:t>
      </w:r>
      <w:r w:rsidRPr="00080FA4">
        <w:rPr>
          <w:rFonts w:cs="Times New Roman"/>
          <w:lang w:val="fr-CA"/>
        </w:rPr>
        <w:t>Salomon n’est ni écartée ni atténuée par le fait que les intimées n’ont pas remis en question les conseils fautifs qu’il leur donnait. La capacité d’un client de se fier aux conseils de son avocat est un aspect central de la relation avocat</w:t>
      </w:r>
      <w:r w:rsidRPr="00080FA4">
        <w:rPr>
          <w:rFonts w:cs="Times New Roman"/>
          <w:lang w:val="fr-CA"/>
        </w:rPr>
        <w:noBreakHyphen/>
        <w:t>client. En principe, [</w:t>
      </w:r>
      <w:r w:rsidRPr="00080FA4">
        <w:rPr>
          <w:rFonts w:cs="Times New Roman"/>
          <w:smallCaps/>
          <w:lang w:val="fr-CA"/>
        </w:rPr>
        <w:t>traduction</w:t>
      </w:r>
      <w:r w:rsidRPr="00080FA4">
        <w:rPr>
          <w:rFonts w:cs="Times New Roman"/>
          <w:lang w:val="fr-CA"/>
        </w:rPr>
        <w:t xml:space="preserve">] « le fait qu’un client accepte les conseils que lui formule de façon négligente son avocat ne saurait exonérer ce dernier de sa responsabilité » (m.i., par. 102). Une telle conclusion contredirait carrément les règles de droit relatives à la responsabilité professionnelle (voir, par analogie, </w:t>
      </w:r>
      <w:r w:rsidRPr="00080FA4">
        <w:rPr>
          <w:rFonts w:cs="Times New Roman"/>
          <w:i/>
          <w:lang w:val="fr-CA"/>
        </w:rPr>
        <w:t>Laflamme c. Prudential</w:t>
      </w:r>
      <w:r w:rsidRPr="00080FA4">
        <w:rPr>
          <w:rFonts w:cs="Times New Roman"/>
          <w:i/>
          <w:lang w:val="fr-CA"/>
        </w:rPr>
        <w:noBreakHyphen/>
        <w:t>Bache Commodities Canada Ltd.</w:t>
      </w:r>
      <w:r w:rsidRPr="00080FA4">
        <w:rPr>
          <w:rFonts w:cs="Times New Roman"/>
          <w:lang w:val="fr-CA"/>
        </w:rPr>
        <w:t>, 2000 CSC 26, [2000] 1 R.C.S. 638, par. 54</w:t>
      </w:r>
      <w:r w:rsidRPr="00080FA4">
        <w:rPr>
          <w:rFonts w:cs="Times New Roman"/>
          <w:lang w:val="fr-CA"/>
        </w:rPr>
        <w:noBreakHyphen/>
        <w:t>56).</w:t>
      </w:r>
    </w:p>
    <w:p w:rsidR="0041746D" w:rsidRPr="00080FA4" w:rsidRDefault="0041746D" w:rsidP="0041746D">
      <w:pPr>
        <w:pStyle w:val="Title3LevelTitre3Niveau"/>
        <w:numPr>
          <w:ilvl w:val="2"/>
          <w:numId w:val="7"/>
        </w:numPr>
        <w:rPr>
          <w:rFonts w:cs="Times New Roman"/>
          <w:lang w:val="fr-CA"/>
        </w:rPr>
      </w:pPr>
      <w:r w:rsidRPr="00080FA4">
        <w:rPr>
          <w:rFonts w:cs="Times New Roman"/>
          <w:lang w:val="fr-CA"/>
        </w:rPr>
        <w:t>Absence de rupture du lien de causalité</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Je suis également d’accord avec la Cour d’appel pour dire que la fraude n’a pas rompu le lien de causalité entre les fautes de M</w:t>
      </w:r>
      <w:r w:rsidRPr="00080FA4">
        <w:rPr>
          <w:rFonts w:cs="Times New Roman"/>
          <w:vertAlign w:val="superscript"/>
          <w:lang w:val="fr-CA"/>
        </w:rPr>
        <w:t>e</w:t>
      </w:r>
      <w:r w:rsidRPr="00080FA4">
        <w:rPr>
          <w:rFonts w:cs="Times New Roman"/>
          <w:lang w:val="fr-CA"/>
        </w:rPr>
        <w:t xml:space="preserve"> Salomon et les pertes des intimées. Il est vrai que l’auteur d’une faute n’est pas responsable des conséquences </w:t>
      </w:r>
      <w:r w:rsidRPr="00080FA4">
        <w:rPr>
          <w:rFonts w:cs="Times New Roman"/>
          <w:lang w:val="fr-CA"/>
        </w:rPr>
        <w:lastRenderedPageBreak/>
        <w:t xml:space="preserve">d’un événement subséquent qui est indépendant de lui et qui est sans rapport avec la faute initiale. Il s’agit d’un principe qui est parfois appelé </w:t>
      </w:r>
      <w:r w:rsidRPr="00080FA4">
        <w:rPr>
          <w:rFonts w:cs="Times New Roman"/>
          <w:i/>
          <w:lang w:val="fr-CA"/>
        </w:rPr>
        <w:t>novus actus interveniens</w:t>
      </w:r>
      <w:r w:rsidRPr="00080FA4">
        <w:rPr>
          <w:rFonts w:cs="Times New Roman"/>
          <w:lang w:val="fr-CA"/>
        </w:rPr>
        <w:t xml:space="preserve"> : un tel événement subséquent peut rompre le lien direct que requiert l’art. 1607 </w:t>
      </w:r>
      <w:r w:rsidRPr="00080FA4">
        <w:rPr>
          <w:rFonts w:cs="Times New Roman"/>
          <w:i/>
          <w:lang w:val="fr-CA"/>
        </w:rPr>
        <w:t>C.c.Q.</w:t>
      </w:r>
      <w:r w:rsidRPr="00080FA4">
        <w:rPr>
          <w:rFonts w:cs="Times New Roman"/>
          <w:lang w:val="fr-CA"/>
        </w:rPr>
        <w:t xml:space="preserve"> entre la faute et le préjudice. Toutefois, deux conditions doivent être réunies pour que ce principe s’applique. Dans un premier temps, il faut que le lien de causalité entre la faute initiale et le préjudice subi soit complètement rompu. Dans un second temps, il doit exister un lien de causalité entre ce nouvel événement et le préjudice subi. Dans le cas contraire, la faute initiale est une des fautes ayant causé le préjudice, auquel cas une question du partage de la responsabilité peut se soulever (</w:t>
      </w:r>
      <w:r w:rsidRPr="00080FA4">
        <w:rPr>
          <w:rFonts w:cs="Times New Roman"/>
          <w:szCs w:val="24"/>
          <w:lang w:val="fr-CA"/>
        </w:rPr>
        <w:t>Baudouin, Deslauriers, Moore, n</w:t>
      </w:r>
      <w:r w:rsidR="008832C0">
        <w:rPr>
          <w:rFonts w:cs="Times New Roman"/>
          <w:szCs w:val="24"/>
          <w:vertAlign w:val="superscript"/>
          <w:lang w:val="fr-CA"/>
        </w:rPr>
        <w:t xml:space="preserve">os </w:t>
      </w:r>
      <w:r w:rsidRPr="00080FA4">
        <w:rPr>
          <w:rFonts w:cs="Times New Roman"/>
          <w:szCs w:val="24"/>
          <w:lang w:val="fr-CA"/>
        </w:rPr>
        <w:t>1</w:t>
      </w:r>
      <w:r w:rsidRPr="00080FA4">
        <w:rPr>
          <w:rFonts w:cs="Times New Roman"/>
          <w:szCs w:val="24"/>
          <w:lang w:val="fr-CA"/>
        </w:rPr>
        <w:noBreakHyphen/>
        <w:t>691 à 1</w:t>
      </w:r>
      <w:r w:rsidRPr="00080FA4">
        <w:rPr>
          <w:rFonts w:cs="Times New Roman"/>
          <w:szCs w:val="24"/>
          <w:lang w:val="fr-CA"/>
        </w:rPr>
        <w:noBreakHyphen/>
        <w:t xml:space="preserve">692; </w:t>
      </w:r>
      <w:r w:rsidRPr="00080FA4">
        <w:rPr>
          <w:rFonts w:cs="Times New Roman"/>
          <w:i/>
          <w:szCs w:val="24"/>
          <w:lang w:val="fr-CA"/>
        </w:rPr>
        <w:t>Laval (Ville de) (Service de protection des citoyens, département de police et centre d’appels d’urgence 911) c. Ducharme</w:t>
      </w:r>
      <w:r w:rsidRPr="00080FA4">
        <w:rPr>
          <w:rFonts w:cs="Times New Roman"/>
          <w:szCs w:val="24"/>
          <w:lang w:val="fr-CA"/>
        </w:rPr>
        <w:t>, 2012 QCCA 2122, [2012] R.J.Q. 2090, par. 64</w:t>
      </w:r>
      <w:r w:rsidRPr="00080FA4">
        <w:rPr>
          <w:rFonts w:cs="Times New Roman"/>
          <w:szCs w:val="24"/>
          <w:lang w:val="fr-CA"/>
        </w:rPr>
        <w:noBreakHyphen/>
        <w:t xml:space="preserve">65; </w:t>
      </w:r>
      <w:r w:rsidRPr="00080FA4">
        <w:rPr>
          <w:rFonts w:cs="Times New Roman"/>
          <w:i/>
          <w:szCs w:val="24"/>
          <w:lang w:val="fr-CA"/>
        </w:rPr>
        <w:t>Lacombe c. André</w:t>
      </w:r>
      <w:r w:rsidRPr="00080FA4">
        <w:rPr>
          <w:rFonts w:cs="Times New Roman"/>
          <w:szCs w:val="24"/>
          <w:lang w:val="fr-CA"/>
        </w:rPr>
        <w:t>, [2003] R.J.Q. 720</w:t>
      </w:r>
      <w:r w:rsidR="008832C0">
        <w:rPr>
          <w:rFonts w:cs="Times New Roman"/>
          <w:szCs w:val="24"/>
          <w:lang w:val="fr-CA"/>
        </w:rPr>
        <w:t xml:space="preserve"> </w:t>
      </w:r>
      <w:r w:rsidR="008832C0" w:rsidRPr="00080FA4">
        <w:rPr>
          <w:rFonts w:cs="Times New Roman"/>
          <w:szCs w:val="24"/>
          <w:lang w:val="fr-CA"/>
        </w:rPr>
        <w:t>(C.A.)</w:t>
      </w:r>
      <w:r w:rsidRPr="00080FA4">
        <w:rPr>
          <w:rFonts w:cs="Times New Roman"/>
          <w:szCs w:val="24"/>
          <w:lang w:val="fr-CA"/>
        </w:rPr>
        <w:t>, par. 58</w:t>
      </w:r>
      <w:r w:rsidRPr="00080FA4">
        <w:rPr>
          <w:rFonts w:cs="Times New Roman"/>
          <w:szCs w:val="24"/>
          <w:lang w:val="fr-CA"/>
        </w:rPr>
        <w:noBreakHyphen/>
        <w:t>60</w:t>
      </w:r>
      <w:r w:rsidRPr="00080FA4">
        <w:rPr>
          <w:rFonts w:cs="Times New Roman"/>
          <w:lang w:val="fr-CA"/>
        </w:rPr>
        <w:t xml:space="preserve">). </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 xml:space="preserve">La Cour d’appel conclut à bon droit que la première de ces deux conditions n’est pas remplie en l’espèce : </w:t>
      </w:r>
      <w:r w:rsidRPr="00080FA4">
        <w:rPr>
          <w:rFonts w:cs="Times New Roman"/>
          <w:lang w:val="fr-FR"/>
        </w:rPr>
        <w:t>le lien de causalité entre la faute et le préjudice</w:t>
      </w:r>
      <w:r w:rsidRPr="00080FA4">
        <w:rPr>
          <w:rFonts w:cs="Times New Roman"/>
          <w:lang w:val="fr-CA"/>
        </w:rPr>
        <w:t xml:space="preserve"> n’a pas été </w:t>
      </w:r>
      <w:r w:rsidRPr="00080FA4">
        <w:rPr>
          <w:rFonts w:cs="Times New Roman"/>
          <w:lang w:val="fr-FR"/>
        </w:rPr>
        <w:t>complètement rompu, bien au contraire</w:t>
      </w:r>
      <w:r w:rsidRPr="00080FA4">
        <w:rPr>
          <w:rFonts w:cs="Times New Roman"/>
          <w:lang w:val="fr-CA"/>
        </w:rPr>
        <w:t xml:space="preserve">. La jurisprudence confirme que la commission d’une fraude par un tiers n’empêche pas que des personnes qui ont omis de prendre les précautions requises soient tenues responsables (voir, p. ex., </w:t>
      </w:r>
      <w:r w:rsidRPr="00080FA4">
        <w:rPr>
          <w:rFonts w:cs="Times New Roman"/>
          <w:i/>
          <w:lang w:val="fr-CA"/>
        </w:rPr>
        <w:t>Beaulieu c. Paquet</w:t>
      </w:r>
      <w:r w:rsidRPr="00080FA4">
        <w:rPr>
          <w:rFonts w:cs="Times New Roman"/>
          <w:lang w:val="fr-CA"/>
        </w:rPr>
        <w:t>, 2016 QCCA 1284, par. 36</w:t>
      </w:r>
      <w:r w:rsidRPr="00080FA4">
        <w:rPr>
          <w:rFonts w:cs="Times New Roman"/>
          <w:lang w:val="fr-CA"/>
        </w:rPr>
        <w:noBreakHyphen/>
        <w:t xml:space="preserve">41 (CanLII); </w:t>
      </w:r>
      <w:r w:rsidRPr="00080FA4">
        <w:rPr>
          <w:rFonts w:cs="Times New Roman"/>
          <w:i/>
          <w:lang w:val="fr-CA"/>
        </w:rPr>
        <w:t>124329 Canada inc. c. Banque Nationale du Canada</w:t>
      </w:r>
      <w:r w:rsidRPr="00080FA4">
        <w:rPr>
          <w:rFonts w:cs="Times New Roman"/>
          <w:lang w:val="fr-CA"/>
        </w:rPr>
        <w:t>, 2011 QCCA 226, [2011] R.J.Q. 295, par. 82</w:t>
      </w:r>
      <w:r w:rsidRPr="00080FA4">
        <w:rPr>
          <w:rFonts w:cs="Times New Roman"/>
          <w:lang w:val="fr-CA"/>
        </w:rPr>
        <w:noBreakHyphen/>
        <w:t>89). Dans le cas qui nous occupe, les commentaires aveuglément favorables à l’égard de M. Papadopoulos formulés par M</w:t>
      </w:r>
      <w:r w:rsidRPr="00080FA4">
        <w:rPr>
          <w:rFonts w:cs="Times New Roman"/>
          <w:vertAlign w:val="superscript"/>
          <w:lang w:val="fr-CA"/>
        </w:rPr>
        <w:t>e</w:t>
      </w:r>
      <w:r w:rsidRPr="00080FA4">
        <w:rPr>
          <w:rFonts w:cs="Times New Roman"/>
          <w:lang w:val="fr-CA"/>
        </w:rPr>
        <w:t xml:space="preserve"> Salomon, l’omission de ce dernier de faire preuve de la diligence appropriée et les assurances sans fondement qu’il a données ont rendu les intimées vulnérables à une possible fraude (voir </w:t>
      </w:r>
      <w:r w:rsidRPr="00080FA4">
        <w:rPr>
          <w:rFonts w:cs="Times New Roman"/>
          <w:i/>
          <w:lang w:val="fr-CA"/>
        </w:rPr>
        <w:t>Beaulieu</w:t>
      </w:r>
      <w:r w:rsidRPr="00080FA4">
        <w:rPr>
          <w:rFonts w:cs="Times New Roman"/>
          <w:lang w:val="fr-CA"/>
        </w:rPr>
        <w:t xml:space="preserve">, par. 41). La fraude n’a </w:t>
      </w:r>
      <w:r w:rsidRPr="00080FA4">
        <w:rPr>
          <w:rFonts w:cs="Times New Roman"/>
          <w:lang w:val="fr-CA"/>
        </w:rPr>
        <w:lastRenderedPageBreak/>
        <w:t>pas rompu le lien de causalité. Aucune perte n’aurait été subie sans les fautes commises au départ par M</w:t>
      </w:r>
      <w:r w:rsidRPr="00080FA4">
        <w:rPr>
          <w:rFonts w:cs="Times New Roman"/>
          <w:vertAlign w:val="superscript"/>
          <w:lang w:val="fr-CA"/>
        </w:rPr>
        <w:t>e</w:t>
      </w:r>
      <w:r w:rsidRPr="00080FA4">
        <w:rPr>
          <w:rFonts w:cs="Times New Roman"/>
          <w:lang w:val="fr-CA"/>
        </w:rPr>
        <w:t xml:space="preserve"> Salomon. Comme le déclare notre Cour dans l’arrêt </w:t>
      </w:r>
      <w:r w:rsidRPr="00080FA4">
        <w:rPr>
          <w:rFonts w:cs="Times New Roman"/>
          <w:i/>
          <w:lang w:val="fr-CA"/>
        </w:rPr>
        <w:t>Hodgkinson c. Simms</w:t>
      </w:r>
      <w:r w:rsidRPr="00080FA4">
        <w:rPr>
          <w:rFonts w:cs="Times New Roman"/>
          <w:lang w:val="fr-CA"/>
        </w:rPr>
        <w:t>, [1994] 3 R.C.S. 377, quoiqu’elle l’ait fait dans le contexte de la common law, lorsqu’un manquement à une obligation « a déclenché la série d’événements qui ont abouti à la perte de l’investisseur</w:t>
      </w:r>
      <w:r w:rsidR="00AE0427">
        <w:rPr>
          <w:rFonts w:cs="Times New Roman"/>
          <w:lang w:val="fr-CA"/>
        </w:rPr>
        <w:t xml:space="preserve"> [. . .] [i]</w:t>
      </w:r>
      <w:r w:rsidRPr="00080FA4">
        <w:rPr>
          <w:rFonts w:cs="Times New Roman"/>
          <w:lang w:val="fr-CA"/>
        </w:rPr>
        <w:t>l n’est [. . .] que juste et équitable que ce soit l’auteur [de ce] manquement qui assume la perte en totalité » (p. 443).</w:t>
      </w:r>
    </w:p>
    <w:p w:rsidR="0041746D" w:rsidRPr="00080FA4" w:rsidRDefault="0041746D" w:rsidP="0041746D">
      <w:pPr>
        <w:pStyle w:val="Title3LevelTitre3Niveau"/>
        <w:numPr>
          <w:ilvl w:val="2"/>
          <w:numId w:val="7"/>
        </w:numPr>
        <w:rPr>
          <w:rFonts w:cs="Times New Roman"/>
          <w:lang w:val="fr-CA"/>
        </w:rPr>
      </w:pPr>
      <w:r w:rsidRPr="00080FA4">
        <w:rPr>
          <w:rFonts w:cs="Times New Roman"/>
          <w:lang w:val="fr-CA"/>
        </w:rPr>
        <w:t>Prévisibilité et possibilité de recouvrement</w:t>
      </w:r>
    </w:p>
    <w:p w:rsidR="0041746D" w:rsidRPr="00080FA4" w:rsidRDefault="0041746D" w:rsidP="0041746D">
      <w:pPr>
        <w:pStyle w:val="ParaNoNdepar-AltN"/>
        <w:tabs>
          <w:tab w:val="clear" w:pos="1152"/>
          <w:tab w:val="left" w:pos="1166"/>
        </w:tabs>
        <w:rPr>
          <w:rFonts w:cs="Times New Roman"/>
          <w:sz w:val="22"/>
          <w:lang w:val="fr-CA"/>
        </w:rPr>
      </w:pPr>
      <w:r w:rsidRPr="00080FA4">
        <w:rPr>
          <w:rFonts w:cs="Times New Roman"/>
          <w:lang w:val="fr-CA"/>
        </w:rPr>
        <w:t>J’ajoute deux observations. Premièrement, les appelants soutiennent que M</w:t>
      </w:r>
      <w:r w:rsidRPr="00080FA4">
        <w:rPr>
          <w:rFonts w:cs="Times New Roman"/>
          <w:vertAlign w:val="superscript"/>
          <w:lang w:val="fr-CA"/>
        </w:rPr>
        <w:t>e</w:t>
      </w:r>
      <w:r w:rsidRPr="00080FA4">
        <w:rPr>
          <w:rFonts w:cs="Times New Roman"/>
          <w:lang w:val="fr-CA"/>
        </w:rPr>
        <w:t xml:space="preserve"> Salomon ne peut être tenu responsable de dommages qui n’étaient pas prévisibles. En matière contractuelle, l’art. 1613 </w:t>
      </w:r>
      <w:r w:rsidRPr="00080FA4">
        <w:rPr>
          <w:rFonts w:cs="Times New Roman"/>
          <w:i/>
          <w:lang w:val="fr-CA"/>
        </w:rPr>
        <w:t>C.c.Q.</w:t>
      </w:r>
      <w:r w:rsidRPr="00080FA4">
        <w:rPr>
          <w:rFonts w:cs="Times New Roman"/>
          <w:lang w:val="fr-CA"/>
        </w:rPr>
        <w:t xml:space="preserve"> prévoit que « </w:t>
      </w:r>
      <w:r w:rsidRPr="00080FA4">
        <w:rPr>
          <w:rFonts w:cs="Times New Roman"/>
          <w:lang w:val="fr-FR"/>
        </w:rPr>
        <w:t>le débiteur n’est tenu que des dommages</w:t>
      </w:r>
      <w:r w:rsidRPr="00080FA4">
        <w:rPr>
          <w:rFonts w:cs="Times New Roman"/>
          <w:lang w:val="fr-FR"/>
        </w:rPr>
        <w:noBreakHyphen/>
        <w:t xml:space="preserve">intérêts qui ont été prévus ou qu’on a pu prévoir au moment où l’obligation a été contractée, lorsque ce n’est point par sa faute intentionnelle ou par sa faute lourde qu’elle n’est point exécutée ». Cet article n’est d’aucun secours pour </w:t>
      </w:r>
      <w:r w:rsidRPr="00080FA4">
        <w:rPr>
          <w:rFonts w:cs="Times New Roman"/>
          <w:lang w:val="fr-CA"/>
        </w:rPr>
        <w:t xml:space="preserve">les appelants en l’espèce. </w:t>
      </w:r>
    </w:p>
    <w:p w:rsidR="0041746D" w:rsidRPr="00080FA4" w:rsidRDefault="0041746D" w:rsidP="0041746D">
      <w:pPr>
        <w:pStyle w:val="ParaNoNdepar-AltN"/>
        <w:rPr>
          <w:rFonts w:cs="Times New Roman"/>
          <w:szCs w:val="24"/>
          <w:lang w:val="fr-CA"/>
        </w:rPr>
      </w:pPr>
      <w:r w:rsidRPr="00080FA4">
        <w:rPr>
          <w:rFonts w:cs="Times New Roman"/>
          <w:lang w:val="fr-CA"/>
        </w:rPr>
        <w:t xml:space="preserve">Cette norme ne signifie pas qu’il </w:t>
      </w:r>
      <w:r w:rsidRPr="00080FA4">
        <w:rPr>
          <w:rFonts w:cs="Times New Roman"/>
          <w:szCs w:val="24"/>
          <w:lang w:val="fr-CA"/>
        </w:rPr>
        <w:t xml:space="preserve">est nécessaire d’être au fait d’une possible fraude ou d’en soupçonner l’existence (voir </w:t>
      </w:r>
      <w:r w:rsidRPr="00080FA4">
        <w:rPr>
          <w:rFonts w:cs="Times New Roman"/>
          <w:i/>
          <w:szCs w:val="24"/>
          <w:lang w:val="fr-CA"/>
        </w:rPr>
        <w:t>Beaulieu</w:t>
      </w:r>
      <w:r w:rsidRPr="00080FA4">
        <w:rPr>
          <w:rFonts w:cs="Times New Roman"/>
          <w:szCs w:val="24"/>
          <w:lang w:val="fr-CA"/>
        </w:rPr>
        <w:t xml:space="preserve">, par. 41). Les principaux risques découlant du fait de prodiguer des conseils en matière de placements sont la baisse des prix du marché et la fraude commise par un tiers, qui pourraient causer tous deux une perte des sommes investies. Lorsqu’un de ces risques se matérialise et que les avocats n’ont pas respecté les normes de conduite professionnelle destinées à protéger leurs clients contre ce risque précis, ils peuvent être tenus responsables des pertes subies par leurs clients au titre de leurs placements (motifs de la C.A., par. 146; voir aussi </w:t>
      </w:r>
      <w:r w:rsidRPr="00080FA4">
        <w:rPr>
          <w:rFonts w:cs="Times New Roman"/>
          <w:i/>
          <w:szCs w:val="24"/>
          <w:lang w:val="fr-CA"/>
        </w:rPr>
        <w:lastRenderedPageBreak/>
        <w:t>Hodgkinson</w:t>
      </w:r>
      <w:r w:rsidRPr="00080FA4">
        <w:rPr>
          <w:rFonts w:cs="Times New Roman"/>
          <w:szCs w:val="24"/>
          <w:lang w:val="fr-CA"/>
        </w:rPr>
        <w:t xml:space="preserve">, p. 452). Cela ne fait pas pour autant des avocats les assureurs de leurs clients en cas de pertes. </w:t>
      </w:r>
    </w:p>
    <w:p w:rsidR="0041746D" w:rsidRPr="00080FA4" w:rsidRDefault="0041746D" w:rsidP="0041746D">
      <w:pPr>
        <w:pStyle w:val="ParaNoNdepar-AltN"/>
        <w:tabs>
          <w:tab w:val="clear" w:pos="1152"/>
          <w:tab w:val="left" w:pos="1166"/>
        </w:tabs>
        <w:rPr>
          <w:rFonts w:cs="Times New Roman"/>
          <w:szCs w:val="24"/>
          <w:lang w:val="fr-CA"/>
        </w:rPr>
      </w:pPr>
      <w:r w:rsidRPr="00080FA4">
        <w:rPr>
          <w:rFonts w:cs="Times New Roman"/>
          <w:szCs w:val="24"/>
          <w:lang w:val="fr-CA"/>
        </w:rPr>
        <w:t>Deuxièmement, la juge de première instance conclut qu’aucune preuve n’indique que M</w:t>
      </w:r>
      <w:r w:rsidRPr="00080FA4">
        <w:rPr>
          <w:rFonts w:cs="Times New Roman"/>
          <w:szCs w:val="24"/>
          <w:vertAlign w:val="superscript"/>
          <w:lang w:val="fr-CA"/>
        </w:rPr>
        <w:t>e</w:t>
      </w:r>
      <w:r w:rsidRPr="00080FA4">
        <w:rPr>
          <w:rFonts w:cs="Times New Roman"/>
          <w:szCs w:val="24"/>
          <w:lang w:val="fr-CA"/>
        </w:rPr>
        <w:t> Salomon aurait pu corriger la situation lorsqu’il a appris l’existence des placements des intimées dans le fonds Focus. La Cour d’appel réplique que la question de savoir s’il aurait été possible de recouvrer ces placements en 2006 ou 2007 n’est pas pertinente, étant donné que les fautes avaient déjà été commises à l’époque. J’abonde dans le même sens. Il arrive souvent que l’auteur d’une faute n’ait pas la possibilité de la corriger par la suite. Cela n’a aucune incidence sur sa responsabilité. Il est donc inutile de se livrer à des spéculations sur la question de savoir si les intimées auraient été en mesure ou non de recouvrer leurs placements si elles en avaient demandé le remboursement plus tôt. Je signale néanmoins qu’elles ont pu recouvrer 900 000 $ des fonds Focus et iVest entre les mois de février et de juillet 2007. En juin 2007, M</w:t>
      </w:r>
      <w:r w:rsidRPr="00080FA4">
        <w:rPr>
          <w:rFonts w:cs="Times New Roman"/>
          <w:szCs w:val="24"/>
          <w:vertAlign w:val="superscript"/>
          <w:lang w:val="fr-CA"/>
        </w:rPr>
        <w:t>e</w:t>
      </w:r>
      <w:r w:rsidRPr="00080FA4">
        <w:rPr>
          <w:rFonts w:cs="Times New Roman"/>
          <w:szCs w:val="24"/>
          <w:lang w:val="fr-CA"/>
        </w:rPr>
        <w:t> Salomon a lui aussi demandé le remboursement de la somme de 70 000 $ qu’il avait investie dans Focus, et il a reçu 50 000 $.</w:t>
      </w:r>
    </w:p>
    <w:p w:rsidR="0041746D" w:rsidRPr="00080FA4" w:rsidRDefault="0041746D" w:rsidP="0041746D">
      <w:pPr>
        <w:pStyle w:val="Title1LevelTitre1Niveau-AltL"/>
        <w:numPr>
          <w:ilvl w:val="0"/>
          <w:numId w:val="7"/>
        </w:numPr>
        <w:tabs>
          <w:tab w:val="clear" w:pos="1002"/>
          <w:tab w:val="num" w:pos="567"/>
        </w:tabs>
        <w:ind w:hanging="1002"/>
        <w:rPr>
          <w:rFonts w:cs="Times New Roman"/>
          <w:lang w:val="fr-CA"/>
        </w:rPr>
      </w:pPr>
      <w:r w:rsidRPr="00080FA4">
        <w:rPr>
          <w:rFonts w:cs="Times New Roman"/>
          <w:lang w:val="fr-CA"/>
        </w:rPr>
        <w:t>Conclusion</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 xml:space="preserve">Nous ne sommes pas en présence d’une simple affaire d’aiguillage. La présente espèce concerne un avocat qui, sur une période de plusieurs années, recommande et commente favorablement un conseiller financier et des produits financiers, et encourage ses clientes à conserver leurs placements chez ce conseiller. De surcroît, alors qu’il accomplit ces actes, cet avocat omet de faire preuve de la diligence appropriée, il fait des déclarations inexactes au sujet de placements, il manque à son devoir de confidentialité et il agit malgré l’existence d’un conflit d’intérêts. Dans </w:t>
      </w:r>
      <w:r w:rsidRPr="00080FA4">
        <w:rPr>
          <w:rFonts w:cs="Times New Roman"/>
          <w:lang w:val="fr-CA"/>
        </w:rPr>
        <w:lastRenderedPageBreak/>
        <w:t>un tel contexte, un avocat ne peut échapper à sa responsabilité en invoquant comme bouclier la norme élevée qui sert à établir la responsabilité dans les affaires où un avocat aiguille simplement un client.</w:t>
      </w:r>
    </w:p>
    <w:p w:rsidR="0041746D" w:rsidRPr="00080FA4" w:rsidRDefault="0041746D" w:rsidP="0041746D">
      <w:pPr>
        <w:pStyle w:val="ParaNoNdepar-AltN"/>
        <w:tabs>
          <w:tab w:val="clear" w:pos="1152"/>
          <w:tab w:val="left" w:pos="1166"/>
        </w:tabs>
        <w:rPr>
          <w:rFonts w:cs="Times New Roman"/>
          <w:lang w:val="fr-CA"/>
        </w:rPr>
      </w:pPr>
      <w:r w:rsidRPr="00080FA4">
        <w:rPr>
          <w:rFonts w:cs="Times New Roman"/>
          <w:lang w:val="fr-CA"/>
        </w:rPr>
        <w:t xml:space="preserve">Je considère que la Cour d’appel a appliqué adéquatement les normes de contrôle pertinentes en appel énoncées dans l’arrêt </w:t>
      </w:r>
      <w:r w:rsidRPr="00080FA4">
        <w:rPr>
          <w:rFonts w:cs="Times New Roman"/>
          <w:i/>
          <w:lang w:val="fr-CA"/>
        </w:rPr>
        <w:t xml:space="preserve">Housen </w:t>
      </w:r>
      <w:r w:rsidRPr="00080FA4">
        <w:rPr>
          <w:rFonts w:cs="Times New Roman"/>
          <w:lang w:val="fr-CA"/>
        </w:rPr>
        <w:t>lorsqu’elle a infirmé la décision de la juge de première instance. Cette dernière a commis des erreurs manifestes et déterminantes dans son appréciation de la faute et du lien de causalité, et elle a en outre commis une erreur lors de son analyse de la situation de conflit d’intérêts en cause dans la présente affaire. La responsabilité professionnelle des appelants à l’égard des pertes subies par les intimées est établie. Je suis d’avis de rejeter le pourvoi avec dépens.</w:t>
      </w:r>
      <w:bookmarkEnd w:id="4"/>
    </w:p>
    <w:p w:rsidR="0041746D" w:rsidRDefault="00601A9A" w:rsidP="00601A9A">
      <w:pPr>
        <w:tabs>
          <w:tab w:val="left" w:pos="1170"/>
        </w:tabs>
        <w:rPr>
          <w:lang w:val="fr-CA"/>
        </w:rPr>
      </w:pPr>
      <w:r>
        <w:rPr>
          <w:lang w:val="fr-CA"/>
        </w:rPr>
        <w:tab/>
      </w:r>
      <w:r w:rsidR="0041746D" w:rsidRPr="00E873A9">
        <w:rPr>
          <w:lang w:val="fr-CA"/>
        </w:rPr>
        <w:t>Version française des motifs rendus par</w:t>
      </w:r>
    </w:p>
    <w:p w:rsidR="0041746D" w:rsidRPr="00E873A9" w:rsidRDefault="0041746D" w:rsidP="0041746D">
      <w:pPr>
        <w:rPr>
          <w:lang w:val="fr-CA"/>
        </w:rPr>
      </w:pPr>
    </w:p>
    <w:p w:rsidR="0041746D" w:rsidRPr="008675BA" w:rsidRDefault="0041746D" w:rsidP="0041746D">
      <w:pPr>
        <w:pStyle w:val="JudgeJuge"/>
        <w:spacing w:before="480"/>
        <w:rPr>
          <w:lang w:val="fr-CA"/>
        </w:rPr>
      </w:pPr>
      <w:r w:rsidRPr="008675BA">
        <w:rPr>
          <w:lang w:val="fr-CA"/>
        </w:rPr>
        <w:tab/>
        <w:t xml:space="preserve">La juge Côté </w:t>
      </w:r>
      <w:r w:rsidR="00601A9A" w:rsidRPr="00601A9A">
        <w:rPr>
          <w:smallCaps w:val="0"/>
          <w:lang w:val="fr-CA"/>
        </w:rPr>
        <w:t xml:space="preserve">(dissidente) </w:t>
      </w:r>
      <w:r w:rsidRPr="008675BA">
        <w:rPr>
          <w:lang w:val="fr-CA"/>
        </w:rPr>
        <w:t>—</w:t>
      </w:r>
    </w:p>
    <w:tbl>
      <w:tblPr>
        <w:tblStyle w:val="TableGrid1"/>
        <w:tblW w:w="9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50"/>
        <w:gridCol w:w="993"/>
      </w:tblGrid>
      <w:tr w:rsidR="0041746D" w:rsidRPr="008675BA" w:rsidTr="00C81D6C">
        <w:trPr>
          <w:trHeight w:val="432"/>
        </w:trPr>
        <w:tc>
          <w:tcPr>
            <w:tcW w:w="9543" w:type="dxa"/>
            <w:gridSpan w:val="2"/>
          </w:tcPr>
          <w:p w:rsidR="0041746D" w:rsidRPr="006A51D2" w:rsidRDefault="0041746D" w:rsidP="00C81D6C">
            <w:pPr>
              <w:tabs>
                <w:tab w:val="center" w:pos="4050"/>
              </w:tabs>
              <w:jc w:val="center"/>
              <w:rPr>
                <w:b/>
                <w:lang w:val="fr-FR"/>
              </w:rPr>
            </w:pPr>
            <w:r w:rsidRPr="006A51D2">
              <w:rPr>
                <w:b/>
              </w:rPr>
              <w:t>TABLE DES MATIÈRES</w:t>
            </w:r>
          </w:p>
          <w:p w:rsidR="0041746D" w:rsidRPr="006A51D2" w:rsidRDefault="0041746D" w:rsidP="00C81D6C">
            <w:pPr>
              <w:tabs>
                <w:tab w:val="center" w:pos="4050"/>
              </w:tabs>
              <w:rPr>
                <w:b/>
              </w:rPr>
            </w:pPr>
          </w:p>
        </w:tc>
      </w:tr>
      <w:tr w:rsidR="0041746D" w:rsidRPr="008675BA" w:rsidTr="00C81D6C">
        <w:trPr>
          <w:trHeight w:val="432"/>
        </w:trPr>
        <w:tc>
          <w:tcPr>
            <w:tcW w:w="9543" w:type="dxa"/>
            <w:gridSpan w:val="2"/>
          </w:tcPr>
          <w:p w:rsidR="0041746D" w:rsidRPr="006A51D2" w:rsidRDefault="0041746D" w:rsidP="00C81D6C">
            <w:pPr>
              <w:tabs>
                <w:tab w:val="center" w:pos="4050"/>
              </w:tabs>
              <w:jc w:val="right"/>
            </w:pPr>
            <w:r w:rsidRPr="006A51D2">
              <w:t>Paragraphe</w:t>
            </w:r>
          </w:p>
        </w:tc>
      </w:tr>
      <w:tr w:rsidR="0041746D" w:rsidRPr="008675BA" w:rsidTr="00C81D6C">
        <w:trPr>
          <w:trHeight w:val="432"/>
        </w:trPr>
        <w:tc>
          <w:tcPr>
            <w:tcW w:w="8550" w:type="dxa"/>
          </w:tcPr>
          <w:p w:rsidR="0041746D" w:rsidRPr="006A51D2" w:rsidRDefault="0041746D" w:rsidP="00C81D6C">
            <w:pPr>
              <w:pStyle w:val="TOC1"/>
              <w:rPr>
                <w:rFonts w:eastAsiaTheme="minorEastAsia"/>
                <w:sz w:val="22"/>
              </w:rPr>
            </w:pPr>
            <w:r w:rsidRPr="006317EE">
              <w:t>I.</w:t>
            </w:r>
            <w:r w:rsidRPr="006317EE">
              <w:rPr>
                <w:sz w:val="22"/>
              </w:rPr>
              <w:tab/>
            </w:r>
            <w:r w:rsidRPr="00AD47BB">
              <w:rPr>
                <w:u w:val="single"/>
              </w:rPr>
              <w:t>Aperçu</w:t>
            </w:r>
          </w:p>
        </w:tc>
        <w:tc>
          <w:tcPr>
            <w:tcW w:w="993" w:type="dxa"/>
          </w:tcPr>
          <w:p w:rsidR="0041746D" w:rsidRPr="006A51D2" w:rsidRDefault="0041746D" w:rsidP="00C81D6C">
            <w:pPr>
              <w:pStyle w:val="TOC1"/>
            </w:pPr>
            <w:r w:rsidRPr="006A51D2">
              <w:t>98</w:t>
            </w:r>
          </w:p>
        </w:tc>
      </w:tr>
      <w:tr w:rsidR="0041746D" w:rsidRPr="008675BA" w:rsidTr="00C81D6C">
        <w:trPr>
          <w:trHeight w:val="432"/>
        </w:trPr>
        <w:tc>
          <w:tcPr>
            <w:tcW w:w="8550" w:type="dxa"/>
          </w:tcPr>
          <w:p w:rsidR="0041746D" w:rsidRPr="006A51D2" w:rsidRDefault="0041746D" w:rsidP="00C81D6C">
            <w:pPr>
              <w:pStyle w:val="TOC1"/>
              <w:rPr>
                <w:rStyle w:val="Hyperlink"/>
                <w:rFonts w:eastAsiaTheme="minorEastAsia"/>
                <w:color w:val="auto"/>
                <w:sz w:val="22"/>
              </w:rPr>
            </w:pPr>
            <w:r w:rsidRPr="006317EE">
              <w:t>II.</w:t>
            </w:r>
            <w:r w:rsidRPr="006317EE">
              <w:rPr>
                <w:sz w:val="22"/>
              </w:rPr>
              <w:tab/>
            </w:r>
            <w:r w:rsidRPr="00AD47BB">
              <w:rPr>
                <w:u w:val="single"/>
              </w:rPr>
              <w:t>Norme de contrôle applicable en appel</w:t>
            </w:r>
          </w:p>
        </w:tc>
        <w:tc>
          <w:tcPr>
            <w:tcW w:w="993" w:type="dxa"/>
          </w:tcPr>
          <w:p w:rsidR="0041746D" w:rsidRPr="00AF3F21" w:rsidRDefault="0041746D" w:rsidP="00C81D6C">
            <w:pPr>
              <w:pStyle w:val="TOC1"/>
            </w:pPr>
            <w:r w:rsidRPr="00AF3F21">
              <w:t>105</w:t>
            </w:r>
          </w:p>
        </w:tc>
      </w:tr>
      <w:tr w:rsidR="0041746D" w:rsidRPr="008675BA" w:rsidTr="00C81D6C">
        <w:trPr>
          <w:trHeight w:val="432"/>
        </w:trPr>
        <w:tc>
          <w:tcPr>
            <w:tcW w:w="8550" w:type="dxa"/>
          </w:tcPr>
          <w:p w:rsidR="0041746D" w:rsidRPr="006317EE" w:rsidRDefault="0041746D" w:rsidP="00C81D6C">
            <w:pPr>
              <w:pStyle w:val="TOC1"/>
              <w:rPr>
                <w:rStyle w:val="Hyperlink"/>
                <w:color w:val="auto"/>
                <w:u w:val="none"/>
              </w:rPr>
            </w:pPr>
            <w:r w:rsidRPr="006317EE">
              <w:t>A.</w:t>
            </w:r>
            <w:r w:rsidRPr="006317EE">
              <w:rPr>
                <w:rFonts w:eastAsiaTheme="minorEastAsia"/>
                <w:sz w:val="22"/>
              </w:rPr>
              <w:tab/>
            </w:r>
            <w:r w:rsidRPr="00AD47BB">
              <w:rPr>
                <w:i/>
              </w:rPr>
              <w:t>Le principe de non</w:t>
            </w:r>
            <w:r w:rsidRPr="00AD47BB">
              <w:rPr>
                <w:i/>
              </w:rPr>
              <w:noBreakHyphen/>
              <w:t>intervention en appel</w:t>
            </w:r>
          </w:p>
        </w:tc>
        <w:tc>
          <w:tcPr>
            <w:tcW w:w="993" w:type="dxa"/>
          </w:tcPr>
          <w:p w:rsidR="0041746D" w:rsidRPr="00AF3F21" w:rsidRDefault="0041746D" w:rsidP="00C81D6C">
            <w:pPr>
              <w:pStyle w:val="TOC1"/>
            </w:pPr>
            <w:r w:rsidRPr="00AF3F21">
              <w:t>105</w:t>
            </w:r>
          </w:p>
        </w:tc>
      </w:tr>
      <w:tr w:rsidR="0041746D" w:rsidRPr="008675BA" w:rsidTr="00C81D6C">
        <w:trPr>
          <w:trHeight w:val="432"/>
        </w:trPr>
        <w:tc>
          <w:tcPr>
            <w:tcW w:w="8550" w:type="dxa"/>
          </w:tcPr>
          <w:p w:rsidR="0041746D" w:rsidRPr="006A51D2" w:rsidRDefault="0041746D" w:rsidP="00C81D6C">
            <w:pPr>
              <w:pStyle w:val="TOC1"/>
              <w:rPr>
                <w:rStyle w:val="Hyperlink"/>
                <w:rFonts w:eastAsiaTheme="minorEastAsia"/>
                <w:color w:val="auto"/>
                <w:sz w:val="22"/>
              </w:rPr>
            </w:pPr>
            <w:r w:rsidRPr="00FC0721">
              <w:t>B.</w:t>
            </w:r>
            <w:r w:rsidRPr="00FC0721">
              <w:rPr>
                <w:rFonts w:eastAsiaTheme="minorEastAsia"/>
              </w:rPr>
              <w:tab/>
            </w:r>
            <w:r w:rsidRPr="00AD47BB">
              <w:rPr>
                <w:rFonts w:eastAsiaTheme="minorEastAsia"/>
                <w:i/>
              </w:rPr>
              <w:t>L’identification d’erreurs manifestes et déterminantes</w:t>
            </w:r>
          </w:p>
        </w:tc>
        <w:tc>
          <w:tcPr>
            <w:tcW w:w="993" w:type="dxa"/>
          </w:tcPr>
          <w:p w:rsidR="0041746D" w:rsidRPr="006A51D2" w:rsidRDefault="0041746D" w:rsidP="00C81D6C">
            <w:pPr>
              <w:pStyle w:val="TOC1"/>
              <w:rPr>
                <w:rStyle w:val="Hyperlink"/>
                <w:color w:val="auto"/>
              </w:rPr>
            </w:pPr>
            <w:r w:rsidRPr="006A51D2">
              <w:rPr>
                <w:webHidden/>
              </w:rPr>
              <w:t>109</w:t>
            </w:r>
          </w:p>
        </w:tc>
      </w:tr>
      <w:tr w:rsidR="0041746D" w:rsidRPr="008675BA" w:rsidTr="00C81D6C">
        <w:trPr>
          <w:trHeight w:val="432"/>
        </w:trPr>
        <w:tc>
          <w:tcPr>
            <w:tcW w:w="8550" w:type="dxa"/>
          </w:tcPr>
          <w:p w:rsidR="0041746D" w:rsidRPr="006A51D2" w:rsidRDefault="0041746D" w:rsidP="00C81D6C">
            <w:pPr>
              <w:pStyle w:val="TOC1"/>
              <w:rPr>
                <w:rStyle w:val="Hyperlink"/>
                <w:rFonts w:eastAsiaTheme="minorEastAsia"/>
                <w:color w:val="auto"/>
                <w:sz w:val="22"/>
              </w:rPr>
            </w:pPr>
            <w:r w:rsidRPr="00FC0721">
              <w:t>C.</w:t>
            </w:r>
            <w:r w:rsidRPr="00FC0721">
              <w:rPr>
                <w:rFonts w:eastAsiaTheme="minorEastAsia"/>
              </w:rPr>
              <w:tab/>
            </w:r>
            <w:r w:rsidRPr="00AD47BB">
              <w:rPr>
                <w:i/>
              </w:rPr>
              <w:t>La métaphore du « prisme déformant »</w:t>
            </w:r>
          </w:p>
        </w:tc>
        <w:tc>
          <w:tcPr>
            <w:tcW w:w="993" w:type="dxa"/>
          </w:tcPr>
          <w:p w:rsidR="0041746D" w:rsidRPr="00AF3F21" w:rsidRDefault="0041746D" w:rsidP="00C81D6C">
            <w:pPr>
              <w:pStyle w:val="TOC1"/>
            </w:pPr>
            <w:r w:rsidRPr="00AF3F21">
              <w:t>117</w:t>
            </w:r>
          </w:p>
        </w:tc>
      </w:tr>
      <w:tr w:rsidR="0041746D" w:rsidRPr="008675BA" w:rsidTr="00C81D6C">
        <w:trPr>
          <w:trHeight w:val="432"/>
        </w:trPr>
        <w:tc>
          <w:tcPr>
            <w:tcW w:w="8550" w:type="dxa"/>
          </w:tcPr>
          <w:p w:rsidR="0041746D" w:rsidRPr="006A51D2" w:rsidRDefault="0041746D" w:rsidP="00C81D6C">
            <w:pPr>
              <w:pStyle w:val="TOC1"/>
              <w:rPr>
                <w:rStyle w:val="Hyperlink"/>
                <w:rFonts w:eastAsiaTheme="minorEastAsia"/>
                <w:color w:val="auto"/>
                <w:sz w:val="22"/>
              </w:rPr>
            </w:pPr>
            <w:r w:rsidRPr="006A51D2">
              <w:t>D.</w:t>
            </w:r>
            <w:r w:rsidRPr="006A51D2">
              <w:rPr>
                <w:rFonts w:eastAsiaTheme="minorEastAsia"/>
                <w:sz w:val="22"/>
              </w:rPr>
              <w:tab/>
            </w:r>
            <w:r w:rsidRPr="00AD47BB">
              <w:rPr>
                <w:rFonts w:eastAsiaTheme="minorEastAsia"/>
                <w:i/>
              </w:rPr>
              <w:t>Le rôle des juridictions de second et dernier ressort</w:t>
            </w:r>
          </w:p>
        </w:tc>
        <w:tc>
          <w:tcPr>
            <w:tcW w:w="993" w:type="dxa"/>
          </w:tcPr>
          <w:p w:rsidR="0041746D" w:rsidRPr="00AF3F21" w:rsidRDefault="0041746D" w:rsidP="00C81D6C">
            <w:pPr>
              <w:pStyle w:val="TOC1"/>
            </w:pPr>
            <w:r w:rsidRPr="00AF3F21">
              <w:t>121</w:t>
            </w:r>
          </w:p>
        </w:tc>
      </w:tr>
      <w:tr w:rsidR="0041746D" w:rsidRPr="00EE22AE" w:rsidTr="00C81D6C">
        <w:trPr>
          <w:trHeight w:val="639"/>
        </w:trPr>
        <w:tc>
          <w:tcPr>
            <w:tcW w:w="8550" w:type="dxa"/>
          </w:tcPr>
          <w:p w:rsidR="0041746D" w:rsidRPr="006A51D2" w:rsidRDefault="0041746D" w:rsidP="00C81D6C">
            <w:pPr>
              <w:pStyle w:val="TOC1"/>
              <w:rPr>
                <w:rStyle w:val="Hyperlink"/>
                <w:rFonts w:eastAsiaTheme="minorEastAsia"/>
                <w:color w:val="auto"/>
                <w:sz w:val="22"/>
              </w:rPr>
            </w:pPr>
            <w:r w:rsidRPr="006317EE">
              <w:t>I</w:t>
            </w:r>
            <w:r>
              <w:t>II</w:t>
            </w:r>
            <w:r w:rsidRPr="006317EE">
              <w:t>.</w:t>
            </w:r>
            <w:r w:rsidRPr="006317EE">
              <w:rPr>
                <w:sz w:val="22"/>
              </w:rPr>
              <w:tab/>
            </w:r>
            <w:r w:rsidRPr="00AD47BB">
              <w:rPr>
                <w:u w:val="single"/>
              </w:rPr>
              <w:t>Analyse</w:t>
            </w:r>
            <w:r w:rsidRPr="00AD47BB">
              <w:rPr>
                <w:rFonts w:eastAsiaTheme="minorEastAsia"/>
                <w:u w:val="single"/>
              </w:rPr>
              <w:t xml:space="preserve"> des erreurs reprochées à la juge du procès</w:t>
            </w:r>
          </w:p>
        </w:tc>
        <w:tc>
          <w:tcPr>
            <w:tcW w:w="993" w:type="dxa"/>
          </w:tcPr>
          <w:p w:rsidR="0041746D" w:rsidRPr="00AF3F21" w:rsidRDefault="0041746D" w:rsidP="00C81D6C">
            <w:pPr>
              <w:pStyle w:val="TOC1"/>
            </w:pPr>
            <w:r w:rsidRPr="00AF3F21">
              <w:t>127</w:t>
            </w:r>
          </w:p>
        </w:tc>
      </w:tr>
      <w:tr w:rsidR="0041746D" w:rsidRPr="00EE22AE" w:rsidTr="00C81D6C">
        <w:trPr>
          <w:trHeight w:val="261"/>
        </w:trPr>
        <w:tc>
          <w:tcPr>
            <w:tcW w:w="8550" w:type="dxa"/>
          </w:tcPr>
          <w:p w:rsidR="0041746D" w:rsidRPr="006A51D2" w:rsidRDefault="0041746D" w:rsidP="00C81D6C">
            <w:pPr>
              <w:pStyle w:val="TOC1"/>
              <w:rPr>
                <w:rStyle w:val="Hyperlink"/>
                <w:rFonts w:eastAsiaTheme="minorEastAsia"/>
                <w:color w:val="auto"/>
                <w:sz w:val="22"/>
              </w:rPr>
            </w:pPr>
            <w:r w:rsidRPr="006A51D2">
              <w:lastRenderedPageBreak/>
              <w:t>A.</w:t>
            </w:r>
            <w:r w:rsidRPr="006A51D2">
              <w:rPr>
                <w:rFonts w:eastAsiaTheme="minorEastAsia"/>
                <w:sz w:val="22"/>
              </w:rPr>
              <w:tab/>
            </w:r>
            <w:r w:rsidRPr="00D06522">
              <w:rPr>
                <w:rFonts w:eastAsiaTheme="minorEastAsia"/>
                <w:i/>
              </w:rPr>
              <w:t>La juge du procès n’a pas commis d’erreur manifeste et déterminante en ce qui concerne la faute</w:t>
            </w:r>
          </w:p>
        </w:tc>
        <w:tc>
          <w:tcPr>
            <w:tcW w:w="993" w:type="dxa"/>
          </w:tcPr>
          <w:p w:rsidR="0041746D" w:rsidRPr="00AF3F21" w:rsidRDefault="0041746D" w:rsidP="00C81D6C">
            <w:pPr>
              <w:pStyle w:val="TOC1"/>
            </w:pPr>
            <w:r w:rsidRPr="00AF3F21">
              <w:t>130</w:t>
            </w:r>
          </w:p>
        </w:tc>
      </w:tr>
      <w:tr w:rsidR="0041746D" w:rsidRPr="008675BA" w:rsidTr="00C81D6C">
        <w:trPr>
          <w:trHeight w:val="432"/>
        </w:trPr>
        <w:tc>
          <w:tcPr>
            <w:tcW w:w="8550" w:type="dxa"/>
          </w:tcPr>
          <w:p w:rsidR="0041746D" w:rsidRPr="006A51D2" w:rsidRDefault="0041746D" w:rsidP="00C81D6C">
            <w:pPr>
              <w:pStyle w:val="TOC3"/>
              <w:rPr>
                <w:rStyle w:val="Hyperlink"/>
                <w:rFonts w:eastAsiaTheme="majorEastAsia"/>
                <w:color w:val="auto"/>
                <w:lang w:val="fr-CA"/>
              </w:rPr>
            </w:pPr>
            <w:r w:rsidRPr="008727A6">
              <w:rPr>
                <w:rFonts w:eastAsiaTheme="majorEastAsia"/>
                <w:u w:val="none"/>
                <w:lang w:val="fr-CA"/>
              </w:rPr>
              <w:t>(1)</w:t>
            </w:r>
            <w:r w:rsidRPr="008727A6">
              <w:rPr>
                <w:rFonts w:eastAsiaTheme="minorEastAsia"/>
                <w:u w:val="none"/>
                <w:lang w:val="fr-CA"/>
              </w:rPr>
              <w:tab/>
            </w:r>
            <w:r w:rsidRPr="008727A6">
              <w:rPr>
                <w:rFonts w:eastAsiaTheme="minorEastAsia"/>
                <w:lang w:val="fr-CA"/>
              </w:rPr>
              <w:t xml:space="preserve">Les </w:t>
            </w:r>
            <w:r w:rsidRPr="008727A6">
              <w:rPr>
                <w:rFonts w:eastAsiaTheme="majorEastAsia"/>
                <w:lang w:val="fr-CA"/>
              </w:rPr>
              <w:t>mandats de Me Salomon</w:t>
            </w:r>
          </w:p>
        </w:tc>
        <w:tc>
          <w:tcPr>
            <w:tcW w:w="993" w:type="dxa"/>
          </w:tcPr>
          <w:p w:rsidR="0041746D" w:rsidRPr="00AF3F21" w:rsidRDefault="0041746D" w:rsidP="00C81D6C">
            <w:pPr>
              <w:pStyle w:val="TOC1"/>
            </w:pPr>
            <w:r w:rsidRPr="00AF3F21">
              <w:t>134</w:t>
            </w:r>
          </w:p>
        </w:tc>
      </w:tr>
      <w:tr w:rsidR="0041746D" w:rsidRPr="008675BA" w:rsidTr="00C81D6C">
        <w:trPr>
          <w:trHeight w:val="450"/>
        </w:trPr>
        <w:tc>
          <w:tcPr>
            <w:tcW w:w="8550" w:type="dxa"/>
          </w:tcPr>
          <w:p w:rsidR="0041746D" w:rsidRPr="006A51D2" w:rsidRDefault="0041746D" w:rsidP="00C81D6C">
            <w:pPr>
              <w:pStyle w:val="TOC3"/>
              <w:rPr>
                <w:rStyle w:val="Hyperlink"/>
                <w:rFonts w:eastAsiaTheme="minorEastAsia"/>
                <w:color w:val="auto"/>
                <w:sz w:val="22"/>
                <w:u w:val="none"/>
                <w:lang w:val="fr-CA"/>
              </w:rPr>
            </w:pPr>
            <w:r w:rsidRPr="008727A6">
              <w:rPr>
                <w:rFonts w:eastAsiaTheme="majorEastAsia"/>
                <w:u w:val="none"/>
                <w:lang w:val="fr-CA"/>
              </w:rPr>
              <w:t>(2)</w:t>
            </w:r>
            <w:r w:rsidRPr="008727A6">
              <w:rPr>
                <w:rFonts w:eastAsiaTheme="minorEastAsia"/>
                <w:u w:val="none"/>
                <w:lang w:val="fr-CA"/>
              </w:rPr>
              <w:tab/>
            </w:r>
            <w:r w:rsidRPr="006A51D2">
              <w:rPr>
                <w:rFonts w:eastAsiaTheme="minorEastAsia"/>
                <w:sz w:val="22"/>
                <w:lang w:val="fr-CA"/>
              </w:rPr>
              <w:t>Le d</w:t>
            </w:r>
            <w:r w:rsidRPr="006A51D2">
              <w:rPr>
                <w:rFonts w:eastAsiaTheme="minorEastAsia"/>
                <w:lang w:val="fr-CA"/>
              </w:rPr>
              <w:t>evoir de M</w:t>
            </w:r>
            <w:r w:rsidRPr="006A51D2">
              <w:rPr>
                <w:rFonts w:eastAsiaTheme="minorEastAsia"/>
                <w:vertAlign w:val="superscript"/>
                <w:lang w:val="fr-CA"/>
              </w:rPr>
              <w:t>e</w:t>
            </w:r>
            <w:r w:rsidRPr="006A51D2">
              <w:rPr>
                <w:rFonts w:eastAsiaTheme="minorEastAsia"/>
                <w:lang w:val="fr-CA"/>
              </w:rPr>
              <w:t> Salomon quant à la recommandation de Triglobal et de M. Papadopoulos</w:t>
            </w:r>
          </w:p>
        </w:tc>
        <w:tc>
          <w:tcPr>
            <w:tcW w:w="993" w:type="dxa"/>
          </w:tcPr>
          <w:p w:rsidR="0041746D" w:rsidRPr="00AF3F21" w:rsidRDefault="0041746D" w:rsidP="00C81D6C">
            <w:pPr>
              <w:pStyle w:val="TOC1"/>
            </w:pPr>
            <w:r w:rsidRPr="00AF3F21">
              <w:t>139</w:t>
            </w:r>
          </w:p>
        </w:tc>
      </w:tr>
      <w:tr w:rsidR="0041746D" w:rsidRPr="008675BA" w:rsidTr="00C81D6C">
        <w:trPr>
          <w:trHeight w:val="432"/>
        </w:trPr>
        <w:tc>
          <w:tcPr>
            <w:tcW w:w="8550" w:type="dxa"/>
          </w:tcPr>
          <w:p w:rsidR="0041746D" w:rsidRPr="006A51D2" w:rsidRDefault="0041746D" w:rsidP="00C81D6C">
            <w:pPr>
              <w:pStyle w:val="TOC3"/>
              <w:rPr>
                <w:rStyle w:val="Hyperlink"/>
                <w:rFonts w:eastAsiaTheme="minorEastAsia"/>
                <w:color w:val="auto"/>
                <w:sz w:val="22"/>
                <w:u w:val="none"/>
                <w:lang w:val="fr-CA"/>
              </w:rPr>
            </w:pPr>
            <w:r w:rsidRPr="008727A6">
              <w:rPr>
                <w:rFonts w:eastAsiaTheme="majorEastAsia"/>
                <w:u w:val="none"/>
                <w:lang w:val="fr-CA"/>
              </w:rPr>
              <w:t>(3)</w:t>
            </w:r>
            <w:r w:rsidRPr="008727A6">
              <w:rPr>
                <w:rFonts w:eastAsiaTheme="minorEastAsia"/>
                <w:u w:val="none"/>
                <w:lang w:val="fr-CA"/>
              </w:rPr>
              <w:tab/>
            </w:r>
            <w:r w:rsidRPr="006A51D2">
              <w:rPr>
                <w:rFonts w:eastAsiaTheme="minorEastAsia"/>
                <w:lang w:val="fr-CA"/>
              </w:rPr>
              <w:t>Le devoir de conseil de M</w:t>
            </w:r>
            <w:r w:rsidRPr="006A51D2">
              <w:rPr>
                <w:rFonts w:eastAsiaTheme="minorEastAsia"/>
                <w:vertAlign w:val="superscript"/>
                <w:lang w:val="fr-CA"/>
              </w:rPr>
              <w:t>e</w:t>
            </w:r>
            <w:r w:rsidRPr="006A51D2">
              <w:rPr>
                <w:rFonts w:eastAsiaTheme="minorEastAsia"/>
                <w:lang w:val="fr-CA"/>
              </w:rPr>
              <w:t xml:space="preserve"> Salomon</w:t>
            </w:r>
          </w:p>
        </w:tc>
        <w:tc>
          <w:tcPr>
            <w:tcW w:w="993" w:type="dxa"/>
          </w:tcPr>
          <w:p w:rsidR="0041746D" w:rsidRPr="00AF3F21" w:rsidRDefault="0041746D" w:rsidP="00C81D6C">
            <w:pPr>
              <w:pStyle w:val="TOC1"/>
            </w:pPr>
            <w:r w:rsidRPr="00AF3F21">
              <w:t>156</w:t>
            </w:r>
          </w:p>
        </w:tc>
      </w:tr>
      <w:tr w:rsidR="0041746D" w:rsidRPr="008675BA" w:rsidTr="00C81D6C">
        <w:trPr>
          <w:trHeight w:val="432"/>
        </w:trPr>
        <w:tc>
          <w:tcPr>
            <w:tcW w:w="8550" w:type="dxa"/>
          </w:tcPr>
          <w:p w:rsidR="0041746D" w:rsidRPr="006A51D2" w:rsidRDefault="0041746D" w:rsidP="00C81D6C">
            <w:pPr>
              <w:pStyle w:val="TOC3"/>
              <w:rPr>
                <w:rStyle w:val="Hyperlink"/>
                <w:rFonts w:eastAsiaTheme="majorEastAsia"/>
                <w:color w:val="auto"/>
                <w:u w:val="none"/>
                <w:lang w:val="fr-CA"/>
              </w:rPr>
            </w:pPr>
            <w:r w:rsidRPr="008727A6">
              <w:rPr>
                <w:rFonts w:eastAsiaTheme="majorEastAsia"/>
                <w:u w:val="none"/>
                <w:lang w:val="fr-CA"/>
              </w:rPr>
              <w:t>(4)</w:t>
            </w:r>
            <w:r w:rsidRPr="008727A6">
              <w:rPr>
                <w:rFonts w:eastAsiaTheme="minorEastAsia"/>
                <w:u w:val="none"/>
                <w:lang w:val="fr-CA"/>
              </w:rPr>
              <w:tab/>
            </w:r>
            <w:r w:rsidRPr="006A51D2">
              <w:rPr>
                <w:rFonts w:eastAsiaTheme="minorEastAsia"/>
                <w:lang w:val="fr-CA"/>
              </w:rPr>
              <w:t>Le devoir de loyauté de M</w:t>
            </w:r>
            <w:r w:rsidRPr="006A51D2">
              <w:rPr>
                <w:rFonts w:eastAsiaTheme="minorEastAsia"/>
                <w:vertAlign w:val="superscript"/>
                <w:lang w:val="fr-CA"/>
              </w:rPr>
              <w:t>e</w:t>
            </w:r>
            <w:r w:rsidRPr="006A51D2">
              <w:rPr>
                <w:rFonts w:eastAsiaTheme="minorEastAsia"/>
                <w:lang w:val="fr-CA"/>
              </w:rPr>
              <w:t xml:space="preserve"> Salomon</w:t>
            </w:r>
          </w:p>
        </w:tc>
        <w:tc>
          <w:tcPr>
            <w:tcW w:w="993" w:type="dxa"/>
          </w:tcPr>
          <w:p w:rsidR="0041746D" w:rsidRPr="00AF3F21" w:rsidRDefault="0041746D" w:rsidP="00C81D6C">
            <w:pPr>
              <w:pStyle w:val="TOC1"/>
            </w:pPr>
            <w:r w:rsidRPr="00AF3F21">
              <w:t>178</w:t>
            </w:r>
          </w:p>
        </w:tc>
      </w:tr>
      <w:tr w:rsidR="0041746D" w:rsidRPr="008675BA" w:rsidTr="00C81D6C">
        <w:trPr>
          <w:trHeight w:val="810"/>
        </w:trPr>
        <w:tc>
          <w:tcPr>
            <w:tcW w:w="8550" w:type="dxa"/>
          </w:tcPr>
          <w:p w:rsidR="0041746D" w:rsidRPr="006A51D2" w:rsidRDefault="0041746D" w:rsidP="00C81D6C">
            <w:pPr>
              <w:pStyle w:val="TOC1"/>
              <w:rPr>
                <w:rStyle w:val="Hyperlink"/>
                <w:rFonts w:eastAsiaTheme="minorEastAsia"/>
                <w:color w:val="auto"/>
                <w:sz w:val="22"/>
              </w:rPr>
            </w:pPr>
            <w:r w:rsidRPr="00733579">
              <w:t>B.</w:t>
            </w:r>
            <w:r w:rsidRPr="00733579">
              <w:rPr>
                <w:rFonts w:eastAsiaTheme="minorEastAsia"/>
              </w:rPr>
              <w:tab/>
            </w:r>
            <w:r w:rsidRPr="00D06522">
              <w:rPr>
                <w:rFonts w:eastAsiaTheme="minorEastAsia"/>
                <w:i/>
              </w:rPr>
              <w:t>La juge du procès n’a pas commis d’erreur manifeste et déterminante en ce qui concerne le lien de causalité</w:t>
            </w:r>
          </w:p>
        </w:tc>
        <w:tc>
          <w:tcPr>
            <w:tcW w:w="993" w:type="dxa"/>
          </w:tcPr>
          <w:p w:rsidR="0041746D" w:rsidRPr="00AF3F21" w:rsidRDefault="0041746D" w:rsidP="00C81D6C">
            <w:pPr>
              <w:pStyle w:val="TOC1"/>
            </w:pPr>
            <w:r w:rsidRPr="00AF3F21">
              <w:t>194</w:t>
            </w:r>
          </w:p>
        </w:tc>
      </w:tr>
      <w:tr w:rsidR="0041746D" w:rsidRPr="008675BA" w:rsidTr="00C81D6C">
        <w:trPr>
          <w:trHeight w:val="432"/>
        </w:trPr>
        <w:tc>
          <w:tcPr>
            <w:tcW w:w="8550" w:type="dxa"/>
          </w:tcPr>
          <w:p w:rsidR="0041746D" w:rsidRPr="006A51D2" w:rsidRDefault="0041746D" w:rsidP="00C81D6C">
            <w:pPr>
              <w:pStyle w:val="TOC3"/>
              <w:rPr>
                <w:rStyle w:val="Hyperlink"/>
                <w:rFonts w:eastAsiaTheme="minorEastAsia"/>
                <w:color w:val="auto"/>
                <w:szCs w:val="24"/>
                <w:u w:val="none"/>
                <w:lang w:val="fr-CA"/>
              </w:rPr>
            </w:pPr>
            <w:r w:rsidRPr="008727A6">
              <w:rPr>
                <w:rFonts w:eastAsiaTheme="majorEastAsia"/>
                <w:u w:val="none"/>
                <w:lang w:val="fr-CA"/>
              </w:rPr>
              <w:t>(1)</w:t>
            </w:r>
            <w:r w:rsidRPr="008727A6">
              <w:rPr>
                <w:rFonts w:eastAsiaTheme="minorEastAsia"/>
                <w:u w:val="none"/>
                <w:lang w:val="fr-CA"/>
              </w:rPr>
              <w:tab/>
            </w:r>
            <w:r w:rsidRPr="006A51D2">
              <w:rPr>
                <w:rFonts w:eastAsiaTheme="minorEastAsia"/>
                <w:lang w:val="fr-CA"/>
              </w:rPr>
              <w:t>Les principes de la causalité</w:t>
            </w:r>
          </w:p>
        </w:tc>
        <w:tc>
          <w:tcPr>
            <w:tcW w:w="993" w:type="dxa"/>
          </w:tcPr>
          <w:p w:rsidR="0041746D" w:rsidRPr="00AF3F21" w:rsidRDefault="0041746D" w:rsidP="00C81D6C">
            <w:pPr>
              <w:pStyle w:val="TOC1"/>
            </w:pPr>
            <w:r w:rsidRPr="00AF3F21">
              <w:t>194</w:t>
            </w:r>
          </w:p>
        </w:tc>
      </w:tr>
      <w:tr w:rsidR="0041746D" w:rsidRPr="008675BA" w:rsidTr="00C81D6C">
        <w:trPr>
          <w:trHeight w:val="468"/>
        </w:trPr>
        <w:tc>
          <w:tcPr>
            <w:tcW w:w="8550" w:type="dxa"/>
          </w:tcPr>
          <w:p w:rsidR="0041746D" w:rsidRPr="006A51D2" w:rsidRDefault="0041746D" w:rsidP="00C81D6C">
            <w:pPr>
              <w:pStyle w:val="TOC3"/>
              <w:rPr>
                <w:rFonts w:eastAsiaTheme="minorEastAsia"/>
                <w:lang w:val="fr-CA"/>
              </w:rPr>
            </w:pPr>
            <w:r w:rsidRPr="008727A6">
              <w:rPr>
                <w:rFonts w:eastAsiaTheme="majorEastAsia"/>
                <w:u w:val="none"/>
                <w:lang w:val="fr-CA"/>
              </w:rPr>
              <w:t>(2)</w:t>
            </w:r>
            <w:r w:rsidRPr="008727A6">
              <w:rPr>
                <w:rFonts w:eastAsiaTheme="minorEastAsia"/>
                <w:u w:val="none"/>
                <w:lang w:val="fr-CA"/>
              </w:rPr>
              <w:tab/>
            </w:r>
            <w:r w:rsidRPr="006A51D2">
              <w:rPr>
                <w:rFonts w:eastAsiaTheme="minorEastAsia"/>
                <w:lang w:val="fr-CA"/>
              </w:rPr>
              <w:t>Application à la présente affaire</w:t>
            </w:r>
          </w:p>
        </w:tc>
        <w:tc>
          <w:tcPr>
            <w:tcW w:w="993" w:type="dxa"/>
          </w:tcPr>
          <w:p w:rsidR="0041746D" w:rsidRPr="00371195" w:rsidRDefault="0041746D" w:rsidP="00C81D6C">
            <w:pPr>
              <w:pStyle w:val="TOC1"/>
            </w:pPr>
            <w:r w:rsidRPr="00371195">
              <w:t>199</w:t>
            </w:r>
          </w:p>
        </w:tc>
      </w:tr>
      <w:tr w:rsidR="0041746D" w:rsidRPr="000E45CB" w:rsidTr="00C81D6C">
        <w:trPr>
          <w:trHeight w:val="432"/>
        </w:trPr>
        <w:tc>
          <w:tcPr>
            <w:tcW w:w="8550" w:type="dxa"/>
          </w:tcPr>
          <w:p w:rsidR="0041746D" w:rsidRPr="006A51D2" w:rsidRDefault="0041746D" w:rsidP="00C81D6C">
            <w:pPr>
              <w:pStyle w:val="TOC1"/>
              <w:rPr>
                <w:rStyle w:val="Hyperlink"/>
                <w:color w:val="auto"/>
              </w:rPr>
            </w:pPr>
            <w:r w:rsidRPr="006317EE">
              <w:t>I</w:t>
            </w:r>
            <w:r>
              <w:t>V</w:t>
            </w:r>
            <w:r w:rsidRPr="006317EE">
              <w:t>.</w:t>
            </w:r>
            <w:r w:rsidRPr="006317EE">
              <w:rPr>
                <w:sz w:val="22"/>
              </w:rPr>
              <w:tab/>
            </w:r>
            <w:r>
              <w:rPr>
                <w:u w:val="single"/>
              </w:rPr>
              <w:t>Conclusion</w:t>
            </w:r>
          </w:p>
        </w:tc>
        <w:tc>
          <w:tcPr>
            <w:tcW w:w="993" w:type="dxa"/>
          </w:tcPr>
          <w:p w:rsidR="0041746D" w:rsidRPr="00AF3F21" w:rsidRDefault="0041746D" w:rsidP="00C81D6C">
            <w:pPr>
              <w:pStyle w:val="TOC1"/>
            </w:pPr>
            <w:r w:rsidRPr="00AF3F21">
              <w:t>215</w:t>
            </w:r>
          </w:p>
        </w:tc>
      </w:tr>
    </w:tbl>
    <w:p w:rsidR="0041746D" w:rsidRPr="008675BA" w:rsidRDefault="0041746D" w:rsidP="0041746D">
      <w:pPr>
        <w:pStyle w:val="Title1LevelTitre1Niveau-AltL"/>
        <w:numPr>
          <w:ilvl w:val="0"/>
          <w:numId w:val="25"/>
        </w:numPr>
        <w:tabs>
          <w:tab w:val="clear" w:pos="1002"/>
          <w:tab w:val="num" w:pos="567"/>
        </w:tabs>
        <w:spacing w:before="720"/>
        <w:ind w:hanging="1002"/>
        <w:rPr>
          <w:rFonts w:cs="Times New Roman"/>
          <w:lang w:val="fr-CA"/>
        </w:rPr>
      </w:pPr>
      <w:bookmarkStart w:id="5" w:name="_Toc2153989"/>
      <w:r w:rsidRPr="008675BA">
        <w:rPr>
          <w:rFonts w:cs="Times New Roman"/>
          <w:lang w:val="fr-CA"/>
        </w:rPr>
        <w:t>Aperçu</w:t>
      </w:r>
      <w:bookmarkEnd w:id="5"/>
    </w:p>
    <w:p w:rsidR="0041746D" w:rsidRPr="008675BA" w:rsidRDefault="0041746D" w:rsidP="0041746D">
      <w:pPr>
        <w:pStyle w:val="ParaNoNdepar-AltN"/>
        <w:rPr>
          <w:lang w:val="fr-CA"/>
        </w:rPr>
      </w:pPr>
      <w:r w:rsidRPr="008675BA">
        <w:rPr>
          <w:lang w:val="fr-CA"/>
        </w:rPr>
        <w:t>Personne ne doute des conséquences désastreuses pour les intimées, Judith Matte</w:t>
      </w:r>
      <w:r>
        <w:rPr>
          <w:lang w:val="fr-CA"/>
        </w:rPr>
        <w:noBreakHyphen/>
      </w:r>
      <w:r w:rsidRPr="008675BA">
        <w:rPr>
          <w:lang w:val="fr-CA"/>
        </w:rPr>
        <w:t>Thompson et 166376 Canada Inc. (« 166 »), de la fraude commise par leurs conseillers financiers, Themis Papadopoulos et Mario Bright. Personne ne conteste le caractère répréhensible à bien des égards de la conduite de leur avocat, l’appelant Kenneth F. Salomon. Ce dernier a non seulement recommandé ces deux conseillers financiers et leur firme, Triglobal Capital Management Inc. (« Triglobal »), à ses clientes, mais il leur a aussi donné à tort, de son propre chef, des conseils en matière de placements alors qu’il n’était pas qualifié pour le faire. Néanmoins, après avoir attentivement examiné la preuve, la juge du procès conclut que M</w:t>
      </w:r>
      <w:r w:rsidRPr="008675BA">
        <w:rPr>
          <w:vertAlign w:val="superscript"/>
          <w:lang w:val="fr-CA"/>
        </w:rPr>
        <w:t>e</w:t>
      </w:r>
      <w:r w:rsidRPr="008675BA">
        <w:rPr>
          <w:lang w:val="fr-CA"/>
        </w:rPr>
        <w:t xml:space="preserve"> Salomon n’est pas responsable des pertes que les intimées ont subies en raison de la conduite frauduleuse de leurs conseillers financiers (2014 QCCS 3072). Contrairement à mon collègue, je </w:t>
      </w:r>
      <w:r w:rsidRPr="008675BA">
        <w:rPr>
          <w:lang w:val="fr-CA"/>
        </w:rPr>
        <w:lastRenderedPageBreak/>
        <w:t>ne vois pas quelles erreurs donnant ouverture à révision entachent cette conclusion. Par conséquent, je suis d’avis que l’intervention de la Cour d’appel n’est pas justifiée.</w:t>
      </w:r>
    </w:p>
    <w:p w:rsidR="0041746D" w:rsidRPr="008675BA" w:rsidRDefault="0041746D" w:rsidP="0041746D">
      <w:pPr>
        <w:pStyle w:val="ParaNoNdepar-AltN"/>
        <w:rPr>
          <w:rFonts w:cs="Times New Roman"/>
          <w:lang w:val="fr-CA"/>
        </w:rPr>
      </w:pPr>
      <w:r w:rsidRPr="008675BA">
        <w:rPr>
          <w:rFonts w:cs="Times New Roman"/>
          <w:lang w:val="fr-CA"/>
        </w:rPr>
        <w:t>La Cour d’appel dit avoir décelé quatre erreurs révisables et a substitué les conclusions suivantes à celles de la juge du procès</w:t>
      </w:r>
      <w:r>
        <w:rPr>
          <w:rFonts w:cs="Times New Roman"/>
          <w:lang w:val="fr-CA"/>
        </w:rPr>
        <w:t> :</w:t>
      </w:r>
      <w:r w:rsidRPr="008675BA">
        <w:rPr>
          <w:rFonts w:cs="Times New Roman"/>
          <w:lang w:val="fr-CA"/>
        </w:rPr>
        <w:t xml:space="preserve"> (1) les fautes commises par M</w:t>
      </w:r>
      <w:r w:rsidRPr="008675BA">
        <w:rPr>
          <w:rFonts w:cs="Times New Roman"/>
          <w:vertAlign w:val="superscript"/>
          <w:lang w:val="fr-CA"/>
        </w:rPr>
        <w:t>e</w:t>
      </w:r>
      <w:r w:rsidRPr="008675BA">
        <w:rPr>
          <w:rFonts w:cs="Times New Roman"/>
          <w:lang w:val="fr-CA"/>
        </w:rPr>
        <w:t> Salomon ne se limitent pas dans le temps à la recommandation initiale concernant des produits de placement particuliers, mais s’échelonnent plutôt sur une période de quatre ans; (2) ces fautes n’ont pas été commises uniquement à l’égard de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mais aussi à l’égard de 166; (3) l’étroite relation entre M</w:t>
      </w:r>
      <w:r w:rsidRPr="008675BA">
        <w:rPr>
          <w:rFonts w:cs="Times New Roman"/>
          <w:vertAlign w:val="superscript"/>
          <w:lang w:val="fr-CA"/>
        </w:rPr>
        <w:t>e</w:t>
      </w:r>
      <w:r w:rsidRPr="008675BA">
        <w:rPr>
          <w:rFonts w:cs="Times New Roman"/>
          <w:lang w:val="fr-CA"/>
        </w:rPr>
        <w:t> Salomon et M. Papadopoulos équivaut à un conflit d’intérêts; et (4) les conséquences des fautes de M</w:t>
      </w:r>
      <w:r w:rsidRPr="008675BA">
        <w:rPr>
          <w:rFonts w:cs="Times New Roman"/>
          <w:vertAlign w:val="superscript"/>
          <w:lang w:val="fr-CA"/>
        </w:rPr>
        <w:t>e</w:t>
      </w:r>
      <w:r w:rsidRPr="008675BA">
        <w:rPr>
          <w:rFonts w:cs="Times New Roman"/>
          <w:lang w:val="fr-CA"/>
        </w:rPr>
        <w:t xml:space="preserve"> Salomon sont à ce point importantes qu’elles sont à l’origine des pertes des intimées (2017 QCCA 273, 41 C.C.L.T. (4th) 1). </w:t>
      </w:r>
    </w:p>
    <w:p w:rsidR="0041746D" w:rsidRPr="008675BA" w:rsidRDefault="0041746D" w:rsidP="0041746D">
      <w:pPr>
        <w:pStyle w:val="ParaNoNdepar-AltN"/>
        <w:rPr>
          <w:rFonts w:cs="Times New Roman"/>
          <w:lang w:val="fr-CA"/>
        </w:rPr>
      </w:pPr>
      <w:r w:rsidRPr="008675BA">
        <w:rPr>
          <w:rFonts w:cs="Times New Roman"/>
          <w:lang w:val="fr-CA"/>
        </w:rPr>
        <w:t xml:space="preserve">Les motifs d’intervention de la Cour d’appel reposent en grande partie sur la prémisse selon laquelle la juge du procès </w:t>
      </w:r>
      <w:r>
        <w:rPr>
          <w:rFonts w:cs="Times New Roman"/>
          <w:lang w:val="fr-CA"/>
        </w:rPr>
        <w:t xml:space="preserve">a </w:t>
      </w:r>
      <w:r w:rsidRPr="008675BA">
        <w:rPr>
          <w:rFonts w:cs="Times New Roman"/>
          <w:lang w:val="fr-CA"/>
        </w:rPr>
        <w:t>analys</w:t>
      </w:r>
      <w:r>
        <w:rPr>
          <w:rFonts w:cs="Times New Roman"/>
          <w:lang w:val="fr-CA"/>
        </w:rPr>
        <w:t>é</w:t>
      </w:r>
      <w:r w:rsidRPr="008675BA">
        <w:rPr>
          <w:rFonts w:cs="Times New Roman"/>
          <w:lang w:val="fr-CA"/>
        </w:rPr>
        <w:t xml:space="preserve"> l’affaire sous l’angle d’un prisme déformant, c’est</w:t>
      </w:r>
      <w:r>
        <w:rPr>
          <w:rFonts w:cs="Times New Roman"/>
          <w:lang w:val="fr-CA"/>
        </w:rPr>
        <w:noBreakHyphen/>
      </w:r>
      <w:r w:rsidRPr="008675BA">
        <w:rPr>
          <w:rFonts w:cs="Times New Roman"/>
          <w:lang w:val="fr-CA"/>
        </w:rPr>
        <w:t>à</w:t>
      </w:r>
      <w:r>
        <w:rPr>
          <w:rFonts w:cs="Times New Roman"/>
          <w:lang w:val="fr-CA"/>
        </w:rPr>
        <w:noBreakHyphen/>
      </w:r>
      <w:r w:rsidRPr="008675BA">
        <w:rPr>
          <w:rFonts w:cs="Times New Roman"/>
          <w:lang w:val="fr-CA"/>
        </w:rPr>
        <w:t>dire qu’elle n’</w:t>
      </w:r>
      <w:r>
        <w:rPr>
          <w:rFonts w:cs="Times New Roman"/>
          <w:lang w:val="fr-CA"/>
        </w:rPr>
        <w:t xml:space="preserve">a pas </w:t>
      </w:r>
      <w:r w:rsidRPr="008675BA">
        <w:rPr>
          <w:rFonts w:cs="Times New Roman"/>
          <w:lang w:val="fr-CA"/>
        </w:rPr>
        <w:t>adopt</w:t>
      </w:r>
      <w:r>
        <w:rPr>
          <w:rFonts w:cs="Times New Roman"/>
          <w:lang w:val="fr-CA"/>
        </w:rPr>
        <w:t>é</w:t>
      </w:r>
      <w:r w:rsidRPr="008675BA">
        <w:rPr>
          <w:rFonts w:cs="Times New Roman"/>
          <w:lang w:val="fr-CA"/>
        </w:rPr>
        <w:t xml:space="preserve"> une approche dite « globale » pour apprécier la preuve. Or, à mon avis, il était loisible à la juge du procès de conclure que l’ensemble des actes professionnels de M</w:t>
      </w:r>
      <w:r w:rsidRPr="008675BA">
        <w:rPr>
          <w:rFonts w:cs="Times New Roman"/>
          <w:vertAlign w:val="superscript"/>
          <w:lang w:val="fr-CA"/>
        </w:rPr>
        <w:t>e</w:t>
      </w:r>
      <w:r w:rsidRPr="008675BA">
        <w:rPr>
          <w:rFonts w:cs="Times New Roman"/>
          <w:lang w:val="fr-CA"/>
        </w:rPr>
        <w:t xml:space="preserve"> Salomon, posés sur une période de </w:t>
      </w:r>
      <w:r w:rsidRPr="008675BA">
        <w:rPr>
          <w:rFonts w:cs="Times New Roman"/>
          <w:i/>
          <w:lang w:val="fr-CA"/>
        </w:rPr>
        <w:t>quatre ans</w:t>
      </w:r>
      <w:r w:rsidRPr="008675BA">
        <w:rPr>
          <w:rFonts w:cs="Times New Roman"/>
          <w:lang w:val="fr-CA"/>
        </w:rPr>
        <w:t xml:space="preserve">, ne peuvent être considérés comme faisant partie d’un seul continuum aux fins de l’évaluation de sa responsabilité. À juste titre, la juge du procès a analysé soigneusement la preuve pour déterminer la « nature </w:t>
      </w:r>
      <w:r w:rsidRPr="008675BA">
        <w:rPr>
          <w:rFonts w:cs="Times New Roman"/>
          <w:u w:val="single"/>
          <w:lang w:val="fr-CA"/>
        </w:rPr>
        <w:t>exacte</w:t>
      </w:r>
      <w:r w:rsidRPr="008675BA">
        <w:rPr>
          <w:rFonts w:cs="Times New Roman"/>
          <w:lang w:val="fr-CA"/>
        </w:rPr>
        <w:t xml:space="preserve"> de la faute [. . .] et </w:t>
      </w:r>
      <w:r w:rsidRPr="008675BA">
        <w:rPr>
          <w:rFonts w:cs="Times New Roman"/>
          <w:u w:val="single"/>
          <w:lang w:val="fr-CA"/>
        </w:rPr>
        <w:t>ses</w:t>
      </w:r>
      <w:r w:rsidRPr="008675BA">
        <w:rPr>
          <w:rFonts w:cs="Times New Roman"/>
          <w:lang w:val="fr-CA"/>
        </w:rPr>
        <w:t xml:space="preserve"> conséquences », conformément aux principes généraux du droit civil du Québec (</w:t>
      </w:r>
      <w:r w:rsidRPr="008675BA">
        <w:rPr>
          <w:rFonts w:cs="Times New Roman"/>
          <w:i/>
          <w:lang w:val="fr-CA"/>
        </w:rPr>
        <w:t>Laferrière c. Lawson</w:t>
      </w:r>
      <w:r w:rsidRPr="008675BA">
        <w:rPr>
          <w:rFonts w:cs="Times New Roman"/>
          <w:lang w:val="fr-CA"/>
        </w:rPr>
        <w:t xml:space="preserve">, [1991] 1 R.C.S. 541, </w:t>
      </w:r>
      <w:r>
        <w:rPr>
          <w:rFonts w:cs="Times New Roman"/>
          <w:lang w:val="fr-CA"/>
        </w:rPr>
        <w:t>p. </w:t>
      </w:r>
      <w:r w:rsidRPr="008675BA">
        <w:rPr>
          <w:rFonts w:cs="Times New Roman"/>
          <w:lang w:val="fr-CA"/>
        </w:rPr>
        <w:t>609 (je souligne)). Pour ce faire, elle bénéficiait d’une connaissance sans égal</w:t>
      </w:r>
      <w:r>
        <w:rPr>
          <w:rFonts w:cs="Times New Roman"/>
          <w:lang w:val="fr-CA"/>
        </w:rPr>
        <w:t>e</w:t>
      </w:r>
      <w:r w:rsidRPr="008675BA">
        <w:rPr>
          <w:rFonts w:cs="Times New Roman"/>
          <w:lang w:val="fr-CA"/>
        </w:rPr>
        <w:t xml:space="preserve"> du dossier, acquise lors d’un procès de neuf </w:t>
      </w:r>
      <w:r w:rsidRPr="008675BA">
        <w:rPr>
          <w:rFonts w:cs="Times New Roman"/>
          <w:lang w:val="fr-CA"/>
        </w:rPr>
        <w:lastRenderedPageBreak/>
        <w:t xml:space="preserve">jours au cours duquel elle a entendu six témoins et examiné plus de </w:t>
      </w:r>
      <w:r w:rsidR="00F226D0">
        <w:rPr>
          <w:rFonts w:cs="Times New Roman"/>
          <w:lang w:val="fr-CA"/>
        </w:rPr>
        <w:t>six cents</w:t>
      </w:r>
      <w:r w:rsidRPr="008675BA">
        <w:rPr>
          <w:rFonts w:cs="Times New Roman"/>
          <w:lang w:val="fr-CA"/>
        </w:rPr>
        <w:t xml:space="preserve"> pièces. Il y a lieu de faire preuve de déférence à l’égard des conclusions de la juge du procès.</w:t>
      </w:r>
    </w:p>
    <w:p w:rsidR="0041746D" w:rsidRPr="008675BA" w:rsidRDefault="0041746D" w:rsidP="0041746D">
      <w:pPr>
        <w:pStyle w:val="ParaNoNdepar-AltN"/>
        <w:rPr>
          <w:rFonts w:cs="Times New Roman"/>
          <w:lang w:val="fr-CA"/>
        </w:rPr>
      </w:pPr>
      <w:r w:rsidRPr="008675BA">
        <w:rPr>
          <w:rFonts w:cs="Times New Roman"/>
          <w:lang w:val="fr-CA"/>
        </w:rPr>
        <w:t>De fait, l’approche adoptée par la Cour d’appel, loin d’être véritablement « globale », est à mon avis indûment axée sur la conduite de M</w:t>
      </w:r>
      <w:r w:rsidRPr="008675BA">
        <w:rPr>
          <w:rFonts w:cs="Times New Roman"/>
          <w:vertAlign w:val="superscript"/>
          <w:lang w:val="fr-CA"/>
        </w:rPr>
        <w:t>e</w:t>
      </w:r>
      <w:r w:rsidRPr="008675BA">
        <w:rPr>
          <w:rFonts w:cs="Times New Roman"/>
          <w:lang w:val="fr-CA"/>
        </w:rPr>
        <w:t> Salomon, au point où la Cour d’appel a perdu de vue certaines des circonstances pertinentes. Par exemple, en ce qui concerne la faute, la Cour d’appel surestime le rôle de M</w:t>
      </w:r>
      <w:r w:rsidRPr="008675BA">
        <w:rPr>
          <w:rFonts w:cs="Times New Roman"/>
          <w:vertAlign w:val="superscript"/>
          <w:lang w:val="fr-CA"/>
        </w:rPr>
        <w:t>e</w:t>
      </w:r>
      <w:r w:rsidRPr="008675BA">
        <w:rPr>
          <w:rFonts w:cs="Times New Roman"/>
          <w:lang w:val="fr-CA"/>
        </w:rPr>
        <w:t> Salomon et fait en grande partie abstraction de la spécificité de ses mandats et du rôle joué par d’autres professionnels. Pour ce qui est du lien de causalité, elle ne tient pas compte de la relation des intimées avec Triglobal et M. Papadopoulos, ni du fait que M</w:t>
      </w:r>
      <w:r w:rsidRPr="008675BA">
        <w:rPr>
          <w:rFonts w:cs="Times New Roman"/>
          <w:vertAlign w:val="superscript"/>
          <w:lang w:val="fr-CA"/>
        </w:rPr>
        <w:t>e</w:t>
      </w:r>
      <w:r w:rsidRPr="008675BA">
        <w:rPr>
          <w:rFonts w:cs="Times New Roman"/>
          <w:lang w:val="fr-CA"/>
        </w:rPr>
        <w:t xml:space="preserve"> Salomon n’a pas pris part aux décisions en matière de placements ayant mené directement aux pertes. Une conception aussi draconienne de la responsabilité civile pourrait augmenter par inadvertance le risque de poursuites à l’encontre de nombreux professionnels qui recommandent régulièrement d’autres conseillers et collaborent ensuite avec ces derniers dans l’intérêt de leurs clients. </w:t>
      </w:r>
    </w:p>
    <w:p w:rsidR="0041746D" w:rsidRPr="008675BA" w:rsidRDefault="0041746D" w:rsidP="0041746D">
      <w:pPr>
        <w:pStyle w:val="ParaNoNdepar-AltN"/>
        <w:rPr>
          <w:rFonts w:cs="Times New Roman"/>
          <w:lang w:val="fr-CA"/>
        </w:rPr>
      </w:pPr>
      <w:r w:rsidRPr="008675BA">
        <w:rPr>
          <w:rFonts w:cs="Times New Roman"/>
          <w:lang w:val="fr-CA"/>
        </w:rPr>
        <w:t>Quoi qu’il en soit, indépendamment du bien</w:t>
      </w:r>
      <w:r>
        <w:rPr>
          <w:rFonts w:cs="Times New Roman"/>
          <w:lang w:val="fr-CA"/>
        </w:rPr>
        <w:noBreakHyphen/>
      </w:r>
      <w:r w:rsidRPr="008675BA">
        <w:rPr>
          <w:rFonts w:cs="Times New Roman"/>
          <w:lang w:val="fr-CA"/>
        </w:rPr>
        <w:t xml:space="preserve">fondé de l’approche qu’elle a employée, la Cour d’appel n’aurait pas dû substituer sa propre analyse du dossier à celle de la juge du procès. Avec égards, les conclusions de la Cour d’appel ne découlent de rien d’autre que d’une divergence d’opinions fondée sur une nouvelle appréciation de l’ensemble de la preuve, ce qui est manifestement incompatible avec le rôle d’une juridiction d’appel (voir </w:t>
      </w:r>
      <w:r w:rsidRPr="008675BA">
        <w:rPr>
          <w:rFonts w:cs="Times New Roman"/>
          <w:i/>
          <w:lang w:val="fr-CA"/>
        </w:rPr>
        <w:t>Housen c. Nikolaisen</w:t>
      </w:r>
      <w:r w:rsidRPr="008675BA">
        <w:rPr>
          <w:rFonts w:cs="Times New Roman"/>
          <w:lang w:val="fr-CA"/>
        </w:rPr>
        <w:t xml:space="preserve">, 2002 CSC 33, [2002] 2 R.C.S. 235, </w:t>
      </w:r>
      <w:r>
        <w:rPr>
          <w:rFonts w:cs="Times New Roman"/>
          <w:lang w:val="fr-CA"/>
        </w:rPr>
        <w:t>par. </w:t>
      </w:r>
      <w:r w:rsidRPr="008675BA">
        <w:rPr>
          <w:rFonts w:cs="Times New Roman"/>
          <w:lang w:val="fr-CA"/>
        </w:rPr>
        <w:t xml:space="preserve">3, citant </w:t>
      </w:r>
      <w:r w:rsidRPr="008675BA">
        <w:rPr>
          <w:rFonts w:cs="Times New Roman"/>
          <w:i/>
          <w:lang w:val="fr-CA"/>
        </w:rPr>
        <w:t>Underwood c. Ocean City Realty Ltd</w:t>
      </w:r>
      <w:r w:rsidRPr="008675BA">
        <w:rPr>
          <w:rFonts w:cs="Times New Roman"/>
          <w:lang w:val="fr-CA"/>
        </w:rPr>
        <w:t xml:space="preserve">. (1987), 12 B.C.L.R. (2d) 199 (C.A.), </w:t>
      </w:r>
      <w:r>
        <w:rPr>
          <w:rFonts w:cs="Times New Roman"/>
          <w:lang w:val="fr-CA"/>
        </w:rPr>
        <w:t>p. </w:t>
      </w:r>
      <w:r w:rsidRPr="008675BA">
        <w:rPr>
          <w:rFonts w:cs="Times New Roman"/>
          <w:lang w:val="fr-CA"/>
        </w:rPr>
        <w:t>204).</w:t>
      </w:r>
    </w:p>
    <w:p w:rsidR="0041746D" w:rsidRPr="008675BA" w:rsidRDefault="0041746D" w:rsidP="0041746D">
      <w:pPr>
        <w:pStyle w:val="ParaNoNdepar-AltN"/>
        <w:rPr>
          <w:rFonts w:cs="Times New Roman"/>
          <w:lang w:val="fr-CA"/>
        </w:rPr>
      </w:pPr>
      <w:r w:rsidRPr="008675BA">
        <w:rPr>
          <w:rFonts w:cs="Times New Roman"/>
          <w:lang w:val="fr-CA"/>
        </w:rPr>
        <w:lastRenderedPageBreak/>
        <w:t>Plus précisément, je suis convaincue qu’aucune erreur manifeste et déterminante n’entache les conclusions clés suivantes de la juge du procès</w:t>
      </w:r>
      <w:r>
        <w:rPr>
          <w:rFonts w:cs="Times New Roman"/>
          <w:lang w:val="fr-CA"/>
        </w:rPr>
        <w:t> :</w:t>
      </w:r>
      <w:r w:rsidRPr="008675BA">
        <w:rPr>
          <w:rFonts w:cs="Times New Roman"/>
          <w:lang w:val="fr-CA"/>
        </w:rPr>
        <w:t xml:space="preserve"> </w:t>
      </w:r>
    </w:p>
    <w:p w:rsidR="0041746D" w:rsidRPr="008675BA" w:rsidRDefault="0041746D" w:rsidP="00601A9A">
      <w:pPr>
        <w:pStyle w:val="ParaNoNdepar-AltN"/>
        <w:numPr>
          <w:ilvl w:val="1"/>
          <w:numId w:val="1"/>
        </w:numPr>
        <w:ind w:hanging="720"/>
        <w:rPr>
          <w:rFonts w:cs="Times New Roman"/>
          <w:lang w:val="fr-CA"/>
        </w:rPr>
      </w:pPr>
      <w:r w:rsidRPr="008675BA">
        <w:rPr>
          <w:rFonts w:cs="Times New Roman"/>
          <w:lang w:val="fr-CA"/>
        </w:rPr>
        <w:t>M</w:t>
      </w:r>
      <w:r w:rsidR="009E6E86" w:rsidRPr="00293FF7">
        <w:rPr>
          <w:rFonts w:cs="Times New Roman"/>
          <w:sz w:val="22"/>
          <w:vertAlign w:val="superscript"/>
          <w:lang w:val="fr-CA"/>
        </w:rPr>
        <w:t>e</w:t>
      </w:r>
      <w:r w:rsidRPr="008675BA">
        <w:rPr>
          <w:rFonts w:cs="Times New Roman"/>
          <w:lang w:val="fr-CA"/>
        </w:rPr>
        <w:t> Salomon n’a pas commis de faute en recommandant Triglobal et M. Papadopoulos comme conseillers financiers et en témoignant de sa confiance en eux (</w:t>
      </w:r>
      <w:r>
        <w:rPr>
          <w:rFonts w:cs="Times New Roman"/>
          <w:lang w:val="fr-CA"/>
        </w:rPr>
        <w:t>par. </w:t>
      </w:r>
      <w:r w:rsidRPr="008675BA">
        <w:rPr>
          <w:rFonts w:cs="Times New Roman"/>
          <w:lang w:val="fr-CA"/>
        </w:rPr>
        <w:t>302</w:t>
      </w:r>
      <w:r>
        <w:rPr>
          <w:rFonts w:cs="Times New Roman"/>
          <w:lang w:val="fr-CA"/>
        </w:rPr>
        <w:noBreakHyphen/>
      </w:r>
      <w:r w:rsidRPr="008675BA">
        <w:rPr>
          <w:rFonts w:cs="Times New Roman"/>
          <w:lang w:val="fr-CA"/>
        </w:rPr>
        <w:t>304 (CanLII));</w:t>
      </w:r>
    </w:p>
    <w:p w:rsidR="0041746D" w:rsidRPr="008675BA" w:rsidRDefault="0041746D" w:rsidP="00601A9A">
      <w:pPr>
        <w:pStyle w:val="ParaNoNdepar-AltN"/>
        <w:numPr>
          <w:ilvl w:val="1"/>
          <w:numId w:val="1"/>
        </w:numPr>
        <w:ind w:hanging="720"/>
        <w:rPr>
          <w:rFonts w:cs="Times New Roman"/>
          <w:lang w:val="fr-CA"/>
        </w:rPr>
      </w:pPr>
      <w:r w:rsidRPr="008675BA">
        <w:rPr>
          <w:rFonts w:cs="Times New Roman"/>
          <w:lang w:val="fr-CA"/>
        </w:rPr>
        <w:t>M</w:t>
      </w:r>
      <w:r w:rsidR="00293FF7" w:rsidRPr="00293FF7">
        <w:rPr>
          <w:rFonts w:cs="Times New Roman"/>
          <w:vertAlign w:val="superscript"/>
          <w:lang w:val="fr-CA"/>
        </w:rPr>
        <w:t>e</w:t>
      </w:r>
      <w:r w:rsidRPr="008675BA">
        <w:rPr>
          <w:rFonts w:cs="Times New Roman"/>
          <w:lang w:val="fr-CA"/>
        </w:rPr>
        <w:t> Salomon a commis une faute en recommandant des placements précis, particulièrement en 2003 et 2004, sans faire de recherches et sans être un conseiller financier qualifié (</w:t>
      </w:r>
      <w:r>
        <w:rPr>
          <w:rFonts w:cs="Times New Roman"/>
          <w:lang w:val="fr-CA"/>
        </w:rPr>
        <w:t>par. </w:t>
      </w:r>
      <w:r w:rsidRPr="008675BA">
        <w:rPr>
          <w:rFonts w:cs="Times New Roman"/>
          <w:lang w:val="fr-CA"/>
        </w:rPr>
        <w:t>188</w:t>
      </w:r>
      <w:r>
        <w:rPr>
          <w:rFonts w:cs="Times New Roman"/>
          <w:lang w:val="fr-CA"/>
        </w:rPr>
        <w:noBreakHyphen/>
      </w:r>
      <w:r w:rsidRPr="008675BA">
        <w:rPr>
          <w:rFonts w:cs="Times New Roman"/>
          <w:lang w:val="fr-CA"/>
        </w:rPr>
        <w:t xml:space="preserve">199); </w:t>
      </w:r>
    </w:p>
    <w:p w:rsidR="0041746D" w:rsidRPr="008675BA" w:rsidRDefault="0041746D" w:rsidP="00601A9A">
      <w:pPr>
        <w:pStyle w:val="ParaNoNdepar-AltN"/>
        <w:numPr>
          <w:ilvl w:val="1"/>
          <w:numId w:val="1"/>
        </w:numPr>
        <w:ind w:hanging="720"/>
        <w:rPr>
          <w:rFonts w:cs="Times New Roman"/>
          <w:lang w:val="fr-CA"/>
        </w:rPr>
      </w:pPr>
      <w:r w:rsidRPr="008675BA">
        <w:rPr>
          <w:rFonts w:cs="Times New Roman"/>
          <w:lang w:val="fr-CA"/>
        </w:rPr>
        <w:t>Toutefois, les recommandations erronées de M</w:t>
      </w:r>
      <w:r w:rsidRPr="008675BA">
        <w:rPr>
          <w:rFonts w:cs="Times New Roman"/>
          <w:vertAlign w:val="superscript"/>
          <w:lang w:val="fr-CA"/>
        </w:rPr>
        <w:t>e</w:t>
      </w:r>
      <w:r w:rsidRPr="008675BA">
        <w:rPr>
          <w:rFonts w:cs="Times New Roman"/>
          <w:lang w:val="fr-CA"/>
        </w:rPr>
        <w:t> Salomon en matière de placements n’ont pas directement causé les pertes (</w:t>
      </w:r>
      <w:r>
        <w:rPr>
          <w:rFonts w:cs="Times New Roman"/>
          <w:lang w:val="fr-CA"/>
        </w:rPr>
        <w:t>par. </w:t>
      </w:r>
      <w:r w:rsidRPr="008675BA">
        <w:rPr>
          <w:rFonts w:cs="Times New Roman"/>
          <w:lang w:val="fr-CA"/>
        </w:rPr>
        <w:t>208</w:t>
      </w:r>
      <w:r>
        <w:rPr>
          <w:rFonts w:cs="Times New Roman"/>
          <w:lang w:val="fr-CA"/>
        </w:rPr>
        <w:noBreakHyphen/>
      </w:r>
      <w:r w:rsidRPr="008675BA">
        <w:rPr>
          <w:rFonts w:cs="Times New Roman"/>
          <w:lang w:val="fr-CA"/>
        </w:rPr>
        <w:t xml:space="preserve">210 et 216);  </w:t>
      </w:r>
    </w:p>
    <w:p w:rsidR="0041746D" w:rsidRPr="008675BA" w:rsidRDefault="0041746D" w:rsidP="00601A9A">
      <w:pPr>
        <w:pStyle w:val="ParaNoNdepar-AltN"/>
        <w:numPr>
          <w:ilvl w:val="1"/>
          <w:numId w:val="1"/>
        </w:numPr>
        <w:ind w:hanging="720"/>
        <w:rPr>
          <w:rFonts w:cs="Times New Roman"/>
          <w:lang w:val="fr-CA"/>
        </w:rPr>
      </w:pPr>
      <w:r w:rsidRPr="008675BA">
        <w:rPr>
          <w:rFonts w:cs="Times New Roman"/>
          <w:lang w:val="fr-CA"/>
        </w:rPr>
        <w:t>En 2005 et 2006, M</w:t>
      </w:r>
      <w:r w:rsidRPr="008675BA">
        <w:rPr>
          <w:rFonts w:cs="Times New Roman"/>
          <w:vertAlign w:val="superscript"/>
          <w:lang w:val="fr-CA"/>
        </w:rPr>
        <w:t>e</w:t>
      </w:r>
      <w:r w:rsidRPr="008675BA">
        <w:rPr>
          <w:rFonts w:cs="Times New Roman"/>
          <w:lang w:val="fr-CA"/>
        </w:rPr>
        <w:t> Salomon n’a pas été consulté au sujet des décisions de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et de 166 en matière de placements qui ont causé les pertes (à savoir l’investissement dans Focus). Les intimées avaient alors établi une bonne relation avec M. Papadopoulos et se fiaient à lui pour des conseils en matière de placements (</w:t>
      </w:r>
      <w:r>
        <w:rPr>
          <w:rFonts w:cs="Times New Roman"/>
          <w:lang w:val="fr-CA"/>
        </w:rPr>
        <w:t>par. </w:t>
      </w:r>
      <w:r w:rsidRPr="008675BA">
        <w:rPr>
          <w:rFonts w:cs="Times New Roman"/>
          <w:lang w:val="fr-CA"/>
        </w:rPr>
        <w:t>201</w:t>
      </w:r>
      <w:r>
        <w:rPr>
          <w:rFonts w:cs="Times New Roman"/>
          <w:lang w:val="fr-CA"/>
        </w:rPr>
        <w:noBreakHyphen/>
      </w:r>
      <w:r w:rsidRPr="008675BA">
        <w:rPr>
          <w:rFonts w:cs="Times New Roman"/>
          <w:lang w:val="fr-CA"/>
        </w:rPr>
        <w:t>211, 284, 288 et 290</w:t>
      </w:r>
      <w:r>
        <w:rPr>
          <w:rFonts w:cs="Times New Roman"/>
          <w:lang w:val="fr-CA"/>
        </w:rPr>
        <w:noBreakHyphen/>
      </w:r>
      <w:r w:rsidRPr="008675BA">
        <w:rPr>
          <w:rFonts w:cs="Times New Roman"/>
          <w:lang w:val="fr-CA"/>
        </w:rPr>
        <w:t>292);</w:t>
      </w:r>
    </w:p>
    <w:p w:rsidR="0041746D" w:rsidRPr="008675BA" w:rsidRDefault="0041746D" w:rsidP="00601A9A">
      <w:pPr>
        <w:pStyle w:val="ParaNoNdepar-AltN"/>
        <w:numPr>
          <w:ilvl w:val="1"/>
          <w:numId w:val="1"/>
        </w:numPr>
        <w:ind w:hanging="720"/>
        <w:rPr>
          <w:rFonts w:cs="Times New Roman"/>
          <w:lang w:val="fr-CA"/>
        </w:rPr>
      </w:pPr>
      <w:r w:rsidRPr="008675BA">
        <w:rPr>
          <w:rFonts w:cs="Times New Roman"/>
          <w:lang w:val="fr-CA"/>
        </w:rPr>
        <w:t>Bien que M</w:t>
      </w:r>
      <w:r w:rsidRPr="008675BA">
        <w:rPr>
          <w:rFonts w:cs="Times New Roman"/>
          <w:vertAlign w:val="superscript"/>
          <w:lang w:val="fr-CA"/>
        </w:rPr>
        <w:t>e</w:t>
      </w:r>
      <w:r w:rsidRPr="008675BA">
        <w:rPr>
          <w:rFonts w:cs="Times New Roman"/>
          <w:lang w:val="fr-CA"/>
        </w:rPr>
        <w:t> Salomon ait appris en avril 2006 que certains placements préoccupaient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 xml:space="preserve">Thompson et qu’il ait plus tard agi comme « intermédiaire » pour l’aider à obtenir l’information nécessaire auprès de M. Papadopoulos et de Triglobal, il ne lui incombait nullement, dans les circonstances, de remettre en question les conseils en matière de placements </w:t>
      </w:r>
      <w:r w:rsidRPr="008675BA">
        <w:rPr>
          <w:rFonts w:cs="Times New Roman"/>
          <w:lang w:val="fr-CA"/>
        </w:rPr>
        <w:lastRenderedPageBreak/>
        <w:t>donnés par les conseillers financiers des intimées ou de découvrir la fraude (</w:t>
      </w:r>
      <w:r>
        <w:rPr>
          <w:rFonts w:cs="Times New Roman"/>
          <w:lang w:val="fr-CA"/>
        </w:rPr>
        <w:t>par. </w:t>
      </w:r>
      <w:r w:rsidRPr="008675BA">
        <w:rPr>
          <w:rFonts w:cs="Times New Roman"/>
          <w:lang w:val="fr-CA"/>
        </w:rPr>
        <w:t>214, 248</w:t>
      </w:r>
      <w:r>
        <w:rPr>
          <w:rFonts w:cs="Times New Roman"/>
          <w:lang w:val="fr-CA"/>
        </w:rPr>
        <w:noBreakHyphen/>
      </w:r>
      <w:r w:rsidRPr="008675BA">
        <w:rPr>
          <w:rFonts w:cs="Times New Roman"/>
          <w:lang w:val="fr-CA"/>
        </w:rPr>
        <w:t>249 et 299</w:t>
      </w:r>
      <w:r>
        <w:rPr>
          <w:rFonts w:cs="Times New Roman"/>
          <w:lang w:val="fr-CA"/>
        </w:rPr>
        <w:noBreakHyphen/>
      </w:r>
      <w:r w:rsidRPr="008675BA">
        <w:rPr>
          <w:rFonts w:cs="Times New Roman"/>
          <w:lang w:val="fr-CA"/>
        </w:rPr>
        <w:t>300);</w:t>
      </w:r>
    </w:p>
    <w:p w:rsidR="0041746D" w:rsidRPr="008675BA" w:rsidRDefault="0041746D" w:rsidP="00601A9A">
      <w:pPr>
        <w:pStyle w:val="ParaNoNdepar-AltN"/>
        <w:numPr>
          <w:ilvl w:val="1"/>
          <w:numId w:val="1"/>
        </w:numPr>
        <w:ind w:hanging="720"/>
        <w:rPr>
          <w:rFonts w:cs="Times New Roman"/>
          <w:lang w:val="fr-CA"/>
        </w:rPr>
      </w:pPr>
      <w:r w:rsidRPr="008675BA">
        <w:rPr>
          <w:rFonts w:cs="Times New Roman"/>
          <w:lang w:val="fr-CA"/>
        </w:rPr>
        <w:t>Dans la mesure où M</w:t>
      </w:r>
      <w:r w:rsidRPr="008675BA">
        <w:rPr>
          <w:rFonts w:cs="Times New Roman"/>
          <w:vertAlign w:val="superscript"/>
          <w:lang w:val="fr-CA"/>
        </w:rPr>
        <w:t>e</w:t>
      </w:r>
      <w:r w:rsidRPr="008675BA">
        <w:rPr>
          <w:rFonts w:cs="Times New Roman"/>
          <w:lang w:val="fr-CA"/>
        </w:rPr>
        <w:t> Salomon aurait dû avertir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 xml:space="preserve">Thompson et 166 lorsqu’il a eu connaissance de l’article de </w:t>
      </w:r>
      <w:r w:rsidRPr="008675BA">
        <w:rPr>
          <w:rFonts w:cs="Times New Roman"/>
          <w:i/>
          <w:lang w:val="fr-CA"/>
        </w:rPr>
        <w:t>La Presse Affaires</w:t>
      </w:r>
      <w:r w:rsidRPr="008675BA">
        <w:rPr>
          <w:rFonts w:cs="Times New Roman"/>
          <w:lang w:val="fr-CA"/>
        </w:rPr>
        <w:t xml:space="preserve"> paru en mai 2007 qui évoquait de possibles pratiques douteuses de la part de Triglobal, il était probablement déjà trop tard à ce moment pour recouvrer les fonds (</w:t>
      </w:r>
      <w:r>
        <w:rPr>
          <w:rFonts w:cs="Times New Roman"/>
          <w:lang w:val="fr-CA"/>
        </w:rPr>
        <w:t>par. </w:t>
      </w:r>
      <w:r w:rsidRPr="008675BA">
        <w:rPr>
          <w:rFonts w:cs="Times New Roman"/>
          <w:lang w:val="fr-CA"/>
        </w:rPr>
        <w:t>304 et 308);</w:t>
      </w:r>
    </w:p>
    <w:p w:rsidR="0041746D" w:rsidRPr="008675BA" w:rsidRDefault="0041746D" w:rsidP="00601A9A">
      <w:pPr>
        <w:pStyle w:val="ParaNoNdepar-AltN"/>
        <w:numPr>
          <w:ilvl w:val="1"/>
          <w:numId w:val="1"/>
        </w:numPr>
        <w:ind w:hanging="720"/>
        <w:rPr>
          <w:rFonts w:cs="Times New Roman"/>
          <w:lang w:val="fr-CA"/>
        </w:rPr>
      </w:pPr>
      <w:r w:rsidRPr="008675BA">
        <w:rPr>
          <w:rFonts w:cs="Times New Roman"/>
          <w:lang w:val="fr-CA"/>
        </w:rPr>
        <w:t>Malgré sa relation personnelle et financière avec M. Papadopoulos, et particulièrement les cadeaux qu’il a reçus, M</w:t>
      </w:r>
      <w:r w:rsidRPr="008675BA">
        <w:rPr>
          <w:rFonts w:cs="Times New Roman"/>
          <w:vertAlign w:val="superscript"/>
          <w:lang w:val="fr-CA"/>
        </w:rPr>
        <w:t>e</w:t>
      </w:r>
      <w:r w:rsidRPr="008675BA">
        <w:rPr>
          <w:rFonts w:cs="Times New Roman"/>
          <w:lang w:val="fr-CA"/>
        </w:rPr>
        <w:t> Salomon ne s’est pas placé dans une situation de conflit d’intérêts étant donné sa participation limitée aux décisions des intimées en matière de placements et la nature et le moment des paiements de M. Papadopoulos (</w:t>
      </w:r>
      <w:r>
        <w:rPr>
          <w:rFonts w:cs="Times New Roman"/>
          <w:lang w:val="fr-CA"/>
        </w:rPr>
        <w:t>par. </w:t>
      </w:r>
      <w:r w:rsidRPr="008675BA">
        <w:rPr>
          <w:rFonts w:cs="Times New Roman"/>
          <w:lang w:val="fr-CA"/>
        </w:rPr>
        <w:t>132</w:t>
      </w:r>
      <w:r>
        <w:rPr>
          <w:rFonts w:cs="Times New Roman"/>
          <w:lang w:val="fr-CA"/>
        </w:rPr>
        <w:noBreakHyphen/>
      </w:r>
      <w:r w:rsidRPr="008675BA">
        <w:rPr>
          <w:rFonts w:cs="Times New Roman"/>
          <w:lang w:val="fr-CA"/>
        </w:rPr>
        <w:t>165).</w:t>
      </w:r>
    </w:p>
    <w:p w:rsidR="0041746D" w:rsidRPr="008675BA" w:rsidRDefault="0041746D" w:rsidP="0041746D">
      <w:pPr>
        <w:pStyle w:val="ParaNoNdepar-AltN"/>
        <w:rPr>
          <w:rFonts w:cs="Times New Roman"/>
          <w:lang w:val="fr-CA"/>
        </w:rPr>
      </w:pPr>
      <w:r w:rsidRPr="008675BA">
        <w:rPr>
          <w:rFonts w:cs="Times New Roman"/>
          <w:lang w:val="fr-CA"/>
        </w:rPr>
        <w:t>Lorsque, comme en l’espèce, une première juridiction d’appel modifie les conclusions du juge du procès en l’absence d’erreurs révisables, il appartient à notre Cour d’intervenir et de rétablir la décision du juge du procès. À cet égard, je crains que mon collègue le juge Gascon fasse preuve d’une trop grande déférence envers la Cour d’appel, ce qui pourrait miner le principe de non</w:t>
      </w:r>
      <w:r>
        <w:rPr>
          <w:rFonts w:cs="Times New Roman"/>
          <w:lang w:val="fr-CA"/>
        </w:rPr>
        <w:noBreakHyphen/>
      </w:r>
      <w:r w:rsidRPr="008675BA">
        <w:rPr>
          <w:rFonts w:cs="Times New Roman"/>
          <w:lang w:val="fr-CA"/>
        </w:rPr>
        <w:t>intervention en appel à l’égard des conclusions de fait ou des conclusions mixtes de fait et de droit tirées en première instance. J’estime qu’il est nécessaire de traiter de cette question avant d’examiner le bien</w:t>
      </w:r>
      <w:r>
        <w:rPr>
          <w:rFonts w:cs="Times New Roman"/>
          <w:lang w:val="fr-CA"/>
        </w:rPr>
        <w:noBreakHyphen/>
      </w:r>
      <w:r w:rsidRPr="008675BA">
        <w:rPr>
          <w:rFonts w:cs="Times New Roman"/>
          <w:lang w:val="fr-CA"/>
        </w:rPr>
        <w:t>fondé des motifs pour lesquels la Cour d’appel a décidé d’intervenir en l’espèce.</w:t>
      </w:r>
    </w:p>
    <w:p w:rsidR="0041746D" w:rsidRPr="008675BA" w:rsidRDefault="0041746D" w:rsidP="0041746D">
      <w:pPr>
        <w:pStyle w:val="Title1LevelTitre1Niveau-AltL"/>
        <w:numPr>
          <w:ilvl w:val="0"/>
          <w:numId w:val="25"/>
        </w:numPr>
        <w:tabs>
          <w:tab w:val="clear" w:pos="1002"/>
          <w:tab w:val="num" w:pos="576"/>
        </w:tabs>
        <w:ind w:left="576"/>
        <w:rPr>
          <w:rFonts w:cs="Times New Roman"/>
          <w:lang w:val="fr-CA"/>
        </w:rPr>
      </w:pPr>
      <w:bookmarkStart w:id="6" w:name="_Toc2153990"/>
      <w:r w:rsidRPr="008675BA">
        <w:rPr>
          <w:rFonts w:cs="Times New Roman"/>
          <w:lang w:val="fr-CA"/>
        </w:rPr>
        <w:t>Norme de contrôle applicable en appel</w:t>
      </w:r>
      <w:bookmarkEnd w:id="6"/>
    </w:p>
    <w:p w:rsidR="0041746D" w:rsidRPr="008675BA" w:rsidRDefault="0041746D" w:rsidP="0041746D">
      <w:pPr>
        <w:pStyle w:val="Title2LevelTitre2Niveau"/>
        <w:numPr>
          <w:ilvl w:val="1"/>
          <w:numId w:val="25"/>
        </w:numPr>
        <w:rPr>
          <w:rFonts w:cs="Times New Roman"/>
          <w:lang w:val="fr-CA"/>
        </w:rPr>
      </w:pPr>
      <w:bookmarkStart w:id="7" w:name="_Toc2153991"/>
      <w:r w:rsidRPr="008675BA">
        <w:rPr>
          <w:rFonts w:cs="Times New Roman"/>
          <w:lang w:val="fr-CA"/>
        </w:rPr>
        <w:lastRenderedPageBreak/>
        <w:t>Le principe de non</w:t>
      </w:r>
      <w:r>
        <w:rPr>
          <w:rFonts w:cs="Times New Roman"/>
          <w:lang w:val="fr-CA"/>
        </w:rPr>
        <w:noBreakHyphen/>
      </w:r>
      <w:r w:rsidRPr="008675BA">
        <w:rPr>
          <w:rFonts w:cs="Times New Roman"/>
          <w:lang w:val="fr-CA"/>
        </w:rPr>
        <w:t>intervention en appel</w:t>
      </w:r>
      <w:bookmarkEnd w:id="7"/>
    </w:p>
    <w:p w:rsidR="0041746D" w:rsidRPr="008675BA" w:rsidRDefault="0041746D" w:rsidP="0041746D">
      <w:pPr>
        <w:pStyle w:val="ParaNoNdepar-AltN"/>
        <w:rPr>
          <w:rFonts w:cs="Times New Roman"/>
          <w:lang w:val="fr-CA"/>
        </w:rPr>
      </w:pPr>
      <w:r w:rsidRPr="008675BA">
        <w:rPr>
          <w:rFonts w:cs="Times New Roman"/>
          <w:lang w:val="fr-CA"/>
        </w:rPr>
        <w:t>Dans la présente affaire, la seule norme de contrôle appropriée en appel est celle de l’erreur « manifeste et déterminante », qui s’applique autant aux conclusions de fait, y compris les inférences de fait, qu’aux conclusions mixtes de fait et de droit (à moins que l’existence d’une erreur de droit isolable puisse être démontrée) (</w:t>
      </w:r>
      <w:r w:rsidRPr="008675BA">
        <w:rPr>
          <w:rFonts w:cs="Times New Roman"/>
          <w:i/>
          <w:lang w:val="fr-CA"/>
        </w:rPr>
        <w:t>Housen</w:t>
      </w:r>
      <w:r w:rsidRPr="008675BA">
        <w:rPr>
          <w:rFonts w:cs="Times New Roman"/>
          <w:lang w:val="fr-CA"/>
        </w:rPr>
        <w:t xml:space="preserve">, </w:t>
      </w:r>
      <w:r>
        <w:rPr>
          <w:rFonts w:cs="Times New Roman"/>
          <w:lang w:val="fr-CA"/>
        </w:rPr>
        <w:t>par. </w:t>
      </w:r>
      <w:r w:rsidRPr="008675BA">
        <w:rPr>
          <w:rFonts w:cs="Times New Roman"/>
          <w:lang w:val="fr-CA"/>
        </w:rPr>
        <w:t>10, 19, 28</w:t>
      </w:r>
      <w:r>
        <w:rPr>
          <w:rFonts w:cs="Times New Roman"/>
          <w:lang w:val="fr-CA"/>
        </w:rPr>
        <w:noBreakHyphen/>
      </w:r>
      <w:r w:rsidRPr="008675BA">
        <w:rPr>
          <w:rFonts w:cs="Times New Roman"/>
          <w:lang w:val="fr-CA"/>
        </w:rPr>
        <w:t xml:space="preserve">31 et 36; </w:t>
      </w:r>
      <w:r w:rsidRPr="008675BA">
        <w:rPr>
          <w:rFonts w:cs="Times New Roman"/>
          <w:i/>
          <w:lang w:val="fr-CA"/>
        </w:rPr>
        <w:t>Prud’homme c. Prud’homme</w:t>
      </w:r>
      <w:r w:rsidRPr="008675BA">
        <w:rPr>
          <w:rFonts w:cs="Times New Roman"/>
          <w:lang w:val="fr-CA"/>
        </w:rPr>
        <w:t xml:space="preserve">, 2002 CSC 85, [2002] 4 R.C.S. 663, </w:t>
      </w:r>
      <w:r>
        <w:rPr>
          <w:rFonts w:cs="Times New Roman"/>
          <w:lang w:val="fr-CA"/>
        </w:rPr>
        <w:t>par. </w:t>
      </w:r>
      <w:r w:rsidRPr="008675BA">
        <w:rPr>
          <w:rFonts w:cs="Times New Roman"/>
          <w:lang w:val="fr-CA"/>
        </w:rPr>
        <w:t>66). Les conclusions de faute soulèvent des questions mixtes de fait et de droit parce qu’elles comportent l’application à un ensemble de faits de normes de comportement prescrites par des règles de droit (</w:t>
      </w:r>
      <w:r w:rsidRPr="008675BA">
        <w:rPr>
          <w:rFonts w:cs="Times New Roman"/>
          <w:i/>
          <w:lang w:val="fr-CA"/>
        </w:rPr>
        <w:t>St</w:t>
      </w:r>
      <w:r>
        <w:rPr>
          <w:rFonts w:cs="Times New Roman"/>
          <w:i/>
          <w:lang w:val="fr-CA"/>
        </w:rPr>
        <w:noBreakHyphen/>
      </w:r>
      <w:r w:rsidRPr="008675BA">
        <w:rPr>
          <w:rFonts w:cs="Times New Roman"/>
          <w:i/>
          <w:lang w:val="fr-CA"/>
        </w:rPr>
        <w:t>Jean c. Mercier</w:t>
      </w:r>
      <w:r w:rsidRPr="008675BA">
        <w:rPr>
          <w:rFonts w:cs="Times New Roman"/>
          <w:lang w:val="fr-CA"/>
        </w:rPr>
        <w:t xml:space="preserve">, 2002 CSC 15, [2002] 1 R.C.S. 491, </w:t>
      </w:r>
      <w:r>
        <w:rPr>
          <w:rFonts w:cs="Times New Roman"/>
          <w:lang w:val="fr-CA"/>
        </w:rPr>
        <w:t>par. </w:t>
      </w:r>
      <w:r w:rsidRPr="008675BA">
        <w:rPr>
          <w:rFonts w:cs="Times New Roman"/>
          <w:lang w:val="fr-CA"/>
        </w:rPr>
        <w:t xml:space="preserve">104; </w:t>
      </w:r>
      <w:r w:rsidRPr="008675BA">
        <w:rPr>
          <w:rFonts w:cs="Times New Roman"/>
          <w:i/>
          <w:lang w:val="fr-CA"/>
        </w:rPr>
        <w:t>Housen</w:t>
      </w:r>
      <w:r w:rsidRPr="008675BA">
        <w:rPr>
          <w:rFonts w:cs="Times New Roman"/>
          <w:lang w:val="fr-CA"/>
        </w:rPr>
        <w:t xml:space="preserve">, </w:t>
      </w:r>
      <w:r>
        <w:rPr>
          <w:rFonts w:cs="Times New Roman"/>
          <w:lang w:val="fr-CA"/>
        </w:rPr>
        <w:t>par. </w:t>
      </w:r>
      <w:r w:rsidRPr="008675BA">
        <w:rPr>
          <w:rFonts w:cs="Times New Roman"/>
          <w:lang w:val="fr-CA"/>
        </w:rPr>
        <w:t>29). Pour ce qui est des conclusions quant à la causalité, elles soulèvent manifestement des questions de fait (</w:t>
      </w:r>
      <w:r w:rsidRPr="008675BA">
        <w:rPr>
          <w:rFonts w:cs="Times New Roman"/>
          <w:i/>
          <w:lang w:val="fr-CA"/>
        </w:rPr>
        <w:t>Montréal (Ville) c.</w:t>
      </w:r>
      <w:r w:rsidRPr="008675BA">
        <w:rPr>
          <w:rFonts w:cs="Times New Roman"/>
          <w:lang w:val="fr-CA"/>
        </w:rPr>
        <w:t xml:space="preserve"> </w:t>
      </w:r>
      <w:r w:rsidRPr="008675BA">
        <w:rPr>
          <w:rFonts w:cs="Times New Roman"/>
          <w:i/>
          <w:lang w:val="fr-CA"/>
        </w:rPr>
        <w:t>Lonardi</w:t>
      </w:r>
      <w:r w:rsidRPr="008675BA">
        <w:rPr>
          <w:rFonts w:cs="Times New Roman"/>
          <w:lang w:val="fr-CA"/>
        </w:rPr>
        <w:t xml:space="preserve">, 2018 CSC 29, </w:t>
      </w:r>
      <w:r w:rsidR="008C5410">
        <w:rPr>
          <w:rFonts w:cs="Times New Roman"/>
          <w:lang w:val="fr-CA"/>
        </w:rPr>
        <w:t xml:space="preserve">[2018] 2 R.C.S. 103, </w:t>
      </w:r>
      <w:r>
        <w:rPr>
          <w:rFonts w:cs="Times New Roman"/>
          <w:lang w:val="fr-CA"/>
        </w:rPr>
        <w:t>par. </w:t>
      </w:r>
      <w:r w:rsidRPr="008675BA">
        <w:rPr>
          <w:rFonts w:cs="Times New Roman"/>
          <w:lang w:val="fr-CA"/>
        </w:rPr>
        <w:t xml:space="preserve">41; </w:t>
      </w:r>
      <w:r w:rsidRPr="008675BA">
        <w:rPr>
          <w:rFonts w:cs="Times New Roman"/>
          <w:i/>
          <w:lang w:val="fr-CA"/>
        </w:rPr>
        <w:t>Benhaim c. St</w:t>
      </w:r>
      <w:r>
        <w:rPr>
          <w:rFonts w:cs="Times New Roman"/>
          <w:i/>
          <w:lang w:val="fr-CA"/>
        </w:rPr>
        <w:noBreakHyphen/>
      </w:r>
      <w:r w:rsidRPr="008675BA">
        <w:rPr>
          <w:rFonts w:cs="Times New Roman"/>
          <w:i/>
          <w:lang w:val="fr-CA"/>
        </w:rPr>
        <w:t>Germain</w:t>
      </w:r>
      <w:r w:rsidRPr="008675BA">
        <w:rPr>
          <w:rFonts w:cs="Times New Roman"/>
          <w:lang w:val="fr-CA"/>
        </w:rPr>
        <w:t xml:space="preserve">, 2016 CSC 48, [2016] 2 R.C.S. 352, </w:t>
      </w:r>
      <w:r>
        <w:rPr>
          <w:rFonts w:cs="Times New Roman"/>
          <w:lang w:val="fr-CA"/>
        </w:rPr>
        <w:t>par. </w:t>
      </w:r>
      <w:r w:rsidRPr="008675BA">
        <w:rPr>
          <w:rFonts w:cs="Times New Roman"/>
          <w:lang w:val="fr-CA"/>
        </w:rPr>
        <w:t>36 et 92).</w:t>
      </w:r>
    </w:p>
    <w:p w:rsidR="0041746D" w:rsidRPr="008675BA" w:rsidRDefault="0041746D" w:rsidP="0041746D">
      <w:pPr>
        <w:pStyle w:val="ParaNoNdepar-AltN"/>
        <w:rPr>
          <w:rFonts w:cs="Times New Roman"/>
          <w:sz w:val="21"/>
          <w:szCs w:val="21"/>
          <w:lang w:val="fr-CA"/>
        </w:rPr>
      </w:pPr>
      <w:r w:rsidRPr="008675BA">
        <w:rPr>
          <w:rFonts w:cs="Times New Roman"/>
          <w:lang w:val="fr-CA"/>
        </w:rPr>
        <w:t>L’erreur manifeste et déterminante est une norme qui appelle « un degré élevé de retenue » (</w:t>
      </w:r>
      <w:r w:rsidRPr="008675BA">
        <w:rPr>
          <w:rFonts w:cs="Times New Roman"/>
          <w:i/>
          <w:lang w:val="fr-CA"/>
        </w:rPr>
        <w:t>South Yukon Forest Corporation c. R.</w:t>
      </w:r>
      <w:r w:rsidRPr="008675BA">
        <w:rPr>
          <w:rFonts w:cs="Times New Roman"/>
          <w:lang w:val="fr-CA"/>
        </w:rPr>
        <w:t xml:space="preserve">, 2012 CAF 165, 4 B.L.R. (5th) 31, </w:t>
      </w:r>
      <w:r>
        <w:rPr>
          <w:rFonts w:cs="Times New Roman"/>
          <w:lang w:val="fr-CA"/>
        </w:rPr>
        <w:t>par. </w:t>
      </w:r>
      <w:r w:rsidRPr="008675BA">
        <w:rPr>
          <w:rFonts w:cs="Times New Roman"/>
          <w:lang w:val="fr-CA"/>
        </w:rPr>
        <w:t xml:space="preserve">46, cité dans </w:t>
      </w:r>
      <w:r w:rsidRPr="008675BA">
        <w:rPr>
          <w:rFonts w:cs="Times New Roman"/>
          <w:i/>
          <w:lang w:val="fr-CA"/>
        </w:rPr>
        <w:t>Benhaim</w:t>
      </w:r>
      <w:r w:rsidRPr="008675BA">
        <w:rPr>
          <w:rFonts w:cs="Times New Roman"/>
          <w:lang w:val="fr-CA"/>
        </w:rPr>
        <w:t xml:space="preserve">, </w:t>
      </w:r>
      <w:r>
        <w:rPr>
          <w:rFonts w:cs="Times New Roman"/>
          <w:lang w:val="fr-CA"/>
        </w:rPr>
        <w:t>par. </w:t>
      </w:r>
      <w:r w:rsidRPr="008675BA">
        <w:rPr>
          <w:rFonts w:cs="Times New Roman"/>
          <w:lang w:val="fr-CA"/>
        </w:rPr>
        <w:t>38). Comme l’a souligné notre Cour à plusieurs reprises, « une cour d’appel commet une erreur lorsqu’elle infirme un jugement de première instance s’il n’y a pas une erreur manifeste et dominante, et si l’interprétation de l’ensemble de la preuve est le seul point en litige » (</w:t>
      </w:r>
      <w:r w:rsidRPr="008675BA">
        <w:rPr>
          <w:rFonts w:cs="Times New Roman"/>
          <w:i/>
          <w:iCs/>
          <w:lang w:val="fr-CA"/>
        </w:rPr>
        <w:t>Jaegli Enterprises Ltd. c. Taylor</w:t>
      </w:r>
      <w:r w:rsidRPr="008675BA">
        <w:rPr>
          <w:rFonts w:cs="Times New Roman"/>
          <w:lang w:val="fr-CA"/>
        </w:rPr>
        <w:t xml:space="preserve">, [1981] 2 R.C.S. 2, </w:t>
      </w:r>
      <w:r>
        <w:rPr>
          <w:rFonts w:cs="Times New Roman"/>
          <w:lang w:val="fr-CA"/>
        </w:rPr>
        <w:t>p. </w:t>
      </w:r>
      <w:r w:rsidRPr="008675BA">
        <w:rPr>
          <w:rFonts w:cs="Times New Roman"/>
          <w:lang w:val="fr-CA"/>
        </w:rPr>
        <w:t xml:space="preserve">4; voir également </w:t>
      </w:r>
      <w:r w:rsidRPr="008675BA">
        <w:rPr>
          <w:rFonts w:cs="Times New Roman"/>
          <w:i/>
          <w:lang w:val="fr-CA"/>
        </w:rPr>
        <w:t>Schreiber Brothers Ltd. c. Currie Products Ltd.</w:t>
      </w:r>
      <w:r w:rsidRPr="008675BA">
        <w:rPr>
          <w:rFonts w:cs="Times New Roman"/>
          <w:lang w:val="fr-CA"/>
        </w:rPr>
        <w:t xml:space="preserve">, [1980] 2 R.C.S. 78, </w:t>
      </w:r>
      <w:r>
        <w:rPr>
          <w:rFonts w:cs="Times New Roman"/>
          <w:lang w:val="fr-CA"/>
        </w:rPr>
        <w:t>p. </w:t>
      </w:r>
      <w:r w:rsidRPr="008675BA">
        <w:rPr>
          <w:rFonts w:cs="Times New Roman"/>
          <w:lang w:val="fr-CA"/>
        </w:rPr>
        <w:t xml:space="preserve">84; </w:t>
      </w:r>
      <w:r w:rsidRPr="008675BA">
        <w:rPr>
          <w:rFonts w:cs="Times New Roman"/>
          <w:i/>
          <w:lang w:val="fr-CA"/>
        </w:rPr>
        <w:t>Housen</w:t>
      </w:r>
      <w:r w:rsidRPr="008675BA">
        <w:rPr>
          <w:rFonts w:cs="Times New Roman"/>
          <w:lang w:val="fr-CA"/>
        </w:rPr>
        <w:t xml:space="preserve">, </w:t>
      </w:r>
      <w:r>
        <w:rPr>
          <w:rFonts w:cs="Times New Roman"/>
          <w:lang w:val="fr-CA"/>
        </w:rPr>
        <w:t>par. </w:t>
      </w:r>
      <w:r w:rsidRPr="008675BA">
        <w:rPr>
          <w:rFonts w:cs="Times New Roman"/>
          <w:lang w:val="fr-CA"/>
        </w:rPr>
        <w:t>10, 20 et 29).</w:t>
      </w:r>
    </w:p>
    <w:p w:rsidR="0041746D" w:rsidRPr="008675BA" w:rsidRDefault="0041746D" w:rsidP="0041746D">
      <w:pPr>
        <w:pStyle w:val="ParaNoNdepar-AltN"/>
        <w:rPr>
          <w:rFonts w:cs="Times New Roman"/>
          <w:sz w:val="21"/>
          <w:szCs w:val="21"/>
          <w:lang w:val="fr-CA"/>
        </w:rPr>
      </w:pPr>
      <w:r w:rsidRPr="008675BA">
        <w:rPr>
          <w:rFonts w:cs="Times New Roman"/>
          <w:lang w:val="fr-CA"/>
        </w:rPr>
        <w:t xml:space="preserve">L’arrêt </w:t>
      </w:r>
      <w:r w:rsidRPr="008675BA">
        <w:rPr>
          <w:rFonts w:cs="Times New Roman"/>
          <w:i/>
          <w:lang w:val="fr-CA"/>
        </w:rPr>
        <w:t>Housen</w:t>
      </w:r>
      <w:r w:rsidRPr="008675BA">
        <w:rPr>
          <w:rFonts w:cs="Times New Roman"/>
          <w:lang w:val="fr-CA"/>
        </w:rPr>
        <w:t xml:space="preserve"> expose bien les nombreuses raisons qui sous</w:t>
      </w:r>
      <w:r>
        <w:rPr>
          <w:rFonts w:cs="Times New Roman"/>
          <w:lang w:val="fr-CA"/>
        </w:rPr>
        <w:noBreakHyphen/>
      </w:r>
      <w:r w:rsidRPr="008675BA">
        <w:rPr>
          <w:rFonts w:cs="Times New Roman"/>
          <w:lang w:val="fr-CA"/>
        </w:rPr>
        <w:t>tendent le principe de non</w:t>
      </w:r>
      <w:r>
        <w:rPr>
          <w:rFonts w:cs="Times New Roman"/>
          <w:lang w:val="fr-CA"/>
        </w:rPr>
        <w:noBreakHyphen/>
      </w:r>
      <w:r w:rsidRPr="008675BA">
        <w:rPr>
          <w:rFonts w:cs="Times New Roman"/>
          <w:lang w:val="fr-CA"/>
        </w:rPr>
        <w:t>intervention en appel (</w:t>
      </w:r>
      <w:r>
        <w:rPr>
          <w:rFonts w:cs="Times New Roman"/>
          <w:lang w:val="fr-CA"/>
        </w:rPr>
        <w:t>par. </w:t>
      </w:r>
      <w:r w:rsidRPr="008675BA">
        <w:rPr>
          <w:rFonts w:cs="Times New Roman"/>
          <w:lang w:val="fr-CA"/>
        </w:rPr>
        <w:t>11</w:t>
      </w:r>
      <w:r w:rsidR="008C5410">
        <w:rPr>
          <w:rFonts w:cs="Times New Roman"/>
          <w:lang w:val="fr-CA"/>
        </w:rPr>
        <w:t>-</w:t>
      </w:r>
      <w:r w:rsidRPr="008675BA">
        <w:rPr>
          <w:rFonts w:cs="Times New Roman"/>
          <w:lang w:val="fr-CA"/>
        </w:rPr>
        <w:t xml:space="preserve">18). Premièrement, ce principe promeut </w:t>
      </w:r>
      <w:r w:rsidRPr="008675BA">
        <w:rPr>
          <w:rFonts w:cs="Times New Roman"/>
          <w:lang w:val="fr-CA"/>
        </w:rPr>
        <w:lastRenderedPageBreak/>
        <w:t>l’autonomie et l’intégrité des procédures devant le tribunal de première instance, ce qui contribue à apporter des solutions efficaces et définitives aux litiges d’ordre juridique. Deuxièmement, ce principe reflète le fait que le juge du procès est celui qui est le mieux placé pour tirer des conclusions de fait parce qu’il a l’occasion d’examiner l’ensemble du dossier et l’avantage d’entendre les témoignages de vive voix. Troisièmement, ce principe permet d’éviter une répétition du processus de constatation des faits qui aurait pour effet d’accroître le nombre, la durée et le coût des appels sans garantie d’un meilleur résultat.</w:t>
      </w:r>
    </w:p>
    <w:p w:rsidR="0041746D" w:rsidRPr="008675BA" w:rsidRDefault="0041746D" w:rsidP="0041746D">
      <w:pPr>
        <w:pStyle w:val="ParaNoNdepar-AltN"/>
        <w:rPr>
          <w:rFonts w:cs="Times New Roman"/>
          <w:sz w:val="21"/>
          <w:szCs w:val="21"/>
          <w:lang w:val="fr-CA"/>
        </w:rPr>
      </w:pPr>
      <w:r w:rsidRPr="008675BA">
        <w:rPr>
          <w:rFonts w:cs="Times New Roman"/>
          <w:lang w:val="fr-CA"/>
        </w:rPr>
        <w:t>Étant donné l’importance du principe de non</w:t>
      </w:r>
      <w:r>
        <w:rPr>
          <w:rFonts w:cs="Times New Roman"/>
          <w:lang w:val="fr-CA"/>
        </w:rPr>
        <w:noBreakHyphen/>
      </w:r>
      <w:r w:rsidRPr="008675BA">
        <w:rPr>
          <w:rFonts w:cs="Times New Roman"/>
          <w:lang w:val="fr-CA"/>
        </w:rPr>
        <w:t>intervention en appel pour la bonne administration de la justice, notre Cour a qualifié celui</w:t>
      </w:r>
      <w:r>
        <w:rPr>
          <w:rFonts w:cs="Times New Roman"/>
          <w:lang w:val="fr-CA"/>
        </w:rPr>
        <w:noBreakHyphen/>
      </w:r>
      <w:r w:rsidRPr="008675BA">
        <w:rPr>
          <w:rFonts w:cs="Times New Roman"/>
          <w:lang w:val="fr-CA"/>
        </w:rPr>
        <w:t>ci de « règle de droit » et a tenu à préciser qu’à moins d’une erreur donnant ouverture à révision, « une cour d’appel n’est tout simplement pas compétente pour modifier les conclusions de fait d’un juge de première instance » (</w:t>
      </w:r>
      <w:r w:rsidRPr="008675BA">
        <w:rPr>
          <w:rFonts w:cs="Times New Roman"/>
          <w:i/>
          <w:lang w:val="fr-CA"/>
        </w:rPr>
        <w:t>Galambos c. Perez</w:t>
      </w:r>
      <w:r w:rsidRPr="008675BA">
        <w:rPr>
          <w:rFonts w:cs="Times New Roman"/>
          <w:lang w:val="fr-CA"/>
        </w:rPr>
        <w:t xml:space="preserve">, 2009 CSC 48, [2009] 3 R.C.S. 247, </w:t>
      </w:r>
      <w:r>
        <w:rPr>
          <w:rFonts w:cs="Times New Roman"/>
          <w:lang w:val="fr-CA"/>
        </w:rPr>
        <w:t>par. </w:t>
      </w:r>
      <w:r w:rsidRPr="008675BA">
        <w:rPr>
          <w:rFonts w:cs="Times New Roman"/>
          <w:lang w:val="fr-CA"/>
        </w:rPr>
        <w:t xml:space="preserve">49, et </w:t>
      </w:r>
      <w:r w:rsidRPr="008675BA">
        <w:rPr>
          <w:rFonts w:cs="Times New Roman"/>
          <w:i/>
          <w:lang w:val="fr-CA"/>
        </w:rPr>
        <w:t>Laflamme c. Prudential</w:t>
      </w:r>
      <w:r>
        <w:rPr>
          <w:rFonts w:cs="Times New Roman"/>
          <w:i/>
          <w:lang w:val="fr-CA"/>
        </w:rPr>
        <w:noBreakHyphen/>
      </w:r>
      <w:r w:rsidRPr="008675BA">
        <w:rPr>
          <w:rFonts w:cs="Times New Roman"/>
          <w:i/>
          <w:lang w:val="fr-CA"/>
        </w:rPr>
        <w:t>Bache Commodities Canada Ltd</w:t>
      </w:r>
      <w:r w:rsidRPr="008675BA">
        <w:rPr>
          <w:rFonts w:cs="Times New Roman"/>
          <w:lang w:val="fr-CA"/>
        </w:rPr>
        <w:t xml:space="preserve">., 2000 CSC 26, [2000] 1 R.C.S. 638, </w:t>
      </w:r>
      <w:r>
        <w:rPr>
          <w:rFonts w:cs="Times New Roman"/>
          <w:lang w:val="fr-CA"/>
        </w:rPr>
        <w:t>par. </w:t>
      </w:r>
      <w:r w:rsidRPr="008675BA">
        <w:rPr>
          <w:rFonts w:cs="Times New Roman"/>
          <w:lang w:val="fr-CA"/>
        </w:rPr>
        <w:t xml:space="preserve">41, citant </w:t>
      </w:r>
      <w:r w:rsidRPr="008675BA">
        <w:rPr>
          <w:rFonts w:cs="Times New Roman"/>
          <w:i/>
          <w:lang w:val="fr-CA"/>
        </w:rPr>
        <w:t>Hodgkinson c. Simms</w:t>
      </w:r>
      <w:r w:rsidRPr="008675BA">
        <w:rPr>
          <w:rFonts w:cs="Times New Roman"/>
          <w:lang w:val="fr-CA"/>
        </w:rPr>
        <w:t xml:space="preserve">, [1994] 3 R.C.S. 377, </w:t>
      </w:r>
      <w:r>
        <w:rPr>
          <w:rFonts w:cs="Times New Roman"/>
          <w:lang w:val="fr-CA"/>
        </w:rPr>
        <w:t>p. </w:t>
      </w:r>
      <w:r w:rsidRPr="008675BA">
        <w:rPr>
          <w:rFonts w:cs="Times New Roman"/>
          <w:lang w:val="fr-CA"/>
        </w:rPr>
        <w:t>426, citant lui</w:t>
      </w:r>
      <w:r>
        <w:rPr>
          <w:rFonts w:cs="Times New Roman"/>
          <w:lang w:val="fr-CA"/>
        </w:rPr>
        <w:noBreakHyphen/>
      </w:r>
      <w:r w:rsidRPr="008675BA">
        <w:rPr>
          <w:rFonts w:cs="Times New Roman"/>
          <w:lang w:val="fr-CA"/>
        </w:rPr>
        <w:t xml:space="preserve">même </w:t>
      </w:r>
      <w:r w:rsidRPr="008675BA">
        <w:rPr>
          <w:rFonts w:cs="Times New Roman"/>
          <w:i/>
          <w:iCs/>
          <w:lang w:val="fr-CA"/>
        </w:rPr>
        <w:t>Lapointe c. Hôpital Le Gardeur</w:t>
      </w:r>
      <w:r w:rsidRPr="008675BA">
        <w:rPr>
          <w:rFonts w:cs="Times New Roman"/>
          <w:lang w:val="fr-CA"/>
        </w:rPr>
        <w:t xml:space="preserve">, </w:t>
      </w:r>
      <w:r w:rsidRPr="008675BA">
        <w:rPr>
          <w:rStyle w:val="reflex3-alt"/>
          <w:rFonts w:cs="Times New Roman"/>
          <w:spacing w:val="-3"/>
          <w:lang w:val="fr-CA"/>
        </w:rPr>
        <w:t>[1992] 1</w:t>
      </w:r>
      <w:r w:rsidRPr="008675BA">
        <w:rPr>
          <w:rStyle w:val="reflex3-alt"/>
          <w:rFonts w:cs="Times New Roman" w:hint="eastAsia"/>
          <w:spacing w:val="-3"/>
          <w:lang w:val="fr-CA"/>
        </w:rPr>
        <w:t> </w:t>
      </w:r>
      <w:r w:rsidRPr="008675BA">
        <w:rPr>
          <w:rStyle w:val="reflex3-alt"/>
          <w:rFonts w:cs="Times New Roman"/>
          <w:spacing w:val="-3"/>
          <w:lang w:val="fr-CA"/>
        </w:rPr>
        <w:t>R.C.S.</w:t>
      </w:r>
      <w:r w:rsidRPr="008675BA">
        <w:rPr>
          <w:rStyle w:val="reflex3-alt"/>
          <w:rFonts w:cs="Times New Roman" w:hint="eastAsia"/>
          <w:spacing w:val="-3"/>
          <w:lang w:val="fr-CA"/>
        </w:rPr>
        <w:t> </w:t>
      </w:r>
      <w:r w:rsidRPr="008675BA">
        <w:rPr>
          <w:rStyle w:val="reflex3-alt"/>
          <w:rFonts w:cs="Times New Roman"/>
          <w:spacing w:val="-3"/>
          <w:lang w:val="fr-CA"/>
        </w:rPr>
        <w:t>351</w:t>
      </w:r>
      <w:r w:rsidRPr="008675BA">
        <w:rPr>
          <w:rStyle w:val="reflex3-block"/>
          <w:rFonts w:cs="Times New Roman"/>
          <w:spacing w:val="-3"/>
          <w:lang w:val="fr-CA"/>
        </w:rPr>
        <w:t xml:space="preserve">, </w:t>
      </w:r>
      <w:r>
        <w:rPr>
          <w:rStyle w:val="reflex3-block"/>
          <w:rFonts w:cs="Times New Roman"/>
          <w:spacing w:val="-3"/>
          <w:lang w:val="fr-CA"/>
        </w:rPr>
        <w:t>p. </w:t>
      </w:r>
      <w:r w:rsidRPr="008675BA">
        <w:rPr>
          <w:rStyle w:val="reflex3-block"/>
          <w:rFonts w:cs="Times New Roman"/>
          <w:spacing w:val="-3"/>
          <w:lang w:val="fr-CA"/>
        </w:rPr>
        <w:t>358</w:t>
      </w:r>
      <w:r>
        <w:rPr>
          <w:rStyle w:val="reflex3-block"/>
          <w:rFonts w:cs="Times New Roman"/>
          <w:spacing w:val="-3"/>
          <w:lang w:val="fr-CA"/>
        </w:rPr>
        <w:noBreakHyphen/>
      </w:r>
      <w:r w:rsidRPr="008675BA">
        <w:rPr>
          <w:rStyle w:val="reflex3-block"/>
          <w:rFonts w:cs="Times New Roman"/>
          <w:spacing w:val="-3"/>
          <w:lang w:val="fr-CA"/>
        </w:rPr>
        <w:t>359</w:t>
      </w:r>
      <w:r w:rsidRPr="008675BA">
        <w:rPr>
          <w:rFonts w:cs="Times New Roman"/>
          <w:lang w:val="fr-CA"/>
        </w:rPr>
        <w:t xml:space="preserve">). Par conséquent, pour ce qui est des questions de fait ou des questions mixtes de fait et de droit, une cour d’appel </w:t>
      </w:r>
      <w:r w:rsidRPr="008675BA">
        <w:rPr>
          <w:rFonts w:cs="Times New Roman"/>
          <w:i/>
          <w:lang w:val="fr-CA"/>
        </w:rPr>
        <w:t>ne peut</w:t>
      </w:r>
      <w:r w:rsidRPr="008675BA">
        <w:rPr>
          <w:rFonts w:cs="Times New Roman"/>
          <w:lang w:val="fr-CA"/>
        </w:rPr>
        <w:t xml:space="preserve"> tirer ses propres conclusions et inférences que s’il est établi que le juge de première instance a commis une erreur manifeste et déterminante (</w:t>
      </w:r>
      <w:r w:rsidRPr="008675BA">
        <w:rPr>
          <w:rFonts w:cs="Times New Roman"/>
          <w:i/>
          <w:lang w:val="fr-CA"/>
        </w:rPr>
        <w:t>H.L. c. Canada (Procureur général)</w:t>
      </w:r>
      <w:r w:rsidRPr="008675BA">
        <w:rPr>
          <w:rFonts w:cs="Times New Roman"/>
          <w:lang w:val="fr-CA"/>
        </w:rPr>
        <w:t xml:space="preserve">, 2005 CSC 25, [2005] 1 R.C.S. 401, </w:t>
      </w:r>
      <w:r>
        <w:rPr>
          <w:rFonts w:cs="Times New Roman"/>
          <w:lang w:val="fr-CA"/>
        </w:rPr>
        <w:t>par. </w:t>
      </w:r>
      <w:r w:rsidRPr="008675BA">
        <w:rPr>
          <w:rFonts w:cs="Times New Roman"/>
          <w:lang w:val="fr-CA"/>
        </w:rPr>
        <w:t>89).</w:t>
      </w:r>
    </w:p>
    <w:p w:rsidR="0041746D" w:rsidRPr="008675BA" w:rsidRDefault="0041746D" w:rsidP="0041746D">
      <w:pPr>
        <w:pStyle w:val="Title2LevelTitre2Niveau"/>
        <w:numPr>
          <w:ilvl w:val="1"/>
          <w:numId w:val="25"/>
        </w:numPr>
        <w:rPr>
          <w:rFonts w:cs="Times New Roman"/>
          <w:lang w:val="fr-CA"/>
        </w:rPr>
      </w:pPr>
      <w:bookmarkStart w:id="8" w:name="_Toc2153992"/>
      <w:r w:rsidRPr="008675BA">
        <w:rPr>
          <w:rFonts w:cs="Times New Roman"/>
          <w:lang w:val="fr-CA"/>
        </w:rPr>
        <w:t>L’identification d’erreurs manifestes et déterminantes</w:t>
      </w:r>
      <w:bookmarkEnd w:id="8"/>
    </w:p>
    <w:p w:rsidR="0041746D" w:rsidRPr="008675BA" w:rsidRDefault="0041746D" w:rsidP="0041746D">
      <w:pPr>
        <w:pStyle w:val="ParaNoNdepar-AltN"/>
        <w:tabs>
          <w:tab w:val="clear" w:pos="1152"/>
          <w:tab w:val="left" w:pos="1166"/>
        </w:tabs>
        <w:rPr>
          <w:rFonts w:cs="Times New Roman"/>
          <w:lang w:val="fr-CA"/>
        </w:rPr>
      </w:pPr>
      <w:r w:rsidRPr="008675BA">
        <w:rPr>
          <w:rFonts w:cs="Times New Roman"/>
          <w:lang w:val="fr-CA"/>
        </w:rPr>
        <w:lastRenderedPageBreak/>
        <w:t>Il s’ensuit que pour pouvoir intervenir à l’égard de la décision d’un juge de première instance, une cour d’appel doit identifier correctement une erreur manifeste et déterminante. Si une erreur manifeste est une erreur « évidente » (</w:t>
      </w:r>
      <w:r w:rsidRPr="008675BA">
        <w:rPr>
          <w:rFonts w:cs="Times New Roman"/>
          <w:i/>
          <w:lang w:val="fr-CA"/>
        </w:rPr>
        <w:t>Housen</w:t>
      </w:r>
      <w:r w:rsidRPr="008675BA">
        <w:rPr>
          <w:rFonts w:cs="Times New Roman"/>
          <w:lang w:val="fr-CA"/>
        </w:rPr>
        <w:t xml:space="preserve">, </w:t>
      </w:r>
      <w:r>
        <w:rPr>
          <w:rFonts w:cs="Times New Roman"/>
          <w:lang w:val="fr-CA"/>
        </w:rPr>
        <w:t>par. </w:t>
      </w:r>
      <w:r w:rsidRPr="008675BA">
        <w:rPr>
          <w:rFonts w:cs="Times New Roman"/>
          <w:lang w:val="fr-CA"/>
        </w:rPr>
        <w:t>5</w:t>
      </w:r>
      <w:r>
        <w:rPr>
          <w:rFonts w:cs="Times New Roman"/>
          <w:lang w:val="fr-CA"/>
        </w:rPr>
        <w:noBreakHyphen/>
      </w:r>
      <w:r w:rsidRPr="008675BA">
        <w:rPr>
          <w:rFonts w:cs="Times New Roman"/>
          <w:lang w:val="fr-CA"/>
        </w:rPr>
        <w:t xml:space="preserve">6), il n’en demeure pas moins qu’elle doit être </w:t>
      </w:r>
      <w:r w:rsidRPr="008675BA">
        <w:rPr>
          <w:rFonts w:cs="Times New Roman"/>
          <w:i/>
          <w:lang w:val="fr-CA"/>
        </w:rPr>
        <w:t>expliquée</w:t>
      </w:r>
      <w:r w:rsidRPr="008675BA">
        <w:rPr>
          <w:rFonts w:cs="Times New Roman"/>
          <w:lang w:val="fr-CA"/>
        </w:rPr>
        <w:t xml:space="preserve">. La cour d’appel doit établir </w:t>
      </w:r>
      <w:r w:rsidRPr="008675BA">
        <w:rPr>
          <w:rFonts w:cs="Times New Roman"/>
          <w:i/>
          <w:lang w:val="fr-CA"/>
        </w:rPr>
        <w:t>pourquoi</w:t>
      </w:r>
      <w:r w:rsidRPr="008675BA">
        <w:rPr>
          <w:rFonts w:cs="Times New Roman"/>
          <w:lang w:val="fr-CA"/>
        </w:rPr>
        <w:t xml:space="preserve"> et </w:t>
      </w:r>
      <w:r w:rsidRPr="008675BA">
        <w:rPr>
          <w:rFonts w:cs="Times New Roman"/>
          <w:i/>
          <w:lang w:val="fr-CA"/>
        </w:rPr>
        <w:t>de quelle façon</w:t>
      </w:r>
      <w:r w:rsidRPr="008675BA">
        <w:rPr>
          <w:rFonts w:cs="Times New Roman"/>
          <w:lang w:val="fr-CA"/>
        </w:rPr>
        <w:t xml:space="preserve"> la conclusion donnée est entachée d’une « faille ou [d’une] erreur fondamentale », c’est</w:t>
      </w:r>
      <w:r>
        <w:rPr>
          <w:rFonts w:cs="Times New Roman"/>
          <w:lang w:val="fr-CA"/>
        </w:rPr>
        <w:noBreakHyphen/>
      </w:r>
      <w:r w:rsidRPr="008675BA">
        <w:rPr>
          <w:rFonts w:cs="Times New Roman"/>
          <w:lang w:val="fr-CA"/>
        </w:rPr>
        <w:t>à</w:t>
      </w:r>
      <w:r>
        <w:rPr>
          <w:rFonts w:cs="Times New Roman"/>
          <w:lang w:val="fr-CA"/>
        </w:rPr>
        <w:noBreakHyphen/>
      </w:r>
      <w:r w:rsidRPr="008675BA">
        <w:rPr>
          <w:rFonts w:cs="Times New Roman"/>
          <w:lang w:val="fr-CA"/>
        </w:rPr>
        <w:t>dire qu’elle est « déraisonnabl</w:t>
      </w:r>
      <w:r w:rsidR="008C5410">
        <w:rPr>
          <w:rFonts w:cs="Times New Roman"/>
          <w:lang w:val="fr-CA"/>
        </w:rPr>
        <w:t>[</w:t>
      </w:r>
      <w:r w:rsidRPr="008675BA">
        <w:rPr>
          <w:rFonts w:cs="Times New Roman"/>
          <w:lang w:val="fr-CA"/>
        </w:rPr>
        <w:t>e</w:t>
      </w:r>
      <w:r w:rsidR="008C5410">
        <w:rPr>
          <w:rFonts w:cs="Times New Roman"/>
          <w:lang w:val="fr-CA"/>
        </w:rPr>
        <w:t>]</w:t>
      </w:r>
      <w:r w:rsidRPr="008675BA">
        <w:rPr>
          <w:rFonts w:cs="Times New Roman"/>
          <w:lang w:val="fr-CA"/>
        </w:rPr>
        <w:t> » ou « non étayé[e] par la preuve » (</w:t>
      </w:r>
      <w:r w:rsidRPr="008675BA">
        <w:rPr>
          <w:rFonts w:cs="Times New Roman"/>
          <w:i/>
          <w:lang w:val="fr-CA"/>
        </w:rPr>
        <w:t>H.L.</w:t>
      </w:r>
      <w:r w:rsidRPr="008675BA">
        <w:rPr>
          <w:rFonts w:cs="Times New Roman"/>
          <w:lang w:val="fr-CA"/>
        </w:rPr>
        <w:t xml:space="preserve">, </w:t>
      </w:r>
      <w:r>
        <w:rPr>
          <w:rFonts w:cs="Times New Roman"/>
          <w:lang w:val="fr-CA"/>
        </w:rPr>
        <w:t>par. </w:t>
      </w:r>
      <w:r w:rsidRPr="008675BA">
        <w:rPr>
          <w:rFonts w:cs="Times New Roman"/>
          <w:lang w:val="fr-CA"/>
        </w:rPr>
        <w:t>56 et 70). Dire qu’une erreur est « manifeste » ne suffit pas à la rendre telle (</w:t>
      </w:r>
      <w:r w:rsidRPr="008675BA">
        <w:rPr>
          <w:rFonts w:cs="Times New Roman"/>
          <w:i/>
          <w:lang w:val="fr-CA"/>
        </w:rPr>
        <w:t>P.L. c. Benchetrit</w:t>
      </w:r>
      <w:r w:rsidRPr="008675BA">
        <w:rPr>
          <w:rFonts w:cs="Times New Roman"/>
          <w:lang w:val="fr-CA"/>
        </w:rPr>
        <w:t xml:space="preserve">, 2010 QCCA 1505, [2010] R.J.Q. 1853, </w:t>
      </w:r>
      <w:r>
        <w:rPr>
          <w:rFonts w:cs="Times New Roman"/>
          <w:lang w:val="fr-CA"/>
        </w:rPr>
        <w:t>par. </w:t>
      </w:r>
      <w:r w:rsidRPr="008675BA">
        <w:rPr>
          <w:rFonts w:cs="Times New Roman"/>
          <w:lang w:val="fr-CA"/>
        </w:rPr>
        <w:t>24).</w:t>
      </w:r>
    </w:p>
    <w:p w:rsidR="0041746D" w:rsidRPr="008675BA" w:rsidRDefault="0041746D" w:rsidP="0041746D">
      <w:pPr>
        <w:pStyle w:val="ParaNoNdepar-AltN"/>
        <w:rPr>
          <w:rFonts w:cs="Times New Roman"/>
          <w:sz w:val="21"/>
          <w:szCs w:val="21"/>
          <w:lang w:val="fr-CA"/>
        </w:rPr>
      </w:pPr>
      <w:r w:rsidRPr="008675BA">
        <w:rPr>
          <w:rFonts w:cs="Times New Roman"/>
          <w:lang w:val="fr-CA"/>
        </w:rPr>
        <w:t>La juridiction d’appel doit cibler une « erreur précise et discernable » qui n’équivaut pas simplement à une « divergence d’opinions » (</w:t>
      </w:r>
      <w:r w:rsidRPr="008675BA">
        <w:rPr>
          <w:rFonts w:cs="Times New Roman"/>
          <w:i/>
          <w:lang w:val="fr-CA"/>
        </w:rPr>
        <w:t>Schwartz c. Canada</w:t>
      </w:r>
      <w:r w:rsidRPr="008675BA">
        <w:rPr>
          <w:rFonts w:cs="Times New Roman"/>
          <w:lang w:val="fr-CA"/>
        </w:rPr>
        <w:t xml:space="preserve">, [1996] 1 R.C.S. 254, </w:t>
      </w:r>
      <w:r>
        <w:rPr>
          <w:rFonts w:cs="Times New Roman"/>
          <w:lang w:val="fr-CA"/>
        </w:rPr>
        <w:t>par. </w:t>
      </w:r>
      <w:r w:rsidRPr="008675BA">
        <w:rPr>
          <w:rFonts w:cs="Times New Roman"/>
          <w:lang w:val="fr-CA"/>
        </w:rPr>
        <w:t xml:space="preserve">33 (soulignement omis); voir également </w:t>
      </w:r>
      <w:r w:rsidRPr="008675BA">
        <w:rPr>
          <w:rFonts w:cs="Times New Roman"/>
          <w:i/>
          <w:lang w:val="fr-CA"/>
        </w:rPr>
        <w:t>Housen</w:t>
      </w:r>
      <w:r w:rsidRPr="008675BA">
        <w:rPr>
          <w:rFonts w:cs="Times New Roman"/>
          <w:lang w:val="fr-CA"/>
        </w:rPr>
        <w:t xml:space="preserve">, </w:t>
      </w:r>
      <w:r>
        <w:rPr>
          <w:rFonts w:cs="Times New Roman"/>
          <w:lang w:val="fr-CA"/>
        </w:rPr>
        <w:t>par. </w:t>
      </w:r>
      <w:r w:rsidRPr="008675BA">
        <w:rPr>
          <w:rFonts w:cs="Times New Roman"/>
          <w:lang w:val="fr-CA"/>
        </w:rPr>
        <w:t xml:space="preserve">23, 56, 58 et 62). Comme l’expliquent les juges majoritaires dans </w:t>
      </w:r>
      <w:r w:rsidRPr="008675BA">
        <w:rPr>
          <w:rFonts w:cs="Times New Roman"/>
          <w:i/>
          <w:lang w:val="fr-CA"/>
        </w:rPr>
        <w:t>Housen</w:t>
      </w:r>
      <w:r w:rsidRPr="008675BA">
        <w:rPr>
          <w:rFonts w:cs="Times New Roman"/>
          <w:lang w:val="fr-CA"/>
        </w:rPr>
        <w:t>, « on ne saurait conclure qu’un juge de première instance a négligé d’examiner la preuve, l’a mal interprétée ou est arrivé à des conclusions erronées, simplement parce que le tribunal d’appel tire des inférences divergentes de la preuve et décide d’accorder plus d’importance à certains éléments qu’à d’autres » (</w:t>
      </w:r>
      <w:r>
        <w:rPr>
          <w:rFonts w:cs="Times New Roman"/>
          <w:lang w:val="fr-CA"/>
        </w:rPr>
        <w:t>par. </w:t>
      </w:r>
      <w:r w:rsidRPr="008675BA">
        <w:rPr>
          <w:rFonts w:cs="Times New Roman"/>
          <w:lang w:val="fr-CA"/>
        </w:rPr>
        <w:t>56). De même, il ne suffit pas d’affirmer que le fondement de certaines conclusions paraît « mince » (</w:t>
      </w:r>
      <w:r w:rsidRPr="008675BA">
        <w:rPr>
          <w:rFonts w:cs="Times New Roman"/>
          <w:i/>
          <w:lang w:val="fr-CA"/>
        </w:rPr>
        <w:t>South Yukon Forest Corp.</w:t>
      </w:r>
      <w:r w:rsidRPr="008675BA">
        <w:rPr>
          <w:rFonts w:cs="Times New Roman"/>
          <w:lang w:val="fr-CA"/>
        </w:rPr>
        <w:t xml:space="preserve">, </w:t>
      </w:r>
      <w:r>
        <w:rPr>
          <w:rFonts w:cs="Times New Roman"/>
          <w:lang w:val="fr-CA"/>
        </w:rPr>
        <w:t>par. </w:t>
      </w:r>
      <w:r w:rsidRPr="008675BA">
        <w:rPr>
          <w:rFonts w:cs="Times New Roman"/>
          <w:lang w:val="fr-CA"/>
        </w:rPr>
        <w:t xml:space="preserve">53). Si les conclusions du juge du procès sont raisonnablement étayées par la preuve, la juridiction d’appel « ne peut </w:t>
      </w:r>
      <w:r w:rsidRPr="008675BA">
        <w:rPr>
          <w:rFonts w:cs="Times New Roman"/>
          <w:u w:val="single"/>
          <w:lang w:val="fr-CA"/>
        </w:rPr>
        <w:t>soupeser la preuve à nouveau</w:t>
      </w:r>
      <w:r w:rsidRPr="008675BA">
        <w:rPr>
          <w:rFonts w:cs="Times New Roman"/>
          <w:lang w:val="fr-CA"/>
        </w:rPr>
        <w:t xml:space="preserve"> en substituant [. . .] sa propre inférence tout aussi convaincante, sinon plus » (</w:t>
      </w:r>
      <w:r w:rsidRPr="008675BA">
        <w:rPr>
          <w:rFonts w:cs="Times New Roman"/>
          <w:i/>
          <w:lang w:val="fr-CA"/>
        </w:rPr>
        <w:t>H.L.</w:t>
      </w:r>
      <w:r w:rsidRPr="008675BA">
        <w:rPr>
          <w:rFonts w:cs="Times New Roman"/>
          <w:lang w:val="fr-CA"/>
        </w:rPr>
        <w:t xml:space="preserve">, </w:t>
      </w:r>
      <w:r>
        <w:rPr>
          <w:rFonts w:cs="Times New Roman"/>
          <w:lang w:val="fr-CA"/>
        </w:rPr>
        <w:t>par. </w:t>
      </w:r>
      <w:r w:rsidRPr="008675BA">
        <w:rPr>
          <w:rFonts w:cs="Times New Roman"/>
          <w:lang w:val="fr-CA"/>
        </w:rPr>
        <w:t xml:space="preserve">74 (souligné dans l’original); voir aussi </w:t>
      </w:r>
      <w:r w:rsidRPr="008675BA">
        <w:rPr>
          <w:rFonts w:cs="Times New Roman"/>
          <w:i/>
          <w:lang w:val="fr-CA"/>
        </w:rPr>
        <w:t>Nelson (City)</w:t>
      </w:r>
      <w:r w:rsidRPr="008675BA">
        <w:rPr>
          <w:rFonts w:cs="Times New Roman"/>
          <w:lang w:val="fr-CA"/>
        </w:rPr>
        <w:t xml:space="preserve"> </w:t>
      </w:r>
      <w:r w:rsidRPr="008675BA">
        <w:rPr>
          <w:rFonts w:cs="Times New Roman"/>
          <w:i/>
          <w:lang w:val="fr-CA"/>
        </w:rPr>
        <w:t>c. Mowatt</w:t>
      </w:r>
      <w:r w:rsidRPr="008675BA">
        <w:rPr>
          <w:rFonts w:cs="Times New Roman"/>
          <w:lang w:val="fr-CA"/>
        </w:rPr>
        <w:t xml:space="preserve">, 2017 CSC 8, [2017] 1 R.C.S. 138, </w:t>
      </w:r>
      <w:r>
        <w:rPr>
          <w:rFonts w:cs="Times New Roman"/>
          <w:lang w:val="fr-CA"/>
        </w:rPr>
        <w:t>par. </w:t>
      </w:r>
      <w:r w:rsidRPr="008675BA">
        <w:rPr>
          <w:rFonts w:cs="Times New Roman"/>
          <w:lang w:val="fr-CA"/>
        </w:rPr>
        <w:t xml:space="preserve">38; </w:t>
      </w:r>
      <w:r w:rsidRPr="008675BA">
        <w:rPr>
          <w:rFonts w:cs="Times New Roman"/>
          <w:i/>
          <w:lang w:val="fr-CA"/>
        </w:rPr>
        <w:t>Housen</w:t>
      </w:r>
      <w:r w:rsidRPr="008675BA">
        <w:rPr>
          <w:rFonts w:cs="Times New Roman"/>
          <w:lang w:val="fr-CA"/>
        </w:rPr>
        <w:t xml:space="preserve">, </w:t>
      </w:r>
      <w:r>
        <w:rPr>
          <w:rFonts w:cs="Times New Roman"/>
          <w:lang w:val="fr-CA"/>
        </w:rPr>
        <w:t>par. </w:t>
      </w:r>
      <w:r w:rsidRPr="008675BA">
        <w:rPr>
          <w:rFonts w:cs="Times New Roman"/>
          <w:lang w:val="fr-CA"/>
        </w:rPr>
        <w:t>22</w:t>
      </w:r>
      <w:r>
        <w:rPr>
          <w:rFonts w:cs="Times New Roman"/>
          <w:lang w:val="fr-CA"/>
        </w:rPr>
        <w:noBreakHyphen/>
      </w:r>
      <w:r w:rsidRPr="008675BA">
        <w:rPr>
          <w:rFonts w:cs="Times New Roman"/>
          <w:lang w:val="fr-CA"/>
        </w:rPr>
        <w:t>23).</w:t>
      </w:r>
    </w:p>
    <w:p w:rsidR="0041746D" w:rsidRPr="008675BA" w:rsidRDefault="0041746D" w:rsidP="0041746D">
      <w:pPr>
        <w:pStyle w:val="ParaNoNdepar-AltN"/>
        <w:rPr>
          <w:rFonts w:cs="Times New Roman"/>
          <w:sz w:val="21"/>
          <w:szCs w:val="21"/>
          <w:lang w:val="fr-CA"/>
        </w:rPr>
      </w:pPr>
      <w:r w:rsidRPr="008675BA">
        <w:rPr>
          <w:rFonts w:cs="Times New Roman"/>
          <w:lang w:val="fr-CA"/>
        </w:rPr>
        <w:lastRenderedPageBreak/>
        <w:t>J’ajouterais qu’une omission dans les motifs n’équivaut pas à une erreur manifeste et déterminante, sauf si « elle donne lieu à la conviction rationnelle que le juge de première instance doit avoir oublié, négligé d’examiner ou mal interprété la preuve de telle manière que sa conclusion en a été affectée » (</w:t>
      </w:r>
      <w:r w:rsidRPr="008675BA">
        <w:rPr>
          <w:rFonts w:cs="Times New Roman"/>
          <w:i/>
          <w:lang w:val="fr-CA"/>
        </w:rPr>
        <w:t>Van de Perre c. Edwards</w:t>
      </w:r>
      <w:r w:rsidRPr="008675BA">
        <w:rPr>
          <w:rFonts w:cs="Times New Roman"/>
          <w:lang w:val="fr-CA"/>
        </w:rPr>
        <w:t xml:space="preserve">, 2001 CSC 60, [2001] 2 R.C.S. 1014, </w:t>
      </w:r>
      <w:r>
        <w:rPr>
          <w:rFonts w:cs="Times New Roman"/>
          <w:lang w:val="fr-CA"/>
        </w:rPr>
        <w:t>par. </w:t>
      </w:r>
      <w:r w:rsidRPr="008675BA">
        <w:rPr>
          <w:rFonts w:cs="Times New Roman"/>
          <w:lang w:val="fr-CA"/>
        </w:rPr>
        <w:t xml:space="preserve">15, cité dans </w:t>
      </w:r>
      <w:r w:rsidRPr="008675BA">
        <w:rPr>
          <w:rFonts w:cs="Times New Roman"/>
          <w:i/>
          <w:lang w:val="fr-CA"/>
        </w:rPr>
        <w:t>Housen</w:t>
      </w:r>
      <w:r w:rsidRPr="008675BA">
        <w:rPr>
          <w:rFonts w:cs="Times New Roman"/>
          <w:lang w:val="fr-CA"/>
        </w:rPr>
        <w:t xml:space="preserve">, </w:t>
      </w:r>
      <w:r>
        <w:rPr>
          <w:rFonts w:cs="Times New Roman"/>
          <w:lang w:val="fr-CA"/>
        </w:rPr>
        <w:t>par. </w:t>
      </w:r>
      <w:r w:rsidRPr="008675BA">
        <w:rPr>
          <w:rFonts w:cs="Times New Roman"/>
          <w:lang w:val="fr-CA"/>
        </w:rPr>
        <w:t xml:space="preserve">72; voir aussi </w:t>
      </w:r>
      <w:r w:rsidRPr="008675BA">
        <w:rPr>
          <w:rFonts w:cs="Times New Roman"/>
          <w:i/>
          <w:lang w:val="fr-CA"/>
        </w:rPr>
        <w:t>South Yukon Forest Corp.</w:t>
      </w:r>
      <w:r w:rsidRPr="008675BA">
        <w:rPr>
          <w:rFonts w:cs="Times New Roman"/>
          <w:lang w:val="fr-CA"/>
        </w:rPr>
        <w:t xml:space="preserve">, </w:t>
      </w:r>
      <w:r>
        <w:rPr>
          <w:rFonts w:cs="Times New Roman"/>
          <w:lang w:val="fr-CA"/>
        </w:rPr>
        <w:t>par. </w:t>
      </w:r>
      <w:r w:rsidRPr="008675BA">
        <w:rPr>
          <w:rFonts w:cs="Times New Roman"/>
          <w:lang w:val="fr-CA"/>
        </w:rPr>
        <w:t>50</w:t>
      </w:r>
      <w:r>
        <w:rPr>
          <w:rFonts w:cs="Times New Roman"/>
          <w:lang w:val="fr-CA"/>
        </w:rPr>
        <w:noBreakHyphen/>
      </w:r>
      <w:r w:rsidRPr="008675BA">
        <w:rPr>
          <w:rFonts w:cs="Times New Roman"/>
          <w:lang w:val="fr-CA"/>
        </w:rPr>
        <w:t xml:space="preserve">51). Il est </w:t>
      </w:r>
      <w:r w:rsidRPr="008675BA">
        <w:rPr>
          <w:rFonts w:cs="Times New Roman"/>
          <w:i/>
          <w:lang w:val="fr-CA"/>
        </w:rPr>
        <w:t>présumé</w:t>
      </w:r>
      <w:r w:rsidRPr="008675BA">
        <w:rPr>
          <w:rFonts w:cs="Times New Roman"/>
          <w:lang w:val="fr-CA"/>
        </w:rPr>
        <w:t xml:space="preserve"> que les juges de première instance fondent leurs conclusions sur un examen de l’ensemble de la preuve (</w:t>
      </w:r>
      <w:r w:rsidRPr="008675BA">
        <w:rPr>
          <w:rFonts w:cs="Times New Roman"/>
          <w:i/>
          <w:lang w:val="fr-CA"/>
        </w:rPr>
        <w:t>Housen</w:t>
      </w:r>
      <w:r w:rsidRPr="008675BA">
        <w:rPr>
          <w:rFonts w:cs="Times New Roman"/>
          <w:lang w:val="fr-CA"/>
        </w:rPr>
        <w:t xml:space="preserve">, </w:t>
      </w:r>
      <w:r>
        <w:rPr>
          <w:rFonts w:cs="Times New Roman"/>
          <w:lang w:val="fr-CA"/>
        </w:rPr>
        <w:t>par. </w:t>
      </w:r>
      <w:r w:rsidRPr="008675BA">
        <w:rPr>
          <w:rFonts w:cs="Times New Roman"/>
          <w:lang w:val="fr-CA"/>
        </w:rPr>
        <w:t>72).</w:t>
      </w:r>
    </w:p>
    <w:p w:rsidR="0041746D" w:rsidRPr="008675BA" w:rsidRDefault="0041746D" w:rsidP="0041746D">
      <w:pPr>
        <w:pStyle w:val="ParaNoNdepar-AltN"/>
        <w:rPr>
          <w:rFonts w:cs="Times New Roman"/>
          <w:sz w:val="21"/>
          <w:szCs w:val="21"/>
          <w:lang w:val="fr-CA"/>
        </w:rPr>
      </w:pPr>
      <w:r w:rsidRPr="008675BA">
        <w:rPr>
          <w:rFonts w:cs="Times New Roman"/>
          <w:lang w:val="fr-CA"/>
        </w:rPr>
        <w:t>Cela dit, comment une juridiction d’appel doit</w:t>
      </w:r>
      <w:r>
        <w:rPr>
          <w:rFonts w:cs="Times New Roman"/>
          <w:lang w:val="fr-CA"/>
        </w:rPr>
        <w:noBreakHyphen/>
      </w:r>
      <w:r w:rsidRPr="008675BA">
        <w:rPr>
          <w:rFonts w:cs="Times New Roman"/>
          <w:lang w:val="fr-CA"/>
        </w:rPr>
        <w:t xml:space="preserve">elle procéder pour déceler une erreur manifeste et déterminante? Par définition, cela ne devrait pas être une tâche ardue. À cet égard, comme mon collègue, je trouve très juste et pertinente la métaphore que le juge Morissette de la Cour d’appel a utilisée dans </w:t>
      </w:r>
      <w:r w:rsidRPr="008675BA">
        <w:rPr>
          <w:rFonts w:cs="Times New Roman"/>
          <w:i/>
          <w:lang w:val="fr-CA"/>
        </w:rPr>
        <w:t>J.G. c. Nadeau</w:t>
      </w:r>
      <w:r w:rsidRPr="008675BA">
        <w:rPr>
          <w:rFonts w:cs="Times New Roman"/>
          <w:lang w:val="fr-CA"/>
        </w:rPr>
        <w:t xml:space="preserve">, 2016 QCCA 167, </w:t>
      </w:r>
      <w:r>
        <w:rPr>
          <w:rFonts w:cs="Times New Roman"/>
          <w:lang w:val="fr-CA"/>
        </w:rPr>
        <w:t>par. </w:t>
      </w:r>
      <w:r w:rsidRPr="008675BA">
        <w:rPr>
          <w:rFonts w:cs="Times New Roman"/>
          <w:lang w:val="fr-CA"/>
        </w:rPr>
        <w:t>77 (CanLII)</w:t>
      </w:r>
      <w:r>
        <w:rPr>
          <w:rFonts w:cs="Times New Roman"/>
          <w:lang w:val="fr-CA"/>
        </w:rPr>
        <w:t> :</w:t>
      </w:r>
      <w:r w:rsidRPr="008675BA">
        <w:rPr>
          <w:rFonts w:cs="Times New Roman"/>
          <w:lang w:val="fr-CA"/>
        </w:rPr>
        <w:t xml:space="preserve"> « </w:t>
      </w:r>
      <w:r w:rsidR="00214E08">
        <w:rPr>
          <w:rFonts w:cs="Times New Roman"/>
          <w:lang w:val="fr-CA"/>
        </w:rPr>
        <w:t xml:space="preserve">. . . </w:t>
      </w:r>
      <w:r w:rsidRPr="008675BA">
        <w:rPr>
          <w:rFonts w:cs="Times New Roman"/>
          <w:lang w:val="fr-CA"/>
        </w:rPr>
        <w:t xml:space="preserve">une erreur manifeste et dominante tient, non pas de l’aiguille dans une botte de foin, mais de la poutre dans l’œil » (cité dans </w:t>
      </w:r>
      <w:r w:rsidRPr="008675BA">
        <w:rPr>
          <w:rFonts w:cs="Times New Roman"/>
          <w:i/>
          <w:lang w:val="fr-CA"/>
        </w:rPr>
        <w:t>Benhaim</w:t>
      </w:r>
      <w:r w:rsidRPr="008675BA">
        <w:rPr>
          <w:rFonts w:cs="Times New Roman"/>
          <w:lang w:val="fr-CA"/>
        </w:rPr>
        <w:t xml:space="preserve">, </w:t>
      </w:r>
      <w:r>
        <w:rPr>
          <w:rFonts w:cs="Times New Roman"/>
          <w:lang w:val="fr-CA"/>
        </w:rPr>
        <w:t>par. </w:t>
      </w:r>
      <w:r w:rsidRPr="008675BA">
        <w:rPr>
          <w:rFonts w:cs="Times New Roman"/>
          <w:lang w:val="fr-CA"/>
        </w:rPr>
        <w:t xml:space="preserve">39). Cette métaphore ne fait pas qu’indiquer que l’erreur doit être évidente. Elle illustre surtout le fait qu’identifier une erreur manifeste et déterminante </w:t>
      </w:r>
      <w:r w:rsidRPr="002C47B0">
        <w:rPr>
          <w:rFonts w:cs="Times New Roman"/>
          <w:i/>
          <w:lang w:val="fr-CA"/>
        </w:rPr>
        <w:t>n’</w:t>
      </w:r>
      <w:r w:rsidRPr="008675BA">
        <w:rPr>
          <w:rFonts w:cs="Times New Roman"/>
          <w:lang w:val="fr-CA"/>
        </w:rPr>
        <w:t xml:space="preserve">exige </w:t>
      </w:r>
      <w:r w:rsidRPr="008675BA">
        <w:rPr>
          <w:rFonts w:cs="Times New Roman"/>
          <w:i/>
          <w:lang w:val="fr-CA"/>
        </w:rPr>
        <w:t>pas</w:t>
      </w:r>
      <w:r w:rsidRPr="008675BA">
        <w:rPr>
          <w:rFonts w:cs="Times New Roman"/>
          <w:lang w:val="fr-CA"/>
        </w:rPr>
        <w:t xml:space="preserve"> un examen de l’ensemble de la preuve. Si la juridiction d’appel ne peut pas déceler une telle erreur sans fouiller dans la proverbiale botte de foin, c’est qu’il </w:t>
      </w:r>
      <w:r w:rsidRPr="002C47B0">
        <w:rPr>
          <w:rFonts w:cs="Times New Roman"/>
          <w:i/>
          <w:lang w:val="fr-CA"/>
        </w:rPr>
        <w:t>n’</w:t>
      </w:r>
      <w:r w:rsidRPr="008675BA">
        <w:rPr>
          <w:rFonts w:cs="Times New Roman"/>
          <w:lang w:val="fr-CA"/>
        </w:rPr>
        <w:t xml:space="preserve">y a </w:t>
      </w:r>
      <w:r w:rsidRPr="008675BA">
        <w:rPr>
          <w:rFonts w:cs="Times New Roman"/>
          <w:i/>
          <w:lang w:val="fr-CA"/>
        </w:rPr>
        <w:t>pas</w:t>
      </w:r>
      <w:r w:rsidRPr="008675BA">
        <w:rPr>
          <w:rFonts w:cs="Times New Roman"/>
          <w:lang w:val="fr-CA"/>
        </w:rPr>
        <w:t xml:space="preserve"> d’erreur révisable. Voici comment l’a expliqué le juge Morissette de la Cour d’appel</w:t>
      </w:r>
      <w:r>
        <w:rPr>
          <w:rFonts w:cs="Times New Roman"/>
          <w:lang w:val="fr-CA"/>
        </w:rPr>
        <w:t> :</w:t>
      </w:r>
      <w:r w:rsidRPr="008675BA">
        <w:rPr>
          <w:rFonts w:cs="Times New Roman"/>
          <w:lang w:val="fr-CA"/>
        </w:rPr>
        <w:t xml:space="preserve"> </w:t>
      </w:r>
    </w:p>
    <w:p w:rsidR="0041746D" w:rsidRPr="008675BA" w:rsidRDefault="0041746D" w:rsidP="0041746D">
      <w:pPr>
        <w:pStyle w:val="Citation-AltC"/>
        <w:spacing w:after="240"/>
        <w:ind w:left="1168" w:hanging="1168"/>
        <w:contextualSpacing w:val="0"/>
        <w:rPr>
          <w:lang w:val="fr-CA"/>
        </w:rPr>
      </w:pPr>
      <w:r w:rsidRPr="008675BA">
        <w:rPr>
          <w:lang w:val="fr-CA"/>
        </w:rPr>
        <w:tab/>
      </w:r>
      <w:r w:rsidRPr="008675BA">
        <w:rPr>
          <w:u w:val="single"/>
          <w:lang w:val="fr-CA"/>
        </w:rPr>
        <w:t>Il doit donc s’agir d’une erreur identifiable avec une grande économie de moyens</w:t>
      </w:r>
      <w:r w:rsidRPr="008675BA">
        <w:rPr>
          <w:lang w:val="fr-CA"/>
        </w:rPr>
        <w:t xml:space="preserve">, sans que la chose ne provoque un long débat de sémantique, et </w:t>
      </w:r>
      <w:r w:rsidRPr="008675BA">
        <w:rPr>
          <w:u w:val="single"/>
          <w:lang w:val="fr-CA"/>
        </w:rPr>
        <w:t>sans qu’il soit nécessaire de revoir des pans entiers d’une preuve documentaire ou testimoniale qui est partagée et contradictoire</w:t>
      </w:r>
      <w:r w:rsidRPr="008675BA">
        <w:rPr>
          <w:lang w:val="fr-CA"/>
        </w:rPr>
        <w:t>, comme c’est très généralement le cas dans les dossiers litigieux de quelque difficulté qui se rendent à procès.</w:t>
      </w:r>
    </w:p>
    <w:p w:rsidR="0041746D" w:rsidRPr="008675BA" w:rsidRDefault="0041746D" w:rsidP="0041746D">
      <w:pPr>
        <w:pStyle w:val="Citation-AltC"/>
        <w:spacing w:after="240"/>
        <w:ind w:left="1168" w:hanging="1168"/>
        <w:contextualSpacing w:val="0"/>
        <w:rPr>
          <w:lang w:val="fr-FR"/>
        </w:rPr>
      </w:pPr>
      <w:r w:rsidRPr="008675BA">
        <w:rPr>
          <w:lang w:val="fr-FR"/>
        </w:rPr>
        <w:lastRenderedPageBreak/>
        <w:tab/>
      </w:r>
      <w:r w:rsidRPr="008675BA">
        <w:rPr>
          <w:lang w:val="fr-FR"/>
        </w:rPr>
        <w:tab/>
        <w:t xml:space="preserve">Bien que les idées qui précèdent soient dénuées de complexité, et qu’elles soient même limpides à plusieurs égards, on peut se demander si elles sont bien comprises par tous les membres du Barreau. En effet, </w:t>
      </w:r>
      <w:r w:rsidRPr="008675BA">
        <w:rPr>
          <w:u w:val="single"/>
          <w:lang w:val="fr-FR"/>
        </w:rPr>
        <w:t>il demeure trop fréquent en appel que les juges saisis d’un pourvoi soient invités par une partie à réexaminer dans le menu détail la majeure partie de la preuve versée au dossier afin d’y déceler une prétendue erreur « manifeste et dominante ». Étayée de cette façon, la prétention apparaît instantanément suspecte</w:t>
      </w:r>
      <w:r w:rsidRPr="008675BA">
        <w:rPr>
          <w:lang w:val="fr-FR"/>
        </w:rPr>
        <w:t>, car elle contrevient à la règle de conduite que j’énonçais dans les dernières lignes du précédent paragraphe.</w:t>
      </w:r>
      <w:r w:rsidR="00B20BEB">
        <w:rPr>
          <w:lang w:val="fr-FR"/>
        </w:rPr>
        <w:t xml:space="preserve"> . .</w:t>
      </w:r>
    </w:p>
    <w:p w:rsidR="0041746D" w:rsidRPr="008675BA" w:rsidRDefault="0041746D" w:rsidP="0041746D">
      <w:pPr>
        <w:pStyle w:val="Citation-AltC"/>
        <w:spacing w:after="240"/>
        <w:ind w:left="1168"/>
        <w:contextualSpacing w:val="0"/>
        <w:jc w:val="center"/>
        <w:rPr>
          <w:lang w:val="fr-FR"/>
        </w:rPr>
      </w:pPr>
      <w:r w:rsidRPr="008675BA">
        <w:rPr>
          <w:lang w:val="fr-FR"/>
        </w:rPr>
        <w:t>. . .</w:t>
      </w:r>
    </w:p>
    <w:p w:rsidR="0041746D" w:rsidRPr="008675BA" w:rsidRDefault="00CD3B5B" w:rsidP="0041746D">
      <w:pPr>
        <w:pStyle w:val="Citation-AltC"/>
        <w:ind w:hanging="1166"/>
        <w:rPr>
          <w:lang w:val="fr-CA"/>
        </w:rPr>
      </w:pPr>
      <w:r>
        <w:rPr>
          <w:lang w:val="fr-CA"/>
        </w:rPr>
        <w:tab/>
      </w:r>
      <w:r>
        <w:rPr>
          <w:lang w:val="fr-CA"/>
        </w:rPr>
        <w:tab/>
        <w:t>. . .</w:t>
      </w:r>
      <w:r w:rsidR="0041746D" w:rsidRPr="008675BA">
        <w:rPr>
          <w:lang w:val="fr-CA"/>
        </w:rPr>
        <w:t> </w:t>
      </w:r>
      <w:r w:rsidR="0041746D" w:rsidRPr="008675BA">
        <w:rPr>
          <w:u w:val="single"/>
          <w:lang w:val="fr-CA"/>
        </w:rPr>
        <w:t>[L]e rôle de la Cour d’appel n’est pas de recommencer en entier, et comme s’il lui revenait de prendre la place du juge qui présidait le procès, l’exercice d’appréciation de la force probante respective des dépositions</w:t>
      </w:r>
      <w:r w:rsidR="0041746D" w:rsidRPr="008675BA">
        <w:rPr>
          <w:lang w:val="fr-CA"/>
        </w:rPr>
        <w:t xml:space="preserve">, exercice ardu auquel doit s’astreindre le juge de première instance. Précisant le rôle d’une cour d’appel, le juge Stratas écrivait à ce sujet, dans </w:t>
      </w:r>
      <w:r w:rsidR="0041746D" w:rsidRPr="008675BA">
        <w:rPr>
          <w:i/>
          <w:iCs/>
          <w:lang w:val="fr-CA"/>
        </w:rPr>
        <w:t>South Yukon Forest Corporation</w:t>
      </w:r>
      <w:r w:rsidR="0041746D">
        <w:rPr>
          <w:i/>
          <w:iCs/>
          <w:lang w:val="fr-CA"/>
        </w:rPr>
        <w:t> </w:t>
      </w:r>
      <w:r w:rsidR="0041746D" w:rsidRPr="00CD3B5B">
        <w:rPr>
          <w:iCs/>
          <w:lang w:val="fr-CA"/>
        </w:rPr>
        <w:t>:</w:t>
      </w:r>
      <w:r w:rsidR="0041746D" w:rsidRPr="008675BA">
        <w:rPr>
          <w:lang w:val="fr-CA"/>
        </w:rPr>
        <w:t xml:space="preserve"> « Les principales conclusions de fait de la juge étaient fondées sur le dossier ». Il en va nécessairement de même ici, où </w:t>
      </w:r>
      <w:r w:rsidR="0041746D" w:rsidRPr="008675BA">
        <w:rPr>
          <w:u w:val="single"/>
          <w:lang w:val="fr-CA"/>
        </w:rPr>
        <w:t>la Cour doit se demander, et se borner à se demander, si les déterminations de fait de la juge de première instance trouvent un appui dans la preuve</w:t>
      </w:r>
      <w:r w:rsidR="0041746D" w:rsidRPr="008675BA">
        <w:rPr>
          <w:lang w:val="fr-CA"/>
        </w:rPr>
        <w:t xml:space="preserve">. [Je souligne; </w:t>
      </w:r>
      <w:r w:rsidR="0041746D">
        <w:rPr>
          <w:lang w:val="fr-CA"/>
        </w:rPr>
        <w:t>par. </w:t>
      </w:r>
      <w:r w:rsidR="0041746D" w:rsidRPr="008675BA">
        <w:rPr>
          <w:lang w:val="fr-CA"/>
        </w:rPr>
        <w:t>76</w:t>
      </w:r>
      <w:r w:rsidR="0041746D">
        <w:rPr>
          <w:lang w:val="fr-CA"/>
        </w:rPr>
        <w:noBreakHyphen/>
      </w:r>
      <w:r w:rsidR="0041746D" w:rsidRPr="008675BA">
        <w:rPr>
          <w:lang w:val="fr-CA"/>
        </w:rPr>
        <w:t>77 et 79.]</w:t>
      </w:r>
    </w:p>
    <w:p w:rsidR="0041746D" w:rsidRPr="008675BA" w:rsidRDefault="0041746D" w:rsidP="0041746D">
      <w:pPr>
        <w:pStyle w:val="ParaNoNdepar-AltN"/>
        <w:rPr>
          <w:rFonts w:cs="Times New Roman"/>
          <w:sz w:val="21"/>
          <w:szCs w:val="21"/>
          <w:lang w:val="fr-CA"/>
        </w:rPr>
      </w:pPr>
      <w:r w:rsidRPr="008675BA">
        <w:rPr>
          <w:rFonts w:cs="Times New Roman"/>
          <w:lang w:val="fr-CA"/>
        </w:rPr>
        <w:t>Notre Cour aussi a souligné que « la fonction d’une juridiction d’appel [. . .] ne consiste pas à examiner la preuve globalement, mais à s’en tenir aux conclusions que le juge de première instance a tirées à partir de la preuve » (</w:t>
      </w:r>
      <w:r w:rsidRPr="008675BA">
        <w:rPr>
          <w:rFonts w:cs="Times New Roman"/>
          <w:i/>
          <w:lang w:val="fr-CA"/>
        </w:rPr>
        <w:t>Canada (Procureur général) c. Bedford</w:t>
      </w:r>
      <w:r w:rsidRPr="008675BA">
        <w:rPr>
          <w:rFonts w:cs="Times New Roman"/>
          <w:lang w:val="fr-CA"/>
        </w:rPr>
        <w:t xml:space="preserve">, 2013 CSC 72, [2013] 3 R.C.S. 1101, </w:t>
      </w:r>
      <w:r>
        <w:rPr>
          <w:rFonts w:cs="Times New Roman"/>
          <w:lang w:val="fr-CA"/>
        </w:rPr>
        <w:t>par. </w:t>
      </w:r>
      <w:r w:rsidRPr="008675BA">
        <w:rPr>
          <w:rFonts w:cs="Times New Roman"/>
          <w:lang w:val="fr-CA"/>
        </w:rPr>
        <w:t xml:space="preserve">55). En conséquence, l’examen doit être axé non pas sur l’ensemble du dossier, mais sur les motifs du juge du procès et, au besoin, sur des éléments de preuve précis sur lesquels l’appelant attire l’attention de la cour d’appel afin de montrer qu’une conclusion donnée n’est pas étayée par la preuve (voir </w:t>
      </w:r>
      <w:r w:rsidRPr="008675BA">
        <w:rPr>
          <w:rFonts w:cs="Times New Roman"/>
          <w:i/>
          <w:lang w:val="fr-CA"/>
        </w:rPr>
        <w:t>Housen</w:t>
      </w:r>
      <w:r w:rsidRPr="008675BA">
        <w:rPr>
          <w:rFonts w:cs="Times New Roman"/>
          <w:lang w:val="fr-CA"/>
        </w:rPr>
        <w:t xml:space="preserve">, </w:t>
      </w:r>
      <w:r>
        <w:rPr>
          <w:rFonts w:cs="Times New Roman"/>
          <w:lang w:val="fr-CA"/>
        </w:rPr>
        <w:t>par. </w:t>
      </w:r>
      <w:r w:rsidRPr="008675BA">
        <w:rPr>
          <w:rFonts w:cs="Times New Roman"/>
          <w:lang w:val="fr-CA"/>
        </w:rPr>
        <w:t xml:space="preserve">4; </w:t>
      </w:r>
      <w:r w:rsidRPr="008675BA">
        <w:rPr>
          <w:rFonts w:cs="Times New Roman"/>
          <w:i/>
          <w:lang w:val="fr-CA"/>
        </w:rPr>
        <w:t>Waxman c. Waxman</w:t>
      </w:r>
      <w:r w:rsidRPr="008675BA">
        <w:rPr>
          <w:rFonts w:cs="Times New Roman"/>
          <w:lang w:val="fr-CA"/>
        </w:rPr>
        <w:t xml:space="preserve"> (2004), 186 O.A.C. 201, </w:t>
      </w:r>
      <w:r>
        <w:rPr>
          <w:rFonts w:cs="Times New Roman"/>
          <w:lang w:val="fr-CA"/>
        </w:rPr>
        <w:t>par. </w:t>
      </w:r>
      <w:r w:rsidRPr="008675BA">
        <w:rPr>
          <w:rFonts w:cs="Times New Roman"/>
          <w:lang w:val="fr-CA"/>
        </w:rPr>
        <w:t xml:space="preserve">307; </w:t>
      </w:r>
      <w:r w:rsidRPr="008675BA">
        <w:rPr>
          <w:rFonts w:cs="Times New Roman"/>
          <w:i/>
          <w:lang w:val="fr-CA"/>
        </w:rPr>
        <w:t>Benchetrit</w:t>
      </w:r>
      <w:r w:rsidRPr="008675BA">
        <w:rPr>
          <w:rFonts w:cs="Times New Roman"/>
          <w:lang w:val="fr-CA"/>
        </w:rPr>
        <w:t xml:space="preserve">, </w:t>
      </w:r>
      <w:r>
        <w:rPr>
          <w:rFonts w:cs="Times New Roman"/>
          <w:lang w:val="fr-CA"/>
        </w:rPr>
        <w:t>par. </w:t>
      </w:r>
      <w:r w:rsidRPr="008675BA">
        <w:rPr>
          <w:rFonts w:cs="Times New Roman"/>
          <w:lang w:val="fr-CA"/>
        </w:rPr>
        <w:t>24). Autrement dit, il serait inapproprié que la cour d’appel procède à sa propre appréciation indépendante de la preuve, pour ensuite relever les conclusions du juge du procès auxquelles elle ne souscrit pas et conclure que celles</w:t>
      </w:r>
      <w:r>
        <w:rPr>
          <w:rFonts w:cs="Times New Roman"/>
          <w:lang w:val="fr-CA"/>
        </w:rPr>
        <w:noBreakHyphen/>
      </w:r>
      <w:r w:rsidRPr="008675BA">
        <w:rPr>
          <w:rFonts w:cs="Times New Roman"/>
          <w:lang w:val="fr-CA"/>
        </w:rPr>
        <w:t xml:space="preserve">ci découlent d’« erreurs manifestes et dominantes » afin de justifier son intervention (voir </w:t>
      </w:r>
      <w:r w:rsidRPr="008675BA">
        <w:rPr>
          <w:rFonts w:cs="Times New Roman"/>
          <w:i/>
          <w:lang w:val="fr-CA"/>
        </w:rPr>
        <w:t>Van de Perre</w:t>
      </w:r>
      <w:r w:rsidRPr="008675BA">
        <w:rPr>
          <w:rFonts w:cs="Times New Roman"/>
          <w:lang w:val="fr-CA"/>
        </w:rPr>
        <w:t xml:space="preserve">, </w:t>
      </w:r>
      <w:r>
        <w:rPr>
          <w:rFonts w:cs="Times New Roman"/>
          <w:lang w:val="fr-CA"/>
        </w:rPr>
        <w:t>par. </w:t>
      </w:r>
      <w:r w:rsidRPr="008675BA">
        <w:rPr>
          <w:rFonts w:cs="Times New Roman"/>
          <w:lang w:val="fr-CA"/>
        </w:rPr>
        <w:t xml:space="preserve">16; </w:t>
      </w:r>
      <w:r w:rsidRPr="008675BA">
        <w:rPr>
          <w:rFonts w:cs="Times New Roman"/>
          <w:i/>
          <w:lang w:val="fr-CA"/>
        </w:rPr>
        <w:t>Galambos</w:t>
      </w:r>
      <w:r w:rsidRPr="008675BA">
        <w:rPr>
          <w:rFonts w:cs="Times New Roman"/>
          <w:lang w:val="fr-CA"/>
        </w:rPr>
        <w:t xml:space="preserve">, </w:t>
      </w:r>
      <w:r>
        <w:rPr>
          <w:rFonts w:cs="Times New Roman"/>
          <w:lang w:val="fr-CA"/>
        </w:rPr>
        <w:t>par. </w:t>
      </w:r>
      <w:r w:rsidRPr="008675BA">
        <w:rPr>
          <w:rFonts w:cs="Times New Roman"/>
          <w:lang w:val="fr-CA"/>
        </w:rPr>
        <w:t xml:space="preserve">53). Cette façon de faire </w:t>
      </w:r>
      <w:r w:rsidRPr="008675BA">
        <w:rPr>
          <w:rFonts w:cs="Times New Roman"/>
          <w:lang w:val="fr-CA"/>
        </w:rPr>
        <w:lastRenderedPageBreak/>
        <w:t>constituerait non pas un contrôle d’erreur, mais une nouvelle audition déguisée, ce qui ne relève pas du rôle que doit jouer une juridiction d’appel (</w:t>
      </w:r>
      <w:r w:rsidRPr="008675BA">
        <w:rPr>
          <w:rFonts w:cs="Times New Roman"/>
          <w:i/>
          <w:lang w:val="fr-CA"/>
        </w:rPr>
        <w:t>H.L.</w:t>
      </w:r>
      <w:r w:rsidRPr="008675BA">
        <w:rPr>
          <w:rFonts w:cs="Times New Roman"/>
          <w:lang w:val="fr-CA"/>
        </w:rPr>
        <w:t xml:space="preserve">, </w:t>
      </w:r>
      <w:r>
        <w:rPr>
          <w:rFonts w:cs="Times New Roman"/>
          <w:lang w:val="fr-CA"/>
        </w:rPr>
        <w:t>par. </w:t>
      </w:r>
      <w:r w:rsidRPr="008675BA">
        <w:rPr>
          <w:rFonts w:cs="Times New Roman"/>
          <w:lang w:val="fr-CA"/>
        </w:rPr>
        <w:t>52 et 64).</w:t>
      </w:r>
    </w:p>
    <w:p w:rsidR="0041746D" w:rsidRPr="008675BA" w:rsidRDefault="0041746D" w:rsidP="0041746D">
      <w:pPr>
        <w:pStyle w:val="ParaNoNdepar-AltN"/>
        <w:rPr>
          <w:rFonts w:cs="Times New Roman"/>
          <w:sz w:val="21"/>
          <w:szCs w:val="21"/>
          <w:lang w:val="fr-CA"/>
        </w:rPr>
      </w:pPr>
      <w:r w:rsidRPr="008675BA">
        <w:rPr>
          <w:rFonts w:cs="Times New Roman"/>
          <w:lang w:val="fr-CA"/>
        </w:rPr>
        <w:t>À cet égard, il ne faut pas perdre de vue que le juge du procès connaît nettement mieux l’affaire dans son ensemble, et souvent de nombreux éléments de preuve, que les juridictions d’appel (</w:t>
      </w:r>
      <w:r w:rsidRPr="008675BA">
        <w:rPr>
          <w:rFonts w:cs="Times New Roman"/>
          <w:i/>
          <w:lang w:val="fr-CA"/>
        </w:rPr>
        <w:t>Housen</w:t>
      </w:r>
      <w:r w:rsidRPr="008675BA">
        <w:rPr>
          <w:rFonts w:cs="Times New Roman"/>
          <w:lang w:val="fr-CA"/>
        </w:rPr>
        <w:t xml:space="preserve">, </w:t>
      </w:r>
      <w:r>
        <w:rPr>
          <w:rFonts w:cs="Times New Roman"/>
          <w:lang w:val="fr-CA"/>
        </w:rPr>
        <w:t>par. </w:t>
      </w:r>
      <w:r w:rsidRPr="008675BA">
        <w:rPr>
          <w:rFonts w:cs="Times New Roman"/>
          <w:lang w:val="fr-CA"/>
        </w:rPr>
        <w:t xml:space="preserve">14, 18 et 25). Il s’ensuit qu’en comparaison, les juridictions d’appel ne sont pas bien outillées pour la tâche de tirer des conclusions de fait. Comme l’explique la Cour d’appel de l’Ontario dans </w:t>
      </w:r>
      <w:r w:rsidRPr="008675BA">
        <w:rPr>
          <w:rFonts w:cs="Times New Roman"/>
          <w:i/>
          <w:lang w:val="fr-CA"/>
        </w:rPr>
        <w:t>Waxman</w:t>
      </w:r>
      <w:r w:rsidRPr="008675BA">
        <w:rPr>
          <w:rFonts w:cs="Times New Roman"/>
          <w:lang w:val="fr-CA"/>
        </w:rPr>
        <w:t>, elles peuvent difficilement prétendre être mieux placées pour examiner une affaire</w:t>
      </w:r>
      <w:r>
        <w:rPr>
          <w:rFonts w:cs="Times New Roman"/>
          <w:lang w:val="fr-CA"/>
        </w:rPr>
        <w:t xml:space="preserve"> </w:t>
      </w:r>
      <w:r w:rsidRPr="008675BA">
        <w:rPr>
          <w:rFonts w:cs="Times New Roman"/>
          <w:lang w:val="fr-CA"/>
        </w:rPr>
        <w:t>de façon « globale »</w:t>
      </w:r>
      <w:r>
        <w:rPr>
          <w:rFonts w:cs="Times New Roman"/>
          <w:lang w:val="fr-CA"/>
        </w:rPr>
        <w:t> :</w:t>
      </w:r>
    </w:p>
    <w:p w:rsidR="0041746D" w:rsidRPr="008675BA" w:rsidRDefault="0041746D" w:rsidP="0041746D">
      <w:pPr>
        <w:pStyle w:val="Citation-AltC"/>
        <w:spacing w:after="240"/>
        <w:ind w:left="1168" w:hanging="1168"/>
        <w:contextualSpacing w:val="0"/>
        <w:rPr>
          <w:lang w:val="fr-CA"/>
        </w:rPr>
      </w:pPr>
      <w:r w:rsidRPr="008675BA">
        <w:rPr>
          <w:lang w:val="fr-CA"/>
        </w:rPr>
        <w:tab/>
      </w:r>
      <w:r w:rsidRPr="008675BA">
        <w:rPr>
          <w:lang w:val="fr-CA"/>
        </w:rPr>
        <w:tab/>
      </w:r>
      <w:r w:rsidR="00CD3B5B" w:rsidRPr="008675BA">
        <w:rPr>
          <w:lang w:val="fr-CA"/>
        </w:rPr>
        <w:t>[</w:t>
      </w:r>
      <w:r w:rsidR="00CD3B5B" w:rsidRPr="008675BA">
        <w:rPr>
          <w:smallCaps/>
          <w:lang w:val="fr-CA"/>
        </w:rPr>
        <w:t>traduction</w:t>
      </w:r>
      <w:r w:rsidR="00CD3B5B" w:rsidRPr="008675BA">
        <w:rPr>
          <w:lang w:val="fr-CA"/>
        </w:rPr>
        <w:t>]</w:t>
      </w:r>
      <w:r w:rsidR="00CD3B5B">
        <w:rPr>
          <w:lang w:val="fr-CA"/>
        </w:rPr>
        <w:t xml:space="preserve"> </w:t>
      </w:r>
      <w:r w:rsidRPr="008675BA">
        <w:rPr>
          <w:lang w:val="fr-CA"/>
        </w:rPr>
        <w:t xml:space="preserve">Dans une affaire aussi longue et aussi complexe sur le plan factuel que celle qui nous occupe, les juges d’appel sont dans une situation très semblable à celle des hommes aveugles dans la parabole des hommes aveugles et de l’éléphant. Les avocats invitent la cour à examiner attentivement des parties isolées de la preuve, mais elle ne peut connaître et comprendre toute l’affaire. À l’instar des comparaisons boiteuses à l’ensemble de l’éléphant par les hommes aveugles qui ont chacun palpé qu’une petite partie de l’animal, </w:t>
      </w:r>
      <w:r w:rsidRPr="008675BA">
        <w:rPr>
          <w:u w:val="single"/>
          <w:lang w:val="fr-CA"/>
        </w:rPr>
        <w:t>tirer des conclusions de fait en appel est susceptible de ne pas rendre compte d’une juste appréciation de l’ensemble de l’affaire</w:t>
      </w:r>
      <w:r w:rsidRPr="008675BA">
        <w:rPr>
          <w:lang w:val="fr-CA"/>
        </w:rPr>
        <w:t>. La présente affaire démontre que la norme de contrôle de l’erreur « manifeste et déterminante » reflète de manière réaliste les limites et les risques propres à la constatation des faits en appel.</w:t>
      </w:r>
    </w:p>
    <w:p w:rsidR="0041746D" w:rsidRPr="008675BA" w:rsidRDefault="0041746D" w:rsidP="0041746D">
      <w:pPr>
        <w:pStyle w:val="Citation-AltC"/>
        <w:ind w:hanging="1166"/>
        <w:rPr>
          <w:lang w:val="fr-CA"/>
        </w:rPr>
      </w:pPr>
      <w:r w:rsidRPr="008675BA">
        <w:rPr>
          <w:lang w:val="fr-CA"/>
        </w:rPr>
        <w:tab/>
      </w:r>
      <w:r w:rsidRPr="008675BA">
        <w:rPr>
          <w:lang w:val="fr-CA"/>
        </w:rPr>
        <w:tab/>
      </w:r>
      <w:r w:rsidRPr="008675BA">
        <w:rPr>
          <w:u w:val="single"/>
          <w:lang w:val="fr-CA"/>
        </w:rPr>
        <w:t>En dépit de l’avantage que nous donnent des motifs de jugement détaillés, de longues et efficaces plaidoiries des avocats et de nombreuses heures d’étude, nous sommes tout à fait convaincus qu’il nous est impossible de connaître et de comprendre le dossier du procès comme la juge de première instance l’a connu et compris. Ses conclusions de fait sont beaucoup plus susceptibles d’être exactes que les nôtres.</w:t>
      </w:r>
      <w:r w:rsidRPr="008675BA">
        <w:rPr>
          <w:lang w:val="fr-CA"/>
        </w:rPr>
        <w:t xml:space="preserve"> [Je souligne; </w:t>
      </w:r>
      <w:r>
        <w:rPr>
          <w:lang w:val="fr-CA"/>
        </w:rPr>
        <w:t>par. </w:t>
      </w:r>
      <w:r w:rsidRPr="008675BA">
        <w:rPr>
          <w:lang w:val="fr-CA"/>
        </w:rPr>
        <w:t>294</w:t>
      </w:r>
      <w:r>
        <w:rPr>
          <w:lang w:val="fr-CA"/>
        </w:rPr>
        <w:noBreakHyphen/>
      </w:r>
      <w:r w:rsidRPr="008675BA">
        <w:rPr>
          <w:lang w:val="fr-CA"/>
        </w:rPr>
        <w:t>295.]</w:t>
      </w:r>
    </w:p>
    <w:p w:rsidR="0041746D" w:rsidRPr="008675BA" w:rsidRDefault="0041746D" w:rsidP="0041746D">
      <w:pPr>
        <w:pStyle w:val="ParaNoNdepar-AltN"/>
        <w:rPr>
          <w:rFonts w:cs="Times New Roman"/>
          <w:lang w:val="fr-CA"/>
        </w:rPr>
      </w:pPr>
      <w:r w:rsidRPr="008675BA">
        <w:rPr>
          <w:rFonts w:cs="Times New Roman"/>
          <w:lang w:val="fr-CA"/>
        </w:rPr>
        <w:t xml:space="preserve">En d’autres mots, s’il est vrai que la juridiction d’appel peut déceler des erreurs manifestes précises dans la décision du juge du procès, elle doit reconnaître la situation privilégiée de ce dernier et ses propres limites institutionnelles. En raison de </w:t>
      </w:r>
      <w:r w:rsidRPr="008675BA">
        <w:rPr>
          <w:rFonts w:cs="Times New Roman"/>
          <w:lang w:val="fr-CA"/>
        </w:rPr>
        <w:lastRenderedPageBreak/>
        <w:t xml:space="preserve">contraintes de temps et de l’impossibilité d’entendre les témoins, par exemple, elle ne peut espérer s’acquitter mieux que le juge du procès de l’appréciation de l’ensemble de la preuve (voir </w:t>
      </w:r>
      <w:r w:rsidRPr="008675BA">
        <w:rPr>
          <w:rFonts w:cs="Times New Roman"/>
          <w:i/>
          <w:lang w:val="fr-CA"/>
        </w:rPr>
        <w:t>Benchetrit</w:t>
      </w:r>
      <w:r w:rsidRPr="008675BA">
        <w:rPr>
          <w:rFonts w:cs="Times New Roman"/>
          <w:lang w:val="fr-CA"/>
        </w:rPr>
        <w:t xml:space="preserve">, </w:t>
      </w:r>
      <w:r>
        <w:rPr>
          <w:rFonts w:cs="Times New Roman"/>
          <w:lang w:val="fr-CA"/>
        </w:rPr>
        <w:t>par. </w:t>
      </w:r>
      <w:r w:rsidRPr="008675BA">
        <w:rPr>
          <w:rFonts w:cs="Times New Roman"/>
          <w:lang w:val="fr-CA"/>
        </w:rPr>
        <w:t>24). En l’absence d’erreurs manifestes, les juridictions d’appel doivent donc laisser aux juges du procès la tâche de tirer les conclusions de fait, et consacrer leurs efforts et leurs ressources limitées à leur rôle principal, soit « de préciser et de raffiner les règles de droit et de veiller à leur application universelle » (</w:t>
      </w:r>
      <w:r w:rsidRPr="008675BA">
        <w:rPr>
          <w:rFonts w:cs="Times New Roman"/>
          <w:i/>
          <w:lang w:val="fr-CA"/>
        </w:rPr>
        <w:t>Housen</w:t>
      </w:r>
      <w:r w:rsidRPr="008675BA">
        <w:rPr>
          <w:rFonts w:cs="Times New Roman"/>
          <w:lang w:val="fr-CA"/>
        </w:rPr>
        <w:t xml:space="preserve">, </w:t>
      </w:r>
      <w:r>
        <w:rPr>
          <w:rFonts w:cs="Times New Roman"/>
          <w:lang w:val="fr-CA"/>
        </w:rPr>
        <w:t>par. </w:t>
      </w:r>
      <w:r w:rsidRPr="008675BA">
        <w:rPr>
          <w:rFonts w:cs="Times New Roman"/>
          <w:lang w:val="fr-CA"/>
        </w:rPr>
        <w:t>9).</w:t>
      </w:r>
    </w:p>
    <w:p w:rsidR="0041746D" w:rsidRPr="008675BA" w:rsidRDefault="0041746D" w:rsidP="0041746D">
      <w:pPr>
        <w:pStyle w:val="ParaNoNdepar-AltN"/>
        <w:rPr>
          <w:rFonts w:cs="Times New Roman"/>
          <w:lang w:val="fr-CA"/>
        </w:rPr>
      </w:pPr>
      <w:r w:rsidRPr="008675BA">
        <w:rPr>
          <w:rFonts w:cs="Times New Roman"/>
          <w:lang w:val="fr-CA"/>
        </w:rPr>
        <w:t>De plus, il convient de rappeler que le fait de déceler une véritable erreur « manifeste » dans une conclusion contestée ne donne pas toute latitude à la juridiction d’appel pour réévaluer l’ensemble de la preuve et infirmer toutes les autres conclusions du juge du procès. Pour qu’une intervention soit justifiée, il doit aussi être</w:t>
      </w:r>
      <w:r w:rsidRPr="008675BA">
        <w:rPr>
          <w:rFonts w:cs="Times New Roman"/>
          <w:i/>
          <w:lang w:val="fr-CA"/>
        </w:rPr>
        <w:t xml:space="preserve"> démontré</w:t>
      </w:r>
      <w:r w:rsidRPr="008675BA">
        <w:rPr>
          <w:rFonts w:cs="Times New Roman"/>
          <w:lang w:val="fr-CA"/>
        </w:rPr>
        <w:t xml:space="preserve"> que l’erreur est « dominante », c’est</w:t>
      </w:r>
      <w:r>
        <w:rPr>
          <w:rFonts w:cs="Times New Roman"/>
          <w:lang w:val="fr-CA"/>
        </w:rPr>
        <w:noBreakHyphen/>
      </w:r>
      <w:r w:rsidRPr="008675BA">
        <w:rPr>
          <w:rFonts w:cs="Times New Roman"/>
          <w:lang w:val="fr-CA"/>
        </w:rPr>
        <w:t>à</w:t>
      </w:r>
      <w:r>
        <w:rPr>
          <w:rFonts w:cs="Times New Roman"/>
          <w:lang w:val="fr-CA"/>
        </w:rPr>
        <w:noBreakHyphen/>
      </w:r>
      <w:r w:rsidRPr="008675BA">
        <w:rPr>
          <w:rFonts w:cs="Times New Roman"/>
          <w:lang w:val="fr-CA"/>
        </w:rPr>
        <w:t>dire déterminante pour l’issue de l’affaire (</w:t>
      </w:r>
      <w:r w:rsidRPr="008675BA">
        <w:rPr>
          <w:rFonts w:cs="Times New Roman"/>
          <w:i/>
          <w:lang w:val="fr-CA"/>
        </w:rPr>
        <w:t>Nelson</w:t>
      </w:r>
      <w:r w:rsidRPr="008675BA">
        <w:rPr>
          <w:rFonts w:cs="Times New Roman"/>
          <w:lang w:val="fr-CA"/>
        </w:rPr>
        <w:t xml:space="preserve">, </w:t>
      </w:r>
      <w:r>
        <w:rPr>
          <w:rFonts w:cs="Times New Roman"/>
          <w:lang w:val="fr-CA"/>
        </w:rPr>
        <w:t>par. </w:t>
      </w:r>
      <w:r w:rsidRPr="008675BA">
        <w:rPr>
          <w:rFonts w:cs="Times New Roman"/>
          <w:lang w:val="fr-CA"/>
        </w:rPr>
        <w:t xml:space="preserve">38; </w:t>
      </w:r>
      <w:r w:rsidRPr="008675BA">
        <w:rPr>
          <w:rFonts w:cs="Times New Roman"/>
          <w:i/>
          <w:lang w:val="fr-CA"/>
        </w:rPr>
        <w:t>H.L.</w:t>
      </w:r>
      <w:r w:rsidRPr="008675BA">
        <w:rPr>
          <w:rFonts w:cs="Times New Roman"/>
          <w:lang w:val="fr-CA"/>
        </w:rPr>
        <w:t xml:space="preserve">, </w:t>
      </w:r>
      <w:r>
        <w:rPr>
          <w:rFonts w:cs="Times New Roman"/>
          <w:lang w:val="fr-CA"/>
        </w:rPr>
        <w:t>par. </w:t>
      </w:r>
      <w:r w:rsidRPr="008675BA">
        <w:rPr>
          <w:rFonts w:cs="Times New Roman"/>
          <w:lang w:val="fr-CA"/>
        </w:rPr>
        <w:t>55</w:t>
      </w:r>
      <w:r>
        <w:rPr>
          <w:rFonts w:cs="Times New Roman"/>
          <w:lang w:val="fr-CA"/>
        </w:rPr>
        <w:noBreakHyphen/>
      </w:r>
      <w:r w:rsidRPr="008675BA">
        <w:rPr>
          <w:rFonts w:cs="Times New Roman"/>
          <w:lang w:val="fr-CA"/>
        </w:rPr>
        <w:t xml:space="preserve">56). Autrement, peu importe l’erreur, les conclusions du juge du procès doivent être maintenues. Pour reprendre la métaphore très éloquente utilisée par le juge d’appel Stratas dans </w:t>
      </w:r>
      <w:r w:rsidRPr="008675BA">
        <w:rPr>
          <w:rFonts w:cs="Times New Roman"/>
          <w:i/>
          <w:lang w:val="fr-CA"/>
        </w:rPr>
        <w:t>South Yukon Forest Corp.</w:t>
      </w:r>
      <w:r w:rsidRPr="008675BA">
        <w:rPr>
          <w:rFonts w:cs="Times New Roman"/>
          <w:lang w:val="fr-CA"/>
        </w:rPr>
        <w:t xml:space="preserve">, </w:t>
      </w:r>
      <w:r>
        <w:rPr>
          <w:rFonts w:cs="Times New Roman"/>
          <w:lang w:val="fr-CA"/>
        </w:rPr>
        <w:t>par. </w:t>
      </w:r>
      <w:r w:rsidRPr="008675BA">
        <w:rPr>
          <w:rFonts w:cs="Times New Roman"/>
          <w:lang w:val="fr-CA"/>
        </w:rPr>
        <w:t xml:space="preserve">46, « on ne peut se contenter de tirer sur les feuilles et les branches et laisser l’arbre debout. On doit faire tomber l’arbre tout entier » (cité dans </w:t>
      </w:r>
      <w:r w:rsidRPr="008675BA">
        <w:rPr>
          <w:rFonts w:cs="Times New Roman"/>
          <w:i/>
          <w:lang w:val="fr-CA"/>
        </w:rPr>
        <w:t>Benhaim</w:t>
      </w:r>
      <w:r w:rsidRPr="008675BA">
        <w:rPr>
          <w:rFonts w:cs="Times New Roman"/>
          <w:lang w:val="fr-CA"/>
        </w:rPr>
        <w:t xml:space="preserve">, </w:t>
      </w:r>
      <w:r>
        <w:rPr>
          <w:rFonts w:cs="Times New Roman"/>
          <w:lang w:val="fr-CA"/>
        </w:rPr>
        <w:t>par. </w:t>
      </w:r>
      <w:r w:rsidRPr="008675BA">
        <w:rPr>
          <w:rFonts w:cs="Times New Roman"/>
          <w:lang w:val="fr-CA"/>
        </w:rPr>
        <w:t>38).</w:t>
      </w:r>
    </w:p>
    <w:p w:rsidR="0041746D" w:rsidRPr="008675BA" w:rsidRDefault="0041746D" w:rsidP="0041746D">
      <w:pPr>
        <w:pStyle w:val="Title2LevelTitre2Niveau"/>
        <w:numPr>
          <w:ilvl w:val="1"/>
          <w:numId w:val="25"/>
        </w:numPr>
        <w:rPr>
          <w:rFonts w:cs="Times New Roman"/>
          <w:lang w:val="fr-CA"/>
        </w:rPr>
      </w:pPr>
      <w:bookmarkStart w:id="9" w:name="_Toc2153993"/>
      <w:r w:rsidRPr="008675BA">
        <w:rPr>
          <w:rFonts w:cs="Times New Roman"/>
          <w:lang w:val="fr-CA"/>
        </w:rPr>
        <w:t>La métaphore du « prisme déformant »</w:t>
      </w:r>
      <w:bookmarkEnd w:id="9"/>
    </w:p>
    <w:p w:rsidR="0041746D" w:rsidRPr="008675BA" w:rsidRDefault="0041746D" w:rsidP="0041746D">
      <w:pPr>
        <w:pStyle w:val="ParaNoNdepar-AltN"/>
        <w:rPr>
          <w:rFonts w:cs="Times New Roman"/>
          <w:lang w:val="fr-CA"/>
        </w:rPr>
      </w:pPr>
      <w:r w:rsidRPr="008675BA">
        <w:rPr>
          <w:rFonts w:cs="Times New Roman"/>
          <w:lang w:val="fr-CA"/>
        </w:rPr>
        <w:t>Toutefois, dans le cas qui nous occupe, c’est une autre métaphore qui sert de fondement à la décision en appel. Recourant à la notion de « prisme déformant », la Cour d’appel conclut que la juge du procès adopte, lors de son analyse de la preuve, une approche indûment compartimentée en matière de responsabilité civile, ce qui fait en sorte qu’elle a mal compris la conduite professionnelle de M</w:t>
      </w:r>
      <w:r w:rsidRPr="008675BA">
        <w:rPr>
          <w:rFonts w:cs="Times New Roman"/>
          <w:vertAlign w:val="superscript"/>
          <w:lang w:val="fr-CA"/>
        </w:rPr>
        <w:t>e</w:t>
      </w:r>
      <w:r w:rsidRPr="008675BA">
        <w:rPr>
          <w:rFonts w:cs="Times New Roman"/>
          <w:lang w:val="fr-CA"/>
        </w:rPr>
        <w:t xml:space="preserve"> Salomon envers 166 </w:t>
      </w:r>
      <w:r w:rsidRPr="008675BA">
        <w:rPr>
          <w:rFonts w:cs="Times New Roman"/>
          <w:lang w:val="fr-CA"/>
        </w:rPr>
        <w:lastRenderedPageBreak/>
        <w:t>et qu’elle a mal interprété le lien de causalité entre les fautes de M</w:t>
      </w:r>
      <w:r w:rsidRPr="008675BA">
        <w:rPr>
          <w:rFonts w:cs="Times New Roman"/>
          <w:vertAlign w:val="superscript"/>
          <w:lang w:val="fr-CA"/>
        </w:rPr>
        <w:t>e</w:t>
      </w:r>
      <w:r w:rsidRPr="008675BA">
        <w:rPr>
          <w:rFonts w:cs="Times New Roman"/>
          <w:lang w:val="fr-CA"/>
        </w:rPr>
        <w:t> Salomon et les pertes de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et 166 (</w:t>
      </w:r>
      <w:r>
        <w:rPr>
          <w:rFonts w:cs="Times New Roman"/>
          <w:lang w:val="fr-CA"/>
        </w:rPr>
        <w:t>par. </w:t>
      </w:r>
      <w:r w:rsidRPr="008675BA">
        <w:rPr>
          <w:rFonts w:cs="Times New Roman"/>
          <w:lang w:val="fr-CA"/>
        </w:rPr>
        <w:t>65</w:t>
      </w:r>
      <w:r>
        <w:rPr>
          <w:rFonts w:cs="Times New Roman"/>
          <w:lang w:val="fr-CA"/>
        </w:rPr>
        <w:noBreakHyphen/>
      </w:r>
      <w:r w:rsidRPr="008675BA">
        <w:rPr>
          <w:rFonts w:cs="Times New Roman"/>
          <w:lang w:val="fr-CA"/>
        </w:rPr>
        <w:t>66 et 120). Ce faisant, la Cour d’appel est, selon moi, intervenue à tort en se fondant sur de simples différences d’opinions concernant l’appréciation de la preuve.</w:t>
      </w:r>
    </w:p>
    <w:p w:rsidR="0041746D" w:rsidRPr="008675BA" w:rsidRDefault="0041746D" w:rsidP="0041746D">
      <w:pPr>
        <w:pStyle w:val="ParaNoNdepar-AltN"/>
        <w:rPr>
          <w:rFonts w:cs="Times New Roman"/>
          <w:lang w:val="fr-CA"/>
        </w:rPr>
      </w:pPr>
      <w:r w:rsidRPr="008675BA">
        <w:rPr>
          <w:rFonts w:cs="Times New Roman"/>
          <w:lang w:val="fr-CA"/>
        </w:rPr>
        <w:t>Comme le reconnaît mon collègue (</w:t>
      </w:r>
      <w:r>
        <w:rPr>
          <w:rFonts w:cs="Times New Roman"/>
          <w:lang w:val="fr-CA"/>
        </w:rPr>
        <w:t>par. </w:t>
      </w:r>
      <w:r w:rsidRPr="008675BA">
        <w:rPr>
          <w:rFonts w:cs="Times New Roman"/>
          <w:lang w:val="fr-CA"/>
        </w:rPr>
        <w:t xml:space="preserve">40), la métaphore du prisme déformant n’écarte pas l’obligation de relever la présence d’erreurs révisables conformément aux normes formulées dans </w:t>
      </w:r>
      <w:r w:rsidRPr="008675BA">
        <w:rPr>
          <w:rFonts w:cs="Times New Roman"/>
          <w:i/>
          <w:lang w:val="fr-CA"/>
        </w:rPr>
        <w:t>Housen</w:t>
      </w:r>
      <w:r w:rsidRPr="008675BA">
        <w:rPr>
          <w:rFonts w:cs="Times New Roman"/>
          <w:lang w:val="fr-CA"/>
        </w:rPr>
        <w:t>. Il s’ensuit qu’un « prisme déformant » ne peut justifier un examen général de l’ensemble du dossier sauf s’il est démontré que le recours à un tel prisme déformant constitue, en soi, une erreur ouvrant droit à révision. Adopter la position contraire aurait pour effet de compromettre le principe de non</w:t>
      </w:r>
      <w:r>
        <w:rPr>
          <w:rFonts w:cs="Times New Roman"/>
          <w:lang w:val="fr-CA"/>
        </w:rPr>
        <w:noBreakHyphen/>
      </w:r>
      <w:r w:rsidRPr="008675BA">
        <w:rPr>
          <w:rFonts w:cs="Times New Roman"/>
          <w:lang w:val="fr-CA"/>
        </w:rPr>
        <w:t xml:space="preserve">intervention en appel, puisqu’une juridiction d’appel pourrait procéder à une nouvelle appréciation de la preuve </w:t>
      </w:r>
      <w:r w:rsidRPr="008675BA">
        <w:rPr>
          <w:rFonts w:cs="Times New Roman"/>
          <w:i/>
          <w:lang w:val="fr-CA"/>
        </w:rPr>
        <w:t>avant</w:t>
      </w:r>
      <w:r w:rsidRPr="008675BA">
        <w:rPr>
          <w:rFonts w:cs="Times New Roman"/>
          <w:lang w:val="fr-CA"/>
        </w:rPr>
        <w:t xml:space="preserve"> qu’une erreur révisable ne soit décelée. À mon avis, la métaphore du prisme déformant peut, tout au plus, servir à illustrer la façon dont certaines erreurs </w:t>
      </w:r>
      <w:r w:rsidRPr="008675BA">
        <w:rPr>
          <w:rFonts w:cs="Times New Roman"/>
          <w:i/>
          <w:lang w:val="fr-CA"/>
        </w:rPr>
        <w:t>manifestes</w:t>
      </w:r>
      <w:r w:rsidRPr="008675BA">
        <w:rPr>
          <w:rFonts w:cs="Times New Roman"/>
          <w:lang w:val="fr-CA"/>
        </w:rPr>
        <w:t xml:space="preserve"> (ou erreurs de droit) vicient l’analyse de la preuve au point d’avoir un effet </w:t>
      </w:r>
      <w:r w:rsidRPr="008675BA">
        <w:rPr>
          <w:rFonts w:cs="Times New Roman"/>
          <w:i/>
          <w:lang w:val="fr-CA"/>
        </w:rPr>
        <w:t>déterminant</w:t>
      </w:r>
      <w:r w:rsidRPr="008675BA">
        <w:rPr>
          <w:rFonts w:cs="Times New Roman"/>
          <w:lang w:val="fr-CA"/>
        </w:rPr>
        <w:t xml:space="preserve">. Une métaphore ne constitue toutefois pas une explication complète. La juridiction d’appel doit expliquer pourquoi le juge du procès a commis une erreur en analysant l’affaire sous l’angle du « prisme déformant » contesté, pourquoi cette « erreur » représente plus qu’une simple divergence d’opinions, et de quelle façon précise elle fausse l’analyse du juge de première instance et influe sur l’issue de l’affaire. À cet égard, il convient de souligner que dans la première décision de la Cour d’appel où la métaphore du prisme déformant est évoquée, </w:t>
      </w:r>
      <w:r w:rsidRPr="008675BA">
        <w:rPr>
          <w:rFonts w:cs="Times New Roman"/>
          <w:i/>
          <w:lang w:val="fr-CA"/>
        </w:rPr>
        <w:t>Ford du Canada ltée c. Automobiles Duclos inc.</w:t>
      </w:r>
      <w:r w:rsidRPr="008675BA">
        <w:rPr>
          <w:rFonts w:cs="Times New Roman"/>
          <w:lang w:val="fr-CA"/>
        </w:rPr>
        <w:t xml:space="preserve">, 2007 QCCA 1541, </w:t>
      </w:r>
      <w:r>
        <w:rPr>
          <w:rFonts w:cs="Times New Roman"/>
          <w:lang w:val="fr-CA"/>
        </w:rPr>
        <w:t>par. </w:t>
      </w:r>
      <w:r w:rsidRPr="008675BA">
        <w:rPr>
          <w:rFonts w:cs="Times New Roman"/>
          <w:lang w:val="fr-CA"/>
        </w:rPr>
        <w:t>126</w:t>
      </w:r>
      <w:r>
        <w:rPr>
          <w:rFonts w:cs="Times New Roman"/>
          <w:lang w:val="fr-CA"/>
        </w:rPr>
        <w:noBreakHyphen/>
      </w:r>
      <w:r w:rsidRPr="008675BA">
        <w:rPr>
          <w:rFonts w:cs="Times New Roman"/>
          <w:lang w:val="fr-CA"/>
        </w:rPr>
        <w:t xml:space="preserve">135 (CanLII), la Cour d’appel a conclu que le recours au « prisme » en question — une interprétation erronée du concept d’abus de droit — constitue une erreur de droit qui a </w:t>
      </w:r>
      <w:r w:rsidRPr="008675BA">
        <w:rPr>
          <w:rFonts w:cs="Times New Roman"/>
          <w:lang w:val="fr-CA"/>
        </w:rPr>
        <w:lastRenderedPageBreak/>
        <w:t xml:space="preserve">faussé l’appréciation de la preuve par le juge du procès et qui a entraîné des erreurs de fait donnant ouverture à révision. De plus, il était facile de déterminer l’effet de ces erreurs sur l’issue de l’affaire en examinant les motifs du juge du procès, sans qu’il soit nécessaire de procéder à un examen indépendant du dossier (voir </w:t>
      </w:r>
      <w:r>
        <w:rPr>
          <w:rFonts w:cs="Times New Roman"/>
          <w:lang w:val="fr-CA"/>
        </w:rPr>
        <w:t>par. </w:t>
      </w:r>
      <w:r w:rsidRPr="008675BA">
        <w:rPr>
          <w:rFonts w:cs="Times New Roman"/>
          <w:lang w:val="fr-CA"/>
        </w:rPr>
        <w:t>130</w:t>
      </w:r>
      <w:r>
        <w:rPr>
          <w:rFonts w:cs="Times New Roman"/>
          <w:lang w:val="fr-CA"/>
        </w:rPr>
        <w:noBreakHyphen/>
      </w:r>
      <w:r w:rsidRPr="008675BA">
        <w:rPr>
          <w:rFonts w:cs="Times New Roman"/>
          <w:lang w:val="fr-CA"/>
        </w:rPr>
        <w:t xml:space="preserve">132). On peut soutenir que la métaphore du prisme déformant, utilisée de cette façon, est conforme aux principes établis dans </w:t>
      </w:r>
      <w:r w:rsidRPr="008675BA">
        <w:rPr>
          <w:rFonts w:cs="Times New Roman"/>
          <w:i/>
          <w:lang w:val="fr-CA"/>
        </w:rPr>
        <w:t>Housen</w:t>
      </w:r>
      <w:r w:rsidRPr="008675BA">
        <w:rPr>
          <w:rFonts w:cs="Times New Roman"/>
          <w:lang w:val="fr-CA"/>
        </w:rPr>
        <w:t xml:space="preserve">. </w:t>
      </w:r>
    </w:p>
    <w:p w:rsidR="0041746D" w:rsidRPr="008675BA" w:rsidRDefault="0041746D" w:rsidP="0041746D">
      <w:pPr>
        <w:pStyle w:val="ParaNoNdepar-AltN"/>
        <w:rPr>
          <w:rFonts w:cs="Times New Roman"/>
          <w:lang w:val="fr-CA"/>
        </w:rPr>
      </w:pPr>
      <w:r w:rsidRPr="008675BA">
        <w:rPr>
          <w:rFonts w:cs="Times New Roman"/>
          <w:lang w:val="fr-CA"/>
        </w:rPr>
        <w:t>Dans la présente affaire, toutefois, je conclus que la Cour d’appel privilégie simplement un « prisme » différent de celui auquel a recouru la juge du procès. À mon avis, aucune véritable erreur révisable justifiant un réexamen général de la preuve n’est identifiée. La Cour d’appel n’affirme même pas que le « prisme déformant » auquel a recouru la juge du procès — sa supposée omission d’adopter une approche « globale » à l’égard de l’affaire — est, en soi, une erreur manifeste, et elle explique encore moins de quelle façon il pourrait l’être. Pourtant, la Cour d’appel se fonde sur ce « prisme » pour justifier le réexamen et une nouvelle appréciation de la preuve (</w:t>
      </w:r>
      <w:r>
        <w:rPr>
          <w:rFonts w:cs="Times New Roman"/>
          <w:lang w:val="fr-CA"/>
        </w:rPr>
        <w:t>par. </w:t>
      </w:r>
      <w:r w:rsidRPr="008675BA">
        <w:rPr>
          <w:rFonts w:cs="Times New Roman"/>
          <w:lang w:val="fr-CA"/>
        </w:rPr>
        <w:t>50, 65, 97 et 121), faisant ainsi abstraction des principes bien établis du contrôle en appel. Je crois comprendre que la Cour d’appel commence son analyse en réexaminant l’ensemble du dossier, conclut qu’elle est en désaccord avec l’approche de la juge du procès à l’égard du dossier, dit constater l’existence d’« erreurs manifestes et déterminantes » et substitue ses propres conclusions à celles de la juge du procès. D’ailleurs, c’est en grande partie de cette façon que mon collègue décrit le processus d’examen mené par la Cour d’appel</w:t>
      </w:r>
      <w:r>
        <w:rPr>
          <w:rFonts w:cs="Times New Roman"/>
          <w:lang w:val="fr-CA"/>
        </w:rPr>
        <w:t> :</w:t>
      </w:r>
    </w:p>
    <w:p w:rsidR="0041746D" w:rsidRPr="008675BA" w:rsidRDefault="0041746D" w:rsidP="0041746D">
      <w:pPr>
        <w:pStyle w:val="Citation-AltC"/>
        <w:ind w:hanging="1166"/>
        <w:rPr>
          <w:lang w:val="fr-CA"/>
        </w:rPr>
      </w:pPr>
      <w:r w:rsidRPr="008675BA">
        <w:rPr>
          <w:lang w:val="fr-CA"/>
        </w:rPr>
        <w:tab/>
      </w:r>
      <w:r w:rsidRPr="008675BA">
        <w:rPr>
          <w:u w:val="single"/>
          <w:lang w:val="fr-CA"/>
        </w:rPr>
        <w:t>Appréciée adéquatement dans son ensemble, comme l’a fait la Cour d’appel, la preuve révèle</w:t>
      </w:r>
      <w:r w:rsidRPr="008675BA">
        <w:rPr>
          <w:lang w:val="fr-CA"/>
        </w:rPr>
        <w:t xml:space="preserve"> que les conseils et assurances donnés par M</w:t>
      </w:r>
      <w:r w:rsidRPr="008675BA">
        <w:rPr>
          <w:vertAlign w:val="superscript"/>
          <w:lang w:val="fr-CA"/>
        </w:rPr>
        <w:t>e</w:t>
      </w:r>
      <w:r w:rsidRPr="008675BA">
        <w:rPr>
          <w:lang w:val="fr-CA"/>
        </w:rPr>
        <w:t xml:space="preserve"> Salomon entre 2003 et 2007 s’inscrivent dans un seul et même </w:t>
      </w:r>
      <w:r w:rsidRPr="008675BA">
        <w:rPr>
          <w:lang w:val="fr-CA"/>
        </w:rPr>
        <w:lastRenderedPageBreak/>
        <w:t xml:space="preserve">continuum, et qu’il est artificiel de les compartimenter. [Je souligne; </w:t>
      </w:r>
      <w:r>
        <w:rPr>
          <w:lang w:val="fr-CA"/>
        </w:rPr>
        <w:t>par. </w:t>
      </w:r>
      <w:r w:rsidRPr="008675BA">
        <w:rPr>
          <w:lang w:val="fr-CA"/>
        </w:rPr>
        <w:t xml:space="preserve">61; voir aussi </w:t>
      </w:r>
      <w:r>
        <w:rPr>
          <w:lang w:val="fr-CA"/>
        </w:rPr>
        <w:t>par. </w:t>
      </w:r>
      <w:r w:rsidRPr="008675BA">
        <w:rPr>
          <w:lang w:val="fr-CA"/>
        </w:rPr>
        <w:t>63 et 70.]</w:t>
      </w:r>
    </w:p>
    <w:p w:rsidR="0041746D" w:rsidRPr="008675BA" w:rsidRDefault="0041746D" w:rsidP="0041746D">
      <w:pPr>
        <w:pStyle w:val="ParaNoNdepar-AltN"/>
        <w:rPr>
          <w:rFonts w:cs="Times New Roman"/>
          <w:lang w:val="fr-CA"/>
        </w:rPr>
      </w:pPr>
      <w:r w:rsidRPr="008675BA">
        <w:rPr>
          <w:rFonts w:cs="Times New Roman"/>
          <w:lang w:val="fr-CA"/>
        </w:rPr>
        <w:t xml:space="preserve"> À mon humble avis, ce n’est pas la façon dont la métaphore du « prisme déformant » doit être invoquée, et ce n’est certainement pas la façon dont la norme de contrôle en appel doit être appliquée aux conclusions de fait ou aux conclusions mixtes de fait et de droit. Mon collègue tolère cette approche, mais j’estime qu’elle constitue une dilution grave et injustifiée du principe de non</w:t>
      </w:r>
      <w:r>
        <w:rPr>
          <w:rFonts w:cs="Times New Roman"/>
          <w:lang w:val="fr-CA"/>
        </w:rPr>
        <w:noBreakHyphen/>
      </w:r>
      <w:r w:rsidRPr="008675BA">
        <w:rPr>
          <w:rFonts w:cs="Times New Roman"/>
          <w:lang w:val="fr-CA"/>
        </w:rPr>
        <w:t xml:space="preserve">intervention en appel formulé dans </w:t>
      </w:r>
      <w:r w:rsidRPr="008675BA">
        <w:rPr>
          <w:rFonts w:cs="Times New Roman"/>
          <w:i/>
          <w:lang w:val="fr-CA"/>
        </w:rPr>
        <w:t>Housen</w:t>
      </w:r>
      <w:r w:rsidRPr="008675BA">
        <w:rPr>
          <w:rFonts w:cs="Times New Roman"/>
          <w:lang w:val="fr-CA"/>
        </w:rPr>
        <w:t>.</w:t>
      </w:r>
    </w:p>
    <w:p w:rsidR="0041746D" w:rsidRPr="008675BA" w:rsidRDefault="0041746D" w:rsidP="0041746D">
      <w:pPr>
        <w:pStyle w:val="Title2LevelTitre2Niveau"/>
        <w:numPr>
          <w:ilvl w:val="1"/>
          <w:numId w:val="25"/>
        </w:numPr>
        <w:rPr>
          <w:rFonts w:cs="Times New Roman"/>
          <w:lang w:val="fr-CA"/>
        </w:rPr>
      </w:pPr>
      <w:bookmarkStart w:id="10" w:name="_Toc2153994"/>
      <w:r w:rsidRPr="008675BA">
        <w:rPr>
          <w:rFonts w:cs="Times New Roman"/>
          <w:lang w:val="fr-CA"/>
        </w:rPr>
        <w:t>Le rôle des juridictions de second et dernier ressort</w:t>
      </w:r>
      <w:bookmarkEnd w:id="10"/>
    </w:p>
    <w:p w:rsidR="0041746D" w:rsidRPr="008675BA" w:rsidRDefault="0041746D" w:rsidP="0041746D">
      <w:pPr>
        <w:pStyle w:val="ParaNoNdepar-AltN"/>
        <w:rPr>
          <w:rFonts w:cs="Times New Roman"/>
          <w:lang w:val="fr-CA"/>
        </w:rPr>
      </w:pPr>
      <w:r w:rsidRPr="008675BA">
        <w:rPr>
          <w:rFonts w:cs="Times New Roman"/>
          <w:lang w:val="fr-CA"/>
        </w:rPr>
        <w:t>Chaque fois que notre Cour entend un pourvoi, il lui incombe, en tant que juridiction d’appel de second et ultime ressort, de s’assurer que les conclusions de fait ou les conclusions mixtes de fait et de droit du juge du procès sont respectées, à moins que l’existence d’une erreur « manifeste et déterminante » ne soit établie. Il s’ensuit que notre Cour ne devrait pas s’abstenir d’intervenir lorsque la première juridiction d’appel a ignoré les normes de contrôle applicable en appel ou les a mal appliqués.</w:t>
      </w:r>
    </w:p>
    <w:p w:rsidR="0041746D" w:rsidRPr="008675BA" w:rsidRDefault="0041746D" w:rsidP="0041746D">
      <w:pPr>
        <w:pStyle w:val="ParaNoNdepar-AltN"/>
        <w:rPr>
          <w:rFonts w:cs="Times New Roman"/>
          <w:lang w:val="fr-CA"/>
        </w:rPr>
      </w:pPr>
      <w:r w:rsidRPr="008675BA">
        <w:rPr>
          <w:rFonts w:cs="Times New Roman"/>
          <w:lang w:val="fr-CA"/>
        </w:rPr>
        <w:t>À mon avis, mon collègue minimise le rôle que doit jouer notre Cour afin de s’assurer de l’application des normes appropriées (</w:t>
      </w:r>
      <w:r>
        <w:rPr>
          <w:rFonts w:cs="Times New Roman"/>
          <w:lang w:val="fr-CA"/>
        </w:rPr>
        <w:t>par. </w:t>
      </w:r>
      <w:r w:rsidRPr="008675BA">
        <w:rPr>
          <w:rFonts w:cs="Times New Roman"/>
          <w:lang w:val="fr-CA"/>
        </w:rPr>
        <w:t xml:space="preserve">34). Je conviens que « l’objet principal » de l’examen de notre Cour en tant que seconde et dernière juridiction d’appel doit être la décision de la première juridiction d’appel, et non celle du juge du procès. Notre rôle n’est pas de refaire le premier appel comme si la première juridiction d’appel n’existait pas. Par conséquent, il est incontestable que le fardeau incombe aux appelants qui sollicitent l’intervention de notre Cour, et qu’il faut accorder une attention </w:t>
      </w:r>
      <w:r w:rsidRPr="008675BA">
        <w:rPr>
          <w:rFonts w:cs="Times New Roman"/>
          <w:lang w:val="fr-CA"/>
        </w:rPr>
        <w:lastRenderedPageBreak/>
        <w:t xml:space="preserve">particulière aux motifs énoncés par la première juridiction d’appel. Cependant, nous ne devons pas souscrire sans réserve aux conclusions concernant l’existence d’« erreurs manifestes et déterminantes ». Pour déterminer si la première juridiction d’appel a correctement identifié des erreurs révisables, notre Cour doit nécessairement examiner les motifs du juge du procès et effectuer sa propre évaluation (voir </w:t>
      </w:r>
      <w:r w:rsidRPr="008675BA">
        <w:rPr>
          <w:rFonts w:cs="Times New Roman"/>
          <w:i/>
          <w:lang w:val="fr-CA"/>
        </w:rPr>
        <w:t>Prud’homme</w:t>
      </w:r>
      <w:r w:rsidRPr="008675BA">
        <w:rPr>
          <w:rFonts w:cs="Times New Roman"/>
          <w:lang w:val="fr-CA"/>
        </w:rPr>
        <w:t xml:space="preserve">, </w:t>
      </w:r>
      <w:r>
        <w:rPr>
          <w:rFonts w:cs="Times New Roman"/>
          <w:lang w:val="fr-CA"/>
        </w:rPr>
        <w:t>par. </w:t>
      </w:r>
      <w:r w:rsidRPr="008675BA">
        <w:rPr>
          <w:rFonts w:cs="Times New Roman"/>
          <w:lang w:val="fr-CA"/>
        </w:rPr>
        <w:t>66</w:t>
      </w:r>
      <w:r>
        <w:rPr>
          <w:rFonts w:cs="Times New Roman"/>
          <w:lang w:val="fr-CA"/>
        </w:rPr>
        <w:noBreakHyphen/>
      </w:r>
      <w:r w:rsidRPr="008675BA">
        <w:rPr>
          <w:rFonts w:cs="Times New Roman"/>
          <w:lang w:val="fr-CA"/>
        </w:rPr>
        <w:t>67; pour une illustration de cette approche, voir</w:t>
      </w:r>
      <w:r w:rsidR="00CD3B5B">
        <w:rPr>
          <w:rFonts w:cs="Times New Roman"/>
          <w:lang w:val="fr-CA"/>
        </w:rPr>
        <w:t>,</w:t>
      </w:r>
      <w:r w:rsidRPr="008675BA">
        <w:rPr>
          <w:rFonts w:cs="Times New Roman"/>
          <w:lang w:val="fr-CA"/>
        </w:rPr>
        <w:t xml:space="preserve"> </w:t>
      </w:r>
      <w:r>
        <w:rPr>
          <w:rFonts w:cs="Times New Roman"/>
          <w:lang w:val="fr-CA"/>
        </w:rPr>
        <w:t>p. </w:t>
      </w:r>
      <w:r w:rsidRPr="008675BA">
        <w:rPr>
          <w:rFonts w:cs="Times New Roman"/>
          <w:lang w:val="fr-CA"/>
        </w:rPr>
        <w:t xml:space="preserve">ex., </w:t>
      </w:r>
      <w:r w:rsidRPr="008675BA">
        <w:rPr>
          <w:rFonts w:cs="Times New Roman"/>
          <w:i/>
          <w:lang w:val="fr-CA"/>
        </w:rPr>
        <w:t>Housen</w:t>
      </w:r>
      <w:r w:rsidRPr="008675BA">
        <w:rPr>
          <w:rFonts w:cs="Times New Roman"/>
          <w:lang w:val="fr-CA"/>
        </w:rPr>
        <w:t xml:space="preserve">, </w:t>
      </w:r>
      <w:r>
        <w:rPr>
          <w:rFonts w:cs="Times New Roman"/>
          <w:lang w:val="fr-CA"/>
        </w:rPr>
        <w:t>par. </w:t>
      </w:r>
      <w:r w:rsidRPr="008675BA">
        <w:rPr>
          <w:rFonts w:cs="Times New Roman"/>
          <w:lang w:val="fr-CA"/>
        </w:rPr>
        <w:t>50</w:t>
      </w:r>
      <w:r>
        <w:rPr>
          <w:rFonts w:cs="Times New Roman"/>
          <w:lang w:val="fr-CA"/>
        </w:rPr>
        <w:noBreakHyphen/>
      </w:r>
      <w:r w:rsidRPr="008675BA">
        <w:rPr>
          <w:rFonts w:cs="Times New Roman"/>
          <w:lang w:val="fr-CA"/>
        </w:rPr>
        <w:t>55, 64, 66 et 71</w:t>
      </w:r>
      <w:r>
        <w:rPr>
          <w:rFonts w:cs="Times New Roman"/>
          <w:lang w:val="fr-CA"/>
        </w:rPr>
        <w:noBreakHyphen/>
      </w:r>
      <w:r w:rsidRPr="008675BA">
        <w:rPr>
          <w:rFonts w:cs="Times New Roman"/>
          <w:lang w:val="fr-CA"/>
        </w:rPr>
        <w:t xml:space="preserve">75; </w:t>
      </w:r>
      <w:r w:rsidRPr="008675BA">
        <w:rPr>
          <w:rFonts w:cs="Times New Roman"/>
          <w:i/>
          <w:lang w:val="fr-CA"/>
        </w:rPr>
        <w:t>H.L.</w:t>
      </w:r>
      <w:r w:rsidRPr="008675BA">
        <w:rPr>
          <w:rFonts w:cs="Times New Roman"/>
          <w:lang w:val="fr-CA"/>
        </w:rPr>
        <w:t xml:space="preserve">, </w:t>
      </w:r>
      <w:r>
        <w:rPr>
          <w:rFonts w:cs="Times New Roman"/>
          <w:lang w:val="fr-CA"/>
        </w:rPr>
        <w:t>par. </w:t>
      </w:r>
      <w:r w:rsidRPr="008675BA">
        <w:rPr>
          <w:rFonts w:cs="Times New Roman"/>
          <w:lang w:val="fr-CA"/>
        </w:rPr>
        <w:t>111</w:t>
      </w:r>
      <w:r>
        <w:rPr>
          <w:rFonts w:cs="Times New Roman"/>
          <w:lang w:val="fr-CA"/>
        </w:rPr>
        <w:noBreakHyphen/>
      </w:r>
      <w:r w:rsidRPr="008675BA">
        <w:rPr>
          <w:rFonts w:cs="Times New Roman"/>
          <w:lang w:val="fr-CA"/>
        </w:rPr>
        <w:t xml:space="preserve">136; </w:t>
      </w:r>
      <w:r w:rsidRPr="008675BA">
        <w:rPr>
          <w:rFonts w:cs="Times New Roman"/>
          <w:i/>
          <w:lang w:val="fr-CA"/>
        </w:rPr>
        <w:t>Laflamme</w:t>
      </w:r>
      <w:r w:rsidRPr="008675BA">
        <w:rPr>
          <w:rFonts w:cs="Times New Roman"/>
          <w:lang w:val="fr-CA"/>
        </w:rPr>
        <w:t xml:space="preserve">, </w:t>
      </w:r>
      <w:r>
        <w:rPr>
          <w:rFonts w:cs="Times New Roman"/>
          <w:lang w:val="fr-CA"/>
        </w:rPr>
        <w:t>par. </w:t>
      </w:r>
      <w:r w:rsidRPr="008675BA">
        <w:rPr>
          <w:rFonts w:cs="Times New Roman"/>
          <w:lang w:val="fr-CA"/>
        </w:rPr>
        <w:t>39</w:t>
      </w:r>
      <w:r>
        <w:rPr>
          <w:rFonts w:cs="Times New Roman"/>
          <w:lang w:val="fr-CA"/>
        </w:rPr>
        <w:noBreakHyphen/>
      </w:r>
      <w:r w:rsidRPr="008675BA">
        <w:rPr>
          <w:rFonts w:cs="Times New Roman"/>
          <w:lang w:val="fr-CA"/>
        </w:rPr>
        <w:t xml:space="preserve">50; </w:t>
      </w:r>
      <w:r w:rsidRPr="008675BA">
        <w:rPr>
          <w:rFonts w:cs="Times New Roman"/>
          <w:i/>
          <w:lang w:val="fr-CA"/>
        </w:rPr>
        <w:t>Galambos</w:t>
      </w:r>
      <w:r w:rsidRPr="008675BA">
        <w:rPr>
          <w:rFonts w:cs="Times New Roman"/>
          <w:lang w:val="fr-CA"/>
        </w:rPr>
        <w:t xml:space="preserve">, </w:t>
      </w:r>
      <w:r>
        <w:rPr>
          <w:rFonts w:cs="Times New Roman"/>
          <w:lang w:val="fr-CA"/>
        </w:rPr>
        <w:t>par. </w:t>
      </w:r>
      <w:r w:rsidRPr="008675BA">
        <w:rPr>
          <w:rFonts w:cs="Times New Roman"/>
          <w:lang w:val="fr-CA"/>
        </w:rPr>
        <w:t>48</w:t>
      </w:r>
      <w:r>
        <w:rPr>
          <w:rFonts w:cs="Times New Roman"/>
          <w:lang w:val="fr-CA"/>
        </w:rPr>
        <w:noBreakHyphen/>
      </w:r>
      <w:r w:rsidRPr="008675BA">
        <w:rPr>
          <w:rFonts w:cs="Times New Roman"/>
          <w:lang w:val="fr-CA"/>
        </w:rPr>
        <w:t>62;</w:t>
      </w:r>
      <w:r w:rsidRPr="008675BA">
        <w:rPr>
          <w:rFonts w:cs="Times New Roman"/>
          <w:i/>
          <w:lang w:val="fr-CA"/>
        </w:rPr>
        <w:t xml:space="preserve"> Benhaim</w:t>
      </w:r>
      <w:r w:rsidRPr="008675BA">
        <w:rPr>
          <w:rFonts w:cs="Times New Roman"/>
          <w:lang w:val="fr-CA"/>
        </w:rPr>
        <w:t xml:space="preserve">, </w:t>
      </w:r>
      <w:r>
        <w:rPr>
          <w:rFonts w:cs="Times New Roman"/>
          <w:lang w:val="fr-CA"/>
        </w:rPr>
        <w:t>par. </w:t>
      </w:r>
      <w:r w:rsidRPr="008675BA">
        <w:rPr>
          <w:rFonts w:cs="Times New Roman"/>
          <w:lang w:val="fr-CA"/>
        </w:rPr>
        <w:t>80</w:t>
      </w:r>
      <w:r>
        <w:rPr>
          <w:rFonts w:cs="Times New Roman"/>
          <w:lang w:val="fr-CA"/>
        </w:rPr>
        <w:noBreakHyphen/>
      </w:r>
      <w:r w:rsidRPr="008675BA">
        <w:rPr>
          <w:rFonts w:cs="Times New Roman"/>
          <w:lang w:val="fr-CA"/>
        </w:rPr>
        <w:t>86).</w:t>
      </w:r>
    </w:p>
    <w:p w:rsidR="0041746D" w:rsidRPr="008675BA" w:rsidRDefault="0041746D" w:rsidP="0041746D">
      <w:pPr>
        <w:pStyle w:val="ParaNoNdepar-AltN"/>
        <w:tabs>
          <w:tab w:val="clear" w:pos="1152"/>
          <w:tab w:val="left" w:pos="1166"/>
        </w:tabs>
        <w:rPr>
          <w:rFonts w:cs="Times New Roman"/>
          <w:lang w:val="fr-CA"/>
        </w:rPr>
      </w:pPr>
      <w:r w:rsidRPr="008675BA">
        <w:rPr>
          <w:rFonts w:cs="Times New Roman"/>
          <w:lang w:val="fr-CA"/>
        </w:rPr>
        <w:t xml:space="preserve">En clair, notre Cour ne devrait pas faire montre de retenue à l’égard de la première juridiction d’appel en ce qui concerne l’identification des erreurs révisables. Comme l’arrêt </w:t>
      </w:r>
      <w:r w:rsidRPr="008675BA">
        <w:rPr>
          <w:rFonts w:cs="Times New Roman"/>
          <w:i/>
          <w:lang w:val="fr-CA"/>
        </w:rPr>
        <w:t>Schwartz</w:t>
      </w:r>
      <w:r w:rsidRPr="008675BA">
        <w:rPr>
          <w:rFonts w:cs="Times New Roman"/>
          <w:lang w:val="fr-CA"/>
        </w:rPr>
        <w:t xml:space="preserve"> l’indique (au </w:t>
      </w:r>
      <w:r>
        <w:rPr>
          <w:rFonts w:cs="Times New Roman"/>
          <w:lang w:val="fr-CA"/>
        </w:rPr>
        <w:t>par. </w:t>
      </w:r>
      <w:r w:rsidRPr="008675BA">
        <w:rPr>
          <w:rFonts w:cs="Times New Roman"/>
          <w:lang w:val="fr-CA"/>
        </w:rPr>
        <w:t>36), notre Cour interviendra si elle est convaincue que la décision de la première juridiction d’appel modifie indûment les conclusions du tribunal de première instance</w:t>
      </w:r>
      <w:r>
        <w:rPr>
          <w:rFonts w:cs="Times New Roman"/>
          <w:lang w:val="fr-CA"/>
        </w:rPr>
        <w:t> :</w:t>
      </w:r>
      <w:r w:rsidRPr="008675BA">
        <w:rPr>
          <w:rFonts w:cs="Times New Roman"/>
          <w:lang w:val="fr-CA"/>
        </w:rPr>
        <w:t xml:space="preserve"> « De toute évidence, lorsque le </w:t>
      </w:r>
      <w:r w:rsidRPr="008675BA">
        <w:rPr>
          <w:rFonts w:cs="Times New Roman"/>
          <w:spacing w:val="-3"/>
          <w:u w:val="single"/>
          <w:lang w:val="fr-CA"/>
        </w:rPr>
        <w:t>motif</w:t>
      </w:r>
      <w:r w:rsidRPr="008675BA">
        <w:rPr>
          <w:rFonts w:cs="Times New Roman"/>
          <w:spacing w:val="-3"/>
          <w:lang w:val="fr-CA"/>
        </w:rPr>
        <w:t xml:space="preserve"> invoqué par la première cour d’appel pour justifier la modification — ce qui constitue une question de droit — n’est pas fondé selon la seconde cour d’appel, cette dernière rétablit la décision du juge de première instance » (souligné dans l’original; voir aussi </w:t>
      </w:r>
      <w:r w:rsidRPr="008675BA">
        <w:rPr>
          <w:rFonts w:cs="Times New Roman"/>
          <w:i/>
          <w:spacing w:val="-3"/>
          <w:lang w:val="fr-CA"/>
        </w:rPr>
        <w:t>St</w:t>
      </w:r>
      <w:r>
        <w:rPr>
          <w:rFonts w:cs="Times New Roman"/>
          <w:i/>
          <w:spacing w:val="-3"/>
          <w:lang w:val="fr-CA"/>
        </w:rPr>
        <w:noBreakHyphen/>
      </w:r>
      <w:r w:rsidRPr="008675BA">
        <w:rPr>
          <w:rFonts w:cs="Times New Roman"/>
          <w:i/>
          <w:spacing w:val="-3"/>
          <w:lang w:val="fr-CA"/>
        </w:rPr>
        <w:t>Jean</w:t>
      </w:r>
      <w:r w:rsidRPr="008675BA">
        <w:rPr>
          <w:rFonts w:cs="Times New Roman"/>
          <w:spacing w:val="-3"/>
          <w:lang w:val="fr-CA"/>
        </w:rPr>
        <w:t xml:space="preserve">, </w:t>
      </w:r>
      <w:r>
        <w:rPr>
          <w:rFonts w:cs="Times New Roman"/>
          <w:spacing w:val="-3"/>
          <w:lang w:val="fr-CA"/>
        </w:rPr>
        <w:t>par. </w:t>
      </w:r>
      <w:r w:rsidRPr="008675BA">
        <w:rPr>
          <w:rFonts w:cs="Times New Roman"/>
          <w:spacing w:val="-3"/>
          <w:lang w:val="fr-CA"/>
        </w:rPr>
        <w:t xml:space="preserve">40; </w:t>
      </w:r>
      <w:r w:rsidRPr="008675BA">
        <w:rPr>
          <w:rFonts w:cs="Times New Roman"/>
          <w:i/>
          <w:spacing w:val="-3"/>
          <w:lang w:val="fr-CA"/>
        </w:rPr>
        <w:t>Beaudoin</w:t>
      </w:r>
      <w:r>
        <w:rPr>
          <w:rFonts w:cs="Times New Roman"/>
          <w:i/>
          <w:spacing w:val="-3"/>
          <w:lang w:val="fr-CA"/>
        </w:rPr>
        <w:noBreakHyphen/>
      </w:r>
      <w:r w:rsidRPr="008675BA">
        <w:rPr>
          <w:rFonts w:cs="Times New Roman"/>
          <w:i/>
          <w:spacing w:val="-3"/>
          <w:lang w:val="fr-CA"/>
        </w:rPr>
        <w:t>Daigneault c. Richard</w:t>
      </w:r>
      <w:r w:rsidRPr="008675BA">
        <w:rPr>
          <w:rFonts w:cs="Times New Roman"/>
          <w:spacing w:val="-3"/>
          <w:lang w:val="fr-CA"/>
        </w:rPr>
        <w:t xml:space="preserve">, [1984] 1 R.C.S. 2, </w:t>
      </w:r>
      <w:r>
        <w:rPr>
          <w:rFonts w:cs="Times New Roman"/>
          <w:spacing w:val="-3"/>
          <w:lang w:val="fr-CA"/>
        </w:rPr>
        <w:t>p. </w:t>
      </w:r>
      <w:r w:rsidRPr="008675BA">
        <w:rPr>
          <w:rFonts w:cs="Times New Roman"/>
          <w:spacing w:val="-3"/>
          <w:lang w:val="fr-CA"/>
        </w:rPr>
        <w:t>8</w:t>
      </w:r>
      <w:r>
        <w:rPr>
          <w:rFonts w:cs="Times New Roman"/>
          <w:spacing w:val="-3"/>
          <w:lang w:val="fr-CA"/>
        </w:rPr>
        <w:noBreakHyphen/>
      </w:r>
      <w:r w:rsidRPr="008675BA">
        <w:rPr>
          <w:rFonts w:cs="Times New Roman"/>
          <w:spacing w:val="-3"/>
          <w:lang w:val="fr-CA"/>
        </w:rPr>
        <w:t xml:space="preserve">9; </w:t>
      </w:r>
      <w:r w:rsidRPr="008675BA">
        <w:rPr>
          <w:rFonts w:cs="Times New Roman"/>
          <w:i/>
          <w:spacing w:val="-3"/>
          <w:lang w:val="fr-CA"/>
        </w:rPr>
        <w:t>Palsky c. Humphrey</w:t>
      </w:r>
      <w:r w:rsidRPr="008675BA">
        <w:rPr>
          <w:rFonts w:cs="Times New Roman"/>
          <w:spacing w:val="-3"/>
          <w:lang w:val="fr-CA"/>
        </w:rPr>
        <w:t xml:space="preserve">, [1964] R.C.S. 580, </w:t>
      </w:r>
      <w:r>
        <w:rPr>
          <w:rFonts w:cs="Times New Roman"/>
          <w:spacing w:val="-3"/>
          <w:lang w:val="fr-CA"/>
        </w:rPr>
        <w:t>p. </w:t>
      </w:r>
      <w:r w:rsidRPr="008675BA">
        <w:rPr>
          <w:rFonts w:cs="Times New Roman"/>
          <w:spacing w:val="-3"/>
          <w:lang w:val="fr-CA"/>
        </w:rPr>
        <w:t xml:space="preserve">583; </w:t>
      </w:r>
      <w:r w:rsidRPr="008675BA">
        <w:rPr>
          <w:rFonts w:cs="Times New Roman"/>
          <w:i/>
          <w:spacing w:val="-3"/>
          <w:lang w:val="fr-CA"/>
        </w:rPr>
        <w:t>Maze c. Empson</w:t>
      </w:r>
      <w:r w:rsidRPr="008675BA">
        <w:rPr>
          <w:rFonts w:cs="Times New Roman"/>
          <w:spacing w:val="-3"/>
          <w:lang w:val="fr-CA"/>
        </w:rPr>
        <w:t xml:space="preserve">, [1964] R.C.S. 576, </w:t>
      </w:r>
      <w:r>
        <w:rPr>
          <w:rFonts w:cs="Times New Roman"/>
          <w:spacing w:val="-3"/>
          <w:lang w:val="fr-CA"/>
        </w:rPr>
        <w:t>p. </w:t>
      </w:r>
      <w:r w:rsidRPr="008675BA">
        <w:rPr>
          <w:rFonts w:cs="Times New Roman"/>
          <w:spacing w:val="-3"/>
          <w:lang w:val="fr-CA"/>
        </w:rPr>
        <w:t>578</w:t>
      </w:r>
      <w:r>
        <w:rPr>
          <w:rFonts w:cs="Times New Roman"/>
          <w:spacing w:val="-3"/>
          <w:lang w:val="fr-CA"/>
        </w:rPr>
        <w:noBreakHyphen/>
      </w:r>
      <w:r w:rsidRPr="008675BA">
        <w:rPr>
          <w:rFonts w:cs="Times New Roman"/>
          <w:spacing w:val="-3"/>
          <w:lang w:val="fr-CA"/>
        </w:rPr>
        <w:t>579).</w:t>
      </w:r>
    </w:p>
    <w:p w:rsidR="0041746D" w:rsidRPr="008675BA" w:rsidRDefault="0041746D" w:rsidP="0041746D">
      <w:pPr>
        <w:pStyle w:val="ParaNoNdepar-AltN"/>
        <w:tabs>
          <w:tab w:val="clear" w:pos="1152"/>
          <w:tab w:val="left" w:pos="1166"/>
        </w:tabs>
        <w:rPr>
          <w:rFonts w:cs="Times New Roman"/>
          <w:lang w:val="fr-CA"/>
        </w:rPr>
      </w:pPr>
      <w:r w:rsidRPr="008675BA">
        <w:rPr>
          <w:rFonts w:cs="Times New Roman"/>
          <w:lang w:val="fr-CA"/>
        </w:rPr>
        <w:t>Faire montre de retenue à l’égard d’une conclusion selon laquelle le juge du procès a fait une erreur manifeste et déterminante signifierait, en pratique, que notre Cour accorderait plus de poids à l’appréciation des faits de la première cour d’appel qu’aux conclusions du juge de première instance à cet égard. À mon sens, une telle approche serait incompatible avec le principe de non</w:t>
      </w:r>
      <w:r>
        <w:rPr>
          <w:rFonts w:cs="Times New Roman"/>
          <w:lang w:val="fr-CA"/>
        </w:rPr>
        <w:noBreakHyphen/>
      </w:r>
      <w:r w:rsidRPr="008675BA">
        <w:rPr>
          <w:rFonts w:cs="Times New Roman"/>
          <w:lang w:val="fr-CA"/>
        </w:rPr>
        <w:t xml:space="preserve">intervention en appel, qui vise </w:t>
      </w:r>
      <w:r w:rsidRPr="008675BA">
        <w:rPr>
          <w:rFonts w:cs="Times New Roman"/>
          <w:lang w:val="fr-CA"/>
        </w:rPr>
        <w:lastRenderedPageBreak/>
        <w:t xml:space="preserve">pour l’essentiel à préserver l’autonomie et l’intégrité du </w:t>
      </w:r>
      <w:r w:rsidRPr="008675BA">
        <w:rPr>
          <w:rFonts w:cs="Times New Roman"/>
          <w:i/>
          <w:lang w:val="fr-CA"/>
        </w:rPr>
        <w:t>procès</w:t>
      </w:r>
      <w:r w:rsidRPr="008675BA">
        <w:rPr>
          <w:rFonts w:cs="Times New Roman"/>
          <w:lang w:val="fr-CA"/>
        </w:rPr>
        <w:t xml:space="preserve">. Comme le souligne le juge La Forest dans </w:t>
      </w:r>
      <w:r w:rsidRPr="008675BA">
        <w:rPr>
          <w:rFonts w:cs="Times New Roman"/>
          <w:i/>
          <w:lang w:val="fr-CA"/>
        </w:rPr>
        <w:t>Schwartz</w:t>
      </w:r>
      <w:r w:rsidRPr="008675BA">
        <w:rPr>
          <w:rFonts w:cs="Times New Roman"/>
          <w:lang w:val="fr-CA"/>
        </w:rPr>
        <w:t xml:space="preserve">, </w:t>
      </w:r>
      <w:r>
        <w:rPr>
          <w:rFonts w:cs="Times New Roman"/>
          <w:lang w:val="fr-CA"/>
        </w:rPr>
        <w:t>par. </w:t>
      </w:r>
      <w:r w:rsidRPr="008675BA">
        <w:rPr>
          <w:rFonts w:cs="Times New Roman"/>
          <w:lang w:val="fr-CA"/>
        </w:rPr>
        <w:t>37, « les préoccupations liées à la politique judiciaire [. . .] au sujet du rôle d’un tribunal de première instance ne justifieraient pas que l’on fasse preuve de retenue envers l’appréciation de la preuve par une cour d’appel ».</w:t>
      </w:r>
    </w:p>
    <w:p w:rsidR="0041746D" w:rsidRPr="008675BA" w:rsidRDefault="0041746D" w:rsidP="0041746D">
      <w:pPr>
        <w:pStyle w:val="ParaNoNdepar-AltN"/>
        <w:rPr>
          <w:rFonts w:cs="Times New Roman"/>
          <w:lang w:val="fr-CA"/>
        </w:rPr>
      </w:pPr>
      <w:r w:rsidRPr="008675BA">
        <w:rPr>
          <w:rFonts w:cs="Times New Roman"/>
          <w:lang w:val="fr-CA"/>
        </w:rPr>
        <w:t>Il convient de préciser que notre Cour doit suivre deux étapes lorsqu’elle examine une décision dans laquelle la première cour d’appel a substitué ses propres conclusions de fait, ou conclusions mixtes de fait et de droit, à celles du juge du procès. La première étape consiste à se demander si la première cour d’appel a correctement identifié des erreurs révisables. Dans la négative, les conclusions du juge du procès doivent être rétablies sans égard au bien</w:t>
      </w:r>
      <w:r>
        <w:rPr>
          <w:rFonts w:cs="Times New Roman"/>
          <w:lang w:val="fr-CA"/>
        </w:rPr>
        <w:noBreakHyphen/>
      </w:r>
      <w:r w:rsidRPr="008675BA">
        <w:rPr>
          <w:rFonts w:cs="Times New Roman"/>
          <w:lang w:val="fr-CA"/>
        </w:rPr>
        <w:t xml:space="preserve">fondé des conclusions de la première cour d’appel (voir </w:t>
      </w:r>
      <w:r w:rsidRPr="008675BA">
        <w:rPr>
          <w:rFonts w:cs="Times New Roman"/>
          <w:i/>
          <w:lang w:val="fr-CA"/>
        </w:rPr>
        <w:t>Nelson</w:t>
      </w:r>
      <w:r w:rsidRPr="008675BA">
        <w:rPr>
          <w:rFonts w:cs="Times New Roman"/>
          <w:lang w:val="fr-CA"/>
        </w:rPr>
        <w:t xml:space="preserve">, </w:t>
      </w:r>
      <w:r>
        <w:rPr>
          <w:rFonts w:cs="Times New Roman"/>
          <w:lang w:val="fr-CA"/>
        </w:rPr>
        <w:t>par. </w:t>
      </w:r>
      <w:r w:rsidRPr="008675BA">
        <w:rPr>
          <w:rFonts w:cs="Times New Roman"/>
          <w:lang w:val="fr-CA"/>
        </w:rPr>
        <w:t>38). Cependant, si notre Cour reconnaît que l’intervention était justifiée, la première cour d’appel pouvait légitimement procéder de façon indépendante à sa propre appréciation des éléments de preuve pertinents et substituer ses propres conclusions à celles du juge du procès. À ce moment, et il s’agit de la deuxième étape, notre Cour doit se demander si la première cour d’appel a commis une erreur dans son appréciation. Ce n’est qu’à cette étape que la Cour fera preuve d’une certaine déférence, et elle évitera donc d’intervenir sauf si elle est « clairement satisfaite » que les conclusions de la première cour d’appel sont erronées (</w:t>
      </w:r>
      <w:r w:rsidRPr="008675BA">
        <w:rPr>
          <w:rFonts w:cs="Times New Roman"/>
          <w:i/>
          <w:lang w:val="fr-CA"/>
        </w:rPr>
        <w:t>St</w:t>
      </w:r>
      <w:r>
        <w:rPr>
          <w:rFonts w:cs="Times New Roman"/>
          <w:i/>
          <w:lang w:val="fr-CA"/>
        </w:rPr>
        <w:noBreakHyphen/>
      </w:r>
      <w:r w:rsidRPr="008675BA">
        <w:rPr>
          <w:rFonts w:cs="Times New Roman"/>
          <w:i/>
          <w:lang w:val="fr-CA"/>
        </w:rPr>
        <w:t>Jean</w:t>
      </w:r>
      <w:r w:rsidRPr="008675BA">
        <w:rPr>
          <w:rFonts w:cs="Times New Roman"/>
          <w:lang w:val="fr-CA"/>
        </w:rPr>
        <w:t xml:space="preserve">, </w:t>
      </w:r>
      <w:r>
        <w:rPr>
          <w:rFonts w:cs="Times New Roman"/>
          <w:lang w:val="fr-CA"/>
        </w:rPr>
        <w:t>par. </w:t>
      </w:r>
      <w:r w:rsidRPr="008675BA">
        <w:rPr>
          <w:rFonts w:cs="Times New Roman"/>
          <w:lang w:val="fr-CA"/>
        </w:rPr>
        <w:t>46).</w:t>
      </w:r>
    </w:p>
    <w:p w:rsidR="0041746D" w:rsidRPr="008675BA" w:rsidRDefault="0041746D" w:rsidP="0041746D">
      <w:pPr>
        <w:pStyle w:val="ParaNoNdepar-AltN"/>
        <w:rPr>
          <w:rFonts w:cs="Times New Roman"/>
          <w:lang w:val="fr-CA"/>
        </w:rPr>
      </w:pPr>
      <w:r w:rsidRPr="008675BA">
        <w:rPr>
          <w:rFonts w:cs="Times New Roman"/>
          <w:lang w:val="fr-CA"/>
        </w:rPr>
        <w:t xml:space="preserve">En résumé, je réitère que lorsque l’occasion se présente, il appartient à notre Cour de s’assurer que l’intervention de la première cour d’appel à l’égard de la décision du juge du procès était justifiée. Si la présence d’une erreur révisable n’a pas </w:t>
      </w:r>
      <w:r w:rsidRPr="008675BA">
        <w:rPr>
          <w:rFonts w:cs="Times New Roman"/>
          <w:lang w:val="fr-CA"/>
        </w:rPr>
        <w:lastRenderedPageBreak/>
        <w:t>été correctement établie, les conclusions du juge du procès doivent être rétablies. Même si notre analyse porte principalement sur les motifs d’intervention de la première cour d’appel, nous devons examiner ces motifs à la lumière de la décision du juge du procès.</w:t>
      </w:r>
    </w:p>
    <w:p w:rsidR="0041746D" w:rsidRPr="008675BA" w:rsidRDefault="0041746D" w:rsidP="0041746D">
      <w:pPr>
        <w:pStyle w:val="Title1LevelTitre1Niveau-AltL"/>
        <w:numPr>
          <w:ilvl w:val="0"/>
          <w:numId w:val="25"/>
        </w:numPr>
        <w:tabs>
          <w:tab w:val="clear" w:pos="1002"/>
          <w:tab w:val="num" w:pos="576"/>
        </w:tabs>
        <w:ind w:left="576"/>
        <w:rPr>
          <w:rFonts w:cs="Times New Roman"/>
          <w:lang w:val="fr-CA"/>
        </w:rPr>
      </w:pPr>
      <w:bookmarkStart w:id="11" w:name="_Toc2153995"/>
      <w:r w:rsidRPr="008675BA">
        <w:rPr>
          <w:rFonts w:cs="Times New Roman"/>
          <w:lang w:val="fr-CA"/>
        </w:rPr>
        <w:t>Analyse des erreurs reprochées à la juge du procès</w:t>
      </w:r>
      <w:bookmarkEnd w:id="11"/>
    </w:p>
    <w:p w:rsidR="0041746D" w:rsidRPr="008675BA" w:rsidRDefault="0041746D" w:rsidP="0041746D">
      <w:pPr>
        <w:pStyle w:val="ParaNoNdepar-AltN"/>
        <w:rPr>
          <w:rFonts w:cs="Times New Roman"/>
          <w:lang w:val="fr-CA"/>
        </w:rPr>
      </w:pPr>
      <w:r w:rsidRPr="008675BA">
        <w:rPr>
          <w:rFonts w:cs="Times New Roman"/>
          <w:lang w:val="fr-CA"/>
        </w:rPr>
        <w:t>Lorsque les principes du contrôle en appel — que j’estime incontestés — sont correctement appliqués en l’espèce, la conclusion inévitable qui en découle est que l’intervention de la Cour d’appel n’est pas justifiée. À mon avis, la raison pour laquelle mon collègue arrive à une autre conclusion est qu’il escamote en grande partie la première et la plus importante étape de l’analyse, c’est</w:t>
      </w:r>
      <w:r>
        <w:rPr>
          <w:rFonts w:cs="Times New Roman"/>
          <w:lang w:val="fr-CA"/>
        </w:rPr>
        <w:noBreakHyphen/>
      </w:r>
      <w:r w:rsidRPr="008675BA">
        <w:rPr>
          <w:rFonts w:cs="Times New Roman"/>
          <w:lang w:val="fr-CA"/>
        </w:rPr>
        <w:t>à</w:t>
      </w:r>
      <w:r>
        <w:rPr>
          <w:rFonts w:cs="Times New Roman"/>
          <w:lang w:val="fr-CA"/>
        </w:rPr>
        <w:noBreakHyphen/>
      </w:r>
      <w:r w:rsidRPr="008675BA">
        <w:rPr>
          <w:rFonts w:cs="Times New Roman"/>
          <w:lang w:val="fr-CA"/>
        </w:rPr>
        <w:t>dire l’examen des motifs qui auraient justifié l’intervention, et qu’il se concentre plutôt sur les conclusions de la Cour d’appel. Par exemple, pour ce qui est de la faute reprochée à M</w:t>
      </w:r>
      <w:r w:rsidRPr="008675BA">
        <w:rPr>
          <w:rFonts w:cs="Times New Roman"/>
          <w:vertAlign w:val="superscript"/>
          <w:lang w:val="fr-CA"/>
        </w:rPr>
        <w:t>e</w:t>
      </w:r>
      <w:r w:rsidRPr="008675BA">
        <w:rPr>
          <w:rFonts w:cs="Times New Roman"/>
          <w:lang w:val="fr-CA"/>
        </w:rPr>
        <w:t> Salomon concernant son devoir de conseil, mon collègue conclut dans un seul paragraphe que la Cour d’appel « relève effectivement la présence d’erreurs manifestes et déterminantes » (</w:t>
      </w:r>
      <w:r>
        <w:rPr>
          <w:rFonts w:cs="Times New Roman"/>
          <w:lang w:val="fr-CA"/>
        </w:rPr>
        <w:t>par. </w:t>
      </w:r>
      <w:r w:rsidRPr="008675BA">
        <w:rPr>
          <w:rFonts w:cs="Times New Roman"/>
          <w:lang w:val="fr-CA"/>
        </w:rPr>
        <w:t>55), et vérifie ensuite si elle commet une erreur dans l’appréciation des faits (</w:t>
      </w:r>
      <w:r>
        <w:rPr>
          <w:rFonts w:cs="Times New Roman"/>
          <w:lang w:val="fr-CA"/>
        </w:rPr>
        <w:t>par. </w:t>
      </w:r>
      <w:r w:rsidRPr="008675BA">
        <w:rPr>
          <w:rFonts w:cs="Times New Roman"/>
          <w:lang w:val="fr-CA"/>
        </w:rPr>
        <w:t>56</w:t>
      </w:r>
      <w:r>
        <w:rPr>
          <w:rFonts w:cs="Times New Roman"/>
          <w:lang w:val="fr-CA"/>
        </w:rPr>
        <w:noBreakHyphen/>
      </w:r>
      <w:r w:rsidRPr="008675BA">
        <w:rPr>
          <w:rFonts w:cs="Times New Roman"/>
          <w:lang w:val="fr-CA"/>
        </w:rPr>
        <w:t>65). De plus, dans son analyse du devoir de loyauté, mon collègue ne critique pas l’omission évidente de la Cour d’appel de signaler une erreur révisable précise, comme si, selon lui, le fait de ne pas être d’accord avec l’« approche restrictive » de la juge du procès suffit pour justifier une nouvelle audition de l’affaire sur la base du dossier écrit. Avec égards, je ne suis pas de cet avis.</w:t>
      </w:r>
    </w:p>
    <w:p w:rsidR="0041746D" w:rsidRPr="008675BA" w:rsidRDefault="0041746D" w:rsidP="0041746D">
      <w:pPr>
        <w:pStyle w:val="ParaNoNdepar-AltN"/>
        <w:rPr>
          <w:rFonts w:cs="Times New Roman"/>
          <w:lang w:val="fr-CA"/>
        </w:rPr>
      </w:pPr>
      <w:r w:rsidRPr="008675BA">
        <w:rPr>
          <w:rFonts w:cs="Times New Roman"/>
          <w:lang w:val="fr-CA"/>
        </w:rPr>
        <w:t xml:space="preserve">À la suite d’un examen plus rigoureux, j’estime que la Cour d’appel réexamine indûment l’ensemble de la preuve, et qu’elle ne relève néanmoins aucune véritable erreur révisable. Comme je l’ai déjà mentionné, l’approche de la Cour d’appel à l’égard du contrôle en appel est contraire aux principes formulés dans </w:t>
      </w:r>
      <w:r w:rsidRPr="008675BA">
        <w:rPr>
          <w:rFonts w:cs="Times New Roman"/>
          <w:i/>
          <w:lang w:val="fr-CA"/>
        </w:rPr>
        <w:t>Housen</w:t>
      </w:r>
      <w:r w:rsidRPr="008675BA">
        <w:rPr>
          <w:rFonts w:cs="Times New Roman"/>
          <w:lang w:val="fr-CA"/>
        </w:rPr>
        <w:t xml:space="preserve">. Pour </w:t>
      </w:r>
      <w:r w:rsidRPr="008675BA">
        <w:rPr>
          <w:rFonts w:cs="Times New Roman"/>
          <w:lang w:val="fr-CA"/>
        </w:rPr>
        <w:lastRenderedPageBreak/>
        <w:t>reprendre la métaphore du juge d’appel Morissette, la Cour d’appel fouille dans une botte de foin, trouve possiblement une aiguille et tente de la présenter comme une poutre. En conséquence, notre Cour devrait rétablir les conclusions de la juge du procès.</w:t>
      </w:r>
    </w:p>
    <w:p w:rsidR="0041746D" w:rsidRPr="008675BA" w:rsidRDefault="0041746D" w:rsidP="0041746D">
      <w:pPr>
        <w:pStyle w:val="ParaNoNdepar-AltN"/>
        <w:rPr>
          <w:rFonts w:cs="Times New Roman"/>
          <w:lang w:val="fr-CA"/>
        </w:rPr>
      </w:pPr>
      <w:r w:rsidRPr="008675BA">
        <w:rPr>
          <w:rFonts w:cs="Times New Roman"/>
          <w:lang w:val="fr-CA"/>
        </w:rPr>
        <w:t>Avec ces considérations à l’esprit, j’examinerai maintenant les prétendues erreurs manifestes et déterminantes qui se trouveraient dans les conclusions de la juge du procès concernant a) la faute et b) le lien de causalité. Bien que ma compréhension de l’affaire soit différente de celle de mon collègue, je souscris en grande partie à son résumé du contexte et de l’historique judiciaire, et je ne vois pas la nécessité de le reproduire. J’examinerai plutôt les faits pertinents tout au long de mon analyse. À cet égard, je me vois contrainte d’approfondir les questions de fait plus qu’il ne serait généralement approprié pour un juge d’appel de le faire. Cependant, il y a lieu de procéder à un tel examen dans la présente affaire, étant donné l’approche adoptée par la Cour d’appel et par mon collègue.</w:t>
      </w:r>
    </w:p>
    <w:p w:rsidR="0041746D" w:rsidRPr="008675BA" w:rsidRDefault="0041746D" w:rsidP="0041746D">
      <w:pPr>
        <w:pStyle w:val="Title2LevelTitre2Niveau"/>
        <w:numPr>
          <w:ilvl w:val="1"/>
          <w:numId w:val="25"/>
        </w:numPr>
        <w:rPr>
          <w:rFonts w:cs="Times New Roman"/>
          <w:lang w:val="fr-CA"/>
        </w:rPr>
      </w:pPr>
      <w:bookmarkStart w:id="12" w:name="_Toc2153996"/>
      <w:r w:rsidRPr="008675BA">
        <w:rPr>
          <w:rFonts w:cs="Times New Roman"/>
          <w:lang w:val="fr-CA"/>
        </w:rPr>
        <w:t>La juge du procès n’a pas commis d’erreur manifeste et déterminante en ce qui concerne la faute</w:t>
      </w:r>
      <w:bookmarkEnd w:id="12"/>
    </w:p>
    <w:p w:rsidR="0041746D" w:rsidRPr="008675BA" w:rsidRDefault="0041746D" w:rsidP="0041746D">
      <w:pPr>
        <w:pStyle w:val="ParaNoNdepar-AltN"/>
        <w:rPr>
          <w:rFonts w:cs="Times New Roman"/>
          <w:lang w:val="fr-CA"/>
        </w:rPr>
      </w:pPr>
      <w:r w:rsidRPr="008675BA">
        <w:rPr>
          <w:rFonts w:cs="Times New Roman"/>
          <w:lang w:val="fr-CA"/>
        </w:rPr>
        <w:t>En ce qui concerne la faute, les erreurs qu’aurait relevées la Cour d’appel se résument à l’opinion selon laquelle la juge du procès n’apprécie pas la preuve de manière « globale » et compartimente erronément la conduite de M</w:t>
      </w:r>
      <w:r w:rsidRPr="008675BA">
        <w:rPr>
          <w:rFonts w:cs="Times New Roman"/>
          <w:vertAlign w:val="superscript"/>
          <w:lang w:val="fr-CA"/>
        </w:rPr>
        <w:t>e</w:t>
      </w:r>
      <w:r w:rsidRPr="008675BA">
        <w:rPr>
          <w:rFonts w:cs="Times New Roman"/>
          <w:lang w:val="fr-CA"/>
        </w:rPr>
        <w:t> Salomon en fonction de la chronologie des placements des intimées (</w:t>
      </w:r>
      <w:r>
        <w:rPr>
          <w:rFonts w:cs="Times New Roman"/>
          <w:lang w:val="fr-CA"/>
        </w:rPr>
        <w:t>par. </w:t>
      </w:r>
      <w:r w:rsidRPr="008675BA">
        <w:rPr>
          <w:rFonts w:cs="Times New Roman"/>
          <w:lang w:val="fr-CA"/>
        </w:rPr>
        <w:t>50, 65</w:t>
      </w:r>
      <w:r>
        <w:rPr>
          <w:rFonts w:cs="Times New Roman"/>
          <w:lang w:val="fr-CA"/>
        </w:rPr>
        <w:noBreakHyphen/>
      </w:r>
      <w:r w:rsidRPr="008675BA">
        <w:rPr>
          <w:rFonts w:cs="Times New Roman"/>
          <w:lang w:val="fr-CA"/>
        </w:rPr>
        <w:t>67, 70</w:t>
      </w:r>
      <w:r>
        <w:rPr>
          <w:rFonts w:cs="Times New Roman"/>
          <w:lang w:val="fr-CA"/>
        </w:rPr>
        <w:noBreakHyphen/>
      </w:r>
      <w:r w:rsidRPr="008675BA">
        <w:rPr>
          <w:rFonts w:cs="Times New Roman"/>
          <w:lang w:val="fr-CA"/>
        </w:rPr>
        <w:t>71, 97 et 120). Sur la base de l’effet déformant qu’a eu ce « prisme », la Cour d’appel réexamine l’ensemble de la preuve et conclut que les fautes de M</w:t>
      </w:r>
      <w:r w:rsidRPr="008675BA">
        <w:rPr>
          <w:rFonts w:cs="Times New Roman"/>
          <w:vertAlign w:val="superscript"/>
          <w:lang w:val="fr-CA"/>
        </w:rPr>
        <w:t>e</w:t>
      </w:r>
      <w:r w:rsidRPr="008675BA">
        <w:rPr>
          <w:rFonts w:cs="Times New Roman"/>
          <w:lang w:val="fr-CA"/>
        </w:rPr>
        <w:t> Salomon ne se limitent pas à la recommandation initiale d’investissements précis faite à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 xml:space="preserve">Thompson. À son </w:t>
      </w:r>
      <w:r w:rsidRPr="008675BA">
        <w:rPr>
          <w:rFonts w:cs="Times New Roman"/>
          <w:lang w:val="fr-CA"/>
        </w:rPr>
        <w:lastRenderedPageBreak/>
        <w:t>avis, ces fautes font plutôt partie d’un même continuum de quatre ans et ont été commises à l’égard non seulement de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mais aussi de 166. La Cour d’appel ajoute que l’approche restrictive adoptée par la juge du procès à l’égard de la preuve la mène à minimiser le conflit d’intérêts potentiel découlant de la relation personnelle de M</w:t>
      </w:r>
      <w:r w:rsidRPr="008675BA">
        <w:rPr>
          <w:rFonts w:cs="Times New Roman"/>
          <w:vertAlign w:val="superscript"/>
          <w:lang w:val="fr-CA"/>
        </w:rPr>
        <w:t>e</w:t>
      </w:r>
      <w:r w:rsidRPr="008675BA">
        <w:rPr>
          <w:rFonts w:cs="Times New Roman"/>
          <w:lang w:val="fr-CA"/>
        </w:rPr>
        <w:t> Salomon avec M. Papadopoulos.</w:t>
      </w:r>
    </w:p>
    <w:p w:rsidR="0041746D" w:rsidRPr="008675BA" w:rsidRDefault="0041746D" w:rsidP="0041746D">
      <w:pPr>
        <w:pStyle w:val="ParaNoNdepar-AltN"/>
        <w:rPr>
          <w:rFonts w:cs="Times New Roman"/>
          <w:lang w:val="fr-CA"/>
        </w:rPr>
      </w:pPr>
      <w:r w:rsidRPr="008675BA">
        <w:rPr>
          <w:rFonts w:cs="Times New Roman"/>
          <w:lang w:val="fr-CA"/>
        </w:rPr>
        <w:t>Comme je l’ai déjà mentionné, le prétendu prisme déformant ne peut justifier, à mon avis, un réexamen général de la preuve. Mon collègue souscrit à l’approche de la Cour d’appel (</w:t>
      </w:r>
      <w:r>
        <w:rPr>
          <w:rFonts w:cs="Times New Roman"/>
          <w:lang w:val="fr-CA"/>
        </w:rPr>
        <w:t>par. </w:t>
      </w:r>
      <w:r w:rsidRPr="008675BA">
        <w:rPr>
          <w:rFonts w:cs="Times New Roman"/>
          <w:lang w:val="fr-CA"/>
        </w:rPr>
        <w:t>55</w:t>
      </w:r>
      <w:r>
        <w:rPr>
          <w:rFonts w:cs="Times New Roman"/>
          <w:lang w:val="fr-CA"/>
        </w:rPr>
        <w:noBreakHyphen/>
      </w:r>
      <w:r w:rsidRPr="008675BA">
        <w:rPr>
          <w:rFonts w:cs="Times New Roman"/>
          <w:lang w:val="fr-CA"/>
        </w:rPr>
        <w:t>56, 61, 63, 65, 70 et 80</w:t>
      </w:r>
      <w:r>
        <w:rPr>
          <w:rFonts w:cs="Times New Roman"/>
          <w:lang w:val="fr-CA"/>
        </w:rPr>
        <w:noBreakHyphen/>
      </w:r>
      <w:r w:rsidRPr="008675BA">
        <w:rPr>
          <w:rFonts w:cs="Times New Roman"/>
          <w:lang w:val="fr-CA"/>
        </w:rPr>
        <w:t>81), mais j’estime que préférer cette approche relève clairement de la « divergence d’opinions ». Il était loisible à la juge du procès de juger que tous les actes professionnels de M</w:t>
      </w:r>
      <w:r w:rsidRPr="008675BA">
        <w:rPr>
          <w:rFonts w:cs="Times New Roman"/>
          <w:vertAlign w:val="superscript"/>
          <w:lang w:val="fr-CA"/>
        </w:rPr>
        <w:t>e</w:t>
      </w:r>
      <w:r w:rsidRPr="008675BA">
        <w:rPr>
          <w:rFonts w:cs="Times New Roman"/>
          <w:lang w:val="fr-CA"/>
        </w:rPr>
        <w:t> Salomon — au cours d’une période de quatre ans — ne peuvent être amalgamés. Et je me permets d’ajouter que c’est de cette façon qu’il fallait aborder l’affaire. Comme l’exigent les principes de droit civil au Québec, la juge du procès analyse la preuve pour déterminer la « nature exacte de la faute » (</w:t>
      </w:r>
      <w:r w:rsidRPr="008675BA">
        <w:rPr>
          <w:rFonts w:cs="Times New Roman"/>
          <w:i/>
          <w:lang w:val="fr-CA"/>
        </w:rPr>
        <w:t>Laferrière</w:t>
      </w:r>
      <w:r w:rsidRPr="008675BA">
        <w:rPr>
          <w:rFonts w:cs="Times New Roman"/>
          <w:lang w:val="fr-CA"/>
        </w:rPr>
        <w:t xml:space="preserve">, </w:t>
      </w:r>
      <w:r>
        <w:rPr>
          <w:rFonts w:cs="Times New Roman"/>
          <w:lang w:val="fr-CA"/>
        </w:rPr>
        <w:t>p. </w:t>
      </w:r>
      <w:r w:rsidRPr="008675BA">
        <w:rPr>
          <w:rFonts w:cs="Times New Roman"/>
          <w:lang w:val="fr-CA"/>
        </w:rPr>
        <w:t>609). À juste titre, elle prend soin de ne pas trop simplifier et de ne pas confondre indûment les multiples mandats, relations professionnelles et placements dont il est question au cours de la période visée. Le « prisme » privilégié par la Cour d’appel, en revanche, n’est « global » qu’en ce qui a trait à la conduite de M</w:t>
      </w:r>
      <w:r w:rsidRPr="008675BA">
        <w:rPr>
          <w:rFonts w:cs="Times New Roman"/>
          <w:vertAlign w:val="superscript"/>
          <w:lang w:val="fr-CA"/>
        </w:rPr>
        <w:t>e</w:t>
      </w:r>
      <w:r w:rsidRPr="008675BA">
        <w:rPr>
          <w:rFonts w:cs="Times New Roman"/>
          <w:lang w:val="fr-CA"/>
        </w:rPr>
        <w:t> Salomon. Comme l’explique mon collègue, la portée du devoir de conseil d’un avocat varie grandement selon le contexte (</w:t>
      </w:r>
      <w:r>
        <w:rPr>
          <w:rFonts w:cs="Times New Roman"/>
          <w:lang w:val="fr-CA"/>
        </w:rPr>
        <w:t>par. </w:t>
      </w:r>
      <w:r w:rsidRPr="008675BA">
        <w:rPr>
          <w:rFonts w:cs="Times New Roman"/>
          <w:lang w:val="fr-CA"/>
        </w:rPr>
        <w:t>53). Cependant, dans la présente affaire, la Cour d’appel perd de vue certaines circonstances pertinentes, notamment l’étendue des mandats de M</w:t>
      </w:r>
      <w:r w:rsidRPr="008675BA">
        <w:rPr>
          <w:rFonts w:cs="Times New Roman"/>
          <w:vertAlign w:val="superscript"/>
          <w:lang w:val="fr-CA"/>
        </w:rPr>
        <w:t>e</w:t>
      </w:r>
      <w:r w:rsidRPr="008675BA">
        <w:rPr>
          <w:rFonts w:cs="Times New Roman"/>
          <w:lang w:val="fr-CA"/>
        </w:rPr>
        <w:t> Salomon et le rôle des autres personnes impliquées, ce qui donne lieu à une approche qui ne tient pas compte du rôle limité de M</w:t>
      </w:r>
      <w:r w:rsidRPr="008675BA">
        <w:rPr>
          <w:rFonts w:cs="Times New Roman"/>
          <w:vertAlign w:val="superscript"/>
          <w:lang w:val="fr-CA"/>
        </w:rPr>
        <w:t>e</w:t>
      </w:r>
      <w:r w:rsidRPr="008675BA">
        <w:rPr>
          <w:rFonts w:cs="Times New Roman"/>
          <w:lang w:val="fr-CA"/>
        </w:rPr>
        <w:t> Salomon à l’égard des placements qui ont mené aux pertes.</w:t>
      </w:r>
    </w:p>
    <w:p w:rsidR="0041746D" w:rsidRPr="008675BA" w:rsidRDefault="0041746D" w:rsidP="0041746D">
      <w:pPr>
        <w:pStyle w:val="ParaNoNdepar-AltN"/>
        <w:rPr>
          <w:rFonts w:cs="Times New Roman"/>
          <w:lang w:val="fr-CA"/>
        </w:rPr>
      </w:pPr>
      <w:r w:rsidRPr="008675BA">
        <w:rPr>
          <w:rFonts w:cs="Times New Roman"/>
          <w:lang w:val="fr-CA"/>
        </w:rPr>
        <w:lastRenderedPageBreak/>
        <w:t>Quoi qu’il en soit, indépendamment du bien</w:t>
      </w:r>
      <w:r>
        <w:rPr>
          <w:rFonts w:cs="Times New Roman"/>
          <w:lang w:val="fr-CA"/>
        </w:rPr>
        <w:noBreakHyphen/>
      </w:r>
      <w:r w:rsidRPr="008675BA">
        <w:rPr>
          <w:rFonts w:cs="Times New Roman"/>
          <w:lang w:val="fr-CA"/>
        </w:rPr>
        <w:t xml:space="preserve">fondé de l’approche de la Cour d’appel, les conclusions de la juge du procès ne devraient pas être infirmées. D’abord, comme je l’ai noté, la Cour d’appel se fonde sur un réexamen général de la preuve afin de déceler les erreurs dont il est question, ce qui est contraire à l’arrêt </w:t>
      </w:r>
      <w:r w:rsidRPr="008675BA">
        <w:rPr>
          <w:rFonts w:cs="Times New Roman"/>
          <w:i/>
          <w:lang w:val="fr-CA"/>
        </w:rPr>
        <w:t>Housen</w:t>
      </w:r>
      <w:r w:rsidRPr="008675BA">
        <w:rPr>
          <w:rFonts w:cs="Times New Roman"/>
          <w:lang w:val="fr-CA"/>
        </w:rPr>
        <w:t xml:space="preserve"> et à ceux rendus dans sa foulée. À mon avis, cela devrait suffire pour régler la question. Ensuite, je ne souscris pas à l’avis de mon collègue selon lequel la juge du procès tire ses conclusions « malgré la présence d’éléments de preuve montrant clairement » le contraire (</w:t>
      </w:r>
      <w:r>
        <w:rPr>
          <w:rFonts w:cs="Times New Roman"/>
          <w:lang w:val="fr-CA"/>
        </w:rPr>
        <w:t>par. </w:t>
      </w:r>
      <w:r w:rsidRPr="008675BA">
        <w:rPr>
          <w:rFonts w:cs="Times New Roman"/>
          <w:lang w:val="fr-CA"/>
        </w:rPr>
        <w:t>41). Toutefois, même si tel était le cas, cela ne constituerait pas en soi une erreur manifeste et déterminante. Les juges de première instance peuvent accorder plus d’importance à certains éléments de preuve plutôt qu’à d’autres (</w:t>
      </w:r>
      <w:r w:rsidRPr="008675BA">
        <w:rPr>
          <w:rFonts w:cs="Times New Roman"/>
          <w:i/>
          <w:lang w:val="fr-CA"/>
        </w:rPr>
        <w:t>Housen</w:t>
      </w:r>
      <w:r w:rsidRPr="008675BA">
        <w:rPr>
          <w:rFonts w:cs="Times New Roman"/>
          <w:lang w:val="fr-CA"/>
        </w:rPr>
        <w:t xml:space="preserve">, </w:t>
      </w:r>
      <w:r>
        <w:rPr>
          <w:rFonts w:cs="Times New Roman"/>
          <w:lang w:val="fr-CA"/>
        </w:rPr>
        <w:t>par. </w:t>
      </w:r>
      <w:r w:rsidRPr="008675BA">
        <w:rPr>
          <w:rFonts w:cs="Times New Roman"/>
          <w:lang w:val="fr-CA"/>
        </w:rPr>
        <w:t xml:space="preserve">72; </w:t>
      </w:r>
      <w:r w:rsidRPr="008675BA">
        <w:rPr>
          <w:rFonts w:cs="Times New Roman"/>
          <w:i/>
          <w:lang w:val="fr-CA"/>
        </w:rPr>
        <w:t>Nelson</w:t>
      </w:r>
      <w:r w:rsidRPr="008675BA">
        <w:rPr>
          <w:rFonts w:cs="Times New Roman"/>
          <w:lang w:val="fr-CA"/>
        </w:rPr>
        <w:t xml:space="preserve">, </w:t>
      </w:r>
      <w:r>
        <w:rPr>
          <w:rFonts w:cs="Times New Roman"/>
          <w:lang w:val="fr-CA"/>
        </w:rPr>
        <w:t>par. </w:t>
      </w:r>
      <w:r w:rsidRPr="008675BA">
        <w:rPr>
          <w:rFonts w:cs="Times New Roman"/>
          <w:lang w:val="fr-CA"/>
        </w:rPr>
        <w:t xml:space="preserve">38). De fait, il s’agit précisément de leur travail. La question n’est pas de savoir si la Cour d’appel a trouvé une preuve claire étayant le point de vue qu’elle privilégie, mais plutôt si elle démontre que les conclusions de la juge du procès ne sont pas étayées par la preuve. Si elle ne fait pas cette démonstration, le réexamen de la preuve par la Cour d’appel est inadmissible. Comme notre Cour l’indique au premier paragraphe de l’arrêt </w:t>
      </w:r>
      <w:r w:rsidRPr="008675BA">
        <w:rPr>
          <w:rFonts w:cs="Times New Roman"/>
          <w:i/>
          <w:lang w:val="fr-CA"/>
        </w:rPr>
        <w:t>Housen</w:t>
      </w:r>
      <w:r w:rsidRPr="008675BA">
        <w:rPr>
          <w:rFonts w:cs="Times New Roman"/>
          <w:lang w:val="fr-CA"/>
        </w:rPr>
        <w:t xml:space="preserve">, une cour d’appel </w:t>
      </w:r>
      <w:r w:rsidRPr="008675BA">
        <w:rPr>
          <w:rFonts w:cs="Times New Roman"/>
          <w:i/>
          <w:lang w:val="fr-CA"/>
        </w:rPr>
        <w:t>ne peut pas</w:t>
      </w:r>
      <w:r w:rsidRPr="008675BA">
        <w:rPr>
          <w:rFonts w:cs="Times New Roman"/>
          <w:lang w:val="fr-CA"/>
        </w:rPr>
        <w:t xml:space="preserve"> « réviser la décision du juge de première instance dans les cas où il existait </w:t>
      </w:r>
      <w:r w:rsidRPr="008675BA">
        <w:rPr>
          <w:rFonts w:cs="Times New Roman"/>
          <w:u w:val="single"/>
          <w:lang w:val="fr-CA"/>
        </w:rPr>
        <w:t>des éléments de preuve</w:t>
      </w:r>
      <w:r w:rsidRPr="008675BA">
        <w:rPr>
          <w:rFonts w:cs="Times New Roman"/>
          <w:lang w:val="fr-CA"/>
        </w:rPr>
        <w:t xml:space="preserve"> qui pouvaient étayer cette décision » (je souligne). Dans le cas qui nous occupe, il était loisible à la juge du procès de tirer les conclusions qu’elle a tirées concernant la faute.</w:t>
      </w:r>
    </w:p>
    <w:p w:rsidR="0041746D" w:rsidRPr="008675BA" w:rsidRDefault="0041746D" w:rsidP="0041746D">
      <w:pPr>
        <w:pStyle w:val="ParaNoNdepar-AltN"/>
        <w:rPr>
          <w:rFonts w:cs="Times New Roman"/>
          <w:lang w:val="fr-CA"/>
        </w:rPr>
      </w:pPr>
      <w:r w:rsidRPr="008675BA">
        <w:rPr>
          <w:rFonts w:cs="Times New Roman"/>
          <w:lang w:val="fr-CA"/>
        </w:rPr>
        <w:t>J’expliquerai maintenant plus en détail pourquoi je suis d’avis qu’il n’y a pas d’erreur révisable en ce qui a trait à la faute. Pour ce faire, j’examinerai (1) les mandats de M</w:t>
      </w:r>
      <w:r w:rsidRPr="008675BA">
        <w:rPr>
          <w:rFonts w:cs="Times New Roman"/>
          <w:vertAlign w:val="superscript"/>
          <w:lang w:val="fr-CA"/>
        </w:rPr>
        <w:t>e</w:t>
      </w:r>
      <w:r w:rsidRPr="008675BA">
        <w:rPr>
          <w:rFonts w:cs="Times New Roman"/>
          <w:lang w:val="fr-CA"/>
        </w:rPr>
        <w:t> Salomon; (2) son devoir quant à la recommandation de Triglobal et de M. Papadopoulos; (3) son devoir de conseil; et (4) son devoir de loyauté.</w:t>
      </w:r>
    </w:p>
    <w:p w:rsidR="0041746D" w:rsidRPr="008675BA" w:rsidRDefault="0041746D" w:rsidP="0041746D">
      <w:pPr>
        <w:pStyle w:val="Title3LevelTitre3Niveau"/>
        <w:numPr>
          <w:ilvl w:val="2"/>
          <w:numId w:val="25"/>
        </w:numPr>
        <w:ind w:left="1440" w:hanging="864"/>
        <w:rPr>
          <w:rFonts w:cs="Times New Roman"/>
          <w:lang w:val="fr-CA"/>
        </w:rPr>
      </w:pPr>
      <w:bookmarkStart w:id="13" w:name="_Toc2153997"/>
      <w:r w:rsidRPr="008675BA">
        <w:rPr>
          <w:rFonts w:cs="Times New Roman"/>
          <w:lang w:val="fr-CA"/>
        </w:rPr>
        <w:lastRenderedPageBreak/>
        <w:t>Les mandats de M</w:t>
      </w:r>
      <w:r w:rsidRPr="008675BA">
        <w:rPr>
          <w:rFonts w:cs="Times New Roman"/>
          <w:vertAlign w:val="superscript"/>
          <w:lang w:val="fr-CA"/>
        </w:rPr>
        <w:t>e</w:t>
      </w:r>
      <w:r w:rsidRPr="008675BA">
        <w:rPr>
          <w:rFonts w:cs="Times New Roman"/>
          <w:lang w:val="fr-CA"/>
        </w:rPr>
        <w:t> Salomon</w:t>
      </w:r>
      <w:bookmarkEnd w:id="13"/>
    </w:p>
    <w:p w:rsidR="0041746D" w:rsidRPr="008675BA" w:rsidRDefault="0041746D" w:rsidP="0041746D">
      <w:pPr>
        <w:pStyle w:val="ParaNoNdepar-AltN"/>
        <w:rPr>
          <w:rFonts w:cs="Times New Roman"/>
          <w:lang w:val="fr-CA"/>
        </w:rPr>
      </w:pPr>
      <w:r w:rsidRPr="008675BA">
        <w:rPr>
          <w:rFonts w:cs="Times New Roman"/>
          <w:lang w:val="fr-CA"/>
        </w:rPr>
        <w:t>La juge du procès est bien fondée à commencer son analyse en délimitant l’étendue des mandats de M</w:t>
      </w:r>
      <w:r w:rsidRPr="008675BA">
        <w:rPr>
          <w:rFonts w:cs="Times New Roman"/>
          <w:vertAlign w:val="superscript"/>
          <w:lang w:val="fr-CA"/>
        </w:rPr>
        <w:t>e</w:t>
      </w:r>
      <w:r w:rsidRPr="008675BA">
        <w:rPr>
          <w:rFonts w:cs="Times New Roman"/>
          <w:lang w:val="fr-CA"/>
        </w:rPr>
        <w:t> Salomon (</w:t>
      </w:r>
      <w:r>
        <w:rPr>
          <w:rFonts w:cs="Times New Roman"/>
          <w:lang w:val="fr-CA"/>
        </w:rPr>
        <w:t>par. </w:t>
      </w:r>
      <w:r w:rsidRPr="008675BA">
        <w:rPr>
          <w:rFonts w:cs="Times New Roman"/>
          <w:lang w:val="fr-CA"/>
        </w:rPr>
        <w:t>120</w:t>
      </w:r>
      <w:r>
        <w:rPr>
          <w:rFonts w:cs="Times New Roman"/>
          <w:lang w:val="fr-CA"/>
        </w:rPr>
        <w:noBreakHyphen/>
      </w:r>
      <w:r w:rsidRPr="008675BA">
        <w:rPr>
          <w:rFonts w:cs="Times New Roman"/>
          <w:lang w:val="fr-CA"/>
        </w:rPr>
        <w:t>131). Bien que les devoirs d’un avocat ne se résument pas toujours à l’étendue précise de son mandat (</w:t>
      </w:r>
      <w:r w:rsidRPr="008675BA">
        <w:rPr>
          <w:rFonts w:cs="Times New Roman"/>
          <w:i/>
          <w:lang w:val="fr-CA"/>
        </w:rPr>
        <w:t>Côté c. Rancourt</w:t>
      </w:r>
      <w:r w:rsidRPr="008675BA">
        <w:rPr>
          <w:rFonts w:cs="Times New Roman"/>
          <w:lang w:val="fr-CA"/>
        </w:rPr>
        <w:t xml:space="preserve">, 2004 CSC 58, [2004] 3 R.C.S. 248, </w:t>
      </w:r>
      <w:r>
        <w:rPr>
          <w:rFonts w:cs="Times New Roman"/>
          <w:lang w:val="fr-CA"/>
        </w:rPr>
        <w:t>par. </w:t>
      </w:r>
      <w:r w:rsidRPr="008675BA">
        <w:rPr>
          <w:rFonts w:cs="Times New Roman"/>
          <w:lang w:val="fr-CA"/>
        </w:rPr>
        <w:t>6), celle</w:t>
      </w:r>
      <w:r>
        <w:rPr>
          <w:rFonts w:cs="Times New Roman"/>
          <w:lang w:val="fr-CA"/>
        </w:rPr>
        <w:noBreakHyphen/>
      </w:r>
      <w:r w:rsidRPr="008675BA">
        <w:rPr>
          <w:rFonts w:cs="Times New Roman"/>
          <w:lang w:val="fr-CA"/>
        </w:rPr>
        <w:t xml:space="preserve">ci constitue certainement l’une des considérations principales dont le juge doit tenir compte pour évaluer la responsabilité professionnelle (voir, </w:t>
      </w:r>
      <w:r>
        <w:rPr>
          <w:rFonts w:cs="Times New Roman"/>
          <w:lang w:val="fr-CA"/>
        </w:rPr>
        <w:t>p. </w:t>
      </w:r>
      <w:r w:rsidRPr="008675BA">
        <w:rPr>
          <w:rFonts w:cs="Times New Roman"/>
          <w:lang w:val="fr-CA"/>
        </w:rPr>
        <w:t xml:space="preserve">ex., </w:t>
      </w:r>
      <w:r w:rsidRPr="008675BA">
        <w:rPr>
          <w:rFonts w:cs="Times New Roman"/>
          <w:i/>
          <w:lang w:val="fr-CA"/>
        </w:rPr>
        <w:t>Sylvestre c. Karpinski</w:t>
      </w:r>
      <w:r w:rsidRPr="008675BA">
        <w:rPr>
          <w:rFonts w:cs="Times New Roman"/>
          <w:lang w:val="fr-CA"/>
        </w:rPr>
        <w:t xml:space="preserve">, 2011 QCCA 2161, </w:t>
      </w:r>
      <w:r>
        <w:rPr>
          <w:rFonts w:cs="Times New Roman"/>
          <w:lang w:val="fr-CA"/>
        </w:rPr>
        <w:t>par. </w:t>
      </w:r>
      <w:r w:rsidRPr="008675BA">
        <w:rPr>
          <w:rFonts w:cs="Times New Roman"/>
          <w:lang w:val="fr-CA"/>
        </w:rPr>
        <w:t xml:space="preserve">19 (CanLII); </w:t>
      </w:r>
      <w:r w:rsidRPr="008675BA">
        <w:rPr>
          <w:rFonts w:cs="Times New Roman"/>
          <w:i/>
          <w:lang w:val="fr-CA"/>
        </w:rPr>
        <w:t>Bessette c. Pharmacie Suzanne Payer inc.</w:t>
      </w:r>
      <w:r w:rsidRPr="008675BA">
        <w:rPr>
          <w:rFonts w:cs="Times New Roman"/>
          <w:lang w:val="fr-CA"/>
        </w:rPr>
        <w:t xml:space="preserve">, 2017 QCCS 2474, </w:t>
      </w:r>
      <w:r>
        <w:rPr>
          <w:rFonts w:cs="Times New Roman"/>
          <w:lang w:val="fr-CA"/>
        </w:rPr>
        <w:t>par. </w:t>
      </w:r>
      <w:r w:rsidRPr="008675BA">
        <w:rPr>
          <w:rFonts w:cs="Times New Roman"/>
          <w:lang w:val="fr-CA"/>
        </w:rPr>
        <w:t>90</w:t>
      </w:r>
      <w:r>
        <w:rPr>
          <w:rFonts w:cs="Times New Roman"/>
          <w:lang w:val="fr-CA"/>
        </w:rPr>
        <w:noBreakHyphen/>
      </w:r>
      <w:r w:rsidR="00CD3B5B">
        <w:rPr>
          <w:rFonts w:cs="Times New Roman"/>
          <w:lang w:val="fr-CA"/>
        </w:rPr>
        <w:t>92</w:t>
      </w:r>
      <w:r w:rsidRPr="008675BA">
        <w:rPr>
          <w:rFonts w:cs="Times New Roman"/>
          <w:lang w:val="fr-CA"/>
        </w:rPr>
        <w:t xml:space="preserve"> (CanLII)). Les auteurs Baudouin, Deslauriers et Moore l’expliquent de la façon suivante</w:t>
      </w:r>
      <w:r>
        <w:rPr>
          <w:rFonts w:cs="Times New Roman"/>
          <w:lang w:val="fr-CA"/>
        </w:rPr>
        <w:t> :</w:t>
      </w:r>
      <w:r w:rsidRPr="008675BA">
        <w:rPr>
          <w:rFonts w:cs="Times New Roman"/>
          <w:lang w:val="fr-CA"/>
        </w:rPr>
        <w:t xml:space="preserve"> </w:t>
      </w:r>
    </w:p>
    <w:p w:rsidR="0041746D" w:rsidRPr="008675BA" w:rsidRDefault="0041746D" w:rsidP="0041746D">
      <w:pPr>
        <w:pStyle w:val="Citation-AltC"/>
        <w:spacing w:after="240"/>
        <w:ind w:left="1168" w:hanging="1168"/>
        <w:contextualSpacing w:val="0"/>
        <w:rPr>
          <w:lang w:val="fr-CA"/>
        </w:rPr>
      </w:pPr>
      <w:r w:rsidRPr="008675BA">
        <w:rPr>
          <w:lang w:val="fr-CA"/>
        </w:rPr>
        <w:tab/>
      </w:r>
      <w:r w:rsidR="00CD3B5B">
        <w:rPr>
          <w:lang w:val="fr-CA"/>
        </w:rPr>
        <w:tab/>
      </w:r>
      <w:r w:rsidRPr="008675BA">
        <w:rPr>
          <w:u w:val="single"/>
          <w:lang w:val="fr-CA"/>
        </w:rPr>
        <w:t>La détermination de la faute</w:t>
      </w:r>
      <w:r w:rsidRPr="008675BA">
        <w:rPr>
          <w:sz w:val="16"/>
          <w:szCs w:val="16"/>
          <w:u w:val="single"/>
          <w:lang w:val="fr-CA"/>
        </w:rPr>
        <w:t xml:space="preserve"> </w:t>
      </w:r>
      <w:r w:rsidRPr="008675BA">
        <w:rPr>
          <w:u w:val="single"/>
          <w:lang w:val="fr-CA"/>
        </w:rPr>
        <w:t>se fait par référence au type d’obligation assumée</w:t>
      </w:r>
      <w:r w:rsidRPr="008675BA">
        <w:rPr>
          <w:lang w:val="fr-CA"/>
        </w:rPr>
        <w:t>, à son intensité (obligation de moyen ou de résultat), et à l’ensemble des circonstances de l’espèce.</w:t>
      </w:r>
    </w:p>
    <w:p w:rsidR="0041746D" w:rsidRPr="008675BA" w:rsidRDefault="0041746D" w:rsidP="0041746D">
      <w:pPr>
        <w:pStyle w:val="Citation-AltC"/>
        <w:spacing w:after="240"/>
        <w:ind w:left="1168" w:hanging="1168"/>
        <w:contextualSpacing w:val="0"/>
        <w:jc w:val="center"/>
        <w:rPr>
          <w:lang w:val="fr-CA"/>
        </w:rPr>
      </w:pPr>
      <w:r w:rsidRPr="008675BA">
        <w:rPr>
          <w:lang w:val="fr-CA"/>
        </w:rPr>
        <w:tab/>
        <w:t>. . .</w:t>
      </w:r>
    </w:p>
    <w:p w:rsidR="0041746D" w:rsidRPr="008675BA" w:rsidRDefault="0041746D" w:rsidP="0041746D">
      <w:pPr>
        <w:pStyle w:val="Citation-AltC"/>
        <w:spacing w:after="240"/>
        <w:ind w:left="1168" w:hanging="1168"/>
        <w:contextualSpacing w:val="0"/>
        <w:rPr>
          <w:lang w:val="fr-CA"/>
        </w:rPr>
      </w:pPr>
      <w:r w:rsidRPr="008675BA">
        <w:rPr>
          <w:lang w:val="fr-CA"/>
        </w:rPr>
        <w:tab/>
      </w:r>
      <w:r w:rsidR="00CD3B5B">
        <w:rPr>
          <w:lang w:val="fr-CA"/>
        </w:rPr>
        <w:tab/>
      </w:r>
      <w:r w:rsidRPr="008675BA">
        <w:rPr>
          <w:lang w:val="fr-CA"/>
        </w:rPr>
        <w:t>L’avocat, en premier lieu, peut être tenu responsable pour les fautes commises dans les conseils donnés à son client,   lorsque, par exemple, il est consulté par celui</w:t>
      </w:r>
      <w:r>
        <w:rPr>
          <w:lang w:val="fr-CA"/>
        </w:rPr>
        <w:noBreakHyphen/>
      </w:r>
      <w:r w:rsidRPr="008675BA">
        <w:rPr>
          <w:lang w:val="fr-CA"/>
        </w:rPr>
        <w:t>ci pour connaître ses droits</w:t>
      </w:r>
      <w:r w:rsidRPr="008675BA">
        <w:rPr>
          <w:sz w:val="16"/>
          <w:szCs w:val="16"/>
          <w:lang w:val="fr-CA"/>
        </w:rPr>
        <w:t xml:space="preserve"> </w:t>
      </w:r>
      <w:r w:rsidRPr="008675BA">
        <w:rPr>
          <w:lang w:val="fr-CA"/>
        </w:rPr>
        <w:t xml:space="preserve">ou encore les conséquences juridiques d’une transaction. </w:t>
      </w:r>
      <w:r w:rsidRPr="008675BA">
        <w:rPr>
          <w:u w:val="single"/>
          <w:lang w:val="fr-CA"/>
        </w:rPr>
        <w:t>Si l’obligation de conseil existe quelle que soit la nature du mandat, l’étendue de cette dernière a un impact indéniable sur la responsabilité. Il faut donc examiner de façon précise le cadre du mandat de l’avocat</w:t>
      </w:r>
      <w:r w:rsidRPr="00CD3B5B">
        <w:rPr>
          <w:u w:val="single"/>
          <w:lang w:val="fr-CA"/>
        </w:rPr>
        <w:t>.</w:t>
      </w:r>
      <w:r w:rsidRPr="008675BA">
        <w:rPr>
          <w:lang w:val="fr-CA"/>
        </w:rPr>
        <w:t xml:space="preserve"> Le standard de comparaison, encore une fois, est celui d’un avocat normalement compétent, prudent et diligent. </w:t>
      </w:r>
      <w:r w:rsidRPr="008675BA">
        <w:rPr>
          <w:bCs/>
          <w:lang w:val="fr-CA"/>
        </w:rPr>
        <w:t xml:space="preserve">[Je souligne; </w:t>
      </w:r>
      <w:r w:rsidR="00CD3B5B">
        <w:rPr>
          <w:bCs/>
          <w:lang w:val="fr-CA"/>
        </w:rPr>
        <w:t>notes en bas de page</w:t>
      </w:r>
      <w:r w:rsidRPr="008675BA">
        <w:rPr>
          <w:bCs/>
          <w:lang w:val="fr-CA"/>
        </w:rPr>
        <w:t xml:space="preserve"> omis</w:t>
      </w:r>
      <w:r w:rsidR="00CD3B5B">
        <w:rPr>
          <w:bCs/>
          <w:lang w:val="fr-CA"/>
        </w:rPr>
        <w:t>es</w:t>
      </w:r>
      <w:r w:rsidRPr="008675BA">
        <w:rPr>
          <w:bCs/>
          <w:lang w:val="fr-CA"/>
        </w:rPr>
        <w:t>.]</w:t>
      </w:r>
    </w:p>
    <w:p w:rsidR="0041746D" w:rsidRPr="008675BA" w:rsidRDefault="0041746D" w:rsidP="00CD3B5B">
      <w:pPr>
        <w:pStyle w:val="Citation-AltC"/>
        <w:ind w:left="0"/>
        <w:rPr>
          <w:lang w:val="fr-CA"/>
        </w:rPr>
      </w:pPr>
      <w:r w:rsidRPr="008675BA">
        <w:rPr>
          <w:lang w:val="fr-CA"/>
        </w:rPr>
        <w:t xml:space="preserve">(J.‑L. Baudouin, </w:t>
      </w:r>
      <w:r>
        <w:rPr>
          <w:lang w:val="fr-CA"/>
        </w:rPr>
        <w:t>P. </w:t>
      </w:r>
      <w:r w:rsidRPr="008675BA">
        <w:rPr>
          <w:lang w:val="fr-CA"/>
        </w:rPr>
        <w:t xml:space="preserve">Deslauriers et B. Moore, </w:t>
      </w:r>
      <w:r w:rsidRPr="008675BA">
        <w:rPr>
          <w:i/>
          <w:lang w:val="fr-CA"/>
        </w:rPr>
        <w:t>La responsabilité civile</w:t>
      </w:r>
      <w:r w:rsidRPr="008675BA">
        <w:rPr>
          <w:lang w:val="fr-CA"/>
        </w:rPr>
        <w:t xml:space="preserve"> (8</w:t>
      </w:r>
      <w:r w:rsidRPr="008675BA">
        <w:rPr>
          <w:vertAlign w:val="superscript"/>
          <w:lang w:val="fr-CA"/>
        </w:rPr>
        <w:t>e</w:t>
      </w:r>
      <w:r w:rsidRPr="008675BA">
        <w:rPr>
          <w:lang w:val="fr-CA"/>
        </w:rPr>
        <w:t> éd. 2014), n</w:t>
      </w:r>
      <w:r w:rsidRPr="008675BA">
        <w:rPr>
          <w:vertAlign w:val="superscript"/>
          <w:lang w:val="fr-CA"/>
        </w:rPr>
        <w:t>o</w:t>
      </w:r>
      <w:r w:rsidR="00CD3B5B">
        <w:rPr>
          <w:vertAlign w:val="superscript"/>
          <w:lang w:val="fr-CA"/>
        </w:rPr>
        <w:t>s</w:t>
      </w:r>
      <w:r w:rsidRPr="008675BA">
        <w:rPr>
          <w:lang w:val="fr-CA"/>
        </w:rPr>
        <w:t xml:space="preserve"> 2</w:t>
      </w:r>
      <w:r>
        <w:rPr>
          <w:lang w:val="fr-CA"/>
        </w:rPr>
        <w:noBreakHyphen/>
      </w:r>
      <w:r w:rsidRPr="008675BA">
        <w:rPr>
          <w:lang w:val="fr-CA"/>
        </w:rPr>
        <w:t>136 et 2</w:t>
      </w:r>
      <w:r>
        <w:rPr>
          <w:lang w:val="fr-CA"/>
        </w:rPr>
        <w:noBreakHyphen/>
      </w:r>
      <w:r w:rsidRPr="008675BA">
        <w:rPr>
          <w:lang w:val="fr-CA"/>
        </w:rPr>
        <w:t>138)</w:t>
      </w:r>
    </w:p>
    <w:p w:rsidR="0041746D" w:rsidRPr="008675BA" w:rsidRDefault="0041746D" w:rsidP="0041746D">
      <w:pPr>
        <w:pStyle w:val="ParaNoNdepar-AltN"/>
        <w:rPr>
          <w:rFonts w:cs="Times New Roman"/>
          <w:lang w:val="fr-CA"/>
        </w:rPr>
      </w:pPr>
      <w:r w:rsidRPr="008675BA">
        <w:rPr>
          <w:rFonts w:cs="Times New Roman"/>
          <w:lang w:val="fr-CA"/>
        </w:rPr>
        <w:t>La juge du procès indique que M</w:t>
      </w:r>
      <w:r w:rsidRPr="008675BA">
        <w:rPr>
          <w:rFonts w:cs="Times New Roman"/>
          <w:vertAlign w:val="superscript"/>
          <w:lang w:val="fr-CA"/>
        </w:rPr>
        <w:t>e</w:t>
      </w:r>
      <w:r w:rsidRPr="008675BA">
        <w:rPr>
          <w:rFonts w:cs="Times New Roman"/>
          <w:lang w:val="fr-CA"/>
        </w:rPr>
        <w:t> Salomon n’avait [</w:t>
      </w:r>
      <w:r w:rsidRPr="008675BA">
        <w:rPr>
          <w:rFonts w:cs="Times New Roman"/>
          <w:smallCaps/>
          <w:lang w:val="fr-CA"/>
        </w:rPr>
        <w:t>traduction</w:t>
      </w:r>
      <w:r w:rsidRPr="008675BA">
        <w:rPr>
          <w:rFonts w:cs="Times New Roman"/>
          <w:lang w:val="fr-CA"/>
        </w:rPr>
        <w:t>] « aucun mandat précis » en ce qui concerne les placements des intimées (</w:t>
      </w:r>
      <w:r>
        <w:rPr>
          <w:rFonts w:cs="Times New Roman"/>
          <w:lang w:val="fr-CA"/>
        </w:rPr>
        <w:t>par. </w:t>
      </w:r>
      <w:r w:rsidRPr="008675BA">
        <w:rPr>
          <w:rFonts w:cs="Times New Roman"/>
          <w:lang w:val="fr-CA"/>
        </w:rPr>
        <w:t>130). Cette conclusion est très importante, et me semble non contestée. M</w:t>
      </w:r>
      <w:r w:rsidR="00293FF7" w:rsidRPr="00293FF7">
        <w:rPr>
          <w:rFonts w:cs="Times New Roman"/>
          <w:vertAlign w:val="superscript"/>
          <w:lang w:val="fr-CA"/>
        </w:rPr>
        <w:t>e</w:t>
      </w:r>
      <w:r w:rsidRPr="008675BA">
        <w:rPr>
          <w:rFonts w:cs="Times New Roman"/>
          <w:lang w:val="fr-CA"/>
        </w:rPr>
        <w:t xml:space="preserve"> Salomon n’était </w:t>
      </w:r>
      <w:r w:rsidRPr="008675BA">
        <w:rPr>
          <w:rFonts w:cs="Times New Roman"/>
          <w:lang w:val="fr-CA"/>
        </w:rPr>
        <w:lastRenderedPageBreak/>
        <w:t>consulté qu’occasionnellement à l’égard des décisions en matière de placements, et seulement dans le cadre de mandats liés notamment aux testaments et fiducies de Malcolm Thompson, défunt mari de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 xml:space="preserve">Thompson, à l’entreprise familiale, à la réorganisation des sociétés et à la vente de leurs biens (motifs de première instance, </w:t>
      </w:r>
      <w:r>
        <w:rPr>
          <w:rFonts w:cs="Times New Roman"/>
          <w:lang w:val="fr-CA"/>
        </w:rPr>
        <w:t>par. </w:t>
      </w:r>
      <w:r w:rsidRPr="008675BA">
        <w:rPr>
          <w:rFonts w:cs="Times New Roman"/>
          <w:lang w:val="fr-CA"/>
        </w:rPr>
        <w:t>129). À cet égard, je suis en désaccord avec mon collègue lorsqu’il affirme que M</w:t>
      </w:r>
      <w:r w:rsidRPr="008675BA">
        <w:rPr>
          <w:rFonts w:cs="Times New Roman"/>
          <w:vertAlign w:val="superscript"/>
          <w:lang w:val="fr-CA"/>
        </w:rPr>
        <w:t>e</w:t>
      </w:r>
      <w:r w:rsidRPr="008675BA">
        <w:rPr>
          <w:rFonts w:cs="Times New Roman"/>
          <w:lang w:val="fr-CA"/>
        </w:rPr>
        <w:t xml:space="preserve"> Salomon « recommanda[it] </w:t>
      </w:r>
      <w:r w:rsidRPr="008675BA">
        <w:rPr>
          <w:rFonts w:cs="Times New Roman"/>
          <w:u w:val="single"/>
          <w:lang w:val="fr-CA"/>
        </w:rPr>
        <w:t>continuellement</w:t>
      </w:r>
      <w:r w:rsidRPr="008675BA">
        <w:rPr>
          <w:rFonts w:cs="Times New Roman"/>
          <w:lang w:val="fr-CA"/>
        </w:rPr>
        <w:t xml:space="preserve"> des produits financiers » (</w:t>
      </w:r>
      <w:r>
        <w:rPr>
          <w:rFonts w:cs="Times New Roman"/>
          <w:lang w:val="fr-CA"/>
        </w:rPr>
        <w:t>par. </w:t>
      </w:r>
      <w:r w:rsidRPr="008675BA">
        <w:rPr>
          <w:rFonts w:cs="Times New Roman"/>
          <w:lang w:val="fr-CA"/>
        </w:rPr>
        <w:t>59 (je souligne)). Vu les conclusions de la juge du procès, une telle affirmation exagère manifestement le rôle de M</w:t>
      </w:r>
      <w:r w:rsidRPr="008675BA">
        <w:rPr>
          <w:rFonts w:cs="Times New Roman"/>
          <w:vertAlign w:val="superscript"/>
          <w:lang w:val="fr-CA"/>
        </w:rPr>
        <w:t>e</w:t>
      </w:r>
      <w:r w:rsidRPr="008675BA">
        <w:rPr>
          <w:rFonts w:cs="Times New Roman"/>
          <w:lang w:val="fr-CA"/>
        </w:rPr>
        <w:t xml:space="preserve"> Salomon et les obligations qu’il a assumées et fausse l’analyse relative à sa responsabilité. De plus, en l’absence d’erreur révisable, cette affirmation équivaut à une nouvelle appréciation inadmissible de la preuve. </w:t>
      </w:r>
    </w:p>
    <w:p w:rsidR="0041746D" w:rsidRPr="008675BA" w:rsidRDefault="0041746D" w:rsidP="0041746D">
      <w:pPr>
        <w:pStyle w:val="ParaNoNdepar-AltN"/>
        <w:rPr>
          <w:rFonts w:cs="Times New Roman"/>
          <w:lang w:val="fr-CA"/>
        </w:rPr>
      </w:pPr>
      <w:r w:rsidRPr="008675BA">
        <w:rPr>
          <w:rFonts w:cs="Times New Roman"/>
          <w:lang w:val="fr-CA"/>
        </w:rPr>
        <w:t>Étant donné l’absence de mandat précis et continu à l’égard des placements des intimées, il était opportun que la juge du procès évite d’adopter une approche trop large en ce qui concerne la responsabilité. Elle restreint plutôt son analyse à la participation réelle de M</w:t>
      </w:r>
      <w:r w:rsidRPr="008675BA">
        <w:rPr>
          <w:rFonts w:cs="Times New Roman"/>
          <w:vertAlign w:val="superscript"/>
          <w:lang w:val="fr-CA"/>
        </w:rPr>
        <w:t>e</w:t>
      </w:r>
      <w:r w:rsidRPr="008675BA">
        <w:rPr>
          <w:rFonts w:cs="Times New Roman"/>
          <w:lang w:val="fr-CA"/>
        </w:rPr>
        <w:t> Salomon aux différents placements de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et de 166. Je ne vois aucune erreur manifeste dans cette façon de procéder, bien au contraire.</w:t>
      </w:r>
    </w:p>
    <w:p w:rsidR="0041746D" w:rsidRPr="008675BA" w:rsidRDefault="0041746D" w:rsidP="0041746D">
      <w:pPr>
        <w:pStyle w:val="ParaNoNdepar-AltN"/>
        <w:rPr>
          <w:rFonts w:cs="Times New Roman"/>
          <w:lang w:val="fr-CA"/>
        </w:rPr>
      </w:pPr>
      <w:r w:rsidRPr="008675BA">
        <w:rPr>
          <w:rFonts w:cs="Times New Roman"/>
          <w:lang w:val="fr-CA"/>
        </w:rPr>
        <w:t>J’ouvre une parenthèse pour souligner que la juge du procès conclut que M</w:t>
      </w:r>
      <w:r w:rsidRPr="008675BA">
        <w:rPr>
          <w:rFonts w:cs="Times New Roman"/>
          <w:vertAlign w:val="superscript"/>
          <w:lang w:val="fr-CA"/>
        </w:rPr>
        <w:t>e</w:t>
      </w:r>
      <w:r w:rsidRPr="008675BA">
        <w:rPr>
          <w:rFonts w:cs="Times New Roman"/>
          <w:lang w:val="fr-CA"/>
        </w:rPr>
        <w:t> Salomon a agi, dès le début, pour les deux intimées. Par exemple, elle note que, en 2003, son avis juridique sur l’interprétation des testaments de M. Thompson, dans lequel il abordait l’objectif de préservation du capital, a été remis tant à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qu’à 166 (</w:t>
      </w:r>
      <w:r>
        <w:rPr>
          <w:rFonts w:cs="Times New Roman"/>
          <w:lang w:val="fr-CA"/>
        </w:rPr>
        <w:t>par. </w:t>
      </w:r>
      <w:r w:rsidRPr="008675BA">
        <w:rPr>
          <w:rFonts w:cs="Times New Roman"/>
          <w:lang w:val="fr-CA"/>
        </w:rPr>
        <w:t>44 et 122</w:t>
      </w:r>
      <w:r>
        <w:rPr>
          <w:rFonts w:cs="Times New Roman"/>
          <w:lang w:val="fr-CA"/>
        </w:rPr>
        <w:noBreakHyphen/>
      </w:r>
      <w:r w:rsidRPr="008675BA">
        <w:rPr>
          <w:rFonts w:cs="Times New Roman"/>
          <w:lang w:val="fr-CA"/>
        </w:rPr>
        <w:t>123). Par conséquent, il est indéniable que M</w:t>
      </w:r>
      <w:r w:rsidRPr="008675BA">
        <w:rPr>
          <w:rFonts w:cs="Times New Roman"/>
          <w:vertAlign w:val="superscript"/>
          <w:lang w:val="fr-CA"/>
        </w:rPr>
        <w:t>e</w:t>
      </w:r>
      <w:r w:rsidRPr="008675BA">
        <w:rPr>
          <w:rFonts w:cs="Times New Roman"/>
          <w:lang w:val="fr-CA"/>
        </w:rPr>
        <w:t xml:space="preserve"> Salomon avait un devoir de conseil et un devoir de loyauté envers les deux </w:t>
      </w:r>
      <w:r w:rsidRPr="008675BA">
        <w:rPr>
          <w:rFonts w:cs="Times New Roman"/>
          <w:lang w:val="fr-CA"/>
        </w:rPr>
        <w:lastRenderedPageBreak/>
        <w:t>intimées. Toutefois, de tels devoirs étaient dans une large mesure circonscrits par la nature et l’étendue mêmes de ses mandats.</w:t>
      </w:r>
    </w:p>
    <w:p w:rsidR="0041746D" w:rsidRPr="0019768E" w:rsidRDefault="0041746D" w:rsidP="0041746D">
      <w:pPr>
        <w:pStyle w:val="ParaNoNdepar-AltN"/>
        <w:rPr>
          <w:rFonts w:cs="Times New Roman"/>
          <w:lang w:val="fr-CA"/>
        </w:rPr>
      </w:pPr>
      <w:r w:rsidRPr="0019768E">
        <w:rPr>
          <w:rFonts w:cs="Times New Roman"/>
          <w:lang w:val="fr-CA"/>
        </w:rPr>
        <w:t>Quoique M</w:t>
      </w:r>
      <w:r w:rsidRPr="0019768E">
        <w:rPr>
          <w:rFonts w:cs="Times New Roman"/>
          <w:vertAlign w:val="superscript"/>
          <w:lang w:val="fr-CA"/>
        </w:rPr>
        <w:t>e</w:t>
      </w:r>
      <w:r w:rsidRPr="0019768E">
        <w:rPr>
          <w:rFonts w:cs="Times New Roman"/>
          <w:lang w:val="fr-CA"/>
        </w:rPr>
        <w:t> Salomon ait effectivement donné de son propre chef des conseils en matière de placements à quelques reprises, il n’a pas prétendu agir à titre de conseiller financier des intimées ni assumé la responsabilité d’élaborer, de surveiller ou de vérifier la stratégie de placement de celles</w:t>
      </w:r>
      <w:r w:rsidRPr="0019768E">
        <w:rPr>
          <w:rFonts w:cs="Times New Roman"/>
          <w:lang w:val="fr-CA"/>
        </w:rPr>
        <w:noBreakHyphen/>
        <w:t>ci. En fait, il a dirigé M</w:t>
      </w:r>
      <w:r w:rsidRPr="0019768E">
        <w:rPr>
          <w:rFonts w:cs="Times New Roman"/>
          <w:vertAlign w:val="superscript"/>
          <w:lang w:val="fr-CA"/>
        </w:rPr>
        <w:t>me</w:t>
      </w:r>
      <w:r w:rsidRPr="0019768E">
        <w:rPr>
          <w:rFonts w:cs="Times New Roman"/>
          <w:lang w:val="fr-CA"/>
        </w:rPr>
        <w:t> Matte</w:t>
      </w:r>
      <w:r w:rsidRPr="0019768E">
        <w:rPr>
          <w:rFonts w:cs="Times New Roman"/>
          <w:lang w:val="fr-CA"/>
        </w:rPr>
        <w:noBreakHyphen/>
        <w:t>Thompson et 166 vers Triglobal et M. Papadopoulos justement pour que ses clientes puissent obtenir des conseils et des services en matière de placements auprès de professionnels spécialisés dans ce domaine (motifs de première instance, par. 45 et 50). Les intimées ont par la suite développé leur propre relation indépendante avec les professionnels recommandés (motifs de première instance, par. 211 et 288). À la lumière de ces considérations, la première question que j’examinerai est celle de savoir si M</w:t>
      </w:r>
      <w:r w:rsidRPr="0019768E">
        <w:rPr>
          <w:rFonts w:cs="Times New Roman"/>
          <w:vertAlign w:val="superscript"/>
          <w:lang w:val="fr-CA"/>
        </w:rPr>
        <w:t>e</w:t>
      </w:r>
      <w:r w:rsidRPr="0019768E">
        <w:rPr>
          <w:rFonts w:cs="Times New Roman"/>
          <w:lang w:val="fr-CA"/>
        </w:rPr>
        <w:t> Salomon a commis une faute en recommandant Triglobal et M. Papadopoulos et en témoignant de sa confiance en eux</w:t>
      </w:r>
      <w:r w:rsidRPr="00CD3B5B">
        <w:rPr>
          <w:rStyle w:val="Hyperlink"/>
          <w:u w:val="none"/>
          <w:vertAlign w:val="superscript"/>
        </w:rPr>
        <w:footnoteReference w:id="2"/>
      </w:r>
      <w:r w:rsidRPr="0019768E">
        <w:rPr>
          <w:rFonts w:cs="Times New Roman"/>
          <w:lang w:val="fr-CA"/>
        </w:rPr>
        <w:t>.</w:t>
      </w:r>
    </w:p>
    <w:p w:rsidR="0041746D" w:rsidRPr="008675BA" w:rsidRDefault="0041746D" w:rsidP="0041746D">
      <w:pPr>
        <w:pStyle w:val="Title3LevelTitre3Niveau"/>
        <w:numPr>
          <w:ilvl w:val="2"/>
          <w:numId w:val="25"/>
        </w:numPr>
        <w:rPr>
          <w:rFonts w:cs="Times New Roman"/>
          <w:lang w:val="fr-CA"/>
        </w:rPr>
      </w:pPr>
      <w:bookmarkStart w:id="14" w:name="_Toc2153998"/>
      <w:r w:rsidRPr="008675BA">
        <w:rPr>
          <w:rFonts w:cs="Times New Roman"/>
          <w:lang w:val="fr-CA"/>
        </w:rPr>
        <w:t>Le devoir de M</w:t>
      </w:r>
      <w:r w:rsidRPr="008675BA">
        <w:rPr>
          <w:rFonts w:cs="Times New Roman"/>
          <w:vertAlign w:val="superscript"/>
          <w:lang w:val="fr-CA"/>
        </w:rPr>
        <w:t>e</w:t>
      </w:r>
      <w:r w:rsidRPr="008675BA">
        <w:rPr>
          <w:rFonts w:cs="Times New Roman"/>
          <w:lang w:val="fr-CA"/>
        </w:rPr>
        <w:t> Salomon quant à la recommandation de Triglobal et de M. Papadopoulos</w:t>
      </w:r>
      <w:bookmarkEnd w:id="14"/>
      <w:r w:rsidRPr="008675BA">
        <w:rPr>
          <w:rFonts w:cs="Times New Roman"/>
          <w:lang w:val="fr-CA"/>
        </w:rPr>
        <w:t xml:space="preserve"> </w:t>
      </w:r>
    </w:p>
    <w:p w:rsidR="0041746D" w:rsidRPr="008675BA" w:rsidRDefault="0041746D" w:rsidP="0041746D">
      <w:pPr>
        <w:pStyle w:val="ParaNoNdepar-AltN"/>
        <w:rPr>
          <w:rFonts w:cs="Times New Roman"/>
          <w:lang w:val="fr-CA"/>
        </w:rPr>
      </w:pPr>
      <w:r w:rsidRPr="008675BA">
        <w:rPr>
          <w:rFonts w:cs="Times New Roman"/>
          <w:lang w:val="fr-CA"/>
        </w:rPr>
        <w:t>À mon avis, la Cour d’appel n’aurait pas dû modifier la conclusion de la juge du procès selon laquelle le fait pour M</w:t>
      </w:r>
      <w:r w:rsidRPr="008675BA">
        <w:rPr>
          <w:rFonts w:cs="Times New Roman"/>
          <w:vertAlign w:val="superscript"/>
          <w:lang w:val="fr-CA"/>
        </w:rPr>
        <w:t>e</w:t>
      </w:r>
      <w:r w:rsidRPr="008675BA">
        <w:rPr>
          <w:rFonts w:cs="Times New Roman"/>
          <w:lang w:val="fr-CA"/>
        </w:rPr>
        <w:t xml:space="preserve"> Salomon de recommander Triglobal et M. Papadopoulos — et de témoigner de sa confiance en eux — ne constitue pas en soi une faute (motifs de première instance, </w:t>
      </w:r>
      <w:r>
        <w:rPr>
          <w:rFonts w:cs="Times New Roman"/>
          <w:lang w:val="fr-CA"/>
        </w:rPr>
        <w:t>par. </w:t>
      </w:r>
      <w:r w:rsidRPr="008675BA">
        <w:rPr>
          <w:rFonts w:cs="Times New Roman"/>
          <w:lang w:val="fr-CA"/>
        </w:rPr>
        <w:t>197 et 302</w:t>
      </w:r>
      <w:r>
        <w:rPr>
          <w:rFonts w:cs="Times New Roman"/>
          <w:lang w:val="fr-CA"/>
        </w:rPr>
        <w:noBreakHyphen/>
      </w:r>
      <w:r w:rsidRPr="008675BA">
        <w:rPr>
          <w:rFonts w:cs="Times New Roman"/>
          <w:lang w:val="fr-CA"/>
        </w:rPr>
        <w:t xml:space="preserve">304). Conformément à son </w:t>
      </w:r>
      <w:r w:rsidRPr="008675BA">
        <w:rPr>
          <w:rFonts w:cs="Times New Roman"/>
          <w:lang w:val="fr-CA"/>
        </w:rPr>
        <w:lastRenderedPageBreak/>
        <w:t>approche « globale » à l’égard de l’affaire, la Cour d’appel ne traite pas de cette recommandation séparément, mais l’examine en même temps que la recommandation concernant des produits précis de placement. En toute déférence, il me semble que la Cour d’appel, plutôt que de contrôler la décision de la juge du procès pour y déceler des erreurs, procède d’emblée à un réexamen de la preuve sous un autre angle.</w:t>
      </w:r>
    </w:p>
    <w:p w:rsidR="0041746D" w:rsidRPr="008675BA" w:rsidRDefault="0041746D" w:rsidP="0041746D">
      <w:pPr>
        <w:pStyle w:val="ParaNoNdepar-AltN"/>
        <w:rPr>
          <w:rFonts w:cs="Times New Roman"/>
          <w:lang w:val="fr-CA"/>
        </w:rPr>
      </w:pPr>
      <w:r w:rsidRPr="008675BA">
        <w:rPr>
          <w:rFonts w:cs="Times New Roman"/>
          <w:lang w:val="fr-CA"/>
        </w:rPr>
        <w:t>Bien que la Cour d’appel ne fait pas explicitement une distinction entre la recommandation initiale des conseillers financiers et les conseils précis en matière de placements, ses motifs tendent à indiquer que le fait pour M</w:t>
      </w:r>
      <w:r w:rsidRPr="008675BA">
        <w:rPr>
          <w:rFonts w:cs="Times New Roman"/>
          <w:vertAlign w:val="superscript"/>
          <w:lang w:val="fr-CA"/>
        </w:rPr>
        <w:t>e</w:t>
      </w:r>
      <w:r w:rsidRPr="008675BA">
        <w:rPr>
          <w:rFonts w:cs="Times New Roman"/>
          <w:lang w:val="fr-CA"/>
        </w:rPr>
        <w:t> Salomon d’avoir recommandé Triglobal et M. Papadopoulos sans avoir préalablement effectué des vérifications auprès de l’Autorité des marchés financiers (« AMF ») est erroné en soi (</w:t>
      </w:r>
      <w:r>
        <w:rPr>
          <w:rFonts w:cs="Times New Roman"/>
          <w:lang w:val="fr-CA"/>
        </w:rPr>
        <w:t>par. </w:t>
      </w:r>
      <w:r w:rsidRPr="008675BA">
        <w:rPr>
          <w:rFonts w:cs="Times New Roman"/>
          <w:lang w:val="fr-CA"/>
        </w:rPr>
        <w:t>70</w:t>
      </w:r>
      <w:r>
        <w:rPr>
          <w:rFonts w:cs="Times New Roman"/>
          <w:lang w:val="fr-CA"/>
        </w:rPr>
        <w:noBreakHyphen/>
      </w:r>
      <w:r w:rsidRPr="008675BA">
        <w:rPr>
          <w:rFonts w:cs="Times New Roman"/>
          <w:lang w:val="fr-CA"/>
        </w:rPr>
        <w:t>72 et 117). Les motifs de mon collègue laissent entendre la même chose (</w:t>
      </w:r>
      <w:r>
        <w:rPr>
          <w:rFonts w:cs="Times New Roman"/>
          <w:lang w:val="fr-CA"/>
        </w:rPr>
        <w:t>par. </w:t>
      </w:r>
      <w:r w:rsidRPr="008675BA">
        <w:rPr>
          <w:rFonts w:cs="Times New Roman"/>
          <w:lang w:val="fr-CA"/>
        </w:rPr>
        <w:t>59), ce qui contredit les motifs de la juge du procès, puisqu’elle conclut que la recommandation initiale et les témoignages de confiance ultérieurs de M</w:t>
      </w:r>
      <w:r w:rsidRPr="008675BA">
        <w:rPr>
          <w:rFonts w:cs="Times New Roman"/>
          <w:vertAlign w:val="superscript"/>
          <w:lang w:val="fr-CA"/>
        </w:rPr>
        <w:t>e</w:t>
      </w:r>
      <w:r w:rsidRPr="008675BA">
        <w:rPr>
          <w:rFonts w:cs="Times New Roman"/>
          <w:lang w:val="fr-CA"/>
        </w:rPr>
        <w:t xml:space="preserve"> Salomon envers Triglobal et M. Papadopoulos étaient raisonnables au moins jusqu’en mai 2007, au moment de la parution de l’article de </w:t>
      </w:r>
      <w:r w:rsidRPr="008675BA">
        <w:rPr>
          <w:rFonts w:cs="Times New Roman"/>
          <w:i/>
          <w:lang w:val="fr-CA"/>
        </w:rPr>
        <w:t>La Presse Affaires</w:t>
      </w:r>
      <w:r w:rsidRPr="008675BA">
        <w:rPr>
          <w:rFonts w:cs="Times New Roman"/>
          <w:lang w:val="fr-CA"/>
        </w:rPr>
        <w:t>. Pour ma part, je suis convaincue que les conclusions de la juge du procès ne comportent pas d’erreur manifeste à cet égard.</w:t>
      </w:r>
    </w:p>
    <w:p w:rsidR="0041746D" w:rsidRPr="008675BA" w:rsidRDefault="0041746D" w:rsidP="0041746D">
      <w:pPr>
        <w:pStyle w:val="ParaNoNdepar-AltN"/>
        <w:rPr>
          <w:rFonts w:cs="Times New Roman"/>
          <w:lang w:val="fr-CA"/>
        </w:rPr>
      </w:pPr>
      <w:r w:rsidRPr="008675BA">
        <w:rPr>
          <w:rFonts w:cs="Times New Roman"/>
          <w:lang w:val="fr-CA"/>
        </w:rPr>
        <w:t xml:space="preserve">Il est de pratique courante pour les avocats de recommander d’autres professionnels à leurs clients. D’ailleurs, comme le soulignent les appelants, il est du </w:t>
      </w:r>
      <w:r w:rsidRPr="008675BA">
        <w:rPr>
          <w:rFonts w:cs="Times New Roman"/>
          <w:i/>
          <w:lang w:val="fr-CA"/>
        </w:rPr>
        <w:t xml:space="preserve">devoir </w:t>
      </w:r>
      <w:r w:rsidRPr="008675BA">
        <w:rPr>
          <w:rFonts w:cs="Times New Roman"/>
          <w:lang w:val="fr-CA"/>
        </w:rPr>
        <w:t xml:space="preserve">des avocats de reconnaître les limites de leur compétence et, lorsque l’exigent les circonstances, de consulter d’autres professionnels ou de conseiller à leurs clients de consulter de telles personnes. Chaque fois qu’ils recommandent d’autres professionnels ou qu’ils expriment leur confiance en eux, les avocats doivent satisfaire </w:t>
      </w:r>
      <w:r w:rsidRPr="008675BA">
        <w:rPr>
          <w:rFonts w:cs="Times New Roman"/>
          <w:lang w:val="fr-CA"/>
        </w:rPr>
        <w:lastRenderedPageBreak/>
        <w:t>à la norme de l’avocat raisonnablement compétent, prudent et diligent dans la même situation. Bien qu’on ne puisse s’attendre à ce qu’ils garantissent les services rendus par les professionnels qu’ils recommandent, ils ont quand même une obligation de moyens.</w:t>
      </w:r>
    </w:p>
    <w:p w:rsidR="0041746D" w:rsidRPr="008675BA" w:rsidRDefault="0041746D" w:rsidP="0041746D">
      <w:pPr>
        <w:pStyle w:val="ParaNoNdepar-AltN"/>
        <w:rPr>
          <w:rFonts w:cs="Times New Roman"/>
          <w:lang w:val="fr-CA"/>
        </w:rPr>
      </w:pPr>
      <w:r w:rsidRPr="008675BA">
        <w:rPr>
          <w:rFonts w:cs="Times New Roman"/>
          <w:lang w:val="fr-CA"/>
        </w:rPr>
        <w:t xml:space="preserve">J’estime, comme mon collègue, que la Cour d’appel du Québec énonce correctement les principes applicables dans </w:t>
      </w:r>
      <w:r w:rsidRPr="008675BA">
        <w:rPr>
          <w:rFonts w:cs="Times New Roman"/>
          <w:i/>
          <w:lang w:val="fr-CA"/>
        </w:rPr>
        <w:t>Harris (Succession), Re</w:t>
      </w:r>
      <w:r w:rsidRPr="008675BA">
        <w:rPr>
          <w:rFonts w:cs="Times New Roman"/>
          <w:lang w:val="fr-CA"/>
        </w:rPr>
        <w:t xml:space="preserve">, 2016 QCCA 50, 25 C.C.L.T. (4th) 1, </w:t>
      </w:r>
      <w:r>
        <w:rPr>
          <w:rFonts w:cs="Times New Roman"/>
          <w:lang w:val="fr-CA"/>
        </w:rPr>
        <w:t>par. </w:t>
      </w:r>
      <w:r w:rsidRPr="008675BA">
        <w:rPr>
          <w:rFonts w:cs="Times New Roman"/>
          <w:lang w:val="fr-CA"/>
        </w:rPr>
        <w:t>22</w:t>
      </w:r>
      <w:r>
        <w:rPr>
          <w:rFonts w:cs="Times New Roman"/>
          <w:lang w:val="fr-CA"/>
        </w:rPr>
        <w:t> :</w:t>
      </w:r>
    </w:p>
    <w:p w:rsidR="0041746D" w:rsidRPr="008675BA" w:rsidRDefault="0041746D" w:rsidP="0041746D">
      <w:pPr>
        <w:pStyle w:val="Citation-AltC"/>
        <w:ind w:hanging="1166"/>
        <w:rPr>
          <w:lang w:val="fr-CA"/>
        </w:rPr>
      </w:pPr>
      <w:r w:rsidRPr="008675BA">
        <w:rPr>
          <w:lang w:val="fr-CA"/>
        </w:rPr>
        <w:tab/>
        <w:t xml:space="preserve">L’avocat qui, comme en l’espèce, recommande de consulter une autre personne doit avoir la conviction que cette personne est compétente pour remplir adéquatement le mandat dont il est question. Sa conviction doit reposer sur une connaissance raisonnablement éclairée de la personne recommandée. En cette matière, tout est affaire de circonstances. </w:t>
      </w:r>
    </w:p>
    <w:p w:rsidR="0041746D" w:rsidRPr="008675BA" w:rsidRDefault="0041746D" w:rsidP="0041746D">
      <w:pPr>
        <w:pStyle w:val="ParaNoNdepar-AltN"/>
        <w:rPr>
          <w:rFonts w:cs="Times New Roman"/>
          <w:lang w:val="fr-CA"/>
        </w:rPr>
      </w:pPr>
      <w:r w:rsidRPr="008675BA">
        <w:rPr>
          <w:rFonts w:cs="Times New Roman"/>
          <w:lang w:val="fr-CA"/>
        </w:rPr>
        <w:t xml:space="preserve">En l’espèce, la décision de la juge du procès est conforme à cette approche, même si elle a été rendue avant </w:t>
      </w:r>
      <w:r w:rsidRPr="008675BA">
        <w:rPr>
          <w:rFonts w:cs="Times New Roman"/>
          <w:i/>
          <w:lang w:val="fr-CA"/>
        </w:rPr>
        <w:t>Harris</w:t>
      </w:r>
      <w:r w:rsidRPr="008675BA">
        <w:rPr>
          <w:rFonts w:cs="Times New Roman"/>
          <w:lang w:val="fr-CA"/>
        </w:rPr>
        <w:t>. La juge du procès tient compte du fait que M</w:t>
      </w:r>
      <w:r w:rsidRPr="008675BA">
        <w:rPr>
          <w:rFonts w:cs="Times New Roman"/>
          <w:vertAlign w:val="superscript"/>
          <w:lang w:val="fr-CA"/>
        </w:rPr>
        <w:t>e</w:t>
      </w:r>
      <w:r w:rsidRPr="008675BA">
        <w:rPr>
          <w:rFonts w:cs="Times New Roman"/>
          <w:lang w:val="fr-CA"/>
        </w:rPr>
        <w:t xml:space="preserve"> Salomon a fait preuve de </w:t>
      </w:r>
      <w:r w:rsidR="00CD3B5B">
        <w:rPr>
          <w:rFonts w:cs="Times New Roman"/>
          <w:lang w:val="fr-CA"/>
        </w:rPr>
        <w:t>[</w:t>
      </w:r>
      <w:r w:rsidR="00CD3B5B" w:rsidRPr="00CD3B5B">
        <w:rPr>
          <w:rFonts w:cs="Times New Roman"/>
          <w:smallCaps/>
          <w:lang w:val="fr-CA"/>
        </w:rPr>
        <w:t>traduction</w:t>
      </w:r>
      <w:r w:rsidR="00CD3B5B">
        <w:rPr>
          <w:rFonts w:cs="Times New Roman"/>
          <w:lang w:val="fr-CA"/>
        </w:rPr>
        <w:t xml:space="preserve">] </w:t>
      </w:r>
      <w:r w:rsidRPr="008675BA">
        <w:rPr>
          <w:rFonts w:cs="Times New Roman"/>
          <w:lang w:val="fr-CA"/>
        </w:rPr>
        <w:t>« diligence raisonnable » en 2001 avant de retenir les services de Triglobal pour ses propres placements (</w:t>
      </w:r>
      <w:r>
        <w:rPr>
          <w:rFonts w:cs="Times New Roman"/>
          <w:lang w:val="fr-CA"/>
        </w:rPr>
        <w:t>par. </w:t>
      </w:r>
      <w:r w:rsidRPr="008675BA">
        <w:rPr>
          <w:rFonts w:cs="Times New Roman"/>
          <w:lang w:val="fr-CA"/>
        </w:rPr>
        <w:t>34 et 133), c’est</w:t>
      </w:r>
      <w:r>
        <w:rPr>
          <w:rFonts w:cs="Times New Roman"/>
          <w:lang w:val="fr-CA"/>
        </w:rPr>
        <w:noBreakHyphen/>
      </w:r>
      <w:r w:rsidRPr="008675BA">
        <w:rPr>
          <w:rFonts w:cs="Times New Roman"/>
          <w:lang w:val="fr-CA"/>
        </w:rPr>
        <w:t>à</w:t>
      </w:r>
      <w:r>
        <w:rPr>
          <w:rFonts w:cs="Times New Roman"/>
          <w:lang w:val="fr-CA"/>
        </w:rPr>
        <w:noBreakHyphen/>
      </w:r>
      <w:r w:rsidRPr="008675BA">
        <w:rPr>
          <w:rFonts w:cs="Times New Roman"/>
          <w:lang w:val="fr-CA"/>
        </w:rPr>
        <w:t>dire qu’il s’était informé quant aux avocats et aux comptables qui assistaient M. Papadopoulos. Il connaissait et respectait plusieurs d’entre eux, ce qui l’a convaincu de recourir aux services de Triglobal pour ses placements. Au cours des années suivantes, M</w:t>
      </w:r>
      <w:r w:rsidRPr="008675BA">
        <w:rPr>
          <w:rFonts w:cs="Times New Roman"/>
          <w:vertAlign w:val="superscript"/>
          <w:lang w:val="fr-CA"/>
        </w:rPr>
        <w:t>e</w:t>
      </w:r>
      <w:r w:rsidRPr="008675BA">
        <w:rPr>
          <w:rFonts w:cs="Times New Roman"/>
          <w:lang w:val="fr-CA"/>
        </w:rPr>
        <w:t> Salomon a recommandé la firme à des membres de sa famille, à des amis et à des clients et il était lui</w:t>
      </w:r>
      <w:r>
        <w:rPr>
          <w:rFonts w:cs="Times New Roman"/>
          <w:lang w:val="fr-CA"/>
        </w:rPr>
        <w:noBreakHyphen/>
      </w:r>
      <w:r w:rsidRPr="008675BA">
        <w:rPr>
          <w:rFonts w:cs="Times New Roman"/>
          <w:lang w:val="fr-CA"/>
        </w:rPr>
        <w:t xml:space="preserve">même très satisfait des conseils en matière de placements qu’il a reçus (motifs de première instance, </w:t>
      </w:r>
      <w:r>
        <w:rPr>
          <w:rFonts w:cs="Times New Roman"/>
          <w:lang w:val="fr-CA"/>
        </w:rPr>
        <w:t>par. </w:t>
      </w:r>
      <w:r w:rsidRPr="008675BA">
        <w:rPr>
          <w:rFonts w:cs="Times New Roman"/>
          <w:lang w:val="fr-CA"/>
        </w:rPr>
        <w:t>35 et 134). La juge du procès souligne également que « [M</w:t>
      </w:r>
      <w:r w:rsidRPr="008675BA">
        <w:rPr>
          <w:rFonts w:cs="Times New Roman"/>
          <w:vertAlign w:val="superscript"/>
          <w:lang w:val="fr-CA"/>
        </w:rPr>
        <w:t>e</w:t>
      </w:r>
      <w:r w:rsidRPr="008675BA">
        <w:rPr>
          <w:rFonts w:cs="Times New Roman"/>
          <w:lang w:val="fr-CA"/>
        </w:rPr>
        <w:t xml:space="preserve">] Salomon n’avait aucune raison de soupçonner une quelconque conduite répréhensible de la part de M. Papadopoulos ou de Triglobal » et que « Triglobal avait la réputation d’être une firme de placement de premier ordre [qui était] </w:t>
      </w:r>
      <w:r w:rsidRPr="008675BA">
        <w:rPr>
          <w:rFonts w:cs="Times New Roman"/>
          <w:lang w:val="fr-CA"/>
        </w:rPr>
        <w:lastRenderedPageBreak/>
        <w:t>très bien cotée » avant son implosion à la fin de 2007 (</w:t>
      </w:r>
      <w:r>
        <w:rPr>
          <w:rFonts w:cs="Times New Roman"/>
          <w:lang w:val="fr-CA"/>
        </w:rPr>
        <w:t>par. </w:t>
      </w:r>
      <w:r w:rsidRPr="008675BA">
        <w:rPr>
          <w:rFonts w:cs="Times New Roman"/>
          <w:lang w:val="fr-CA"/>
        </w:rPr>
        <w:t>302</w:t>
      </w:r>
      <w:r>
        <w:rPr>
          <w:rFonts w:cs="Times New Roman"/>
          <w:lang w:val="fr-CA"/>
        </w:rPr>
        <w:noBreakHyphen/>
      </w:r>
      <w:r w:rsidRPr="008675BA">
        <w:rPr>
          <w:rFonts w:cs="Times New Roman"/>
          <w:lang w:val="fr-CA"/>
        </w:rPr>
        <w:t xml:space="preserve">303). Comme l’explique la Cour d’appel dans </w:t>
      </w:r>
      <w:r w:rsidRPr="008675BA">
        <w:rPr>
          <w:rFonts w:cs="Times New Roman"/>
          <w:i/>
          <w:lang w:val="fr-CA"/>
        </w:rPr>
        <w:t>Harris</w:t>
      </w:r>
      <w:r w:rsidRPr="008675BA">
        <w:rPr>
          <w:rFonts w:cs="Times New Roman"/>
          <w:lang w:val="fr-CA"/>
        </w:rPr>
        <w:t xml:space="preserve">, </w:t>
      </w:r>
      <w:r>
        <w:rPr>
          <w:rFonts w:cs="Times New Roman"/>
          <w:lang w:val="fr-CA"/>
        </w:rPr>
        <w:t>par. </w:t>
      </w:r>
      <w:r w:rsidRPr="008675BA">
        <w:rPr>
          <w:rFonts w:cs="Times New Roman"/>
          <w:lang w:val="fr-CA"/>
        </w:rPr>
        <w:t>28, les tribunaux doivent se garder de juger des recommandations à la lumière de faits découverts subséquemment. La confiance de M</w:t>
      </w:r>
      <w:r w:rsidRPr="008675BA">
        <w:rPr>
          <w:rFonts w:cs="Times New Roman"/>
          <w:vertAlign w:val="superscript"/>
          <w:lang w:val="fr-CA"/>
        </w:rPr>
        <w:t>e</w:t>
      </w:r>
      <w:r w:rsidRPr="008675BA">
        <w:rPr>
          <w:rFonts w:cs="Times New Roman"/>
          <w:lang w:val="fr-CA"/>
        </w:rPr>
        <w:t> Salomon en la compétence et la probité de Triglobal et de M. Papadopoulos reposait sur une connaissance raisonnable. Contrairement à ce qu’affirme mon collègue, il ne s’agit pas de « confiance aveugle » (</w:t>
      </w:r>
      <w:r>
        <w:rPr>
          <w:rFonts w:cs="Times New Roman"/>
          <w:lang w:val="fr-CA"/>
        </w:rPr>
        <w:t>par. </w:t>
      </w:r>
      <w:r w:rsidRPr="008675BA">
        <w:rPr>
          <w:rFonts w:cs="Times New Roman"/>
          <w:lang w:val="fr-CA"/>
        </w:rPr>
        <w:t xml:space="preserve">60). </w:t>
      </w:r>
    </w:p>
    <w:p w:rsidR="0041746D" w:rsidRPr="008675BA" w:rsidRDefault="0041746D" w:rsidP="0041746D">
      <w:pPr>
        <w:pStyle w:val="ParaNoNdepar-AltN"/>
        <w:rPr>
          <w:rFonts w:cs="Times New Roman"/>
          <w:lang w:val="fr-CA"/>
        </w:rPr>
      </w:pPr>
      <w:r w:rsidRPr="008675BA">
        <w:rPr>
          <w:rFonts w:cs="Times New Roman"/>
          <w:lang w:val="fr-CA"/>
        </w:rPr>
        <w:t>Il s’ensuit que, bien que des vérifications supplémentaires de la part de M</w:t>
      </w:r>
      <w:r w:rsidRPr="008675BA">
        <w:rPr>
          <w:rFonts w:cs="Times New Roman"/>
          <w:vertAlign w:val="superscript"/>
          <w:lang w:val="fr-CA"/>
        </w:rPr>
        <w:t>e</w:t>
      </w:r>
      <w:r w:rsidRPr="008675BA">
        <w:rPr>
          <w:rFonts w:cs="Times New Roman"/>
          <w:lang w:val="fr-CA"/>
        </w:rPr>
        <w:t> Salomon eurent été souhaitables, d’autant plus qu’il est allé jusqu’à dire qu’il considérait M. Papadopoulos comme étant [</w:t>
      </w:r>
      <w:r w:rsidRPr="008675BA">
        <w:rPr>
          <w:rFonts w:cs="Times New Roman"/>
          <w:smallCaps/>
          <w:lang w:val="fr-CA"/>
        </w:rPr>
        <w:t>traduction</w:t>
      </w:r>
      <w:r w:rsidRPr="008675BA">
        <w:rPr>
          <w:rFonts w:cs="Times New Roman"/>
          <w:lang w:val="fr-CA"/>
        </w:rPr>
        <w:t xml:space="preserve">] « très conservateur » en matière de préservation de capital (motifs de première instance, </w:t>
      </w:r>
      <w:r>
        <w:rPr>
          <w:rFonts w:cs="Times New Roman"/>
          <w:lang w:val="fr-CA"/>
        </w:rPr>
        <w:t>par. </w:t>
      </w:r>
      <w:r w:rsidRPr="008675BA">
        <w:rPr>
          <w:rFonts w:cs="Times New Roman"/>
          <w:lang w:val="fr-CA"/>
        </w:rPr>
        <w:t>49), M</w:t>
      </w:r>
      <w:r w:rsidRPr="008675BA">
        <w:rPr>
          <w:rFonts w:cs="Times New Roman"/>
          <w:vertAlign w:val="superscript"/>
          <w:lang w:val="fr-CA"/>
        </w:rPr>
        <w:t>e</w:t>
      </w:r>
      <w:r w:rsidRPr="008675BA">
        <w:rPr>
          <w:rFonts w:cs="Times New Roman"/>
          <w:lang w:val="fr-CA"/>
        </w:rPr>
        <w:t> Salomon a agi comme l’aurait fait un avocat raisonnablement compétent, prudent et diligent dans les circonstances. Même s’il est sans doute vrai qu’il aurait été préférable que M</w:t>
      </w:r>
      <w:r w:rsidRPr="008675BA">
        <w:rPr>
          <w:rFonts w:cs="Times New Roman"/>
          <w:vertAlign w:val="superscript"/>
          <w:lang w:val="fr-CA"/>
        </w:rPr>
        <w:t>e</w:t>
      </w:r>
      <w:r w:rsidRPr="008675BA">
        <w:rPr>
          <w:rFonts w:cs="Times New Roman"/>
          <w:lang w:val="fr-CA"/>
        </w:rPr>
        <w:t> Salomon communique avec l’AMF, son défaut de le faire ne constitue pas une faute étant donné la réputation de la firme et le fait que les services de Triglobal lui étaient familiers.</w:t>
      </w:r>
    </w:p>
    <w:p w:rsidR="0041746D" w:rsidRPr="008675BA" w:rsidRDefault="0041746D" w:rsidP="0041746D">
      <w:pPr>
        <w:pStyle w:val="ParaNoNdepar-AltN"/>
        <w:rPr>
          <w:rFonts w:cs="Times New Roman"/>
          <w:lang w:val="fr-CA"/>
        </w:rPr>
      </w:pPr>
      <w:r w:rsidRPr="008675BA">
        <w:rPr>
          <w:rFonts w:cs="Times New Roman"/>
          <w:lang w:val="fr-CA"/>
        </w:rPr>
        <w:t>De plus, M</w:t>
      </w:r>
      <w:r w:rsidRPr="008675BA">
        <w:rPr>
          <w:rFonts w:cs="Times New Roman"/>
          <w:vertAlign w:val="superscript"/>
          <w:lang w:val="fr-CA"/>
        </w:rPr>
        <w:t>e</w:t>
      </w:r>
      <w:r w:rsidRPr="008675BA">
        <w:rPr>
          <w:rFonts w:cs="Times New Roman"/>
          <w:lang w:val="fr-CA"/>
        </w:rPr>
        <w:t> Salomon n’était pas tenu, du seul fait qu’il a recommandé Triglobal et M. Papadopoulos, de vérifier si les conseils en matière de placements que ces derniers ont donnés étaient appropriés. Comme le soulignent les appelants, l’objectif même d’une telle recommandation est généralement que le client consulte un professionnel dont les domaines d’expertise sont différents de ceux de l’avocat. Ce serait contraire à cet objectif d’exiger, en règle générale, que l’avocat vérifie les conseils donnés par les professionnels qu’il ou elle a recommandés.</w:t>
      </w:r>
    </w:p>
    <w:p w:rsidR="0041746D" w:rsidRPr="008675BA" w:rsidRDefault="0041746D" w:rsidP="0041746D">
      <w:pPr>
        <w:pStyle w:val="ParaNoNdepar-AltN"/>
        <w:rPr>
          <w:rFonts w:cs="Times New Roman"/>
          <w:lang w:val="fr-CA"/>
        </w:rPr>
      </w:pPr>
      <w:r w:rsidRPr="008675BA">
        <w:rPr>
          <w:rFonts w:cs="Times New Roman"/>
          <w:lang w:val="fr-CA"/>
        </w:rPr>
        <w:lastRenderedPageBreak/>
        <w:t>Je crains qu’une conclusion contraire imposerait un fardeau excessif à de nombreux avocats (et à d’autres professionnels) qui recommandent couramment d’autres professionnels en qui ils ont confiance. À mon avis, cela signifierait qu’ils seraient généralement tenus de faire systématiquement des recherches auprès d’ordres professionnels et d’autres organismes de réglementation avant de recommander un professionnel, et que la surveillance et la vérification des conseils donnés par celui</w:t>
      </w:r>
      <w:r>
        <w:rPr>
          <w:rFonts w:cs="Times New Roman"/>
          <w:lang w:val="fr-CA"/>
        </w:rPr>
        <w:noBreakHyphen/>
      </w:r>
      <w:r w:rsidRPr="008675BA">
        <w:rPr>
          <w:rFonts w:cs="Times New Roman"/>
          <w:lang w:val="fr-CA"/>
        </w:rPr>
        <w:t xml:space="preserve">ci pourraient ultérieurement être exigées. Cela irait trop loin. Les professionnels pourraient faire preuve d’une prudence excessive et éviter complètement de faire des recommandations, ce qui ne rendrait pas service à leurs clients. </w:t>
      </w:r>
    </w:p>
    <w:p w:rsidR="0041746D" w:rsidRPr="008675BA" w:rsidRDefault="0041746D" w:rsidP="0041746D">
      <w:pPr>
        <w:pStyle w:val="ParaNoNdepar-AltN"/>
        <w:rPr>
          <w:rFonts w:cs="Times New Roman"/>
          <w:lang w:val="fr-CA"/>
        </w:rPr>
      </w:pPr>
      <w:r w:rsidRPr="008675BA">
        <w:rPr>
          <w:rFonts w:cs="Times New Roman"/>
          <w:lang w:val="fr-CA"/>
        </w:rPr>
        <w:t xml:space="preserve">Je dirais plutôt que les avocats devraient faire des recherches sur les professionnels qu’ils recommandent afin d’en avoir une connaissance raisonnable, à moins qu’ils n’aient déjà eu une expérience de collaboration pertinente avec eux. J’ajouterais que, comme dans d’autres contextes, toutes les « erreurs » professionnelles relatives à ces recherches — ou à l’omission d’en faire — ne constitueront pas une faute si la conduite de l’avocat respecte la norme à laquelle se conformerait un professionnel raisonnablement compétent, prudent et diligent (voir </w:t>
      </w:r>
      <w:r w:rsidRPr="008675BA">
        <w:rPr>
          <w:rFonts w:cs="Times New Roman"/>
          <w:i/>
          <w:lang w:val="fr-CA"/>
        </w:rPr>
        <w:t>Roberge c. Bolduc</w:t>
      </w:r>
      <w:r w:rsidRPr="008675BA">
        <w:rPr>
          <w:rFonts w:cs="Times New Roman"/>
          <w:lang w:val="fr-CA"/>
        </w:rPr>
        <w:t xml:space="preserve">, [1991] 1 R.C.S. 374, </w:t>
      </w:r>
      <w:r>
        <w:rPr>
          <w:rFonts w:cs="Times New Roman"/>
          <w:lang w:val="fr-CA"/>
        </w:rPr>
        <w:t>p. </w:t>
      </w:r>
      <w:r w:rsidRPr="008675BA">
        <w:rPr>
          <w:rFonts w:cs="Times New Roman"/>
          <w:lang w:val="fr-CA"/>
        </w:rPr>
        <w:t>427</w:t>
      </w:r>
      <w:r>
        <w:rPr>
          <w:rFonts w:cs="Times New Roman"/>
          <w:lang w:val="fr-CA"/>
        </w:rPr>
        <w:noBreakHyphen/>
      </w:r>
      <w:r w:rsidRPr="008675BA">
        <w:rPr>
          <w:rFonts w:cs="Times New Roman"/>
          <w:lang w:val="fr-CA"/>
        </w:rPr>
        <w:t xml:space="preserve">428; </w:t>
      </w:r>
      <w:r w:rsidRPr="008675BA">
        <w:rPr>
          <w:rFonts w:cs="Times New Roman"/>
          <w:i/>
          <w:lang w:val="fr-CA"/>
        </w:rPr>
        <w:t>Phillips c. Naamani</w:t>
      </w:r>
      <w:r w:rsidRPr="008675BA">
        <w:rPr>
          <w:rFonts w:cs="Times New Roman"/>
          <w:lang w:val="fr-CA"/>
        </w:rPr>
        <w:t xml:space="preserve">, 1998 CanLII 9332 (C.S. Qc), </w:t>
      </w:r>
      <w:r>
        <w:rPr>
          <w:rFonts w:cs="Times New Roman"/>
          <w:lang w:val="fr-CA"/>
        </w:rPr>
        <w:t>par. </w:t>
      </w:r>
      <w:r w:rsidRPr="008675BA">
        <w:rPr>
          <w:rFonts w:cs="Times New Roman"/>
          <w:lang w:val="fr-CA"/>
        </w:rPr>
        <w:t>66</w:t>
      </w:r>
      <w:r>
        <w:rPr>
          <w:rFonts w:cs="Times New Roman"/>
          <w:lang w:val="fr-CA"/>
        </w:rPr>
        <w:noBreakHyphen/>
      </w:r>
      <w:r w:rsidRPr="008675BA">
        <w:rPr>
          <w:rFonts w:cs="Times New Roman"/>
          <w:lang w:val="fr-CA"/>
        </w:rPr>
        <w:t xml:space="preserve">67). </w:t>
      </w:r>
    </w:p>
    <w:p w:rsidR="0041746D" w:rsidRPr="008675BA" w:rsidRDefault="0041746D" w:rsidP="0041746D">
      <w:pPr>
        <w:pStyle w:val="ParaNoNdepar-AltN"/>
        <w:rPr>
          <w:rFonts w:cs="Times New Roman"/>
          <w:lang w:val="fr-CA"/>
        </w:rPr>
      </w:pPr>
      <w:r w:rsidRPr="008675BA">
        <w:rPr>
          <w:rFonts w:cs="Times New Roman"/>
          <w:lang w:val="fr-CA"/>
        </w:rPr>
        <w:t>Dans l’affaire qui nous occupe, M</w:t>
      </w:r>
      <w:r w:rsidRPr="008675BA">
        <w:rPr>
          <w:rFonts w:cs="Times New Roman"/>
          <w:vertAlign w:val="superscript"/>
          <w:lang w:val="fr-CA"/>
        </w:rPr>
        <w:t>e</w:t>
      </w:r>
      <w:r w:rsidRPr="008675BA">
        <w:rPr>
          <w:rFonts w:cs="Times New Roman"/>
          <w:lang w:val="fr-CA"/>
        </w:rPr>
        <w:t> Salomon connaissait raisonnablement bien Triglobal et M. Papadopoulos en raison de son expérience personnelle. En rétrospective, l’omission de prendre des mesures supplémentaires paraît très malencontreuse, mais ne suffit pas en soi à entraîner la responsabilité de M</w:t>
      </w:r>
      <w:r w:rsidRPr="008675BA">
        <w:rPr>
          <w:rFonts w:cs="Times New Roman"/>
          <w:vertAlign w:val="superscript"/>
          <w:lang w:val="fr-CA"/>
        </w:rPr>
        <w:t>e</w:t>
      </w:r>
      <w:r w:rsidRPr="008675BA">
        <w:rPr>
          <w:rFonts w:cs="Times New Roman"/>
          <w:lang w:val="fr-CA"/>
        </w:rPr>
        <w:t> Salomon.</w:t>
      </w:r>
    </w:p>
    <w:p w:rsidR="0041746D" w:rsidRPr="008675BA" w:rsidRDefault="0041746D" w:rsidP="0041746D">
      <w:pPr>
        <w:pStyle w:val="ParaNoNdepar-AltN"/>
        <w:rPr>
          <w:rFonts w:cs="Times New Roman"/>
          <w:lang w:val="fr-CA"/>
        </w:rPr>
      </w:pPr>
      <w:r w:rsidRPr="008675BA">
        <w:rPr>
          <w:rFonts w:cs="Times New Roman"/>
          <w:lang w:val="fr-CA"/>
        </w:rPr>
        <w:lastRenderedPageBreak/>
        <w:t>Je suis toutefois consciente que la présente affaire ne se résume pas à la simple recommandation de professionnels. La juge du procès conclut que le rôle joué par M</w:t>
      </w:r>
      <w:r w:rsidRPr="008675BA">
        <w:rPr>
          <w:rFonts w:cs="Times New Roman"/>
          <w:vertAlign w:val="superscript"/>
          <w:lang w:val="fr-CA"/>
        </w:rPr>
        <w:t>e</w:t>
      </w:r>
      <w:r w:rsidRPr="008675BA">
        <w:rPr>
          <w:rFonts w:cs="Times New Roman"/>
          <w:lang w:val="fr-CA"/>
        </w:rPr>
        <w:t> Salomon ne se limitait pas à la recommandation initiale faite en 2003, mais qu’il avait également donné des conseils erronés au sujet de produits de placement précis (</w:t>
      </w:r>
      <w:r>
        <w:rPr>
          <w:rFonts w:cs="Times New Roman"/>
          <w:lang w:val="fr-CA"/>
        </w:rPr>
        <w:t>par. </w:t>
      </w:r>
      <w:r w:rsidRPr="008675BA">
        <w:rPr>
          <w:rFonts w:cs="Times New Roman"/>
          <w:lang w:val="fr-CA"/>
        </w:rPr>
        <w:t>198</w:t>
      </w:r>
      <w:r>
        <w:rPr>
          <w:rFonts w:cs="Times New Roman"/>
          <w:lang w:val="fr-CA"/>
        </w:rPr>
        <w:noBreakHyphen/>
      </w:r>
      <w:r w:rsidRPr="008675BA">
        <w:rPr>
          <w:rFonts w:cs="Times New Roman"/>
          <w:lang w:val="fr-CA"/>
        </w:rPr>
        <w:t xml:space="preserve">199). Cependant, les principes énoncés dans </w:t>
      </w:r>
      <w:r w:rsidRPr="008675BA">
        <w:rPr>
          <w:rFonts w:cs="Times New Roman"/>
          <w:i/>
          <w:lang w:val="fr-CA"/>
        </w:rPr>
        <w:t>Harris</w:t>
      </w:r>
      <w:r w:rsidRPr="008675BA">
        <w:rPr>
          <w:rFonts w:cs="Times New Roman"/>
          <w:lang w:val="fr-CA"/>
        </w:rPr>
        <w:t xml:space="preserve"> sont tout de même utiles pour évaluer la conduite de M</w:t>
      </w:r>
      <w:r w:rsidRPr="008675BA">
        <w:rPr>
          <w:rFonts w:cs="Times New Roman"/>
          <w:vertAlign w:val="superscript"/>
          <w:lang w:val="fr-CA"/>
        </w:rPr>
        <w:t>e</w:t>
      </w:r>
      <w:r w:rsidRPr="008675BA">
        <w:rPr>
          <w:rFonts w:cs="Times New Roman"/>
          <w:lang w:val="fr-CA"/>
        </w:rPr>
        <w:t> Salomon, et leur application correcte mène à la conclusion que la juge du procès pouvait conclure que le fait de recommander Triglobal et M. Papadopoulos ne constituait pas en soi une faute.</w:t>
      </w:r>
    </w:p>
    <w:p w:rsidR="0041746D" w:rsidRPr="008675BA" w:rsidRDefault="0041746D" w:rsidP="0041746D">
      <w:pPr>
        <w:pStyle w:val="ParaNoNdepar-AltN"/>
        <w:rPr>
          <w:rFonts w:cs="Times New Roman"/>
          <w:lang w:val="fr-CA"/>
        </w:rPr>
      </w:pPr>
      <w:r w:rsidRPr="008675BA">
        <w:rPr>
          <w:rFonts w:cs="Times New Roman"/>
          <w:lang w:val="fr-CA"/>
        </w:rPr>
        <w:t>Cette conclusion vaut non seulement pour la recommandation initiale des conseillers financiers, mais aussi pour les témoignages de confiance ultérieurs. Je ne vois aucune raison de modifier les conclusions de la juge du procès selon lesquelles la confiance de M</w:t>
      </w:r>
      <w:r w:rsidRPr="008675BA">
        <w:rPr>
          <w:rFonts w:cs="Times New Roman"/>
          <w:vertAlign w:val="superscript"/>
          <w:lang w:val="fr-CA"/>
        </w:rPr>
        <w:t>e</w:t>
      </w:r>
      <w:r w:rsidRPr="008675BA">
        <w:rPr>
          <w:rFonts w:cs="Times New Roman"/>
          <w:lang w:val="fr-CA"/>
        </w:rPr>
        <w:t xml:space="preserve"> Salomon était raisonnable au moins jusqu’à la parution de l’article de </w:t>
      </w:r>
      <w:r w:rsidRPr="008675BA">
        <w:rPr>
          <w:rFonts w:cs="Times New Roman"/>
          <w:i/>
          <w:lang w:val="fr-CA"/>
        </w:rPr>
        <w:t>La Presse Affaires</w:t>
      </w:r>
      <w:r w:rsidRPr="008675BA">
        <w:rPr>
          <w:rFonts w:cs="Times New Roman"/>
          <w:lang w:val="fr-CA"/>
        </w:rPr>
        <w:t xml:space="preserve"> en mai 2007, et que, bien qu’il ait pu avoir été [</w:t>
      </w:r>
      <w:r w:rsidRPr="008675BA">
        <w:rPr>
          <w:rFonts w:cs="Times New Roman"/>
          <w:smallCaps/>
          <w:lang w:val="fr-CA"/>
        </w:rPr>
        <w:t>traduction</w:t>
      </w:r>
      <w:r w:rsidRPr="008675BA">
        <w:rPr>
          <w:rFonts w:cs="Times New Roman"/>
          <w:lang w:val="fr-CA"/>
        </w:rPr>
        <w:t>] « excessivement rassurant » envers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 xml:space="preserve">Thompson à quelques reprises, cela ne suffit pas à établir sa responsabilité (motifs de première instance, </w:t>
      </w:r>
      <w:r>
        <w:rPr>
          <w:rFonts w:cs="Times New Roman"/>
          <w:lang w:val="fr-CA"/>
        </w:rPr>
        <w:t>par. </w:t>
      </w:r>
      <w:r w:rsidRPr="008675BA">
        <w:rPr>
          <w:rFonts w:cs="Times New Roman"/>
          <w:lang w:val="fr-CA"/>
        </w:rPr>
        <w:t>301</w:t>
      </w:r>
      <w:r>
        <w:rPr>
          <w:rFonts w:cs="Times New Roman"/>
          <w:lang w:val="fr-CA"/>
        </w:rPr>
        <w:noBreakHyphen/>
      </w:r>
      <w:r w:rsidRPr="008675BA">
        <w:rPr>
          <w:rFonts w:cs="Times New Roman"/>
          <w:lang w:val="fr-CA"/>
        </w:rPr>
        <w:t>304). Jusqu’au moment où M</w:t>
      </w:r>
      <w:r w:rsidRPr="008675BA">
        <w:rPr>
          <w:rFonts w:cs="Times New Roman"/>
          <w:vertAlign w:val="superscript"/>
          <w:lang w:val="fr-CA"/>
        </w:rPr>
        <w:t>e</w:t>
      </w:r>
      <w:r w:rsidRPr="008675BA">
        <w:rPr>
          <w:rFonts w:cs="Times New Roman"/>
          <w:lang w:val="fr-CA"/>
        </w:rPr>
        <w:t> Salomon aurait raisonnablement dû commencer à douter de la probité ou de la compétence de Triglobal et de M. Papadopoulos, il était tout aussi fondé à réaffirmer sa confiance en eux qu’il était en droit de les recommander le premier jour. De même, il était loisible à la juge du procès de conclure que M</w:t>
      </w:r>
      <w:r w:rsidRPr="008675BA">
        <w:rPr>
          <w:rFonts w:cs="Times New Roman"/>
          <w:vertAlign w:val="superscript"/>
          <w:lang w:val="fr-CA"/>
        </w:rPr>
        <w:t>e</w:t>
      </w:r>
      <w:r w:rsidRPr="008675BA">
        <w:rPr>
          <w:rFonts w:cs="Times New Roman"/>
          <w:lang w:val="fr-CA"/>
        </w:rPr>
        <w:t> Salomon n’avait aucune obligation de retirer sa recommandation ou de faire des recherches sur Triglobal et M. Papadopoulos. Comme le conclut la juge du procès, pour M</w:t>
      </w:r>
      <w:r w:rsidRPr="008675BA">
        <w:rPr>
          <w:rFonts w:cs="Times New Roman"/>
          <w:vertAlign w:val="superscript"/>
          <w:lang w:val="fr-CA"/>
        </w:rPr>
        <w:t>e</w:t>
      </w:r>
      <w:r w:rsidRPr="008675BA">
        <w:rPr>
          <w:rFonts w:cs="Times New Roman"/>
          <w:lang w:val="fr-CA"/>
        </w:rPr>
        <w:t> Salomon, [</w:t>
      </w:r>
      <w:r w:rsidRPr="008675BA">
        <w:rPr>
          <w:rFonts w:cs="Times New Roman"/>
          <w:smallCaps/>
          <w:lang w:val="fr-CA"/>
        </w:rPr>
        <w:t>traduction</w:t>
      </w:r>
      <w:r w:rsidRPr="008675BA">
        <w:rPr>
          <w:rFonts w:cs="Times New Roman"/>
          <w:lang w:val="fr-CA"/>
        </w:rPr>
        <w:t>] « rien ne donnait à penser que Triglobal avait fait quoi que ce soit d’illégal ou de non éthique avant mai 2007 » (</w:t>
      </w:r>
      <w:r>
        <w:rPr>
          <w:rFonts w:cs="Times New Roman"/>
          <w:lang w:val="fr-CA"/>
        </w:rPr>
        <w:t>par. </w:t>
      </w:r>
      <w:r w:rsidRPr="008675BA">
        <w:rPr>
          <w:rFonts w:cs="Times New Roman"/>
          <w:lang w:val="fr-CA"/>
        </w:rPr>
        <w:t xml:space="preserve">304). </w:t>
      </w:r>
    </w:p>
    <w:p w:rsidR="0041746D" w:rsidRPr="008675BA" w:rsidRDefault="0041746D" w:rsidP="0041746D">
      <w:pPr>
        <w:pStyle w:val="ParaNoNdepar-AltN"/>
        <w:rPr>
          <w:rFonts w:cs="Times New Roman"/>
          <w:lang w:val="fr-CA"/>
        </w:rPr>
      </w:pPr>
      <w:r w:rsidRPr="008675BA">
        <w:rPr>
          <w:rFonts w:cs="Times New Roman"/>
          <w:lang w:val="fr-CA"/>
        </w:rPr>
        <w:lastRenderedPageBreak/>
        <w:t>À cet égard, j’aimerais formuler des commentaires quant aux « cadeaux » que M. Papadopoulos a donnés à M</w:t>
      </w:r>
      <w:r w:rsidRPr="008675BA">
        <w:rPr>
          <w:rFonts w:cs="Times New Roman"/>
          <w:vertAlign w:val="superscript"/>
          <w:lang w:val="fr-CA"/>
        </w:rPr>
        <w:t>e</w:t>
      </w:r>
      <w:r w:rsidRPr="008675BA">
        <w:rPr>
          <w:rFonts w:cs="Times New Roman"/>
          <w:lang w:val="fr-CA"/>
        </w:rPr>
        <w:t> Salomon en mai et juin 2006, et plus tard en février 2007. La juge du procès conclut que M. Papadopoulos a voulu aider M</w:t>
      </w:r>
      <w:r w:rsidRPr="008675BA">
        <w:rPr>
          <w:rFonts w:cs="Times New Roman"/>
          <w:vertAlign w:val="superscript"/>
          <w:lang w:val="fr-CA"/>
        </w:rPr>
        <w:t>e</w:t>
      </w:r>
      <w:r w:rsidRPr="008675BA">
        <w:rPr>
          <w:rFonts w:cs="Times New Roman"/>
          <w:lang w:val="fr-CA"/>
        </w:rPr>
        <w:t> Salomon à rénover son appartement. À cette fin, il a proposé à M</w:t>
      </w:r>
      <w:r w:rsidRPr="008675BA">
        <w:rPr>
          <w:rFonts w:cs="Times New Roman"/>
          <w:vertAlign w:val="superscript"/>
          <w:lang w:val="fr-CA"/>
        </w:rPr>
        <w:t>e</w:t>
      </w:r>
      <w:r w:rsidRPr="008675BA">
        <w:rPr>
          <w:rFonts w:cs="Times New Roman"/>
          <w:lang w:val="fr-CA"/>
        </w:rPr>
        <w:t> Salomon de constituer une société qui pourrait facturer des services de « consultation financière ». M</w:t>
      </w:r>
      <w:r w:rsidR="0070253F" w:rsidRPr="0070253F">
        <w:rPr>
          <w:rFonts w:cs="Times New Roman"/>
          <w:lang w:val="fr-CA"/>
        </w:rPr>
        <w:t>aître</w:t>
      </w:r>
      <w:r w:rsidRPr="008675BA">
        <w:rPr>
          <w:rFonts w:cs="Times New Roman"/>
          <w:lang w:val="fr-CA"/>
        </w:rPr>
        <w:t> Salomon a accepté cette proposition et a ensuite reçu, sans avoir rendu de services, 28 000</w:t>
      </w:r>
      <w:r>
        <w:rPr>
          <w:rFonts w:cs="Times New Roman"/>
          <w:lang w:val="fr-CA"/>
        </w:rPr>
        <w:t> $</w:t>
      </w:r>
      <w:r w:rsidRPr="008675BA">
        <w:rPr>
          <w:rFonts w:cs="Times New Roman"/>
          <w:lang w:val="fr-CA"/>
        </w:rPr>
        <w:t xml:space="preserve"> par l’entremise de cette société (motifs de première instance, </w:t>
      </w:r>
      <w:r>
        <w:rPr>
          <w:rFonts w:cs="Times New Roman"/>
          <w:lang w:val="fr-CA"/>
        </w:rPr>
        <w:t>par. </w:t>
      </w:r>
      <w:r w:rsidRPr="008675BA">
        <w:rPr>
          <w:rFonts w:cs="Times New Roman"/>
          <w:lang w:val="fr-CA"/>
        </w:rPr>
        <w:t>142</w:t>
      </w:r>
      <w:r>
        <w:rPr>
          <w:rFonts w:cs="Times New Roman"/>
          <w:lang w:val="fr-CA"/>
        </w:rPr>
        <w:noBreakHyphen/>
      </w:r>
      <w:r w:rsidRPr="008675BA">
        <w:rPr>
          <w:rFonts w:cs="Times New Roman"/>
          <w:lang w:val="fr-CA"/>
        </w:rPr>
        <w:t xml:space="preserve">146; motifs de la C.A., </w:t>
      </w:r>
      <w:r>
        <w:rPr>
          <w:rFonts w:cs="Times New Roman"/>
          <w:lang w:val="fr-CA"/>
        </w:rPr>
        <w:t>par. </w:t>
      </w:r>
      <w:r w:rsidRPr="008675BA">
        <w:rPr>
          <w:rFonts w:cs="Times New Roman"/>
          <w:lang w:val="fr-CA"/>
        </w:rPr>
        <w:t>104). Mon collègue est d’avis que le fait que M. Papadopoulos était disposé à demander de fausses factures suffisait à soulever « d’évidentes préoccupations quant à la probité générale de l’individu » (</w:t>
      </w:r>
      <w:r>
        <w:rPr>
          <w:rFonts w:cs="Times New Roman"/>
          <w:lang w:val="fr-CA"/>
        </w:rPr>
        <w:t>par. </w:t>
      </w:r>
      <w:r w:rsidRPr="008675BA">
        <w:rPr>
          <w:rFonts w:cs="Times New Roman"/>
          <w:lang w:val="fr-CA"/>
        </w:rPr>
        <w:t>77). Je conviens qu’un tel stratagème est troublant à bien des égards. Toutefois, comme le fait observer la juge du procès, indépendamment de la question de savoir s’il s’agit ou non d’une fraude fiscale, le stratagème n’avait [</w:t>
      </w:r>
      <w:r w:rsidRPr="008675BA">
        <w:rPr>
          <w:rFonts w:cs="Times New Roman"/>
          <w:smallCaps/>
          <w:lang w:val="fr-CA"/>
        </w:rPr>
        <w:t>traduction</w:t>
      </w:r>
      <w:r w:rsidRPr="008675BA">
        <w:rPr>
          <w:rFonts w:cs="Times New Roman"/>
          <w:lang w:val="fr-CA"/>
        </w:rPr>
        <w:t>] « aucun lien avec les placements faits par les [intimées] » (</w:t>
      </w:r>
      <w:r>
        <w:rPr>
          <w:rFonts w:cs="Times New Roman"/>
          <w:lang w:val="fr-CA"/>
        </w:rPr>
        <w:t>par. </w:t>
      </w:r>
      <w:r w:rsidRPr="008675BA">
        <w:rPr>
          <w:rFonts w:cs="Times New Roman"/>
          <w:lang w:val="fr-CA"/>
        </w:rPr>
        <w:t>147). Par conséquent, on peut soutenir que les cadeaux de M. Papadopoulos étaient insuffisants pour sonner l’alarme en ce qui a trait à de possibles détournements des placements des intimées et pour miner la confiance de M</w:t>
      </w:r>
      <w:r w:rsidRPr="008675BA">
        <w:rPr>
          <w:rFonts w:cs="Times New Roman"/>
          <w:vertAlign w:val="superscript"/>
          <w:lang w:val="fr-CA"/>
        </w:rPr>
        <w:t>e</w:t>
      </w:r>
      <w:r w:rsidRPr="008675BA">
        <w:rPr>
          <w:rFonts w:cs="Times New Roman"/>
          <w:lang w:val="fr-CA"/>
        </w:rPr>
        <w:t> Salomon en Triglobal et en M. Papadopoulos.</w:t>
      </w:r>
    </w:p>
    <w:p w:rsidR="0041746D" w:rsidRPr="008675BA" w:rsidRDefault="0041746D" w:rsidP="0041746D">
      <w:pPr>
        <w:pStyle w:val="ParaNoNdepar-AltN"/>
        <w:rPr>
          <w:rFonts w:cs="Times New Roman"/>
          <w:lang w:val="fr-CA"/>
        </w:rPr>
      </w:pPr>
      <w:r w:rsidRPr="008675BA">
        <w:rPr>
          <w:rFonts w:cs="Times New Roman"/>
          <w:lang w:val="fr-CA"/>
        </w:rPr>
        <w:t>Cela dit, je reconnais que la réaction de M</w:t>
      </w:r>
      <w:r w:rsidRPr="008675BA">
        <w:rPr>
          <w:rFonts w:cs="Times New Roman"/>
          <w:vertAlign w:val="superscript"/>
          <w:lang w:val="fr-CA"/>
        </w:rPr>
        <w:t>e</w:t>
      </w:r>
      <w:r w:rsidRPr="008675BA">
        <w:rPr>
          <w:rFonts w:cs="Times New Roman"/>
          <w:lang w:val="fr-CA"/>
        </w:rPr>
        <w:t xml:space="preserve"> Salomon à la parution de l’article de </w:t>
      </w:r>
      <w:r w:rsidRPr="008675BA">
        <w:rPr>
          <w:rFonts w:cs="Times New Roman"/>
          <w:i/>
          <w:lang w:val="fr-CA"/>
        </w:rPr>
        <w:t>La Presse Affaires</w:t>
      </w:r>
      <w:r w:rsidRPr="008675BA">
        <w:rPr>
          <w:rFonts w:cs="Times New Roman"/>
          <w:lang w:val="fr-CA"/>
        </w:rPr>
        <w:t xml:space="preserve"> en mai 2007 était inappropriée. Comme le conclut la juge du procès, M</w:t>
      </w:r>
      <w:r w:rsidRPr="008675BA">
        <w:rPr>
          <w:rFonts w:cs="Times New Roman"/>
          <w:vertAlign w:val="superscript"/>
          <w:lang w:val="fr-CA"/>
        </w:rPr>
        <w:t>e</w:t>
      </w:r>
      <w:r w:rsidRPr="008675BA">
        <w:rPr>
          <w:rFonts w:cs="Times New Roman"/>
          <w:lang w:val="fr-CA"/>
        </w:rPr>
        <w:t> Salomon a omis de porter l’article à l’attention de ses clientes malgré le fait que ce texte soulevait [</w:t>
      </w:r>
      <w:r w:rsidRPr="008675BA">
        <w:rPr>
          <w:rFonts w:cs="Times New Roman"/>
          <w:smallCaps/>
          <w:lang w:val="fr-CA"/>
        </w:rPr>
        <w:t>traduction</w:t>
      </w:r>
      <w:r w:rsidRPr="008675BA">
        <w:rPr>
          <w:rFonts w:cs="Times New Roman"/>
          <w:lang w:val="fr-CA"/>
        </w:rPr>
        <w:t xml:space="preserve">] « des doutes sérieux </w:t>
      </w:r>
      <w:r w:rsidR="00CD3B5B">
        <w:rPr>
          <w:rFonts w:cs="Times New Roman"/>
          <w:lang w:val="fr-CA"/>
        </w:rPr>
        <w:t>au sujet des</w:t>
      </w:r>
      <w:r w:rsidRPr="008675BA">
        <w:rPr>
          <w:rFonts w:cs="Times New Roman"/>
          <w:lang w:val="fr-CA"/>
        </w:rPr>
        <w:t xml:space="preserve"> placements faits par l’</w:t>
      </w:r>
      <w:r w:rsidR="00CD3B5B">
        <w:rPr>
          <w:rFonts w:cs="Times New Roman"/>
          <w:lang w:val="fr-CA"/>
        </w:rPr>
        <w:t>entremise</w:t>
      </w:r>
      <w:r w:rsidRPr="008675BA">
        <w:rPr>
          <w:rFonts w:cs="Times New Roman"/>
          <w:lang w:val="fr-CA"/>
        </w:rPr>
        <w:t xml:space="preserve"> de Triglobal dans les fonds iVest ou Focus » (</w:t>
      </w:r>
      <w:r>
        <w:rPr>
          <w:rFonts w:cs="Times New Roman"/>
          <w:lang w:val="fr-CA"/>
        </w:rPr>
        <w:t>par. </w:t>
      </w:r>
      <w:r w:rsidRPr="008675BA">
        <w:rPr>
          <w:rFonts w:cs="Times New Roman"/>
          <w:lang w:val="fr-CA"/>
        </w:rPr>
        <w:t>260</w:t>
      </w:r>
      <w:r>
        <w:rPr>
          <w:rFonts w:cs="Times New Roman"/>
          <w:lang w:val="fr-CA"/>
        </w:rPr>
        <w:noBreakHyphen/>
      </w:r>
      <w:r w:rsidRPr="008675BA">
        <w:rPr>
          <w:rFonts w:cs="Times New Roman"/>
          <w:lang w:val="fr-CA"/>
        </w:rPr>
        <w:t>261). Par conséquent, on peut soutenir que M</w:t>
      </w:r>
      <w:r w:rsidRPr="008675BA">
        <w:rPr>
          <w:rFonts w:cs="Times New Roman"/>
          <w:vertAlign w:val="superscript"/>
          <w:lang w:val="fr-CA"/>
        </w:rPr>
        <w:t>e</w:t>
      </w:r>
      <w:r w:rsidRPr="008675BA">
        <w:rPr>
          <w:rFonts w:cs="Times New Roman"/>
          <w:lang w:val="fr-CA"/>
        </w:rPr>
        <w:t> Salomon aurait dû avertir les intimées et recommander qu’elles consultent d’autres conseillers financiers.</w:t>
      </w:r>
    </w:p>
    <w:p w:rsidR="0041746D" w:rsidRPr="008675BA" w:rsidRDefault="0041746D" w:rsidP="0041746D">
      <w:pPr>
        <w:pStyle w:val="ParaNoNdepar-AltN"/>
        <w:rPr>
          <w:rFonts w:cs="Times New Roman"/>
          <w:lang w:val="fr-CA"/>
        </w:rPr>
      </w:pPr>
      <w:r w:rsidRPr="008675BA">
        <w:rPr>
          <w:rFonts w:cs="Times New Roman"/>
          <w:lang w:val="fr-CA"/>
        </w:rPr>
        <w:lastRenderedPageBreak/>
        <w:t>Il fait peu de doute que M</w:t>
      </w:r>
      <w:r w:rsidRPr="008675BA">
        <w:rPr>
          <w:rFonts w:cs="Times New Roman"/>
          <w:vertAlign w:val="superscript"/>
          <w:lang w:val="fr-CA"/>
        </w:rPr>
        <w:t>e</w:t>
      </w:r>
      <w:r w:rsidRPr="008675BA">
        <w:rPr>
          <w:rFonts w:cs="Times New Roman"/>
          <w:lang w:val="fr-CA"/>
        </w:rPr>
        <w:t> Salomon aurait dû faire preuve de plus de circonspection à compter de ce moment. Par exemple, il était probablement inapproprié que M</w:t>
      </w:r>
      <w:r w:rsidRPr="008675BA">
        <w:rPr>
          <w:rFonts w:cs="Times New Roman"/>
          <w:vertAlign w:val="superscript"/>
          <w:lang w:val="fr-CA"/>
        </w:rPr>
        <w:t>e</w:t>
      </w:r>
      <w:r w:rsidRPr="008675BA">
        <w:rPr>
          <w:rFonts w:cs="Times New Roman"/>
          <w:lang w:val="fr-CA"/>
        </w:rPr>
        <w:t> Salomon déclare, en juillet 2007, qu’il était toujours [</w:t>
      </w:r>
      <w:r w:rsidRPr="008675BA">
        <w:rPr>
          <w:rFonts w:cs="Times New Roman"/>
          <w:smallCaps/>
          <w:lang w:val="fr-CA"/>
        </w:rPr>
        <w:t>traduction</w:t>
      </w:r>
      <w:r w:rsidRPr="008675BA">
        <w:rPr>
          <w:rFonts w:cs="Times New Roman"/>
          <w:lang w:val="fr-CA"/>
        </w:rPr>
        <w:t xml:space="preserve">] « très heureux que [ses] placements aient un aussi bon rendement avec un risque aussi contrôlé », d’autant plus que les intimées avaient alors de la difficulté à retirer leurs fonds (motifs de la C.A., </w:t>
      </w:r>
      <w:r>
        <w:rPr>
          <w:rFonts w:cs="Times New Roman"/>
          <w:lang w:val="fr-CA"/>
        </w:rPr>
        <w:t>par. </w:t>
      </w:r>
      <w:r w:rsidRPr="008675BA">
        <w:rPr>
          <w:rFonts w:cs="Times New Roman"/>
          <w:lang w:val="fr-CA"/>
        </w:rPr>
        <w:t>133). Même en décembre 2007, alors que Trigobal était au bord de l’effondrement et que la fraude était sur le point d’être découverte, M</w:t>
      </w:r>
      <w:r w:rsidRPr="008675BA">
        <w:rPr>
          <w:rFonts w:cs="Times New Roman"/>
          <w:vertAlign w:val="superscript"/>
          <w:lang w:val="fr-CA"/>
        </w:rPr>
        <w:t>e</w:t>
      </w:r>
      <w:r w:rsidRPr="008675BA">
        <w:rPr>
          <w:rFonts w:cs="Times New Roman"/>
          <w:lang w:val="fr-CA"/>
        </w:rPr>
        <w:t> Salomon rassurait encore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 xml:space="preserve">Thompson au sujet des supposées tentatives de M. Papadopoulos de remédier à la situation (motifs de la C.A., </w:t>
      </w:r>
      <w:r>
        <w:rPr>
          <w:rFonts w:cs="Times New Roman"/>
          <w:lang w:val="fr-CA"/>
        </w:rPr>
        <w:t>par. </w:t>
      </w:r>
      <w:r w:rsidRPr="008675BA">
        <w:rPr>
          <w:rFonts w:cs="Times New Roman"/>
          <w:lang w:val="fr-CA"/>
        </w:rPr>
        <w:t xml:space="preserve">138). </w:t>
      </w:r>
    </w:p>
    <w:p w:rsidR="0041746D" w:rsidRPr="008675BA" w:rsidRDefault="0041746D" w:rsidP="0041746D">
      <w:pPr>
        <w:pStyle w:val="ParaNoNdepar-AltN"/>
        <w:rPr>
          <w:rFonts w:cs="Times New Roman"/>
          <w:lang w:val="fr-CA"/>
        </w:rPr>
      </w:pPr>
      <w:r w:rsidRPr="008675BA">
        <w:rPr>
          <w:rFonts w:cs="Times New Roman"/>
          <w:lang w:val="fr-CA"/>
        </w:rPr>
        <w:t>Toutefois, bien que de telles assurances puissent être qualifiées de fautives, la juge du procès n’a pas besoin de s’y attarder car elle conclut qu’en mai 2007, la perte avait probablement déjà eu lieu; il ne pouvait donc pas y avoir de lien de causalité entre les fautes commises à ce moment</w:t>
      </w:r>
      <w:r>
        <w:rPr>
          <w:rFonts w:cs="Times New Roman"/>
          <w:lang w:val="fr-CA"/>
        </w:rPr>
        <w:noBreakHyphen/>
      </w:r>
      <w:r w:rsidRPr="008675BA">
        <w:rPr>
          <w:rFonts w:cs="Times New Roman"/>
          <w:lang w:val="fr-CA"/>
        </w:rPr>
        <w:t>là par M</w:t>
      </w:r>
      <w:r w:rsidRPr="008675BA">
        <w:rPr>
          <w:rFonts w:cs="Times New Roman"/>
          <w:vertAlign w:val="superscript"/>
          <w:lang w:val="fr-CA"/>
        </w:rPr>
        <w:t>e</w:t>
      </w:r>
      <w:r w:rsidRPr="008675BA">
        <w:rPr>
          <w:rFonts w:cs="Times New Roman"/>
          <w:lang w:val="fr-CA"/>
        </w:rPr>
        <w:t xml:space="preserve"> Salomon et le préjudice (motifs de première instance, </w:t>
      </w:r>
      <w:r>
        <w:rPr>
          <w:rFonts w:cs="Times New Roman"/>
          <w:lang w:val="fr-CA"/>
        </w:rPr>
        <w:t>par. </w:t>
      </w:r>
      <w:r w:rsidRPr="008675BA">
        <w:rPr>
          <w:rFonts w:cs="Times New Roman"/>
          <w:lang w:val="fr-CA"/>
        </w:rPr>
        <w:t>304</w:t>
      </w:r>
      <w:r>
        <w:rPr>
          <w:rFonts w:cs="Times New Roman"/>
          <w:lang w:val="fr-CA"/>
        </w:rPr>
        <w:noBreakHyphen/>
      </w:r>
      <w:r w:rsidRPr="008675BA">
        <w:rPr>
          <w:rFonts w:cs="Times New Roman"/>
          <w:lang w:val="fr-CA"/>
        </w:rPr>
        <w:t>305, 308 et 312</w:t>
      </w:r>
      <w:r>
        <w:rPr>
          <w:rFonts w:cs="Times New Roman"/>
          <w:lang w:val="fr-CA"/>
        </w:rPr>
        <w:noBreakHyphen/>
      </w:r>
      <w:r w:rsidRPr="008675BA">
        <w:rPr>
          <w:rFonts w:cs="Times New Roman"/>
          <w:lang w:val="fr-CA"/>
        </w:rPr>
        <w:t>313). Je reviendrai à cette conclusion dans mon analyse du lien de causalité.</w:t>
      </w:r>
    </w:p>
    <w:p w:rsidR="0041746D" w:rsidRPr="008675BA" w:rsidRDefault="0041746D" w:rsidP="0041746D">
      <w:pPr>
        <w:pStyle w:val="ParaNoNdepar-AltN"/>
        <w:rPr>
          <w:rFonts w:cs="Times New Roman"/>
          <w:lang w:val="fr-CA"/>
        </w:rPr>
      </w:pPr>
      <w:r w:rsidRPr="008675BA">
        <w:rPr>
          <w:rFonts w:cs="Times New Roman"/>
          <w:lang w:val="fr-CA"/>
        </w:rPr>
        <w:t>En résumé, je suis d’avis que la Cour d’appel n’identifie pas d’erreur révisable précise dans les motifs de la juge du procès concernant la recommandation initiale de M</w:t>
      </w:r>
      <w:r w:rsidRPr="008675BA">
        <w:rPr>
          <w:rFonts w:cs="Times New Roman"/>
          <w:vertAlign w:val="superscript"/>
          <w:lang w:val="fr-CA"/>
        </w:rPr>
        <w:t>e</w:t>
      </w:r>
      <w:r w:rsidRPr="008675BA">
        <w:rPr>
          <w:rFonts w:cs="Times New Roman"/>
          <w:lang w:val="fr-CA"/>
        </w:rPr>
        <w:t> Salomon et ses témoignages subséquents de confiance. Il s’ensuit que la Cour d’appel ne peut pas réexaminer l’ensemble de la preuve sur le fondement de la vision « globale » de l’affaire qu’elle privilégie (</w:t>
      </w:r>
      <w:r>
        <w:rPr>
          <w:rFonts w:cs="Times New Roman"/>
          <w:lang w:val="fr-CA"/>
        </w:rPr>
        <w:t>par. </w:t>
      </w:r>
      <w:r w:rsidRPr="008675BA">
        <w:rPr>
          <w:rFonts w:cs="Times New Roman"/>
          <w:lang w:val="fr-CA"/>
        </w:rPr>
        <w:t>69</w:t>
      </w:r>
      <w:r>
        <w:rPr>
          <w:rFonts w:cs="Times New Roman"/>
          <w:lang w:val="fr-CA"/>
        </w:rPr>
        <w:noBreakHyphen/>
      </w:r>
      <w:r w:rsidRPr="008675BA">
        <w:rPr>
          <w:rFonts w:cs="Times New Roman"/>
          <w:lang w:val="fr-CA"/>
        </w:rPr>
        <w:t>75).</w:t>
      </w:r>
    </w:p>
    <w:p w:rsidR="0041746D" w:rsidRPr="008675BA" w:rsidRDefault="0041746D" w:rsidP="0041746D">
      <w:pPr>
        <w:pStyle w:val="Title3LevelTitre3Niveau"/>
        <w:numPr>
          <w:ilvl w:val="2"/>
          <w:numId w:val="25"/>
        </w:numPr>
        <w:rPr>
          <w:rFonts w:cs="Times New Roman"/>
          <w:lang w:val="fr-CA"/>
        </w:rPr>
      </w:pPr>
      <w:bookmarkStart w:id="15" w:name="_Toc2153999"/>
      <w:r w:rsidRPr="008675BA">
        <w:rPr>
          <w:rFonts w:cs="Times New Roman"/>
          <w:lang w:val="fr-CA"/>
        </w:rPr>
        <w:t>Le devoir de conseil de M</w:t>
      </w:r>
      <w:r w:rsidRPr="008675BA">
        <w:rPr>
          <w:rFonts w:cs="Times New Roman"/>
          <w:vertAlign w:val="superscript"/>
          <w:lang w:val="fr-CA"/>
        </w:rPr>
        <w:t>e</w:t>
      </w:r>
      <w:r w:rsidRPr="008675BA">
        <w:rPr>
          <w:rFonts w:cs="Times New Roman"/>
          <w:lang w:val="fr-CA"/>
        </w:rPr>
        <w:t> Salomon</w:t>
      </w:r>
      <w:bookmarkEnd w:id="15"/>
    </w:p>
    <w:p w:rsidR="0041746D" w:rsidRPr="008675BA" w:rsidRDefault="0041746D" w:rsidP="0041746D">
      <w:pPr>
        <w:pStyle w:val="ParaNoNdepar-AltN"/>
        <w:rPr>
          <w:rFonts w:cs="Times New Roman"/>
          <w:lang w:val="fr-CA"/>
        </w:rPr>
      </w:pPr>
      <w:r w:rsidRPr="008675BA">
        <w:rPr>
          <w:rFonts w:cs="Times New Roman"/>
          <w:lang w:val="fr-CA"/>
        </w:rPr>
        <w:lastRenderedPageBreak/>
        <w:t>Encore une fois, la juge du procès ne conclut pas que la conduite de M</w:t>
      </w:r>
      <w:r w:rsidRPr="008675BA">
        <w:rPr>
          <w:rFonts w:cs="Times New Roman"/>
          <w:vertAlign w:val="superscript"/>
          <w:lang w:val="fr-CA"/>
        </w:rPr>
        <w:t>e</w:t>
      </w:r>
      <w:r w:rsidRPr="008675BA">
        <w:rPr>
          <w:rFonts w:cs="Times New Roman"/>
          <w:lang w:val="fr-CA"/>
        </w:rPr>
        <w:t> Salomon était irréprochable. Elle estime qu’il a omis d’agir comme l’aurait fait un avocat raisonnablement compétent, prudent et diligent lorsqu’il a recommandé des produits de placement précis (à savoir les fonds iVest et Manulife), notamment en 2003 et 2004, et que, en faisant cela, il a manqué à son devoir de conseil à trois égards. Premièrement, il a omis d’informer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 xml:space="preserve">Thompson des limites de sa compétence en matière de placements financiers (motifs de première instance, </w:t>
      </w:r>
      <w:r>
        <w:rPr>
          <w:rFonts w:cs="Times New Roman"/>
          <w:lang w:val="fr-CA"/>
        </w:rPr>
        <w:t>par. </w:t>
      </w:r>
      <w:r w:rsidRPr="008675BA">
        <w:rPr>
          <w:rFonts w:cs="Times New Roman"/>
          <w:lang w:val="fr-CA"/>
        </w:rPr>
        <w:t>196</w:t>
      </w:r>
      <w:r>
        <w:rPr>
          <w:rFonts w:cs="Times New Roman"/>
          <w:lang w:val="fr-CA"/>
        </w:rPr>
        <w:noBreakHyphen/>
      </w:r>
      <w:r w:rsidRPr="008675BA">
        <w:rPr>
          <w:rFonts w:cs="Times New Roman"/>
          <w:lang w:val="fr-CA"/>
        </w:rPr>
        <w:t xml:space="preserve">199). Deuxièmement, il a recommandé des produits de placement sans faire de recherches et sans obtenir de renseignements sur les modalités de ces produits (motifs de première instance, </w:t>
      </w:r>
      <w:r>
        <w:rPr>
          <w:rFonts w:cs="Times New Roman"/>
          <w:lang w:val="fr-CA"/>
        </w:rPr>
        <w:t>par. </w:t>
      </w:r>
      <w:r w:rsidRPr="008675BA">
        <w:rPr>
          <w:rFonts w:cs="Times New Roman"/>
          <w:lang w:val="fr-CA"/>
        </w:rPr>
        <w:t>188</w:t>
      </w:r>
      <w:r>
        <w:rPr>
          <w:rFonts w:cs="Times New Roman"/>
          <w:lang w:val="fr-CA"/>
        </w:rPr>
        <w:noBreakHyphen/>
      </w:r>
      <w:r w:rsidRPr="008675BA">
        <w:rPr>
          <w:rFonts w:cs="Times New Roman"/>
          <w:lang w:val="fr-CA"/>
        </w:rPr>
        <w:t xml:space="preserve">191). Troisièmement, il a recommandé un investissement dans un fonds spéculatif à l’étranger, iVest, ce qui allait à l’encontre de l’objectif principal de préservation du capital de ses clientes (motifs de première instance, </w:t>
      </w:r>
      <w:r>
        <w:rPr>
          <w:rFonts w:cs="Times New Roman"/>
          <w:lang w:val="fr-CA"/>
        </w:rPr>
        <w:t>par. </w:t>
      </w:r>
      <w:r w:rsidRPr="008675BA">
        <w:rPr>
          <w:rFonts w:cs="Times New Roman"/>
          <w:lang w:val="fr-CA"/>
        </w:rPr>
        <w:t>193</w:t>
      </w:r>
      <w:r>
        <w:rPr>
          <w:rFonts w:cs="Times New Roman"/>
          <w:lang w:val="fr-CA"/>
        </w:rPr>
        <w:noBreakHyphen/>
      </w:r>
      <w:r w:rsidRPr="008675BA">
        <w:rPr>
          <w:rFonts w:cs="Times New Roman"/>
          <w:lang w:val="fr-CA"/>
        </w:rPr>
        <w:t>194 et 198). Ces conclusions ne sont pas contestées.</w:t>
      </w:r>
    </w:p>
    <w:p w:rsidR="0041746D" w:rsidRPr="008675BA" w:rsidRDefault="0041746D" w:rsidP="0041746D">
      <w:pPr>
        <w:pStyle w:val="ParaNoNdepar-AltN"/>
        <w:rPr>
          <w:rFonts w:cs="Times New Roman"/>
          <w:lang w:val="fr-CA"/>
        </w:rPr>
      </w:pPr>
      <w:r w:rsidRPr="008675BA">
        <w:rPr>
          <w:rFonts w:cs="Times New Roman"/>
          <w:lang w:val="fr-CA"/>
        </w:rPr>
        <w:t>Comme l’explique mon collègue, dans la mesure où un avocat donne des conseils, il doit respecter la norme à laquelle se conformerait un avocat raisonnablement compétent, prudent et diligent dans la même situation, quelle que soit l’étendue précise de son mandat (</w:t>
      </w:r>
      <w:r>
        <w:rPr>
          <w:rFonts w:cs="Times New Roman"/>
          <w:lang w:val="fr-CA"/>
        </w:rPr>
        <w:t>par. </w:t>
      </w:r>
      <w:r w:rsidRPr="008675BA">
        <w:rPr>
          <w:rFonts w:cs="Times New Roman"/>
          <w:lang w:val="fr-CA"/>
        </w:rPr>
        <w:t xml:space="preserve">54; voir aussi motifs de la C.A., </w:t>
      </w:r>
      <w:r>
        <w:rPr>
          <w:rFonts w:cs="Times New Roman"/>
          <w:lang w:val="fr-CA"/>
        </w:rPr>
        <w:t>par. </w:t>
      </w:r>
      <w:r w:rsidRPr="008675BA">
        <w:rPr>
          <w:rFonts w:cs="Times New Roman"/>
          <w:lang w:val="fr-CA"/>
        </w:rPr>
        <w:t>44). Dans l’affaire qui nous occupe, M</w:t>
      </w:r>
      <w:r w:rsidRPr="008675BA">
        <w:rPr>
          <w:rFonts w:cs="Times New Roman"/>
          <w:vertAlign w:val="superscript"/>
          <w:lang w:val="fr-CA"/>
        </w:rPr>
        <w:t>e</w:t>
      </w:r>
      <w:r w:rsidRPr="008675BA">
        <w:rPr>
          <w:rFonts w:cs="Times New Roman"/>
          <w:lang w:val="fr-CA"/>
        </w:rPr>
        <w:t> Salomon a commis des fautes en donnant de son propre chef des conseils en matière de placements même si de tels conseils ne faisaient pas partie de ses mandats.</w:t>
      </w:r>
    </w:p>
    <w:p w:rsidR="0041746D" w:rsidRPr="008675BA" w:rsidRDefault="0041746D" w:rsidP="0041746D">
      <w:pPr>
        <w:pStyle w:val="ParaNoNdepar-AltN"/>
        <w:rPr>
          <w:rFonts w:cs="Times New Roman"/>
          <w:lang w:val="fr-CA"/>
        </w:rPr>
      </w:pPr>
      <w:r w:rsidRPr="008675BA">
        <w:rPr>
          <w:rFonts w:cs="Times New Roman"/>
          <w:lang w:val="fr-CA"/>
        </w:rPr>
        <w:t xml:space="preserve">La Cour d’appel ne s’est pas dite en désaccord avec les conclusions de la juge du procès à cet égard (voir </w:t>
      </w:r>
      <w:r>
        <w:rPr>
          <w:rFonts w:cs="Times New Roman"/>
          <w:lang w:val="fr-CA"/>
        </w:rPr>
        <w:t>par. </w:t>
      </w:r>
      <w:r w:rsidRPr="008675BA">
        <w:rPr>
          <w:rFonts w:cs="Times New Roman"/>
          <w:lang w:val="fr-CA"/>
        </w:rPr>
        <w:t>68</w:t>
      </w:r>
      <w:r>
        <w:rPr>
          <w:rFonts w:cs="Times New Roman"/>
          <w:lang w:val="fr-CA"/>
        </w:rPr>
        <w:noBreakHyphen/>
      </w:r>
      <w:r w:rsidRPr="008675BA">
        <w:rPr>
          <w:rFonts w:cs="Times New Roman"/>
          <w:lang w:val="fr-CA"/>
        </w:rPr>
        <w:t xml:space="preserve">69). Toutefois, comme je l’ai expliqué précédemment, elle conclut que la juge du procès minimise la portée des manquements </w:t>
      </w:r>
      <w:r w:rsidRPr="008675BA">
        <w:rPr>
          <w:rFonts w:cs="Times New Roman"/>
          <w:lang w:val="fr-CA"/>
        </w:rPr>
        <w:lastRenderedPageBreak/>
        <w:t>de M</w:t>
      </w:r>
      <w:r w:rsidRPr="008675BA">
        <w:rPr>
          <w:rFonts w:cs="Times New Roman"/>
          <w:vertAlign w:val="superscript"/>
          <w:lang w:val="fr-CA"/>
        </w:rPr>
        <w:t>e</w:t>
      </w:r>
      <w:r w:rsidRPr="008675BA">
        <w:rPr>
          <w:rFonts w:cs="Times New Roman"/>
          <w:lang w:val="fr-CA"/>
        </w:rPr>
        <w:t> Salomon à son devoir de conseil en concluant que (i) M</w:t>
      </w:r>
      <w:r w:rsidRPr="008675BA">
        <w:rPr>
          <w:rFonts w:cs="Times New Roman"/>
          <w:vertAlign w:val="superscript"/>
          <w:lang w:val="fr-CA"/>
        </w:rPr>
        <w:t>e</w:t>
      </w:r>
      <w:r w:rsidRPr="008675BA">
        <w:rPr>
          <w:rFonts w:cs="Times New Roman"/>
          <w:lang w:val="fr-CA"/>
        </w:rPr>
        <w:t> Salomon a donné des conseils erronés en matière de placements à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seulement (</w:t>
      </w:r>
      <w:r>
        <w:rPr>
          <w:rFonts w:cs="Times New Roman"/>
          <w:lang w:val="fr-CA"/>
        </w:rPr>
        <w:t>par. </w:t>
      </w:r>
      <w:r w:rsidRPr="008675BA">
        <w:rPr>
          <w:rFonts w:cs="Times New Roman"/>
          <w:lang w:val="fr-CA"/>
        </w:rPr>
        <w:t>61, 65, 69 et 89); et que (ii) les fautes visaient seulement certains produits de placement précis et ont été commises pendant une période de temps limitée et non jusqu’à la fin de 2007 (</w:t>
      </w:r>
      <w:r>
        <w:rPr>
          <w:rFonts w:cs="Times New Roman"/>
          <w:lang w:val="fr-CA"/>
        </w:rPr>
        <w:t>par. </w:t>
      </w:r>
      <w:r w:rsidRPr="008675BA">
        <w:rPr>
          <w:rFonts w:cs="Times New Roman"/>
          <w:lang w:val="fr-CA"/>
        </w:rPr>
        <w:t>70</w:t>
      </w:r>
      <w:r>
        <w:rPr>
          <w:rFonts w:cs="Times New Roman"/>
          <w:lang w:val="fr-CA"/>
        </w:rPr>
        <w:noBreakHyphen/>
      </w:r>
      <w:r w:rsidRPr="008675BA">
        <w:rPr>
          <w:rFonts w:cs="Times New Roman"/>
          <w:lang w:val="fr-CA"/>
        </w:rPr>
        <w:t>75 et 89). De l’avis de la Cour d’appel, ces deux erreurs révisables découlent du prisme déformant auquel a eu recours la juge du procès, à savoir son omission d’adopter une vision « globale » de l’affaire (</w:t>
      </w:r>
      <w:r>
        <w:rPr>
          <w:rFonts w:cs="Times New Roman"/>
          <w:lang w:val="fr-CA"/>
        </w:rPr>
        <w:t>par. </w:t>
      </w:r>
      <w:r w:rsidRPr="008675BA">
        <w:rPr>
          <w:rFonts w:cs="Times New Roman"/>
          <w:lang w:val="fr-CA"/>
        </w:rPr>
        <w:t>50, 66 et 120).</w:t>
      </w:r>
    </w:p>
    <w:p w:rsidR="0041746D" w:rsidRPr="008675BA" w:rsidRDefault="0041746D" w:rsidP="0041746D">
      <w:pPr>
        <w:pStyle w:val="ParaNoNdepar-AltN"/>
        <w:rPr>
          <w:rFonts w:cs="Times New Roman"/>
          <w:lang w:val="fr-CA"/>
        </w:rPr>
      </w:pPr>
      <w:r w:rsidRPr="008675BA">
        <w:rPr>
          <w:rFonts w:cs="Times New Roman"/>
          <w:lang w:val="fr-CA"/>
        </w:rPr>
        <w:t>Je suis d’accord avec mon collègue pour dire que la Cour d’appel disposait de certains éléments sur lesquels se fonder pour conclure que M</w:t>
      </w:r>
      <w:r w:rsidRPr="008675BA">
        <w:rPr>
          <w:rFonts w:cs="Times New Roman"/>
          <w:vertAlign w:val="superscript"/>
          <w:lang w:val="fr-CA"/>
        </w:rPr>
        <w:t>e</w:t>
      </w:r>
      <w:r w:rsidRPr="008675BA">
        <w:rPr>
          <w:rFonts w:cs="Times New Roman"/>
          <w:lang w:val="fr-CA"/>
        </w:rPr>
        <w:t> Salomon a commis les mêmes fautes à l’égard des deux intimées (</w:t>
      </w:r>
      <w:r>
        <w:rPr>
          <w:rFonts w:cs="Times New Roman"/>
          <w:lang w:val="fr-CA"/>
        </w:rPr>
        <w:t>par. </w:t>
      </w:r>
      <w:r w:rsidRPr="008675BA">
        <w:rPr>
          <w:rFonts w:cs="Times New Roman"/>
          <w:lang w:val="fr-CA"/>
        </w:rPr>
        <w:t>56</w:t>
      </w:r>
      <w:r>
        <w:rPr>
          <w:rFonts w:cs="Times New Roman"/>
          <w:lang w:val="fr-CA"/>
        </w:rPr>
        <w:noBreakHyphen/>
      </w:r>
      <w:r w:rsidRPr="008675BA">
        <w:rPr>
          <w:rFonts w:cs="Times New Roman"/>
          <w:lang w:val="fr-CA"/>
        </w:rPr>
        <w:t>57 et 62). L’affirmation de la juge du procès selon laquelle [</w:t>
      </w:r>
      <w:r w:rsidRPr="008675BA">
        <w:rPr>
          <w:rFonts w:cs="Times New Roman"/>
          <w:smallCaps/>
          <w:lang w:val="fr-CA"/>
        </w:rPr>
        <w:t>traduction</w:t>
      </w:r>
      <w:r w:rsidRPr="008675BA">
        <w:rPr>
          <w:rFonts w:cs="Times New Roman"/>
          <w:lang w:val="fr-CA"/>
        </w:rPr>
        <w:t>] « [M</w:t>
      </w:r>
      <w:r w:rsidRPr="008675BA">
        <w:rPr>
          <w:rFonts w:cs="Times New Roman"/>
          <w:vertAlign w:val="superscript"/>
          <w:lang w:val="fr-CA"/>
        </w:rPr>
        <w:t>e</w:t>
      </w:r>
      <w:r w:rsidRPr="008675BA">
        <w:rPr>
          <w:rFonts w:cs="Times New Roman"/>
          <w:lang w:val="fr-CA"/>
        </w:rPr>
        <w:t>] Salomon n’a jamais agi à titre de professionnel donnant des conseils financiers à 166376 » (</w:t>
      </w:r>
      <w:r>
        <w:rPr>
          <w:rFonts w:cs="Times New Roman"/>
          <w:lang w:val="fr-CA"/>
        </w:rPr>
        <w:t>par. </w:t>
      </w:r>
      <w:r w:rsidRPr="008675BA">
        <w:rPr>
          <w:rFonts w:cs="Times New Roman"/>
          <w:lang w:val="fr-CA"/>
        </w:rPr>
        <w:t>283) semble être contredite par ses propres conclusions de fait selon lesquelles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l’a consulté à la fois en qualité de liquidatrice de la succession et bénéficiaire des fiducies et d’administratrice de 166 (</w:t>
      </w:r>
      <w:r>
        <w:rPr>
          <w:rFonts w:cs="Times New Roman"/>
          <w:lang w:val="fr-CA"/>
        </w:rPr>
        <w:t>par. </w:t>
      </w:r>
      <w:r w:rsidRPr="008675BA">
        <w:rPr>
          <w:rFonts w:cs="Times New Roman"/>
          <w:lang w:val="fr-CA"/>
        </w:rPr>
        <w:t>44). De fait, le mémorandum daté du 13 septembre 2003 dans lequel M</w:t>
      </w:r>
      <w:r w:rsidRPr="008675BA">
        <w:rPr>
          <w:rFonts w:cs="Times New Roman"/>
          <w:vertAlign w:val="superscript"/>
          <w:lang w:val="fr-CA"/>
        </w:rPr>
        <w:t>e</w:t>
      </w:r>
      <w:r w:rsidRPr="008675BA">
        <w:rPr>
          <w:rFonts w:cs="Times New Roman"/>
          <w:lang w:val="fr-CA"/>
        </w:rPr>
        <w:t xml:space="preserve"> Salomon recommandait un investissement dans le fonds iVest était directement adressé à 166 (motifs de la C.A., </w:t>
      </w:r>
      <w:r>
        <w:rPr>
          <w:rFonts w:cs="Times New Roman"/>
          <w:lang w:val="fr-CA"/>
        </w:rPr>
        <w:t>par. </w:t>
      </w:r>
      <w:r w:rsidRPr="008675BA">
        <w:rPr>
          <w:rFonts w:cs="Times New Roman"/>
          <w:lang w:val="fr-CA"/>
        </w:rPr>
        <w:t>49 et 59). De plus, lorsque la vente des biens de 166 a été envisagée en juin 2005, M</w:t>
      </w:r>
      <w:r w:rsidRPr="008675BA">
        <w:rPr>
          <w:rFonts w:cs="Times New Roman"/>
          <w:vertAlign w:val="superscript"/>
          <w:lang w:val="fr-CA"/>
        </w:rPr>
        <w:t>e</w:t>
      </w:r>
      <w:r w:rsidRPr="008675BA">
        <w:rPr>
          <w:rFonts w:cs="Times New Roman"/>
          <w:lang w:val="fr-CA"/>
        </w:rPr>
        <w:t> Salomon a réitéré sa recommandation d’investir dans les fonds Manulife ou iVest. Par conséquent, il me semble que, contrairement à la conclusion de la juge du procès, M</w:t>
      </w:r>
      <w:r w:rsidRPr="008675BA">
        <w:rPr>
          <w:rFonts w:cs="Times New Roman"/>
          <w:vertAlign w:val="superscript"/>
          <w:lang w:val="fr-CA"/>
        </w:rPr>
        <w:t>e</w:t>
      </w:r>
      <w:r w:rsidRPr="008675BA">
        <w:rPr>
          <w:rFonts w:cs="Times New Roman"/>
          <w:lang w:val="fr-CA"/>
        </w:rPr>
        <w:t xml:space="preserve"> Salomon ait donné le même conseil erroné en matière de placements aux deux intimées. </w:t>
      </w:r>
    </w:p>
    <w:p w:rsidR="0041746D" w:rsidRPr="008675BA" w:rsidRDefault="0041746D" w:rsidP="0041746D">
      <w:pPr>
        <w:pStyle w:val="ParaNoNdepar-AltN"/>
        <w:rPr>
          <w:rFonts w:cs="Times New Roman"/>
          <w:lang w:val="fr-CA"/>
        </w:rPr>
      </w:pPr>
      <w:r w:rsidRPr="008675BA">
        <w:rPr>
          <w:rFonts w:cs="Times New Roman"/>
          <w:lang w:val="fr-CA"/>
        </w:rPr>
        <w:t xml:space="preserve">Cependant, même si cette erreur est tenue pour manifeste, je ne vois pas quelle incidence elle a eue sur l’issue de l’affaire. Comme je l’expliquerai plus loin </w:t>
      </w:r>
      <w:r w:rsidRPr="008675BA">
        <w:rPr>
          <w:rFonts w:cs="Times New Roman"/>
          <w:lang w:val="fr-CA"/>
        </w:rPr>
        <w:lastRenderedPageBreak/>
        <w:t>dans mon analyse du lien de causalité, 166 ne s’est aucunement fiée aux conseils de M</w:t>
      </w:r>
      <w:r w:rsidRPr="008675BA">
        <w:rPr>
          <w:rFonts w:cs="Times New Roman"/>
          <w:vertAlign w:val="superscript"/>
          <w:lang w:val="fr-CA"/>
        </w:rPr>
        <w:t>e</w:t>
      </w:r>
      <w:r w:rsidRPr="008675BA">
        <w:rPr>
          <w:rFonts w:cs="Times New Roman"/>
          <w:lang w:val="fr-CA"/>
        </w:rPr>
        <w:t xml:space="preserve"> Salomon en matière de placements après avoir vendu ses actifs au début de 2006 (motifs de première instance, </w:t>
      </w:r>
      <w:r>
        <w:rPr>
          <w:rFonts w:cs="Times New Roman"/>
          <w:lang w:val="fr-CA"/>
        </w:rPr>
        <w:t>par. </w:t>
      </w:r>
      <w:r w:rsidRPr="008675BA">
        <w:rPr>
          <w:rFonts w:cs="Times New Roman"/>
          <w:lang w:val="fr-CA"/>
        </w:rPr>
        <w:t>288). M</w:t>
      </w:r>
      <w:r w:rsidR="00C64F0B">
        <w:rPr>
          <w:rFonts w:cs="Times New Roman"/>
          <w:lang w:val="fr-CA"/>
        </w:rPr>
        <w:t xml:space="preserve">adame </w:t>
      </w:r>
      <w:r w:rsidRPr="008675BA">
        <w:rPr>
          <w:rFonts w:cs="Times New Roman"/>
          <w:lang w:val="fr-CA"/>
        </w:rPr>
        <w:t>Matte</w:t>
      </w:r>
      <w:r>
        <w:rPr>
          <w:rFonts w:cs="Times New Roman"/>
          <w:lang w:val="fr-CA"/>
        </w:rPr>
        <w:noBreakHyphen/>
      </w:r>
      <w:r w:rsidRPr="008675BA">
        <w:rPr>
          <w:rFonts w:cs="Times New Roman"/>
          <w:lang w:val="fr-CA"/>
        </w:rPr>
        <w:t>Thompson a décidé de son propre chef d’investir le produit de la vente des actifs de 166 dans le fonds Focus, plutôt que dans les produits que M</w:t>
      </w:r>
      <w:r w:rsidRPr="008675BA">
        <w:rPr>
          <w:rFonts w:cs="Times New Roman"/>
          <w:vertAlign w:val="superscript"/>
          <w:lang w:val="fr-CA"/>
        </w:rPr>
        <w:t>e</w:t>
      </w:r>
      <w:r w:rsidRPr="008675BA">
        <w:rPr>
          <w:rFonts w:cs="Times New Roman"/>
          <w:lang w:val="fr-CA"/>
        </w:rPr>
        <w:t> Salomon lui avait initialement recommandés (c.</w:t>
      </w:r>
      <w:r>
        <w:rPr>
          <w:rFonts w:cs="Times New Roman"/>
          <w:lang w:val="fr-CA"/>
        </w:rPr>
        <w:noBreakHyphen/>
      </w:r>
      <w:r w:rsidRPr="008675BA">
        <w:rPr>
          <w:rFonts w:cs="Times New Roman"/>
          <w:lang w:val="fr-CA"/>
        </w:rPr>
        <w:t>à</w:t>
      </w:r>
      <w:r>
        <w:rPr>
          <w:rFonts w:cs="Times New Roman"/>
          <w:lang w:val="fr-CA"/>
        </w:rPr>
        <w:noBreakHyphen/>
      </w:r>
      <w:r w:rsidRPr="008675BA">
        <w:rPr>
          <w:rFonts w:cs="Times New Roman"/>
          <w:lang w:val="fr-CA"/>
        </w:rPr>
        <w:t>d. les fonds Manulife et iVest). Dans ce contexte, on ne peut affirmer que l’erreur de la juge du procès est « déterminante », et donc qu’elle justifie une intervention en appel. Elle ne permet pas non plus à la Cour d’appel de procéder à un réexamen général de la preuve afin de déceler d’</w:t>
      </w:r>
      <w:r w:rsidRPr="008675BA">
        <w:rPr>
          <w:rFonts w:cs="Times New Roman"/>
          <w:i/>
          <w:lang w:val="fr-CA"/>
        </w:rPr>
        <w:t>autres</w:t>
      </w:r>
      <w:r w:rsidRPr="008675BA">
        <w:rPr>
          <w:rFonts w:cs="Times New Roman"/>
          <w:lang w:val="fr-CA"/>
        </w:rPr>
        <w:t xml:space="preserve"> erreurs potentielles.</w:t>
      </w:r>
    </w:p>
    <w:p w:rsidR="0041746D" w:rsidRPr="008675BA" w:rsidRDefault="0041746D" w:rsidP="0041746D">
      <w:pPr>
        <w:pStyle w:val="ParaNoNdepar-AltN"/>
        <w:rPr>
          <w:rFonts w:cs="Times New Roman"/>
          <w:lang w:val="fr-CA"/>
        </w:rPr>
      </w:pPr>
      <w:r w:rsidRPr="008675BA">
        <w:rPr>
          <w:rFonts w:cs="Times New Roman"/>
          <w:lang w:val="fr-CA"/>
        </w:rPr>
        <w:t xml:space="preserve">Je ne peux </w:t>
      </w:r>
      <w:r>
        <w:rPr>
          <w:rFonts w:cs="Times New Roman"/>
          <w:lang w:val="fr-CA"/>
        </w:rPr>
        <w:t xml:space="preserve">non plus </w:t>
      </w:r>
      <w:r w:rsidRPr="008675BA">
        <w:rPr>
          <w:rFonts w:cs="Times New Roman"/>
          <w:lang w:val="fr-CA"/>
        </w:rPr>
        <w:t xml:space="preserve">me rallier à l’opinion de mon collègue concernant la deuxième erreur révisable que la Cour d’appel aurait relevée </w:t>
      </w:r>
      <w:r w:rsidRPr="008675BA">
        <w:rPr>
          <w:rFonts w:cs="Times New Roman"/>
          <w:i/>
          <w:lang w:val="fr-CA"/>
        </w:rPr>
        <w:t>après</w:t>
      </w:r>
      <w:r w:rsidRPr="008675BA">
        <w:rPr>
          <w:rFonts w:cs="Times New Roman"/>
          <w:lang w:val="fr-CA"/>
        </w:rPr>
        <w:t xml:space="preserve"> avoir réexaminé le dossier. Je suis convaincue que rien ne justifiait d’infirmer la conclusion de la juge du procès selon laquelle M</w:t>
      </w:r>
      <w:r w:rsidRPr="008675BA">
        <w:rPr>
          <w:rFonts w:cs="Times New Roman"/>
          <w:vertAlign w:val="superscript"/>
          <w:lang w:val="fr-CA"/>
        </w:rPr>
        <w:t>e</w:t>
      </w:r>
      <w:r w:rsidRPr="008675BA">
        <w:rPr>
          <w:rFonts w:cs="Times New Roman"/>
          <w:lang w:val="fr-CA"/>
        </w:rPr>
        <w:t> Salomon a commis des fautes uniquement en recommandant des produits Manulife et iVest, en 2003 et 2004 principalement (</w:t>
      </w:r>
      <w:r>
        <w:rPr>
          <w:rFonts w:cs="Times New Roman"/>
          <w:lang w:val="fr-CA"/>
        </w:rPr>
        <w:t>par. </w:t>
      </w:r>
      <w:r w:rsidRPr="008675BA">
        <w:rPr>
          <w:rFonts w:cs="Times New Roman"/>
          <w:lang w:val="fr-CA"/>
        </w:rPr>
        <w:t>196</w:t>
      </w:r>
      <w:r>
        <w:rPr>
          <w:rFonts w:cs="Times New Roman"/>
          <w:lang w:val="fr-CA"/>
        </w:rPr>
        <w:noBreakHyphen/>
      </w:r>
      <w:r w:rsidRPr="008675BA">
        <w:rPr>
          <w:rFonts w:cs="Times New Roman"/>
          <w:lang w:val="fr-CA"/>
        </w:rPr>
        <w:t xml:space="preserve">197), et qu’il n’a commis aucune faute en ce qui a trait aux placements ultérieurs dans le fonds Focus. Après tout, il n’a pas pris part aux décisions fatidiques des intimées d’investir dans ce produit en particulier en 2006 (motifs de première instance, </w:t>
      </w:r>
      <w:r>
        <w:rPr>
          <w:rFonts w:cs="Times New Roman"/>
          <w:lang w:val="fr-CA"/>
        </w:rPr>
        <w:t>par. </w:t>
      </w:r>
      <w:r w:rsidRPr="008675BA">
        <w:rPr>
          <w:rFonts w:cs="Times New Roman"/>
          <w:lang w:val="fr-CA"/>
        </w:rPr>
        <w:t>210</w:t>
      </w:r>
      <w:r>
        <w:rPr>
          <w:rFonts w:cs="Times New Roman"/>
          <w:lang w:val="fr-CA"/>
        </w:rPr>
        <w:noBreakHyphen/>
      </w:r>
      <w:r w:rsidRPr="008675BA">
        <w:rPr>
          <w:rFonts w:cs="Times New Roman"/>
          <w:lang w:val="fr-CA"/>
        </w:rPr>
        <w:t>215, 285</w:t>
      </w:r>
      <w:r>
        <w:rPr>
          <w:rFonts w:cs="Times New Roman"/>
          <w:lang w:val="fr-CA"/>
        </w:rPr>
        <w:noBreakHyphen/>
      </w:r>
      <w:r w:rsidRPr="008675BA">
        <w:rPr>
          <w:rFonts w:cs="Times New Roman"/>
          <w:lang w:val="fr-CA"/>
        </w:rPr>
        <w:t>288 et 290</w:t>
      </w:r>
      <w:r>
        <w:rPr>
          <w:rFonts w:cs="Times New Roman"/>
          <w:lang w:val="fr-CA"/>
        </w:rPr>
        <w:noBreakHyphen/>
      </w:r>
      <w:r w:rsidRPr="008675BA">
        <w:rPr>
          <w:rFonts w:cs="Times New Roman"/>
          <w:lang w:val="fr-CA"/>
        </w:rPr>
        <w:t>294).</w:t>
      </w:r>
    </w:p>
    <w:p w:rsidR="0041746D" w:rsidRPr="008675BA" w:rsidRDefault="0041746D" w:rsidP="0041746D">
      <w:pPr>
        <w:pStyle w:val="ParaNoNdepar-AltN"/>
        <w:rPr>
          <w:rFonts w:cs="Times New Roman"/>
          <w:lang w:val="fr-CA"/>
        </w:rPr>
      </w:pPr>
      <w:r w:rsidRPr="008675BA">
        <w:rPr>
          <w:rFonts w:cs="Times New Roman"/>
          <w:lang w:val="fr-CA"/>
        </w:rPr>
        <w:t>Pour conclure à l’existence d’une soi</w:t>
      </w:r>
      <w:r>
        <w:rPr>
          <w:rFonts w:cs="Times New Roman"/>
          <w:lang w:val="fr-CA"/>
        </w:rPr>
        <w:noBreakHyphen/>
      </w:r>
      <w:r w:rsidRPr="008675BA">
        <w:rPr>
          <w:rFonts w:cs="Times New Roman"/>
          <w:lang w:val="fr-CA"/>
        </w:rPr>
        <w:t>disant erreur manifeste et déterminante, la Cour d’appel se fonde sur le point de vue selon lequel M</w:t>
      </w:r>
      <w:r w:rsidRPr="008675BA">
        <w:rPr>
          <w:rFonts w:cs="Times New Roman"/>
          <w:vertAlign w:val="superscript"/>
          <w:lang w:val="fr-CA"/>
        </w:rPr>
        <w:t>e</w:t>
      </w:r>
      <w:r w:rsidRPr="008675BA">
        <w:rPr>
          <w:rFonts w:cs="Times New Roman"/>
          <w:lang w:val="fr-CA"/>
        </w:rPr>
        <w:t> Salomon a commis, de 2003 à 2007, des fautes d’omission continues en ne faisant pas de recherches au sujet de Triglobal et de M. Papadopoulos et en ne vérifiant pas leurs produits de placement (</w:t>
      </w:r>
      <w:r>
        <w:rPr>
          <w:rFonts w:cs="Times New Roman"/>
          <w:lang w:val="fr-CA"/>
        </w:rPr>
        <w:t>par. </w:t>
      </w:r>
      <w:r w:rsidRPr="008675BA">
        <w:rPr>
          <w:rFonts w:cs="Times New Roman"/>
          <w:lang w:val="fr-CA"/>
        </w:rPr>
        <w:t>70</w:t>
      </w:r>
      <w:r>
        <w:rPr>
          <w:rFonts w:cs="Times New Roman"/>
          <w:lang w:val="fr-CA"/>
        </w:rPr>
        <w:noBreakHyphen/>
      </w:r>
      <w:r w:rsidRPr="008675BA">
        <w:rPr>
          <w:rFonts w:cs="Times New Roman"/>
          <w:lang w:val="fr-CA"/>
        </w:rPr>
        <w:t>72). Cela soulève la question de savoir si M</w:t>
      </w:r>
      <w:r w:rsidRPr="008675BA">
        <w:rPr>
          <w:rFonts w:cs="Times New Roman"/>
          <w:vertAlign w:val="superscript"/>
          <w:lang w:val="fr-CA"/>
        </w:rPr>
        <w:t>e</w:t>
      </w:r>
      <w:r w:rsidRPr="008675BA">
        <w:rPr>
          <w:rFonts w:cs="Times New Roman"/>
          <w:lang w:val="fr-CA"/>
        </w:rPr>
        <w:t xml:space="preserve"> Salomon </w:t>
      </w:r>
      <w:r w:rsidRPr="008675BA">
        <w:rPr>
          <w:rFonts w:cs="Times New Roman"/>
          <w:lang w:val="fr-CA"/>
        </w:rPr>
        <w:lastRenderedPageBreak/>
        <w:t>avait l’obligation de prendre de telles mesures à l’égard des investissements ultérieurs dans le fonds Focus. Comme je l’ai déjà mentionné, la juge du procès conclut qu’il n’avait pas de mandat particulier pour recommander des produits de placement ou effectuer des vérifications à ce sujet (</w:t>
      </w:r>
      <w:r>
        <w:rPr>
          <w:rFonts w:cs="Times New Roman"/>
          <w:lang w:val="fr-CA"/>
        </w:rPr>
        <w:t>par. </w:t>
      </w:r>
      <w:r w:rsidRPr="008675BA">
        <w:rPr>
          <w:rFonts w:cs="Times New Roman"/>
          <w:lang w:val="fr-CA"/>
        </w:rPr>
        <w:t>130), conclusion qui n’est pas contestée. De plus, la juge du procès pouvait conclure, au vu des faits de l’affaire, que M</w:t>
      </w:r>
      <w:r w:rsidRPr="008675BA">
        <w:rPr>
          <w:rFonts w:cs="Times New Roman"/>
          <w:vertAlign w:val="superscript"/>
          <w:lang w:val="fr-CA"/>
        </w:rPr>
        <w:t>e</w:t>
      </w:r>
      <w:r w:rsidRPr="008675BA">
        <w:rPr>
          <w:rFonts w:cs="Times New Roman"/>
          <w:lang w:val="fr-CA"/>
        </w:rPr>
        <w:t> Salomon n’avait aucune obligation de faire des recherches auprès des organismes de réglementation avant de recommander Triglobal et M. Papadopoulos. Je ne vois donc pas très bien de quelles obligations M</w:t>
      </w:r>
      <w:r w:rsidRPr="008675BA">
        <w:rPr>
          <w:rFonts w:cs="Times New Roman"/>
          <w:vertAlign w:val="superscript"/>
          <w:lang w:val="fr-CA"/>
        </w:rPr>
        <w:t>e</w:t>
      </w:r>
      <w:r w:rsidRPr="008675BA">
        <w:rPr>
          <w:rFonts w:cs="Times New Roman"/>
          <w:lang w:val="fr-CA"/>
        </w:rPr>
        <w:t xml:space="preserve"> Salomon ne se serait pas acquitté. </w:t>
      </w:r>
    </w:p>
    <w:p w:rsidR="0041746D" w:rsidRPr="008675BA" w:rsidRDefault="0041746D" w:rsidP="0041746D">
      <w:pPr>
        <w:pStyle w:val="ParaNoNdepar-AltN"/>
        <w:rPr>
          <w:rFonts w:cs="Times New Roman"/>
          <w:lang w:val="fr-CA"/>
        </w:rPr>
      </w:pPr>
      <w:r w:rsidRPr="008675BA">
        <w:rPr>
          <w:rFonts w:cs="Times New Roman"/>
          <w:lang w:val="fr-CA"/>
        </w:rPr>
        <w:t>Sur quel fondement pourrait donc reposer le point de vue selon lequel M</w:t>
      </w:r>
      <w:r w:rsidRPr="008675BA">
        <w:rPr>
          <w:rFonts w:cs="Times New Roman"/>
          <w:vertAlign w:val="superscript"/>
          <w:lang w:val="fr-CA"/>
        </w:rPr>
        <w:t>e</w:t>
      </w:r>
      <w:r w:rsidRPr="008675BA">
        <w:rPr>
          <w:rFonts w:cs="Times New Roman"/>
          <w:lang w:val="fr-CA"/>
        </w:rPr>
        <w:t> Salomon a commis des fautes d’omission continues? La Cour d’appel semble estimer que, jusqu’à la fin de 2007, les « interventions » de M</w:t>
      </w:r>
      <w:r w:rsidRPr="008675BA">
        <w:rPr>
          <w:rFonts w:cs="Times New Roman"/>
          <w:vertAlign w:val="superscript"/>
          <w:lang w:val="fr-CA"/>
        </w:rPr>
        <w:t>e</w:t>
      </w:r>
      <w:r w:rsidRPr="008675BA">
        <w:rPr>
          <w:rFonts w:cs="Times New Roman"/>
          <w:lang w:val="fr-CA"/>
        </w:rPr>
        <w:t> Salomon à l’égard des investissements des intimées dans le fonds Focus ont aussi déclenché un devoir de conseil et donc une obligation de faire des recherches et des vérifications (</w:t>
      </w:r>
      <w:r>
        <w:rPr>
          <w:rFonts w:cs="Times New Roman"/>
          <w:lang w:val="fr-CA"/>
        </w:rPr>
        <w:t>par. </w:t>
      </w:r>
      <w:r w:rsidRPr="008675BA">
        <w:rPr>
          <w:rFonts w:cs="Times New Roman"/>
          <w:lang w:val="fr-CA"/>
        </w:rPr>
        <w:t xml:space="preserve">71 et 75). Je conviens que le devoir de conseil de l’avocat inclut généralement l’obligation d’informer ses clients des faits pertinents, celle d’expliquer les options possibles et leurs conséquences et celle de recommander une ligne de conduite (motifs du juge Gascon, </w:t>
      </w:r>
      <w:r>
        <w:rPr>
          <w:rFonts w:cs="Times New Roman"/>
          <w:lang w:val="fr-CA"/>
        </w:rPr>
        <w:t>par. </w:t>
      </w:r>
      <w:r w:rsidRPr="008675BA">
        <w:rPr>
          <w:rFonts w:cs="Times New Roman"/>
          <w:lang w:val="fr-CA"/>
        </w:rPr>
        <w:t xml:space="preserve">52). Le contenu précis de ce devoir est toutefois hautement tributaire des circonstances, à savoir l’étendue du mandat, les obligations qu’assume l’avocat et ses domaines d’expertise (voir </w:t>
      </w:r>
      <w:r w:rsidRPr="008675BA">
        <w:rPr>
          <w:rFonts w:cs="Times New Roman"/>
          <w:i/>
          <w:lang w:val="fr-CA"/>
        </w:rPr>
        <w:t>Côté</w:t>
      </w:r>
      <w:r w:rsidRPr="008675BA">
        <w:rPr>
          <w:rFonts w:cs="Times New Roman"/>
          <w:lang w:val="fr-CA"/>
        </w:rPr>
        <w:t xml:space="preserve">, </w:t>
      </w:r>
      <w:r>
        <w:rPr>
          <w:rFonts w:cs="Times New Roman"/>
          <w:lang w:val="fr-CA"/>
        </w:rPr>
        <w:t>par. </w:t>
      </w:r>
      <w:r w:rsidRPr="008675BA">
        <w:rPr>
          <w:rFonts w:cs="Times New Roman"/>
          <w:lang w:val="fr-CA"/>
        </w:rPr>
        <w:t>6).</w:t>
      </w:r>
    </w:p>
    <w:p w:rsidR="0041746D" w:rsidRPr="008675BA" w:rsidRDefault="0041746D" w:rsidP="0041746D">
      <w:pPr>
        <w:pStyle w:val="ParaNoNdepar-AltN"/>
        <w:rPr>
          <w:rFonts w:cs="Times New Roman"/>
          <w:lang w:val="fr-CA"/>
        </w:rPr>
      </w:pPr>
      <w:r w:rsidRPr="008675BA">
        <w:rPr>
          <w:rFonts w:cs="Times New Roman"/>
          <w:lang w:val="fr-CA"/>
        </w:rPr>
        <w:t>Dans l’affaire qui nous occupe, la juge du procès examine attentivement et en détail le rôle joué par M</w:t>
      </w:r>
      <w:r w:rsidRPr="008675BA">
        <w:rPr>
          <w:rFonts w:cs="Times New Roman"/>
          <w:vertAlign w:val="superscript"/>
          <w:lang w:val="fr-CA"/>
        </w:rPr>
        <w:t>e</w:t>
      </w:r>
      <w:r w:rsidRPr="008675BA">
        <w:rPr>
          <w:rFonts w:cs="Times New Roman"/>
          <w:lang w:val="fr-CA"/>
        </w:rPr>
        <w:t> Salomon en 2006 et 2007 et, se fondant sur son appréciation de la preuve, tire l’inférence raisonnable que M</w:t>
      </w:r>
      <w:r w:rsidRPr="008675BA">
        <w:rPr>
          <w:rFonts w:cs="Times New Roman"/>
          <w:vertAlign w:val="superscript"/>
          <w:lang w:val="fr-CA"/>
        </w:rPr>
        <w:t>e</w:t>
      </w:r>
      <w:r w:rsidRPr="008675BA">
        <w:rPr>
          <w:rFonts w:cs="Times New Roman"/>
          <w:lang w:val="fr-CA"/>
        </w:rPr>
        <w:t xml:space="preserve"> Salomon n’avait aucun devoir de conseil envers ses clientes en ce qui concerne leurs investissements dans le </w:t>
      </w:r>
      <w:r w:rsidRPr="008675BA">
        <w:rPr>
          <w:rFonts w:cs="Times New Roman"/>
          <w:lang w:val="fr-CA"/>
        </w:rPr>
        <w:lastRenderedPageBreak/>
        <w:t>fonds Focus, et certainement aucune obligation de vérifier les décisions des intimées en matière de placements (</w:t>
      </w:r>
      <w:r>
        <w:rPr>
          <w:rFonts w:cs="Times New Roman"/>
          <w:lang w:val="fr-CA"/>
        </w:rPr>
        <w:t>par. </w:t>
      </w:r>
      <w:r w:rsidRPr="008675BA">
        <w:rPr>
          <w:rFonts w:cs="Times New Roman"/>
          <w:lang w:val="fr-CA"/>
        </w:rPr>
        <w:t>213</w:t>
      </w:r>
      <w:r>
        <w:rPr>
          <w:rFonts w:cs="Times New Roman"/>
          <w:lang w:val="fr-CA"/>
        </w:rPr>
        <w:noBreakHyphen/>
      </w:r>
      <w:r w:rsidRPr="008675BA">
        <w:rPr>
          <w:rFonts w:cs="Times New Roman"/>
          <w:lang w:val="fr-CA"/>
        </w:rPr>
        <w:t>214 et 285</w:t>
      </w:r>
      <w:r>
        <w:rPr>
          <w:rFonts w:cs="Times New Roman"/>
          <w:lang w:val="fr-CA"/>
        </w:rPr>
        <w:noBreakHyphen/>
      </w:r>
      <w:r w:rsidRPr="008675BA">
        <w:rPr>
          <w:rFonts w:cs="Times New Roman"/>
          <w:lang w:val="fr-CA"/>
        </w:rPr>
        <w:t>288). Là encore, la Cour d’appel ne relève pas de lacune « cruciale » précise dans les conclusions de la juge du procès, mais intervient plutôt en raison d’une simple différence d’opinions.</w:t>
      </w:r>
    </w:p>
    <w:p w:rsidR="0041746D" w:rsidRPr="008675BA" w:rsidRDefault="0041746D" w:rsidP="0041746D">
      <w:pPr>
        <w:pStyle w:val="ParaNoNdepar-AltN"/>
        <w:rPr>
          <w:rFonts w:cs="Times New Roman"/>
          <w:lang w:val="fr-CA"/>
        </w:rPr>
      </w:pPr>
      <w:r w:rsidRPr="008675BA">
        <w:rPr>
          <w:rFonts w:cs="Times New Roman"/>
          <w:lang w:val="fr-CA"/>
        </w:rPr>
        <w:t>Premièrement, il convient de rappeler les conclusions de fait non contestées de la juge du procès selon lesquelles M</w:t>
      </w:r>
      <w:r w:rsidRPr="008675BA">
        <w:rPr>
          <w:rFonts w:cs="Times New Roman"/>
          <w:vertAlign w:val="superscript"/>
          <w:lang w:val="fr-CA"/>
        </w:rPr>
        <w:t>e</w:t>
      </w:r>
      <w:r w:rsidRPr="008675BA">
        <w:rPr>
          <w:rFonts w:cs="Times New Roman"/>
          <w:lang w:val="fr-CA"/>
        </w:rPr>
        <w:t xml:space="preserve"> Salomon n’a pas été consulté au sujet des décisions des intimées d’investir dans le fonds Focus en 2006 et n’a pas pris part à ces décisions (voir les </w:t>
      </w:r>
      <w:r>
        <w:rPr>
          <w:rFonts w:cs="Times New Roman"/>
          <w:lang w:val="fr-CA"/>
        </w:rPr>
        <w:t>par. </w:t>
      </w:r>
      <w:r w:rsidRPr="008675BA">
        <w:rPr>
          <w:rFonts w:cs="Times New Roman"/>
          <w:lang w:val="fr-CA"/>
        </w:rPr>
        <w:t>204</w:t>
      </w:r>
      <w:r>
        <w:rPr>
          <w:rFonts w:cs="Times New Roman"/>
          <w:lang w:val="fr-CA"/>
        </w:rPr>
        <w:noBreakHyphen/>
      </w:r>
      <w:r w:rsidRPr="008675BA">
        <w:rPr>
          <w:rFonts w:cs="Times New Roman"/>
          <w:lang w:val="fr-CA"/>
        </w:rPr>
        <w:t>205, 210, 219</w:t>
      </w:r>
      <w:r>
        <w:rPr>
          <w:rFonts w:cs="Times New Roman"/>
          <w:lang w:val="fr-CA"/>
        </w:rPr>
        <w:noBreakHyphen/>
      </w:r>
      <w:r w:rsidRPr="008675BA">
        <w:rPr>
          <w:rFonts w:cs="Times New Roman"/>
          <w:lang w:val="fr-CA"/>
        </w:rPr>
        <w:t>222 et 290</w:t>
      </w:r>
      <w:r>
        <w:rPr>
          <w:rFonts w:cs="Times New Roman"/>
          <w:lang w:val="fr-CA"/>
        </w:rPr>
        <w:noBreakHyphen/>
      </w:r>
      <w:r w:rsidRPr="008675BA">
        <w:rPr>
          <w:rFonts w:cs="Times New Roman"/>
          <w:lang w:val="fr-CA"/>
        </w:rPr>
        <w:t>293</w:t>
      </w:r>
      <w:r>
        <w:rPr>
          <w:rFonts w:cs="Times New Roman"/>
          <w:lang w:val="fr-CA"/>
        </w:rPr>
        <w:t>)</w:t>
      </w:r>
      <w:r w:rsidRPr="00CE1E2E">
        <w:rPr>
          <w:rStyle w:val="Hyperlink"/>
          <w:u w:val="none"/>
          <w:vertAlign w:val="superscript"/>
        </w:rPr>
        <w:footnoteReference w:id="3"/>
      </w:r>
      <w:r w:rsidRPr="008675BA">
        <w:rPr>
          <w:rFonts w:cs="Times New Roman"/>
          <w:lang w:val="fr-CA"/>
        </w:rPr>
        <w:t>. Il n’a été informé de la décision qu’après cou</w:t>
      </w:r>
      <w:r>
        <w:rPr>
          <w:rFonts w:cs="Times New Roman"/>
          <w:lang w:val="fr-CA"/>
        </w:rPr>
        <w:t>p. </w:t>
      </w:r>
      <w:r w:rsidRPr="008675BA">
        <w:rPr>
          <w:rFonts w:cs="Times New Roman"/>
          <w:lang w:val="fr-CA"/>
        </w:rPr>
        <w:t>Bien que M</w:t>
      </w:r>
      <w:r w:rsidRPr="008675BA">
        <w:rPr>
          <w:rFonts w:cs="Times New Roman"/>
          <w:vertAlign w:val="superscript"/>
          <w:lang w:val="fr-CA"/>
        </w:rPr>
        <w:t>e</w:t>
      </w:r>
      <w:r w:rsidRPr="008675BA">
        <w:rPr>
          <w:rFonts w:cs="Times New Roman"/>
          <w:lang w:val="fr-CA"/>
        </w:rPr>
        <w:t> Salomon ait participé à des réunions sur la vente prochaine des actifs de 166, rien n’indique que de possibles investissements dans le fonds Focus aient alors fait l’objet de discussions. De plus, il n’a pas participé à la réunion clé en décembre 2005 qui portait expressément sur la stratégie de placement de 166. Quoi qu’il en soit, un investissement dans Focus n’était pas encore envisagé à ce moment</w:t>
      </w:r>
      <w:r>
        <w:rPr>
          <w:rFonts w:cs="Times New Roman"/>
          <w:lang w:val="fr-CA"/>
        </w:rPr>
        <w:noBreakHyphen/>
      </w:r>
      <w:r w:rsidRPr="008675BA">
        <w:rPr>
          <w:rFonts w:cs="Times New Roman"/>
          <w:lang w:val="fr-CA"/>
        </w:rPr>
        <w:t>là. À la demande de 166, M</w:t>
      </w:r>
      <w:r w:rsidRPr="008675BA">
        <w:rPr>
          <w:rFonts w:cs="Times New Roman"/>
          <w:vertAlign w:val="superscript"/>
          <w:lang w:val="fr-CA"/>
        </w:rPr>
        <w:t>e</w:t>
      </w:r>
      <w:r w:rsidRPr="008675BA">
        <w:rPr>
          <w:rFonts w:cs="Times New Roman"/>
          <w:lang w:val="fr-CA"/>
        </w:rPr>
        <w:t> Salomon a rédigé des résolutions autorisant l’ouverture de comptes de placement pour le produit de la vente, mais celles</w:t>
      </w:r>
      <w:r>
        <w:rPr>
          <w:rFonts w:cs="Times New Roman"/>
          <w:lang w:val="fr-CA"/>
        </w:rPr>
        <w:noBreakHyphen/>
      </w:r>
      <w:r w:rsidRPr="008675BA">
        <w:rPr>
          <w:rFonts w:cs="Times New Roman"/>
          <w:lang w:val="fr-CA"/>
        </w:rPr>
        <w:t xml:space="preserve">ci se rapportaient aux fonds Manulife et iVest, et non au fonds Focus (motifs de la C.A., </w:t>
      </w:r>
      <w:r>
        <w:rPr>
          <w:rFonts w:cs="Times New Roman"/>
          <w:lang w:val="fr-CA"/>
        </w:rPr>
        <w:t>par. </w:t>
      </w:r>
      <w:r w:rsidRPr="008675BA">
        <w:rPr>
          <w:rFonts w:cs="Times New Roman"/>
          <w:lang w:val="fr-CA"/>
        </w:rPr>
        <w:t>79).</w:t>
      </w:r>
    </w:p>
    <w:p w:rsidR="0041746D" w:rsidRPr="008675BA" w:rsidRDefault="0041746D" w:rsidP="0041746D">
      <w:pPr>
        <w:pStyle w:val="ParaNoNdepar-AltN"/>
        <w:rPr>
          <w:rFonts w:cs="Times New Roman"/>
          <w:lang w:val="fr-CA"/>
        </w:rPr>
      </w:pPr>
      <w:r w:rsidRPr="008675BA">
        <w:rPr>
          <w:rFonts w:cs="Times New Roman"/>
          <w:lang w:val="fr-CA"/>
        </w:rPr>
        <w:t xml:space="preserve">Je crois qu’il est utile de citer plusieurs paragraphes des motifs de la juge du procès portant sur les investissements de 166 dans le fonds Focus. Ces paragraphes </w:t>
      </w:r>
      <w:r w:rsidRPr="008675BA">
        <w:rPr>
          <w:rFonts w:cs="Times New Roman"/>
          <w:lang w:val="fr-CA"/>
        </w:rPr>
        <w:lastRenderedPageBreak/>
        <w:t>démontrent clairement à quel point la participation et la connaissance de M</w:t>
      </w:r>
      <w:r w:rsidRPr="008675BA">
        <w:rPr>
          <w:rFonts w:cs="Times New Roman"/>
          <w:vertAlign w:val="superscript"/>
          <w:lang w:val="fr-CA"/>
        </w:rPr>
        <w:t>e</w:t>
      </w:r>
      <w:r w:rsidRPr="008675BA">
        <w:rPr>
          <w:rFonts w:cs="Times New Roman"/>
          <w:lang w:val="fr-CA"/>
        </w:rPr>
        <w:t> Salomon étaient limitées à cet égard</w:t>
      </w:r>
      <w:r>
        <w:rPr>
          <w:rFonts w:cs="Times New Roman"/>
          <w:lang w:val="fr-CA"/>
        </w:rPr>
        <w:t> :</w:t>
      </w:r>
    </w:p>
    <w:p w:rsidR="0041746D" w:rsidRPr="008675BA" w:rsidRDefault="0041746D" w:rsidP="0041746D">
      <w:pPr>
        <w:pStyle w:val="Citation-AltC"/>
        <w:spacing w:after="240"/>
        <w:ind w:left="1168" w:hanging="1168"/>
        <w:contextualSpacing w:val="0"/>
        <w:rPr>
          <w:lang w:val="fr-CA"/>
        </w:rPr>
      </w:pPr>
      <w:r w:rsidRPr="008675BA">
        <w:rPr>
          <w:lang w:val="fr-CA"/>
        </w:rPr>
        <w:tab/>
      </w:r>
      <w:r w:rsidRPr="008675BA">
        <w:rPr>
          <w:lang w:val="fr-CA"/>
        </w:rPr>
        <w:tab/>
      </w:r>
      <w:r w:rsidR="007429D9" w:rsidRPr="008675BA">
        <w:rPr>
          <w:lang w:val="fr-CA"/>
        </w:rPr>
        <w:t>[</w:t>
      </w:r>
      <w:r w:rsidR="007429D9" w:rsidRPr="008675BA">
        <w:rPr>
          <w:smallCaps/>
          <w:lang w:val="fr-CA"/>
        </w:rPr>
        <w:t>traduction</w:t>
      </w:r>
      <w:r w:rsidR="007429D9" w:rsidRPr="008675BA">
        <w:rPr>
          <w:lang w:val="fr-CA"/>
        </w:rPr>
        <w:t>]</w:t>
      </w:r>
      <w:r w:rsidR="007429D9">
        <w:rPr>
          <w:lang w:val="fr-CA"/>
        </w:rPr>
        <w:t xml:space="preserve"> </w:t>
      </w:r>
      <w:r w:rsidRPr="008675BA">
        <w:rPr>
          <w:lang w:val="fr-CA"/>
        </w:rPr>
        <w:t>À la fin de 2005 et au début de 2006, [M</w:t>
      </w:r>
      <w:r w:rsidRPr="008675BA">
        <w:rPr>
          <w:vertAlign w:val="superscript"/>
          <w:lang w:val="fr-CA"/>
        </w:rPr>
        <w:t>e</w:t>
      </w:r>
      <w:r w:rsidRPr="008675BA">
        <w:rPr>
          <w:lang w:val="fr-CA"/>
        </w:rPr>
        <w:t>] Salomon avait encore une relation d’avocat</w:t>
      </w:r>
      <w:r>
        <w:rPr>
          <w:lang w:val="fr-CA"/>
        </w:rPr>
        <w:noBreakHyphen/>
      </w:r>
      <w:r w:rsidRPr="008675BA">
        <w:rPr>
          <w:lang w:val="fr-CA"/>
        </w:rPr>
        <w:t>client avec M</w:t>
      </w:r>
      <w:r w:rsidRPr="008675BA">
        <w:rPr>
          <w:vertAlign w:val="superscript"/>
          <w:lang w:val="fr-CA"/>
        </w:rPr>
        <w:t>me</w:t>
      </w:r>
      <w:r w:rsidRPr="008675BA">
        <w:rPr>
          <w:lang w:val="fr-CA"/>
        </w:rPr>
        <w:t xml:space="preserve"> Thompson. Il s’occupait de nombreuses affaires ayant trait aux testaments, fiducies et entreprises de la famille. </w:t>
      </w:r>
      <w:r w:rsidRPr="008675BA">
        <w:rPr>
          <w:u w:val="single"/>
          <w:lang w:val="fr-CA"/>
        </w:rPr>
        <w:t>Il savait que le produit de la vente devait être placé et que M. Papadopoulos faisait des propositions d’investissement à M</w:t>
      </w:r>
      <w:r w:rsidRPr="008675BA">
        <w:rPr>
          <w:u w:val="single"/>
          <w:vertAlign w:val="superscript"/>
          <w:lang w:val="fr-CA"/>
        </w:rPr>
        <w:t>me</w:t>
      </w:r>
      <w:r w:rsidRPr="008675BA">
        <w:rPr>
          <w:u w:val="single"/>
          <w:lang w:val="fr-CA"/>
        </w:rPr>
        <w:t> Thompson et à ses avocats ontariens. Toutefois, [M</w:t>
      </w:r>
      <w:r w:rsidRPr="008675BA">
        <w:rPr>
          <w:u w:val="single"/>
          <w:vertAlign w:val="superscript"/>
          <w:lang w:val="fr-CA"/>
        </w:rPr>
        <w:t>e</w:t>
      </w:r>
      <w:r w:rsidRPr="008675BA">
        <w:rPr>
          <w:u w:val="single"/>
          <w:lang w:val="fr-CA"/>
        </w:rPr>
        <w:t>] Salomon n’a pas participé à cette rencontre sur la stratégie d’investissement. Même s’il a reçu une copie de la proposition que M. Papadopoulos a faite à M</w:t>
      </w:r>
      <w:r w:rsidRPr="008675BA">
        <w:rPr>
          <w:u w:val="single"/>
          <w:vertAlign w:val="superscript"/>
          <w:lang w:val="fr-CA"/>
        </w:rPr>
        <w:t>me</w:t>
      </w:r>
      <w:r w:rsidRPr="008675BA">
        <w:rPr>
          <w:u w:val="single"/>
          <w:lang w:val="fr-CA"/>
        </w:rPr>
        <w:t> Thompson, il n’a pas pris part aux recommandations ni aux discussions au sujet du placement.</w:t>
      </w:r>
      <w:r w:rsidRPr="008675BA">
        <w:rPr>
          <w:lang w:val="fr-CA"/>
        </w:rPr>
        <w:t xml:space="preserve"> </w:t>
      </w:r>
    </w:p>
    <w:p w:rsidR="0041746D" w:rsidRPr="008675BA" w:rsidRDefault="0041746D" w:rsidP="0041746D">
      <w:pPr>
        <w:pStyle w:val="Citation-AltC"/>
        <w:spacing w:after="240"/>
        <w:ind w:left="1168" w:hanging="1168"/>
        <w:contextualSpacing w:val="0"/>
        <w:rPr>
          <w:lang w:val="fr-CA"/>
        </w:rPr>
      </w:pPr>
      <w:r w:rsidRPr="008675BA">
        <w:rPr>
          <w:lang w:val="fr-CA"/>
        </w:rPr>
        <w:tab/>
      </w:r>
      <w:r w:rsidRPr="008675BA">
        <w:rPr>
          <w:lang w:val="fr-CA"/>
        </w:rPr>
        <w:tab/>
        <w:t>[M</w:t>
      </w:r>
      <w:r w:rsidR="00293FF7" w:rsidRPr="00293FF7">
        <w:rPr>
          <w:vertAlign w:val="superscript"/>
          <w:lang w:val="fr-CA"/>
        </w:rPr>
        <w:t>e</w:t>
      </w:r>
      <w:r w:rsidRPr="008675BA">
        <w:rPr>
          <w:lang w:val="fr-CA"/>
        </w:rPr>
        <w:t>]</w:t>
      </w:r>
      <w:r w:rsidR="007429D9">
        <w:rPr>
          <w:lang w:val="fr-CA"/>
        </w:rPr>
        <w:t xml:space="preserve"> </w:t>
      </w:r>
      <w:r w:rsidRPr="008675BA">
        <w:rPr>
          <w:lang w:val="fr-CA"/>
        </w:rPr>
        <w:t>Salomon fait valoir qu’il n’a aucunement participé à la décision de 166376 concernant l’investissement et qu’il ne savait rien à ce sujet. La preuve démontre le contraire.</w:t>
      </w:r>
    </w:p>
    <w:p w:rsidR="0041746D" w:rsidRPr="008675BA" w:rsidRDefault="0041746D" w:rsidP="0041746D">
      <w:pPr>
        <w:pStyle w:val="Citation-AltC"/>
        <w:spacing w:after="240"/>
        <w:ind w:left="1168" w:hanging="1168"/>
        <w:contextualSpacing w:val="0"/>
        <w:rPr>
          <w:lang w:val="fr-CA"/>
        </w:rPr>
      </w:pPr>
      <w:r w:rsidRPr="008675BA">
        <w:rPr>
          <w:lang w:val="fr-CA"/>
        </w:rPr>
        <w:tab/>
      </w:r>
      <w:r w:rsidRPr="008675BA">
        <w:rPr>
          <w:lang w:val="fr-CA"/>
        </w:rPr>
        <w:tab/>
      </w:r>
      <w:r w:rsidRPr="008675BA">
        <w:rPr>
          <w:u w:val="single"/>
          <w:lang w:val="fr-CA"/>
        </w:rPr>
        <w:t>[M</w:t>
      </w:r>
      <w:r w:rsidR="00293FF7" w:rsidRPr="00293FF7">
        <w:rPr>
          <w:u w:val="single"/>
          <w:vertAlign w:val="superscript"/>
          <w:lang w:val="fr-CA"/>
        </w:rPr>
        <w:t>e</w:t>
      </w:r>
      <w:r w:rsidRPr="008675BA">
        <w:rPr>
          <w:u w:val="single"/>
          <w:lang w:val="fr-CA"/>
        </w:rPr>
        <w:t>]</w:t>
      </w:r>
      <w:r w:rsidR="007429D9">
        <w:rPr>
          <w:u w:val="single"/>
          <w:lang w:val="fr-CA"/>
        </w:rPr>
        <w:t xml:space="preserve"> </w:t>
      </w:r>
      <w:r w:rsidRPr="008675BA">
        <w:rPr>
          <w:u w:val="single"/>
          <w:lang w:val="fr-CA"/>
        </w:rPr>
        <w:t>Salomon a préparé les résolutions pour l’ouverture du compte d’investissement pour les liquidateurs de la succession et les fiduciaires</w:t>
      </w:r>
      <w:r w:rsidRPr="008675BA">
        <w:rPr>
          <w:lang w:val="fr-CA"/>
        </w:rPr>
        <w:t xml:space="preserve">. </w:t>
      </w:r>
      <w:r w:rsidRPr="008675BA">
        <w:rPr>
          <w:u w:val="single"/>
          <w:lang w:val="fr-CA"/>
        </w:rPr>
        <w:t>Avant le placement, il a participé aux discussions concernant le placement du produit de la vente et le rendement attendu requis pour répondre aux besoins de M</w:t>
      </w:r>
      <w:r w:rsidRPr="008675BA">
        <w:rPr>
          <w:u w:val="single"/>
          <w:vertAlign w:val="superscript"/>
          <w:lang w:val="fr-CA"/>
        </w:rPr>
        <w:t>me</w:t>
      </w:r>
      <w:r w:rsidRPr="008675BA">
        <w:rPr>
          <w:u w:val="single"/>
          <w:lang w:val="fr-CA"/>
        </w:rPr>
        <w:t> Thompson.</w:t>
      </w:r>
      <w:r w:rsidRPr="008675BA">
        <w:rPr>
          <w:lang w:val="fr-CA"/>
        </w:rPr>
        <w:t xml:space="preserve"> Il savait que 166376 envisageait d’investir une grande partie du produit de la vente en recourant aux services de Triglob</w:t>
      </w:r>
      <w:r>
        <w:rPr>
          <w:lang w:val="fr-CA"/>
        </w:rPr>
        <w:t>al. </w:t>
      </w:r>
    </w:p>
    <w:p w:rsidR="0041746D" w:rsidRPr="008675BA" w:rsidRDefault="0041746D" w:rsidP="0041746D">
      <w:pPr>
        <w:pStyle w:val="Citation-AltC"/>
        <w:spacing w:after="240"/>
        <w:ind w:left="1168" w:hanging="1168"/>
        <w:contextualSpacing w:val="0"/>
        <w:rPr>
          <w:lang w:val="fr-CA"/>
        </w:rPr>
      </w:pPr>
      <w:r w:rsidRPr="008675BA">
        <w:rPr>
          <w:lang w:val="fr-CA"/>
        </w:rPr>
        <w:tab/>
      </w:r>
      <w:r w:rsidRPr="008675BA">
        <w:rPr>
          <w:lang w:val="fr-CA"/>
        </w:rPr>
        <w:tab/>
      </w:r>
      <w:r w:rsidRPr="008675BA">
        <w:rPr>
          <w:u w:val="single"/>
          <w:lang w:val="fr-CA"/>
        </w:rPr>
        <w:t>Toutefois, 166376, par l’entremise de M</w:t>
      </w:r>
      <w:r w:rsidRPr="008675BA">
        <w:rPr>
          <w:u w:val="single"/>
          <w:vertAlign w:val="superscript"/>
          <w:lang w:val="fr-CA"/>
        </w:rPr>
        <w:t>me</w:t>
      </w:r>
      <w:r w:rsidRPr="008675BA">
        <w:rPr>
          <w:u w:val="single"/>
          <w:lang w:val="fr-CA"/>
        </w:rPr>
        <w:t> Thompson, voulait investir auprès de Triglobal dans les fonds Manulife et iVest</w:t>
      </w:r>
      <w:r w:rsidRPr="008675BA">
        <w:rPr>
          <w:lang w:val="fr-CA"/>
        </w:rPr>
        <w:t>, le même véhicule d’investissement qui avait été recommandé antérieurement à M</w:t>
      </w:r>
      <w:r w:rsidRPr="008675BA">
        <w:rPr>
          <w:vertAlign w:val="superscript"/>
          <w:lang w:val="fr-CA"/>
        </w:rPr>
        <w:t>me</w:t>
      </w:r>
      <w:r w:rsidRPr="008675BA">
        <w:rPr>
          <w:lang w:val="fr-CA"/>
        </w:rPr>
        <w:t> Thompson à titre personnel.</w:t>
      </w:r>
    </w:p>
    <w:p w:rsidR="0041746D" w:rsidRPr="008675BA" w:rsidRDefault="0041746D" w:rsidP="0041746D">
      <w:pPr>
        <w:pStyle w:val="Citation-AltC"/>
        <w:spacing w:after="240"/>
        <w:ind w:left="1168" w:hanging="1168"/>
        <w:contextualSpacing w:val="0"/>
        <w:jc w:val="center"/>
        <w:rPr>
          <w:lang w:val="fr-CA"/>
        </w:rPr>
      </w:pPr>
      <w:r w:rsidRPr="008675BA">
        <w:rPr>
          <w:lang w:val="fr-CA"/>
        </w:rPr>
        <w:tab/>
        <w:t>. . .</w:t>
      </w:r>
    </w:p>
    <w:p w:rsidR="0041746D" w:rsidRPr="008675BA" w:rsidRDefault="0041746D" w:rsidP="0041746D">
      <w:pPr>
        <w:pStyle w:val="Citation-AltC"/>
        <w:spacing w:after="240"/>
        <w:ind w:left="1168" w:hanging="1168"/>
        <w:contextualSpacing w:val="0"/>
        <w:rPr>
          <w:lang w:val="fr-CA"/>
        </w:rPr>
      </w:pPr>
      <w:r w:rsidRPr="008675BA">
        <w:rPr>
          <w:lang w:val="fr-CA"/>
        </w:rPr>
        <w:tab/>
      </w:r>
      <w:r w:rsidRPr="008675BA">
        <w:rPr>
          <w:lang w:val="fr-CA"/>
        </w:rPr>
        <w:tab/>
        <w:t>Les pièces produites et la preuve démontrent qu’à l’hiver 2006, [M</w:t>
      </w:r>
      <w:r w:rsidRPr="008675BA">
        <w:rPr>
          <w:vertAlign w:val="superscript"/>
          <w:lang w:val="fr-CA"/>
        </w:rPr>
        <w:t>e</w:t>
      </w:r>
      <w:r w:rsidRPr="008675BA">
        <w:rPr>
          <w:lang w:val="fr-CA"/>
        </w:rPr>
        <w:t>] Salomon n’était pas au courant du montant exact investi par 166376 ni des véhicules dans lesquels cette société avait investi. Contrairement au cas du premier placement fait personnellement par M</w:t>
      </w:r>
      <w:r w:rsidRPr="008675BA">
        <w:rPr>
          <w:vertAlign w:val="superscript"/>
          <w:lang w:val="fr-CA"/>
        </w:rPr>
        <w:t>me</w:t>
      </w:r>
      <w:r w:rsidRPr="008675BA">
        <w:rPr>
          <w:lang w:val="fr-CA"/>
        </w:rPr>
        <w:t xml:space="preserve"> Thompson en 2003, </w:t>
      </w:r>
      <w:r w:rsidRPr="008675BA">
        <w:rPr>
          <w:u w:val="single"/>
          <w:lang w:val="fr-CA"/>
        </w:rPr>
        <w:t>[M</w:t>
      </w:r>
      <w:r w:rsidRPr="008675BA">
        <w:rPr>
          <w:u w:val="single"/>
          <w:vertAlign w:val="superscript"/>
          <w:lang w:val="fr-CA"/>
        </w:rPr>
        <w:t>e</w:t>
      </w:r>
      <w:r w:rsidRPr="008675BA">
        <w:rPr>
          <w:u w:val="single"/>
          <w:lang w:val="fr-CA"/>
        </w:rPr>
        <w:t>] Salomon n’a jamais été consulté au sujet des investissements dans le fonds Focus envisagés par 166376</w:t>
      </w:r>
      <w:r w:rsidRPr="008675BA">
        <w:rPr>
          <w:lang w:val="fr-CA"/>
        </w:rPr>
        <w:t>.</w:t>
      </w:r>
    </w:p>
    <w:p w:rsidR="0041746D" w:rsidRPr="008675BA" w:rsidRDefault="0041746D" w:rsidP="0041746D">
      <w:pPr>
        <w:pStyle w:val="Citation-AltC"/>
        <w:spacing w:after="240"/>
        <w:ind w:left="1168" w:hanging="1168"/>
        <w:contextualSpacing w:val="0"/>
        <w:rPr>
          <w:lang w:val="fr-CA"/>
        </w:rPr>
      </w:pPr>
      <w:r w:rsidRPr="008675BA">
        <w:rPr>
          <w:lang w:val="fr-CA"/>
        </w:rPr>
        <w:tab/>
      </w:r>
      <w:r w:rsidRPr="008675BA">
        <w:rPr>
          <w:lang w:val="fr-CA"/>
        </w:rPr>
        <w:tab/>
        <w:t>Comment [M</w:t>
      </w:r>
      <w:r w:rsidRPr="008675BA">
        <w:rPr>
          <w:vertAlign w:val="superscript"/>
          <w:lang w:val="fr-CA"/>
        </w:rPr>
        <w:t>e</w:t>
      </w:r>
      <w:r w:rsidRPr="008675BA">
        <w:rPr>
          <w:lang w:val="fr-CA"/>
        </w:rPr>
        <w:t>] Salomon pouvait</w:t>
      </w:r>
      <w:r>
        <w:rPr>
          <w:lang w:val="fr-CA"/>
        </w:rPr>
        <w:noBreakHyphen/>
      </w:r>
      <w:r w:rsidRPr="008675BA">
        <w:rPr>
          <w:lang w:val="fr-CA"/>
        </w:rPr>
        <w:t>il empêcher 166376 de faire une telle opération alors qu’il ne savait même pas qu’un tel investissement était en train d’être fait?</w:t>
      </w:r>
    </w:p>
    <w:p w:rsidR="0041746D" w:rsidRPr="008675BA" w:rsidRDefault="0041746D" w:rsidP="0041746D">
      <w:pPr>
        <w:pStyle w:val="Citation-AltC"/>
        <w:spacing w:after="240"/>
        <w:ind w:left="1168" w:hanging="1168"/>
        <w:contextualSpacing w:val="0"/>
        <w:rPr>
          <w:lang w:val="fr-CA"/>
        </w:rPr>
      </w:pPr>
      <w:r w:rsidRPr="008675BA">
        <w:rPr>
          <w:lang w:val="fr-CA"/>
        </w:rPr>
        <w:tab/>
      </w:r>
      <w:r w:rsidRPr="008675BA">
        <w:rPr>
          <w:lang w:val="fr-CA"/>
        </w:rPr>
        <w:tab/>
        <w:t>La Cour ne peut conclure que [M</w:t>
      </w:r>
      <w:r w:rsidRPr="008675BA">
        <w:rPr>
          <w:vertAlign w:val="superscript"/>
          <w:lang w:val="fr-CA"/>
        </w:rPr>
        <w:t>e</w:t>
      </w:r>
      <w:r w:rsidRPr="008675BA">
        <w:rPr>
          <w:lang w:val="fr-CA"/>
        </w:rPr>
        <w:t>] Salomon a omis d’informer 166376 de la limite de ses compétences au moment où 166376 a fait l’investissement parce qu’</w:t>
      </w:r>
      <w:r w:rsidRPr="008675BA">
        <w:rPr>
          <w:u w:val="single"/>
          <w:lang w:val="fr-CA"/>
        </w:rPr>
        <w:t>il n’a jamais recommandé l’investissement dans le fonds Focus. Il en a eu connaissance seulement après coup.</w:t>
      </w:r>
    </w:p>
    <w:p w:rsidR="0041746D" w:rsidRPr="008675BA" w:rsidRDefault="0041746D" w:rsidP="0041746D">
      <w:pPr>
        <w:pStyle w:val="Citation-AltC"/>
        <w:ind w:hanging="1166"/>
        <w:rPr>
          <w:lang w:val="fr-CA"/>
        </w:rPr>
      </w:pPr>
      <w:r w:rsidRPr="008675BA">
        <w:rPr>
          <w:lang w:val="fr-CA"/>
        </w:rPr>
        <w:lastRenderedPageBreak/>
        <w:tab/>
      </w:r>
      <w:r w:rsidRPr="008675BA">
        <w:rPr>
          <w:lang w:val="fr-CA"/>
        </w:rPr>
        <w:tab/>
      </w:r>
      <w:r w:rsidRPr="008675BA">
        <w:rPr>
          <w:u w:val="single"/>
          <w:lang w:val="fr-CA"/>
        </w:rPr>
        <w:t xml:space="preserve">Bien que </w:t>
      </w:r>
      <w:r w:rsidRPr="008675BA">
        <w:rPr>
          <w:lang w:val="fr-CA"/>
        </w:rPr>
        <w:t>[</w:t>
      </w:r>
      <w:r w:rsidRPr="008675BA">
        <w:rPr>
          <w:u w:val="single"/>
          <w:lang w:val="fr-CA"/>
        </w:rPr>
        <w:t>M</w:t>
      </w:r>
      <w:r w:rsidRPr="008675BA">
        <w:rPr>
          <w:u w:val="single"/>
          <w:vertAlign w:val="superscript"/>
          <w:lang w:val="fr-CA"/>
        </w:rPr>
        <w:t>e</w:t>
      </w:r>
      <w:r w:rsidRPr="008675BA">
        <w:rPr>
          <w:u w:val="single"/>
          <w:lang w:val="fr-CA"/>
        </w:rPr>
        <w:t>] Salomon ait encouragé ses clientes à investir par l’entremise de Triglobal, il n’a pas encouragé 166376 à acheter le fonds Focus en février 2006.</w:t>
      </w:r>
      <w:r w:rsidRPr="008675BA">
        <w:rPr>
          <w:lang w:val="fr-CA"/>
        </w:rPr>
        <w:t xml:space="preserve"> La proposition et les recommandations concernant le placement ont fait l’objet de discussions lors de la réunion sur la stratégie à laquelle a participé [M.] Papadopoulos, mais pas [M</w:t>
      </w:r>
      <w:r w:rsidRPr="008675BA">
        <w:rPr>
          <w:vertAlign w:val="superscript"/>
          <w:lang w:val="fr-CA"/>
        </w:rPr>
        <w:t>e</w:t>
      </w:r>
      <w:r w:rsidRPr="008675BA">
        <w:rPr>
          <w:lang w:val="fr-CA"/>
        </w:rPr>
        <w:t xml:space="preserve">] Salomon. [Je souligne; </w:t>
      </w:r>
      <w:r w:rsidR="007429D9">
        <w:rPr>
          <w:lang w:val="fr-CA"/>
        </w:rPr>
        <w:t>notes en bas de page omises</w:t>
      </w:r>
      <w:r w:rsidRPr="008675BA">
        <w:rPr>
          <w:lang w:val="fr-CA"/>
        </w:rPr>
        <w:t xml:space="preserve">; </w:t>
      </w:r>
      <w:r>
        <w:rPr>
          <w:lang w:val="fr-CA"/>
        </w:rPr>
        <w:t>par. </w:t>
      </w:r>
      <w:r w:rsidRPr="008675BA">
        <w:rPr>
          <w:lang w:val="fr-CA"/>
        </w:rPr>
        <w:t>219</w:t>
      </w:r>
      <w:r>
        <w:rPr>
          <w:lang w:val="fr-CA"/>
        </w:rPr>
        <w:noBreakHyphen/>
      </w:r>
      <w:r w:rsidRPr="008675BA">
        <w:rPr>
          <w:lang w:val="fr-CA"/>
        </w:rPr>
        <w:t>222 et 290</w:t>
      </w:r>
      <w:r>
        <w:rPr>
          <w:lang w:val="fr-CA"/>
        </w:rPr>
        <w:noBreakHyphen/>
      </w:r>
      <w:r w:rsidRPr="008675BA">
        <w:rPr>
          <w:lang w:val="fr-CA"/>
        </w:rPr>
        <w:t>293.]</w:t>
      </w:r>
    </w:p>
    <w:p w:rsidR="0041746D" w:rsidRPr="008675BA" w:rsidRDefault="0041746D" w:rsidP="0041746D">
      <w:pPr>
        <w:pStyle w:val="ParaNoNdepar-AltN"/>
        <w:rPr>
          <w:rFonts w:cs="Times New Roman"/>
          <w:lang w:val="fr-CA"/>
        </w:rPr>
      </w:pPr>
      <w:r w:rsidRPr="008675BA">
        <w:rPr>
          <w:rFonts w:cs="Times New Roman"/>
          <w:lang w:val="fr-CA"/>
        </w:rPr>
        <w:t>Deuxièmement, même lorsque M</w:t>
      </w:r>
      <w:r w:rsidRPr="008675BA">
        <w:rPr>
          <w:rFonts w:cs="Times New Roman"/>
          <w:vertAlign w:val="superscript"/>
          <w:lang w:val="fr-CA"/>
        </w:rPr>
        <w:t>e</w:t>
      </w:r>
      <w:r w:rsidRPr="008675BA">
        <w:rPr>
          <w:rFonts w:cs="Times New Roman"/>
          <w:lang w:val="fr-CA"/>
        </w:rPr>
        <w:t> Salomon a finalement été mis au courant des investissements des intimées dans Focus (en avril 2006 dans le cas de 166, et en octobre 2006 dans le cas de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il n’a pas donné de conseil juridique erroné, il n’a pas fait de recommandation à celles</w:t>
      </w:r>
      <w:r>
        <w:rPr>
          <w:rFonts w:cs="Times New Roman"/>
          <w:lang w:val="fr-CA"/>
        </w:rPr>
        <w:noBreakHyphen/>
      </w:r>
      <w:r w:rsidRPr="008675BA">
        <w:rPr>
          <w:rFonts w:cs="Times New Roman"/>
          <w:lang w:val="fr-CA"/>
        </w:rPr>
        <w:t xml:space="preserve">ci et ne les a pas rassurées au sujet de ce fond en particulier (motifs de première instance, </w:t>
      </w:r>
      <w:r>
        <w:rPr>
          <w:rFonts w:cs="Times New Roman"/>
          <w:lang w:val="fr-CA"/>
        </w:rPr>
        <w:t>par. </w:t>
      </w:r>
      <w:r w:rsidRPr="008675BA">
        <w:rPr>
          <w:rFonts w:cs="Times New Roman"/>
          <w:lang w:val="fr-CA"/>
        </w:rPr>
        <w:t>227</w:t>
      </w:r>
      <w:r>
        <w:rPr>
          <w:rFonts w:cs="Times New Roman"/>
          <w:lang w:val="fr-CA"/>
        </w:rPr>
        <w:noBreakHyphen/>
      </w:r>
      <w:r w:rsidRPr="008675BA">
        <w:rPr>
          <w:rFonts w:cs="Times New Roman"/>
          <w:lang w:val="fr-CA"/>
        </w:rPr>
        <w:t>228, 236</w:t>
      </w:r>
      <w:r>
        <w:rPr>
          <w:rFonts w:cs="Times New Roman"/>
          <w:lang w:val="fr-CA"/>
        </w:rPr>
        <w:noBreakHyphen/>
      </w:r>
      <w:r w:rsidRPr="008675BA">
        <w:rPr>
          <w:rFonts w:cs="Times New Roman"/>
          <w:lang w:val="fr-CA"/>
        </w:rPr>
        <w:t>237, 294 et 301), du moins jusqu’en mai 2007. D’ailleurs, la Cour d’appel ne relève aucune occasion où M</w:t>
      </w:r>
      <w:r w:rsidRPr="008675BA">
        <w:rPr>
          <w:rFonts w:cs="Times New Roman"/>
          <w:vertAlign w:val="superscript"/>
          <w:lang w:val="fr-CA"/>
        </w:rPr>
        <w:t>e</w:t>
      </w:r>
      <w:r w:rsidRPr="008675BA">
        <w:rPr>
          <w:rFonts w:cs="Times New Roman"/>
          <w:lang w:val="fr-CA"/>
        </w:rPr>
        <w:t> Salomon aurait clairement recommandé ou cautionné le fonds Focus. Le seul exemple offert est le courriel que M</w:t>
      </w:r>
      <w:r w:rsidRPr="008675BA">
        <w:rPr>
          <w:rFonts w:cs="Times New Roman"/>
          <w:vertAlign w:val="superscript"/>
          <w:lang w:val="fr-CA"/>
        </w:rPr>
        <w:t>e</w:t>
      </w:r>
      <w:r w:rsidRPr="008675BA">
        <w:rPr>
          <w:rFonts w:cs="Times New Roman"/>
          <w:lang w:val="fr-CA"/>
        </w:rPr>
        <w:t> Salomon a reçu de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le 29 avril 2006, par lequel il a appris l’investissement de 166 dans le fonds Focus</w:t>
      </w:r>
      <w:r>
        <w:rPr>
          <w:rFonts w:cs="Times New Roman"/>
          <w:lang w:val="fr-CA"/>
        </w:rPr>
        <w:t> :</w:t>
      </w:r>
    </w:p>
    <w:p w:rsidR="0041746D" w:rsidRPr="008675BA" w:rsidRDefault="0041746D" w:rsidP="0041746D">
      <w:pPr>
        <w:pStyle w:val="Citation-AltC"/>
        <w:spacing w:after="240"/>
        <w:ind w:left="1168" w:hanging="1168"/>
        <w:contextualSpacing w:val="0"/>
        <w:rPr>
          <w:lang w:val="fr-CA"/>
        </w:rPr>
      </w:pPr>
      <w:r w:rsidRPr="008675BA">
        <w:rPr>
          <w:lang w:val="fr-CA"/>
        </w:rPr>
        <w:tab/>
        <w:t>[</w:t>
      </w:r>
      <w:r w:rsidRPr="008675BA">
        <w:rPr>
          <w:smallCaps/>
          <w:lang w:val="fr-CA"/>
        </w:rPr>
        <w:t>traduction</w:t>
      </w:r>
      <w:r w:rsidRPr="008675BA">
        <w:rPr>
          <w:lang w:val="fr-CA"/>
        </w:rPr>
        <w:t>]</w:t>
      </w:r>
    </w:p>
    <w:p w:rsidR="0041746D" w:rsidRPr="008675BA" w:rsidRDefault="0041746D" w:rsidP="0041746D">
      <w:pPr>
        <w:pStyle w:val="Citation-AltC"/>
        <w:spacing w:after="240"/>
        <w:ind w:left="1168" w:hanging="1168"/>
        <w:contextualSpacing w:val="0"/>
        <w:rPr>
          <w:lang w:val="fr-CA"/>
        </w:rPr>
      </w:pPr>
      <w:r w:rsidRPr="008675BA">
        <w:rPr>
          <w:lang w:val="fr-CA"/>
        </w:rPr>
        <w:tab/>
        <w:t>Ken</w:t>
      </w:r>
    </w:p>
    <w:p w:rsidR="0041746D" w:rsidRPr="008675BA" w:rsidRDefault="0041746D" w:rsidP="0041746D">
      <w:pPr>
        <w:pStyle w:val="Citation-AltC"/>
        <w:spacing w:after="240"/>
        <w:ind w:left="1168" w:hanging="1168"/>
        <w:contextualSpacing w:val="0"/>
        <w:rPr>
          <w:lang w:val="fr-CA"/>
        </w:rPr>
      </w:pPr>
      <w:r w:rsidRPr="008675BA">
        <w:rPr>
          <w:lang w:val="fr-CA"/>
        </w:rPr>
        <w:tab/>
      </w:r>
      <w:r w:rsidRPr="008675BA">
        <w:rPr>
          <w:u w:val="single"/>
          <w:lang w:val="fr-CA"/>
        </w:rPr>
        <w:t>J’ai besoin de te parler en tant qu’ami</w:t>
      </w:r>
      <w:r w:rsidR="007429D9">
        <w:rPr>
          <w:lang w:val="fr-CA"/>
        </w:rPr>
        <w:t>…</w:t>
      </w:r>
      <w:r w:rsidRPr="008675BA">
        <w:rPr>
          <w:u w:val="single"/>
          <w:lang w:val="fr-CA"/>
        </w:rPr>
        <w:t>Je m’inquiète un peu de l’investissement que j’ai fait avec [le produit de] la vente. J’ai de la difficulté à obtenir de l’information</w:t>
      </w:r>
      <w:r w:rsidRPr="008675BA">
        <w:rPr>
          <w:lang w:val="fr-CA"/>
        </w:rPr>
        <w:t xml:space="preserve"> et je n’ai reçu qu’une note d’Austin Harris de chez Focus indiquant le montant des fonds investis et les intérêts courus jusqu’à maintenant. Je n’ai aucun contrat qu</w:t>
      </w:r>
      <w:r w:rsidR="007429D9">
        <w:rPr>
          <w:lang w:val="fr-CA"/>
        </w:rPr>
        <w:t>i me donnerait des détails…</w:t>
      </w:r>
      <w:r w:rsidRPr="008675BA">
        <w:rPr>
          <w:lang w:val="fr-CA"/>
        </w:rPr>
        <w:t>ça ressemble à un prêt, mais on m’a dit que ce n’en est pas un</w:t>
      </w:r>
      <w:r w:rsidR="007429D9">
        <w:rPr>
          <w:lang w:val="fr-CA"/>
        </w:rPr>
        <w:t xml:space="preserve"> ...</w:t>
      </w:r>
      <w:r w:rsidRPr="008675BA">
        <w:rPr>
          <w:lang w:val="fr-CA"/>
        </w:rPr>
        <w:t>où sont investis les fonds? La lettre indique qu’il y a des conditions concernant le remboursement anticipé et la dem</w:t>
      </w:r>
      <w:r w:rsidR="007429D9">
        <w:rPr>
          <w:lang w:val="fr-CA"/>
        </w:rPr>
        <w:t>ande de remboursement anticipé..</w:t>
      </w:r>
      <w:r w:rsidRPr="008675BA">
        <w:rPr>
          <w:lang w:val="fr-CA"/>
        </w:rPr>
        <w:t xml:space="preserve">. On ne m’a pas informée de cela. </w:t>
      </w:r>
      <w:r w:rsidRPr="008675BA">
        <w:rPr>
          <w:u w:val="single"/>
          <w:lang w:val="fr-CA"/>
        </w:rPr>
        <w:t>Je pense que tout est arrivé trop vite et que j’étais peut</w:t>
      </w:r>
      <w:r>
        <w:rPr>
          <w:u w:val="single"/>
          <w:lang w:val="fr-CA"/>
        </w:rPr>
        <w:noBreakHyphen/>
      </w:r>
      <w:r w:rsidRPr="008675BA">
        <w:rPr>
          <w:u w:val="single"/>
          <w:lang w:val="fr-CA"/>
        </w:rPr>
        <w:t>être trop confiante</w:t>
      </w:r>
      <w:r w:rsidR="007429D9">
        <w:rPr>
          <w:lang w:val="fr-CA"/>
        </w:rPr>
        <w:t>..</w:t>
      </w:r>
      <w:r w:rsidRPr="008675BA">
        <w:rPr>
          <w:lang w:val="fr-CA"/>
        </w:rPr>
        <w:t>. Je pense à bernie</w:t>
      </w:r>
      <w:r w:rsidR="007429D9">
        <w:rPr>
          <w:lang w:val="fr-CA"/>
        </w:rPr>
        <w:t xml:space="preserve"> R et puis au scandale LaCroix..</w:t>
      </w:r>
      <w:r w:rsidRPr="008675BA">
        <w:rPr>
          <w:lang w:val="fr-CA"/>
        </w:rPr>
        <w:t>. Je ne peux pas me permettre d’être prise dans quelque chose qui ne m’a pas été complètement expliqué. J’ai peut</w:t>
      </w:r>
      <w:r>
        <w:rPr>
          <w:lang w:val="fr-CA"/>
        </w:rPr>
        <w:noBreakHyphen/>
      </w:r>
      <w:r w:rsidRPr="008675BA">
        <w:rPr>
          <w:lang w:val="fr-CA"/>
        </w:rPr>
        <w:t xml:space="preserve">être besoin de réfléchir à ma décision de mettre tous mes œufs dans le même panier. </w:t>
      </w:r>
      <w:r w:rsidRPr="008675BA">
        <w:rPr>
          <w:u w:val="single"/>
          <w:lang w:val="fr-CA"/>
        </w:rPr>
        <w:t>J’aimerais te parler en tant qu’ami et confident</w:t>
      </w:r>
      <w:r w:rsidR="007429D9">
        <w:rPr>
          <w:u w:val="single"/>
          <w:lang w:val="fr-CA"/>
        </w:rPr>
        <w:t>...</w:t>
      </w:r>
      <w:r w:rsidRPr="00D41045">
        <w:rPr>
          <w:u w:val="single"/>
          <w:lang w:val="fr-CA"/>
        </w:rPr>
        <w:t>à</w:t>
      </w:r>
      <w:r w:rsidRPr="008675BA">
        <w:rPr>
          <w:u w:val="single"/>
          <w:lang w:val="fr-CA"/>
        </w:rPr>
        <w:t xml:space="preserve"> titre personnel</w:t>
      </w:r>
      <w:r w:rsidRPr="007429D9">
        <w:rPr>
          <w:lang w:val="fr-CA"/>
        </w:rPr>
        <w:t>...</w:t>
      </w:r>
      <w:r w:rsidRPr="008675BA">
        <w:rPr>
          <w:lang w:val="fr-CA"/>
        </w:rPr>
        <w:t xml:space="preserve"> [Je souligne.]</w:t>
      </w:r>
    </w:p>
    <w:p w:rsidR="0041746D" w:rsidRPr="008675BA" w:rsidRDefault="007429D9" w:rsidP="007429D9">
      <w:pPr>
        <w:pStyle w:val="Citation-AltC"/>
        <w:ind w:left="0"/>
        <w:rPr>
          <w:lang w:val="fr-CA"/>
        </w:rPr>
      </w:pPr>
      <w:r>
        <w:rPr>
          <w:lang w:val="fr-CA"/>
        </w:rPr>
        <w:t>(C</w:t>
      </w:r>
      <w:r w:rsidR="0041746D" w:rsidRPr="008675BA">
        <w:rPr>
          <w:lang w:val="fr-CA"/>
        </w:rPr>
        <w:t xml:space="preserve">ité dans les motifs de la C.A., </w:t>
      </w:r>
      <w:r w:rsidR="0041746D">
        <w:rPr>
          <w:lang w:val="fr-CA"/>
        </w:rPr>
        <w:t>par. </w:t>
      </w:r>
      <w:r w:rsidR="0041746D" w:rsidRPr="008675BA">
        <w:rPr>
          <w:lang w:val="fr-CA"/>
        </w:rPr>
        <w:t>77</w:t>
      </w:r>
      <w:r w:rsidR="0041746D">
        <w:rPr>
          <w:lang w:val="fr-CA"/>
        </w:rPr>
        <w:noBreakHyphen/>
      </w:r>
      <w:r w:rsidR="0041746D" w:rsidRPr="008675BA">
        <w:rPr>
          <w:lang w:val="fr-CA"/>
        </w:rPr>
        <w:t>78</w:t>
      </w:r>
      <w:r w:rsidR="00B20BEB">
        <w:rPr>
          <w:lang w:val="fr-CA"/>
        </w:rPr>
        <w:t>,</w:t>
      </w:r>
      <w:r w:rsidR="0041746D" w:rsidRPr="008675BA">
        <w:rPr>
          <w:lang w:val="fr-CA"/>
        </w:rPr>
        <w:t xml:space="preserve"> et dans les motifs de première instance, </w:t>
      </w:r>
      <w:r w:rsidR="0041746D">
        <w:rPr>
          <w:lang w:val="fr-CA"/>
        </w:rPr>
        <w:t>par. </w:t>
      </w:r>
      <w:r w:rsidR="0041746D" w:rsidRPr="008675BA">
        <w:rPr>
          <w:lang w:val="fr-CA"/>
        </w:rPr>
        <w:t>227</w:t>
      </w:r>
      <w:r w:rsidR="0041746D">
        <w:rPr>
          <w:lang w:val="fr-CA"/>
        </w:rPr>
        <w:noBreakHyphen/>
      </w:r>
      <w:r w:rsidR="0041746D" w:rsidRPr="008675BA">
        <w:rPr>
          <w:lang w:val="fr-CA"/>
        </w:rPr>
        <w:t xml:space="preserve">228.) </w:t>
      </w:r>
    </w:p>
    <w:p w:rsidR="0041746D" w:rsidRPr="008675BA" w:rsidRDefault="0041746D" w:rsidP="0041746D">
      <w:pPr>
        <w:pStyle w:val="ParaNoNdepar-AltN"/>
        <w:rPr>
          <w:rFonts w:cs="Times New Roman"/>
          <w:lang w:val="fr-CA"/>
        </w:rPr>
      </w:pPr>
      <w:r w:rsidRPr="008675BA">
        <w:rPr>
          <w:rFonts w:cs="Times New Roman"/>
          <w:lang w:val="fr-CA"/>
        </w:rPr>
        <w:lastRenderedPageBreak/>
        <w:t>En réponse aux préoccupations de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concernant les « difficultés » qu’elle avait à obtenir des renseignements sur le fonds, M</w:t>
      </w:r>
      <w:r w:rsidRPr="008675BA">
        <w:rPr>
          <w:rFonts w:cs="Times New Roman"/>
          <w:vertAlign w:val="superscript"/>
          <w:lang w:val="fr-CA"/>
        </w:rPr>
        <w:t>e</w:t>
      </w:r>
      <w:r w:rsidRPr="008675BA">
        <w:rPr>
          <w:rFonts w:cs="Times New Roman"/>
          <w:lang w:val="fr-CA"/>
        </w:rPr>
        <w:t> Salomon a répondu — sans faire de recherches — qu’il était [</w:t>
      </w:r>
      <w:r w:rsidRPr="008675BA">
        <w:rPr>
          <w:rFonts w:cs="Times New Roman"/>
          <w:smallCaps/>
          <w:lang w:val="fr-CA"/>
        </w:rPr>
        <w:t>traduction</w:t>
      </w:r>
      <w:r w:rsidRPr="008675BA">
        <w:rPr>
          <w:rFonts w:cs="Times New Roman"/>
          <w:lang w:val="fr-CA"/>
        </w:rPr>
        <w:t>] « certain que tout [allait] bien ». Il a aussi offert d’en parler plus longuement et a ensuite demandé à M. Papadopoulos de répondre aux questions de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 xml:space="preserve">Thompson (motifs de première instance, </w:t>
      </w:r>
      <w:r>
        <w:rPr>
          <w:rFonts w:cs="Times New Roman"/>
          <w:lang w:val="fr-CA"/>
        </w:rPr>
        <w:t>par. </w:t>
      </w:r>
      <w:r w:rsidRPr="008675BA">
        <w:rPr>
          <w:rFonts w:cs="Times New Roman"/>
          <w:lang w:val="fr-CA"/>
        </w:rPr>
        <w:t>228).</w:t>
      </w:r>
    </w:p>
    <w:p w:rsidR="0041746D" w:rsidRPr="008675BA" w:rsidRDefault="0041746D" w:rsidP="0041746D">
      <w:pPr>
        <w:pStyle w:val="ParaNoNdepar-AltN"/>
        <w:rPr>
          <w:rFonts w:cs="Times New Roman"/>
          <w:lang w:val="fr-CA"/>
        </w:rPr>
      </w:pPr>
      <w:r w:rsidRPr="008675BA">
        <w:rPr>
          <w:rFonts w:cs="Times New Roman"/>
          <w:lang w:val="fr-CA"/>
        </w:rPr>
        <w:t>À mon avis, la Cour d’appel n’a aucune raison d’écarter la conclusion de la juge du procès selon laquelle la réponse de M</w:t>
      </w:r>
      <w:r w:rsidRPr="008675BA">
        <w:rPr>
          <w:rFonts w:cs="Times New Roman"/>
          <w:vertAlign w:val="superscript"/>
          <w:lang w:val="fr-CA"/>
        </w:rPr>
        <w:t>e</w:t>
      </w:r>
      <w:r w:rsidRPr="008675BA">
        <w:rPr>
          <w:rFonts w:cs="Times New Roman"/>
          <w:lang w:val="fr-CA"/>
        </w:rPr>
        <w:t xml:space="preserve"> Salomon ne constitue pas une faute (motifs de première instance, </w:t>
      </w:r>
      <w:r>
        <w:rPr>
          <w:rFonts w:cs="Times New Roman"/>
          <w:lang w:val="fr-CA"/>
        </w:rPr>
        <w:t>par. </w:t>
      </w:r>
      <w:r w:rsidRPr="008675BA">
        <w:rPr>
          <w:rFonts w:cs="Times New Roman"/>
          <w:lang w:val="fr-CA"/>
        </w:rPr>
        <w:t>296</w:t>
      </w:r>
      <w:r>
        <w:rPr>
          <w:rFonts w:cs="Times New Roman"/>
          <w:lang w:val="fr-CA"/>
        </w:rPr>
        <w:noBreakHyphen/>
      </w:r>
      <w:r w:rsidRPr="008675BA">
        <w:rPr>
          <w:rFonts w:cs="Times New Roman"/>
          <w:lang w:val="fr-CA"/>
        </w:rPr>
        <w:t>300</w:t>
      </w:r>
      <w:r>
        <w:rPr>
          <w:rFonts w:cs="Times New Roman"/>
          <w:lang w:val="fr-CA"/>
        </w:rPr>
        <w:t>)</w:t>
      </w:r>
      <w:r w:rsidRPr="00C55CA5">
        <w:rPr>
          <w:rStyle w:val="Hyperlink"/>
          <w:vertAlign w:val="superscript"/>
        </w:rPr>
        <w:footnoteReference w:id="4"/>
      </w:r>
      <w:r w:rsidRPr="008675BA">
        <w:rPr>
          <w:rFonts w:cs="Times New Roman"/>
          <w:lang w:val="fr-CA"/>
        </w:rPr>
        <w:t>. À l’époque, la principale préoccupation de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concernait la difficulté qu’elle avait à obtenir des renseignements sur les placements de 166. À cet égard, M</w:t>
      </w:r>
      <w:r w:rsidRPr="008675BA">
        <w:rPr>
          <w:rFonts w:cs="Times New Roman"/>
          <w:vertAlign w:val="superscript"/>
          <w:lang w:val="fr-CA"/>
        </w:rPr>
        <w:t>e</w:t>
      </w:r>
      <w:r w:rsidRPr="008675BA">
        <w:rPr>
          <w:rFonts w:cs="Times New Roman"/>
          <w:lang w:val="fr-CA"/>
        </w:rPr>
        <w:t> Salomon a [</w:t>
      </w:r>
      <w:r w:rsidRPr="008675BA">
        <w:rPr>
          <w:rFonts w:cs="Times New Roman"/>
          <w:smallCaps/>
          <w:lang w:val="fr-CA"/>
        </w:rPr>
        <w:t>traduction</w:t>
      </w:r>
      <w:r w:rsidRPr="008675BA">
        <w:rPr>
          <w:rFonts w:cs="Times New Roman"/>
          <w:lang w:val="fr-CA"/>
        </w:rPr>
        <w:t xml:space="preserve">] « fait de son mieux pour que M. Papadopoulos réponde à ses clientes » (voir les motifs de première instance, </w:t>
      </w:r>
      <w:r>
        <w:rPr>
          <w:rFonts w:cs="Times New Roman"/>
          <w:lang w:val="fr-CA"/>
        </w:rPr>
        <w:t>par. </w:t>
      </w:r>
      <w:r w:rsidRPr="008675BA">
        <w:rPr>
          <w:rFonts w:cs="Times New Roman"/>
          <w:lang w:val="fr-CA"/>
        </w:rPr>
        <w:t>228 et 299). Comme le souligne la juge du procès, il aurait peut</w:t>
      </w:r>
      <w:r>
        <w:rPr>
          <w:rFonts w:cs="Times New Roman"/>
          <w:lang w:val="fr-CA"/>
        </w:rPr>
        <w:noBreakHyphen/>
      </w:r>
      <w:r w:rsidRPr="008675BA">
        <w:rPr>
          <w:rFonts w:cs="Times New Roman"/>
          <w:lang w:val="fr-CA"/>
        </w:rPr>
        <w:t>être été préférable que M</w:t>
      </w:r>
      <w:r w:rsidRPr="008675BA">
        <w:rPr>
          <w:rFonts w:cs="Times New Roman"/>
          <w:vertAlign w:val="superscript"/>
          <w:lang w:val="fr-CA"/>
        </w:rPr>
        <w:t>e</w:t>
      </w:r>
      <w:r w:rsidRPr="008675BA">
        <w:rPr>
          <w:rFonts w:cs="Times New Roman"/>
          <w:lang w:val="fr-CA"/>
        </w:rPr>
        <w:t> Salomon recommande aux intimées de consulter un autre professionnel pour obtenir un deuxième avis, mais cela ne signifie pas que sa conduite constituait une faute (</w:t>
      </w:r>
      <w:r>
        <w:rPr>
          <w:rFonts w:cs="Times New Roman"/>
          <w:lang w:val="fr-CA"/>
        </w:rPr>
        <w:t>par. </w:t>
      </w:r>
      <w:r w:rsidRPr="008675BA">
        <w:rPr>
          <w:rFonts w:cs="Times New Roman"/>
          <w:lang w:val="fr-CA"/>
        </w:rPr>
        <w:t>299</w:t>
      </w:r>
      <w:r>
        <w:rPr>
          <w:rFonts w:cs="Times New Roman"/>
          <w:lang w:val="fr-CA"/>
        </w:rPr>
        <w:noBreakHyphen/>
      </w:r>
      <w:r w:rsidRPr="008675BA">
        <w:rPr>
          <w:rFonts w:cs="Times New Roman"/>
          <w:lang w:val="fr-CA"/>
        </w:rPr>
        <w:t>301). Cette conclusion mixte de fait et de droit repose sur l’appréciation de la preuve par la juge du procès et commande la déférence.</w:t>
      </w:r>
    </w:p>
    <w:p w:rsidR="0041746D" w:rsidRPr="008675BA" w:rsidRDefault="0041746D" w:rsidP="0041746D">
      <w:pPr>
        <w:pStyle w:val="ParaNoNdepar-AltN"/>
        <w:rPr>
          <w:rFonts w:cs="Times New Roman"/>
          <w:lang w:val="fr-CA"/>
        </w:rPr>
      </w:pPr>
      <w:r w:rsidRPr="008675BA">
        <w:rPr>
          <w:rFonts w:cs="Times New Roman"/>
          <w:lang w:val="fr-CA"/>
        </w:rPr>
        <w:t>De plus, le courriel de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ne constituait pas un mandat de vérifier la régularité des investissements de 166. Celle</w:t>
      </w:r>
      <w:r>
        <w:rPr>
          <w:rFonts w:cs="Times New Roman"/>
          <w:lang w:val="fr-CA"/>
        </w:rPr>
        <w:noBreakHyphen/>
      </w:r>
      <w:r w:rsidRPr="008675BA">
        <w:rPr>
          <w:rFonts w:cs="Times New Roman"/>
          <w:lang w:val="fr-CA"/>
        </w:rPr>
        <w:t>ci a précisé dans son courriel qu’elle demandait à M</w:t>
      </w:r>
      <w:r w:rsidRPr="008675BA">
        <w:rPr>
          <w:rFonts w:cs="Times New Roman"/>
          <w:vertAlign w:val="superscript"/>
          <w:lang w:val="fr-CA"/>
        </w:rPr>
        <w:t>e</w:t>
      </w:r>
      <w:r w:rsidRPr="008675BA">
        <w:rPr>
          <w:rFonts w:cs="Times New Roman"/>
          <w:lang w:val="fr-CA"/>
        </w:rPr>
        <w:t> Salomon son avis [</w:t>
      </w:r>
      <w:r w:rsidRPr="008675BA">
        <w:rPr>
          <w:rFonts w:cs="Times New Roman"/>
          <w:smallCaps/>
          <w:lang w:val="fr-CA"/>
        </w:rPr>
        <w:t>traduction</w:t>
      </w:r>
      <w:r w:rsidRPr="008675BA">
        <w:rPr>
          <w:rFonts w:cs="Times New Roman"/>
          <w:lang w:val="fr-CA"/>
        </w:rPr>
        <w:t xml:space="preserve">] « à titre personnel » en tant qu’« ami » — mots qui n’apparaissent pas dans l’extrait du courriel cité par la Cour </w:t>
      </w:r>
      <w:r w:rsidRPr="008675BA">
        <w:rPr>
          <w:rFonts w:cs="Times New Roman"/>
          <w:lang w:val="fr-CA"/>
        </w:rPr>
        <w:lastRenderedPageBreak/>
        <w:t>d’appel (</w:t>
      </w:r>
      <w:r>
        <w:rPr>
          <w:rFonts w:cs="Times New Roman"/>
          <w:lang w:val="fr-CA"/>
        </w:rPr>
        <w:t>par. </w:t>
      </w:r>
      <w:r w:rsidRPr="008675BA">
        <w:rPr>
          <w:rFonts w:cs="Times New Roman"/>
          <w:lang w:val="fr-CA"/>
        </w:rPr>
        <w:t>77). Je me demande sur quel fondement M</w:t>
      </w:r>
      <w:r w:rsidRPr="008675BA">
        <w:rPr>
          <w:rFonts w:cs="Times New Roman"/>
          <w:vertAlign w:val="superscript"/>
          <w:lang w:val="fr-CA"/>
        </w:rPr>
        <w:t>e</w:t>
      </w:r>
      <w:r w:rsidRPr="008675BA">
        <w:rPr>
          <w:rFonts w:cs="Times New Roman"/>
          <w:lang w:val="fr-CA"/>
        </w:rPr>
        <w:t xml:space="preserve"> Salomon aurait pu, de sa propre initiative, procéder à l’examen des décisions en matière de placements que les intimées avaient prises avec leurs conseillers financiers (voir, </w:t>
      </w:r>
      <w:r>
        <w:rPr>
          <w:rFonts w:cs="Times New Roman"/>
          <w:lang w:val="fr-CA"/>
        </w:rPr>
        <w:t>p. </w:t>
      </w:r>
      <w:r w:rsidRPr="008675BA">
        <w:rPr>
          <w:rFonts w:cs="Times New Roman"/>
          <w:lang w:val="fr-CA"/>
        </w:rPr>
        <w:t xml:space="preserve">ex., </w:t>
      </w:r>
      <w:r w:rsidRPr="008675BA">
        <w:rPr>
          <w:rFonts w:cs="Times New Roman"/>
          <w:i/>
          <w:lang w:val="fr-CA"/>
        </w:rPr>
        <w:t>Sylvestre</w:t>
      </w:r>
      <w:r w:rsidRPr="008675BA">
        <w:rPr>
          <w:rFonts w:cs="Times New Roman"/>
          <w:lang w:val="fr-CA"/>
        </w:rPr>
        <w:t xml:space="preserve">, </w:t>
      </w:r>
      <w:r>
        <w:rPr>
          <w:rFonts w:cs="Times New Roman"/>
          <w:lang w:val="fr-CA"/>
        </w:rPr>
        <w:t>par. </w:t>
      </w:r>
      <w:r w:rsidRPr="008675BA">
        <w:rPr>
          <w:rFonts w:cs="Times New Roman"/>
          <w:lang w:val="fr-CA"/>
        </w:rPr>
        <w:t>16</w:t>
      </w:r>
      <w:r>
        <w:rPr>
          <w:rFonts w:cs="Times New Roman"/>
          <w:lang w:val="fr-CA"/>
        </w:rPr>
        <w:noBreakHyphen/>
      </w:r>
      <w:r w:rsidRPr="008675BA">
        <w:rPr>
          <w:rFonts w:cs="Times New Roman"/>
          <w:lang w:val="fr-CA"/>
        </w:rPr>
        <w:t>19). De plus, M</w:t>
      </w:r>
      <w:r w:rsidRPr="008675BA">
        <w:rPr>
          <w:rFonts w:cs="Times New Roman"/>
          <w:vertAlign w:val="superscript"/>
          <w:lang w:val="fr-CA"/>
        </w:rPr>
        <w:t>e</w:t>
      </w:r>
      <w:r w:rsidRPr="008675BA">
        <w:rPr>
          <w:rFonts w:cs="Times New Roman"/>
          <w:lang w:val="fr-CA"/>
        </w:rPr>
        <w:t> Salomon a affirmé qu’il serait [</w:t>
      </w:r>
      <w:r w:rsidRPr="008675BA">
        <w:rPr>
          <w:rFonts w:cs="Times New Roman"/>
          <w:smallCaps/>
          <w:lang w:val="fr-CA"/>
        </w:rPr>
        <w:t>traduction</w:t>
      </w:r>
      <w:r w:rsidRPr="008675BA">
        <w:rPr>
          <w:rFonts w:cs="Times New Roman"/>
          <w:lang w:val="fr-CA"/>
        </w:rPr>
        <w:t>] « heureux de discuter [de l’affaire] à n’importe quel moment », mais il semble que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 xml:space="preserve">Thompson a préféré ne plus le solliciter pour ces questions (motifs de première instance, </w:t>
      </w:r>
      <w:r>
        <w:rPr>
          <w:rFonts w:cs="Times New Roman"/>
          <w:lang w:val="fr-CA"/>
        </w:rPr>
        <w:t>par. </w:t>
      </w:r>
      <w:r w:rsidRPr="008675BA">
        <w:rPr>
          <w:rFonts w:cs="Times New Roman"/>
          <w:lang w:val="fr-CA"/>
        </w:rPr>
        <w:t xml:space="preserve">230). </w:t>
      </w:r>
    </w:p>
    <w:p w:rsidR="0041746D" w:rsidRPr="008675BA" w:rsidRDefault="0041746D" w:rsidP="0041746D">
      <w:pPr>
        <w:pStyle w:val="ParaNoNdepar-AltN"/>
        <w:rPr>
          <w:rFonts w:cs="Times New Roman"/>
          <w:lang w:val="fr-CA"/>
        </w:rPr>
      </w:pPr>
      <w:r w:rsidRPr="008675BA">
        <w:rPr>
          <w:rFonts w:cs="Times New Roman"/>
          <w:lang w:val="fr-CA"/>
        </w:rPr>
        <w:t>Il est aussi utile de préciser que M</w:t>
      </w:r>
      <w:r w:rsidRPr="008675BA">
        <w:rPr>
          <w:rFonts w:cs="Times New Roman"/>
          <w:vertAlign w:val="superscript"/>
          <w:lang w:val="fr-CA"/>
        </w:rPr>
        <w:t>e</w:t>
      </w:r>
      <w:r w:rsidRPr="008675BA">
        <w:rPr>
          <w:rFonts w:cs="Times New Roman"/>
          <w:lang w:val="fr-CA"/>
        </w:rPr>
        <w:t xml:space="preserve"> Salomon savait qu’il n’était pas le seul avocat ayant pris part à la vente des actifs de 166 (motifs de première instance, </w:t>
      </w:r>
      <w:r>
        <w:rPr>
          <w:rFonts w:cs="Times New Roman"/>
          <w:lang w:val="fr-CA"/>
        </w:rPr>
        <w:t>par. </w:t>
      </w:r>
      <w:r w:rsidRPr="008675BA">
        <w:rPr>
          <w:rFonts w:cs="Times New Roman"/>
          <w:lang w:val="fr-CA"/>
        </w:rPr>
        <w:t>217</w:t>
      </w:r>
      <w:r>
        <w:rPr>
          <w:rFonts w:cs="Times New Roman"/>
          <w:lang w:val="fr-CA"/>
        </w:rPr>
        <w:noBreakHyphen/>
      </w:r>
      <w:r w:rsidRPr="008675BA">
        <w:rPr>
          <w:rFonts w:cs="Times New Roman"/>
          <w:lang w:val="fr-CA"/>
        </w:rPr>
        <w:t>219). À l’époque, les avocats David Gemmil et Rod Farn s’occupaient des aspects juridiques de l’opération en Ontario. L’un d’eux, M</w:t>
      </w:r>
      <w:r w:rsidRPr="008675BA">
        <w:rPr>
          <w:rFonts w:cs="Times New Roman"/>
          <w:vertAlign w:val="superscript"/>
          <w:lang w:val="fr-CA"/>
        </w:rPr>
        <w:t>e</w:t>
      </w:r>
      <w:r w:rsidRPr="008675BA">
        <w:rPr>
          <w:rFonts w:cs="Times New Roman"/>
          <w:lang w:val="fr-CA"/>
        </w:rPr>
        <w:t> Gemmill, était liquidateur de la succession de M. Thompson (et voisin de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M</w:t>
      </w:r>
      <w:r w:rsidR="008128F0">
        <w:rPr>
          <w:rFonts w:cs="Times New Roman"/>
          <w:lang w:val="fr-CA"/>
        </w:rPr>
        <w:t>aîtr</w:t>
      </w:r>
      <w:r w:rsidRPr="008128F0">
        <w:rPr>
          <w:rFonts w:cs="Times New Roman"/>
          <w:lang w:val="fr-CA"/>
        </w:rPr>
        <w:t>es</w:t>
      </w:r>
      <w:r w:rsidRPr="008675BA">
        <w:rPr>
          <w:rFonts w:cs="Times New Roman"/>
          <w:lang w:val="fr-CA"/>
        </w:rPr>
        <w:t> Gemmill et Farn, contrairement à M</w:t>
      </w:r>
      <w:r w:rsidRPr="008675BA">
        <w:rPr>
          <w:rFonts w:cs="Times New Roman"/>
          <w:vertAlign w:val="superscript"/>
          <w:lang w:val="fr-CA"/>
        </w:rPr>
        <w:t>e</w:t>
      </w:r>
      <w:r w:rsidRPr="008675BA">
        <w:rPr>
          <w:rFonts w:cs="Times New Roman"/>
          <w:lang w:val="fr-CA"/>
        </w:rPr>
        <w:t xml:space="preserve"> Salomon, s’étaient vu présenter les propositions de placement de Triglobal (motifs de première instance, </w:t>
      </w:r>
      <w:r>
        <w:rPr>
          <w:rFonts w:cs="Times New Roman"/>
          <w:lang w:val="fr-CA"/>
        </w:rPr>
        <w:t>par. </w:t>
      </w:r>
      <w:r w:rsidRPr="008675BA">
        <w:rPr>
          <w:rFonts w:cs="Times New Roman"/>
          <w:lang w:val="fr-CA"/>
        </w:rPr>
        <w:t>219). Je ne suggère pas qu’on doive les blâmer, mais cette situation aide aussi à expliquer pourquoi, dans les circonstances, M</w:t>
      </w:r>
      <w:r w:rsidRPr="008675BA">
        <w:rPr>
          <w:rFonts w:cs="Times New Roman"/>
          <w:vertAlign w:val="superscript"/>
          <w:lang w:val="fr-CA"/>
        </w:rPr>
        <w:t>e</w:t>
      </w:r>
      <w:r w:rsidRPr="008675BA">
        <w:rPr>
          <w:rFonts w:cs="Times New Roman"/>
          <w:lang w:val="fr-CA"/>
        </w:rPr>
        <w:t> Salomon n’a pas jugé qu’il avait reçu un nouveau mandat juridique, d’autant plus qu’il se faisait demander son opinion personnelle en tant qu’« ami ». Il savait que des avocats participaient déjà à la stratégie de placement. Cet exemple illustre comment la Cour d’appel perd de vue les circonstances pertinentes et insiste indûment sur le comportement de M</w:t>
      </w:r>
      <w:r w:rsidRPr="008675BA">
        <w:rPr>
          <w:rFonts w:cs="Times New Roman"/>
          <w:vertAlign w:val="superscript"/>
          <w:lang w:val="fr-CA"/>
        </w:rPr>
        <w:t>e</w:t>
      </w:r>
      <w:r w:rsidRPr="008675BA">
        <w:rPr>
          <w:rFonts w:cs="Times New Roman"/>
          <w:lang w:val="fr-CA"/>
        </w:rPr>
        <w:t> Salomon.</w:t>
      </w:r>
    </w:p>
    <w:p w:rsidR="0041746D" w:rsidRPr="008675BA" w:rsidRDefault="0041746D" w:rsidP="0041746D">
      <w:pPr>
        <w:pStyle w:val="ParaNoNdepar-AltN"/>
        <w:rPr>
          <w:rFonts w:cs="Times New Roman"/>
          <w:lang w:val="fr-CA"/>
        </w:rPr>
      </w:pPr>
      <w:r w:rsidRPr="008675BA">
        <w:rPr>
          <w:rFonts w:cs="Times New Roman"/>
          <w:lang w:val="fr-CA"/>
        </w:rPr>
        <w:t>Somme toute, je ne vois aucune raison de penser que la juge du procès interprète mal le contenu du courriel et la réponse de M</w:t>
      </w:r>
      <w:r w:rsidRPr="008675BA">
        <w:rPr>
          <w:rFonts w:cs="Times New Roman"/>
          <w:vertAlign w:val="superscript"/>
          <w:lang w:val="fr-CA"/>
        </w:rPr>
        <w:t>e</w:t>
      </w:r>
      <w:r w:rsidRPr="008675BA">
        <w:rPr>
          <w:rFonts w:cs="Times New Roman"/>
          <w:lang w:val="fr-CA"/>
        </w:rPr>
        <w:t xml:space="preserve"> Salomon. Je tiens à préciser que l’« amitié » entre un avocat et son client ne confère aucune forme d’immunité. </w:t>
      </w:r>
      <w:r w:rsidRPr="008675BA">
        <w:rPr>
          <w:rFonts w:cs="Times New Roman"/>
          <w:lang w:val="fr-CA"/>
        </w:rPr>
        <w:lastRenderedPageBreak/>
        <w:t>Toutefois, étant donné l’absence de mandat précis, il était raisonnable dans les circonstances de conclure que M</w:t>
      </w:r>
      <w:r w:rsidRPr="008675BA">
        <w:rPr>
          <w:rFonts w:cs="Times New Roman"/>
          <w:vertAlign w:val="superscript"/>
          <w:lang w:val="fr-CA"/>
        </w:rPr>
        <w:t>e</w:t>
      </w:r>
      <w:r w:rsidRPr="008675BA">
        <w:rPr>
          <w:rFonts w:cs="Times New Roman"/>
          <w:lang w:val="fr-CA"/>
        </w:rPr>
        <w:t> Salomon n’était pas tenu, de par ses fonctions, de vérifier les placements de 166. Par conséquent, le fait que M</w:t>
      </w:r>
      <w:r w:rsidRPr="008675BA">
        <w:rPr>
          <w:rFonts w:cs="Times New Roman"/>
          <w:vertAlign w:val="superscript"/>
          <w:lang w:val="fr-CA"/>
        </w:rPr>
        <w:t>e</w:t>
      </w:r>
      <w:r w:rsidRPr="008675BA">
        <w:rPr>
          <w:rFonts w:cs="Times New Roman"/>
          <w:lang w:val="fr-CA"/>
        </w:rPr>
        <w:t> Salomon n’a fait aucune recherche ou vérification ne peut justifier à lui seul l’intervention de la Cour d’appel.</w:t>
      </w:r>
    </w:p>
    <w:p w:rsidR="0041746D" w:rsidRPr="008675BA" w:rsidRDefault="0041746D" w:rsidP="0041746D">
      <w:pPr>
        <w:pStyle w:val="ParaNoNdepar-AltN"/>
        <w:rPr>
          <w:rFonts w:cs="Times New Roman"/>
          <w:lang w:val="fr-CA"/>
        </w:rPr>
      </w:pPr>
      <w:r w:rsidRPr="008675BA">
        <w:rPr>
          <w:rFonts w:cs="Times New Roman"/>
          <w:lang w:val="fr-CA"/>
        </w:rPr>
        <w:t>La Cour d’appel critique aussi M</w:t>
      </w:r>
      <w:r w:rsidRPr="008675BA">
        <w:rPr>
          <w:rFonts w:cs="Times New Roman"/>
          <w:vertAlign w:val="superscript"/>
          <w:lang w:val="fr-CA"/>
        </w:rPr>
        <w:t>e</w:t>
      </w:r>
      <w:r w:rsidRPr="008675BA">
        <w:rPr>
          <w:rFonts w:cs="Times New Roman"/>
          <w:lang w:val="fr-CA"/>
        </w:rPr>
        <w:t> Salomon pour certaines « communications, d’apparence plus banale » (</w:t>
      </w:r>
      <w:r>
        <w:rPr>
          <w:rFonts w:cs="Times New Roman"/>
          <w:lang w:val="fr-CA"/>
        </w:rPr>
        <w:t>par. </w:t>
      </w:r>
      <w:r w:rsidRPr="008675BA">
        <w:rPr>
          <w:rFonts w:cs="Times New Roman"/>
          <w:lang w:val="fr-CA"/>
        </w:rPr>
        <w:t xml:space="preserve">130). Par exemple, à l’automne 2006, alors qu’il était au courant des difficultés qu’éprouvaient toujours les intimées à obtenir des renseignements de Triglobal (motifs de première instance, </w:t>
      </w:r>
      <w:r>
        <w:rPr>
          <w:rFonts w:cs="Times New Roman"/>
          <w:lang w:val="fr-CA"/>
        </w:rPr>
        <w:t>par. </w:t>
      </w:r>
      <w:r w:rsidRPr="008675BA">
        <w:rPr>
          <w:rFonts w:cs="Times New Roman"/>
          <w:lang w:val="fr-CA"/>
        </w:rPr>
        <w:t>248), M</w:t>
      </w:r>
      <w:r w:rsidRPr="008675BA">
        <w:rPr>
          <w:rFonts w:cs="Times New Roman"/>
          <w:vertAlign w:val="superscript"/>
          <w:lang w:val="fr-CA"/>
        </w:rPr>
        <w:t>e</w:t>
      </w:r>
      <w:r w:rsidRPr="008675BA">
        <w:rPr>
          <w:rFonts w:cs="Times New Roman"/>
          <w:lang w:val="fr-CA"/>
        </w:rPr>
        <w:t> Salomon a rendu visite à M. Bright aux Bahamas. Il a informé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de sa visite, qui a eu lieu pendant ses vacances, et a déclaré que M. Bright était devenu un résident des Bahamas [</w:t>
      </w:r>
      <w:r w:rsidRPr="008675BA">
        <w:rPr>
          <w:rFonts w:cs="Times New Roman"/>
          <w:smallCaps/>
          <w:lang w:val="fr-CA"/>
        </w:rPr>
        <w:t>traduction</w:t>
      </w:r>
      <w:r w:rsidRPr="008675BA">
        <w:rPr>
          <w:rFonts w:cs="Times New Roman"/>
          <w:lang w:val="fr-CA"/>
        </w:rPr>
        <w:t>] « afin de gérer les fonds Focus et Ivest et des fonds de produits structurés », ajoutant que « </w:t>
      </w:r>
      <w:r w:rsidR="00A113B4">
        <w:rPr>
          <w:rFonts w:cs="Times New Roman"/>
          <w:lang w:val="fr-CA"/>
        </w:rPr>
        <w:t>[</w:t>
      </w:r>
      <w:r w:rsidRPr="008675BA">
        <w:rPr>
          <w:rFonts w:cs="Times New Roman"/>
          <w:lang w:val="fr-CA"/>
        </w:rPr>
        <w:t>t</w:t>
      </w:r>
      <w:r w:rsidR="00A113B4">
        <w:rPr>
          <w:rFonts w:cs="Times New Roman"/>
          <w:lang w:val="fr-CA"/>
        </w:rPr>
        <w:t>]</w:t>
      </w:r>
      <w:r w:rsidRPr="008675BA">
        <w:rPr>
          <w:rFonts w:cs="Times New Roman"/>
          <w:lang w:val="fr-CA"/>
        </w:rPr>
        <w:t>out va bien ». En rétrospective, un tel témoignage de confiance peut paraître peu judicieux. Toutefois, la juge du procès était en droit de conclure que, tout bien considéré, de telles assurances ne constituent pas une faute.</w:t>
      </w:r>
    </w:p>
    <w:p w:rsidR="0041746D" w:rsidRPr="008675BA" w:rsidRDefault="0041746D" w:rsidP="0041746D">
      <w:pPr>
        <w:pStyle w:val="ParaNoNdepar-AltN"/>
        <w:rPr>
          <w:rFonts w:cs="Times New Roman"/>
          <w:lang w:val="fr-CA"/>
        </w:rPr>
      </w:pPr>
      <w:r w:rsidRPr="008675BA">
        <w:rPr>
          <w:rFonts w:cs="Times New Roman"/>
          <w:lang w:val="fr-CA"/>
        </w:rPr>
        <w:t>À l’époque, M</w:t>
      </w:r>
      <w:r w:rsidRPr="008675BA">
        <w:rPr>
          <w:rFonts w:cs="Times New Roman"/>
          <w:vertAlign w:val="superscript"/>
          <w:lang w:val="fr-CA"/>
        </w:rPr>
        <w:t>e</w:t>
      </w:r>
      <w:r w:rsidRPr="008675BA">
        <w:rPr>
          <w:rFonts w:cs="Times New Roman"/>
          <w:lang w:val="fr-CA"/>
        </w:rPr>
        <w:t xml:space="preserve"> Salomon était bien au courant des problèmes de communication entre ses clients et Triglobal (motifs de première instance, </w:t>
      </w:r>
      <w:r>
        <w:rPr>
          <w:rFonts w:cs="Times New Roman"/>
          <w:lang w:val="fr-CA"/>
        </w:rPr>
        <w:t>par. </w:t>
      </w:r>
      <w:r w:rsidRPr="008675BA">
        <w:rPr>
          <w:rFonts w:cs="Times New Roman"/>
          <w:lang w:val="fr-CA"/>
        </w:rPr>
        <w:t xml:space="preserve">248). À vrai dire, d’avril 2006 à la fin de 2006, il essayait de les régler en agissant comme </w:t>
      </w:r>
      <w:r w:rsidR="00A113B4">
        <w:rPr>
          <w:rFonts w:cs="Times New Roman"/>
          <w:lang w:val="fr-CA"/>
        </w:rPr>
        <w:t>[</w:t>
      </w:r>
      <w:r w:rsidR="00A113B4" w:rsidRPr="00A113B4">
        <w:rPr>
          <w:rFonts w:cs="Times New Roman"/>
          <w:smallCaps/>
          <w:lang w:val="fr-CA"/>
        </w:rPr>
        <w:t>traduction</w:t>
      </w:r>
      <w:r w:rsidR="00A113B4">
        <w:rPr>
          <w:rFonts w:cs="Times New Roman"/>
          <w:lang w:val="fr-CA"/>
        </w:rPr>
        <w:t xml:space="preserve">] </w:t>
      </w:r>
      <w:r w:rsidRPr="008675BA">
        <w:rPr>
          <w:rFonts w:cs="Times New Roman"/>
          <w:lang w:val="fr-CA"/>
        </w:rPr>
        <w:t xml:space="preserve">« intermédiaire » pour obtenir plus d’information sur la nature des placements et sur la situation concernant les investissements de 166 dans Focus (motifs de première instance, </w:t>
      </w:r>
      <w:r>
        <w:rPr>
          <w:rFonts w:cs="Times New Roman"/>
          <w:lang w:val="fr-CA"/>
        </w:rPr>
        <w:t>par. </w:t>
      </w:r>
      <w:r w:rsidRPr="008675BA">
        <w:rPr>
          <w:rFonts w:cs="Times New Roman"/>
          <w:lang w:val="fr-CA"/>
        </w:rPr>
        <w:t xml:space="preserve">249), notamment pour aider le comptable de la société à préparer les états financiers de fin d’année (motifs de première instance, </w:t>
      </w:r>
      <w:r>
        <w:rPr>
          <w:rFonts w:cs="Times New Roman"/>
          <w:lang w:val="fr-CA"/>
        </w:rPr>
        <w:t>par. </w:t>
      </w:r>
      <w:r w:rsidRPr="008675BA">
        <w:rPr>
          <w:rFonts w:cs="Times New Roman"/>
          <w:lang w:val="fr-CA"/>
        </w:rPr>
        <w:t>240</w:t>
      </w:r>
      <w:r>
        <w:rPr>
          <w:rFonts w:cs="Times New Roman"/>
          <w:lang w:val="fr-CA"/>
        </w:rPr>
        <w:noBreakHyphen/>
      </w:r>
      <w:r w:rsidRPr="008675BA">
        <w:rPr>
          <w:rFonts w:cs="Times New Roman"/>
          <w:lang w:val="fr-CA"/>
        </w:rPr>
        <w:t>244). Autrement dit, M</w:t>
      </w:r>
      <w:r w:rsidRPr="008675BA">
        <w:rPr>
          <w:rFonts w:cs="Times New Roman"/>
          <w:vertAlign w:val="superscript"/>
          <w:lang w:val="fr-CA"/>
        </w:rPr>
        <w:t>e</w:t>
      </w:r>
      <w:r w:rsidRPr="008675BA">
        <w:rPr>
          <w:rFonts w:cs="Times New Roman"/>
          <w:lang w:val="fr-CA"/>
        </w:rPr>
        <w:t xml:space="preserve"> Salomon coopérait avec les autres conseillers de ses clientes, ce qui </w:t>
      </w:r>
      <w:r w:rsidRPr="008675BA">
        <w:rPr>
          <w:rFonts w:cs="Times New Roman"/>
          <w:lang w:val="fr-CA"/>
        </w:rPr>
        <w:lastRenderedPageBreak/>
        <w:t xml:space="preserve">correspondait vraisemblablement à son obligation professionnelle dans de telles circonstances (voir, </w:t>
      </w:r>
      <w:r>
        <w:rPr>
          <w:rFonts w:cs="Times New Roman"/>
          <w:lang w:val="fr-CA"/>
        </w:rPr>
        <w:t>p. </w:t>
      </w:r>
      <w:r w:rsidRPr="008675BA">
        <w:rPr>
          <w:rFonts w:cs="Times New Roman"/>
          <w:lang w:val="fr-CA"/>
        </w:rPr>
        <w:t>ex., l’</w:t>
      </w:r>
      <w:r>
        <w:rPr>
          <w:rFonts w:cs="Times New Roman"/>
          <w:lang w:val="fr-CA"/>
        </w:rPr>
        <w:t>art. </w:t>
      </w:r>
      <w:r w:rsidRPr="008675BA">
        <w:rPr>
          <w:rFonts w:cs="Times New Roman"/>
          <w:lang w:val="fr-CA"/>
        </w:rPr>
        <w:t xml:space="preserve">25 du </w:t>
      </w:r>
      <w:r w:rsidRPr="008675BA">
        <w:rPr>
          <w:rFonts w:cs="Times New Roman"/>
          <w:i/>
          <w:lang w:val="fr-CA"/>
        </w:rPr>
        <w:t>Code de déontologie des avocats</w:t>
      </w:r>
      <w:r w:rsidRPr="008675BA">
        <w:rPr>
          <w:rFonts w:cs="Times New Roman"/>
          <w:lang w:val="fr-CA"/>
        </w:rPr>
        <w:t>, RLRQ, c. B</w:t>
      </w:r>
      <w:r>
        <w:rPr>
          <w:rFonts w:cs="Times New Roman"/>
          <w:lang w:val="fr-CA"/>
        </w:rPr>
        <w:noBreakHyphen/>
      </w:r>
      <w:r w:rsidRPr="008675BA">
        <w:rPr>
          <w:rFonts w:cs="Times New Roman"/>
          <w:lang w:val="fr-CA"/>
        </w:rPr>
        <w:t>1, r. 3.1). Comme l’explique la juge du procès, il aurait peut</w:t>
      </w:r>
      <w:r>
        <w:rPr>
          <w:rFonts w:cs="Times New Roman"/>
          <w:lang w:val="fr-CA"/>
        </w:rPr>
        <w:noBreakHyphen/>
      </w:r>
      <w:r w:rsidRPr="008675BA">
        <w:rPr>
          <w:rFonts w:cs="Times New Roman"/>
          <w:lang w:val="fr-CA"/>
        </w:rPr>
        <w:t>être été souhaitable qu’il aille plus loin et qu’il recommande aux intimées de consulter un autre conseiller financier. Cependant, cette omission ne constitue pas nécessairement une faute étant donné que M</w:t>
      </w:r>
      <w:r w:rsidRPr="008675BA">
        <w:rPr>
          <w:rFonts w:cs="Times New Roman"/>
          <w:vertAlign w:val="superscript"/>
          <w:lang w:val="fr-CA"/>
        </w:rPr>
        <w:t>e</w:t>
      </w:r>
      <w:r w:rsidRPr="008675BA">
        <w:rPr>
          <w:rFonts w:cs="Times New Roman"/>
          <w:lang w:val="fr-CA"/>
        </w:rPr>
        <w:t xml:space="preserve"> Salomon n’a eu vent d’aucun signe de conduite répréhensible en ce qui a trait aux placements des intimées, outre les problèmes de communication (motifs de première instance, </w:t>
      </w:r>
      <w:r>
        <w:rPr>
          <w:rFonts w:cs="Times New Roman"/>
          <w:lang w:val="fr-CA"/>
        </w:rPr>
        <w:t>par. </w:t>
      </w:r>
      <w:r w:rsidRPr="008675BA">
        <w:rPr>
          <w:rFonts w:cs="Times New Roman"/>
          <w:lang w:val="fr-CA"/>
        </w:rPr>
        <w:t>299</w:t>
      </w:r>
      <w:r>
        <w:rPr>
          <w:rFonts w:cs="Times New Roman"/>
          <w:lang w:val="fr-CA"/>
        </w:rPr>
        <w:noBreakHyphen/>
      </w:r>
      <w:r w:rsidRPr="008675BA">
        <w:rPr>
          <w:rFonts w:cs="Times New Roman"/>
          <w:lang w:val="fr-CA"/>
        </w:rPr>
        <w:t>302).</w:t>
      </w:r>
    </w:p>
    <w:p w:rsidR="0041746D" w:rsidRPr="008675BA" w:rsidRDefault="0041746D" w:rsidP="0041746D">
      <w:pPr>
        <w:pStyle w:val="ParaNoNdepar-AltN"/>
        <w:rPr>
          <w:rFonts w:cs="Times New Roman"/>
          <w:lang w:val="fr-CA"/>
        </w:rPr>
      </w:pPr>
      <w:r w:rsidRPr="008675BA">
        <w:rPr>
          <w:rFonts w:cs="Times New Roman"/>
          <w:lang w:val="fr-CA"/>
        </w:rPr>
        <w:t>La conclusion de la Cour d’appel selon laquelle M</w:t>
      </w:r>
      <w:r w:rsidRPr="008675BA">
        <w:rPr>
          <w:rFonts w:cs="Times New Roman"/>
          <w:vertAlign w:val="superscript"/>
          <w:lang w:val="fr-CA"/>
        </w:rPr>
        <w:t>e</w:t>
      </w:r>
      <w:r w:rsidRPr="008675BA">
        <w:rPr>
          <w:rFonts w:cs="Times New Roman"/>
          <w:lang w:val="fr-CA"/>
        </w:rPr>
        <w:t> Salomon aurait dû se charger d’aviser lui</w:t>
      </w:r>
      <w:r>
        <w:rPr>
          <w:rFonts w:cs="Times New Roman"/>
          <w:lang w:val="fr-CA"/>
        </w:rPr>
        <w:noBreakHyphen/>
      </w:r>
      <w:r w:rsidRPr="008675BA">
        <w:rPr>
          <w:rFonts w:cs="Times New Roman"/>
          <w:lang w:val="fr-CA"/>
        </w:rPr>
        <w:t>même les intimées qu’elles faisaient erreur en investissant dans le fonds Focus — vu que sa « philosophie de placement » personnelle préconisait la diversification — est pour le moins surprenante (</w:t>
      </w:r>
      <w:r>
        <w:rPr>
          <w:rFonts w:cs="Times New Roman"/>
          <w:lang w:val="fr-CA"/>
        </w:rPr>
        <w:t>par. </w:t>
      </w:r>
      <w:r w:rsidRPr="008675BA">
        <w:rPr>
          <w:rFonts w:cs="Times New Roman"/>
          <w:lang w:val="fr-CA"/>
        </w:rPr>
        <w:t>84). En premier lieu, les intimées ne tenaient pas M</w:t>
      </w:r>
      <w:r w:rsidRPr="008675BA">
        <w:rPr>
          <w:rFonts w:cs="Times New Roman"/>
          <w:vertAlign w:val="superscript"/>
          <w:lang w:val="fr-CA"/>
        </w:rPr>
        <w:t>e</w:t>
      </w:r>
      <w:r w:rsidRPr="008675BA">
        <w:rPr>
          <w:rFonts w:cs="Times New Roman"/>
          <w:lang w:val="fr-CA"/>
        </w:rPr>
        <w:t xml:space="preserve"> Salomon pour leur conseiller financer (motifs de première instance, </w:t>
      </w:r>
      <w:r>
        <w:rPr>
          <w:rFonts w:cs="Times New Roman"/>
          <w:lang w:val="fr-CA"/>
        </w:rPr>
        <w:t>par. </w:t>
      </w:r>
      <w:r w:rsidRPr="008675BA">
        <w:rPr>
          <w:rFonts w:cs="Times New Roman"/>
          <w:lang w:val="fr-CA"/>
        </w:rPr>
        <w:t>283</w:t>
      </w:r>
      <w:r>
        <w:rPr>
          <w:rFonts w:cs="Times New Roman"/>
          <w:lang w:val="fr-CA"/>
        </w:rPr>
        <w:noBreakHyphen/>
      </w:r>
      <w:r w:rsidRPr="008675BA">
        <w:rPr>
          <w:rFonts w:cs="Times New Roman"/>
          <w:lang w:val="fr-CA"/>
        </w:rPr>
        <w:t xml:space="preserve">284) et elles ne s’attendaient pas à ce qu’il fournisse un avis au sujet de la stratégie de placement de 166 (motifs de première instance, </w:t>
      </w:r>
      <w:r>
        <w:rPr>
          <w:rFonts w:cs="Times New Roman"/>
          <w:lang w:val="fr-CA"/>
        </w:rPr>
        <w:t>par. </w:t>
      </w:r>
      <w:r w:rsidRPr="008675BA">
        <w:rPr>
          <w:rFonts w:cs="Times New Roman"/>
          <w:lang w:val="fr-CA"/>
        </w:rPr>
        <w:t>288). En deuxième lieu, et surtout, M</w:t>
      </w:r>
      <w:r w:rsidRPr="008675BA">
        <w:rPr>
          <w:rFonts w:cs="Times New Roman"/>
          <w:vertAlign w:val="superscript"/>
          <w:lang w:val="fr-CA"/>
        </w:rPr>
        <w:t>e</w:t>
      </w:r>
      <w:r w:rsidRPr="008675BA">
        <w:rPr>
          <w:rFonts w:cs="Times New Roman"/>
          <w:lang w:val="fr-CA"/>
        </w:rPr>
        <w:t xml:space="preserve"> Salomon n’était pas un conseiller financier qualifié, ce qui veut dire que le fait qu’il fournisse des conseils en matière de placements au sujet du fonds Focus aurait pu constituer une </w:t>
      </w:r>
      <w:r w:rsidRPr="008675BA">
        <w:rPr>
          <w:rFonts w:cs="Times New Roman"/>
          <w:i/>
          <w:lang w:val="fr-CA"/>
        </w:rPr>
        <w:t xml:space="preserve">faute </w:t>
      </w:r>
      <w:r w:rsidRPr="008675BA">
        <w:rPr>
          <w:rFonts w:cs="Times New Roman"/>
          <w:lang w:val="fr-CA"/>
        </w:rPr>
        <w:t>de sa part, tout comme il a commis des fautes en recommandant les fonds iVest et Manulife. Dans ce contexte, il est raisonnable de la part de la juge du procès de conclure que M</w:t>
      </w:r>
      <w:r w:rsidRPr="008675BA">
        <w:rPr>
          <w:rFonts w:cs="Times New Roman"/>
          <w:vertAlign w:val="superscript"/>
          <w:lang w:val="fr-CA"/>
        </w:rPr>
        <w:t>e</w:t>
      </w:r>
      <w:r w:rsidRPr="008675BA">
        <w:rPr>
          <w:rFonts w:cs="Times New Roman"/>
          <w:lang w:val="fr-CA"/>
        </w:rPr>
        <w:t> Salomon a adopté une approche acceptable — bien qu’elle n’était certes pas idéale — en cherchant à aider ses clientes à obtenir plus de renseignements auprès de leurs véritables conseillers financiers.</w:t>
      </w:r>
    </w:p>
    <w:p w:rsidR="0041746D" w:rsidRPr="008675BA" w:rsidRDefault="0041746D" w:rsidP="0041746D">
      <w:pPr>
        <w:pStyle w:val="ParaNoNdepar-AltN"/>
        <w:rPr>
          <w:rFonts w:cs="Times New Roman"/>
          <w:lang w:val="fr-CA"/>
        </w:rPr>
      </w:pPr>
      <w:r w:rsidRPr="008675BA">
        <w:rPr>
          <w:rFonts w:cs="Times New Roman"/>
          <w:lang w:val="fr-CA"/>
        </w:rPr>
        <w:lastRenderedPageBreak/>
        <w:t xml:space="preserve">Comme je l’ai déjà expliqué, on peut certainement soutenir qu’à partir de la parution de l’article de </w:t>
      </w:r>
      <w:r w:rsidRPr="008675BA">
        <w:rPr>
          <w:rFonts w:cs="Times New Roman"/>
          <w:i/>
          <w:lang w:val="fr-CA"/>
        </w:rPr>
        <w:t>La Presse Affaires</w:t>
      </w:r>
      <w:r w:rsidRPr="008675BA">
        <w:rPr>
          <w:rFonts w:cs="Times New Roman"/>
          <w:lang w:val="fr-CA"/>
        </w:rPr>
        <w:t xml:space="preserve"> en mai 2007, les assurances que M</w:t>
      </w:r>
      <w:r w:rsidRPr="008675BA">
        <w:rPr>
          <w:rFonts w:cs="Times New Roman"/>
          <w:vertAlign w:val="superscript"/>
          <w:lang w:val="fr-CA"/>
        </w:rPr>
        <w:t>e</w:t>
      </w:r>
      <w:r w:rsidRPr="008675BA">
        <w:rPr>
          <w:rFonts w:cs="Times New Roman"/>
          <w:lang w:val="fr-CA"/>
        </w:rPr>
        <w:t> Salomon a données à ses clientes constituent de la négligence, et qu’à partir de ce moment, il avait l’obligation de recommander aux intimées de consulter d’autres conseillers financiers. Toutefois, même si on suppose que M</w:t>
      </w:r>
      <w:r w:rsidRPr="008675BA">
        <w:rPr>
          <w:rFonts w:cs="Times New Roman"/>
          <w:vertAlign w:val="superscript"/>
          <w:lang w:val="fr-CA"/>
        </w:rPr>
        <w:t>e</w:t>
      </w:r>
      <w:r w:rsidRPr="008675BA">
        <w:rPr>
          <w:rFonts w:cs="Times New Roman"/>
          <w:lang w:val="fr-CA"/>
        </w:rPr>
        <w:t> Salomon a commis une faute à ce moment, la juge du procès conclut que celle</w:t>
      </w:r>
      <w:r>
        <w:rPr>
          <w:rFonts w:cs="Times New Roman"/>
          <w:lang w:val="fr-CA"/>
        </w:rPr>
        <w:noBreakHyphen/>
      </w:r>
      <w:r w:rsidRPr="008675BA">
        <w:rPr>
          <w:rFonts w:cs="Times New Roman"/>
          <w:lang w:val="fr-CA"/>
        </w:rPr>
        <w:t>ci n’aurait eu aucune incidence sur les pertes des intimées. Par conséquent, si la juge du procès commet une erreur manifeste en omettant de tenir dûment compte de la conduite de M</w:t>
      </w:r>
      <w:r w:rsidRPr="008675BA">
        <w:rPr>
          <w:rFonts w:cs="Times New Roman"/>
          <w:vertAlign w:val="superscript"/>
          <w:lang w:val="fr-CA"/>
        </w:rPr>
        <w:t>e</w:t>
      </w:r>
      <w:r w:rsidRPr="008675BA">
        <w:rPr>
          <w:rFonts w:cs="Times New Roman"/>
          <w:lang w:val="fr-CA"/>
        </w:rPr>
        <w:t xml:space="preserve"> Salomon après que ce dernier a pris connaissance de l’article de </w:t>
      </w:r>
      <w:r w:rsidRPr="008675BA">
        <w:rPr>
          <w:rFonts w:cs="Times New Roman"/>
          <w:i/>
          <w:lang w:val="fr-CA"/>
        </w:rPr>
        <w:t>La Presse Affaires</w:t>
      </w:r>
      <w:r w:rsidRPr="008675BA">
        <w:rPr>
          <w:rFonts w:cs="Times New Roman"/>
          <w:lang w:val="fr-CA"/>
        </w:rPr>
        <w:t>, cette erreur n’aurait aucune incidence sur l’issue de l’affaire.</w:t>
      </w:r>
    </w:p>
    <w:p w:rsidR="0041746D" w:rsidRPr="008675BA" w:rsidRDefault="0041746D" w:rsidP="0041746D">
      <w:pPr>
        <w:pStyle w:val="ParaNoNdepar-AltN"/>
        <w:rPr>
          <w:rFonts w:cs="Times New Roman"/>
          <w:lang w:val="fr-CA"/>
        </w:rPr>
      </w:pPr>
      <w:r w:rsidRPr="008675BA">
        <w:rPr>
          <w:rFonts w:cs="Times New Roman"/>
          <w:lang w:val="fr-CA"/>
        </w:rPr>
        <w:t>En résumé, je suis convaincue que la juge du procès ne commet aucune erreur manifeste et déterminante en concluant que la seule faute de M</w:t>
      </w:r>
      <w:r w:rsidRPr="008675BA">
        <w:rPr>
          <w:rFonts w:cs="Times New Roman"/>
          <w:vertAlign w:val="superscript"/>
          <w:lang w:val="fr-CA"/>
        </w:rPr>
        <w:t>e</w:t>
      </w:r>
      <w:r w:rsidRPr="008675BA">
        <w:rPr>
          <w:rFonts w:cs="Times New Roman"/>
          <w:lang w:val="fr-CA"/>
        </w:rPr>
        <w:t xml:space="preserve"> Salomon quant à son devoir de conseil a été de recommander des produits de placement </w:t>
      </w:r>
      <w:r w:rsidRPr="008675BA">
        <w:rPr>
          <w:rFonts w:cs="Times New Roman"/>
          <w:i/>
          <w:lang w:val="fr-CA"/>
        </w:rPr>
        <w:t>précis</w:t>
      </w:r>
      <w:r w:rsidRPr="008675BA">
        <w:rPr>
          <w:rFonts w:cs="Times New Roman"/>
          <w:lang w:val="fr-CA"/>
        </w:rPr>
        <w:t>, à savoir les fonds iVest et Manulife, principalement en 2003 et 2004. Ayant évalué attentivement la preuve, la juge du procès pouvait décider que l’omission de M</w:t>
      </w:r>
      <w:r w:rsidRPr="008675BA">
        <w:rPr>
          <w:rFonts w:cs="Times New Roman"/>
          <w:vertAlign w:val="superscript"/>
          <w:lang w:val="fr-CA"/>
        </w:rPr>
        <w:t>e</w:t>
      </w:r>
      <w:r w:rsidRPr="008675BA">
        <w:rPr>
          <w:rFonts w:cs="Times New Roman"/>
          <w:lang w:val="fr-CA"/>
        </w:rPr>
        <w:t> Salomon de soulever des préoccupations au sujet des investissements des intimées dans le fonds Focus, alors qu’il agissait à l’occasion comme « intermédiaire » entre ses clientes et leurs conseillers financiers, ne pouvait être qualifiée de faute.</w:t>
      </w:r>
    </w:p>
    <w:p w:rsidR="0041746D" w:rsidRPr="008675BA" w:rsidRDefault="0041746D" w:rsidP="0041746D">
      <w:pPr>
        <w:pStyle w:val="Title3LevelTitre3Niveau"/>
        <w:numPr>
          <w:ilvl w:val="2"/>
          <w:numId w:val="25"/>
        </w:numPr>
        <w:rPr>
          <w:rFonts w:cs="Times New Roman"/>
          <w:lang w:val="fr-CA"/>
        </w:rPr>
      </w:pPr>
      <w:bookmarkStart w:id="16" w:name="_Toc2154000"/>
      <w:r w:rsidRPr="008675BA">
        <w:rPr>
          <w:rFonts w:cs="Times New Roman"/>
          <w:lang w:val="fr-CA"/>
        </w:rPr>
        <w:t>Le devoir de loyauté de M</w:t>
      </w:r>
      <w:r w:rsidRPr="008675BA">
        <w:rPr>
          <w:rFonts w:cs="Times New Roman"/>
          <w:vertAlign w:val="superscript"/>
          <w:lang w:val="fr-CA"/>
        </w:rPr>
        <w:t>e</w:t>
      </w:r>
      <w:r w:rsidRPr="008675BA">
        <w:rPr>
          <w:rFonts w:cs="Times New Roman"/>
          <w:lang w:val="fr-CA"/>
        </w:rPr>
        <w:t> Salomon</w:t>
      </w:r>
      <w:bookmarkEnd w:id="16"/>
    </w:p>
    <w:p w:rsidR="0041746D" w:rsidRPr="008675BA" w:rsidRDefault="0041746D" w:rsidP="0041746D">
      <w:pPr>
        <w:pStyle w:val="ParaNoNdepar-AltN"/>
        <w:rPr>
          <w:rFonts w:cs="Times New Roman"/>
          <w:lang w:val="fr-CA"/>
        </w:rPr>
      </w:pPr>
      <w:r w:rsidRPr="008675BA">
        <w:rPr>
          <w:rFonts w:cs="Times New Roman"/>
          <w:lang w:val="fr-CA"/>
        </w:rPr>
        <w:t>Je suis aussi convaincue que la Cour d’appel commet une erreur en infirmant la conclusion de la juge du procès selon laquelle M</w:t>
      </w:r>
      <w:r w:rsidRPr="008675BA">
        <w:rPr>
          <w:rFonts w:cs="Times New Roman"/>
          <w:vertAlign w:val="superscript"/>
          <w:lang w:val="fr-CA"/>
        </w:rPr>
        <w:t>e</w:t>
      </w:r>
      <w:r w:rsidRPr="008675BA">
        <w:rPr>
          <w:rFonts w:cs="Times New Roman"/>
          <w:lang w:val="fr-CA"/>
        </w:rPr>
        <w:t> Salomon n’a pas manqué à son devoir de loyauté envers les intimées. Certes, M</w:t>
      </w:r>
      <w:r w:rsidRPr="008675BA">
        <w:rPr>
          <w:rFonts w:cs="Times New Roman"/>
          <w:vertAlign w:val="superscript"/>
          <w:lang w:val="fr-CA"/>
        </w:rPr>
        <w:t>e</w:t>
      </w:r>
      <w:r w:rsidRPr="008675BA">
        <w:rPr>
          <w:rFonts w:cs="Times New Roman"/>
          <w:lang w:val="fr-CA"/>
        </w:rPr>
        <w:t xml:space="preserve"> Salomon était un client et un ami de M. Papadopoulos et il a reçu d’importantes sommes d’argent de sa part, mais le </w:t>
      </w:r>
      <w:r w:rsidRPr="008675BA">
        <w:rPr>
          <w:rFonts w:cs="Times New Roman"/>
          <w:lang w:val="fr-CA"/>
        </w:rPr>
        <w:lastRenderedPageBreak/>
        <w:t>dossier permettait de conclure qu’il n’était pas en conflit d’intérêts aux moments pertinents. Cette conclusion repose sur une appréciation minutieuse de la preuve, y compris la preuve testimoniale, et ne devrait pas être modifiée en l’absence d’erreur révisable. Encore une fois, j’arrive à la conclusion que la Cour d’appel ne relève pas la présence d’une telle erreur et qu’elle procède de façon inacceptable à un réexamen de l’ensemble de la preuve.</w:t>
      </w:r>
    </w:p>
    <w:p w:rsidR="0041746D" w:rsidRPr="008675BA" w:rsidRDefault="0041746D" w:rsidP="0041746D">
      <w:pPr>
        <w:pStyle w:val="ParaNoNdepar-AltN"/>
        <w:rPr>
          <w:rFonts w:cs="Times New Roman"/>
          <w:lang w:val="fr-CA"/>
        </w:rPr>
      </w:pPr>
      <w:r w:rsidRPr="008675BA">
        <w:rPr>
          <w:rFonts w:cs="Times New Roman"/>
          <w:lang w:val="fr-CA"/>
        </w:rPr>
        <w:t xml:space="preserve">Il est frappant que la Cour d’appel ne mette pas en avant </w:t>
      </w:r>
      <w:r w:rsidRPr="008675BA">
        <w:rPr>
          <w:rFonts w:cs="Times New Roman"/>
          <w:i/>
          <w:lang w:val="fr-CA"/>
        </w:rPr>
        <w:t>une quelconque</w:t>
      </w:r>
      <w:r w:rsidRPr="008675BA">
        <w:rPr>
          <w:rFonts w:cs="Times New Roman"/>
          <w:lang w:val="fr-CA"/>
        </w:rPr>
        <w:t xml:space="preserve"> erreur révisable mais qu’elle critique simplement la soi</w:t>
      </w:r>
      <w:r>
        <w:rPr>
          <w:rFonts w:cs="Times New Roman"/>
          <w:lang w:val="fr-CA"/>
        </w:rPr>
        <w:noBreakHyphen/>
      </w:r>
      <w:r w:rsidRPr="008675BA">
        <w:rPr>
          <w:rFonts w:cs="Times New Roman"/>
          <w:lang w:val="fr-CA"/>
        </w:rPr>
        <w:t>disant approche restrictive de la juge du procès à l’égard des principes de conflit d’intérêts (</w:t>
      </w:r>
      <w:r>
        <w:rPr>
          <w:rFonts w:cs="Times New Roman"/>
          <w:lang w:val="fr-CA"/>
        </w:rPr>
        <w:t>par. </w:t>
      </w:r>
      <w:r w:rsidRPr="008675BA">
        <w:rPr>
          <w:rFonts w:cs="Times New Roman"/>
          <w:lang w:val="fr-CA"/>
        </w:rPr>
        <w:t xml:space="preserve">97; motifs du juge Gascon, </w:t>
      </w:r>
      <w:r>
        <w:rPr>
          <w:rFonts w:cs="Times New Roman"/>
          <w:lang w:val="fr-CA"/>
        </w:rPr>
        <w:t>par. </w:t>
      </w:r>
      <w:r w:rsidRPr="008675BA">
        <w:rPr>
          <w:rFonts w:cs="Times New Roman"/>
          <w:lang w:val="fr-CA"/>
        </w:rPr>
        <w:t>69). Sur ce fondement, la Cour d’appel procède au réexamen de la question en appliquant la norme de la décision correcte, comme si une question de droit avait été relevée. Avec égards, il s’agit d’un non</w:t>
      </w:r>
      <w:r>
        <w:rPr>
          <w:rFonts w:cs="Times New Roman"/>
          <w:lang w:val="fr-CA"/>
        </w:rPr>
        <w:noBreakHyphen/>
      </w:r>
      <w:r w:rsidRPr="008675BA">
        <w:rPr>
          <w:rFonts w:cs="Times New Roman"/>
          <w:lang w:val="fr-CA"/>
        </w:rPr>
        <w:t>respect flagrant du principe de non</w:t>
      </w:r>
      <w:r>
        <w:rPr>
          <w:rFonts w:cs="Times New Roman"/>
          <w:lang w:val="fr-CA"/>
        </w:rPr>
        <w:noBreakHyphen/>
      </w:r>
      <w:r w:rsidRPr="008675BA">
        <w:rPr>
          <w:rFonts w:cs="Times New Roman"/>
          <w:lang w:val="fr-CA"/>
        </w:rPr>
        <w:t xml:space="preserve">intervention en appel. </w:t>
      </w:r>
    </w:p>
    <w:p w:rsidR="0041746D" w:rsidRPr="008675BA" w:rsidRDefault="0041746D" w:rsidP="0041746D">
      <w:pPr>
        <w:pStyle w:val="ParaNoNdepar-AltN"/>
        <w:rPr>
          <w:rFonts w:cs="Times New Roman"/>
          <w:lang w:val="fr-CA"/>
        </w:rPr>
      </w:pPr>
      <w:r w:rsidRPr="008675BA">
        <w:rPr>
          <w:rFonts w:cs="Times New Roman"/>
          <w:lang w:val="fr-CA"/>
        </w:rPr>
        <w:t>Il est bien établi en droit que l’analyse d’une faute reprochée, notamment quant au devoir de loyauté, soulève des questions mixtes de fait et de droit. Lorsqu’une telle question se pose, la norme appropriée est celle de l’erreur manifeste et déterminante à moins qu’on puisse facilement isoler une pure question de droit (</w:t>
      </w:r>
      <w:r w:rsidRPr="008675BA">
        <w:rPr>
          <w:rFonts w:cs="Times New Roman"/>
          <w:i/>
          <w:lang w:val="fr-CA"/>
        </w:rPr>
        <w:t>Housen</w:t>
      </w:r>
      <w:r w:rsidRPr="008675BA">
        <w:rPr>
          <w:rFonts w:cs="Times New Roman"/>
          <w:lang w:val="fr-CA"/>
        </w:rPr>
        <w:t xml:space="preserve">, </w:t>
      </w:r>
      <w:r>
        <w:rPr>
          <w:rFonts w:cs="Times New Roman"/>
          <w:lang w:val="fr-CA"/>
        </w:rPr>
        <w:t>par. </w:t>
      </w:r>
      <w:r w:rsidRPr="008675BA">
        <w:rPr>
          <w:rFonts w:cs="Times New Roman"/>
          <w:lang w:val="fr-CA"/>
        </w:rPr>
        <w:t>29</w:t>
      </w:r>
      <w:r>
        <w:rPr>
          <w:rFonts w:cs="Times New Roman"/>
          <w:lang w:val="fr-CA"/>
        </w:rPr>
        <w:noBreakHyphen/>
      </w:r>
      <w:r w:rsidRPr="008675BA">
        <w:rPr>
          <w:rFonts w:cs="Times New Roman"/>
          <w:lang w:val="fr-CA"/>
        </w:rPr>
        <w:t xml:space="preserve">33). Une question de droit isolable consiste généralement en une formulation erronée du critère juridique applicable ou en l’omission de tenir compte d’un </w:t>
      </w:r>
      <w:r w:rsidRPr="008675BA">
        <w:rPr>
          <w:rFonts w:cs="Times New Roman"/>
          <w:i/>
          <w:lang w:val="fr-CA"/>
        </w:rPr>
        <w:t>élément essentiel</w:t>
      </w:r>
      <w:r w:rsidRPr="008675BA">
        <w:rPr>
          <w:rFonts w:cs="Times New Roman"/>
          <w:lang w:val="fr-CA"/>
        </w:rPr>
        <w:t xml:space="preserve"> de ce critère (</w:t>
      </w:r>
      <w:r w:rsidRPr="008675BA">
        <w:rPr>
          <w:rFonts w:cs="Times New Roman"/>
          <w:i/>
          <w:lang w:val="fr-CA"/>
        </w:rPr>
        <w:t>Housen</w:t>
      </w:r>
      <w:r w:rsidRPr="008675BA">
        <w:rPr>
          <w:rFonts w:cs="Times New Roman"/>
          <w:lang w:val="fr-CA"/>
        </w:rPr>
        <w:t xml:space="preserve">, </w:t>
      </w:r>
      <w:r>
        <w:rPr>
          <w:rFonts w:cs="Times New Roman"/>
          <w:lang w:val="fr-CA"/>
        </w:rPr>
        <w:t>par. </w:t>
      </w:r>
      <w:r w:rsidRPr="008675BA">
        <w:rPr>
          <w:rFonts w:cs="Times New Roman"/>
          <w:lang w:val="fr-CA"/>
        </w:rPr>
        <w:t xml:space="preserve">36). </w:t>
      </w:r>
    </w:p>
    <w:p w:rsidR="0041746D" w:rsidRPr="008675BA" w:rsidRDefault="0041746D" w:rsidP="0041746D">
      <w:pPr>
        <w:pStyle w:val="ParaNoNdepar-AltN"/>
        <w:rPr>
          <w:rFonts w:cs="Times New Roman"/>
          <w:lang w:val="fr-CA"/>
        </w:rPr>
      </w:pPr>
      <w:r w:rsidRPr="008675BA">
        <w:rPr>
          <w:rFonts w:cs="Times New Roman"/>
          <w:lang w:val="fr-CA"/>
        </w:rPr>
        <w:t xml:space="preserve">Pourtant, dans la présente affaire, la Cour d’appel ne soutient pas, et mon collègue n’affirme pas non plus, que la juge du procès commet une erreur de droit </w:t>
      </w:r>
      <w:r w:rsidRPr="008675BA">
        <w:rPr>
          <w:rFonts w:cs="Times New Roman"/>
          <w:lang w:val="fr-CA"/>
        </w:rPr>
        <w:lastRenderedPageBreak/>
        <w:t>isolable. De fait, personne ne laisse entendre qu’elle omet de cerner les bons principes juridiques applicables à la faute reprochée liée au devoir de loyauté (</w:t>
      </w:r>
      <w:r>
        <w:rPr>
          <w:rFonts w:cs="Times New Roman"/>
          <w:lang w:val="fr-CA"/>
        </w:rPr>
        <w:t>par. </w:t>
      </w:r>
      <w:r w:rsidRPr="008675BA">
        <w:rPr>
          <w:rFonts w:cs="Times New Roman"/>
          <w:lang w:val="fr-CA"/>
        </w:rPr>
        <w:t>107</w:t>
      </w:r>
      <w:r>
        <w:rPr>
          <w:rFonts w:cs="Times New Roman"/>
          <w:lang w:val="fr-CA"/>
        </w:rPr>
        <w:noBreakHyphen/>
      </w:r>
      <w:r w:rsidRPr="008675BA">
        <w:rPr>
          <w:rFonts w:cs="Times New Roman"/>
          <w:lang w:val="fr-CA"/>
        </w:rPr>
        <w:t>113 et 118</w:t>
      </w:r>
      <w:r>
        <w:rPr>
          <w:rFonts w:cs="Times New Roman"/>
          <w:lang w:val="fr-CA"/>
        </w:rPr>
        <w:noBreakHyphen/>
      </w:r>
      <w:r w:rsidRPr="008675BA">
        <w:rPr>
          <w:rFonts w:cs="Times New Roman"/>
          <w:lang w:val="fr-CA"/>
        </w:rPr>
        <w:t xml:space="preserve">119). Elle reconnaît avec justesse que, en tant que mandataires au sens du </w:t>
      </w:r>
      <w:r w:rsidRPr="008675BA">
        <w:rPr>
          <w:rFonts w:cs="Times New Roman"/>
          <w:i/>
          <w:lang w:val="fr-CA"/>
        </w:rPr>
        <w:t>Code civil du Québec</w:t>
      </w:r>
      <w:r w:rsidRPr="008675BA">
        <w:rPr>
          <w:rFonts w:cs="Times New Roman"/>
          <w:lang w:val="fr-CA"/>
        </w:rPr>
        <w:t xml:space="preserve"> (« </w:t>
      </w:r>
      <w:r w:rsidRPr="008675BA">
        <w:rPr>
          <w:rFonts w:cs="Times New Roman"/>
          <w:i/>
          <w:lang w:val="fr-CA"/>
        </w:rPr>
        <w:t>C.c.Q.</w:t>
      </w:r>
      <w:r w:rsidRPr="008675BA">
        <w:rPr>
          <w:rFonts w:cs="Times New Roman"/>
          <w:lang w:val="fr-CA"/>
        </w:rPr>
        <w:t> »), les avocats sont tenus d’« agir avec honnêteté et loyauté dans le meilleur intérêt du mandant » et d’« éviter de se placer dans une situation de conflit entre [leur] intérêt et celui de [leur] mandant » (</w:t>
      </w:r>
      <w:r>
        <w:rPr>
          <w:rFonts w:cs="Times New Roman"/>
          <w:lang w:val="fr-CA"/>
        </w:rPr>
        <w:t>art. </w:t>
      </w:r>
      <w:r w:rsidRPr="008675BA">
        <w:rPr>
          <w:rFonts w:cs="Times New Roman"/>
          <w:lang w:val="fr-CA"/>
        </w:rPr>
        <w:t xml:space="preserve">2138 </w:t>
      </w:r>
      <w:r>
        <w:rPr>
          <w:rFonts w:cs="Times New Roman"/>
          <w:lang w:val="fr-CA"/>
        </w:rPr>
        <w:t>al. </w:t>
      </w:r>
      <w:r w:rsidRPr="008675BA">
        <w:rPr>
          <w:rFonts w:cs="Times New Roman"/>
          <w:lang w:val="fr-CA"/>
        </w:rPr>
        <w:t>2 </w:t>
      </w:r>
      <w:r w:rsidRPr="008675BA">
        <w:rPr>
          <w:rFonts w:cs="Times New Roman"/>
          <w:i/>
          <w:lang w:val="fr-CA"/>
        </w:rPr>
        <w:t>C.c.Q</w:t>
      </w:r>
      <w:r w:rsidRPr="008675BA">
        <w:rPr>
          <w:rFonts w:cs="Times New Roman"/>
          <w:lang w:val="fr-CA"/>
        </w:rPr>
        <w:t xml:space="preserve">.; motifs de première instance, </w:t>
      </w:r>
      <w:r>
        <w:rPr>
          <w:rFonts w:cs="Times New Roman"/>
          <w:lang w:val="fr-CA"/>
        </w:rPr>
        <w:t>par. </w:t>
      </w:r>
      <w:r w:rsidRPr="008675BA">
        <w:rPr>
          <w:rFonts w:cs="Times New Roman"/>
          <w:lang w:val="fr-CA"/>
        </w:rPr>
        <w:t xml:space="preserve">111). La juge du procès rappelle aussi les règles applicables aux conflits d’intérêts prévues dans l’ancien </w:t>
      </w:r>
      <w:r w:rsidRPr="008675BA">
        <w:rPr>
          <w:rFonts w:cs="Times New Roman"/>
          <w:i/>
          <w:lang w:val="fr-CA"/>
        </w:rPr>
        <w:t>Code de déontologie des avocats</w:t>
      </w:r>
      <w:r w:rsidRPr="008675BA">
        <w:rPr>
          <w:rFonts w:cs="Times New Roman"/>
          <w:lang w:val="fr-CA"/>
        </w:rPr>
        <w:t>, RLRQ, c. B</w:t>
      </w:r>
      <w:r>
        <w:rPr>
          <w:rFonts w:cs="Times New Roman"/>
          <w:lang w:val="fr-CA"/>
        </w:rPr>
        <w:noBreakHyphen/>
      </w:r>
      <w:r w:rsidRPr="008675BA">
        <w:rPr>
          <w:rFonts w:cs="Times New Roman"/>
          <w:lang w:val="fr-CA"/>
        </w:rPr>
        <w:t>1, r. 3, du Québec qui, à l’époque, servait à préciser la norme de l’avocat raisonnablement compétent, prudent et diligent dans de telles circonstances (voir Baudouin, Deslauriers et Moore, n</w:t>
      </w:r>
      <w:r w:rsidR="00B20BEB">
        <w:rPr>
          <w:rFonts w:cs="Times New Roman"/>
          <w:vertAlign w:val="superscript"/>
          <w:lang w:val="fr-CA"/>
        </w:rPr>
        <w:t>os</w:t>
      </w:r>
      <w:r w:rsidR="00B20BEB">
        <w:rPr>
          <w:rFonts w:cs="Times New Roman"/>
          <w:lang w:val="fr-CA"/>
        </w:rPr>
        <w:t xml:space="preserve"> </w:t>
      </w:r>
      <w:r w:rsidRPr="008675BA">
        <w:rPr>
          <w:rFonts w:cs="Times New Roman"/>
          <w:lang w:val="fr-CA"/>
        </w:rPr>
        <w:t>2</w:t>
      </w:r>
      <w:r>
        <w:rPr>
          <w:rFonts w:cs="Times New Roman"/>
          <w:lang w:val="fr-CA"/>
        </w:rPr>
        <w:noBreakHyphen/>
      </w:r>
      <w:r w:rsidRPr="008675BA">
        <w:rPr>
          <w:rFonts w:cs="Times New Roman"/>
          <w:lang w:val="fr-CA"/>
        </w:rPr>
        <w:t>1 à 2</w:t>
      </w:r>
      <w:r>
        <w:rPr>
          <w:rFonts w:cs="Times New Roman"/>
          <w:lang w:val="fr-CA"/>
        </w:rPr>
        <w:noBreakHyphen/>
      </w:r>
      <w:r w:rsidRPr="008675BA">
        <w:rPr>
          <w:rFonts w:cs="Times New Roman"/>
          <w:lang w:val="fr-CA"/>
        </w:rPr>
        <w:t>2). Elle résume aussi les principes généraux de la responsabilité civile, notamment celui voulant que le demandeur a le fardeau de prouver la faute, le préjudice et le lien de causalité entre les deux. Tout compte fait, sa description du critère juridique applicable, qui concorde avec le résumé des principes pertinents de mon collègue (</w:t>
      </w:r>
      <w:r>
        <w:rPr>
          <w:rFonts w:cs="Times New Roman"/>
          <w:lang w:val="fr-CA"/>
        </w:rPr>
        <w:t>par. </w:t>
      </w:r>
      <w:r w:rsidRPr="008675BA">
        <w:rPr>
          <w:rFonts w:cs="Times New Roman"/>
          <w:lang w:val="fr-CA"/>
        </w:rPr>
        <w:t>71), ne comporte aucune erreur.</w:t>
      </w:r>
    </w:p>
    <w:p w:rsidR="0041746D" w:rsidRPr="008675BA" w:rsidRDefault="0041746D" w:rsidP="0041746D">
      <w:pPr>
        <w:pStyle w:val="ParaNoNdepar-AltN"/>
        <w:rPr>
          <w:rFonts w:cs="Times New Roman"/>
          <w:lang w:val="fr-CA"/>
        </w:rPr>
      </w:pPr>
      <w:r w:rsidRPr="008675BA">
        <w:rPr>
          <w:rFonts w:cs="Times New Roman"/>
          <w:lang w:val="fr-CA"/>
        </w:rPr>
        <w:t>J’ajouterais que, dans les affaires où il est question de négligence, « il est souvent difficile de départager les questions de droit et les questions de fait » (</w:t>
      </w:r>
      <w:r w:rsidRPr="008675BA">
        <w:rPr>
          <w:rFonts w:cs="Times New Roman"/>
          <w:i/>
          <w:lang w:val="fr-CA"/>
        </w:rPr>
        <w:t>Housen</w:t>
      </w:r>
      <w:r w:rsidRPr="008675BA">
        <w:rPr>
          <w:rFonts w:cs="Times New Roman"/>
          <w:lang w:val="fr-CA"/>
        </w:rPr>
        <w:t xml:space="preserve">, </w:t>
      </w:r>
      <w:r>
        <w:rPr>
          <w:rFonts w:cs="Times New Roman"/>
          <w:lang w:val="fr-CA"/>
        </w:rPr>
        <w:t>par. </w:t>
      </w:r>
      <w:r w:rsidRPr="008675BA">
        <w:rPr>
          <w:rFonts w:cs="Times New Roman"/>
          <w:lang w:val="fr-CA"/>
        </w:rPr>
        <w:t xml:space="preserve">36). L’analyse d’un prétendu conflit d’intérêts, en particulier, est intrinsèquement factuelle. Par exemple, un éventuel conflit pourrait ne pas avoir les mêmes ramifications dans un contexte d’opérations commerciales courantes que dans le cadre d’un dossier relatif à un litige. Chacun doit être évalué au cas par cas. Ce ne sont pas tous les possibles manquements au devoir de loyauté — notamment les manquements à des règles de déontologie précises — qui donneront ouverture à une action en responsabilité civile. Dans chaque affaire, le tribunal doit analyser la nature et les </w:t>
      </w:r>
      <w:r w:rsidRPr="008675BA">
        <w:rPr>
          <w:rFonts w:cs="Times New Roman"/>
          <w:lang w:val="fr-CA"/>
        </w:rPr>
        <w:lastRenderedPageBreak/>
        <w:t>circonstances du prétendu conflit afin de qualifier la contravention et de déterminer, le cas échéant, la réparation qui s’impose (</w:t>
      </w:r>
      <w:r w:rsidRPr="008675BA">
        <w:rPr>
          <w:rFonts w:cs="Times New Roman"/>
          <w:i/>
          <w:lang w:val="fr-CA"/>
        </w:rPr>
        <w:t>Côté</w:t>
      </w:r>
      <w:r w:rsidRPr="008675BA">
        <w:rPr>
          <w:rFonts w:cs="Times New Roman"/>
          <w:lang w:val="fr-CA"/>
        </w:rPr>
        <w:t xml:space="preserve">, </w:t>
      </w:r>
      <w:r>
        <w:rPr>
          <w:rFonts w:cs="Times New Roman"/>
          <w:lang w:val="fr-CA"/>
        </w:rPr>
        <w:t>par. </w:t>
      </w:r>
      <w:r w:rsidRPr="008675BA">
        <w:rPr>
          <w:rFonts w:cs="Times New Roman"/>
          <w:lang w:val="fr-CA"/>
        </w:rPr>
        <w:t>9</w:t>
      </w:r>
      <w:r>
        <w:rPr>
          <w:rFonts w:cs="Times New Roman"/>
          <w:lang w:val="fr-CA"/>
        </w:rPr>
        <w:noBreakHyphen/>
      </w:r>
      <w:r w:rsidRPr="008675BA">
        <w:rPr>
          <w:rFonts w:cs="Times New Roman"/>
          <w:lang w:val="fr-CA"/>
        </w:rPr>
        <w:t xml:space="preserve">11 et 14). Il s’ensuit qu’on devrait considérer qu’il n’existe une erreur de droit isolable que dans les cas exceptionnels où le critère juridique a été mal qualifié ou lorsqu’on a fait totalement abstraction de l’un des éléments requis de </w:t>
      </w:r>
      <w:r>
        <w:rPr>
          <w:rFonts w:cs="Times New Roman"/>
          <w:lang w:val="fr-CA"/>
        </w:rPr>
        <w:t>ce critère</w:t>
      </w:r>
      <w:r w:rsidRPr="008675BA">
        <w:rPr>
          <w:rFonts w:cs="Times New Roman"/>
          <w:lang w:val="fr-CA"/>
        </w:rPr>
        <w:t>.</w:t>
      </w:r>
    </w:p>
    <w:p w:rsidR="0041746D" w:rsidRPr="008675BA" w:rsidRDefault="0041746D" w:rsidP="0041746D">
      <w:pPr>
        <w:pStyle w:val="ParaNoNdepar-AltN"/>
        <w:rPr>
          <w:rFonts w:cs="Times New Roman"/>
          <w:lang w:val="fr-CA"/>
        </w:rPr>
      </w:pPr>
      <w:r w:rsidRPr="008675BA">
        <w:rPr>
          <w:rFonts w:cs="Times New Roman"/>
          <w:lang w:val="fr-CA"/>
        </w:rPr>
        <w:t>À supposer que la juge du procès applique les bons principes juridiques, la prochaine question qui se pose est de savoir si la Cour d’appel relève la présence d’une erreur manifeste et déterminante. Manifestement, la réponse est non. Il convient de rappeler que la Cour d’appel n’affirme pas expressément, et mon collègue non plus, que la juge du procès commet une telle erreur. Ils concluent plutôt, comme le dit mon collègue, que la juge du procès ne tient pas compte « de la preuve abondante des liens personnels et financiers étroits qu’entretenait M</w:t>
      </w:r>
      <w:r w:rsidRPr="008675BA">
        <w:rPr>
          <w:rFonts w:cs="Times New Roman"/>
          <w:vertAlign w:val="superscript"/>
          <w:lang w:val="fr-CA"/>
        </w:rPr>
        <w:t>e</w:t>
      </w:r>
      <w:r w:rsidRPr="008675BA">
        <w:rPr>
          <w:rFonts w:cs="Times New Roman"/>
          <w:lang w:val="fr-CA"/>
        </w:rPr>
        <w:t> Salomon avec M. Papadopoulos au motif qu’elle ne permet pas de conclure à l’existence d’un conflit d’intérêts » (</w:t>
      </w:r>
      <w:r>
        <w:rPr>
          <w:rFonts w:cs="Times New Roman"/>
          <w:lang w:val="fr-CA"/>
        </w:rPr>
        <w:t>par. </w:t>
      </w:r>
      <w:r w:rsidRPr="008675BA">
        <w:rPr>
          <w:rFonts w:cs="Times New Roman"/>
          <w:lang w:val="fr-CA"/>
        </w:rPr>
        <w:t xml:space="preserve">81; voir aussi </w:t>
      </w:r>
      <w:r>
        <w:rPr>
          <w:rFonts w:cs="Times New Roman"/>
          <w:lang w:val="fr-CA"/>
        </w:rPr>
        <w:t>par. </w:t>
      </w:r>
      <w:r w:rsidRPr="008675BA">
        <w:rPr>
          <w:rFonts w:cs="Times New Roman"/>
          <w:lang w:val="fr-CA"/>
        </w:rPr>
        <w:t xml:space="preserve">70; motifs de la C.A., </w:t>
      </w:r>
      <w:r>
        <w:rPr>
          <w:rFonts w:cs="Times New Roman"/>
          <w:lang w:val="fr-CA"/>
        </w:rPr>
        <w:t>par. </w:t>
      </w:r>
      <w:r w:rsidRPr="008675BA">
        <w:rPr>
          <w:rFonts w:cs="Times New Roman"/>
          <w:lang w:val="fr-CA"/>
        </w:rPr>
        <w:t>97 et 109). Il ne s’agit pas d’une erreur révisable, mais d’une divergence d’opinions quant à l’importance qu’il faut donner à la preuve. À mon avis, la juge du procès examine comme il convient les facteurs qui auraient pu soulever des doutes quant à la loyauté et au dévouement exclusifs de M</w:t>
      </w:r>
      <w:r w:rsidRPr="008675BA">
        <w:rPr>
          <w:rFonts w:cs="Times New Roman"/>
          <w:vertAlign w:val="superscript"/>
          <w:lang w:val="fr-CA"/>
        </w:rPr>
        <w:t>e</w:t>
      </w:r>
      <w:r w:rsidRPr="008675BA">
        <w:rPr>
          <w:rFonts w:cs="Times New Roman"/>
          <w:lang w:val="fr-CA"/>
        </w:rPr>
        <w:t xml:space="preserve"> Salomon envers ses clientes, à savoir son amitié avec M. Papadopoulos et leur relation financière, notamment les « cadeaux » ou « commissions » qu’il a reçus (voir, </w:t>
      </w:r>
      <w:r>
        <w:rPr>
          <w:rFonts w:cs="Times New Roman"/>
          <w:lang w:val="fr-CA"/>
        </w:rPr>
        <w:t>p. </w:t>
      </w:r>
      <w:r w:rsidRPr="008675BA">
        <w:rPr>
          <w:rFonts w:cs="Times New Roman"/>
          <w:lang w:val="fr-CA"/>
        </w:rPr>
        <w:t xml:space="preserve">ex., motifs de première instance, </w:t>
      </w:r>
      <w:r>
        <w:rPr>
          <w:rFonts w:cs="Times New Roman"/>
          <w:lang w:val="fr-CA"/>
        </w:rPr>
        <w:t>par. </w:t>
      </w:r>
      <w:r w:rsidRPr="008675BA">
        <w:rPr>
          <w:rFonts w:cs="Times New Roman"/>
          <w:lang w:val="fr-CA"/>
        </w:rPr>
        <w:t>136</w:t>
      </w:r>
      <w:r>
        <w:rPr>
          <w:rFonts w:cs="Times New Roman"/>
          <w:lang w:val="fr-CA"/>
        </w:rPr>
        <w:noBreakHyphen/>
      </w:r>
      <w:r w:rsidRPr="008675BA">
        <w:rPr>
          <w:rFonts w:cs="Times New Roman"/>
          <w:lang w:val="fr-CA"/>
        </w:rPr>
        <w:t>137, 142, 156</w:t>
      </w:r>
      <w:r>
        <w:rPr>
          <w:rFonts w:cs="Times New Roman"/>
          <w:lang w:val="fr-CA"/>
        </w:rPr>
        <w:noBreakHyphen/>
      </w:r>
      <w:r w:rsidRPr="008675BA">
        <w:rPr>
          <w:rFonts w:cs="Times New Roman"/>
          <w:lang w:val="fr-CA"/>
        </w:rPr>
        <w:t>157 et 163). Après avoir apprécié divers éléments de preuve, elle conclut que, vu les faits de l’affaire, de tels facteurs ne suffisent pas à placer M</w:t>
      </w:r>
      <w:r w:rsidRPr="008675BA">
        <w:rPr>
          <w:rFonts w:cs="Times New Roman"/>
          <w:vertAlign w:val="superscript"/>
          <w:lang w:val="fr-CA"/>
        </w:rPr>
        <w:t>e</w:t>
      </w:r>
      <w:r w:rsidRPr="008675BA">
        <w:rPr>
          <w:rFonts w:cs="Times New Roman"/>
          <w:lang w:val="fr-CA"/>
        </w:rPr>
        <w:t> Salomon dans une situation où son intérêt personnel entrerait en conflit avec celui de ses clientes. Elle pouvait tirer une telle conclusion.</w:t>
      </w:r>
    </w:p>
    <w:p w:rsidR="0041746D" w:rsidRPr="008675BA" w:rsidRDefault="0041746D" w:rsidP="0041746D">
      <w:pPr>
        <w:pStyle w:val="ParaNoNdepar-AltN"/>
        <w:rPr>
          <w:rFonts w:cs="Times New Roman"/>
          <w:lang w:val="fr-CA"/>
        </w:rPr>
      </w:pPr>
      <w:r w:rsidRPr="008675BA">
        <w:rPr>
          <w:rFonts w:cs="Times New Roman"/>
          <w:lang w:val="fr-CA"/>
        </w:rPr>
        <w:lastRenderedPageBreak/>
        <w:t>Premièrement, la preuve peut appuyer la conclusion de la juge du procès selon laquelle la relation d’amitié entre M</w:t>
      </w:r>
      <w:r w:rsidRPr="008675BA">
        <w:rPr>
          <w:rFonts w:cs="Times New Roman"/>
          <w:vertAlign w:val="superscript"/>
          <w:lang w:val="fr-CA"/>
        </w:rPr>
        <w:t>e</w:t>
      </w:r>
      <w:r w:rsidRPr="008675BA">
        <w:rPr>
          <w:rFonts w:cs="Times New Roman"/>
          <w:lang w:val="fr-CA"/>
        </w:rPr>
        <w:t> Salomon et M. Papadopoulos, une fois mise en contexte, n’était pas contraire à son obligation de loyauté envers les intimées. La juge du procès conclut que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était bien au courant, depuis le début, de l’existence de la relation. M</w:t>
      </w:r>
      <w:r>
        <w:rPr>
          <w:rFonts w:cs="Times New Roman"/>
          <w:lang w:val="fr-CA"/>
        </w:rPr>
        <w:t xml:space="preserve">aître </w:t>
      </w:r>
      <w:r w:rsidRPr="008675BA">
        <w:rPr>
          <w:rFonts w:cs="Times New Roman"/>
          <w:lang w:val="fr-CA"/>
        </w:rPr>
        <w:t xml:space="preserve">Salomon n’a jamais tenté de la cacher (motifs de première instance, </w:t>
      </w:r>
      <w:r>
        <w:rPr>
          <w:rFonts w:cs="Times New Roman"/>
          <w:lang w:val="fr-CA"/>
        </w:rPr>
        <w:t>par. </w:t>
      </w:r>
      <w:r w:rsidRPr="008675BA">
        <w:rPr>
          <w:rFonts w:cs="Times New Roman"/>
          <w:lang w:val="fr-CA"/>
        </w:rPr>
        <w:t>135</w:t>
      </w:r>
      <w:r>
        <w:rPr>
          <w:rFonts w:cs="Times New Roman"/>
          <w:lang w:val="fr-CA"/>
        </w:rPr>
        <w:noBreakHyphen/>
      </w:r>
      <w:r w:rsidRPr="008675BA">
        <w:rPr>
          <w:rFonts w:cs="Times New Roman"/>
          <w:lang w:val="fr-CA"/>
        </w:rPr>
        <w:t>137). D’ailleurs, avant de prendre la décision définitive de faire des placements auprès de Triglobal,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lui a demandé ses impressions, [</w:t>
      </w:r>
      <w:r w:rsidRPr="008675BA">
        <w:rPr>
          <w:rFonts w:cs="Times New Roman"/>
          <w:smallCaps/>
          <w:lang w:val="fr-CA"/>
        </w:rPr>
        <w:t>traduction</w:t>
      </w:r>
      <w:r w:rsidRPr="008675BA">
        <w:rPr>
          <w:rFonts w:cs="Times New Roman"/>
          <w:lang w:val="fr-CA"/>
        </w:rPr>
        <w:t>]  « dans la mesure où [il se] sent[ait] à l’aise de le faire ». Je conviens que, dans certaines circonstances, une relation personnelle étroite aurait certainement pu mettre M</w:t>
      </w:r>
      <w:r w:rsidRPr="008675BA">
        <w:rPr>
          <w:rFonts w:cs="Times New Roman"/>
          <w:vertAlign w:val="superscript"/>
          <w:lang w:val="fr-CA"/>
        </w:rPr>
        <w:t>e</w:t>
      </w:r>
      <w:r w:rsidRPr="008675BA">
        <w:rPr>
          <w:rFonts w:cs="Times New Roman"/>
          <w:lang w:val="fr-CA"/>
        </w:rPr>
        <w:t> Salomon en conflit d’intérêts, indépendamment de la divulgation. Toutefois, dans la présente affaire, il ne faut pas oublier que M</w:t>
      </w:r>
      <w:r w:rsidRPr="008675BA">
        <w:rPr>
          <w:rFonts w:cs="Times New Roman"/>
          <w:vertAlign w:val="superscript"/>
          <w:lang w:val="fr-CA"/>
        </w:rPr>
        <w:t>e</w:t>
      </w:r>
      <w:r w:rsidRPr="008675BA">
        <w:rPr>
          <w:rFonts w:cs="Times New Roman"/>
          <w:lang w:val="fr-CA"/>
        </w:rPr>
        <w:t> Salomon n’avait aucun mandat visant précisément la stratégie de placement. Comme je l’ai déjà mentionné, il n’avait, du moins jusqu’en mai 2007, aucun devoir de conseiller ses clientes sur cette question, et certainement aucun devoir de vérifier leurs décisions en matière de placements. De plus, lorsque les intimées ont pris la décision de racheter leurs placements auprès de Triglobal, elles ont choisi de ne pas mêler M</w:t>
      </w:r>
      <w:r w:rsidRPr="008675BA">
        <w:rPr>
          <w:rFonts w:cs="Times New Roman"/>
          <w:vertAlign w:val="superscript"/>
          <w:lang w:val="fr-CA"/>
        </w:rPr>
        <w:t>e</w:t>
      </w:r>
      <w:r w:rsidRPr="008675BA">
        <w:rPr>
          <w:rFonts w:cs="Times New Roman"/>
          <w:lang w:val="fr-CA"/>
        </w:rPr>
        <w:t xml:space="preserve"> Salomon à cette décision, justement en raison de ses liens étroits avec M. Papadopoulos (motifs de première instance, </w:t>
      </w:r>
      <w:r>
        <w:rPr>
          <w:rFonts w:cs="Times New Roman"/>
          <w:lang w:val="fr-CA"/>
        </w:rPr>
        <w:t>par. </w:t>
      </w:r>
      <w:r w:rsidRPr="008675BA">
        <w:rPr>
          <w:rFonts w:cs="Times New Roman"/>
          <w:lang w:val="fr-CA"/>
        </w:rPr>
        <w:t>266). M</w:t>
      </w:r>
      <w:r>
        <w:rPr>
          <w:rFonts w:cs="Times New Roman"/>
          <w:lang w:val="fr-CA"/>
        </w:rPr>
        <w:t xml:space="preserve">aître </w:t>
      </w:r>
      <w:r w:rsidRPr="008675BA">
        <w:rPr>
          <w:rFonts w:cs="Times New Roman"/>
          <w:lang w:val="fr-CA"/>
        </w:rPr>
        <w:t>Salomon aurait peut</w:t>
      </w:r>
      <w:r>
        <w:rPr>
          <w:rFonts w:cs="Times New Roman"/>
          <w:lang w:val="fr-CA"/>
        </w:rPr>
        <w:noBreakHyphen/>
      </w:r>
      <w:r w:rsidRPr="008675BA">
        <w:rPr>
          <w:rFonts w:cs="Times New Roman"/>
          <w:lang w:val="fr-CA"/>
        </w:rPr>
        <w:t>être dû faire montre de plus de circonspection dans ses témoignages de confiance envers M. Papadopoulos. Cela dit, comme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était au courant de leur relation personnelle et vu le rôle limité que M</w:t>
      </w:r>
      <w:r w:rsidRPr="008675BA">
        <w:rPr>
          <w:rFonts w:cs="Times New Roman"/>
          <w:vertAlign w:val="superscript"/>
          <w:lang w:val="fr-CA"/>
        </w:rPr>
        <w:t>e</w:t>
      </w:r>
      <w:r w:rsidRPr="008675BA">
        <w:rPr>
          <w:rFonts w:cs="Times New Roman"/>
          <w:lang w:val="fr-CA"/>
        </w:rPr>
        <w:t> Salomon a joué en ce qui concerne les placements des intimées, j’estime que la juge du procès pouvait conclure que la relation d’amitié à elle seule ne plaçait pas M</w:t>
      </w:r>
      <w:r w:rsidRPr="008675BA">
        <w:rPr>
          <w:rFonts w:cs="Times New Roman"/>
          <w:vertAlign w:val="superscript"/>
          <w:lang w:val="fr-CA"/>
        </w:rPr>
        <w:t>e</w:t>
      </w:r>
      <w:r w:rsidRPr="008675BA">
        <w:rPr>
          <w:rFonts w:cs="Times New Roman"/>
          <w:lang w:val="fr-CA"/>
        </w:rPr>
        <w:t> Salomon en situation de conflit d’intérêts.</w:t>
      </w:r>
    </w:p>
    <w:p w:rsidR="0041746D" w:rsidRPr="008675BA" w:rsidRDefault="0041746D" w:rsidP="0041746D">
      <w:pPr>
        <w:pStyle w:val="ParaNoNdepar-AltN"/>
        <w:rPr>
          <w:rFonts w:cs="Times New Roman"/>
          <w:lang w:val="fr-CA"/>
        </w:rPr>
      </w:pPr>
      <w:r w:rsidRPr="008675BA">
        <w:rPr>
          <w:rFonts w:cs="Times New Roman"/>
          <w:lang w:val="fr-CA"/>
        </w:rPr>
        <w:lastRenderedPageBreak/>
        <w:t>Deuxièmement, il était aussi loisible à la juge du procès de conclure que les paiements reçus par M</w:t>
      </w:r>
      <w:r w:rsidRPr="008675BA">
        <w:rPr>
          <w:rFonts w:cs="Times New Roman"/>
          <w:vertAlign w:val="superscript"/>
          <w:lang w:val="fr-CA"/>
        </w:rPr>
        <w:t>e</w:t>
      </w:r>
      <w:r w:rsidRPr="008675BA">
        <w:rPr>
          <w:rFonts w:cs="Times New Roman"/>
          <w:lang w:val="fr-CA"/>
        </w:rPr>
        <w:t> Salomon, compte tenu de leur nature et du moment où ils ont été faits, ne l’avaient pas non plus placé en situation de conflit d’intérêts (</w:t>
      </w:r>
      <w:r>
        <w:rPr>
          <w:rFonts w:cs="Times New Roman"/>
          <w:lang w:val="fr-CA"/>
        </w:rPr>
        <w:t>par. </w:t>
      </w:r>
      <w:r w:rsidRPr="008675BA">
        <w:rPr>
          <w:rFonts w:cs="Times New Roman"/>
          <w:lang w:val="fr-CA"/>
        </w:rPr>
        <w:t>157 et 164</w:t>
      </w:r>
      <w:r>
        <w:rPr>
          <w:rFonts w:cs="Times New Roman"/>
          <w:lang w:val="fr-CA"/>
        </w:rPr>
        <w:noBreakHyphen/>
      </w:r>
      <w:r w:rsidRPr="008675BA">
        <w:rPr>
          <w:rFonts w:cs="Times New Roman"/>
          <w:lang w:val="fr-CA"/>
        </w:rPr>
        <w:t>165). La juge du procès juge crédible l’explication qu’a donnée M</w:t>
      </w:r>
      <w:r w:rsidRPr="008675BA">
        <w:rPr>
          <w:rFonts w:cs="Times New Roman"/>
          <w:vertAlign w:val="superscript"/>
          <w:lang w:val="fr-CA"/>
        </w:rPr>
        <w:t>e</w:t>
      </w:r>
      <w:r w:rsidRPr="008675BA">
        <w:rPr>
          <w:rFonts w:cs="Times New Roman"/>
          <w:lang w:val="fr-CA"/>
        </w:rPr>
        <w:t> Salomon à l’égard des deux paiements de 10 000</w:t>
      </w:r>
      <w:r>
        <w:rPr>
          <w:rFonts w:cs="Times New Roman"/>
          <w:lang w:val="fr-CA"/>
        </w:rPr>
        <w:t> $</w:t>
      </w:r>
      <w:r w:rsidRPr="008675BA">
        <w:rPr>
          <w:rFonts w:cs="Times New Roman"/>
          <w:lang w:val="fr-CA"/>
        </w:rPr>
        <w:t xml:space="preserve"> que M. Papadopoulos a faits, respectivement le 16 mai et le 9 juin 2006, et du paiement additionnel de 8 000</w:t>
      </w:r>
      <w:r>
        <w:rPr>
          <w:rFonts w:cs="Times New Roman"/>
          <w:lang w:val="fr-CA"/>
        </w:rPr>
        <w:t> $</w:t>
      </w:r>
      <w:r w:rsidRPr="008675BA">
        <w:rPr>
          <w:rFonts w:cs="Times New Roman"/>
          <w:lang w:val="fr-CA"/>
        </w:rPr>
        <w:t xml:space="preserve"> effectué le 6 février 2007 (</w:t>
      </w:r>
      <w:r>
        <w:rPr>
          <w:rFonts w:cs="Times New Roman"/>
          <w:lang w:val="fr-CA"/>
        </w:rPr>
        <w:t>par. </w:t>
      </w:r>
      <w:r w:rsidRPr="008675BA">
        <w:rPr>
          <w:rFonts w:cs="Times New Roman"/>
          <w:lang w:val="fr-CA"/>
        </w:rPr>
        <w:t>143</w:t>
      </w:r>
      <w:r>
        <w:rPr>
          <w:rFonts w:cs="Times New Roman"/>
          <w:lang w:val="fr-CA"/>
        </w:rPr>
        <w:noBreakHyphen/>
      </w:r>
      <w:r w:rsidRPr="008675BA">
        <w:rPr>
          <w:rFonts w:cs="Times New Roman"/>
          <w:lang w:val="fr-CA"/>
        </w:rPr>
        <w:t>148). Comme nous l’avons vu, M</w:t>
      </w:r>
      <w:r w:rsidRPr="008675BA">
        <w:rPr>
          <w:rFonts w:cs="Times New Roman"/>
          <w:vertAlign w:val="superscript"/>
          <w:lang w:val="fr-CA"/>
        </w:rPr>
        <w:t>e</w:t>
      </w:r>
      <w:r w:rsidRPr="008675BA">
        <w:rPr>
          <w:rFonts w:cs="Times New Roman"/>
          <w:lang w:val="fr-CA"/>
        </w:rPr>
        <w:t> Salomon a déclaré que les paiements constituaient des dons pour la rénovation de son appartement, à une époque où il avait des difficultés financières. Il ressort de la preuve documentaire que les paiements ont transité par une société constituée par M</w:t>
      </w:r>
      <w:r w:rsidRPr="008675BA">
        <w:rPr>
          <w:rFonts w:cs="Times New Roman"/>
          <w:vertAlign w:val="superscript"/>
          <w:lang w:val="fr-CA"/>
        </w:rPr>
        <w:t>e</w:t>
      </w:r>
      <w:r w:rsidRPr="008675BA">
        <w:rPr>
          <w:rFonts w:cs="Times New Roman"/>
          <w:lang w:val="fr-CA"/>
        </w:rPr>
        <w:t> Salomon qui a établi des factures pour des services de « consultation financière ». M</w:t>
      </w:r>
      <w:r w:rsidR="00293FF7" w:rsidRPr="00293FF7">
        <w:rPr>
          <w:rFonts w:cs="Times New Roman"/>
          <w:vertAlign w:val="superscript"/>
          <w:lang w:val="fr-CA"/>
        </w:rPr>
        <w:t>e</w:t>
      </w:r>
      <w:r w:rsidRPr="008675BA">
        <w:rPr>
          <w:rFonts w:cs="Times New Roman"/>
          <w:lang w:val="fr-CA"/>
        </w:rPr>
        <w:t> Salomon a expliqué que ces services n’ont jamais été rendus. Contrairement à ce qu’affirme mon collègue, la juge du procès ne fait pas abstraction de cette preuve; elle en traite directement (</w:t>
      </w:r>
      <w:r>
        <w:rPr>
          <w:rFonts w:cs="Times New Roman"/>
          <w:lang w:val="fr-CA"/>
        </w:rPr>
        <w:t>par. </w:t>
      </w:r>
      <w:r w:rsidRPr="008675BA">
        <w:rPr>
          <w:rFonts w:cs="Times New Roman"/>
          <w:lang w:val="fr-CA"/>
        </w:rPr>
        <w:t xml:space="preserve">143). </w:t>
      </w:r>
    </w:p>
    <w:p w:rsidR="0041746D" w:rsidRPr="008675BA" w:rsidRDefault="0041746D" w:rsidP="0041746D">
      <w:pPr>
        <w:pStyle w:val="ParaNoNdepar-AltN"/>
        <w:rPr>
          <w:rFonts w:cs="Times New Roman"/>
          <w:lang w:val="fr-CA"/>
        </w:rPr>
      </w:pPr>
      <w:r w:rsidRPr="008675BA">
        <w:rPr>
          <w:rFonts w:cs="Times New Roman"/>
          <w:lang w:val="fr-CA"/>
        </w:rPr>
        <w:t>La juge du procès traite aussi des deux paiements subséquents de 5 000</w:t>
      </w:r>
      <w:r>
        <w:rPr>
          <w:rFonts w:cs="Times New Roman"/>
          <w:lang w:val="fr-CA"/>
        </w:rPr>
        <w:t> $</w:t>
      </w:r>
      <w:r w:rsidRPr="008675BA">
        <w:rPr>
          <w:rFonts w:cs="Times New Roman"/>
          <w:lang w:val="fr-CA"/>
        </w:rPr>
        <w:t xml:space="preserve"> chacun reçus par M</w:t>
      </w:r>
      <w:r w:rsidRPr="008675BA">
        <w:rPr>
          <w:rFonts w:cs="Times New Roman"/>
          <w:vertAlign w:val="superscript"/>
          <w:lang w:val="fr-CA"/>
        </w:rPr>
        <w:t>e</w:t>
      </w:r>
      <w:r w:rsidRPr="008675BA">
        <w:rPr>
          <w:rFonts w:cs="Times New Roman"/>
          <w:lang w:val="fr-CA"/>
        </w:rPr>
        <w:t> Salomon en octobre 2007, désignés sous le nom de « comms » — pour « commissions » — dans l’un des courriels de M. Papadopoulos (</w:t>
      </w:r>
      <w:r>
        <w:rPr>
          <w:rFonts w:cs="Times New Roman"/>
          <w:lang w:val="fr-CA"/>
        </w:rPr>
        <w:t>par. </w:t>
      </w:r>
      <w:r w:rsidRPr="008675BA">
        <w:rPr>
          <w:rFonts w:cs="Times New Roman"/>
          <w:lang w:val="fr-CA"/>
        </w:rPr>
        <w:t>151</w:t>
      </w:r>
      <w:r>
        <w:rPr>
          <w:rFonts w:cs="Times New Roman"/>
          <w:lang w:val="fr-CA"/>
        </w:rPr>
        <w:noBreakHyphen/>
      </w:r>
      <w:r w:rsidRPr="008675BA">
        <w:rPr>
          <w:rFonts w:cs="Times New Roman"/>
          <w:lang w:val="fr-CA"/>
        </w:rPr>
        <w:t xml:space="preserve">155; voir aussi les motifs de la C.A., </w:t>
      </w:r>
      <w:r>
        <w:rPr>
          <w:rFonts w:cs="Times New Roman"/>
          <w:lang w:val="fr-CA"/>
        </w:rPr>
        <w:t>par. </w:t>
      </w:r>
      <w:r w:rsidRPr="008675BA">
        <w:rPr>
          <w:rFonts w:cs="Times New Roman"/>
          <w:lang w:val="fr-CA"/>
        </w:rPr>
        <w:t>105</w:t>
      </w:r>
      <w:r>
        <w:rPr>
          <w:rFonts w:cs="Times New Roman"/>
          <w:lang w:val="fr-CA"/>
        </w:rPr>
        <w:noBreakHyphen/>
      </w:r>
      <w:r w:rsidRPr="008675BA">
        <w:rPr>
          <w:rFonts w:cs="Times New Roman"/>
          <w:lang w:val="fr-CA"/>
        </w:rPr>
        <w:t>107). Elle note que M</w:t>
      </w:r>
      <w:r w:rsidRPr="008675BA">
        <w:rPr>
          <w:rFonts w:cs="Times New Roman"/>
          <w:vertAlign w:val="superscript"/>
          <w:lang w:val="fr-CA"/>
        </w:rPr>
        <w:t>e</w:t>
      </w:r>
      <w:r w:rsidRPr="008675BA">
        <w:rPr>
          <w:rFonts w:cs="Times New Roman"/>
          <w:lang w:val="fr-CA"/>
        </w:rPr>
        <w:t> Salomon a soutenu que les paiements représentaient des remboursements de ses propres placements dans le fonds Focus et que, même en supposant qu’il s’agissait en fait de commissions, rien ne prouve qu’elles lui ont été versées parce qu’il a recommandé M. Papadopoulos aux intimées. Elle souligne surtout que les paiements reçus en octobre 2007 peuvent difficilement prouver que M</w:t>
      </w:r>
      <w:r w:rsidRPr="008675BA">
        <w:rPr>
          <w:rFonts w:cs="Times New Roman"/>
          <w:vertAlign w:val="superscript"/>
          <w:lang w:val="fr-CA"/>
        </w:rPr>
        <w:t>e</w:t>
      </w:r>
      <w:r w:rsidRPr="008675BA">
        <w:rPr>
          <w:rFonts w:cs="Times New Roman"/>
          <w:lang w:val="fr-CA"/>
        </w:rPr>
        <w:t xml:space="preserve"> Salomon a reçu des commissions lorsqu’il a pour la première fois </w:t>
      </w:r>
      <w:r>
        <w:rPr>
          <w:rFonts w:cs="Times New Roman"/>
          <w:lang w:val="fr-CA"/>
        </w:rPr>
        <w:t>dirig</w:t>
      </w:r>
      <w:r w:rsidRPr="008675BA">
        <w:rPr>
          <w:rFonts w:cs="Times New Roman"/>
          <w:lang w:val="fr-CA"/>
        </w:rPr>
        <w:t xml:space="preserve">é les intimées vers Triglobal en 2003, ou lorsque les intimées ont </w:t>
      </w:r>
      <w:r w:rsidRPr="008675BA">
        <w:rPr>
          <w:rFonts w:cs="Times New Roman"/>
          <w:lang w:val="fr-CA"/>
        </w:rPr>
        <w:lastRenderedPageBreak/>
        <w:t>investi dans le fonds Focus en 2005 et en 2006. Ils ne permettent pas non plus de prouver que les « cadeaux » reçus en 2006 étaient des commissions. Il n’y a rien de « manifestement erron</w:t>
      </w:r>
      <w:r w:rsidR="00A113B4">
        <w:rPr>
          <w:rFonts w:cs="Times New Roman"/>
          <w:lang w:val="fr-CA"/>
        </w:rPr>
        <w:t>[</w:t>
      </w:r>
      <w:r w:rsidRPr="008675BA">
        <w:rPr>
          <w:rFonts w:cs="Times New Roman"/>
          <w:lang w:val="fr-CA"/>
        </w:rPr>
        <w:t>é</w:t>
      </w:r>
      <w:r w:rsidR="00A113B4">
        <w:rPr>
          <w:rFonts w:cs="Times New Roman"/>
          <w:lang w:val="fr-CA"/>
        </w:rPr>
        <w:t>]</w:t>
      </w:r>
      <w:r w:rsidRPr="008675BA">
        <w:rPr>
          <w:rFonts w:cs="Times New Roman"/>
          <w:lang w:val="fr-CA"/>
        </w:rPr>
        <w:t xml:space="preserve"> » dans ce raisonnement (voir motifs du juge Gascon, </w:t>
      </w:r>
      <w:r>
        <w:rPr>
          <w:rFonts w:cs="Times New Roman"/>
          <w:lang w:val="fr-CA"/>
        </w:rPr>
        <w:t>par. </w:t>
      </w:r>
      <w:r w:rsidRPr="008675BA">
        <w:rPr>
          <w:rFonts w:cs="Times New Roman"/>
          <w:lang w:val="fr-CA"/>
        </w:rPr>
        <w:t>77).</w:t>
      </w:r>
    </w:p>
    <w:p w:rsidR="0041746D" w:rsidRPr="008675BA" w:rsidRDefault="0041746D" w:rsidP="0041746D">
      <w:pPr>
        <w:pStyle w:val="ParaNoNdepar-AltN"/>
        <w:rPr>
          <w:rFonts w:cs="Times New Roman"/>
          <w:lang w:val="fr-CA"/>
        </w:rPr>
      </w:pPr>
      <w:r w:rsidRPr="008675BA">
        <w:rPr>
          <w:rFonts w:cs="Times New Roman"/>
          <w:lang w:val="fr-CA"/>
        </w:rPr>
        <w:t>À cet égard, je ne suis pas d’accord pour dire que la juge du procès commet une erreur lorsqu’elle affirme qu’il n’y a pas de preuve précise de l’existence d’un lien financier entre M</w:t>
      </w:r>
      <w:r w:rsidRPr="008675BA">
        <w:rPr>
          <w:rFonts w:cs="Times New Roman"/>
          <w:vertAlign w:val="superscript"/>
          <w:lang w:val="fr-CA"/>
        </w:rPr>
        <w:t>e</w:t>
      </w:r>
      <w:r w:rsidRPr="008675BA">
        <w:rPr>
          <w:rFonts w:cs="Times New Roman"/>
          <w:lang w:val="fr-CA"/>
        </w:rPr>
        <w:t> Salomon et M. Papadopoulos qui plaçait M</w:t>
      </w:r>
      <w:r w:rsidRPr="008675BA">
        <w:rPr>
          <w:rFonts w:cs="Times New Roman"/>
          <w:vertAlign w:val="superscript"/>
          <w:lang w:val="fr-CA"/>
        </w:rPr>
        <w:t>e</w:t>
      </w:r>
      <w:r w:rsidRPr="008675BA">
        <w:rPr>
          <w:rFonts w:cs="Times New Roman"/>
          <w:lang w:val="fr-CA"/>
        </w:rPr>
        <w:t> Salomon en conflit d’intérêts au moment où les placements des intimées ont été faits (</w:t>
      </w:r>
      <w:r>
        <w:rPr>
          <w:rFonts w:cs="Times New Roman"/>
          <w:lang w:val="fr-CA"/>
        </w:rPr>
        <w:t>par. </w:t>
      </w:r>
      <w:r w:rsidRPr="008675BA">
        <w:rPr>
          <w:rFonts w:cs="Times New Roman"/>
          <w:lang w:val="fr-CA"/>
        </w:rPr>
        <w:t>155, 160 et 163). En disant cela, elle refuse simplement d’inférer, à partir du fait que M</w:t>
      </w:r>
      <w:r w:rsidRPr="008675BA">
        <w:rPr>
          <w:rFonts w:cs="Times New Roman"/>
          <w:vertAlign w:val="superscript"/>
          <w:lang w:val="fr-CA"/>
        </w:rPr>
        <w:t>e</w:t>
      </w:r>
      <w:r w:rsidRPr="008675BA">
        <w:rPr>
          <w:rFonts w:cs="Times New Roman"/>
          <w:lang w:val="fr-CA"/>
        </w:rPr>
        <w:t> Salomon a reçu des versements de M. Papadopoulos en octobre 2007, que M</w:t>
      </w:r>
      <w:r w:rsidRPr="008675BA">
        <w:rPr>
          <w:rFonts w:cs="Times New Roman"/>
          <w:vertAlign w:val="superscript"/>
          <w:lang w:val="fr-CA"/>
        </w:rPr>
        <w:t>e</w:t>
      </w:r>
      <w:r w:rsidRPr="008675BA">
        <w:rPr>
          <w:rFonts w:cs="Times New Roman"/>
          <w:lang w:val="fr-CA"/>
        </w:rPr>
        <w:t xml:space="preserve"> Salomon était en conflit d’intérêts à tous les moments pertinents, y compris au moment de la recommandation initiale quatre ans plus tôt (motifs de première instance, </w:t>
      </w:r>
      <w:r>
        <w:rPr>
          <w:rFonts w:cs="Times New Roman"/>
          <w:lang w:val="fr-CA"/>
        </w:rPr>
        <w:t>par. </w:t>
      </w:r>
      <w:r w:rsidRPr="008675BA">
        <w:rPr>
          <w:rFonts w:cs="Times New Roman"/>
          <w:lang w:val="fr-CA"/>
        </w:rPr>
        <w:t xml:space="preserve">156). La décision de refuser de tirer une inférence relève entièrement du juge des faits (voir </w:t>
      </w:r>
      <w:r w:rsidRPr="008675BA">
        <w:rPr>
          <w:rFonts w:cs="Times New Roman"/>
          <w:i/>
          <w:lang w:val="fr-CA"/>
        </w:rPr>
        <w:t>St</w:t>
      </w:r>
      <w:r>
        <w:rPr>
          <w:rFonts w:cs="Times New Roman"/>
          <w:i/>
          <w:lang w:val="fr-CA"/>
        </w:rPr>
        <w:noBreakHyphen/>
      </w:r>
      <w:r w:rsidRPr="008675BA">
        <w:rPr>
          <w:rFonts w:cs="Times New Roman"/>
          <w:i/>
          <w:lang w:val="fr-CA"/>
        </w:rPr>
        <w:t>Jean</w:t>
      </w:r>
      <w:r w:rsidRPr="008675BA">
        <w:rPr>
          <w:rFonts w:cs="Times New Roman"/>
          <w:lang w:val="fr-CA"/>
        </w:rPr>
        <w:t xml:space="preserve">, </w:t>
      </w:r>
      <w:r>
        <w:rPr>
          <w:rFonts w:cs="Times New Roman"/>
          <w:lang w:val="fr-CA"/>
        </w:rPr>
        <w:t>par. </w:t>
      </w:r>
      <w:r w:rsidRPr="008675BA">
        <w:rPr>
          <w:rFonts w:cs="Times New Roman"/>
          <w:lang w:val="fr-CA"/>
        </w:rPr>
        <w:t xml:space="preserve">114; </w:t>
      </w:r>
      <w:r w:rsidRPr="008675BA">
        <w:rPr>
          <w:rFonts w:cs="Times New Roman"/>
          <w:i/>
          <w:lang w:val="fr-CA"/>
        </w:rPr>
        <w:t>F.H. c.</w:t>
      </w:r>
      <w:r w:rsidRPr="008675BA">
        <w:rPr>
          <w:rFonts w:cs="Times New Roman"/>
          <w:lang w:val="fr-CA"/>
        </w:rPr>
        <w:t xml:space="preserve"> </w:t>
      </w:r>
      <w:r w:rsidRPr="008675BA">
        <w:rPr>
          <w:rFonts w:cs="Times New Roman"/>
          <w:i/>
          <w:lang w:val="fr-CA"/>
        </w:rPr>
        <w:t>McDougall</w:t>
      </w:r>
      <w:r w:rsidRPr="008675BA">
        <w:rPr>
          <w:rFonts w:cs="Times New Roman"/>
          <w:lang w:val="fr-CA"/>
        </w:rPr>
        <w:t>, 2008 CSC 53, [2008] 3 R.C.S. 4</w:t>
      </w:r>
      <w:r>
        <w:rPr>
          <w:rFonts w:cs="Times New Roman"/>
          <w:lang w:val="fr-CA"/>
        </w:rPr>
        <w:t>1</w:t>
      </w:r>
      <w:r w:rsidRPr="008675BA">
        <w:rPr>
          <w:rFonts w:cs="Times New Roman"/>
          <w:lang w:val="fr-CA"/>
        </w:rPr>
        <w:t xml:space="preserve">, </w:t>
      </w:r>
      <w:r>
        <w:rPr>
          <w:rFonts w:cs="Times New Roman"/>
          <w:lang w:val="fr-CA"/>
        </w:rPr>
        <w:t>par. </w:t>
      </w:r>
      <w:r w:rsidRPr="008675BA">
        <w:rPr>
          <w:rFonts w:cs="Times New Roman"/>
          <w:lang w:val="fr-CA"/>
        </w:rPr>
        <w:t xml:space="preserve">55; </w:t>
      </w:r>
      <w:r w:rsidRPr="008675BA">
        <w:rPr>
          <w:rFonts w:cs="Times New Roman"/>
          <w:i/>
          <w:lang w:val="fr-CA"/>
        </w:rPr>
        <w:t>Benhaim</w:t>
      </w:r>
      <w:r w:rsidRPr="008675BA">
        <w:rPr>
          <w:rFonts w:cs="Times New Roman"/>
          <w:lang w:val="fr-CA"/>
        </w:rPr>
        <w:t xml:space="preserve">, </w:t>
      </w:r>
      <w:r>
        <w:rPr>
          <w:rFonts w:cs="Times New Roman"/>
          <w:lang w:val="fr-CA"/>
        </w:rPr>
        <w:t>par. </w:t>
      </w:r>
      <w:r w:rsidRPr="008675BA">
        <w:rPr>
          <w:rFonts w:cs="Times New Roman"/>
          <w:lang w:val="fr-CA"/>
        </w:rPr>
        <w:t>93</w:t>
      </w:r>
      <w:r>
        <w:rPr>
          <w:rFonts w:cs="Times New Roman"/>
          <w:lang w:val="fr-CA"/>
        </w:rPr>
        <w:noBreakHyphen/>
      </w:r>
      <w:r w:rsidRPr="008675BA">
        <w:rPr>
          <w:rFonts w:cs="Times New Roman"/>
          <w:lang w:val="fr-CA"/>
        </w:rPr>
        <w:t>94).</w:t>
      </w:r>
    </w:p>
    <w:p w:rsidR="0041746D" w:rsidRPr="008675BA" w:rsidRDefault="0041746D" w:rsidP="0041746D">
      <w:pPr>
        <w:pStyle w:val="ParaNoNdepar-AltN"/>
        <w:tabs>
          <w:tab w:val="clear" w:pos="1152"/>
          <w:tab w:val="left" w:pos="1166"/>
        </w:tabs>
        <w:rPr>
          <w:rFonts w:cs="Times New Roman"/>
          <w:lang w:val="fr-CA"/>
        </w:rPr>
      </w:pPr>
      <w:r w:rsidRPr="008675BA">
        <w:rPr>
          <w:rFonts w:cs="Times New Roman"/>
          <w:lang w:val="fr-CA"/>
        </w:rPr>
        <w:t xml:space="preserve">Bref, je reconnais que la description par la juge du procès des paiements faits en mai et juin 2006 comme étant des cadeaux personnels repose sur une appréciation raisonnable de la preuve contradictoire, notamment de témoignages oraux qu’elle juge crédibles. Comme notre Cour le réitère dans </w:t>
      </w:r>
      <w:r w:rsidRPr="008675BA">
        <w:rPr>
          <w:rFonts w:cs="Times New Roman"/>
          <w:i/>
          <w:lang w:val="fr-CA"/>
        </w:rPr>
        <w:t>Housen</w:t>
      </w:r>
      <w:r w:rsidRPr="008675BA">
        <w:rPr>
          <w:rFonts w:cs="Times New Roman"/>
          <w:lang w:val="fr-CA"/>
        </w:rPr>
        <w:t xml:space="preserve">, </w:t>
      </w:r>
      <w:r>
        <w:rPr>
          <w:rFonts w:cs="Times New Roman"/>
          <w:lang w:val="fr-CA"/>
        </w:rPr>
        <w:t>par. </w:t>
      </w:r>
      <w:r w:rsidRPr="008675BA">
        <w:rPr>
          <w:rFonts w:cs="Times New Roman"/>
          <w:lang w:val="fr-CA"/>
        </w:rPr>
        <w:t>58, « il était loisible [au juge de première instance] d’accorder un poids moins grand à certains éléments de preuve et à accepter d’autres éléments contradictoires, qu’il considérait plus convaincants ». Le fait que la Cour d’appel aurait apprécié différemment la preuve ou tiré des inférences différentes ne justifie pas son intervention.</w:t>
      </w:r>
    </w:p>
    <w:p w:rsidR="0041746D" w:rsidRPr="008675BA" w:rsidRDefault="0041746D" w:rsidP="0041746D">
      <w:pPr>
        <w:pStyle w:val="ParaNoNdepar-AltN"/>
        <w:rPr>
          <w:rFonts w:cs="Times New Roman"/>
          <w:lang w:val="fr-CA"/>
        </w:rPr>
      </w:pPr>
      <w:r w:rsidRPr="008675BA">
        <w:rPr>
          <w:rFonts w:cs="Times New Roman"/>
          <w:lang w:val="fr-CA"/>
        </w:rPr>
        <w:lastRenderedPageBreak/>
        <w:t>Cela dit, même si les paiements n’étaient pas des commissions, je souscris à l’opinion de mon collègue selon laquelle la réception d’un cadeau personnel, plus particulièrement d’un cadeau de près de 30 000</w:t>
      </w:r>
      <w:r>
        <w:rPr>
          <w:rFonts w:cs="Times New Roman"/>
          <w:lang w:val="fr-CA"/>
        </w:rPr>
        <w:t> $</w:t>
      </w:r>
      <w:r w:rsidRPr="008675BA">
        <w:rPr>
          <w:rFonts w:cs="Times New Roman"/>
          <w:lang w:val="fr-CA"/>
        </w:rPr>
        <w:t xml:space="preserve"> qui n’a pas été divulgué, peut soulever « de sérieux doutes quant à l’i</w:t>
      </w:r>
      <w:r w:rsidR="00234067">
        <w:rPr>
          <w:rFonts w:cs="Times New Roman"/>
          <w:lang w:val="fr-CA"/>
        </w:rPr>
        <w:t>ndépendance de l’avocat qui [l’</w:t>
      </w:r>
      <w:r w:rsidRPr="008675BA">
        <w:rPr>
          <w:rFonts w:cs="Times New Roman"/>
          <w:lang w:val="fr-CA"/>
        </w:rPr>
        <w:t>a</w:t>
      </w:r>
      <w:r w:rsidR="00234067">
        <w:rPr>
          <w:rFonts w:cs="Times New Roman"/>
          <w:lang w:val="fr-CA"/>
        </w:rPr>
        <w:t>]</w:t>
      </w:r>
      <w:r w:rsidRPr="008675BA">
        <w:rPr>
          <w:rFonts w:cs="Times New Roman"/>
          <w:lang w:val="fr-CA"/>
        </w:rPr>
        <w:t xml:space="preserve"> reç[u] » (</w:t>
      </w:r>
      <w:r>
        <w:rPr>
          <w:rFonts w:cs="Times New Roman"/>
          <w:lang w:val="fr-CA"/>
        </w:rPr>
        <w:t>par. </w:t>
      </w:r>
      <w:r w:rsidRPr="008675BA">
        <w:rPr>
          <w:rFonts w:cs="Times New Roman"/>
          <w:lang w:val="fr-CA"/>
        </w:rPr>
        <w:t>77). Encore une fois, tout dépend des circonstances. En l’espèce, M</w:t>
      </w:r>
      <w:r w:rsidRPr="008675BA">
        <w:rPr>
          <w:rFonts w:cs="Times New Roman"/>
          <w:vertAlign w:val="superscript"/>
          <w:lang w:val="fr-CA"/>
        </w:rPr>
        <w:t>e</w:t>
      </w:r>
      <w:r w:rsidRPr="008675BA">
        <w:rPr>
          <w:rFonts w:cs="Times New Roman"/>
          <w:lang w:val="fr-CA"/>
        </w:rPr>
        <w:t> Salomon a reçu les cadeaux en mai et juin 2006, période au cours de laquelle il n’avait aucun mandat précis à l’égard des investissements. Il est vrai que dans les mois suivants, il a agi à l’occasion comme « intermédiaire » entre les intimées et Triglobal, mais son rôle était néanmoins limité et il n’avait aucune obligation de vérifier les placements. De plus, d’autres avocats étaient en cause et conseillaient les intimées au sujet de leur stratégie de placement. En fait, quand les intimées ont décidé de retirer graduellement leurs fonds de Triglobal, M</w:t>
      </w:r>
      <w:r w:rsidRPr="008675BA">
        <w:rPr>
          <w:rFonts w:cs="Times New Roman"/>
          <w:vertAlign w:val="superscript"/>
          <w:lang w:val="fr-CA"/>
        </w:rPr>
        <w:t>e</w:t>
      </w:r>
      <w:r w:rsidRPr="008675BA">
        <w:rPr>
          <w:rFonts w:cs="Times New Roman"/>
          <w:lang w:val="fr-CA"/>
        </w:rPr>
        <w:t> Salomon a été en grande partie gardé à l’éc</w:t>
      </w:r>
      <w:r>
        <w:rPr>
          <w:rFonts w:cs="Times New Roman"/>
          <w:lang w:val="fr-CA"/>
        </w:rPr>
        <w:t>art. </w:t>
      </w:r>
      <w:r w:rsidRPr="008675BA">
        <w:rPr>
          <w:rFonts w:cs="Times New Roman"/>
          <w:lang w:val="fr-CA"/>
        </w:rPr>
        <w:t>Bien que je sois d’accord que M</w:t>
      </w:r>
      <w:r w:rsidRPr="008675BA">
        <w:rPr>
          <w:rFonts w:cs="Times New Roman"/>
          <w:vertAlign w:val="superscript"/>
          <w:lang w:val="fr-CA"/>
        </w:rPr>
        <w:t>e</w:t>
      </w:r>
      <w:r w:rsidRPr="008675BA">
        <w:rPr>
          <w:rFonts w:cs="Times New Roman"/>
          <w:lang w:val="fr-CA"/>
        </w:rPr>
        <w:t xml:space="preserve"> Salomon aurait dû faire preuve de plus de transparence au sujet des cadeaux que M. Papadopoulos lui a faits, je suis néanmoins convaincue, compte tenu de toutes les circonstances pertinentes, que la Cour d’appel ne relève pas d’erreur révisable à cet égard. </w:t>
      </w:r>
    </w:p>
    <w:p w:rsidR="0041746D" w:rsidRPr="008675BA" w:rsidRDefault="0041746D" w:rsidP="0041746D">
      <w:pPr>
        <w:pStyle w:val="ParaNoNdepar-AltN"/>
        <w:tabs>
          <w:tab w:val="clear" w:pos="1152"/>
          <w:tab w:val="left" w:pos="1166"/>
        </w:tabs>
        <w:rPr>
          <w:rFonts w:cs="Times New Roman"/>
          <w:lang w:val="fr-CA"/>
        </w:rPr>
      </w:pPr>
      <w:r w:rsidRPr="008675BA">
        <w:rPr>
          <w:rFonts w:cs="Times New Roman"/>
          <w:lang w:val="fr-CA"/>
        </w:rPr>
        <w:t xml:space="preserve">Je reconnais que la juge du procès ne traite pas de certains aspects de la relation </w:t>
      </w:r>
      <w:r w:rsidRPr="008675BA">
        <w:rPr>
          <w:rFonts w:cs="Times New Roman"/>
          <w:i/>
          <w:lang w:val="fr-CA"/>
        </w:rPr>
        <w:t>professionnelle</w:t>
      </w:r>
      <w:r w:rsidRPr="008675BA">
        <w:rPr>
          <w:rFonts w:cs="Times New Roman"/>
          <w:lang w:val="fr-CA"/>
        </w:rPr>
        <w:t xml:space="preserve"> qui unissait M</w:t>
      </w:r>
      <w:r w:rsidRPr="008675BA">
        <w:rPr>
          <w:rFonts w:cs="Times New Roman"/>
          <w:vertAlign w:val="superscript"/>
          <w:lang w:val="fr-CA"/>
        </w:rPr>
        <w:t>e</w:t>
      </w:r>
      <w:r w:rsidRPr="008675BA">
        <w:rPr>
          <w:rFonts w:cs="Times New Roman"/>
          <w:lang w:val="fr-CA"/>
        </w:rPr>
        <w:t> Salomon et M. Papadopoulos, en particulier la divulgation par M</w:t>
      </w:r>
      <w:r w:rsidRPr="008675BA">
        <w:rPr>
          <w:rFonts w:cs="Times New Roman"/>
          <w:vertAlign w:val="superscript"/>
          <w:lang w:val="fr-CA"/>
        </w:rPr>
        <w:t>e</w:t>
      </w:r>
      <w:r w:rsidRPr="008675BA">
        <w:rPr>
          <w:rFonts w:cs="Times New Roman"/>
          <w:lang w:val="fr-CA"/>
        </w:rPr>
        <w:t> Salomon de communications qu’il a eues avec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 xml:space="preserve">Thompson (motifs de la C.A., </w:t>
      </w:r>
      <w:r>
        <w:rPr>
          <w:rFonts w:cs="Times New Roman"/>
          <w:lang w:val="fr-CA"/>
        </w:rPr>
        <w:t>par. </w:t>
      </w:r>
      <w:r w:rsidRPr="008675BA">
        <w:rPr>
          <w:rFonts w:cs="Times New Roman"/>
          <w:lang w:val="fr-CA"/>
        </w:rPr>
        <w:t>87 et 101</w:t>
      </w:r>
      <w:r>
        <w:rPr>
          <w:rFonts w:cs="Times New Roman"/>
          <w:lang w:val="fr-CA"/>
        </w:rPr>
        <w:noBreakHyphen/>
      </w:r>
      <w:r w:rsidRPr="008675BA">
        <w:rPr>
          <w:rFonts w:cs="Times New Roman"/>
          <w:lang w:val="fr-CA"/>
        </w:rPr>
        <w:t xml:space="preserve">103; motifs du juge Gascon, </w:t>
      </w:r>
      <w:r>
        <w:rPr>
          <w:rFonts w:cs="Times New Roman"/>
          <w:lang w:val="fr-CA"/>
        </w:rPr>
        <w:t>par. </w:t>
      </w:r>
      <w:r w:rsidRPr="008675BA">
        <w:rPr>
          <w:rFonts w:cs="Times New Roman"/>
          <w:lang w:val="fr-CA"/>
        </w:rPr>
        <w:t>70 et 73) et le fait que M</w:t>
      </w:r>
      <w:r w:rsidRPr="008675BA">
        <w:rPr>
          <w:rFonts w:cs="Times New Roman"/>
          <w:vertAlign w:val="superscript"/>
          <w:lang w:val="fr-CA"/>
        </w:rPr>
        <w:t>e</w:t>
      </w:r>
      <w:r w:rsidRPr="008675BA">
        <w:rPr>
          <w:rFonts w:cs="Times New Roman"/>
          <w:lang w:val="fr-CA"/>
        </w:rPr>
        <w:t xml:space="preserve"> Salomon a collaboré avec M. Papadopoulos et Triglobal à au moins une occasion (motifs de la C.A., </w:t>
      </w:r>
      <w:r>
        <w:rPr>
          <w:rFonts w:cs="Times New Roman"/>
          <w:lang w:val="fr-CA"/>
        </w:rPr>
        <w:t>par. </w:t>
      </w:r>
      <w:r w:rsidRPr="008675BA">
        <w:rPr>
          <w:rFonts w:cs="Times New Roman"/>
          <w:lang w:val="fr-CA"/>
        </w:rPr>
        <w:t>98</w:t>
      </w:r>
      <w:r>
        <w:rPr>
          <w:rFonts w:cs="Times New Roman"/>
          <w:lang w:val="fr-CA"/>
        </w:rPr>
        <w:noBreakHyphen/>
      </w:r>
      <w:r w:rsidRPr="008675BA">
        <w:rPr>
          <w:rFonts w:cs="Times New Roman"/>
          <w:lang w:val="fr-CA"/>
        </w:rPr>
        <w:t xml:space="preserve">100; motifs du juge Gascon, </w:t>
      </w:r>
      <w:r>
        <w:rPr>
          <w:rFonts w:cs="Times New Roman"/>
          <w:lang w:val="fr-CA"/>
        </w:rPr>
        <w:t>par. </w:t>
      </w:r>
      <w:r w:rsidRPr="008675BA">
        <w:rPr>
          <w:rFonts w:cs="Times New Roman"/>
          <w:lang w:val="fr-CA"/>
        </w:rPr>
        <w:t>74</w:t>
      </w:r>
      <w:r>
        <w:rPr>
          <w:rFonts w:cs="Times New Roman"/>
          <w:lang w:val="fr-CA"/>
        </w:rPr>
        <w:noBreakHyphen/>
      </w:r>
      <w:r w:rsidRPr="008675BA">
        <w:rPr>
          <w:rFonts w:cs="Times New Roman"/>
          <w:lang w:val="fr-CA"/>
        </w:rPr>
        <w:t xml:space="preserve">75). Toutefois, comme le soulignent les juges majoritaires de notre Cour dans </w:t>
      </w:r>
      <w:r w:rsidRPr="008675BA">
        <w:rPr>
          <w:rFonts w:cs="Times New Roman"/>
          <w:i/>
          <w:lang w:val="fr-CA"/>
        </w:rPr>
        <w:t>Housen</w:t>
      </w:r>
      <w:r w:rsidRPr="008675BA">
        <w:rPr>
          <w:rFonts w:cs="Times New Roman"/>
          <w:lang w:val="fr-CA"/>
        </w:rPr>
        <w:t xml:space="preserve">, « l’omission d’examiner en profondeur un facteur pertinent, voire ne pas </w:t>
      </w:r>
      <w:r w:rsidRPr="008675BA">
        <w:rPr>
          <w:rFonts w:cs="Times New Roman"/>
          <w:lang w:val="fr-CA"/>
        </w:rPr>
        <w:lastRenderedPageBreak/>
        <w:t>l’examiner du tout, n’est pas en soi un fondement suffisant pour justifier une cour d’appel de réexaminer la preuve » (</w:t>
      </w:r>
      <w:r>
        <w:rPr>
          <w:rFonts w:cs="Times New Roman"/>
          <w:lang w:val="fr-CA"/>
        </w:rPr>
        <w:t>par. </w:t>
      </w:r>
      <w:r w:rsidRPr="008675BA">
        <w:rPr>
          <w:rFonts w:cs="Times New Roman"/>
          <w:lang w:val="fr-CA"/>
        </w:rPr>
        <w:t>39). Un juge de première instance n’est pas tenu de traiter en détail de chaque fait particulier allégué par les parties ou de chaque élément de preuve. La question en l’espèce n’est pas de savoir si la juge du procès écarte des éléments que la Cour d’appel (ou notre Cour) estime importants, mais plutôt si de telles omissions auraient pu avoir une incidence sur ses conclusions (</w:t>
      </w:r>
      <w:r w:rsidRPr="008675BA">
        <w:rPr>
          <w:rFonts w:cs="Times New Roman"/>
          <w:i/>
          <w:lang w:val="fr-CA"/>
        </w:rPr>
        <w:t>Van de Perre</w:t>
      </w:r>
      <w:r w:rsidRPr="008675BA">
        <w:rPr>
          <w:rFonts w:cs="Times New Roman"/>
          <w:lang w:val="fr-CA"/>
        </w:rPr>
        <w:t xml:space="preserve">, </w:t>
      </w:r>
      <w:r>
        <w:rPr>
          <w:rFonts w:cs="Times New Roman"/>
          <w:lang w:val="fr-CA"/>
        </w:rPr>
        <w:t>par. </w:t>
      </w:r>
      <w:r w:rsidRPr="008675BA">
        <w:rPr>
          <w:rFonts w:cs="Times New Roman"/>
          <w:lang w:val="fr-CA"/>
        </w:rPr>
        <w:t xml:space="preserve">15; </w:t>
      </w:r>
      <w:r w:rsidRPr="008675BA">
        <w:rPr>
          <w:rFonts w:cs="Times New Roman"/>
          <w:i/>
          <w:lang w:val="fr-CA"/>
        </w:rPr>
        <w:t>Housen</w:t>
      </w:r>
      <w:r w:rsidRPr="008675BA">
        <w:rPr>
          <w:rFonts w:cs="Times New Roman"/>
          <w:lang w:val="fr-CA"/>
        </w:rPr>
        <w:t xml:space="preserve">, </w:t>
      </w:r>
      <w:r>
        <w:rPr>
          <w:rFonts w:cs="Times New Roman"/>
          <w:lang w:val="fr-CA"/>
        </w:rPr>
        <w:t>par. </w:t>
      </w:r>
      <w:r w:rsidRPr="008675BA">
        <w:rPr>
          <w:rFonts w:cs="Times New Roman"/>
          <w:lang w:val="fr-CA"/>
        </w:rPr>
        <w:t>72). À mon avis, elles n’ont pas eu une telle incidence.</w:t>
      </w:r>
    </w:p>
    <w:p w:rsidR="0041746D" w:rsidRPr="008675BA" w:rsidRDefault="0041746D" w:rsidP="0041746D">
      <w:pPr>
        <w:pStyle w:val="ParaNoNdepar-AltN"/>
        <w:rPr>
          <w:rFonts w:cs="Times New Roman"/>
          <w:lang w:val="fr-CA"/>
        </w:rPr>
      </w:pPr>
      <w:r w:rsidRPr="008675BA">
        <w:rPr>
          <w:rFonts w:cs="Times New Roman"/>
          <w:lang w:val="fr-CA"/>
        </w:rPr>
        <w:t>S’il est vrai que les indiscrétions de M</w:t>
      </w:r>
      <w:r w:rsidRPr="008675BA">
        <w:rPr>
          <w:rFonts w:cs="Times New Roman"/>
          <w:vertAlign w:val="superscript"/>
          <w:lang w:val="fr-CA"/>
        </w:rPr>
        <w:t>e</w:t>
      </w:r>
      <w:r w:rsidRPr="008675BA">
        <w:rPr>
          <w:rFonts w:cs="Times New Roman"/>
          <w:lang w:val="fr-CA"/>
        </w:rPr>
        <w:t> Salomon peuvent équivaloir à des manquements à son devoir de confidentialité prévu dans les règles d’éthique professionnelle applicables, je ne suis pas convaincue qu’elles démontrent que M</w:t>
      </w:r>
      <w:r w:rsidRPr="008675BA">
        <w:rPr>
          <w:rFonts w:cs="Times New Roman"/>
          <w:vertAlign w:val="superscript"/>
          <w:lang w:val="fr-CA"/>
        </w:rPr>
        <w:t>e</w:t>
      </w:r>
      <w:r w:rsidRPr="008675BA">
        <w:rPr>
          <w:rFonts w:cs="Times New Roman"/>
          <w:lang w:val="fr-CA"/>
        </w:rPr>
        <w:t> Salomon était en conflit d’intérêts à tous les moments pertinents. J’attirerais l’attention par exemple sur la conclusion de la juge du procès selon laquelle lorsque M</w:t>
      </w:r>
      <w:r w:rsidRPr="008675BA">
        <w:rPr>
          <w:rFonts w:cs="Times New Roman"/>
          <w:vertAlign w:val="superscript"/>
          <w:lang w:val="fr-CA"/>
        </w:rPr>
        <w:t>e</w:t>
      </w:r>
      <w:r w:rsidRPr="008675BA">
        <w:rPr>
          <w:rFonts w:cs="Times New Roman"/>
          <w:lang w:val="fr-CA"/>
        </w:rPr>
        <w:t> Salomon a fait part à M. Papadopoulos des préoccupations de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en avril 2006, il faisait simplement [</w:t>
      </w:r>
      <w:r w:rsidRPr="008675BA">
        <w:rPr>
          <w:rFonts w:cs="Times New Roman"/>
          <w:smallCaps/>
          <w:lang w:val="fr-CA"/>
        </w:rPr>
        <w:t>traduction</w:t>
      </w:r>
      <w:r w:rsidRPr="008675BA">
        <w:rPr>
          <w:rFonts w:cs="Times New Roman"/>
          <w:lang w:val="fr-CA"/>
        </w:rPr>
        <w:t>] « de son mieux » pour inciter M. Papadopoulos à répondre aux questions de sa cliente (</w:t>
      </w:r>
      <w:r>
        <w:rPr>
          <w:rFonts w:cs="Times New Roman"/>
          <w:lang w:val="fr-CA"/>
        </w:rPr>
        <w:t>par. </w:t>
      </w:r>
      <w:r w:rsidRPr="008675BA">
        <w:rPr>
          <w:rFonts w:cs="Times New Roman"/>
          <w:lang w:val="fr-CA"/>
        </w:rPr>
        <w:t>228 et 299). Comme il n’a pas obtenu l’autorisation de cette dernière pour ce faire, sa tentative était certes peu judicieuse, mais elle ne trahit pas nécessairement un conflit d’intérêts. De même, pour ce qui est du transfert du courriel d’août 2007 concernant l’intention des intimées de se retirer complètement des fonds iVest et Focus, je conviens que ce geste de M</w:t>
      </w:r>
      <w:r w:rsidRPr="008675BA">
        <w:rPr>
          <w:rFonts w:cs="Times New Roman"/>
          <w:vertAlign w:val="superscript"/>
          <w:lang w:val="fr-CA"/>
        </w:rPr>
        <w:t>e</w:t>
      </w:r>
      <w:r w:rsidRPr="008675BA">
        <w:rPr>
          <w:rFonts w:cs="Times New Roman"/>
          <w:lang w:val="fr-CA"/>
        </w:rPr>
        <w:t> Salomon semble constituer un manquement grave à ses devoirs de loyauté et de confidentialité à l’égard de ses clientes. Comme je l’ai déjà expliqué, je serais portée à conclure que la conduite de M</w:t>
      </w:r>
      <w:r w:rsidRPr="008675BA">
        <w:rPr>
          <w:rFonts w:cs="Times New Roman"/>
          <w:vertAlign w:val="superscript"/>
          <w:lang w:val="fr-CA"/>
        </w:rPr>
        <w:t>e</w:t>
      </w:r>
      <w:r w:rsidRPr="008675BA">
        <w:rPr>
          <w:rFonts w:cs="Times New Roman"/>
          <w:lang w:val="fr-CA"/>
        </w:rPr>
        <w:t xml:space="preserve"> Salomon après la publication de l’article de </w:t>
      </w:r>
      <w:r w:rsidRPr="008675BA">
        <w:rPr>
          <w:rFonts w:cs="Times New Roman"/>
          <w:i/>
          <w:lang w:val="fr-CA"/>
        </w:rPr>
        <w:t>La Presse Affaires</w:t>
      </w:r>
      <w:r w:rsidRPr="008675BA">
        <w:rPr>
          <w:rFonts w:cs="Times New Roman"/>
          <w:lang w:val="fr-CA"/>
        </w:rPr>
        <w:t xml:space="preserve"> en mai 2007 est erronée. Toutefois, cela n’est peut</w:t>
      </w:r>
      <w:r>
        <w:rPr>
          <w:rFonts w:cs="Times New Roman"/>
          <w:lang w:val="fr-CA"/>
        </w:rPr>
        <w:noBreakHyphen/>
      </w:r>
      <w:r w:rsidRPr="008675BA">
        <w:rPr>
          <w:rFonts w:cs="Times New Roman"/>
          <w:lang w:val="fr-CA"/>
        </w:rPr>
        <w:t xml:space="preserve">être pas suffisant pour justifier, rétroactivement si je peux m’exprimer ainsi, </w:t>
      </w:r>
      <w:r w:rsidRPr="008675BA">
        <w:rPr>
          <w:rFonts w:cs="Times New Roman"/>
          <w:lang w:val="fr-CA"/>
        </w:rPr>
        <w:lastRenderedPageBreak/>
        <w:t>l’inférence selon laquelle M</w:t>
      </w:r>
      <w:r w:rsidRPr="008675BA">
        <w:rPr>
          <w:rFonts w:cs="Times New Roman"/>
          <w:vertAlign w:val="superscript"/>
          <w:lang w:val="fr-CA"/>
        </w:rPr>
        <w:t>e</w:t>
      </w:r>
      <w:r w:rsidRPr="008675BA">
        <w:rPr>
          <w:rFonts w:cs="Times New Roman"/>
          <w:lang w:val="fr-CA"/>
        </w:rPr>
        <w:t xml:space="preserve"> Salomon était en situation de conflit d’intérêts depuis la recommandation initiale en 2003. </w:t>
      </w:r>
    </w:p>
    <w:p w:rsidR="0041746D" w:rsidRPr="008675BA" w:rsidRDefault="0041746D" w:rsidP="0041746D">
      <w:pPr>
        <w:pStyle w:val="ParaNoNdepar-AltN"/>
        <w:rPr>
          <w:rFonts w:cs="Times New Roman"/>
          <w:lang w:val="fr-CA"/>
        </w:rPr>
      </w:pPr>
      <w:r w:rsidRPr="008675BA">
        <w:rPr>
          <w:rFonts w:cs="Times New Roman"/>
          <w:lang w:val="fr-CA"/>
        </w:rPr>
        <w:t>En ce qui concerne la prétention selon laquelle M</w:t>
      </w:r>
      <w:r w:rsidRPr="008675BA">
        <w:rPr>
          <w:rFonts w:cs="Times New Roman"/>
          <w:vertAlign w:val="superscript"/>
          <w:lang w:val="fr-CA"/>
        </w:rPr>
        <w:t>e</w:t>
      </w:r>
      <w:r w:rsidRPr="008675BA">
        <w:rPr>
          <w:rFonts w:cs="Times New Roman"/>
          <w:lang w:val="fr-CA"/>
        </w:rPr>
        <w:t> Salomon a « fait équipe » avec M. Papadopoulos en mars 2007 pour préparer un rapport sur les placements des intimées, la conduite de M</w:t>
      </w:r>
      <w:r w:rsidRPr="008675BA">
        <w:rPr>
          <w:rFonts w:cs="Times New Roman"/>
          <w:vertAlign w:val="superscript"/>
          <w:lang w:val="fr-CA"/>
        </w:rPr>
        <w:t>e</w:t>
      </w:r>
      <w:r w:rsidRPr="008675BA">
        <w:rPr>
          <w:rFonts w:cs="Times New Roman"/>
          <w:lang w:val="fr-CA"/>
        </w:rPr>
        <w:t xml:space="preserve"> Salomon à cette occasion peut être interprétée de différentes manières (motifs du juge Gascon, </w:t>
      </w:r>
      <w:r>
        <w:rPr>
          <w:rFonts w:cs="Times New Roman"/>
          <w:lang w:val="fr-CA"/>
        </w:rPr>
        <w:t>par. </w:t>
      </w:r>
      <w:r w:rsidRPr="008675BA">
        <w:rPr>
          <w:rFonts w:cs="Times New Roman"/>
          <w:lang w:val="fr-CA"/>
        </w:rPr>
        <w:t>74</w:t>
      </w:r>
      <w:r>
        <w:rPr>
          <w:rFonts w:cs="Times New Roman"/>
          <w:lang w:val="fr-CA"/>
        </w:rPr>
        <w:noBreakHyphen/>
      </w:r>
      <w:r w:rsidRPr="008675BA">
        <w:rPr>
          <w:rFonts w:cs="Times New Roman"/>
          <w:lang w:val="fr-CA"/>
        </w:rPr>
        <w:t xml:space="preserve">75; motifs de la C.A., </w:t>
      </w:r>
      <w:r>
        <w:rPr>
          <w:rFonts w:cs="Times New Roman"/>
          <w:lang w:val="fr-CA"/>
        </w:rPr>
        <w:t>par. </w:t>
      </w:r>
      <w:r w:rsidRPr="008675BA">
        <w:rPr>
          <w:rFonts w:cs="Times New Roman"/>
          <w:lang w:val="fr-CA"/>
        </w:rPr>
        <w:t>98</w:t>
      </w:r>
      <w:r>
        <w:rPr>
          <w:rFonts w:cs="Times New Roman"/>
          <w:lang w:val="fr-CA"/>
        </w:rPr>
        <w:noBreakHyphen/>
      </w:r>
      <w:r w:rsidRPr="008675BA">
        <w:rPr>
          <w:rFonts w:cs="Times New Roman"/>
          <w:lang w:val="fr-CA"/>
        </w:rPr>
        <w:t>100). À l’époque,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avait de graves problèmes de communication avec Triglob</w:t>
      </w:r>
      <w:r>
        <w:rPr>
          <w:rFonts w:cs="Times New Roman"/>
          <w:lang w:val="fr-CA"/>
        </w:rPr>
        <w:t>al. </w:t>
      </w:r>
      <w:r w:rsidRPr="008675BA">
        <w:rPr>
          <w:rFonts w:cs="Times New Roman"/>
          <w:lang w:val="fr-CA"/>
        </w:rPr>
        <w:t>Au su de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M</w:t>
      </w:r>
      <w:r w:rsidRPr="008675BA">
        <w:rPr>
          <w:rFonts w:cs="Times New Roman"/>
          <w:vertAlign w:val="superscript"/>
          <w:lang w:val="fr-CA"/>
        </w:rPr>
        <w:t>e</w:t>
      </w:r>
      <w:r w:rsidRPr="008675BA">
        <w:rPr>
          <w:rFonts w:cs="Times New Roman"/>
          <w:lang w:val="fr-CA"/>
        </w:rPr>
        <w:t> Salomon s’est proposé pour aider les conseillers financiers à préparer un rapport qui contiendrait tous les renseignements qu’elle demandait, présentés de façon claire. Dans ce contexte, le fait que M</w:t>
      </w:r>
      <w:r w:rsidRPr="008675BA">
        <w:rPr>
          <w:rFonts w:cs="Times New Roman"/>
          <w:vertAlign w:val="superscript"/>
          <w:lang w:val="fr-CA"/>
        </w:rPr>
        <w:t>e</w:t>
      </w:r>
      <w:r w:rsidRPr="008675BA">
        <w:rPr>
          <w:rFonts w:cs="Times New Roman"/>
          <w:lang w:val="fr-CA"/>
        </w:rPr>
        <w:t> Salomon a employé le pronom « nous » dans un courriel adressé à M. Papadopoulos est difficilement déterminant. Certes, cet argument pourrait soulever des doutes sur l’indépendance de M</w:t>
      </w:r>
      <w:r w:rsidRPr="008675BA">
        <w:rPr>
          <w:rFonts w:cs="Times New Roman"/>
          <w:vertAlign w:val="superscript"/>
          <w:lang w:val="fr-CA"/>
        </w:rPr>
        <w:t>e</w:t>
      </w:r>
      <w:r w:rsidRPr="008675BA">
        <w:rPr>
          <w:rFonts w:cs="Times New Roman"/>
          <w:lang w:val="fr-CA"/>
        </w:rPr>
        <w:t> Salomon; toutefois, il pourrait aussi prouver les efforts que M</w:t>
      </w:r>
      <w:r w:rsidRPr="008675BA">
        <w:rPr>
          <w:rFonts w:cs="Times New Roman"/>
          <w:vertAlign w:val="superscript"/>
          <w:lang w:val="fr-CA"/>
        </w:rPr>
        <w:t>e</w:t>
      </w:r>
      <w:r w:rsidRPr="008675BA">
        <w:rPr>
          <w:rFonts w:cs="Times New Roman"/>
          <w:lang w:val="fr-CA"/>
        </w:rPr>
        <w:t> Salomon a faits de bonne foi pour coopérer avec Triglobal en vue de régler ce qu’il percevait comme étant essentiellement un problème de communication. Étant donné que la juge du procès est présumée tirer ses conclusions en se fondant sur l’ensemble du dossier, et que différentes inférences auraient pu être tirées des communications en question, je suis convaincue que le fait que la juge du procès omette de traiter de cette question est insuffisant en soi pour mettre en doute ses conclusions.</w:t>
      </w:r>
    </w:p>
    <w:p w:rsidR="0041746D" w:rsidRPr="008675BA" w:rsidRDefault="0041746D" w:rsidP="0041746D">
      <w:pPr>
        <w:pStyle w:val="ParaNoNdepar-AltN"/>
        <w:rPr>
          <w:rFonts w:cs="Times New Roman"/>
          <w:lang w:val="fr-CA"/>
        </w:rPr>
      </w:pPr>
      <w:r w:rsidRPr="008675BA">
        <w:rPr>
          <w:rFonts w:cs="Times New Roman"/>
          <w:lang w:val="fr-CA"/>
        </w:rPr>
        <w:t>Dans l’ensemble, la Cour d’appel ne relève aucune erreur révisable dans l’analyse par la juge du procès des fautes reprochées concernant le devoir de loyauté. Par cette affirmation, je ne cherche pas à banaliser la conduite de M</w:t>
      </w:r>
      <w:r w:rsidRPr="008675BA">
        <w:rPr>
          <w:rFonts w:cs="Times New Roman"/>
          <w:vertAlign w:val="superscript"/>
          <w:lang w:val="fr-CA"/>
        </w:rPr>
        <w:t>e</w:t>
      </w:r>
      <w:r w:rsidRPr="008675BA">
        <w:rPr>
          <w:rFonts w:cs="Times New Roman"/>
          <w:lang w:val="fr-CA"/>
        </w:rPr>
        <w:t xml:space="preserve"> Salomon. Il est essentiel que les avocats évitent les conflits d’intérêts afin de conserver l’indépendance </w:t>
      </w:r>
      <w:r w:rsidRPr="008675BA">
        <w:rPr>
          <w:rFonts w:cs="Times New Roman"/>
          <w:lang w:val="fr-CA"/>
        </w:rPr>
        <w:lastRenderedPageBreak/>
        <w:t>requise pour se consacrer totalement à leurs clients. En cas de doute, ils devraient généralement pécher par excès de précaution et déclarer leurs intérêts personnels à leurs clients. Dans l’affaire qui nous occupe, M</w:t>
      </w:r>
      <w:r w:rsidRPr="008675BA">
        <w:rPr>
          <w:rFonts w:cs="Times New Roman"/>
          <w:vertAlign w:val="superscript"/>
          <w:lang w:val="fr-CA"/>
        </w:rPr>
        <w:t>e</w:t>
      </w:r>
      <w:r w:rsidRPr="008675BA">
        <w:rPr>
          <w:rFonts w:cs="Times New Roman"/>
          <w:lang w:val="fr-CA"/>
        </w:rPr>
        <w:t> Salomon aurait probablement dû être plus transparent au sujet des paiements que lui a faits M. Papadopoulos. Néanmoins, la juge du procès conclut qu’il n’était pas en conflit d’intérêts aux moments pertinents, à savoir lorsqu’il a recommandé Triglobal et M. Papadopoulos et lorsqu’il a plus tard réitéré sa confiance en eux. Il convient de faire preuve de déférence à l’égard de cette conclusion. Je serais cependant d’accord pour dire que la preuve donne fortement à penser que M</w:t>
      </w:r>
      <w:r w:rsidRPr="008675BA">
        <w:rPr>
          <w:rFonts w:cs="Times New Roman"/>
          <w:vertAlign w:val="superscript"/>
          <w:lang w:val="fr-CA"/>
        </w:rPr>
        <w:t>e</w:t>
      </w:r>
      <w:r w:rsidRPr="008675BA">
        <w:rPr>
          <w:rFonts w:cs="Times New Roman"/>
          <w:lang w:val="fr-CA"/>
        </w:rPr>
        <w:t> Salomon a manqué à son devoir de confidentialité et s’est lui</w:t>
      </w:r>
      <w:r>
        <w:rPr>
          <w:rFonts w:cs="Times New Roman"/>
          <w:lang w:val="fr-CA"/>
        </w:rPr>
        <w:noBreakHyphen/>
      </w:r>
      <w:r w:rsidRPr="008675BA">
        <w:rPr>
          <w:rFonts w:cs="Times New Roman"/>
          <w:lang w:val="fr-CA"/>
        </w:rPr>
        <w:t>même placé en situation de conflit d’intérêts dans les derniers mois de 2007, mais il était alors probablement déjà impossible pour les intimées de retirer les fonds. Il s’ensuit que même si M</w:t>
      </w:r>
      <w:r w:rsidRPr="008675BA">
        <w:rPr>
          <w:rFonts w:cs="Times New Roman"/>
          <w:vertAlign w:val="superscript"/>
          <w:lang w:val="fr-CA"/>
        </w:rPr>
        <w:t>e</w:t>
      </w:r>
      <w:r w:rsidRPr="008675BA">
        <w:rPr>
          <w:rFonts w:cs="Times New Roman"/>
          <w:lang w:val="fr-CA"/>
        </w:rPr>
        <w:t> Salomon a commis une faute à ce moment</w:t>
      </w:r>
      <w:r>
        <w:rPr>
          <w:rFonts w:cs="Times New Roman"/>
          <w:lang w:val="fr-CA"/>
        </w:rPr>
        <w:noBreakHyphen/>
      </w:r>
      <w:r w:rsidRPr="008675BA">
        <w:rPr>
          <w:rFonts w:cs="Times New Roman"/>
          <w:lang w:val="fr-CA"/>
        </w:rPr>
        <w:t>là, il ne pouvait être tenu responsable des pertes des intimées. Cette conclusion nous mène à la question de la causalité.</w:t>
      </w:r>
    </w:p>
    <w:p w:rsidR="0041746D" w:rsidRPr="008675BA" w:rsidRDefault="0041746D" w:rsidP="0041746D">
      <w:pPr>
        <w:pStyle w:val="Title2LevelTitre2Niveau"/>
        <w:numPr>
          <w:ilvl w:val="1"/>
          <w:numId w:val="25"/>
        </w:numPr>
        <w:rPr>
          <w:rFonts w:cs="Times New Roman"/>
          <w:lang w:val="fr-CA"/>
        </w:rPr>
      </w:pPr>
      <w:bookmarkStart w:id="17" w:name="_Toc2154001"/>
      <w:r w:rsidRPr="008675BA">
        <w:rPr>
          <w:rFonts w:cs="Times New Roman"/>
          <w:lang w:val="fr-CA"/>
        </w:rPr>
        <w:t>La juge du procès n’a pas commis d’erreur manifeste et déterminante en ce qui concerne le lien de causalité</w:t>
      </w:r>
      <w:bookmarkEnd w:id="17"/>
    </w:p>
    <w:p w:rsidR="0041746D" w:rsidRPr="008675BA" w:rsidRDefault="0041746D" w:rsidP="0041746D">
      <w:pPr>
        <w:pStyle w:val="Title3LevelTitre3Niveau"/>
        <w:numPr>
          <w:ilvl w:val="2"/>
          <w:numId w:val="25"/>
        </w:numPr>
        <w:rPr>
          <w:rFonts w:cs="Times New Roman"/>
          <w:lang w:val="fr-CA"/>
        </w:rPr>
      </w:pPr>
      <w:bookmarkStart w:id="18" w:name="_Toc2154002"/>
      <w:r w:rsidRPr="008675BA">
        <w:rPr>
          <w:rFonts w:cs="Times New Roman"/>
          <w:lang w:val="fr-CA"/>
        </w:rPr>
        <w:t>Les principes de la causalité</w:t>
      </w:r>
      <w:bookmarkEnd w:id="18"/>
    </w:p>
    <w:p w:rsidR="0041746D" w:rsidRPr="008675BA" w:rsidRDefault="0041746D" w:rsidP="0041746D">
      <w:pPr>
        <w:pStyle w:val="ParaNoNdepar-AltN"/>
        <w:rPr>
          <w:rFonts w:cs="Times New Roman"/>
          <w:lang w:val="fr-CA"/>
        </w:rPr>
      </w:pPr>
      <w:r w:rsidRPr="008675BA">
        <w:rPr>
          <w:rFonts w:cs="Times New Roman"/>
          <w:lang w:val="fr-CA"/>
        </w:rPr>
        <w:t xml:space="preserve">Selon un principe fondamental de la responsabilité civile, une personne ne peut être tenue responsable que des préjudices </w:t>
      </w:r>
      <w:r w:rsidRPr="008675BA">
        <w:rPr>
          <w:rFonts w:cs="Times New Roman"/>
          <w:i/>
          <w:lang w:val="fr-CA"/>
        </w:rPr>
        <w:t>causés</w:t>
      </w:r>
      <w:r w:rsidRPr="008675BA">
        <w:rPr>
          <w:rFonts w:cs="Times New Roman"/>
          <w:lang w:val="fr-CA"/>
        </w:rPr>
        <w:t xml:space="preserve"> par sa faute (</w:t>
      </w:r>
      <w:r w:rsidRPr="008675BA">
        <w:rPr>
          <w:rFonts w:cs="Times New Roman"/>
          <w:i/>
          <w:lang w:val="fr-CA"/>
        </w:rPr>
        <w:t>Lonardi</w:t>
      </w:r>
      <w:r w:rsidRPr="008675BA">
        <w:rPr>
          <w:rFonts w:cs="Times New Roman"/>
          <w:lang w:val="fr-CA"/>
        </w:rPr>
        <w:t xml:space="preserve">, </w:t>
      </w:r>
      <w:r>
        <w:rPr>
          <w:rFonts w:cs="Times New Roman"/>
          <w:lang w:val="fr-CA"/>
        </w:rPr>
        <w:t>par. </w:t>
      </w:r>
      <w:r w:rsidRPr="008675BA">
        <w:rPr>
          <w:rFonts w:cs="Times New Roman"/>
          <w:lang w:val="fr-CA"/>
        </w:rPr>
        <w:t xml:space="preserve">32; </w:t>
      </w:r>
      <w:r w:rsidRPr="008675BA">
        <w:rPr>
          <w:rFonts w:cs="Times New Roman"/>
          <w:i/>
          <w:lang w:val="fr-CA"/>
        </w:rPr>
        <w:t>Hinse c. Canada (Procureur général)</w:t>
      </w:r>
      <w:r w:rsidRPr="008675BA">
        <w:rPr>
          <w:rFonts w:cs="Times New Roman"/>
          <w:lang w:val="fr-CA"/>
        </w:rPr>
        <w:t xml:space="preserve">, 2015 CSC 35, [2015] 2 R.C.S. 621, </w:t>
      </w:r>
      <w:r>
        <w:rPr>
          <w:rFonts w:cs="Times New Roman"/>
          <w:lang w:val="fr-CA"/>
        </w:rPr>
        <w:t>par. </w:t>
      </w:r>
      <w:r w:rsidRPr="008675BA">
        <w:rPr>
          <w:rFonts w:cs="Times New Roman"/>
          <w:lang w:val="fr-CA"/>
        </w:rPr>
        <w:t>132). Les auteurs Baudouin, Deslauriers et Moore l’expliquent comme suit</w:t>
      </w:r>
      <w:r>
        <w:rPr>
          <w:rFonts w:cs="Times New Roman"/>
          <w:lang w:val="fr-CA"/>
        </w:rPr>
        <w:t> :</w:t>
      </w:r>
    </w:p>
    <w:p w:rsidR="0041746D" w:rsidRPr="008675BA" w:rsidRDefault="0041746D" w:rsidP="0041746D">
      <w:pPr>
        <w:pStyle w:val="Citation-AltC"/>
        <w:spacing w:after="240"/>
        <w:ind w:left="1168" w:hanging="1168"/>
        <w:contextualSpacing w:val="0"/>
        <w:rPr>
          <w:lang w:val="fr-CA"/>
        </w:rPr>
      </w:pPr>
      <w:r w:rsidRPr="008675BA">
        <w:rPr>
          <w:lang w:val="fr-CA"/>
        </w:rPr>
        <w:tab/>
      </w:r>
      <w:r w:rsidR="00234067">
        <w:rPr>
          <w:lang w:val="fr-CA"/>
        </w:rPr>
        <w:tab/>
      </w:r>
      <w:r w:rsidRPr="008675BA">
        <w:rPr>
          <w:u w:val="single"/>
          <w:lang w:val="fr-CA"/>
        </w:rPr>
        <w:t>On ne peut logiquement tenir l’auteur d’un acte fautif responsable d’un dommage qui est sans relation avec la faute</w:t>
      </w:r>
      <w:r w:rsidRPr="008675BA">
        <w:rPr>
          <w:lang w:val="fr-CA"/>
        </w:rPr>
        <w:t xml:space="preserve"> ou dans la réalisation duquel il </w:t>
      </w:r>
      <w:r w:rsidRPr="008675BA">
        <w:rPr>
          <w:lang w:val="fr-CA"/>
        </w:rPr>
        <w:lastRenderedPageBreak/>
        <w:t xml:space="preserve">n’est pour rien. </w:t>
      </w:r>
      <w:r w:rsidRPr="008675BA">
        <w:rPr>
          <w:u w:val="single"/>
          <w:lang w:val="fr-CA"/>
        </w:rPr>
        <w:t>La nécessité d’un certain lien causal est indispensable et ne se confond donc pas</w:t>
      </w:r>
      <w:r w:rsidRPr="008675BA">
        <w:rPr>
          <w:lang w:val="fr-CA"/>
        </w:rPr>
        <w:t xml:space="preserve">, malgré ce que certaines décisions de jurisprudence semblent parfois laisser entendre, </w:t>
      </w:r>
      <w:r w:rsidRPr="008675BA">
        <w:rPr>
          <w:u w:val="single"/>
          <w:lang w:val="fr-CA"/>
        </w:rPr>
        <w:t>avec la faute elle</w:t>
      </w:r>
      <w:r>
        <w:rPr>
          <w:u w:val="single"/>
          <w:lang w:val="fr-CA"/>
        </w:rPr>
        <w:noBreakHyphen/>
      </w:r>
      <w:r w:rsidRPr="008675BA">
        <w:rPr>
          <w:u w:val="single"/>
          <w:lang w:val="fr-CA"/>
        </w:rPr>
        <w:t>même</w:t>
      </w:r>
      <w:r w:rsidR="00C30730">
        <w:rPr>
          <w:lang w:val="fr-CA"/>
        </w:rPr>
        <w:t>. . .</w:t>
      </w:r>
    </w:p>
    <w:p w:rsidR="0041746D" w:rsidRPr="008675BA" w:rsidRDefault="0041746D" w:rsidP="0041746D">
      <w:pPr>
        <w:pStyle w:val="Citation-AltC"/>
        <w:spacing w:after="240"/>
        <w:ind w:left="1168" w:hanging="1168"/>
        <w:contextualSpacing w:val="0"/>
        <w:rPr>
          <w:lang w:val="fr-CA"/>
        </w:rPr>
      </w:pPr>
      <w:r w:rsidRPr="008675BA">
        <w:rPr>
          <w:lang w:val="fr-CA"/>
        </w:rPr>
        <w:tab/>
      </w:r>
      <w:r w:rsidR="00234067">
        <w:rPr>
          <w:lang w:val="fr-CA"/>
        </w:rPr>
        <w:tab/>
      </w:r>
      <w:r w:rsidRPr="008675BA">
        <w:rPr>
          <w:u w:val="single"/>
          <w:lang w:val="fr-CA"/>
        </w:rPr>
        <w:t>Une faute peut, en effet, avoir été commise par une personne, un dommage subi par une victime, sans pour autant que l’auteur de cette faute doive en être tenu responsable</w:t>
      </w:r>
      <w:r w:rsidRPr="008675BA">
        <w:rPr>
          <w:lang w:val="fr-CA"/>
        </w:rPr>
        <w:t>. Un exemple suffit à illustrer ce fait. La municipalité qui entretient mal ses trottoirs ou ses chaussées commet une faute, en ce sens qu’elle ne se comporte pas comme une municipalité avisée, prudente et diligente. Si une personne se blesse, rien cependant, de ce seul fait, ne permet de relier, automatiquement et d’une manière sûre, la faute de la municipalité au préjudice subi par la victime. Il faut, pour le faire, établir un lien en</w:t>
      </w:r>
      <w:r w:rsidR="006D6BAB">
        <w:rPr>
          <w:lang w:val="fr-CA"/>
        </w:rPr>
        <w:t>tre les deux phénomènes. . .</w:t>
      </w:r>
    </w:p>
    <w:p w:rsidR="0041746D" w:rsidRPr="008675BA" w:rsidRDefault="0041746D" w:rsidP="0041746D">
      <w:pPr>
        <w:pStyle w:val="Citation-AltC"/>
        <w:ind w:left="1168" w:hanging="1168"/>
        <w:rPr>
          <w:lang w:val="fr-CA"/>
        </w:rPr>
      </w:pPr>
      <w:r w:rsidRPr="008675BA">
        <w:rPr>
          <w:lang w:val="fr-CA"/>
        </w:rPr>
        <w:tab/>
      </w:r>
      <w:r w:rsidR="00234067">
        <w:rPr>
          <w:lang w:val="fr-CA"/>
        </w:rPr>
        <w:tab/>
      </w:r>
      <w:r w:rsidRPr="008675BA">
        <w:rPr>
          <w:lang w:val="fr-CA"/>
        </w:rPr>
        <w:t>La jurisprudence québécoise maintient la distinction entre la faute et le lien de causalité, en soulignant que la seule violation d’une obligation légale qui énonce une norme élémentaire de prudence fait, en principe, présumer une faute, mais ne donne droit à indemnisation que s’il existe un lien de causalité suffisant avec le préjudice. [Je souligne; notes en bas de page omises; n</w:t>
      </w:r>
      <w:r w:rsidRPr="008675BA">
        <w:rPr>
          <w:vertAlign w:val="superscript"/>
          <w:lang w:val="fr-CA"/>
        </w:rPr>
        <w:t>o</w:t>
      </w:r>
      <w:r w:rsidR="00234067">
        <w:rPr>
          <w:vertAlign w:val="superscript"/>
          <w:lang w:val="fr-CA"/>
        </w:rPr>
        <w:t>s</w:t>
      </w:r>
      <w:r w:rsidRPr="008675BA">
        <w:rPr>
          <w:vertAlign w:val="superscript"/>
          <w:lang w:val="fr-CA"/>
        </w:rPr>
        <w:t> </w:t>
      </w:r>
      <w:r w:rsidRPr="008675BA">
        <w:rPr>
          <w:lang w:val="fr-CA"/>
        </w:rPr>
        <w:t>1</w:t>
      </w:r>
      <w:r>
        <w:rPr>
          <w:lang w:val="fr-CA"/>
        </w:rPr>
        <w:noBreakHyphen/>
      </w:r>
      <w:r w:rsidRPr="008675BA">
        <w:rPr>
          <w:lang w:val="fr-CA"/>
        </w:rPr>
        <w:t>665 à 1</w:t>
      </w:r>
      <w:r>
        <w:rPr>
          <w:lang w:val="fr-CA"/>
        </w:rPr>
        <w:noBreakHyphen/>
      </w:r>
      <w:r w:rsidRPr="008675BA">
        <w:rPr>
          <w:lang w:val="fr-CA"/>
        </w:rPr>
        <w:t>666.]</w:t>
      </w:r>
    </w:p>
    <w:p w:rsidR="0041746D" w:rsidRPr="008675BA" w:rsidRDefault="0041746D" w:rsidP="0041746D">
      <w:pPr>
        <w:pStyle w:val="ParaNoNdepar-AltN"/>
        <w:rPr>
          <w:rFonts w:cs="Times New Roman"/>
          <w:lang w:val="fr-CA"/>
        </w:rPr>
      </w:pPr>
      <w:r w:rsidRPr="008675BA">
        <w:rPr>
          <w:rFonts w:cs="Times New Roman"/>
          <w:lang w:val="fr-CA"/>
        </w:rPr>
        <w:t xml:space="preserve">Dans les affaires de responsabilité civile, une cause </w:t>
      </w:r>
      <w:r w:rsidRPr="008675BA">
        <w:rPr>
          <w:rFonts w:cs="Times New Roman"/>
          <w:i/>
          <w:lang w:val="fr-CA"/>
        </w:rPr>
        <w:t>véritable</w:t>
      </w:r>
      <w:r w:rsidRPr="008675BA">
        <w:rPr>
          <w:rFonts w:cs="Times New Roman"/>
          <w:lang w:val="fr-CA"/>
        </w:rPr>
        <w:t xml:space="preserve"> est établie lorsque le demandeur prouve que le préjudice est une « conséquence logique, directe et immédiate de la faute » (</w:t>
      </w:r>
      <w:r>
        <w:rPr>
          <w:rFonts w:cs="Times New Roman"/>
          <w:lang w:val="fr-CA"/>
        </w:rPr>
        <w:t>art. </w:t>
      </w:r>
      <w:r w:rsidRPr="008675BA">
        <w:rPr>
          <w:rFonts w:cs="Times New Roman"/>
          <w:lang w:val="fr-CA"/>
        </w:rPr>
        <w:t>1607 et 1613 </w:t>
      </w:r>
      <w:r w:rsidRPr="008675BA">
        <w:rPr>
          <w:rFonts w:cs="Times New Roman"/>
          <w:i/>
          <w:lang w:val="fr-CA"/>
        </w:rPr>
        <w:t>C.c.Q</w:t>
      </w:r>
      <w:r w:rsidRPr="008675BA">
        <w:rPr>
          <w:rFonts w:cs="Times New Roman"/>
          <w:lang w:val="fr-CA"/>
        </w:rPr>
        <w:t xml:space="preserve">.; voir, </w:t>
      </w:r>
      <w:r>
        <w:rPr>
          <w:rFonts w:cs="Times New Roman"/>
          <w:lang w:val="fr-CA"/>
        </w:rPr>
        <w:t>p. </w:t>
      </w:r>
      <w:r w:rsidRPr="008675BA">
        <w:rPr>
          <w:rFonts w:cs="Times New Roman"/>
          <w:lang w:val="fr-CA"/>
        </w:rPr>
        <w:t xml:space="preserve">ex., </w:t>
      </w:r>
      <w:r w:rsidRPr="008675BA">
        <w:rPr>
          <w:rFonts w:cs="Times New Roman"/>
          <w:i/>
          <w:lang w:val="fr-CA"/>
        </w:rPr>
        <w:t>Hinse</w:t>
      </w:r>
      <w:r w:rsidRPr="008675BA">
        <w:rPr>
          <w:rFonts w:cs="Times New Roman"/>
          <w:lang w:val="fr-CA"/>
        </w:rPr>
        <w:t xml:space="preserve">, </w:t>
      </w:r>
      <w:r>
        <w:rPr>
          <w:rFonts w:cs="Times New Roman"/>
          <w:lang w:val="fr-CA"/>
        </w:rPr>
        <w:t>par. </w:t>
      </w:r>
      <w:r w:rsidRPr="008675BA">
        <w:rPr>
          <w:rFonts w:cs="Times New Roman"/>
          <w:lang w:val="fr-CA"/>
        </w:rPr>
        <w:t xml:space="preserve">132, citant </w:t>
      </w:r>
      <w:r w:rsidRPr="008675BA">
        <w:rPr>
          <w:rFonts w:cs="Times New Roman"/>
          <w:i/>
          <w:iCs/>
          <w:lang w:val="fr-CA"/>
        </w:rPr>
        <w:t>Parrot c. Thompson</w:t>
      </w:r>
      <w:r w:rsidRPr="008675BA">
        <w:rPr>
          <w:rFonts w:cs="Times New Roman"/>
          <w:lang w:val="fr-CA"/>
        </w:rPr>
        <w:t xml:space="preserve">, </w:t>
      </w:r>
      <w:r w:rsidRPr="008675BA">
        <w:rPr>
          <w:rStyle w:val="reflex3-alt"/>
          <w:rFonts w:cs="Times New Roman"/>
          <w:lang w:val="fr-CA"/>
        </w:rPr>
        <w:t>[1984] 1 R.C.S. 57</w:t>
      </w:r>
      <w:r w:rsidRPr="008675BA">
        <w:rPr>
          <w:rFonts w:cs="Times New Roman"/>
          <w:lang w:val="fr-CA"/>
        </w:rPr>
        <w:t xml:space="preserve">, </w:t>
      </w:r>
      <w:r>
        <w:rPr>
          <w:rFonts w:cs="Times New Roman"/>
          <w:lang w:val="fr-CA"/>
        </w:rPr>
        <w:t>p. </w:t>
      </w:r>
      <w:r w:rsidRPr="008675BA">
        <w:rPr>
          <w:rFonts w:cs="Times New Roman"/>
          <w:lang w:val="fr-CA"/>
        </w:rPr>
        <w:t xml:space="preserve">71). Autrement dit, la faute doit avoir un rapport </w:t>
      </w:r>
      <w:r w:rsidRPr="008675BA">
        <w:rPr>
          <w:rFonts w:cs="Times New Roman"/>
          <w:i/>
          <w:lang w:val="fr-CA"/>
        </w:rPr>
        <w:t>étroit</w:t>
      </w:r>
      <w:r w:rsidRPr="008675BA">
        <w:rPr>
          <w:rFonts w:cs="Times New Roman"/>
          <w:lang w:val="fr-CA"/>
        </w:rPr>
        <w:t xml:space="preserve"> avec le préjudice (</w:t>
      </w:r>
      <w:r w:rsidRPr="008675BA">
        <w:rPr>
          <w:rFonts w:cs="Times New Roman"/>
          <w:i/>
          <w:lang w:val="fr-CA"/>
        </w:rPr>
        <w:t>Québec (Commission des droits de la personne et des droits de la jeunesse) c. Bombardier Inc. (Bombardier Aéronautique Centre de formation)</w:t>
      </w:r>
      <w:r w:rsidRPr="008675BA">
        <w:rPr>
          <w:rFonts w:cs="Times New Roman"/>
          <w:lang w:val="fr-CA"/>
        </w:rPr>
        <w:t xml:space="preserve">, 2015 CSC 39, [2015] 2 R.C.S. 789, </w:t>
      </w:r>
      <w:r>
        <w:rPr>
          <w:rFonts w:cs="Times New Roman"/>
          <w:lang w:val="fr-CA"/>
        </w:rPr>
        <w:t>par. </w:t>
      </w:r>
      <w:r w:rsidRPr="008675BA">
        <w:rPr>
          <w:rFonts w:cs="Times New Roman"/>
          <w:lang w:val="fr-CA"/>
        </w:rPr>
        <w:t>50, citant Baudouin, Deslauriers et Moore, n</w:t>
      </w:r>
      <w:r w:rsidRPr="008675BA">
        <w:rPr>
          <w:rFonts w:cs="Times New Roman"/>
          <w:vertAlign w:val="superscript"/>
          <w:lang w:val="fr-CA"/>
        </w:rPr>
        <w:t>o</w:t>
      </w:r>
      <w:r w:rsidRPr="008675BA">
        <w:rPr>
          <w:rFonts w:cs="Times New Roman"/>
          <w:lang w:val="fr-CA"/>
        </w:rPr>
        <w:t> 1</w:t>
      </w:r>
      <w:r>
        <w:rPr>
          <w:rFonts w:cs="Times New Roman"/>
          <w:lang w:val="fr-CA"/>
        </w:rPr>
        <w:noBreakHyphen/>
      </w:r>
      <w:r w:rsidRPr="008675BA">
        <w:rPr>
          <w:rFonts w:cs="Times New Roman"/>
          <w:lang w:val="fr-CA"/>
        </w:rPr>
        <w:t xml:space="preserve">683; voir aussi </w:t>
      </w:r>
      <w:r w:rsidRPr="008675BA">
        <w:rPr>
          <w:rFonts w:cs="Times New Roman"/>
          <w:i/>
          <w:lang w:val="fr-CA"/>
        </w:rPr>
        <w:t>Roberge</w:t>
      </w:r>
      <w:r w:rsidRPr="008675BA">
        <w:rPr>
          <w:rFonts w:cs="Times New Roman"/>
          <w:lang w:val="fr-CA"/>
        </w:rPr>
        <w:t xml:space="preserve">, </w:t>
      </w:r>
      <w:r>
        <w:rPr>
          <w:rFonts w:cs="Times New Roman"/>
          <w:lang w:val="fr-CA"/>
        </w:rPr>
        <w:t>p. </w:t>
      </w:r>
      <w:r w:rsidRPr="008675BA">
        <w:rPr>
          <w:rFonts w:cs="Times New Roman"/>
          <w:lang w:val="fr-CA"/>
        </w:rPr>
        <w:t>442). En l’absence de toute preuve que la faute a directement causé le préjudice en totalité ou en partie, il ne suffit pas de démontrer que la faute a augmenté la probabilité qu’il y ait préjudice (</w:t>
      </w:r>
      <w:r w:rsidRPr="008675BA">
        <w:rPr>
          <w:rFonts w:cs="Times New Roman"/>
          <w:i/>
          <w:lang w:val="fr-CA"/>
        </w:rPr>
        <w:t>Dallaire c. Paul</w:t>
      </w:r>
      <w:r>
        <w:rPr>
          <w:rFonts w:cs="Times New Roman"/>
          <w:i/>
          <w:lang w:val="fr-CA"/>
        </w:rPr>
        <w:noBreakHyphen/>
      </w:r>
      <w:r w:rsidRPr="008675BA">
        <w:rPr>
          <w:rFonts w:cs="Times New Roman"/>
          <w:i/>
          <w:lang w:val="fr-CA"/>
        </w:rPr>
        <w:t>Émile Martel Inc.</w:t>
      </w:r>
      <w:r w:rsidRPr="008675BA">
        <w:rPr>
          <w:rFonts w:cs="Times New Roman"/>
          <w:lang w:val="fr-CA"/>
        </w:rPr>
        <w:t xml:space="preserve">, [1989] 2 R.C.S. 419, </w:t>
      </w:r>
      <w:r>
        <w:rPr>
          <w:rFonts w:cs="Times New Roman"/>
          <w:lang w:val="fr-CA"/>
        </w:rPr>
        <w:t>p. </w:t>
      </w:r>
      <w:r w:rsidRPr="008675BA">
        <w:rPr>
          <w:rFonts w:cs="Times New Roman"/>
          <w:lang w:val="fr-CA"/>
        </w:rPr>
        <w:t xml:space="preserve">425; </w:t>
      </w:r>
      <w:r w:rsidRPr="008675BA">
        <w:rPr>
          <w:rFonts w:cs="Times New Roman"/>
          <w:i/>
          <w:lang w:val="fr-CA"/>
        </w:rPr>
        <w:t>St</w:t>
      </w:r>
      <w:r>
        <w:rPr>
          <w:rFonts w:cs="Times New Roman"/>
          <w:i/>
          <w:lang w:val="fr-CA"/>
        </w:rPr>
        <w:noBreakHyphen/>
      </w:r>
      <w:r w:rsidRPr="008675BA">
        <w:rPr>
          <w:rFonts w:cs="Times New Roman"/>
          <w:i/>
          <w:lang w:val="fr-CA"/>
        </w:rPr>
        <w:t>Jean</w:t>
      </w:r>
      <w:r w:rsidRPr="008675BA">
        <w:rPr>
          <w:rFonts w:cs="Times New Roman"/>
          <w:lang w:val="fr-CA"/>
        </w:rPr>
        <w:t xml:space="preserve">, </w:t>
      </w:r>
      <w:r>
        <w:rPr>
          <w:rFonts w:cs="Times New Roman"/>
          <w:lang w:val="fr-CA"/>
        </w:rPr>
        <w:t>par. </w:t>
      </w:r>
      <w:r w:rsidRPr="008675BA">
        <w:rPr>
          <w:rFonts w:cs="Times New Roman"/>
          <w:lang w:val="fr-CA"/>
        </w:rPr>
        <w:t>116). Cette exigence du caractère direct du préjudice vise à limiter la portée de la réparation (voir J.</w:t>
      </w:r>
      <w:r>
        <w:rPr>
          <w:rFonts w:cs="Times New Roman"/>
          <w:lang w:val="fr-CA"/>
        </w:rPr>
        <w:noBreakHyphen/>
      </w:r>
      <w:r w:rsidRPr="008675BA">
        <w:rPr>
          <w:rFonts w:cs="Times New Roman"/>
          <w:lang w:val="fr-CA"/>
        </w:rPr>
        <w:t>L. Baudo</w:t>
      </w:r>
      <w:r>
        <w:rPr>
          <w:rFonts w:cs="Times New Roman"/>
          <w:lang w:val="fr-CA"/>
        </w:rPr>
        <w:t>u</w:t>
      </w:r>
      <w:r w:rsidRPr="008675BA">
        <w:rPr>
          <w:rFonts w:cs="Times New Roman"/>
          <w:lang w:val="fr-CA"/>
        </w:rPr>
        <w:t>in et P.</w:t>
      </w:r>
      <w:r>
        <w:rPr>
          <w:rFonts w:cs="Times New Roman"/>
          <w:lang w:val="fr-CA"/>
        </w:rPr>
        <w:noBreakHyphen/>
      </w:r>
      <w:r w:rsidRPr="008675BA">
        <w:rPr>
          <w:rFonts w:cs="Times New Roman"/>
          <w:lang w:val="fr-CA"/>
        </w:rPr>
        <w:t xml:space="preserve">G. Jobin, </w:t>
      </w:r>
      <w:r w:rsidRPr="008675BA">
        <w:rPr>
          <w:rFonts w:cs="Times New Roman"/>
          <w:i/>
          <w:lang w:val="fr-CA"/>
        </w:rPr>
        <w:t>Les obligations</w:t>
      </w:r>
      <w:r w:rsidRPr="008675BA">
        <w:rPr>
          <w:rFonts w:cs="Times New Roman"/>
          <w:lang w:val="fr-CA"/>
        </w:rPr>
        <w:t xml:space="preserve"> (7</w:t>
      </w:r>
      <w:r w:rsidRPr="008675BA">
        <w:rPr>
          <w:rFonts w:cs="Times New Roman"/>
          <w:vertAlign w:val="superscript"/>
          <w:lang w:val="fr-CA"/>
        </w:rPr>
        <w:t>e</w:t>
      </w:r>
      <w:r w:rsidRPr="008675BA">
        <w:rPr>
          <w:rFonts w:cs="Times New Roman"/>
          <w:lang w:val="fr-CA"/>
        </w:rPr>
        <w:t xml:space="preserve"> éd. 2013), par P.</w:t>
      </w:r>
      <w:r>
        <w:rPr>
          <w:rFonts w:cs="Times New Roman"/>
          <w:lang w:val="fr-CA"/>
        </w:rPr>
        <w:noBreakHyphen/>
      </w:r>
      <w:r w:rsidRPr="008675BA">
        <w:rPr>
          <w:rFonts w:cs="Times New Roman"/>
          <w:lang w:val="fr-CA"/>
        </w:rPr>
        <w:t xml:space="preserve">G. Jobin et N. Vézina, </w:t>
      </w:r>
      <w:r w:rsidR="006D6BAB">
        <w:rPr>
          <w:rFonts w:cs="Times New Roman"/>
          <w:lang w:val="fr-CA"/>
        </w:rPr>
        <w:t xml:space="preserve">dir., </w:t>
      </w:r>
      <w:r w:rsidRPr="008675BA">
        <w:rPr>
          <w:rFonts w:cs="Times New Roman"/>
          <w:lang w:val="fr-CA"/>
        </w:rPr>
        <w:t>n</w:t>
      </w:r>
      <w:r w:rsidRPr="008675BA">
        <w:rPr>
          <w:rFonts w:cs="Times New Roman"/>
          <w:vertAlign w:val="superscript"/>
          <w:lang w:val="fr-CA"/>
        </w:rPr>
        <w:t>o</w:t>
      </w:r>
      <w:r w:rsidRPr="008675BA">
        <w:rPr>
          <w:rFonts w:cs="Times New Roman"/>
          <w:lang w:val="fr-CA"/>
        </w:rPr>
        <w:t> 770).</w:t>
      </w:r>
    </w:p>
    <w:p w:rsidR="0041746D" w:rsidRPr="008675BA" w:rsidRDefault="0041746D" w:rsidP="0041746D">
      <w:pPr>
        <w:pStyle w:val="ParaNoNdepar-AltN"/>
        <w:rPr>
          <w:rFonts w:cs="Times New Roman"/>
          <w:lang w:val="fr-CA"/>
        </w:rPr>
      </w:pPr>
      <w:r w:rsidRPr="008675BA">
        <w:rPr>
          <w:rFonts w:cs="Times New Roman"/>
          <w:lang w:val="fr-CA"/>
        </w:rPr>
        <w:lastRenderedPageBreak/>
        <w:t>Encore une fois, l’analyse du lien de causalité soulève une question de fait (</w:t>
      </w:r>
      <w:r w:rsidRPr="008675BA">
        <w:rPr>
          <w:rFonts w:cs="Times New Roman"/>
          <w:i/>
          <w:lang w:val="fr-CA"/>
        </w:rPr>
        <w:t>Lonardi</w:t>
      </w:r>
      <w:r w:rsidRPr="008675BA">
        <w:rPr>
          <w:rFonts w:cs="Times New Roman"/>
          <w:lang w:val="fr-CA"/>
        </w:rPr>
        <w:t xml:space="preserve">, </w:t>
      </w:r>
      <w:r>
        <w:rPr>
          <w:rFonts w:cs="Times New Roman"/>
          <w:lang w:val="fr-CA"/>
        </w:rPr>
        <w:t>par. </w:t>
      </w:r>
      <w:r w:rsidRPr="008675BA">
        <w:rPr>
          <w:rFonts w:cs="Times New Roman"/>
          <w:lang w:val="fr-CA"/>
        </w:rPr>
        <w:t xml:space="preserve">41; </w:t>
      </w:r>
      <w:r w:rsidRPr="008675BA">
        <w:rPr>
          <w:rFonts w:cs="Times New Roman"/>
          <w:i/>
          <w:lang w:val="fr-CA"/>
        </w:rPr>
        <w:t>Benhaim</w:t>
      </w:r>
      <w:r w:rsidRPr="008675BA">
        <w:rPr>
          <w:rFonts w:cs="Times New Roman"/>
          <w:lang w:val="fr-CA"/>
        </w:rPr>
        <w:t xml:space="preserve">, </w:t>
      </w:r>
      <w:r>
        <w:rPr>
          <w:rFonts w:cs="Times New Roman"/>
          <w:lang w:val="fr-CA"/>
        </w:rPr>
        <w:t>par. </w:t>
      </w:r>
      <w:r w:rsidRPr="008675BA">
        <w:rPr>
          <w:rFonts w:cs="Times New Roman"/>
          <w:lang w:val="fr-CA"/>
        </w:rPr>
        <w:t xml:space="preserve">36 et 92). En cherchant un lien causal qui soit logique, direct </w:t>
      </w:r>
      <w:r w:rsidRPr="008675BA">
        <w:rPr>
          <w:rFonts w:cs="Times New Roman"/>
          <w:i/>
          <w:lang w:val="fr-CA"/>
        </w:rPr>
        <w:t xml:space="preserve">et </w:t>
      </w:r>
      <w:r w:rsidRPr="008675BA">
        <w:rPr>
          <w:rFonts w:cs="Times New Roman"/>
          <w:lang w:val="fr-CA"/>
        </w:rPr>
        <w:t xml:space="preserve">immédiat, le juge du procès doit apprécier les « événements qui ont précédé le dommage, [. . .] leur succession dans le temps et [. . .] leur relation causale avec le préjudice subi » eu égard à l’ensemble de la preuve </w:t>
      </w:r>
      <w:r w:rsidRPr="008675BA">
        <w:rPr>
          <w:rFonts w:cs="Times New Roman"/>
          <w:spacing w:val="-3"/>
          <w:lang w:val="fr-CA"/>
        </w:rPr>
        <w:t xml:space="preserve">(voir </w:t>
      </w:r>
      <w:r w:rsidRPr="008675BA">
        <w:rPr>
          <w:rFonts w:cs="Times New Roman"/>
          <w:i/>
          <w:spacing w:val="-3"/>
          <w:lang w:val="fr-CA"/>
        </w:rPr>
        <w:t>Dallaire</w:t>
      </w:r>
      <w:r w:rsidRPr="008675BA">
        <w:rPr>
          <w:rFonts w:cs="Times New Roman"/>
          <w:spacing w:val="-3"/>
          <w:lang w:val="fr-CA"/>
        </w:rPr>
        <w:t xml:space="preserve">, </w:t>
      </w:r>
      <w:r>
        <w:rPr>
          <w:rFonts w:cs="Times New Roman"/>
          <w:spacing w:val="-3"/>
          <w:lang w:val="fr-CA"/>
        </w:rPr>
        <w:t>p. </w:t>
      </w:r>
      <w:r w:rsidRPr="008675BA">
        <w:rPr>
          <w:rFonts w:cs="Times New Roman"/>
          <w:spacing w:val="-3"/>
          <w:lang w:val="fr-CA"/>
        </w:rPr>
        <w:t>425</w:t>
      </w:r>
      <w:r>
        <w:rPr>
          <w:rFonts w:cs="Times New Roman"/>
          <w:spacing w:val="-3"/>
          <w:lang w:val="fr-CA"/>
        </w:rPr>
        <w:noBreakHyphen/>
      </w:r>
      <w:r w:rsidRPr="008675BA">
        <w:rPr>
          <w:rFonts w:cs="Times New Roman"/>
          <w:spacing w:val="-3"/>
          <w:lang w:val="fr-CA"/>
        </w:rPr>
        <w:t>426). Pour reprendre les mots des auteurs</w:t>
      </w:r>
      <w:r w:rsidRPr="008675BA">
        <w:rPr>
          <w:rFonts w:cs="Times New Roman"/>
          <w:lang w:val="fr-CA"/>
        </w:rPr>
        <w:t xml:space="preserve"> Baudouin, Deslauriers et Moore</w:t>
      </w:r>
      <w:r>
        <w:rPr>
          <w:rFonts w:cs="Times New Roman"/>
          <w:lang w:val="fr-CA"/>
        </w:rPr>
        <w:t> :</w:t>
      </w:r>
      <w:r w:rsidRPr="008675BA">
        <w:rPr>
          <w:rFonts w:cs="Times New Roman"/>
          <w:lang w:val="fr-CA"/>
        </w:rPr>
        <w:t xml:space="preserve"> </w:t>
      </w:r>
    </w:p>
    <w:p w:rsidR="0041746D" w:rsidRPr="008675BA" w:rsidRDefault="0041746D" w:rsidP="0041746D">
      <w:pPr>
        <w:pStyle w:val="Citation-AltC"/>
        <w:ind w:hanging="1166"/>
        <w:rPr>
          <w:lang w:val="fr-CA"/>
        </w:rPr>
      </w:pPr>
      <w:r w:rsidRPr="008675BA">
        <w:rPr>
          <w:lang w:val="fr-CA"/>
        </w:rPr>
        <w:tab/>
        <w:t xml:space="preserve">Les tribunaux exigent que la victime fasse preuve d’un lien direct entre le préjudice dont elle réclame l’indemnisation et la faute qu’elle reproche au défendeur. </w:t>
      </w:r>
      <w:r w:rsidRPr="008675BA">
        <w:rPr>
          <w:u w:val="single"/>
          <w:lang w:val="fr-CA"/>
        </w:rPr>
        <w:t>Le caractère direct de ce lien est apprécié, avant tout, par l’examen de la situation de fait, au cours duquel le juge est amené à peser l’influence respective de tous les événements et circonstances ayant entouré l’accident</w:t>
      </w:r>
      <w:r w:rsidRPr="00F816BE">
        <w:rPr>
          <w:u w:val="single"/>
          <w:lang w:val="fr-CA"/>
        </w:rPr>
        <w:t>.</w:t>
      </w:r>
      <w:r w:rsidRPr="008675BA">
        <w:rPr>
          <w:lang w:val="fr-CA"/>
        </w:rPr>
        <w:t xml:space="preserve"> [Je souligne; n</w:t>
      </w:r>
      <w:r w:rsidRPr="008675BA">
        <w:rPr>
          <w:vertAlign w:val="superscript"/>
          <w:lang w:val="fr-CA"/>
        </w:rPr>
        <w:t>o</w:t>
      </w:r>
      <w:r w:rsidRPr="008675BA">
        <w:rPr>
          <w:lang w:val="fr-CA"/>
        </w:rPr>
        <w:t> 1</w:t>
      </w:r>
      <w:r>
        <w:rPr>
          <w:lang w:val="fr-CA"/>
        </w:rPr>
        <w:noBreakHyphen/>
      </w:r>
      <w:r w:rsidRPr="008675BA">
        <w:rPr>
          <w:lang w:val="fr-CA"/>
        </w:rPr>
        <w:t>697.]</w:t>
      </w:r>
    </w:p>
    <w:p w:rsidR="0041746D" w:rsidRPr="008675BA" w:rsidRDefault="0041746D" w:rsidP="0041746D">
      <w:pPr>
        <w:pStyle w:val="ParaNoNdepar-AltN"/>
        <w:rPr>
          <w:rFonts w:cs="Times New Roman"/>
          <w:lang w:val="fr-CA"/>
        </w:rPr>
      </w:pPr>
      <w:r w:rsidRPr="008675BA">
        <w:rPr>
          <w:rFonts w:cs="Times New Roman"/>
          <w:lang w:val="fr-CA"/>
        </w:rPr>
        <w:t>Diverses théories ont été proposées pour distinguer les causes véritables, susceptibles de donner lieu à une responsabilité civile, des simples « conditions », c’est</w:t>
      </w:r>
      <w:r>
        <w:rPr>
          <w:rFonts w:cs="Times New Roman"/>
          <w:lang w:val="fr-CA"/>
        </w:rPr>
        <w:noBreakHyphen/>
      </w:r>
      <w:r w:rsidRPr="008675BA">
        <w:rPr>
          <w:rFonts w:cs="Times New Roman"/>
          <w:lang w:val="fr-CA"/>
        </w:rPr>
        <w:t>à</w:t>
      </w:r>
      <w:r>
        <w:rPr>
          <w:rFonts w:cs="Times New Roman"/>
          <w:lang w:val="fr-CA"/>
        </w:rPr>
        <w:noBreakHyphen/>
      </w:r>
      <w:r w:rsidRPr="008675BA">
        <w:rPr>
          <w:rFonts w:cs="Times New Roman"/>
          <w:lang w:val="fr-CA"/>
        </w:rPr>
        <w:t xml:space="preserve">dire les circonstances ou l’occasion du préjudice (voir, </w:t>
      </w:r>
      <w:r>
        <w:rPr>
          <w:rFonts w:cs="Times New Roman"/>
          <w:lang w:val="fr-CA"/>
        </w:rPr>
        <w:t>p. </w:t>
      </w:r>
      <w:r w:rsidRPr="008675BA">
        <w:rPr>
          <w:rFonts w:cs="Times New Roman"/>
          <w:lang w:val="fr-CA"/>
        </w:rPr>
        <w:t>ex., Baudouin, Deslauriers et Moore, n</w:t>
      </w:r>
      <w:r w:rsidRPr="008675BA">
        <w:rPr>
          <w:rFonts w:cs="Times New Roman"/>
          <w:vertAlign w:val="superscript"/>
          <w:lang w:val="fr-CA"/>
        </w:rPr>
        <w:t>o</w:t>
      </w:r>
      <w:r w:rsidR="00234067">
        <w:rPr>
          <w:rFonts w:cs="Times New Roman"/>
          <w:vertAlign w:val="superscript"/>
          <w:lang w:val="fr-CA"/>
        </w:rPr>
        <w:t>s</w:t>
      </w:r>
      <w:r w:rsidRPr="008675BA">
        <w:rPr>
          <w:rFonts w:cs="Times New Roman"/>
          <w:lang w:val="fr-CA"/>
        </w:rPr>
        <w:t> 1</w:t>
      </w:r>
      <w:r>
        <w:rPr>
          <w:rFonts w:cs="Times New Roman"/>
          <w:lang w:val="fr-CA"/>
        </w:rPr>
        <w:noBreakHyphen/>
      </w:r>
      <w:r w:rsidRPr="008675BA">
        <w:rPr>
          <w:rFonts w:cs="Times New Roman"/>
          <w:lang w:val="fr-CA"/>
        </w:rPr>
        <w:t>669 à 1</w:t>
      </w:r>
      <w:r>
        <w:rPr>
          <w:rFonts w:cs="Times New Roman"/>
          <w:lang w:val="fr-CA"/>
        </w:rPr>
        <w:noBreakHyphen/>
      </w:r>
      <w:r w:rsidRPr="008675BA">
        <w:rPr>
          <w:rFonts w:cs="Times New Roman"/>
          <w:lang w:val="fr-CA"/>
        </w:rPr>
        <w:t>677 et 1</w:t>
      </w:r>
      <w:r>
        <w:rPr>
          <w:rFonts w:cs="Times New Roman"/>
          <w:lang w:val="fr-CA"/>
        </w:rPr>
        <w:noBreakHyphen/>
      </w:r>
      <w:r w:rsidRPr="008675BA">
        <w:rPr>
          <w:rFonts w:cs="Times New Roman"/>
          <w:lang w:val="fr-CA"/>
        </w:rPr>
        <w:t xml:space="preserve">687; M. Tancelin, </w:t>
      </w:r>
      <w:r w:rsidRPr="008675BA">
        <w:rPr>
          <w:rFonts w:cs="Times New Roman"/>
          <w:i/>
          <w:lang w:val="fr-CA"/>
        </w:rPr>
        <w:t>Des obligations en droit mixte du Québec</w:t>
      </w:r>
      <w:r w:rsidRPr="008675BA">
        <w:rPr>
          <w:rFonts w:cs="Times New Roman"/>
          <w:lang w:val="fr-CA"/>
        </w:rPr>
        <w:t xml:space="preserve"> (7</w:t>
      </w:r>
      <w:r w:rsidRPr="008675BA">
        <w:rPr>
          <w:rFonts w:cs="Times New Roman"/>
          <w:vertAlign w:val="superscript"/>
          <w:lang w:val="fr-CA"/>
        </w:rPr>
        <w:t>e</w:t>
      </w:r>
      <w:r w:rsidRPr="008675BA">
        <w:rPr>
          <w:rFonts w:cs="Times New Roman"/>
          <w:lang w:val="fr-CA"/>
        </w:rPr>
        <w:t xml:space="preserve"> éd. 2009), n</w:t>
      </w:r>
      <w:r w:rsidRPr="008675BA">
        <w:rPr>
          <w:rFonts w:cs="Times New Roman"/>
          <w:vertAlign w:val="superscript"/>
          <w:lang w:val="fr-CA"/>
        </w:rPr>
        <w:t>o</w:t>
      </w:r>
      <w:r w:rsidR="00234067">
        <w:rPr>
          <w:rFonts w:cs="Times New Roman"/>
          <w:vertAlign w:val="superscript"/>
          <w:lang w:val="fr-CA"/>
        </w:rPr>
        <w:t>s</w:t>
      </w:r>
      <w:r w:rsidRPr="008675BA">
        <w:rPr>
          <w:rFonts w:cs="Times New Roman"/>
          <w:lang w:val="fr-CA"/>
        </w:rPr>
        <w:t> 787</w:t>
      </w:r>
      <w:r>
        <w:rPr>
          <w:rFonts w:cs="Times New Roman"/>
          <w:lang w:val="fr-CA"/>
        </w:rPr>
        <w:noBreakHyphen/>
      </w:r>
      <w:r w:rsidRPr="008675BA">
        <w:rPr>
          <w:rFonts w:cs="Times New Roman"/>
          <w:lang w:val="fr-CA"/>
        </w:rPr>
        <w:t xml:space="preserve">795); F. Lévesque, </w:t>
      </w:r>
      <w:r w:rsidRPr="008675BA">
        <w:rPr>
          <w:rFonts w:cs="Times New Roman"/>
          <w:i/>
          <w:lang w:val="fr-CA"/>
        </w:rPr>
        <w:t>Précis de droit québécois des obligations</w:t>
      </w:r>
      <w:r w:rsidRPr="008675BA">
        <w:rPr>
          <w:rFonts w:cs="Times New Roman"/>
          <w:lang w:val="fr-CA"/>
        </w:rPr>
        <w:t xml:space="preserve"> (2014), n</w:t>
      </w:r>
      <w:r w:rsidRPr="008675BA">
        <w:rPr>
          <w:rFonts w:cs="Times New Roman"/>
          <w:vertAlign w:val="superscript"/>
          <w:lang w:val="fr-CA"/>
        </w:rPr>
        <w:t>o</w:t>
      </w:r>
      <w:r w:rsidR="00234067">
        <w:rPr>
          <w:rFonts w:cs="Times New Roman"/>
          <w:vertAlign w:val="superscript"/>
          <w:lang w:val="fr-CA"/>
        </w:rPr>
        <w:t>s</w:t>
      </w:r>
      <w:r w:rsidRPr="008675BA">
        <w:rPr>
          <w:rFonts w:cs="Times New Roman"/>
          <w:lang w:val="fr-CA"/>
        </w:rPr>
        <w:t> 463</w:t>
      </w:r>
      <w:r>
        <w:rPr>
          <w:rFonts w:cs="Times New Roman"/>
          <w:lang w:val="fr-CA"/>
        </w:rPr>
        <w:noBreakHyphen/>
      </w:r>
      <w:r w:rsidRPr="008675BA">
        <w:rPr>
          <w:rFonts w:cs="Times New Roman"/>
          <w:lang w:val="fr-CA"/>
        </w:rPr>
        <w:t xml:space="preserve">467). À la lumière de ces théories, il peut être utile de chercher à savoir si la faute a rendu le préjudice objectivement possible, si le préjudice était raisonnablement prévisible </w:t>
      </w:r>
      <w:r w:rsidRPr="008675BA">
        <w:rPr>
          <w:rFonts w:cs="Times New Roman"/>
          <w:i/>
          <w:lang w:val="fr-CA"/>
        </w:rPr>
        <w:t>et</w:t>
      </w:r>
      <w:r w:rsidRPr="008675BA">
        <w:rPr>
          <w:rFonts w:cs="Times New Roman"/>
          <w:lang w:val="fr-CA"/>
        </w:rPr>
        <w:t xml:space="preserve"> si la séquence des événements dans le temps est suffisante pour étayer l’existence d’un rapport étroit (voir Baudouin, Deslauriers et Moore, n</w:t>
      </w:r>
      <w:r w:rsidRPr="008675BA">
        <w:rPr>
          <w:rFonts w:cs="Times New Roman"/>
          <w:vertAlign w:val="superscript"/>
          <w:lang w:val="fr-CA"/>
        </w:rPr>
        <w:t>o</w:t>
      </w:r>
      <w:r w:rsidR="00234067">
        <w:rPr>
          <w:rFonts w:cs="Times New Roman"/>
          <w:vertAlign w:val="superscript"/>
          <w:lang w:val="fr-CA"/>
        </w:rPr>
        <w:t>s</w:t>
      </w:r>
      <w:r w:rsidRPr="008675BA">
        <w:rPr>
          <w:rFonts w:cs="Times New Roman"/>
          <w:lang w:val="fr-CA"/>
        </w:rPr>
        <w:t> 1</w:t>
      </w:r>
      <w:r>
        <w:rPr>
          <w:rFonts w:cs="Times New Roman"/>
          <w:lang w:val="fr-CA"/>
        </w:rPr>
        <w:noBreakHyphen/>
      </w:r>
      <w:r w:rsidRPr="008675BA">
        <w:rPr>
          <w:rFonts w:cs="Times New Roman"/>
          <w:lang w:val="fr-CA"/>
        </w:rPr>
        <w:t>683 et 1</w:t>
      </w:r>
      <w:r>
        <w:rPr>
          <w:rFonts w:cs="Times New Roman"/>
          <w:lang w:val="fr-CA"/>
        </w:rPr>
        <w:noBreakHyphen/>
      </w:r>
      <w:r w:rsidRPr="008675BA">
        <w:rPr>
          <w:rFonts w:cs="Times New Roman"/>
          <w:lang w:val="fr-CA"/>
        </w:rPr>
        <w:t xml:space="preserve">697). Toutefois, si de telles balises doctrinales peuvent guider l’examen des faits, l’analyse du lien de causalité demeure une démarche contextuelle qui se prête mal à la théorisation juridique (voir D. Lluelles et B. Moore, </w:t>
      </w:r>
      <w:r w:rsidRPr="008675BA">
        <w:rPr>
          <w:rFonts w:cs="Times New Roman"/>
          <w:i/>
          <w:lang w:val="fr-CA"/>
        </w:rPr>
        <w:t>Droit des obligations</w:t>
      </w:r>
      <w:r w:rsidRPr="008675BA">
        <w:rPr>
          <w:rFonts w:cs="Times New Roman"/>
          <w:lang w:val="fr-CA"/>
        </w:rPr>
        <w:t xml:space="preserve"> (2</w:t>
      </w:r>
      <w:r w:rsidRPr="008675BA">
        <w:rPr>
          <w:rFonts w:cs="Times New Roman"/>
          <w:vertAlign w:val="superscript"/>
          <w:lang w:val="fr-CA"/>
        </w:rPr>
        <w:t>e</w:t>
      </w:r>
      <w:r w:rsidRPr="008675BA">
        <w:rPr>
          <w:rFonts w:cs="Times New Roman"/>
          <w:lang w:val="fr-CA"/>
        </w:rPr>
        <w:t xml:space="preserve"> éd. 2012), n</w:t>
      </w:r>
      <w:r w:rsidRPr="008675BA">
        <w:rPr>
          <w:rFonts w:cs="Times New Roman"/>
          <w:vertAlign w:val="superscript"/>
          <w:lang w:val="fr-CA"/>
        </w:rPr>
        <w:t>o</w:t>
      </w:r>
      <w:r w:rsidRPr="008675BA">
        <w:rPr>
          <w:rFonts w:cs="Times New Roman"/>
          <w:lang w:val="fr-CA"/>
        </w:rPr>
        <w:t> 2962</w:t>
      </w:r>
      <w:r>
        <w:rPr>
          <w:rFonts w:cs="Times New Roman"/>
          <w:lang w:val="fr-CA"/>
        </w:rPr>
        <w:noBreakHyphen/>
      </w:r>
      <w:r w:rsidRPr="008675BA">
        <w:rPr>
          <w:rFonts w:cs="Times New Roman"/>
          <w:lang w:val="fr-CA"/>
        </w:rPr>
        <w:t xml:space="preserve">2963). Comme le déclare la Cour d’appel dans </w:t>
      </w:r>
      <w:r w:rsidRPr="008675BA">
        <w:rPr>
          <w:rFonts w:cs="Times New Roman"/>
          <w:i/>
          <w:lang w:val="fr-CA"/>
        </w:rPr>
        <w:t>Stellaire Construction Inc.</w:t>
      </w:r>
      <w:r w:rsidRPr="008675BA">
        <w:rPr>
          <w:rFonts w:cs="Times New Roman"/>
          <w:lang w:val="fr-CA"/>
        </w:rPr>
        <w:t xml:space="preserve"> </w:t>
      </w:r>
      <w:r w:rsidRPr="008675BA">
        <w:rPr>
          <w:rFonts w:cs="Times New Roman"/>
          <w:i/>
          <w:lang w:val="fr-CA"/>
        </w:rPr>
        <w:t>c.</w:t>
      </w:r>
      <w:r w:rsidRPr="008675BA">
        <w:rPr>
          <w:rFonts w:cs="Times New Roman"/>
          <w:lang w:val="fr-CA"/>
        </w:rPr>
        <w:t xml:space="preserve"> </w:t>
      </w:r>
      <w:r w:rsidRPr="008675BA">
        <w:rPr>
          <w:rFonts w:cs="Times New Roman"/>
          <w:i/>
          <w:lang w:val="fr-CA"/>
        </w:rPr>
        <w:t>Ciment Québec Inc.</w:t>
      </w:r>
      <w:r w:rsidRPr="008675BA">
        <w:rPr>
          <w:rFonts w:cs="Times New Roman"/>
          <w:lang w:val="fr-CA"/>
        </w:rPr>
        <w:t>,</w:t>
      </w:r>
      <w:r w:rsidRPr="008675BA">
        <w:rPr>
          <w:rFonts w:cs="Times New Roman"/>
          <w:i/>
          <w:lang w:val="fr-CA"/>
        </w:rPr>
        <w:t xml:space="preserve"> </w:t>
      </w:r>
      <w:r w:rsidRPr="008675BA">
        <w:rPr>
          <w:rFonts w:cs="Times New Roman"/>
          <w:lang w:val="fr-CA"/>
        </w:rPr>
        <w:t xml:space="preserve">2002 CanLII 35591 (Qc), </w:t>
      </w:r>
      <w:r>
        <w:rPr>
          <w:rFonts w:cs="Times New Roman"/>
          <w:lang w:val="fr-CA"/>
        </w:rPr>
        <w:t>par. </w:t>
      </w:r>
      <w:r w:rsidRPr="008675BA">
        <w:rPr>
          <w:rFonts w:cs="Times New Roman"/>
          <w:lang w:val="fr-CA"/>
        </w:rPr>
        <w:t xml:space="preserve">39, il </w:t>
      </w:r>
      <w:r w:rsidRPr="008675BA">
        <w:rPr>
          <w:rFonts w:cs="Times New Roman"/>
          <w:lang w:val="fr-CA"/>
        </w:rPr>
        <w:lastRenderedPageBreak/>
        <w:t>appartient au juge des faits de « “tirer une ligne”, ou [d’]identifier le “point de rupture”, entre les conséquences qui découlent directement et immédiatement de la faute et les autres » (notes en bas de page omises). Pour ce faire, le juge de première instance jouit d’une grande latitude (Baudo</w:t>
      </w:r>
      <w:r>
        <w:rPr>
          <w:rFonts w:cs="Times New Roman"/>
          <w:lang w:val="fr-CA"/>
        </w:rPr>
        <w:t>u</w:t>
      </w:r>
      <w:r w:rsidR="006D6BAB">
        <w:rPr>
          <w:rFonts w:cs="Times New Roman"/>
          <w:lang w:val="fr-CA"/>
        </w:rPr>
        <w:t>in et</w:t>
      </w:r>
      <w:r w:rsidRPr="008675BA">
        <w:rPr>
          <w:rFonts w:cs="Times New Roman"/>
          <w:lang w:val="fr-CA"/>
        </w:rPr>
        <w:t xml:space="preserve"> Jobin, n</w:t>
      </w:r>
      <w:r w:rsidRPr="008675BA">
        <w:rPr>
          <w:rFonts w:cs="Times New Roman"/>
          <w:vertAlign w:val="superscript"/>
          <w:lang w:val="fr-CA"/>
        </w:rPr>
        <w:t>o</w:t>
      </w:r>
      <w:r w:rsidRPr="008675BA">
        <w:rPr>
          <w:rFonts w:cs="Times New Roman"/>
          <w:lang w:val="fr-CA"/>
        </w:rPr>
        <w:t> 770).</w:t>
      </w:r>
    </w:p>
    <w:p w:rsidR="0041746D" w:rsidRPr="008675BA" w:rsidRDefault="0041746D" w:rsidP="0041746D">
      <w:pPr>
        <w:pStyle w:val="ParaNoNdepar-AltN"/>
        <w:rPr>
          <w:rFonts w:cs="Times New Roman"/>
          <w:lang w:val="fr-CA"/>
        </w:rPr>
      </w:pPr>
      <w:r w:rsidRPr="008675BA">
        <w:rPr>
          <w:rFonts w:cs="Times New Roman"/>
          <w:lang w:val="fr-CA"/>
        </w:rPr>
        <w:t>En appel, étant donné qu’une appréciation des faits est essentielle pour établir la causalité, il faut faire preuve de retenue devant les conclusions du juge du procès, et celles</w:t>
      </w:r>
      <w:r>
        <w:rPr>
          <w:rFonts w:cs="Times New Roman"/>
          <w:lang w:val="fr-CA"/>
        </w:rPr>
        <w:noBreakHyphen/>
      </w:r>
      <w:r w:rsidRPr="008675BA">
        <w:rPr>
          <w:rFonts w:cs="Times New Roman"/>
          <w:lang w:val="fr-CA"/>
        </w:rPr>
        <w:t>ci ne peuvent être modifiées en l’absence d’une erreur manifeste et déterminante.</w:t>
      </w:r>
    </w:p>
    <w:p w:rsidR="0041746D" w:rsidRPr="008675BA" w:rsidRDefault="0041746D" w:rsidP="0041746D">
      <w:pPr>
        <w:pStyle w:val="Title3LevelTitre3Niveau"/>
        <w:numPr>
          <w:ilvl w:val="2"/>
          <w:numId w:val="25"/>
        </w:numPr>
        <w:rPr>
          <w:rFonts w:cs="Times New Roman"/>
          <w:lang w:val="fr-CA"/>
        </w:rPr>
      </w:pPr>
      <w:bookmarkStart w:id="19" w:name="_Toc2154003"/>
      <w:r w:rsidRPr="008675BA">
        <w:rPr>
          <w:rFonts w:cs="Times New Roman"/>
          <w:lang w:val="fr-CA"/>
        </w:rPr>
        <w:t>Application à la présente affaire</w:t>
      </w:r>
      <w:bookmarkEnd w:id="19"/>
    </w:p>
    <w:p w:rsidR="0041746D" w:rsidRPr="008675BA" w:rsidRDefault="0041746D" w:rsidP="0041746D">
      <w:pPr>
        <w:pStyle w:val="ParaNoNdepar-AltN"/>
        <w:rPr>
          <w:rFonts w:cs="Times New Roman"/>
          <w:lang w:val="fr-CA"/>
        </w:rPr>
      </w:pPr>
      <w:r w:rsidRPr="008675BA">
        <w:rPr>
          <w:rFonts w:cs="Times New Roman"/>
          <w:lang w:val="fr-CA"/>
        </w:rPr>
        <w:t xml:space="preserve">À mon avis, la Cour d’appel n’aurait pas dû modifier les conclusions de la juge du procès concernant le lien de causalité en se fondant sur la métaphore du « prisme déformant » (motifs de la C.A., </w:t>
      </w:r>
      <w:r>
        <w:rPr>
          <w:rFonts w:cs="Times New Roman"/>
          <w:lang w:val="fr-CA"/>
        </w:rPr>
        <w:t>par. </w:t>
      </w:r>
      <w:r w:rsidRPr="008675BA">
        <w:rPr>
          <w:rFonts w:cs="Times New Roman"/>
          <w:lang w:val="fr-CA"/>
        </w:rPr>
        <w:t>120). Je suis convaincue qu’il n’y a aucune erreur révisable dans la conclusion selon laquelle la seule faute commise par M</w:t>
      </w:r>
      <w:r w:rsidRPr="008675BA">
        <w:rPr>
          <w:rFonts w:cs="Times New Roman"/>
          <w:vertAlign w:val="superscript"/>
          <w:lang w:val="fr-CA"/>
        </w:rPr>
        <w:t>e</w:t>
      </w:r>
      <w:r w:rsidRPr="008675BA">
        <w:rPr>
          <w:rFonts w:cs="Times New Roman"/>
          <w:lang w:val="fr-CA"/>
        </w:rPr>
        <w:t xml:space="preserve"> Salomon — soit d’avoir recommandé les fonds Manulife et iVest — n’a eu aucune incidence sur les décisions des intimées d’investir dans le fonds Focus et, par conséquent, sur leurs pertes. Certes, si on avait relevé des erreurs manifestes dans les conclusions de la juge du procès relatives à la </w:t>
      </w:r>
      <w:r w:rsidRPr="008675BA">
        <w:rPr>
          <w:rFonts w:cs="Times New Roman"/>
          <w:i/>
          <w:lang w:val="fr-CA"/>
        </w:rPr>
        <w:t>faute</w:t>
      </w:r>
      <w:r w:rsidRPr="008675BA">
        <w:rPr>
          <w:rFonts w:cs="Times New Roman"/>
          <w:lang w:val="fr-CA"/>
        </w:rPr>
        <w:t>, ces erreurs auraient pu entacher l’analyse du lien de causalité, ce qui, à son tour, aurait pu avoir une incidence sur l’issue de l’affaire. Or, de telles erreurs ne sont pas relevées, et je ne vois aucune autre raison d’infirmer les conclusions de fait de la juge du procès quant au lien de causalité. Même si on suppose que M</w:t>
      </w:r>
      <w:r w:rsidRPr="008675BA">
        <w:rPr>
          <w:rFonts w:cs="Times New Roman"/>
          <w:vertAlign w:val="superscript"/>
          <w:lang w:val="fr-CA"/>
        </w:rPr>
        <w:t>e</w:t>
      </w:r>
      <w:r w:rsidRPr="008675BA">
        <w:rPr>
          <w:rFonts w:cs="Times New Roman"/>
          <w:lang w:val="fr-CA"/>
        </w:rPr>
        <w:t xml:space="preserve"> Salomon a commis une faute en recommandant Triglobal et M. Papadopoulos, il n’en demeure pas moins qu’il n’a pas participé aux décisions des intimées d’investir dans le fonds Focus. Les intimées se fiaient alors à leurs conseillers </w:t>
      </w:r>
      <w:r w:rsidRPr="008675BA">
        <w:rPr>
          <w:rFonts w:cs="Times New Roman"/>
          <w:lang w:val="fr-CA"/>
        </w:rPr>
        <w:lastRenderedPageBreak/>
        <w:t>financiers, avec qui elles avaient établi leur propre relation sur une période d’environ trois ans. La juge du procès pouvait donc conclure que la fraude est la seule cause véritable des pertes, ce qui implique que la faute de M</w:t>
      </w:r>
      <w:r w:rsidRPr="008675BA">
        <w:rPr>
          <w:rFonts w:cs="Times New Roman"/>
          <w:vertAlign w:val="superscript"/>
          <w:lang w:val="fr-CA"/>
        </w:rPr>
        <w:t>e</w:t>
      </w:r>
      <w:r w:rsidRPr="008675BA">
        <w:rPr>
          <w:rFonts w:cs="Times New Roman"/>
          <w:lang w:val="fr-CA"/>
        </w:rPr>
        <w:t xml:space="preserve"> Salomon est trop éloignée du préjudice pour être considérée comme sa cause </w:t>
      </w:r>
      <w:r w:rsidRPr="008675BA">
        <w:rPr>
          <w:rFonts w:cs="Times New Roman"/>
          <w:i/>
          <w:lang w:val="fr-CA"/>
        </w:rPr>
        <w:t>logique,</w:t>
      </w:r>
      <w:r w:rsidRPr="008675BA">
        <w:rPr>
          <w:rFonts w:cs="Times New Roman"/>
          <w:lang w:val="fr-CA"/>
        </w:rPr>
        <w:t xml:space="preserve"> </w:t>
      </w:r>
      <w:r w:rsidRPr="008675BA">
        <w:rPr>
          <w:rFonts w:cs="Times New Roman"/>
          <w:i/>
          <w:lang w:val="fr-CA"/>
        </w:rPr>
        <w:t>directe et immédiate</w:t>
      </w:r>
      <w:r w:rsidRPr="008675BA">
        <w:rPr>
          <w:rFonts w:cs="Times New Roman"/>
          <w:lang w:val="fr-CA"/>
        </w:rPr>
        <w:t>. À toutes fins utiles, le lien causal a été étiré au</w:t>
      </w:r>
      <w:r>
        <w:rPr>
          <w:rFonts w:cs="Times New Roman"/>
          <w:lang w:val="fr-CA"/>
        </w:rPr>
        <w:noBreakHyphen/>
      </w:r>
      <w:r w:rsidRPr="008675BA">
        <w:rPr>
          <w:rFonts w:cs="Times New Roman"/>
          <w:lang w:val="fr-CA"/>
        </w:rPr>
        <w:t>delà du point de rupture.</w:t>
      </w:r>
    </w:p>
    <w:p w:rsidR="0041746D" w:rsidRPr="008675BA" w:rsidRDefault="0041746D" w:rsidP="0041746D">
      <w:pPr>
        <w:pStyle w:val="Title4LevelTitre4Niveau"/>
        <w:numPr>
          <w:ilvl w:val="3"/>
          <w:numId w:val="25"/>
        </w:numPr>
        <w:rPr>
          <w:rFonts w:cs="Times New Roman"/>
          <w:lang w:val="fr-CA"/>
        </w:rPr>
      </w:pPr>
      <w:r w:rsidRPr="008675BA">
        <w:rPr>
          <w:rFonts w:cs="Times New Roman"/>
          <w:lang w:val="fr-CA"/>
        </w:rPr>
        <w:t>Recommandation de Triglobal et de M. Papadopoulos</w:t>
      </w:r>
    </w:p>
    <w:p w:rsidR="0041746D" w:rsidRPr="008675BA" w:rsidRDefault="0041746D" w:rsidP="0041746D">
      <w:pPr>
        <w:pStyle w:val="ParaNoNdepar-AltN"/>
        <w:rPr>
          <w:rFonts w:cs="Times New Roman"/>
          <w:lang w:val="fr-CA"/>
        </w:rPr>
      </w:pPr>
      <w:r w:rsidRPr="008675BA">
        <w:rPr>
          <w:rFonts w:cs="Times New Roman"/>
          <w:lang w:val="fr-CA"/>
        </w:rPr>
        <w:t xml:space="preserve">Je ne souscris pas à la conclusion de la Cour d’appel selon laquelle « jamais les </w:t>
      </w:r>
      <w:r>
        <w:rPr>
          <w:rFonts w:cs="Times New Roman"/>
          <w:lang w:val="fr-CA"/>
        </w:rPr>
        <w:t xml:space="preserve">[intimées] </w:t>
      </w:r>
      <w:r w:rsidRPr="008675BA">
        <w:rPr>
          <w:rFonts w:cs="Times New Roman"/>
          <w:lang w:val="fr-CA"/>
        </w:rPr>
        <w:t>n’auraient investi auprès de Triglobal si, au départ, M</w:t>
      </w:r>
      <w:r w:rsidRPr="008675BA">
        <w:rPr>
          <w:rFonts w:cs="Times New Roman"/>
          <w:vertAlign w:val="superscript"/>
          <w:lang w:val="fr-CA"/>
        </w:rPr>
        <w:t>e</w:t>
      </w:r>
      <w:r w:rsidRPr="008675BA">
        <w:rPr>
          <w:rFonts w:cs="Times New Roman"/>
          <w:lang w:val="fr-CA"/>
        </w:rPr>
        <w:t> Salomon avait agi de manière diligente et compétente » (</w:t>
      </w:r>
      <w:r>
        <w:rPr>
          <w:rFonts w:cs="Times New Roman"/>
          <w:lang w:val="fr-CA"/>
        </w:rPr>
        <w:t>par. </w:t>
      </w:r>
      <w:r w:rsidRPr="008675BA">
        <w:rPr>
          <w:rFonts w:cs="Times New Roman"/>
          <w:lang w:val="fr-CA"/>
        </w:rPr>
        <w:t>121). Comme je l’ai déjà expliqué, il n’y a aucune erreur révisable dans la conclusion de la juge du procès selon laquelle la recommandation initiale de Triglobal et de M. Papadopoulos (comme les témoignages de confiance ultérieurs jusqu’en mai 2007) n’était pas fautive (</w:t>
      </w:r>
      <w:r>
        <w:rPr>
          <w:rFonts w:cs="Times New Roman"/>
          <w:lang w:val="fr-CA"/>
        </w:rPr>
        <w:t>par. </w:t>
      </w:r>
      <w:r w:rsidRPr="008675BA">
        <w:rPr>
          <w:rFonts w:cs="Times New Roman"/>
          <w:lang w:val="fr-CA"/>
        </w:rPr>
        <w:t>302). Par conséquent, indépendamment de la question de la causalité, M</w:t>
      </w:r>
      <w:r w:rsidRPr="008675BA">
        <w:rPr>
          <w:rFonts w:cs="Times New Roman"/>
          <w:vertAlign w:val="superscript"/>
          <w:lang w:val="fr-CA"/>
        </w:rPr>
        <w:t>e</w:t>
      </w:r>
      <w:r w:rsidRPr="008675BA">
        <w:rPr>
          <w:rFonts w:cs="Times New Roman"/>
          <w:lang w:val="fr-CA"/>
        </w:rPr>
        <w:t> Salomon ne peut être tenu responsable à l’égard de cette recommandation initiale puisque sa conduite à cet égard n’était pas fautive.</w:t>
      </w:r>
    </w:p>
    <w:p w:rsidR="0041746D" w:rsidRPr="008675BA" w:rsidRDefault="0041746D" w:rsidP="0041746D">
      <w:pPr>
        <w:pStyle w:val="ParaNoNdepar-AltN"/>
        <w:rPr>
          <w:rFonts w:cs="Times New Roman"/>
          <w:lang w:val="fr-CA"/>
        </w:rPr>
      </w:pPr>
      <w:r w:rsidRPr="008675BA">
        <w:rPr>
          <w:rFonts w:cs="Times New Roman"/>
          <w:lang w:val="fr-CA"/>
        </w:rPr>
        <w:t>Même en supposant que M</w:t>
      </w:r>
      <w:r w:rsidRPr="008675BA">
        <w:rPr>
          <w:rFonts w:cs="Times New Roman"/>
          <w:vertAlign w:val="superscript"/>
          <w:lang w:val="fr-CA"/>
        </w:rPr>
        <w:t>e</w:t>
      </w:r>
      <w:r w:rsidRPr="008675BA">
        <w:rPr>
          <w:rFonts w:cs="Times New Roman"/>
          <w:lang w:val="fr-CA"/>
        </w:rPr>
        <w:t> Salomon a commis une faute lorsqu’il a recommandé Triglobal et M. Papadopoulos, la juge du procès ne commet pas d’erreur révisable en concluant que la seule cause véritable des pertes est la fraude elle</w:t>
      </w:r>
      <w:r>
        <w:rPr>
          <w:rFonts w:cs="Times New Roman"/>
          <w:lang w:val="fr-CA"/>
        </w:rPr>
        <w:noBreakHyphen/>
      </w:r>
      <w:r w:rsidRPr="008675BA">
        <w:rPr>
          <w:rFonts w:cs="Times New Roman"/>
          <w:lang w:val="fr-CA"/>
        </w:rPr>
        <w:t>même (</w:t>
      </w:r>
      <w:r>
        <w:rPr>
          <w:rFonts w:cs="Times New Roman"/>
          <w:lang w:val="fr-CA"/>
        </w:rPr>
        <w:t>par. </w:t>
      </w:r>
      <w:r w:rsidRPr="008675BA">
        <w:rPr>
          <w:rFonts w:cs="Times New Roman"/>
          <w:lang w:val="fr-CA"/>
        </w:rPr>
        <w:t xml:space="preserve">215 et 318). Pour parvenir à cette conclusion, je ne me fonde pas sur le principe du </w:t>
      </w:r>
      <w:r w:rsidRPr="008675BA">
        <w:rPr>
          <w:rFonts w:cs="Times New Roman"/>
          <w:i/>
          <w:lang w:val="fr-CA"/>
        </w:rPr>
        <w:t>novus actus interveniens</w:t>
      </w:r>
      <w:r w:rsidRPr="008675BA">
        <w:rPr>
          <w:rFonts w:cs="Times New Roman"/>
          <w:lang w:val="fr-CA"/>
        </w:rPr>
        <w:t>, soit le principe selon lequel un événement indépendant peut rompre le lien causal direct entre la faute et le préjudice (</w:t>
      </w:r>
      <w:r w:rsidRPr="008675BA">
        <w:rPr>
          <w:rFonts w:cs="Times New Roman"/>
          <w:i/>
          <w:lang w:val="fr-CA"/>
        </w:rPr>
        <w:t>Lacombe c. André</w:t>
      </w:r>
      <w:r w:rsidRPr="008675BA">
        <w:rPr>
          <w:rFonts w:cs="Times New Roman"/>
          <w:lang w:val="fr-CA"/>
        </w:rPr>
        <w:t xml:space="preserve">, [2003] R.J.Q. 720 (C.A.), </w:t>
      </w:r>
      <w:r>
        <w:rPr>
          <w:rFonts w:cs="Times New Roman"/>
          <w:lang w:val="fr-CA"/>
        </w:rPr>
        <w:t>par. </w:t>
      </w:r>
      <w:r w:rsidRPr="008675BA">
        <w:rPr>
          <w:rFonts w:cs="Times New Roman"/>
          <w:lang w:val="fr-CA"/>
        </w:rPr>
        <w:t>58</w:t>
      </w:r>
      <w:r>
        <w:rPr>
          <w:rFonts w:cs="Times New Roman"/>
          <w:lang w:val="fr-CA"/>
        </w:rPr>
        <w:noBreakHyphen/>
      </w:r>
      <w:r w:rsidRPr="008675BA">
        <w:rPr>
          <w:rFonts w:cs="Times New Roman"/>
          <w:lang w:val="fr-CA"/>
        </w:rPr>
        <w:t xml:space="preserve">59). Je dirais plutôt que la juge du procès pouvait conclure, sur le fondement de son appréciation de la preuve, que la recommandation de Triglobal </w:t>
      </w:r>
      <w:r w:rsidRPr="008675BA">
        <w:rPr>
          <w:rFonts w:cs="Times New Roman"/>
          <w:lang w:val="fr-CA"/>
        </w:rPr>
        <w:lastRenderedPageBreak/>
        <w:t xml:space="preserve">et de M. Papadopoulos n’a pas de lien suffisamment étroit avec le préjudice pour constituer une cause </w:t>
      </w:r>
      <w:r w:rsidRPr="008675BA">
        <w:rPr>
          <w:rFonts w:cs="Times New Roman"/>
          <w:i/>
          <w:lang w:val="fr-CA"/>
        </w:rPr>
        <w:t>logique,</w:t>
      </w:r>
      <w:r w:rsidRPr="008675BA">
        <w:rPr>
          <w:rFonts w:cs="Times New Roman"/>
          <w:lang w:val="fr-CA"/>
        </w:rPr>
        <w:t xml:space="preserve"> </w:t>
      </w:r>
      <w:r w:rsidRPr="008675BA">
        <w:rPr>
          <w:rFonts w:cs="Times New Roman"/>
          <w:i/>
          <w:lang w:val="fr-CA"/>
        </w:rPr>
        <w:t>directe et immédiate</w:t>
      </w:r>
      <w:r w:rsidRPr="008675BA">
        <w:rPr>
          <w:rFonts w:cs="Times New Roman"/>
          <w:lang w:val="fr-CA"/>
        </w:rPr>
        <w:t>.</w:t>
      </w:r>
    </w:p>
    <w:p w:rsidR="0041746D" w:rsidRPr="008675BA" w:rsidRDefault="0041746D" w:rsidP="0041746D">
      <w:pPr>
        <w:pStyle w:val="ParaNoNdepar-AltN"/>
        <w:rPr>
          <w:rFonts w:cs="Times New Roman"/>
          <w:lang w:val="fr-CA"/>
        </w:rPr>
      </w:pPr>
      <w:r w:rsidRPr="008675BA">
        <w:rPr>
          <w:rFonts w:cs="Times New Roman"/>
          <w:lang w:val="fr-CA"/>
        </w:rPr>
        <w:t xml:space="preserve">Il convient de répéter qu’avant d’investir dans le fonds Focus, les intimées ont établi, sur une période de près de trois ans, leur propre « bonne » relation avec Triglobal et M. Papadopoulos (motifs de première instance, </w:t>
      </w:r>
      <w:r>
        <w:rPr>
          <w:rFonts w:cs="Times New Roman"/>
          <w:lang w:val="fr-CA"/>
        </w:rPr>
        <w:t>par. </w:t>
      </w:r>
      <w:r w:rsidRPr="008675BA">
        <w:rPr>
          <w:rFonts w:cs="Times New Roman"/>
          <w:lang w:val="fr-CA"/>
        </w:rPr>
        <w:t>211 et 288). Ce n’est qu’alors qu’elles ont pris la décision de transférer leurs fonds, et elles l’ont fait sans M</w:t>
      </w:r>
      <w:r w:rsidRPr="008675BA">
        <w:rPr>
          <w:rFonts w:cs="Times New Roman"/>
          <w:vertAlign w:val="superscript"/>
          <w:lang w:val="fr-CA"/>
        </w:rPr>
        <w:t>e</w:t>
      </w:r>
      <w:r w:rsidRPr="008675BA">
        <w:rPr>
          <w:rFonts w:cs="Times New Roman"/>
          <w:lang w:val="fr-CA"/>
        </w:rPr>
        <w:t> Salomon. Voici un résumé de la chronologie des événements</w:t>
      </w:r>
      <w:r>
        <w:rPr>
          <w:rFonts w:cs="Times New Roman"/>
          <w:lang w:val="fr-CA"/>
        </w:rPr>
        <w:t> :</w:t>
      </w:r>
    </w:p>
    <w:p w:rsidR="0041746D" w:rsidRPr="008675BA" w:rsidRDefault="0041746D" w:rsidP="00234067">
      <w:pPr>
        <w:pStyle w:val="ParaNoNdepar-AltN"/>
        <w:numPr>
          <w:ilvl w:val="1"/>
          <w:numId w:val="1"/>
        </w:numPr>
        <w:ind w:hanging="720"/>
        <w:rPr>
          <w:rFonts w:cs="Times New Roman"/>
          <w:lang w:val="fr-CA"/>
        </w:rPr>
      </w:pPr>
      <w:r w:rsidRPr="008675BA">
        <w:rPr>
          <w:rFonts w:cs="Times New Roman"/>
          <w:lang w:val="fr-CA"/>
        </w:rPr>
        <w:t>En 2004, peu après la recommandation initiale par M</w:t>
      </w:r>
      <w:r w:rsidRPr="008675BA">
        <w:rPr>
          <w:rFonts w:cs="Times New Roman"/>
          <w:vertAlign w:val="superscript"/>
          <w:lang w:val="fr-CA"/>
        </w:rPr>
        <w:t>e</w:t>
      </w:r>
      <w:r w:rsidRPr="008675BA">
        <w:rPr>
          <w:rFonts w:cs="Times New Roman"/>
          <w:lang w:val="fr-CA"/>
        </w:rPr>
        <w:t> Salomon,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investit 1 245 000</w:t>
      </w:r>
      <w:r>
        <w:rPr>
          <w:rFonts w:cs="Times New Roman"/>
          <w:lang w:val="fr-CA"/>
        </w:rPr>
        <w:t> $</w:t>
      </w:r>
      <w:r w:rsidRPr="008675BA">
        <w:rPr>
          <w:rFonts w:cs="Times New Roman"/>
          <w:lang w:val="fr-CA"/>
        </w:rPr>
        <w:t xml:space="preserve"> (plus de 90 % de ses fonds personnels) dans un véhicule légitime et approprié, le fonds Manulife, sur la recommandation de M</w:t>
      </w:r>
      <w:r w:rsidRPr="008675BA">
        <w:rPr>
          <w:rFonts w:cs="Times New Roman"/>
          <w:vertAlign w:val="superscript"/>
          <w:lang w:val="fr-CA"/>
        </w:rPr>
        <w:t>e</w:t>
      </w:r>
      <w:r w:rsidRPr="008675BA">
        <w:rPr>
          <w:rFonts w:cs="Times New Roman"/>
          <w:lang w:val="fr-CA"/>
        </w:rPr>
        <w:t xml:space="preserve"> Salomon ainsi que de Triglobal (motifs de première instance, </w:t>
      </w:r>
      <w:r>
        <w:rPr>
          <w:rFonts w:cs="Times New Roman"/>
          <w:lang w:val="fr-CA"/>
        </w:rPr>
        <w:t>par. </w:t>
      </w:r>
      <w:r w:rsidRPr="008675BA">
        <w:rPr>
          <w:rFonts w:cs="Times New Roman"/>
          <w:lang w:val="fr-CA"/>
        </w:rPr>
        <w:t>178</w:t>
      </w:r>
      <w:r>
        <w:rPr>
          <w:rFonts w:cs="Times New Roman"/>
          <w:lang w:val="fr-CA"/>
        </w:rPr>
        <w:noBreakHyphen/>
      </w:r>
      <w:r w:rsidRPr="008675BA">
        <w:rPr>
          <w:rFonts w:cs="Times New Roman"/>
          <w:lang w:val="fr-CA"/>
        </w:rPr>
        <w:t xml:space="preserve">181 et 200); </w:t>
      </w:r>
    </w:p>
    <w:p w:rsidR="0041746D" w:rsidRPr="008675BA" w:rsidRDefault="0041746D" w:rsidP="00234067">
      <w:pPr>
        <w:pStyle w:val="ParaNoNdepar-AltN"/>
        <w:numPr>
          <w:ilvl w:val="1"/>
          <w:numId w:val="1"/>
        </w:numPr>
        <w:ind w:hanging="720"/>
        <w:rPr>
          <w:rFonts w:cs="Times New Roman"/>
          <w:lang w:val="fr-CA"/>
        </w:rPr>
      </w:pPr>
      <w:r w:rsidRPr="008675BA">
        <w:rPr>
          <w:rFonts w:cs="Times New Roman"/>
          <w:lang w:val="fr-CA"/>
        </w:rPr>
        <w:t>Au moment où elle fait ce placement,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remplit aussi, directement auprès de Triglobal, un formulaire d’information sur les clients indiquant ses objectifs en matière de placements (</w:t>
      </w:r>
      <w:r>
        <w:rPr>
          <w:rFonts w:cs="Times New Roman"/>
          <w:lang w:val="fr-CA"/>
        </w:rPr>
        <w:t>par. </w:t>
      </w:r>
      <w:r w:rsidRPr="008675BA">
        <w:rPr>
          <w:rFonts w:cs="Times New Roman"/>
          <w:lang w:val="fr-CA"/>
        </w:rPr>
        <w:t xml:space="preserve">181); </w:t>
      </w:r>
    </w:p>
    <w:p w:rsidR="0041746D" w:rsidRPr="008675BA" w:rsidRDefault="0041746D" w:rsidP="00234067">
      <w:pPr>
        <w:pStyle w:val="ParaNoNdepar-AltN"/>
        <w:numPr>
          <w:ilvl w:val="1"/>
          <w:numId w:val="1"/>
        </w:numPr>
        <w:ind w:hanging="720"/>
        <w:rPr>
          <w:rFonts w:cs="Times New Roman"/>
          <w:lang w:val="fr-CA"/>
        </w:rPr>
      </w:pPr>
      <w:r w:rsidRPr="008675BA">
        <w:rPr>
          <w:rFonts w:cs="Times New Roman"/>
          <w:lang w:val="fr-CA"/>
        </w:rPr>
        <w:t>Dans les mois suivants, elle prend la décision de transférer 400 000</w:t>
      </w:r>
      <w:r>
        <w:rPr>
          <w:rFonts w:cs="Times New Roman"/>
          <w:lang w:val="fr-CA"/>
        </w:rPr>
        <w:t> $</w:t>
      </w:r>
      <w:r w:rsidRPr="008675BA">
        <w:rPr>
          <w:rFonts w:cs="Times New Roman"/>
          <w:lang w:val="fr-CA"/>
        </w:rPr>
        <w:t xml:space="preserve"> du fonds Manulife au fonds iVest. Elle traite alors déjà directement avec Triglobal et n’a pas consulté M</w:t>
      </w:r>
      <w:r w:rsidRPr="008675BA">
        <w:rPr>
          <w:rFonts w:cs="Times New Roman"/>
          <w:vertAlign w:val="superscript"/>
          <w:lang w:val="fr-CA"/>
        </w:rPr>
        <w:t>e</w:t>
      </w:r>
      <w:r w:rsidRPr="008675BA">
        <w:rPr>
          <w:rFonts w:cs="Times New Roman"/>
          <w:lang w:val="fr-CA"/>
        </w:rPr>
        <w:t xml:space="preserve"> Salomon (motifs de première instance, </w:t>
      </w:r>
      <w:r>
        <w:rPr>
          <w:rFonts w:cs="Times New Roman"/>
          <w:lang w:val="fr-CA"/>
        </w:rPr>
        <w:t>par. </w:t>
      </w:r>
      <w:r w:rsidRPr="008675BA">
        <w:rPr>
          <w:rFonts w:cs="Times New Roman"/>
          <w:lang w:val="fr-CA"/>
        </w:rPr>
        <w:t>201</w:t>
      </w:r>
      <w:r>
        <w:rPr>
          <w:rFonts w:cs="Times New Roman"/>
          <w:lang w:val="fr-CA"/>
        </w:rPr>
        <w:noBreakHyphen/>
      </w:r>
      <w:r w:rsidRPr="008675BA">
        <w:rPr>
          <w:rFonts w:cs="Times New Roman"/>
          <w:lang w:val="fr-CA"/>
        </w:rPr>
        <w:t xml:space="preserve">202); </w:t>
      </w:r>
    </w:p>
    <w:p w:rsidR="0041746D" w:rsidRPr="008675BA" w:rsidRDefault="0041746D" w:rsidP="0041746D">
      <w:pPr>
        <w:pStyle w:val="ParaNoNdepar-AltN"/>
        <w:numPr>
          <w:ilvl w:val="1"/>
          <w:numId w:val="1"/>
        </w:numPr>
        <w:rPr>
          <w:rFonts w:cs="Times New Roman"/>
          <w:lang w:val="fr-CA"/>
        </w:rPr>
      </w:pPr>
      <w:r w:rsidRPr="008675BA">
        <w:rPr>
          <w:rFonts w:cs="Times New Roman"/>
          <w:lang w:val="fr-CA"/>
        </w:rPr>
        <w:t>À l’automne 2005,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est</w:t>
      </w:r>
      <w:r w:rsidR="00234067">
        <w:rPr>
          <w:rFonts w:cs="Times New Roman"/>
          <w:lang w:val="fr-CA"/>
        </w:rPr>
        <w:t xml:space="preserve"> [</w:t>
      </w:r>
      <w:r w:rsidR="00234067" w:rsidRPr="00234067">
        <w:rPr>
          <w:rFonts w:cs="Times New Roman"/>
          <w:smallCaps/>
          <w:lang w:val="fr-CA"/>
        </w:rPr>
        <w:t>traduction</w:t>
      </w:r>
      <w:r w:rsidR="00234067">
        <w:rPr>
          <w:rFonts w:cs="Times New Roman"/>
          <w:lang w:val="fr-CA"/>
        </w:rPr>
        <w:t>]</w:t>
      </w:r>
      <w:r w:rsidRPr="008675BA">
        <w:rPr>
          <w:rFonts w:cs="Times New Roman"/>
          <w:lang w:val="fr-CA"/>
        </w:rPr>
        <w:t xml:space="preserve"> « satisfaite » de ses placements auprès de Triglobal, de telle sorte qu’elle décide, compte tenu de sa « bonne relation » avec M. Papadopoulos, d’investir le produit de la vente </w:t>
      </w:r>
      <w:r w:rsidRPr="008675BA">
        <w:rPr>
          <w:rFonts w:cs="Times New Roman"/>
          <w:lang w:val="fr-CA"/>
        </w:rPr>
        <w:lastRenderedPageBreak/>
        <w:t xml:space="preserve">des actifs de 166 auprès de sa firme (motifs de première instance, </w:t>
      </w:r>
      <w:r>
        <w:rPr>
          <w:rFonts w:cs="Times New Roman"/>
          <w:lang w:val="fr-CA"/>
        </w:rPr>
        <w:t>par. </w:t>
      </w:r>
      <w:r w:rsidRPr="008675BA">
        <w:rPr>
          <w:rFonts w:cs="Times New Roman"/>
          <w:lang w:val="fr-CA"/>
        </w:rPr>
        <w:t xml:space="preserve">288; d.a., </w:t>
      </w:r>
      <w:r>
        <w:rPr>
          <w:rFonts w:cs="Times New Roman"/>
          <w:lang w:val="fr-CA"/>
        </w:rPr>
        <w:t>vol. </w:t>
      </w:r>
      <w:r w:rsidRPr="008675BA">
        <w:rPr>
          <w:rFonts w:cs="Times New Roman"/>
          <w:lang w:val="fr-CA"/>
        </w:rPr>
        <w:t xml:space="preserve">7, </w:t>
      </w:r>
      <w:r>
        <w:rPr>
          <w:rFonts w:cs="Times New Roman"/>
          <w:lang w:val="fr-CA"/>
        </w:rPr>
        <w:t>p. </w:t>
      </w:r>
      <w:r w:rsidRPr="008675BA">
        <w:rPr>
          <w:rFonts w:cs="Times New Roman"/>
          <w:lang w:val="fr-CA"/>
        </w:rPr>
        <w:t>2603</w:t>
      </w:r>
      <w:r>
        <w:rPr>
          <w:rFonts w:cs="Times New Roman"/>
          <w:lang w:val="fr-CA"/>
        </w:rPr>
        <w:noBreakHyphen/>
      </w:r>
      <w:r w:rsidRPr="008675BA">
        <w:rPr>
          <w:rFonts w:cs="Times New Roman"/>
          <w:lang w:val="fr-CA"/>
        </w:rPr>
        <w:t xml:space="preserve">2604); </w:t>
      </w:r>
    </w:p>
    <w:p w:rsidR="0041746D" w:rsidRPr="008675BA" w:rsidRDefault="0041746D" w:rsidP="00234067">
      <w:pPr>
        <w:pStyle w:val="ParaNoNdepar-AltN"/>
        <w:numPr>
          <w:ilvl w:val="1"/>
          <w:numId w:val="1"/>
        </w:numPr>
        <w:ind w:hanging="720"/>
        <w:rPr>
          <w:rFonts w:cs="Times New Roman"/>
          <w:lang w:val="fr-CA"/>
        </w:rPr>
      </w:pPr>
      <w:r w:rsidRPr="008675BA">
        <w:rPr>
          <w:rFonts w:cs="Times New Roman"/>
          <w:lang w:val="fr-CA"/>
        </w:rPr>
        <w:t>Au début de 2006,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 xml:space="preserve">Thompson, une </w:t>
      </w:r>
      <w:r w:rsidR="00234067">
        <w:rPr>
          <w:rFonts w:cs="Times New Roman"/>
          <w:lang w:val="fr-CA"/>
        </w:rPr>
        <w:t>[</w:t>
      </w:r>
      <w:r w:rsidR="00234067" w:rsidRPr="00234067">
        <w:rPr>
          <w:rFonts w:cs="Times New Roman"/>
          <w:smallCaps/>
          <w:lang w:val="fr-CA"/>
        </w:rPr>
        <w:t>traduction</w:t>
      </w:r>
      <w:r w:rsidR="00234067">
        <w:rPr>
          <w:rFonts w:cs="Times New Roman"/>
          <w:lang w:val="fr-CA"/>
        </w:rPr>
        <w:t xml:space="preserve">] </w:t>
      </w:r>
      <w:r w:rsidRPr="008675BA">
        <w:rPr>
          <w:rFonts w:cs="Times New Roman"/>
          <w:lang w:val="fr-CA"/>
        </w:rPr>
        <w:t xml:space="preserve">« femme d’affaires instruite », transfère des fonds personnels ainsi que des fonds de 166 dans le fonds Focus, sans consulter personne d’autre que Triglobal et sans effectuer de recherches (motifs de première instance, </w:t>
      </w:r>
      <w:r>
        <w:rPr>
          <w:rFonts w:cs="Times New Roman"/>
          <w:lang w:val="fr-CA"/>
        </w:rPr>
        <w:t>par. </w:t>
      </w:r>
      <w:r w:rsidRPr="008675BA">
        <w:rPr>
          <w:rFonts w:cs="Times New Roman"/>
          <w:lang w:val="fr-CA"/>
        </w:rPr>
        <w:t>204</w:t>
      </w:r>
      <w:r>
        <w:rPr>
          <w:rFonts w:cs="Times New Roman"/>
          <w:lang w:val="fr-CA"/>
        </w:rPr>
        <w:noBreakHyphen/>
      </w:r>
      <w:r w:rsidRPr="008675BA">
        <w:rPr>
          <w:rFonts w:cs="Times New Roman"/>
          <w:lang w:val="fr-CA"/>
        </w:rPr>
        <w:t>210 et 289);</w:t>
      </w:r>
    </w:p>
    <w:p w:rsidR="0041746D" w:rsidRPr="008675BA" w:rsidRDefault="0041746D" w:rsidP="00234067">
      <w:pPr>
        <w:pStyle w:val="ParaNoNdepar-AltN"/>
        <w:numPr>
          <w:ilvl w:val="1"/>
          <w:numId w:val="1"/>
        </w:numPr>
        <w:ind w:hanging="720"/>
        <w:rPr>
          <w:rFonts w:cs="Times New Roman"/>
          <w:lang w:val="fr-CA"/>
        </w:rPr>
      </w:pPr>
      <w:r w:rsidRPr="008675BA">
        <w:rPr>
          <w:rFonts w:cs="Times New Roman"/>
          <w:lang w:val="fr-CA"/>
        </w:rPr>
        <w:t>En avril 2006 et au cours des mois qui suivent, quand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commence à exprimer des préoccupations au sujet des investissements dans le fonds Focus et demande l’avis de M</w:t>
      </w:r>
      <w:r w:rsidRPr="008675BA">
        <w:rPr>
          <w:rFonts w:cs="Times New Roman"/>
          <w:vertAlign w:val="superscript"/>
          <w:lang w:val="fr-CA"/>
        </w:rPr>
        <w:t>e</w:t>
      </w:r>
      <w:r w:rsidRPr="008675BA">
        <w:rPr>
          <w:rFonts w:cs="Times New Roman"/>
          <w:lang w:val="fr-CA"/>
        </w:rPr>
        <w:t xml:space="preserve"> Salomon en tant qu’« ami » et « à titre personnel », c’est principalement M. Papadopoulos qui la rassure (voir, </w:t>
      </w:r>
      <w:r>
        <w:rPr>
          <w:rFonts w:cs="Times New Roman"/>
          <w:lang w:val="fr-CA"/>
        </w:rPr>
        <w:t>p. </w:t>
      </w:r>
      <w:r w:rsidRPr="008675BA">
        <w:rPr>
          <w:rFonts w:cs="Times New Roman"/>
          <w:lang w:val="fr-CA"/>
        </w:rPr>
        <w:t xml:space="preserve">ex., motifs de première instance, </w:t>
      </w:r>
      <w:r>
        <w:rPr>
          <w:rFonts w:cs="Times New Roman"/>
          <w:lang w:val="fr-CA"/>
        </w:rPr>
        <w:t>par. </w:t>
      </w:r>
      <w:r w:rsidRPr="008675BA">
        <w:rPr>
          <w:rFonts w:cs="Times New Roman"/>
          <w:lang w:val="fr-CA"/>
        </w:rPr>
        <w:t>228, 233, 238 et 247).</w:t>
      </w:r>
    </w:p>
    <w:p w:rsidR="0041746D" w:rsidRPr="008675BA" w:rsidRDefault="0041746D" w:rsidP="0041746D">
      <w:pPr>
        <w:pStyle w:val="ParaNoNdepar-AltN"/>
        <w:rPr>
          <w:rFonts w:cs="Times New Roman"/>
          <w:lang w:val="fr-CA"/>
        </w:rPr>
      </w:pPr>
      <w:r w:rsidRPr="008675BA">
        <w:rPr>
          <w:rFonts w:cs="Times New Roman"/>
          <w:lang w:val="fr-CA"/>
        </w:rPr>
        <w:t>La juge du procès devait tirer une ligne quelque p</w:t>
      </w:r>
      <w:r>
        <w:rPr>
          <w:rFonts w:cs="Times New Roman"/>
          <w:lang w:val="fr-CA"/>
        </w:rPr>
        <w:t>art. </w:t>
      </w:r>
      <w:r w:rsidRPr="008675BA">
        <w:rPr>
          <w:rFonts w:cs="Times New Roman"/>
          <w:lang w:val="fr-CA"/>
        </w:rPr>
        <w:t>Ainsi, elle conclut que la fraude est la seule véritable cause des pertes, et donc que la recommandation de Triglobal et de M. Papadopoulos par M</w:t>
      </w:r>
      <w:r w:rsidRPr="008675BA">
        <w:rPr>
          <w:rFonts w:cs="Times New Roman"/>
          <w:vertAlign w:val="superscript"/>
          <w:lang w:val="fr-CA"/>
        </w:rPr>
        <w:t>e</w:t>
      </w:r>
      <w:r w:rsidRPr="008675BA">
        <w:rPr>
          <w:rFonts w:cs="Times New Roman"/>
          <w:lang w:val="fr-CA"/>
        </w:rPr>
        <w:t xml:space="preserve"> Salomon n’est pas une cause </w:t>
      </w:r>
      <w:r w:rsidRPr="008675BA">
        <w:rPr>
          <w:rFonts w:cs="Times New Roman"/>
          <w:i/>
          <w:lang w:val="fr-CA"/>
        </w:rPr>
        <w:t>logique</w:t>
      </w:r>
      <w:r w:rsidRPr="008675BA">
        <w:rPr>
          <w:rFonts w:cs="Times New Roman"/>
          <w:lang w:val="fr-CA"/>
        </w:rPr>
        <w:t xml:space="preserve">, </w:t>
      </w:r>
      <w:r w:rsidRPr="008675BA">
        <w:rPr>
          <w:rFonts w:cs="Times New Roman"/>
          <w:i/>
          <w:lang w:val="fr-CA"/>
        </w:rPr>
        <w:t xml:space="preserve">directe </w:t>
      </w:r>
      <w:r w:rsidRPr="008675BA">
        <w:rPr>
          <w:rFonts w:cs="Times New Roman"/>
          <w:lang w:val="fr-CA"/>
        </w:rPr>
        <w:t>et</w:t>
      </w:r>
      <w:r w:rsidRPr="008675BA">
        <w:rPr>
          <w:rFonts w:cs="Times New Roman"/>
          <w:i/>
          <w:lang w:val="fr-CA"/>
        </w:rPr>
        <w:t xml:space="preserve"> immédiate</w:t>
      </w:r>
      <w:r w:rsidRPr="008675BA">
        <w:rPr>
          <w:rFonts w:cs="Times New Roman"/>
          <w:lang w:val="fr-CA"/>
        </w:rPr>
        <w:t xml:space="preserve"> des pertes. Au moment où les intimées ont investi dans le fonds Focus, elles avaient déjà formé leur propre opinion sur la compétence et la probité de leurs conseillers financiers, qui ne reposait pas sur la recommandation initiale de M</w:t>
      </w:r>
      <w:r w:rsidRPr="008675BA">
        <w:rPr>
          <w:rFonts w:cs="Times New Roman"/>
          <w:vertAlign w:val="superscript"/>
          <w:lang w:val="fr-CA"/>
        </w:rPr>
        <w:t>e</w:t>
      </w:r>
      <w:r w:rsidRPr="008675BA">
        <w:rPr>
          <w:rFonts w:cs="Times New Roman"/>
          <w:lang w:val="fr-CA"/>
        </w:rPr>
        <w:t xml:space="preserve"> Salomon ou ses assurances ultérieures. Contrairement à ce qu’affirment la Cour d’appel et mon collègue, cette conclusion n’équivaut pas à dire que la fraude en soi constituait un </w:t>
      </w:r>
      <w:r w:rsidRPr="008675BA">
        <w:rPr>
          <w:rFonts w:cs="Times New Roman"/>
          <w:i/>
          <w:lang w:val="fr-CA"/>
        </w:rPr>
        <w:t>novus actus interveniens</w:t>
      </w:r>
      <w:r w:rsidRPr="008675BA">
        <w:rPr>
          <w:rFonts w:cs="Times New Roman"/>
          <w:lang w:val="fr-CA"/>
        </w:rPr>
        <w:t xml:space="preserve">. Elle découle plutôt de l’examen attentif par la juge du procès de la séquence des événements qui ont mené au préjudice. On peut être en désaccord avec son appréciation, mais il n’en demeure pas moins qu’un lien causal </w:t>
      </w:r>
      <w:r w:rsidRPr="008675BA">
        <w:rPr>
          <w:rFonts w:cs="Times New Roman"/>
          <w:lang w:val="fr-CA"/>
        </w:rPr>
        <w:lastRenderedPageBreak/>
        <w:t>direct doit être rompu à un certain moment. Autrement, l’avocat qui fait une recommandation erronée deviendrait garant des services des professionnels qu’il a recommandés pour les années à venir, pour une période indéterminée. Je ne dis pas qu’un avocat qui recommande un autre professionnel ne sera jamais responsable des fautes de ce dernier. Dans la présente affaire, par exemple, l’issue aurait pu être différente si les intimées n’avaient pas développé au fil du temps leur propre relation indépendante avec leurs conseillers financiers. En d’autres termes, la responsabilité dépend des circonstances et on ne peut énoncer une règle rigide et stricte. En l’espèce, la juge du procès est la mieux placée pour évaluer le lien de causalité et elle conclut que la seule cause véritable des pertes est la fraude. Je ne vois aucune raison de modifier cette conclusion.</w:t>
      </w:r>
    </w:p>
    <w:p w:rsidR="0041746D" w:rsidRPr="008675BA" w:rsidRDefault="0041746D" w:rsidP="0041746D">
      <w:pPr>
        <w:pStyle w:val="ParaNoNdepar-AltN"/>
        <w:rPr>
          <w:rFonts w:cs="Times New Roman"/>
          <w:lang w:val="fr-CA"/>
        </w:rPr>
      </w:pPr>
      <w:r w:rsidRPr="008675BA">
        <w:rPr>
          <w:rFonts w:cs="Times New Roman"/>
          <w:lang w:val="fr-CA"/>
        </w:rPr>
        <w:t>Mon collègue soutient que les intimées étaient en droit de se fonder sur la recommandation de M</w:t>
      </w:r>
      <w:r w:rsidRPr="008675BA">
        <w:rPr>
          <w:rFonts w:cs="Times New Roman"/>
          <w:vertAlign w:val="superscript"/>
          <w:lang w:val="fr-CA"/>
        </w:rPr>
        <w:t>e</w:t>
      </w:r>
      <w:r w:rsidRPr="008675BA">
        <w:rPr>
          <w:rFonts w:cs="Times New Roman"/>
          <w:lang w:val="fr-CA"/>
        </w:rPr>
        <w:t> Salomon et ses assurances ultérieures en raison de leur relation avocat</w:t>
      </w:r>
      <w:r>
        <w:rPr>
          <w:rFonts w:cs="Times New Roman"/>
          <w:lang w:val="fr-CA"/>
        </w:rPr>
        <w:noBreakHyphen/>
      </w:r>
      <w:r w:rsidRPr="008675BA">
        <w:rPr>
          <w:rFonts w:cs="Times New Roman"/>
          <w:lang w:val="fr-CA"/>
        </w:rPr>
        <w:t>client et que leur propre « imprudence » — c’est</w:t>
      </w:r>
      <w:r>
        <w:rPr>
          <w:rFonts w:cs="Times New Roman"/>
          <w:lang w:val="fr-CA"/>
        </w:rPr>
        <w:noBreakHyphen/>
      </w:r>
      <w:r w:rsidRPr="008675BA">
        <w:rPr>
          <w:rFonts w:cs="Times New Roman"/>
          <w:lang w:val="fr-CA"/>
        </w:rPr>
        <w:t>à</w:t>
      </w:r>
      <w:r>
        <w:rPr>
          <w:rFonts w:cs="Times New Roman"/>
          <w:lang w:val="fr-CA"/>
        </w:rPr>
        <w:noBreakHyphen/>
      </w:r>
      <w:r w:rsidRPr="008675BA">
        <w:rPr>
          <w:rFonts w:cs="Times New Roman"/>
          <w:lang w:val="fr-CA"/>
        </w:rPr>
        <w:t>dire leur décision de transférer des placements dans le fonds Focus sans consulter qui que ce soit et sans faire de recherches</w:t>
      </w:r>
      <w:r>
        <w:rPr>
          <w:rFonts w:cs="Times New Roman"/>
          <w:lang w:val="fr-CA"/>
        </w:rPr>
        <w:t xml:space="preserve"> </w:t>
      </w:r>
      <w:r w:rsidRPr="008675BA">
        <w:rPr>
          <w:rFonts w:cs="Times New Roman"/>
          <w:lang w:val="fr-CA"/>
        </w:rPr>
        <w:t>— n’est donc pas pertinente (</w:t>
      </w:r>
      <w:r>
        <w:rPr>
          <w:rFonts w:cs="Times New Roman"/>
          <w:lang w:val="fr-CA"/>
        </w:rPr>
        <w:t>par. </w:t>
      </w:r>
      <w:r w:rsidRPr="008675BA">
        <w:rPr>
          <w:rFonts w:cs="Times New Roman"/>
          <w:lang w:val="fr-CA"/>
        </w:rPr>
        <w:t xml:space="preserve">90). Cela peut parfois être le cas lorsqu’un avocat donne un conseil juridique particulier dans son domaine d’expertise; on ne peut pas s’attendre à ce que le client remette en question un tel conseil. Je ne peux cependant pas accepter que ce principe s’applique à la recommandation d’un autre professionnel. Les intimées ne pouvaient pas supposer que Triglobal et M. Padapopoulos agiraient </w:t>
      </w:r>
      <w:r w:rsidRPr="008675BA">
        <w:rPr>
          <w:rFonts w:cs="Times New Roman"/>
          <w:i/>
          <w:lang w:val="fr-CA"/>
        </w:rPr>
        <w:t>toujours</w:t>
      </w:r>
      <w:r w:rsidRPr="008675BA">
        <w:rPr>
          <w:rFonts w:cs="Times New Roman"/>
          <w:lang w:val="fr-CA"/>
        </w:rPr>
        <w:t xml:space="preserve"> comme des conseillers financiers compétents et prudents et que tous leurs conseils seraient appropriés simplement parce que M</w:t>
      </w:r>
      <w:r w:rsidRPr="008675BA">
        <w:rPr>
          <w:rFonts w:cs="Times New Roman"/>
          <w:vertAlign w:val="superscript"/>
          <w:lang w:val="fr-CA"/>
        </w:rPr>
        <w:t>e</w:t>
      </w:r>
      <w:r w:rsidRPr="008675BA">
        <w:rPr>
          <w:rFonts w:cs="Times New Roman"/>
          <w:lang w:val="fr-CA"/>
        </w:rPr>
        <w:t> Salomon a exprimé sa confiance en eux.</w:t>
      </w:r>
    </w:p>
    <w:p w:rsidR="0041746D" w:rsidRPr="008675BA" w:rsidRDefault="0041746D" w:rsidP="0041746D">
      <w:pPr>
        <w:pStyle w:val="Title4LevelTitre4Niveau"/>
        <w:numPr>
          <w:ilvl w:val="3"/>
          <w:numId w:val="25"/>
        </w:numPr>
        <w:rPr>
          <w:rFonts w:cs="Times New Roman"/>
          <w:lang w:val="fr-CA"/>
        </w:rPr>
      </w:pPr>
      <w:r w:rsidRPr="008675BA">
        <w:rPr>
          <w:rFonts w:cs="Times New Roman"/>
          <w:lang w:val="fr-CA"/>
        </w:rPr>
        <w:lastRenderedPageBreak/>
        <w:t>Recommandation d’iVest</w:t>
      </w:r>
    </w:p>
    <w:p w:rsidR="0041746D" w:rsidRPr="008675BA" w:rsidRDefault="0041746D" w:rsidP="0041746D">
      <w:pPr>
        <w:pStyle w:val="ParaNoNdepar-AltN"/>
        <w:rPr>
          <w:rFonts w:cs="Times New Roman"/>
          <w:lang w:val="fr-CA"/>
        </w:rPr>
      </w:pPr>
      <w:r w:rsidRPr="008675BA">
        <w:rPr>
          <w:rFonts w:cs="Times New Roman"/>
          <w:lang w:val="fr-CA"/>
        </w:rPr>
        <w:t>J’examinerai maintenant les fautes que la juge du procès relève, lesquelles ont uniquement trait à la recommandation expresse de M</w:t>
      </w:r>
      <w:r w:rsidRPr="008675BA">
        <w:rPr>
          <w:rFonts w:cs="Times New Roman"/>
          <w:vertAlign w:val="superscript"/>
          <w:lang w:val="fr-CA"/>
        </w:rPr>
        <w:t>e</w:t>
      </w:r>
      <w:r w:rsidRPr="008675BA">
        <w:rPr>
          <w:rFonts w:cs="Times New Roman"/>
          <w:lang w:val="fr-CA"/>
        </w:rPr>
        <w:t> Salomon concernant les fonds Manulife et iVest. Or, comme nous le savons, les pertes des intimées découlent principalement de leurs investissements dans Focus</w:t>
      </w:r>
      <w:r w:rsidRPr="008675BA">
        <w:rPr>
          <w:rFonts w:cs="Times New Roman"/>
          <w:i/>
          <w:lang w:val="fr-CA"/>
        </w:rPr>
        <w:t>,</w:t>
      </w:r>
      <w:r w:rsidRPr="008675BA">
        <w:rPr>
          <w:rFonts w:cs="Times New Roman"/>
          <w:lang w:val="fr-CA"/>
        </w:rPr>
        <w:t xml:space="preserve"> fonds que M</w:t>
      </w:r>
      <w:r w:rsidRPr="008675BA">
        <w:rPr>
          <w:rFonts w:cs="Times New Roman"/>
          <w:vertAlign w:val="superscript"/>
          <w:lang w:val="fr-CA"/>
        </w:rPr>
        <w:t>e</w:t>
      </w:r>
      <w:r w:rsidRPr="008675BA">
        <w:rPr>
          <w:rFonts w:cs="Times New Roman"/>
          <w:lang w:val="fr-CA"/>
        </w:rPr>
        <w:t> Salomon n’a pas recommandé, au sujet duquel il n’a pas été consulté et qu’il n’avait aucune obligation de vérifier. Plus précisément, la décision des intimées d’investir dans Focus a été prise par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sans aucun conseil de M</w:t>
      </w:r>
      <w:r w:rsidRPr="008675BA">
        <w:rPr>
          <w:rFonts w:cs="Times New Roman"/>
          <w:vertAlign w:val="superscript"/>
          <w:lang w:val="fr-CA"/>
        </w:rPr>
        <w:t>e</w:t>
      </w:r>
      <w:r w:rsidRPr="008675BA">
        <w:rPr>
          <w:rFonts w:cs="Times New Roman"/>
          <w:lang w:val="fr-CA"/>
        </w:rPr>
        <w:t> Salomon à cet égard. Comme l’a expliqué la juge du procès</w:t>
      </w:r>
      <w:r>
        <w:rPr>
          <w:rFonts w:cs="Times New Roman"/>
          <w:lang w:val="fr-CA"/>
        </w:rPr>
        <w:t> :</w:t>
      </w:r>
    </w:p>
    <w:p w:rsidR="0041746D" w:rsidRPr="008675BA" w:rsidRDefault="0041746D" w:rsidP="0041746D">
      <w:pPr>
        <w:pStyle w:val="Citation-AltC"/>
        <w:spacing w:after="240"/>
        <w:ind w:left="1168" w:hanging="1168"/>
        <w:contextualSpacing w:val="0"/>
        <w:rPr>
          <w:lang w:val="fr-CA"/>
        </w:rPr>
      </w:pPr>
      <w:r w:rsidRPr="008675BA">
        <w:rPr>
          <w:lang w:val="fr-CA"/>
        </w:rPr>
        <w:tab/>
      </w:r>
      <w:r w:rsidRPr="008675BA">
        <w:rPr>
          <w:lang w:val="fr-CA"/>
        </w:rPr>
        <w:tab/>
      </w:r>
      <w:r w:rsidR="00234067" w:rsidRPr="008675BA">
        <w:rPr>
          <w:lang w:val="fr-CA"/>
        </w:rPr>
        <w:t>[</w:t>
      </w:r>
      <w:r w:rsidR="00234067" w:rsidRPr="008675BA">
        <w:rPr>
          <w:smallCaps/>
          <w:lang w:val="fr-CA"/>
        </w:rPr>
        <w:t>traduction</w:t>
      </w:r>
      <w:r w:rsidR="00234067" w:rsidRPr="008675BA">
        <w:rPr>
          <w:lang w:val="fr-CA"/>
        </w:rPr>
        <w:t>]</w:t>
      </w:r>
      <w:r w:rsidR="00234067">
        <w:rPr>
          <w:lang w:val="fr-CA"/>
        </w:rPr>
        <w:t xml:space="preserve"> </w:t>
      </w:r>
      <w:r w:rsidRPr="008675BA">
        <w:rPr>
          <w:u w:val="single"/>
          <w:lang w:val="fr-CA"/>
        </w:rPr>
        <w:t>Même si la Cour conclut que [M</w:t>
      </w:r>
      <w:r w:rsidRPr="008675BA">
        <w:rPr>
          <w:u w:val="single"/>
          <w:vertAlign w:val="superscript"/>
          <w:lang w:val="fr-CA"/>
        </w:rPr>
        <w:t>e</w:t>
      </w:r>
      <w:r w:rsidRPr="008675BA">
        <w:rPr>
          <w:u w:val="single"/>
          <w:lang w:val="fr-CA"/>
        </w:rPr>
        <w:t>] Salomon a été négligent lorsqu’il a rassuré M</w:t>
      </w:r>
      <w:r w:rsidRPr="008675BA">
        <w:rPr>
          <w:u w:val="single"/>
          <w:vertAlign w:val="superscript"/>
          <w:lang w:val="fr-CA"/>
        </w:rPr>
        <w:t>me</w:t>
      </w:r>
      <w:r w:rsidRPr="008675BA">
        <w:rPr>
          <w:u w:val="single"/>
          <w:lang w:val="fr-CA"/>
        </w:rPr>
        <w:t> Thompson au sujet des placements iVest, cette négligence n’a aucun lien causal avec la perte qu’elle a subie à la suite de ses investissements dans Focus.</w:t>
      </w:r>
      <w:r w:rsidRPr="008675BA">
        <w:rPr>
          <w:lang w:val="fr-CA"/>
        </w:rPr>
        <w:t xml:space="preserve"> La preuve indique que [M</w:t>
      </w:r>
      <w:r w:rsidRPr="008675BA">
        <w:rPr>
          <w:vertAlign w:val="superscript"/>
          <w:lang w:val="fr-CA"/>
        </w:rPr>
        <w:t>e</w:t>
      </w:r>
      <w:r w:rsidRPr="008675BA">
        <w:rPr>
          <w:lang w:val="fr-CA"/>
        </w:rPr>
        <w:t>] Salomon n’a jamais participé à la décision de transférer les placements dans les fonds Focus. Il n’a pas été consulté et n’a jamais fait aucune recommandation en ce qui a trait à la sécurité offerte par les placements effectués auprès de Focus.</w:t>
      </w:r>
    </w:p>
    <w:p w:rsidR="0041746D" w:rsidRPr="008675BA" w:rsidRDefault="0041746D" w:rsidP="0041746D">
      <w:pPr>
        <w:pStyle w:val="Citation-AltC"/>
        <w:spacing w:after="240"/>
        <w:ind w:left="1168" w:hanging="1168"/>
        <w:contextualSpacing w:val="0"/>
        <w:rPr>
          <w:lang w:val="fr-CA"/>
        </w:rPr>
      </w:pPr>
      <w:r w:rsidRPr="008675BA">
        <w:rPr>
          <w:lang w:val="fr-CA"/>
        </w:rPr>
        <w:tab/>
      </w:r>
      <w:r w:rsidRPr="008675BA">
        <w:rPr>
          <w:lang w:val="fr-CA"/>
        </w:rPr>
        <w:tab/>
        <w:t>Au moment où a été prise la décision de transférer les placements personnels de M</w:t>
      </w:r>
      <w:r w:rsidRPr="008675BA">
        <w:rPr>
          <w:vertAlign w:val="superscript"/>
          <w:lang w:val="fr-CA"/>
        </w:rPr>
        <w:t>me</w:t>
      </w:r>
      <w:r w:rsidRPr="008675BA">
        <w:rPr>
          <w:lang w:val="fr-CA"/>
        </w:rPr>
        <w:t> Thompson dans Focus, cette dernière traitait directement avec le conseiller financier et la plupart du temps, [M</w:t>
      </w:r>
      <w:r w:rsidRPr="008675BA">
        <w:rPr>
          <w:vertAlign w:val="superscript"/>
          <w:lang w:val="fr-CA"/>
        </w:rPr>
        <w:t>e</w:t>
      </w:r>
      <w:r w:rsidRPr="008675BA">
        <w:rPr>
          <w:lang w:val="fr-CA"/>
        </w:rPr>
        <w:t>] Salomon n’était pas impliqué. La preuve démontre que [M.] Papadopoulos avait alors établi une bonne relation directement avec M</w:t>
      </w:r>
      <w:r w:rsidRPr="008675BA">
        <w:rPr>
          <w:vertAlign w:val="superscript"/>
          <w:lang w:val="fr-CA"/>
        </w:rPr>
        <w:t>me</w:t>
      </w:r>
      <w:r w:rsidRPr="008675BA">
        <w:rPr>
          <w:lang w:val="fr-CA"/>
        </w:rPr>
        <w:t> Thompson et que celle</w:t>
      </w:r>
      <w:r>
        <w:rPr>
          <w:lang w:val="fr-CA"/>
        </w:rPr>
        <w:noBreakHyphen/>
      </w:r>
      <w:r w:rsidRPr="008675BA">
        <w:rPr>
          <w:lang w:val="fr-CA"/>
        </w:rPr>
        <w:t>ci ne discutait pas des propositions de placement avec [M</w:t>
      </w:r>
      <w:r w:rsidRPr="008675BA">
        <w:rPr>
          <w:vertAlign w:val="superscript"/>
          <w:lang w:val="fr-CA"/>
        </w:rPr>
        <w:t>e</w:t>
      </w:r>
      <w:r w:rsidRPr="008675BA">
        <w:rPr>
          <w:lang w:val="fr-CA"/>
        </w:rPr>
        <w:t>] Salomon.</w:t>
      </w:r>
    </w:p>
    <w:p w:rsidR="0041746D" w:rsidRPr="008675BA" w:rsidRDefault="0041746D" w:rsidP="0041746D">
      <w:pPr>
        <w:pStyle w:val="Citation-AltC"/>
        <w:spacing w:after="240"/>
        <w:ind w:left="1168" w:hanging="1168"/>
        <w:contextualSpacing w:val="0"/>
        <w:jc w:val="center"/>
        <w:rPr>
          <w:lang w:val="fr-CA"/>
        </w:rPr>
      </w:pPr>
      <w:r w:rsidRPr="008675BA">
        <w:rPr>
          <w:lang w:val="fr-CA"/>
        </w:rPr>
        <w:tab/>
        <w:t>. . .</w:t>
      </w:r>
    </w:p>
    <w:p w:rsidR="0041746D" w:rsidRPr="008675BA" w:rsidRDefault="00234067" w:rsidP="0041746D">
      <w:pPr>
        <w:pStyle w:val="Citation-AltC"/>
        <w:spacing w:after="240"/>
        <w:ind w:left="1168" w:hanging="1168"/>
        <w:contextualSpacing w:val="0"/>
        <w:rPr>
          <w:lang w:val="fr-CA"/>
        </w:rPr>
      </w:pPr>
      <w:r>
        <w:rPr>
          <w:lang w:val="fr-CA"/>
        </w:rPr>
        <w:tab/>
      </w:r>
      <w:r>
        <w:rPr>
          <w:lang w:val="fr-CA"/>
        </w:rPr>
        <w:tab/>
        <w:t>. . .</w:t>
      </w:r>
      <w:r w:rsidR="0041746D" w:rsidRPr="008675BA">
        <w:rPr>
          <w:lang w:val="fr-CA"/>
        </w:rPr>
        <w:t xml:space="preserve"> [L]a preuve montre que lorsqu’a été prise la décision d’investir l’argent de 166376 par l’entremise de Triglobal, M</w:t>
      </w:r>
      <w:r w:rsidR="0041746D" w:rsidRPr="008675BA">
        <w:rPr>
          <w:vertAlign w:val="superscript"/>
          <w:lang w:val="fr-CA"/>
        </w:rPr>
        <w:t>me</w:t>
      </w:r>
      <w:r w:rsidR="0041746D" w:rsidRPr="008675BA">
        <w:rPr>
          <w:lang w:val="fr-CA"/>
        </w:rPr>
        <w:t> Thompson avait déjà établi une bonne relation avec [M.] Papadopoulos. Elle ne s’attendait pas à ce que [M</w:t>
      </w:r>
      <w:r w:rsidR="0041746D" w:rsidRPr="008675BA">
        <w:rPr>
          <w:vertAlign w:val="superscript"/>
          <w:lang w:val="fr-CA"/>
        </w:rPr>
        <w:t>e</w:t>
      </w:r>
      <w:r w:rsidR="0041746D" w:rsidRPr="008675BA">
        <w:rPr>
          <w:lang w:val="fr-CA"/>
        </w:rPr>
        <w:t>] Salomon lui propose des stratégies de placement parce qu’elle ne lui a pas demandé d’assister à la réunion prévue pour discuter de la façon dont le produit de la vente des biens réels devrait être investi.</w:t>
      </w:r>
    </w:p>
    <w:p w:rsidR="0041746D" w:rsidRPr="008675BA" w:rsidRDefault="0041746D" w:rsidP="0041746D">
      <w:pPr>
        <w:pStyle w:val="Citation-AltC"/>
        <w:ind w:hanging="1166"/>
        <w:rPr>
          <w:lang w:val="fr-CA"/>
        </w:rPr>
      </w:pPr>
      <w:r w:rsidRPr="008675BA">
        <w:rPr>
          <w:lang w:val="fr-CA"/>
        </w:rPr>
        <w:tab/>
      </w:r>
      <w:r w:rsidRPr="008675BA">
        <w:rPr>
          <w:lang w:val="fr-CA"/>
        </w:rPr>
        <w:tab/>
        <w:t>De plus, selon le témoignage de M</w:t>
      </w:r>
      <w:r w:rsidRPr="008675BA">
        <w:rPr>
          <w:vertAlign w:val="superscript"/>
          <w:lang w:val="fr-CA"/>
        </w:rPr>
        <w:t>me</w:t>
      </w:r>
      <w:r w:rsidRPr="008675BA">
        <w:rPr>
          <w:lang w:val="fr-CA"/>
        </w:rPr>
        <w:t xml:space="preserve"> Thompson, lorsqu’elle a reçu les directives concernant le virement, elle a réalisé que l’argent allait être transféré dans un fonds de placement à l’étranger du nom de Focus. Même </w:t>
      </w:r>
      <w:r w:rsidRPr="008675BA">
        <w:rPr>
          <w:lang w:val="fr-CA"/>
        </w:rPr>
        <w:lastRenderedPageBreak/>
        <w:t>si elle était sceptique, M</w:t>
      </w:r>
      <w:r w:rsidRPr="008675BA">
        <w:rPr>
          <w:vertAlign w:val="superscript"/>
          <w:lang w:val="fr-CA"/>
        </w:rPr>
        <w:t>me</w:t>
      </w:r>
      <w:r w:rsidRPr="008675BA">
        <w:rPr>
          <w:lang w:val="fr-CA"/>
        </w:rPr>
        <w:t> Thompson, qui était une femme d’affaires instruite, a transféré les fonds sans consulter qui que ce soit, y compris [M</w:t>
      </w:r>
      <w:r w:rsidRPr="008675BA">
        <w:rPr>
          <w:vertAlign w:val="superscript"/>
          <w:lang w:val="fr-CA"/>
        </w:rPr>
        <w:t>e</w:t>
      </w:r>
      <w:r w:rsidRPr="008675BA">
        <w:rPr>
          <w:lang w:val="fr-CA"/>
        </w:rPr>
        <w:t>] Salomon. La Cour est d’avis que c’est elle qui a pris une décision imprudente à ce moment. [Je soul</w:t>
      </w:r>
      <w:r w:rsidR="006D6BAB">
        <w:rPr>
          <w:lang w:val="fr-CA"/>
        </w:rPr>
        <w:t>igne; note en bas de page omise;</w:t>
      </w:r>
      <w:r w:rsidRPr="008675BA">
        <w:rPr>
          <w:lang w:val="fr-CA"/>
        </w:rPr>
        <w:t xml:space="preserve"> </w:t>
      </w:r>
      <w:r>
        <w:rPr>
          <w:lang w:val="fr-CA"/>
        </w:rPr>
        <w:t>par. </w:t>
      </w:r>
      <w:r w:rsidRPr="008675BA">
        <w:rPr>
          <w:lang w:val="fr-CA"/>
        </w:rPr>
        <w:t>210</w:t>
      </w:r>
      <w:r>
        <w:rPr>
          <w:lang w:val="fr-CA"/>
        </w:rPr>
        <w:noBreakHyphen/>
      </w:r>
      <w:r w:rsidRPr="008675BA">
        <w:rPr>
          <w:lang w:val="fr-CA"/>
        </w:rPr>
        <w:t>211 et 288</w:t>
      </w:r>
      <w:r>
        <w:rPr>
          <w:lang w:val="fr-CA"/>
        </w:rPr>
        <w:noBreakHyphen/>
      </w:r>
      <w:r w:rsidRPr="008675BA">
        <w:rPr>
          <w:lang w:val="fr-CA"/>
        </w:rPr>
        <w:t>289.]</w:t>
      </w:r>
    </w:p>
    <w:p w:rsidR="0041746D" w:rsidRPr="008675BA" w:rsidRDefault="0041746D" w:rsidP="0041746D">
      <w:pPr>
        <w:pStyle w:val="ParaNoNdepar-AltN"/>
        <w:rPr>
          <w:rFonts w:cs="Times New Roman"/>
          <w:lang w:val="fr-CA"/>
        </w:rPr>
      </w:pPr>
      <w:r w:rsidRPr="008675BA">
        <w:rPr>
          <w:rFonts w:cs="Times New Roman"/>
          <w:lang w:val="fr-CA"/>
        </w:rPr>
        <w:t xml:space="preserve">Je suis convaincue que ces conclusions ne contiennent aucune erreur manifeste, ce qui ne revient pas à </w:t>
      </w:r>
      <w:r w:rsidRPr="008675BA">
        <w:rPr>
          <w:lang w:val="fr-CA"/>
        </w:rPr>
        <w:t>[</w:t>
      </w:r>
      <w:r w:rsidRPr="008675BA">
        <w:rPr>
          <w:smallCaps/>
          <w:lang w:val="fr-CA"/>
        </w:rPr>
        <w:t>traduction</w:t>
      </w:r>
      <w:r w:rsidRPr="008675BA">
        <w:rPr>
          <w:lang w:val="fr-CA"/>
        </w:rPr>
        <w:t>]</w:t>
      </w:r>
      <w:r w:rsidRPr="008675BA">
        <w:rPr>
          <w:rFonts w:cs="Times New Roman"/>
          <w:lang w:val="fr-CA"/>
        </w:rPr>
        <w:t xml:space="preserve"> « blâmer les victimes » comme l’affirment les intimées (m.i., </w:t>
      </w:r>
      <w:r>
        <w:rPr>
          <w:rFonts w:cs="Times New Roman"/>
          <w:lang w:val="fr-CA"/>
        </w:rPr>
        <w:t>par. </w:t>
      </w:r>
      <w:r w:rsidRPr="008675BA">
        <w:rPr>
          <w:rFonts w:cs="Times New Roman"/>
          <w:lang w:val="fr-CA"/>
        </w:rPr>
        <w:t>97). La juge du procès conclut plutôt que M</w:t>
      </w:r>
      <w:r w:rsidRPr="008675BA">
        <w:rPr>
          <w:rFonts w:cs="Times New Roman"/>
          <w:vertAlign w:val="superscript"/>
          <w:lang w:val="fr-CA"/>
        </w:rPr>
        <w:t>e</w:t>
      </w:r>
      <w:r w:rsidRPr="008675BA">
        <w:rPr>
          <w:rFonts w:cs="Times New Roman"/>
          <w:lang w:val="fr-CA"/>
        </w:rPr>
        <w:t xml:space="preserve"> Salomon ne peut pas être tenu responsable des décisions de placements auxquelles il n’a pas participé, du moins pas sur le fondement du fait qu’il a recommandé </w:t>
      </w:r>
      <w:r w:rsidRPr="008675BA">
        <w:rPr>
          <w:rFonts w:cs="Times New Roman"/>
          <w:i/>
          <w:lang w:val="fr-CA"/>
        </w:rPr>
        <w:t>un autre</w:t>
      </w:r>
      <w:r w:rsidRPr="008675BA">
        <w:rPr>
          <w:rFonts w:cs="Times New Roman"/>
          <w:lang w:val="fr-CA"/>
        </w:rPr>
        <w:t xml:space="preserve"> véhicule de placement trois ans auparavant. Oui, le dossier indique qu’il croyait que le fonds Focus </w:t>
      </w:r>
      <w:r w:rsidR="008D5C59">
        <w:rPr>
          <w:rFonts w:cs="Times New Roman"/>
          <w:lang w:val="fr-CA"/>
        </w:rPr>
        <w:t>était</w:t>
      </w:r>
      <w:r w:rsidR="00234067">
        <w:rPr>
          <w:rFonts w:cs="Times New Roman"/>
          <w:lang w:val="fr-CA"/>
        </w:rPr>
        <w:t xml:space="preserve"> [</w:t>
      </w:r>
      <w:r w:rsidR="00234067" w:rsidRPr="00234067">
        <w:rPr>
          <w:rFonts w:cs="Times New Roman"/>
          <w:smallCaps/>
          <w:lang w:val="fr-CA"/>
        </w:rPr>
        <w:t>traduction</w:t>
      </w:r>
      <w:r w:rsidR="00234067">
        <w:rPr>
          <w:rFonts w:cs="Times New Roman"/>
          <w:lang w:val="fr-CA"/>
        </w:rPr>
        <w:t xml:space="preserve">] </w:t>
      </w:r>
      <w:r w:rsidR="008D5C59">
        <w:rPr>
          <w:rFonts w:cs="Times New Roman"/>
          <w:lang w:val="fr-CA"/>
        </w:rPr>
        <w:t xml:space="preserve">« moins </w:t>
      </w:r>
      <w:r w:rsidRPr="008675BA">
        <w:rPr>
          <w:rFonts w:cs="Times New Roman"/>
          <w:lang w:val="fr-CA"/>
        </w:rPr>
        <w:t>risqu</w:t>
      </w:r>
      <w:r w:rsidR="00234067">
        <w:rPr>
          <w:rFonts w:cs="Times New Roman"/>
          <w:lang w:val="fr-CA"/>
        </w:rPr>
        <w:t>é</w:t>
      </w:r>
      <w:r w:rsidRPr="008675BA">
        <w:rPr>
          <w:rFonts w:cs="Times New Roman"/>
          <w:lang w:val="fr-CA"/>
        </w:rPr>
        <w:t xml:space="preserve"> » que le fonds iVest (motifs de la C.A., </w:t>
      </w:r>
      <w:r>
        <w:rPr>
          <w:rFonts w:cs="Times New Roman"/>
          <w:lang w:val="fr-CA"/>
        </w:rPr>
        <w:t>par. </w:t>
      </w:r>
      <w:r w:rsidRPr="008675BA">
        <w:rPr>
          <w:rFonts w:cs="Times New Roman"/>
          <w:lang w:val="fr-CA"/>
        </w:rPr>
        <w:t>131</w:t>
      </w:r>
      <w:r>
        <w:rPr>
          <w:rFonts w:cs="Times New Roman"/>
          <w:lang w:val="fr-CA"/>
        </w:rPr>
        <w:noBreakHyphen/>
      </w:r>
      <w:r w:rsidRPr="008675BA">
        <w:rPr>
          <w:rFonts w:cs="Times New Roman"/>
          <w:lang w:val="fr-CA"/>
        </w:rPr>
        <w:t>132</w:t>
      </w:r>
      <w:r w:rsidR="00234067">
        <w:rPr>
          <w:rFonts w:cs="Times New Roman"/>
          <w:lang w:val="fr-CA"/>
        </w:rPr>
        <w:t xml:space="preserve"> (soulignement omis)</w:t>
      </w:r>
      <w:r w:rsidRPr="008675BA">
        <w:rPr>
          <w:rFonts w:cs="Times New Roman"/>
          <w:lang w:val="fr-CA"/>
        </w:rPr>
        <w:t xml:space="preserve">), mais il ne l’a pas </w:t>
      </w:r>
      <w:r w:rsidRPr="008675BA">
        <w:rPr>
          <w:rFonts w:cs="Times New Roman"/>
          <w:i/>
          <w:lang w:val="fr-CA"/>
        </w:rPr>
        <w:t xml:space="preserve">dit </w:t>
      </w:r>
      <w:r w:rsidRPr="008675BA">
        <w:rPr>
          <w:rFonts w:cs="Times New Roman"/>
          <w:lang w:val="fr-CA"/>
        </w:rPr>
        <w:t xml:space="preserve">aux intimées. En résumé, la juge du procès ne voit pas comment un conseil de placement erroné concernant iVest peut être une cause directe des pertes subies des années plus tard en raison de placements dans Focus. </w:t>
      </w:r>
    </w:p>
    <w:p w:rsidR="0041746D" w:rsidRPr="008675BA" w:rsidRDefault="0041746D" w:rsidP="0041746D">
      <w:pPr>
        <w:pStyle w:val="ParaNoNdepar-AltN"/>
        <w:rPr>
          <w:rFonts w:cs="Times New Roman"/>
          <w:lang w:val="fr-CA"/>
        </w:rPr>
      </w:pPr>
      <w:r w:rsidRPr="008675BA">
        <w:rPr>
          <w:rFonts w:cs="Times New Roman"/>
          <w:lang w:val="fr-CA"/>
        </w:rPr>
        <w:t>Plus précisément, la juge du procès rejette la prétention — à laquelle souscrivent la Cour d’appel (</w:t>
      </w:r>
      <w:r>
        <w:rPr>
          <w:rFonts w:cs="Times New Roman"/>
          <w:lang w:val="fr-CA"/>
        </w:rPr>
        <w:t>par. </w:t>
      </w:r>
      <w:r w:rsidRPr="008675BA">
        <w:rPr>
          <w:rFonts w:cs="Times New Roman"/>
          <w:lang w:val="fr-CA"/>
        </w:rPr>
        <w:t>130) et mon collègue (</w:t>
      </w:r>
      <w:r>
        <w:rPr>
          <w:rFonts w:cs="Times New Roman"/>
          <w:lang w:val="fr-CA"/>
        </w:rPr>
        <w:t>par. </w:t>
      </w:r>
      <w:r w:rsidRPr="008675BA">
        <w:rPr>
          <w:rFonts w:cs="Times New Roman"/>
          <w:lang w:val="fr-CA"/>
        </w:rPr>
        <w:t>87) — selon laquelle la recommandation de M</w:t>
      </w:r>
      <w:r w:rsidRPr="008675BA">
        <w:rPr>
          <w:rFonts w:cs="Times New Roman"/>
          <w:vertAlign w:val="superscript"/>
          <w:lang w:val="fr-CA"/>
        </w:rPr>
        <w:t>e</w:t>
      </w:r>
      <w:r w:rsidRPr="008675BA">
        <w:rPr>
          <w:rFonts w:cs="Times New Roman"/>
          <w:lang w:val="fr-CA"/>
        </w:rPr>
        <w:t> Salomon concernant Manulife et iVest a induit chez les intimées un « climat de confiance » erroné à l’égard de tous les produits de Triglobal</w:t>
      </w:r>
      <w:r>
        <w:rPr>
          <w:rFonts w:cs="Times New Roman"/>
          <w:lang w:val="fr-CA"/>
        </w:rPr>
        <w:t> :</w:t>
      </w:r>
      <w:r w:rsidRPr="008675BA">
        <w:rPr>
          <w:rFonts w:cs="Times New Roman"/>
          <w:lang w:val="fr-CA"/>
        </w:rPr>
        <w:t xml:space="preserve"> [</w:t>
      </w:r>
      <w:r w:rsidRPr="008675BA">
        <w:rPr>
          <w:rFonts w:cs="Times New Roman"/>
          <w:smallCaps/>
          <w:lang w:val="fr-CA"/>
        </w:rPr>
        <w:t>traduction</w:t>
      </w:r>
      <w:r w:rsidRPr="008675BA">
        <w:rPr>
          <w:rFonts w:cs="Times New Roman"/>
          <w:lang w:val="fr-CA"/>
        </w:rPr>
        <w:t>] « La Cour ne voit pas comment les assurances données par [M</w:t>
      </w:r>
      <w:r w:rsidRPr="008675BA">
        <w:rPr>
          <w:rFonts w:cs="Times New Roman"/>
          <w:vertAlign w:val="superscript"/>
          <w:lang w:val="fr-CA"/>
        </w:rPr>
        <w:t>e</w:t>
      </w:r>
      <w:r w:rsidRPr="008675BA">
        <w:rPr>
          <w:rFonts w:cs="Times New Roman"/>
          <w:lang w:val="fr-CA"/>
        </w:rPr>
        <w:t>] Salomon en 2003 pourraient entraîner une responsabilité générale à l’égard de toutes les décisions de placements prises sans lui » (</w:t>
      </w:r>
      <w:r>
        <w:rPr>
          <w:rFonts w:cs="Times New Roman"/>
          <w:lang w:val="fr-CA"/>
        </w:rPr>
        <w:t>par. </w:t>
      </w:r>
      <w:r w:rsidRPr="008675BA">
        <w:rPr>
          <w:rFonts w:cs="Times New Roman"/>
          <w:lang w:val="fr-CA"/>
        </w:rPr>
        <w:t>212</w:t>
      </w:r>
      <w:r>
        <w:rPr>
          <w:rFonts w:cs="Times New Roman"/>
          <w:lang w:val="fr-CA"/>
        </w:rPr>
        <w:noBreakHyphen/>
      </w:r>
      <w:r w:rsidRPr="008675BA">
        <w:rPr>
          <w:rFonts w:cs="Times New Roman"/>
          <w:lang w:val="fr-CA"/>
        </w:rPr>
        <w:t>213). Même s’il est vrai que les assurances données par M</w:t>
      </w:r>
      <w:r w:rsidRPr="008675BA">
        <w:rPr>
          <w:rFonts w:cs="Times New Roman"/>
          <w:vertAlign w:val="superscript"/>
          <w:lang w:val="fr-CA"/>
        </w:rPr>
        <w:t>e</w:t>
      </w:r>
      <w:r w:rsidRPr="008675BA">
        <w:rPr>
          <w:rFonts w:cs="Times New Roman"/>
          <w:lang w:val="fr-CA"/>
        </w:rPr>
        <w:t xml:space="preserve"> Salomon en ce qui concerne iVest ne se limitent pas </w:t>
      </w:r>
      <w:r w:rsidRPr="008675BA">
        <w:rPr>
          <w:rFonts w:cs="Times New Roman"/>
          <w:lang w:val="fr-CA"/>
        </w:rPr>
        <w:lastRenderedPageBreak/>
        <w:t>strictement à 2003, il reste que cette conclusion générale ne comporte aucune erreur justifiant une intervention en appel.</w:t>
      </w:r>
    </w:p>
    <w:p w:rsidR="0041746D" w:rsidRPr="008675BA" w:rsidRDefault="0041746D" w:rsidP="0041746D">
      <w:pPr>
        <w:pStyle w:val="ParaNoNdepar-AltN"/>
        <w:rPr>
          <w:rFonts w:cs="Times New Roman"/>
          <w:lang w:val="fr-CA"/>
        </w:rPr>
      </w:pPr>
      <w:r w:rsidRPr="008675BA">
        <w:rPr>
          <w:rFonts w:cs="Times New Roman"/>
          <w:lang w:val="fr-CA"/>
        </w:rPr>
        <w:t>En clair, rien ne prouve que la recommandation de M</w:t>
      </w:r>
      <w:r w:rsidRPr="008675BA">
        <w:rPr>
          <w:rFonts w:cs="Times New Roman"/>
          <w:vertAlign w:val="superscript"/>
          <w:lang w:val="fr-CA"/>
        </w:rPr>
        <w:t>e</w:t>
      </w:r>
      <w:r w:rsidRPr="008675BA">
        <w:rPr>
          <w:rFonts w:cs="Times New Roman"/>
          <w:lang w:val="fr-CA"/>
        </w:rPr>
        <w:t> Salomon concernant iVest a fait en sorte que les intimées ont investi dans Focus. Bien que mon collègue soutienne que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s’est fiée au « jugement professionnel [de M</w:t>
      </w:r>
      <w:r w:rsidRPr="008675BA">
        <w:rPr>
          <w:rFonts w:cs="Times New Roman"/>
          <w:vertAlign w:val="superscript"/>
          <w:lang w:val="fr-CA"/>
        </w:rPr>
        <w:t>e</w:t>
      </w:r>
      <w:r w:rsidRPr="008675BA">
        <w:rPr>
          <w:rFonts w:cs="Times New Roman"/>
          <w:lang w:val="fr-CA"/>
        </w:rPr>
        <w:t> Salomon] quant aux placements qu’elle envisageait de faire » (</w:t>
      </w:r>
      <w:r>
        <w:rPr>
          <w:rFonts w:cs="Times New Roman"/>
          <w:lang w:val="fr-CA"/>
        </w:rPr>
        <w:t>par. </w:t>
      </w:r>
      <w:r w:rsidRPr="008675BA">
        <w:rPr>
          <w:rFonts w:cs="Times New Roman"/>
          <w:lang w:val="fr-CA"/>
        </w:rPr>
        <w:t>87), celui</w:t>
      </w:r>
      <w:r>
        <w:rPr>
          <w:rFonts w:cs="Times New Roman"/>
          <w:lang w:val="fr-CA"/>
        </w:rPr>
        <w:noBreakHyphen/>
      </w:r>
      <w:r w:rsidRPr="008675BA">
        <w:rPr>
          <w:rFonts w:cs="Times New Roman"/>
          <w:lang w:val="fr-CA"/>
        </w:rPr>
        <w:t>ci ne peut — tout comme la Cour d’appel avant lui — préciser quels éléments de preuve testimoniale ou documentaire démontrent que la recommandation expresse concernant iVest a incité ou encouragé les intimées à investir dans Focus ou, de façon générale, auprès de Triglob</w:t>
      </w:r>
      <w:r>
        <w:rPr>
          <w:rFonts w:cs="Times New Roman"/>
          <w:lang w:val="fr-CA"/>
        </w:rPr>
        <w:t>al. </w:t>
      </w:r>
      <w:r w:rsidRPr="008675BA">
        <w:rPr>
          <w:rFonts w:cs="Times New Roman"/>
          <w:lang w:val="fr-CA"/>
        </w:rPr>
        <w:t>En fait, il semble que la recommandation de M</w:t>
      </w:r>
      <w:r w:rsidRPr="008675BA">
        <w:rPr>
          <w:rFonts w:cs="Times New Roman"/>
          <w:vertAlign w:val="superscript"/>
          <w:lang w:val="fr-CA"/>
        </w:rPr>
        <w:t>e</w:t>
      </w:r>
      <w:r w:rsidRPr="008675BA">
        <w:rPr>
          <w:rFonts w:cs="Times New Roman"/>
          <w:lang w:val="fr-CA"/>
        </w:rPr>
        <w:t> Salomon n’ait même pas été déterminante quant à la décision de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 xml:space="preserve">Thompson d’investir dans iVest (motifs de première instance, </w:t>
      </w:r>
      <w:r>
        <w:rPr>
          <w:rFonts w:cs="Times New Roman"/>
          <w:lang w:val="fr-CA"/>
        </w:rPr>
        <w:t>par. </w:t>
      </w:r>
      <w:r w:rsidRPr="008675BA">
        <w:rPr>
          <w:rFonts w:cs="Times New Roman"/>
          <w:lang w:val="fr-CA"/>
        </w:rPr>
        <w:t>51).</w:t>
      </w:r>
    </w:p>
    <w:p w:rsidR="0041746D" w:rsidRPr="008675BA" w:rsidRDefault="0041746D" w:rsidP="0041746D">
      <w:pPr>
        <w:pStyle w:val="ParaNoNdepar-AltN"/>
        <w:rPr>
          <w:rFonts w:cs="Times New Roman"/>
          <w:lang w:val="fr-CA"/>
        </w:rPr>
      </w:pPr>
      <w:r w:rsidRPr="008675BA">
        <w:rPr>
          <w:rFonts w:cs="Times New Roman"/>
          <w:lang w:val="fr-CA"/>
        </w:rPr>
        <w:t>Tout au plus, la Cour d’appel souligne un passage du contre</w:t>
      </w:r>
      <w:r>
        <w:rPr>
          <w:rFonts w:cs="Times New Roman"/>
          <w:lang w:val="fr-CA"/>
        </w:rPr>
        <w:noBreakHyphen/>
      </w:r>
      <w:r w:rsidRPr="008675BA">
        <w:rPr>
          <w:rFonts w:cs="Times New Roman"/>
          <w:lang w:val="fr-CA"/>
        </w:rPr>
        <w:t>interrogatoire de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Thompson dans lequel cette dernière explique que dans [</w:t>
      </w:r>
      <w:r w:rsidRPr="008675BA">
        <w:rPr>
          <w:rFonts w:cs="Times New Roman"/>
          <w:smallCaps/>
          <w:lang w:val="fr-CA"/>
        </w:rPr>
        <w:t>traduction</w:t>
      </w:r>
      <w:r w:rsidRPr="008675BA">
        <w:rPr>
          <w:rFonts w:cs="Times New Roman"/>
          <w:lang w:val="fr-CA"/>
        </w:rPr>
        <w:t>] « son esprit, [elle] investissait auprès de Triglob</w:t>
      </w:r>
      <w:r>
        <w:rPr>
          <w:rFonts w:cs="Times New Roman"/>
          <w:lang w:val="fr-CA"/>
        </w:rPr>
        <w:t>al. </w:t>
      </w:r>
      <w:r w:rsidRPr="008675BA">
        <w:rPr>
          <w:rFonts w:cs="Times New Roman"/>
          <w:lang w:val="fr-CA"/>
        </w:rPr>
        <w:t xml:space="preserve">[. . .] Que le titre soit Focus, iVest ou Manulife, il s’agissait de Triglobal » (motifs de la C.A., </w:t>
      </w:r>
      <w:r>
        <w:rPr>
          <w:rFonts w:cs="Times New Roman"/>
          <w:lang w:val="fr-CA"/>
        </w:rPr>
        <w:t>par. </w:t>
      </w:r>
      <w:r w:rsidRPr="008675BA">
        <w:rPr>
          <w:rFonts w:cs="Times New Roman"/>
          <w:lang w:val="fr-CA"/>
        </w:rPr>
        <w:t>76). À mon avis, ce passage donne à penser que la recommandation clé, celle qui comptait pour elle, était la recommandation initiale de Triglobal elle</w:t>
      </w:r>
      <w:r>
        <w:rPr>
          <w:rFonts w:cs="Times New Roman"/>
          <w:lang w:val="fr-CA"/>
        </w:rPr>
        <w:noBreakHyphen/>
      </w:r>
      <w:r w:rsidRPr="008675BA">
        <w:rPr>
          <w:rFonts w:cs="Times New Roman"/>
          <w:lang w:val="fr-CA"/>
        </w:rPr>
        <w:t>même. Cependant, comme je l’ai déjà expliqué, cette recommandation n’est pas fautive et n’a pas non plus de lien suffisamment étroit pour être la cause directe des pertes. En revanche, la recommandation de M</w:t>
      </w:r>
      <w:r w:rsidRPr="008675BA">
        <w:rPr>
          <w:rFonts w:cs="Times New Roman"/>
          <w:vertAlign w:val="superscript"/>
          <w:lang w:val="fr-CA"/>
        </w:rPr>
        <w:t>e</w:t>
      </w:r>
      <w:r w:rsidRPr="008675BA">
        <w:rPr>
          <w:rFonts w:cs="Times New Roman"/>
          <w:lang w:val="fr-CA"/>
        </w:rPr>
        <w:t> Salomon concernant iVest semble avoir eu une importance secondaire pour 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 xml:space="preserve">Thompson. </w:t>
      </w:r>
    </w:p>
    <w:p w:rsidR="0041746D" w:rsidRPr="008675BA" w:rsidRDefault="0041746D" w:rsidP="0041746D">
      <w:pPr>
        <w:pStyle w:val="ParaNoNdepar-AltN"/>
        <w:rPr>
          <w:rFonts w:cs="Times New Roman"/>
          <w:lang w:val="fr-CA"/>
        </w:rPr>
      </w:pPr>
      <w:r w:rsidRPr="008675BA">
        <w:rPr>
          <w:rFonts w:cs="Times New Roman"/>
          <w:lang w:val="fr-CA"/>
        </w:rPr>
        <w:lastRenderedPageBreak/>
        <w:t>De façon générale, selon ma compréhension, la Cour d’appel suppose simplement, à l’instar de mon collègue, qu’il existe un lien causal direct entre la faute commise par M</w:t>
      </w:r>
      <w:r w:rsidRPr="008675BA">
        <w:rPr>
          <w:rFonts w:cs="Times New Roman"/>
          <w:vertAlign w:val="superscript"/>
          <w:lang w:val="fr-CA"/>
        </w:rPr>
        <w:t>e</w:t>
      </w:r>
      <w:r w:rsidRPr="008675BA">
        <w:rPr>
          <w:rFonts w:cs="Times New Roman"/>
          <w:lang w:val="fr-CA"/>
        </w:rPr>
        <w:t xml:space="preserve"> Salomon concernant iVest et les pertes des intimées liées à leurs investissements dans Focus (motifs de la C.A., </w:t>
      </w:r>
      <w:r>
        <w:rPr>
          <w:rFonts w:cs="Times New Roman"/>
          <w:lang w:val="fr-CA"/>
        </w:rPr>
        <w:t>par. </w:t>
      </w:r>
      <w:r w:rsidRPr="008675BA">
        <w:rPr>
          <w:rFonts w:cs="Times New Roman"/>
          <w:lang w:val="fr-CA"/>
        </w:rPr>
        <w:t>74</w:t>
      </w:r>
      <w:r>
        <w:rPr>
          <w:rFonts w:cs="Times New Roman"/>
          <w:lang w:val="fr-CA"/>
        </w:rPr>
        <w:noBreakHyphen/>
      </w:r>
      <w:r w:rsidRPr="008675BA">
        <w:rPr>
          <w:rFonts w:cs="Times New Roman"/>
          <w:lang w:val="fr-CA"/>
        </w:rPr>
        <w:t>75 et 140). Par conséquent, je ne peux admettre que le rejet par la juge du procès de la théorie du « climat de confiance » repose sur une erreur manifeste et déterminante. Encore une fois, je ne vois qu’un désaccord avec l’appréciation de la preuve par la juge du procès et une intervention inadmissible à l’égard de ses inférences.</w:t>
      </w:r>
    </w:p>
    <w:p w:rsidR="0041746D" w:rsidRPr="008675BA" w:rsidRDefault="0041746D" w:rsidP="0041746D">
      <w:pPr>
        <w:pStyle w:val="ParaNoNdepar-AltN"/>
        <w:rPr>
          <w:rFonts w:cs="Times New Roman"/>
          <w:lang w:val="fr-CA"/>
        </w:rPr>
      </w:pPr>
      <w:r w:rsidRPr="008675BA">
        <w:rPr>
          <w:rFonts w:cs="Times New Roman"/>
          <w:lang w:val="fr-CA"/>
        </w:rPr>
        <w:t>La juge du procès pouvait aussi rejeter l’argument selon lequel le défaut de M</w:t>
      </w:r>
      <w:r w:rsidRPr="008675BA">
        <w:rPr>
          <w:rFonts w:cs="Times New Roman"/>
          <w:vertAlign w:val="superscript"/>
          <w:lang w:val="fr-CA"/>
        </w:rPr>
        <w:t>e</w:t>
      </w:r>
      <w:r w:rsidRPr="008675BA">
        <w:rPr>
          <w:rFonts w:cs="Times New Roman"/>
          <w:lang w:val="fr-CA"/>
        </w:rPr>
        <w:t xml:space="preserve"> Salomon de vérifier l’opportunité des investissements dans iVest a directement causé les pertes liées aux placements dans Focus (motifs de la C.A., </w:t>
      </w:r>
      <w:r>
        <w:rPr>
          <w:rFonts w:cs="Times New Roman"/>
          <w:lang w:val="fr-CA"/>
        </w:rPr>
        <w:t>par. </w:t>
      </w:r>
      <w:r w:rsidRPr="008675BA">
        <w:rPr>
          <w:rFonts w:cs="Times New Roman"/>
          <w:lang w:val="fr-CA"/>
        </w:rPr>
        <w:t>117</w:t>
      </w:r>
      <w:r>
        <w:rPr>
          <w:rFonts w:cs="Times New Roman"/>
          <w:lang w:val="fr-CA"/>
        </w:rPr>
        <w:noBreakHyphen/>
      </w:r>
      <w:r w:rsidRPr="008675BA">
        <w:rPr>
          <w:rFonts w:cs="Times New Roman"/>
          <w:lang w:val="fr-CA"/>
        </w:rPr>
        <w:t xml:space="preserve">119; motifs du juge Gascon, </w:t>
      </w:r>
      <w:r>
        <w:rPr>
          <w:rFonts w:cs="Times New Roman"/>
          <w:lang w:val="fr-CA"/>
        </w:rPr>
        <w:t>par. </w:t>
      </w:r>
      <w:r w:rsidRPr="008675BA">
        <w:rPr>
          <w:rFonts w:cs="Times New Roman"/>
          <w:lang w:val="fr-CA"/>
        </w:rPr>
        <w:t>88</w:t>
      </w:r>
      <w:r>
        <w:rPr>
          <w:rFonts w:cs="Times New Roman"/>
          <w:lang w:val="fr-CA"/>
        </w:rPr>
        <w:noBreakHyphen/>
      </w:r>
      <w:r w:rsidRPr="008675BA">
        <w:rPr>
          <w:rFonts w:cs="Times New Roman"/>
          <w:lang w:val="fr-CA"/>
        </w:rPr>
        <w:t>89). Si je comprends bien, l’idée ici est que si M</w:t>
      </w:r>
      <w:r w:rsidRPr="008675BA">
        <w:rPr>
          <w:rFonts w:cs="Times New Roman"/>
          <w:vertAlign w:val="superscript"/>
          <w:lang w:val="fr-CA"/>
        </w:rPr>
        <w:t>e</w:t>
      </w:r>
      <w:r w:rsidRPr="008675BA">
        <w:rPr>
          <w:rFonts w:cs="Times New Roman"/>
          <w:lang w:val="fr-CA"/>
        </w:rPr>
        <w:t> Salomon avait fait preuve de diligence raisonnable et avait averti les intimées que les fonds spéculatifs à l’étranger comme iVest n’étaient pas des véhicules de placement appropriés pour la préservation du capital, celles</w:t>
      </w:r>
      <w:r>
        <w:rPr>
          <w:rFonts w:cs="Times New Roman"/>
          <w:lang w:val="fr-CA"/>
        </w:rPr>
        <w:noBreakHyphen/>
      </w:r>
      <w:r w:rsidRPr="008675BA">
        <w:rPr>
          <w:rFonts w:cs="Times New Roman"/>
          <w:lang w:val="fr-CA"/>
        </w:rPr>
        <w:t>ci auraient douté de la compétence de Triglobal et auraient vraisemblablement cherché d’autres conseillers financiers, sans doute plus fiables. Or, ce point de vue ne tient pas compte du fait que M</w:t>
      </w:r>
      <w:r w:rsidRPr="008675BA">
        <w:rPr>
          <w:rFonts w:cs="Times New Roman"/>
          <w:vertAlign w:val="superscript"/>
          <w:lang w:val="fr-CA"/>
        </w:rPr>
        <w:t>e</w:t>
      </w:r>
      <w:r w:rsidRPr="008675BA">
        <w:rPr>
          <w:rFonts w:cs="Times New Roman"/>
          <w:lang w:val="fr-CA"/>
        </w:rPr>
        <w:t> Salomon n’était même pas qualifié pour donner des conseils en matière de placements et du fait qu’il ne lui appartenait pas de donner de tels conseils. Fait peut</w:t>
      </w:r>
      <w:r>
        <w:rPr>
          <w:rFonts w:cs="Times New Roman"/>
          <w:lang w:val="fr-CA"/>
        </w:rPr>
        <w:noBreakHyphen/>
      </w:r>
      <w:r w:rsidRPr="008675BA">
        <w:rPr>
          <w:rFonts w:cs="Times New Roman"/>
          <w:lang w:val="fr-CA"/>
        </w:rPr>
        <w:t>être encore plus important, une telle conclusion équivaut à s’appuyer sur de simples conjectures au lieu d’une preuve de lien causal réel et direct (</w:t>
      </w:r>
      <w:r w:rsidR="00234067">
        <w:rPr>
          <w:rFonts w:cs="Times New Roman"/>
          <w:lang w:val="fr-CA"/>
        </w:rPr>
        <w:t xml:space="preserve">voir </w:t>
      </w:r>
      <w:r w:rsidRPr="008675BA">
        <w:rPr>
          <w:rFonts w:cs="Times New Roman"/>
          <w:i/>
          <w:lang w:val="fr-CA"/>
        </w:rPr>
        <w:t>Waxman</w:t>
      </w:r>
      <w:r w:rsidRPr="008675BA">
        <w:rPr>
          <w:rFonts w:cs="Times New Roman"/>
          <w:lang w:val="fr-CA"/>
        </w:rPr>
        <w:t xml:space="preserve">, </w:t>
      </w:r>
      <w:r>
        <w:rPr>
          <w:rFonts w:cs="Times New Roman"/>
          <w:lang w:val="fr-CA"/>
        </w:rPr>
        <w:t>par. </w:t>
      </w:r>
      <w:r w:rsidRPr="008675BA">
        <w:rPr>
          <w:rFonts w:cs="Times New Roman"/>
          <w:lang w:val="fr-CA"/>
        </w:rPr>
        <w:t>306). Nous ne savons pas ce qui se serait passé si M</w:t>
      </w:r>
      <w:r w:rsidRPr="008675BA">
        <w:rPr>
          <w:rFonts w:cs="Times New Roman"/>
          <w:vertAlign w:val="superscript"/>
          <w:lang w:val="fr-CA"/>
        </w:rPr>
        <w:t>e</w:t>
      </w:r>
      <w:r w:rsidRPr="008675BA">
        <w:rPr>
          <w:rFonts w:cs="Times New Roman"/>
          <w:lang w:val="fr-CA"/>
        </w:rPr>
        <w:t> Salomon avait critiqué la proposition de Trigobal d’investir dans le fonds iVest. Triglobal aurait peut</w:t>
      </w:r>
      <w:r>
        <w:rPr>
          <w:rFonts w:cs="Times New Roman"/>
          <w:lang w:val="fr-CA"/>
        </w:rPr>
        <w:noBreakHyphen/>
      </w:r>
      <w:r w:rsidRPr="008675BA">
        <w:rPr>
          <w:rFonts w:cs="Times New Roman"/>
          <w:lang w:val="fr-CA"/>
        </w:rPr>
        <w:t xml:space="preserve">être proposé d’autres options de placements, qu’auraient pu accepter les intimées. À cet égard, il faut garder à l’esprit que </w:t>
      </w:r>
      <w:r w:rsidRPr="008675BA">
        <w:rPr>
          <w:rFonts w:cs="Times New Roman"/>
          <w:lang w:val="fr-CA"/>
        </w:rPr>
        <w:lastRenderedPageBreak/>
        <w:t>M</w:t>
      </w:r>
      <w:r w:rsidRPr="008675BA">
        <w:rPr>
          <w:rFonts w:cs="Times New Roman"/>
          <w:vertAlign w:val="superscript"/>
          <w:lang w:val="fr-CA"/>
        </w:rPr>
        <w:t>me</w:t>
      </w:r>
      <w:r w:rsidRPr="008675BA">
        <w:rPr>
          <w:rFonts w:cs="Times New Roman"/>
          <w:lang w:val="fr-CA"/>
        </w:rPr>
        <w:t> Matte</w:t>
      </w:r>
      <w:r>
        <w:rPr>
          <w:rFonts w:cs="Times New Roman"/>
          <w:lang w:val="fr-CA"/>
        </w:rPr>
        <w:noBreakHyphen/>
      </w:r>
      <w:r w:rsidRPr="008675BA">
        <w:rPr>
          <w:rFonts w:cs="Times New Roman"/>
          <w:lang w:val="fr-CA"/>
        </w:rPr>
        <w:t xml:space="preserve">Thompson a initialement investi les sommes les plus importantes dont elle disposait dans Manulife, un autre produit recommandé par Triglobal, qui était un véhicule de placement approprié pour elle et qui n’a pas fait l’objet de la fraude (motifs de première instance, </w:t>
      </w:r>
      <w:r>
        <w:rPr>
          <w:rFonts w:cs="Times New Roman"/>
          <w:lang w:val="fr-CA"/>
        </w:rPr>
        <w:t>par. </w:t>
      </w:r>
      <w:r w:rsidRPr="008675BA">
        <w:rPr>
          <w:rFonts w:cs="Times New Roman"/>
          <w:lang w:val="fr-CA"/>
        </w:rPr>
        <w:t>51, 200 et 208</w:t>
      </w:r>
      <w:r>
        <w:rPr>
          <w:rFonts w:cs="Times New Roman"/>
          <w:lang w:val="fr-CA"/>
        </w:rPr>
        <w:noBreakHyphen/>
      </w:r>
      <w:r w:rsidRPr="008675BA">
        <w:rPr>
          <w:rFonts w:cs="Times New Roman"/>
          <w:lang w:val="fr-CA"/>
        </w:rPr>
        <w:t>209). En résumé, la juge du procès n’était certainement pas tenue d’inférer que le défaut de M</w:t>
      </w:r>
      <w:r w:rsidRPr="008675BA">
        <w:rPr>
          <w:rFonts w:cs="Times New Roman"/>
          <w:vertAlign w:val="superscript"/>
          <w:lang w:val="fr-CA"/>
        </w:rPr>
        <w:t>e</w:t>
      </w:r>
      <w:r w:rsidRPr="008675BA">
        <w:rPr>
          <w:rFonts w:cs="Times New Roman"/>
          <w:lang w:val="fr-CA"/>
        </w:rPr>
        <w:t xml:space="preserve"> Salomon de faire preuve de diligence raisonnable concernant iVest avait </w:t>
      </w:r>
      <w:r w:rsidRPr="008675BA">
        <w:rPr>
          <w:rFonts w:cs="Times New Roman"/>
          <w:i/>
          <w:lang w:val="fr-CA"/>
        </w:rPr>
        <w:t>directement causé</w:t>
      </w:r>
      <w:r w:rsidRPr="008675BA">
        <w:rPr>
          <w:rFonts w:cs="Times New Roman"/>
          <w:lang w:val="fr-CA"/>
        </w:rPr>
        <w:t xml:space="preserve"> les pertes des intimées.</w:t>
      </w:r>
    </w:p>
    <w:p w:rsidR="0041746D" w:rsidRPr="008675BA" w:rsidRDefault="0041746D" w:rsidP="0041746D">
      <w:pPr>
        <w:pStyle w:val="Title4LevelTitre4Niveau"/>
        <w:numPr>
          <w:ilvl w:val="3"/>
          <w:numId w:val="25"/>
        </w:numPr>
        <w:rPr>
          <w:rFonts w:cs="Times New Roman"/>
          <w:lang w:val="fr-CA"/>
        </w:rPr>
      </w:pPr>
      <w:r w:rsidRPr="008675BA">
        <w:rPr>
          <w:rFonts w:cs="Times New Roman"/>
          <w:lang w:val="fr-CA"/>
        </w:rPr>
        <w:t>Autres fautes relevées</w:t>
      </w:r>
    </w:p>
    <w:p w:rsidR="0041746D" w:rsidRPr="008675BA" w:rsidRDefault="0041746D" w:rsidP="0041746D">
      <w:pPr>
        <w:pStyle w:val="ParaNoNdepar-AltN"/>
        <w:rPr>
          <w:rFonts w:cs="Times New Roman"/>
          <w:lang w:val="fr-CA"/>
        </w:rPr>
      </w:pPr>
      <w:r w:rsidRPr="008675BA">
        <w:rPr>
          <w:rFonts w:cs="Times New Roman"/>
          <w:lang w:val="fr-CA"/>
        </w:rPr>
        <w:t>Je tiens à ajouter quelques mots quant aux devoirs de loyauté et de confidentialité. Même en supposant que M</w:t>
      </w:r>
      <w:r w:rsidRPr="008675BA">
        <w:rPr>
          <w:rFonts w:cs="Times New Roman"/>
          <w:vertAlign w:val="superscript"/>
          <w:lang w:val="fr-CA"/>
        </w:rPr>
        <w:t>e</w:t>
      </w:r>
      <w:r w:rsidRPr="008675BA">
        <w:rPr>
          <w:rFonts w:cs="Times New Roman"/>
          <w:lang w:val="fr-CA"/>
        </w:rPr>
        <w:t> Salomon a commis des fautes à ces égards, je remarque que la Cour d’appel ne relève pas, et mon collègue ne le fait pas non plus, de preuve d’un lien causal entre ces fautes et les pertes des intimées. Autrement dit, il n’apparaît pas clairement de quelle façon les manquements reprochés aux devoirs de loyauté et de confidentialité — comme le fait que M</w:t>
      </w:r>
      <w:r w:rsidRPr="008675BA">
        <w:rPr>
          <w:rFonts w:cs="Times New Roman"/>
          <w:vertAlign w:val="superscript"/>
          <w:lang w:val="fr-CA"/>
        </w:rPr>
        <w:t>e</w:t>
      </w:r>
      <w:r w:rsidRPr="008675BA">
        <w:rPr>
          <w:rFonts w:cs="Times New Roman"/>
          <w:lang w:val="fr-CA"/>
        </w:rPr>
        <w:t xml:space="preserve"> Salomon a transmis les courriels des intimées à M. Papadopoulos — auraient pu causer les pertes. Pourtant, il ne suffit pas de prouver qu’un avocat a manqué à ses devoirs professionnels pour établir une responsabilité civile; un lien causal avec le préjudice doit aussi être établi (voir, par analogie, </w:t>
      </w:r>
      <w:r w:rsidRPr="008675BA">
        <w:rPr>
          <w:rFonts w:cs="Times New Roman"/>
          <w:i/>
          <w:lang w:val="fr-CA"/>
        </w:rPr>
        <w:t>Côté</w:t>
      </w:r>
      <w:r w:rsidRPr="008675BA">
        <w:rPr>
          <w:rFonts w:cs="Times New Roman"/>
          <w:lang w:val="fr-CA"/>
        </w:rPr>
        <w:t xml:space="preserve">, </w:t>
      </w:r>
      <w:r>
        <w:rPr>
          <w:rFonts w:cs="Times New Roman"/>
          <w:lang w:val="fr-CA"/>
        </w:rPr>
        <w:t>par. </w:t>
      </w:r>
      <w:r w:rsidRPr="008675BA">
        <w:rPr>
          <w:rFonts w:cs="Times New Roman"/>
          <w:lang w:val="fr-CA"/>
        </w:rPr>
        <w:t>18; Baudouin, Deslauriers et Moore, n</w:t>
      </w:r>
      <w:r w:rsidRPr="008675BA">
        <w:rPr>
          <w:rFonts w:cs="Times New Roman"/>
          <w:vertAlign w:val="superscript"/>
          <w:lang w:val="fr-CA"/>
        </w:rPr>
        <w:t>o</w:t>
      </w:r>
      <w:r w:rsidR="00234067">
        <w:rPr>
          <w:rFonts w:cs="Times New Roman"/>
          <w:vertAlign w:val="superscript"/>
          <w:lang w:val="fr-CA"/>
        </w:rPr>
        <w:t>s</w:t>
      </w:r>
      <w:r w:rsidR="001F7A32">
        <w:rPr>
          <w:rFonts w:cs="Times New Roman"/>
          <w:lang w:val="fr-CA"/>
        </w:rPr>
        <w:t xml:space="preserve"> </w:t>
      </w:r>
      <w:r w:rsidRPr="008675BA">
        <w:rPr>
          <w:rFonts w:cs="Times New Roman"/>
          <w:lang w:val="fr-CA"/>
        </w:rPr>
        <w:t>1</w:t>
      </w:r>
      <w:r>
        <w:rPr>
          <w:rFonts w:cs="Times New Roman"/>
          <w:lang w:val="fr-CA"/>
        </w:rPr>
        <w:noBreakHyphen/>
      </w:r>
      <w:r w:rsidRPr="008675BA">
        <w:rPr>
          <w:rFonts w:cs="Times New Roman"/>
          <w:lang w:val="fr-CA"/>
        </w:rPr>
        <w:t>666 et 2</w:t>
      </w:r>
      <w:r>
        <w:rPr>
          <w:rFonts w:cs="Times New Roman"/>
          <w:lang w:val="fr-CA"/>
        </w:rPr>
        <w:noBreakHyphen/>
      </w:r>
      <w:r w:rsidRPr="008675BA">
        <w:rPr>
          <w:rFonts w:cs="Times New Roman"/>
          <w:lang w:val="fr-CA"/>
        </w:rPr>
        <w:t>143).</w:t>
      </w:r>
    </w:p>
    <w:p w:rsidR="0041746D" w:rsidRPr="008675BA" w:rsidRDefault="0041746D" w:rsidP="0041746D">
      <w:pPr>
        <w:pStyle w:val="ParaNoNdepar-AltN"/>
        <w:rPr>
          <w:rFonts w:cs="Times New Roman"/>
          <w:lang w:val="fr-CA"/>
        </w:rPr>
      </w:pPr>
      <w:r w:rsidRPr="008675BA">
        <w:rPr>
          <w:rFonts w:cs="Times New Roman"/>
          <w:lang w:val="fr-CA"/>
        </w:rPr>
        <w:t>En outre, comme je le mentionne à quelques reprises dans les présents motifs, même si je devais conclure que M</w:t>
      </w:r>
      <w:r w:rsidRPr="008675BA">
        <w:rPr>
          <w:rFonts w:cs="Times New Roman"/>
          <w:vertAlign w:val="superscript"/>
          <w:lang w:val="fr-CA"/>
        </w:rPr>
        <w:t>e</w:t>
      </w:r>
      <w:r w:rsidRPr="008675BA">
        <w:rPr>
          <w:rFonts w:cs="Times New Roman"/>
          <w:lang w:val="fr-CA"/>
        </w:rPr>
        <w:t xml:space="preserve"> Salomon a effectivement commis d’autres fautes relativement à son devoir de conseil et à ses devoirs de loyauté et de confidentialité </w:t>
      </w:r>
      <w:r w:rsidRPr="008675BA">
        <w:rPr>
          <w:rFonts w:cs="Times New Roman"/>
          <w:i/>
          <w:lang w:val="fr-CA"/>
        </w:rPr>
        <w:t>après</w:t>
      </w:r>
      <w:r w:rsidRPr="008675BA">
        <w:rPr>
          <w:rFonts w:cs="Times New Roman"/>
          <w:lang w:val="fr-CA"/>
        </w:rPr>
        <w:t xml:space="preserve"> avoir eu connaissance de l’article de </w:t>
      </w:r>
      <w:r w:rsidRPr="008675BA">
        <w:rPr>
          <w:rFonts w:cs="Times New Roman"/>
          <w:i/>
          <w:lang w:val="fr-CA"/>
        </w:rPr>
        <w:t xml:space="preserve">La Presse Affaires </w:t>
      </w:r>
      <w:r w:rsidRPr="008675BA">
        <w:rPr>
          <w:rFonts w:cs="Times New Roman"/>
          <w:lang w:val="fr-CA"/>
        </w:rPr>
        <w:t xml:space="preserve">publié en mai 2007, l’issue serait la même. La juge du procès conclut, selon la prépondérance des probabilités, que les fonds ne pouvaient plus être recouvrés à ce moment. Cette </w:t>
      </w:r>
      <w:r w:rsidRPr="008675BA">
        <w:rPr>
          <w:rFonts w:cs="Times New Roman"/>
          <w:lang w:val="fr-CA"/>
        </w:rPr>
        <w:lastRenderedPageBreak/>
        <w:t xml:space="preserve">inférence repose sur le fait que les intimés demandaient déjà, en juin 2007, un remboursement partiel de leurs fonds, mais sans succès (motifs de première instance, </w:t>
      </w:r>
      <w:r>
        <w:rPr>
          <w:rFonts w:cs="Times New Roman"/>
          <w:lang w:val="fr-CA"/>
        </w:rPr>
        <w:t>par. </w:t>
      </w:r>
      <w:r w:rsidRPr="008675BA">
        <w:rPr>
          <w:rFonts w:cs="Times New Roman"/>
          <w:lang w:val="fr-CA"/>
        </w:rPr>
        <w:t>312</w:t>
      </w:r>
      <w:r>
        <w:rPr>
          <w:rFonts w:cs="Times New Roman"/>
          <w:lang w:val="fr-CA"/>
        </w:rPr>
        <w:noBreakHyphen/>
      </w:r>
      <w:r w:rsidRPr="008675BA">
        <w:rPr>
          <w:rFonts w:cs="Times New Roman"/>
          <w:lang w:val="fr-CA"/>
        </w:rPr>
        <w:t>313). Par conséquent, les fautes commises après cette date n’ont eu aucune conséquence sur les pertes. Une telle conclusion de fait commande la déférence.</w:t>
      </w:r>
    </w:p>
    <w:p w:rsidR="0041746D" w:rsidRPr="008675BA" w:rsidRDefault="0041746D" w:rsidP="0041746D">
      <w:pPr>
        <w:pStyle w:val="Title4LevelTitre4Niveau"/>
        <w:numPr>
          <w:ilvl w:val="3"/>
          <w:numId w:val="25"/>
        </w:numPr>
        <w:rPr>
          <w:rFonts w:cs="Times New Roman"/>
          <w:lang w:val="fr-CA"/>
        </w:rPr>
      </w:pPr>
      <w:r w:rsidRPr="008675BA">
        <w:rPr>
          <w:rFonts w:cs="Times New Roman"/>
          <w:lang w:val="fr-CA"/>
        </w:rPr>
        <w:t>Conclusion sur le lien de causalité</w:t>
      </w:r>
    </w:p>
    <w:p w:rsidR="0041746D" w:rsidRPr="008675BA" w:rsidRDefault="0041746D" w:rsidP="0041746D">
      <w:pPr>
        <w:pStyle w:val="ParaNoNdepar-AltN"/>
        <w:rPr>
          <w:rFonts w:cs="Times New Roman"/>
          <w:lang w:val="fr-CA"/>
        </w:rPr>
      </w:pPr>
      <w:r w:rsidRPr="008675BA">
        <w:rPr>
          <w:rFonts w:cs="Times New Roman"/>
          <w:lang w:val="fr-CA"/>
        </w:rPr>
        <w:t>Pour résumer, je suis convaincue que les conclusions de la juge du procès concernant la causalité ne contiennent aucune erreur révisable. L’intervention de la Cour d’appel repose sur l’approche « globale » qu’elle privilégie quant à la conduite de M</w:t>
      </w:r>
      <w:r w:rsidRPr="008675BA">
        <w:rPr>
          <w:rFonts w:cs="Times New Roman"/>
          <w:vertAlign w:val="superscript"/>
          <w:lang w:val="fr-CA"/>
        </w:rPr>
        <w:t>e</w:t>
      </w:r>
      <w:r w:rsidRPr="008675BA">
        <w:rPr>
          <w:rFonts w:cs="Times New Roman"/>
          <w:lang w:val="fr-CA"/>
        </w:rPr>
        <w:t> Salomon, et cette approche la mène à procéder à une nouvelle appréciation complète de la preuve concernant les fautes possibles et leur lien causal avec les pertes des intimées. Un point de vue différent — le fait de privilégier un autre « prisme » — ne suffit pas à justifier la modification par une juridiction d’appel des conclusions d’un juge de première instance. En l’espèce, la juge du procès pouvait conclure que les fautes effectivement commises par M</w:t>
      </w:r>
      <w:r w:rsidRPr="008675BA">
        <w:rPr>
          <w:rFonts w:cs="Times New Roman"/>
          <w:vertAlign w:val="superscript"/>
          <w:lang w:val="fr-CA"/>
        </w:rPr>
        <w:t>e</w:t>
      </w:r>
      <w:r w:rsidRPr="008675BA">
        <w:rPr>
          <w:rFonts w:cs="Times New Roman"/>
          <w:lang w:val="fr-CA"/>
        </w:rPr>
        <w:t> Salomon, soit la recommandation de Manulife et d’iVest, n’a pas causé les pertes, du moins pas directement, étant donné que les intimées ne se sont pas fondées sur ses recommandations lorsqu’elles ont investi dans Focus. De la même façon, même en supposant que la recommandation de Triglobal et de M. Papadopoulos constitue une faute, la juge du procès pouvait conclure, sur le fondement des faits de l’affaire, que la seule véritable cause des pertes est la fraude elle</w:t>
      </w:r>
      <w:r>
        <w:rPr>
          <w:rFonts w:cs="Times New Roman"/>
          <w:lang w:val="fr-CA"/>
        </w:rPr>
        <w:noBreakHyphen/>
      </w:r>
      <w:r w:rsidRPr="008675BA">
        <w:rPr>
          <w:rFonts w:cs="Times New Roman"/>
          <w:lang w:val="fr-CA"/>
        </w:rPr>
        <w:t>même.</w:t>
      </w:r>
    </w:p>
    <w:p w:rsidR="0041746D" w:rsidRPr="008675BA" w:rsidRDefault="0041746D" w:rsidP="0041746D">
      <w:pPr>
        <w:pStyle w:val="Title1LevelTitre1Niveau-AltL"/>
        <w:numPr>
          <w:ilvl w:val="0"/>
          <w:numId w:val="25"/>
        </w:numPr>
        <w:tabs>
          <w:tab w:val="clear" w:pos="1002"/>
          <w:tab w:val="num" w:pos="576"/>
        </w:tabs>
        <w:ind w:left="576"/>
        <w:rPr>
          <w:rFonts w:cs="Times New Roman"/>
          <w:lang w:val="fr-CA"/>
        </w:rPr>
      </w:pPr>
      <w:bookmarkStart w:id="20" w:name="_Toc2154004"/>
      <w:r w:rsidRPr="008675BA">
        <w:rPr>
          <w:rFonts w:cs="Times New Roman"/>
          <w:lang w:val="fr-CA"/>
        </w:rPr>
        <w:t>Conclusion</w:t>
      </w:r>
      <w:bookmarkEnd w:id="20"/>
    </w:p>
    <w:p w:rsidR="0041746D" w:rsidRPr="008675BA" w:rsidRDefault="0041746D" w:rsidP="0041746D">
      <w:pPr>
        <w:pStyle w:val="ParaNoNdepar-AltN"/>
        <w:rPr>
          <w:rFonts w:cs="Times New Roman"/>
          <w:lang w:val="fr-CA"/>
        </w:rPr>
      </w:pPr>
      <w:r w:rsidRPr="008675BA">
        <w:rPr>
          <w:rFonts w:cs="Times New Roman"/>
          <w:lang w:val="fr-CA"/>
        </w:rPr>
        <w:lastRenderedPageBreak/>
        <w:t>Il ne fait aucun doute que les avocats doivent éviter de recommander d’autres professionnels à la légère, particulièrement en raison de la confiance qu’ils peuvent inspirer à leurs clients. Cela ne veut toutefois pas dire que les principes de la responsabilité civile doivent être assouplis de telle sorte que les avocats deviennent garants des professionnels qu’ils recommandent. Bien que je ne sois pas insensible à la situation difficile dans laquelle se trouvent les intimées, je ne suis pas convaincue que M</w:t>
      </w:r>
      <w:r w:rsidRPr="008675BA">
        <w:rPr>
          <w:rFonts w:cs="Times New Roman"/>
          <w:vertAlign w:val="superscript"/>
          <w:lang w:val="fr-CA"/>
        </w:rPr>
        <w:t>e</w:t>
      </w:r>
      <w:r w:rsidRPr="008675BA">
        <w:rPr>
          <w:rFonts w:cs="Times New Roman"/>
          <w:lang w:val="fr-CA"/>
        </w:rPr>
        <w:t> Salomon soit responsable de leurs pertes. Plus important encore, je suis d’avis que la Cour d’appel ne relève pas d’erreurs donnant ouverture à révision dans le jugement de première instance. Elle procède plutôt à tort à une nouvelle appréciation de l’ensemble de la preuve simplement parce qu’elle préfère examiner l’affaire à travers un « prisme » d’analyse différent. Comme il convient de faire preuve de déférence à l’égard de l’instruction du procès, notre Cour doit intervenir pour rétablir les conclusions de la juge du procès. Par conséquent, je suis d’avis d’accueillir le pourvoi avec dépens devant la Cour et devant les juridictions inférieures.</w:t>
      </w:r>
    </w:p>
    <w:p w:rsidR="0041746D" w:rsidRPr="000E25BD" w:rsidRDefault="0041746D" w:rsidP="0041746D">
      <w:pPr>
        <w:pStyle w:val="SCCNormalDoubleSpacing"/>
        <w:spacing w:after="480"/>
        <w:rPr>
          <w:lang w:val="fr-CA"/>
        </w:rPr>
      </w:pPr>
      <w:r w:rsidRPr="000E25BD">
        <w:rPr>
          <w:lang w:val="fr-CA"/>
        </w:rPr>
        <w:tab/>
      </w:r>
      <w:r w:rsidRPr="000E25BD">
        <w:rPr>
          <w:i/>
          <w:lang w:val="fr-CA"/>
        </w:rPr>
        <w:t xml:space="preserve">Pourvoi rejeté avec dépens, la juge </w:t>
      </w:r>
      <w:r w:rsidRPr="000E25BD">
        <w:rPr>
          <w:smallCaps/>
          <w:lang w:val="fr-CA"/>
        </w:rPr>
        <w:t>Côté</w:t>
      </w:r>
      <w:r w:rsidRPr="000E25BD">
        <w:rPr>
          <w:i/>
          <w:lang w:val="fr-CA"/>
        </w:rPr>
        <w:t xml:space="preserve"> est dissidente.</w:t>
      </w:r>
    </w:p>
    <w:p w:rsidR="0041746D" w:rsidRPr="000E25BD" w:rsidRDefault="0041746D" w:rsidP="0041746D">
      <w:pPr>
        <w:pStyle w:val="SCCLawFirm"/>
        <w:spacing w:after="480"/>
        <w:rPr>
          <w:lang w:val="fr-CA"/>
        </w:rPr>
      </w:pPr>
      <w:r w:rsidRPr="000E25BD">
        <w:rPr>
          <w:lang w:val="fr-CA"/>
        </w:rPr>
        <w:tab/>
        <w:t>Procureurs des appelants</w:t>
      </w:r>
      <w:r>
        <w:rPr>
          <w:lang w:val="fr-CA"/>
        </w:rPr>
        <w:t> :</w:t>
      </w:r>
      <w:r w:rsidRPr="000E25BD">
        <w:rPr>
          <w:lang w:val="fr-CA"/>
        </w:rPr>
        <w:t> IMK, Montréal.</w:t>
      </w:r>
    </w:p>
    <w:p w:rsidR="0041746D" w:rsidRPr="000E25BD" w:rsidRDefault="0041746D" w:rsidP="0041746D">
      <w:pPr>
        <w:pStyle w:val="SCCLawFirm"/>
        <w:spacing w:after="480"/>
        <w:rPr>
          <w:lang w:val="fr-CA"/>
        </w:rPr>
      </w:pPr>
      <w:r w:rsidRPr="000E25BD">
        <w:rPr>
          <w:lang w:val="fr-CA"/>
        </w:rPr>
        <w:tab/>
        <w:t>Procureurs des intimées</w:t>
      </w:r>
      <w:r>
        <w:rPr>
          <w:lang w:val="fr-CA"/>
        </w:rPr>
        <w:t> :</w:t>
      </w:r>
      <w:r w:rsidRPr="000E25BD">
        <w:rPr>
          <w:lang w:val="fr-CA"/>
        </w:rPr>
        <w:t> Norton Rose Fulbright Canada, Montréal.</w:t>
      </w:r>
    </w:p>
    <w:p w:rsidR="00803999" w:rsidRPr="0041746D" w:rsidRDefault="00803999">
      <w:pPr>
        <w:rPr>
          <w:lang w:val="fr-CA"/>
        </w:rPr>
      </w:pPr>
    </w:p>
    <w:sectPr w:rsidR="00803999" w:rsidRPr="0041746D" w:rsidSect="00C81D6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D56" w:rsidRDefault="008A3D56" w:rsidP="0041746D">
      <w:r>
        <w:separator/>
      </w:r>
    </w:p>
  </w:endnote>
  <w:endnote w:type="continuationSeparator" w:id="0">
    <w:p w:rsidR="008A3D56" w:rsidRDefault="008A3D56" w:rsidP="0041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LT St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D56" w:rsidRDefault="008A3D56" w:rsidP="0041746D">
      <w:r>
        <w:separator/>
      </w:r>
    </w:p>
  </w:footnote>
  <w:footnote w:type="continuationSeparator" w:id="0">
    <w:p w:rsidR="008A3D56" w:rsidRDefault="008A3D56" w:rsidP="0041746D">
      <w:r>
        <w:continuationSeparator/>
      </w:r>
    </w:p>
  </w:footnote>
  <w:footnote w:id="1">
    <w:p w:rsidR="000A5748" w:rsidRPr="00981E59" w:rsidRDefault="000A5748" w:rsidP="0041746D">
      <w:pPr>
        <w:pStyle w:val="FootnoteText"/>
        <w:rPr>
          <w:lang w:val="fr-CA"/>
        </w:rPr>
      </w:pPr>
      <w:r w:rsidRPr="009B6F74">
        <w:rPr>
          <w:rStyle w:val="FootnoteReference"/>
          <w:lang w:val="fr-CA"/>
        </w:rPr>
        <w:footnoteRef/>
      </w:r>
      <w:r w:rsidRPr="009B6F74">
        <w:rPr>
          <w:lang w:val="fr-CA"/>
        </w:rPr>
        <w:t xml:space="preserve"> </w:t>
      </w:r>
      <w:r w:rsidRPr="009B6F74">
        <w:rPr>
          <w:lang w:val="fr-CA"/>
        </w:rPr>
        <w:tab/>
      </w:r>
      <w:r>
        <w:rPr>
          <w:lang w:val="fr-CA"/>
        </w:rPr>
        <w:t xml:space="preserve">Devant notre Cour et devant les cours d’instances inférieures, </w:t>
      </w:r>
      <w:r w:rsidRPr="009B6F74">
        <w:rPr>
          <w:lang w:val="fr-CA"/>
        </w:rPr>
        <w:t xml:space="preserve">SKM </w:t>
      </w:r>
      <w:r>
        <w:rPr>
          <w:lang w:val="fr-CA"/>
        </w:rPr>
        <w:t xml:space="preserve">a </w:t>
      </w:r>
      <w:r w:rsidRPr="009B6F74">
        <w:rPr>
          <w:lang w:val="fr-CA"/>
        </w:rPr>
        <w:t>pr</w:t>
      </w:r>
      <w:r>
        <w:rPr>
          <w:lang w:val="fr-CA"/>
        </w:rPr>
        <w:t>é</w:t>
      </w:r>
      <w:r w:rsidRPr="009B6F74">
        <w:rPr>
          <w:lang w:val="fr-CA"/>
        </w:rPr>
        <w:t>sent</w:t>
      </w:r>
      <w:r>
        <w:rPr>
          <w:lang w:val="fr-CA"/>
        </w:rPr>
        <w:t>é une défense commune avec M</w:t>
      </w:r>
      <w:r w:rsidRPr="00E35F6A">
        <w:rPr>
          <w:vertAlign w:val="superscript"/>
          <w:lang w:val="fr-CA"/>
        </w:rPr>
        <w:t>e</w:t>
      </w:r>
      <w:r>
        <w:rPr>
          <w:lang w:val="fr-CA"/>
        </w:rPr>
        <w:t> Salomon</w:t>
      </w:r>
      <w:r w:rsidRPr="009B6F74">
        <w:rPr>
          <w:lang w:val="fr-CA"/>
        </w:rPr>
        <w:t xml:space="preserve"> </w:t>
      </w:r>
      <w:r>
        <w:rPr>
          <w:lang w:val="fr-CA"/>
        </w:rPr>
        <w:t>et n’a pas formulé d’arguments distincts quant à sa propre responsabilité</w:t>
      </w:r>
      <w:r w:rsidRPr="009B6F74">
        <w:rPr>
          <w:lang w:val="fr-CA"/>
        </w:rPr>
        <w:t xml:space="preserve">. </w:t>
      </w:r>
    </w:p>
  </w:footnote>
  <w:footnote w:id="2">
    <w:p w:rsidR="000A5748" w:rsidRPr="001E6311" w:rsidRDefault="000A5748" w:rsidP="0041746D">
      <w:pPr>
        <w:pStyle w:val="FootnoteText"/>
        <w:tabs>
          <w:tab w:val="clear" w:pos="180"/>
          <w:tab w:val="left" w:pos="142"/>
        </w:tabs>
        <w:ind w:left="142" w:hanging="142"/>
        <w:rPr>
          <w:lang w:val="fr-CA"/>
        </w:rPr>
      </w:pPr>
      <w:r w:rsidRPr="001E6311">
        <w:rPr>
          <w:rStyle w:val="FootnoteReference"/>
          <w:lang w:val="fr-CA"/>
        </w:rPr>
        <w:footnoteRef/>
      </w:r>
      <w:r w:rsidRPr="001E6311">
        <w:rPr>
          <w:lang w:val="fr-CA"/>
        </w:rPr>
        <w:t xml:space="preserve"> </w:t>
      </w:r>
      <w:r>
        <w:rPr>
          <w:lang w:val="fr-CA"/>
        </w:rPr>
        <w:tab/>
        <w:t>La juge du procès</w:t>
      </w:r>
      <w:r w:rsidRPr="001E6311">
        <w:rPr>
          <w:lang w:val="fr-CA"/>
        </w:rPr>
        <w:t xml:space="preserve"> n</w:t>
      </w:r>
      <w:r>
        <w:rPr>
          <w:lang w:val="fr-CA"/>
        </w:rPr>
        <w:t>e</w:t>
      </w:r>
      <w:r w:rsidRPr="001E6311">
        <w:rPr>
          <w:lang w:val="fr-CA"/>
        </w:rPr>
        <w:t xml:space="preserve"> trait</w:t>
      </w:r>
      <w:r>
        <w:rPr>
          <w:lang w:val="fr-CA"/>
        </w:rPr>
        <w:t>e pas</w:t>
      </w:r>
      <w:r w:rsidRPr="001E6311">
        <w:rPr>
          <w:lang w:val="fr-CA"/>
        </w:rPr>
        <w:t xml:space="preserve"> de </w:t>
      </w:r>
      <w:r>
        <w:rPr>
          <w:lang w:val="fr-CA"/>
        </w:rPr>
        <w:t>la recommandation</w:t>
      </w:r>
      <w:r w:rsidRPr="001E6311">
        <w:rPr>
          <w:lang w:val="fr-CA"/>
        </w:rPr>
        <w:t xml:space="preserve"> initial</w:t>
      </w:r>
      <w:r>
        <w:rPr>
          <w:lang w:val="fr-CA"/>
        </w:rPr>
        <w:t>e</w:t>
      </w:r>
      <w:r w:rsidRPr="001E6311">
        <w:rPr>
          <w:lang w:val="fr-CA"/>
        </w:rPr>
        <w:t xml:space="preserve"> </w:t>
      </w:r>
      <w:r>
        <w:rPr>
          <w:lang w:val="fr-CA"/>
        </w:rPr>
        <w:t>d</w:t>
      </w:r>
      <w:r w:rsidRPr="001E6311">
        <w:rPr>
          <w:lang w:val="fr-CA"/>
        </w:rPr>
        <w:t>e Triglobal et</w:t>
      </w:r>
      <w:r>
        <w:rPr>
          <w:lang w:val="fr-CA"/>
        </w:rPr>
        <w:t xml:space="preserve"> de</w:t>
      </w:r>
      <w:r w:rsidRPr="001E6311">
        <w:rPr>
          <w:lang w:val="fr-CA"/>
        </w:rPr>
        <w:t xml:space="preserve"> M. Papadopoulos (ni des témoignages de confiance ultérieurs</w:t>
      </w:r>
      <w:r>
        <w:rPr>
          <w:lang w:val="fr-CA"/>
        </w:rPr>
        <w:t xml:space="preserve"> envers eux</w:t>
      </w:r>
      <w:r w:rsidRPr="001E6311">
        <w:rPr>
          <w:lang w:val="fr-CA"/>
        </w:rPr>
        <w:t xml:space="preserve">) dans une partie distincte du jugement. </w:t>
      </w:r>
      <w:r>
        <w:rPr>
          <w:lang w:val="fr-CA"/>
        </w:rPr>
        <w:t xml:space="preserve">Cependant, son analyse </w:t>
      </w:r>
      <w:r w:rsidRPr="001E6311">
        <w:rPr>
          <w:lang w:val="fr-CA"/>
        </w:rPr>
        <w:t xml:space="preserve">sur le lien de causalité </w:t>
      </w:r>
      <w:r>
        <w:rPr>
          <w:lang w:val="fr-CA"/>
        </w:rPr>
        <w:t>indique clairement</w:t>
      </w:r>
      <w:r w:rsidRPr="001E6311">
        <w:rPr>
          <w:lang w:val="fr-CA"/>
        </w:rPr>
        <w:t xml:space="preserve"> qu</w:t>
      </w:r>
      <w:r>
        <w:rPr>
          <w:lang w:val="fr-CA"/>
        </w:rPr>
        <w:t>’</w:t>
      </w:r>
      <w:r w:rsidRPr="001E6311">
        <w:rPr>
          <w:lang w:val="fr-CA"/>
        </w:rPr>
        <w:t xml:space="preserve">elle fait une distinction entre </w:t>
      </w:r>
      <w:r>
        <w:rPr>
          <w:lang w:val="fr-CA"/>
        </w:rPr>
        <w:t>la</w:t>
      </w:r>
      <w:r w:rsidRPr="001E6311">
        <w:rPr>
          <w:lang w:val="fr-CA"/>
        </w:rPr>
        <w:t xml:space="preserve"> recommandation</w:t>
      </w:r>
      <w:r>
        <w:rPr>
          <w:lang w:val="fr-CA"/>
        </w:rPr>
        <w:t xml:space="preserve"> des conseillers financiers</w:t>
      </w:r>
      <w:r w:rsidRPr="001E6311">
        <w:rPr>
          <w:lang w:val="fr-CA"/>
        </w:rPr>
        <w:t xml:space="preserve"> et l</w:t>
      </w:r>
      <w:r>
        <w:rPr>
          <w:lang w:val="fr-CA"/>
        </w:rPr>
        <w:t>a recommandation relative à des</w:t>
      </w:r>
      <w:r w:rsidRPr="001E6311">
        <w:rPr>
          <w:lang w:val="fr-CA"/>
        </w:rPr>
        <w:t xml:space="preserve"> produits précis de placement (voir notamment </w:t>
      </w:r>
      <w:r>
        <w:rPr>
          <w:lang w:val="fr-CA"/>
        </w:rPr>
        <w:t>les motifs de première instance</w:t>
      </w:r>
      <w:r w:rsidRPr="001E6311">
        <w:rPr>
          <w:lang w:val="fr-CA"/>
        </w:rPr>
        <w:t>, par. 302-</w:t>
      </w:r>
      <w:r>
        <w:rPr>
          <w:lang w:val="fr-CA"/>
        </w:rPr>
        <w:t>3</w:t>
      </w:r>
      <w:r w:rsidRPr="001E6311">
        <w:rPr>
          <w:lang w:val="fr-CA"/>
        </w:rPr>
        <w:t>04).</w:t>
      </w:r>
      <w:r>
        <w:rPr>
          <w:lang w:val="fr-CA"/>
        </w:rPr>
        <w:t xml:space="preserve"> </w:t>
      </w:r>
    </w:p>
  </w:footnote>
  <w:footnote w:id="3">
    <w:p w:rsidR="000A5748" w:rsidRPr="001E6311" w:rsidRDefault="000A5748" w:rsidP="0041746D">
      <w:pPr>
        <w:pStyle w:val="FootnoteText"/>
        <w:tabs>
          <w:tab w:val="clear" w:pos="180"/>
          <w:tab w:val="left" w:pos="142"/>
        </w:tabs>
        <w:ind w:left="142" w:hanging="142"/>
        <w:rPr>
          <w:lang w:val="fr-CA"/>
        </w:rPr>
      </w:pPr>
      <w:r w:rsidRPr="001E6311">
        <w:rPr>
          <w:rStyle w:val="FootnoteReference"/>
          <w:lang w:val="fr-CA"/>
        </w:rPr>
        <w:footnoteRef/>
      </w:r>
      <w:r w:rsidRPr="001E6311">
        <w:rPr>
          <w:lang w:val="fr-CA"/>
        </w:rPr>
        <w:t xml:space="preserve"> </w:t>
      </w:r>
      <w:r>
        <w:rPr>
          <w:lang w:val="fr-CA"/>
        </w:rPr>
        <w:tab/>
      </w:r>
      <w:r w:rsidRPr="001E6311">
        <w:rPr>
          <w:lang w:val="fr-CA"/>
        </w:rPr>
        <w:t>Mon collègue exagère le r</w:t>
      </w:r>
      <w:r>
        <w:rPr>
          <w:lang w:val="fr-CA"/>
        </w:rPr>
        <w:t>ô</w:t>
      </w:r>
      <w:r w:rsidRPr="001E6311">
        <w:rPr>
          <w:lang w:val="fr-CA"/>
        </w:rPr>
        <w:t>le de M</w:t>
      </w:r>
      <w:r w:rsidRPr="001E6311">
        <w:rPr>
          <w:vertAlign w:val="superscript"/>
          <w:lang w:val="fr-CA"/>
        </w:rPr>
        <w:t>e</w:t>
      </w:r>
      <w:r w:rsidRPr="001E6311">
        <w:rPr>
          <w:lang w:val="fr-CA"/>
        </w:rPr>
        <w:t> Salomon dans la vente de</w:t>
      </w:r>
      <w:r>
        <w:rPr>
          <w:lang w:val="fr-CA"/>
        </w:rPr>
        <w:t xml:space="preserve">s </w:t>
      </w:r>
      <w:r w:rsidRPr="001E6311">
        <w:rPr>
          <w:lang w:val="fr-CA"/>
        </w:rPr>
        <w:t>actif</w:t>
      </w:r>
      <w:r>
        <w:rPr>
          <w:lang w:val="fr-CA"/>
        </w:rPr>
        <w:t>s</w:t>
      </w:r>
      <w:r w:rsidRPr="001E6311">
        <w:rPr>
          <w:lang w:val="fr-CA"/>
        </w:rPr>
        <w:t xml:space="preserve"> de 166</w:t>
      </w:r>
      <w:r>
        <w:rPr>
          <w:lang w:val="fr-CA"/>
        </w:rPr>
        <w:t>,</w:t>
      </w:r>
      <w:r w:rsidRPr="001E6311">
        <w:rPr>
          <w:lang w:val="fr-CA"/>
        </w:rPr>
        <w:t xml:space="preserve"> au par. 13 de ses motifs. </w:t>
      </w:r>
      <w:r>
        <w:rPr>
          <w:lang w:val="fr-CA"/>
        </w:rPr>
        <w:t>À la lumière du</w:t>
      </w:r>
      <w:r w:rsidRPr="001E6311">
        <w:rPr>
          <w:lang w:val="fr-CA"/>
        </w:rPr>
        <w:t xml:space="preserve"> témoignage de M</w:t>
      </w:r>
      <w:r w:rsidRPr="001E6311">
        <w:rPr>
          <w:vertAlign w:val="superscript"/>
          <w:lang w:val="fr-CA"/>
        </w:rPr>
        <w:t>me</w:t>
      </w:r>
      <w:r w:rsidRPr="001E6311">
        <w:rPr>
          <w:lang w:val="fr-CA"/>
        </w:rPr>
        <w:t> Matte-Thom</w:t>
      </w:r>
      <w:r>
        <w:rPr>
          <w:lang w:val="fr-CA"/>
        </w:rPr>
        <w:t>p</w:t>
      </w:r>
      <w:r w:rsidRPr="001E6311">
        <w:rPr>
          <w:lang w:val="fr-CA"/>
        </w:rPr>
        <w:t>son, on ne peut dire que M</w:t>
      </w:r>
      <w:r w:rsidRPr="001E6311">
        <w:rPr>
          <w:vertAlign w:val="superscript"/>
          <w:lang w:val="fr-CA"/>
        </w:rPr>
        <w:t>e</w:t>
      </w:r>
      <w:r w:rsidRPr="001E6311">
        <w:rPr>
          <w:lang w:val="fr-CA"/>
        </w:rPr>
        <w:t xml:space="preserve"> Salomon a </w:t>
      </w:r>
      <w:r>
        <w:rPr>
          <w:lang w:val="fr-CA"/>
        </w:rPr>
        <w:t>« </w:t>
      </w:r>
      <w:r w:rsidRPr="001E6311">
        <w:rPr>
          <w:lang w:val="fr-CA"/>
        </w:rPr>
        <w:t>or</w:t>
      </w:r>
      <w:r>
        <w:rPr>
          <w:lang w:val="fr-CA"/>
        </w:rPr>
        <w:t>ganis[</w:t>
      </w:r>
      <w:r w:rsidRPr="001E6311">
        <w:rPr>
          <w:lang w:val="fr-CA"/>
        </w:rPr>
        <w:t>é</w:t>
      </w:r>
      <w:r>
        <w:rPr>
          <w:lang w:val="fr-CA"/>
        </w:rPr>
        <w:t>] »</w:t>
      </w:r>
      <w:r w:rsidRPr="001E6311">
        <w:rPr>
          <w:lang w:val="fr-CA"/>
        </w:rPr>
        <w:t xml:space="preserve"> la vente</w:t>
      </w:r>
      <w:r>
        <w:rPr>
          <w:lang w:val="fr-CA"/>
        </w:rPr>
        <w:t xml:space="preserve"> (d.a., vol. 7, p. 2220-2221)</w:t>
      </w:r>
      <w:r w:rsidRPr="001E6311">
        <w:rPr>
          <w:lang w:val="fr-CA"/>
        </w:rPr>
        <w:t xml:space="preserve">. </w:t>
      </w:r>
    </w:p>
  </w:footnote>
  <w:footnote w:id="4">
    <w:p w:rsidR="000A5748" w:rsidRPr="00A0316D" w:rsidRDefault="000A5748" w:rsidP="0041746D">
      <w:pPr>
        <w:ind w:left="142" w:hanging="142"/>
        <w:jc w:val="both"/>
        <w:rPr>
          <w:sz w:val="20"/>
          <w:lang w:val="fr-CA"/>
        </w:rPr>
      </w:pPr>
      <w:r w:rsidRPr="001E6311">
        <w:rPr>
          <w:sz w:val="22"/>
          <w:szCs w:val="22"/>
          <w:vertAlign w:val="superscript"/>
          <w:lang w:val="fr-CA"/>
        </w:rPr>
        <w:footnoteRef/>
      </w:r>
      <w:r w:rsidRPr="001E6311">
        <w:rPr>
          <w:sz w:val="22"/>
          <w:szCs w:val="22"/>
          <w:vertAlign w:val="superscript"/>
          <w:lang w:val="fr-CA"/>
        </w:rPr>
        <w:t xml:space="preserve"> </w:t>
      </w:r>
      <w:r>
        <w:rPr>
          <w:sz w:val="22"/>
          <w:szCs w:val="22"/>
          <w:vertAlign w:val="superscript"/>
          <w:lang w:val="fr-CA"/>
        </w:rPr>
        <w:t xml:space="preserve"> </w:t>
      </w:r>
      <w:r w:rsidRPr="00A0316D">
        <w:rPr>
          <w:sz w:val="20"/>
          <w:lang w:val="fr-CA"/>
        </w:rPr>
        <w:t>Je remarque que la Cour d’appel conclut à tort que M</w:t>
      </w:r>
      <w:r w:rsidRPr="00A0316D">
        <w:rPr>
          <w:sz w:val="20"/>
          <w:vertAlign w:val="superscript"/>
          <w:lang w:val="fr-CA"/>
        </w:rPr>
        <w:t>e</w:t>
      </w:r>
      <w:r w:rsidRPr="00A0316D">
        <w:rPr>
          <w:sz w:val="20"/>
          <w:lang w:val="fr-CA"/>
        </w:rPr>
        <w:t xml:space="preserve"> Salomon savait, lorsqu’il a reçu le courriel, que 166 avait investi </w:t>
      </w:r>
      <w:r w:rsidRPr="00A0316D">
        <w:rPr>
          <w:i/>
          <w:sz w:val="20"/>
          <w:lang w:val="fr-CA"/>
        </w:rPr>
        <w:t>tout</w:t>
      </w:r>
      <w:r w:rsidRPr="00A0316D">
        <w:rPr>
          <w:sz w:val="20"/>
          <w:lang w:val="fr-CA"/>
        </w:rPr>
        <w:t xml:space="preserve"> le produit de la vente dans le fonds Focus (par. 79). Or, ce n’est pas ce qu’indique le courriel, et il n’y a aucune autre preuve en ce sens.</w:t>
      </w:r>
    </w:p>
    <w:p w:rsidR="000A5748" w:rsidRPr="00A0316D" w:rsidRDefault="000A5748" w:rsidP="0041746D">
      <w:pPr>
        <w:pStyle w:val="FootnoteText"/>
        <w:ind w:left="0" w:firstLine="0"/>
        <w:rPr>
          <w:lang w:val="fr-C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1A7E43"/>
    <w:multiLevelType w:val="hybridMultilevel"/>
    <w:tmpl w:val="608897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273A31"/>
    <w:multiLevelType w:val="hybridMultilevel"/>
    <w:tmpl w:val="6A6C441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CC2769B"/>
    <w:multiLevelType w:val="multilevel"/>
    <w:tmpl w:val="4D8C42B4"/>
    <w:lvl w:ilvl="0">
      <w:start w:val="1"/>
      <w:numFmt w:val="upperRoman"/>
      <w:lvlText w:val="%1."/>
      <w:lvlJc w:val="left"/>
      <w:pPr>
        <w:tabs>
          <w:tab w:val="num" w:pos="1002"/>
        </w:tabs>
        <w:ind w:left="1002"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CDBFB6"/>
    <w:multiLevelType w:val="hybridMultilevel"/>
    <w:tmpl w:val="91E79D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E3E2D62"/>
    <w:multiLevelType w:val="hybridMultilevel"/>
    <w:tmpl w:val="22D6CBAC"/>
    <w:lvl w:ilvl="0" w:tplc="254410A0">
      <w:start w:val="159"/>
      <w:numFmt w:val="bullet"/>
      <w:lvlText w:val="-"/>
      <w:lvlJc w:val="left"/>
      <w:pPr>
        <w:ind w:left="405" w:hanging="360"/>
      </w:pPr>
      <w:rPr>
        <w:rFonts w:ascii="Times New Roman" w:eastAsia="Times New Roman" w:hAnsi="Times New Roman" w:cs="Times New Roman"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7" w15:restartNumberingAfterBreak="0">
    <w:nsid w:val="2FE929A9"/>
    <w:multiLevelType w:val="hybridMultilevel"/>
    <w:tmpl w:val="D86EA3B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9CB56F6"/>
    <w:multiLevelType w:val="hybridMultilevel"/>
    <w:tmpl w:val="F05EF85E"/>
    <w:lvl w:ilvl="0" w:tplc="0C0C0015">
      <w:start w:val="1"/>
      <w:numFmt w:val="upp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4603130A"/>
    <w:multiLevelType w:val="multilevel"/>
    <w:tmpl w:val="57642F48"/>
    <w:lvl w:ilvl="0">
      <w:start w:val="1"/>
      <w:numFmt w:val="upperRoman"/>
      <w:lvlText w:val="%1."/>
      <w:lvlJc w:val="left"/>
      <w:pPr>
        <w:tabs>
          <w:tab w:val="num" w:pos="1002"/>
        </w:tabs>
        <w:ind w:left="1002"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8F943E2"/>
    <w:multiLevelType w:val="hybridMultilevel"/>
    <w:tmpl w:val="E9AE73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07428A3"/>
    <w:multiLevelType w:val="hybridMultilevel"/>
    <w:tmpl w:val="6EBC92BC"/>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14" w15:restartNumberingAfterBreak="0">
    <w:nsid w:val="54283EE8"/>
    <w:multiLevelType w:val="multilevel"/>
    <w:tmpl w:val="DC8C7AD2"/>
    <w:lvl w:ilvl="0">
      <w:start w:val="1"/>
      <w:numFmt w:val="decimal"/>
      <w:pStyle w:val="ParaNoNdepar-AltN"/>
      <w:lvlText w:val="[%1]"/>
      <w:lvlJc w:val="left"/>
      <w:pPr>
        <w:tabs>
          <w:tab w:val="num" w:pos="1152"/>
        </w:tabs>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C331C6E"/>
    <w:multiLevelType w:val="hybridMultilevel"/>
    <w:tmpl w:val="96C0DD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D8B2BB0"/>
    <w:multiLevelType w:val="hybridMultilevel"/>
    <w:tmpl w:val="3250B67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C826062"/>
    <w:multiLevelType w:val="hybridMultilevel"/>
    <w:tmpl w:val="AB08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4"/>
  </w:num>
  <w:num w:numId="4">
    <w:abstractNumId w:val="0"/>
  </w:num>
  <w:num w:numId="5">
    <w:abstractNumId w:val="11"/>
  </w:num>
  <w:num w:numId="6">
    <w:abstractNumId w:val="12"/>
  </w:num>
  <w:num w:numId="7">
    <w:abstractNumId w:val="9"/>
  </w:num>
  <w:num w:numId="8">
    <w:abstractNumId w:val="9"/>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7"/>
  </w:num>
  <w:num w:numId="10">
    <w:abstractNumId w:val="8"/>
  </w:num>
  <w:num w:numId="11">
    <w:abstractNumId w:val="9"/>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i w:val="0"/>
          <w:sz w:val="24"/>
        </w:rPr>
      </w:lvl>
    </w:lvlOverride>
    <w:lvlOverride w:ilvl="3">
      <w:lvl w:ilvl="3">
        <w:start w:val="1"/>
        <w:numFmt w:val="lowerLetter"/>
        <w:lvlText w:val="(%4)"/>
        <w:lvlJc w:val="left"/>
        <w:pPr>
          <w:tabs>
            <w:tab w:val="num" w:pos="1152"/>
          </w:tabs>
          <w:ind w:left="1152" w:hanging="576"/>
        </w:pPr>
        <w:rPr>
          <w:rFonts w:hint="default"/>
          <w:b/>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16"/>
  </w:num>
  <w:num w:numId="13">
    <w:abstractNumId w:val="7"/>
  </w:num>
  <w:num w:numId="14">
    <w:abstractNumId w:val="2"/>
  </w:num>
  <w:num w:numId="15">
    <w:abstractNumId w:val="10"/>
  </w:num>
  <w:num w:numId="16">
    <w:abstractNumId w:val="1"/>
  </w:num>
  <w:num w:numId="17">
    <w:abstractNumId w:val="6"/>
  </w:num>
  <w:num w:numId="18">
    <w:abstractNumId w:val="14"/>
    <w:lvlOverride w:ilvl="0">
      <w:startOverride w:val="1"/>
    </w:lvlOverride>
    <w:lvlOverride w:ilvl="1">
      <w:startOverride w:val="2"/>
    </w:lvlOverride>
  </w:num>
  <w:num w:numId="19">
    <w:abstractNumId w:val="14"/>
    <w:lvlOverride w:ilvl="0">
      <w:startOverride w:val="1"/>
    </w:lvlOverride>
    <w:lvlOverride w:ilvl="1">
      <w:startOverride w:val="1"/>
    </w:lvlOverride>
    <w:lvlOverride w:ilvl="2">
      <w:startOverride w:val="1"/>
    </w:lvlOverride>
    <w:lvlOverride w:ilvl="3">
      <w:startOverride w:val="2"/>
    </w:lvlOverride>
  </w:num>
  <w:num w:numId="20">
    <w:abstractNumId w:val="14"/>
    <w:lvlOverride w:ilvl="0">
      <w:startOverride w:val="1"/>
    </w:lvlOverride>
    <w:lvlOverride w:ilvl="1">
      <w:startOverride w:val="1"/>
    </w:lvlOverride>
    <w:lvlOverride w:ilvl="2">
      <w:startOverride w:val="1"/>
    </w:lvlOverride>
    <w:lvlOverride w:ilvl="3">
      <w:startOverride w:val="2"/>
    </w:lvlOverride>
  </w:num>
  <w:num w:numId="21">
    <w:abstractNumId w:val="18"/>
  </w:num>
  <w:num w:numId="22">
    <w:abstractNumId w:val="13"/>
  </w:num>
  <w:num w:numId="23">
    <w:abstractNumId w:val="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139FA"/>
    <w:rsid w:val="000A5748"/>
    <w:rsid w:val="001F7A32"/>
    <w:rsid w:val="00214E08"/>
    <w:rsid w:val="00234067"/>
    <w:rsid w:val="00273815"/>
    <w:rsid w:val="002849A2"/>
    <w:rsid w:val="00293FF7"/>
    <w:rsid w:val="002C47B0"/>
    <w:rsid w:val="003E2652"/>
    <w:rsid w:val="0041746D"/>
    <w:rsid w:val="004919FC"/>
    <w:rsid w:val="00551F83"/>
    <w:rsid w:val="00601A9A"/>
    <w:rsid w:val="00673256"/>
    <w:rsid w:val="00681C38"/>
    <w:rsid w:val="006C2B05"/>
    <w:rsid w:val="006D6BAB"/>
    <w:rsid w:val="0070253F"/>
    <w:rsid w:val="007054A6"/>
    <w:rsid w:val="007429D9"/>
    <w:rsid w:val="007C6591"/>
    <w:rsid w:val="00803999"/>
    <w:rsid w:val="008052D0"/>
    <w:rsid w:val="008128F0"/>
    <w:rsid w:val="00871DED"/>
    <w:rsid w:val="008832C0"/>
    <w:rsid w:val="008A3D56"/>
    <w:rsid w:val="008C2B4E"/>
    <w:rsid w:val="008C5410"/>
    <w:rsid w:val="008D5C59"/>
    <w:rsid w:val="008E2A71"/>
    <w:rsid w:val="008E4387"/>
    <w:rsid w:val="009736FB"/>
    <w:rsid w:val="009B1ECF"/>
    <w:rsid w:val="009C2FC9"/>
    <w:rsid w:val="009E6E86"/>
    <w:rsid w:val="00A00B09"/>
    <w:rsid w:val="00A113B4"/>
    <w:rsid w:val="00A139B6"/>
    <w:rsid w:val="00A56D73"/>
    <w:rsid w:val="00AD7484"/>
    <w:rsid w:val="00AE0427"/>
    <w:rsid w:val="00B20BEB"/>
    <w:rsid w:val="00B85F07"/>
    <w:rsid w:val="00C30730"/>
    <w:rsid w:val="00C64F0B"/>
    <w:rsid w:val="00C81D6C"/>
    <w:rsid w:val="00CD3B5B"/>
    <w:rsid w:val="00CE1E2E"/>
    <w:rsid w:val="00D76FD1"/>
    <w:rsid w:val="00ED30DF"/>
    <w:rsid w:val="00F226D0"/>
    <w:rsid w:val="00FD3B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46D"/>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41746D"/>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41746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6D"/>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41746D"/>
    <w:rPr>
      <w:rFonts w:asciiTheme="majorHAnsi" w:eastAsiaTheme="majorEastAsia" w:hAnsiTheme="majorHAnsi" w:cstheme="majorBidi"/>
      <w:b/>
      <w:bCs/>
      <w:color w:val="5B9BD5" w:themeColor="accent1"/>
      <w:sz w:val="26"/>
      <w:szCs w:val="26"/>
      <w:lang w:eastAsia="en-CA"/>
    </w:rPr>
  </w:style>
  <w:style w:type="paragraph" w:customStyle="1" w:styleId="1">
    <w:name w:val="1"/>
    <w:aliases w:val=" 2, 3, A"/>
    <w:basedOn w:val="Normal"/>
    <w:uiPriority w:val="1"/>
    <w:rsid w:val="0041746D"/>
    <w:pPr>
      <w:widowControl w:val="0"/>
    </w:pPr>
  </w:style>
  <w:style w:type="paragraph" w:customStyle="1" w:styleId="SCCNormalDoubleSpacing">
    <w:name w:val="SCC.Normal.DoubleSpacing"/>
    <w:basedOn w:val="Normal"/>
    <w:link w:val="SCCNormalDoubleSpacingChar"/>
    <w:rsid w:val="0041746D"/>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41746D"/>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41746D"/>
    <w:rPr>
      <w:b/>
      <w:bCs/>
    </w:rPr>
  </w:style>
  <w:style w:type="paragraph" w:styleId="Quote">
    <w:name w:val="Quote"/>
    <w:basedOn w:val="Normal"/>
    <w:next w:val="Normal"/>
    <w:link w:val="QuoteChar"/>
    <w:uiPriority w:val="29"/>
    <w:qFormat/>
    <w:rsid w:val="0041746D"/>
    <w:rPr>
      <w:i/>
      <w:iCs/>
      <w:color w:val="000000" w:themeColor="text1"/>
    </w:rPr>
  </w:style>
  <w:style w:type="character" w:customStyle="1" w:styleId="QuoteChar">
    <w:name w:val="Quote Char"/>
    <w:basedOn w:val="DefaultParagraphFont"/>
    <w:link w:val="Quote"/>
    <w:uiPriority w:val="29"/>
    <w:rsid w:val="0041746D"/>
    <w:rPr>
      <w:rFonts w:ascii="Times New Roman" w:eastAsia="Times New Roman"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41746D"/>
    <w:rPr>
      <w:color w:val="808080"/>
    </w:rPr>
  </w:style>
  <w:style w:type="paragraph" w:styleId="BalloonText">
    <w:name w:val="Balloon Text"/>
    <w:basedOn w:val="Normal"/>
    <w:link w:val="BalloonTextChar"/>
    <w:uiPriority w:val="99"/>
    <w:semiHidden/>
    <w:unhideWhenUsed/>
    <w:rsid w:val="0041746D"/>
    <w:rPr>
      <w:rFonts w:ascii="Tahoma" w:hAnsi="Tahoma" w:cs="Tahoma"/>
      <w:sz w:val="16"/>
      <w:szCs w:val="16"/>
    </w:rPr>
  </w:style>
  <w:style w:type="character" w:customStyle="1" w:styleId="BalloonTextChar">
    <w:name w:val="Balloon Text Char"/>
    <w:basedOn w:val="DefaultParagraphFont"/>
    <w:link w:val="BalloonText"/>
    <w:uiPriority w:val="99"/>
    <w:semiHidden/>
    <w:rsid w:val="0041746D"/>
    <w:rPr>
      <w:rFonts w:ascii="Tahoma" w:eastAsia="Times New Roman" w:hAnsi="Tahoma" w:cs="Tahoma"/>
      <w:sz w:val="16"/>
      <w:szCs w:val="16"/>
      <w:lang w:eastAsia="en-CA"/>
    </w:rPr>
  </w:style>
  <w:style w:type="paragraph" w:styleId="Header">
    <w:name w:val="header"/>
    <w:basedOn w:val="Normal"/>
    <w:link w:val="HeaderChar"/>
    <w:uiPriority w:val="99"/>
    <w:unhideWhenUsed/>
    <w:rsid w:val="0041746D"/>
    <w:pPr>
      <w:tabs>
        <w:tab w:val="center" w:pos="4680"/>
        <w:tab w:val="right" w:pos="9360"/>
      </w:tabs>
    </w:pPr>
  </w:style>
  <w:style w:type="character" w:customStyle="1" w:styleId="HeaderChar">
    <w:name w:val="Header Char"/>
    <w:basedOn w:val="DefaultParagraphFont"/>
    <w:link w:val="Header"/>
    <w:uiPriority w:val="99"/>
    <w:rsid w:val="0041746D"/>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41746D"/>
    <w:pPr>
      <w:tabs>
        <w:tab w:val="center" w:pos="4680"/>
        <w:tab w:val="right" w:pos="9360"/>
      </w:tabs>
    </w:pPr>
  </w:style>
  <w:style w:type="character" w:customStyle="1" w:styleId="FooterChar">
    <w:name w:val="Footer Char"/>
    <w:basedOn w:val="DefaultParagraphFont"/>
    <w:link w:val="Footer"/>
    <w:uiPriority w:val="99"/>
    <w:rsid w:val="0041746D"/>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41746D"/>
    <w:pPr>
      <w:tabs>
        <w:tab w:val="right" w:pos="8222"/>
      </w:tabs>
      <w:jc w:val="both"/>
    </w:pPr>
    <w:rPr>
      <w:b/>
    </w:rPr>
  </w:style>
  <w:style w:type="character" w:customStyle="1" w:styleId="SCCLsocPartyChar">
    <w:name w:val="SCC.Lsoc.Party Char"/>
    <w:basedOn w:val="DefaultParagraphFont"/>
    <w:link w:val="SCCLsocParty"/>
    <w:rsid w:val="0041746D"/>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41746D"/>
    <w:pPr>
      <w:spacing w:after="720"/>
    </w:pPr>
    <w:rPr>
      <w:i/>
    </w:rPr>
  </w:style>
  <w:style w:type="character" w:customStyle="1" w:styleId="SCCLsocVersusChar">
    <w:name w:val="SCC.Lsoc.Versus Char"/>
    <w:basedOn w:val="DefaultParagraphFont"/>
    <w:link w:val="SCCLsocVersus"/>
    <w:rsid w:val="0041746D"/>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41746D"/>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41746D"/>
    <w:pPr>
      <w:spacing w:after="720"/>
    </w:pPr>
  </w:style>
  <w:style w:type="character" w:customStyle="1" w:styleId="SCCLsocSubfileSeparatorChar">
    <w:name w:val="SCC.Lsoc.SubfileSeparator Char"/>
    <w:basedOn w:val="DefaultParagraphFont"/>
    <w:link w:val="SCCLsocSubfileSeparator"/>
    <w:rsid w:val="0041746D"/>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41746D"/>
    <w:pPr>
      <w:spacing w:after="720"/>
    </w:pPr>
  </w:style>
  <w:style w:type="character" w:customStyle="1" w:styleId="SCCLsocOtherPartySeparatorChar">
    <w:name w:val="SCC.Lsoc.OtherPartySeparator Char"/>
    <w:basedOn w:val="DefaultParagraphFont"/>
    <w:link w:val="SCCLsocOtherPartySeparator"/>
    <w:rsid w:val="0041746D"/>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41746D"/>
    <w:pPr>
      <w:jc w:val="right"/>
    </w:pPr>
    <w:rPr>
      <w:b/>
    </w:rPr>
  </w:style>
  <w:style w:type="paragraph" w:customStyle="1" w:styleId="SCCAppellantForRunningHead">
    <w:name w:val="SCC.AppellantForRunningHead"/>
    <w:basedOn w:val="Normal"/>
    <w:next w:val="Normal"/>
    <w:link w:val="SCCAppellantForRunningHeadChar"/>
    <w:rsid w:val="0041746D"/>
    <w:rPr>
      <w:smallCaps/>
    </w:rPr>
  </w:style>
  <w:style w:type="character" w:customStyle="1" w:styleId="SCCAppellantForRunningHeadChar">
    <w:name w:val="SCC.AppellantForRunningHead Char"/>
    <w:basedOn w:val="DefaultParagraphFont"/>
    <w:link w:val="SCCAppellantForRunningHead"/>
    <w:rsid w:val="0041746D"/>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41746D"/>
    <w:rPr>
      <w:smallCaps/>
    </w:rPr>
  </w:style>
  <w:style w:type="character" w:customStyle="1" w:styleId="SCCRespondentForRunningHeadChar">
    <w:name w:val="SCC.RespondentForRunningHead Char"/>
    <w:basedOn w:val="DefaultParagraphFont"/>
    <w:link w:val="SCCRespondentForRunningHead"/>
    <w:rsid w:val="0041746D"/>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41746D"/>
    <w:rPr>
      <w:b/>
    </w:rPr>
  </w:style>
  <w:style w:type="character" w:customStyle="1" w:styleId="SCCAppellantForIndexChar">
    <w:name w:val="SCC.AppellantForIndex Char"/>
    <w:basedOn w:val="DefaultParagraphFont"/>
    <w:link w:val="SCCAppellantForIndex"/>
    <w:rsid w:val="0041746D"/>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41746D"/>
    <w:rPr>
      <w:b/>
    </w:rPr>
  </w:style>
  <w:style w:type="character" w:customStyle="1" w:styleId="SCCRespondentForIndexChar">
    <w:name w:val="SCC.RespondentForIndex Char"/>
    <w:basedOn w:val="DefaultParagraphFont"/>
    <w:link w:val="SCCRespondentForIndex"/>
    <w:rsid w:val="0041746D"/>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41746D"/>
    <w:rPr>
      <w:b/>
    </w:rPr>
  </w:style>
  <w:style w:type="character" w:customStyle="1" w:styleId="SCCSystemYearChar">
    <w:name w:val="SCC.SystemYear Char"/>
    <w:basedOn w:val="DefaultParagraphFont"/>
    <w:link w:val="SCCSystemYear"/>
    <w:rsid w:val="0041746D"/>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41746D"/>
    <w:rPr>
      <w:smallCaps/>
    </w:rPr>
  </w:style>
  <w:style w:type="paragraph" w:customStyle="1" w:styleId="SCCCounselName">
    <w:name w:val="SCC.CounselName"/>
    <w:basedOn w:val="SCCNormalDoubleSpacing"/>
    <w:next w:val="SCCNormalDoubleSpacing"/>
    <w:link w:val="SCCCounselNameChar"/>
    <w:rsid w:val="0041746D"/>
    <w:rPr>
      <w:i/>
    </w:rPr>
  </w:style>
  <w:style w:type="character" w:customStyle="1" w:styleId="SCCCounselNameChar">
    <w:name w:val="SCC.CounselName Char"/>
    <w:basedOn w:val="SCCNormalDoubleSpacingChar"/>
    <w:link w:val="SCCCounselName"/>
    <w:rsid w:val="0041746D"/>
    <w:rPr>
      <w:rFonts w:ascii="Times New Roman" w:eastAsia="Times New Roman" w:hAnsi="Times New Roman" w:cs="Times New Roman"/>
      <w:i/>
      <w:sz w:val="24"/>
      <w:szCs w:val="20"/>
      <w:lang w:eastAsia="en-CA"/>
    </w:rPr>
  </w:style>
  <w:style w:type="paragraph" w:customStyle="1" w:styleId="SCCItalic">
    <w:name w:val="SCC.Italic"/>
    <w:basedOn w:val="SCCNormalDoubleSpacing"/>
    <w:next w:val="SCCNormalDoubleSpacing"/>
    <w:rsid w:val="0041746D"/>
    <w:rPr>
      <w:i/>
    </w:rPr>
  </w:style>
  <w:style w:type="paragraph" w:customStyle="1" w:styleId="SCCAppellantForCitation">
    <w:name w:val="SCC.AppellantForCitation"/>
    <w:basedOn w:val="Normal"/>
    <w:next w:val="Normal"/>
    <w:link w:val="SCCAppellantForCitationChar"/>
    <w:rsid w:val="0041746D"/>
    <w:rPr>
      <w:i/>
    </w:rPr>
  </w:style>
  <w:style w:type="character" w:customStyle="1" w:styleId="SCCAppellantForCitationChar">
    <w:name w:val="SCC.AppellantForCitation Char"/>
    <w:basedOn w:val="DefaultParagraphFont"/>
    <w:link w:val="SCCAppellantForCitation"/>
    <w:rsid w:val="0041746D"/>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41746D"/>
    <w:rPr>
      <w:i/>
    </w:rPr>
  </w:style>
  <w:style w:type="character" w:customStyle="1" w:styleId="SCCRespondentForCitationChar">
    <w:name w:val="SCC.RespondentForCitation Char"/>
    <w:basedOn w:val="DefaultParagraphFont"/>
    <w:link w:val="SCCRespondentForCitation"/>
    <w:rsid w:val="0041746D"/>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41746D"/>
  </w:style>
  <w:style w:type="character" w:customStyle="1" w:styleId="SCCCounselSeparatorChar">
    <w:name w:val="SCC.CounselSeparator Char"/>
    <w:basedOn w:val="SCCNormalDoubleSpacingChar"/>
    <w:link w:val="SCCCounselSeparator"/>
    <w:rsid w:val="0041746D"/>
    <w:rPr>
      <w:rFonts w:ascii="Times New Roman" w:eastAsia="Times New Roman"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41746D"/>
  </w:style>
  <w:style w:type="character" w:customStyle="1" w:styleId="SCCPartyRoleChar">
    <w:name w:val="SCC.PartyRole Char"/>
    <w:basedOn w:val="SCCNormalDoubleSpacingChar"/>
    <w:link w:val="SCCPartyRole"/>
    <w:rsid w:val="0041746D"/>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41746D"/>
    <w:rPr>
      <w:i/>
    </w:rPr>
  </w:style>
  <w:style w:type="character" w:customStyle="1" w:styleId="SCCLawFirmChar">
    <w:name w:val="SCC.LawFirm Char"/>
    <w:basedOn w:val="SCCNormalDoubleSpacingChar"/>
    <w:link w:val="SCCLawFirm"/>
    <w:rsid w:val="0041746D"/>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41746D"/>
  </w:style>
  <w:style w:type="character" w:customStyle="1" w:styleId="SCCCounselPartyRoleChar">
    <w:name w:val="SCC.CounselPartyRole Char"/>
    <w:basedOn w:val="SCCNormalDoubleSpacingChar"/>
    <w:link w:val="SCCCounselPartyRole"/>
    <w:rsid w:val="0041746D"/>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41746D"/>
    <w:pPr>
      <w:tabs>
        <w:tab w:val="right" w:pos="8222"/>
      </w:tabs>
      <w:spacing w:after="720"/>
    </w:pPr>
    <w:rPr>
      <w:b/>
    </w:rPr>
  </w:style>
  <w:style w:type="character" w:customStyle="1" w:styleId="SCCLsocLastPartyInRoleChar">
    <w:name w:val="SCC.Lsoc.LastPartyInRole Char"/>
    <w:basedOn w:val="SCCLsocPartyChar"/>
    <w:link w:val="SCCLsocLastPartyInRole"/>
    <w:rsid w:val="0041746D"/>
    <w:rPr>
      <w:rFonts w:ascii="Times New Roman" w:eastAsia="Times New Roman" w:hAnsi="Times New Roman" w:cs="Times New Roman"/>
      <w:b/>
      <w:sz w:val="24"/>
      <w:szCs w:val="20"/>
      <w:lang w:eastAsia="en-CA"/>
    </w:rPr>
  </w:style>
  <w:style w:type="character" w:customStyle="1" w:styleId="sccappellantforindexchar1">
    <w:name w:val="sccappellantforindexchar1"/>
    <w:basedOn w:val="DefaultParagraphFont"/>
    <w:rsid w:val="0041746D"/>
    <w:rPr>
      <w:b/>
      <w:bCs/>
    </w:rPr>
  </w:style>
  <w:style w:type="character" w:customStyle="1" w:styleId="sccrespondentforindexchar1">
    <w:name w:val="sccrespondentforindexchar1"/>
    <w:basedOn w:val="DefaultParagraphFont"/>
    <w:rsid w:val="0041746D"/>
    <w:rPr>
      <w:b/>
      <w:bCs/>
    </w:rPr>
  </w:style>
  <w:style w:type="paragraph" w:customStyle="1" w:styleId="ParaNoNdepar-AltN">
    <w:name w:val="Para. No. / Nº de par. - Alt N"/>
    <w:qFormat/>
    <w:rsid w:val="0041746D"/>
    <w:pPr>
      <w:numPr>
        <w:numId w:val="1"/>
      </w:numPr>
      <w:spacing w:before="480" w:after="480" w:line="480" w:lineRule="auto"/>
      <w:jc w:val="both"/>
    </w:pPr>
    <w:rPr>
      <w:rFonts w:ascii="Times New Roman" w:eastAsiaTheme="minorEastAsia" w:hAnsi="Times New Roman"/>
      <w:sz w:val="24"/>
    </w:rPr>
  </w:style>
  <w:style w:type="paragraph" w:customStyle="1" w:styleId="SCCLsocOtherPartyRoleSeparator">
    <w:name w:val="SCC.Lsoc.OtherPartyRoleSeparator"/>
    <w:basedOn w:val="Normal"/>
    <w:next w:val="Normal"/>
    <w:link w:val="SCCLsocOtherPartyRoleSeparatorChar"/>
    <w:rsid w:val="0041746D"/>
    <w:pPr>
      <w:spacing w:after="480"/>
    </w:pPr>
    <w:rPr>
      <w:rFonts w:eastAsiaTheme="minorHAnsi" w:cstheme="minorBidi"/>
      <w:szCs w:val="22"/>
      <w:lang w:eastAsia="en-US"/>
    </w:rPr>
  </w:style>
  <w:style w:type="paragraph" w:customStyle="1" w:styleId="SCCCoram">
    <w:name w:val="SCC.Coram"/>
    <w:basedOn w:val="Normal"/>
    <w:next w:val="Normal"/>
    <w:link w:val="SCCCoramChar"/>
    <w:rsid w:val="0041746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1746D"/>
    <w:rPr>
      <w:rFonts w:ascii="Times New Roman" w:hAnsi="Times New Roman"/>
      <w:sz w:val="24"/>
    </w:rPr>
  </w:style>
  <w:style w:type="character" w:customStyle="1" w:styleId="SCCLsocOtherPartyRoleSeparatorChar">
    <w:name w:val="SCC.Lsoc.OtherPartyRoleSeparator Char"/>
    <w:basedOn w:val="DefaultParagraphFont"/>
    <w:link w:val="SCCLsocOtherPartyRoleSeparator"/>
    <w:rsid w:val="0041746D"/>
    <w:rPr>
      <w:rFonts w:ascii="Times New Roman" w:hAnsi="Times New Roman"/>
      <w:sz w:val="24"/>
    </w:rPr>
  </w:style>
  <w:style w:type="character" w:customStyle="1" w:styleId="SCCBanSummaryChar">
    <w:name w:val="SCC.BanSummary Char"/>
    <w:basedOn w:val="DefaultParagraphFont"/>
    <w:link w:val="SCCBanSummary"/>
    <w:rsid w:val="0041746D"/>
    <w:rPr>
      <w:rFonts w:ascii="Times New Roman" w:eastAsia="Times New Roman" w:hAnsi="Times New Roman" w:cs="Times New Roman"/>
      <w:b/>
      <w:sz w:val="24"/>
      <w:szCs w:val="20"/>
      <w:lang w:eastAsia="en-CA"/>
    </w:rPr>
  </w:style>
  <w:style w:type="table" w:styleId="TableGrid">
    <w:name w:val="Table Grid"/>
    <w:basedOn w:val="TableNormal"/>
    <w:uiPriority w:val="59"/>
    <w:rsid w:val="0041746D"/>
    <w:pPr>
      <w:spacing w:after="0" w:line="240" w:lineRule="auto"/>
    </w:pPr>
    <w:rPr>
      <w:rFonts w:ascii="Times New Roman" w:eastAsia="Times New Roman" w:hAnsi="Times New Roman" w:cs="Times New Roman"/>
      <w:sz w:val="24"/>
      <w:szCs w:val="24"/>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1746D"/>
    <w:pPr>
      <w:spacing w:after="720" w:line="240" w:lineRule="auto"/>
      <w:ind w:left="1166"/>
      <w:contextualSpacing/>
      <w:jc w:val="both"/>
    </w:pPr>
    <w:rPr>
      <w:rFonts w:ascii="Times New Roman" w:eastAsia="Times New Roman" w:hAnsi="Times New Roman" w:cs="Times New Roman"/>
      <w:sz w:val="24"/>
      <w:szCs w:val="24"/>
      <w:lang w:eastAsia="en-CA"/>
    </w:rPr>
  </w:style>
  <w:style w:type="paragraph" w:customStyle="1" w:styleId="ContinueParaSuitedupar-AltP">
    <w:name w:val="Continue Para. / Suite du par. - Alt P"/>
    <w:next w:val="ParaNoNdepar-AltN"/>
    <w:uiPriority w:val="1"/>
    <w:qFormat/>
    <w:rsid w:val="0041746D"/>
    <w:pPr>
      <w:spacing w:before="480" w:after="480" w:line="480" w:lineRule="auto"/>
      <w:jc w:val="both"/>
    </w:pPr>
    <w:rPr>
      <w:rFonts w:ascii="Times New Roman" w:hAnsi="Times New Roman"/>
      <w:sz w:val="24"/>
    </w:rPr>
  </w:style>
  <w:style w:type="paragraph" w:customStyle="1" w:styleId="JudgeJuge">
    <w:name w:val="Judge / Juge"/>
    <w:uiPriority w:val="3"/>
    <w:rsid w:val="0041746D"/>
    <w:pPr>
      <w:tabs>
        <w:tab w:val="left" w:pos="1166"/>
      </w:tabs>
      <w:spacing w:after="480" w:line="480" w:lineRule="auto"/>
    </w:pPr>
    <w:rPr>
      <w:rFonts w:ascii="Times New Roman" w:eastAsia="Times New Roman" w:hAnsi="Times New Roman" w:cs="Times New Roman"/>
      <w:smallCaps/>
      <w:sz w:val="24"/>
      <w:szCs w:val="24"/>
      <w:lang w:eastAsia="en-CA"/>
    </w:rPr>
  </w:style>
  <w:style w:type="paragraph" w:customStyle="1" w:styleId="Title1LevelTitre1Niveau-AltL">
    <w:name w:val="Title 1 Level / Titre 1 Niveau - Alt L"/>
    <w:next w:val="ParaNoNdepar-AltN"/>
    <w:uiPriority w:val="4"/>
    <w:qFormat/>
    <w:rsid w:val="0041746D"/>
    <w:pPr>
      <w:spacing w:before="480" w:after="720" w:line="240" w:lineRule="auto"/>
      <w:jc w:val="both"/>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41746D"/>
    <w:pPr>
      <w:outlineLvl w:val="1"/>
    </w:pPr>
    <w:rPr>
      <w:i/>
      <w:u w:val="none"/>
    </w:rPr>
  </w:style>
  <w:style w:type="paragraph" w:customStyle="1" w:styleId="Title3LevelTitre3Niveau">
    <w:name w:val="Title 3 Level / Titre 3 Niveau"/>
    <w:basedOn w:val="Title1LevelTitre1Niveau-AltL"/>
    <w:next w:val="ParaNoNdepar-AltN"/>
    <w:uiPriority w:val="4"/>
    <w:qFormat/>
    <w:rsid w:val="0041746D"/>
    <w:pPr>
      <w:numPr>
        <w:ilvl w:val="2"/>
      </w:numPr>
      <w:outlineLvl w:val="2"/>
    </w:pPr>
  </w:style>
  <w:style w:type="paragraph" w:customStyle="1" w:styleId="Title4LevelTitre4Niveau">
    <w:name w:val="Title 4 Level / Titre 4 Niveau"/>
    <w:basedOn w:val="Title3LevelTitre3Niveau"/>
    <w:next w:val="ParaNoNdepar-AltN"/>
    <w:uiPriority w:val="4"/>
    <w:qFormat/>
    <w:rsid w:val="0041746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41746D"/>
    <w:pPr>
      <w:numPr>
        <w:ilvl w:val="4"/>
      </w:numPr>
      <w:outlineLvl w:val="4"/>
    </w:pPr>
  </w:style>
  <w:style w:type="paragraph" w:styleId="TOC1">
    <w:name w:val="toc 1"/>
    <w:basedOn w:val="Normal"/>
    <w:next w:val="Normal"/>
    <w:autoRedefine/>
    <w:uiPriority w:val="39"/>
    <w:unhideWhenUsed/>
    <w:rsid w:val="0041746D"/>
    <w:pPr>
      <w:tabs>
        <w:tab w:val="left" w:pos="567"/>
        <w:tab w:val="right" w:leader="dot" w:pos="8270"/>
      </w:tabs>
      <w:spacing w:before="120" w:after="120"/>
      <w:ind w:left="567" w:hanging="567"/>
    </w:pPr>
    <w:rPr>
      <w:noProof/>
      <w:lang w:val="fr-CA"/>
    </w:rPr>
  </w:style>
  <w:style w:type="paragraph" w:styleId="TOC2">
    <w:name w:val="toc 2"/>
    <w:basedOn w:val="Normal"/>
    <w:next w:val="Normal"/>
    <w:autoRedefine/>
    <w:uiPriority w:val="39"/>
    <w:unhideWhenUsed/>
    <w:rsid w:val="0041746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41746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41746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41746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41746D"/>
    <w:pPr>
      <w:tabs>
        <w:tab w:val="left" w:pos="2160"/>
        <w:tab w:val="right" w:leader="dot" w:pos="8270"/>
      </w:tabs>
      <w:spacing w:after="100"/>
      <w:ind w:left="1800"/>
    </w:pPr>
    <w:rPr>
      <w:noProof/>
    </w:rPr>
  </w:style>
  <w:style w:type="table" w:customStyle="1" w:styleId="TableGrid1">
    <w:name w:val="Table Grid1"/>
    <w:basedOn w:val="TableNormal"/>
    <w:uiPriority w:val="59"/>
    <w:rsid w:val="0041746D"/>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41746D"/>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41746D"/>
    <w:pPr>
      <w:numPr>
        <w:ilvl w:val="0"/>
      </w:numPr>
      <w:outlineLvl w:val="5"/>
    </w:pPr>
    <w:rPr>
      <w:i/>
      <w:u w:val="none"/>
    </w:rPr>
  </w:style>
  <w:style w:type="paragraph" w:styleId="FootnoteText">
    <w:name w:val="footnote text"/>
    <w:basedOn w:val="Normal"/>
    <w:link w:val="FootnoteTextChar"/>
    <w:uiPriority w:val="99"/>
    <w:unhideWhenUsed/>
    <w:rsid w:val="0041746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41746D"/>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41746D"/>
    <w:rPr>
      <w:vertAlign w:val="superscript"/>
    </w:rPr>
  </w:style>
  <w:style w:type="character" w:styleId="CommentReference">
    <w:name w:val="annotation reference"/>
    <w:basedOn w:val="DefaultParagraphFont"/>
    <w:uiPriority w:val="99"/>
    <w:semiHidden/>
    <w:unhideWhenUsed/>
    <w:rsid w:val="0041746D"/>
    <w:rPr>
      <w:sz w:val="16"/>
      <w:szCs w:val="16"/>
    </w:rPr>
  </w:style>
  <w:style w:type="paragraph" w:styleId="CommentText">
    <w:name w:val="annotation text"/>
    <w:basedOn w:val="Normal"/>
    <w:link w:val="CommentTextChar"/>
    <w:uiPriority w:val="99"/>
    <w:unhideWhenUsed/>
    <w:rsid w:val="0041746D"/>
    <w:rPr>
      <w:sz w:val="20"/>
    </w:rPr>
  </w:style>
  <w:style w:type="character" w:customStyle="1" w:styleId="CommentTextChar">
    <w:name w:val="Comment Text Char"/>
    <w:basedOn w:val="DefaultParagraphFont"/>
    <w:link w:val="CommentText"/>
    <w:uiPriority w:val="99"/>
    <w:rsid w:val="0041746D"/>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41746D"/>
    <w:rPr>
      <w:b/>
      <w:bCs/>
    </w:rPr>
  </w:style>
  <w:style w:type="character" w:customStyle="1" w:styleId="CommentSubjectChar">
    <w:name w:val="Comment Subject Char"/>
    <w:basedOn w:val="CommentTextChar"/>
    <w:link w:val="CommentSubject"/>
    <w:uiPriority w:val="99"/>
    <w:semiHidden/>
    <w:rsid w:val="0041746D"/>
    <w:rPr>
      <w:rFonts w:ascii="Times New Roman" w:eastAsia="Times New Roman" w:hAnsi="Times New Roman" w:cs="Times New Roman"/>
      <w:b/>
      <w:bCs/>
      <w:sz w:val="20"/>
      <w:szCs w:val="20"/>
      <w:lang w:eastAsia="en-CA"/>
    </w:rPr>
  </w:style>
  <w:style w:type="paragraph" w:styleId="Revision">
    <w:name w:val="Revision"/>
    <w:hidden/>
    <w:uiPriority w:val="99"/>
    <w:semiHidden/>
    <w:rsid w:val="0041746D"/>
    <w:pPr>
      <w:spacing w:after="0" w:line="240" w:lineRule="auto"/>
    </w:pPr>
    <w:rPr>
      <w:rFonts w:ascii="Times New Roman" w:eastAsia="Times New Roman" w:hAnsi="Times New Roman" w:cs="Times New Roman"/>
      <w:sz w:val="24"/>
      <w:szCs w:val="24"/>
      <w:lang w:eastAsia="en-CA"/>
    </w:rPr>
  </w:style>
  <w:style w:type="paragraph" w:styleId="EndnoteText">
    <w:name w:val="endnote text"/>
    <w:basedOn w:val="Normal"/>
    <w:link w:val="EndnoteTextChar"/>
    <w:uiPriority w:val="99"/>
    <w:semiHidden/>
    <w:unhideWhenUsed/>
    <w:rsid w:val="0041746D"/>
    <w:rPr>
      <w:sz w:val="20"/>
    </w:rPr>
  </w:style>
  <w:style w:type="character" w:customStyle="1" w:styleId="EndnoteTextChar">
    <w:name w:val="Endnote Text Char"/>
    <w:basedOn w:val="DefaultParagraphFont"/>
    <w:link w:val="EndnoteText"/>
    <w:uiPriority w:val="99"/>
    <w:semiHidden/>
    <w:rsid w:val="0041746D"/>
    <w:rPr>
      <w:rFonts w:ascii="Times New Roman" w:eastAsia="Times New Roman" w:hAnsi="Times New Roman" w:cs="Times New Roman"/>
      <w:sz w:val="20"/>
      <w:szCs w:val="20"/>
      <w:lang w:eastAsia="en-CA"/>
    </w:rPr>
  </w:style>
  <w:style w:type="character" w:styleId="EndnoteReference">
    <w:name w:val="endnote reference"/>
    <w:basedOn w:val="DefaultParagraphFont"/>
    <w:uiPriority w:val="99"/>
    <w:semiHidden/>
    <w:unhideWhenUsed/>
    <w:rsid w:val="0041746D"/>
    <w:rPr>
      <w:vertAlign w:val="superscript"/>
    </w:rPr>
  </w:style>
  <w:style w:type="paragraph" w:styleId="ListParagraph">
    <w:name w:val="List Paragraph"/>
    <w:basedOn w:val="Normal"/>
    <w:uiPriority w:val="34"/>
    <w:rsid w:val="0041746D"/>
    <w:pPr>
      <w:ind w:left="720"/>
      <w:contextualSpacing/>
    </w:pPr>
    <w:rPr>
      <w:szCs w:val="24"/>
    </w:rPr>
  </w:style>
  <w:style w:type="paragraph" w:customStyle="1" w:styleId="Default">
    <w:name w:val="Default"/>
    <w:rsid w:val="0041746D"/>
    <w:pPr>
      <w:autoSpaceDE w:val="0"/>
      <w:autoSpaceDN w:val="0"/>
      <w:adjustRightInd w:val="0"/>
      <w:spacing w:after="0" w:line="240" w:lineRule="auto"/>
    </w:pPr>
    <w:rPr>
      <w:rFonts w:ascii="Times LT Std" w:eastAsia="Times New Roman" w:hAnsi="Times LT Std" w:cs="Times LT Std"/>
      <w:color w:val="000000"/>
      <w:sz w:val="24"/>
      <w:szCs w:val="24"/>
      <w:lang w:val="en-US" w:eastAsia="en-CA"/>
    </w:rPr>
  </w:style>
  <w:style w:type="character" w:customStyle="1" w:styleId="reflex3-block">
    <w:name w:val="reflex3-block"/>
    <w:basedOn w:val="DefaultParagraphFont"/>
    <w:rsid w:val="0041746D"/>
  </w:style>
  <w:style w:type="character" w:customStyle="1" w:styleId="reflex3-alt">
    <w:name w:val="reflex3-alt"/>
    <w:basedOn w:val="DefaultParagraphFont"/>
    <w:rsid w:val="0041746D"/>
  </w:style>
  <w:style w:type="paragraph" w:customStyle="1" w:styleId="citationenretrait1">
    <w:name w:val="citationenretrait1"/>
    <w:basedOn w:val="Normal"/>
    <w:rsid w:val="0041746D"/>
    <w:pPr>
      <w:spacing w:before="120" w:after="120"/>
      <w:ind w:left="720" w:right="720"/>
      <w:jc w:val="both"/>
    </w:pPr>
    <w:rPr>
      <w:rFonts w:ascii="Arial" w:hAnsi="Arial" w:cs="Arial"/>
      <w:sz w:val="22"/>
      <w:szCs w:val="22"/>
      <w:lang w:val="en-US" w:eastAsia="en-US"/>
    </w:rPr>
  </w:style>
  <w:style w:type="character" w:customStyle="1" w:styleId="nowrap">
    <w:name w:val="nowrap"/>
    <w:basedOn w:val="DefaultParagraphFont"/>
    <w:rsid w:val="0041746D"/>
  </w:style>
  <w:style w:type="paragraph" w:customStyle="1" w:styleId="headingnumber1">
    <w:name w:val="headingnumber1"/>
    <w:basedOn w:val="Normal"/>
    <w:rsid w:val="0041746D"/>
    <w:pPr>
      <w:spacing w:before="120" w:after="120"/>
      <w:jc w:val="both"/>
    </w:pPr>
    <w:rPr>
      <w:sz w:val="26"/>
      <w:szCs w:val="26"/>
      <w:lang w:val="en-US" w:eastAsia="en-US"/>
    </w:rPr>
  </w:style>
  <w:style w:type="paragraph" w:customStyle="1" w:styleId="paragraphe1">
    <w:name w:val="paragraphe1"/>
    <w:basedOn w:val="Normal"/>
    <w:rsid w:val="0041746D"/>
    <w:pPr>
      <w:spacing w:before="120" w:after="120"/>
      <w:jc w:val="both"/>
    </w:pPr>
    <w:rPr>
      <w:rFonts w:ascii="Arial" w:hAnsi="Arial" w:cs="Arial"/>
      <w:szCs w:val="24"/>
      <w:lang w:val="en-US" w:eastAsia="en-US"/>
    </w:rPr>
  </w:style>
  <w:style w:type="paragraph" w:styleId="TOCHeading">
    <w:name w:val="TOC Heading"/>
    <w:basedOn w:val="Heading1"/>
    <w:next w:val="Normal"/>
    <w:uiPriority w:val="39"/>
    <w:unhideWhenUsed/>
    <w:qFormat/>
    <w:rsid w:val="0041746D"/>
    <w:pPr>
      <w:spacing w:before="240" w:after="0" w:line="259" w:lineRule="auto"/>
      <w:ind w:left="0" w:firstLine="0"/>
      <w:outlineLvl w:val="9"/>
    </w:pPr>
    <w:rPr>
      <w:b w:val="0"/>
      <w:bCs w:val="0"/>
      <w:sz w:val="32"/>
      <w:szCs w:val="32"/>
      <w:lang w:val="en-US" w:eastAsia="en-US"/>
    </w:rPr>
  </w:style>
  <w:style w:type="character" w:styleId="Hyperlink">
    <w:name w:val="Hyperlink"/>
    <w:basedOn w:val="DefaultParagraphFont"/>
    <w:uiPriority w:val="99"/>
    <w:unhideWhenUsed/>
    <w:rsid w:val="0041746D"/>
    <w:rPr>
      <w:color w:val="0563C1" w:themeColor="hyperlink"/>
      <w:u w:val="single"/>
    </w:rPr>
  </w:style>
  <w:style w:type="table" w:customStyle="1" w:styleId="TableGrid2">
    <w:name w:val="Table Grid2"/>
    <w:basedOn w:val="TableNormal"/>
    <w:next w:val="TableGrid"/>
    <w:uiPriority w:val="59"/>
    <w:rsid w:val="0041746D"/>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0139FA"/>
    <w:rPr>
      <w:lang w:val="fr-CA"/>
    </w:rPr>
  </w:style>
  <w:style w:type="paragraph" w:customStyle="1" w:styleId="SCCLsocPrefix">
    <w:name w:val="SCC.Lsoc.Prefix"/>
    <w:basedOn w:val="Normal"/>
    <w:next w:val="Normal"/>
    <w:link w:val="SCCLsocPrefixChar"/>
    <w:rsid w:val="000139FA"/>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0139FA"/>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134</Pages>
  <Words>36104</Words>
  <Characters>205796</Characters>
  <Application>Microsoft Office Word</Application>
  <DocSecurity>0</DocSecurity>
  <Lines>1714</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Audet Suzanne</cp:lastModifiedBy>
  <cp:revision>48</cp:revision>
  <dcterms:created xsi:type="dcterms:W3CDTF">2013-09-17T14:14:00Z</dcterms:created>
  <dcterms:modified xsi:type="dcterms:W3CDTF">2020-03-03T15:41:00Z</dcterms:modified>
</cp:coreProperties>
</file>