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FBB" w:rsidRDefault="00FB5FBB" w:rsidP="00FB5FBB">
      <w:pPr>
        <w:pStyle w:val="Header"/>
      </w:pPr>
      <w:r>
        <w:ptab w:relativeTo="margin" w:alignment="center" w:leader="none"/>
      </w:r>
      <w:r>
        <w:t xml:space="preserve"> </w:t>
      </w:r>
      <w:r>
        <w:rPr>
          <w:rFonts w:eastAsiaTheme="minorHAnsi" w:cstheme="minorBidi"/>
          <w:szCs w:val="24"/>
          <w:lang w:val="fr-CA"/>
        </w:rPr>
        <w:object w:dxaOrig="1224" w:dyaOrig="1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1.2pt;height:64.8pt" o:ole="">
            <v:imagedata r:id="rId7" o:title=""/>
          </v:shape>
          <o:OLEObject Type="Embed" ProgID="Presentations.Drawing.13" ShapeID="_x0000_i1027" DrawAspect="Content" ObjectID="_1650954218" r:id="rId8"/>
        </w:object>
      </w:r>
      <w:r>
        <w:t xml:space="preserve"> </w:t>
      </w:r>
      <w:r>
        <w:ptab w:relativeTo="margin" w:alignment="right" w:leader="none"/>
      </w:r>
      <w:r>
        <w:t xml:space="preserve"> </w:t>
      </w:r>
    </w:p>
    <w:p w:rsidR="00FB5FBB" w:rsidRDefault="00FB5FBB" w:rsidP="00FB5FBB">
      <w:pPr>
        <w:pStyle w:val="Header"/>
      </w:pPr>
    </w:p>
    <w:p w:rsidR="00FB5FBB" w:rsidRDefault="00FB5FBB" w:rsidP="00FB5FBB">
      <w:pPr>
        <w:jc w:val="center"/>
        <w:rPr>
          <w:b/>
        </w:rPr>
      </w:pPr>
      <w:r>
        <w:rPr>
          <w:b/>
        </w:rPr>
        <w:t>COUR SUPRÊME DU CANADA</w:t>
      </w:r>
    </w:p>
    <w:p w:rsidR="00FB5FBB" w:rsidRDefault="00FB5FBB" w:rsidP="00FB5FBB"/>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310"/>
        <w:gridCol w:w="4266"/>
      </w:tblGrid>
      <w:tr w:rsidR="00FB5FBB" w:rsidTr="00F32936">
        <w:trPr>
          <w:cantSplit/>
        </w:trPr>
        <w:tc>
          <w:tcPr>
            <w:tcW w:w="5310" w:type="dxa"/>
            <w:hideMark/>
          </w:tcPr>
          <w:p w:rsidR="00FB5FBB" w:rsidRPr="00FB5FBB" w:rsidRDefault="00FB5FBB" w:rsidP="00F32936">
            <w:pPr>
              <w:rPr>
                <w:lang w:val="fr-FR"/>
              </w:rPr>
            </w:pPr>
            <w:r w:rsidRPr="00FB5FBB">
              <w:rPr>
                <w:b/>
                <w:smallCaps/>
                <w:lang w:val="fr-FR"/>
              </w:rPr>
              <w:t>Référence :</w:t>
            </w:r>
            <w:r w:rsidRPr="00FB5FBB">
              <w:rPr>
                <w:lang w:val="fr-FR"/>
              </w:rPr>
              <w:t xml:space="preserve"> </w:t>
            </w:r>
            <w:r w:rsidRPr="00FB5FBB">
              <w:rPr>
                <w:rStyle w:val="SCCAppellantForRunningHeadChar"/>
                <w:smallCaps w:val="0"/>
                <w:lang w:val="fr-FR"/>
              </w:rPr>
              <w:t xml:space="preserve">R. </w:t>
            </w:r>
            <w:r w:rsidRPr="00FB5FBB">
              <w:rPr>
                <w:rStyle w:val="SCCAppellantForRunningHeadChar"/>
                <w:i/>
                <w:smallCaps w:val="0"/>
                <w:lang w:val="fr-FR"/>
              </w:rPr>
              <w:t>c.</w:t>
            </w:r>
            <w:r w:rsidRPr="00FB5FBB">
              <w:rPr>
                <w:rStyle w:val="SCCAppellantForRunningHeadChar"/>
                <w:smallCaps w:val="0"/>
                <w:lang w:val="fr-FR"/>
              </w:rPr>
              <w:t xml:space="preserve"> Kelsie</w:t>
            </w:r>
            <w:r w:rsidRPr="00FB5FBB">
              <w:rPr>
                <w:rStyle w:val="SCCAppellantForRunningHeadChar"/>
                <w:lang w:val="fr-FR"/>
              </w:rPr>
              <w:t xml:space="preserve">, </w:t>
            </w:r>
            <w:r w:rsidRPr="00FB5FBB">
              <w:rPr>
                <w:smallCaps/>
                <w:lang w:val="fr-FR"/>
              </w:rPr>
              <w:t>2019 CSC 17, [2019] 2 R.C.S. 101</w:t>
            </w:r>
          </w:p>
        </w:tc>
        <w:tc>
          <w:tcPr>
            <w:tcW w:w="4266" w:type="dxa"/>
            <w:hideMark/>
          </w:tcPr>
          <w:p w:rsidR="00FB5FBB" w:rsidRPr="00DD6342" w:rsidRDefault="00FB5FBB" w:rsidP="00F32936">
            <w:pPr>
              <w:rPr>
                <w:lang w:val="fr-FR"/>
              </w:rPr>
            </w:pPr>
            <w:r w:rsidRPr="00DD6342">
              <w:rPr>
                <w:b/>
                <w:smallCaps/>
                <w:lang w:val="fr-FR"/>
              </w:rPr>
              <w:t>Appel entendu:</w:t>
            </w:r>
            <w:r w:rsidRPr="00DD6342">
              <w:rPr>
                <w:lang w:val="fr-FR"/>
              </w:rPr>
              <w:t xml:space="preserve"> 27 mars 2019</w:t>
            </w:r>
          </w:p>
          <w:p w:rsidR="00FB5FBB" w:rsidRPr="00DD6342" w:rsidRDefault="00FB5FBB" w:rsidP="00F32936">
            <w:pPr>
              <w:rPr>
                <w:b/>
                <w:smallCaps/>
                <w:lang w:val="fr-FR"/>
              </w:rPr>
            </w:pPr>
            <w:r w:rsidRPr="00DD6342">
              <w:rPr>
                <w:b/>
                <w:smallCaps/>
                <w:lang w:val="fr-FR"/>
              </w:rPr>
              <w:t>Jugement rendu :</w:t>
            </w:r>
            <w:r w:rsidRPr="00DD6342">
              <w:rPr>
                <w:lang w:val="fr-FR"/>
              </w:rPr>
              <w:t xml:space="preserve"> 27 mars 2019</w:t>
            </w:r>
          </w:p>
          <w:p w:rsidR="00FB5FBB" w:rsidRDefault="00FB5FBB" w:rsidP="00F32936">
            <w:r>
              <w:rPr>
                <w:b/>
                <w:smallCaps/>
              </w:rPr>
              <w:t>Dossier :</w:t>
            </w:r>
            <w:r>
              <w:t xml:space="preserve"> 38129</w:t>
            </w:r>
          </w:p>
        </w:tc>
      </w:tr>
    </w:tbl>
    <w:p w:rsidR="00FB5FBB" w:rsidRDefault="00FB5FBB" w:rsidP="00FB5FBB">
      <w:pPr>
        <w:pStyle w:val="SCCLsocPrefix"/>
      </w:pPr>
    </w:p>
    <w:p w:rsidR="00FB5FBB" w:rsidRDefault="00FB5FBB" w:rsidP="00FB5FBB">
      <w:pPr>
        <w:pStyle w:val="SCCLsocPrefix"/>
      </w:pPr>
    </w:p>
    <w:p w:rsidR="00FB5FBB" w:rsidRDefault="00FB5FBB" w:rsidP="00FB5FBB">
      <w:pPr>
        <w:pStyle w:val="SCCLsocPrefix"/>
      </w:pPr>
      <w:r>
        <w:t>Entre :</w:t>
      </w:r>
    </w:p>
    <w:p w:rsidR="00FB5FBB" w:rsidRDefault="00FB5FBB" w:rsidP="00FB5FBB">
      <w:pPr>
        <w:jc w:val="center"/>
        <w:rPr>
          <w:b/>
          <w:lang w:val="en-US"/>
        </w:rPr>
      </w:pPr>
      <w:r>
        <w:rPr>
          <w:b/>
          <w:lang w:val="en-US"/>
        </w:rPr>
        <w:t>Sa Majesté la Reine</w:t>
      </w:r>
    </w:p>
    <w:p w:rsidR="00FB5FBB" w:rsidRDefault="00FB5FBB" w:rsidP="00FB5FBB">
      <w:pPr>
        <w:jc w:val="center"/>
        <w:rPr>
          <w:lang w:val="fr-CA"/>
        </w:rPr>
      </w:pPr>
      <w:r>
        <w:t>Appelante</w:t>
      </w:r>
    </w:p>
    <w:p w:rsidR="00FB5FBB" w:rsidRDefault="00FB5FBB" w:rsidP="00FB5FBB">
      <w:pPr>
        <w:jc w:val="center"/>
      </w:pPr>
    </w:p>
    <w:p w:rsidR="00FB5FBB" w:rsidRPr="00DD6342" w:rsidRDefault="00FB5FBB" w:rsidP="00FB5FBB">
      <w:pPr>
        <w:pStyle w:val="SCCLsocVersus"/>
        <w:jc w:val="center"/>
        <w:rPr>
          <w:i w:val="0"/>
          <w:lang w:val="fr-FR"/>
        </w:rPr>
      </w:pPr>
      <w:r w:rsidRPr="00DD6342">
        <w:rPr>
          <w:i w:val="0"/>
          <w:lang w:val="fr-FR"/>
        </w:rPr>
        <w:t>et</w:t>
      </w:r>
    </w:p>
    <w:p w:rsidR="00FB5FBB" w:rsidRPr="00DD6342" w:rsidRDefault="00FB5FBB" w:rsidP="00FB5FBB">
      <w:pPr>
        <w:jc w:val="center"/>
        <w:rPr>
          <w:lang w:val="fr-FR"/>
        </w:rPr>
      </w:pPr>
    </w:p>
    <w:p w:rsidR="00FB5FBB" w:rsidRPr="00DD6342" w:rsidRDefault="00FB5FBB" w:rsidP="00FB5FBB">
      <w:pPr>
        <w:jc w:val="center"/>
        <w:rPr>
          <w:b/>
          <w:lang w:val="fr-FR"/>
        </w:rPr>
      </w:pPr>
      <w:r w:rsidRPr="00DD6342">
        <w:rPr>
          <w:b/>
          <w:lang w:val="fr-FR"/>
        </w:rPr>
        <w:t>Dean Daniel Kelsie</w:t>
      </w:r>
    </w:p>
    <w:p w:rsidR="00FB5FBB" w:rsidRPr="00DD6342" w:rsidRDefault="00FB5FBB" w:rsidP="00FB5FBB">
      <w:pPr>
        <w:jc w:val="center"/>
        <w:rPr>
          <w:lang w:val="fr-FR"/>
        </w:rPr>
      </w:pPr>
      <w:r w:rsidRPr="00DD6342">
        <w:rPr>
          <w:lang w:val="fr-FR"/>
        </w:rPr>
        <w:t>Intimé</w:t>
      </w:r>
    </w:p>
    <w:p w:rsidR="00FB5FBB" w:rsidRPr="00DD6342" w:rsidRDefault="00FB5FBB" w:rsidP="00FB5FBB">
      <w:pPr>
        <w:jc w:val="center"/>
        <w:rPr>
          <w:lang w:val="fr-FR"/>
        </w:rPr>
      </w:pPr>
    </w:p>
    <w:p w:rsidR="00FB5FBB" w:rsidRDefault="00FB5FBB" w:rsidP="00FB5FBB">
      <w:pPr>
        <w:pStyle w:val="ListParagraph"/>
        <w:ind w:left="0"/>
        <w:jc w:val="center"/>
      </w:pPr>
      <w:r>
        <w:t>- et -</w:t>
      </w:r>
    </w:p>
    <w:p w:rsidR="00FB5FBB" w:rsidRPr="00DD6342" w:rsidRDefault="00FB5FBB" w:rsidP="00FB5FBB">
      <w:pPr>
        <w:jc w:val="center"/>
        <w:rPr>
          <w:lang w:val="fr-FR"/>
        </w:rPr>
      </w:pPr>
    </w:p>
    <w:p w:rsidR="00FB5FBB" w:rsidRPr="00DD6342" w:rsidRDefault="00FB5FBB" w:rsidP="00FB5FBB">
      <w:pPr>
        <w:pStyle w:val="SCCLsocParty"/>
        <w:jc w:val="center"/>
        <w:rPr>
          <w:lang w:val="fr-FR"/>
        </w:rPr>
      </w:pPr>
      <w:r w:rsidRPr="00DD6342">
        <w:rPr>
          <w:lang w:val="fr-FR"/>
        </w:rPr>
        <w:t>Directrice des poursuites pénales,</w:t>
      </w:r>
    </w:p>
    <w:p w:rsidR="00FB5FBB" w:rsidRPr="00DD6342" w:rsidRDefault="00FB5FBB" w:rsidP="00FB5FBB">
      <w:pPr>
        <w:pStyle w:val="SCCLsocParty"/>
        <w:jc w:val="center"/>
        <w:rPr>
          <w:lang w:val="fr-FR"/>
        </w:rPr>
      </w:pPr>
      <w:r w:rsidRPr="00DD6342">
        <w:rPr>
          <w:lang w:val="fr-FR"/>
        </w:rPr>
        <w:t>procureure générale de l’Ontario et</w:t>
      </w:r>
    </w:p>
    <w:p w:rsidR="00FB5FBB" w:rsidRPr="00DD6342" w:rsidRDefault="00FB5FBB" w:rsidP="00FB5FBB">
      <w:pPr>
        <w:jc w:val="center"/>
        <w:rPr>
          <w:b/>
          <w:lang w:val="fr-FR"/>
        </w:rPr>
      </w:pPr>
      <w:r w:rsidRPr="00DD6342">
        <w:rPr>
          <w:b/>
          <w:lang w:val="fr-FR"/>
        </w:rPr>
        <w:t>Criminal Lawyers’ Association</w:t>
      </w:r>
    </w:p>
    <w:p w:rsidR="00FB5FBB" w:rsidRPr="00DD6342" w:rsidRDefault="00FB5FBB" w:rsidP="00FB5FBB">
      <w:pPr>
        <w:jc w:val="center"/>
        <w:rPr>
          <w:lang w:val="fr-FR"/>
        </w:rPr>
      </w:pPr>
      <w:r w:rsidRPr="00DD6342">
        <w:rPr>
          <w:lang w:val="fr-FR"/>
        </w:rPr>
        <w:t>Intervenantes</w:t>
      </w:r>
    </w:p>
    <w:p w:rsidR="00FB5FBB" w:rsidRPr="00DD6342" w:rsidRDefault="00FB5FBB" w:rsidP="00FB5FBB">
      <w:pPr>
        <w:rPr>
          <w:lang w:val="fr-FR"/>
        </w:rPr>
      </w:pPr>
    </w:p>
    <w:p w:rsidR="00FB5FBB" w:rsidRPr="00DD6342" w:rsidRDefault="00FB5FBB" w:rsidP="00FB5FBB">
      <w:pPr>
        <w:rPr>
          <w:lang w:val="fr-FR"/>
        </w:rPr>
      </w:pPr>
    </w:p>
    <w:p w:rsidR="00FB5FBB" w:rsidRPr="00DD6342" w:rsidRDefault="00FB5FBB" w:rsidP="00FB5FBB">
      <w:pPr>
        <w:jc w:val="center"/>
        <w:rPr>
          <w:b/>
          <w:smallCaps/>
          <w:lang w:val="fr-FR"/>
        </w:rPr>
      </w:pPr>
      <w:r w:rsidRPr="00DD6342">
        <w:rPr>
          <w:b/>
          <w:smallCaps/>
          <w:lang w:val="fr-FR"/>
        </w:rPr>
        <w:t>Traduction française officielle</w:t>
      </w:r>
    </w:p>
    <w:p w:rsidR="00FB5FBB" w:rsidRPr="00DD6342" w:rsidRDefault="00FB5FBB" w:rsidP="00FB5FBB">
      <w:pPr>
        <w:rPr>
          <w:lang w:val="fr-FR"/>
        </w:rPr>
      </w:pPr>
    </w:p>
    <w:p w:rsidR="00FB5FBB" w:rsidRPr="00DD6342" w:rsidRDefault="00FB5FBB" w:rsidP="00FB5FBB">
      <w:pPr>
        <w:rPr>
          <w:lang w:val="fr-FR"/>
        </w:rPr>
      </w:pPr>
      <w:r w:rsidRPr="00DD6342">
        <w:rPr>
          <w:b/>
          <w:smallCaps/>
          <w:lang w:val="fr-FR"/>
        </w:rPr>
        <w:t>Coram :</w:t>
      </w:r>
      <w:r w:rsidRPr="00DD6342">
        <w:rPr>
          <w:lang w:val="fr-FR"/>
        </w:rPr>
        <w:t xml:space="preserve"> Le juge en chef Wagner et les juges Abella, Moldaver, Karakatsanis, Côté, Rowe et Martin</w:t>
      </w:r>
    </w:p>
    <w:p w:rsidR="00FB5FBB" w:rsidRPr="00DD6342" w:rsidRDefault="00FB5FBB" w:rsidP="00FB5FBB">
      <w:pPr>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FB5FBB" w:rsidRPr="008C6939" w:rsidTr="00F32936">
        <w:trPr>
          <w:cantSplit/>
        </w:trPr>
        <w:tc>
          <w:tcPr>
            <w:tcW w:w="3618" w:type="dxa"/>
            <w:hideMark/>
          </w:tcPr>
          <w:p w:rsidR="00FB5FBB" w:rsidRPr="00DD6342" w:rsidRDefault="00FB5FBB" w:rsidP="00F32936">
            <w:pPr>
              <w:rPr>
                <w:b/>
                <w:smallCaps/>
                <w:lang w:val="fr-FR"/>
              </w:rPr>
            </w:pPr>
            <w:r w:rsidRPr="00DD6342">
              <w:rPr>
                <w:b/>
                <w:smallCaps/>
                <w:lang w:val="fr-FR"/>
              </w:rPr>
              <w:t>Motifs de jugement :</w:t>
            </w:r>
          </w:p>
          <w:p w:rsidR="00FB5FBB" w:rsidRPr="00DD6342" w:rsidRDefault="00FB5FBB" w:rsidP="00F32936">
            <w:pPr>
              <w:rPr>
                <w:lang w:val="fr-FR"/>
              </w:rPr>
            </w:pPr>
            <w:r w:rsidRPr="00DD6342">
              <w:rPr>
                <w:lang w:val="fr-FR"/>
              </w:rPr>
              <w:t>(par. 1 à 7)</w:t>
            </w:r>
          </w:p>
        </w:tc>
        <w:tc>
          <w:tcPr>
            <w:tcW w:w="5958" w:type="dxa"/>
            <w:hideMark/>
          </w:tcPr>
          <w:p w:rsidR="00FB5FBB" w:rsidRPr="00DD6342" w:rsidRDefault="00FB5FBB" w:rsidP="00F32936">
            <w:pPr>
              <w:rPr>
                <w:lang w:val="fr-FR"/>
              </w:rPr>
            </w:pPr>
            <w:r w:rsidRPr="00DD6342">
              <w:rPr>
                <w:lang w:val="fr-FR"/>
              </w:rPr>
              <w:t>La juge Karakatsanis (avec l’accord des juges Abella, Moldaver, Côté, Rowe et Martin)</w:t>
            </w:r>
          </w:p>
        </w:tc>
      </w:tr>
    </w:tbl>
    <w:p w:rsidR="00FB5FBB" w:rsidRDefault="00FB5FBB" w:rsidP="00FB5FBB">
      <w:pPr>
        <w:rPr>
          <w:rFonts w:cstheme="minorBidi"/>
          <w:lang w:val="fr-CA"/>
        </w:rPr>
      </w:pPr>
    </w:p>
    <w:p w:rsidR="00FB5FBB" w:rsidRPr="00DD6342" w:rsidRDefault="00FB5FBB" w:rsidP="00FB5FBB">
      <w:pPr>
        <w:rPr>
          <w:lang w:val="fr-FR"/>
        </w:rPr>
      </w:pPr>
      <w:r>
        <w:rPr>
          <w:noProof/>
          <w:lang w:val="en-US" w:eastAsia="en-US"/>
        </w:rPr>
        <mc:AlternateContent>
          <mc:Choice Requires="wps">
            <w:drawing>
              <wp:anchor distT="0" distB="0" distL="114300" distR="114300" simplePos="0" relativeHeight="251659264" behindDoc="0" locked="0" layoutInCell="1" allowOverlap="1" wp14:anchorId="25B733BF" wp14:editId="0048E974">
                <wp:simplePos x="0" y="0"/>
                <wp:positionH relativeFrom="column">
                  <wp:posOffset>1609725</wp:posOffset>
                </wp:positionH>
                <wp:positionV relativeFrom="paragraph">
                  <wp:posOffset>184150</wp:posOffset>
                </wp:positionV>
                <wp:extent cx="250507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648182" id="_x0000_t32" coordsize="21600,21600" o:spt="32" o:oned="t" path="m,l21600,21600e" filled="f">
                <v:path arrowok="t" fillok="f" o:connecttype="none"/>
                <o:lock v:ext="edit" shapetype="t"/>
              </v:shapetype>
              <v:shape id="Straight Arrow Connector 1"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TJgIAAEo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"/>
            </w:pict>
          </mc:Fallback>
        </mc:AlternateContent>
      </w:r>
    </w:p>
    <w:p w:rsidR="00FB5FBB" w:rsidRPr="00DD6342" w:rsidRDefault="00FB5FBB" w:rsidP="00FB5FBB">
      <w:pPr>
        <w:rPr>
          <w:lang w:val="fr-FR"/>
        </w:rPr>
      </w:pPr>
    </w:p>
    <w:p w:rsidR="00FB5FBB" w:rsidRPr="00DD6342" w:rsidRDefault="00FB5FBB" w:rsidP="00FB5FBB">
      <w:pPr>
        <w:rPr>
          <w:lang w:val="fr-FR"/>
        </w:rPr>
      </w:pPr>
    </w:p>
    <w:p w:rsidR="00FB5FBB" w:rsidRPr="00DD6342" w:rsidRDefault="00FB5FBB" w:rsidP="00FB5FBB">
      <w:pPr>
        <w:rPr>
          <w:lang w:val="fr-FR"/>
        </w:rPr>
      </w:pPr>
    </w:p>
    <w:p w:rsidR="00FB5FBB" w:rsidRPr="00DD6342" w:rsidRDefault="00FB5FBB" w:rsidP="00FB5FBB">
      <w:pPr>
        <w:rPr>
          <w:lang w:val="fr-FR"/>
        </w:rPr>
      </w:pPr>
    </w:p>
    <w:p w:rsidR="00FB5FBB" w:rsidRPr="00276F10" w:rsidRDefault="00FB5FBB" w:rsidP="00FB5FBB">
      <w:pPr>
        <w:spacing w:after="720"/>
        <w:jc w:val="both"/>
        <w:rPr>
          <w:lang w:val="fr-CA"/>
        </w:rPr>
      </w:pPr>
      <w:r>
        <w:rPr>
          <w:rStyle w:val="SCCRespondentForRunningHeadChar"/>
          <w:smallCaps w:val="0"/>
          <w:lang w:val="fr-CA"/>
        </w:rPr>
        <w:t>R</w:t>
      </w:r>
      <w:r w:rsidRPr="008C18CB">
        <w:rPr>
          <w:rStyle w:val="SCCRespondentForRunningHeadChar"/>
          <w:lang w:val="fr-CA"/>
        </w:rPr>
        <w:t>.</w:t>
      </w:r>
      <w:r w:rsidRPr="00166A46">
        <w:rPr>
          <w:lang w:val="fr-CA"/>
        </w:rPr>
        <w:t xml:space="preserve"> </w:t>
      </w:r>
      <w:r w:rsidRPr="00166A46">
        <w:rPr>
          <w:i/>
          <w:lang w:val="fr-CA"/>
        </w:rPr>
        <w:t>c.</w:t>
      </w:r>
      <w:r w:rsidRPr="00166A46">
        <w:rPr>
          <w:lang w:val="fr-CA"/>
        </w:rPr>
        <w:t xml:space="preserve"> </w:t>
      </w:r>
      <w:r>
        <w:rPr>
          <w:rStyle w:val="SCCRespondentForRunningHeadChar"/>
          <w:smallCaps w:val="0"/>
          <w:lang w:val="fr-CA"/>
        </w:rPr>
        <w:t>K</w:t>
      </w:r>
      <w:r w:rsidRPr="005437F9">
        <w:rPr>
          <w:rStyle w:val="SCCRespondentForRunningHeadChar"/>
          <w:smallCaps w:val="0"/>
          <w:lang w:val="fr-CA"/>
        </w:rPr>
        <w:t>elsie</w:t>
      </w:r>
      <w:r>
        <w:rPr>
          <w:rStyle w:val="SCCRespondentForRunningHeadChar"/>
          <w:lang w:val="fr-CA"/>
        </w:rPr>
        <w:t>, 2019 CSC 17, [2019] 2 R.C.S. 101</w:t>
      </w:r>
    </w:p>
    <w:p w:rsidR="00FB5FBB" w:rsidRPr="00166A46" w:rsidRDefault="00FB5FBB" w:rsidP="00FB5FBB">
      <w:pPr>
        <w:pStyle w:val="SCCLsocLastPartyInRole"/>
        <w:rPr>
          <w:lang w:val="fr-CA"/>
        </w:rPr>
      </w:pPr>
      <w:r w:rsidRPr="00166A46">
        <w:rPr>
          <w:lang w:val="fr-CA"/>
        </w:rPr>
        <w:t>Sa Majesté la Reine</w:t>
      </w:r>
      <w:r>
        <w:rPr>
          <w:rStyle w:val="SCCLsocPartyRole"/>
          <w:lang w:val="fr-CA"/>
        </w:rPr>
        <w:tab/>
        <w:t>Appelante</w:t>
      </w:r>
    </w:p>
    <w:p w:rsidR="00FB5FBB" w:rsidRPr="00166A46" w:rsidRDefault="00FB5FBB" w:rsidP="00FB5FBB">
      <w:pPr>
        <w:pStyle w:val="SCCLsocVersus"/>
        <w:rPr>
          <w:lang w:val="fr-CA"/>
        </w:rPr>
      </w:pPr>
      <w:r w:rsidRPr="00166A46">
        <w:rPr>
          <w:lang w:val="fr-CA"/>
        </w:rPr>
        <w:t>c.</w:t>
      </w:r>
    </w:p>
    <w:p w:rsidR="00FB5FBB" w:rsidRPr="00166A46" w:rsidRDefault="00FB5FBB" w:rsidP="00FB5FBB">
      <w:pPr>
        <w:pStyle w:val="SCCLsocLastPartyInRole"/>
        <w:rPr>
          <w:lang w:val="fr-CA"/>
        </w:rPr>
      </w:pPr>
      <w:r w:rsidRPr="00166A46">
        <w:rPr>
          <w:lang w:val="fr-CA"/>
        </w:rPr>
        <w:t>Dean Daniel Kelsie</w:t>
      </w:r>
      <w:r>
        <w:rPr>
          <w:rStyle w:val="SCCLsocPartyRole"/>
          <w:lang w:val="fr-CA"/>
        </w:rPr>
        <w:tab/>
        <w:t>Intimé</w:t>
      </w:r>
    </w:p>
    <w:p w:rsidR="00FB5FBB" w:rsidRPr="00166A46" w:rsidRDefault="00FB5FBB" w:rsidP="00FB5FBB">
      <w:pPr>
        <w:pStyle w:val="SCCLsocOtherPartySeparator"/>
        <w:rPr>
          <w:lang w:val="fr-CA"/>
        </w:rPr>
      </w:pPr>
      <w:r w:rsidRPr="00166A46">
        <w:rPr>
          <w:lang w:val="fr-CA"/>
        </w:rPr>
        <w:t>et</w:t>
      </w:r>
    </w:p>
    <w:p w:rsidR="00FB5FBB" w:rsidRPr="00166A46" w:rsidRDefault="00FB5FBB" w:rsidP="00FB5FBB">
      <w:pPr>
        <w:pStyle w:val="SCCLsocParty"/>
        <w:rPr>
          <w:lang w:val="fr-CA"/>
        </w:rPr>
      </w:pPr>
      <w:r>
        <w:rPr>
          <w:lang w:val="fr-CA"/>
        </w:rPr>
        <w:t>Directrice</w:t>
      </w:r>
      <w:r w:rsidRPr="00166A46">
        <w:rPr>
          <w:lang w:val="fr-CA"/>
        </w:rPr>
        <w:t xml:space="preserve"> des poursuites pénales,</w:t>
      </w:r>
    </w:p>
    <w:p w:rsidR="00FB5FBB" w:rsidRPr="00166A46" w:rsidRDefault="00FB5FBB" w:rsidP="00FB5FBB">
      <w:pPr>
        <w:pStyle w:val="SCCLsocParty"/>
        <w:rPr>
          <w:lang w:val="fr-CA"/>
        </w:rPr>
      </w:pPr>
      <w:r>
        <w:rPr>
          <w:lang w:val="fr-CA"/>
        </w:rPr>
        <w:t>p</w:t>
      </w:r>
      <w:r w:rsidRPr="00166A46">
        <w:rPr>
          <w:lang w:val="fr-CA"/>
        </w:rPr>
        <w:t>rocureure générale de l</w:t>
      </w:r>
      <w:r>
        <w:rPr>
          <w:lang w:val="fr-CA"/>
        </w:rPr>
        <w:t>’Ontario et</w:t>
      </w:r>
    </w:p>
    <w:p w:rsidR="00FB5FBB" w:rsidRPr="00166A46" w:rsidRDefault="00FB5FBB" w:rsidP="00FB5FBB">
      <w:pPr>
        <w:pStyle w:val="SCCLsocLastPartyInRole"/>
        <w:rPr>
          <w:lang w:val="fr-CA"/>
        </w:rPr>
      </w:pPr>
      <w:r w:rsidRPr="00166A46">
        <w:rPr>
          <w:lang w:val="fr-CA"/>
        </w:rPr>
        <w:t>Criminal Lawyers</w:t>
      </w:r>
      <w:r>
        <w:rPr>
          <w:lang w:val="fr-CA"/>
        </w:rPr>
        <w:t>’</w:t>
      </w:r>
      <w:r w:rsidRPr="00166A46">
        <w:rPr>
          <w:lang w:val="fr-CA"/>
        </w:rPr>
        <w:t xml:space="preserve"> Association</w:t>
      </w:r>
      <w:r>
        <w:rPr>
          <w:rStyle w:val="SCCLsocPartyRole"/>
          <w:lang w:val="fr-CA"/>
        </w:rPr>
        <w:tab/>
        <w:t>Intervenante</w:t>
      </w:r>
      <w:r w:rsidRPr="00166A46">
        <w:rPr>
          <w:rStyle w:val="SCCLsocPartyRole"/>
          <w:lang w:val="fr-CA"/>
        </w:rPr>
        <w:t>s</w:t>
      </w:r>
    </w:p>
    <w:p w:rsidR="00FB5FBB" w:rsidRPr="00166A46" w:rsidRDefault="00FB5FBB" w:rsidP="00FB5FBB">
      <w:pPr>
        <w:spacing w:after="720"/>
        <w:jc w:val="both"/>
        <w:rPr>
          <w:b/>
          <w:lang w:val="fr-CA"/>
        </w:rPr>
      </w:pPr>
      <w:r>
        <w:rPr>
          <w:b/>
          <w:lang w:val="fr-CA"/>
        </w:rPr>
        <w:t>Répertorié : </w:t>
      </w:r>
      <w:r w:rsidRPr="00166A46">
        <w:rPr>
          <w:rStyle w:val="SCCAppellantForIndexChar"/>
          <w:lang w:val="fr-CA"/>
        </w:rPr>
        <w:t>R.</w:t>
      </w:r>
      <w:r w:rsidRPr="00BB4C92">
        <w:rPr>
          <w:b/>
          <w:lang w:val="fr-CA"/>
        </w:rPr>
        <w:t xml:space="preserve"> </w:t>
      </w:r>
      <w:r w:rsidRPr="00BB4C92">
        <w:rPr>
          <w:b/>
          <w:i/>
          <w:lang w:val="fr-CA"/>
        </w:rPr>
        <w:t>c.</w:t>
      </w:r>
      <w:r w:rsidRPr="00BB4C92">
        <w:rPr>
          <w:b/>
          <w:lang w:val="fr-CA"/>
        </w:rPr>
        <w:t xml:space="preserve"> </w:t>
      </w:r>
      <w:r w:rsidRPr="00166A46">
        <w:rPr>
          <w:rStyle w:val="SCCRespondentForIndexChar"/>
          <w:lang w:val="fr-CA"/>
        </w:rPr>
        <w:t>Kelsie</w:t>
      </w:r>
    </w:p>
    <w:p w:rsidR="00FB5FBB" w:rsidRPr="00166A46" w:rsidRDefault="00FB5FBB" w:rsidP="00FB5FBB">
      <w:pPr>
        <w:pStyle w:val="SCCSystemYear"/>
        <w:spacing w:after="720"/>
        <w:jc w:val="both"/>
        <w:rPr>
          <w:lang w:val="fr-CA"/>
        </w:rPr>
      </w:pPr>
      <w:r w:rsidRPr="00166A46">
        <w:rPr>
          <w:lang w:val="fr-CA"/>
        </w:rPr>
        <w:t>2019 CSC </w:t>
      </w:r>
      <w:r>
        <w:rPr>
          <w:lang w:val="fr-CA"/>
        </w:rPr>
        <w:t>17</w:t>
      </w:r>
    </w:p>
    <w:p w:rsidR="00FB5FBB" w:rsidRPr="00166A46" w:rsidRDefault="00FB5FBB" w:rsidP="00FB5FBB">
      <w:pPr>
        <w:spacing w:after="720"/>
        <w:jc w:val="both"/>
        <w:rPr>
          <w:lang w:val="fr-CA"/>
        </w:rPr>
      </w:pPr>
      <w:r w:rsidRPr="00166A46">
        <w:rPr>
          <w:lang w:val="fr-CA"/>
        </w:rPr>
        <w:t>N</w:t>
      </w:r>
      <w:r w:rsidRPr="00166A46">
        <w:rPr>
          <w:vertAlign w:val="superscript"/>
          <w:lang w:val="fr-CA"/>
        </w:rPr>
        <w:t>o</w:t>
      </w:r>
      <w:r w:rsidRPr="00166A46">
        <w:rPr>
          <w:lang w:val="fr-CA"/>
        </w:rPr>
        <w:t xml:space="preserve"> du greffe : 38129.</w:t>
      </w:r>
    </w:p>
    <w:p w:rsidR="00FB5FBB" w:rsidRPr="00276F10" w:rsidRDefault="00FB5FBB" w:rsidP="00FB5FBB">
      <w:pPr>
        <w:spacing w:after="720"/>
        <w:jc w:val="both"/>
        <w:rPr>
          <w:lang w:val="fr-CA"/>
        </w:rPr>
      </w:pPr>
      <w:r w:rsidRPr="00166A46">
        <w:rPr>
          <w:lang w:val="fr-CA"/>
        </w:rPr>
        <w:t xml:space="preserve">2019 : </w:t>
      </w:r>
      <w:r>
        <w:rPr>
          <w:lang w:val="fr-CA"/>
        </w:rPr>
        <w:t>27 mars.</w:t>
      </w:r>
    </w:p>
    <w:p w:rsidR="00FB5FBB" w:rsidRPr="007F7266" w:rsidRDefault="00FB5FBB" w:rsidP="00FB5FBB">
      <w:pPr>
        <w:spacing w:after="720"/>
        <w:jc w:val="both"/>
        <w:rPr>
          <w:lang w:val="fr-CA"/>
        </w:rPr>
      </w:pPr>
      <w:r w:rsidRPr="00166A46">
        <w:rPr>
          <w:lang w:val="fr-CA"/>
        </w:rPr>
        <w:t>Présents : Le juge en chef Wagner et les juges Abella, Moldaver, Karakatsanis, Côté, Rowe et Martin.</w:t>
      </w:r>
    </w:p>
    <w:p w:rsidR="00FB5FBB" w:rsidRPr="008C18CB" w:rsidRDefault="00FB5FBB" w:rsidP="00FB5FBB">
      <w:pPr>
        <w:pStyle w:val="SCCLowerCourtNameLowercase"/>
        <w:spacing w:after="720" w:line="240" w:lineRule="auto"/>
        <w:rPr>
          <w:smallCaps w:val="0"/>
          <w:lang w:val="fr-CA"/>
        </w:rPr>
      </w:pPr>
      <w:r w:rsidRPr="008C18CB">
        <w:rPr>
          <w:lang w:val="fr-CA"/>
        </w:rPr>
        <w:t>en appel de la cour d’appel de la nouvelle-écosse</w:t>
      </w:r>
    </w:p>
    <w:p w:rsidR="00FB5FBB" w:rsidRPr="00687663" w:rsidRDefault="00FB5FBB" w:rsidP="00FB5FBB">
      <w:pPr>
        <w:pStyle w:val="SCCNormalDoubleSpacing"/>
        <w:spacing w:after="480"/>
        <w:rPr>
          <w:i/>
          <w:lang w:val="fr-CA"/>
        </w:rPr>
      </w:pPr>
      <w:r w:rsidRPr="00687663">
        <w:rPr>
          <w:lang w:val="fr-CA"/>
        </w:rPr>
        <w:tab/>
      </w:r>
      <w:r w:rsidRPr="00687663">
        <w:rPr>
          <w:lang w:val="fr-CA"/>
        </w:rPr>
        <w:tab/>
      </w:r>
      <w:r w:rsidRPr="00687663">
        <w:rPr>
          <w:i/>
          <w:lang w:val="fr-CA"/>
        </w:rPr>
        <w:t xml:space="preserve">Droit criminel — Exposé au jury — Accusé déclaré coupable de meurtre au premier degré et de complot en vue de commettre un meurtre — Déclarations de culpabilité annulées et nouveau procès ordonné par la Cour d’appel — Cour d’appel </w:t>
      </w:r>
      <w:r>
        <w:rPr>
          <w:i/>
          <w:lang w:val="fr-CA"/>
        </w:rPr>
        <w:t xml:space="preserve">justifiée de conclure au caractère erroné des </w:t>
      </w:r>
      <w:r w:rsidRPr="00687663">
        <w:rPr>
          <w:i/>
          <w:lang w:val="fr-CA"/>
        </w:rPr>
        <w:t xml:space="preserve">directives du juge du procès concernant la responsabilité des participants à l’infraction de meurtre au premier degré — </w:t>
      </w:r>
      <w:r>
        <w:rPr>
          <w:i/>
          <w:lang w:val="fr-CA"/>
        </w:rPr>
        <w:t>C</w:t>
      </w:r>
      <w:r w:rsidRPr="00687663">
        <w:rPr>
          <w:i/>
          <w:lang w:val="fr-CA"/>
        </w:rPr>
        <w:t xml:space="preserve">our d’appel </w:t>
      </w:r>
      <w:r>
        <w:rPr>
          <w:i/>
          <w:lang w:val="fr-CA"/>
        </w:rPr>
        <w:t xml:space="preserve">non justifiée de conclure que </w:t>
      </w:r>
      <w:r w:rsidRPr="00687663">
        <w:rPr>
          <w:i/>
          <w:lang w:val="fr-CA"/>
        </w:rPr>
        <w:t xml:space="preserve">le juge du procès était tenu de donner des directives au jury </w:t>
      </w:r>
      <w:r>
        <w:rPr>
          <w:i/>
          <w:lang w:val="fr-CA"/>
        </w:rPr>
        <w:t xml:space="preserve">au sujet de </w:t>
      </w:r>
      <w:r w:rsidRPr="00687663">
        <w:rPr>
          <w:i/>
          <w:lang w:val="fr-CA"/>
        </w:rPr>
        <w:t xml:space="preserve">l’homicide involontaire </w:t>
      </w:r>
      <w:r>
        <w:rPr>
          <w:i/>
          <w:lang w:val="fr-CA"/>
        </w:rPr>
        <w:t xml:space="preserve">étant donné que </w:t>
      </w:r>
      <w:r w:rsidRPr="00687663">
        <w:rPr>
          <w:i/>
          <w:lang w:val="fr-CA"/>
        </w:rPr>
        <w:t>la preuve ne satisfaisait pas au critère de la vraisemblance —</w:t>
      </w:r>
      <w:r>
        <w:rPr>
          <w:i/>
          <w:lang w:val="fr-CA"/>
        </w:rPr>
        <w:t xml:space="preserve"> D</w:t>
      </w:r>
      <w:r w:rsidRPr="00687663">
        <w:rPr>
          <w:i/>
          <w:lang w:val="fr-CA"/>
        </w:rPr>
        <w:t xml:space="preserve">éclaration de culpabilité pour complot en vue de commettre un meurtre </w:t>
      </w:r>
      <w:r>
        <w:rPr>
          <w:i/>
          <w:lang w:val="fr-CA"/>
        </w:rPr>
        <w:t xml:space="preserve">modifiée à tort par la Cour d’appel vu l’absence d’erreur du </w:t>
      </w:r>
      <w:r w:rsidRPr="00687663">
        <w:rPr>
          <w:i/>
          <w:lang w:val="fr-CA"/>
        </w:rPr>
        <w:t xml:space="preserve">juge du procès </w:t>
      </w:r>
      <w:r>
        <w:rPr>
          <w:i/>
          <w:lang w:val="fr-CA"/>
        </w:rPr>
        <w:t xml:space="preserve">quant aux éléments de preuve qu’il a laissés </w:t>
      </w:r>
      <w:r w:rsidRPr="00687663">
        <w:rPr>
          <w:i/>
          <w:lang w:val="fr-CA"/>
        </w:rPr>
        <w:t xml:space="preserve">à l’appréciation du jury dans le cadre du troisième volet </w:t>
      </w:r>
      <w:r>
        <w:rPr>
          <w:i/>
          <w:lang w:val="fr-CA"/>
        </w:rPr>
        <w:t>de</w:t>
      </w:r>
      <w:r w:rsidRPr="00C47C4D">
        <w:rPr>
          <w:i/>
          <w:lang w:val="fr-CA"/>
        </w:rPr>
        <w:t xml:space="preserve"> </w:t>
      </w:r>
      <w:r w:rsidRPr="00C47C4D">
        <w:rPr>
          <w:rFonts w:eastAsiaTheme="minorHAnsi"/>
          <w:i/>
          <w:lang w:val="fr-CA"/>
        </w:rPr>
        <w:t>l’analyse établie dans l’arrêt Carter relativement à l’admissibilité du ouï-dire de co-conspirateurs</w:t>
      </w:r>
      <w:r w:rsidRPr="00687663">
        <w:rPr>
          <w:i/>
          <w:lang w:val="fr-CA"/>
        </w:rPr>
        <w:t xml:space="preserve"> — Rétablissement d</w:t>
      </w:r>
      <w:r>
        <w:rPr>
          <w:i/>
          <w:lang w:val="fr-CA"/>
        </w:rPr>
        <w:t>e la déclaration de culpabilité pour complot et inscription d’une déclaration de culpabilité pour meurtre au deuxième degré.</w:t>
      </w:r>
      <w:r w:rsidRPr="006465AF">
        <w:rPr>
          <w:i/>
          <w:lang w:val="fr-CA"/>
        </w:rPr>
        <w:t xml:space="preserve"> </w:t>
      </w:r>
    </w:p>
    <w:p w:rsidR="00FB5FBB" w:rsidRPr="004D7D95" w:rsidRDefault="00FB5FBB" w:rsidP="00FB5FBB">
      <w:pPr>
        <w:pStyle w:val="SCCNormalDoubleSpacing"/>
        <w:spacing w:after="720" w:line="240" w:lineRule="auto"/>
        <w:rPr>
          <w:b/>
          <w:lang w:val="fr-CA"/>
        </w:rPr>
      </w:pPr>
      <w:r w:rsidRPr="004D7D95">
        <w:rPr>
          <w:b/>
          <w:lang w:val="fr-CA"/>
        </w:rPr>
        <w:t>Jurisprudence</w:t>
      </w:r>
    </w:p>
    <w:p w:rsidR="00FB5FBB" w:rsidRPr="007F7266" w:rsidRDefault="00FB5FBB" w:rsidP="00FB5FBB">
      <w:pPr>
        <w:tabs>
          <w:tab w:val="left" w:pos="1170"/>
        </w:tabs>
        <w:spacing w:after="480" w:line="480" w:lineRule="auto"/>
        <w:jc w:val="both"/>
        <w:rPr>
          <w:lang w:val="fr-CA"/>
        </w:rPr>
      </w:pPr>
      <w:r w:rsidRPr="004D7D95">
        <w:rPr>
          <w:lang w:val="fr-CA"/>
        </w:rPr>
        <w:tab/>
      </w:r>
      <w:r>
        <w:rPr>
          <w:b/>
          <w:lang w:val="fr-CA"/>
        </w:rPr>
        <w:t>Arrêt mentionné</w:t>
      </w:r>
      <w:r w:rsidRPr="004D7D95">
        <w:rPr>
          <w:b/>
          <w:lang w:val="fr-CA"/>
        </w:rPr>
        <w:t> :</w:t>
      </w:r>
      <w:r w:rsidRPr="004D7D95">
        <w:rPr>
          <w:lang w:val="fr-CA"/>
        </w:rPr>
        <w:t xml:space="preserve"> </w:t>
      </w:r>
      <w:r>
        <w:rPr>
          <w:i/>
          <w:lang w:val="fr-CA"/>
        </w:rPr>
        <w:t>R. c. Carter</w:t>
      </w:r>
      <w:r>
        <w:rPr>
          <w:lang w:val="fr-CA"/>
        </w:rPr>
        <w:t xml:space="preserve">, </w:t>
      </w:r>
      <w:r w:rsidRPr="00DB13FC">
        <w:rPr>
          <w:lang w:val="fr-CA"/>
        </w:rPr>
        <w:t xml:space="preserve">[1982] </w:t>
      </w:r>
      <w:r>
        <w:rPr>
          <w:lang w:val="fr-CA"/>
        </w:rPr>
        <w:t xml:space="preserve">1 </w:t>
      </w:r>
      <w:r w:rsidRPr="00DB13FC">
        <w:rPr>
          <w:lang w:val="fr-CA"/>
        </w:rPr>
        <w:t>R.C.S. 938.</w:t>
      </w:r>
    </w:p>
    <w:p w:rsidR="00FB5FBB" w:rsidRPr="004D7D95" w:rsidRDefault="00FB5FBB" w:rsidP="00FB5FBB">
      <w:pPr>
        <w:pStyle w:val="SCCNormalDoubleSpacing"/>
        <w:spacing w:after="720" w:line="240" w:lineRule="auto"/>
        <w:rPr>
          <w:b/>
          <w:lang w:val="fr-CA"/>
        </w:rPr>
      </w:pPr>
      <w:r w:rsidRPr="004D7D95">
        <w:rPr>
          <w:b/>
          <w:lang w:val="fr-CA"/>
        </w:rPr>
        <w:t>Lois et règlements cités</w:t>
      </w:r>
    </w:p>
    <w:p w:rsidR="00FB5FBB" w:rsidRPr="007F7266" w:rsidRDefault="00FB5FBB" w:rsidP="00FB5FBB">
      <w:pPr>
        <w:pStyle w:val="SCCNormalDoubleSpacing"/>
        <w:spacing w:after="720" w:line="240" w:lineRule="auto"/>
        <w:ind w:left="547" w:hanging="547"/>
        <w:rPr>
          <w:lang w:val="fr-CA"/>
        </w:rPr>
      </w:pPr>
      <w:r>
        <w:rPr>
          <w:i/>
          <w:lang w:val="fr-CA"/>
        </w:rPr>
        <w:t>Code criminel</w:t>
      </w:r>
      <w:r>
        <w:rPr>
          <w:lang w:val="fr-CA"/>
        </w:rPr>
        <w:t>, L.R.C.</w:t>
      </w:r>
      <w:r w:rsidRPr="00DB13FC">
        <w:rPr>
          <w:lang w:val="fr-CA"/>
        </w:rPr>
        <w:t xml:space="preserve"> </w:t>
      </w:r>
      <w:r>
        <w:rPr>
          <w:lang w:val="fr-CA"/>
        </w:rPr>
        <w:t>1985, c. C-46, art. 686(1)b)(i), (3).</w:t>
      </w:r>
    </w:p>
    <w:p w:rsidR="00FB5FBB" w:rsidRPr="004D7D95" w:rsidRDefault="00FB5FBB" w:rsidP="00FB5FBB">
      <w:pPr>
        <w:pStyle w:val="SCCNormalDoubleSpacing"/>
        <w:spacing w:after="480"/>
        <w:rPr>
          <w:lang w:val="fr-CA"/>
        </w:rPr>
      </w:pPr>
      <w:r w:rsidRPr="004D7D95">
        <w:rPr>
          <w:lang w:val="fr-CA"/>
        </w:rPr>
        <w:tab/>
        <w:t xml:space="preserve">POURVOI contre un arrêt de la </w:t>
      </w:r>
      <w:r w:rsidRPr="00166A46">
        <w:rPr>
          <w:lang w:val="fr-CA"/>
        </w:rPr>
        <w:t>Cour d</w:t>
      </w:r>
      <w:r>
        <w:rPr>
          <w:lang w:val="fr-CA"/>
        </w:rPr>
        <w:t>’</w:t>
      </w:r>
      <w:r w:rsidRPr="00166A46">
        <w:rPr>
          <w:lang w:val="fr-CA"/>
        </w:rPr>
        <w:t>appel de la Nouvelle-Écosse</w:t>
      </w:r>
      <w:r>
        <w:rPr>
          <w:lang w:val="fr-CA"/>
        </w:rPr>
        <w:t xml:space="preserve"> (les juges </w:t>
      </w:r>
      <w:r w:rsidRPr="008C18CB">
        <w:rPr>
          <w:lang w:val="fr-CA"/>
        </w:rPr>
        <w:t xml:space="preserve">Farrar, Bourgeois </w:t>
      </w:r>
      <w:r>
        <w:rPr>
          <w:lang w:val="fr-CA"/>
        </w:rPr>
        <w:t>et</w:t>
      </w:r>
      <w:r w:rsidRPr="008C18CB">
        <w:rPr>
          <w:lang w:val="fr-CA"/>
        </w:rPr>
        <w:t xml:space="preserve"> Van den Eynden), 2017 NSCA 89, 358 C.C.C. (3d) 75, </w:t>
      </w:r>
      <w:r w:rsidRPr="00DC1516">
        <w:rPr>
          <w:lang w:val="fr-CA"/>
        </w:rPr>
        <w:t>[2017] N.S.J. No. 467</w:t>
      </w:r>
      <w:r w:rsidRPr="008C18CB">
        <w:rPr>
          <w:lang w:val="fr-CA"/>
        </w:rPr>
        <w:t xml:space="preserve"> (QL), 2017 CarwswellNS 884 (WL Can.), </w:t>
      </w:r>
      <w:r>
        <w:rPr>
          <w:lang w:val="fr-CA"/>
        </w:rPr>
        <w:t xml:space="preserve">qui </w:t>
      </w:r>
      <w:r w:rsidRPr="00E017C0">
        <w:rPr>
          <w:lang w:val="fr-CA"/>
        </w:rPr>
        <w:t>a annulé les déclarations de culpabilité pour complot en vue de commettre un meurtre et meurtre au premier degré prononcées contre l’accusé et</w:t>
      </w:r>
      <w:r>
        <w:rPr>
          <w:lang w:val="fr-CA"/>
        </w:rPr>
        <w:t xml:space="preserve"> ordonné un nouveau procès</w:t>
      </w:r>
      <w:r w:rsidRPr="008C18CB">
        <w:rPr>
          <w:lang w:val="fr-CA"/>
        </w:rPr>
        <w:t xml:space="preserve">. </w:t>
      </w:r>
      <w:r>
        <w:rPr>
          <w:lang w:val="fr-CA"/>
        </w:rPr>
        <w:t xml:space="preserve">Pourvoi accueilli </w:t>
      </w:r>
      <w:r w:rsidRPr="00C54BEF">
        <w:rPr>
          <w:lang w:val="fr-CA"/>
        </w:rPr>
        <w:t>en partie.</w:t>
      </w:r>
    </w:p>
    <w:p w:rsidR="00FB5FBB" w:rsidRPr="00166A46" w:rsidRDefault="00FB5FBB" w:rsidP="00FB5FBB">
      <w:pPr>
        <w:pStyle w:val="SCCNormalDoubleSpacing"/>
        <w:spacing w:after="480"/>
        <w:rPr>
          <w:lang w:val="fr-CA"/>
        </w:rPr>
      </w:pPr>
      <w:r w:rsidRPr="00166A46">
        <w:rPr>
          <w:rStyle w:val="SCCCounselNameChar"/>
          <w:lang w:val="fr-CA"/>
        </w:rPr>
        <w:tab/>
        <w:t>Jennifer A. MacLellan</w:t>
      </w:r>
      <w:r w:rsidRPr="008C18CB">
        <w:rPr>
          <w:rStyle w:val="SCCCounselNameChar"/>
          <w:i w:val="0"/>
          <w:lang w:val="fr-CA"/>
        </w:rPr>
        <w:t>,</w:t>
      </w:r>
      <w:r>
        <w:rPr>
          <w:rStyle w:val="SCCCounselNameChar"/>
          <w:lang w:val="fr-CA"/>
        </w:rPr>
        <w:t xml:space="preserve"> c.r</w:t>
      </w:r>
      <w:r w:rsidRPr="00166A46">
        <w:rPr>
          <w:rStyle w:val="SCCCounselNameChar"/>
          <w:lang w:val="fr-CA"/>
        </w:rPr>
        <w:t>.</w:t>
      </w:r>
      <w:r>
        <w:rPr>
          <w:rStyle w:val="SCCCounselNameChar"/>
          <w:i w:val="0"/>
          <w:lang w:val="fr-CA"/>
        </w:rPr>
        <w:t>,</w:t>
      </w:r>
      <w:r w:rsidRPr="00166A46">
        <w:rPr>
          <w:rStyle w:val="SCCCounselSeparatorChar"/>
          <w:lang w:val="fr-CA"/>
        </w:rPr>
        <w:t xml:space="preserve"> et </w:t>
      </w:r>
      <w:r w:rsidRPr="00166A46">
        <w:rPr>
          <w:rStyle w:val="SCCCounselNameChar"/>
          <w:lang w:val="fr-CA"/>
        </w:rPr>
        <w:t>Mark Scott</w:t>
      </w:r>
      <w:r w:rsidRPr="008C18CB">
        <w:rPr>
          <w:rStyle w:val="SCCCounselNameChar"/>
          <w:i w:val="0"/>
          <w:lang w:val="fr-CA"/>
        </w:rPr>
        <w:t>,</w:t>
      </w:r>
      <w:r>
        <w:rPr>
          <w:rStyle w:val="SCCCounselNameChar"/>
          <w:lang w:val="fr-CA"/>
        </w:rPr>
        <w:t xml:space="preserve"> c.r.</w:t>
      </w:r>
      <w:r w:rsidRPr="00166A46">
        <w:rPr>
          <w:rStyle w:val="SCCCounselPartyRoleChar"/>
          <w:lang w:val="fr-CA"/>
        </w:rPr>
        <w:t>, pour l</w:t>
      </w:r>
      <w:r>
        <w:rPr>
          <w:rStyle w:val="SCCCounselPartyRoleChar"/>
          <w:lang w:val="fr-CA"/>
        </w:rPr>
        <w:t>’appelante</w:t>
      </w:r>
      <w:r w:rsidRPr="00166A46">
        <w:rPr>
          <w:rStyle w:val="SCCCounselPartyRoleChar"/>
          <w:lang w:val="fr-CA"/>
        </w:rPr>
        <w:t>.</w:t>
      </w:r>
    </w:p>
    <w:p w:rsidR="00FB5FBB" w:rsidRPr="00166A46" w:rsidRDefault="00FB5FBB" w:rsidP="00FB5FBB">
      <w:pPr>
        <w:pStyle w:val="SCCNormalDoubleSpacing"/>
        <w:spacing w:after="480"/>
        <w:rPr>
          <w:lang w:val="fr-CA"/>
        </w:rPr>
      </w:pPr>
      <w:r w:rsidRPr="00166A46">
        <w:rPr>
          <w:rStyle w:val="SCCCounselNameChar"/>
          <w:lang w:val="fr-CA"/>
        </w:rPr>
        <w:tab/>
        <w:t>R. Philip Campbell</w:t>
      </w:r>
      <w:r>
        <w:rPr>
          <w:rStyle w:val="SCCCounselNameChar"/>
          <w:lang w:val="fr-CA"/>
        </w:rPr>
        <w:t xml:space="preserve"> </w:t>
      </w:r>
      <w:r>
        <w:rPr>
          <w:rStyle w:val="SCCCounselNameChar"/>
          <w:i w:val="0"/>
          <w:lang w:val="fr-CA"/>
        </w:rPr>
        <w:t xml:space="preserve">et </w:t>
      </w:r>
      <w:r>
        <w:rPr>
          <w:rStyle w:val="SCCCounselNameChar"/>
          <w:lang w:val="fr-CA"/>
        </w:rPr>
        <w:t>Matthew S</w:t>
      </w:r>
      <w:r w:rsidRPr="00077DF8">
        <w:rPr>
          <w:rStyle w:val="SCCCounselNameChar"/>
          <w:lang w:val="fr-CA"/>
        </w:rPr>
        <w:t>. Estabrooks</w:t>
      </w:r>
      <w:r w:rsidRPr="00166A46">
        <w:rPr>
          <w:rStyle w:val="SCCCounselPartyRoleChar"/>
          <w:lang w:val="fr-CA"/>
        </w:rPr>
        <w:t>, pour l</w:t>
      </w:r>
      <w:r>
        <w:rPr>
          <w:rStyle w:val="SCCCounselPartyRoleChar"/>
          <w:lang w:val="fr-CA"/>
        </w:rPr>
        <w:t>’intimé</w:t>
      </w:r>
      <w:r w:rsidRPr="00166A46">
        <w:rPr>
          <w:rStyle w:val="SCCCounselPartyRoleChar"/>
          <w:lang w:val="fr-CA"/>
        </w:rPr>
        <w:t>.</w:t>
      </w:r>
    </w:p>
    <w:p w:rsidR="00FB5FBB" w:rsidRPr="00EC0B73" w:rsidRDefault="00FB5FBB" w:rsidP="00FB5FBB">
      <w:pPr>
        <w:pStyle w:val="SCCNormalDoubleSpacing"/>
        <w:spacing w:after="480"/>
        <w:rPr>
          <w:lang w:val="fr-CA"/>
        </w:rPr>
      </w:pPr>
      <w:r w:rsidRPr="00166A46">
        <w:rPr>
          <w:rStyle w:val="SCCCounselNameChar"/>
          <w:lang w:val="fr-CA"/>
        </w:rPr>
        <w:tab/>
        <w:t>Amber Pashuk</w:t>
      </w:r>
      <w:r>
        <w:rPr>
          <w:rStyle w:val="SCCCounselNameChar"/>
          <w:lang w:val="fr-CA"/>
        </w:rPr>
        <w:t xml:space="preserve"> </w:t>
      </w:r>
      <w:r>
        <w:rPr>
          <w:rStyle w:val="SCCCounselNameChar"/>
          <w:i w:val="0"/>
          <w:lang w:val="fr-CA"/>
        </w:rPr>
        <w:t xml:space="preserve">et </w:t>
      </w:r>
      <w:r>
        <w:rPr>
          <w:rStyle w:val="SCCCounselNameChar"/>
          <w:lang w:val="fr-CA"/>
        </w:rPr>
        <w:t>François Lacasse</w:t>
      </w:r>
      <w:r w:rsidRPr="00166A46">
        <w:rPr>
          <w:rStyle w:val="SCCCounselPartyRoleChar"/>
          <w:lang w:val="fr-CA"/>
        </w:rPr>
        <w:t xml:space="preserve">, pour </w:t>
      </w:r>
      <w:r w:rsidRPr="00EC0B73">
        <w:rPr>
          <w:rStyle w:val="SCCCounselPartyRoleChar"/>
          <w:lang w:val="fr-CA"/>
        </w:rPr>
        <w:t>l’intervenante la directrice des poursuites pénales.</w:t>
      </w:r>
    </w:p>
    <w:p w:rsidR="00FB5FBB" w:rsidRPr="00166A46" w:rsidRDefault="00FB5FBB" w:rsidP="00FB5FBB">
      <w:pPr>
        <w:pStyle w:val="SCCNormalDoubleSpacing"/>
        <w:spacing w:after="480"/>
        <w:rPr>
          <w:lang w:val="fr-CA"/>
        </w:rPr>
      </w:pPr>
      <w:r w:rsidRPr="00EC0B73">
        <w:rPr>
          <w:rStyle w:val="SCCCounselNameChar"/>
          <w:lang w:val="fr-CA"/>
        </w:rPr>
        <w:tab/>
        <w:t xml:space="preserve">John Neander </w:t>
      </w:r>
      <w:r w:rsidRPr="00EC0B73">
        <w:rPr>
          <w:rStyle w:val="SCCCounselNameChar"/>
          <w:i w:val="0"/>
          <w:lang w:val="fr-CA"/>
        </w:rPr>
        <w:t xml:space="preserve">et </w:t>
      </w:r>
      <w:r w:rsidRPr="00EC0B73">
        <w:rPr>
          <w:rStyle w:val="SCCCounselNameChar"/>
          <w:lang w:val="fr-CA"/>
        </w:rPr>
        <w:t>Michael Bernstein</w:t>
      </w:r>
      <w:r w:rsidRPr="00EC0B73">
        <w:rPr>
          <w:rStyle w:val="SCCCounselPartyRoleChar"/>
          <w:lang w:val="fr-CA"/>
        </w:rPr>
        <w:t>, pour l’intervenante la procureure générale de l’Ontario.</w:t>
      </w:r>
    </w:p>
    <w:p w:rsidR="00FB5FBB" w:rsidRPr="00166A46" w:rsidRDefault="00FB5FBB" w:rsidP="00FB5FBB">
      <w:pPr>
        <w:pStyle w:val="SCCNormalDoubleSpacing"/>
        <w:spacing w:after="480"/>
        <w:rPr>
          <w:lang w:val="fr-CA"/>
        </w:rPr>
      </w:pPr>
      <w:r w:rsidRPr="00166A46">
        <w:rPr>
          <w:rStyle w:val="SCCCounselNameChar"/>
          <w:lang w:val="fr-CA"/>
        </w:rPr>
        <w:tab/>
        <w:t>Ian R. Smith</w:t>
      </w:r>
      <w:r w:rsidRPr="00166A46">
        <w:rPr>
          <w:rStyle w:val="SCCCounselPartyRoleChar"/>
          <w:lang w:val="fr-CA"/>
        </w:rPr>
        <w:t>, pour l</w:t>
      </w:r>
      <w:r>
        <w:rPr>
          <w:rStyle w:val="SCCCounselPartyRoleChar"/>
          <w:lang w:val="fr-CA"/>
        </w:rPr>
        <w:t>’intervenante</w:t>
      </w:r>
      <w:r w:rsidRPr="00166A46">
        <w:rPr>
          <w:rStyle w:val="SCCCounselPartyRoleChar"/>
          <w:lang w:val="fr-CA"/>
        </w:rPr>
        <w:t xml:space="preserve"> Criminal Lawyers</w:t>
      </w:r>
      <w:r>
        <w:rPr>
          <w:rStyle w:val="SCCCounselPartyRoleChar"/>
          <w:lang w:val="fr-CA"/>
        </w:rPr>
        <w:t>’</w:t>
      </w:r>
      <w:r w:rsidRPr="00166A46">
        <w:rPr>
          <w:rStyle w:val="SCCCounselPartyRoleChar"/>
          <w:lang w:val="fr-CA"/>
        </w:rPr>
        <w:t xml:space="preserve"> Association.</w:t>
      </w:r>
    </w:p>
    <w:p w:rsidR="00FB5FBB" w:rsidRPr="0082038D" w:rsidRDefault="00FB5FBB" w:rsidP="00FB5FBB">
      <w:pPr>
        <w:pStyle w:val="SCCNormalDoubleSpacing"/>
        <w:widowControl w:val="0"/>
        <w:spacing w:before="480" w:after="480"/>
        <w:rPr>
          <w:lang w:val="fr-CA"/>
        </w:rPr>
      </w:pPr>
      <w:r>
        <w:rPr>
          <w:lang w:val="fr-CA"/>
        </w:rPr>
        <w:tab/>
      </w:r>
      <w:r w:rsidRPr="00A82EC8">
        <w:rPr>
          <w:lang w:val="fr-FR"/>
        </w:rPr>
        <w:t>Version française du jugement de la Cour rendu oralement par</w:t>
      </w:r>
      <w:r w:rsidRPr="00A82EC8">
        <w:rPr>
          <w:rStyle w:val="FootnoteReference"/>
          <w:lang w:val="fr-FR"/>
        </w:rPr>
        <w:footnoteReference w:id="1"/>
      </w:r>
    </w:p>
    <w:p w:rsidR="00FB5FBB" w:rsidRPr="00317A15" w:rsidRDefault="00FB5FBB" w:rsidP="00FB5FBB">
      <w:pPr>
        <w:pStyle w:val="ParaNoNdepar-AltN"/>
        <w:numPr>
          <w:ilvl w:val="0"/>
          <w:numId w:val="0"/>
        </w:numPr>
        <w:rPr>
          <w:rFonts w:eastAsiaTheme="minorHAnsi"/>
          <w:lang w:val="fr-CA"/>
        </w:rPr>
      </w:pPr>
      <w:r w:rsidRPr="00317A15">
        <w:rPr>
          <w:rFonts w:eastAsiaTheme="minorHAnsi"/>
          <w:smallCaps/>
          <w:lang w:val="fr-CA"/>
        </w:rPr>
        <w:t>[1]</w:t>
      </w:r>
      <w:r w:rsidRPr="00317A15">
        <w:rPr>
          <w:rFonts w:eastAsiaTheme="minorHAnsi"/>
          <w:smallCaps/>
          <w:lang w:val="fr-CA"/>
        </w:rPr>
        <w:tab/>
        <w:t>La juge Karakatsanis</w:t>
      </w:r>
      <w:r w:rsidRPr="00317A15">
        <w:rPr>
          <w:rFonts w:eastAsiaTheme="minorHAnsi"/>
          <w:lang w:val="fr-CA"/>
        </w:rPr>
        <w:t xml:space="preserve"> — Nous faisons nôtre la conclusion de la Cour d’appel portant que les directives du juge du procès sur la responsabilité des participants au meurtre au premier degré étaient erronées. Par conséquent, la déclaration de culpabilité pour meurtre au premier degré ne peut être maintenue.</w:t>
      </w:r>
    </w:p>
    <w:p w:rsidR="00FB5FBB" w:rsidRPr="0082038D" w:rsidRDefault="00FB5FBB" w:rsidP="00FB5FBB">
      <w:pPr>
        <w:pStyle w:val="ParaNoNdepar-AltN"/>
        <w:numPr>
          <w:ilvl w:val="0"/>
          <w:numId w:val="0"/>
        </w:numPr>
        <w:rPr>
          <w:lang w:val="fr-CA"/>
        </w:rPr>
      </w:pPr>
      <w:r>
        <w:rPr>
          <w:rFonts w:eastAsiaTheme="minorHAnsi"/>
          <w:lang w:val="fr-CA"/>
        </w:rPr>
        <w:t>[2]</w:t>
      </w:r>
      <w:r>
        <w:rPr>
          <w:rFonts w:eastAsiaTheme="minorHAnsi"/>
          <w:lang w:val="fr-CA"/>
        </w:rPr>
        <w:tab/>
      </w:r>
      <w:r w:rsidRPr="00317A15">
        <w:rPr>
          <w:rFonts w:eastAsiaTheme="minorHAnsi"/>
          <w:lang w:val="fr-CA"/>
        </w:rPr>
        <w:t>Nous ne sommes toutefois pas d’accord avec la Cour d’appel pour dire que le juge de première instance était tenu de formuler au jury des directives sur l’homicide involontaire coupable. Bien que ce ne soit pas déterminant, nous souscrivons à la thèse avancée au procès par l’avocat de la défense suivant laquelle rien ne justifiait de laisser au jury la possibilité de rendre un verdict d’homicide involontaire coupable. À notre avis, la preuve était, au mieux, ténue et conjecturale, et elle ne satisfaisait pas au critère de la vraisemblance.</w:t>
      </w:r>
    </w:p>
    <w:p w:rsidR="00FB5FBB" w:rsidRPr="00317A15" w:rsidRDefault="00FB5FBB" w:rsidP="00FB5FBB">
      <w:pPr>
        <w:pStyle w:val="ParaNoNdepar-AltN"/>
        <w:numPr>
          <w:ilvl w:val="0"/>
          <w:numId w:val="0"/>
        </w:numPr>
        <w:rPr>
          <w:rFonts w:eastAsiaTheme="minorHAnsi"/>
          <w:lang w:val="fr-CA"/>
        </w:rPr>
      </w:pPr>
      <w:r>
        <w:rPr>
          <w:rFonts w:eastAsiaTheme="minorHAnsi"/>
          <w:lang w:val="fr-CA"/>
        </w:rPr>
        <w:t>[3]</w:t>
      </w:r>
      <w:r>
        <w:rPr>
          <w:rFonts w:eastAsiaTheme="minorHAnsi"/>
          <w:lang w:val="fr-CA"/>
        </w:rPr>
        <w:tab/>
      </w:r>
      <w:r w:rsidRPr="00317A15">
        <w:rPr>
          <w:rFonts w:eastAsiaTheme="minorHAnsi"/>
          <w:lang w:val="fr-CA"/>
        </w:rPr>
        <w:t xml:space="preserve">Pour ce qui est de l’accusation de complot, nous ne partageons pas l’avis de la Cour d’appel. Eu égard aux circonstances particulières de la présente affaire, nous ne sommes pas convaincus que le juge du procès a fait erreur quant aux éléments de preuve qu’il a laissés à l’appréciation du jury dans le cadre du troisième volet de l’analyse établie dans l’arrêt </w:t>
      </w:r>
      <w:r w:rsidRPr="00317A15">
        <w:rPr>
          <w:rFonts w:eastAsiaTheme="minorHAnsi"/>
          <w:i/>
          <w:lang w:val="fr-CA"/>
        </w:rPr>
        <w:t>Carter</w:t>
      </w:r>
      <w:r w:rsidRPr="00317A15">
        <w:rPr>
          <w:rFonts w:eastAsiaTheme="minorHAnsi"/>
          <w:lang w:val="fr-CA"/>
        </w:rPr>
        <w:t xml:space="preserve"> relativement à l’admissibilité du ouï-dire de co-conspirateurs (</w:t>
      </w:r>
      <w:r w:rsidRPr="00317A15">
        <w:rPr>
          <w:rFonts w:eastAsiaTheme="minorHAnsi"/>
          <w:i/>
          <w:lang w:val="fr-CA"/>
        </w:rPr>
        <w:t>R. c. Carter</w:t>
      </w:r>
      <w:r w:rsidRPr="00317A15">
        <w:rPr>
          <w:rFonts w:eastAsiaTheme="minorHAnsi"/>
          <w:lang w:val="fr-CA"/>
        </w:rPr>
        <w:t>, [1982] 1 R.C.S. 938). Nous soulignons, à ce propos, que le moyen de défense invoqué par l’accusé à l’encontre de l’accusation de complot était qu’il ignorait la nature et l’ampleur du complot reproché. Nous ne serions donc pas intervenus pour modifier la déclaration de culpabilité de complot en vue de commettre un meurtre.</w:t>
      </w:r>
    </w:p>
    <w:p w:rsidR="00FB5FBB" w:rsidRPr="00317A15" w:rsidRDefault="00FB5FBB" w:rsidP="00FB5FBB">
      <w:pPr>
        <w:pStyle w:val="ParaNoNdepar-AltN"/>
        <w:numPr>
          <w:ilvl w:val="0"/>
          <w:numId w:val="0"/>
        </w:numPr>
        <w:rPr>
          <w:rFonts w:eastAsiaTheme="minorHAnsi"/>
          <w:lang w:val="fr-CA"/>
        </w:rPr>
      </w:pPr>
      <w:r>
        <w:rPr>
          <w:rFonts w:eastAsiaTheme="minorHAnsi"/>
          <w:lang w:val="fr-CA"/>
        </w:rPr>
        <w:t>[4]</w:t>
      </w:r>
      <w:r>
        <w:rPr>
          <w:rFonts w:eastAsiaTheme="minorHAnsi"/>
          <w:lang w:val="fr-CA"/>
        </w:rPr>
        <w:tab/>
      </w:r>
      <w:r w:rsidRPr="00317A15">
        <w:rPr>
          <w:rFonts w:eastAsiaTheme="minorHAnsi"/>
          <w:lang w:val="fr-CA"/>
        </w:rPr>
        <w:t xml:space="preserve">Vu nos conclusions, les parties reconnaissent qu’il convient de substituer un verdict de meurtre au deuxième degré à celui de meurtre au premier degré. Nous sommes convaincus qu’un tel verdict est approprié dans les circonstances.  </w:t>
      </w:r>
    </w:p>
    <w:p w:rsidR="00FB5FBB" w:rsidRPr="00317A15" w:rsidRDefault="00FB5FBB" w:rsidP="00FB5FBB">
      <w:pPr>
        <w:pStyle w:val="ParaNoNdepar-AltN"/>
        <w:numPr>
          <w:ilvl w:val="0"/>
          <w:numId w:val="0"/>
        </w:numPr>
        <w:rPr>
          <w:rFonts w:eastAsiaTheme="minorHAnsi"/>
          <w:lang w:val="fr-CA"/>
        </w:rPr>
      </w:pPr>
      <w:r>
        <w:rPr>
          <w:rFonts w:eastAsiaTheme="minorHAnsi"/>
          <w:lang w:val="fr-CA"/>
        </w:rPr>
        <w:t>[5]</w:t>
      </w:r>
      <w:r>
        <w:rPr>
          <w:rFonts w:eastAsiaTheme="minorHAnsi"/>
          <w:lang w:val="fr-CA"/>
        </w:rPr>
        <w:tab/>
      </w:r>
      <w:r w:rsidRPr="00317A15">
        <w:rPr>
          <w:rFonts w:eastAsiaTheme="minorHAnsi"/>
          <w:lang w:val="fr-CA"/>
        </w:rPr>
        <w:t xml:space="preserve">Par conséquent, en vertu du sous-al. 686(1)b)(i) et du par. 686(3) du </w:t>
      </w:r>
      <w:r w:rsidRPr="00317A15">
        <w:rPr>
          <w:rFonts w:eastAsiaTheme="minorHAnsi"/>
          <w:i/>
          <w:lang w:val="fr-CA"/>
        </w:rPr>
        <w:t>Code criminel</w:t>
      </w:r>
      <w:r w:rsidRPr="00317A15">
        <w:rPr>
          <w:rFonts w:eastAsiaTheme="minorHAnsi"/>
          <w:lang w:val="fr-CA"/>
        </w:rPr>
        <w:t xml:space="preserve">, L.R.C. 1985, c. C-46, nous aurions rejeté l’appel et prononcé une déclaration de culpabilité de meurtre au deuxième degré. </w:t>
      </w:r>
    </w:p>
    <w:p w:rsidR="00FB5FBB" w:rsidRPr="00317A15" w:rsidRDefault="00FB5FBB" w:rsidP="00FB5FBB">
      <w:pPr>
        <w:pStyle w:val="ParaNoNdepar-AltN"/>
        <w:numPr>
          <w:ilvl w:val="0"/>
          <w:numId w:val="0"/>
        </w:numPr>
        <w:rPr>
          <w:rFonts w:eastAsiaTheme="minorHAnsi"/>
          <w:lang w:val="fr-CA"/>
        </w:rPr>
      </w:pPr>
      <w:r>
        <w:rPr>
          <w:rFonts w:eastAsiaTheme="minorHAnsi"/>
          <w:lang w:val="fr-CA"/>
        </w:rPr>
        <w:t>[6]</w:t>
      </w:r>
      <w:r>
        <w:rPr>
          <w:rFonts w:eastAsiaTheme="minorHAnsi"/>
          <w:lang w:val="fr-CA"/>
        </w:rPr>
        <w:tab/>
      </w:r>
      <w:r w:rsidRPr="00317A15">
        <w:rPr>
          <w:rFonts w:eastAsiaTheme="minorHAnsi"/>
          <w:lang w:val="fr-CA"/>
        </w:rPr>
        <w:t>En conséquence, le pourvoi est accueilli en partie. La déclaration de culpabilité pour complot est rétablie et une déclaration de culpabilité pour meurtre au deuxième degré est consignée.</w:t>
      </w:r>
    </w:p>
    <w:p w:rsidR="00FB5FBB" w:rsidRDefault="00FB5FBB" w:rsidP="00FB5FBB">
      <w:pPr>
        <w:pStyle w:val="ParaNoNdepar-AltN"/>
        <w:numPr>
          <w:ilvl w:val="0"/>
          <w:numId w:val="0"/>
        </w:numPr>
        <w:rPr>
          <w:rFonts w:eastAsiaTheme="minorHAnsi"/>
          <w:lang w:val="fr-CA"/>
        </w:rPr>
      </w:pPr>
      <w:r>
        <w:rPr>
          <w:rFonts w:eastAsiaTheme="minorHAnsi"/>
          <w:lang w:val="fr-CA"/>
        </w:rPr>
        <w:t>[7]</w:t>
      </w:r>
      <w:r>
        <w:rPr>
          <w:rFonts w:eastAsiaTheme="minorHAnsi"/>
          <w:lang w:val="fr-CA"/>
        </w:rPr>
        <w:tab/>
      </w:r>
      <w:r w:rsidRPr="00317A15">
        <w:rPr>
          <w:rFonts w:eastAsiaTheme="minorHAnsi"/>
          <w:lang w:val="fr-CA"/>
        </w:rPr>
        <w:t>Les avocats sont invités à s’entendre sur la peine appropriée en ce qui concerne l’admissibilité à la libération conditionnelle. L’affaire est renvoyée au tribunal de première instance pour qu’il détermine la peine.</w:t>
      </w:r>
    </w:p>
    <w:p w:rsidR="00FB5FBB" w:rsidRPr="00166A46" w:rsidRDefault="00FB5FBB" w:rsidP="00FB5FBB">
      <w:pPr>
        <w:pStyle w:val="SCCNormalDoubleSpacing"/>
        <w:spacing w:after="480"/>
        <w:rPr>
          <w:lang w:val="fr-CA"/>
        </w:rPr>
      </w:pPr>
      <w:r>
        <w:rPr>
          <w:lang w:val="fr-CA"/>
        </w:rPr>
        <w:tab/>
      </w:r>
      <w:r>
        <w:rPr>
          <w:i/>
          <w:lang w:val="fr-CA"/>
        </w:rPr>
        <w:t>Jugement en conséquence</w:t>
      </w:r>
      <w:r w:rsidRPr="00A37B06">
        <w:rPr>
          <w:i/>
          <w:lang w:val="fr-CA"/>
        </w:rPr>
        <w:t>.</w:t>
      </w:r>
      <w:r w:rsidRPr="00166A46">
        <w:rPr>
          <w:lang w:val="fr-CA"/>
        </w:rPr>
        <w:t xml:space="preserve"> </w:t>
      </w:r>
    </w:p>
    <w:p w:rsidR="00FB5FBB" w:rsidRPr="00166A46" w:rsidRDefault="00FB5FBB" w:rsidP="00FB5FBB">
      <w:pPr>
        <w:pStyle w:val="SCCLawFirm"/>
        <w:spacing w:after="480"/>
        <w:rPr>
          <w:lang w:val="fr-CA"/>
        </w:rPr>
      </w:pPr>
      <w:r>
        <w:rPr>
          <w:lang w:val="fr-CA"/>
        </w:rPr>
        <w:tab/>
        <w:t>Procureur</w:t>
      </w:r>
      <w:r w:rsidRPr="00166A46">
        <w:rPr>
          <w:lang w:val="fr-CA"/>
        </w:rPr>
        <w:t xml:space="preserve"> de l</w:t>
      </w:r>
      <w:r>
        <w:rPr>
          <w:lang w:val="fr-CA"/>
        </w:rPr>
        <w:t>’appelante</w:t>
      </w:r>
      <w:r w:rsidRPr="00166A46">
        <w:rPr>
          <w:lang w:val="fr-CA"/>
        </w:rPr>
        <w:t> : Nova Scotia Public Prosecution Service, Halifax.</w:t>
      </w:r>
    </w:p>
    <w:p w:rsidR="00FB5FBB" w:rsidRPr="00166A46" w:rsidRDefault="00FB5FBB" w:rsidP="00FB5FBB">
      <w:pPr>
        <w:pStyle w:val="SCCLawFirm"/>
        <w:spacing w:after="480"/>
        <w:rPr>
          <w:lang w:val="fr-CA"/>
        </w:rPr>
      </w:pPr>
      <w:r>
        <w:rPr>
          <w:lang w:val="fr-CA"/>
        </w:rPr>
        <w:tab/>
        <w:t>Procureurs</w:t>
      </w:r>
      <w:r w:rsidRPr="00166A46">
        <w:rPr>
          <w:lang w:val="fr-CA"/>
        </w:rPr>
        <w:t xml:space="preserve"> de l</w:t>
      </w:r>
      <w:r>
        <w:rPr>
          <w:lang w:val="fr-CA"/>
        </w:rPr>
        <w:t>’intimé</w:t>
      </w:r>
      <w:r w:rsidRPr="00166A46">
        <w:rPr>
          <w:lang w:val="fr-CA"/>
        </w:rPr>
        <w:t> : Lockyer Campbell Posner, Toronto</w:t>
      </w:r>
      <w:r>
        <w:rPr>
          <w:lang w:val="fr-CA"/>
        </w:rPr>
        <w:t>; Gowling WLG, Ottawa</w:t>
      </w:r>
      <w:r w:rsidRPr="00166A46">
        <w:rPr>
          <w:lang w:val="fr-CA"/>
        </w:rPr>
        <w:t>.</w:t>
      </w:r>
    </w:p>
    <w:p w:rsidR="00FB5FBB" w:rsidRPr="00EC0B73" w:rsidRDefault="00FB5FBB" w:rsidP="00FB5FBB">
      <w:pPr>
        <w:pStyle w:val="SCCLawFirm"/>
        <w:spacing w:after="480"/>
        <w:rPr>
          <w:lang w:val="fr-CA"/>
        </w:rPr>
      </w:pPr>
      <w:r>
        <w:rPr>
          <w:lang w:val="fr-CA"/>
        </w:rPr>
        <w:tab/>
      </w:r>
      <w:r w:rsidRPr="00EC0B73">
        <w:rPr>
          <w:lang w:val="fr-CA"/>
        </w:rPr>
        <w:t xml:space="preserve">Procureur de l’intervenante la directrice des poursuites pénales </w:t>
      </w:r>
      <w:r w:rsidRPr="009E0576">
        <w:rPr>
          <w:lang w:val="fr-CA"/>
        </w:rPr>
        <w:t>: Service des poursuites pénales du Canada</w:t>
      </w:r>
      <w:r w:rsidRPr="00EC0B73">
        <w:rPr>
          <w:lang w:val="fr-CA"/>
        </w:rPr>
        <w:t>, Brampton.</w:t>
      </w:r>
    </w:p>
    <w:p w:rsidR="00FB5FBB" w:rsidRPr="00166A46" w:rsidRDefault="00FB5FBB" w:rsidP="00FB5FBB">
      <w:pPr>
        <w:pStyle w:val="SCCLawFirm"/>
        <w:spacing w:after="480"/>
        <w:rPr>
          <w:lang w:val="fr-CA"/>
        </w:rPr>
      </w:pPr>
      <w:r w:rsidRPr="00EC0B73">
        <w:rPr>
          <w:lang w:val="fr-CA"/>
        </w:rPr>
        <w:tab/>
        <w:t>Procureur de l’intervenante la procureure générale</w:t>
      </w:r>
      <w:r w:rsidRPr="00166A46">
        <w:rPr>
          <w:lang w:val="fr-CA"/>
        </w:rPr>
        <w:t xml:space="preserve"> de l</w:t>
      </w:r>
      <w:r>
        <w:rPr>
          <w:lang w:val="fr-CA"/>
        </w:rPr>
        <w:t>’</w:t>
      </w:r>
      <w:r w:rsidRPr="00166A46">
        <w:rPr>
          <w:lang w:val="fr-CA"/>
        </w:rPr>
        <w:t xml:space="preserve">Ontario : </w:t>
      </w:r>
      <w:r w:rsidRPr="009E0576">
        <w:rPr>
          <w:lang w:val="fr-CA"/>
        </w:rPr>
        <w:t>Procureure générale de l’Ontario, Toronto</w:t>
      </w:r>
      <w:r w:rsidRPr="00166A46">
        <w:rPr>
          <w:lang w:val="fr-CA"/>
        </w:rPr>
        <w:t>.</w:t>
      </w:r>
    </w:p>
    <w:p w:rsidR="00FB5FBB" w:rsidRPr="00166A46" w:rsidRDefault="00FB5FBB" w:rsidP="00FB5FBB">
      <w:pPr>
        <w:pStyle w:val="SCCLawFirm"/>
        <w:spacing w:after="480"/>
        <w:rPr>
          <w:lang w:val="fr-CA"/>
        </w:rPr>
      </w:pPr>
      <w:r>
        <w:rPr>
          <w:lang w:val="fr-CA"/>
        </w:rPr>
        <w:tab/>
        <w:t>Procureurs</w:t>
      </w:r>
      <w:r w:rsidRPr="00166A46">
        <w:rPr>
          <w:lang w:val="fr-CA"/>
        </w:rPr>
        <w:t xml:space="preserve"> de l</w:t>
      </w:r>
      <w:r>
        <w:rPr>
          <w:lang w:val="fr-CA"/>
        </w:rPr>
        <w:t>’intervenante</w:t>
      </w:r>
      <w:r w:rsidRPr="00166A46">
        <w:rPr>
          <w:lang w:val="fr-CA"/>
        </w:rPr>
        <w:t xml:space="preserve"> Criminal Lawyers</w:t>
      </w:r>
      <w:r>
        <w:rPr>
          <w:lang w:val="fr-CA"/>
        </w:rPr>
        <w:t>’</w:t>
      </w:r>
      <w:r w:rsidRPr="00166A46">
        <w:rPr>
          <w:lang w:val="fr-CA"/>
        </w:rPr>
        <w:t xml:space="preserve"> Association : Fenton, Smith, Toronto.</w:t>
      </w:r>
    </w:p>
    <w:p w:rsidR="009B57B3" w:rsidRPr="00FB5FBB" w:rsidRDefault="009B57B3" w:rsidP="00FB5FBB">
      <w:pPr>
        <w:rPr>
          <w:lang w:val="fr-CA"/>
        </w:rPr>
      </w:pPr>
      <w:bookmarkStart w:id="0" w:name="_GoBack"/>
      <w:bookmarkEnd w:id="0"/>
    </w:p>
    <w:sectPr w:rsidR="009B57B3" w:rsidRPr="00FB5FBB"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 w:id="1">
    <w:p w:rsidR="00FB5FBB" w:rsidRPr="0082038D" w:rsidRDefault="00FB5FBB" w:rsidP="00FB5FBB">
      <w:pPr>
        <w:pStyle w:val="FootnoteText"/>
        <w:rPr>
          <w:lang w:val="fr-CA"/>
        </w:rPr>
      </w:pPr>
      <w:r w:rsidRPr="00A82EC8">
        <w:rPr>
          <w:rStyle w:val="FootnoteReference"/>
        </w:rPr>
        <w:footnoteRef/>
      </w:r>
      <w:r w:rsidRPr="00A82EC8">
        <w:rPr>
          <w:lang w:val="fr-CA"/>
        </w:rPr>
        <w:t xml:space="preserve"> Le jugement prononcé à l’audience a été modifié.</w:t>
      </w:r>
      <w:r>
        <w:rPr>
          <w:lang w:val="fr-C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D48DF"/>
    <w:multiLevelType w:val="multilevel"/>
    <w:tmpl w:val="CFD4A66C"/>
    <w:lvl w:ilvl="0">
      <w:start w:val="1"/>
      <w:numFmt w:val="decimal"/>
      <w:pStyle w:val="ParaNoNdepar-Alt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01537C9"/>
    <w:multiLevelType w:val="multilevel"/>
    <w:tmpl w:val="933E2C58"/>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578A3"/>
    <w:rsid w:val="000648CC"/>
    <w:rsid w:val="000C59B8"/>
    <w:rsid w:val="000C6AF0"/>
    <w:rsid w:val="000D0A77"/>
    <w:rsid w:val="000F7993"/>
    <w:rsid w:val="00104F33"/>
    <w:rsid w:val="00111DE2"/>
    <w:rsid w:val="00116B38"/>
    <w:rsid w:val="00135406"/>
    <w:rsid w:val="00135972"/>
    <w:rsid w:val="001426A9"/>
    <w:rsid w:val="00154D7C"/>
    <w:rsid w:val="001570B0"/>
    <w:rsid w:val="0015752C"/>
    <w:rsid w:val="00157737"/>
    <w:rsid w:val="00165277"/>
    <w:rsid w:val="00170592"/>
    <w:rsid w:val="001720F7"/>
    <w:rsid w:val="00194880"/>
    <w:rsid w:val="00195D83"/>
    <w:rsid w:val="001A00C1"/>
    <w:rsid w:val="001B33E0"/>
    <w:rsid w:val="001B4573"/>
    <w:rsid w:val="001C779F"/>
    <w:rsid w:val="001D2AC1"/>
    <w:rsid w:val="001D4E88"/>
    <w:rsid w:val="00220FC2"/>
    <w:rsid w:val="002222F4"/>
    <w:rsid w:val="00224FC0"/>
    <w:rsid w:val="00225EA4"/>
    <w:rsid w:val="00226EAF"/>
    <w:rsid w:val="00230149"/>
    <w:rsid w:val="00231F3A"/>
    <w:rsid w:val="002406EE"/>
    <w:rsid w:val="00243EC8"/>
    <w:rsid w:val="00270D93"/>
    <w:rsid w:val="00271798"/>
    <w:rsid w:val="002745CC"/>
    <w:rsid w:val="002B6FBE"/>
    <w:rsid w:val="002B7924"/>
    <w:rsid w:val="002C10A6"/>
    <w:rsid w:val="002D28C3"/>
    <w:rsid w:val="002D2A0B"/>
    <w:rsid w:val="002D39A4"/>
    <w:rsid w:val="002D727C"/>
    <w:rsid w:val="002E6705"/>
    <w:rsid w:val="0030329A"/>
    <w:rsid w:val="0031086F"/>
    <w:rsid w:val="0031414C"/>
    <w:rsid w:val="00314E01"/>
    <w:rsid w:val="0032089D"/>
    <w:rsid w:val="003310DE"/>
    <w:rsid w:val="003323B0"/>
    <w:rsid w:val="00340A49"/>
    <w:rsid w:val="0035169A"/>
    <w:rsid w:val="0035259D"/>
    <w:rsid w:val="003570FB"/>
    <w:rsid w:val="00364B18"/>
    <w:rsid w:val="003942C0"/>
    <w:rsid w:val="003A125D"/>
    <w:rsid w:val="003A4C70"/>
    <w:rsid w:val="003B215F"/>
    <w:rsid w:val="003B4558"/>
    <w:rsid w:val="003C799C"/>
    <w:rsid w:val="003D0399"/>
    <w:rsid w:val="003E1C71"/>
    <w:rsid w:val="003F327B"/>
    <w:rsid w:val="00406166"/>
    <w:rsid w:val="00406D92"/>
    <w:rsid w:val="0040704B"/>
    <w:rsid w:val="00410A55"/>
    <w:rsid w:val="00411300"/>
    <w:rsid w:val="00413F17"/>
    <w:rsid w:val="00415417"/>
    <w:rsid w:val="00426659"/>
    <w:rsid w:val="00450352"/>
    <w:rsid w:val="00454BDB"/>
    <w:rsid w:val="0046008E"/>
    <w:rsid w:val="00465132"/>
    <w:rsid w:val="00480C90"/>
    <w:rsid w:val="0048396F"/>
    <w:rsid w:val="00493C18"/>
    <w:rsid w:val="004A600C"/>
    <w:rsid w:val="004A6118"/>
    <w:rsid w:val="004C478D"/>
    <w:rsid w:val="004D7D95"/>
    <w:rsid w:val="004E2C26"/>
    <w:rsid w:val="005125A8"/>
    <w:rsid w:val="00517549"/>
    <w:rsid w:val="00520ABC"/>
    <w:rsid w:val="00521AE8"/>
    <w:rsid w:val="00527180"/>
    <w:rsid w:val="00531A4D"/>
    <w:rsid w:val="00532DA4"/>
    <w:rsid w:val="00555291"/>
    <w:rsid w:val="00566AD1"/>
    <w:rsid w:val="00583EDE"/>
    <w:rsid w:val="005A6079"/>
    <w:rsid w:val="005D4415"/>
    <w:rsid w:val="005E4698"/>
    <w:rsid w:val="00603924"/>
    <w:rsid w:val="00610539"/>
    <w:rsid w:val="00613969"/>
    <w:rsid w:val="00625C35"/>
    <w:rsid w:val="00636E8E"/>
    <w:rsid w:val="00647E49"/>
    <w:rsid w:val="00656313"/>
    <w:rsid w:val="006565F4"/>
    <w:rsid w:val="00684EEA"/>
    <w:rsid w:val="0069689B"/>
    <w:rsid w:val="006A5015"/>
    <w:rsid w:val="006B5FF5"/>
    <w:rsid w:val="006F30AF"/>
    <w:rsid w:val="00701759"/>
    <w:rsid w:val="00705C15"/>
    <w:rsid w:val="00706F17"/>
    <w:rsid w:val="007110F6"/>
    <w:rsid w:val="007208D1"/>
    <w:rsid w:val="00744518"/>
    <w:rsid w:val="00747288"/>
    <w:rsid w:val="00747DD3"/>
    <w:rsid w:val="007549C8"/>
    <w:rsid w:val="00766D14"/>
    <w:rsid w:val="00767A0F"/>
    <w:rsid w:val="00791272"/>
    <w:rsid w:val="007A05F6"/>
    <w:rsid w:val="007B6F4A"/>
    <w:rsid w:val="007E1C47"/>
    <w:rsid w:val="007E337A"/>
    <w:rsid w:val="007E5C70"/>
    <w:rsid w:val="007F2FF5"/>
    <w:rsid w:val="007F3F08"/>
    <w:rsid w:val="00804CC6"/>
    <w:rsid w:val="00817190"/>
    <w:rsid w:val="008260E2"/>
    <w:rsid w:val="008322BD"/>
    <w:rsid w:val="00834F73"/>
    <w:rsid w:val="0085116D"/>
    <w:rsid w:val="00864C8A"/>
    <w:rsid w:val="00864CF8"/>
    <w:rsid w:val="00874914"/>
    <w:rsid w:val="00891422"/>
    <w:rsid w:val="00892E1A"/>
    <w:rsid w:val="008B660A"/>
    <w:rsid w:val="008C01DA"/>
    <w:rsid w:val="008F2674"/>
    <w:rsid w:val="008F78E9"/>
    <w:rsid w:val="009179F9"/>
    <w:rsid w:val="00917C7A"/>
    <w:rsid w:val="00933E5E"/>
    <w:rsid w:val="00935218"/>
    <w:rsid w:val="00937C52"/>
    <w:rsid w:val="009403F3"/>
    <w:rsid w:val="009555B7"/>
    <w:rsid w:val="009567AA"/>
    <w:rsid w:val="009602C9"/>
    <w:rsid w:val="00967374"/>
    <w:rsid w:val="009A343A"/>
    <w:rsid w:val="009B2F23"/>
    <w:rsid w:val="009B57B3"/>
    <w:rsid w:val="009D2920"/>
    <w:rsid w:val="009D5AEB"/>
    <w:rsid w:val="009F0E33"/>
    <w:rsid w:val="009F768B"/>
    <w:rsid w:val="00A0529C"/>
    <w:rsid w:val="00A149DF"/>
    <w:rsid w:val="00A1755C"/>
    <w:rsid w:val="00A21B90"/>
    <w:rsid w:val="00A22AAC"/>
    <w:rsid w:val="00A41805"/>
    <w:rsid w:val="00A5037A"/>
    <w:rsid w:val="00A503E0"/>
    <w:rsid w:val="00A51882"/>
    <w:rsid w:val="00A52AFB"/>
    <w:rsid w:val="00A548CB"/>
    <w:rsid w:val="00A5521C"/>
    <w:rsid w:val="00A643E7"/>
    <w:rsid w:val="00A654CF"/>
    <w:rsid w:val="00A73C38"/>
    <w:rsid w:val="00A921A7"/>
    <w:rsid w:val="00AB670D"/>
    <w:rsid w:val="00AF03C5"/>
    <w:rsid w:val="00B000D8"/>
    <w:rsid w:val="00B00F75"/>
    <w:rsid w:val="00B145B6"/>
    <w:rsid w:val="00B279EB"/>
    <w:rsid w:val="00B50C81"/>
    <w:rsid w:val="00B557F8"/>
    <w:rsid w:val="00B815FC"/>
    <w:rsid w:val="00B84304"/>
    <w:rsid w:val="00B93FBC"/>
    <w:rsid w:val="00BA6ACF"/>
    <w:rsid w:val="00BA7DA0"/>
    <w:rsid w:val="00BB2EE4"/>
    <w:rsid w:val="00BB4C92"/>
    <w:rsid w:val="00BC2108"/>
    <w:rsid w:val="00BD0E9E"/>
    <w:rsid w:val="00BD1BEC"/>
    <w:rsid w:val="00BD32FF"/>
    <w:rsid w:val="00BF6FE9"/>
    <w:rsid w:val="00C02092"/>
    <w:rsid w:val="00C24D91"/>
    <w:rsid w:val="00C26DB2"/>
    <w:rsid w:val="00C53F14"/>
    <w:rsid w:val="00C600CF"/>
    <w:rsid w:val="00C6084F"/>
    <w:rsid w:val="00C62A66"/>
    <w:rsid w:val="00C66359"/>
    <w:rsid w:val="00C71458"/>
    <w:rsid w:val="00C77613"/>
    <w:rsid w:val="00C828E7"/>
    <w:rsid w:val="00C83212"/>
    <w:rsid w:val="00C86719"/>
    <w:rsid w:val="00C921DD"/>
    <w:rsid w:val="00CA6391"/>
    <w:rsid w:val="00CC4B00"/>
    <w:rsid w:val="00CE036E"/>
    <w:rsid w:val="00CE3171"/>
    <w:rsid w:val="00CF1601"/>
    <w:rsid w:val="00D0172F"/>
    <w:rsid w:val="00D01E33"/>
    <w:rsid w:val="00D068A7"/>
    <w:rsid w:val="00D17476"/>
    <w:rsid w:val="00D17B0E"/>
    <w:rsid w:val="00D32086"/>
    <w:rsid w:val="00D37A3F"/>
    <w:rsid w:val="00D4431D"/>
    <w:rsid w:val="00D4667A"/>
    <w:rsid w:val="00D63A1C"/>
    <w:rsid w:val="00D7516F"/>
    <w:rsid w:val="00D95F8E"/>
    <w:rsid w:val="00DA0590"/>
    <w:rsid w:val="00DC1739"/>
    <w:rsid w:val="00DC1788"/>
    <w:rsid w:val="00DE319C"/>
    <w:rsid w:val="00DE4E38"/>
    <w:rsid w:val="00DF0CA8"/>
    <w:rsid w:val="00DF2B48"/>
    <w:rsid w:val="00DF49A7"/>
    <w:rsid w:val="00E07EE2"/>
    <w:rsid w:val="00E07FD1"/>
    <w:rsid w:val="00E24573"/>
    <w:rsid w:val="00E25E1E"/>
    <w:rsid w:val="00E27EE7"/>
    <w:rsid w:val="00E35404"/>
    <w:rsid w:val="00E45109"/>
    <w:rsid w:val="00E47B7A"/>
    <w:rsid w:val="00E56A44"/>
    <w:rsid w:val="00E60269"/>
    <w:rsid w:val="00E64CC6"/>
    <w:rsid w:val="00E913EB"/>
    <w:rsid w:val="00E97830"/>
    <w:rsid w:val="00EE0830"/>
    <w:rsid w:val="00EE6CB8"/>
    <w:rsid w:val="00EF0683"/>
    <w:rsid w:val="00F0070C"/>
    <w:rsid w:val="00F00EB7"/>
    <w:rsid w:val="00F36AB6"/>
    <w:rsid w:val="00F37659"/>
    <w:rsid w:val="00F37A09"/>
    <w:rsid w:val="00F409CE"/>
    <w:rsid w:val="00F4379D"/>
    <w:rsid w:val="00F50D2D"/>
    <w:rsid w:val="00F56C8B"/>
    <w:rsid w:val="00F62639"/>
    <w:rsid w:val="00F66810"/>
    <w:rsid w:val="00F84DF4"/>
    <w:rsid w:val="00F85C97"/>
    <w:rsid w:val="00FB37D2"/>
    <w:rsid w:val="00FB5FBB"/>
    <w:rsid w:val="00FC4EFB"/>
    <w:rsid w:val="00FD068D"/>
    <w:rsid w:val="00FD4F28"/>
    <w:rsid w:val="00FE6784"/>
    <w:rsid w:val="00FE7A8B"/>
    <w:rsid w:val="00FF1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styleId="ListParagraph">
    <w:name w:val="List Paragraph"/>
    <w:basedOn w:val="Normal"/>
    <w:uiPriority w:val="34"/>
    <w:qFormat/>
    <w:rsid w:val="00A654CF"/>
    <w:pPr>
      <w:ind w:left="720"/>
      <w:contextualSpacing/>
    </w:pPr>
  </w:style>
  <w:style w:type="paragraph" w:customStyle="1" w:styleId="ParaNoNdepar-AltN">
    <w:name w:val="Para. No. / Nº de par. - Alt N"/>
    <w:link w:val="ParaNoNdepar-AltNChar"/>
    <w:qFormat/>
    <w:rsid w:val="00A0529C"/>
    <w:pPr>
      <w:numPr>
        <w:numId w:val="1"/>
      </w:numPr>
      <w:tabs>
        <w:tab w:val="left" w:pos="1166"/>
      </w:tabs>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A0529C"/>
    <w:rPr>
      <w:rFonts w:eastAsiaTheme="minorEastAsia" w:cstheme="minorBidi"/>
      <w:sz w:val="24"/>
      <w:szCs w:val="22"/>
      <w:lang w:eastAsia="en-US"/>
    </w:rPr>
  </w:style>
  <w:style w:type="table" w:styleId="TableGrid">
    <w:name w:val="Table Grid"/>
    <w:basedOn w:val="TableNormal"/>
    <w:uiPriority w:val="59"/>
    <w:rsid w:val="00DE4E38"/>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DE4E38"/>
    <w:rPr>
      <w:rFonts w:ascii="Times New Roman" w:hAnsi="Times New Roman"/>
      <w:sz w:val="24"/>
      <w:szCs w:val="24"/>
      <w:lang w:val="fr-CA"/>
    </w:rPr>
  </w:style>
  <w:style w:type="paragraph" w:customStyle="1" w:styleId="SCCLsocPrefix">
    <w:name w:val="SCC.Lsoc.Prefix"/>
    <w:basedOn w:val="Normal"/>
    <w:next w:val="Normal"/>
    <w:link w:val="SCCLsocPrefixChar"/>
    <w:rsid w:val="00DE4E38"/>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DE4E38"/>
    <w:rPr>
      <w:rFonts w:eastAsiaTheme="minorHAnsi" w:cstheme="minorBidi"/>
      <w:b/>
      <w:smallCaps/>
      <w:sz w:val="24"/>
      <w:szCs w:val="24"/>
      <w:lang w:val="fr-CA" w:eastAsia="en-US"/>
    </w:rPr>
  </w:style>
  <w:style w:type="paragraph" w:styleId="FootnoteText">
    <w:name w:val="footnote text"/>
    <w:basedOn w:val="Normal"/>
    <w:link w:val="FootnoteTextChar"/>
    <w:uiPriority w:val="99"/>
    <w:semiHidden/>
    <w:unhideWhenUsed/>
    <w:rsid w:val="00FB5FBB"/>
    <w:rPr>
      <w:sz w:val="20"/>
    </w:rPr>
  </w:style>
  <w:style w:type="character" w:customStyle="1" w:styleId="FootnoteTextChar">
    <w:name w:val="Footnote Text Char"/>
    <w:basedOn w:val="DefaultParagraphFont"/>
    <w:link w:val="FootnoteText"/>
    <w:uiPriority w:val="99"/>
    <w:semiHidden/>
    <w:rsid w:val="00FB5FBB"/>
  </w:style>
  <w:style w:type="character" w:styleId="FootnoteReference">
    <w:name w:val="footnote reference"/>
    <w:basedOn w:val="DefaultParagraphFont"/>
    <w:uiPriority w:val="99"/>
    <w:semiHidden/>
    <w:unhideWhenUsed/>
    <w:rsid w:val="00FB5F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962</Words>
  <Characters>5271</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2020-05-14T13:21:00Z</dcterms:created>
  <dcterms:modified xsi:type="dcterms:W3CDTF">2020-05-14T13:37:00Z</dcterms:modified>
</cp:coreProperties>
</file>