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A5" w:rsidRPr="00C64DA5" w:rsidRDefault="00C64DA5" w:rsidP="00C64DA5">
      <w:pPr>
        <w:tabs>
          <w:tab w:val="center" w:pos="4680"/>
          <w:tab w:val="right" w:pos="9360"/>
        </w:tabs>
        <w:rPr>
          <w:rFonts w:eastAsia="Calibri"/>
          <w:szCs w:val="24"/>
          <w:lang w:val="fr-CA" w:eastAsia="en-US"/>
        </w:rPr>
      </w:pPr>
      <w:bookmarkStart w:id="0" w:name="_GoBack"/>
      <w:bookmarkEnd w:id="0"/>
      <w:r w:rsidRPr="00C64DA5">
        <w:rPr>
          <w:rFonts w:eastAsia="Calibri"/>
          <w:szCs w:val="24"/>
          <w:lang w:val="fr-CA" w:eastAsia="en-US"/>
        </w:rPr>
        <w:ptab w:relativeTo="margin" w:alignment="center" w:leader="none"/>
      </w:r>
      <w:r w:rsidRPr="00C64DA5">
        <w:rPr>
          <w:rFonts w:eastAsia="Calibri"/>
          <w:szCs w:val="24"/>
          <w:lang w:val="fr-CA" w:eastAsia="en-US"/>
        </w:rPr>
        <w:t xml:space="preserve"> </w:t>
      </w:r>
      <w:r w:rsidRPr="00C64DA5">
        <w:rPr>
          <w:rFonts w:eastAsia="Calibr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95pt;height:64.95pt" o:ole="">
            <v:imagedata r:id="rId8" o:title=""/>
          </v:shape>
          <o:OLEObject Type="Embed" ProgID="Presentations.Drawing.13" ShapeID="_x0000_i1025" DrawAspect="Content" ObjectID="_1676215771" r:id="rId9"/>
        </w:object>
      </w:r>
      <w:r w:rsidRPr="00C64DA5">
        <w:rPr>
          <w:rFonts w:eastAsia="Calibri"/>
          <w:szCs w:val="24"/>
          <w:lang w:val="fr-CA" w:eastAsia="en-US"/>
        </w:rPr>
        <w:t xml:space="preserve"> </w:t>
      </w:r>
      <w:r w:rsidRPr="00C64DA5">
        <w:rPr>
          <w:rFonts w:eastAsia="Calibri"/>
          <w:szCs w:val="24"/>
          <w:lang w:val="fr-CA" w:eastAsia="en-US"/>
        </w:rPr>
        <w:ptab w:relativeTo="margin" w:alignment="right" w:leader="none"/>
      </w:r>
    </w:p>
    <w:p w:rsidR="00C64DA5" w:rsidRPr="00C64DA5" w:rsidRDefault="00C64DA5" w:rsidP="00C64DA5">
      <w:pPr>
        <w:tabs>
          <w:tab w:val="center" w:pos="4680"/>
          <w:tab w:val="right" w:pos="9360"/>
        </w:tabs>
        <w:rPr>
          <w:rFonts w:eastAsia="Calibri"/>
          <w:szCs w:val="24"/>
          <w:lang w:val="fr-CA" w:eastAsia="en-US"/>
        </w:rPr>
      </w:pPr>
    </w:p>
    <w:p w:rsidR="00C64DA5" w:rsidRPr="00C64DA5" w:rsidRDefault="00C64DA5" w:rsidP="00C64DA5">
      <w:pPr>
        <w:jc w:val="center"/>
        <w:rPr>
          <w:rFonts w:eastAsia="Calibri"/>
          <w:b/>
          <w:szCs w:val="24"/>
          <w:lang w:val="fr-CA" w:eastAsia="en-US"/>
        </w:rPr>
      </w:pPr>
      <w:r w:rsidRPr="00C64DA5">
        <w:rPr>
          <w:rFonts w:eastAsia="Calibri"/>
          <w:b/>
          <w:szCs w:val="24"/>
          <w:lang w:val="fr-CA" w:eastAsia="en-US"/>
        </w:rPr>
        <w:t>COUR SUPRÊME DU CANADA</w:t>
      </w: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tbl>
      <w:tblPr>
        <w:tblStyle w:val="TableGrid1"/>
        <w:tblW w:w="53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747"/>
        <w:gridCol w:w="3370"/>
      </w:tblGrid>
      <w:tr w:rsidR="00C64DA5" w:rsidRPr="00C64DA5" w:rsidTr="00257461">
        <w:tc>
          <w:tcPr>
            <w:tcW w:w="2112" w:type="pct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C64DA5" w:rsidRPr="00C64DA5" w:rsidRDefault="00C64DA5" w:rsidP="00C64DA5">
            <w:pPr>
              <w:spacing w:before="100" w:beforeAutospacing="1"/>
              <w:rPr>
                <w:rFonts w:eastAsia="Calibri"/>
              </w:rPr>
            </w:pPr>
            <w:r w:rsidRPr="00C64DA5">
              <w:rPr>
                <w:b/>
                <w:smallCaps/>
                <w:szCs w:val="24"/>
                <w:lang w:val="en-US"/>
              </w:rPr>
              <w:t>Référence :</w:t>
            </w:r>
            <w:r w:rsidRPr="00C64DA5">
              <w:rPr>
                <w:szCs w:val="24"/>
                <w:lang w:val="en-US"/>
              </w:rPr>
              <w:t xml:space="preserve"> </w:t>
            </w:r>
            <w:r w:rsidRPr="00C64DA5">
              <w:rPr>
                <w:rFonts w:eastAsia="Calibri"/>
                <w:lang w:val="en-US"/>
              </w:rPr>
              <w:t xml:space="preserve">R. </w:t>
            </w:r>
            <w:r w:rsidRPr="00C64DA5">
              <w:rPr>
                <w:rFonts w:eastAsia="Calibri"/>
                <w:i/>
                <w:lang w:val="en-US"/>
              </w:rPr>
              <w:t>c.</w:t>
            </w:r>
            <w:r w:rsidRPr="00C64DA5">
              <w:rPr>
                <w:rFonts w:eastAsia="Calibri"/>
                <w:lang w:val="en-US"/>
              </w:rPr>
              <w:t xml:space="preserve"> </w:t>
            </w:r>
            <w:r w:rsidRPr="00C64DA5">
              <w:rPr>
                <w:rFonts w:eastAsia="Calibri"/>
              </w:rPr>
              <w:t>Thanabalasingham</w:t>
            </w:r>
            <w:r w:rsidRPr="00C64DA5">
              <w:rPr>
                <w:rFonts w:eastAsia="Calibri"/>
                <w:lang w:val="en-US"/>
              </w:rPr>
              <w:t>,</w:t>
            </w:r>
            <w:r w:rsidRPr="00C64DA5">
              <w:rPr>
                <w:rFonts w:eastAsia="Calibri"/>
                <w:smallCaps/>
                <w:lang w:val="en-US"/>
              </w:rPr>
              <w:t xml:space="preserve"> </w:t>
            </w:r>
            <w:r w:rsidRPr="00C64DA5">
              <w:rPr>
                <w:smallCaps/>
                <w:szCs w:val="24"/>
                <w:lang w:val="en-US"/>
              </w:rPr>
              <w:t>2019 CSC 21, [2019] 2 R.C.S. 317</w:t>
            </w:r>
          </w:p>
        </w:tc>
        <w:tc>
          <w:tcPr>
            <w:tcW w:w="986" w:type="pct"/>
          </w:tcPr>
          <w:p w:rsidR="00C64DA5" w:rsidRPr="00C64DA5" w:rsidRDefault="00C64DA5" w:rsidP="00C64DA5">
            <w:pPr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1902" w:type="pct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C64DA5" w:rsidRPr="00C64DA5" w:rsidRDefault="00C64DA5" w:rsidP="00C64DA5">
            <w:pPr>
              <w:rPr>
                <w:szCs w:val="24"/>
                <w:lang w:val="fr-CA"/>
              </w:rPr>
            </w:pPr>
            <w:r w:rsidRPr="00C64DA5">
              <w:rPr>
                <w:b/>
                <w:smallCaps/>
                <w:szCs w:val="24"/>
                <w:lang w:val="fr-CA"/>
              </w:rPr>
              <w:t>Appel entendu:</w:t>
            </w:r>
            <w:r w:rsidRPr="00C64DA5">
              <w:rPr>
                <w:szCs w:val="24"/>
                <w:lang w:val="fr-CA"/>
              </w:rPr>
              <w:t xml:space="preserve"> 17 avril 2019</w:t>
            </w:r>
          </w:p>
          <w:p w:rsidR="00C64DA5" w:rsidRPr="00C64DA5" w:rsidRDefault="00C64DA5" w:rsidP="00C64DA5">
            <w:pPr>
              <w:rPr>
                <w:b/>
                <w:smallCaps/>
                <w:szCs w:val="24"/>
                <w:lang w:val="fr-CA"/>
              </w:rPr>
            </w:pPr>
            <w:r w:rsidRPr="00C64DA5">
              <w:rPr>
                <w:b/>
                <w:smallCaps/>
                <w:szCs w:val="24"/>
                <w:lang w:val="fr-CA"/>
              </w:rPr>
              <w:t>Jugement rendu :</w:t>
            </w:r>
            <w:r w:rsidRPr="00C64DA5">
              <w:rPr>
                <w:szCs w:val="24"/>
                <w:lang w:val="fr-CA"/>
              </w:rPr>
              <w:t xml:space="preserve"> 17 avril 2019</w:t>
            </w:r>
          </w:p>
          <w:p w:rsidR="00C64DA5" w:rsidRPr="00C64DA5" w:rsidRDefault="00C64DA5" w:rsidP="00C64DA5">
            <w:pPr>
              <w:rPr>
                <w:szCs w:val="24"/>
                <w:lang w:val="fr-CA"/>
              </w:rPr>
            </w:pPr>
            <w:r w:rsidRPr="00C64DA5">
              <w:rPr>
                <w:b/>
                <w:smallCaps/>
                <w:szCs w:val="24"/>
                <w:lang w:val="fr-CA"/>
              </w:rPr>
              <w:t>Dossier :</w:t>
            </w:r>
            <w:r w:rsidRPr="00C64DA5">
              <w:rPr>
                <w:szCs w:val="24"/>
                <w:lang w:val="fr-CA"/>
              </w:rPr>
              <w:t xml:space="preserve"> 37984</w:t>
            </w:r>
          </w:p>
        </w:tc>
      </w:tr>
    </w:tbl>
    <w:p w:rsidR="00C64DA5" w:rsidRPr="00C64DA5" w:rsidRDefault="00C64DA5" w:rsidP="00C64DA5">
      <w:pPr>
        <w:rPr>
          <w:rFonts w:eastAsia="Calibri"/>
          <w:b/>
          <w:smallCaps/>
          <w:szCs w:val="24"/>
          <w:lang w:val="fr-CA" w:eastAsia="en-US"/>
        </w:rPr>
      </w:pPr>
    </w:p>
    <w:p w:rsidR="00C64DA5" w:rsidRPr="00C64DA5" w:rsidRDefault="00C64DA5" w:rsidP="00C64DA5">
      <w:pPr>
        <w:rPr>
          <w:rFonts w:eastAsia="Calibri"/>
          <w:b/>
          <w:smallCaps/>
          <w:szCs w:val="24"/>
          <w:lang w:val="fr-CA" w:eastAsia="en-US"/>
        </w:rPr>
      </w:pPr>
    </w:p>
    <w:p w:rsidR="00C64DA5" w:rsidRPr="00C64DA5" w:rsidRDefault="00C64DA5" w:rsidP="00C64DA5">
      <w:pPr>
        <w:rPr>
          <w:rFonts w:eastAsia="Calibri"/>
          <w:b/>
          <w:smallCaps/>
          <w:szCs w:val="24"/>
          <w:lang w:val="fr-CA" w:eastAsia="en-US"/>
        </w:rPr>
      </w:pPr>
      <w:r w:rsidRPr="00C64DA5">
        <w:rPr>
          <w:rFonts w:eastAsia="Calibri"/>
          <w:b/>
          <w:smallCaps/>
          <w:szCs w:val="24"/>
          <w:lang w:val="fr-CA" w:eastAsia="en-US"/>
        </w:rPr>
        <w:t>Entre :</w:t>
      </w:r>
    </w:p>
    <w:p w:rsidR="00C64DA5" w:rsidRPr="00C64DA5" w:rsidRDefault="00C64DA5" w:rsidP="00C64DA5">
      <w:pPr>
        <w:jc w:val="center"/>
        <w:rPr>
          <w:rFonts w:eastAsia="Calibri"/>
          <w:b/>
          <w:szCs w:val="24"/>
          <w:lang w:val="fr-CA" w:eastAsia="en-US"/>
        </w:rPr>
      </w:pPr>
      <w:r w:rsidRPr="00C64DA5">
        <w:rPr>
          <w:rFonts w:eastAsia="Calibri"/>
          <w:b/>
          <w:szCs w:val="24"/>
          <w:lang w:val="fr-CA" w:eastAsia="en-US"/>
        </w:rPr>
        <w:t xml:space="preserve">Sa Majesté la Reine </w:t>
      </w:r>
    </w:p>
    <w:p w:rsidR="00C64DA5" w:rsidRPr="00C64DA5" w:rsidRDefault="00C64DA5" w:rsidP="00C64DA5">
      <w:pPr>
        <w:jc w:val="center"/>
        <w:rPr>
          <w:rFonts w:eastAsia="Calibri"/>
          <w:szCs w:val="24"/>
          <w:lang w:val="fr-CA" w:eastAsia="en-US"/>
        </w:rPr>
      </w:pPr>
      <w:r w:rsidRPr="00C64DA5">
        <w:rPr>
          <w:rFonts w:eastAsia="Calibri"/>
          <w:szCs w:val="24"/>
          <w:lang w:val="fr-CA" w:eastAsia="en-US"/>
        </w:rPr>
        <w:t>Appelante</w:t>
      </w: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p w:rsidR="00C64DA5" w:rsidRPr="00C64DA5" w:rsidRDefault="00C64DA5" w:rsidP="00C64DA5">
      <w:pPr>
        <w:jc w:val="center"/>
        <w:rPr>
          <w:rFonts w:eastAsia="Calibri"/>
          <w:szCs w:val="24"/>
          <w:lang w:val="fr-CA" w:eastAsia="en-US"/>
        </w:rPr>
      </w:pPr>
      <w:r w:rsidRPr="00C64DA5">
        <w:rPr>
          <w:rFonts w:eastAsia="Calibri"/>
          <w:szCs w:val="24"/>
          <w:lang w:val="fr-CA" w:eastAsia="en-US"/>
        </w:rPr>
        <w:t>et</w:t>
      </w: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p w:rsidR="00C64DA5" w:rsidRPr="00C64DA5" w:rsidRDefault="00C64DA5" w:rsidP="00C64DA5">
      <w:pPr>
        <w:jc w:val="center"/>
        <w:rPr>
          <w:rFonts w:eastAsia="Calibri"/>
          <w:b/>
          <w:szCs w:val="24"/>
          <w:lang w:val="fr-CA" w:eastAsia="en-US"/>
        </w:rPr>
      </w:pPr>
      <w:r w:rsidRPr="00C64DA5">
        <w:rPr>
          <w:rFonts w:eastAsia="Calibri"/>
          <w:b/>
          <w:szCs w:val="24"/>
          <w:lang w:val="fr-CA" w:eastAsia="en-US"/>
        </w:rPr>
        <w:t xml:space="preserve">Sivaloganathan Thanabalasingham </w:t>
      </w:r>
    </w:p>
    <w:p w:rsidR="00C64DA5" w:rsidRPr="00C64DA5" w:rsidRDefault="00C64DA5" w:rsidP="00C64DA5">
      <w:pPr>
        <w:jc w:val="center"/>
        <w:rPr>
          <w:rFonts w:eastAsia="Calibri"/>
          <w:szCs w:val="24"/>
          <w:lang w:val="fr-CA" w:eastAsia="en-US"/>
        </w:rPr>
      </w:pPr>
      <w:r w:rsidRPr="00C64DA5">
        <w:rPr>
          <w:rFonts w:eastAsia="Calibri"/>
          <w:szCs w:val="24"/>
          <w:lang w:val="fr-CA" w:eastAsia="en-US"/>
        </w:rPr>
        <w:t>Intimé</w:t>
      </w: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p w:rsidR="00C64DA5" w:rsidRPr="00C64DA5" w:rsidRDefault="00C64DA5" w:rsidP="00C64DA5">
      <w:pPr>
        <w:jc w:val="center"/>
        <w:rPr>
          <w:rFonts w:eastAsia="Calibri"/>
          <w:b/>
          <w:smallCaps/>
          <w:szCs w:val="24"/>
          <w:lang w:val="fr-CA" w:eastAsia="en-US"/>
        </w:rPr>
      </w:pPr>
      <w:r w:rsidRPr="00C64DA5">
        <w:rPr>
          <w:rFonts w:eastAsia="Calibri"/>
          <w:b/>
          <w:smallCaps/>
          <w:szCs w:val="24"/>
          <w:lang w:val="fr-CA" w:eastAsia="en-US"/>
        </w:rPr>
        <w:t>Traduction française officielle</w:t>
      </w: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  <w:r w:rsidRPr="00C64DA5">
        <w:rPr>
          <w:rFonts w:eastAsia="Calibri"/>
          <w:b/>
          <w:smallCaps/>
          <w:szCs w:val="24"/>
          <w:lang w:val="fr-CA" w:eastAsia="en-US"/>
        </w:rPr>
        <w:t>Coram :</w:t>
      </w:r>
      <w:r w:rsidRPr="00C64DA5">
        <w:rPr>
          <w:rFonts w:eastAsia="Calibri"/>
          <w:szCs w:val="24"/>
          <w:lang w:val="fr-CA" w:eastAsia="en-US"/>
        </w:rPr>
        <w:t xml:space="preserve"> Le juge en chef Wagner et les juges Abella, Moldaver, Karakatsanis, Gascon, Côté, Brown, Rowe et Martin </w:t>
      </w: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C64DA5" w:rsidRPr="00A3506D" w:rsidTr="00257461">
        <w:trPr>
          <w:cantSplit/>
        </w:trPr>
        <w:tc>
          <w:tcPr>
            <w:tcW w:w="3618" w:type="dxa"/>
          </w:tcPr>
          <w:p w:rsidR="00C64DA5" w:rsidRPr="00C64DA5" w:rsidRDefault="00C64DA5" w:rsidP="00C64DA5">
            <w:pPr>
              <w:rPr>
                <w:b/>
                <w:smallCaps/>
                <w:lang w:val="fr-CA"/>
              </w:rPr>
            </w:pPr>
            <w:r w:rsidRPr="00C64DA5">
              <w:rPr>
                <w:b/>
                <w:smallCaps/>
                <w:lang w:val="fr-CA"/>
              </w:rPr>
              <w:t>Motifs de jugement :</w:t>
            </w:r>
          </w:p>
          <w:p w:rsidR="00C64DA5" w:rsidRPr="00C64DA5" w:rsidRDefault="00C64DA5" w:rsidP="00C64DA5">
            <w:pPr>
              <w:rPr>
                <w:lang w:val="fr-CA"/>
              </w:rPr>
            </w:pPr>
            <w:r w:rsidRPr="00C64DA5">
              <w:rPr>
                <w:lang w:val="fr-CA"/>
              </w:rPr>
              <w:t>(par. 1 à 6)</w:t>
            </w:r>
          </w:p>
        </w:tc>
        <w:tc>
          <w:tcPr>
            <w:tcW w:w="5958" w:type="dxa"/>
          </w:tcPr>
          <w:p w:rsidR="00C64DA5" w:rsidRPr="00C64DA5" w:rsidRDefault="00C64DA5" w:rsidP="00C64DA5">
            <w:pPr>
              <w:rPr>
                <w:lang w:val="fr-CA"/>
              </w:rPr>
            </w:pPr>
            <w:r w:rsidRPr="00C64DA5">
              <w:rPr>
                <w:lang w:val="fr-CA"/>
              </w:rPr>
              <w:t>Le juge en chef Wagner (avec l’accord des juges Abella, Moldaver, Karakatsanis, Gascon, Côté, Brown, Rowe et Martin)</w:t>
            </w:r>
          </w:p>
        </w:tc>
      </w:tr>
    </w:tbl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  <w:r w:rsidRPr="00C64DA5">
        <w:rPr>
          <w:rFonts w:eastAsia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8884" wp14:editId="561114F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6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C64DA5" w:rsidRPr="00C64DA5" w:rsidRDefault="00C64DA5" w:rsidP="00C64DA5">
      <w:pPr>
        <w:rPr>
          <w:rFonts w:eastAsia="Calibri"/>
          <w:szCs w:val="24"/>
          <w:lang w:val="fr-CA" w:eastAsia="en-US"/>
        </w:rPr>
      </w:pPr>
    </w:p>
    <w:p w:rsidR="004D7D95" w:rsidRPr="00B16E47" w:rsidRDefault="00B16E47" w:rsidP="00AE55D0">
      <w:pPr>
        <w:spacing w:after="720"/>
        <w:jc w:val="both"/>
        <w:rPr>
          <w:smallCaps/>
          <w:lang w:val="en-US"/>
        </w:rPr>
      </w:pPr>
      <w:r w:rsidRPr="00B16E47">
        <w:rPr>
          <w:rStyle w:val="SCCAppellantForRunningHeadChar"/>
          <w:smallCaps w:val="0"/>
          <w:lang w:val="en-US"/>
        </w:rPr>
        <w:t>R</w:t>
      </w:r>
      <w:r w:rsidR="004D7D95" w:rsidRPr="00B16E47">
        <w:rPr>
          <w:rStyle w:val="SCCAppellantForRunningHeadChar"/>
          <w:smallCaps w:val="0"/>
          <w:lang w:val="en-US"/>
        </w:rPr>
        <w:t>.</w:t>
      </w:r>
      <w:r w:rsidR="004D7D95" w:rsidRPr="00B16E47">
        <w:rPr>
          <w:smallCaps/>
          <w:lang w:val="en-US"/>
        </w:rPr>
        <w:t xml:space="preserve"> </w:t>
      </w:r>
      <w:r w:rsidR="004D7D95" w:rsidRPr="00B16E47">
        <w:rPr>
          <w:i/>
          <w:lang w:val="en-US"/>
        </w:rPr>
        <w:t>c.</w:t>
      </w:r>
      <w:r w:rsidR="004D7D95" w:rsidRPr="00B16E47">
        <w:rPr>
          <w:smallCaps/>
          <w:lang w:val="en-US"/>
        </w:rPr>
        <w:t xml:space="preserve"> </w:t>
      </w:r>
      <w:r w:rsidRPr="00B16E47">
        <w:rPr>
          <w:rStyle w:val="SCCRespondentForRunningHeadChar"/>
          <w:smallCaps w:val="0"/>
          <w:lang w:val="en-US"/>
        </w:rPr>
        <w:t>T</w:t>
      </w:r>
      <w:r w:rsidR="004D7D95" w:rsidRPr="00B16E47">
        <w:rPr>
          <w:rStyle w:val="SCCRespondentForRunningHeadChar"/>
          <w:smallCaps w:val="0"/>
          <w:lang w:val="en-US"/>
        </w:rPr>
        <w:t>hanabalasingham</w:t>
      </w:r>
      <w:r w:rsidRPr="00B16E47">
        <w:rPr>
          <w:rStyle w:val="SCCRespondentForRunningHeadChar"/>
          <w:smallCaps w:val="0"/>
          <w:lang w:val="en-US"/>
        </w:rPr>
        <w:t>, 2019 CSC 21, [2019] 2 R.</w:t>
      </w:r>
      <w:r>
        <w:rPr>
          <w:rStyle w:val="SCCRespondentForRunningHeadChar"/>
          <w:smallCaps w:val="0"/>
          <w:lang w:val="en-US"/>
        </w:rPr>
        <w:t>C.S. 317</w:t>
      </w:r>
    </w:p>
    <w:p w:rsidR="00DA5540" w:rsidRPr="004B46D1" w:rsidRDefault="00082D47">
      <w:pPr>
        <w:pStyle w:val="SCCLsocLastPartyInRole"/>
        <w:rPr>
          <w:lang w:val="fr-CA"/>
        </w:rPr>
      </w:pPr>
      <w:r w:rsidRPr="004B46D1">
        <w:rPr>
          <w:lang w:val="fr-CA"/>
        </w:rPr>
        <w:t>Sa Majesté la Reine</w:t>
      </w:r>
      <w:r w:rsidRPr="004B46D1">
        <w:rPr>
          <w:rStyle w:val="SCCLsocPartyRole"/>
          <w:lang w:val="fr-CA"/>
        </w:rPr>
        <w:tab/>
      </w:r>
      <w:r w:rsidR="004B46D1">
        <w:rPr>
          <w:rStyle w:val="SCCLsocPartyRole"/>
          <w:lang w:val="fr-CA"/>
        </w:rPr>
        <w:t>Appelante</w:t>
      </w:r>
    </w:p>
    <w:p w:rsidR="00DA5540" w:rsidRPr="008321DF" w:rsidRDefault="00082D47">
      <w:pPr>
        <w:pStyle w:val="SCCLsocVersus"/>
        <w:rPr>
          <w:lang w:val="fr-CA"/>
        </w:rPr>
      </w:pPr>
      <w:r w:rsidRPr="008321DF">
        <w:rPr>
          <w:lang w:val="fr-CA"/>
        </w:rPr>
        <w:t>c.</w:t>
      </w:r>
    </w:p>
    <w:p w:rsidR="00DA5540" w:rsidRDefault="00082D47">
      <w:pPr>
        <w:pStyle w:val="SCCLsocLastPartyInRole"/>
      </w:pPr>
      <w:r>
        <w:t>Sivaloganathan Thanabalasingham</w:t>
      </w:r>
      <w:r w:rsidR="004B46D1">
        <w:rPr>
          <w:rStyle w:val="SCCLsocPartyRole"/>
        </w:rPr>
        <w:tab/>
        <w:t>Intimé</w:t>
      </w:r>
    </w:p>
    <w:p w:rsidR="004D7D95" w:rsidRPr="004B46D1" w:rsidRDefault="004B46D1" w:rsidP="00041BDB">
      <w:pPr>
        <w:spacing w:after="720"/>
        <w:jc w:val="both"/>
        <w:rPr>
          <w:b/>
        </w:rPr>
      </w:pPr>
      <w:r w:rsidRPr="004B46D1">
        <w:rPr>
          <w:b/>
        </w:rPr>
        <w:lastRenderedPageBreak/>
        <w:t>Répertorié : </w:t>
      </w:r>
      <w:r w:rsidR="004D7D95" w:rsidRPr="004B46D1">
        <w:rPr>
          <w:rStyle w:val="SCCAppellantForIndexChar"/>
        </w:rPr>
        <w:t>R.</w:t>
      </w:r>
      <w:r w:rsidR="004D7D95" w:rsidRPr="004B46D1">
        <w:rPr>
          <w:b/>
        </w:rPr>
        <w:t xml:space="preserve"> </w:t>
      </w:r>
      <w:r w:rsidR="004D7D95" w:rsidRPr="004B46D1">
        <w:rPr>
          <w:b/>
          <w:i/>
        </w:rPr>
        <w:t>c.</w:t>
      </w:r>
      <w:r w:rsidR="004D7D95" w:rsidRPr="004B46D1">
        <w:rPr>
          <w:b/>
        </w:rPr>
        <w:t xml:space="preserve"> </w:t>
      </w:r>
      <w:r w:rsidR="004D7D95" w:rsidRPr="004B46D1">
        <w:rPr>
          <w:rStyle w:val="SCCRespondentForIndexChar"/>
        </w:rPr>
        <w:t>Thanabalasingham</w:t>
      </w:r>
    </w:p>
    <w:p w:rsidR="004D7D95" w:rsidRPr="00C91237" w:rsidRDefault="00D17B0E" w:rsidP="00041BDB">
      <w:pPr>
        <w:spacing w:after="720"/>
        <w:jc w:val="both"/>
        <w:rPr>
          <w:b/>
          <w:lang w:val="fr-CA"/>
        </w:rPr>
      </w:pPr>
      <w:r w:rsidRPr="00C91237">
        <w:rPr>
          <w:b/>
          <w:lang w:val="fr-CA"/>
        </w:rPr>
        <w:t>2019</w:t>
      </w:r>
      <w:r w:rsidR="004D7D95" w:rsidRPr="00C91237">
        <w:rPr>
          <w:b/>
          <w:lang w:val="fr-CA"/>
        </w:rPr>
        <w:t xml:space="preserve"> CSC </w:t>
      </w:r>
      <w:r w:rsidR="004B46D1" w:rsidRPr="00C91237">
        <w:rPr>
          <w:b/>
          <w:lang w:val="fr-CA"/>
        </w:rPr>
        <w:t>21</w:t>
      </w:r>
    </w:p>
    <w:p w:rsidR="004D7D95" w:rsidRPr="004B46D1" w:rsidRDefault="004D7D95" w:rsidP="00041BDB">
      <w:pPr>
        <w:spacing w:after="720"/>
        <w:jc w:val="both"/>
        <w:rPr>
          <w:lang w:val="fr-CA"/>
        </w:rPr>
      </w:pPr>
      <w:r w:rsidRPr="004B46D1">
        <w:rPr>
          <w:lang w:val="fr-CA"/>
        </w:rPr>
        <w:t>N</w:t>
      </w:r>
      <w:r w:rsidRPr="004B46D1">
        <w:rPr>
          <w:vertAlign w:val="superscript"/>
          <w:lang w:val="fr-CA"/>
        </w:rPr>
        <w:t>o</w:t>
      </w:r>
      <w:r w:rsidRPr="004B46D1">
        <w:rPr>
          <w:lang w:val="fr-CA"/>
        </w:rPr>
        <w:t xml:space="preserve"> du greffe : 37984.</w:t>
      </w:r>
    </w:p>
    <w:p w:rsidR="004D7D95" w:rsidRPr="004B46D1" w:rsidRDefault="004B46D1" w:rsidP="00041BDB">
      <w:pPr>
        <w:spacing w:after="720"/>
        <w:jc w:val="both"/>
        <w:rPr>
          <w:lang w:val="fr-CA"/>
        </w:rPr>
      </w:pPr>
      <w:r>
        <w:rPr>
          <w:lang w:val="fr-CA"/>
        </w:rPr>
        <w:t>2019 : 17 avril.</w:t>
      </w:r>
    </w:p>
    <w:p w:rsidR="00DA5540" w:rsidRPr="004B46D1" w:rsidRDefault="004D7D95" w:rsidP="00041BDB">
      <w:pPr>
        <w:spacing w:after="720"/>
        <w:jc w:val="both"/>
        <w:rPr>
          <w:lang w:val="fr-CA"/>
        </w:rPr>
      </w:pPr>
      <w:r w:rsidRPr="004B46D1">
        <w:rPr>
          <w:lang w:val="fr-CA"/>
        </w:rPr>
        <w:t>Présents : Le juge en chef Wagner et les juges Abella, Moldaver, Karakatsanis, Gascon, Côté, Brown, Rowe et Martin.</w:t>
      </w:r>
    </w:p>
    <w:p w:rsidR="004D7D95" w:rsidRPr="00BB4C92" w:rsidRDefault="004D7D95" w:rsidP="00041BDB">
      <w:pPr>
        <w:spacing w:after="720"/>
        <w:jc w:val="both"/>
        <w:rPr>
          <w:lang w:val="fr-CA"/>
        </w:rPr>
      </w:pPr>
      <w:r w:rsidRPr="004B46D1">
        <w:rPr>
          <w:smallCaps/>
          <w:lang w:val="fr-CA"/>
        </w:rPr>
        <w:t>en appel de la cour d</w:t>
      </w:r>
      <w:r w:rsidR="004B46D1" w:rsidRPr="004B46D1">
        <w:rPr>
          <w:smallCaps/>
          <w:lang w:val="fr-CA"/>
        </w:rPr>
        <w:t>’</w:t>
      </w:r>
      <w:r w:rsidRPr="004B46D1">
        <w:rPr>
          <w:smallCaps/>
          <w:lang w:val="fr-CA"/>
        </w:rPr>
        <w:t xml:space="preserve">appel du québec </w:t>
      </w:r>
    </w:p>
    <w:p w:rsidR="004D7D95" w:rsidRPr="007D1856" w:rsidRDefault="004D7D95" w:rsidP="00041BDB">
      <w:pPr>
        <w:pStyle w:val="SCCNormalDoubleSpacing"/>
        <w:spacing w:after="480"/>
        <w:rPr>
          <w:lang w:val="fr-CA"/>
        </w:rPr>
      </w:pPr>
      <w:r w:rsidRPr="00BB4C92">
        <w:rPr>
          <w:lang w:val="fr-CA"/>
        </w:rPr>
        <w:tab/>
      </w:r>
      <w:r w:rsidR="00823C28" w:rsidRPr="007D1856">
        <w:rPr>
          <w:i/>
          <w:lang w:val="fr-CA"/>
        </w:rPr>
        <w:t xml:space="preserve">Droit criminel — Appels — Caractère théorique — Accusé inculpé de meurtre au deuxième degré </w:t>
      </w:r>
      <w:r w:rsidR="007D1856" w:rsidRPr="007D1856">
        <w:rPr>
          <w:i/>
          <w:lang w:val="fr-CA"/>
        </w:rPr>
        <w:t>à la suite de la mort de son épouse</w:t>
      </w:r>
      <w:r w:rsidR="00823C28" w:rsidRPr="007D1856">
        <w:rPr>
          <w:i/>
          <w:lang w:val="fr-CA"/>
        </w:rPr>
        <w:t xml:space="preserve"> — </w:t>
      </w:r>
      <w:r w:rsidR="007D1856" w:rsidRPr="007D1856">
        <w:rPr>
          <w:i/>
          <w:lang w:val="fr-CA"/>
        </w:rPr>
        <w:t>Arrêt des procédures accordé à l’accusé</w:t>
      </w:r>
      <w:r w:rsidR="00032F5A" w:rsidRPr="00032F5A">
        <w:rPr>
          <w:i/>
          <w:lang w:val="fr-CA"/>
        </w:rPr>
        <w:t xml:space="preserve"> </w:t>
      </w:r>
      <w:r w:rsidR="00032F5A" w:rsidRPr="007D1856">
        <w:rPr>
          <w:i/>
          <w:lang w:val="fr-CA"/>
        </w:rPr>
        <w:t>par le juge du procès</w:t>
      </w:r>
      <w:r w:rsidR="007D1856" w:rsidRPr="007D1856">
        <w:rPr>
          <w:i/>
          <w:lang w:val="fr-CA"/>
        </w:rPr>
        <w:t xml:space="preserve"> pour </w:t>
      </w:r>
      <w:r w:rsidR="00032F5A">
        <w:rPr>
          <w:i/>
          <w:lang w:val="fr-CA"/>
        </w:rPr>
        <w:t xml:space="preserve">cause de </w:t>
      </w:r>
      <w:r w:rsidR="007D1856" w:rsidRPr="007D1856">
        <w:rPr>
          <w:i/>
          <w:lang w:val="fr-CA"/>
        </w:rPr>
        <w:t>délai déraisonnable dans le renvoi à procès</w:t>
      </w:r>
      <w:r w:rsidR="00823C28" w:rsidRPr="007D1856">
        <w:rPr>
          <w:i/>
          <w:lang w:val="fr-CA"/>
        </w:rPr>
        <w:t xml:space="preserve"> — </w:t>
      </w:r>
      <w:r w:rsidR="007D1856" w:rsidRPr="007D1856">
        <w:rPr>
          <w:i/>
          <w:lang w:val="fr-CA"/>
        </w:rPr>
        <w:t>Appel formé par le minist</w:t>
      </w:r>
      <w:r w:rsidR="007D1856">
        <w:rPr>
          <w:i/>
          <w:lang w:val="fr-CA"/>
        </w:rPr>
        <w:t xml:space="preserve">ère public contre l’arrêt des procédures </w:t>
      </w:r>
      <w:r w:rsidR="00823C28" w:rsidRPr="007D1856">
        <w:rPr>
          <w:i/>
          <w:lang w:val="fr-CA"/>
        </w:rPr>
        <w:t>— Accus</w:t>
      </w:r>
      <w:r w:rsidR="007D1856">
        <w:rPr>
          <w:i/>
          <w:lang w:val="fr-CA"/>
        </w:rPr>
        <w:t xml:space="preserve">é expulsé avant l’audition de l’appel </w:t>
      </w:r>
      <w:r w:rsidR="00C91237">
        <w:rPr>
          <w:i/>
          <w:lang w:val="fr-CA"/>
        </w:rPr>
        <w:t>vers</w:t>
      </w:r>
      <w:r w:rsidR="007D1856">
        <w:rPr>
          <w:i/>
          <w:lang w:val="fr-CA"/>
        </w:rPr>
        <w:t xml:space="preserve"> un pays avec lequel le Canada n’a pas conclu de traité d’</w:t>
      </w:r>
      <w:r w:rsidR="00823C28" w:rsidRPr="007D1856">
        <w:rPr>
          <w:i/>
          <w:lang w:val="fr-CA"/>
        </w:rPr>
        <w:t xml:space="preserve">extradition — </w:t>
      </w:r>
      <w:r w:rsidR="007D1856">
        <w:rPr>
          <w:i/>
          <w:lang w:val="fr-CA"/>
        </w:rPr>
        <w:t xml:space="preserve">Refus de la Cour d’appel de juger l’appel sur le fond en raison de son caractère théorique </w:t>
      </w:r>
      <w:r w:rsidR="00823C28" w:rsidRPr="007D1856">
        <w:rPr>
          <w:i/>
          <w:lang w:val="fr-CA"/>
        </w:rPr>
        <w:t xml:space="preserve">— </w:t>
      </w:r>
      <w:r w:rsidR="00032F5A">
        <w:rPr>
          <w:i/>
          <w:lang w:val="fr-CA"/>
        </w:rPr>
        <w:t xml:space="preserve">Décision erronée </w:t>
      </w:r>
      <w:r w:rsidR="007D1856">
        <w:rPr>
          <w:i/>
          <w:lang w:val="fr-CA"/>
        </w:rPr>
        <w:t xml:space="preserve">de la Cour d’appel de rejeter l’appel en raison de son caractère théorique </w:t>
      </w:r>
      <w:r w:rsidR="00032F5A">
        <w:rPr>
          <w:i/>
          <w:lang w:val="fr-CA"/>
        </w:rPr>
        <w:t xml:space="preserve">étant donné </w:t>
      </w:r>
      <w:r w:rsidR="007D1856">
        <w:rPr>
          <w:i/>
          <w:lang w:val="fr-CA"/>
        </w:rPr>
        <w:t>que le fondement sous-jacent des poursuites criminelles n’a pas di</w:t>
      </w:r>
      <w:r w:rsidR="005A4C8B">
        <w:rPr>
          <w:i/>
          <w:lang w:val="fr-CA"/>
        </w:rPr>
        <w:t>s</w:t>
      </w:r>
      <w:r w:rsidR="007D1856">
        <w:rPr>
          <w:i/>
          <w:lang w:val="fr-CA"/>
        </w:rPr>
        <w:t xml:space="preserve">paru et qu’il subsiste un litige actuel </w:t>
      </w:r>
      <w:r w:rsidR="00823C28" w:rsidRPr="007D1856">
        <w:rPr>
          <w:i/>
          <w:lang w:val="fr-CA"/>
        </w:rPr>
        <w:t xml:space="preserve">— </w:t>
      </w:r>
      <w:r w:rsidR="007D1856" w:rsidRPr="007D1856">
        <w:rPr>
          <w:i/>
          <w:lang w:val="fr-CA"/>
        </w:rPr>
        <w:t>Affaire renvoyée à la Cour d’appel pour décision sur le fond</w:t>
      </w:r>
      <w:r w:rsidR="00823C28" w:rsidRPr="007D1856">
        <w:rPr>
          <w:i/>
          <w:lang w:val="fr-CA"/>
        </w:rPr>
        <w:t>.</w:t>
      </w:r>
      <w:r w:rsidR="00823C28" w:rsidRPr="007D1856">
        <w:rPr>
          <w:highlight w:val="yellow"/>
          <w:lang w:val="fr-CA"/>
        </w:rPr>
        <w:t xml:space="preserve"> </w:t>
      </w:r>
    </w:p>
    <w:p w:rsidR="004D7D95" w:rsidRPr="004D7D95" w:rsidRDefault="004D7D95" w:rsidP="00041BDB">
      <w:pPr>
        <w:pStyle w:val="SCCNormalDoubleSpacing"/>
        <w:spacing w:after="720" w:line="240" w:lineRule="auto"/>
        <w:rPr>
          <w:b/>
          <w:lang w:val="fr-CA"/>
        </w:rPr>
      </w:pPr>
      <w:r w:rsidRPr="004D7D95">
        <w:rPr>
          <w:b/>
          <w:lang w:val="fr-CA"/>
        </w:rPr>
        <w:t>Jurisprudence</w:t>
      </w:r>
    </w:p>
    <w:p w:rsidR="004D7D95" w:rsidRPr="004D7D95" w:rsidRDefault="004D7D95" w:rsidP="00554FC2">
      <w:pPr>
        <w:pStyle w:val="SCCNormalDoubleSpacing"/>
        <w:spacing w:after="480"/>
        <w:rPr>
          <w:lang w:val="fr-CA"/>
        </w:rPr>
      </w:pPr>
      <w:r w:rsidRPr="004D7D95">
        <w:rPr>
          <w:lang w:val="fr-CA"/>
        </w:rPr>
        <w:lastRenderedPageBreak/>
        <w:tab/>
      </w:r>
      <w:r w:rsidRPr="00D67B9C">
        <w:rPr>
          <w:b/>
          <w:lang w:val="fr-CA"/>
        </w:rPr>
        <w:t xml:space="preserve">Arrêts </w:t>
      </w:r>
      <w:r w:rsidR="00D67B9C" w:rsidRPr="000B7694">
        <w:rPr>
          <w:b/>
          <w:lang w:val="fr-CA"/>
        </w:rPr>
        <w:t>appliqués</w:t>
      </w:r>
      <w:r w:rsidRPr="000B7694">
        <w:rPr>
          <w:b/>
          <w:lang w:val="fr-CA"/>
        </w:rPr>
        <w:t> :</w:t>
      </w:r>
      <w:r w:rsidRPr="004D7D95">
        <w:rPr>
          <w:lang w:val="fr-CA"/>
        </w:rPr>
        <w:t xml:space="preserve"> </w:t>
      </w:r>
      <w:r w:rsidR="00F30E60" w:rsidRPr="00A8550B">
        <w:rPr>
          <w:i/>
          <w:lang w:val="fr-CA"/>
        </w:rPr>
        <w:t>Borowski c. Canada (Procureur général)</w:t>
      </w:r>
      <w:r w:rsidR="00F30E60" w:rsidRPr="00A8550B">
        <w:rPr>
          <w:lang w:val="fr-CA"/>
        </w:rPr>
        <w:t>, [1989] 1 R.C.S. 342</w:t>
      </w:r>
      <w:r w:rsidR="00F30E60">
        <w:rPr>
          <w:lang w:val="fr-CA"/>
        </w:rPr>
        <w:t xml:space="preserve">; </w:t>
      </w:r>
      <w:r w:rsidR="00F30E60" w:rsidRPr="00A8550B">
        <w:rPr>
          <w:i/>
          <w:lang w:val="fr-CA"/>
        </w:rPr>
        <w:t>R. c. Smith</w:t>
      </w:r>
      <w:r w:rsidR="00F30E60" w:rsidRPr="00A8550B">
        <w:rPr>
          <w:lang w:val="fr-CA"/>
        </w:rPr>
        <w:t>, 2004 CSC 14, [2004] 1 R.C.S. 385</w:t>
      </w:r>
      <w:r w:rsidR="00F30E60">
        <w:rPr>
          <w:lang w:val="fr-CA"/>
        </w:rPr>
        <w:t>.</w:t>
      </w:r>
    </w:p>
    <w:p w:rsidR="004D7D95" w:rsidRPr="004D7D95" w:rsidRDefault="004B46D1" w:rsidP="00554FC2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4D7D95" w:rsidRPr="004B46D1">
        <w:rPr>
          <w:lang w:val="fr-CA"/>
        </w:rPr>
        <w:t>Cour d</w:t>
      </w:r>
      <w:r>
        <w:rPr>
          <w:lang w:val="fr-CA"/>
        </w:rPr>
        <w:t>’</w:t>
      </w:r>
      <w:r w:rsidR="004D7D95" w:rsidRPr="004B46D1">
        <w:rPr>
          <w:lang w:val="fr-CA"/>
        </w:rPr>
        <w:t xml:space="preserve">appel du Québec </w:t>
      </w:r>
      <w:r w:rsidR="0051109F" w:rsidRPr="0051109F">
        <w:rPr>
          <w:lang w:val="fr-CA"/>
        </w:rPr>
        <w:t>(</w:t>
      </w:r>
      <w:r w:rsidR="0051109F">
        <w:rPr>
          <w:lang w:val="fr-CA"/>
        </w:rPr>
        <w:t xml:space="preserve">la juge en chef </w:t>
      </w:r>
      <w:r w:rsidR="0051109F" w:rsidRPr="0051109F">
        <w:rPr>
          <w:lang w:val="fr-CA"/>
        </w:rPr>
        <w:t xml:space="preserve">Duval Hesler </w:t>
      </w:r>
      <w:r w:rsidR="0051109F">
        <w:rPr>
          <w:lang w:val="fr-CA"/>
        </w:rPr>
        <w:t>et les juges</w:t>
      </w:r>
      <w:r w:rsidR="0051109F" w:rsidRPr="0051109F">
        <w:rPr>
          <w:lang w:val="fr-CA"/>
        </w:rPr>
        <w:t xml:space="preserve"> Morissette</w:t>
      </w:r>
      <w:r w:rsidR="0051109F">
        <w:rPr>
          <w:lang w:val="fr-CA"/>
        </w:rPr>
        <w:t xml:space="preserve">, Hilton, Gagnon </w:t>
      </w:r>
      <w:r w:rsidR="00082D47">
        <w:rPr>
          <w:lang w:val="fr-CA"/>
        </w:rPr>
        <w:t>et</w:t>
      </w:r>
      <w:r w:rsidR="0051109F">
        <w:rPr>
          <w:lang w:val="fr-CA"/>
        </w:rPr>
        <w:t xml:space="preserve"> Vauclair</w:t>
      </w:r>
      <w:r w:rsidR="0051109F" w:rsidRPr="0051109F">
        <w:rPr>
          <w:lang w:val="fr-CA"/>
        </w:rPr>
        <w:t xml:space="preserve">), 2018 QCCA 197, 403 C.R.R. (2d) 349, </w:t>
      </w:r>
      <w:r w:rsidR="0005025B">
        <w:rPr>
          <w:lang w:val="fr-CA"/>
        </w:rPr>
        <w:t>[2018</w:t>
      </w:r>
      <w:r w:rsidR="0005025B" w:rsidRPr="00D01614">
        <w:rPr>
          <w:lang w:val="fr-CA"/>
        </w:rPr>
        <w:t xml:space="preserve">] </w:t>
      </w:r>
      <w:r w:rsidR="0005025B" w:rsidRPr="0051109F">
        <w:rPr>
          <w:lang w:val="fr-CA"/>
        </w:rPr>
        <w:t xml:space="preserve">AZ-51466552, </w:t>
      </w:r>
      <w:r w:rsidR="0051109F" w:rsidRPr="0051109F">
        <w:rPr>
          <w:lang w:val="fr-CA"/>
        </w:rPr>
        <w:t xml:space="preserve">[2018] Q.J. No. 784 (QL), 2018 CarswellQue 678 (WL Can.), </w:t>
      </w:r>
      <w:r w:rsidR="00D67B9C" w:rsidRPr="00120BDA">
        <w:rPr>
          <w:lang w:val="fr-CA"/>
        </w:rPr>
        <w:t>qui</w:t>
      </w:r>
      <w:r w:rsidR="00430B3E" w:rsidRPr="00120BDA">
        <w:rPr>
          <w:lang w:val="fr-CA"/>
        </w:rPr>
        <w:t xml:space="preserve"> </w:t>
      </w:r>
      <w:r w:rsidR="00D67B9C" w:rsidRPr="00120BDA">
        <w:rPr>
          <w:lang w:val="fr-CA"/>
        </w:rPr>
        <w:t>a rejeté</w:t>
      </w:r>
      <w:r w:rsidR="00120BDA" w:rsidRPr="00120BDA">
        <w:rPr>
          <w:lang w:val="fr-CA"/>
        </w:rPr>
        <w:t xml:space="preserve"> pour cause de caractère théorique</w:t>
      </w:r>
      <w:r w:rsidR="00D67B9C" w:rsidRPr="00120BDA">
        <w:rPr>
          <w:lang w:val="fr-CA"/>
        </w:rPr>
        <w:t xml:space="preserve"> l’appel</w:t>
      </w:r>
      <w:r w:rsidR="00D01614" w:rsidRPr="00120BDA">
        <w:rPr>
          <w:lang w:val="fr-CA"/>
        </w:rPr>
        <w:t xml:space="preserve"> </w:t>
      </w:r>
      <w:r w:rsidR="00430B3E" w:rsidRPr="00120BDA">
        <w:rPr>
          <w:lang w:val="fr-CA"/>
        </w:rPr>
        <w:t>de la décision du juge Boucher ordonnant l</w:t>
      </w:r>
      <w:r w:rsidR="00D67B9C" w:rsidRPr="00120BDA">
        <w:rPr>
          <w:lang w:val="fr-CA"/>
        </w:rPr>
        <w:t>’arrêt des procédures</w:t>
      </w:r>
      <w:r w:rsidR="00D01614" w:rsidRPr="00120BDA">
        <w:rPr>
          <w:lang w:val="fr-CA"/>
        </w:rPr>
        <w:t>,</w:t>
      </w:r>
      <w:r w:rsidR="00D01614" w:rsidRPr="00D01614">
        <w:rPr>
          <w:lang w:val="fr-CA"/>
        </w:rPr>
        <w:t xml:space="preserve"> 2017 QCCS 127</w:t>
      </w:r>
      <w:r w:rsidR="00D01614">
        <w:rPr>
          <w:lang w:val="fr-CA"/>
        </w:rPr>
        <w:t>1</w:t>
      </w:r>
      <w:r w:rsidR="00D01614" w:rsidRPr="00D01614">
        <w:rPr>
          <w:lang w:val="fr-CA"/>
        </w:rPr>
        <w:t xml:space="preserve">, </w:t>
      </w:r>
      <w:r w:rsidR="0005025B" w:rsidRPr="00D01614">
        <w:rPr>
          <w:lang w:val="fr-CA"/>
        </w:rPr>
        <w:t xml:space="preserve">[2017] </w:t>
      </w:r>
      <w:r w:rsidR="0005025B">
        <w:rPr>
          <w:lang w:val="fr-CA"/>
        </w:rPr>
        <w:t>AZ-51381182,</w:t>
      </w:r>
      <w:r w:rsidR="0005025B" w:rsidRPr="00D01614">
        <w:rPr>
          <w:lang w:val="fr-CA"/>
        </w:rPr>
        <w:t xml:space="preserve"> </w:t>
      </w:r>
      <w:r w:rsidR="00D01614" w:rsidRPr="00D01614">
        <w:rPr>
          <w:lang w:val="fr-CA"/>
        </w:rPr>
        <w:t>[2017] Q.J. No. 3430 (QL), 2017 CarswellQue 2605 (WL Can.)</w:t>
      </w:r>
      <w:r w:rsidR="0051109F" w:rsidRPr="0051109F">
        <w:rPr>
          <w:lang w:val="fr-CA"/>
        </w:rPr>
        <w:t xml:space="preserve">. </w:t>
      </w:r>
      <w:r w:rsidR="0051109F">
        <w:rPr>
          <w:lang w:val="fr-CA"/>
        </w:rPr>
        <w:t>Pourvoi</w:t>
      </w:r>
      <w:r w:rsidR="005F117E">
        <w:rPr>
          <w:lang w:val="fr-CA"/>
        </w:rPr>
        <w:t xml:space="preserve"> accueilli</w:t>
      </w:r>
      <w:r w:rsidR="0051109F" w:rsidRPr="0051109F">
        <w:rPr>
          <w:lang w:val="fr-CA"/>
        </w:rPr>
        <w:t>.</w:t>
      </w:r>
    </w:p>
    <w:p w:rsidR="005F117E" w:rsidRDefault="00082D47" w:rsidP="00554FC2">
      <w:pPr>
        <w:pStyle w:val="SCCNormalDoubleSpacing"/>
        <w:spacing w:after="480"/>
        <w:rPr>
          <w:lang w:val="fr-CA"/>
        </w:rPr>
      </w:pPr>
      <w:r w:rsidRPr="004B46D1">
        <w:rPr>
          <w:rStyle w:val="SCCCounselNameChar"/>
          <w:lang w:val="fr-CA"/>
        </w:rPr>
        <w:tab/>
        <w:t>Christian Jarry</w:t>
      </w:r>
      <w:r w:rsidRPr="004B46D1">
        <w:rPr>
          <w:rStyle w:val="SCCCounselPartyRoleChar"/>
          <w:lang w:val="fr-CA"/>
        </w:rPr>
        <w:t>, pour l</w:t>
      </w:r>
      <w:r w:rsidR="004B46D1">
        <w:rPr>
          <w:rStyle w:val="SCCCounselPartyRoleChar"/>
          <w:lang w:val="fr-CA"/>
        </w:rPr>
        <w:t>’appelante.</w:t>
      </w:r>
    </w:p>
    <w:p w:rsidR="00DA5540" w:rsidRPr="004B46D1" w:rsidRDefault="0051109F" w:rsidP="00554FC2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  <w:t>Personne n’a comparu pour l’intimé.</w:t>
      </w:r>
    </w:p>
    <w:p w:rsidR="005F117E" w:rsidRDefault="00082D47" w:rsidP="00554FC2">
      <w:pPr>
        <w:pStyle w:val="SCCNormalDoubleSpacing"/>
        <w:spacing w:after="480"/>
        <w:rPr>
          <w:i/>
          <w:lang w:val="fr-CA"/>
        </w:rPr>
      </w:pPr>
      <w:r w:rsidRPr="004B46D1">
        <w:rPr>
          <w:rStyle w:val="SCCCounselNameChar"/>
          <w:lang w:val="fr-CA"/>
        </w:rPr>
        <w:tab/>
        <w:t>Louis Belleau</w:t>
      </w:r>
      <w:r w:rsidRPr="004B46D1">
        <w:rPr>
          <w:rStyle w:val="SCCCounselPartyRoleChar"/>
          <w:lang w:val="fr-CA"/>
        </w:rPr>
        <w:t xml:space="preserve">, </w:t>
      </w:r>
      <w:r w:rsidR="0051109F">
        <w:rPr>
          <w:rStyle w:val="SCCCounselPartyRoleChar"/>
          <w:lang w:val="fr-CA"/>
        </w:rPr>
        <w:t>en qualité d</w:t>
      </w:r>
      <w:r w:rsidR="004B46D1">
        <w:rPr>
          <w:rStyle w:val="SCCCounselPartyRoleChar"/>
          <w:lang w:val="fr-CA"/>
        </w:rPr>
        <w:t>’</w:t>
      </w:r>
      <w:r w:rsidR="0051109F" w:rsidRPr="0051109F">
        <w:rPr>
          <w:rStyle w:val="SCCCounselPartyRoleChar"/>
          <w:i/>
          <w:lang w:val="fr-CA"/>
        </w:rPr>
        <w:t>amicus curiae</w:t>
      </w:r>
      <w:r w:rsidR="0051109F">
        <w:rPr>
          <w:rStyle w:val="SCCCounselPartyRoleChar"/>
          <w:lang w:val="fr-CA"/>
        </w:rPr>
        <w:t xml:space="preserve">, et </w:t>
      </w:r>
      <w:r w:rsidR="0051109F">
        <w:rPr>
          <w:rStyle w:val="SCCCounselPartyRoleChar"/>
          <w:i/>
          <w:lang w:val="fr-CA"/>
        </w:rPr>
        <w:t>Antoine Grondin-Couture</w:t>
      </w:r>
      <w:r w:rsidR="005F117E">
        <w:rPr>
          <w:rStyle w:val="SCCCounselPartyRoleChar"/>
          <w:lang w:val="fr-CA"/>
        </w:rPr>
        <w:t>.</w:t>
      </w:r>
    </w:p>
    <w:p w:rsidR="005F117E" w:rsidRDefault="004C739F" w:rsidP="004C739F">
      <w:pPr>
        <w:pStyle w:val="SCCNormalDoubleSpacing"/>
        <w:spacing w:after="480"/>
        <w:rPr>
          <w:lang w:val="fr-CA"/>
        </w:rPr>
      </w:pPr>
      <w:r w:rsidRPr="004B46D1">
        <w:rPr>
          <w:rStyle w:val="SCCCounselNameChar"/>
          <w:lang w:val="fr-CA"/>
        </w:rPr>
        <w:tab/>
      </w:r>
      <w:r w:rsidR="005F117E" w:rsidRPr="00691D0F">
        <w:rPr>
          <w:lang w:val="fr-CA"/>
        </w:rPr>
        <w:t xml:space="preserve">Version française du jugement </w:t>
      </w:r>
      <w:r w:rsidR="005F117E">
        <w:rPr>
          <w:lang w:val="fr-CA"/>
        </w:rPr>
        <w:t>de la Cour rendu oralement par</w:t>
      </w:r>
      <w:r w:rsidR="005F117E" w:rsidRPr="00691D0F">
        <w:rPr>
          <w:lang w:val="fr-CA"/>
        </w:rPr>
        <w:t xml:space="preserve"> </w:t>
      </w:r>
    </w:p>
    <w:p w:rsidR="00A8550B" w:rsidRPr="00A8550B" w:rsidRDefault="00554FC2" w:rsidP="00554FC2">
      <w:pPr>
        <w:pStyle w:val="ParaNoNdepar-AltN"/>
        <w:numPr>
          <w:ilvl w:val="0"/>
          <w:numId w:val="0"/>
        </w:numPr>
        <w:spacing w:before="0"/>
        <w:rPr>
          <w:lang w:val="fr-CA"/>
        </w:rPr>
      </w:pPr>
      <w:r>
        <w:rPr>
          <w:lang w:val="fr-CA"/>
        </w:rPr>
        <w:t>[1]</w:t>
      </w:r>
      <w:r w:rsidR="005F117E">
        <w:rPr>
          <w:lang w:val="fr-CA"/>
        </w:rPr>
        <w:tab/>
      </w:r>
      <w:r w:rsidR="005F117E" w:rsidRPr="005F117E">
        <w:rPr>
          <w:smallCaps/>
          <w:lang w:val="fr-CA"/>
        </w:rPr>
        <w:t>Le juge en chef</w:t>
      </w:r>
      <w:r w:rsidR="005F117E" w:rsidRPr="005F117E">
        <w:rPr>
          <w:lang w:val="fr-CA"/>
        </w:rPr>
        <w:t xml:space="preserve"> —</w:t>
      </w:r>
      <w:r w:rsidR="00A8550B">
        <w:rPr>
          <w:lang w:val="fr-CA"/>
        </w:rPr>
        <w:t xml:space="preserve"> </w:t>
      </w:r>
      <w:r w:rsidR="00A8550B" w:rsidRPr="00A8550B">
        <w:rPr>
          <w:lang w:val="fr-CA"/>
        </w:rPr>
        <w:t>L’analyse qu’il convient d’appliquer en l’espèce est l’analyse e</w:t>
      </w:r>
      <w:r w:rsidR="00862C6F">
        <w:rPr>
          <w:lang w:val="fr-CA"/>
        </w:rPr>
        <w:t xml:space="preserve">n deux volets établie dans les </w:t>
      </w:r>
      <w:r w:rsidR="00A8550B" w:rsidRPr="00A8550B">
        <w:rPr>
          <w:lang w:val="fr-CA"/>
        </w:rPr>
        <w:t xml:space="preserve">arrêts </w:t>
      </w:r>
      <w:r w:rsidR="00A8550B" w:rsidRPr="00A8550B">
        <w:rPr>
          <w:i/>
          <w:lang w:val="fr-CA"/>
        </w:rPr>
        <w:t>Borowski c. Canada (Procureur général)</w:t>
      </w:r>
      <w:r w:rsidR="00A8550B" w:rsidRPr="00A8550B">
        <w:rPr>
          <w:lang w:val="fr-CA"/>
        </w:rPr>
        <w:t xml:space="preserve">, [1989] 1 R.C.S. 342, et </w:t>
      </w:r>
      <w:r w:rsidR="00A8550B" w:rsidRPr="00A8550B">
        <w:rPr>
          <w:i/>
          <w:lang w:val="fr-CA"/>
        </w:rPr>
        <w:t>R. c. Smith</w:t>
      </w:r>
      <w:r w:rsidR="00A8550B" w:rsidRPr="00A8550B">
        <w:rPr>
          <w:lang w:val="fr-CA"/>
        </w:rPr>
        <w:t xml:space="preserve">, 2004 CSC 14, [2004] 1 R.C.S. 385. </w:t>
      </w:r>
    </w:p>
    <w:p w:rsidR="00A8550B" w:rsidRPr="00A8550B" w:rsidRDefault="00A8550B" w:rsidP="004A7961">
      <w:pPr>
        <w:pStyle w:val="ParaNoNdepar-AltN"/>
        <w:numPr>
          <w:ilvl w:val="0"/>
          <w:numId w:val="0"/>
        </w:numPr>
        <w:spacing w:before="0"/>
        <w:rPr>
          <w:lang w:val="fr-CA"/>
        </w:rPr>
      </w:pPr>
      <w:r w:rsidRPr="00A8550B">
        <w:rPr>
          <w:lang w:val="fr-CA"/>
        </w:rPr>
        <w:t>[</w:t>
      </w:r>
      <w:r w:rsidR="004A7961">
        <w:rPr>
          <w:lang w:val="fr-CA"/>
        </w:rPr>
        <w:t>2]</w:t>
      </w:r>
      <w:r>
        <w:rPr>
          <w:lang w:val="fr-CA"/>
        </w:rPr>
        <w:tab/>
      </w:r>
      <w:r w:rsidRPr="004A7961">
        <w:rPr>
          <w:lang w:val="fr-CA"/>
        </w:rPr>
        <w:t>Cette</w:t>
      </w:r>
      <w:r w:rsidRPr="00A8550B">
        <w:rPr>
          <w:lang w:val="fr-CA"/>
        </w:rPr>
        <w:t xml:space="preserve"> analyse requiert que le tribunal décide d’abord s’il est en présence d’une affaire théorique. Si tel est le cas, le tribunal peut néanmoins choisir, sur la base </w:t>
      </w:r>
      <w:r w:rsidRPr="00A8550B">
        <w:rPr>
          <w:lang w:val="fr-CA"/>
        </w:rPr>
        <w:lastRenderedPageBreak/>
        <w:t xml:space="preserve">des facteurs énoncés dans </w:t>
      </w:r>
      <w:r w:rsidRPr="00A8550B">
        <w:rPr>
          <w:i/>
          <w:lang w:val="fr-CA"/>
        </w:rPr>
        <w:t xml:space="preserve">Borowski </w:t>
      </w:r>
      <w:r w:rsidRPr="00A8550B">
        <w:rPr>
          <w:lang w:val="fr-CA"/>
        </w:rPr>
        <w:t xml:space="preserve">et </w:t>
      </w:r>
      <w:r w:rsidRPr="00A8550B">
        <w:rPr>
          <w:i/>
          <w:lang w:val="fr-CA"/>
        </w:rPr>
        <w:t>Smith</w:t>
      </w:r>
      <w:r w:rsidRPr="00A8550B">
        <w:rPr>
          <w:lang w:val="fr-CA"/>
        </w:rPr>
        <w:t>, d’exercer son pouvoir discrétionnaire et de juger l’affaire au fond.</w:t>
      </w:r>
    </w:p>
    <w:p w:rsidR="00A8550B" w:rsidRPr="00A8550B" w:rsidRDefault="00A8550B" w:rsidP="00B8042C">
      <w:pPr>
        <w:pStyle w:val="ParaNoNdepar-AltN"/>
        <w:numPr>
          <w:ilvl w:val="0"/>
          <w:numId w:val="0"/>
        </w:numPr>
        <w:spacing w:before="0"/>
        <w:rPr>
          <w:lang w:val="fr-CA"/>
        </w:rPr>
      </w:pPr>
      <w:r>
        <w:rPr>
          <w:lang w:val="fr-CA"/>
        </w:rPr>
        <w:t>[3]</w:t>
      </w:r>
      <w:r>
        <w:rPr>
          <w:lang w:val="fr-CA"/>
        </w:rPr>
        <w:tab/>
      </w:r>
      <w:r w:rsidRPr="00A8550B">
        <w:rPr>
          <w:lang w:val="fr-CA"/>
        </w:rPr>
        <w:t>Dans la présente espèce, les juges majoritaires de la Cour d’appel ont commis une erreur à la première étape de l’analyse, car l’affaire n’est de toute évidence pas théorique. Le simple fait que la personne concernée a été expulsée, et ce, même si elle l’a été vers un pays avec lequel le Canada n’a pas de traité d’extradition, ne confère pas un caractère théorique à l’affaire.</w:t>
      </w:r>
    </w:p>
    <w:p w:rsidR="00A8550B" w:rsidRPr="00A8550B" w:rsidRDefault="00A8550B" w:rsidP="00B8042C">
      <w:pPr>
        <w:pStyle w:val="ParaNoNdepar-AltN"/>
        <w:numPr>
          <w:ilvl w:val="0"/>
          <w:numId w:val="0"/>
        </w:numPr>
        <w:spacing w:before="0"/>
        <w:rPr>
          <w:lang w:val="fr-CA"/>
        </w:rPr>
      </w:pPr>
      <w:r>
        <w:rPr>
          <w:lang w:val="fr-CA"/>
        </w:rPr>
        <w:t>[4]</w:t>
      </w:r>
      <w:r>
        <w:rPr>
          <w:lang w:val="fr-CA"/>
        </w:rPr>
        <w:tab/>
      </w:r>
      <w:r w:rsidRPr="00A8550B">
        <w:rPr>
          <w:lang w:val="fr-CA"/>
        </w:rPr>
        <w:t>Le fondement des procédures criminelles n’a pas disparu et il subsiste un litige actuel, même s’il est peu probable que l’accusé revienne au Canada.</w:t>
      </w:r>
    </w:p>
    <w:p w:rsidR="00A8550B" w:rsidRPr="00A8550B" w:rsidRDefault="00A8550B" w:rsidP="00B8042C">
      <w:pPr>
        <w:pStyle w:val="ParaNoNdepar-AltN"/>
        <w:numPr>
          <w:ilvl w:val="0"/>
          <w:numId w:val="0"/>
        </w:numPr>
        <w:spacing w:before="0"/>
        <w:rPr>
          <w:lang w:val="fr-CA"/>
        </w:rPr>
      </w:pPr>
      <w:r>
        <w:rPr>
          <w:lang w:val="fr-CA"/>
        </w:rPr>
        <w:t>[5]</w:t>
      </w:r>
      <w:r>
        <w:rPr>
          <w:lang w:val="fr-CA"/>
        </w:rPr>
        <w:tab/>
      </w:r>
      <w:r w:rsidRPr="00A8550B">
        <w:rPr>
          <w:lang w:val="fr-CA"/>
        </w:rPr>
        <w:t xml:space="preserve">La juge Abella, qui souscrit au résultat, est d’avis que l’appel est théorique, mais au regard des facteurs énoncés au par. 50 de </w:t>
      </w:r>
      <w:r w:rsidRPr="00A8550B">
        <w:rPr>
          <w:i/>
          <w:lang w:val="fr-CA"/>
        </w:rPr>
        <w:t>Smith</w:t>
      </w:r>
      <w:r w:rsidRPr="00A8550B">
        <w:rPr>
          <w:lang w:val="fr-CA"/>
        </w:rPr>
        <w:t xml:space="preserve">, elle estime que la Cour d’appel aurait dû exercer son pouvoir discrétionnaire et statuer sur le fond de l’affaire, puisqu’elle avait entendu l’argumentation complète des parties pendant deux jours. </w:t>
      </w:r>
    </w:p>
    <w:p w:rsidR="005F117E" w:rsidRPr="00A8550B" w:rsidRDefault="00A8550B" w:rsidP="00B8042C">
      <w:pPr>
        <w:pStyle w:val="ParaNoNdepar-AltN"/>
        <w:numPr>
          <w:ilvl w:val="0"/>
          <w:numId w:val="0"/>
        </w:numPr>
        <w:spacing w:before="0"/>
        <w:rPr>
          <w:lang w:val="fr-CA"/>
        </w:rPr>
      </w:pPr>
      <w:r>
        <w:rPr>
          <w:lang w:val="fr-CA"/>
        </w:rPr>
        <w:t>[6]</w:t>
      </w:r>
      <w:r>
        <w:rPr>
          <w:lang w:val="fr-CA"/>
        </w:rPr>
        <w:tab/>
      </w:r>
      <w:r w:rsidRPr="00A8550B">
        <w:rPr>
          <w:lang w:val="fr-CA"/>
        </w:rPr>
        <w:t>Nous sommes donc tous d’avis d’accueillir le pourvoi et de renvoyer l’affaire devant la Cour d’appel du Québec pour qu’elle statue sur le fond de celle-ci.</w:t>
      </w:r>
    </w:p>
    <w:p w:rsidR="004D7D95" w:rsidRPr="004B46D1" w:rsidRDefault="004D7D95" w:rsidP="00451F95">
      <w:pPr>
        <w:pStyle w:val="SCCNormalDoubleSpacing"/>
        <w:spacing w:after="480"/>
        <w:rPr>
          <w:lang w:val="fr-CA"/>
        </w:rPr>
      </w:pPr>
      <w:r w:rsidRPr="004B46D1">
        <w:rPr>
          <w:i/>
          <w:lang w:val="fr-CA"/>
        </w:rPr>
        <w:tab/>
      </w:r>
      <w:r w:rsidR="004B46D1" w:rsidRPr="004B46D1">
        <w:rPr>
          <w:i/>
          <w:lang w:val="fr-CA"/>
        </w:rPr>
        <w:t>Jugement en conséquence.</w:t>
      </w:r>
    </w:p>
    <w:p w:rsidR="009B57B3" w:rsidRPr="0051109F" w:rsidRDefault="004B46D1" w:rsidP="00451F95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082D47" w:rsidRPr="004B46D1">
        <w:rPr>
          <w:lang w:val="fr-CA"/>
        </w:rPr>
        <w:t xml:space="preserve"> de l</w:t>
      </w:r>
      <w:r>
        <w:rPr>
          <w:lang w:val="fr-CA"/>
        </w:rPr>
        <w:t>’appelante</w:t>
      </w:r>
      <w:r w:rsidR="0051109F">
        <w:rPr>
          <w:lang w:val="fr-CA"/>
        </w:rPr>
        <w:t> : Directeur des p</w:t>
      </w:r>
      <w:r w:rsidR="00082D47" w:rsidRPr="004B46D1">
        <w:rPr>
          <w:lang w:val="fr-CA"/>
        </w:rPr>
        <w:t>oursuites criminelles et pénales, Montréal.</w:t>
      </w:r>
    </w:p>
    <w:sectPr w:rsidR="009B57B3" w:rsidRPr="0051109F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D787F"/>
    <w:multiLevelType w:val="multilevel"/>
    <w:tmpl w:val="E226749C"/>
    <w:lvl w:ilvl="0">
      <w:start w:val="1"/>
      <w:numFmt w:val="decimal"/>
      <w:pStyle w:val="ParaNoNdepar-Al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revisionView w:inkAnnotation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C90"/>
    <w:rsid w:val="00023FC7"/>
    <w:rsid w:val="00025198"/>
    <w:rsid w:val="00032F5A"/>
    <w:rsid w:val="00041BDB"/>
    <w:rsid w:val="0005025B"/>
    <w:rsid w:val="00057506"/>
    <w:rsid w:val="000578A3"/>
    <w:rsid w:val="000648CC"/>
    <w:rsid w:val="00082180"/>
    <w:rsid w:val="00082D47"/>
    <w:rsid w:val="000B7694"/>
    <w:rsid w:val="000C59B8"/>
    <w:rsid w:val="000C6AF0"/>
    <w:rsid w:val="000D0A77"/>
    <w:rsid w:val="000F7993"/>
    <w:rsid w:val="00104F33"/>
    <w:rsid w:val="00111DE2"/>
    <w:rsid w:val="00116B38"/>
    <w:rsid w:val="00120BDA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733FE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30B3E"/>
    <w:rsid w:val="00450352"/>
    <w:rsid w:val="00451F95"/>
    <w:rsid w:val="00454BDB"/>
    <w:rsid w:val="00465132"/>
    <w:rsid w:val="00480C90"/>
    <w:rsid w:val="0048396F"/>
    <w:rsid w:val="00493C18"/>
    <w:rsid w:val="004A600C"/>
    <w:rsid w:val="004A6118"/>
    <w:rsid w:val="004A7961"/>
    <w:rsid w:val="004B46D1"/>
    <w:rsid w:val="004C478D"/>
    <w:rsid w:val="004C739F"/>
    <w:rsid w:val="004D7D95"/>
    <w:rsid w:val="004E2C26"/>
    <w:rsid w:val="0051109F"/>
    <w:rsid w:val="005125A8"/>
    <w:rsid w:val="00517549"/>
    <w:rsid w:val="00520ABC"/>
    <w:rsid w:val="00521AE8"/>
    <w:rsid w:val="00527180"/>
    <w:rsid w:val="005508A5"/>
    <w:rsid w:val="00554FC2"/>
    <w:rsid w:val="00555291"/>
    <w:rsid w:val="00566AD1"/>
    <w:rsid w:val="00583EDE"/>
    <w:rsid w:val="005A4C8B"/>
    <w:rsid w:val="005A6079"/>
    <w:rsid w:val="005E4698"/>
    <w:rsid w:val="005F117E"/>
    <w:rsid w:val="00603924"/>
    <w:rsid w:val="00610539"/>
    <w:rsid w:val="00613969"/>
    <w:rsid w:val="00625C35"/>
    <w:rsid w:val="006361BC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D1856"/>
    <w:rsid w:val="007E1C47"/>
    <w:rsid w:val="007E337A"/>
    <w:rsid w:val="007E5C70"/>
    <w:rsid w:val="007F2FF5"/>
    <w:rsid w:val="007F3F08"/>
    <w:rsid w:val="00804CC6"/>
    <w:rsid w:val="00817190"/>
    <w:rsid w:val="00823C28"/>
    <w:rsid w:val="008260E2"/>
    <w:rsid w:val="008321DF"/>
    <w:rsid w:val="008322BD"/>
    <w:rsid w:val="00834F73"/>
    <w:rsid w:val="00853237"/>
    <w:rsid w:val="00862C6F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C684B"/>
    <w:rsid w:val="009D2920"/>
    <w:rsid w:val="009D5AEB"/>
    <w:rsid w:val="009F0E33"/>
    <w:rsid w:val="00A149DF"/>
    <w:rsid w:val="00A1755C"/>
    <w:rsid w:val="00A21B90"/>
    <w:rsid w:val="00A22AAC"/>
    <w:rsid w:val="00A2401F"/>
    <w:rsid w:val="00A3506D"/>
    <w:rsid w:val="00A41805"/>
    <w:rsid w:val="00A51882"/>
    <w:rsid w:val="00A52AFB"/>
    <w:rsid w:val="00A548CB"/>
    <w:rsid w:val="00A5521C"/>
    <w:rsid w:val="00A634EF"/>
    <w:rsid w:val="00A643E7"/>
    <w:rsid w:val="00A73C38"/>
    <w:rsid w:val="00A8550B"/>
    <w:rsid w:val="00A921A7"/>
    <w:rsid w:val="00AB670D"/>
    <w:rsid w:val="00AE55D0"/>
    <w:rsid w:val="00AF03C5"/>
    <w:rsid w:val="00B000D8"/>
    <w:rsid w:val="00B00F75"/>
    <w:rsid w:val="00B145B6"/>
    <w:rsid w:val="00B16E47"/>
    <w:rsid w:val="00B279EB"/>
    <w:rsid w:val="00B50C81"/>
    <w:rsid w:val="00B557F8"/>
    <w:rsid w:val="00B8042C"/>
    <w:rsid w:val="00B815FC"/>
    <w:rsid w:val="00B93FBC"/>
    <w:rsid w:val="00BA7DA0"/>
    <w:rsid w:val="00BB2EE4"/>
    <w:rsid w:val="00BB4C92"/>
    <w:rsid w:val="00BC2108"/>
    <w:rsid w:val="00BD0E9E"/>
    <w:rsid w:val="00BD0F78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4DA5"/>
    <w:rsid w:val="00C66359"/>
    <w:rsid w:val="00C71458"/>
    <w:rsid w:val="00C77613"/>
    <w:rsid w:val="00C828E7"/>
    <w:rsid w:val="00C86719"/>
    <w:rsid w:val="00C91237"/>
    <w:rsid w:val="00C921DD"/>
    <w:rsid w:val="00CA6391"/>
    <w:rsid w:val="00CE036E"/>
    <w:rsid w:val="00CE3171"/>
    <w:rsid w:val="00CF1601"/>
    <w:rsid w:val="00D01614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67B9C"/>
    <w:rsid w:val="00D7516F"/>
    <w:rsid w:val="00D95F8E"/>
    <w:rsid w:val="00DA0590"/>
    <w:rsid w:val="00DA554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30E60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qFormat/>
    <w:rsid w:val="00554FC2"/>
    <w:pPr>
      <w:numPr>
        <w:numId w:val="1"/>
      </w:numPr>
      <w:tabs>
        <w:tab w:val="num" w:pos="1152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321DF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8321DF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8321DF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321DF"/>
    <w:rPr>
      <w:rFonts w:eastAsiaTheme="minorHAnsi" w:cstheme="minorBidi"/>
      <w:b/>
      <w:smallCap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321DF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C64DA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C1EC-C311-421D-9C9E-B3E10EEE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2021-03-02T23:43:00Z</dcterms:created>
  <dcterms:modified xsi:type="dcterms:W3CDTF">2021-03-02T23:43:00Z</dcterms:modified>
</cp:coreProperties>
</file>