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B80" w:rsidRPr="00C67B80" w:rsidRDefault="00C67B80" w:rsidP="009C6188">
      <w:pPr>
        <w:tabs>
          <w:tab w:val="center" w:pos="4680"/>
          <w:tab w:val="right" w:pos="9360"/>
        </w:tabs>
        <w:jc w:val="center"/>
        <w:rPr>
          <w:rFonts w:eastAsia="Calibri"/>
          <w:szCs w:val="24"/>
          <w:lang w:val="fr-CA" w:eastAsia="en-US"/>
        </w:rPr>
      </w:pPr>
      <w:r w:rsidRPr="00C67B80">
        <w:rPr>
          <w:rFonts w:eastAsia="Calibri"/>
          <w:szCs w:val="24"/>
          <w:lang w:val="fr-CA" w:eastAsia="en-US"/>
        </w:rPr>
        <w:ptab w:relativeTo="margin" w:alignment="center" w:leader="none"/>
      </w:r>
      <w:r w:rsidRPr="00C67B80">
        <w:rPr>
          <w:rFonts w:eastAsia="Calibri"/>
          <w:szCs w:val="24"/>
          <w:lang w:val="fr-CA" w:eastAsia="en-US"/>
        </w:rPr>
        <w:t xml:space="preserve"> </w:t>
      </w:r>
      <w:bookmarkStart w:id="0" w:name="_GoBack"/>
      <w:r w:rsidRPr="00C67B80">
        <w:rPr>
          <w:rFonts w:eastAsia="Calibr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64.8pt" o:ole="">
            <v:imagedata r:id="rId7" o:title=""/>
          </v:shape>
          <o:OLEObject Type="Embed" ProgID="Presentations.Drawing.13" ShapeID="_x0000_i1025" DrawAspect="Content" ObjectID="_1676110868" r:id="rId8"/>
        </w:object>
      </w:r>
      <w:bookmarkEnd w:id="0"/>
      <w:r w:rsidRPr="00C67B80">
        <w:rPr>
          <w:rFonts w:eastAsia="Calibri"/>
          <w:szCs w:val="24"/>
          <w:lang w:val="fr-CA" w:eastAsia="en-US"/>
        </w:rPr>
        <w:t xml:space="preserve"> </w:t>
      </w:r>
      <w:r w:rsidRPr="00C67B80">
        <w:rPr>
          <w:rFonts w:eastAsia="Calibri"/>
          <w:szCs w:val="24"/>
          <w:lang w:val="fr-CA" w:eastAsia="en-US"/>
        </w:rPr>
        <w:ptab w:relativeTo="margin" w:alignment="right" w:leader="none"/>
      </w:r>
    </w:p>
    <w:p w:rsidR="00C67B80" w:rsidRPr="00C67B80" w:rsidRDefault="00C67B80" w:rsidP="00C67B80">
      <w:pPr>
        <w:tabs>
          <w:tab w:val="center" w:pos="4680"/>
          <w:tab w:val="right" w:pos="9360"/>
        </w:tabs>
        <w:rPr>
          <w:rFonts w:eastAsia="Calibri"/>
          <w:szCs w:val="24"/>
          <w:lang w:val="fr-CA" w:eastAsia="en-US"/>
        </w:rPr>
      </w:pPr>
    </w:p>
    <w:p w:rsidR="00C67B80" w:rsidRPr="00C67B80" w:rsidRDefault="00C67B80" w:rsidP="00C67B80">
      <w:pPr>
        <w:jc w:val="center"/>
        <w:rPr>
          <w:rFonts w:eastAsia="Calibri"/>
          <w:b/>
          <w:szCs w:val="24"/>
          <w:lang w:val="fr-CA" w:eastAsia="en-US"/>
        </w:rPr>
      </w:pPr>
      <w:r w:rsidRPr="00C67B80">
        <w:rPr>
          <w:rFonts w:eastAsia="Calibri"/>
          <w:b/>
          <w:szCs w:val="24"/>
          <w:lang w:val="fr-CA" w:eastAsia="en-US"/>
        </w:rPr>
        <w:t>COUR SUPRÊME DU CANADA</w:t>
      </w:r>
    </w:p>
    <w:p w:rsidR="00C67B80" w:rsidRPr="00C67B80" w:rsidRDefault="00C67B80" w:rsidP="00C67B80">
      <w:pPr>
        <w:rPr>
          <w:rFonts w:eastAsia="Calibri"/>
          <w:szCs w:val="24"/>
          <w:lang w:val="fr-CA" w:eastAsia="en-US"/>
        </w:rPr>
      </w:pPr>
    </w:p>
    <w:tbl>
      <w:tblPr>
        <w:tblStyle w:val="TableGrid11"/>
        <w:tblW w:w="53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761"/>
        <w:gridCol w:w="1757"/>
        <w:gridCol w:w="3385"/>
      </w:tblGrid>
      <w:tr w:rsidR="00C67B80" w:rsidRPr="00C67B80" w:rsidTr="00695EFF">
        <w:tc>
          <w:tcPr>
            <w:tcW w:w="2112" w:type="pct"/>
            <w:tcMar>
              <w:top w:w="284" w:type="dxa"/>
            </w:tcMar>
          </w:tcPr>
          <w:p w:rsidR="00C67B80" w:rsidRPr="00C67B80" w:rsidRDefault="00C67B80" w:rsidP="00CA33B1">
            <w:pPr>
              <w:spacing w:before="100" w:beforeAutospacing="1"/>
              <w:rPr>
                <w:rFonts w:eastAsia="Calibri"/>
                <w:szCs w:val="24"/>
                <w:lang w:val="en-US"/>
              </w:rPr>
            </w:pPr>
            <w:r w:rsidRPr="00CA33B1">
              <w:rPr>
                <w:b/>
                <w:smallCaps/>
                <w:szCs w:val="24"/>
                <w:lang w:val="en-US"/>
              </w:rPr>
              <w:t>Référence :</w:t>
            </w:r>
            <w:r w:rsidRPr="00C67B80">
              <w:rPr>
                <w:szCs w:val="24"/>
                <w:lang w:val="en-US"/>
              </w:rPr>
              <w:t xml:space="preserve"> </w:t>
            </w:r>
            <w:r w:rsidRPr="00C67B80">
              <w:rPr>
                <w:rFonts w:eastAsia="Calibri"/>
                <w:lang w:val="en-US"/>
              </w:rPr>
              <w:t xml:space="preserve">R. </w:t>
            </w:r>
            <w:r w:rsidRPr="00C67B80">
              <w:rPr>
                <w:rFonts w:eastAsia="Calibri"/>
                <w:i/>
                <w:lang w:val="en-US"/>
              </w:rPr>
              <w:t>c.</w:t>
            </w:r>
            <w:r w:rsidRPr="00C67B80">
              <w:rPr>
                <w:rFonts w:eastAsia="Calibri"/>
                <w:lang w:val="en-US"/>
              </w:rPr>
              <w:t xml:space="preserve"> Wakefield,</w:t>
            </w:r>
            <w:r w:rsidRPr="00C67B80">
              <w:rPr>
                <w:rFonts w:eastAsia="Calibri"/>
                <w:smallCaps/>
                <w:lang w:val="en-US"/>
              </w:rPr>
              <w:t xml:space="preserve"> </w:t>
            </w:r>
            <w:r w:rsidRPr="00C67B80">
              <w:rPr>
                <w:smallCaps/>
                <w:szCs w:val="24"/>
                <w:lang w:val="en-US"/>
              </w:rPr>
              <w:t>2019 CSC 26, [2019] 2 R.C.S. 400</w:t>
            </w:r>
          </w:p>
        </w:tc>
        <w:tc>
          <w:tcPr>
            <w:tcW w:w="987" w:type="pct"/>
          </w:tcPr>
          <w:p w:rsidR="00C67B80" w:rsidRPr="00C67B80" w:rsidRDefault="00C67B80" w:rsidP="00C67B80">
            <w:pPr>
              <w:rPr>
                <w:smallCaps/>
                <w:szCs w:val="24"/>
                <w:lang w:val="en-US"/>
              </w:rPr>
            </w:pPr>
          </w:p>
        </w:tc>
        <w:tc>
          <w:tcPr>
            <w:tcW w:w="1901" w:type="pct"/>
            <w:tcMar>
              <w:top w:w="284" w:type="dxa"/>
            </w:tcMar>
          </w:tcPr>
          <w:p w:rsidR="00C67B80" w:rsidRPr="00C67B80" w:rsidRDefault="00C67B80" w:rsidP="00C67B80">
            <w:pPr>
              <w:rPr>
                <w:szCs w:val="24"/>
                <w:lang w:val="fr-CA"/>
              </w:rPr>
            </w:pPr>
            <w:r w:rsidRPr="00CA33B1">
              <w:rPr>
                <w:b/>
                <w:smallCaps/>
                <w:szCs w:val="24"/>
                <w:lang w:val="fr-CA"/>
              </w:rPr>
              <w:t>Appel entendu :</w:t>
            </w:r>
            <w:r w:rsidRPr="00C67B80">
              <w:rPr>
                <w:szCs w:val="24"/>
                <w:lang w:val="fr-CA"/>
              </w:rPr>
              <w:t xml:space="preserve"> 25 avril 2019</w:t>
            </w:r>
          </w:p>
          <w:p w:rsidR="00C67B80" w:rsidRPr="00C67B80" w:rsidRDefault="00C67B80" w:rsidP="00C67B80">
            <w:pPr>
              <w:rPr>
                <w:smallCaps/>
                <w:szCs w:val="24"/>
                <w:lang w:val="fr-CA"/>
              </w:rPr>
            </w:pPr>
            <w:r w:rsidRPr="00CA33B1">
              <w:rPr>
                <w:b/>
                <w:smallCaps/>
                <w:szCs w:val="24"/>
                <w:lang w:val="fr-CA"/>
              </w:rPr>
              <w:t>Jugement rendu :</w:t>
            </w:r>
            <w:r w:rsidRPr="00C67B80">
              <w:rPr>
                <w:smallCaps/>
                <w:szCs w:val="24"/>
                <w:lang w:val="fr-CA"/>
              </w:rPr>
              <w:t xml:space="preserve"> </w:t>
            </w:r>
            <w:r w:rsidRPr="00C67B80">
              <w:rPr>
                <w:szCs w:val="24"/>
                <w:lang w:val="fr-CA"/>
              </w:rPr>
              <w:t>25 avril 2019</w:t>
            </w:r>
          </w:p>
          <w:p w:rsidR="00C67B80" w:rsidRPr="00C67B80" w:rsidRDefault="00C67B80" w:rsidP="00C67B80">
            <w:pPr>
              <w:rPr>
                <w:rFonts w:eastAsia="Calibri"/>
                <w:szCs w:val="24"/>
                <w:lang w:val="fr-CA"/>
              </w:rPr>
            </w:pPr>
            <w:r w:rsidRPr="00CA33B1">
              <w:rPr>
                <w:b/>
                <w:smallCaps/>
                <w:szCs w:val="24"/>
                <w:lang w:val="fr-CA"/>
              </w:rPr>
              <w:t>Dossier :</w:t>
            </w:r>
            <w:r w:rsidRPr="00C67B80">
              <w:rPr>
                <w:szCs w:val="24"/>
                <w:lang w:val="fr-CA"/>
              </w:rPr>
              <w:t xml:space="preserve"> 38425</w:t>
            </w:r>
          </w:p>
        </w:tc>
      </w:tr>
    </w:tbl>
    <w:p w:rsidR="00C67B80" w:rsidRPr="00C67B80" w:rsidRDefault="00C67B80" w:rsidP="00C67B80">
      <w:pPr>
        <w:rPr>
          <w:rFonts w:eastAsia="Calibri"/>
          <w:b/>
          <w:smallCaps/>
          <w:szCs w:val="24"/>
          <w:lang w:val="fr-CA" w:eastAsia="en-US"/>
        </w:rPr>
      </w:pPr>
    </w:p>
    <w:p w:rsidR="00C67B80" w:rsidRPr="00C67B80" w:rsidRDefault="00C67B80" w:rsidP="00C67B80">
      <w:pPr>
        <w:rPr>
          <w:rFonts w:eastAsia="Calibri"/>
          <w:b/>
          <w:smallCaps/>
          <w:szCs w:val="24"/>
          <w:lang w:val="fr-CA" w:eastAsia="en-US"/>
        </w:rPr>
      </w:pPr>
    </w:p>
    <w:p w:rsidR="00C67B80" w:rsidRPr="00C67B80" w:rsidRDefault="00C67B80" w:rsidP="00C67B80">
      <w:pPr>
        <w:rPr>
          <w:rFonts w:eastAsia="Calibri"/>
          <w:b/>
          <w:smallCaps/>
          <w:szCs w:val="24"/>
          <w:lang w:val="fr-CA" w:eastAsia="en-US"/>
        </w:rPr>
      </w:pPr>
      <w:r w:rsidRPr="00C67B80">
        <w:rPr>
          <w:rFonts w:eastAsia="Calibri"/>
          <w:b/>
          <w:smallCaps/>
          <w:szCs w:val="24"/>
          <w:lang w:val="fr-CA" w:eastAsia="en-US"/>
        </w:rPr>
        <w:t>Entre :</w:t>
      </w:r>
    </w:p>
    <w:p w:rsidR="00C67B80" w:rsidRPr="00C67B80" w:rsidRDefault="00C67B80" w:rsidP="00C67B80">
      <w:pPr>
        <w:jc w:val="center"/>
        <w:rPr>
          <w:rFonts w:eastAsia="Calibri"/>
          <w:b/>
          <w:szCs w:val="24"/>
          <w:lang w:val="fr-CA" w:eastAsia="en-US"/>
        </w:rPr>
      </w:pPr>
      <w:r w:rsidRPr="00C67B80">
        <w:rPr>
          <w:rFonts w:eastAsia="Calibri"/>
          <w:b/>
          <w:szCs w:val="24"/>
          <w:lang w:val="fr-CA" w:eastAsia="en-US"/>
        </w:rPr>
        <w:t xml:space="preserve">Addison Nickoles Wakefield </w:t>
      </w:r>
    </w:p>
    <w:p w:rsidR="00C67B80" w:rsidRPr="00C67B80" w:rsidRDefault="00C67B80" w:rsidP="00C67B80">
      <w:pPr>
        <w:jc w:val="center"/>
        <w:rPr>
          <w:rFonts w:eastAsia="Calibri"/>
          <w:szCs w:val="24"/>
          <w:lang w:val="fr-CA" w:eastAsia="en-US"/>
        </w:rPr>
      </w:pPr>
      <w:r w:rsidRPr="00C67B80">
        <w:rPr>
          <w:rFonts w:eastAsia="Calibri"/>
          <w:szCs w:val="24"/>
          <w:lang w:val="fr-CA" w:eastAsia="en-US"/>
        </w:rPr>
        <w:t>Appelant</w:t>
      </w:r>
    </w:p>
    <w:p w:rsidR="00C67B80" w:rsidRPr="00C67B80" w:rsidRDefault="00C67B80" w:rsidP="00C67B80">
      <w:pPr>
        <w:rPr>
          <w:rFonts w:eastAsia="Calibri"/>
          <w:szCs w:val="24"/>
          <w:lang w:val="fr-CA" w:eastAsia="en-US"/>
        </w:rPr>
      </w:pPr>
    </w:p>
    <w:p w:rsidR="00C67B80" w:rsidRPr="00C67B80" w:rsidRDefault="00C67B80" w:rsidP="00C67B80">
      <w:pPr>
        <w:jc w:val="center"/>
        <w:rPr>
          <w:rFonts w:eastAsia="Calibri"/>
          <w:szCs w:val="24"/>
          <w:lang w:val="fr-CA" w:eastAsia="en-US"/>
        </w:rPr>
      </w:pPr>
      <w:r w:rsidRPr="00C67B80">
        <w:rPr>
          <w:rFonts w:eastAsia="Calibri"/>
          <w:szCs w:val="24"/>
          <w:lang w:val="fr-CA" w:eastAsia="en-US"/>
        </w:rPr>
        <w:t>et</w:t>
      </w:r>
    </w:p>
    <w:p w:rsidR="00C67B80" w:rsidRPr="00C67B80" w:rsidRDefault="00C67B80" w:rsidP="00C67B80">
      <w:pPr>
        <w:rPr>
          <w:rFonts w:eastAsia="Calibri"/>
          <w:szCs w:val="24"/>
          <w:lang w:val="fr-CA" w:eastAsia="en-US"/>
        </w:rPr>
      </w:pPr>
    </w:p>
    <w:p w:rsidR="00C67B80" w:rsidRPr="00C67B80" w:rsidRDefault="00C67B80" w:rsidP="00C67B80">
      <w:pPr>
        <w:jc w:val="center"/>
        <w:rPr>
          <w:rFonts w:eastAsia="Calibri"/>
          <w:b/>
          <w:szCs w:val="24"/>
          <w:lang w:val="fr-CA" w:eastAsia="en-US"/>
        </w:rPr>
      </w:pPr>
      <w:r w:rsidRPr="00C67B80">
        <w:rPr>
          <w:rFonts w:eastAsia="Calibri"/>
          <w:b/>
          <w:szCs w:val="24"/>
          <w:lang w:val="fr-CA" w:eastAsia="en-US"/>
        </w:rPr>
        <w:t xml:space="preserve">Sa Majesté la Reine </w:t>
      </w:r>
    </w:p>
    <w:p w:rsidR="00C67B80" w:rsidRPr="00C67B80" w:rsidRDefault="00C67B80" w:rsidP="00C67B80">
      <w:pPr>
        <w:jc w:val="center"/>
        <w:rPr>
          <w:rFonts w:eastAsia="Calibri"/>
          <w:szCs w:val="24"/>
          <w:lang w:val="fr-CA" w:eastAsia="en-US"/>
        </w:rPr>
      </w:pPr>
      <w:r w:rsidRPr="00C67B80">
        <w:rPr>
          <w:rFonts w:eastAsia="Calibri"/>
          <w:szCs w:val="24"/>
          <w:lang w:val="fr-CA" w:eastAsia="en-US"/>
        </w:rPr>
        <w:t>Intimée</w:t>
      </w:r>
    </w:p>
    <w:p w:rsidR="00C67B80" w:rsidRPr="00C67B80" w:rsidRDefault="00C67B80" w:rsidP="00C67B80">
      <w:pPr>
        <w:jc w:val="center"/>
        <w:rPr>
          <w:rFonts w:eastAsia="Calibri"/>
          <w:szCs w:val="24"/>
          <w:lang w:val="fr-CA" w:eastAsia="en-US"/>
        </w:rPr>
      </w:pPr>
    </w:p>
    <w:p w:rsidR="00C67B80" w:rsidRPr="00C67B80" w:rsidRDefault="00C67B80" w:rsidP="00C67B80">
      <w:pPr>
        <w:rPr>
          <w:rFonts w:eastAsia="Calibri"/>
          <w:szCs w:val="24"/>
          <w:lang w:val="fr-CA" w:eastAsia="en-US"/>
        </w:rPr>
      </w:pPr>
    </w:p>
    <w:p w:rsidR="00C67B80" w:rsidRPr="00C67B80" w:rsidRDefault="00C67B80" w:rsidP="00C67B80">
      <w:pPr>
        <w:rPr>
          <w:rFonts w:eastAsia="Calibri"/>
          <w:szCs w:val="24"/>
          <w:lang w:val="fr-CA" w:eastAsia="en-US"/>
        </w:rPr>
      </w:pPr>
    </w:p>
    <w:p w:rsidR="00C67B80" w:rsidRPr="00C67B80" w:rsidRDefault="00C67B80" w:rsidP="00C67B80">
      <w:pPr>
        <w:jc w:val="center"/>
        <w:rPr>
          <w:rFonts w:eastAsia="Calibri"/>
          <w:b/>
          <w:smallCaps/>
          <w:szCs w:val="24"/>
          <w:lang w:val="fr-CA" w:eastAsia="en-US"/>
        </w:rPr>
      </w:pPr>
      <w:r w:rsidRPr="00C67B80">
        <w:rPr>
          <w:rFonts w:eastAsia="Calibri"/>
          <w:b/>
          <w:smallCaps/>
          <w:szCs w:val="24"/>
          <w:lang w:val="fr-CA" w:eastAsia="en-US"/>
        </w:rPr>
        <w:t>Traduction française officielle</w:t>
      </w:r>
    </w:p>
    <w:p w:rsidR="00C67B80" w:rsidRPr="00C67B80" w:rsidRDefault="00C67B80" w:rsidP="00C67B80">
      <w:pPr>
        <w:rPr>
          <w:rFonts w:eastAsia="Calibri"/>
          <w:szCs w:val="24"/>
          <w:lang w:val="fr-CA" w:eastAsia="en-US"/>
        </w:rPr>
      </w:pPr>
    </w:p>
    <w:p w:rsidR="00C67B80" w:rsidRPr="00C67B80" w:rsidRDefault="00C67B80" w:rsidP="00C67B80">
      <w:pPr>
        <w:rPr>
          <w:rFonts w:eastAsia="Calibri"/>
          <w:szCs w:val="24"/>
          <w:lang w:val="fr-CA" w:eastAsia="en-US"/>
        </w:rPr>
      </w:pPr>
      <w:r w:rsidRPr="00C67B80">
        <w:rPr>
          <w:rFonts w:eastAsia="Calibri"/>
          <w:b/>
          <w:smallCaps/>
          <w:szCs w:val="24"/>
          <w:lang w:val="fr-CA" w:eastAsia="en-US"/>
        </w:rPr>
        <w:t>Coram :</w:t>
      </w:r>
      <w:r w:rsidRPr="00C67B80">
        <w:rPr>
          <w:rFonts w:eastAsia="Calibri"/>
          <w:szCs w:val="24"/>
          <w:lang w:val="fr-CA" w:eastAsia="en-US"/>
        </w:rPr>
        <w:t xml:space="preserve"> Les juges Abella, Karakatsanis, Côté, Rowe et Martin</w:t>
      </w:r>
    </w:p>
    <w:p w:rsidR="00C67B80" w:rsidRPr="00C67B80" w:rsidRDefault="00C67B80" w:rsidP="00C67B80">
      <w:pPr>
        <w:rPr>
          <w:rFonts w:eastAsia="Calibr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67B80" w:rsidRPr="00C67B80" w:rsidTr="00695EFF">
        <w:trPr>
          <w:cantSplit/>
        </w:trPr>
        <w:tc>
          <w:tcPr>
            <w:tcW w:w="3618" w:type="dxa"/>
          </w:tcPr>
          <w:p w:rsidR="00C67B80" w:rsidRPr="00C67B80" w:rsidRDefault="00C67B80" w:rsidP="00C67B80">
            <w:pPr>
              <w:rPr>
                <w:b/>
                <w:smallCaps/>
                <w:lang w:val="fr-CA"/>
              </w:rPr>
            </w:pPr>
            <w:r w:rsidRPr="00C67B80">
              <w:rPr>
                <w:b/>
                <w:smallCaps/>
                <w:lang w:val="fr-CA"/>
              </w:rPr>
              <w:t>Motifs de jugement :</w:t>
            </w:r>
          </w:p>
          <w:p w:rsidR="00C67B80" w:rsidRPr="00C67B80" w:rsidRDefault="00C67B80" w:rsidP="00C67B80">
            <w:pPr>
              <w:rPr>
                <w:lang w:val="fr-CA"/>
              </w:rPr>
            </w:pPr>
            <w:r w:rsidRPr="00C67B80">
              <w:rPr>
                <w:lang w:val="fr-CA"/>
              </w:rPr>
              <w:t>(par. 1 à 3)</w:t>
            </w:r>
          </w:p>
        </w:tc>
        <w:tc>
          <w:tcPr>
            <w:tcW w:w="5958" w:type="dxa"/>
          </w:tcPr>
          <w:p w:rsidR="00C67B80" w:rsidRPr="00C67B80" w:rsidRDefault="00C67B80" w:rsidP="00C67B80">
            <w:pPr>
              <w:rPr>
                <w:lang w:val="fr-CA"/>
              </w:rPr>
            </w:pPr>
            <w:r w:rsidRPr="00C67B80">
              <w:rPr>
                <w:lang w:val="fr-CA"/>
              </w:rPr>
              <w:t>La Cour</w:t>
            </w:r>
          </w:p>
        </w:tc>
      </w:tr>
    </w:tbl>
    <w:p w:rsidR="00C67B80" w:rsidRPr="00C67B80" w:rsidRDefault="00C67B80" w:rsidP="00C67B80">
      <w:pPr>
        <w:rPr>
          <w:rFonts w:eastAsia="Calibri"/>
          <w:szCs w:val="24"/>
          <w:lang w:val="fr-CA" w:eastAsia="en-US"/>
        </w:rPr>
      </w:pPr>
    </w:p>
    <w:p w:rsidR="00C67B80" w:rsidRPr="00C67B80" w:rsidRDefault="00C67B80" w:rsidP="00C67B80">
      <w:pPr>
        <w:rPr>
          <w:rFonts w:eastAsia="Calibri"/>
          <w:szCs w:val="24"/>
          <w:lang w:val="fr-CA" w:eastAsia="en-US"/>
        </w:rPr>
      </w:pPr>
      <w:r w:rsidRPr="00C67B80">
        <w:rPr>
          <w:rFonts w:eastAsia="Calibri"/>
          <w:noProof/>
          <w:szCs w:val="24"/>
          <w:lang w:val="en-US" w:eastAsia="en-US"/>
        </w:rPr>
        <mc:AlternateContent>
          <mc:Choice Requires="wps">
            <w:drawing>
              <wp:anchor distT="0" distB="0" distL="114300" distR="114300" simplePos="0" relativeHeight="251659264" behindDoc="0" locked="0" layoutInCell="1" allowOverlap="1" wp14:anchorId="6524A91F" wp14:editId="4A78E9DF">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08B9F"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C67B80" w:rsidRPr="00C67B80" w:rsidRDefault="00C67B80" w:rsidP="00C67B80">
      <w:pPr>
        <w:rPr>
          <w:rFonts w:eastAsia="Calibri"/>
          <w:szCs w:val="24"/>
          <w:lang w:val="fr-CA" w:eastAsia="en-US"/>
        </w:rPr>
      </w:pPr>
    </w:p>
    <w:p w:rsidR="00C67B80" w:rsidRPr="00C67B80" w:rsidRDefault="00C67B80" w:rsidP="00C67B80">
      <w:pPr>
        <w:rPr>
          <w:rFonts w:eastAsia="Calibri"/>
          <w:szCs w:val="24"/>
          <w:lang w:val="fr-CA" w:eastAsia="en-US"/>
        </w:rPr>
      </w:pPr>
    </w:p>
    <w:p w:rsidR="004D7D95" w:rsidRPr="002B3523" w:rsidRDefault="00820494" w:rsidP="00513B23">
      <w:pPr>
        <w:spacing w:after="720"/>
        <w:jc w:val="both"/>
      </w:pPr>
      <w:r>
        <w:t>R</w:t>
      </w:r>
      <w:r w:rsidR="001B3601" w:rsidRPr="00820494">
        <w:t>.</w:t>
      </w:r>
      <w:r w:rsidR="001B3601" w:rsidRPr="002B3523">
        <w:t xml:space="preserve"> </w:t>
      </w:r>
      <w:r w:rsidR="001B3601" w:rsidRPr="002B3523">
        <w:rPr>
          <w:i/>
        </w:rPr>
        <w:t>c.</w:t>
      </w:r>
      <w:r w:rsidR="001B3601" w:rsidRPr="002B3523">
        <w:t xml:space="preserve"> </w:t>
      </w:r>
      <w:r>
        <w:rPr>
          <w:rStyle w:val="SCCAppellantForRunningHeadChar"/>
          <w:smallCaps w:val="0"/>
        </w:rPr>
        <w:t>W</w:t>
      </w:r>
      <w:r w:rsidR="004D7D95" w:rsidRPr="00820494">
        <w:rPr>
          <w:rStyle w:val="SCCAppellantForRunningHeadChar"/>
          <w:smallCaps w:val="0"/>
        </w:rPr>
        <w:t>akefield</w:t>
      </w:r>
      <w:r>
        <w:rPr>
          <w:rStyle w:val="SCCAppellantForRunningHeadChar"/>
          <w:smallCaps w:val="0"/>
        </w:rPr>
        <w:t>, 2019 CSC 26, [2019] 2 R.C.S. 400</w:t>
      </w:r>
    </w:p>
    <w:p w:rsidR="00917B76" w:rsidRPr="0036249B" w:rsidRDefault="001B3601">
      <w:pPr>
        <w:pStyle w:val="SCCLsocLastPartyInRole"/>
      </w:pPr>
      <w:r w:rsidRPr="0036249B">
        <w:t>Addison Nickoles Wakefield</w:t>
      </w:r>
      <w:r w:rsidRPr="0036249B">
        <w:rPr>
          <w:rStyle w:val="SCCLsocPartyRole"/>
        </w:rPr>
        <w:tab/>
      </w:r>
      <w:r w:rsidR="0036249B" w:rsidRPr="0036249B">
        <w:rPr>
          <w:rStyle w:val="SCCLsocPartyRole"/>
        </w:rPr>
        <w:t>Appelant</w:t>
      </w:r>
    </w:p>
    <w:p w:rsidR="00917B76" w:rsidRPr="00C67B80" w:rsidRDefault="001B3601">
      <w:pPr>
        <w:pStyle w:val="SCCLsocVersus"/>
        <w:rPr>
          <w:lang w:val="en-US"/>
        </w:rPr>
      </w:pPr>
      <w:r w:rsidRPr="00C67B80">
        <w:rPr>
          <w:lang w:val="en-US"/>
        </w:rPr>
        <w:t>c.</w:t>
      </w:r>
    </w:p>
    <w:p w:rsidR="00917B76" w:rsidRPr="001B3601" w:rsidRDefault="001B3601">
      <w:pPr>
        <w:pStyle w:val="SCCLsocLastPartyInRole"/>
        <w:rPr>
          <w:lang w:val="fr-CA"/>
        </w:rPr>
      </w:pPr>
      <w:r w:rsidRPr="001B3601">
        <w:rPr>
          <w:lang w:val="fr-CA"/>
        </w:rPr>
        <w:t>Sa Majesté la Reine</w:t>
      </w:r>
      <w:r w:rsidR="0036249B">
        <w:rPr>
          <w:rStyle w:val="SCCLsocPartyRole"/>
          <w:lang w:val="fr-CA"/>
        </w:rPr>
        <w:tab/>
        <w:t>Intimée</w:t>
      </w:r>
    </w:p>
    <w:p w:rsidR="004D7D95" w:rsidRPr="00C67B80" w:rsidRDefault="001B3601" w:rsidP="00513B23">
      <w:pPr>
        <w:spacing w:after="720"/>
        <w:jc w:val="both"/>
        <w:rPr>
          <w:lang w:val="fr-CA"/>
        </w:rPr>
      </w:pPr>
      <w:r w:rsidRPr="00C67B80">
        <w:rPr>
          <w:b/>
          <w:lang w:val="fr-CA"/>
        </w:rPr>
        <w:lastRenderedPageBreak/>
        <w:t xml:space="preserve">Répertorié : R. </w:t>
      </w:r>
      <w:r w:rsidRPr="00C67B80">
        <w:rPr>
          <w:b/>
          <w:i/>
          <w:lang w:val="fr-CA"/>
        </w:rPr>
        <w:t>c.</w:t>
      </w:r>
      <w:r w:rsidRPr="00C67B80">
        <w:rPr>
          <w:b/>
          <w:lang w:val="fr-CA"/>
        </w:rPr>
        <w:t xml:space="preserve"> </w:t>
      </w:r>
      <w:r w:rsidR="004D7D95" w:rsidRPr="00C67B80">
        <w:rPr>
          <w:rStyle w:val="SCCAppellantForIndexChar"/>
          <w:lang w:val="fr-CA"/>
        </w:rPr>
        <w:t>Wakefield</w:t>
      </w:r>
      <w:r w:rsidR="004D7D95" w:rsidRPr="00C67B80">
        <w:rPr>
          <w:b/>
          <w:lang w:val="fr-CA"/>
        </w:rPr>
        <w:t xml:space="preserve"> </w:t>
      </w:r>
    </w:p>
    <w:p w:rsidR="004D7D95" w:rsidRPr="00C67B80" w:rsidRDefault="00D17B0E" w:rsidP="0066407A">
      <w:pPr>
        <w:pStyle w:val="SCCSystemYear"/>
        <w:spacing w:after="720"/>
        <w:jc w:val="both"/>
        <w:rPr>
          <w:lang w:val="fr-CA"/>
        </w:rPr>
      </w:pPr>
      <w:r w:rsidRPr="00C67B80">
        <w:rPr>
          <w:lang w:val="fr-CA"/>
        </w:rPr>
        <w:t>2019</w:t>
      </w:r>
      <w:r w:rsidR="004D7D95" w:rsidRPr="00C67B80">
        <w:rPr>
          <w:lang w:val="fr-CA"/>
        </w:rPr>
        <w:t xml:space="preserve"> CSC </w:t>
      </w:r>
      <w:r w:rsidR="001B3601" w:rsidRPr="00C67B80">
        <w:rPr>
          <w:lang w:val="fr-CA"/>
        </w:rPr>
        <w:t>26</w:t>
      </w:r>
    </w:p>
    <w:p w:rsidR="004D7D95" w:rsidRPr="0066407A" w:rsidRDefault="004D7D95" w:rsidP="0066407A">
      <w:pPr>
        <w:spacing w:after="720"/>
        <w:jc w:val="both"/>
        <w:rPr>
          <w:lang w:val="fr-CA"/>
        </w:rPr>
      </w:pPr>
      <w:r w:rsidRPr="001B3601">
        <w:rPr>
          <w:lang w:val="fr-CA"/>
        </w:rPr>
        <w:t>N</w:t>
      </w:r>
      <w:r w:rsidRPr="001B3601">
        <w:rPr>
          <w:vertAlign w:val="superscript"/>
          <w:lang w:val="fr-CA"/>
        </w:rPr>
        <w:t>o</w:t>
      </w:r>
      <w:r w:rsidRPr="001B3601">
        <w:rPr>
          <w:lang w:val="fr-CA"/>
        </w:rPr>
        <w:t xml:space="preserve"> du greffe : 38425.</w:t>
      </w:r>
    </w:p>
    <w:p w:rsidR="004D7D95" w:rsidRPr="001B3601" w:rsidRDefault="00D17B0E" w:rsidP="0066407A">
      <w:pPr>
        <w:spacing w:after="720"/>
        <w:jc w:val="both"/>
        <w:rPr>
          <w:lang w:val="fr-CA"/>
        </w:rPr>
      </w:pPr>
      <w:r w:rsidRPr="001B3601">
        <w:rPr>
          <w:lang w:val="fr-CA"/>
        </w:rPr>
        <w:t xml:space="preserve">2019 : </w:t>
      </w:r>
      <w:r w:rsidR="00B12E93">
        <w:rPr>
          <w:lang w:val="fr-CA"/>
        </w:rPr>
        <w:t>2</w:t>
      </w:r>
      <w:r w:rsidR="0018729D">
        <w:rPr>
          <w:lang w:val="fr-CA"/>
        </w:rPr>
        <w:t>5 avril</w:t>
      </w:r>
      <w:r w:rsidR="0036249B">
        <w:rPr>
          <w:lang w:val="fr-CA"/>
        </w:rPr>
        <w:t>.</w:t>
      </w:r>
    </w:p>
    <w:p w:rsidR="00917B76" w:rsidRPr="001B3601" w:rsidRDefault="004D7D95" w:rsidP="0066407A">
      <w:pPr>
        <w:spacing w:after="720"/>
        <w:jc w:val="both"/>
        <w:rPr>
          <w:lang w:val="fr-CA"/>
        </w:rPr>
      </w:pPr>
      <w:r w:rsidRPr="001B3601">
        <w:rPr>
          <w:lang w:val="fr-CA"/>
        </w:rPr>
        <w:t>Présents : Les juges Abella, Moldaver, Karakatsanis, Rowe et Martin.</w:t>
      </w:r>
    </w:p>
    <w:p w:rsidR="004D7D95" w:rsidRPr="000853A6" w:rsidRDefault="004D7D95" w:rsidP="0066407A">
      <w:pPr>
        <w:pStyle w:val="SCCLowerCourtNameLowercase"/>
        <w:spacing w:after="720" w:line="240" w:lineRule="auto"/>
        <w:rPr>
          <w:lang w:val="fr-CA"/>
        </w:rPr>
      </w:pPr>
      <w:r w:rsidRPr="0036249B">
        <w:rPr>
          <w:lang w:val="fr-CA"/>
        </w:rPr>
        <w:t>en appel de la cour d</w:t>
      </w:r>
      <w:r w:rsidR="0036249B">
        <w:rPr>
          <w:lang w:val="fr-CA"/>
        </w:rPr>
        <w:t>’</w:t>
      </w:r>
      <w:r w:rsidRPr="0036249B">
        <w:rPr>
          <w:lang w:val="fr-CA"/>
        </w:rPr>
        <w:t>appel de l</w:t>
      </w:r>
      <w:r w:rsidR="0036249B">
        <w:rPr>
          <w:lang w:val="fr-CA"/>
        </w:rPr>
        <w:t>’</w:t>
      </w:r>
      <w:r w:rsidRPr="0036249B">
        <w:rPr>
          <w:lang w:val="fr-CA"/>
        </w:rPr>
        <w:t>alberta</w:t>
      </w:r>
      <w:r w:rsidRPr="001B3601">
        <w:rPr>
          <w:lang w:val="fr-CA"/>
        </w:rPr>
        <w:t xml:space="preserve"> </w:t>
      </w:r>
    </w:p>
    <w:p w:rsidR="004D7D95" w:rsidRPr="00DC3AC5" w:rsidRDefault="004D7D95" w:rsidP="0066407A">
      <w:pPr>
        <w:pStyle w:val="SCCNormalDoubleSpacing"/>
        <w:spacing w:after="480"/>
        <w:rPr>
          <w:lang w:val="fr-CA"/>
        </w:rPr>
      </w:pPr>
      <w:r w:rsidRPr="00BB4C92">
        <w:rPr>
          <w:lang w:val="fr-CA"/>
        </w:rPr>
        <w:tab/>
      </w:r>
      <w:r w:rsidR="00DC3AC5" w:rsidRPr="00DC3AC5">
        <w:rPr>
          <w:i/>
          <w:lang w:val="fr-CA"/>
        </w:rPr>
        <w:t>Droit criminel — Meurtre au deuxième degré — Éléments de l’infraction — Accusé et coaccusé déclarés coupables de meurtre au deuxième degré pour avoir tué à coups de couteau la victim</w:t>
      </w:r>
      <w:r w:rsidR="00DC3AC5">
        <w:rPr>
          <w:i/>
          <w:lang w:val="fr-CA"/>
        </w:rPr>
        <w:t>e</w:t>
      </w:r>
      <w:r w:rsidR="00DC3AC5" w:rsidRPr="00DC3AC5">
        <w:rPr>
          <w:i/>
          <w:lang w:val="fr-CA"/>
        </w:rPr>
        <w:t>, qui avait</w:t>
      </w:r>
      <w:r w:rsidR="00DC3AC5">
        <w:rPr>
          <w:i/>
          <w:lang w:val="fr-CA"/>
        </w:rPr>
        <w:t xml:space="preserve"> une dette de drogue </w:t>
      </w:r>
      <w:r w:rsidR="00DC3AC5" w:rsidRPr="00DC3AC5">
        <w:rPr>
          <w:i/>
          <w:lang w:val="fr-CA"/>
        </w:rPr>
        <w:t>—</w:t>
      </w:r>
      <w:r w:rsidR="00487FDC">
        <w:rPr>
          <w:i/>
          <w:lang w:val="fr-CA"/>
        </w:rPr>
        <w:t xml:space="preserve"> Absence </w:t>
      </w:r>
      <w:r w:rsidR="0015488D">
        <w:rPr>
          <w:i/>
          <w:lang w:val="fr-CA"/>
        </w:rPr>
        <w:t>de conclu</w:t>
      </w:r>
      <w:r w:rsidR="00487FDC">
        <w:rPr>
          <w:i/>
          <w:lang w:val="fr-CA"/>
        </w:rPr>
        <w:t>sion</w:t>
      </w:r>
      <w:r w:rsidR="0015488D">
        <w:rPr>
          <w:i/>
          <w:lang w:val="fr-CA"/>
        </w:rPr>
        <w:t xml:space="preserve"> explicite</w:t>
      </w:r>
      <w:r w:rsidR="00487FDC">
        <w:rPr>
          <w:i/>
          <w:lang w:val="fr-CA"/>
        </w:rPr>
        <w:t xml:space="preserve"> du juge du procès</w:t>
      </w:r>
      <w:r w:rsidR="0015488D">
        <w:rPr>
          <w:i/>
          <w:lang w:val="fr-CA"/>
        </w:rPr>
        <w:t xml:space="preserve"> </w:t>
      </w:r>
      <w:r w:rsidR="00487FDC">
        <w:rPr>
          <w:i/>
          <w:lang w:val="fr-CA"/>
        </w:rPr>
        <w:t xml:space="preserve">énonçant que </w:t>
      </w:r>
      <w:r w:rsidR="0015488D">
        <w:rPr>
          <w:i/>
          <w:lang w:val="fr-CA"/>
        </w:rPr>
        <w:t>l’accusé a</w:t>
      </w:r>
      <w:r w:rsidR="00487FDC">
        <w:rPr>
          <w:i/>
          <w:lang w:val="fr-CA"/>
        </w:rPr>
        <w:t>vait</w:t>
      </w:r>
      <w:r w:rsidR="0015488D">
        <w:rPr>
          <w:i/>
          <w:lang w:val="fr-CA"/>
        </w:rPr>
        <w:t xml:space="preserve"> poignardé la victime ou avait </w:t>
      </w:r>
      <w:r w:rsidR="00487FDC">
        <w:rPr>
          <w:i/>
          <w:lang w:val="fr-CA"/>
        </w:rPr>
        <w:t xml:space="preserve">eu </w:t>
      </w:r>
      <w:r w:rsidR="0015488D">
        <w:rPr>
          <w:i/>
          <w:lang w:val="fr-CA"/>
        </w:rPr>
        <w:t xml:space="preserve">l’intention subjective </w:t>
      </w:r>
      <w:r w:rsidR="00706DBA">
        <w:rPr>
          <w:i/>
          <w:lang w:val="fr-CA"/>
        </w:rPr>
        <w:t xml:space="preserve">requise </w:t>
      </w:r>
      <w:r w:rsidR="00487FDC">
        <w:rPr>
          <w:i/>
          <w:lang w:val="fr-CA"/>
        </w:rPr>
        <w:t>à l’égard de l’</w:t>
      </w:r>
      <w:r w:rsidR="000108C4">
        <w:rPr>
          <w:i/>
          <w:lang w:val="fr-CA"/>
        </w:rPr>
        <w:t xml:space="preserve">infraction de </w:t>
      </w:r>
      <w:r w:rsidR="00DC3AC5">
        <w:rPr>
          <w:i/>
          <w:lang w:val="fr-CA"/>
        </w:rPr>
        <w:t>meurtre</w:t>
      </w:r>
      <w:r w:rsidR="00DC3AC5" w:rsidRPr="00DC3AC5">
        <w:rPr>
          <w:i/>
          <w:lang w:val="fr-CA"/>
        </w:rPr>
        <w:t xml:space="preserve"> — Déclaration de culpabilité confirmée par la Cour d’appel — </w:t>
      </w:r>
      <w:r w:rsidR="0015488D">
        <w:rPr>
          <w:i/>
          <w:lang w:val="fr-CA"/>
        </w:rPr>
        <w:t xml:space="preserve">Erreur </w:t>
      </w:r>
      <w:r w:rsidR="000108C4">
        <w:rPr>
          <w:i/>
          <w:lang w:val="fr-CA"/>
        </w:rPr>
        <w:t xml:space="preserve">commise par </w:t>
      </w:r>
      <w:r w:rsidR="0015488D">
        <w:rPr>
          <w:i/>
          <w:lang w:val="fr-CA"/>
        </w:rPr>
        <w:t xml:space="preserve">la Cour d’appel </w:t>
      </w:r>
      <w:r w:rsidR="000108C4">
        <w:rPr>
          <w:i/>
          <w:lang w:val="fr-CA"/>
        </w:rPr>
        <w:t xml:space="preserve">en tirant une </w:t>
      </w:r>
      <w:r w:rsidR="0015488D">
        <w:rPr>
          <w:i/>
          <w:lang w:val="fr-CA"/>
        </w:rPr>
        <w:t xml:space="preserve">conclusion de fait </w:t>
      </w:r>
      <w:r w:rsidR="000108C4">
        <w:rPr>
          <w:i/>
          <w:lang w:val="fr-CA"/>
        </w:rPr>
        <w:t xml:space="preserve">que n’avait pas exposée </w:t>
      </w:r>
      <w:r w:rsidR="0015488D">
        <w:rPr>
          <w:i/>
          <w:lang w:val="fr-CA"/>
        </w:rPr>
        <w:t xml:space="preserve">le juge du procès et </w:t>
      </w:r>
      <w:r w:rsidR="000108C4">
        <w:rPr>
          <w:i/>
          <w:lang w:val="fr-CA"/>
        </w:rPr>
        <w:t xml:space="preserve">en considérant les affirmations </w:t>
      </w:r>
      <w:r w:rsidR="0015488D">
        <w:rPr>
          <w:i/>
          <w:lang w:val="fr-CA"/>
        </w:rPr>
        <w:t xml:space="preserve">de ce dernier </w:t>
      </w:r>
      <w:r w:rsidR="000108C4">
        <w:rPr>
          <w:i/>
          <w:lang w:val="fr-CA"/>
        </w:rPr>
        <w:t xml:space="preserve">au sujet de l’intention comme suffisantes </w:t>
      </w:r>
      <w:r w:rsidR="0015488D">
        <w:rPr>
          <w:i/>
          <w:lang w:val="fr-CA"/>
        </w:rPr>
        <w:t xml:space="preserve">pour </w:t>
      </w:r>
      <w:r w:rsidR="000108C4">
        <w:rPr>
          <w:i/>
          <w:lang w:val="fr-CA"/>
        </w:rPr>
        <w:t xml:space="preserve">appuyer </w:t>
      </w:r>
      <w:r w:rsidR="0015488D">
        <w:rPr>
          <w:i/>
          <w:lang w:val="fr-CA"/>
        </w:rPr>
        <w:t xml:space="preserve">une déclaration de culpabilité pour meurtre </w:t>
      </w:r>
      <w:r w:rsidR="00DC3AC5" w:rsidRPr="00DC3AC5">
        <w:rPr>
          <w:i/>
          <w:lang w:val="fr-CA"/>
        </w:rPr>
        <w:t xml:space="preserve">— </w:t>
      </w:r>
      <w:r w:rsidR="0015488D">
        <w:rPr>
          <w:i/>
          <w:lang w:val="fr-CA"/>
        </w:rPr>
        <w:t xml:space="preserve">Déclaration de culpabilité pour homicide involontaire coupable substituée à la déclaration de culpabilité pour meurtre au deuxième degré </w:t>
      </w:r>
      <w:r w:rsidR="00DC3AC5" w:rsidRPr="00DC3AC5">
        <w:rPr>
          <w:i/>
          <w:lang w:val="fr-CA"/>
        </w:rPr>
        <w:t>— Code criminel, L.R.C. 1985, c. C-46, art. 229a)(ii).</w:t>
      </w:r>
    </w:p>
    <w:p w:rsidR="004D7D95" w:rsidRPr="004D7D95" w:rsidRDefault="004D7D95" w:rsidP="0066407A">
      <w:pPr>
        <w:pStyle w:val="SCCNormalDoubleSpacing"/>
        <w:spacing w:after="720" w:line="240" w:lineRule="auto"/>
        <w:rPr>
          <w:lang w:val="fr-CA"/>
        </w:rPr>
      </w:pPr>
      <w:r w:rsidRPr="004D7D95">
        <w:rPr>
          <w:b/>
          <w:lang w:val="fr-CA"/>
        </w:rPr>
        <w:t>Jurisprudence</w:t>
      </w:r>
    </w:p>
    <w:p w:rsidR="004D7D95" w:rsidRPr="004D7D95" w:rsidRDefault="004D7D95" w:rsidP="0066407A">
      <w:pPr>
        <w:pStyle w:val="SCCNormalDoubleSpacing"/>
        <w:spacing w:after="480"/>
        <w:rPr>
          <w:lang w:val="fr-CA"/>
        </w:rPr>
      </w:pPr>
      <w:r w:rsidRPr="004D7D95">
        <w:rPr>
          <w:lang w:val="fr-CA"/>
        </w:rPr>
        <w:lastRenderedPageBreak/>
        <w:tab/>
      </w:r>
      <w:r w:rsidR="002B3523">
        <w:rPr>
          <w:b/>
          <w:lang w:val="fr-CA"/>
        </w:rPr>
        <w:t>Arrêt mentionné</w:t>
      </w:r>
      <w:r w:rsidRPr="004D7D95">
        <w:rPr>
          <w:b/>
          <w:lang w:val="fr-CA"/>
        </w:rPr>
        <w:t> :</w:t>
      </w:r>
      <w:r w:rsidRPr="004D7D95">
        <w:rPr>
          <w:lang w:val="fr-CA"/>
        </w:rPr>
        <w:t xml:space="preserve"> </w:t>
      </w:r>
      <w:r w:rsidR="00596B44">
        <w:rPr>
          <w:i/>
          <w:lang w:val="fr-CA"/>
        </w:rPr>
        <w:t>R. c</w:t>
      </w:r>
      <w:r w:rsidR="0036249B" w:rsidRPr="0036249B">
        <w:rPr>
          <w:i/>
          <w:lang w:val="fr-CA"/>
        </w:rPr>
        <w:t>. Cooper</w:t>
      </w:r>
      <w:r w:rsidR="0036249B" w:rsidRPr="0036249B">
        <w:rPr>
          <w:lang w:val="fr-CA"/>
        </w:rPr>
        <w:t xml:space="preserve">, [1993] 1 </w:t>
      </w:r>
      <w:r w:rsidR="00596B44">
        <w:rPr>
          <w:lang w:val="fr-CA"/>
        </w:rPr>
        <w:t>R.C.S.</w:t>
      </w:r>
      <w:r w:rsidR="0036249B" w:rsidRPr="0036249B">
        <w:rPr>
          <w:lang w:val="fr-CA"/>
        </w:rPr>
        <w:t xml:space="preserve"> 146.</w:t>
      </w:r>
    </w:p>
    <w:p w:rsidR="004D7D95" w:rsidRPr="004D7D95" w:rsidRDefault="004D7D95" w:rsidP="0066407A">
      <w:pPr>
        <w:pStyle w:val="SCCNormalDoubleSpacing"/>
        <w:spacing w:after="720" w:line="240" w:lineRule="auto"/>
        <w:rPr>
          <w:lang w:val="fr-CA"/>
        </w:rPr>
      </w:pPr>
      <w:r w:rsidRPr="004D7D95">
        <w:rPr>
          <w:b/>
          <w:lang w:val="fr-CA"/>
        </w:rPr>
        <w:t>Lois et règlements cités</w:t>
      </w:r>
    </w:p>
    <w:p w:rsidR="004D7D95" w:rsidRPr="00573571" w:rsidRDefault="0036249B" w:rsidP="0066407A">
      <w:pPr>
        <w:pStyle w:val="SCCNormalDoubleSpacing"/>
        <w:spacing w:after="480"/>
        <w:rPr>
          <w:lang w:val="fr-CA"/>
        </w:rPr>
      </w:pPr>
      <w:r w:rsidRPr="00573571">
        <w:rPr>
          <w:i/>
          <w:lang w:val="fr-CA"/>
        </w:rPr>
        <w:t>Code</w:t>
      </w:r>
      <w:r w:rsidR="00B12E93" w:rsidRPr="00573571">
        <w:rPr>
          <w:i/>
          <w:lang w:val="fr-CA"/>
        </w:rPr>
        <w:t xml:space="preserve"> criminel</w:t>
      </w:r>
      <w:r w:rsidRPr="00573571">
        <w:rPr>
          <w:lang w:val="fr-CA"/>
        </w:rPr>
        <w:t xml:space="preserve">, </w:t>
      </w:r>
      <w:r w:rsidR="00596B44" w:rsidRPr="00573571">
        <w:rPr>
          <w:lang w:val="fr-CA"/>
        </w:rPr>
        <w:t xml:space="preserve">L.R.C. </w:t>
      </w:r>
      <w:r w:rsidRPr="00573571">
        <w:rPr>
          <w:lang w:val="fr-CA"/>
        </w:rPr>
        <w:t xml:space="preserve">1985, c. </w:t>
      </w:r>
      <w:r w:rsidR="00596B44" w:rsidRPr="00573571">
        <w:rPr>
          <w:lang w:val="fr-CA"/>
        </w:rPr>
        <w:t>C-46, art</w:t>
      </w:r>
      <w:r w:rsidR="00B12E93" w:rsidRPr="00573571">
        <w:rPr>
          <w:lang w:val="fr-CA"/>
        </w:rPr>
        <w:t>. 229a)(ii), 686(1)</w:t>
      </w:r>
      <w:r w:rsidRPr="00573571">
        <w:rPr>
          <w:lang w:val="fr-CA"/>
        </w:rPr>
        <w:t>b)(i).</w:t>
      </w:r>
    </w:p>
    <w:p w:rsidR="004D7D95" w:rsidRPr="000853A6" w:rsidRDefault="0036249B" w:rsidP="0066407A">
      <w:pPr>
        <w:pStyle w:val="SCCNormalDoubleSpacing"/>
        <w:spacing w:after="480"/>
        <w:rPr>
          <w:lang w:val="fr-CA"/>
        </w:rPr>
      </w:pPr>
      <w:r w:rsidRPr="00573571">
        <w:rPr>
          <w:lang w:val="fr-CA"/>
        </w:rPr>
        <w:tab/>
      </w:r>
      <w:r w:rsidR="004D7D95" w:rsidRPr="004D7D95">
        <w:rPr>
          <w:lang w:val="fr-CA"/>
        </w:rPr>
        <w:t xml:space="preserve">POURVOI contre un arrêt de la </w:t>
      </w:r>
      <w:r w:rsidR="004D7D95" w:rsidRPr="001B3601">
        <w:rPr>
          <w:lang w:val="fr-CA"/>
        </w:rPr>
        <w:t>Cour d</w:t>
      </w:r>
      <w:r>
        <w:rPr>
          <w:lang w:val="fr-CA"/>
        </w:rPr>
        <w:t>’</w:t>
      </w:r>
      <w:r w:rsidR="004D7D95" w:rsidRPr="001B3601">
        <w:rPr>
          <w:lang w:val="fr-CA"/>
        </w:rPr>
        <w:t>appel de l</w:t>
      </w:r>
      <w:r>
        <w:rPr>
          <w:lang w:val="fr-CA"/>
        </w:rPr>
        <w:t>’</w:t>
      </w:r>
      <w:r w:rsidR="004D7D95" w:rsidRPr="001B3601">
        <w:rPr>
          <w:lang w:val="fr-CA"/>
        </w:rPr>
        <w:t xml:space="preserve">Alberta </w:t>
      </w:r>
      <w:r>
        <w:rPr>
          <w:lang w:val="fr-CA"/>
        </w:rPr>
        <w:t>(l</w:t>
      </w:r>
      <w:r w:rsidR="001E77B7">
        <w:rPr>
          <w:lang w:val="fr-CA"/>
        </w:rPr>
        <w:t>es juges Berger, Martin et Strekaf</w:t>
      </w:r>
      <w:r>
        <w:rPr>
          <w:lang w:val="fr-CA"/>
        </w:rPr>
        <w:t xml:space="preserve">), 2018 ABCA 360, 367 C.C.C. (3d) 1, [2018] A.J. No. 1280 (QL), 2018 CarswellAlta 2557 (WL Can.), </w:t>
      </w:r>
      <w:r w:rsidR="00E42384">
        <w:rPr>
          <w:lang w:val="fr-CA"/>
        </w:rPr>
        <w:t>qui a confirmé la déclaration de culpabilité pour meurtre au deuxième degré prononcé</w:t>
      </w:r>
      <w:r w:rsidR="00475E3A">
        <w:rPr>
          <w:lang w:val="fr-CA"/>
        </w:rPr>
        <w:t>e</w:t>
      </w:r>
      <w:r w:rsidR="00E42384">
        <w:rPr>
          <w:lang w:val="fr-CA"/>
        </w:rPr>
        <w:t xml:space="preserve"> contre l’accusé.</w:t>
      </w:r>
      <w:r w:rsidRPr="0036249B">
        <w:rPr>
          <w:lang w:val="fr-CA"/>
        </w:rPr>
        <w:t xml:space="preserve"> </w:t>
      </w:r>
      <w:r w:rsidRPr="001E77B7">
        <w:rPr>
          <w:lang w:val="fr-CA"/>
        </w:rPr>
        <w:t>Pourvoi rejeté.</w:t>
      </w:r>
    </w:p>
    <w:p w:rsidR="00917B76" w:rsidRPr="001B3601" w:rsidRDefault="001B3601" w:rsidP="0066407A">
      <w:pPr>
        <w:pStyle w:val="SCCNormalDoubleSpacing"/>
        <w:spacing w:after="480"/>
        <w:rPr>
          <w:lang w:val="fr-CA"/>
        </w:rPr>
      </w:pPr>
      <w:r w:rsidRPr="001B3601">
        <w:rPr>
          <w:rStyle w:val="SCCCounselNameChar"/>
          <w:lang w:val="fr-CA"/>
        </w:rPr>
        <w:tab/>
        <w:t>Karen B. Molle</w:t>
      </w:r>
      <w:r w:rsidR="0036249B">
        <w:rPr>
          <w:rStyle w:val="SCCCounselNameChar"/>
          <w:lang w:val="fr-CA"/>
        </w:rPr>
        <w:t xml:space="preserve"> </w:t>
      </w:r>
      <w:r w:rsidR="0036249B">
        <w:rPr>
          <w:rStyle w:val="SCCCounselNameChar"/>
          <w:i w:val="0"/>
          <w:lang w:val="fr-CA"/>
        </w:rPr>
        <w:t xml:space="preserve">et </w:t>
      </w:r>
      <w:r w:rsidR="0036249B" w:rsidRPr="00B12E93">
        <w:rPr>
          <w:rStyle w:val="SCCCounselNameChar"/>
          <w:lang w:val="fr-CA"/>
        </w:rPr>
        <w:t>Jennifer Ruttan</w:t>
      </w:r>
      <w:r w:rsidRPr="001B3601">
        <w:rPr>
          <w:rStyle w:val="SCCCounselPartyRoleChar"/>
          <w:lang w:val="fr-CA"/>
        </w:rPr>
        <w:t xml:space="preserve">, pour </w:t>
      </w:r>
      <w:r w:rsidR="0036249B">
        <w:rPr>
          <w:rStyle w:val="SCCCounselPartyRoleChar"/>
          <w:lang w:val="fr-CA"/>
        </w:rPr>
        <w:t>l’appelant</w:t>
      </w:r>
      <w:r w:rsidR="002D1AC8">
        <w:rPr>
          <w:rStyle w:val="SCCCounselPartyRoleChar"/>
          <w:lang w:val="fr-CA"/>
        </w:rPr>
        <w:t>.</w:t>
      </w:r>
    </w:p>
    <w:p w:rsidR="001232C2" w:rsidRPr="001B3601" w:rsidRDefault="001B3601" w:rsidP="0066407A">
      <w:pPr>
        <w:pStyle w:val="SCCNormalDoubleSpacing"/>
        <w:spacing w:after="480"/>
        <w:rPr>
          <w:lang w:val="fr-CA"/>
        </w:rPr>
      </w:pPr>
      <w:r w:rsidRPr="001B3601">
        <w:rPr>
          <w:rStyle w:val="SCCCounselNameChar"/>
          <w:lang w:val="fr-CA"/>
        </w:rPr>
        <w:tab/>
        <w:t xml:space="preserve">Brian </w:t>
      </w:r>
      <w:r w:rsidR="009C683B">
        <w:rPr>
          <w:rStyle w:val="SCCCounselNameChar"/>
          <w:lang w:val="fr-CA"/>
        </w:rPr>
        <w:t xml:space="preserve">R. </w:t>
      </w:r>
      <w:r w:rsidRPr="001B3601">
        <w:rPr>
          <w:rStyle w:val="SCCCounselNameChar"/>
          <w:lang w:val="fr-CA"/>
        </w:rPr>
        <w:t>Graff</w:t>
      </w:r>
      <w:r w:rsidRPr="001B3601">
        <w:rPr>
          <w:rStyle w:val="SCCCounselPartyRoleChar"/>
          <w:lang w:val="fr-CA"/>
        </w:rPr>
        <w:t>, pour l</w:t>
      </w:r>
      <w:r w:rsidR="0036249B">
        <w:rPr>
          <w:rStyle w:val="SCCCounselPartyRoleChar"/>
          <w:lang w:val="fr-CA"/>
        </w:rPr>
        <w:t>’intimée</w:t>
      </w:r>
      <w:r w:rsidRPr="001B3601">
        <w:rPr>
          <w:rStyle w:val="SCCCounselPartyRoleChar"/>
          <w:lang w:val="fr-CA"/>
        </w:rPr>
        <w:t>.</w:t>
      </w:r>
    </w:p>
    <w:p w:rsidR="0036249B" w:rsidRPr="000853A6" w:rsidRDefault="00573571" w:rsidP="0066407A">
      <w:pPr>
        <w:pStyle w:val="SCCNormalDoubleSpacing"/>
        <w:rPr>
          <w:lang w:val="fr-CA"/>
        </w:rPr>
      </w:pPr>
      <w:r>
        <w:rPr>
          <w:lang w:val="fr-FR"/>
        </w:rPr>
        <w:tab/>
      </w:r>
      <w:r w:rsidR="001232C2" w:rsidRPr="00AB33FA">
        <w:rPr>
          <w:lang w:val="fr-FR"/>
        </w:rPr>
        <w:t>Version française du jugement rendu oralement par</w:t>
      </w:r>
    </w:p>
    <w:p w:rsidR="001232C2" w:rsidRPr="000853A6" w:rsidRDefault="001232C2" w:rsidP="0066407A">
      <w:pPr>
        <w:pStyle w:val="ParaNoNdepar-AltN"/>
        <w:numPr>
          <w:ilvl w:val="0"/>
          <w:numId w:val="0"/>
        </w:numPr>
        <w:rPr>
          <w:lang w:val="fr-CA"/>
        </w:rPr>
      </w:pPr>
      <w:r>
        <w:rPr>
          <w:smallCaps/>
          <w:lang w:val="fr-CA"/>
        </w:rPr>
        <w:t>[1]</w:t>
      </w:r>
      <w:r>
        <w:rPr>
          <w:smallCaps/>
          <w:lang w:val="fr-CA"/>
        </w:rPr>
        <w:tab/>
      </w:r>
      <w:r w:rsidRPr="002C098E">
        <w:rPr>
          <w:smallCaps/>
          <w:lang w:val="fr-CA"/>
        </w:rPr>
        <w:t xml:space="preserve">La Cour </w:t>
      </w:r>
      <w:r w:rsidRPr="002C098E">
        <w:rPr>
          <w:lang w:val="fr-CA"/>
        </w:rPr>
        <w:t>— Afin de pouvoir confirmer la déclaration de culpabilité pour meurtre au deuxième degré, les juges majoritaires de la Cour d’appel devaient être convaincus que le juge du procès avait conclu que c’était l’appelant lui-même qui avait poignardé la victime. Or, le juge du procès s’est explicitement abstenu de tirer cette conclusion. La majorité a examiné la preuve et jugé que [</w:t>
      </w:r>
      <w:r w:rsidRPr="002C098E">
        <w:rPr>
          <w:smallCaps/>
          <w:lang w:val="fr-CA"/>
        </w:rPr>
        <w:t>traduction</w:t>
      </w:r>
      <w:r w:rsidRPr="002C098E">
        <w:rPr>
          <w:lang w:val="fr-CA"/>
        </w:rPr>
        <w:t>] « la conclusion suivant laquelle c’est l’appelant qui a asséné les coups de couteau est bien étayée par la preuve » (par. 29). En se prononçant ainsi, les juges majoritaires ont commis une erreur en formulant une conclusion de fait que le juge du procès avait refusé de tirer.</w:t>
      </w:r>
    </w:p>
    <w:p w:rsidR="001232C2" w:rsidRPr="002C098E" w:rsidRDefault="001232C2" w:rsidP="0066407A">
      <w:pPr>
        <w:pStyle w:val="ParaNoNdepar-AltN"/>
        <w:numPr>
          <w:ilvl w:val="0"/>
          <w:numId w:val="0"/>
        </w:numPr>
        <w:rPr>
          <w:lang w:val="fr-CA"/>
        </w:rPr>
      </w:pPr>
      <w:r>
        <w:rPr>
          <w:lang w:val="fr-CA"/>
        </w:rPr>
        <w:t>[2]</w:t>
      </w:r>
      <w:r>
        <w:rPr>
          <w:lang w:val="fr-CA"/>
        </w:rPr>
        <w:tab/>
      </w:r>
      <w:r w:rsidRPr="002C098E">
        <w:rPr>
          <w:lang w:val="fr-CA"/>
        </w:rPr>
        <w:t xml:space="preserve">De plus, si le juge du procès avait conclu que c’est l’appelant qui a poignardé la victime, on ne saurait dire avec certitude s’il a adéquatement analysé la </w:t>
      </w:r>
      <w:r w:rsidRPr="002C098E">
        <w:rPr>
          <w:i/>
          <w:lang w:val="fr-CA"/>
        </w:rPr>
        <w:t>mens rea</w:t>
      </w:r>
      <w:r w:rsidRPr="002C098E">
        <w:rPr>
          <w:lang w:val="fr-CA"/>
        </w:rPr>
        <w:t xml:space="preserve"> subjective requise pour permettre de conclure qu’il y a eu meurtre au deuxième degré suivant le sous-al. 229a)(ii) du </w:t>
      </w:r>
      <w:r w:rsidRPr="002C098E">
        <w:rPr>
          <w:i/>
          <w:lang w:val="fr-CA"/>
        </w:rPr>
        <w:t>Code criminel</w:t>
      </w:r>
      <w:r w:rsidRPr="002C098E">
        <w:rPr>
          <w:lang w:val="fr-CA"/>
        </w:rPr>
        <w:t>, L.R.C. 1985, c. C</w:t>
      </w:r>
      <w:r w:rsidRPr="002C098E">
        <w:rPr>
          <w:lang w:val="fr-CA"/>
        </w:rPr>
        <w:noBreakHyphen/>
        <w:t xml:space="preserve">46. Le premier juge n’a pas considéré la question cruciale de savoir ce que l’appelant, subjectivement, savait et avait l’intention de faire lorsqu’il a asséné les coups de couteau (suivant l’arrêt </w:t>
      </w:r>
      <w:r w:rsidRPr="002C098E">
        <w:rPr>
          <w:i/>
          <w:lang w:val="fr-CA"/>
        </w:rPr>
        <w:t>R. c. Cooper</w:t>
      </w:r>
      <w:r w:rsidRPr="002C098E">
        <w:rPr>
          <w:lang w:val="fr-CA"/>
        </w:rPr>
        <w:t>, [1993] 1 R.C.S. 146, p. 159). En considérant les affirmations du juge du procès concernant l’intention comme suffisantes pour appuyer la déclaration de culpabilité pour meurtre (par. 34), les juges majoritaires ont commis une autre erreur.</w:t>
      </w:r>
    </w:p>
    <w:p w:rsidR="00917B76" w:rsidRPr="0036249B" w:rsidRDefault="001232C2" w:rsidP="0066407A">
      <w:pPr>
        <w:pStyle w:val="ParaNoNdepar-AltN"/>
        <w:numPr>
          <w:ilvl w:val="0"/>
          <w:numId w:val="0"/>
        </w:numPr>
        <w:rPr>
          <w:lang w:val="fr-CA"/>
        </w:rPr>
      </w:pPr>
      <w:r>
        <w:rPr>
          <w:lang w:val="fr-CA"/>
        </w:rPr>
        <w:t>[3]</w:t>
      </w:r>
      <w:r>
        <w:rPr>
          <w:lang w:val="fr-CA"/>
        </w:rPr>
        <w:tab/>
      </w:r>
      <w:r w:rsidRPr="002C098E">
        <w:rPr>
          <w:lang w:val="fr-CA"/>
        </w:rPr>
        <w:t>Tant l’appelant que l’intimée nous ont indiqué que si la Cour substituait un verdict d’homicide involontaire coupable au verdict initial, au lieu d’ordonner un nouveau procès, cette décision leur convenait. Par conséquent, en vertu du sous</w:t>
      </w:r>
      <w:r w:rsidRPr="002C098E">
        <w:rPr>
          <w:lang w:val="fr-CA"/>
        </w:rPr>
        <w:noBreakHyphen/>
        <w:t xml:space="preserve">al. 686(1)b)(i) du </w:t>
      </w:r>
      <w:r w:rsidRPr="002C098E">
        <w:rPr>
          <w:i/>
          <w:lang w:val="fr-CA"/>
        </w:rPr>
        <w:t>Code criminel</w:t>
      </w:r>
      <w:r w:rsidRPr="002C098E">
        <w:rPr>
          <w:lang w:val="fr-CA"/>
        </w:rPr>
        <w:t>, le pourvoi est rejeté, un verdict d’homicide involontaire coupable est substitué au premier verdict et l’affaire est renvoyée au juge du procès pour détermination de la peine.</w:t>
      </w:r>
    </w:p>
    <w:p w:rsidR="004D7D95" w:rsidRPr="001B3601" w:rsidRDefault="0036249B" w:rsidP="0066407A">
      <w:pPr>
        <w:pStyle w:val="SCCNormalDoubleSpacing"/>
        <w:spacing w:after="480"/>
        <w:rPr>
          <w:lang w:val="fr-CA"/>
        </w:rPr>
      </w:pPr>
      <w:r>
        <w:rPr>
          <w:i/>
          <w:lang w:val="fr-CA"/>
        </w:rPr>
        <w:tab/>
        <w:t>Jugement en conséquence.</w:t>
      </w:r>
    </w:p>
    <w:p w:rsidR="00917B76" w:rsidRPr="001B3601" w:rsidRDefault="0036249B" w:rsidP="0066407A">
      <w:pPr>
        <w:pStyle w:val="SCCLawFirm"/>
        <w:spacing w:after="480"/>
        <w:rPr>
          <w:lang w:val="fr-CA"/>
        </w:rPr>
      </w:pPr>
      <w:r>
        <w:rPr>
          <w:lang w:val="fr-CA"/>
        </w:rPr>
        <w:tab/>
        <w:t>Procureurs</w:t>
      </w:r>
      <w:r w:rsidR="001B3601" w:rsidRPr="001B3601">
        <w:rPr>
          <w:lang w:val="fr-CA"/>
        </w:rPr>
        <w:t xml:space="preserve"> de </w:t>
      </w:r>
      <w:r>
        <w:rPr>
          <w:lang w:val="fr-CA"/>
        </w:rPr>
        <w:t>l’appelant</w:t>
      </w:r>
      <w:r w:rsidR="002D1AC8" w:rsidRPr="002D1AC8">
        <w:rPr>
          <w:lang w:val="fr-CA"/>
        </w:rPr>
        <w:t> </w:t>
      </w:r>
      <w:r>
        <w:rPr>
          <w:lang w:val="fr-CA"/>
        </w:rPr>
        <w:t xml:space="preserve">: Karen </w:t>
      </w:r>
      <w:r w:rsidR="001B3601" w:rsidRPr="001B3601">
        <w:rPr>
          <w:lang w:val="fr-CA"/>
        </w:rPr>
        <w:t>Molle</w:t>
      </w:r>
      <w:r>
        <w:rPr>
          <w:lang w:val="fr-CA"/>
        </w:rPr>
        <w:t xml:space="preserve"> Law Office</w:t>
      </w:r>
      <w:r w:rsidR="001B3601" w:rsidRPr="001B3601">
        <w:rPr>
          <w:lang w:val="fr-CA"/>
        </w:rPr>
        <w:t>, Calgary</w:t>
      </w:r>
      <w:r>
        <w:rPr>
          <w:lang w:val="fr-CA"/>
        </w:rPr>
        <w:t>; Ruttan Bates, Calgary</w:t>
      </w:r>
      <w:r w:rsidR="001B3601" w:rsidRPr="001B3601">
        <w:rPr>
          <w:lang w:val="fr-CA"/>
        </w:rPr>
        <w:t>.</w:t>
      </w:r>
    </w:p>
    <w:p w:rsidR="009B57B3" w:rsidRPr="00C230AE" w:rsidRDefault="001B3601" w:rsidP="0036249B">
      <w:pPr>
        <w:pStyle w:val="SCCLawFirm"/>
        <w:rPr>
          <w:lang w:val="fr-CA"/>
        </w:rPr>
      </w:pPr>
      <w:r w:rsidRPr="001B3601">
        <w:rPr>
          <w:lang w:val="fr-CA"/>
        </w:rPr>
        <w:tab/>
      </w:r>
      <w:r w:rsidR="0036249B" w:rsidRPr="00C230AE">
        <w:rPr>
          <w:lang w:val="fr-CA"/>
        </w:rPr>
        <w:t xml:space="preserve">Procureur </w:t>
      </w:r>
      <w:r w:rsidRPr="00C230AE">
        <w:rPr>
          <w:lang w:val="fr-CA"/>
        </w:rPr>
        <w:t>de l</w:t>
      </w:r>
      <w:r w:rsidR="0036249B" w:rsidRPr="00C230AE">
        <w:rPr>
          <w:lang w:val="fr-CA"/>
        </w:rPr>
        <w:t>’intimée</w:t>
      </w:r>
      <w:r w:rsidRPr="00C230AE">
        <w:rPr>
          <w:lang w:val="fr-CA"/>
        </w:rPr>
        <w:t xml:space="preserve"> : </w:t>
      </w:r>
      <w:r w:rsidR="0018729D" w:rsidRPr="00C230AE">
        <w:rPr>
          <w:lang w:val="fr-CA"/>
        </w:rPr>
        <w:t xml:space="preserve">Procureur </w:t>
      </w:r>
      <w:r w:rsidR="00C230AE" w:rsidRPr="00C230AE">
        <w:rPr>
          <w:lang w:val="fr-CA"/>
        </w:rPr>
        <w:t>général</w:t>
      </w:r>
      <w:r w:rsidR="0018729D" w:rsidRPr="00C230AE">
        <w:rPr>
          <w:lang w:val="fr-CA"/>
        </w:rPr>
        <w:t xml:space="preserve"> de l’</w:t>
      </w:r>
      <w:r w:rsidRPr="00C230AE">
        <w:rPr>
          <w:lang w:val="fr-CA"/>
        </w:rPr>
        <w:t>Alberta, Calgary.</w:t>
      </w:r>
    </w:p>
    <w:sectPr w:rsidR="009B57B3" w:rsidRPr="00C230AE"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681" w:rsidRDefault="00F41681">
      <w:r>
        <w:separator/>
      </w:r>
    </w:p>
  </w:endnote>
  <w:endnote w:type="continuationSeparator" w:id="0">
    <w:p w:rsidR="00F41681" w:rsidRDefault="00F4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681" w:rsidRDefault="00F41681">
      <w:r>
        <w:separator/>
      </w:r>
    </w:p>
  </w:footnote>
  <w:footnote w:type="continuationSeparator" w:id="0">
    <w:p w:rsidR="00F41681" w:rsidRDefault="00F41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C6D25"/>
    <w:multiLevelType w:val="multilevel"/>
    <w:tmpl w:val="D19832DE"/>
    <w:lvl w:ilvl="0">
      <w:start w:val="1"/>
      <w:numFmt w:val="decimal"/>
      <w:pStyle w:val="ParaNoNdepar-Alt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08C4"/>
    <w:rsid w:val="00023FC7"/>
    <w:rsid w:val="00025198"/>
    <w:rsid w:val="000578A3"/>
    <w:rsid w:val="000648CC"/>
    <w:rsid w:val="000853A6"/>
    <w:rsid w:val="000C59B8"/>
    <w:rsid w:val="000C6AF0"/>
    <w:rsid w:val="000D0A77"/>
    <w:rsid w:val="000F7993"/>
    <w:rsid w:val="00104F33"/>
    <w:rsid w:val="00111DE2"/>
    <w:rsid w:val="00116B38"/>
    <w:rsid w:val="001232C2"/>
    <w:rsid w:val="00135406"/>
    <w:rsid w:val="00135972"/>
    <w:rsid w:val="001426A9"/>
    <w:rsid w:val="0015488D"/>
    <w:rsid w:val="00154D7C"/>
    <w:rsid w:val="001570B0"/>
    <w:rsid w:val="0015752C"/>
    <w:rsid w:val="00157737"/>
    <w:rsid w:val="00165277"/>
    <w:rsid w:val="00170592"/>
    <w:rsid w:val="001720F7"/>
    <w:rsid w:val="0018729D"/>
    <w:rsid w:val="00195D83"/>
    <w:rsid w:val="001A00C1"/>
    <w:rsid w:val="001B33E0"/>
    <w:rsid w:val="001B3601"/>
    <w:rsid w:val="001B4573"/>
    <w:rsid w:val="001C779F"/>
    <w:rsid w:val="001D2AC1"/>
    <w:rsid w:val="001D4E88"/>
    <w:rsid w:val="001E77B7"/>
    <w:rsid w:val="00220FC2"/>
    <w:rsid w:val="002222F4"/>
    <w:rsid w:val="00224FC0"/>
    <w:rsid w:val="00225EA4"/>
    <w:rsid w:val="00226EAF"/>
    <w:rsid w:val="00231F3A"/>
    <w:rsid w:val="002406EE"/>
    <w:rsid w:val="00243EC8"/>
    <w:rsid w:val="00270D93"/>
    <w:rsid w:val="002745CC"/>
    <w:rsid w:val="002B3523"/>
    <w:rsid w:val="002B6FBE"/>
    <w:rsid w:val="002B7924"/>
    <w:rsid w:val="002C10A6"/>
    <w:rsid w:val="002D1AC8"/>
    <w:rsid w:val="002D28C3"/>
    <w:rsid w:val="002D39A4"/>
    <w:rsid w:val="002E6705"/>
    <w:rsid w:val="0030329A"/>
    <w:rsid w:val="0031086F"/>
    <w:rsid w:val="0031414C"/>
    <w:rsid w:val="00314E01"/>
    <w:rsid w:val="0032089D"/>
    <w:rsid w:val="003310DE"/>
    <w:rsid w:val="003323B0"/>
    <w:rsid w:val="00340A49"/>
    <w:rsid w:val="0035169A"/>
    <w:rsid w:val="0035259D"/>
    <w:rsid w:val="0036249B"/>
    <w:rsid w:val="00364B18"/>
    <w:rsid w:val="003A125D"/>
    <w:rsid w:val="003A4C70"/>
    <w:rsid w:val="003B215F"/>
    <w:rsid w:val="003C799C"/>
    <w:rsid w:val="003D0399"/>
    <w:rsid w:val="003E1C71"/>
    <w:rsid w:val="003F327B"/>
    <w:rsid w:val="00406166"/>
    <w:rsid w:val="0040704B"/>
    <w:rsid w:val="00410A55"/>
    <w:rsid w:val="00411300"/>
    <w:rsid w:val="00413F17"/>
    <w:rsid w:val="00415417"/>
    <w:rsid w:val="00426659"/>
    <w:rsid w:val="00450352"/>
    <w:rsid w:val="00454BDB"/>
    <w:rsid w:val="00465132"/>
    <w:rsid w:val="00475E3A"/>
    <w:rsid w:val="00480C90"/>
    <w:rsid w:val="0048396F"/>
    <w:rsid w:val="00487FDC"/>
    <w:rsid w:val="00493C18"/>
    <w:rsid w:val="004A600C"/>
    <w:rsid w:val="004A6118"/>
    <w:rsid w:val="004C478D"/>
    <w:rsid w:val="004D7D95"/>
    <w:rsid w:val="004E2C26"/>
    <w:rsid w:val="005125A8"/>
    <w:rsid w:val="00513B23"/>
    <w:rsid w:val="00517549"/>
    <w:rsid w:val="00520ABC"/>
    <w:rsid w:val="00521AE8"/>
    <w:rsid w:val="00527180"/>
    <w:rsid w:val="00555291"/>
    <w:rsid w:val="00566AD1"/>
    <w:rsid w:val="00573571"/>
    <w:rsid w:val="00583EDE"/>
    <w:rsid w:val="00596B44"/>
    <w:rsid w:val="005A6079"/>
    <w:rsid w:val="005E4698"/>
    <w:rsid w:val="00603924"/>
    <w:rsid w:val="00610539"/>
    <w:rsid w:val="00613969"/>
    <w:rsid w:val="00625C35"/>
    <w:rsid w:val="00647E49"/>
    <w:rsid w:val="00656313"/>
    <w:rsid w:val="006565F4"/>
    <w:rsid w:val="0066407A"/>
    <w:rsid w:val="00684EEA"/>
    <w:rsid w:val="0069689B"/>
    <w:rsid w:val="006B5FF5"/>
    <w:rsid w:val="006F30AF"/>
    <w:rsid w:val="00701759"/>
    <w:rsid w:val="00705C15"/>
    <w:rsid w:val="00706DBA"/>
    <w:rsid w:val="007110F6"/>
    <w:rsid w:val="007208D1"/>
    <w:rsid w:val="00744518"/>
    <w:rsid w:val="00747288"/>
    <w:rsid w:val="00747DD3"/>
    <w:rsid w:val="007549C8"/>
    <w:rsid w:val="00766D14"/>
    <w:rsid w:val="00767A0F"/>
    <w:rsid w:val="00781554"/>
    <w:rsid w:val="00791272"/>
    <w:rsid w:val="007A05F6"/>
    <w:rsid w:val="007B6F4A"/>
    <w:rsid w:val="007E1C47"/>
    <w:rsid w:val="007E337A"/>
    <w:rsid w:val="007E5C70"/>
    <w:rsid w:val="007F2FF5"/>
    <w:rsid w:val="007F3F08"/>
    <w:rsid w:val="00804CC6"/>
    <w:rsid w:val="00817190"/>
    <w:rsid w:val="00820494"/>
    <w:rsid w:val="008260E2"/>
    <w:rsid w:val="008322BD"/>
    <w:rsid w:val="00834F73"/>
    <w:rsid w:val="00864C8A"/>
    <w:rsid w:val="00864CF8"/>
    <w:rsid w:val="00874914"/>
    <w:rsid w:val="00891422"/>
    <w:rsid w:val="00892E1A"/>
    <w:rsid w:val="008B660A"/>
    <w:rsid w:val="008C01DA"/>
    <w:rsid w:val="008F2674"/>
    <w:rsid w:val="008F78E9"/>
    <w:rsid w:val="009179F9"/>
    <w:rsid w:val="00917B76"/>
    <w:rsid w:val="00917C7A"/>
    <w:rsid w:val="00933E5E"/>
    <w:rsid w:val="00935218"/>
    <w:rsid w:val="00937C52"/>
    <w:rsid w:val="009403F3"/>
    <w:rsid w:val="009555B7"/>
    <w:rsid w:val="009567AA"/>
    <w:rsid w:val="009602C9"/>
    <w:rsid w:val="00967374"/>
    <w:rsid w:val="009A343A"/>
    <w:rsid w:val="009B2F23"/>
    <w:rsid w:val="009B57B3"/>
    <w:rsid w:val="009C6188"/>
    <w:rsid w:val="009C683B"/>
    <w:rsid w:val="009D2920"/>
    <w:rsid w:val="009D5AEB"/>
    <w:rsid w:val="009F0E33"/>
    <w:rsid w:val="00A149DF"/>
    <w:rsid w:val="00A1755C"/>
    <w:rsid w:val="00A21B90"/>
    <w:rsid w:val="00A22AAC"/>
    <w:rsid w:val="00A41805"/>
    <w:rsid w:val="00A51882"/>
    <w:rsid w:val="00A52AFB"/>
    <w:rsid w:val="00A548CB"/>
    <w:rsid w:val="00A5521C"/>
    <w:rsid w:val="00A643E7"/>
    <w:rsid w:val="00A73C38"/>
    <w:rsid w:val="00A921A7"/>
    <w:rsid w:val="00AB670D"/>
    <w:rsid w:val="00AF03C5"/>
    <w:rsid w:val="00B000D8"/>
    <w:rsid w:val="00B00F75"/>
    <w:rsid w:val="00B12E93"/>
    <w:rsid w:val="00B145B6"/>
    <w:rsid w:val="00B279EB"/>
    <w:rsid w:val="00B50C81"/>
    <w:rsid w:val="00B557F8"/>
    <w:rsid w:val="00B815FC"/>
    <w:rsid w:val="00B93FBC"/>
    <w:rsid w:val="00BA7DA0"/>
    <w:rsid w:val="00BB2EE4"/>
    <w:rsid w:val="00BB4C92"/>
    <w:rsid w:val="00BC2108"/>
    <w:rsid w:val="00BD0E9E"/>
    <w:rsid w:val="00BD1BEC"/>
    <w:rsid w:val="00BD32FF"/>
    <w:rsid w:val="00BF6FE9"/>
    <w:rsid w:val="00C02092"/>
    <w:rsid w:val="00C230AE"/>
    <w:rsid w:val="00C24D91"/>
    <w:rsid w:val="00C26DB2"/>
    <w:rsid w:val="00C53F14"/>
    <w:rsid w:val="00C600CF"/>
    <w:rsid w:val="00C6084F"/>
    <w:rsid w:val="00C62A66"/>
    <w:rsid w:val="00C66359"/>
    <w:rsid w:val="00C67B80"/>
    <w:rsid w:val="00C71458"/>
    <w:rsid w:val="00C77613"/>
    <w:rsid w:val="00C828E7"/>
    <w:rsid w:val="00C86719"/>
    <w:rsid w:val="00C921DD"/>
    <w:rsid w:val="00CA33B1"/>
    <w:rsid w:val="00CA6391"/>
    <w:rsid w:val="00CE036E"/>
    <w:rsid w:val="00CE3171"/>
    <w:rsid w:val="00CF1601"/>
    <w:rsid w:val="00D0172F"/>
    <w:rsid w:val="00D01E33"/>
    <w:rsid w:val="00D068A7"/>
    <w:rsid w:val="00D17476"/>
    <w:rsid w:val="00D17B0E"/>
    <w:rsid w:val="00D32086"/>
    <w:rsid w:val="00D37A3F"/>
    <w:rsid w:val="00D4431D"/>
    <w:rsid w:val="00D4667A"/>
    <w:rsid w:val="00D63A1C"/>
    <w:rsid w:val="00D7516F"/>
    <w:rsid w:val="00D95F8E"/>
    <w:rsid w:val="00DA0590"/>
    <w:rsid w:val="00DC1739"/>
    <w:rsid w:val="00DC1788"/>
    <w:rsid w:val="00DC3AC5"/>
    <w:rsid w:val="00DE319C"/>
    <w:rsid w:val="00DF0CA8"/>
    <w:rsid w:val="00DF2B48"/>
    <w:rsid w:val="00DF49A7"/>
    <w:rsid w:val="00E07EE2"/>
    <w:rsid w:val="00E07FD1"/>
    <w:rsid w:val="00E24573"/>
    <w:rsid w:val="00E25E1E"/>
    <w:rsid w:val="00E27EE7"/>
    <w:rsid w:val="00E35404"/>
    <w:rsid w:val="00E42384"/>
    <w:rsid w:val="00E45109"/>
    <w:rsid w:val="00E47B7A"/>
    <w:rsid w:val="00E56A44"/>
    <w:rsid w:val="00E60269"/>
    <w:rsid w:val="00E97830"/>
    <w:rsid w:val="00EE0830"/>
    <w:rsid w:val="00EE6CB8"/>
    <w:rsid w:val="00EF0683"/>
    <w:rsid w:val="00F0070C"/>
    <w:rsid w:val="00F00EB7"/>
    <w:rsid w:val="00F36AB6"/>
    <w:rsid w:val="00F37A09"/>
    <w:rsid w:val="00F409CE"/>
    <w:rsid w:val="00F41681"/>
    <w:rsid w:val="00F4348F"/>
    <w:rsid w:val="00F4379D"/>
    <w:rsid w:val="00F50D2D"/>
    <w:rsid w:val="00F56C8B"/>
    <w:rsid w:val="00F62639"/>
    <w:rsid w:val="00F66810"/>
    <w:rsid w:val="00F84DF4"/>
    <w:rsid w:val="00F85C97"/>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66407A"/>
    <w:pPr>
      <w:numPr>
        <w:numId w:val="1"/>
      </w:numPr>
      <w:tabs>
        <w:tab w:val="left" w:pos="1166"/>
      </w:tabs>
      <w:spacing w:before="480" w:after="480" w:line="480" w:lineRule="auto"/>
      <w:jc w:val="both"/>
    </w:pPr>
    <w:rPr>
      <w:rFonts w:eastAsiaTheme="minorEastAsia" w:cstheme="minorBidi"/>
      <w:sz w:val="24"/>
      <w:szCs w:val="22"/>
      <w:lang w:eastAsia="en-US"/>
    </w:rPr>
  </w:style>
  <w:style w:type="table" w:customStyle="1" w:styleId="TableGrid1">
    <w:name w:val="Table Grid1"/>
    <w:basedOn w:val="TableNormal"/>
    <w:next w:val="TableGrid"/>
    <w:uiPriority w:val="59"/>
    <w:rsid w:val="00C67B80"/>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C67B80"/>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C67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2021-03-01T00:28:00Z</dcterms:created>
  <dcterms:modified xsi:type="dcterms:W3CDTF">2021-03-01T18:33:00Z</dcterms:modified>
</cp:coreProperties>
</file>