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408" w:rsidRPr="00936408" w:rsidRDefault="00936408" w:rsidP="00500DAD">
      <w:pPr>
        <w:tabs>
          <w:tab w:val="center" w:pos="4680"/>
          <w:tab w:val="right" w:pos="9360"/>
        </w:tabs>
        <w:jc w:val="center"/>
        <w:rPr>
          <w:rFonts w:eastAsia="Calibri"/>
          <w:szCs w:val="24"/>
          <w:lang w:val="fr-CA" w:eastAsia="en-US"/>
        </w:rPr>
      </w:pPr>
      <w:r w:rsidRPr="00936408">
        <w:rPr>
          <w:rFonts w:eastAsia="Calibri"/>
          <w:szCs w:val="24"/>
          <w:lang w:val="fr-CA" w:eastAsia="en-US"/>
        </w:rPr>
        <w:ptab w:relativeTo="margin" w:alignment="center" w:leader="none"/>
      </w:r>
      <w:r w:rsidRPr="00936408">
        <w:rPr>
          <w:rFonts w:eastAsia="Calibri"/>
          <w:szCs w:val="24"/>
          <w:lang w:val="fr-CA" w:eastAsia="en-US"/>
        </w:rPr>
        <w:t xml:space="preserve"> </w:t>
      </w:r>
      <w:r w:rsidRPr="00936408">
        <w:rPr>
          <w:rFonts w:eastAsia="Calibr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4.65pt" o:ole="">
            <v:imagedata r:id="rId6" o:title=""/>
          </v:shape>
          <o:OLEObject Type="Embed" ProgID="Presentations.Drawing.13" ShapeID="_x0000_i1025" DrawAspect="Content" ObjectID="_1676111276" r:id="rId7"/>
        </w:object>
      </w:r>
      <w:r w:rsidRPr="00936408">
        <w:rPr>
          <w:rFonts w:eastAsia="Calibri"/>
          <w:szCs w:val="24"/>
          <w:lang w:val="fr-CA" w:eastAsia="en-US"/>
        </w:rPr>
        <w:t xml:space="preserve"> </w:t>
      </w:r>
      <w:r w:rsidRPr="00936408">
        <w:rPr>
          <w:rFonts w:eastAsia="Calibri"/>
          <w:szCs w:val="24"/>
          <w:lang w:val="fr-CA" w:eastAsia="en-US"/>
        </w:rPr>
        <w:ptab w:relativeTo="margin" w:alignment="right" w:leader="none"/>
      </w:r>
    </w:p>
    <w:p w:rsidR="00936408" w:rsidRPr="00936408" w:rsidRDefault="00936408" w:rsidP="00936408">
      <w:pPr>
        <w:tabs>
          <w:tab w:val="center" w:pos="4680"/>
          <w:tab w:val="right" w:pos="9360"/>
        </w:tabs>
        <w:rPr>
          <w:rFonts w:eastAsia="Calibri"/>
          <w:szCs w:val="24"/>
          <w:lang w:val="fr-CA" w:eastAsia="en-US"/>
        </w:rPr>
      </w:pPr>
    </w:p>
    <w:p w:rsidR="00936408" w:rsidRPr="00936408" w:rsidRDefault="00936408" w:rsidP="00936408">
      <w:pPr>
        <w:jc w:val="center"/>
        <w:rPr>
          <w:rFonts w:eastAsia="Calibri"/>
          <w:b/>
          <w:szCs w:val="24"/>
          <w:lang w:val="fr-CA" w:eastAsia="en-US"/>
        </w:rPr>
      </w:pPr>
      <w:r w:rsidRPr="00936408">
        <w:rPr>
          <w:rFonts w:eastAsia="Calibri"/>
          <w:b/>
          <w:szCs w:val="24"/>
          <w:lang w:val="fr-CA" w:eastAsia="en-US"/>
        </w:rPr>
        <w:t>COUR SUPRÊME DU CANADA</w:t>
      </w:r>
    </w:p>
    <w:p w:rsidR="00936408" w:rsidRPr="00936408" w:rsidRDefault="00936408" w:rsidP="00936408">
      <w:pPr>
        <w:rPr>
          <w:rFonts w:eastAsia="Calibri"/>
          <w:szCs w:val="24"/>
          <w:lang w:val="fr-CA" w:eastAsia="en-US"/>
        </w:rPr>
      </w:pPr>
    </w:p>
    <w:tbl>
      <w:tblPr>
        <w:tblStyle w:val="TableGrid11"/>
        <w:tblW w:w="538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5"/>
        <w:gridCol w:w="1760"/>
        <w:gridCol w:w="3389"/>
      </w:tblGrid>
      <w:tr w:rsidR="00936408" w:rsidRPr="00A9085B" w:rsidTr="00A9040A">
        <w:tc>
          <w:tcPr>
            <w:tcW w:w="2112" w:type="pct"/>
          </w:tcPr>
          <w:p w:rsidR="00936408" w:rsidRPr="00CB5B04" w:rsidRDefault="00936408" w:rsidP="00695EFF">
            <w:pPr>
              <w:spacing w:before="100" w:beforeAutospacing="1"/>
              <w:rPr>
                <w:rFonts w:eastAsia="Calibri"/>
                <w:lang w:val="fr-CA"/>
              </w:rPr>
            </w:pPr>
            <w:r w:rsidRPr="00CB5B04">
              <w:rPr>
                <w:b/>
                <w:smallCaps/>
                <w:lang w:val="fr-CA"/>
              </w:rPr>
              <w:t>Référence :</w:t>
            </w:r>
            <w:r w:rsidRPr="006A4755">
              <w:rPr>
                <w:rStyle w:val="SCCAppellantForRunningHeadChar"/>
                <w:rFonts w:eastAsiaTheme="minorHAnsi"/>
                <w:smallCaps w:val="0"/>
                <w:lang w:val="fr-CA"/>
              </w:rPr>
              <w:t xml:space="preserve"> </w:t>
            </w:r>
            <w:r w:rsidRPr="006A4755">
              <w:rPr>
                <w:rStyle w:val="SCCAppellantForRunningHeadChar"/>
                <w:rFonts w:eastAsiaTheme="minorHAnsi"/>
                <w:lang w:val="fr-CA"/>
              </w:rPr>
              <w:t xml:space="preserve">R. </w:t>
            </w:r>
            <w:r w:rsidRPr="00936408">
              <w:rPr>
                <w:rStyle w:val="SCCAppellantForRunningHeadChar"/>
                <w:rFonts w:eastAsiaTheme="minorHAnsi"/>
                <w:i/>
                <w:smallCaps w:val="0"/>
                <w:lang w:val="fr-CA"/>
              </w:rPr>
              <w:t>c</w:t>
            </w:r>
            <w:r w:rsidRPr="006A4755">
              <w:rPr>
                <w:rStyle w:val="SCCAppellantForRunningHeadChar"/>
                <w:rFonts w:eastAsiaTheme="minorHAnsi"/>
                <w:i/>
                <w:lang w:val="fr-CA"/>
              </w:rPr>
              <w:t>.</w:t>
            </w:r>
            <w:r w:rsidRPr="006A4755">
              <w:rPr>
                <w:rStyle w:val="SCCAppellantForRunningHeadChar"/>
                <w:rFonts w:eastAsiaTheme="minorHAnsi"/>
                <w:lang w:val="fr-CA"/>
              </w:rPr>
              <w:t xml:space="preserve"> </w:t>
            </w:r>
            <w:r>
              <w:rPr>
                <w:rStyle w:val="SCCAppellantForRunningHeadChar"/>
                <w:rFonts w:eastAsiaTheme="minorHAnsi"/>
                <w:lang w:val="fr-CA"/>
              </w:rPr>
              <w:t>W.L.S.,</w:t>
            </w:r>
            <w:r w:rsidRPr="006A4755">
              <w:rPr>
                <w:rStyle w:val="SCCAppellantForRunningHeadChar"/>
                <w:rFonts w:eastAsiaTheme="minorHAnsi"/>
                <w:lang w:val="fr-CA"/>
              </w:rPr>
              <w:t xml:space="preserve"> </w:t>
            </w:r>
            <w:r w:rsidRPr="00936408">
              <w:rPr>
                <w:smallCaps/>
                <w:lang w:val="fr-CA"/>
              </w:rPr>
              <w:t>2019 CSC 27, [2019] 2 R.C.S. 403</w:t>
            </w:r>
            <w:r w:rsidRPr="00CB5B04">
              <w:rPr>
                <w:lang w:val="fr-CA"/>
              </w:rPr>
              <w:t xml:space="preserve"> </w:t>
            </w:r>
          </w:p>
        </w:tc>
        <w:tc>
          <w:tcPr>
            <w:tcW w:w="987" w:type="pct"/>
          </w:tcPr>
          <w:p w:rsidR="00936408" w:rsidRPr="00CB5B04" w:rsidRDefault="00936408" w:rsidP="00695EFF">
            <w:pPr>
              <w:rPr>
                <w:b/>
                <w:smallCaps/>
                <w:lang w:val="fr-CA"/>
              </w:rPr>
            </w:pPr>
          </w:p>
        </w:tc>
        <w:tc>
          <w:tcPr>
            <w:tcW w:w="1901" w:type="pct"/>
          </w:tcPr>
          <w:p w:rsidR="00936408" w:rsidRPr="00CB5B04" w:rsidRDefault="00936408" w:rsidP="00695EFF">
            <w:pPr>
              <w:rPr>
                <w:lang w:val="fr-CA"/>
              </w:rPr>
            </w:pPr>
            <w:r w:rsidRPr="00CB5B04">
              <w:rPr>
                <w:b/>
                <w:smallCaps/>
                <w:lang w:val="fr-CA"/>
              </w:rPr>
              <w:t>Appel entendu :</w:t>
            </w:r>
            <w:r w:rsidRPr="00CB5B04">
              <w:rPr>
                <w:lang w:val="fr-CA"/>
              </w:rPr>
              <w:t xml:space="preserve"> </w:t>
            </w:r>
            <w:r w:rsidRPr="00936408">
              <w:rPr>
                <w:lang w:val="fr-CA"/>
              </w:rPr>
              <w:t>7 mai 2019</w:t>
            </w:r>
          </w:p>
          <w:p w:rsidR="00936408" w:rsidRPr="00CB5B04" w:rsidRDefault="00936408" w:rsidP="00695EFF">
            <w:pPr>
              <w:rPr>
                <w:b/>
                <w:smallCaps/>
                <w:lang w:val="fr-CA"/>
              </w:rPr>
            </w:pPr>
            <w:r w:rsidRPr="00CB5B04">
              <w:rPr>
                <w:b/>
                <w:smallCaps/>
                <w:lang w:val="fr-CA"/>
              </w:rPr>
              <w:t xml:space="preserve">Jugement rendu : </w:t>
            </w:r>
            <w:r w:rsidRPr="00936408">
              <w:rPr>
                <w:lang w:val="fr-CA"/>
              </w:rPr>
              <w:t>7 mai 2019</w:t>
            </w:r>
          </w:p>
          <w:p w:rsidR="00936408" w:rsidRPr="00A9085B" w:rsidRDefault="00936408" w:rsidP="00695EFF">
            <w:pPr>
              <w:rPr>
                <w:rFonts w:eastAsia="Calibri"/>
                <w:lang w:val="fr-CA"/>
              </w:rPr>
            </w:pPr>
            <w:r w:rsidRPr="00A9085B">
              <w:rPr>
                <w:b/>
                <w:smallCaps/>
                <w:lang w:val="fr-CA"/>
              </w:rPr>
              <w:t>Dossier :</w:t>
            </w:r>
            <w:r w:rsidRPr="00A9085B">
              <w:rPr>
                <w:lang w:val="fr-CA"/>
              </w:rPr>
              <w:t xml:space="preserve"> </w:t>
            </w:r>
            <w:r>
              <w:t>38427</w:t>
            </w:r>
          </w:p>
        </w:tc>
      </w:tr>
    </w:tbl>
    <w:p w:rsidR="00936408" w:rsidRPr="00936408" w:rsidRDefault="00936408" w:rsidP="00936408">
      <w:pPr>
        <w:rPr>
          <w:rFonts w:eastAsia="Calibri"/>
          <w:b/>
          <w:smallCaps/>
          <w:szCs w:val="24"/>
          <w:lang w:val="fr-CA" w:eastAsia="en-US"/>
        </w:rPr>
      </w:pPr>
    </w:p>
    <w:p w:rsidR="00936408" w:rsidRPr="00936408" w:rsidRDefault="00936408" w:rsidP="00936408">
      <w:pPr>
        <w:rPr>
          <w:rFonts w:eastAsia="Calibri"/>
          <w:b/>
          <w:smallCaps/>
          <w:szCs w:val="24"/>
          <w:lang w:val="fr-CA" w:eastAsia="en-US"/>
        </w:rPr>
      </w:pPr>
    </w:p>
    <w:p w:rsidR="00936408" w:rsidRPr="00936408" w:rsidRDefault="00936408" w:rsidP="00936408">
      <w:pPr>
        <w:rPr>
          <w:rFonts w:eastAsia="Calibri"/>
          <w:b/>
          <w:smallCaps/>
          <w:szCs w:val="24"/>
          <w:lang w:val="fr-CA" w:eastAsia="en-US"/>
        </w:rPr>
      </w:pPr>
      <w:r w:rsidRPr="00936408">
        <w:rPr>
          <w:rFonts w:eastAsia="Calibri"/>
          <w:b/>
          <w:smallCaps/>
          <w:szCs w:val="24"/>
          <w:lang w:val="fr-CA" w:eastAsia="en-US"/>
        </w:rPr>
        <w:t>Entre :</w:t>
      </w:r>
    </w:p>
    <w:p w:rsidR="00936408" w:rsidRPr="00936408" w:rsidRDefault="00936408" w:rsidP="00936408">
      <w:pPr>
        <w:jc w:val="center"/>
        <w:rPr>
          <w:rFonts w:eastAsia="Calibri"/>
          <w:b/>
          <w:szCs w:val="24"/>
          <w:lang w:val="fr-CA" w:eastAsia="en-US"/>
        </w:rPr>
      </w:pPr>
      <w:r w:rsidRPr="00936408">
        <w:rPr>
          <w:rFonts w:eastAsia="Calibri"/>
          <w:b/>
          <w:szCs w:val="24"/>
          <w:lang w:val="fr-CA" w:eastAsia="en-US"/>
        </w:rPr>
        <w:t>W.L.S.</w:t>
      </w:r>
    </w:p>
    <w:p w:rsidR="00936408" w:rsidRPr="00936408" w:rsidRDefault="00936408" w:rsidP="00936408">
      <w:pPr>
        <w:jc w:val="center"/>
        <w:rPr>
          <w:rFonts w:eastAsia="Calibri"/>
          <w:szCs w:val="24"/>
          <w:lang w:val="fr-CA" w:eastAsia="en-US"/>
        </w:rPr>
      </w:pPr>
      <w:r w:rsidRPr="00936408">
        <w:rPr>
          <w:rFonts w:eastAsia="Calibri"/>
          <w:szCs w:val="24"/>
          <w:lang w:val="fr-CA" w:eastAsia="en-US"/>
        </w:rPr>
        <w:t>Appelant</w:t>
      </w:r>
    </w:p>
    <w:p w:rsidR="00936408" w:rsidRPr="00936408" w:rsidRDefault="00936408" w:rsidP="00936408">
      <w:pPr>
        <w:rPr>
          <w:rFonts w:eastAsia="Calibri"/>
          <w:szCs w:val="24"/>
          <w:lang w:val="fr-CA" w:eastAsia="en-US"/>
        </w:rPr>
      </w:pPr>
      <w:bookmarkStart w:id="0" w:name="_GoBack"/>
      <w:bookmarkEnd w:id="0"/>
    </w:p>
    <w:p w:rsidR="00936408" w:rsidRPr="00936408" w:rsidRDefault="00936408" w:rsidP="00936408">
      <w:pPr>
        <w:jc w:val="center"/>
        <w:rPr>
          <w:rFonts w:eastAsia="Calibri"/>
          <w:szCs w:val="24"/>
          <w:lang w:val="fr-CA" w:eastAsia="en-US"/>
        </w:rPr>
      </w:pPr>
      <w:r w:rsidRPr="00936408">
        <w:rPr>
          <w:rFonts w:eastAsia="Calibri"/>
          <w:szCs w:val="24"/>
          <w:lang w:val="fr-CA" w:eastAsia="en-US"/>
        </w:rPr>
        <w:t>et</w:t>
      </w:r>
    </w:p>
    <w:p w:rsidR="00936408" w:rsidRPr="00936408" w:rsidRDefault="00936408" w:rsidP="00936408">
      <w:pPr>
        <w:rPr>
          <w:rFonts w:eastAsia="Calibri"/>
          <w:szCs w:val="24"/>
          <w:lang w:val="fr-CA" w:eastAsia="en-US"/>
        </w:rPr>
      </w:pPr>
    </w:p>
    <w:p w:rsidR="00936408" w:rsidRPr="00936408" w:rsidRDefault="00936408" w:rsidP="00936408">
      <w:pPr>
        <w:jc w:val="center"/>
        <w:rPr>
          <w:rFonts w:eastAsia="Calibri"/>
          <w:b/>
          <w:szCs w:val="24"/>
          <w:lang w:val="fr-CA" w:eastAsia="en-US"/>
        </w:rPr>
      </w:pPr>
      <w:r w:rsidRPr="00936408">
        <w:rPr>
          <w:rFonts w:eastAsia="Calibri"/>
          <w:b/>
          <w:szCs w:val="24"/>
          <w:lang w:val="fr-CA" w:eastAsia="en-US"/>
        </w:rPr>
        <w:t xml:space="preserve">Sa Majesté la Reine </w:t>
      </w:r>
    </w:p>
    <w:p w:rsidR="00936408" w:rsidRPr="00936408" w:rsidRDefault="00936408" w:rsidP="00936408">
      <w:pPr>
        <w:jc w:val="center"/>
        <w:rPr>
          <w:rFonts w:eastAsia="Calibri"/>
          <w:szCs w:val="24"/>
          <w:lang w:val="fr-CA" w:eastAsia="en-US"/>
        </w:rPr>
      </w:pPr>
      <w:r w:rsidRPr="00936408">
        <w:rPr>
          <w:rFonts w:eastAsia="Calibri"/>
          <w:szCs w:val="24"/>
          <w:lang w:val="fr-CA" w:eastAsia="en-US"/>
        </w:rPr>
        <w:t>Intimée</w:t>
      </w:r>
    </w:p>
    <w:p w:rsidR="00936408" w:rsidRPr="00936408" w:rsidRDefault="00936408" w:rsidP="00936408">
      <w:pPr>
        <w:rPr>
          <w:rFonts w:eastAsia="Calibri"/>
          <w:szCs w:val="24"/>
          <w:lang w:val="fr-CA" w:eastAsia="en-US"/>
        </w:rPr>
      </w:pPr>
    </w:p>
    <w:p w:rsidR="00936408" w:rsidRPr="00936408" w:rsidRDefault="00936408" w:rsidP="00936408">
      <w:pPr>
        <w:jc w:val="center"/>
        <w:rPr>
          <w:rFonts w:eastAsia="Calibri"/>
          <w:b/>
          <w:smallCaps/>
          <w:szCs w:val="24"/>
          <w:lang w:val="fr-CA" w:eastAsia="en-US"/>
        </w:rPr>
      </w:pPr>
      <w:r w:rsidRPr="00936408">
        <w:rPr>
          <w:rFonts w:eastAsia="Calibri"/>
          <w:b/>
          <w:smallCaps/>
          <w:szCs w:val="24"/>
          <w:lang w:val="fr-CA" w:eastAsia="en-US"/>
        </w:rPr>
        <w:t>Traduction française officielle</w:t>
      </w:r>
    </w:p>
    <w:p w:rsidR="00936408" w:rsidRPr="00936408" w:rsidRDefault="00936408" w:rsidP="00936408">
      <w:pPr>
        <w:rPr>
          <w:rFonts w:eastAsia="Calibri"/>
          <w:szCs w:val="24"/>
          <w:lang w:val="fr-CA" w:eastAsia="en-US"/>
        </w:rPr>
      </w:pPr>
    </w:p>
    <w:p w:rsidR="00936408" w:rsidRPr="00936408" w:rsidRDefault="00936408" w:rsidP="00936408">
      <w:pPr>
        <w:rPr>
          <w:rFonts w:eastAsia="Calibri"/>
          <w:szCs w:val="24"/>
          <w:lang w:val="fr-CA" w:eastAsia="en-US"/>
        </w:rPr>
      </w:pPr>
      <w:r w:rsidRPr="00936408">
        <w:rPr>
          <w:rFonts w:eastAsia="Calibri"/>
          <w:b/>
          <w:smallCaps/>
          <w:szCs w:val="24"/>
          <w:lang w:val="fr-CA" w:eastAsia="en-US"/>
        </w:rPr>
        <w:t>Coram :</w:t>
      </w:r>
      <w:r w:rsidRPr="00936408">
        <w:rPr>
          <w:rFonts w:eastAsia="Calibri"/>
          <w:szCs w:val="24"/>
          <w:lang w:val="fr-CA" w:eastAsia="en-US"/>
        </w:rPr>
        <w:t xml:space="preserve"> Les juges Moldaver, Côté, Brown, Rowe et Martin </w:t>
      </w:r>
    </w:p>
    <w:p w:rsidR="00936408" w:rsidRPr="00936408" w:rsidRDefault="00936408" w:rsidP="00936408">
      <w:pPr>
        <w:rPr>
          <w:rFonts w:eastAsia="Calibr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36408" w:rsidRPr="00A9040A" w:rsidTr="00695EFF">
        <w:trPr>
          <w:cantSplit/>
        </w:trPr>
        <w:tc>
          <w:tcPr>
            <w:tcW w:w="3618" w:type="dxa"/>
          </w:tcPr>
          <w:p w:rsidR="00936408" w:rsidRPr="00936408" w:rsidRDefault="00936408" w:rsidP="00936408">
            <w:pPr>
              <w:rPr>
                <w:b/>
                <w:smallCaps/>
                <w:lang w:val="fr-CA"/>
              </w:rPr>
            </w:pPr>
            <w:r w:rsidRPr="00936408">
              <w:rPr>
                <w:b/>
                <w:smallCaps/>
                <w:lang w:val="fr-CA"/>
              </w:rPr>
              <w:t>Motifs de jugement :</w:t>
            </w:r>
          </w:p>
          <w:p w:rsidR="00936408" w:rsidRPr="00936408" w:rsidRDefault="00936408" w:rsidP="00936408">
            <w:pPr>
              <w:rPr>
                <w:lang w:val="fr-CA"/>
              </w:rPr>
            </w:pPr>
            <w:r w:rsidRPr="00936408">
              <w:rPr>
                <w:lang w:val="fr-CA"/>
              </w:rPr>
              <w:t>(par. 1 à 6)</w:t>
            </w:r>
          </w:p>
        </w:tc>
        <w:tc>
          <w:tcPr>
            <w:tcW w:w="5958" w:type="dxa"/>
          </w:tcPr>
          <w:p w:rsidR="00936408" w:rsidRPr="00936408" w:rsidRDefault="00936408" w:rsidP="00936408">
            <w:pPr>
              <w:rPr>
                <w:lang w:val="fr-CA"/>
              </w:rPr>
            </w:pPr>
            <w:r w:rsidRPr="00936408">
              <w:rPr>
                <w:lang w:val="fr-CA"/>
              </w:rPr>
              <w:t>La juge Martin (avec l’accord des juges Moldaver, Côté, Brown et Rowe)</w:t>
            </w:r>
          </w:p>
        </w:tc>
      </w:tr>
    </w:tbl>
    <w:p w:rsidR="00936408" w:rsidRPr="00936408" w:rsidRDefault="00936408" w:rsidP="00936408">
      <w:pPr>
        <w:rPr>
          <w:rFonts w:eastAsia="Calibri"/>
          <w:szCs w:val="24"/>
          <w:lang w:val="fr-CA" w:eastAsia="en-US"/>
        </w:rPr>
      </w:pPr>
    </w:p>
    <w:p w:rsidR="00936408" w:rsidRPr="00936408" w:rsidRDefault="00936408" w:rsidP="00936408">
      <w:pPr>
        <w:rPr>
          <w:rFonts w:eastAsia="Calibri"/>
          <w:szCs w:val="24"/>
          <w:lang w:val="fr-CA" w:eastAsia="en-US"/>
        </w:rPr>
      </w:pPr>
      <w:r w:rsidRPr="00936408">
        <w:rPr>
          <w:rFonts w:eastAsia="Calibri"/>
          <w:noProof/>
          <w:szCs w:val="24"/>
          <w:lang w:val="en-US" w:eastAsia="en-US"/>
        </w:rPr>
        <mc:AlternateContent>
          <mc:Choice Requires="wps">
            <w:drawing>
              <wp:anchor distT="0" distB="0" distL="114300" distR="114300" simplePos="0" relativeHeight="251659264" behindDoc="0" locked="0" layoutInCell="1" allowOverlap="1" wp14:anchorId="6F9FC100" wp14:editId="5EBBFE8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2A8C85"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36408" w:rsidRDefault="00936408" w:rsidP="00936408">
      <w:pPr>
        <w:rPr>
          <w:rFonts w:eastAsia="Calibri"/>
          <w:szCs w:val="24"/>
          <w:lang w:val="fr-CA" w:eastAsia="en-US"/>
        </w:rPr>
      </w:pPr>
    </w:p>
    <w:p w:rsidR="00936408" w:rsidRPr="00936408" w:rsidRDefault="00936408" w:rsidP="00936408">
      <w:pPr>
        <w:rPr>
          <w:rFonts w:eastAsia="Calibri"/>
          <w:szCs w:val="24"/>
          <w:lang w:val="fr-CA" w:eastAsia="en-US"/>
        </w:rPr>
      </w:pPr>
    </w:p>
    <w:p w:rsidR="001520B4" w:rsidRPr="002547F4" w:rsidRDefault="001D308F" w:rsidP="001520B4">
      <w:pPr>
        <w:spacing w:line="480" w:lineRule="auto"/>
        <w:jc w:val="both"/>
        <w:rPr>
          <w:lang w:val="fr-CA"/>
        </w:rPr>
      </w:pPr>
      <w:r>
        <w:rPr>
          <w:rStyle w:val="SCCRespondentForRunningHeadChar"/>
          <w:smallCaps w:val="0"/>
          <w:lang w:val="fr-CA"/>
        </w:rPr>
        <w:t>R</w:t>
      </w:r>
      <w:r w:rsidR="001520B4" w:rsidRPr="001D308F">
        <w:rPr>
          <w:rStyle w:val="SCCRespondentForRunningHeadChar"/>
          <w:smallCaps w:val="0"/>
          <w:lang w:val="fr-CA"/>
        </w:rPr>
        <w:t>.</w:t>
      </w:r>
      <w:r w:rsidR="001520B4" w:rsidRPr="001520B4">
        <w:rPr>
          <w:i/>
          <w:lang w:val="fr-CA"/>
        </w:rPr>
        <w:t xml:space="preserve"> c</w:t>
      </w:r>
      <w:r w:rsidR="001520B4" w:rsidRPr="002547F4">
        <w:rPr>
          <w:i/>
          <w:lang w:val="fr-CA"/>
        </w:rPr>
        <w:t>.</w:t>
      </w:r>
      <w:r w:rsidR="001520B4" w:rsidRPr="002547F4">
        <w:rPr>
          <w:lang w:val="fr-CA"/>
        </w:rPr>
        <w:t xml:space="preserve"> </w:t>
      </w:r>
      <w:r>
        <w:rPr>
          <w:lang w:val="fr-CA"/>
        </w:rPr>
        <w:t>W.L.S., 2019 CSC 27, [2019] 2 R.C.S. 403</w:t>
      </w:r>
    </w:p>
    <w:p w:rsidR="004D7D95" w:rsidRPr="001520B4" w:rsidRDefault="004D7D95" w:rsidP="004D7D95">
      <w:pPr>
        <w:jc w:val="both"/>
        <w:rPr>
          <w:lang w:val="fr-CA"/>
        </w:rPr>
      </w:pPr>
    </w:p>
    <w:p w:rsidR="004D7D95" w:rsidRPr="001520B4" w:rsidRDefault="004D7D95" w:rsidP="004D7D95">
      <w:pPr>
        <w:jc w:val="both"/>
        <w:rPr>
          <w:lang w:val="fr-CA"/>
        </w:rPr>
      </w:pPr>
    </w:p>
    <w:p w:rsidR="004D7D95" w:rsidRPr="001520B4" w:rsidRDefault="004D7D95" w:rsidP="001D308F">
      <w:pPr>
        <w:jc w:val="both"/>
        <w:rPr>
          <w:lang w:val="fr-CA"/>
        </w:rPr>
      </w:pPr>
    </w:p>
    <w:p w:rsidR="00E95D8D" w:rsidRPr="001520B4" w:rsidRDefault="00774EE5">
      <w:pPr>
        <w:pStyle w:val="SCCLsocLastPartyInRole"/>
        <w:rPr>
          <w:lang w:val="fr-CA"/>
        </w:rPr>
      </w:pPr>
      <w:r w:rsidRPr="001520B4">
        <w:rPr>
          <w:lang w:val="fr-CA"/>
        </w:rPr>
        <w:t>W.L.S.</w:t>
      </w:r>
      <w:r w:rsidRPr="001520B4">
        <w:rPr>
          <w:rStyle w:val="SCCLsocPartyRole"/>
          <w:lang w:val="fr-CA"/>
        </w:rPr>
        <w:tab/>
        <w:t>Appelant</w:t>
      </w:r>
    </w:p>
    <w:p w:rsidR="00E95D8D" w:rsidRPr="001520B4" w:rsidRDefault="00774EE5">
      <w:pPr>
        <w:pStyle w:val="SCCLsocVersus"/>
        <w:rPr>
          <w:lang w:val="fr-CA"/>
        </w:rPr>
      </w:pPr>
      <w:r w:rsidRPr="001520B4">
        <w:rPr>
          <w:lang w:val="fr-CA"/>
        </w:rPr>
        <w:t>c.</w:t>
      </w:r>
    </w:p>
    <w:p w:rsidR="00E95D8D" w:rsidRPr="001520B4" w:rsidRDefault="00774EE5">
      <w:pPr>
        <w:pStyle w:val="SCCLsocLastPartyInRole"/>
        <w:rPr>
          <w:lang w:val="fr-CA"/>
        </w:rPr>
      </w:pPr>
      <w:r w:rsidRPr="001520B4">
        <w:rPr>
          <w:lang w:val="fr-CA"/>
        </w:rPr>
        <w:t>Sa Majesté la Reine</w:t>
      </w:r>
      <w:r w:rsidR="001520B4">
        <w:rPr>
          <w:rStyle w:val="SCCLsocPartyRole"/>
          <w:lang w:val="fr-CA"/>
        </w:rPr>
        <w:tab/>
        <w:t>Intimée</w:t>
      </w:r>
    </w:p>
    <w:p w:rsidR="004D7D95" w:rsidRPr="001520B4" w:rsidRDefault="004D7D95" w:rsidP="004D7D95">
      <w:pPr>
        <w:jc w:val="both"/>
        <w:rPr>
          <w:lang w:val="fr-CA"/>
        </w:rPr>
      </w:pPr>
    </w:p>
    <w:p w:rsidR="004D7D95" w:rsidRPr="001520B4" w:rsidRDefault="004D7D95" w:rsidP="004D7D95">
      <w:pPr>
        <w:jc w:val="both"/>
        <w:rPr>
          <w:lang w:val="fr-CA"/>
        </w:rPr>
      </w:pPr>
    </w:p>
    <w:p w:rsidR="004D7D95" w:rsidRPr="001520B4" w:rsidRDefault="004D7D95" w:rsidP="004D7D95">
      <w:pPr>
        <w:jc w:val="both"/>
        <w:rPr>
          <w:lang w:val="fr-CA"/>
        </w:rPr>
      </w:pPr>
    </w:p>
    <w:p w:rsidR="004D7D95" w:rsidRPr="001520B4" w:rsidRDefault="0061356B" w:rsidP="004D7D95">
      <w:pPr>
        <w:jc w:val="both"/>
        <w:rPr>
          <w:b/>
          <w:lang w:val="fr-CA"/>
        </w:rPr>
      </w:pPr>
      <w:r>
        <w:rPr>
          <w:b/>
          <w:lang w:val="fr-CA"/>
        </w:rPr>
        <w:t xml:space="preserve">Répertorié : R. </w:t>
      </w:r>
      <w:r>
        <w:rPr>
          <w:b/>
          <w:i/>
          <w:lang w:val="fr-CA"/>
        </w:rPr>
        <w:t xml:space="preserve">c. </w:t>
      </w:r>
      <w:r w:rsidR="004D7D95" w:rsidRPr="001520B4">
        <w:rPr>
          <w:rStyle w:val="SCCAppellantForIndexChar"/>
          <w:lang w:val="fr-CA"/>
        </w:rPr>
        <w:t>W.L.S.</w:t>
      </w:r>
      <w:r w:rsidR="004D7D95" w:rsidRPr="00BB4C92">
        <w:rPr>
          <w:b/>
          <w:lang w:val="fr-CA"/>
        </w:rPr>
        <w:t xml:space="preserve"> </w:t>
      </w:r>
    </w:p>
    <w:p w:rsidR="004D7D95" w:rsidRPr="001520B4" w:rsidRDefault="004D7D95" w:rsidP="004D7D95">
      <w:pPr>
        <w:jc w:val="both"/>
        <w:rPr>
          <w:lang w:val="fr-CA"/>
        </w:rPr>
      </w:pPr>
    </w:p>
    <w:p w:rsidR="004D7D95" w:rsidRPr="001520B4" w:rsidRDefault="004D7D95" w:rsidP="004D7D95">
      <w:pPr>
        <w:jc w:val="both"/>
        <w:rPr>
          <w:lang w:val="fr-CA"/>
        </w:rPr>
      </w:pPr>
    </w:p>
    <w:p w:rsidR="004D7D95" w:rsidRPr="001520B4" w:rsidRDefault="004D7D95" w:rsidP="004D7D95">
      <w:pPr>
        <w:jc w:val="both"/>
        <w:rPr>
          <w:lang w:val="fr-CA"/>
        </w:rPr>
      </w:pPr>
    </w:p>
    <w:p w:rsidR="004D7D95" w:rsidRPr="001520B4" w:rsidRDefault="00D17B0E" w:rsidP="004D7D95">
      <w:pPr>
        <w:pStyle w:val="SCCSystemYear"/>
        <w:jc w:val="both"/>
        <w:rPr>
          <w:lang w:val="fr-CA"/>
        </w:rPr>
      </w:pPr>
      <w:r w:rsidRPr="001520B4">
        <w:rPr>
          <w:lang w:val="fr-CA"/>
        </w:rPr>
        <w:t>2019</w:t>
      </w:r>
      <w:r w:rsidR="004D7D95" w:rsidRPr="001520B4">
        <w:rPr>
          <w:lang w:val="fr-CA"/>
        </w:rPr>
        <w:t xml:space="preserve"> CSC </w:t>
      </w:r>
      <w:r w:rsidR="0061356B">
        <w:rPr>
          <w:lang w:val="fr-CA"/>
        </w:rPr>
        <w:t>27</w:t>
      </w:r>
    </w:p>
    <w:p w:rsidR="004D7D95" w:rsidRPr="001520B4" w:rsidRDefault="004D7D95" w:rsidP="004D7D95">
      <w:pPr>
        <w:jc w:val="both"/>
        <w:rPr>
          <w:lang w:val="fr-CA"/>
        </w:rPr>
      </w:pPr>
    </w:p>
    <w:p w:rsidR="004D7D95" w:rsidRPr="001520B4" w:rsidRDefault="004D7D95" w:rsidP="004D7D95">
      <w:pPr>
        <w:jc w:val="both"/>
        <w:rPr>
          <w:lang w:val="fr-CA"/>
        </w:rPr>
      </w:pPr>
    </w:p>
    <w:p w:rsidR="004D7D95" w:rsidRPr="001520B4" w:rsidRDefault="004D7D95" w:rsidP="004D7D95">
      <w:pPr>
        <w:jc w:val="both"/>
        <w:rPr>
          <w:lang w:val="fr-CA"/>
        </w:rPr>
      </w:pPr>
    </w:p>
    <w:p w:rsidR="004D7D95" w:rsidRPr="001520B4" w:rsidRDefault="004D7D95" w:rsidP="004D7D95">
      <w:pPr>
        <w:jc w:val="both"/>
        <w:rPr>
          <w:lang w:val="fr-CA"/>
        </w:rPr>
      </w:pPr>
      <w:r w:rsidRPr="001520B4">
        <w:rPr>
          <w:lang w:val="fr-CA"/>
        </w:rPr>
        <w:t>N</w:t>
      </w:r>
      <w:r w:rsidRPr="001520B4">
        <w:rPr>
          <w:vertAlign w:val="superscript"/>
          <w:lang w:val="fr-CA"/>
        </w:rPr>
        <w:t>o</w:t>
      </w:r>
      <w:r w:rsidRPr="001520B4">
        <w:rPr>
          <w:lang w:val="fr-CA"/>
        </w:rPr>
        <w:t xml:space="preserve"> du greffe : 38427.</w:t>
      </w:r>
    </w:p>
    <w:p w:rsidR="004D7D95" w:rsidRPr="001520B4" w:rsidRDefault="004D7D95" w:rsidP="004D7D95">
      <w:pPr>
        <w:jc w:val="both"/>
        <w:rPr>
          <w:lang w:val="fr-CA"/>
        </w:rPr>
      </w:pPr>
    </w:p>
    <w:p w:rsidR="004D7D95" w:rsidRPr="001520B4" w:rsidRDefault="004D7D95" w:rsidP="004D7D95">
      <w:pPr>
        <w:jc w:val="both"/>
        <w:rPr>
          <w:lang w:val="fr-CA"/>
        </w:rPr>
      </w:pPr>
    </w:p>
    <w:p w:rsidR="004D7D95" w:rsidRPr="001520B4" w:rsidRDefault="004D7D95" w:rsidP="004D7D95">
      <w:pPr>
        <w:jc w:val="both"/>
        <w:rPr>
          <w:lang w:val="fr-CA"/>
        </w:rPr>
      </w:pPr>
    </w:p>
    <w:p w:rsidR="004D7D95" w:rsidRPr="001520B4" w:rsidRDefault="00D17B0E" w:rsidP="004D7D95">
      <w:pPr>
        <w:jc w:val="both"/>
        <w:rPr>
          <w:lang w:val="fr-CA"/>
        </w:rPr>
      </w:pPr>
      <w:r w:rsidRPr="001520B4">
        <w:rPr>
          <w:lang w:val="fr-CA"/>
        </w:rPr>
        <w:t xml:space="preserve">2019 : </w:t>
      </w:r>
      <w:r w:rsidR="007F2F78">
        <w:rPr>
          <w:lang w:val="fr-CA"/>
        </w:rPr>
        <w:t>7 mai</w:t>
      </w:r>
      <w:r w:rsidR="0061356B">
        <w:rPr>
          <w:lang w:val="fr-CA"/>
        </w:rPr>
        <w:t>.</w:t>
      </w:r>
    </w:p>
    <w:p w:rsidR="004D7D95" w:rsidRPr="001520B4" w:rsidRDefault="004D7D95" w:rsidP="004D7D95">
      <w:pPr>
        <w:jc w:val="both"/>
        <w:rPr>
          <w:lang w:val="fr-CA"/>
        </w:rPr>
      </w:pPr>
    </w:p>
    <w:p w:rsidR="004D7D95" w:rsidRPr="001520B4" w:rsidRDefault="004D7D95" w:rsidP="004D7D95">
      <w:pPr>
        <w:jc w:val="both"/>
        <w:rPr>
          <w:lang w:val="fr-CA"/>
        </w:rPr>
      </w:pPr>
    </w:p>
    <w:p w:rsidR="004D7D95" w:rsidRPr="001520B4" w:rsidRDefault="004D7D95" w:rsidP="004D7D95">
      <w:pPr>
        <w:jc w:val="both"/>
        <w:rPr>
          <w:lang w:val="fr-CA"/>
        </w:rPr>
      </w:pPr>
    </w:p>
    <w:p w:rsidR="004D7D95" w:rsidRPr="001520B4" w:rsidRDefault="004D7D95" w:rsidP="004D7D95">
      <w:pPr>
        <w:jc w:val="both"/>
        <w:rPr>
          <w:lang w:val="fr-CA"/>
        </w:rPr>
      </w:pPr>
      <w:r w:rsidRPr="001520B4">
        <w:rPr>
          <w:lang w:val="fr-CA"/>
        </w:rPr>
        <w:t>Présents : Les juges Moldaver, Côté, Brown, Rowe et Martin.</w:t>
      </w:r>
    </w:p>
    <w:p w:rsidR="004D7D95" w:rsidRPr="001520B4" w:rsidRDefault="004D7D95" w:rsidP="004D7D95">
      <w:pPr>
        <w:jc w:val="both"/>
        <w:rPr>
          <w:lang w:val="fr-CA"/>
        </w:rPr>
      </w:pPr>
    </w:p>
    <w:p w:rsidR="00EE0830" w:rsidRPr="001520B4" w:rsidRDefault="00EE0830" w:rsidP="004D7D95">
      <w:pPr>
        <w:jc w:val="both"/>
        <w:rPr>
          <w:lang w:val="fr-CA"/>
        </w:rPr>
      </w:pPr>
    </w:p>
    <w:p w:rsidR="00EE0830" w:rsidRPr="001520B4" w:rsidRDefault="00EE0830" w:rsidP="004D7D95">
      <w:pPr>
        <w:jc w:val="both"/>
        <w:rPr>
          <w:lang w:val="fr-CA"/>
        </w:rPr>
      </w:pPr>
    </w:p>
    <w:p w:rsidR="004D7D95" w:rsidRPr="0061356B" w:rsidRDefault="004D7D95" w:rsidP="000F7993">
      <w:pPr>
        <w:jc w:val="both"/>
        <w:rPr>
          <w:smallCaps/>
          <w:lang w:val="fr-CA"/>
        </w:rPr>
      </w:pPr>
      <w:r w:rsidRPr="0061356B">
        <w:rPr>
          <w:smallCaps/>
          <w:lang w:val="fr-CA"/>
        </w:rPr>
        <w:t>en appel de la cour d</w:t>
      </w:r>
      <w:r w:rsidR="00044B8E">
        <w:rPr>
          <w:smallCaps/>
          <w:lang w:val="fr-CA"/>
        </w:rPr>
        <w:t>’</w:t>
      </w:r>
      <w:r w:rsidRPr="0061356B">
        <w:rPr>
          <w:smallCaps/>
          <w:lang w:val="fr-CA"/>
        </w:rPr>
        <w:t xml:space="preserve">appel de l’alberta </w:t>
      </w:r>
    </w:p>
    <w:p w:rsidR="004D7D95" w:rsidRPr="00BB4C92" w:rsidRDefault="004D7D95" w:rsidP="004D7D95">
      <w:pPr>
        <w:pStyle w:val="SCCNormalDoubleSpacing"/>
        <w:rPr>
          <w:lang w:val="fr-CA"/>
        </w:rPr>
      </w:pPr>
    </w:p>
    <w:p w:rsidR="004D7D95" w:rsidRPr="00A65625" w:rsidRDefault="004D7D95" w:rsidP="002360B6">
      <w:pPr>
        <w:pStyle w:val="SCCNormalDoubleSpacing"/>
        <w:spacing w:after="480"/>
        <w:rPr>
          <w:lang w:val="fr-CA"/>
        </w:rPr>
      </w:pPr>
      <w:r w:rsidRPr="00BB4C92">
        <w:rPr>
          <w:lang w:val="fr-CA"/>
        </w:rPr>
        <w:tab/>
      </w:r>
      <w:r w:rsidR="0098583E" w:rsidRPr="00A65625">
        <w:rPr>
          <w:i/>
          <w:lang w:val="fr-CA"/>
        </w:rPr>
        <w:t>Droit criminel — Agression sexuelle — Consent</w:t>
      </w:r>
      <w:r w:rsidR="00A65625" w:rsidRPr="00A65625">
        <w:rPr>
          <w:i/>
          <w:lang w:val="fr-CA"/>
        </w:rPr>
        <w:t>ement</w:t>
      </w:r>
      <w:r w:rsidR="0098583E" w:rsidRPr="00A65625">
        <w:rPr>
          <w:i/>
          <w:lang w:val="fr-CA"/>
        </w:rPr>
        <w:t xml:space="preserve"> —</w:t>
      </w:r>
      <w:r w:rsidR="00A65625" w:rsidRPr="00A65625">
        <w:rPr>
          <w:i/>
          <w:lang w:val="fr-CA"/>
        </w:rPr>
        <w:t xml:space="preserve"> Témoignage de l’enfant de l’accusé </w:t>
      </w:r>
      <w:r w:rsidR="007479B2">
        <w:rPr>
          <w:i/>
          <w:lang w:val="fr-CA"/>
        </w:rPr>
        <w:t xml:space="preserve">portant </w:t>
      </w:r>
      <w:r w:rsidR="00A65625" w:rsidRPr="00A65625">
        <w:rPr>
          <w:i/>
          <w:lang w:val="fr-CA"/>
        </w:rPr>
        <w:t>que ce dernier a agressé sexuellement de façon répétée la plaignante</w:t>
      </w:r>
      <w:r w:rsidR="00A65625">
        <w:rPr>
          <w:i/>
          <w:lang w:val="fr-CA"/>
        </w:rPr>
        <w:t xml:space="preserve"> alors qu’elle était endormie et droguée </w:t>
      </w:r>
      <w:r w:rsidR="0098583E" w:rsidRPr="00A65625">
        <w:rPr>
          <w:i/>
          <w:lang w:val="fr-CA"/>
        </w:rPr>
        <w:t xml:space="preserve">— </w:t>
      </w:r>
      <w:r w:rsidR="00A65625">
        <w:rPr>
          <w:i/>
          <w:lang w:val="fr-CA"/>
        </w:rPr>
        <w:t>Témoignage de l’enfant accepté comme étant véridique et fiable</w:t>
      </w:r>
      <w:r w:rsidR="007479B2" w:rsidRPr="007479B2">
        <w:rPr>
          <w:i/>
          <w:lang w:val="fr-CA"/>
        </w:rPr>
        <w:t xml:space="preserve"> </w:t>
      </w:r>
      <w:r w:rsidR="007479B2">
        <w:rPr>
          <w:i/>
          <w:lang w:val="fr-CA"/>
        </w:rPr>
        <w:t>par la juge du procès</w:t>
      </w:r>
      <w:r w:rsidR="00A65625">
        <w:rPr>
          <w:i/>
          <w:lang w:val="fr-CA"/>
        </w:rPr>
        <w:t xml:space="preserve">, mais </w:t>
      </w:r>
      <w:r w:rsidR="007479B2">
        <w:rPr>
          <w:i/>
          <w:lang w:val="fr-CA"/>
        </w:rPr>
        <w:t xml:space="preserve">accusé </w:t>
      </w:r>
      <w:r w:rsidR="00A65625">
        <w:rPr>
          <w:i/>
          <w:lang w:val="fr-CA"/>
        </w:rPr>
        <w:t>acquitté</w:t>
      </w:r>
      <w:r w:rsidR="007479B2">
        <w:rPr>
          <w:i/>
          <w:lang w:val="fr-CA"/>
        </w:rPr>
        <w:t xml:space="preserve"> par cette dernière</w:t>
      </w:r>
      <w:r w:rsidR="00A65625">
        <w:rPr>
          <w:i/>
          <w:lang w:val="fr-CA"/>
        </w:rPr>
        <w:t xml:space="preserve"> de l’accusation d’agression sexuelle </w:t>
      </w:r>
      <w:r w:rsidR="007479B2">
        <w:rPr>
          <w:i/>
          <w:lang w:val="fr-CA"/>
        </w:rPr>
        <w:t>parce qu’</w:t>
      </w:r>
      <w:r w:rsidR="00A65625">
        <w:rPr>
          <w:i/>
          <w:lang w:val="fr-CA"/>
        </w:rPr>
        <w:t xml:space="preserve">elle n’était pas convaincue hors de tout doute raisonnable de l’absence de consentement subjectif </w:t>
      </w:r>
      <w:r w:rsidR="0098583E" w:rsidRPr="00A65625">
        <w:rPr>
          <w:i/>
          <w:lang w:val="fr-CA"/>
        </w:rPr>
        <w:t xml:space="preserve">— Verdict de culpabilité </w:t>
      </w:r>
      <w:r w:rsidR="007479B2">
        <w:rPr>
          <w:i/>
          <w:lang w:val="fr-CA"/>
        </w:rPr>
        <w:t xml:space="preserve">inscrit </w:t>
      </w:r>
      <w:r w:rsidR="0098583E" w:rsidRPr="00A65625">
        <w:rPr>
          <w:i/>
          <w:lang w:val="fr-CA"/>
        </w:rPr>
        <w:t xml:space="preserve">par la Cour d’appel — Conclusion de la Cour d’appel </w:t>
      </w:r>
      <w:r w:rsidR="007479B2">
        <w:rPr>
          <w:i/>
          <w:lang w:val="fr-CA"/>
        </w:rPr>
        <w:t xml:space="preserve">portant </w:t>
      </w:r>
      <w:r w:rsidR="0098583E" w:rsidRPr="00A65625">
        <w:rPr>
          <w:i/>
          <w:lang w:val="fr-CA"/>
        </w:rPr>
        <w:t xml:space="preserve">que la juge du procès a commis une erreur de droit en </w:t>
      </w:r>
      <w:r w:rsidR="00A65625">
        <w:rPr>
          <w:i/>
          <w:lang w:val="fr-CA"/>
        </w:rPr>
        <w:t>n’exposant pas une autre théorie défendable après avoir conclu que l’</w:t>
      </w:r>
      <w:r w:rsidR="0098583E" w:rsidRPr="00A65625">
        <w:rPr>
          <w:i/>
          <w:lang w:val="fr-CA"/>
        </w:rPr>
        <w:t>absence</w:t>
      </w:r>
      <w:r w:rsidR="00A65625">
        <w:rPr>
          <w:i/>
          <w:lang w:val="fr-CA"/>
        </w:rPr>
        <w:t xml:space="preserve"> de consentement subjectif n’était pas la seule inférence qui pouvait être tirée de la preuve </w:t>
      </w:r>
      <w:r w:rsidR="0098583E" w:rsidRPr="00A65625">
        <w:rPr>
          <w:i/>
          <w:lang w:val="fr-CA"/>
        </w:rPr>
        <w:t xml:space="preserve">— </w:t>
      </w:r>
      <w:r w:rsidR="007479B2">
        <w:rPr>
          <w:i/>
          <w:lang w:val="fr-CA"/>
        </w:rPr>
        <w:t xml:space="preserve">Erreur commise par la juge du procès dans l’application du </w:t>
      </w:r>
      <w:r w:rsidR="00A65625">
        <w:rPr>
          <w:i/>
          <w:lang w:val="fr-CA"/>
        </w:rPr>
        <w:t>droit concernant la preuve circonstancielle</w:t>
      </w:r>
      <w:r w:rsidR="007479B2" w:rsidRPr="007479B2">
        <w:rPr>
          <w:i/>
          <w:lang w:val="fr-CA"/>
        </w:rPr>
        <w:t xml:space="preserve"> </w:t>
      </w:r>
      <w:r w:rsidR="007479B2">
        <w:rPr>
          <w:i/>
          <w:lang w:val="fr-CA"/>
        </w:rPr>
        <w:t>à la déposition du témoin</w:t>
      </w:r>
      <w:r w:rsidR="00A65625">
        <w:rPr>
          <w:i/>
          <w:lang w:val="fr-CA"/>
        </w:rPr>
        <w:t xml:space="preserve"> </w:t>
      </w:r>
      <w:r w:rsidR="007479B2">
        <w:rPr>
          <w:i/>
          <w:lang w:val="fr-CA"/>
        </w:rPr>
        <w:t xml:space="preserve">ainsi que dans l’application du </w:t>
      </w:r>
      <w:r w:rsidR="00A65625">
        <w:rPr>
          <w:i/>
          <w:lang w:val="fr-CA"/>
        </w:rPr>
        <w:t xml:space="preserve">droit relatif au consentement </w:t>
      </w:r>
      <w:r w:rsidR="0098583E" w:rsidRPr="00A65625">
        <w:rPr>
          <w:i/>
          <w:lang w:val="fr-CA"/>
        </w:rPr>
        <w:t xml:space="preserve">— Déclaration de culpabilité confirmée. </w:t>
      </w:r>
    </w:p>
    <w:p w:rsidR="004D7D95" w:rsidRPr="007479B2" w:rsidRDefault="0061356B" w:rsidP="004D7D95">
      <w:pPr>
        <w:pStyle w:val="SCCNormalDoubleSpacing"/>
        <w:rPr>
          <w:highlight w:val="yellow"/>
          <w:lang w:val="fr-CA"/>
        </w:rPr>
      </w:pPr>
      <w:r w:rsidRPr="00A65625">
        <w:rPr>
          <w:lang w:val="fr-CA"/>
        </w:rPr>
        <w:lastRenderedPageBreak/>
        <w:tab/>
      </w:r>
      <w:r w:rsidR="004D7D95" w:rsidRPr="004D7D95">
        <w:rPr>
          <w:lang w:val="fr-CA"/>
        </w:rPr>
        <w:t xml:space="preserve">POURVOI contre un arrêt de la </w:t>
      </w:r>
      <w:r w:rsidR="004D7D95" w:rsidRPr="001520B4">
        <w:rPr>
          <w:lang w:val="fr-CA"/>
        </w:rPr>
        <w:t>Cour d</w:t>
      </w:r>
      <w:r w:rsidR="00044B8E">
        <w:rPr>
          <w:lang w:val="fr-CA"/>
        </w:rPr>
        <w:t>’</w:t>
      </w:r>
      <w:r w:rsidR="004D7D95" w:rsidRPr="001520B4">
        <w:rPr>
          <w:lang w:val="fr-CA"/>
        </w:rPr>
        <w:t>appel de l’Alberta</w:t>
      </w:r>
      <w:r>
        <w:rPr>
          <w:lang w:val="fr-CA"/>
        </w:rPr>
        <w:t xml:space="preserve"> (les juges</w:t>
      </w:r>
      <w:r w:rsidR="004D7D95" w:rsidRPr="001520B4">
        <w:rPr>
          <w:lang w:val="fr-CA"/>
        </w:rPr>
        <w:t xml:space="preserve"> </w:t>
      </w:r>
      <w:r w:rsidR="00A63AEF">
        <w:rPr>
          <w:lang w:val="fr-CA"/>
        </w:rPr>
        <w:t xml:space="preserve">McDonald, Crighton et Khullar), </w:t>
      </w:r>
      <w:r w:rsidR="00A63AEF" w:rsidRPr="00A63AEF">
        <w:rPr>
          <w:lang w:val="fr-CA"/>
        </w:rPr>
        <w:t xml:space="preserve">2018 ABCA 363, [2018] A.J. No. 1283 (QL), 2018 CarswellAlta 2558 </w:t>
      </w:r>
      <w:r w:rsidR="00A63AEF" w:rsidRPr="00B12B35">
        <w:rPr>
          <w:lang w:val="fr-CA"/>
        </w:rPr>
        <w:t xml:space="preserve">(WL Can.), </w:t>
      </w:r>
      <w:r w:rsidR="000E1891" w:rsidRPr="00B12B35">
        <w:rPr>
          <w:lang w:val="fr-CA"/>
        </w:rPr>
        <w:t>qui a annulé l</w:t>
      </w:r>
      <w:r w:rsidR="00BC2D32" w:rsidRPr="00B12B35">
        <w:rPr>
          <w:lang w:val="fr-CA"/>
        </w:rPr>
        <w:t xml:space="preserve">’acquittement </w:t>
      </w:r>
      <w:r w:rsidR="000E1891" w:rsidRPr="00B12B35">
        <w:rPr>
          <w:lang w:val="fr-CA"/>
        </w:rPr>
        <w:t xml:space="preserve">de l’accusé </w:t>
      </w:r>
      <w:r w:rsidR="007479B2" w:rsidRPr="00B12B35">
        <w:rPr>
          <w:lang w:val="fr-CA"/>
        </w:rPr>
        <w:t>à l’égard de l’accusation d’</w:t>
      </w:r>
      <w:r w:rsidR="000E1891" w:rsidRPr="00B12B35">
        <w:rPr>
          <w:lang w:val="fr-CA"/>
        </w:rPr>
        <w:t>agression sexuelle et inscrit une déclaration de culpabilité.</w:t>
      </w:r>
      <w:r w:rsidR="00F8244A" w:rsidRPr="00B12B35">
        <w:rPr>
          <w:lang w:val="fr-CA"/>
        </w:rPr>
        <w:t xml:space="preserve"> </w:t>
      </w:r>
      <w:r w:rsidR="00BC2D32" w:rsidRPr="00B12B35">
        <w:rPr>
          <w:lang w:val="fr-CA"/>
        </w:rPr>
        <w:t>Pourvoi</w:t>
      </w:r>
      <w:r w:rsidR="00BC2D32">
        <w:rPr>
          <w:lang w:val="fr-CA"/>
        </w:rPr>
        <w:t xml:space="preserve"> rejeté. </w:t>
      </w:r>
    </w:p>
    <w:p w:rsidR="00F8244A" w:rsidRPr="004D7D95" w:rsidRDefault="00F8244A" w:rsidP="004D7D95">
      <w:pPr>
        <w:pStyle w:val="SCCNormalDoubleSpacing"/>
        <w:rPr>
          <w:lang w:val="fr-CA"/>
        </w:rPr>
      </w:pPr>
    </w:p>
    <w:p w:rsidR="00E95D8D" w:rsidRPr="001520B4" w:rsidRDefault="00774EE5">
      <w:pPr>
        <w:pStyle w:val="SCCNormalDoubleSpacing"/>
        <w:rPr>
          <w:lang w:val="fr-CA"/>
        </w:rPr>
      </w:pPr>
      <w:r w:rsidRPr="001520B4">
        <w:rPr>
          <w:rStyle w:val="SCCCounselNameChar"/>
          <w:lang w:val="fr-CA"/>
        </w:rPr>
        <w:tab/>
        <w:t>Dane F. Bullerwell</w:t>
      </w:r>
      <w:r w:rsidRPr="001520B4">
        <w:rPr>
          <w:rStyle w:val="SCCCounselSeparatorChar"/>
          <w:lang w:val="fr-CA"/>
        </w:rPr>
        <w:t xml:space="preserve"> et </w:t>
      </w:r>
      <w:r w:rsidRPr="001520B4">
        <w:rPr>
          <w:rStyle w:val="SCCCounselNameChar"/>
          <w:lang w:val="fr-CA"/>
        </w:rPr>
        <w:t>James Wegener</w:t>
      </w:r>
      <w:r w:rsidR="00C37106">
        <w:rPr>
          <w:rStyle w:val="SCCCounselPartyRoleChar"/>
          <w:lang w:val="fr-CA"/>
        </w:rPr>
        <w:t>, pour l’</w:t>
      </w:r>
      <w:r w:rsidR="008543E2">
        <w:rPr>
          <w:rStyle w:val="SCCCounselPartyRoleChar"/>
          <w:lang w:val="fr-CA"/>
        </w:rPr>
        <w:t>appelant</w:t>
      </w:r>
      <w:r w:rsidRPr="001520B4">
        <w:rPr>
          <w:rStyle w:val="SCCCounselPartyRoleChar"/>
          <w:lang w:val="fr-CA"/>
        </w:rPr>
        <w:t>.</w:t>
      </w:r>
    </w:p>
    <w:p w:rsidR="00E95D8D" w:rsidRPr="001520B4" w:rsidRDefault="00E95D8D">
      <w:pPr>
        <w:pStyle w:val="SCCNormalDoubleSpacing"/>
        <w:rPr>
          <w:lang w:val="fr-CA"/>
        </w:rPr>
      </w:pPr>
    </w:p>
    <w:p w:rsidR="00E95D8D" w:rsidRPr="001520B4" w:rsidRDefault="00774EE5">
      <w:pPr>
        <w:pStyle w:val="SCCNormalDoubleSpacing"/>
        <w:rPr>
          <w:lang w:val="fr-CA"/>
        </w:rPr>
      </w:pPr>
      <w:r w:rsidRPr="001520B4">
        <w:rPr>
          <w:rStyle w:val="SCCCounselNameChar"/>
          <w:lang w:val="fr-CA"/>
        </w:rPr>
        <w:tab/>
        <w:t xml:space="preserve">Cheryl </w:t>
      </w:r>
      <w:r w:rsidR="0061356B">
        <w:rPr>
          <w:rStyle w:val="SCCCounselNameChar"/>
          <w:lang w:val="fr-CA"/>
        </w:rPr>
        <w:t xml:space="preserve">A. </w:t>
      </w:r>
      <w:r w:rsidRPr="001520B4">
        <w:rPr>
          <w:rStyle w:val="SCCCounselNameChar"/>
          <w:lang w:val="fr-CA"/>
        </w:rPr>
        <w:t>Schlecker</w:t>
      </w:r>
      <w:r w:rsidR="0061356B">
        <w:rPr>
          <w:rStyle w:val="SCCCounselPartyRoleChar"/>
          <w:lang w:val="fr-CA"/>
        </w:rPr>
        <w:t>, pour l</w:t>
      </w:r>
      <w:r w:rsidR="00C37106">
        <w:rPr>
          <w:rStyle w:val="SCCCounselPartyRoleChar"/>
          <w:lang w:val="fr-CA"/>
        </w:rPr>
        <w:t>’</w:t>
      </w:r>
      <w:r w:rsidR="0061356B">
        <w:rPr>
          <w:rStyle w:val="SCCCounselPartyRoleChar"/>
          <w:lang w:val="fr-CA"/>
        </w:rPr>
        <w:t>intimée</w:t>
      </w:r>
      <w:r w:rsidRPr="001520B4">
        <w:rPr>
          <w:rStyle w:val="SCCCounselPartyRoleChar"/>
          <w:lang w:val="fr-CA"/>
        </w:rPr>
        <w:t>.</w:t>
      </w:r>
    </w:p>
    <w:p w:rsidR="00E95D8D" w:rsidRPr="001520B4" w:rsidRDefault="00E95D8D" w:rsidP="008543E2">
      <w:pPr>
        <w:spacing w:line="480" w:lineRule="auto"/>
        <w:rPr>
          <w:lang w:val="fr-CA"/>
        </w:rPr>
      </w:pPr>
    </w:p>
    <w:p w:rsidR="00E95D8D" w:rsidRDefault="00774EE5" w:rsidP="0061356B">
      <w:pPr>
        <w:pStyle w:val="SCCLawFirm"/>
        <w:rPr>
          <w:rStyle w:val="SCCCounselPartyRoleChar"/>
          <w:i w:val="0"/>
          <w:lang w:val="fr-CA"/>
        </w:rPr>
      </w:pPr>
      <w:r w:rsidRPr="001520B4">
        <w:rPr>
          <w:lang w:val="fr-CA"/>
        </w:rPr>
        <w:tab/>
      </w:r>
      <w:r w:rsidR="0061356B" w:rsidRPr="0061356B">
        <w:rPr>
          <w:rStyle w:val="SCCCounselPartyRoleChar"/>
          <w:i w:val="0"/>
          <w:lang w:val="fr-CA"/>
        </w:rPr>
        <w:t>Version française du jugement de la Cour rendu oralement par</w:t>
      </w:r>
    </w:p>
    <w:p w:rsidR="008543E2" w:rsidRPr="004123A3" w:rsidRDefault="008543E2" w:rsidP="000E1891">
      <w:pPr>
        <w:pStyle w:val="ParaNoNdepar-AltN"/>
        <w:tabs>
          <w:tab w:val="clear" w:pos="720"/>
        </w:tabs>
        <w:ind w:left="0" w:firstLine="0"/>
        <w:rPr>
          <w:lang w:val="fr-CA"/>
        </w:rPr>
      </w:pPr>
      <w:r>
        <w:rPr>
          <w:smallCaps/>
          <w:lang w:val="fr-CA"/>
        </w:rPr>
        <w:t>[1]</w:t>
      </w:r>
      <w:r>
        <w:rPr>
          <w:smallCaps/>
          <w:lang w:val="fr-CA"/>
        </w:rPr>
        <w:tab/>
      </w:r>
      <w:r w:rsidRPr="004123A3">
        <w:rPr>
          <w:smallCaps/>
          <w:lang w:val="fr-CA"/>
        </w:rPr>
        <w:t>La juge Martin</w:t>
      </w:r>
      <w:r w:rsidRPr="004123A3">
        <w:rPr>
          <w:lang w:val="fr-CA"/>
        </w:rPr>
        <w:t xml:space="preserve"> — L’accusé a été acquitté d’une accusation d’agression sexuelle au terme d’un procès devant une juge seule en Cour provinciale de l’Alberta. La Couronne a fait appel de l’acquittement devant la Cour d’appel de l’Alberta, qui a unanimement fait droit à l’appel et substitué une déclaration de culpabilité à l’acquittement. L’accusé se pourvoit de plein droit devant notre Cour.</w:t>
      </w:r>
    </w:p>
    <w:p w:rsidR="008543E2" w:rsidRPr="004123A3" w:rsidRDefault="008543E2" w:rsidP="00F8244A">
      <w:pPr>
        <w:pStyle w:val="ParaNoNdepar-AltN"/>
        <w:tabs>
          <w:tab w:val="clear" w:pos="720"/>
        </w:tabs>
        <w:ind w:left="0" w:firstLine="0"/>
        <w:rPr>
          <w:lang w:val="fr-CA"/>
        </w:rPr>
      </w:pPr>
      <w:r>
        <w:rPr>
          <w:lang w:val="fr-CA"/>
        </w:rPr>
        <w:t>[2]</w:t>
      </w:r>
      <w:r>
        <w:rPr>
          <w:lang w:val="fr-CA"/>
        </w:rPr>
        <w:tab/>
      </w:r>
      <w:r w:rsidRPr="004123A3">
        <w:rPr>
          <w:lang w:val="fr-CA"/>
        </w:rPr>
        <w:t>Nous sommes d’avis de rejeter le pourvoi et de confirmer la déclaration de culpabilité, essentiellement pour les motifs exposés par la Cour d’appel. Nous tenons cependant à ajouter qu’il n’était pas selon nous nécessaire de se reporter au dossier et aux interactions de la juge du procès avec les procureu</w:t>
      </w:r>
      <w:r w:rsidRPr="00B12B35">
        <w:rPr>
          <w:lang w:val="fr-CA"/>
        </w:rPr>
        <w:t>rs</w:t>
      </w:r>
      <w:r w:rsidRPr="004123A3">
        <w:rPr>
          <w:lang w:val="fr-CA"/>
        </w:rPr>
        <w:t xml:space="preserve"> pour cerner une erreur de droit. Au contraire, des erreurs de droit sont apparentes à la simple lecture des motifs de la juge. </w:t>
      </w:r>
    </w:p>
    <w:p w:rsidR="008543E2" w:rsidRPr="004123A3" w:rsidRDefault="008543E2" w:rsidP="00F8244A">
      <w:pPr>
        <w:pStyle w:val="ParaNoNdepar-AltN"/>
        <w:tabs>
          <w:tab w:val="clear" w:pos="720"/>
        </w:tabs>
        <w:ind w:left="0" w:firstLine="0"/>
        <w:rPr>
          <w:lang w:val="fr-CA"/>
        </w:rPr>
      </w:pPr>
      <w:r>
        <w:rPr>
          <w:lang w:val="fr-CA"/>
        </w:rPr>
        <w:lastRenderedPageBreak/>
        <w:t>[3]</w:t>
      </w:r>
      <w:r>
        <w:rPr>
          <w:lang w:val="fr-CA"/>
        </w:rPr>
        <w:tab/>
      </w:r>
      <w:r w:rsidRPr="004123A3">
        <w:rPr>
          <w:lang w:val="fr-CA"/>
        </w:rPr>
        <w:t>La juge du procès a accepté le témoignage du témoin comme étant véridique et fiable quant aux [</w:t>
      </w:r>
      <w:r w:rsidRPr="004123A3">
        <w:rPr>
          <w:smallCaps/>
          <w:lang w:val="fr-CA"/>
        </w:rPr>
        <w:t>traduction</w:t>
      </w:r>
      <w:r w:rsidRPr="004123A3">
        <w:rPr>
          <w:lang w:val="fr-CA"/>
        </w:rPr>
        <w:t>] « questions fondamentales », soit le fait qu’il a vu son père, l’accusé, traîner la plaignante de la chambre de celle-ci jusqu’au salon et se livrer à des activités sexuelles avec elle à plusieurs occasions. La juge de première instance a accepté cette preuve, mais a conclu que, « vu la déposition [du témoin], une inférence qui peut être tirée est que [la plaignante] ne consentait pas aux relations sexuelles avec l’accusé, mais il doit s’agir de la seule inférence raisonnable si la Couronne entend prouver hors de tout doute raisonnable l’absence de consentement » (motifs de la juge du procès (C. prov. Alb.), 1</w:t>
      </w:r>
      <w:r w:rsidRPr="004123A3">
        <w:rPr>
          <w:vertAlign w:val="superscript"/>
          <w:lang w:val="fr-CA"/>
        </w:rPr>
        <w:t>er</w:t>
      </w:r>
      <w:r w:rsidRPr="004123A3">
        <w:rPr>
          <w:lang w:val="fr-CA"/>
        </w:rPr>
        <w:t xml:space="preserve"> décembre 2017).</w:t>
      </w:r>
    </w:p>
    <w:p w:rsidR="008543E2" w:rsidRPr="004123A3" w:rsidRDefault="008543E2" w:rsidP="00F8244A">
      <w:pPr>
        <w:pStyle w:val="ParaNoNdepar-AltN"/>
        <w:tabs>
          <w:tab w:val="clear" w:pos="720"/>
        </w:tabs>
        <w:ind w:left="0" w:firstLine="0"/>
        <w:rPr>
          <w:lang w:val="fr-CA"/>
        </w:rPr>
      </w:pPr>
      <w:r>
        <w:rPr>
          <w:lang w:val="fr-CA"/>
        </w:rPr>
        <w:t>[4]</w:t>
      </w:r>
      <w:r>
        <w:rPr>
          <w:lang w:val="fr-CA"/>
        </w:rPr>
        <w:tab/>
      </w:r>
      <w:r w:rsidRPr="004123A3">
        <w:rPr>
          <w:lang w:val="fr-CA"/>
        </w:rPr>
        <w:t xml:space="preserve">À notre avis, le fait de traîner la plaignante alors qu’elle était endormie et droguée est incompatible avec toute forme de consentement. Aucune preuve, ou absence de preuve, n’appuyait quelque inférence raisonnable à part le non-consentement. Aucune autre inférence n’a été soumise à la juge du procès dans les observations, et celle-ci n’a cité aucune autre inférence dans ses motifs. </w:t>
      </w:r>
    </w:p>
    <w:p w:rsidR="008543E2" w:rsidRPr="004123A3" w:rsidRDefault="008543E2" w:rsidP="00F8244A">
      <w:pPr>
        <w:pStyle w:val="ParaNoNdepar-AltN"/>
        <w:tabs>
          <w:tab w:val="clear" w:pos="720"/>
        </w:tabs>
        <w:ind w:left="0" w:firstLine="0"/>
        <w:rPr>
          <w:lang w:val="fr-CA"/>
        </w:rPr>
      </w:pPr>
      <w:r>
        <w:rPr>
          <w:lang w:val="fr-CA"/>
        </w:rPr>
        <w:t>[5]</w:t>
      </w:r>
      <w:r>
        <w:rPr>
          <w:lang w:val="fr-CA"/>
        </w:rPr>
        <w:tab/>
      </w:r>
      <w:r w:rsidRPr="004123A3">
        <w:rPr>
          <w:lang w:val="fr-CA"/>
        </w:rPr>
        <w:t>En l’espèce, la juge du procès a non seulement mal appliqué le droit concernant la preuve circonstancielle à la déposition du témoin, qu’elle a acceptée, mais elle a aussi mal appliqué le droit relatif au consentement. La plaignante était légalement incapable de donner son consentement, et toute conclusion différente sur ce point constituait clairement une erreur de droit.</w:t>
      </w:r>
    </w:p>
    <w:p w:rsidR="008543E2" w:rsidRPr="004123A3" w:rsidRDefault="008543E2" w:rsidP="00F8244A">
      <w:pPr>
        <w:pStyle w:val="ParaNoNdepar-AltN"/>
        <w:tabs>
          <w:tab w:val="clear" w:pos="720"/>
        </w:tabs>
        <w:ind w:left="0" w:firstLine="0"/>
        <w:rPr>
          <w:lang w:val="fr-CA"/>
        </w:rPr>
      </w:pPr>
      <w:r>
        <w:rPr>
          <w:lang w:val="fr-CA"/>
        </w:rPr>
        <w:t>[6]</w:t>
      </w:r>
      <w:r>
        <w:rPr>
          <w:lang w:val="fr-CA"/>
        </w:rPr>
        <w:tab/>
      </w:r>
      <w:r w:rsidRPr="004123A3">
        <w:rPr>
          <w:lang w:val="fr-CA"/>
        </w:rPr>
        <w:t xml:space="preserve">Nous sommes par conséquent d’avis de confirmer la décision de la Cour d’appel d’inscrire un verdict de culpabilité relativement à l’accusation d’agression </w:t>
      </w:r>
      <w:r w:rsidRPr="004123A3">
        <w:rPr>
          <w:lang w:val="fr-CA"/>
        </w:rPr>
        <w:lastRenderedPageBreak/>
        <w:t>sexuelle et de renvoyer l’affaire au tribunal de première instance pour détermination de la peine.</w:t>
      </w:r>
    </w:p>
    <w:p w:rsidR="004D7D95" w:rsidRPr="0061356B" w:rsidRDefault="0061356B" w:rsidP="004D7D95">
      <w:pPr>
        <w:pStyle w:val="SCCNormalDoubleSpacing"/>
        <w:rPr>
          <w:i/>
          <w:lang w:val="fr-CA"/>
        </w:rPr>
      </w:pPr>
      <w:r w:rsidRPr="0061356B">
        <w:rPr>
          <w:lang w:val="fr-CA"/>
        </w:rPr>
        <w:tab/>
      </w:r>
      <w:r w:rsidRPr="00044B8E">
        <w:rPr>
          <w:i/>
          <w:lang w:val="fr-CA"/>
        </w:rPr>
        <w:t>Jugement en cons</w:t>
      </w:r>
      <w:r>
        <w:rPr>
          <w:i/>
          <w:lang w:val="fr-CA"/>
        </w:rPr>
        <w:t>équence.</w:t>
      </w:r>
    </w:p>
    <w:p w:rsidR="004D7D95" w:rsidRPr="00044B8E" w:rsidRDefault="004D7D95" w:rsidP="004D7D95">
      <w:pPr>
        <w:pStyle w:val="SCCNormalDoubleSpacing"/>
        <w:rPr>
          <w:lang w:val="fr-CA"/>
        </w:rPr>
      </w:pPr>
    </w:p>
    <w:p w:rsidR="00E95D8D" w:rsidRPr="0098583E" w:rsidRDefault="0061356B">
      <w:pPr>
        <w:pStyle w:val="SCCLawFirm"/>
        <w:rPr>
          <w:lang w:val="fr-CA"/>
        </w:rPr>
      </w:pPr>
      <w:r w:rsidRPr="00044B8E">
        <w:rPr>
          <w:lang w:val="fr-CA"/>
        </w:rPr>
        <w:tab/>
      </w:r>
      <w:r w:rsidRPr="0098583E">
        <w:rPr>
          <w:lang w:val="fr-CA"/>
        </w:rPr>
        <w:t>Procureurs</w:t>
      </w:r>
      <w:r w:rsidR="00044B8E" w:rsidRPr="0098583E">
        <w:rPr>
          <w:lang w:val="fr-CA"/>
        </w:rPr>
        <w:t xml:space="preserve"> de l’</w:t>
      </w:r>
      <w:r w:rsidR="008543E2" w:rsidRPr="0098583E">
        <w:rPr>
          <w:lang w:val="fr-CA"/>
        </w:rPr>
        <w:t>appelant</w:t>
      </w:r>
      <w:r w:rsidR="00774EE5" w:rsidRPr="0098583E">
        <w:rPr>
          <w:lang w:val="fr-CA"/>
        </w:rPr>
        <w:t> : Legal Aid Societ</w:t>
      </w:r>
      <w:r w:rsidR="00044B8E" w:rsidRPr="0098583E">
        <w:rPr>
          <w:lang w:val="fr-CA"/>
        </w:rPr>
        <w:t>y</w:t>
      </w:r>
      <w:r w:rsidR="00774EE5" w:rsidRPr="0098583E">
        <w:rPr>
          <w:lang w:val="fr-CA"/>
        </w:rPr>
        <w:t xml:space="preserve"> </w:t>
      </w:r>
      <w:r w:rsidR="00845732">
        <w:rPr>
          <w:lang w:val="fr-CA"/>
        </w:rPr>
        <w:t xml:space="preserve">of </w:t>
      </w:r>
      <w:r w:rsidR="00774EE5" w:rsidRPr="0098583E">
        <w:rPr>
          <w:lang w:val="fr-CA"/>
        </w:rPr>
        <w:t>Alberta, Edmonton</w:t>
      </w:r>
      <w:r w:rsidR="00044B8E" w:rsidRPr="0098583E">
        <w:rPr>
          <w:lang w:val="fr-CA"/>
        </w:rPr>
        <w:t>; Sinclair Law Office,</w:t>
      </w:r>
      <w:r w:rsidRPr="0098583E">
        <w:rPr>
          <w:lang w:val="fr-CA"/>
        </w:rPr>
        <w:t xml:space="preserve"> Stony Plain</w:t>
      </w:r>
      <w:r w:rsidR="00774EE5" w:rsidRPr="0098583E">
        <w:rPr>
          <w:lang w:val="fr-CA"/>
        </w:rPr>
        <w:t>.</w:t>
      </w:r>
    </w:p>
    <w:p w:rsidR="00E95D8D" w:rsidRPr="0098583E" w:rsidRDefault="00E95D8D">
      <w:pPr>
        <w:pStyle w:val="SCCLawFirm"/>
        <w:rPr>
          <w:lang w:val="fr-CA"/>
        </w:rPr>
      </w:pPr>
    </w:p>
    <w:p w:rsidR="00E95D8D" w:rsidRPr="0061356B" w:rsidRDefault="00774EE5">
      <w:pPr>
        <w:pStyle w:val="SCCLawFirm"/>
        <w:rPr>
          <w:lang w:val="fr-CA"/>
        </w:rPr>
      </w:pPr>
      <w:r w:rsidRPr="0098583E">
        <w:rPr>
          <w:lang w:val="fr-CA"/>
        </w:rPr>
        <w:tab/>
      </w:r>
      <w:r w:rsidRPr="0061356B">
        <w:rPr>
          <w:lang w:val="fr-CA"/>
        </w:rPr>
        <w:t>Procureur</w:t>
      </w:r>
      <w:r w:rsidR="00044B8E">
        <w:rPr>
          <w:lang w:val="fr-CA"/>
        </w:rPr>
        <w:t xml:space="preserve"> de l’</w:t>
      </w:r>
      <w:r w:rsidR="0061356B" w:rsidRPr="0061356B">
        <w:rPr>
          <w:lang w:val="fr-CA"/>
        </w:rPr>
        <w:t>intimée</w:t>
      </w:r>
      <w:r w:rsidRPr="0061356B">
        <w:rPr>
          <w:lang w:val="fr-CA"/>
        </w:rPr>
        <w:t> </w:t>
      </w:r>
      <w:r w:rsidRPr="00044B8E">
        <w:rPr>
          <w:lang w:val="fr-CA"/>
        </w:rPr>
        <w:t xml:space="preserve">: </w:t>
      </w:r>
      <w:r w:rsidR="0061356B" w:rsidRPr="00044B8E">
        <w:rPr>
          <w:lang w:val="fr-CA"/>
        </w:rPr>
        <w:t>Procureur général de l’Alberta</w:t>
      </w:r>
      <w:r w:rsidRPr="00044B8E">
        <w:rPr>
          <w:lang w:val="fr-CA"/>
        </w:rPr>
        <w:t>, Edmonton</w:t>
      </w:r>
      <w:r w:rsidRPr="0061356B">
        <w:rPr>
          <w:lang w:val="fr-CA"/>
        </w:rPr>
        <w:t>.</w:t>
      </w:r>
    </w:p>
    <w:p w:rsidR="009B57B3" w:rsidRPr="00044B8E" w:rsidRDefault="009B57B3" w:rsidP="004D7D95">
      <w:pPr>
        <w:rPr>
          <w:lang w:val="fr-CA"/>
        </w:rPr>
      </w:pPr>
    </w:p>
    <w:sectPr w:rsidR="009B57B3" w:rsidRPr="00044B8E"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2B9" w:rsidRDefault="000442B9">
      <w:r>
        <w:separator/>
      </w:r>
    </w:p>
  </w:endnote>
  <w:endnote w:type="continuationSeparator" w:id="0">
    <w:p w:rsidR="000442B9" w:rsidRDefault="0004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2B9" w:rsidRDefault="000442B9">
      <w:r>
        <w:separator/>
      </w:r>
    </w:p>
  </w:footnote>
  <w:footnote w:type="continuationSeparator" w:id="0">
    <w:p w:rsidR="000442B9" w:rsidRDefault="00044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442B9"/>
    <w:rsid w:val="00044B8E"/>
    <w:rsid w:val="000578A3"/>
    <w:rsid w:val="000648CC"/>
    <w:rsid w:val="000C59B8"/>
    <w:rsid w:val="000C6AF0"/>
    <w:rsid w:val="000D0A77"/>
    <w:rsid w:val="000E1891"/>
    <w:rsid w:val="000F7993"/>
    <w:rsid w:val="00104F33"/>
    <w:rsid w:val="00111DE2"/>
    <w:rsid w:val="00116B38"/>
    <w:rsid w:val="00135406"/>
    <w:rsid w:val="00135972"/>
    <w:rsid w:val="001426A9"/>
    <w:rsid w:val="001520B4"/>
    <w:rsid w:val="00154D7C"/>
    <w:rsid w:val="001570B0"/>
    <w:rsid w:val="0015752C"/>
    <w:rsid w:val="00157737"/>
    <w:rsid w:val="00165277"/>
    <w:rsid w:val="00170592"/>
    <w:rsid w:val="001720F7"/>
    <w:rsid w:val="00195D83"/>
    <w:rsid w:val="001A00C1"/>
    <w:rsid w:val="001B33E0"/>
    <w:rsid w:val="001B4573"/>
    <w:rsid w:val="001C779F"/>
    <w:rsid w:val="001D2AC1"/>
    <w:rsid w:val="001D308F"/>
    <w:rsid w:val="001D4E88"/>
    <w:rsid w:val="00220FC2"/>
    <w:rsid w:val="002222F4"/>
    <w:rsid w:val="00224FC0"/>
    <w:rsid w:val="00225EA4"/>
    <w:rsid w:val="00226EAF"/>
    <w:rsid w:val="00231F3A"/>
    <w:rsid w:val="002360B6"/>
    <w:rsid w:val="002406EE"/>
    <w:rsid w:val="00243EC8"/>
    <w:rsid w:val="00270D93"/>
    <w:rsid w:val="002745CC"/>
    <w:rsid w:val="002B6FBE"/>
    <w:rsid w:val="002B7924"/>
    <w:rsid w:val="002C10A6"/>
    <w:rsid w:val="002D28C3"/>
    <w:rsid w:val="002D39A4"/>
    <w:rsid w:val="002E6705"/>
    <w:rsid w:val="0030329A"/>
    <w:rsid w:val="0031086F"/>
    <w:rsid w:val="0031414C"/>
    <w:rsid w:val="00314E01"/>
    <w:rsid w:val="0032089D"/>
    <w:rsid w:val="003310DE"/>
    <w:rsid w:val="003323B0"/>
    <w:rsid w:val="00335001"/>
    <w:rsid w:val="00340A49"/>
    <w:rsid w:val="0035169A"/>
    <w:rsid w:val="0035259D"/>
    <w:rsid w:val="00364B18"/>
    <w:rsid w:val="003A125D"/>
    <w:rsid w:val="003A4C70"/>
    <w:rsid w:val="003B215F"/>
    <w:rsid w:val="003C799C"/>
    <w:rsid w:val="003D0399"/>
    <w:rsid w:val="003E1C71"/>
    <w:rsid w:val="003F327B"/>
    <w:rsid w:val="00406166"/>
    <w:rsid w:val="0040704B"/>
    <w:rsid w:val="00410A55"/>
    <w:rsid w:val="00411300"/>
    <w:rsid w:val="00413F17"/>
    <w:rsid w:val="00415417"/>
    <w:rsid w:val="00426659"/>
    <w:rsid w:val="00450352"/>
    <w:rsid w:val="00454BDB"/>
    <w:rsid w:val="00461CD9"/>
    <w:rsid w:val="00465132"/>
    <w:rsid w:val="00480C90"/>
    <w:rsid w:val="0048396F"/>
    <w:rsid w:val="00493C18"/>
    <w:rsid w:val="004A600C"/>
    <w:rsid w:val="004A6118"/>
    <w:rsid w:val="004C478D"/>
    <w:rsid w:val="004D7D95"/>
    <w:rsid w:val="004E2C26"/>
    <w:rsid w:val="00500DAD"/>
    <w:rsid w:val="005125A8"/>
    <w:rsid w:val="00517549"/>
    <w:rsid w:val="00520ABC"/>
    <w:rsid w:val="00521AE8"/>
    <w:rsid w:val="00527180"/>
    <w:rsid w:val="00555291"/>
    <w:rsid w:val="00566AD1"/>
    <w:rsid w:val="00583EDE"/>
    <w:rsid w:val="00585E60"/>
    <w:rsid w:val="005A6079"/>
    <w:rsid w:val="005E4698"/>
    <w:rsid w:val="00603924"/>
    <w:rsid w:val="00610539"/>
    <w:rsid w:val="0061356B"/>
    <w:rsid w:val="00613969"/>
    <w:rsid w:val="00625C35"/>
    <w:rsid w:val="00647E49"/>
    <w:rsid w:val="00656313"/>
    <w:rsid w:val="006565F4"/>
    <w:rsid w:val="00684EEA"/>
    <w:rsid w:val="0069689B"/>
    <w:rsid w:val="006B5FF5"/>
    <w:rsid w:val="006F30AF"/>
    <w:rsid w:val="00701759"/>
    <w:rsid w:val="00705C15"/>
    <w:rsid w:val="007110F6"/>
    <w:rsid w:val="007208D1"/>
    <w:rsid w:val="00744518"/>
    <w:rsid w:val="00747288"/>
    <w:rsid w:val="007479B2"/>
    <w:rsid w:val="00747DD3"/>
    <w:rsid w:val="007549C8"/>
    <w:rsid w:val="00766D14"/>
    <w:rsid w:val="00767A0F"/>
    <w:rsid w:val="00774EE5"/>
    <w:rsid w:val="00791272"/>
    <w:rsid w:val="007A05F6"/>
    <w:rsid w:val="007B6F4A"/>
    <w:rsid w:val="007E1C47"/>
    <w:rsid w:val="007E337A"/>
    <w:rsid w:val="007E5C70"/>
    <w:rsid w:val="007F2F78"/>
    <w:rsid w:val="007F2FF5"/>
    <w:rsid w:val="007F3F08"/>
    <w:rsid w:val="00804CC6"/>
    <w:rsid w:val="00817190"/>
    <w:rsid w:val="008260E2"/>
    <w:rsid w:val="008322BD"/>
    <w:rsid w:val="00834F73"/>
    <w:rsid w:val="00845732"/>
    <w:rsid w:val="008543E2"/>
    <w:rsid w:val="00864C8A"/>
    <w:rsid w:val="00864CF8"/>
    <w:rsid w:val="00874914"/>
    <w:rsid w:val="00876B03"/>
    <w:rsid w:val="00891422"/>
    <w:rsid w:val="00892E1A"/>
    <w:rsid w:val="008B660A"/>
    <w:rsid w:val="008C01DA"/>
    <w:rsid w:val="008C1050"/>
    <w:rsid w:val="008F2674"/>
    <w:rsid w:val="008F78E9"/>
    <w:rsid w:val="009179F9"/>
    <w:rsid w:val="00917C7A"/>
    <w:rsid w:val="00933E5E"/>
    <w:rsid w:val="00935218"/>
    <w:rsid w:val="00936408"/>
    <w:rsid w:val="00937C52"/>
    <w:rsid w:val="009403F3"/>
    <w:rsid w:val="009555B7"/>
    <w:rsid w:val="009567AA"/>
    <w:rsid w:val="009602C9"/>
    <w:rsid w:val="00967374"/>
    <w:rsid w:val="0098583E"/>
    <w:rsid w:val="009A343A"/>
    <w:rsid w:val="009B2F23"/>
    <w:rsid w:val="009B57B3"/>
    <w:rsid w:val="009D2920"/>
    <w:rsid w:val="009D5AEB"/>
    <w:rsid w:val="009F0E33"/>
    <w:rsid w:val="00A149DF"/>
    <w:rsid w:val="00A1755C"/>
    <w:rsid w:val="00A21B90"/>
    <w:rsid w:val="00A22AAC"/>
    <w:rsid w:val="00A41805"/>
    <w:rsid w:val="00A51882"/>
    <w:rsid w:val="00A52AFB"/>
    <w:rsid w:val="00A53E80"/>
    <w:rsid w:val="00A548CB"/>
    <w:rsid w:val="00A5521C"/>
    <w:rsid w:val="00A63AEF"/>
    <w:rsid w:val="00A643E7"/>
    <w:rsid w:val="00A65625"/>
    <w:rsid w:val="00A73C38"/>
    <w:rsid w:val="00A9040A"/>
    <w:rsid w:val="00A921A7"/>
    <w:rsid w:val="00AA1751"/>
    <w:rsid w:val="00AB670D"/>
    <w:rsid w:val="00AF03C5"/>
    <w:rsid w:val="00B000D8"/>
    <w:rsid w:val="00B00F75"/>
    <w:rsid w:val="00B12B35"/>
    <w:rsid w:val="00B145B6"/>
    <w:rsid w:val="00B279EB"/>
    <w:rsid w:val="00B42CF3"/>
    <w:rsid w:val="00B50C81"/>
    <w:rsid w:val="00B557F8"/>
    <w:rsid w:val="00B815FC"/>
    <w:rsid w:val="00B93FBC"/>
    <w:rsid w:val="00BA7DA0"/>
    <w:rsid w:val="00BB2EE4"/>
    <w:rsid w:val="00BB4C92"/>
    <w:rsid w:val="00BC2108"/>
    <w:rsid w:val="00BC2D32"/>
    <w:rsid w:val="00BD0E9E"/>
    <w:rsid w:val="00BD1BEC"/>
    <w:rsid w:val="00BD32FF"/>
    <w:rsid w:val="00BF6FE9"/>
    <w:rsid w:val="00C02092"/>
    <w:rsid w:val="00C06E5B"/>
    <w:rsid w:val="00C24D91"/>
    <w:rsid w:val="00C26DB2"/>
    <w:rsid w:val="00C37106"/>
    <w:rsid w:val="00C53F14"/>
    <w:rsid w:val="00C600CF"/>
    <w:rsid w:val="00C6084F"/>
    <w:rsid w:val="00C62A66"/>
    <w:rsid w:val="00C66359"/>
    <w:rsid w:val="00C71458"/>
    <w:rsid w:val="00C77613"/>
    <w:rsid w:val="00C828E7"/>
    <w:rsid w:val="00C86719"/>
    <w:rsid w:val="00C921DD"/>
    <w:rsid w:val="00CA6391"/>
    <w:rsid w:val="00CE036E"/>
    <w:rsid w:val="00CE3171"/>
    <w:rsid w:val="00CF1601"/>
    <w:rsid w:val="00D0172F"/>
    <w:rsid w:val="00D01E33"/>
    <w:rsid w:val="00D068A7"/>
    <w:rsid w:val="00D17476"/>
    <w:rsid w:val="00D17B0E"/>
    <w:rsid w:val="00D32086"/>
    <w:rsid w:val="00D37A3F"/>
    <w:rsid w:val="00D4431D"/>
    <w:rsid w:val="00D4667A"/>
    <w:rsid w:val="00D63A1C"/>
    <w:rsid w:val="00D7516F"/>
    <w:rsid w:val="00D95F8E"/>
    <w:rsid w:val="00DA0590"/>
    <w:rsid w:val="00DC1739"/>
    <w:rsid w:val="00DC1788"/>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95D8D"/>
    <w:rsid w:val="00E97830"/>
    <w:rsid w:val="00EE0830"/>
    <w:rsid w:val="00EE6CB8"/>
    <w:rsid w:val="00EF0683"/>
    <w:rsid w:val="00F0070C"/>
    <w:rsid w:val="00F00EB7"/>
    <w:rsid w:val="00F36AB6"/>
    <w:rsid w:val="00F37A09"/>
    <w:rsid w:val="00F409CE"/>
    <w:rsid w:val="00F417F2"/>
    <w:rsid w:val="00F4379D"/>
    <w:rsid w:val="00F50D2D"/>
    <w:rsid w:val="00F56C8B"/>
    <w:rsid w:val="00F62639"/>
    <w:rsid w:val="00F66810"/>
    <w:rsid w:val="00F8244A"/>
    <w:rsid w:val="00F84DF4"/>
    <w:rsid w:val="00F85C97"/>
    <w:rsid w:val="00FB37D2"/>
    <w:rsid w:val="00FC4EFB"/>
    <w:rsid w:val="00FD068D"/>
    <w:rsid w:val="00FD4F28"/>
    <w:rsid w:val="00FE3583"/>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0E1891"/>
    <w:pPr>
      <w:tabs>
        <w:tab w:val="num" w:pos="720"/>
        <w:tab w:val="left" w:pos="1166"/>
      </w:tabs>
      <w:spacing w:before="480" w:after="480" w:line="480" w:lineRule="auto"/>
      <w:ind w:left="720" w:hanging="720"/>
      <w:jc w:val="both"/>
    </w:pPr>
    <w:rPr>
      <w:rFonts w:eastAsiaTheme="minorEastAsia" w:cstheme="minorBidi"/>
      <w:sz w:val="24"/>
      <w:szCs w:val="22"/>
      <w:lang w:eastAsia="en-US"/>
    </w:rPr>
  </w:style>
  <w:style w:type="table" w:customStyle="1" w:styleId="TableGrid1">
    <w:name w:val="Table Grid1"/>
    <w:basedOn w:val="TableNormal"/>
    <w:next w:val="TableGrid"/>
    <w:uiPriority w:val="59"/>
    <w:rsid w:val="00936408"/>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93640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936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798</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2021-02-27T23:28:00Z</dcterms:created>
  <dcterms:modified xsi:type="dcterms:W3CDTF">2021-03-01T18:40:00Z</dcterms:modified>
</cp:coreProperties>
</file>