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C0" w:rsidRPr="00417AC0" w:rsidRDefault="00417AC0" w:rsidP="002B6259">
      <w:pPr>
        <w:tabs>
          <w:tab w:val="center" w:pos="4680"/>
          <w:tab w:val="right" w:pos="9360"/>
        </w:tabs>
        <w:jc w:val="center"/>
        <w:rPr>
          <w:rFonts w:eastAsia="Calibri"/>
          <w:szCs w:val="24"/>
          <w:lang w:val="fr-CA" w:eastAsia="en-US"/>
        </w:rPr>
      </w:pPr>
      <w:r w:rsidRPr="00417AC0">
        <w:rPr>
          <w:rFonts w:eastAsia="Calibri"/>
          <w:szCs w:val="24"/>
          <w:lang w:val="fr-CA" w:eastAsia="en-US"/>
        </w:rPr>
        <w:ptab w:relativeTo="margin" w:alignment="center" w:leader="none"/>
      </w:r>
      <w:r w:rsidRPr="00417AC0">
        <w:rPr>
          <w:rFonts w:eastAsia="Calibri"/>
          <w:szCs w:val="24"/>
          <w:lang w:val="fr-CA" w:eastAsia="en-US"/>
        </w:rPr>
        <w:t xml:space="preserve"> </w:t>
      </w:r>
      <w:bookmarkStart w:id="0" w:name="_GoBack"/>
      <w:r w:rsidRPr="00417AC0">
        <w:rPr>
          <w:rFonts w:eastAsia="Calibri"/>
          <w:szCs w:val="24"/>
          <w:lang w:val="fr-CA" w:eastAsia="en-US"/>
        </w:rPr>
        <w:object w:dxaOrig="1365" w:dyaOrig="1440">
          <v:shape id="_x0000_i1027" type="#_x0000_t75" style="width:61pt;height:64.65pt" o:ole="">
            <v:imagedata r:id="rId7" o:title=""/>
          </v:shape>
          <o:OLEObject Type="Embed" ProgID="Presentations.Drawing.13" ShapeID="_x0000_i1027" DrawAspect="Content" ObjectID="_1676111830" r:id="rId8"/>
        </w:object>
      </w:r>
      <w:bookmarkEnd w:id="0"/>
      <w:r w:rsidRPr="00417AC0">
        <w:rPr>
          <w:rFonts w:eastAsia="Calibri"/>
          <w:szCs w:val="24"/>
          <w:lang w:val="fr-CA" w:eastAsia="en-US"/>
        </w:rPr>
        <w:t xml:space="preserve"> </w:t>
      </w:r>
      <w:r w:rsidRPr="00417AC0">
        <w:rPr>
          <w:rFonts w:eastAsia="Calibri"/>
          <w:szCs w:val="24"/>
          <w:lang w:val="fr-CA" w:eastAsia="en-US"/>
        </w:rPr>
        <w:ptab w:relativeTo="margin" w:alignment="right" w:leader="none"/>
      </w:r>
    </w:p>
    <w:p w:rsidR="00417AC0" w:rsidRPr="00417AC0" w:rsidRDefault="00417AC0" w:rsidP="00417AC0">
      <w:pPr>
        <w:tabs>
          <w:tab w:val="center" w:pos="4680"/>
          <w:tab w:val="right" w:pos="9360"/>
        </w:tabs>
        <w:rPr>
          <w:rFonts w:eastAsia="Calibri"/>
          <w:szCs w:val="24"/>
          <w:lang w:val="fr-CA" w:eastAsia="en-US"/>
        </w:rPr>
      </w:pPr>
    </w:p>
    <w:p w:rsidR="00417AC0" w:rsidRPr="00417AC0" w:rsidRDefault="00417AC0" w:rsidP="00417AC0">
      <w:pPr>
        <w:jc w:val="center"/>
        <w:rPr>
          <w:rFonts w:eastAsia="Calibri"/>
          <w:b/>
          <w:szCs w:val="24"/>
          <w:lang w:val="fr-CA" w:eastAsia="en-US"/>
        </w:rPr>
      </w:pPr>
      <w:r w:rsidRPr="00417AC0">
        <w:rPr>
          <w:rFonts w:eastAsia="Calibri"/>
          <w:b/>
          <w:szCs w:val="24"/>
          <w:lang w:val="fr-CA" w:eastAsia="en-US"/>
        </w:rPr>
        <w:t>COUR SUPRÊME DU CANADA</w:t>
      </w:r>
    </w:p>
    <w:p w:rsidR="00417AC0" w:rsidRPr="00417AC0" w:rsidRDefault="00417AC0" w:rsidP="00417AC0">
      <w:pPr>
        <w:rPr>
          <w:rFonts w:eastAsia="Calibri"/>
          <w:szCs w:val="24"/>
          <w:lang w:val="fr-CA" w:eastAsia="en-US"/>
        </w:rPr>
      </w:pPr>
    </w:p>
    <w:tbl>
      <w:tblPr>
        <w:tblStyle w:val="TableGrid11"/>
        <w:tblW w:w="5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7"/>
        <w:gridCol w:w="3385"/>
      </w:tblGrid>
      <w:tr w:rsidR="00417AC0" w:rsidRPr="004E2228" w:rsidTr="00695EFF">
        <w:tc>
          <w:tcPr>
            <w:tcW w:w="2112" w:type="pct"/>
            <w:tcMar>
              <w:top w:w="284" w:type="dxa"/>
            </w:tcMar>
          </w:tcPr>
          <w:p w:rsidR="00417AC0" w:rsidRPr="00417AC0" w:rsidRDefault="00417AC0" w:rsidP="00417AC0">
            <w:pPr>
              <w:spacing w:before="100" w:beforeAutospacing="1"/>
              <w:rPr>
                <w:rFonts w:eastAsia="Calibri"/>
                <w:lang w:val="fr-CA"/>
              </w:rPr>
            </w:pPr>
            <w:r w:rsidRPr="00417AC0">
              <w:rPr>
                <w:b/>
                <w:lang w:val="fr-CA"/>
              </w:rPr>
              <w:t>Référence :</w:t>
            </w:r>
            <w:r w:rsidRPr="00417AC0">
              <w:rPr>
                <w:lang w:val="fr-CA"/>
              </w:rPr>
              <w:t xml:space="preserve"> Canada (Sécurité publique et Protection civile) </w:t>
            </w:r>
            <w:r w:rsidRPr="00417AC0">
              <w:rPr>
                <w:i/>
                <w:lang w:val="fr-CA"/>
              </w:rPr>
              <w:t>c.</w:t>
            </w:r>
            <w:r w:rsidRPr="00417AC0">
              <w:rPr>
                <w:lang w:val="fr-CA"/>
              </w:rPr>
              <w:t xml:space="preserve"> Chhina, 2019 CSC 29, [2019] 2 R.C.S. 467</w:t>
            </w:r>
          </w:p>
        </w:tc>
        <w:tc>
          <w:tcPr>
            <w:tcW w:w="987" w:type="pct"/>
          </w:tcPr>
          <w:p w:rsidR="00417AC0" w:rsidRPr="00417AC0" w:rsidRDefault="00417AC0" w:rsidP="00417AC0">
            <w:pPr>
              <w:rPr>
                <w:b/>
                <w:lang w:val="fr-CA"/>
              </w:rPr>
            </w:pPr>
          </w:p>
        </w:tc>
        <w:tc>
          <w:tcPr>
            <w:tcW w:w="1901" w:type="pct"/>
            <w:tcMar>
              <w:top w:w="284" w:type="dxa"/>
            </w:tcMar>
          </w:tcPr>
          <w:p w:rsidR="00417AC0" w:rsidRPr="00417AC0" w:rsidRDefault="00417AC0" w:rsidP="00417AC0">
            <w:pPr>
              <w:rPr>
                <w:lang w:val="fr-CA"/>
              </w:rPr>
            </w:pPr>
            <w:r w:rsidRPr="00417AC0">
              <w:rPr>
                <w:b/>
                <w:lang w:val="fr-CA"/>
              </w:rPr>
              <w:t>Appel entendu :</w:t>
            </w:r>
            <w:r w:rsidRPr="00417AC0">
              <w:rPr>
                <w:lang w:val="fr-CA"/>
              </w:rPr>
              <w:t xml:space="preserve"> </w:t>
            </w:r>
            <w:r w:rsidR="004E2228">
              <w:rPr>
                <w:lang w:val="fr-CA"/>
              </w:rPr>
              <w:t>14 novembre 2018</w:t>
            </w:r>
          </w:p>
          <w:p w:rsidR="00417AC0" w:rsidRPr="00417AC0" w:rsidRDefault="00417AC0" w:rsidP="00417AC0">
            <w:pPr>
              <w:rPr>
                <w:b/>
                <w:lang w:val="fr-CA"/>
              </w:rPr>
            </w:pPr>
            <w:r w:rsidRPr="00417AC0">
              <w:rPr>
                <w:b/>
                <w:lang w:val="fr-CA"/>
              </w:rPr>
              <w:t xml:space="preserve">Jugement rendu : </w:t>
            </w:r>
            <w:r w:rsidR="004E2228" w:rsidRPr="004E2228">
              <w:rPr>
                <w:lang w:val="fr-CA"/>
              </w:rPr>
              <w:t>10 mai 2019</w:t>
            </w:r>
          </w:p>
          <w:p w:rsidR="00417AC0" w:rsidRPr="00417AC0" w:rsidRDefault="00417AC0" w:rsidP="004E2228">
            <w:pPr>
              <w:rPr>
                <w:rFonts w:eastAsia="Calibri"/>
                <w:lang w:val="fr-CA"/>
              </w:rPr>
            </w:pPr>
            <w:r w:rsidRPr="00417AC0">
              <w:rPr>
                <w:b/>
                <w:lang w:val="fr-CA"/>
              </w:rPr>
              <w:t>Dossier :</w:t>
            </w:r>
            <w:r w:rsidRPr="00417AC0">
              <w:rPr>
                <w:lang w:val="fr-CA"/>
              </w:rPr>
              <w:t xml:space="preserve"> </w:t>
            </w:r>
            <w:r w:rsidR="004E2228">
              <w:rPr>
                <w:lang w:val="fr-CA"/>
              </w:rPr>
              <w:t>37770</w:t>
            </w:r>
          </w:p>
        </w:tc>
      </w:tr>
    </w:tbl>
    <w:p w:rsidR="00417AC0" w:rsidRPr="00417AC0" w:rsidRDefault="00417AC0" w:rsidP="00417AC0">
      <w:pPr>
        <w:rPr>
          <w:rFonts w:eastAsia="Calibri"/>
          <w:szCs w:val="24"/>
          <w:lang w:val="fr-CA" w:eastAsia="en-US"/>
        </w:rPr>
      </w:pPr>
    </w:p>
    <w:p w:rsidR="00417AC0" w:rsidRPr="00417AC0" w:rsidRDefault="00417AC0" w:rsidP="00417AC0">
      <w:pPr>
        <w:rPr>
          <w:rFonts w:eastAsia="Calibri"/>
          <w:b/>
          <w:smallCaps/>
          <w:szCs w:val="24"/>
          <w:lang w:val="fr-CA" w:eastAsia="en-US"/>
        </w:rPr>
      </w:pPr>
      <w:r w:rsidRPr="00417AC0">
        <w:rPr>
          <w:rFonts w:eastAsia="Calibri"/>
          <w:b/>
          <w:smallCaps/>
          <w:szCs w:val="24"/>
          <w:lang w:val="fr-CA" w:eastAsia="en-US"/>
        </w:rPr>
        <w:t>Entre :</w:t>
      </w:r>
    </w:p>
    <w:p w:rsidR="00417AC0" w:rsidRPr="00417AC0" w:rsidRDefault="00417AC0" w:rsidP="00417AC0">
      <w:pPr>
        <w:jc w:val="center"/>
        <w:rPr>
          <w:rFonts w:eastAsia="Calibri"/>
          <w:b/>
          <w:szCs w:val="24"/>
          <w:lang w:val="fr-CA" w:eastAsia="en-US"/>
        </w:rPr>
      </w:pPr>
      <w:r w:rsidRPr="00417AC0">
        <w:rPr>
          <w:rFonts w:eastAsia="Calibri"/>
          <w:b/>
          <w:szCs w:val="24"/>
          <w:lang w:val="fr-CA" w:eastAsia="en-US"/>
        </w:rPr>
        <w:t>Ministre de la Sécurité publique et de la Protection civile</w:t>
      </w:r>
    </w:p>
    <w:p w:rsidR="00417AC0" w:rsidRPr="00417AC0" w:rsidRDefault="00417AC0" w:rsidP="00417AC0">
      <w:pPr>
        <w:jc w:val="center"/>
        <w:rPr>
          <w:rFonts w:eastAsia="Calibri"/>
          <w:b/>
          <w:szCs w:val="24"/>
          <w:lang w:val="fr-CA" w:eastAsia="en-US"/>
        </w:rPr>
      </w:pPr>
      <w:r w:rsidRPr="00417AC0">
        <w:rPr>
          <w:rFonts w:eastAsia="Calibri"/>
          <w:b/>
          <w:szCs w:val="24"/>
          <w:lang w:val="fr-CA" w:eastAsia="en-US"/>
        </w:rPr>
        <w:t>et procureur général du Canada</w:t>
      </w:r>
    </w:p>
    <w:p w:rsidR="00417AC0" w:rsidRPr="00417AC0" w:rsidRDefault="00417AC0" w:rsidP="00417AC0">
      <w:pPr>
        <w:jc w:val="center"/>
        <w:rPr>
          <w:rFonts w:eastAsia="Calibri"/>
          <w:szCs w:val="24"/>
          <w:lang w:val="fr-CA" w:eastAsia="en-US"/>
        </w:rPr>
      </w:pPr>
      <w:r w:rsidRPr="00417AC0">
        <w:rPr>
          <w:rFonts w:eastAsia="Calibri"/>
          <w:szCs w:val="24"/>
          <w:lang w:val="fr-CA" w:eastAsia="en-US"/>
        </w:rPr>
        <w:t>Appelants</w:t>
      </w:r>
    </w:p>
    <w:p w:rsidR="00417AC0" w:rsidRPr="00417AC0" w:rsidRDefault="00417AC0" w:rsidP="00417AC0">
      <w:pPr>
        <w:rPr>
          <w:rFonts w:eastAsia="Calibri"/>
          <w:szCs w:val="24"/>
          <w:lang w:val="fr-CA" w:eastAsia="en-US"/>
        </w:rPr>
      </w:pPr>
    </w:p>
    <w:p w:rsidR="00417AC0" w:rsidRPr="00417AC0" w:rsidRDefault="00417AC0" w:rsidP="00417AC0">
      <w:pPr>
        <w:jc w:val="center"/>
        <w:rPr>
          <w:rFonts w:eastAsia="Calibri"/>
          <w:szCs w:val="24"/>
          <w:lang w:val="fr-CA" w:eastAsia="en-US"/>
        </w:rPr>
      </w:pPr>
      <w:r w:rsidRPr="00417AC0">
        <w:rPr>
          <w:rFonts w:eastAsia="Calibri"/>
          <w:szCs w:val="24"/>
          <w:lang w:val="fr-CA" w:eastAsia="en-US"/>
        </w:rPr>
        <w:t>et</w:t>
      </w:r>
    </w:p>
    <w:p w:rsidR="00417AC0" w:rsidRPr="00417AC0" w:rsidRDefault="00417AC0" w:rsidP="00417AC0">
      <w:pPr>
        <w:rPr>
          <w:rFonts w:eastAsia="Calibri"/>
          <w:szCs w:val="24"/>
          <w:lang w:val="fr-CA" w:eastAsia="en-US"/>
        </w:rPr>
      </w:pPr>
    </w:p>
    <w:p w:rsidR="00417AC0" w:rsidRPr="00417AC0" w:rsidRDefault="00417AC0" w:rsidP="00417AC0">
      <w:pPr>
        <w:jc w:val="center"/>
        <w:rPr>
          <w:rFonts w:eastAsia="Calibri"/>
          <w:b/>
          <w:szCs w:val="24"/>
          <w:lang w:val="fr-CA" w:eastAsia="en-US"/>
        </w:rPr>
      </w:pPr>
      <w:r w:rsidRPr="00417AC0">
        <w:rPr>
          <w:rFonts w:eastAsia="Calibri"/>
          <w:b/>
          <w:szCs w:val="24"/>
          <w:lang w:val="fr-CA" w:eastAsia="en-US"/>
        </w:rPr>
        <w:t>Tusif Ur Rehman Chhina</w:t>
      </w:r>
    </w:p>
    <w:p w:rsidR="00417AC0" w:rsidRPr="00417AC0" w:rsidRDefault="00417AC0" w:rsidP="00417AC0">
      <w:pPr>
        <w:jc w:val="center"/>
        <w:rPr>
          <w:rFonts w:eastAsia="Calibri"/>
          <w:szCs w:val="24"/>
          <w:lang w:val="fr-CA" w:eastAsia="en-US"/>
        </w:rPr>
      </w:pPr>
      <w:r w:rsidRPr="00417AC0">
        <w:rPr>
          <w:rFonts w:eastAsia="Calibri"/>
          <w:szCs w:val="24"/>
          <w:lang w:val="fr-CA" w:eastAsia="en-US"/>
        </w:rPr>
        <w:t>Intimé</w:t>
      </w:r>
    </w:p>
    <w:p w:rsidR="00417AC0" w:rsidRPr="00417AC0" w:rsidRDefault="00417AC0" w:rsidP="00417AC0">
      <w:pPr>
        <w:rPr>
          <w:rFonts w:eastAsia="Calibri"/>
          <w:szCs w:val="24"/>
          <w:lang w:val="fr-CA" w:eastAsia="en-US"/>
        </w:rPr>
      </w:pPr>
    </w:p>
    <w:p w:rsidR="00417AC0" w:rsidRPr="00417AC0" w:rsidRDefault="00417AC0" w:rsidP="00417AC0">
      <w:pPr>
        <w:jc w:val="center"/>
        <w:rPr>
          <w:rFonts w:eastAsia="Calibri"/>
          <w:szCs w:val="24"/>
          <w:lang w:val="fr-CA" w:eastAsia="en-US"/>
        </w:rPr>
      </w:pPr>
      <w:r w:rsidRPr="00417AC0">
        <w:rPr>
          <w:rFonts w:eastAsia="Calibri"/>
          <w:szCs w:val="24"/>
          <w:lang w:val="fr-CA" w:eastAsia="en-US"/>
        </w:rPr>
        <w:t>- et -</w:t>
      </w:r>
    </w:p>
    <w:p w:rsidR="00417AC0" w:rsidRPr="00417AC0" w:rsidRDefault="00417AC0" w:rsidP="00417AC0">
      <w:pPr>
        <w:jc w:val="center"/>
        <w:rPr>
          <w:rFonts w:eastAsia="Calibri"/>
          <w:b/>
          <w:szCs w:val="24"/>
          <w:lang w:val="fr-CA" w:eastAsia="en-US"/>
        </w:rPr>
      </w:pPr>
    </w:p>
    <w:p w:rsidR="00417AC0" w:rsidRPr="00417AC0" w:rsidRDefault="00417AC0" w:rsidP="00417AC0">
      <w:pPr>
        <w:jc w:val="center"/>
        <w:rPr>
          <w:rFonts w:eastAsia="Calibri"/>
          <w:b/>
          <w:szCs w:val="24"/>
          <w:lang w:val="fr-CA" w:eastAsia="en-US"/>
        </w:rPr>
      </w:pPr>
      <w:r w:rsidRPr="00417AC0">
        <w:rPr>
          <w:rFonts w:eastAsia="Calibri"/>
          <w:b/>
          <w:szCs w:val="24"/>
          <w:lang w:val="fr-CA" w:eastAsia="en-US"/>
        </w:rPr>
        <w:t>End Immigration Detention Network, Association canadienne des avocats et avocates en droit des réfugiés, Defence for Children International-Canada, Amnesty International Canada (English Branch), Community &amp; Legal Aid Services Programme, Conseil canadien pour les réfugiés, Queen’s Prison Law Clinic, Fonds Égale Canada pour les droits de la personne, British Columbia Civil Liberties Association, Association canadienne des libertés civiles et Canadian Prison Law Association</w:t>
      </w:r>
    </w:p>
    <w:p w:rsidR="00417AC0" w:rsidRPr="00417AC0" w:rsidRDefault="00417AC0" w:rsidP="00417AC0">
      <w:pPr>
        <w:jc w:val="center"/>
        <w:rPr>
          <w:rFonts w:eastAsia="Calibri"/>
          <w:szCs w:val="24"/>
          <w:lang w:val="fr-CA" w:eastAsia="en-US"/>
        </w:rPr>
      </w:pPr>
      <w:r w:rsidRPr="00417AC0">
        <w:rPr>
          <w:rFonts w:eastAsia="Calibri"/>
          <w:szCs w:val="24"/>
          <w:lang w:val="fr-CA" w:eastAsia="en-US"/>
        </w:rPr>
        <w:t>Intervenants</w:t>
      </w:r>
    </w:p>
    <w:p w:rsidR="00417AC0" w:rsidRPr="00417AC0" w:rsidRDefault="00417AC0" w:rsidP="00417AC0">
      <w:pPr>
        <w:rPr>
          <w:rFonts w:eastAsia="Calibri"/>
          <w:szCs w:val="24"/>
          <w:lang w:val="fr-CA" w:eastAsia="en-US"/>
        </w:rPr>
      </w:pPr>
    </w:p>
    <w:p w:rsidR="00417AC0" w:rsidRPr="00417AC0" w:rsidRDefault="00417AC0" w:rsidP="00417AC0">
      <w:pPr>
        <w:jc w:val="center"/>
        <w:rPr>
          <w:rFonts w:eastAsia="Calibri"/>
          <w:b/>
          <w:smallCaps/>
          <w:szCs w:val="24"/>
          <w:lang w:val="fr-CA" w:eastAsia="en-US"/>
        </w:rPr>
      </w:pPr>
      <w:r w:rsidRPr="00417AC0">
        <w:rPr>
          <w:rFonts w:eastAsia="Calibri"/>
          <w:b/>
          <w:smallCaps/>
          <w:szCs w:val="24"/>
          <w:lang w:val="fr-CA" w:eastAsia="en-US"/>
        </w:rPr>
        <w:t>Traduction française officielle</w:t>
      </w:r>
    </w:p>
    <w:p w:rsidR="00417AC0" w:rsidRPr="00417AC0" w:rsidRDefault="00417AC0" w:rsidP="00417AC0">
      <w:pPr>
        <w:rPr>
          <w:rFonts w:eastAsia="Calibri"/>
          <w:szCs w:val="24"/>
          <w:lang w:val="fr-CA" w:eastAsia="en-US"/>
        </w:rPr>
      </w:pPr>
    </w:p>
    <w:p w:rsidR="00417AC0" w:rsidRPr="00417AC0" w:rsidRDefault="00417AC0" w:rsidP="00417AC0">
      <w:pPr>
        <w:rPr>
          <w:rFonts w:eastAsia="Calibri"/>
          <w:szCs w:val="24"/>
          <w:lang w:val="fr-CA" w:eastAsia="en-US"/>
        </w:rPr>
      </w:pPr>
      <w:r w:rsidRPr="00417AC0">
        <w:rPr>
          <w:rFonts w:eastAsia="Calibri"/>
          <w:b/>
          <w:smallCaps/>
          <w:szCs w:val="24"/>
          <w:lang w:val="fr-CA" w:eastAsia="en-US"/>
        </w:rPr>
        <w:t>Coram :</w:t>
      </w:r>
      <w:r w:rsidRPr="00417AC0">
        <w:rPr>
          <w:rFonts w:eastAsia="Calibri"/>
          <w:szCs w:val="24"/>
          <w:lang w:val="fr-CA" w:eastAsia="en-US"/>
        </w:rPr>
        <w:t xml:space="preserve"> Le juge en chef Wagner et les juges Abella, Moldaver, Karakatsanis, Gascon, Côté et Brown</w:t>
      </w:r>
    </w:p>
    <w:p w:rsidR="00417AC0" w:rsidRPr="00417AC0" w:rsidRDefault="00417AC0" w:rsidP="00417AC0">
      <w:pPr>
        <w:rPr>
          <w:rFonts w:eastAsia="Calibr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17AC0" w:rsidRPr="002B6259" w:rsidTr="00695EFF">
        <w:trPr>
          <w:cantSplit/>
        </w:trPr>
        <w:tc>
          <w:tcPr>
            <w:tcW w:w="3618" w:type="dxa"/>
          </w:tcPr>
          <w:p w:rsidR="00417AC0" w:rsidRPr="00417AC0" w:rsidRDefault="00417AC0" w:rsidP="00417AC0">
            <w:pPr>
              <w:rPr>
                <w:rFonts w:eastAsia="Calibri"/>
                <w:b/>
                <w:smallCaps/>
                <w:szCs w:val="24"/>
                <w:lang w:val="fr-CA" w:eastAsia="en-US"/>
              </w:rPr>
            </w:pPr>
            <w:r w:rsidRPr="00417AC0">
              <w:rPr>
                <w:rFonts w:eastAsia="Calibri"/>
                <w:b/>
                <w:smallCaps/>
                <w:szCs w:val="24"/>
                <w:lang w:val="fr-CA" w:eastAsia="en-US"/>
              </w:rPr>
              <w:t>Motifs de jugement :</w:t>
            </w:r>
          </w:p>
          <w:p w:rsidR="00417AC0" w:rsidRPr="00417AC0" w:rsidRDefault="00417AC0" w:rsidP="00417AC0">
            <w:pPr>
              <w:rPr>
                <w:rFonts w:eastAsia="Calibri"/>
                <w:szCs w:val="24"/>
                <w:lang w:val="fr-CA" w:eastAsia="en-US"/>
              </w:rPr>
            </w:pPr>
            <w:r w:rsidRPr="00417AC0">
              <w:rPr>
                <w:rFonts w:eastAsia="Calibri"/>
                <w:szCs w:val="24"/>
                <w:lang w:val="fr-CA" w:eastAsia="en-US"/>
              </w:rPr>
              <w:t>(par. 1 à 71)</w:t>
            </w:r>
          </w:p>
        </w:tc>
        <w:tc>
          <w:tcPr>
            <w:tcW w:w="5958" w:type="dxa"/>
          </w:tcPr>
          <w:p w:rsidR="00417AC0" w:rsidRPr="00417AC0" w:rsidRDefault="00417AC0" w:rsidP="00417AC0">
            <w:pPr>
              <w:rPr>
                <w:rFonts w:eastAsia="Calibri"/>
                <w:szCs w:val="24"/>
                <w:lang w:val="fr-CA" w:eastAsia="en-US"/>
              </w:rPr>
            </w:pPr>
            <w:r w:rsidRPr="00417AC0">
              <w:rPr>
                <w:rFonts w:eastAsia="Calibri"/>
                <w:szCs w:val="24"/>
                <w:lang w:val="fr-CA" w:eastAsia="en-US"/>
              </w:rPr>
              <w:t xml:space="preserve">La juge Karakatsanis (avec l’accord du juge en chef Wagner et des juges Moldaver, Gascon, Côté et Brown) </w:t>
            </w:r>
          </w:p>
        </w:tc>
      </w:tr>
      <w:tr w:rsidR="00417AC0" w:rsidRPr="00417AC0" w:rsidTr="00695EFF">
        <w:trPr>
          <w:cantSplit/>
        </w:trPr>
        <w:tc>
          <w:tcPr>
            <w:tcW w:w="3618" w:type="dxa"/>
          </w:tcPr>
          <w:p w:rsidR="00417AC0" w:rsidRPr="00417AC0" w:rsidRDefault="00417AC0" w:rsidP="00417AC0">
            <w:pPr>
              <w:rPr>
                <w:rFonts w:eastAsia="Calibri"/>
                <w:b/>
                <w:smallCaps/>
                <w:szCs w:val="24"/>
                <w:lang w:val="fr-CA" w:eastAsia="en-US"/>
              </w:rPr>
            </w:pPr>
            <w:r w:rsidRPr="00417AC0">
              <w:rPr>
                <w:rFonts w:eastAsia="Calibri"/>
                <w:b/>
                <w:smallCaps/>
                <w:szCs w:val="24"/>
                <w:lang w:val="fr-CA" w:eastAsia="en-US"/>
              </w:rPr>
              <w:t>Motifs dissidents :</w:t>
            </w:r>
          </w:p>
          <w:p w:rsidR="00417AC0" w:rsidRPr="00417AC0" w:rsidRDefault="00417AC0" w:rsidP="00417AC0">
            <w:pPr>
              <w:rPr>
                <w:rFonts w:eastAsia="Calibri"/>
                <w:b/>
                <w:smallCaps/>
                <w:szCs w:val="24"/>
                <w:lang w:val="fr-CA" w:eastAsia="en-US"/>
              </w:rPr>
            </w:pPr>
            <w:r w:rsidRPr="00417AC0">
              <w:rPr>
                <w:rFonts w:eastAsia="Calibri"/>
                <w:szCs w:val="24"/>
                <w:lang w:val="fr-CA" w:eastAsia="en-US"/>
              </w:rPr>
              <w:t>(par. 72 à 147)</w:t>
            </w:r>
          </w:p>
        </w:tc>
        <w:tc>
          <w:tcPr>
            <w:tcW w:w="5958" w:type="dxa"/>
          </w:tcPr>
          <w:p w:rsidR="00417AC0" w:rsidRPr="00417AC0" w:rsidRDefault="00417AC0" w:rsidP="00417AC0">
            <w:pPr>
              <w:rPr>
                <w:rFonts w:eastAsia="Calibri"/>
                <w:szCs w:val="24"/>
                <w:lang w:val="fr-CA" w:eastAsia="en-US"/>
              </w:rPr>
            </w:pPr>
            <w:r w:rsidRPr="00417AC0">
              <w:rPr>
                <w:rFonts w:eastAsia="Calibri"/>
                <w:szCs w:val="24"/>
                <w:lang w:val="fr-CA" w:eastAsia="en-US"/>
              </w:rPr>
              <w:t>La juge Abella</w:t>
            </w:r>
          </w:p>
        </w:tc>
      </w:tr>
    </w:tbl>
    <w:p w:rsidR="00417AC0" w:rsidRPr="00417AC0" w:rsidRDefault="00417AC0" w:rsidP="00417AC0">
      <w:pPr>
        <w:rPr>
          <w:rFonts w:eastAsia="Calibri"/>
          <w:szCs w:val="24"/>
          <w:lang w:val="fr-CA" w:eastAsia="en-US"/>
        </w:rPr>
      </w:pPr>
    </w:p>
    <w:p w:rsidR="00417AC0" w:rsidRPr="00417AC0" w:rsidRDefault="00417AC0" w:rsidP="00417AC0">
      <w:pPr>
        <w:rPr>
          <w:rFonts w:eastAsia="Calibri"/>
          <w:szCs w:val="24"/>
          <w:lang w:val="fr-CA" w:eastAsia="en-US"/>
        </w:rPr>
      </w:pPr>
      <w:r w:rsidRPr="00417AC0">
        <w:rPr>
          <w:rFonts w:eastAsia="Calibri"/>
          <w:noProof/>
          <w:szCs w:val="24"/>
          <w:lang w:val="en-US" w:eastAsia="en-US"/>
        </w:rPr>
        <mc:AlternateContent>
          <mc:Choice Requires="wps">
            <w:drawing>
              <wp:anchor distT="0" distB="0" distL="114300" distR="114300" simplePos="0" relativeHeight="251659264" behindDoc="0" locked="0" layoutInCell="1" allowOverlap="1" wp14:anchorId="154CB669" wp14:editId="3AFEA57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3AA7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17AC0" w:rsidRDefault="00417AC0" w:rsidP="00B233C0">
      <w:pPr>
        <w:spacing w:after="720"/>
        <w:jc w:val="both"/>
        <w:rPr>
          <w:lang w:val="fr-CA"/>
        </w:rPr>
      </w:pPr>
    </w:p>
    <w:p w:rsidR="00B233C0" w:rsidRPr="00B72A5F" w:rsidRDefault="00B72A5F" w:rsidP="00B233C0">
      <w:pPr>
        <w:spacing w:after="720"/>
        <w:jc w:val="both"/>
        <w:rPr>
          <w:lang w:val="fr-CA"/>
        </w:rPr>
      </w:pPr>
      <w:r w:rsidRPr="00B72A5F">
        <w:rPr>
          <w:lang w:val="fr-CA"/>
        </w:rPr>
        <w:lastRenderedPageBreak/>
        <w:t xml:space="preserve">Canada (Sécurité publique et Protection civile) </w:t>
      </w:r>
      <w:r w:rsidRPr="00B72A5F">
        <w:rPr>
          <w:i/>
          <w:lang w:val="fr-CA"/>
        </w:rPr>
        <w:t>c.</w:t>
      </w:r>
      <w:r w:rsidRPr="00B72A5F">
        <w:rPr>
          <w:lang w:val="fr-CA"/>
        </w:rPr>
        <w:t xml:space="preserve"> Chhina</w:t>
      </w:r>
      <w:r>
        <w:rPr>
          <w:lang w:val="fr-CA"/>
        </w:rPr>
        <w:t>, 2019 CSC 29, [2019] 2 R.C.S. 467</w:t>
      </w:r>
    </w:p>
    <w:p w:rsidR="00B233C0" w:rsidRPr="00A570AE" w:rsidRDefault="00B233C0" w:rsidP="00B233C0">
      <w:pPr>
        <w:pStyle w:val="SCCLsocParty"/>
        <w:rPr>
          <w:lang w:val="fr-CA"/>
        </w:rPr>
      </w:pPr>
      <w:r w:rsidRPr="00A570AE">
        <w:rPr>
          <w:lang w:val="fr-CA"/>
        </w:rPr>
        <w:t>Ministre de la Sécurité publique et de la Protection civile et</w:t>
      </w:r>
    </w:p>
    <w:p w:rsidR="00B233C0" w:rsidRPr="00A570AE" w:rsidRDefault="00B233C0" w:rsidP="00B233C0">
      <w:pPr>
        <w:pStyle w:val="SCCLsocLastPartyInRole"/>
        <w:rPr>
          <w:lang w:val="fr-CA"/>
        </w:rPr>
      </w:pPr>
      <w:r w:rsidRPr="00A570AE">
        <w:rPr>
          <w:lang w:val="fr-CA"/>
        </w:rPr>
        <w:t>procureur général du Canada</w:t>
      </w:r>
      <w:r w:rsidRPr="00A570AE">
        <w:rPr>
          <w:rStyle w:val="SCCLsocPartyRole"/>
          <w:lang w:val="fr-CA"/>
        </w:rPr>
        <w:tab/>
        <w:t>Appelants</w:t>
      </w:r>
    </w:p>
    <w:p w:rsidR="00B233C0" w:rsidRPr="00A570AE" w:rsidRDefault="00B233C0" w:rsidP="00B233C0">
      <w:pPr>
        <w:pStyle w:val="SCCLsocVersus"/>
        <w:rPr>
          <w:lang w:val="fr-CA"/>
        </w:rPr>
      </w:pPr>
      <w:r w:rsidRPr="00A570AE">
        <w:rPr>
          <w:lang w:val="fr-CA"/>
        </w:rPr>
        <w:t>c.</w:t>
      </w:r>
    </w:p>
    <w:p w:rsidR="00B233C0" w:rsidRPr="00A570AE" w:rsidRDefault="00B233C0" w:rsidP="00B233C0">
      <w:pPr>
        <w:pStyle w:val="SCCLsocLastPartyInRole"/>
        <w:rPr>
          <w:lang w:val="fr-CA"/>
        </w:rPr>
      </w:pPr>
      <w:r w:rsidRPr="00A570AE">
        <w:rPr>
          <w:lang w:val="fr-CA"/>
        </w:rPr>
        <w:t>Tusif Ur Rehman Chhina</w:t>
      </w:r>
      <w:r w:rsidRPr="00A570AE">
        <w:rPr>
          <w:rStyle w:val="SCCLsocPartyRole"/>
          <w:lang w:val="fr-CA"/>
        </w:rPr>
        <w:tab/>
        <w:t>Intimé</w:t>
      </w:r>
    </w:p>
    <w:p w:rsidR="00B233C0" w:rsidRPr="00A570AE" w:rsidRDefault="00B233C0" w:rsidP="00B233C0">
      <w:pPr>
        <w:pStyle w:val="SCCLsocOtherPartySeparator"/>
        <w:rPr>
          <w:lang w:val="fr-CA"/>
        </w:rPr>
      </w:pPr>
      <w:r w:rsidRPr="00A570AE">
        <w:rPr>
          <w:lang w:val="fr-CA"/>
        </w:rPr>
        <w:t>et</w:t>
      </w:r>
    </w:p>
    <w:p w:rsidR="00B233C0" w:rsidRPr="00A570AE" w:rsidRDefault="00B233C0" w:rsidP="00B233C0">
      <w:pPr>
        <w:pStyle w:val="SCCLsocParty"/>
        <w:rPr>
          <w:lang w:val="fr-CA"/>
        </w:rPr>
      </w:pPr>
      <w:r w:rsidRPr="00A570AE">
        <w:rPr>
          <w:lang w:val="fr-CA"/>
        </w:rPr>
        <w:t>End Immigration Detention Network,</w:t>
      </w:r>
    </w:p>
    <w:p w:rsidR="00B233C0" w:rsidRPr="00A570AE" w:rsidRDefault="00B233C0" w:rsidP="00B233C0">
      <w:pPr>
        <w:pStyle w:val="SCCLsocParty"/>
        <w:rPr>
          <w:lang w:val="fr-CA"/>
        </w:rPr>
      </w:pPr>
      <w:r w:rsidRPr="00A570AE">
        <w:rPr>
          <w:lang w:val="fr-CA"/>
        </w:rPr>
        <w:t>Association canadienne des avocats et avocates en droit des réfugiés,</w:t>
      </w:r>
    </w:p>
    <w:p w:rsidR="00B233C0" w:rsidRPr="00A570AE" w:rsidRDefault="00B233C0" w:rsidP="00B233C0">
      <w:pPr>
        <w:pStyle w:val="SCCLsocParty"/>
      </w:pPr>
      <w:r w:rsidRPr="00A570AE">
        <w:t>Defence for Children International</w:t>
      </w:r>
      <w:r>
        <w:noBreakHyphen/>
      </w:r>
      <w:r w:rsidRPr="00A570AE">
        <w:t>Canada,</w:t>
      </w:r>
    </w:p>
    <w:p w:rsidR="00B233C0" w:rsidRPr="00A570AE" w:rsidRDefault="00B233C0" w:rsidP="00B233C0">
      <w:pPr>
        <w:pStyle w:val="SCCLsocParty"/>
      </w:pPr>
      <w:r w:rsidRPr="00A570AE">
        <w:t>Amnesty International Canada (English Branch),</w:t>
      </w:r>
    </w:p>
    <w:p w:rsidR="00B233C0" w:rsidRPr="00A570AE" w:rsidRDefault="00B233C0" w:rsidP="00B233C0">
      <w:pPr>
        <w:pStyle w:val="SCCLsocParty"/>
      </w:pPr>
      <w:r w:rsidRPr="00A570AE">
        <w:t>Community &amp; Legal Aid Services Programme,</w:t>
      </w:r>
    </w:p>
    <w:p w:rsidR="00B233C0" w:rsidRPr="00A570AE" w:rsidRDefault="00B233C0" w:rsidP="00B233C0">
      <w:pPr>
        <w:pStyle w:val="SCCLsocParty"/>
        <w:rPr>
          <w:lang w:val="fr-CA"/>
        </w:rPr>
      </w:pPr>
      <w:r w:rsidRPr="00A570AE">
        <w:rPr>
          <w:lang w:val="fr-CA"/>
        </w:rPr>
        <w:t>Conseil canadien pour les réfugiés,</w:t>
      </w:r>
    </w:p>
    <w:p w:rsidR="00B233C0" w:rsidRPr="00A570AE" w:rsidRDefault="00B233C0" w:rsidP="00B233C0">
      <w:pPr>
        <w:pStyle w:val="SCCLsocParty"/>
        <w:rPr>
          <w:lang w:val="fr-CA"/>
        </w:rPr>
      </w:pPr>
      <w:r w:rsidRPr="00A570AE">
        <w:rPr>
          <w:lang w:val="fr-CA"/>
        </w:rPr>
        <w:t>Queen</w:t>
      </w:r>
      <w:r>
        <w:rPr>
          <w:lang w:val="fr-CA"/>
        </w:rPr>
        <w:t>’</w:t>
      </w:r>
      <w:r w:rsidRPr="00A570AE">
        <w:rPr>
          <w:lang w:val="fr-CA"/>
        </w:rPr>
        <w:t>s Prison Law Clinic,</w:t>
      </w:r>
    </w:p>
    <w:p w:rsidR="00B233C0" w:rsidRPr="00A570AE" w:rsidRDefault="00B233C0" w:rsidP="00B233C0">
      <w:pPr>
        <w:pStyle w:val="SCCLsocParty"/>
        <w:rPr>
          <w:lang w:val="fr-CA"/>
        </w:rPr>
      </w:pPr>
      <w:r w:rsidRPr="00A570AE">
        <w:rPr>
          <w:lang w:val="fr-CA"/>
        </w:rPr>
        <w:t>Fonds Égale Canada pour les droits de la personne,</w:t>
      </w:r>
    </w:p>
    <w:p w:rsidR="00B233C0" w:rsidRPr="00A570AE" w:rsidRDefault="00B233C0" w:rsidP="00B233C0">
      <w:pPr>
        <w:pStyle w:val="SCCLsocParty"/>
      </w:pPr>
      <w:r w:rsidRPr="00A570AE">
        <w:t>British Columbia Civil Liberties Association,</w:t>
      </w:r>
    </w:p>
    <w:p w:rsidR="00B233C0" w:rsidRPr="00A570AE" w:rsidRDefault="00B233C0" w:rsidP="00B233C0">
      <w:pPr>
        <w:pStyle w:val="SCCLsocParty"/>
        <w:rPr>
          <w:lang w:val="fr-CA"/>
        </w:rPr>
      </w:pPr>
      <w:r w:rsidRPr="00A570AE">
        <w:rPr>
          <w:lang w:val="fr-CA"/>
        </w:rPr>
        <w:t>Association canadienne des libertés civiles et</w:t>
      </w:r>
    </w:p>
    <w:p w:rsidR="00B233C0" w:rsidRPr="00A570AE" w:rsidRDefault="00B233C0" w:rsidP="00B233C0">
      <w:pPr>
        <w:pStyle w:val="SCCLsocLastPartyInRole"/>
        <w:rPr>
          <w:lang w:val="fr-CA"/>
        </w:rPr>
      </w:pPr>
      <w:r w:rsidRPr="00A570AE">
        <w:rPr>
          <w:lang w:val="fr-CA"/>
        </w:rPr>
        <w:t>Canadian Prison Law Association</w:t>
      </w:r>
      <w:r w:rsidRPr="00A570AE">
        <w:rPr>
          <w:rStyle w:val="SCCLsocPartyRole"/>
          <w:lang w:val="fr-CA"/>
        </w:rPr>
        <w:tab/>
        <w:t>Intervenants</w:t>
      </w:r>
    </w:p>
    <w:p w:rsidR="00B233C0" w:rsidRPr="00A570AE" w:rsidRDefault="00B233C0" w:rsidP="00B233C0">
      <w:pPr>
        <w:spacing w:after="720"/>
        <w:jc w:val="both"/>
        <w:rPr>
          <w:b/>
          <w:lang w:val="fr-CA"/>
        </w:rPr>
      </w:pPr>
      <w:r w:rsidRPr="00A570AE">
        <w:rPr>
          <w:b/>
          <w:lang w:val="fr-CA"/>
        </w:rPr>
        <w:t>Répertorié</w:t>
      </w:r>
      <w:r>
        <w:rPr>
          <w:b/>
          <w:lang w:val="fr-CA"/>
        </w:rPr>
        <w:t> :</w:t>
      </w:r>
      <w:r w:rsidRPr="00A570AE">
        <w:rPr>
          <w:b/>
          <w:lang w:val="fr-CA"/>
        </w:rPr>
        <w:t> Canada (</w:t>
      </w:r>
      <w:r w:rsidRPr="00A570AE">
        <w:rPr>
          <w:rStyle w:val="SCCAppellantForIndexChar"/>
          <w:lang w:val="fr-CA"/>
        </w:rPr>
        <w:t xml:space="preserve">Sécurité publique et Protection civile) </w:t>
      </w:r>
      <w:r w:rsidRPr="00A570AE">
        <w:rPr>
          <w:b/>
          <w:i/>
          <w:lang w:val="fr-CA"/>
        </w:rPr>
        <w:t>c.</w:t>
      </w:r>
      <w:r w:rsidRPr="00A570AE">
        <w:rPr>
          <w:b/>
          <w:lang w:val="fr-CA"/>
        </w:rPr>
        <w:t xml:space="preserve"> </w:t>
      </w:r>
      <w:r w:rsidRPr="00A570AE">
        <w:rPr>
          <w:rStyle w:val="SCCRespondentForIndexChar"/>
          <w:lang w:val="fr-CA"/>
        </w:rPr>
        <w:t>Chhina</w:t>
      </w:r>
    </w:p>
    <w:p w:rsidR="00B233C0" w:rsidRPr="00A570AE" w:rsidRDefault="00B233C0" w:rsidP="00B233C0">
      <w:pPr>
        <w:pStyle w:val="SCCSystemYear"/>
        <w:spacing w:after="720"/>
        <w:jc w:val="both"/>
        <w:rPr>
          <w:lang w:val="fr-CA"/>
        </w:rPr>
      </w:pPr>
      <w:r w:rsidRPr="00A570AE">
        <w:rPr>
          <w:lang w:val="fr-CA"/>
        </w:rPr>
        <w:t>2019 CSC 29</w:t>
      </w:r>
    </w:p>
    <w:p w:rsidR="00B233C0" w:rsidRPr="00A570AE" w:rsidRDefault="00B233C0" w:rsidP="00B233C0">
      <w:pPr>
        <w:spacing w:after="720"/>
        <w:jc w:val="both"/>
        <w:rPr>
          <w:lang w:val="fr-CA"/>
        </w:rPr>
      </w:pPr>
      <w:r w:rsidRPr="00A570AE">
        <w:rPr>
          <w:lang w:val="fr-CA"/>
        </w:rPr>
        <w:t>N</w:t>
      </w:r>
      <w:r w:rsidRPr="00A570AE">
        <w:rPr>
          <w:vertAlign w:val="superscript"/>
          <w:lang w:val="fr-CA"/>
        </w:rPr>
        <w:t>o</w:t>
      </w:r>
      <w:r w:rsidRPr="00A570AE">
        <w:rPr>
          <w:lang w:val="fr-CA"/>
        </w:rPr>
        <w:t xml:space="preserve"> du greffe</w:t>
      </w:r>
      <w:r>
        <w:rPr>
          <w:lang w:val="fr-CA"/>
        </w:rPr>
        <w:t> :</w:t>
      </w:r>
      <w:r w:rsidRPr="00A570AE">
        <w:rPr>
          <w:lang w:val="fr-CA"/>
        </w:rPr>
        <w:t> 37770.</w:t>
      </w:r>
    </w:p>
    <w:p w:rsidR="00B233C0" w:rsidRPr="00A570AE" w:rsidRDefault="00B233C0" w:rsidP="00B233C0">
      <w:pPr>
        <w:spacing w:after="720"/>
        <w:jc w:val="both"/>
        <w:rPr>
          <w:lang w:val="fr-CA"/>
        </w:rPr>
      </w:pPr>
      <w:r w:rsidRPr="00A570AE">
        <w:rPr>
          <w:lang w:val="fr-CA"/>
        </w:rPr>
        <w:t>2018</w:t>
      </w:r>
      <w:r>
        <w:rPr>
          <w:lang w:val="fr-CA"/>
        </w:rPr>
        <w:t> :</w:t>
      </w:r>
      <w:r w:rsidRPr="00A570AE">
        <w:rPr>
          <w:lang w:val="fr-CA"/>
        </w:rPr>
        <w:t xml:space="preserve"> 14 novembre; 2019</w:t>
      </w:r>
      <w:r>
        <w:rPr>
          <w:lang w:val="fr-CA"/>
        </w:rPr>
        <w:t> :</w:t>
      </w:r>
      <w:r w:rsidRPr="00A570AE">
        <w:rPr>
          <w:lang w:val="fr-CA"/>
        </w:rPr>
        <w:t xml:space="preserve"> 10 mai. </w:t>
      </w:r>
    </w:p>
    <w:p w:rsidR="00B233C0" w:rsidRPr="00A570AE" w:rsidRDefault="00B233C0" w:rsidP="00B233C0">
      <w:pPr>
        <w:spacing w:after="720"/>
        <w:jc w:val="both"/>
        <w:rPr>
          <w:lang w:val="fr-CA"/>
        </w:rPr>
      </w:pPr>
      <w:r w:rsidRPr="00A570AE">
        <w:rPr>
          <w:lang w:val="fr-CA"/>
        </w:rPr>
        <w:t>Présents</w:t>
      </w:r>
      <w:r>
        <w:rPr>
          <w:lang w:val="fr-CA"/>
        </w:rPr>
        <w:t> :</w:t>
      </w:r>
      <w:r w:rsidRPr="00A570AE">
        <w:rPr>
          <w:lang w:val="fr-CA"/>
        </w:rPr>
        <w:t> Le juge en chef Wagner et les juges Abella, Moldaver, Karakatsanis, Gascon, Côté et Brown.</w:t>
      </w:r>
    </w:p>
    <w:p w:rsidR="00B233C0" w:rsidRPr="00A570AE" w:rsidRDefault="00B233C0" w:rsidP="00B233C0">
      <w:pPr>
        <w:spacing w:after="720"/>
        <w:jc w:val="both"/>
        <w:rPr>
          <w:smallCaps/>
          <w:lang w:val="fr-CA"/>
        </w:rPr>
      </w:pPr>
      <w:r w:rsidRPr="00A570AE">
        <w:rPr>
          <w:smallCaps/>
          <w:lang w:val="fr-CA"/>
        </w:rPr>
        <w:lastRenderedPageBreak/>
        <w:t>en appel de la cour d</w:t>
      </w:r>
      <w:r>
        <w:rPr>
          <w:smallCaps/>
          <w:lang w:val="fr-CA"/>
        </w:rPr>
        <w:t>’</w:t>
      </w:r>
      <w:r w:rsidRPr="00A570AE">
        <w:rPr>
          <w:smallCaps/>
          <w:lang w:val="fr-CA"/>
        </w:rPr>
        <w:t>appel de l</w:t>
      </w:r>
      <w:r>
        <w:rPr>
          <w:smallCaps/>
          <w:lang w:val="fr-CA"/>
        </w:rPr>
        <w:t>’</w:t>
      </w:r>
      <w:r w:rsidRPr="00A570AE">
        <w:rPr>
          <w:smallCaps/>
          <w:lang w:val="fr-CA"/>
        </w:rPr>
        <w:t xml:space="preserve">alberta </w:t>
      </w:r>
    </w:p>
    <w:p w:rsidR="00B233C0" w:rsidRPr="00A570AE" w:rsidRDefault="00B233C0" w:rsidP="00B233C0">
      <w:pPr>
        <w:pStyle w:val="SCCNormalDoubleSpacing"/>
        <w:spacing w:after="480"/>
        <w:rPr>
          <w:i/>
          <w:lang w:val="fr-CA"/>
        </w:rPr>
      </w:pPr>
      <w:r w:rsidRPr="00A570AE">
        <w:rPr>
          <w:lang w:val="fr-CA"/>
        </w:rPr>
        <w:tab/>
      </w:r>
      <w:r w:rsidRPr="00A570AE">
        <w:rPr>
          <w:i/>
          <w:lang w:val="fr-CA"/>
        </w:rPr>
        <w:t>Tribunaux — Compétence — Habeas corpus — Exceptions à l</w:t>
      </w:r>
      <w:r>
        <w:rPr>
          <w:i/>
          <w:lang w:val="fr-CA"/>
        </w:rPr>
        <w:t>’</w:t>
      </w:r>
      <w:r w:rsidRPr="00A570AE">
        <w:rPr>
          <w:i/>
          <w:lang w:val="fr-CA"/>
        </w:rPr>
        <w:t>exercice de la compétence des cours supérieures provinciales — Demande d</w:t>
      </w:r>
      <w:r>
        <w:rPr>
          <w:i/>
          <w:lang w:val="fr-CA"/>
        </w:rPr>
        <w:t>’</w:t>
      </w:r>
      <w:r w:rsidRPr="00A570AE">
        <w:rPr>
          <w:i/>
          <w:lang w:val="fr-CA"/>
        </w:rPr>
        <w:t>habeas corpus présentée par un détenu aux fins de l</w:t>
      </w:r>
      <w:r>
        <w:rPr>
          <w:i/>
          <w:lang w:val="fr-CA"/>
        </w:rPr>
        <w:t>’</w:t>
      </w:r>
      <w:r w:rsidRPr="00A570AE">
        <w:rPr>
          <w:i/>
          <w:lang w:val="fr-CA"/>
        </w:rPr>
        <w:t xml:space="preserve">immigration — Refus par la </w:t>
      </w:r>
      <w:r>
        <w:rPr>
          <w:i/>
          <w:lang w:val="fr-CA"/>
        </w:rPr>
        <w:t>c</w:t>
      </w:r>
      <w:r w:rsidRPr="00A570AE">
        <w:rPr>
          <w:i/>
          <w:lang w:val="fr-CA"/>
        </w:rPr>
        <w:t>our supérieure d</w:t>
      </w:r>
      <w:r>
        <w:rPr>
          <w:i/>
          <w:lang w:val="fr-CA"/>
        </w:rPr>
        <w:t>’</w:t>
      </w:r>
      <w:r w:rsidRPr="00A570AE">
        <w:rPr>
          <w:i/>
          <w:lang w:val="fr-CA"/>
        </w:rPr>
        <w:t>exercer sa compétence d</w:t>
      </w:r>
      <w:r>
        <w:rPr>
          <w:i/>
          <w:lang w:val="fr-CA"/>
        </w:rPr>
        <w:t>’</w:t>
      </w:r>
      <w:r w:rsidRPr="00A570AE">
        <w:rPr>
          <w:i/>
          <w:lang w:val="fr-CA"/>
        </w:rPr>
        <w:t xml:space="preserve">entendre </w:t>
      </w:r>
      <w:r>
        <w:rPr>
          <w:i/>
          <w:lang w:val="fr-CA"/>
        </w:rPr>
        <w:t xml:space="preserve">la </w:t>
      </w:r>
      <w:r w:rsidRPr="00A570AE">
        <w:rPr>
          <w:i/>
          <w:lang w:val="fr-CA"/>
        </w:rPr>
        <w:t>demande pour le motif que le régime de contrôle de la détention créé par la Loi sur l</w:t>
      </w:r>
      <w:r>
        <w:rPr>
          <w:i/>
          <w:lang w:val="fr-CA"/>
        </w:rPr>
        <w:t>’</w:t>
      </w:r>
      <w:r w:rsidRPr="00A570AE">
        <w:rPr>
          <w:i/>
          <w:lang w:val="fr-CA"/>
        </w:rPr>
        <w:t>immigration et la protection des réfugiés est un régime législatif complet, exhaustif et spécialisé qui prévoit une procédure d</w:t>
      </w:r>
      <w:r>
        <w:rPr>
          <w:i/>
          <w:lang w:val="fr-CA"/>
        </w:rPr>
        <w:t>’</w:t>
      </w:r>
      <w:r w:rsidRPr="00A570AE">
        <w:rPr>
          <w:i/>
          <w:lang w:val="fr-CA"/>
        </w:rPr>
        <w:t>examen au moins aussi large et aussi avantageuse que celle de l</w:t>
      </w:r>
      <w:r>
        <w:rPr>
          <w:i/>
          <w:lang w:val="fr-CA"/>
        </w:rPr>
        <w:t>’</w:t>
      </w:r>
      <w:r w:rsidRPr="00A570AE">
        <w:rPr>
          <w:i/>
          <w:lang w:val="fr-CA"/>
        </w:rPr>
        <w:t xml:space="preserve">habeas corpus — La </w:t>
      </w:r>
      <w:r>
        <w:rPr>
          <w:i/>
          <w:lang w:val="fr-CA"/>
        </w:rPr>
        <w:t>c</w:t>
      </w:r>
      <w:r w:rsidRPr="00A570AE">
        <w:rPr>
          <w:i/>
          <w:lang w:val="fr-CA"/>
        </w:rPr>
        <w:t>our supérieure a</w:t>
      </w:r>
      <w:r>
        <w:rPr>
          <w:i/>
          <w:lang w:val="fr-CA"/>
        </w:rPr>
        <w:noBreakHyphen/>
      </w:r>
      <w:r w:rsidRPr="00A570AE">
        <w:rPr>
          <w:i/>
          <w:lang w:val="fr-CA"/>
        </w:rPr>
        <w:t>t</w:t>
      </w:r>
      <w:r>
        <w:rPr>
          <w:i/>
          <w:lang w:val="fr-CA"/>
        </w:rPr>
        <w:noBreakHyphen/>
      </w:r>
      <w:r w:rsidRPr="00A570AE">
        <w:rPr>
          <w:i/>
          <w:lang w:val="fr-CA"/>
        </w:rPr>
        <w:t>elle commis une erreur en déclinant sa compétence? — Loi sur l</w:t>
      </w:r>
      <w:r>
        <w:rPr>
          <w:i/>
          <w:lang w:val="fr-CA"/>
        </w:rPr>
        <w:t>’</w:t>
      </w:r>
      <w:r w:rsidRPr="00A570AE">
        <w:rPr>
          <w:i/>
          <w:lang w:val="fr-CA"/>
        </w:rPr>
        <w:t xml:space="preserve">immigration et la protection des réfugiés, L.C. 2001, c. 27. </w:t>
      </w:r>
    </w:p>
    <w:p w:rsidR="00B233C0" w:rsidRPr="00A570AE" w:rsidRDefault="00B233C0" w:rsidP="00B233C0">
      <w:pPr>
        <w:pStyle w:val="SCCNormalDoubleSpacing"/>
        <w:spacing w:after="480"/>
        <w:rPr>
          <w:lang w:val="fr-CA"/>
        </w:rPr>
      </w:pPr>
      <w:r>
        <w:rPr>
          <w:lang w:val="fr-CA"/>
        </w:rPr>
        <w:tab/>
      </w:r>
      <w:r w:rsidRPr="00A570AE">
        <w:rPr>
          <w:lang w:val="fr-CA"/>
        </w:rPr>
        <w:t>Après l</w:t>
      </w:r>
      <w:r>
        <w:rPr>
          <w:lang w:val="fr-CA"/>
        </w:rPr>
        <w:t>’</w:t>
      </w:r>
      <w:r w:rsidRPr="00A570AE">
        <w:rPr>
          <w:lang w:val="fr-CA"/>
        </w:rPr>
        <w:t>annulation du statut de réfugié de C et le prononcé de son interdiction de territoire, il a été placé dans un centre de détention aux fins de l</w:t>
      </w:r>
      <w:r>
        <w:rPr>
          <w:lang w:val="fr-CA"/>
        </w:rPr>
        <w:t>’</w:t>
      </w:r>
      <w:r w:rsidRPr="00A570AE">
        <w:rPr>
          <w:lang w:val="fr-CA"/>
        </w:rPr>
        <w:t>immigration, dans une unité à sécurité maximale. Les agents de l</w:t>
      </w:r>
      <w:r>
        <w:rPr>
          <w:lang w:val="fr-CA"/>
        </w:rPr>
        <w:t>’</w:t>
      </w:r>
      <w:r w:rsidRPr="00A570AE">
        <w:rPr>
          <w:lang w:val="fr-CA"/>
        </w:rPr>
        <w:t>immigration ont contrôlé le bien</w:t>
      </w:r>
      <w:r>
        <w:rPr>
          <w:lang w:val="fr-CA"/>
        </w:rPr>
        <w:noBreakHyphen/>
      </w:r>
      <w:r w:rsidRPr="00A570AE">
        <w:rPr>
          <w:lang w:val="fr-CA"/>
        </w:rPr>
        <w:t>fondé de la détention de C mensuellement, et ils ont conclu chaque fois qu</w:t>
      </w:r>
      <w:r>
        <w:rPr>
          <w:lang w:val="fr-CA"/>
        </w:rPr>
        <w:t>’</w:t>
      </w:r>
      <w:r w:rsidRPr="00A570AE">
        <w:rPr>
          <w:lang w:val="fr-CA"/>
        </w:rPr>
        <w:t>il y avait lieu de confirmer la décision de le détenir. Après avoir passé 13 mois en détention, C a déposé une demande d</w:t>
      </w:r>
      <w:r>
        <w:rPr>
          <w:lang w:val="fr-CA"/>
        </w:rPr>
        <w:t>’</w:t>
      </w:r>
      <w:r w:rsidRPr="00A570AE">
        <w:rPr>
          <w:i/>
          <w:lang w:val="fr-CA"/>
        </w:rPr>
        <w:t>habeas corpus</w:t>
      </w:r>
      <w:r w:rsidRPr="00A570AE">
        <w:rPr>
          <w:lang w:val="fr-CA"/>
        </w:rPr>
        <w:t>, faisant valoir que sa détention était illégale, à la fois parce qu</w:t>
      </w:r>
      <w:r>
        <w:rPr>
          <w:lang w:val="fr-CA"/>
        </w:rPr>
        <w:t>’</w:t>
      </w:r>
      <w:r w:rsidRPr="00A570AE">
        <w:rPr>
          <w:lang w:val="fr-CA"/>
        </w:rPr>
        <w:t>elle était devenue trop longue et d</w:t>
      </w:r>
      <w:r>
        <w:rPr>
          <w:lang w:val="fr-CA"/>
        </w:rPr>
        <w:t>’</w:t>
      </w:r>
      <w:r w:rsidRPr="00A570AE">
        <w:rPr>
          <w:lang w:val="fr-CA"/>
        </w:rPr>
        <w:t xml:space="preserve">une durée indéterminée, et parce que les conditions dont elle est assortie étaient inappropriées, ce qui portait atteinte à ses droits protégés par les </w:t>
      </w:r>
      <w:r>
        <w:rPr>
          <w:lang w:val="fr-CA"/>
        </w:rPr>
        <w:t>art. </w:t>
      </w:r>
      <w:r w:rsidRPr="00A570AE">
        <w:rPr>
          <w:lang w:val="fr-CA"/>
        </w:rPr>
        <w:t xml:space="preserve">7 et 9 de la </w:t>
      </w:r>
      <w:r w:rsidRPr="00A570AE">
        <w:rPr>
          <w:i/>
          <w:lang w:val="fr-CA"/>
        </w:rPr>
        <w:t>Charte canadienne des droits et libertés</w:t>
      </w:r>
      <w:r w:rsidRPr="00A570AE">
        <w:rPr>
          <w:lang w:val="fr-CA"/>
        </w:rPr>
        <w:t>. Le juge siégeant en son cabinet a refusé d</w:t>
      </w:r>
      <w:r>
        <w:rPr>
          <w:lang w:val="fr-CA"/>
        </w:rPr>
        <w:t>’</w:t>
      </w:r>
      <w:r w:rsidRPr="00A570AE">
        <w:rPr>
          <w:lang w:val="fr-CA"/>
        </w:rPr>
        <w:t xml:space="preserve">exercer sa compétence pour examiner la demande de C. À son avis, le régime établit par la </w:t>
      </w:r>
      <w:r w:rsidRPr="00A570AE">
        <w:rPr>
          <w:i/>
          <w:lang w:val="fr-CA"/>
        </w:rPr>
        <w:t>Loi sur l</w:t>
      </w:r>
      <w:r>
        <w:rPr>
          <w:i/>
          <w:lang w:val="fr-CA"/>
        </w:rPr>
        <w:t>’</w:t>
      </w:r>
      <w:r w:rsidRPr="00A570AE">
        <w:rPr>
          <w:i/>
          <w:lang w:val="fr-CA"/>
        </w:rPr>
        <w:t>immigration et la protection des réfugiés</w:t>
      </w:r>
      <w:r w:rsidRPr="00A570AE">
        <w:rPr>
          <w:lang w:val="fr-CA"/>
        </w:rPr>
        <w:t xml:space="preserve"> (« </w:t>
      </w:r>
      <w:r w:rsidRPr="00A570AE">
        <w:rPr>
          <w:i/>
          <w:lang w:val="fr-CA"/>
        </w:rPr>
        <w:t>LIPR</w:t>
      </w:r>
      <w:r w:rsidRPr="00A570AE">
        <w:rPr>
          <w:lang w:val="fr-CA"/>
        </w:rPr>
        <w:t> ») satisfait à l</w:t>
      </w:r>
      <w:r>
        <w:rPr>
          <w:lang w:val="fr-CA"/>
        </w:rPr>
        <w:t>’</w:t>
      </w:r>
      <w:r w:rsidRPr="00A570AE">
        <w:rPr>
          <w:lang w:val="fr-CA"/>
        </w:rPr>
        <w:t>une des deux exceptions restreintes qui empêchent d</w:t>
      </w:r>
      <w:r>
        <w:rPr>
          <w:lang w:val="fr-CA"/>
        </w:rPr>
        <w:t>’</w:t>
      </w:r>
      <w:r w:rsidRPr="00A570AE">
        <w:rPr>
          <w:lang w:val="fr-CA"/>
        </w:rPr>
        <w:t>avoir recours à l</w:t>
      </w:r>
      <w:r>
        <w:rPr>
          <w:lang w:val="fr-CA"/>
        </w:rPr>
        <w:t>’</w:t>
      </w:r>
      <w:r w:rsidRPr="00A570AE">
        <w:rPr>
          <w:i/>
          <w:lang w:val="fr-CA"/>
        </w:rPr>
        <w:t>habeas corpus</w:t>
      </w:r>
      <w:r w:rsidRPr="00A570AE">
        <w:rPr>
          <w:lang w:val="fr-CA"/>
        </w:rPr>
        <w:t>,</w:t>
      </w:r>
      <w:r w:rsidRPr="00A570AE">
        <w:rPr>
          <w:i/>
          <w:lang w:val="fr-CA"/>
        </w:rPr>
        <w:t xml:space="preserve"> </w:t>
      </w:r>
      <w:r w:rsidRPr="00A570AE">
        <w:rPr>
          <w:lang w:val="fr-CA"/>
        </w:rPr>
        <w:t>puisque le législateur a mis en place un régime complet, exhaustif et spécialisé prévoyant une procédure d</w:t>
      </w:r>
      <w:r>
        <w:rPr>
          <w:lang w:val="fr-CA"/>
        </w:rPr>
        <w:t>’</w:t>
      </w:r>
      <w:r w:rsidRPr="00A570AE">
        <w:rPr>
          <w:lang w:val="fr-CA"/>
        </w:rPr>
        <w:t>examen au moins aussi large et aussi avantageuse que celle de l</w:t>
      </w:r>
      <w:r>
        <w:rPr>
          <w:lang w:val="fr-CA"/>
        </w:rPr>
        <w:t>’</w:t>
      </w:r>
      <w:r w:rsidRPr="00A570AE">
        <w:rPr>
          <w:i/>
          <w:lang w:val="fr-CA"/>
        </w:rPr>
        <w:t>habeas corpus</w:t>
      </w:r>
      <w:r w:rsidRPr="00A570AE">
        <w:rPr>
          <w:lang w:val="fr-CA"/>
        </w:rPr>
        <w:t xml:space="preserve"> (l</w:t>
      </w:r>
      <w:r>
        <w:rPr>
          <w:lang w:val="fr-CA"/>
        </w:rPr>
        <w:t>’</w:t>
      </w:r>
      <w:r w:rsidRPr="00A570AE">
        <w:rPr>
          <w:lang w:val="fr-CA"/>
        </w:rPr>
        <w:t>exception établie par l</w:t>
      </w:r>
      <w:r>
        <w:rPr>
          <w:lang w:val="fr-CA"/>
        </w:rPr>
        <w:t>’</w:t>
      </w:r>
      <w:r w:rsidRPr="00A570AE">
        <w:rPr>
          <w:lang w:val="fr-CA"/>
        </w:rPr>
        <w:t xml:space="preserve">arrêt </w:t>
      </w:r>
      <w:r w:rsidRPr="00A570AE">
        <w:rPr>
          <w:i/>
          <w:lang w:val="fr-CA"/>
        </w:rPr>
        <w:t>Peiroo</w:t>
      </w:r>
      <w:r w:rsidRPr="00A570AE">
        <w:rPr>
          <w:lang w:val="fr-CA"/>
        </w:rPr>
        <w:t>). La Cour d</w:t>
      </w:r>
      <w:r>
        <w:rPr>
          <w:lang w:val="fr-CA"/>
        </w:rPr>
        <w:t>’</w:t>
      </w:r>
      <w:r w:rsidRPr="00A570AE">
        <w:rPr>
          <w:lang w:val="fr-CA"/>
        </w:rPr>
        <w:t>appel a accueilli l</w:t>
      </w:r>
      <w:r>
        <w:rPr>
          <w:lang w:val="fr-CA"/>
        </w:rPr>
        <w:t>’</w:t>
      </w:r>
      <w:r w:rsidRPr="00A570AE">
        <w:rPr>
          <w:lang w:val="fr-CA"/>
        </w:rPr>
        <w:t>appel de C, jugeant que l</w:t>
      </w:r>
      <w:r>
        <w:rPr>
          <w:lang w:val="fr-CA"/>
        </w:rPr>
        <w:t>’</w:t>
      </w:r>
      <w:r w:rsidRPr="00A570AE">
        <w:rPr>
          <w:lang w:val="fr-CA"/>
        </w:rPr>
        <w:t>exception ne s</w:t>
      </w:r>
      <w:r>
        <w:rPr>
          <w:lang w:val="fr-CA"/>
        </w:rPr>
        <w:t>’</w:t>
      </w:r>
      <w:r w:rsidRPr="00A570AE">
        <w:rPr>
          <w:lang w:val="fr-CA"/>
        </w:rPr>
        <w:t>appliquait pas et que le juge siégeant en son cabinet aurait dû exercer son pouvoir discrétionnaire pour entendre la demande.</w:t>
      </w:r>
    </w:p>
    <w:p w:rsidR="00B233C0" w:rsidRPr="00A570AE" w:rsidRDefault="00B233C0" w:rsidP="00B233C0">
      <w:pPr>
        <w:pStyle w:val="SCCNormalDoubleSpacing"/>
        <w:spacing w:after="480"/>
        <w:rPr>
          <w:lang w:val="fr-CA"/>
        </w:rPr>
      </w:pPr>
      <w:r>
        <w:rPr>
          <w:i/>
          <w:lang w:val="fr-CA"/>
        </w:rPr>
        <w:tab/>
      </w:r>
      <w:r w:rsidRPr="00A570AE">
        <w:rPr>
          <w:i/>
          <w:lang w:val="fr-CA"/>
        </w:rPr>
        <w:t>Arrêt</w:t>
      </w:r>
      <w:r w:rsidRPr="00A570AE">
        <w:rPr>
          <w:lang w:val="fr-CA"/>
        </w:rPr>
        <w:t xml:space="preserve"> (la juge Abella </w:t>
      </w:r>
      <w:r>
        <w:rPr>
          <w:lang w:val="fr-CA"/>
        </w:rPr>
        <w:t xml:space="preserve">est </w:t>
      </w:r>
      <w:r w:rsidRPr="00A570AE">
        <w:rPr>
          <w:lang w:val="fr-CA"/>
        </w:rPr>
        <w:t>dissidente)</w:t>
      </w:r>
      <w:r>
        <w:rPr>
          <w:lang w:val="fr-CA"/>
        </w:rPr>
        <w:t> :</w:t>
      </w:r>
      <w:r w:rsidRPr="00A570AE">
        <w:rPr>
          <w:lang w:val="fr-CA"/>
        </w:rPr>
        <w:t xml:space="preserve"> L</w:t>
      </w:r>
      <w:r>
        <w:rPr>
          <w:lang w:val="fr-CA"/>
        </w:rPr>
        <w:t>’</w:t>
      </w:r>
      <w:r w:rsidRPr="00A570AE">
        <w:rPr>
          <w:lang w:val="fr-CA"/>
        </w:rPr>
        <w:t>appel est rejeté.</w:t>
      </w:r>
    </w:p>
    <w:p w:rsidR="00B233C0" w:rsidRPr="00A570AE" w:rsidRDefault="00B233C0" w:rsidP="00B233C0">
      <w:pPr>
        <w:pStyle w:val="SCCNormalDoubleSpacing"/>
        <w:spacing w:after="480"/>
        <w:rPr>
          <w:lang w:val="fr-CA"/>
        </w:rPr>
      </w:pPr>
      <w:r>
        <w:rPr>
          <w:lang w:val="fr-CA"/>
        </w:rPr>
        <w:tab/>
      </w:r>
      <w:r w:rsidRPr="00F5792C">
        <w:rPr>
          <w:i/>
          <w:lang w:val="fr-CA"/>
        </w:rPr>
        <w:t>Le</w:t>
      </w:r>
      <w:r w:rsidRPr="00A570AE">
        <w:rPr>
          <w:lang w:val="fr-CA"/>
        </w:rPr>
        <w:t xml:space="preserve"> juge en chef Wagner</w:t>
      </w:r>
      <w:r w:rsidRPr="00A570AE">
        <w:rPr>
          <w:rStyle w:val="SCCCoramChar"/>
          <w:lang w:val="fr-CA"/>
        </w:rPr>
        <w:t xml:space="preserve"> et les juges Moldaver, </w:t>
      </w:r>
      <w:r w:rsidRPr="00E8273F">
        <w:rPr>
          <w:rStyle w:val="SCCCoramChar"/>
          <w:lang w:val="fr-CA"/>
        </w:rPr>
        <w:t>Karakatsanis</w:t>
      </w:r>
      <w:r w:rsidRPr="00A570AE">
        <w:rPr>
          <w:rStyle w:val="SCCCoramChar"/>
          <w:lang w:val="fr-CA"/>
        </w:rPr>
        <w:t>, Gascon, Côté et Brown</w:t>
      </w:r>
      <w:r>
        <w:rPr>
          <w:rStyle w:val="SCCCoramChar"/>
          <w:lang w:val="fr-CA"/>
        </w:rPr>
        <w:t> :</w:t>
      </w:r>
      <w:r w:rsidRPr="00A570AE">
        <w:rPr>
          <w:lang w:val="fr-CA"/>
        </w:rPr>
        <w:t xml:space="preserve"> La </w:t>
      </w:r>
      <w:r w:rsidRPr="00A570AE">
        <w:rPr>
          <w:i/>
          <w:lang w:val="fr-CA"/>
        </w:rPr>
        <w:t>LIPR</w:t>
      </w:r>
      <w:r w:rsidRPr="00A570AE">
        <w:rPr>
          <w:lang w:val="fr-CA"/>
        </w:rPr>
        <w:t xml:space="preserve"> ne prévoit pas une procédure d</w:t>
      </w:r>
      <w:r>
        <w:rPr>
          <w:lang w:val="fr-CA"/>
        </w:rPr>
        <w:t>’</w:t>
      </w:r>
      <w:r w:rsidRPr="00A570AE">
        <w:rPr>
          <w:lang w:val="fr-CA"/>
        </w:rPr>
        <w:t>examen au moins aussi large et aussi avantageuse que celle de l</w:t>
      </w:r>
      <w:r>
        <w:rPr>
          <w:lang w:val="fr-CA"/>
        </w:rPr>
        <w:t>’</w:t>
      </w:r>
      <w:r w:rsidRPr="00A570AE">
        <w:rPr>
          <w:i/>
          <w:lang w:val="fr-CA"/>
        </w:rPr>
        <w:t>habeas corpus</w:t>
      </w:r>
      <w:r w:rsidRPr="00A570AE">
        <w:rPr>
          <w:lang w:val="fr-CA"/>
        </w:rPr>
        <w:t xml:space="preserve"> concernant les remises en cause spécifiques de la légalité de la détention formulées par C dans sa demande d</w:t>
      </w:r>
      <w:r>
        <w:rPr>
          <w:lang w:val="fr-CA"/>
        </w:rPr>
        <w:t>’</w:t>
      </w:r>
      <w:r w:rsidRPr="00A570AE">
        <w:rPr>
          <w:i/>
          <w:lang w:val="fr-CA"/>
        </w:rPr>
        <w:t>habeas corpus</w:t>
      </w:r>
      <w:r w:rsidRPr="00A570AE">
        <w:rPr>
          <w:lang w:val="fr-CA"/>
        </w:rPr>
        <w:t>. En conséquence, C avait droit à ce que sa demande soit entendue par le juge siégeant en son cabinet.</w:t>
      </w:r>
    </w:p>
    <w:p w:rsidR="00B233C0" w:rsidRPr="00A570AE" w:rsidRDefault="00B233C0" w:rsidP="00B233C0">
      <w:pPr>
        <w:pStyle w:val="SCCNormalDoubleSpacing"/>
        <w:spacing w:after="480"/>
        <w:rPr>
          <w:lang w:val="fr-CA"/>
        </w:rPr>
      </w:pPr>
      <w:r w:rsidRPr="00A570AE">
        <w:rPr>
          <w:lang w:val="fr-CA"/>
        </w:rPr>
        <w:tab/>
        <w:t>Le bref d</w:t>
      </w:r>
      <w:r>
        <w:rPr>
          <w:lang w:val="fr-CA"/>
        </w:rPr>
        <w:t>’</w:t>
      </w:r>
      <w:r w:rsidRPr="00A570AE">
        <w:rPr>
          <w:i/>
          <w:lang w:val="fr-CA"/>
        </w:rPr>
        <w:t>habeas corpus</w:t>
      </w:r>
      <w:r w:rsidRPr="00A570AE">
        <w:rPr>
          <w:lang w:val="fr-CA"/>
        </w:rPr>
        <w:t xml:space="preserve"> est une ancienne mesure de réparation juridique qui demeure fondamentale aujourd</w:t>
      </w:r>
      <w:r>
        <w:rPr>
          <w:lang w:val="fr-CA"/>
        </w:rPr>
        <w:t>’</w:t>
      </w:r>
      <w:r w:rsidRPr="00A570AE">
        <w:rPr>
          <w:lang w:val="fr-CA"/>
        </w:rPr>
        <w:t xml:space="preserve">hui pour la liberté individuelle et la primauté du droit. Enchâssé dans la </w:t>
      </w:r>
      <w:r w:rsidRPr="00A570AE">
        <w:rPr>
          <w:i/>
          <w:lang w:val="fr-CA"/>
        </w:rPr>
        <w:t>Charte</w:t>
      </w:r>
      <w:r w:rsidRPr="00A570AE">
        <w:rPr>
          <w:lang w:val="fr-CA"/>
        </w:rPr>
        <w:t>, à l</w:t>
      </w:r>
      <w:r>
        <w:rPr>
          <w:lang w:val="fr-CA"/>
        </w:rPr>
        <w:t>’al. </w:t>
      </w:r>
      <w:r w:rsidRPr="00A570AE">
        <w:rPr>
          <w:lang w:val="fr-CA"/>
        </w:rPr>
        <w:t>10</w:t>
      </w:r>
      <w:r w:rsidRPr="00A570AE">
        <w:rPr>
          <w:i/>
          <w:lang w:val="fr-CA"/>
        </w:rPr>
        <w:t>c</w:t>
      </w:r>
      <w:r w:rsidRPr="00A570AE">
        <w:rPr>
          <w:lang w:val="fr-CA"/>
        </w:rPr>
        <w:t>), le droit à l</w:t>
      </w:r>
      <w:r>
        <w:rPr>
          <w:lang w:val="fr-CA"/>
        </w:rPr>
        <w:t>’</w:t>
      </w:r>
      <w:r w:rsidRPr="00A570AE">
        <w:rPr>
          <w:i/>
          <w:lang w:val="fr-CA"/>
        </w:rPr>
        <w:t>habeas corpus</w:t>
      </w:r>
      <w:r w:rsidRPr="00A570AE">
        <w:rPr>
          <w:lang w:val="fr-CA"/>
        </w:rPr>
        <w:t xml:space="preserve"> permet à ceux qui sont détenus de s</w:t>
      </w:r>
      <w:r>
        <w:rPr>
          <w:lang w:val="fr-CA"/>
        </w:rPr>
        <w:t>’</w:t>
      </w:r>
      <w:r w:rsidRPr="00A570AE">
        <w:rPr>
          <w:lang w:val="fr-CA"/>
        </w:rPr>
        <w:t>adresser à une cour supérieure provinciale et de revendiquer de savoir si la détention est justifiée en droit. Il existe une exception restreinte à ce droit lorsque le législateur a mis en place un régime complet, exhaustif et spécialisé prévoyant une procédure d</w:t>
      </w:r>
      <w:r>
        <w:rPr>
          <w:lang w:val="fr-CA"/>
        </w:rPr>
        <w:t>’</w:t>
      </w:r>
      <w:r w:rsidRPr="00A570AE">
        <w:rPr>
          <w:lang w:val="fr-CA"/>
        </w:rPr>
        <w:t>examen au moins aussi large et aussi avantageuse que celle de l</w:t>
      </w:r>
      <w:r>
        <w:rPr>
          <w:lang w:val="fr-CA"/>
        </w:rPr>
        <w:t>’</w:t>
      </w:r>
      <w:r w:rsidRPr="00A570AE">
        <w:rPr>
          <w:i/>
          <w:lang w:val="fr-CA"/>
        </w:rPr>
        <w:t>habeas corpus</w:t>
      </w:r>
      <w:r w:rsidRPr="00A570AE">
        <w:rPr>
          <w:lang w:val="fr-CA"/>
        </w:rPr>
        <w:t>. Toutefois, il faut interpréter restrictivement les exceptions qui limitent l</w:t>
      </w:r>
      <w:r>
        <w:rPr>
          <w:lang w:val="fr-CA"/>
        </w:rPr>
        <w:t>’</w:t>
      </w:r>
      <w:r w:rsidRPr="00A570AE">
        <w:rPr>
          <w:lang w:val="fr-CA"/>
        </w:rPr>
        <w:t>accès à l</w:t>
      </w:r>
      <w:r>
        <w:rPr>
          <w:lang w:val="fr-CA"/>
        </w:rPr>
        <w:t>’</w:t>
      </w:r>
      <w:r w:rsidRPr="00A570AE">
        <w:rPr>
          <w:i/>
          <w:lang w:val="fr-CA"/>
        </w:rPr>
        <w:t>habeas corpus</w:t>
      </w:r>
      <w:r w:rsidRPr="00A570AE">
        <w:rPr>
          <w:lang w:val="fr-CA"/>
        </w:rPr>
        <w:t>. Pour décider si un régime est aussi large et avantageux que celui de l</w:t>
      </w:r>
      <w:r>
        <w:rPr>
          <w:lang w:val="fr-CA"/>
        </w:rPr>
        <w:t>’</w:t>
      </w:r>
      <w:r w:rsidRPr="00A570AE">
        <w:rPr>
          <w:i/>
          <w:lang w:val="fr-CA"/>
        </w:rPr>
        <w:t>habeas corpus</w:t>
      </w:r>
      <w:r w:rsidRPr="00A570AE">
        <w:rPr>
          <w:lang w:val="fr-CA"/>
        </w:rPr>
        <w:t>, il faut l</w:t>
      </w:r>
      <w:r>
        <w:rPr>
          <w:lang w:val="fr-CA"/>
        </w:rPr>
        <w:t>’</w:t>
      </w:r>
      <w:r w:rsidRPr="00A570AE">
        <w:rPr>
          <w:lang w:val="fr-CA"/>
        </w:rPr>
        <w:t xml:space="preserve">examiner en fonction des motifs particuliers qui sont invoqués dans la demande </w:t>
      </w:r>
      <w:r>
        <w:rPr>
          <w:lang w:val="fr-CA"/>
        </w:rPr>
        <w:t>d’</w:t>
      </w:r>
      <w:r w:rsidRPr="00A570AE">
        <w:rPr>
          <w:i/>
          <w:lang w:val="fr-CA"/>
        </w:rPr>
        <w:t>habeas corpus</w:t>
      </w:r>
      <w:r w:rsidRPr="00A570AE">
        <w:rPr>
          <w:lang w:val="fr-CA"/>
        </w:rPr>
        <w:t xml:space="preserve"> pour contester la légalité de la détention. Il faut se demander quel est le fondement de la remise en cause de la légalité de la détention et s</w:t>
      </w:r>
      <w:r>
        <w:rPr>
          <w:lang w:val="fr-CA"/>
        </w:rPr>
        <w:t>’</w:t>
      </w:r>
      <w:r w:rsidRPr="00A570AE">
        <w:rPr>
          <w:lang w:val="fr-CA"/>
        </w:rPr>
        <w:t>il existe une procédure complète, exhaustive et spécialisée qui soit aussi large et avantageuse que l</w:t>
      </w:r>
      <w:r>
        <w:rPr>
          <w:lang w:val="fr-CA"/>
        </w:rPr>
        <w:t>’</w:t>
      </w:r>
      <w:r w:rsidRPr="00A570AE">
        <w:rPr>
          <w:i/>
          <w:lang w:val="fr-CA"/>
        </w:rPr>
        <w:t>habeas corpus</w:t>
      </w:r>
      <w:r w:rsidRPr="00A570AE">
        <w:rPr>
          <w:lang w:val="fr-CA"/>
        </w:rPr>
        <w:t xml:space="preserve"> relativement aux fondements spécifiques de la demande. Le régime n</w:t>
      </w:r>
      <w:r>
        <w:rPr>
          <w:lang w:val="fr-CA"/>
        </w:rPr>
        <w:t>’</w:t>
      </w:r>
      <w:r w:rsidRPr="00A570AE">
        <w:rPr>
          <w:lang w:val="fr-CA"/>
        </w:rPr>
        <w:t>est pas aussi large et avantageux que l</w:t>
      </w:r>
      <w:r>
        <w:rPr>
          <w:lang w:val="fr-CA"/>
        </w:rPr>
        <w:t>’</w:t>
      </w:r>
      <w:r w:rsidRPr="00A570AE">
        <w:rPr>
          <w:i/>
          <w:lang w:val="fr-CA"/>
        </w:rPr>
        <w:t xml:space="preserve">habeas corpus </w:t>
      </w:r>
      <w:r w:rsidRPr="00A570AE">
        <w:rPr>
          <w:lang w:val="fr-CA"/>
        </w:rPr>
        <w:t>s</w:t>
      </w:r>
      <w:r>
        <w:rPr>
          <w:lang w:val="fr-CA"/>
        </w:rPr>
        <w:t>’</w:t>
      </w:r>
      <w:r w:rsidRPr="00A570AE">
        <w:rPr>
          <w:lang w:val="fr-CA"/>
        </w:rPr>
        <w:t xml:space="preserve">il </w:t>
      </w:r>
      <w:r>
        <w:rPr>
          <w:lang w:val="fr-CA"/>
        </w:rPr>
        <w:t xml:space="preserve">est muet quant aux </w:t>
      </w:r>
      <w:r w:rsidRPr="00A570AE">
        <w:rPr>
          <w:lang w:val="fr-CA"/>
        </w:rPr>
        <w:t>fondements énoncés dans la demande ou s</w:t>
      </w:r>
      <w:r>
        <w:rPr>
          <w:lang w:val="fr-CA"/>
        </w:rPr>
        <w:t>’</w:t>
      </w:r>
      <w:r w:rsidRPr="00A570AE">
        <w:rPr>
          <w:lang w:val="fr-CA"/>
        </w:rPr>
        <w:t>il prévoit un examen fondé sur les motifs invoqués dans la demande, mais que cet examen n</w:t>
      </w:r>
      <w:r>
        <w:rPr>
          <w:lang w:val="fr-CA"/>
        </w:rPr>
        <w:t>’</w:t>
      </w:r>
      <w:r w:rsidRPr="00A570AE">
        <w:rPr>
          <w:lang w:val="fr-CA"/>
        </w:rPr>
        <w:t>est pas aussi large et avantageux que celui de l</w:t>
      </w:r>
      <w:r>
        <w:rPr>
          <w:lang w:val="fr-CA"/>
        </w:rPr>
        <w:t>’</w:t>
      </w:r>
      <w:r w:rsidRPr="00A570AE">
        <w:rPr>
          <w:i/>
          <w:lang w:val="fr-CA"/>
        </w:rPr>
        <w:t>habeas corpus</w:t>
      </w:r>
      <w:r w:rsidRPr="00A570AE">
        <w:rPr>
          <w:lang w:val="fr-CA"/>
        </w:rPr>
        <w:t>, en prenant en considération tant la nature de la procédure d</w:t>
      </w:r>
      <w:r>
        <w:rPr>
          <w:lang w:val="fr-CA"/>
        </w:rPr>
        <w:t>’</w:t>
      </w:r>
      <w:r w:rsidRPr="00A570AE">
        <w:rPr>
          <w:lang w:val="fr-CA"/>
        </w:rPr>
        <w:t>examen que tous les avantages pouvant être offerts par chacun des véhicules procéduraux.</w:t>
      </w:r>
    </w:p>
    <w:p w:rsidR="00B233C0" w:rsidRPr="00A570AE" w:rsidRDefault="00B233C0" w:rsidP="00B233C0">
      <w:pPr>
        <w:pStyle w:val="SCCNormalDoubleSpacing"/>
        <w:spacing w:after="480"/>
        <w:rPr>
          <w:lang w:val="fr-CA"/>
        </w:rPr>
      </w:pPr>
      <w:r>
        <w:rPr>
          <w:lang w:val="fr-CA"/>
        </w:rPr>
        <w:tab/>
      </w:r>
      <w:r w:rsidRPr="00A570AE">
        <w:rPr>
          <w:lang w:val="fr-CA"/>
        </w:rPr>
        <w:t>Si on applique ce cadre aux faits de l</w:t>
      </w:r>
      <w:r>
        <w:rPr>
          <w:lang w:val="fr-CA"/>
        </w:rPr>
        <w:t>’</w:t>
      </w:r>
      <w:r w:rsidRPr="00A570AE">
        <w:rPr>
          <w:lang w:val="fr-CA"/>
        </w:rPr>
        <w:t xml:space="preserve">affaire de C, il appert que le régime établi par la </w:t>
      </w:r>
      <w:r w:rsidRPr="00A570AE">
        <w:rPr>
          <w:i/>
          <w:lang w:val="fr-CA"/>
        </w:rPr>
        <w:t>LIPR</w:t>
      </w:r>
      <w:r w:rsidRPr="00A570AE">
        <w:rPr>
          <w:lang w:val="fr-CA"/>
        </w:rPr>
        <w:t xml:space="preserve"> ne peut répondre efficacement à la remise en cause formulée dans sa demande d</w:t>
      </w:r>
      <w:r>
        <w:rPr>
          <w:lang w:val="fr-CA"/>
        </w:rPr>
        <w:t>’</w:t>
      </w:r>
      <w:r w:rsidRPr="00A570AE">
        <w:rPr>
          <w:lang w:val="fr-CA"/>
        </w:rPr>
        <w:t>une manière aussi large et avantageuse que ne le ferait l</w:t>
      </w:r>
      <w:r>
        <w:rPr>
          <w:lang w:val="fr-CA"/>
        </w:rPr>
        <w:t>’</w:t>
      </w:r>
      <w:r w:rsidRPr="00A570AE">
        <w:rPr>
          <w:i/>
          <w:lang w:val="fr-CA"/>
        </w:rPr>
        <w:t>habeas corpus</w:t>
      </w:r>
      <w:r w:rsidRPr="00A570AE">
        <w:rPr>
          <w:lang w:val="fr-CA"/>
        </w:rPr>
        <w:t xml:space="preserve">. La </w:t>
      </w:r>
      <w:r w:rsidRPr="00A570AE">
        <w:rPr>
          <w:i/>
          <w:lang w:val="fr-CA"/>
        </w:rPr>
        <w:t>LIPR</w:t>
      </w:r>
      <w:r w:rsidRPr="00A570AE">
        <w:rPr>
          <w:lang w:val="fr-CA"/>
        </w:rPr>
        <w:t xml:space="preserve"> prévoit un régime détaillé qui permet le contrôle de la détention dans le contexte de l</w:t>
      </w:r>
      <w:r>
        <w:rPr>
          <w:lang w:val="fr-CA"/>
        </w:rPr>
        <w:t>’</w:t>
      </w:r>
      <w:r w:rsidRPr="00A570AE">
        <w:rPr>
          <w:lang w:val="fr-CA"/>
        </w:rPr>
        <w:t>immigration. Une fois que la mesure initiale de mise en détention a été prise, la procédure d</w:t>
      </w:r>
      <w:r>
        <w:rPr>
          <w:lang w:val="fr-CA"/>
        </w:rPr>
        <w:t>’</w:t>
      </w:r>
      <w:r w:rsidRPr="00A570AE">
        <w:rPr>
          <w:lang w:val="fr-CA"/>
        </w:rPr>
        <w:t xml:space="preserve">examen prévue par la </w:t>
      </w:r>
      <w:r w:rsidRPr="00A570AE">
        <w:rPr>
          <w:i/>
          <w:lang w:val="fr-CA"/>
        </w:rPr>
        <w:t>LIPR</w:t>
      </w:r>
      <w:r w:rsidRPr="00A570AE">
        <w:rPr>
          <w:lang w:val="fr-CA"/>
        </w:rPr>
        <w:t xml:space="preserve"> prévoit un contrôle interne périodique, un contrôle judiciaire de ces décisions par la Cour fédérale et un appel des décisions de la Cour fédérale devant la Cour d</w:t>
      </w:r>
      <w:r>
        <w:rPr>
          <w:lang w:val="fr-CA"/>
        </w:rPr>
        <w:t>’</w:t>
      </w:r>
      <w:r w:rsidRPr="00A570AE">
        <w:rPr>
          <w:lang w:val="fr-CA"/>
        </w:rPr>
        <w:t>appel fédérale. Les agents de l</w:t>
      </w:r>
      <w:r>
        <w:rPr>
          <w:lang w:val="fr-CA"/>
        </w:rPr>
        <w:t>’</w:t>
      </w:r>
      <w:r w:rsidRPr="00A570AE">
        <w:rPr>
          <w:lang w:val="fr-CA"/>
        </w:rPr>
        <w:t>immigration sont experts dans l</w:t>
      </w:r>
      <w:r>
        <w:rPr>
          <w:lang w:val="fr-CA"/>
        </w:rPr>
        <w:t>’</w:t>
      </w:r>
      <w:r w:rsidRPr="00A570AE">
        <w:rPr>
          <w:lang w:val="fr-CA"/>
        </w:rPr>
        <w:t>exercice du mandat que leur confère la loi et la Cour fédérale apporte un surcroît d</w:t>
      </w:r>
      <w:r>
        <w:rPr>
          <w:lang w:val="fr-CA"/>
        </w:rPr>
        <w:t>’</w:t>
      </w:r>
      <w:r w:rsidRPr="00A570AE">
        <w:rPr>
          <w:lang w:val="fr-CA"/>
        </w:rPr>
        <w:t xml:space="preserve">expertise en cette matière. Les motifs pour ordonner la détention ou son maintien sont clairs. Toutefois, la procédure prescrite par la </w:t>
      </w:r>
      <w:r w:rsidRPr="00A570AE">
        <w:rPr>
          <w:i/>
          <w:lang w:val="fr-CA"/>
        </w:rPr>
        <w:t>LIPR</w:t>
      </w:r>
      <w:r w:rsidRPr="00A570AE">
        <w:rPr>
          <w:lang w:val="fr-CA"/>
        </w:rPr>
        <w:t xml:space="preserve"> ne prévoit pas un contrôle aussi large et avantageux que celle en </w:t>
      </w:r>
      <w:r w:rsidRPr="00A570AE">
        <w:rPr>
          <w:i/>
          <w:lang w:val="fr-CA"/>
        </w:rPr>
        <w:t>habeas corpus</w:t>
      </w:r>
      <w:r w:rsidRPr="00A570AE">
        <w:rPr>
          <w:lang w:val="fr-CA"/>
        </w:rPr>
        <w:t>, en ce qui a trait au fondement spécifique de la contestation par C de la légalité de sa détention, soit sa durée, le caractère incertain de sa durée et les conditions dont elle est assortie. Une fois que le ministre a établi les motifs de la détention, les agents d</w:t>
      </w:r>
      <w:r>
        <w:rPr>
          <w:lang w:val="fr-CA"/>
        </w:rPr>
        <w:t>’</w:t>
      </w:r>
      <w:r w:rsidRPr="00A570AE">
        <w:rPr>
          <w:lang w:val="fr-CA"/>
        </w:rPr>
        <w:t>immigration doivent prendre en compte des critères qui peuvent favoriser la mise en liberté, soit notamment</w:t>
      </w:r>
      <w:r>
        <w:rPr>
          <w:lang w:val="fr-CA"/>
        </w:rPr>
        <w:t> :</w:t>
      </w:r>
      <w:r w:rsidRPr="00A570AE">
        <w:rPr>
          <w:lang w:val="fr-CA"/>
        </w:rPr>
        <w:t xml:space="preserve"> le motif de la détention; la durée de la détention; la possibilité que la détention se prolonge et, si c</w:t>
      </w:r>
      <w:r>
        <w:rPr>
          <w:lang w:val="fr-CA"/>
        </w:rPr>
        <w:t>’</w:t>
      </w:r>
      <w:r w:rsidRPr="00A570AE">
        <w:rPr>
          <w:lang w:val="fr-CA"/>
        </w:rPr>
        <w:t>est le cas, la durée de cette prolongation; les retards inexpliqués ou le manque inexpliqué de diligence; l</w:t>
      </w:r>
      <w:r>
        <w:rPr>
          <w:lang w:val="fr-CA"/>
        </w:rPr>
        <w:t>’</w:t>
      </w:r>
      <w:r w:rsidRPr="00A570AE">
        <w:rPr>
          <w:lang w:val="fr-CA"/>
        </w:rPr>
        <w:t>existence de solutions de rechange à la détention; et les principes applicables à l</w:t>
      </w:r>
      <w:r>
        <w:rPr>
          <w:lang w:val="fr-CA"/>
        </w:rPr>
        <w:t>’</w:t>
      </w:r>
      <w:r w:rsidRPr="00A570AE">
        <w:rPr>
          <w:lang w:val="fr-CA"/>
        </w:rPr>
        <w:t>art</w:t>
      </w:r>
      <w:r>
        <w:rPr>
          <w:lang w:val="fr-CA"/>
        </w:rPr>
        <w:t>. </w:t>
      </w:r>
      <w:r w:rsidRPr="00A570AE">
        <w:rPr>
          <w:lang w:val="fr-CA"/>
        </w:rPr>
        <w:t xml:space="preserve">7 de la </w:t>
      </w:r>
      <w:r w:rsidRPr="00A570AE">
        <w:rPr>
          <w:i/>
          <w:lang w:val="fr-CA"/>
        </w:rPr>
        <w:t>Charte</w:t>
      </w:r>
      <w:r w:rsidRPr="00A570AE">
        <w:rPr>
          <w:lang w:val="fr-CA"/>
        </w:rPr>
        <w:t>. S</w:t>
      </w:r>
      <w:r>
        <w:rPr>
          <w:lang w:val="fr-CA"/>
        </w:rPr>
        <w:t>’</w:t>
      </w:r>
      <w:r w:rsidRPr="00A570AE">
        <w:rPr>
          <w:lang w:val="fr-CA"/>
        </w:rPr>
        <w:t>il est vrai que la durée de la détention et le fait qu</w:t>
      </w:r>
      <w:r>
        <w:rPr>
          <w:lang w:val="fr-CA"/>
        </w:rPr>
        <w:t>’</w:t>
      </w:r>
      <w:r w:rsidRPr="00A570AE">
        <w:rPr>
          <w:lang w:val="fr-CA"/>
        </w:rPr>
        <w:t>elle est susceptible de se prolonger peuvent faire l</w:t>
      </w:r>
      <w:r>
        <w:rPr>
          <w:lang w:val="fr-CA"/>
        </w:rPr>
        <w:t>’</w:t>
      </w:r>
      <w:r w:rsidRPr="00A570AE">
        <w:rPr>
          <w:lang w:val="fr-CA"/>
        </w:rPr>
        <w:t>objet d</w:t>
      </w:r>
      <w:r>
        <w:rPr>
          <w:lang w:val="fr-CA"/>
        </w:rPr>
        <w:t>’</w:t>
      </w:r>
      <w:r w:rsidRPr="00A570AE">
        <w:rPr>
          <w:lang w:val="fr-CA"/>
        </w:rPr>
        <w:t xml:space="preserve">un contrôle en application du régime établi par la </w:t>
      </w:r>
      <w:r w:rsidRPr="00A570AE">
        <w:rPr>
          <w:i/>
          <w:lang w:val="fr-CA"/>
        </w:rPr>
        <w:t>LIPR</w:t>
      </w:r>
      <w:r w:rsidRPr="00A570AE">
        <w:rPr>
          <w:lang w:val="fr-CA"/>
        </w:rPr>
        <w:t>, ce contrôle n</w:t>
      </w:r>
      <w:r>
        <w:rPr>
          <w:lang w:val="fr-CA"/>
        </w:rPr>
        <w:t>’</w:t>
      </w:r>
      <w:r w:rsidRPr="00A570AE">
        <w:rPr>
          <w:lang w:val="fr-CA"/>
        </w:rPr>
        <w:t>est pas aussi large et avantageux que celui qui découle d</w:t>
      </w:r>
      <w:r>
        <w:rPr>
          <w:lang w:val="fr-CA"/>
        </w:rPr>
        <w:t>’</w:t>
      </w:r>
      <w:r w:rsidRPr="00A570AE">
        <w:rPr>
          <w:lang w:val="fr-CA"/>
        </w:rPr>
        <w:t>une demande d</w:t>
      </w:r>
      <w:r>
        <w:rPr>
          <w:lang w:val="fr-CA"/>
        </w:rPr>
        <w:t>’</w:t>
      </w:r>
      <w:r w:rsidRPr="00A570AE">
        <w:rPr>
          <w:i/>
          <w:lang w:val="fr-CA"/>
        </w:rPr>
        <w:t>habeas corpus</w:t>
      </w:r>
      <w:r w:rsidRPr="00A570AE">
        <w:rPr>
          <w:lang w:val="fr-CA"/>
        </w:rPr>
        <w:t xml:space="preserve">. Le régime établi par la </w:t>
      </w:r>
      <w:r w:rsidRPr="00A570AE">
        <w:rPr>
          <w:i/>
          <w:lang w:val="fr-CA"/>
        </w:rPr>
        <w:t>LIPR</w:t>
      </w:r>
      <w:r w:rsidRPr="00A570AE">
        <w:rPr>
          <w:lang w:val="fr-CA"/>
        </w:rPr>
        <w:t xml:space="preserve"> est insuffisant à au moins trois égards importants</w:t>
      </w:r>
      <w:r>
        <w:rPr>
          <w:lang w:val="fr-CA"/>
        </w:rPr>
        <w:t> :</w:t>
      </w:r>
      <w:r w:rsidRPr="00A570AE">
        <w:rPr>
          <w:lang w:val="fr-CA"/>
        </w:rPr>
        <w:t xml:space="preserve"> le fardeau dont doit s</w:t>
      </w:r>
      <w:r>
        <w:rPr>
          <w:lang w:val="fr-CA"/>
        </w:rPr>
        <w:t>’</w:t>
      </w:r>
      <w:r w:rsidRPr="00A570AE">
        <w:rPr>
          <w:lang w:val="fr-CA"/>
        </w:rPr>
        <w:t>acquitter le détenu sous ce régime est moins favorable que celui qui lui incombe dans le cadre d</w:t>
      </w:r>
      <w:r>
        <w:rPr>
          <w:lang w:val="fr-CA"/>
        </w:rPr>
        <w:t>’</w:t>
      </w:r>
      <w:r w:rsidRPr="00A570AE">
        <w:rPr>
          <w:lang w:val="fr-CA"/>
        </w:rPr>
        <w:t>une instance d</w:t>
      </w:r>
      <w:r>
        <w:rPr>
          <w:lang w:val="fr-CA"/>
        </w:rPr>
        <w:t>’</w:t>
      </w:r>
      <w:r w:rsidRPr="00A570AE">
        <w:rPr>
          <w:i/>
          <w:lang w:val="fr-CA"/>
        </w:rPr>
        <w:t>habeas corpus</w:t>
      </w:r>
      <w:r w:rsidRPr="00A570AE">
        <w:rPr>
          <w:lang w:val="fr-CA"/>
        </w:rPr>
        <w:t>; la portée du contrôle de la détention aux fins de l</w:t>
      </w:r>
      <w:r>
        <w:rPr>
          <w:lang w:val="fr-CA"/>
        </w:rPr>
        <w:t>’</w:t>
      </w:r>
      <w:r w:rsidRPr="00A570AE">
        <w:rPr>
          <w:lang w:val="fr-CA"/>
        </w:rPr>
        <w:t>immigration devant les cours fédérales est plus étroite que celle de l</w:t>
      </w:r>
      <w:r>
        <w:rPr>
          <w:lang w:val="fr-CA"/>
        </w:rPr>
        <w:t>’</w:t>
      </w:r>
      <w:r w:rsidRPr="00A570AE">
        <w:rPr>
          <w:lang w:val="fr-CA"/>
        </w:rPr>
        <w:t>examen par les cours supérieures des demandes d</w:t>
      </w:r>
      <w:r>
        <w:rPr>
          <w:lang w:val="fr-CA"/>
        </w:rPr>
        <w:t>’</w:t>
      </w:r>
      <w:r w:rsidRPr="00A570AE">
        <w:rPr>
          <w:i/>
          <w:lang w:val="fr-CA"/>
        </w:rPr>
        <w:t>habeas corpus</w:t>
      </w:r>
      <w:r w:rsidRPr="00A570AE">
        <w:rPr>
          <w:lang w:val="fr-CA"/>
        </w:rPr>
        <w:t>; enfin, l</w:t>
      </w:r>
      <w:r>
        <w:rPr>
          <w:lang w:val="fr-CA"/>
        </w:rPr>
        <w:t>’</w:t>
      </w:r>
      <w:r w:rsidRPr="00A570AE">
        <w:rPr>
          <w:i/>
          <w:lang w:val="fr-CA"/>
        </w:rPr>
        <w:t xml:space="preserve">habeas corpus </w:t>
      </w:r>
      <w:r w:rsidRPr="00A570AE">
        <w:rPr>
          <w:lang w:val="fr-CA"/>
        </w:rPr>
        <w:t>permet d</w:t>
      </w:r>
      <w:r>
        <w:rPr>
          <w:lang w:val="fr-CA"/>
        </w:rPr>
        <w:t>’</w:t>
      </w:r>
      <w:r w:rsidRPr="00A570AE">
        <w:rPr>
          <w:lang w:val="fr-CA"/>
        </w:rPr>
        <w:t xml:space="preserve">obtenir une réparation plus rapidement que ne le permet le contrôle judiciaire. La </w:t>
      </w:r>
      <w:r w:rsidRPr="00A570AE">
        <w:rPr>
          <w:i/>
          <w:lang w:val="fr-CA"/>
        </w:rPr>
        <w:t>LIPR</w:t>
      </w:r>
      <w:r w:rsidRPr="00A570AE">
        <w:rPr>
          <w:lang w:val="fr-CA"/>
        </w:rPr>
        <w:t xml:space="preserve"> n</w:t>
      </w:r>
      <w:r>
        <w:rPr>
          <w:lang w:val="fr-CA"/>
        </w:rPr>
        <w:t>’</w:t>
      </w:r>
      <w:r w:rsidRPr="00A570AE">
        <w:rPr>
          <w:lang w:val="fr-CA"/>
        </w:rPr>
        <w:t>offre donc pas un recours aussi large et avantageux que la demande d</w:t>
      </w:r>
      <w:r>
        <w:rPr>
          <w:lang w:val="fr-CA"/>
        </w:rPr>
        <w:t>’</w:t>
      </w:r>
      <w:r w:rsidRPr="00A570AE">
        <w:rPr>
          <w:i/>
          <w:lang w:val="fr-CA"/>
        </w:rPr>
        <w:t>habeas corpus</w:t>
      </w:r>
      <w:r w:rsidRPr="00A570AE">
        <w:rPr>
          <w:lang w:val="fr-CA"/>
        </w:rPr>
        <w:t xml:space="preserve"> pour répondre à la remise en cause de C quant à la légalité de la durée de sa détention ou de son caractère incertain.</w:t>
      </w:r>
    </w:p>
    <w:p w:rsidR="00B233C0" w:rsidRPr="00A570AE" w:rsidRDefault="00B233C0" w:rsidP="00B233C0">
      <w:pPr>
        <w:pStyle w:val="SCCNormalDoubleSpacing"/>
        <w:spacing w:after="480"/>
        <w:rPr>
          <w:sz w:val="22"/>
          <w:lang w:val="fr-CA"/>
        </w:rPr>
      </w:pPr>
      <w:r w:rsidRPr="00A570AE">
        <w:rPr>
          <w:i/>
          <w:lang w:val="fr-CA"/>
        </w:rPr>
        <w:tab/>
        <w:t xml:space="preserve">La </w:t>
      </w:r>
      <w:r w:rsidRPr="00444B40">
        <w:rPr>
          <w:lang w:val="fr-CA"/>
        </w:rPr>
        <w:t>juge</w:t>
      </w:r>
      <w:r w:rsidRPr="00A570AE">
        <w:rPr>
          <w:i/>
          <w:lang w:val="fr-CA"/>
        </w:rPr>
        <w:t xml:space="preserve"> </w:t>
      </w:r>
      <w:r w:rsidRPr="00A31862">
        <w:rPr>
          <w:lang w:val="fr-CA"/>
        </w:rPr>
        <w:t>Abella</w:t>
      </w:r>
      <w:r w:rsidRPr="00A570AE">
        <w:rPr>
          <w:lang w:val="fr-CA"/>
        </w:rPr>
        <w:t xml:space="preserve"> (dissidente)</w:t>
      </w:r>
      <w:r>
        <w:rPr>
          <w:lang w:val="fr-CA"/>
        </w:rPr>
        <w:t> :</w:t>
      </w:r>
      <w:r w:rsidRPr="00A570AE">
        <w:rPr>
          <w:lang w:val="fr-CA"/>
        </w:rPr>
        <w:t xml:space="preserve"> L</w:t>
      </w:r>
      <w:r>
        <w:rPr>
          <w:lang w:val="fr-CA"/>
        </w:rPr>
        <w:t>’</w:t>
      </w:r>
      <w:r w:rsidRPr="00A570AE">
        <w:rPr>
          <w:lang w:val="fr-CA"/>
        </w:rPr>
        <w:t xml:space="preserve">appel devrait être accueilli. La </w:t>
      </w:r>
      <w:r>
        <w:rPr>
          <w:lang w:val="fr-CA"/>
        </w:rPr>
        <w:t>c</w:t>
      </w:r>
      <w:r w:rsidRPr="00A570AE">
        <w:rPr>
          <w:lang w:val="fr-CA"/>
        </w:rPr>
        <w:t>our supérieure a refusé à bon droit d</w:t>
      </w:r>
      <w:r>
        <w:rPr>
          <w:lang w:val="fr-CA"/>
        </w:rPr>
        <w:t>’</w:t>
      </w:r>
      <w:r w:rsidRPr="00A570AE">
        <w:rPr>
          <w:lang w:val="fr-CA"/>
        </w:rPr>
        <w:t>exercer sa compétence en matière d</w:t>
      </w:r>
      <w:r>
        <w:rPr>
          <w:lang w:val="fr-CA"/>
        </w:rPr>
        <w:t>’</w:t>
      </w:r>
      <w:r w:rsidRPr="00A570AE">
        <w:rPr>
          <w:i/>
          <w:lang w:val="fr-CA"/>
        </w:rPr>
        <w:t>habeas corpus</w:t>
      </w:r>
      <w:r w:rsidRPr="00A570AE">
        <w:rPr>
          <w:lang w:val="fr-CA"/>
        </w:rPr>
        <w:t xml:space="preserve"> au profit du régime complet, exhaustif et spécialisé auquel C pouvait avoir recours en application de la </w:t>
      </w:r>
      <w:r w:rsidRPr="00A570AE">
        <w:rPr>
          <w:i/>
          <w:lang w:val="fr-CA"/>
        </w:rPr>
        <w:t>LIR</w:t>
      </w:r>
      <w:r>
        <w:rPr>
          <w:i/>
          <w:lang w:val="fr-CA"/>
        </w:rPr>
        <w:t>P. </w:t>
      </w:r>
    </w:p>
    <w:p w:rsidR="00B233C0" w:rsidRPr="00A570AE" w:rsidRDefault="00B233C0" w:rsidP="00B233C0">
      <w:pPr>
        <w:pStyle w:val="SCCNormalDoubleSpacing"/>
        <w:spacing w:after="480"/>
        <w:rPr>
          <w:lang w:val="fr-CA"/>
        </w:rPr>
      </w:pPr>
      <w:r>
        <w:rPr>
          <w:lang w:val="fr-CA"/>
        </w:rPr>
        <w:tab/>
      </w:r>
      <w:r w:rsidRPr="00A570AE">
        <w:rPr>
          <w:lang w:val="fr-CA"/>
        </w:rPr>
        <w:t>Toute privation de liberté devrait faire l</w:t>
      </w:r>
      <w:r>
        <w:rPr>
          <w:lang w:val="fr-CA"/>
        </w:rPr>
        <w:t>’</w:t>
      </w:r>
      <w:r w:rsidRPr="00A570AE">
        <w:rPr>
          <w:lang w:val="fr-CA"/>
        </w:rPr>
        <w:t>objet d</w:t>
      </w:r>
      <w:r>
        <w:rPr>
          <w:lang w:val="fr-CA"/>
        </w:rPr>
        <w:t>’</w:t>
      </w:r>
      <w:r w:rsidRPr="00A570AE">
        <w:rPr>
          <w:lang w:val="fr-CA"/>
        </w:rPr>
        <w:t>un examen ferme et rigoureux</w:t>
      </w:r>
      <w:r>
        <w:rPr>
          <w:lang w:val="fr-CA"/>
        </w:rPr>
        <w:t xml:space="preserve">. </w:t>
      </w:r>
      <w:r w:rsidRPr="00A570AE">
        <w:rPr>
          <w:lang w:val="fr-CA"/>
        </w:rPr>
        <w:t>C</w:t>
      </w:r>
      <w:r>
        <w:rPr>
          <w:lang w:val="fr-CA"/>
        </w:rPr>
        <w:t>’</w:t>
      </w:r>
      <w:r w:rsidRPr="00A570AE">
        <w:rPr>
          <w:lang w:val="fr-CA"/>
        </w:rPr>
        <w:t xml:space="preserve">est pourquoi la </w:t>
      </w:r>
      <w:r w:rsidRPr="00A570AE">
        <w:rPr>
          <w:i/>
          <w:lang w:val="fr-CA"/>
        </w:rPr>
        <w:t>LIPR</w:t>
      </w:r>
      <w:r w:rsidRPr="00A570AE">
        <w:rPr>
          <w:lang w:val="fr-CA"/>
        </w:rPr>
        <w:t xml:space="preserve"> doit être interprétée de telle sorte qu</w:t>
      </w:r>
      <w:r>
        <w:rPr>
          <w:lang w:val="fr-CA"/>
        </w:rPr>
        <w:t>’</w:t>
      </w:r>
      <w:r w:rsidRPr="00A570AE">
        <w:rPr>
          <w:lang w:val="fr-CA"/>
        </w:rPr>
        <w:t xml:space="preserve">elle garantit le contrôle le plus exhaustif qui soit des motifs de la détention, notamment des conditions de détention. Rien dans la </w:t>
      </w:r>
      <w:r w:rsidRPr="00A570AE">
        <w:rPr>
          <w:i/>
          <w:lang w:val="fr-CA"/>
        </w:rPr>
        <w:t>LIPR</w:t>
      </w:r>
      <w:r w:rsidRPr="00A570AE">
        <w:rPr>
          <w:lang w:val="fr-CA"/>
        </w:rPr>
        <w:t xml:space="preserve"> n</w:t>
      </w:r>
      <w:r>
        <w:rPr>
          <w:lang w:val="fr-CA"/>
        </w:rPr>
        <w:t>’</w:t>
      </w:r>
      <w:r w:rsidRPr="00A570AE">
        <w:rPr>
          <w:lang w:val="fr-CA"/>
        </w:rPr>
        <w:t>empêche un contrôle aussi exhaustif. En fait, l</w:t>
      </w:r>
      <w:r>
        <w:rPr>
          <w:lang w:val="fr-CA"/>
        </w:rPr>
        <w:t>’</w:t>
      </w:r>
      <w:r w:rsidRPr="00A570AE">
        <w:rPr>
          <w:lang w:val="fr-CA"/>
        </w:rPr>
        <w:t xml:space="preserve">économie de la </w:t>
      </w:r>
      <w:r w:rsidRPr="00A570AE">
        <w:rPr>
          <w:i/>
          <w:lang w:val="fr-CA"/>
        </w:rPr>
        <w:t>LIPR</w:t>
      </w:r>
      <w:r w:rsidRPr="00A570AE">
        <w:rPr>
          <w:lang w:val="fr-CA"/>
        </w:rPr>
        <w:t xml:space="preserve"> exige de mener un tel contrôle. Écarter la possibilité d</w:t>
      </w:r>
      <w:r>
        <w:rPr>
          <w:lang w:val="fr-CA"/>
        </w:rPr>
        <w:t>’</w:t>
      </w:r>
      <w:r w:rsidRPr="00A570AE">
        <w:rPr>
          <w:lang w:val="fr-CA"/>
        </w:rPr>
        <w:t>examiner tous les aspects de la détention aux fins de l</w:t>
      </w:r>
      <w:r>
        <w:rPr>
          <w:lang w:val="fr-CA"/>
        </w:rPr>
        <w:t>’</w:t>
      </w:r>
      <w:r w:rsidRPr="00A570AE">
        <w:rPr>
          <w:lang w:val="fr-CA"/>
        </w:rPr>
        <w:t xml:space="preserve">immigration, y compris ses conditions et sa légalité, exclut à toutes fins utiles et de manière inappropriée le processus de contrôle des motifs de la détention établi par la </w:t>
      </w:r>
      <w:r w:rsidRPr="00A570AE">
        <w:rPr>
          <w:i/>
          <w:lang w:val="fr-CA"/>
        </w:rPr>
        <w:t>LIPR</w:t>
      </w:r>
      <w:r w:rsidRPr="00A570AE">
        <w:rPr>
          <w:lang w:val="fr-CA"/>
        </w:rPr>
        <w:t xml:space="preserve"> et fait en sorte que l</w:t>
      </w:r>
      <w:r>
        <w:rPr>
          <w:lang w:val="fr-CA"/>
        </w:rPr>
        <w:t>’</w:t>
      </w:r>
      <w:r w:rsidRPr="00A570AE">
        <w:rPr>
          <w:i/>
          <w:lang w:val="fr-CA"/>
        </w:rPr>
        <w:t>habeas corpus</w:t>
      </w:r>
      <w:r w:rsidRPr="00A570AE">
        <w:rPr>
          <w:lang w:val="fr-CA"/>
        </w:rPr>
        <w:t xml:space="preserve"> devient le seul recours utile dont disposent les détenus qui souhaitent obtenir un contrôle complet de leur détention. Il est préférable de continuer à interpréter les dispositions de la </w:t>
      </w:r>
      <w:r w:rsidRPr="00A570AE">
        <w:rPr>
          <w:i/>
          <w:lang w:val="fr-CA"/>
        </w:rPr>
        <w:t>LIPR</w:t>
      </w:r>
      <w:r w:rsidRPr="00A570AE">
        <w:rPr>
          <w:lang w:val="fr-CA"/>
        </w:rPr>
        <w:t xml:space="preserve"> d</w:t>
      </w:r>
      <w:r>
        <w:rPr>
          <w:lang w:val="fr-CA"/>
        </w:rPr>
        <w:t>’</w:t>
      </w:r>
      <w:r w:rsidRPr="00A570AE">
        <w:rPr>
          <w:lang w:val="fr-CA"/>
        </w:rPr>
        <w:t>une manière qui soit aussi large et avantageuse que l</w:t>
      </w:r>
      <w:r>
        <w:rPr>
          <w:lang w:val="fr-CA"/>
        </w:rPr>
        <w:t>’</w:t>
      </w:r>
      <w:r w:rsidRPr="00A570AE">
        <w:rPr>
          <w:i/>
          <w:lang w:val="fr-CA"/>
        </w:rPr>
        <w:t xml:space="preserve">habeas corpus </w:t>
      </w:r>
      <w:r w:rsidRPr="00A570AE">
        <w:rPr>
          <w:lang w:val="fr-CA"/>
        </w:rPr>
        <w:t>et qui assure l</w:t>
      </w:r>
      <w:r>
        <w:rPr>
          <w:lang w:val="fr-CA"/>
        </w:rPr>
        <w:t>’</w:t>
      </w:r>
      <w:r w:rsidRPr="00A570AE">
        <w:rPr>
          <w:lang w:val="fr-CA"/>
        </w:rPr>
        <w:t>examen complet, exhaustif et spécialisé des motifs de la détention aux fins de l</w:t>
      </w:r>
      <w:r>
        <w:rPr>
          <w:lang w:val="fr-CA"/>
        </w:rPr>
        <w:t>’</w:t>
      </w:r>
      <w:r w:rsidRPr="00A570AE">
        <w:rPr>
          <w:lang w:val="fr-CA"/>
        </w:rPr>
        <w:t>immigration comme l</w:t>
      </w:r>
      <w:r>
        <w:rPr>
          <w:lang w:val="fr-CA"/>
        </w:rPr>
        <w:t>’</w:t>
      </w:r>
      <w:r w:rsidRPr="00A570AE">
        <w:rPr>
          <w:lang w:val="fr-CA"/>
        </w:rPr>
        <w:t>a fait toute la jurisprudence antérieure de la Cour.</w:t>
      </w:r>
    </w:p>
    <w:p w:rsidR="00B233C0" w:rsidRPr="00A570AE" w:rsidRDefault="00B233C0" w:rsidP="00B233C0">
      <w:pPr>
        <w:pStyle w:val="SCCNormalDoubleSpacing"/>
        <w:spacing w:after="480"/>
        <w:rPr>
          <w:lang w:val="fr-CA"/>
        </w:rPr>
      </w:pPr>
      <w:r>
        <w:rPr>
          <w:lang w:val="fr-CA"/>
        </w:rPr>
        <w:tab/>
      </w:r>
      <w:r w:rsidRPr="00A570AE">
        <w:rPr>
          <w:lang w:val="fr-CA"/>
        </w:rPr>
        <w:t>Les fondements historiques de l</w:t>
      </w:r>
      <w:r>
        <w:rPr>
          <w:lang w:val="fr-CA"/>
        </w:rPr>
        <w:t>’</w:t>
      </w:r>
      <w:r w:rsidRPr="00A570AE">
        <w:rPr>
          <w:i/>
          <w:lang w:val="fr-CA"/>
        </w:rPr>
        <w:t>habeas corpus</w:t>
      </w:r>
      <w:r w:rsidRPr="00A570AE">
        <w:rPr>
          <w:lang w:val="fr-CA"/>
        </w:rPr>
        <w:t xml:space="preserve"> sont aussi la source de différents recours d</w:t>
      </w:r>
      <w:r>
        <w:rPr>
          <w:lang w:val="fr-CA"/>
        </w:rPr>
        <w:t>’</w:t>
      </w:r>
      <w:r w:rsidRPr="00A570AE">
        <w:rPr>
          <w:lang w:val="fr-CA"/>
        </w:rPr>
        <w:t>origine législative qui visent à offrir les mêmes protections. C</w:t>
      </w:r>
      <w:r>
        <w:rPr>
          <w:lang w:val="fr-CA"/>
        </w:rPr>
        <w:t>’</w:t>
      </w:r>
      <w:r w:rsidRPr="00A570AE">
        <w:rPr>
          <w:lang w:val="fr-CA"/>
        </w:rPr>
        <w:t xml:space="preserve">est le cas des recours prévus par la </w:t>
      </w:r>
      <w:r w:rsidRPr="00A570AE">
        <w:rPr>
          <w:i/>
          <w:lang w:val="fr-CA"/>
        </w:rPr>
        <w:t>LIPR</w:t>
      </w:r>
      <w:r w:rsidRPr="00A570AE">
        <w:rPr>
          <w:lang w:val="fr-CA"/>
        </w:rPr>
        <w:t>. Leur légitimité en tant que solution de rechange valable à la procédure d</w:t>
      </w:r>
      <w:r>
        <w:rPr>
          <w:lang w:val="fr-CA"/>
        </w:rPr>
        <w:t>’</w:t>
      </w:r>
      <w:r w:rsidRPr="00A570AE">
        <w:rPr>
          <w:i/>
          <w:lang w:val="fr-CA"/>
        </w:rPr>
        <w:t>habeas corpus</w:t>
      </w:r>
      <w:r w:rsidRPr="00A570AE">
        <w:rPr>
          <w:lang w:val="fr-CA"/>
        </w:rPr>
        <w:t xml:space="preserve"> a été examinée par les tribunaux et reconnue dans les arrêts </w:t>
      </w:r>
      <w:r w:rsidRPr="00A570AE">
        <w:rPr>
          <w:i/>
          <w:lang w:val="fr-CA"/>
        </w:rPr>
        <w:t>Pringle c. Fraser</w:t>
      </w:r>
      <w:r w:rsidRPr="00A570AE">
        <w:rPr>
          <w:lang w:val="fr-CA"/>
        </w:rPr>
        <w:t xml:space="preserve">, [1972] R.C.S. 821, </w:t>
      </w:r>
      <w:r w:rsidRPr="00A570AE">
        <w:rPr>
          <w:i/>
          <w:lang w:val="fr-CA"/>
        </w:rPr>
        <w:t>Peiroo c. Canada (Minister of Employment and Immigration)</w:t>
      </w:r>
      <w:r w:rsidR="00A31862">
        <w:rPr>
          <w:lang w:val="fr-CA"/>
        </w:rPr>
        <w:t xml:space="preserve"> (1989), 69 O.R. (2d) 253,</w:t>
      </w:r>
      <w:r>
        <w:rPr>
          <w:lang w:val="fr-CA"/>
        </w:rPr>
        <w:t xml:space="preserve"> </w:t>
      </w:r>
      <w:r w:rsidRPr="00A570AE">
        <w:rPr>
          <w:i/>
          <w:lang w:val="fr-CA"/>
        </w:rPr>
        <w:t>Reza c. Canada</w:t>
      </w:r>
      <w:r w:rsidRPr="00A570AE">
        <w:rPr>
          <w:lang w:val="fr-CA"/>
        </w:rPr>
        <w:t xml:space="preserve">, [1994] 2 R.C.S. 394, et </w:t>
      </w:r>
      <w:r w:rsidRPr="00A570AE">
        <w:rPr>
          <w:i/>
          <w:lang w:val="fr-CA"/>
        </w:rPr>
        <w:t>May c. Établissement Ferndale</w:t>
      </w:r>
      <w:r w:rsidRPr="00A570AE">
        <w:rPr>
          <w:lang w:val="fr-CA"/>
        </w:rPr>
        <w:t>, [2005] 3 R.C.S. 809. Dans chacune de ces décisions, il a été reconnu que les recours semblables à l</w:t>
      </w:r>
      <w:r>
        <w:rPr>
          <w:lang w:val="fr-CA"/>
        </w:rPr>
        <w:t>’</w:t>
      </w:r>
      <w:r w:rsidRPr="00A570AE">
        <w:rPr>
          <w:i/>
          <w:lang w:val="fr-CA"/>
        </w:rPr>
        <w:t xml:space="preserve">habeas corpus </w:t>
      </w:r>
      <w:r w:rsidRPr="00A570AE">
        <w:rPr>
          <w:lang w:val="fr-CA"/>
        </w:rPr>
        <w:t xml:space="preserve">qui peuvent être exercés en application du régime de la </w:t>
      </w:r>
      <w:r w:rsidRPr="00A570AE">
        <w:rPr>
          <w:i/>
          <w:lang w:val="fr-CA"/>
        </w:rPr>
        <w:t>LIPR</w:t>
      </w:r>
      <w:r w:rsidRPr="00A570AE">
        <w:rPr>
          <w:lang w:val="fr-CA"/>
        </w:rPr>
        <w:t xml:space="preserve"> ont une portée au moins aussi large que celle traditionnelle de l</w:t>
      </w:r>
      <w:r>
        <w:rPr>
          <w:lang w:val="fr-CA"/>
        </w:rPr>
        <w:t>’</w:t>
      </w:r>
      <w:r w:rsidRPr="00A570AE">
        <w:rPr>
          <w:i/>
          <w:lang w:val="fr-CA"/>
        </w:rPr>
        <w:t>habeas corpus</w:t>
      </w:r>
      <w:r w:rsidRPr="00A570AE">
        <w:rPr>
          <w:lang w:val="fr-CA"/>
        </w:rPr>
        <w:t xml:space="preserve">. Le régime établi par la </w:t>
      </w:r>
      <w:r w:rsidRPr="00A570AE">
        <w:rPr>
          <w:i/>
          <w:lang w:val="fr-CA"/>
        </w:rPr>
        <w:t>LIPR</w:t>
      </w:r>
      <w:r w:rsidRPr="00A570AE">
        <w:rPr>
          <w:lang w:val="fr-CA"/>
        </w:rPr>
        <w:t xml:space="preserve"> vise à assurer le même contrôle complet et conforme à la </w:t>
      </w:r>
      <w:r w:rsidRPr="00A570AE">
        <w:rPr>
          <w:i/>
          <w:lang w:val="fr-CA"/>
        </w:rPr>
        <w:t xml:space="preserve">Charte </w:t>
      </w:r>
      <w:r w:rsidRPr="00A570AE">
        <w:rPr>
          <w:lang w:val="fr-CA"/>
        </w:rPr>
        <w:t>des motifs de la détention aux fins de l</w:t>
      </w:r>
      <w:r>
        <w:rPr>
          <w:lang w:val="fr-CA"/>
        </w:rPr>
        <w:t>’</w:t>
      </w:r>
      <w:r w:rsidRPr="00A570AE">
        <w:rPr>
          <w:lang w:val="fr-CA"/>
        </w:rPr>
        <w:t>immigration que celui qu</w:t>
      </w:r>
      <w:r>
        <w:rPr>
          <w:lang w:val="fr-CA"/>
        </w:rPr>
        <w:t>’</w:t>
      </w:r>
      <w:r w:rsidRPr="00A570AE">
        <w:rPr>
          <w:lang w:val="fr-CA"/>
        </w:rPr>
        <w:t>offre l</w:t>
      </w:r>
      <w:r>
        <w:rPr>
          <w:lang w:val="fr-CA"/>
        </w:rPr>
        <w:t>’</w:t>
      </w:r>
      <w:r w:rsidRPr="00A570AE">
        <w:rPr>
          <w:i/>
          <w:lang w:val="fr-CA"/>
        </w:rPr>
        <w:t>habeas corpus</w:t>
      </w:r>
      <w:r w:rsidRPr="00A570AE">
        <w:rPr>
          <w:lang w:val="fr-CA"/>
        </w:rPr>
        <w:t xml:space="preserve">. La </w:t>
      </w:r>
      <w:r w:rsidRPr="00A570AE">
        <w:rPr>
          <w:i/>
          <w:lang w:val="fr-CA"/>
        </w:rPr>
        <w:t>Charte</w:t>
      </w:r>
      <w:r w:rsidRPr="00A570AE">
        <w:rPr>
          <w:lang w:val="fr-CA"/>
        </w:rPr>
        <w:t xml:space="preserve"> encadre l</w:t>
      </w:r>
      <w:r>
        <w:rPr>
          <w:lang w:val="fr-CA"/>
        </w:rPr>
        <w:t>’</w:t>
      </w:r>
      <w:r w:rsidRPr="00A570AE">
        <w:rPr>
          <w:lang w:val="fr-CA"/>
        </w:rPr>
        <w:t xml:space="preserve">interprétation de la </w:t>
      </w:r>
      <w:r w:rsidRPr="00A570AE">
        <w:rPr>
          <w:i/>
          <w:lang w:val="fr-CA"/>
        </w:rPr>
        <w:t xml:space="preserve">LIPR </w:t>
      </w:r>
      <w:r w:rsidRPr="00A570AE">
        <w:rPr>
          <w:lang w:val="fr-CA"/>
        </w:rPr>
        <w:t>d</w:t>
      </w:r>
      <w:r>
        <w:rPr>
          <w:lang w:val="fr-CA"/>
        </w:rPr>
        <w:t>’</w:t>
      </w:r>
      <w:r w:rsidRPr="00A570AE">
        <w:rPr>
          <w:lang w:val="fr-CA"/>
        </w:rPr>
        <w:t xml:space="preserve">une manière qui assure le contrôle le plus complet possible de la privation de liberté du détenu. Il faut donc interpréter la </w:t>
      </w:r>
      <w:r>
        <w:rPr>
          <w:i/>
          <w:lang w:val="fr-CA"/>
        </w:rPr>
        <w:t xml:space="preserve">LIPR </w:t>
      </w:r>
      <w:r w:rsidRPr="00A570AE">
        <w:rPr>
          <w:lang w:val="fr-CA"/>
        </w:rPr>
        <w:t>d</w:t>
      </w:r>
      <w:r>
        <w:rPr>
          <w:lang w:val="fr-CA"/>
        </w:rPr>
        <w:t>’</w:t>
      </w:r>
      <w:r w:rsidRPr="00A570AE">
        <w:rPr>
          <w:lang w:val="fr-CA"/>
        </w:rPr>
        <w:t>une manière qui n</w:t>
      </w:r>
      <w:r>
        <w:rPr>
          <w:lang w:val="fr-CA"/>
        </w:rPr>
        <w:t>’</w:t>
      </w:r>
      <w:r w:rsidRPr="00A570AE">
        <w:rPr>
          <w:lang w:val="fr-CA"/>
        </w:rPr>
        <w:t>en restreint pas l</w:t>
      </w:r>
      <w:r>
        <w:rPr>
          <w:lang w:val="fr-CA"/>
        </w:rPr>
        <w:t>’</w:t>
      </w:r>
      <w:r w:rsidRPr="00A570AE">
        <w:rPr>
          <w:lang w:val="fr-CA"/>
        </w:rPr>
        <w:t>objet</w:t>
      </w:r>
      <w:r>
        <w:rPr>
          <w:lang w:val="fr-CA"/>
        </w:rPr>
        <w:t xml:space="preserve"> et qui </w:t>
      </w:r>
      <w:r w:rsidRPr="00A570AE">
        <w:rPr>
          <w:lang w:val="fr-CA"/>
        </w:rPr>
        <w:t>lui donne la plus large portée qui soit. L</w:t>
      </w:r>
      <w:r>
        <w:rPr>
          <w:lang w:val="fr-CA"/>
        </w:rPr>
        <w:t>’</w:t>
      </w:r>
      <w:r w:rsidRPr="00A570AE">
        <w:rPr>
          <w:lang w:val="fr-CA"/>
        </w:rPr>
        <w:t>idée selon laquelle un examen complet de la détention ne peut avoir lieu que dans le cadre de l</w:t>
      </w:r>
      <w:r>
        <w:rPr>
          <w:lang w:val="fr-CA"/>
        </w:rPr>
        <w:t>’</w:t>
      </w:r>
      <w:r w:rsidRPr="00A570AE">
        <w:rPr>
          <w:i/>
          <w:lang w:val="fr-CA"/>
        </w:rPr>
        <w:t>habeas corpus</w:t>
      </w:r>
      <w:r w:rsidRPr="00A570AE">
        <w:rPr>
          <w:lang w:val="fr-CA"/>
        </w:rPr>
        <w:t xml:space="preserve"> fait fi du consensus qui ressort depuis longtemps de la jurisprudence. Il n</w:t>
      </w:r>
      <w:r>
        <w:rPr>
          <w:lang w:val="fr-CA"/>
        </w:rPr>
        <w:t>’</w:t>
      </w:r>
      <w:r w:rsidRPr="00A570AE">
        <w:rPr>
          <w:lang w:val="fr-CA"/>
        </w:rPr>
        <w:t>y a aucune raison de principe qui justifie d</w:t>
      </w:r>
      <w:r>
        <w:rPr>
          <w:lang w:val="fr-CA"/>
        </w:rPr>
        <w:t>’</w:t>
      </w:r>
      <w:r w:rsidRPr="00A570AE">
        <w:rPr>
          <w:lang w:val="fr-CA"/>
        </w:rPr>
        <w:t xml:space="preserve">écarter le raisonnement solide suivi dans les arrêts </w:t>
      </w:r>
      <w:r w:rsidRPr="00A570AE">
        <w:rPr>
          <w:i/>
          <w:lang w:val="fr-CA"/>
        </w:rPr>
        <w:t>Pringle</w:t>
      </w:r>
      <w:r w:rsidRPr="00A570AE">
        <w:rPr>
          <w:lang w:val="fr-CA"/>
        </w:rPr>
        <w:t xml:space="preserve">, </w:t>
      </w:r>
      <w:r w:rsidRPr="00A570AE">
        <w:rPr>
          <w:i/>
          <w:lang w:val="fr-CA"/>
        </w:rPr>
        <w:t>Peiroo</w:t>
      </w:r>
      <w:r w:rsidRPr="00A570AE">
        <w:rPr>
          <w:lang w:val="fr-CA"/>
        </w:rPr>
        <w:t xml:space="preserve">, </w:t>
      </w:r>
      <w:r w:rsidRPr="00A570AE">
        <w:rPr>
          <w:i/>
          <w:lang w:val="fr-CA"/>
        </w:rPr>
        <w:t>Reza</w:t>
      </w:r>
      <w:r w:rsidRPr="00A570AE">
        <w:rPr>
          <w:lang w:val="fr-CA"/>
        </w:rPr>
        <w:t xml:space="preserve"> et </w:t>
      </w:r>
      <w:r w:rsidRPr="00A570AE">
        <w:rPr>
          <w:i/>
          <w:lang w:val="fr-CA"/>
        </w:rPr>
        <w:t>May</w:t>
      </w:r>
      <w:r w:rsidRPr="00A570AE">
        <w:rPr>
          <w:lang w:val="fr-CA"/>
        </w:rPr>
        <w:t>. La Cour a constamment reconnu l</w:t>
      </w:r>
      <w:r>
        <w:rPr>
          <w:lang w:val="fr-CA"/>
        </w:rPr>
        <w:t>’</w:t>
      </w:r>
      <w:r w:rsidRPr="00A570AE">
        <w:rPr>
          <w:lang w:val="fr-CA"/>
        </w:rPr>
        <w:t>exception qui limite la possibilité d</w:t>
      </w:r>
      <w:r>
        <w:rPr>
          <w:lang w:val="fr-CA"/>
        </w:rPr>
        <w:t>’</w:t>
      </w:r>
      <w:r w:rsidRPr="00A570AE">
        <w:rPr>
          <w:lang w:val="fr-CA"/>
        </w:rPr>
        <w:t>exercer un recours en</w:t>
      </w:r>
      <w:r w:rsidRPr="00A570AE">
        <w:rPr>
          <w:i/>
          <w:lang w:val="fr-CA"/>
        </w:rPr>
        <w:t xml:space="preserve"> habeas corpus</w:t>
      </w:r>
      <w:r w:rsidRPr="00A570AE">
        <w:rPr>
          <w:lang w:val="fr-CA"/>
        </w:rPr>
        <w:t xml:space="preserve"> en matière d</w:t>
      </w:r>
      <w:r>
        <w:rPr>
          <w:lang w:val="fr-CA"/>
        </w:rPr>
        <w:t>’</w:t>
      </w:r>
      <w:r w:rsidRPr="00A570AE">
        <w:rPr>
          <w:lang w:val="fr-CA"/>
        </w:rPr>
        <w:t>immigration. Écarter cette jurisprudence se traduirait par la recherche du tribunal le plus accommodant, un manque d</w:t>
      </w:r>
      <w:r>
        <w:rPr>
          <w:lang w:val="fr-CA"/>
        </w:rPr>
        <w:t>’</w:t>
      </w:r>
      <w:r w:rsidRPr="00A570AE">
        <w:rPr>
          <w:lang w:val="fr-CA"/>
        </w:rPr>
        <w:t>uniformité dans les décisions et une multiplication des instances.</w:t>
      </w:r>
    </w:p>
    <w:p w:rsidR="00B233C0" w:rsidRPr="00A570AE" w:rsidRDefault="00B233C0" w:rsidP="00B233C0">
      <w:pPr>
        <w:pStyle w:val="SCCNormalDoubleSpacing"/>
        <w:spacing w:after="480"/>
        <w:rPr>
          <w:lang w:val="fr-CA"/>
        </w:rPr>
      </w:pPr>
      <w:r>
        <w:rPr>
          <w:lang w:val="fr-CA"/>
        </w:rPr>
        <w:tab/>
      </w:r>
      <w:r w:rsidRPr="00A570AE">
        <w:rPr>
          <w:lang w:val="fr-CA"/>
        </w:rPr>
        <w:t xml:space="preserve">Rien dans le libellé de la loi ne limite la portée du contrôle des motifs de la détention prévue par la </w:t>
      </w:r>
      <w:r w:rsidRPr="00A570AE">
        <w:rPr>
          <w:i/>
          <w:lang w:val="fr-CA"/>
        </w:rPr>
        <w:t>LIPR</w:t>
      </w:r>
      <w:r w:rsidRPr="00A570AE">
        <w:rPr>
          <w:lang w:val="fr-CA"/>
        </w:rPr>
        <w:t xml:space="preserve"> à un contrôle partiel qu</w:t>
      </w:r>
      <w:r>
        <w:rPr>
          <w:lang w:val="fr-CA"/>
        </w:rPr>
        <w:t>’</w:t>
      </w:r>
      <w:r w:rsidRPr="00A570AE">
        <w:rPr>
          <w:lang w:val="fr-CA"/>
        </w:rPr>
        <w:t xml:space="preserve">il faut compléter par un </w:t>
      </w:r>
      <w:r w:rsidRPr="00A570AE">
        <w:rPr>
          <w:i/>
          <w:lang w:val="fr-CA"/>
        </w:rPr>
        <w:t>habeas corpus</w:t>
      </w:r>
      <w:r w:rsidRPr="00A570AE">
        <w:rPr>
          <w:lang w:val="fr-CA"/>
        </w:rPr>
        <w:t xml:space="preserve">. Au contraire, le régime de la </w:t>
      </w:r>
      <w:r w:rsidRPr="00A570AE">
        <w:rPr>
          <w:i/>
          <w:lang w:val="fr-CA"/>
        </w:rPr>
        <w:t>LIPR</w:t>
      </w:r>
      <w:r w:rsidRPr="00A570AE">
        <w:rPr>
          <w:lang w:val="fr-CA"/>
        </w:rPr>
        <w:t xml:space="preserve"> est structuré de manière à accorder aux détenus au moins les mêmes droits que ceux qu</w:t>
      </w:r>
      <w:r>
        <w:rPr>
          <w:lang w:val="fr-CA"/>
        </w:rPr>
        <w:t>’</w:t>
      </w:r>
      <w:r w:rsidRPr="00A570AE">
        <w:rPr>
          <w:lang w:val="fr-CA"/>
        </w:rPr>
        <w:t>ils obtiendraient dans le cadre d</w:t>
      </w:r>
      <w:r>
        <w:rPr>
          <w:lang w:val="fr-CA"/>
        </w:rPr>
        <w:t>’</w:t>
      </w:r>
      <w:r w:rsidRPr="00A570AE">
        <w:rPr>
          <w:lang w:val="fr-CA"/>
        </w:rPr>
        <w:t>un contrôle par voie d</w:t>
      </w:r>
      <w:r>
        <w:rPr>
          <w:lang w:val="fr-CA"/>
        </w:rPr>
        <w:t>’</w:t>
      </w:r>
      <w:r w:rsidRPr="00A570AE">
        <w:rPr>
          <w:i/>
          <w:lang w:val="fr-CA"/>
        </w:rPr>
        <w:t>habeas corpus</w:t>
      </w:r>
      <w:r w:rsidRPr="00A570AE">
        <w:rPr>
          <w:lang w:val="fr-CA"/>
        </w:rPr>
        <w:t>. Toute détention doit faire l</w:t>
      </w:r>
      <w:r>
        <w:rPr>
          <w:lang w:val="fr-CA"/>
        </w:rPr>
        <w:t>’</w:t>
      </w:r>
      <w:r w:rsidRPr="00A570AE">
        <w:rPr>
          <w:lang w:val="fr-CA"/>
        </w:rPr>
        <w:t>objet de contrôles réguliers et ces contrôles sont structurés de manière à être rapides et accessibles. L</w:t>
      </w:r>
      <w:r>
        <w:rPr>
          <w:lang w:val="fr-CA"/>
        </w:rPr>
        <w:t>’</w:t>
      </w:r>
      <w:r w:rsidRPr="00A570AE">
        <w:rPr>
          <w:lang w:val="fr-CA"/>
        </w:rPr>
        <w:t>agent d</w:t>
      </w:r>
      <w:r>
        <w:rPr>
          <w:lang w:val="fr-CA"/>
        </w:rPr>
        <w:t>’</w:t>
      </w:r>
      <w:r w:rsidRPr="00A570AE">
        <w:rPr>
          <w:lang w:val="fr-CA"/>
        </w:rPr>
        <w:t>immigration est chargé d</w:t>
      </w:r>
      <w:r>
        <w:rPr>
          <w:lang w:val="fr-CA"/>
        </w:rPr>
        <w:t>’</w:t>
      </w:r>
      <w:r w:rsidRPr="00A570AE">
        <w:rPr>
          <w:lang w:val="fr-CA"/>
        </w:rPr>
        <w:t>amener le détenu devant la Section de l</w:t>
      </w:r>
      <w:r>
        <w:rPr>
          <w:lang w:val="fr-CA"/>
        </w:rPr>
        <w:t>’</w:t>
      </w:r>
      <w:r w:rsidRPr="00A570AE">
        <w:rPr>
          <w:lang w:val="fr-CA"/>
        </w:rPr>
        <w:t>immigration pour tous les contrôles de sa détention</w:t>
      </w:r>
      <w:r>
        <w:rPr>
          <w:lang w:val="fr-CA"/>
        </w:rPr>
        <w:t xml:space="preserve">. </w:t>
      </w:r>
      <w:r w:rsidRPr="00A570AE">
        <w:rPr>
          <w:lang w:val="fr-CA"/>
        </w:rPr>
        <w:t>La Section de l</w:t>
      </w:r>
      <w:r>
        <w:rPr>
          <w:lang w:val="fr-CA"/>
        </w:rPr>
        <w:t>’</w:t>
      </w:r>
      <w:r w:rsidRPr="00A570AE">
        <w:rPr>
          <w:lang w:val="fr-CA"/>
        </w:rPr>
        <w:t>immigration peut exiger que les parties comparaissent et peut ordonner le maintien en détention du détenu, sa mise en liberté sans condition ou sa libération aux conditions qu</w:t>
      </w:r>
      <w:r>
        <w:rPr>
          <w:lang w:val="fr-CA"/>
        </w:rPr>
        <w:t>’</w:t>
      </w:r>
      <w:r w:rsidRPr="00A570AE">
        <w:rPr>
          <w:lang w:val="fr-CA"/>
        </w:rPr>
        <w:t>elle juge nécessaires. Le détenu peut aussi saisir la Cour fédérale d</w:t>
      </w:r>
      <w:r>
        <w:rPr>
          <w:lang w:val="fr-CA"/>
        </w:rPr>
        <w:t>’</w:t>
      </w:r>
      <w:r w:rsidRPr="00A570AE">
        <w:rPr>
          <w:lang w:val="fr-CA"/>
        </w:rPr>
        <w:t>une demande d</w:t>
      </w:r>
      <w:r>
        <w:rPr>
          <w:lang w:val="fr-CA"/>
        </w:rPr>
        <w:t>’</w:t>
      </w:r>
      <w:r w:rsidRPr="00A570AE">
        <w:rPr>
          <w:lang w:val="fr-CA"/>
        </w:rPr>
        <w:t>autorisation et de contrôle judiciaire. En outre, dans ce contexte, il n</w:t>
      </w:r>
      <w:r>
        <w:rPr>
          <w:lang w:val="fr-CA"/>
        </w:rPr>
        <w:t>’</w:t>
      </w:r>
      <w:r w:rsidRPr="00A570AE">
        <w:rPr>
          <w:lang w:val="fr-CA"/>
        </w:rPr>
        <w:t>incombe aucun fardeau de preuve au détenu contrairement à ce qui est le cas dans le cadre des demandes d</w:t>
      </w:r>
      <w:r>
        <w:rPr>
          <w:lang w:val="fr-CA"/>
        </w:rPr>
        <w:t>’</w:t>
      </w:r>
      <w:r w:rsidRPr="00A570AE">
        <w:rPr>
          <w:i/>
          <w:lang w:val="fr-CA"/>
        </w:rPr>
        <w:t>habeas corpus</w:t>
      </w:r>
      <w:r w:rsidRPr="00A570AE">
        <w:rPr>
          <w:lang w:val="fr-CA"/>
        </w:rPr>
        <w:t xml:space="preserve">. Le régime de la </w:t>
      </w:r>
      <w:r w:rsidRPr="00A570AE">
        <w:rPr>
          <w:i/>
          <w:lang w:val="fr-CA"/>
        </w:rPr>
        <w:t>LIPR</w:t>
      </w:r>
      <w:r w:rsidRPr="00A570AE">
        <w:rPr>
          <w:lang w:val="fr-CA"/>
        </w:rPr>
        <w:t xml:space="preserve"> doit être interprété en harmonie avec les valeurs consacrées par la </w:t>
      </w:r>
      <w:r w:rsidRPr="00A570AE">
        <w:rPr>
          <w:i/>
          <w:lang w:val="fr-CA"/>
        </w:rPr>
        <w:t xml:space="preserve">Charte </w:t>
      </w:r>
      <w:r w:rsidRPr="00A570AE">
        <w:rPr>
          <w:lang w:val="fr-CA"/>
        </w:rPr>
        <w:t>qui définissent les paramètres de son application et ce régime doit être appliqué d</w:t>
      </w:r>
      <w:r>
        <w:rPr>
          <w:lang w:val="fr-CA"/>
        </w:rPr>
        <w:t>’</w:t>
      </w:r>
      <w:r w:rsidRPr="00A570AE">
        <w:rPr>
          <w:lang w:val="fr-CA"/>
        </w:rPr>
        <w:t>une manière au moins aussi rigoureuse et équitable que n</w:t>
      </w:r>
      <w:r>
        <w:rPr>
          <w:lang w:val="fr-CA"/>
        </w:rPr>
        <w:t>’</w:t>
      </w:r>
      <w:r w:rsidRPr="00A570AE">
        <w:rPr>
          <w:lang w:val="fr-CA"/>
        </w:rPr>
        <w:t>est appliqué le recours en</w:t>
      </w:r>
      <w:r w:rsidRPr="00A570AE">
        <w:rPr>
          <w:i/>
          <w:lang w:val="fr-CA"/>
        </w:rPr>
        <w:t xml:space="preserve"> habeas corpus</w:t>
      </w:r>
      <w:r w:rsidRPr="00A570AE">
        <w:rPr>
          <w:lang w:val="fr-CA"/>
        </w:rPr>
        <w:t>. La Section de l</w:t>
      </w:r>
      <w:r>
        <w:rPr>
          <w:lang w:val="fr-CA"/>
        </w:rPr>
        <w:t>’</w:t>
      </w:r>
      <w:r w:rsidRPr="00A570AE">
        <w:rPr>
          <w:lang w:val="fr-CA"/>
        </w:rPr>
        <w:t>immigration a l</w:t>
      </w:r>
      <w:r>
        <w:rPr>
          <w:lang w:val="fr-CA"/>
        </w:rPr>
        <w:t>’</w:t>
      </w:r>
      <w:r w:rsidRPr="00A570AE">
        <w:rPr>
          <w:lang w:val="fr-CA"/>
        </w:rPr>
        <w:t>obligation de mettre en balance les objets de la détention aux fins de l</w:t>
      </w:r>
      <w:r>
        <w:rPr>
          <w:lang w:val="fr-CA"/>
        </w:rPr>
        <w:t>’</w:t>
      </w:r>
      <w:r w:rsidRPr="00A570AE">
        <w:rPr>
          <w:lang w:val="fr-CA"/>
        </w:rPr>
        <w:t xml:space="preserve">immigration et les droits garantis aux détenus par les </w:t>
      </w:r>
      <w:r>
        <w:rPr>
          <w:lang w:val="fr-CA"/>
        </w:rPr>
        <w:t>art. </w:t>
      </w:r>
      <w:r w:rsidRPr="00A570AE">
        <w:rPr>
          <w:lang w:val="fr-CA"/>
        </w:rPr>
        <w:t xml:space="preserve">7, 9 et 12 de la </w:t>
      </w:r>
      <w:r w:rsidRPr="00A570AE">
        <w:rPr>
          <w:i/>
          <w:lang w:val="fr-CA"/>
        </w:rPr>
        <w:t>Charte</w:t>
      </w:r>
      <w:r w:rsidRPr="00A570AE">
        <w:rPr>
          <w:lang w:val="fr-CA"/>
        </w:rPr>
        <w:t>. Cela comprend nécessairement l</w:t>
      </w:r>
      <w:r>
        <w:rPr>
          <w:lang w:val="fr-CA"/>
        </w:rPr>
        <w:t>’</w:t>
      </w:r>
      <w:r w:rsidRPr="00A570AE">
        <w:rPr>
          <w:lang w:val="fr-CA"/>
        </w:rPr>
        <w:t xml:space="preserve">examen des conditions de détention et assure la protection des droits protégés par la </w:t>
      </w:r>
      <w:r w:rsidRPr="00A570AE">
        <w:rPr>
          <w:i/>
          <w:lang w:val="fr-CA"/>
        </w:rPr>
        <w:t>Charte</w:t>
      </w:r>
      <w:r w:rsidRPr="00A570AE">
        <w:rPr>
          <w:lang w:val="fr-CA"/>
        </w:rPr>
        <w:t>.</w:t>
      </w:r>
    </w:p>
    <w:p w:rsidR="00B233C0" w:rsidRPr="00A570AE" w:rsidRDefault="00B233C0" w:rsidP="00B233C0">
      <w:pPr>
        <w:pStyle w:val="SCCNormalDoubleSpacing"/>
        <w:spacing w:after="480"/>
        <w:rPr>
          <w:lang w:val="fr-CA"/>
        </w:rPr>
      </w:pPr>
      <w:r>
        <w:rPr>
          <w:lang w:val="fr-CA"/>
        </w:rPr>
        <w:tab/>
      </w:r>
      <w:r w:rsidRPr="00A570AE">
        <w:rPr>
          <w:lang w:val="fr-CA"/>
        </w:rPr>
        <w:t>L</w:t>
      </w:r>
      <w:r>
        <w:rPr>
          <w:lang w:val="fr-CA"/>
        </w:rPr>
        <w:t>’</w:t>
      </w:r>
      <w:r w:rsidRPr="00A570AE">
        <w:rPr>
          <w:lang w:val="fr-CA"/>
        </w:rPr>
        <w:t xml:space="preserve">article 248 du </w:t>
      </w:r>
      <w:r w:rsidRPr="00A570AE">
        <w:rPr>
          <w:i/>
          <w:lang w:val="fr-CA"/>
        </w:rPr>
        <w:t>Règlement</w:t>
      </w:r>
      <w:r w:rsidRPr="00A570AE">
        <w:rPr>
          <w:lang w:val="fr-CA"/>
        </w:rPr>
        <w:t xml:space="preserve"> </w:t>
      </w:r>
      <w:r w:rsidRPr="00A570AE">
        <w:rPr>
          <w:i/>
          <w:lang w:val="fr-CA"/>
        </w:rPr>
        <w:t>sur l</w:t>
      </w:r>
      <w:r>
        <w:rPr>
          <w:i/>
          <w:lang w:val="fr-CA"/>
        </w:rPr>
        <w:t>’</w:t>
      </w:r>
      <w:r w:rsidRPr="00A570AE">
        <w:rPr>
          <w:i/>
          <w:lang w:val="fr-CA"/>
        </w:rPr>
        <w:t>immigration et la protection des réfugiés</w:t>
      </w:r>
      <w:r w:rsidRPr="00A570AE">
        <w:rPr>
          <w:lang w:val="fr-CA"/>
        </w:rPr>
        <w:t xml:space="preserve"> exige que la Section de l</w:t>
      </w:r>
      <w:r>
        <w:rPr>
          <w:lang w:val="fr-CA"/>
        </w:rPr>
        <w:t>’</w:t>
      </w:r>
      <w:r w:rsidRPr="00A570AE">
        <w:rPr>
          <w:lang w:val="fr-CA"/>
        </w:rPr>
        <w:t>immigration tienne compte de certains critères pour décider si la détention doit être maintenue. Ces facteurs garantissent qu</w:t>
      </w:r>
      <w:r>
        <w:rPr>
          <w:lang w:val="fr-CA"/>
        </w:rPr>
        <w:t>’</w:t>
      </w:r>
      <w:r w:rsidRPr="00A570AE">
        <w:rPr>
          <w:lang w:val="fr-CA"/>
        </w:rPr>
        <w:t>aucune période de détention prolongée n</w:t>
      </w:r>
      <w:r>
        <w:rPr>
          <w:lang w:val="fr-CA"/>
        </w:rPr>
        <w:t>’</w:t>
      </w:r>
      <w:r w:rsidRPr="00A570AE">
        <w:rPr>
          <w:lang w:val="fr-CA"/>
        </w:rPr>
        <w:t xml:space="preserve">enfreint la </w:t>
      </w:r>
      <w:r w:rsidRPr="00A570AE">
        <w:rPr>
          <w:i/>
          <w:lang w:val="fr-CA"/>
        </w:rPr>
        <w:t>Charte</w:t>
      </w:r>
      <w:r w:rsidRPr="00A570AE">
        <w:rPr>
          <w:lang w:val="fr-CA"/>
        </w:rPr>
        <w:t>. La Section de l</w:t>
      </w:r>
      <w:r>
        <w:rPr>
          <w:lang w:val="fr-CA"/>
        </w:rPr>
        <w:t>’</w:t>
      </w:r>
      <w:r w:rsidRPr="00A570AE">
        <w:rPr>
          <w:lang w:val="fr-CA"/>
        </w:rPr>
        <w:t>immigration doit mettre en balance les objectifs de l</w:t>
      </w:r>
      <w:r>
        <w:rPr>
          <w:lang w:val="fr-CA"/>
        </w:rPr>
        <w:t>’</w:t>
      </w:r>
      <w:r w:rsidRPr="00A570AE">
        <w:rPr>
          <w:lang w:val="fr-CA"/>
        </w:rPr>
        <w:t>État en matière d</w:t>
      </w:r>
      <w:r>
        <w:rPr>
          <w:lang w:val="fr-CA"/>
        </w:rPr>
        <w:t>’</w:t>
      </w:r>
      <w:r w:rsidRPr="00A570AE">
        <w:rPr>
          <w:lang w:val="fr-CA"/>
        </w:rPr>
        <w:t>immigration et le droit du détenu de ne pas être privé de façon arbitraire ou indéfinie de sa liberté. Une décision antérieure, reposant sur des faits, selon laquelle l</w:t>
      </w:r>
      <w:r>
        <w:rPr>
          <w:lang w:val="fr-CA"/>
        </w:rPr>
        <w:t>’</w:t>
      </w:r>
      <w:r w:rsidRPr="00A570AE">
        <w:rPr>
          <w:lang w:val="fr-CA"/>
        </w:rPr>
        <w:t>individu risque de s</w:t>
      </w:r>
      <w:r>
        <w:rPr>
          <w:lang w:val="fr-CA"/>
        </w:rPr>
        <w:t>’</w:t>
      </w:r>
      <w:r w:rsidRPr="00A570AE">
        <w:rPr>
          <w:lang w:val="fr-CA"/>
        </w:rPr>
        <w:t>évader ou constitue un danger pour le public appelle la retenue. La force des motifs justifiant le maintien en détention faiblit au fur et à mesure que la durée de la détention se prolonge et le fardeau de la preuve dont doivent s</w:t>
      </w:r>
      <w:r>
        <w:rPr>
          <w:lang w:val="fr-CA"/>
        </w:rPr>
        <w:t>’</w:t>
      </w:r>
      <w:r w:rsidRPr="00A570AE">
        <w:rPr>
          <w:lang w:val="fr-CA"/>
        </w:rPr>
        <w:t>acquitter les autorités qui détiennent l</w:t>
      </w:r>
      <w:r>
        <w:rPr>
          <w:lang w:val="fr-CA"/>
        </w:rPr>
        <w:t>’</w:t>
      </w:r>
      <w:r w:rsidRPr="00A570AE">
        <w:rPr>
          <w:lang w:val="fr-CA"/>
        </w:rPr>
        <w:t>intéressé s</w:t>
      </w:r>
      <w:r>
        <w:rPr>
          <w:lang w:val="fr-CA"/>
        </w:rPr>
        <w:t>’</w:t>
      </w:r>
      <w:r w:rsidRPr="00A570AE">
        <w:rPr>
          <w:lang w:val="fr-CA"/>
        </w:rPr>
        <w:t>alourdit au fur et à mesure que la détention se prolonge. La Section de l</w:t>
      </w:r>
      <w:r>
        <w:rPr>
          <w:lang w:val="fr-CA"/>
        </w:rPr>
        <w:t>’</w:t>
      </w:r>
      <w:r w:rsidRPr="00A570AE">
        <w:rPr>
          <w:lang w:val="fr-CA"/>
        </w:rPr>
        <w:t>immigration doit prendre en compte les conditions de la détention et l</w:t>
      </w:r>
      <w:r>
        <w:rPr>
          <w:lang w:val="fr-CA"/>
        </w:rPr>
        <w:t>’</w:t>
      </w:r>
      <w:r w:rsidRPr="00A570AE">
        <w:rPr>
          <w:lang w:val="fr-CA"/>
        </w:rPr>
        <w:t>existence de solutions de rechange, y compris la mise en liberté. Les retards ou le manque de diligence de la part des autorités de l</w:t>
      </w:r>
      <w:r>
        <w:rPr>
          <w:lang w:val="fr-CA"/>
        </w:rPr>
        <w:t>’</w:t>
      </w:r>
      <w:r w:rsidRPr="00A570AE">
        <w:rPr>
          <w:lang w:val="fr-CA"/>
        </w:rPr>
        <w:t>immigration doivent être pris en compte, tout comme la durée prévue de la détention, ce qui suppose d</w:t>
      </w:r>
      <w:r>
        <w:rPr>
          <w:lang w:val="fr-CA"/>
        </w:rPr>
        <w:t>’</w:t>
      </w:r>
      <w:r w:rsidRPr="00A570AE">
        <w:rPr>
          <w:lang w:val="fr-CA"/>
        </w:rPr>
        <w:t>estimer la durée probable de la détention. La Section de l</w:t>
      </w:r>
      <w:r>
        <w:rPr>
          <w:lang w:val="fr-CA"/>
        </w:rPr>
        <w:t>’</w:t>
      </w:r>
      <w:r w:rsidRPr="00A570AE">
        <w:rPr>
          <w:lang w:val="fr-CA"/>
        </w:rPr>
        <w:t>immigration est mieux placée pour évaluer et se prononcer sur ce facteur que ne le sont les cours supérieures saisies de demandes d</w:t>
      </w:r>
      <w:r>
        <w:rPr>
          <w:lang w:val="fr-CA"/>
        </w:rPr>
        <w:t>’</w:t>
      </w:r>
      <w:r w:rsidRPr="00A570AE">
        <w:rPr>
          <w:i/>
          <w:lang w:val="fr-CA"/>
        </w:rPr>
        <w:t>habeas corpus</w:t>
      </w:r>
      <w:r w:rsidRPr="00A570AE">
        <w:rPr>
          <w:lang w:val="fr-CA"/>
        </w:rPr>
        <w:t>. Le processus de contrôle exige que la Section de l</w:t>
      </w:r>
      <w:r>
        <w:rPr>
          <w:lang w:val="fr-CA"/>
        </w:rPr>
        <w:t>’</w:t>
      </w:r>
      <w:r w:rsidRPr="00A570AE">
        <w:rPr>
          <w:lang w:val="fr-CA"/>
        </w:rPr>
        <w:t>immigration examine au moins les mêmes considérations de fond que celles examinées par les cours supérieures saisies de demandes d</w:t>
      </w:r>
      <w:r>
        <w:rPr>
          <w:lang w:val="fr-CA"/>
        </w:rPr>
        <w:t>’</w:t>
      </w:r>
      <w:r w:rsidRPr="00A570AE">
        <w:rPr>
          <w:i/>
          <w:lang w:val="fr-CA"/>
        </w:rPr>
        <w:t>habeas corpus</w:t>
      </w:r>
      <w:r w:rsidRPr="00A570AE">
        <w:rPr>
          <w:lang w:val="fr-CA"/>
        </w:rPr>
        <w:t>. Si on l</w:t>
      </w:r>
      <w:r>
        <w:rPr>
          <w:lang w:val="fr-CA"/>
        </w:rPr>
        <w:t>’</w:t>
      </w:r>
      <w:r w:rsidRPr="00A570AE">
        <w:rPr>
          <w:lang w:val="fr-CA"/>
        </w:rPr>
        <w:t xml:space="preserve">interprète correctement, le régime établi par la </w:t>
      </w:r>
      <w:r w:rsidRPr="00A570AE">
        <w:rPr>
          <w:i/>
          <w:lang w:val="fr-CA"/>
        </w:rPr>
        <w:t>LIPR</w:t>
      </w:r>
      <w:r w:rsidRPr="00A570AE">
        <w:rPr>
          <w:lang w:val="fr-CA"/>
        </w:rPr>
        <w:t xml:space="preserve"> offre donc l</w:t>
      </w:r>
      <w:r>
        <w:rPr>
          <w:lang w:val="fr-CA"/>
        </w:rPr>
        <w:t>’</w:t>
      </w:r>
      <w:r w:rsidRPr="00A570AE">
        <w:rPr>
          <w:lang w:val="fr-CA"/>
        </w:rPr>
        <w:t>examen le plus complet possible du bien</w:t>
      </w:r>
      <w:r>
        <w:rPr>
          <w:lang w:val="fr-CA"/>
        </w:rPr>
        <w:noBreakHyphen/>
      </w:r>
      <w:r w:rsidRPr="00A570AE">
        <w:rPr>
          <w:lang w:val="fr-CA"/>
        </w:rPr>
        <w:t>fondé de la détention aux fins de l</w:t>
      </w:r>
      <w:r>
        <w:rPr>
          <w:lang w:val="fr-CA"/>
        </w:rPr>
        <w:t>’</w:t>
      </w:r>
      <w:r w:rsidRPr="00A570AE">
        <w:rPr>
          <w:lang w:val="fr-CA"/>
        </w:rPr>
        <w:t>immigration, et, lorsqu</w:t>
      </w:r>
      <w:r>
        <w:rPr>
          <w:lang w:val="fr-CA"/>
        </w:rPr>
        <w:t>’</w:t>
      </w:r>
      <w:r w:rsidRPr="00A570AE">
        <w:rPr>
          <w:lang w:val="fr-CA"/>
        </w:rPr>
        <w:t xml:space="preserve">il est invoqué que la détention constitue une atteinte aux droits protégés par les </w:t>
      </w:r>
      <w:r>
        <w:rPr>
          <w:lang w:val="fr-CA"/>
        </w:rPr>
        <w:t>art. </w:t>
      </w:r>
      <w:r w:rsidRPr="00A570AE">
        <w:rPr>
          <w:lang w:val="fr-CA"/>
        </w:rPr>
        <w:t xml:space="preserve">7, 9 et 12 de la </w:t>
      </w:r>
      <w:r w:rsidRPr="00A570AE">
        <w:rPr>
          <w:i/>
          <w:lang w:val="fr-CA"/>
        </w:rPr>
        <w:t>Charte</w:t>
      </w:r>
      <w:r w:rsidRPr="00A570AE">
        <w:rPr>
          <w:lang w:val="fr-CA"/>
        </w:rPr>
        <w:t>, le processus de contrôle permet au moins le même examen approfondi que celui qu</w:t>
      </w:r>
      <w:r>
        <w:rPr>
          <w:lang w:val="fr-CA"/>
        </w:rPr>
        <w:t>’</w:t>
      </w:r>
      <w:r w:rsidRPr="00A570AE">
        <w:rPr>
          <w:lang w:val="fr-CA"/>
        </w:rPr>
        <w:t>effectuent les cours supérieures saisies de demandes d</w:t>
      </w:r>
      <w:r>
        <w:rPr>
          <w:lang w:val="fr-CA"/>
        </w:rPr>
        <w:t>’</w:t>
      </w:r>
      <w:r w:rsidRPr="00A570AE">
        <w:rPr>
          <w:i/>
          <w:lang w:val="fr-CA"/>
        </w:rPr>
        <w:t>habeas corpus</w:t>
      </w:r>
      <w:r w:rsidRPr="00A570AE">
        <w:rPr>
          <w:lang w:val="fr-CA"/>
        </w:rPr>
        <w:t>. Comme la Cour a affirmé à maintes reprises qu</w:t>
      </w:r>
      <w:r>
        <w:rPr>
          <w:lang w:val="fr-CA"/>
        </w:rPr>
        <w:t>’</w:t>
      </w:r>
      <w:r w:rsidRPr="00A570AE">
        <w:rPr>
          <w:lang w:val="fr-CA"/>
        </w:rPr>
        <w:t>il n</w:t>
      </w:r>
      <w:r>
        <w:rPr>
          <w:lang w:val="fr-CA"/>
        </w:rPr>
        <w:t>’</w:t>
      </w:r>
      <w:r w:rsidRPr="00A570AE">
        <w:rPr>
          <w:lang w:val="fr-CA"/>
        </w:rPr>
        <w:t>y a pas ouverture à l</w:t>
      </w:r>
      <w:r>
        <w:rPr>
          <w:lang w:val="fr-CA"/>
        </w:rPr>
        <w:t>’</w:t>
      </w:r>
      <w:r w:rsidRPr="00A570AE">
        <w:rPr>
          <w:i/>
          <w:lang w:val="fr-CA"/>
        </w:rPr>
        <w:t>habeas corpus</w:t>
      </w:r>
      <w:r w:rsidRPr="00A570AE">
        <w:rPr>
          <w:lang w:val="fr-CA"/>
        </w:rPr>
        <w:t xml:space="preserve"> si la solution de rechange prévue par la loi offre un recours au moins aussi favorable, la </w:t>
      </w:r>
      <w:r>
        <w:rPr>
          <w:lang w:val="fr-CA"/>
        </w:rPr>
        <w:t>c</w:t>
      </w:r>
      <w:r w:rsidRPr="00A570AE">
        <w:rPr>
          <w:lang w:val="fr-CA"/>
        </w:rPr>
        <w:t>our supérieure a refusé à bon droit d</w:t>
      </w:r>
      <w:r>
        <w:rPr>
          <w:lang w:val="fr-CA"/>
        </w:rPr>
        <w:t>’</w:t>
      </w:r>
      <w:r w:rsidRPr="00A570AE">
        <w:rPr>
          <w:lang w:val="fr-CA"/>
        </w:rPr>
        <w:t>exercer sa compétence en matière d</w:t>
      </w:r>
      <w:r>
        <w:rPr>
          <w:lang w:val="fr-CA"/>
        </w:rPr>
        <w:t>’</w:t>
      </w:r>
      <w:r w:rsidRPr="00A570AE">
        <w:rPr>
          <w:i/>
          <w:lang w:val="fr-CA"/>
        </w:rPr>
        <w:t>habeas corpus</w:t>
      </w:r>
      <w:r w:rsidRPr="00A570AE">
        <w:rPr>
          <w:lang w:val="fr-CA"/>
        </w:rPr>
        <w:t>.</w:t>
      </w:r>
    </w:p>
    <w:p w:rsidR="00B233C0" w:rsidRPr="00A570AE" w:rsidRDefault="00B233C0" w:rsidP="00B233C0">
      <w:pPr>
        <w:pStyle w:val="SCCNormalDoubleSpacing"/>
        <w:spacing w:after="720" w:line="240" w:lineRule="auto"/>
        <w:rPr>
          <w:b/>
          <w:lang w:val="fr-CA"/>
        </w:rPr>
      </w:pPr>
      <w:r w:rsidRPr="00A570AE">
        <w:rPr>
          <w:b/>
          <w:lang w:val="fr-CA"/>
        </w:rPr>
        <w:t>Jurisprudence</w:t>
      </w:r>
    </w:p>
    <w:p w:rsidR="00B233C0" w:rsidRPr="00A570AE" w:rsidRDefault="00B233C0" w:rsidP="00B233C0">
      <w:pPr>
        <w:pStyle w:val="SCCNormalDoubleSpacing"/>
        <w:spacing w:after="720" w:line="240" w:lineRule="auto"/>
        <w:rPr>
          <w:lang w:val="fr-CA"/>
        </w:rPr>
      </w:pPr>
      <w:r w:rsidRPr="00A570AE">
        <w:rPr>
          <w:lang w:val="fr-CA"/>
        </w:rPr>
        <w:t>Citée par la juge Karakatsanis</w:t>
      </w:r>
    </w:p>
    <w:p w:rsidR="00B233C0" w:rsidRPr="00A570AE" w:rsidRDefault="00B233C0" w:rsidP="00B233C0">
      <w:pPr>
        <w:pStyle w:val="SCCNormalDoubleSpacing"/>
        <w:spacing w:after="480"/>
        <w:rPr>
          <w:b/>
          <w:lang w:val="fr-CA"/>
        </w:rPr>
      </w:pPr>
      <w:r w:rsidRPr="00A570AE">
        <w:rPr>
          <w:lang w:val="fr-CA"/>
        </w:rPr>
        <w:tab/>
      </w:r>
      <w:r w:rsidRPr="00A570AE">
        <w:rPr>
          <w:b/>
          <w:lang w:val="fr-CA"/>
        </w:rPr>
        <w:t>Distinction d</w:t>
      </w:r>
      <w:r>
        <w:rPr>
          <w:b/>
          <w:lang w:val="fr-CA"/>
        </w:rPr>
        <w:t>’</w:t>
      </w:r>
      <w:r w:rsidRPr="00A570AE">
        <w:rPr>
          <w:b/>
          <w:lang w:val="fr-CA"/>
        </w:rPr>
        <w:t>avec l</w:t>
      </w:r>
      <w:r>
        <w:rPr>
          <w:b/>
          <w:lang w:val="fr-CA"/>
        </w:rPr>
        <w:t>’</w:t>
      </w:r>
      <w:r w:rsidRPr="00A570AE">
        <w:rPr>
          <w:b/>
          <w:lang w:val="fr-CA"/>
        </w:rPr>
        <w:t>arrêt</w:t>
      </w:r>
      <w:r>
        <w:rPr>
          <w:b/>
          <w:lang w:val="fr-CA"/>
        </w:rPr>
        <w:t> :</w:t>
      </w:r>
      <w:r w:rsidRPr="00A570AE">
        <w:rPr>
          <w:lang w:val="fr-CA"/>
        </w:rPr>
        <w:t xml:space="preserve"> </w:t>
      </w:r>
      <w:r w:rsidRPr="00A570AE">
        <w:rPr>
          <w:i/>
          <w:lang w:val="fr-CA"/>
        </w:rPr>
        <w:t>Peiroo c. Canada (Minister of Employment and Immigration)</w:t>
      </w:r>
      <w:r w:rsidRPr="00A570AE">
        <w:rPr>
          <w:lang w:val="fr-CA"/>
        </w:rPr>
        <w:t xml:space="preserve"> (1989), 69 O.R. (2d) 253; </w:t>
      </w:r>
      <w:r>
        <w:rPr>
          <w:b/>
          <w:lang w:val="fr-CA"/>
        </w:rPr>
        <w:t xml:space="preserve">arrêt examiné : </w:t>
      </w:r>
      <w:r w:rsidRPr="00A570AE">
        <w:rPr>
          <w:i/>
          <w:lang w:val="fr-CA"/>
        </w:rPr>
        <w:t>May c. Établissement Ferndale</w:t>
      </w:r>
      <w:r w:rsidRPr="00A570AE">
        <w:rPr>
          <w:lang w:val="fr-CA"/>
        </w:rPr>
        <w:t xml:space="preserve">, 2005 CSC 82, [2005] 3 R.C.S. 809; </w:t>
      </w:r>
      <w:r w:rsidRPr="00A570AE">
        <w:rPr>
          <w:b/>
          <w:lang w:val="fr-CA"/>
        </w:rPr>
        <w:t>arrêts mentionnés</w:t>
      </w:r>
      <w:r>
        <w:rPr>
          <w:b/>
          <w:lang w:val="fr-CA"/>
        </w:rPr>
        <w:t> :</w:t>
      </w:r>
      <w:r w:rsidRPr="00A570AE">
        <w:rPr>
          <w:lang w:val="fr-CA"/>
        </w:rPr>
        <w:t xml:space="preserve"> </w:t>
      </w:r>
      <w:r w:rsidRPr="00A570AE">
        <w:rPr>
          <w:i/>
          <w:lang w:val="fr-CA"/>
        </w:rPr>
        <w:t>R. c. Gamble</w:t>
      </w:r>
      <w:r w:rsidRPr="00A570AE">
        <w:rPr>
          <w:lang w:val="fr-CA"/>
        </w:rPr>
        <w:t xml:space="preserve">, [1988] 2 R.C.S. 595; </w:t>
      </w:r>
      <w:r w:rsidRPr="00A570AE">
        <w:rPr>
          <w:i/>
          <w:lang w:val="fr-CA"/>
        </w:rPr>
        <w:t>Établissement</w:t>
      </w:r>
      <w:r>
        <w:rPr>
          <w:i/>
          <w:lang w:val="fr-CA"/>
        </w:rPr>
        <w:t xml:space="preserve"> </w:t>
      </w:r>
      <w:r w:rsidRPr="00A570AE">
        <w:rPr>
          <w:i/>
          <w:lang w:val="fr-CA"/>
        </w:rPr>
        <w:t>de Mission c. Khela</w:t>
      </w:r>
      <w:r w:rsidRPr="00A570AE">
        <w:rPr>
          <w:lang w:val="fr-CA"/>
        </w:rPr>
        <w:t xml:space="preserve">, 2014 CSC 24, [2014] 1 R.C.S. 502; </w:t>
      </w:r>
      <w:r w:rsidRPr="00A570AE">
        <w:rPr>
          <w:i/>
          <w:lang w:val="fr-CA"/>
        </w:rPr>
        <w:t>R. c. Khela</w:t>
      </w:r>
      <w:r w:rsidRPr="00A570AE">
        <w:rPr>
          <w:lang w:val="fr-CA"/>
        </w:rPr>
        <w:t xml:space="preserve">, 2009 CSC 4, [2009] 1 R.C.S. 104; </w:t>
      </w:r>
      <w:r w:rsidRPr="00A570AE">
        <w:rPr>
          <w:i/>
          <w:lang w:val="fr-CA"/>
        </w:rPr>
        <w:t>R. c. Miller</w:t>
      </w:r>
      <w:r w:rsidRPr="00A570AE">
        <w:rPr>
          <w:lang w:val="fr-CA"/>
        </w:rPr>
        <w:t>,</w:t>
      </w:r>
      <w:r w:rsidRPr="00A570AE">
        <w:rPr>
          <w:i/>
          <w:lang w:val="fr-CA"/>
        </w:rPr>
        <w:t xml:space="preserve"> </w:t>
      </w:r>
      <w:r w:rsidRPr="00A570AE">
        <w:rPr>
          <w:lang w:val="fr-CA"/>
        </w:rPr>
        <w:t xml:space="preserve">[1985] 2 R.C.S. 613; </w:t>
      </w:r>
      <w:r w:rsidRPr="00A570AE">
        <w:rPr>
          <w:i/>
          <w:lang w:val="fr-CA"/>
        </w:rPr>
        <w:t>R. c. Bird</w:t>
      </w:r>
      <w:r w:rsidRPr="00A570AE">
        <w:rPr>
          <w:lang w:val="fr-CA"/>
        </w:rPr>
        <w:t>, 2019 CSC 7</w:t>
      </w:r>
      <w:r w:rsidR="00DC5ECC">
        <w:rPr>
          <w:lang w:val="fr-CA"/>
        </w:rPr>
        <w:t xml:space="preserve">, [2019] 1 R.C.S. </w:t>
      </w:r>
      <w:r w:rsidR="00010DFE">
        <w:rPr>
          <w:lang w:val="fr-CA"/>
        </w:rPr>
        <w:t>409</w:t>
      </w:r>
      <w:r w:rsidRPr="00A570AE">
        <w:rPr>
          <w:lang w:val="fr-CA"/>
        </w:rPr>
        <w:t xml:space="preserve">; </w:t>
      </w:r>
      <w:r w:rsidRPr="00A570AE">
        <w:rPr>
          <w:i/>
          <w:lang w:val="fr-CA"/>
        </w:rPr>
        <w:t>Jones c. Cunningham</w:t>
      </w:r>
      <w:r w:rsidRPr="00A570AE">
        <w:rPr>
          <w:lang w:val="fr-CA"/>
        </w:rPr>
        <w:t>, 371 U.S. (1962);</w:t>
      </w:r>
      <w:r w:rsidRPr="00A570AE">
        <w:rPr>
          <w:i/>
          <w:lang w:val="fr-CA"/>
        </w:rPr>
        <w:t xml:space="preserve"> Dumas c. Centre de détention Leclerc</w:t>
      </w:r>
      <w:r w:rsidRPr="00A570AE">
        <w:rPr>
          <w:lang w:val="fr-CA"/>
        </w:rPr>
        <w:t xml:space="preserve">, [1986] 2 R.C.S. 459; </w:t>
      </w:r>
      <w:r w:rsidRPr="00A570AE">
        <w:rPr>
          <w:i/>
          <w:lang w:val="fr-CA"/>
        </w:rPr>
        <w:t>Chaudhary c. Canada (Minister of Public Safety and Emergency Preparedness)</w:t>
      </w:r>
      <w:r w:rsidRPr="00A570AE">
        <w:rPr>
          <w:lang w:val="fr-CA"/>
        </w:rPr>
        <w:t xml:space="preserve">, 2015 ONCA 700, 127 O.R. (3d) 401; </w:t>
      </w:r>
      <w:r w:rsidRPr="00A570AE">
        <w:rPr>
          <w:i/>
          <w:lang w:val="fr-CA"/>
        </w:rPr>
        <w:t>Ogiamien c. Ontario (Community Safety and Correctional Services)</w:t>
      </w:r>
      <w:r w:rsidRPr="00A570AE">
        <w:rPr>
          <w:lang w:val="fr-CA"/>
        </w:rPr>
        <w:t xml:space="preserve">, 2017 ONCA 839, 55 Imm. L.R. (4th) 220; </w:t>
      </w:r>
      <w:r w:rsidRPr="00A570AE">
        <w:rPr>
          <w:i/>
          <w:lang w:val="fr-CA"/>
        </w:rPr>
        <w:t>In</w:t>
      </w:r>
      <w:r w:rsidRPr="00A570AE">
        <w:rPr>
          <w:lang w:val="fr-CA"/>
        </w:rPr>
        <w:t xml:space="preserve"> </w:t>
      </w:r>
      <w:r w:rsidR="004973D8">
        <w:rPr>
          <w:i/>
          <w:lang w:val="fr-CA"/>
        </w:rPr>
        <w:t>r</w:t>
      </w:r>
      <w:r w:rsidRPr="00A570AE">
        <w:rPr>
          <w:i/>
          <w:lang w:val="fr-CA"/>
        </w:rPr>
        <w:t>e Trepanier</w:t>
      </w:r>
      <w:r w:rsidRPr="00A570AE">
        <w:rPr>
          <w:lang w:val="fr-CA"/>
        </w:rPr>
        <w:t xml:space="preserve"> (1885), 12 R.C.S. 111; </w:t>
      </w:r>
      <w:r w:rsidR="004973D8">
        <w:rPr>
          <w:i/>
          <w:lang w:val="fr-CA"/>
        </w:rPr>
        <w:t>In r</w:t>
      </w:r>
      <w:r w:rsidRPr="00A570AE">
        <w:rPr>
          <w:i/>
          <w:lang w:val="fr-CA"/>
        </w:rPr>
        <w:t>e Sproule</w:t>
      </w:r>
      <w:r w:rsidRPr="00A570AE">
        <w:rPr>
          <w:lang w:val="fr-CA"/>
        </w:rPr>
        <w:t xml:space="preserve"> (1886), 12 R.C.S. 140; </w:t>
      </w:r>
      <w:r w:rsidRPr="00A570AE">
        <w:rPr>
          <w:i/>
          <w:lang w:val="fr-CA"/>
        </w:rPr>
        <w:t>Goldhar c. The Queen</w:t>
      </w:r>
      <w:r w:rsidRPr="00A570AE">
        <w:rPr>
          <w:lang w:val="fr-CA"/>
        </w:rPr>
        <w:t xml:space="preserve">, [1960] R.C.S. 431; </w:t>
      </w:r>
      <w:r w:rsidRPr="00A570AE">
        <w:rPr>
          <w:i/>
          <w:lang w:val="fr-CA"/>
        </w:rPr>
        <w:t>Morrison c. The Queen</w:t>
      </w:r>
      <w:r w:rsidRPr="00A570AE">
        <w:rPr>
          <w:lang w:val="fr-CA"/>
        </w:rPr>
        <w:t xml:space="preserve">, [1966] R.C.S. 356; </w:t>
      </w:r>
      <w:r w:rsidRPr="00A570AE">
        <w:rPr>
          <w:i/>
          <w:lang w:val="fr-CA"/>
        </w:rPr>
        <w:t>Karchesky c. The Queen</w:t>
      </w:r>
      <w:r w:rsidRPr="00A570AE">
        <w:rPr>
          <w:lang w:val="fr-CA"/>
        </w:rPr>
        <w:t xml:space="preserve">, [1967] R.C.S. 547; </w:t>
      </w:r>
      <w:r w:rsidRPr="00A570AE">
        <w:rPr>
          <w:i/>
          <w:lang w:val="fr-CA"/>
        </w:rPr>
        <w:t>Korponay c. Kulik</w:t>
      </w:r>
      <w:r w:rsidRPr="00A570AE">
        <w:rPr>
          <w:lang w:val="fr-CA"/>
        </w:rPr>
        <w:t xml:space="preserve">, [1980] 2 R.C.S. 265; </w:t>
      </w:r>
      <w:r w:rsidRPr="00A570AE">
        <w:rPr>
          <w:i/>
          <w:lang w:val="fr-CA"/>
        </w:rPr>
        <w:t>Pringle c. Fraser</w:t>
      </w:r>
      <w:r w:rsidRPr="00A570AE">
        <w:rPr>
          <w:lang w:val="fr-CA"/>
        </w:rPr>
        <w:t xml:space="preserve">, [1972] R.C.S. 821; </w:t>
      </w:r>
      <w:r w:rsidRPr="00A570AE">
        <w:rPr>
          <w:i/>
          <w:lang w:val="fr-CA"/>
        </w:rPr>
        <w:t>Reza c. Canada</w:t>
      </w:r>
      <w:r w:rsidRPr="00A570AE">
        <w:rPr>
          <w:lang w:val="fr-CA"/>
        </w:rPr>
        <w:t xml:space="preserve">, [1994] 2 R.C.S. 394; </w:t>
      </w:r>
      <w:r w:rsidRPr="00A570AE">
        <w:rPr>
          <w:i/>
          <w:lang w:val="fr-CA"/>
        </w:rPr>
        <w:t>Canada (Ministre de la Citoyenneté et de l</w:t>
      </w:r>
      <w:r>
        <w:rPr>
          <w:i/>
          <w:lang w:val="fr-CA"/>
        </w:rPr>
        <w:t>’</w:t>
      </w:r>
      <w:r w:rsidRPr="00A570AE">
        <w:rPr>
          <w:i/>
          <w:lang w:val="fr-CA"/>
        </w:rPr>
        <w:t>Immigration) c. Thanabalasingham</w:t>
      </w:r>
      <w:r w:rsidRPr="00A570AE">
        <w:rPr>
          <w:lang w:val="fr-CA"/>
        </w:rPr>
        <w:t xml:space="preserve">, 2004 CAF 4, [2004] 3 R.C.F. 572; </w:t>
      </w:r>
      <w:r w:rsidRPr="00A570AE">
        <w:rPr>
          <w:i/>
          <w:lang w:val="fr-CA"/>
        </w:rPr>
        <w:t>Brown c. Canada (Citoyenneté et Immigration)</w:t>
      </w:r>
      <w:r w:rsidRPr="00A570AE">
        <w:rPr>
          <w:lang w:val="fr-CA"/>
        </w:rPr>
        <w:t xml:space="preserve">, 2017 CF 710, 25 Admin. L.R. (6th) 191; </w:t>
      </w:r>
      <w:r w:rsidRPr="00A570AE">
        <w:rPr>
          <w:i/>
          <w:lang w:val="fr-CA"/>
        </w:rPr>
        <w:t>Canada (Sécurité Publique et Protection civile) c. Lunyamila</w:t>
      </w:r>
      <w:r w:rsidRPr="00A570AE">
        <w:rPr>
          <w:lang w:val="fr-CA"/>
        </w:rPr>
        <w:t xml:space="preserve">, 2016 CF 1199, [2017] 3 R.C.F. 428; </w:t>
      </w:r>
      <w:r w:rsidR="000178F8">
        <w:rPr>
          <w:i/>
          <w:lang w:val="fr-CA"/>
        </w:rPr>
        <w:t>Canada (Sécurité p</w:t>
      </w:r>
      <w:r w:rsidRPr="00A570AE">
        <w:rPr>
          <w:i/>
          <w:lang w:val="fr-CA"/>
        </w:rPr>
        <w:t>ublique et Protection civile) c. Mehmedovic</w:t>
      </w:r>
      <w:r w:rsidRPr="00A570AE">
        <w:rPr>
          <w:lang w:val="fr-CA"/>
        </w:rPr>
        <w:t xml:space="preserve">, 2018 CF 729; </w:t>
      </w:r>
      <w:r w:rsidRPr="00A570AE">
        <w:rPr>
          <w:i/>
          <w:lang w:val="fr-CA"/>
        </w:rPr>
        <w:t>Canada (Sécurité publique et Protection civile) c. Torres</w:t>
      </w:r>
      <w:r w:rsidRPr="00A570AE">
        <w:rPr>
          <w:lang w:val="fr-CA"/>
        </w:rPr>
        <w:t xml:space="preserve">, 2017 CF 918; </w:t>
      </w:r>
      <w:r w:rsidRPr="00A570AE">
        <w:rPr>
          <w:i/>
          <w:lang w:val="fr-CA"/>
        </w:rPr>
        <w:t>Canada (Sécurité publique et Protection civile) c. Karimi</w:t>
      </w:r>
      <w:r>
        <w:rPr>
          <w:i/>
          <w:lang w:val="fr-CA"/>
        </w:rPr>
        <w:noBreakHyphen/>
      </w:r>
      <w:r w:rsidRPr="00A570AE">
        <w:rPr>
          <w:i/>
          <w:lang w:val="fr-CA"/>
        </w:rPr>
        <w:t>Arshad</w:t>
      </w:r>
      <w:r w:rsidRPr="00A570AE">
        <w:rPr>
          <w:lang w:val="fr-CA"/>
        </w:rPr>
        <w:t xml:space="preserve">, 2010 CF 964; </w:t>
      </w:r>
      <w:r w:rsidRPr="00A570AE">
        <w:rPr>
          <w:i/>
          <w:lang w:val="fr-CA"/>
        </w:rPr>
        <w:t>Canada (Citoyenneté et Immigration)</w:t>
      </w:r>
      <w:r w:rsidR="004973D8">
        <w:rPr>
          <w:i/>
          <w:lang w:val="fr-CA"/>
        </w:rPr>
        <w:t xml:space="preserve"> c. Tennant</w:t>
      </w:r>
      <w:r w:rsidRPr="00A570AE">
        <w:rPr>
          <w:lang w:val="fr-CA"/>
        </w:rPr>
        <w:t xml:space="preserve">, 2018 CAF 132; </w:t>
      </w:r>
      <w:r w:rsidRPr="00A570AE">
        <w:rPr>
          <w:i/>
          <w:szCs w:val="24"/>
          <w:lang w:val="fr-CA"/>
        </w:rPr>
        <w:t>Canada (Citoyenneté et Immigration) c. B386</w:t>
      </w:r>
      <w:r w:rsidRPr="00A570AE">
        <w:rPr>
          <w:szCs w:val="24"/>
          <w:lang w:val="fr-CA"/>
        </w:rPr>
        <w:t xml:space="preserve">, 2011 CF 175, [2012] 4 R.C.F. 220; </w:t>
      </w:r>
      <w:r w:rsidR="004973D8">
        <w:rPr>
          <w:i/>
          <w:lang w:val="fr-CA"/>
        </w:rPr>
        <w:t>In r</w:t>
      </w:r>
      <w:r w:rsidRPr="00A570AE">
        <w:rPr>
          <w:i/>
          <w:lang w:val="fr-CA"/>
        </w:rPr>
        <w:t>e Storgoff</w:t>
      </w:r>
      <w:r w:rsidRPr="00A570AE">
        <w:rPr>
          <w:lang w:val="fr-CA"/>
        </w:rPr>
        <w:t xml:space="preserve">, [1945] R.C.S. 526; </w:t>
      </w:r>
      <w:r w:rsidRPr="00A570AE">
        <w:rPr>
          <w:i/>
          <w:lang w:val="fr-CA"/>
        </w:rPr>
        <w:t>Palmer c. La Reine</w:t>
      </w:r>
      <w:r w:rsidRPr="00A570AE">
        <w:rPr>
          <w:lang w:val="fr-CA"/>
        </w:rPr>
        <w:t xml:space="preserve">, [1980] 1 R.C.S. 759; </w:t>
      </w:r>
      <w:r w:rsidRPr="00A570AE">
        <w:rPr>
          <w:i/>
          <w:lang w:val="fr-CA"/>
        </w:rPr>
        <w:t>Charkaoui c. Canada (Citoyenneté et Immigration)</w:t>
      </w:r>
      <w:r w:rsidRPr="00A570AE">
        <w:rPr>
          <w:lang w:val="fr-CA"/>
        </w:rPr>
        <w:t>, 2007 CSC 9, [2007] 1 R.C.S. 350.</w:t>
      </w:r>
    </w:p>
    <w:p w:rsidR="00B233C0" w:rsidRPr="00A570AE" w:rsidRDefault="00B233C0" w:rsidP="00B233C0">
      <w:pPr>
        <w:pStyle w:val="SCCNormalDoubleSpacing"/>
        <w:spacing w:after="720" w:line="240" w:lineRule="auto"/>
        <w:rPr>
          <w:lang w:val="fr-CA"/>
        </w:rPr>
      </w:pPr>
      <w:r w:rsidRPr="00A570AE">
        <w:rPr>
          <w:lang w:val="fr-CA"/>
        </w:rPr>
        <w:t>Citée par la juge Abella (dissidente)</w:t>
      </w:r>
    </w:p>
    <w:p w:rsidR="00B233C0" w:rsidRPr="00A570AE" w:rsidRDefault="00B233C0" w:rsidP="00B233C0">
      <w:pPr>
        <w:pStyle w:val="SCCNormalDoubleSpacing"/>
        <w:spacing w:after="480"/>
      </w:pPr>
      <w:r w:rsidRPr="00A570AE">
        <w:rPr>
          <w:b/>
          <w:lang w:val="fr-CA"/>
        </w:rPr>
        <w:tab/>
      </w:r>
      <w:r w:rsidRPr="00A570AE">
        <w:rPr>
          <w:i/>
        </w:rPr>
        <w:t xml:space="preserve">Chaudhary c. Canada (Minister of Public Safety </w:t>
      </w:r>
      <w:r w:rsidR="004973D8">
        <w:rPr>
          <w:i/>
        </w:rPr>
        <w:t xml:space="preserve">&amp; </w:t>
      </w:r>
      <w:r w:rsidRPr="00A570AE">
        <w:rPr>
          <w:i/>
        </w:rPr>
        <w:t>Emergency Preparedness)</w:t>
      </w:r>
      <w:r w:rsidRPr="00A570AE">
        <w:t xml:space="preserve">, 2015 ONCA 700, 127 O.R. (3d) 401; </w:t>
      </w:r>
      <w:r w:rsidRPr="00A570AE">
        <w:rPr>
          <w:i/>
        </w:rPr>
        <w:t>R</w:t>
      </w:r>
      <w:r w:rsidRPr="00A570AE">
        <w:rPr>
          <w:i/>
          <w:szCs w:val="24"/>
        </w:rPr>
        <w:t>. c. Gamble</w:t>
      </w:r>
      <w:r w:rsidRPr="00A570AE">
        <w:rPr>
          <w:szCs w:val="24"/>
        </w:rPr>
        <w:t xml:space="preserve">, [1988] 2 R.C.S. 595; </w:t>
      </w:r>
      <w:r w:rsidRPr="00A570AE">
        <w:rPr>
          <w:i/>
        </w:rPr>
        <w:t>R. c. Pearson</w:t>
      </w:r>
      <w:r w:rsidRPr="00A570AE">
        <w:t xml:space="preserve">, [1992] 3 R.C.S. 665; </w:t>
      </w:r>
      <w:r w:rsidRPr="00A570AE">
        <w:rPr>
          <w:i/>
        </w:rPr>
        <w:t>Staetter c. British Columbia (Director of Adult Forensic Psychiatric Services</w:t>
      </w:r>
      <w:r w:rsidRPr="00A570AE">
        <w:t xml:space="preserve">), 2017 BCCA 68; </w:t>
      </w:r>
      <w:r w:rsidRPr="00A570AE">
        <w:rPr>
          <w:i/>
        </w:rPr>
        <w:t>Pringle c. Fraser</w:t>
      </w:r>
      <w:r w:rsidRPr="00A570AE">
        <w:t xml:space="preserve">, [1972] R.C.S. 821; </w:t>
      </w:r>
      <w:r w:rsidRPr="00A570AE">
        <w:rPr>
          <w:i/>
        </w:rPr>
        <w:t>Peiroo c. Canada (Minister of Employment &amp; Immigration)</w:t>
      </w:r>
      <w:r w:rsidRPr="00A570AE">
        <w:t xml:space="preserve"> (1989), 69 O.R. (2d) 253</w:t>
      </w:r>
      <w:r w:rsidR="000178F8">
        <w:t>, autorisation d’appel refusée</w:t>
      </w:r>
      <w:r w:rsidR="004973D8">
        <w:t>, [1989] 2 R.C.S. x</w:t>
      </w:r>
      <w:r w:rsidRPr="00A570AE">
        <w:t xml:space="preserve">; </w:t>
      </w:r>
      <w:r w:rsidRPr="00A570AE">
        <w:rPr>
          <w:i/>
        </w:rPr>
        <w:t>Reza c. Canada</w:t>
      </w:r>
      <w:r w:rsidRPr="00A570AE">
        <w:t xml:space="preserve">, [1994] 2 R.C.S. 394; </w:t>
      </w:r>
      <w:r w:rsidRPr="00A570AE">
        <w:rPr>
          <w:i/>
        </w:rPr>
        <w:t>May c. Établissement Ferndale</w:t>
      </w:r>
      <w:r w:rsidRPr="00A570AE">
        <w:t xml:space="preserve">, 2005 CSC 82, [2005] 3 R.C.S. 809; </w:t>
      </w:r>
      <w:r w:rsidRPr="00A570AE">
        <w:rPr>
          <w:i/>
        </w:rPr>
        <w:t>Ogiamien c. Ontario (Community Safety and Correctional Services)</w:t>
      </w:r>
      <w:r w:rsidRPr="00A570AE">
        <w:t xml:space="preserve">, 2017 ONCA 839, 55 Imm. L.R. (4th) 220; </w:t>
      </w:r>
      <w:r w:rsidRPr="00A570AE">
        <w:rPr>
          <w:i/>
          <w:lang w:val="en-US"/>
        </w:rPr>
        <w:t xml:space="preserve">In </w:t>
      </w:r>
      <w:r w:rsidR="004973D8">
        <w:rPr>
          <w:i/>
          <w:lang w:val="en-US"/>
        </w:rPr>
        <w:t>r</w:t>
      </w:r>
      <w:r w:rsidRPr="00A570AE">
        <w:rPr>
          <w:i/>
          <w:lang w:val="en-US"/>
        </w:rPr>
        <w:t>e Storgoff</w:t>
      </w:r>
      <w:r w:rsidRPr="00A570AE">
        <w:rPr>
          <w:lang w:val="en-US"/>
        </w:rPr>
        <w:t xml:space="preserve">, [1945] R.C.S. 526; </w:t>
      </w:r>
      <w:r w:rsidRPr="00A570AE">
        <w:rPr>
          <w:rStyle w:val="Emphasis"/>
          <w:szCs w:val="24"/>
        </w:rPr>
        <w:t>R. c. Governor of Pentonville Prison, ex parte Azam</w:t>
      </w:r>
      <w:r w:rsidRPr="00A570AE">
        <w:rPr>
          <w:szCs w:val="24"/>
        </w:rPr>
        <w:t xml:space="preserve">, </w:t>
      </w:r>
      <w:r w:rsidR="004973D8">
        <w:rPr>
          <w:szCs w:val="24"/>
        </w:rPr>
        <w:t>[1973] 2 All E.R. 741</w:t>
      </w:r>
      <w:r w:rsidRPr="00A570AE">
        <w:rPr>
          <w:szCs w:val="24"/>
        </w:rPr>
        <w:t xml:space="preserve">, </w:t>
      </w:r>
      <w:r w:rsidR="004973D8">
        <w:rPr>
          <w:szCs w:val="24"/>
        </w:rPr>
        <w:t>conf. par</w:t>
      </w:r>
      <w:r w:rsidR="000178F8">
        <w:rPr>
          <w:szCs w:val="24"/>
        </w:rPr>
        <w:t xml:space="preserve"> </w:t>
      </w:r>
      <w:r w:rsidRPr="00A570AE">
        <w:rPr>
          <w:szCs w:val="24"/>
        </w:rPr>
        <w:t>[</w:t>
      </w:r>
      <w:r w:rsidR="004973D8">
        <w:rPr>
          <w:szCs w:val="24"/>
        </w:rPr>
        <w:t>1973] 2 All E.R.</w:t>
      </w:r>
      <w:r w:rsidR="000178F8">
        <w:rPr>
          <w:szCs w:val="24"/>
        </w:rPr>
        <w:t xml:space="preserve"> 765</w:t>
      </w:r>
      <w:r w:rsidRPr="00A570AE">
        <w:rPr>
          <w:szCs w:val="24"/>
        </w:rPr>
        <w:t xml:space="preserve">; </w:t>
      </w:r>
      <w:r w:rsidRPr="00A570AE">
        <w:rPr>
          <w:i/>
        </w:rPr>
        <w:t>Reference re Constitution Act, 1867, s. 92(10)(a)</w:t>
      </w:r>
      <w:r w:rsidRPr="00A570AE">
        <w:t xml:space="preserve"> (1988), 64 O.R. (2d) 393; </w:t>
      </w:r>
      <w:r w:rsidRPr="00A570AE">
        <w:rPr>
          <w:i/>
        </w:rPr>
        <w:t>Sahin c. Canada (Minister of Citizenship and Immigration)</w:t>
      </w:r>
      <w:r w:rsidRPr="00A570AE">
        <w:t xml:space="preserve">, [1995] 1 C.F. 214; </w:t>
      </w:r>
      <w:r w:rsidRPr="00A570AE">
        <w:rPr>
          <w:i/>
        </w:rPr>
        <w:t>Charkaoui c. Canada (Citizenship and Immigration)</w:t>
      </w:r>
      <w:r w:rsidRPr="00A570AE">
        <w:t xml:space="preserve">, 2007 CSC 9, [2007] 1 R.C.S. 350; </w:t>
      </w:r>
      <w:r w:rsidRPr="00A570AE">
        <w:rPr>
          <w:i/>
        </w:rPr>
        <w:t>Canada (Minister of Citizenship &amp; Immigration) c. Thanabalasingham</w:t>
      </w:r>
      <w:r w:rsidRPr="00A570AE">
        <w:t xml:space="preserve">, 2004 CAF 4, [2004] 3 R.C.F. 572; </w:t>
      </w:r>
      <w:r w:rsidRPr="00A570AE">
        <w:rPr>
          <w:i/>
          <w:lang w:val="en-US"/>
        </w:rPr>
        <w:t>Demande fondée sur l</w:t>
      </w:r>
      <w:r>
        <w:rPr>
          <w:i/>
          <w:lang w:val="en-US"/>
        </w:rPr>
        <w:t>’art. </w:t>
      </w:r>
      <w:r w:rsidRPr="00A570AE">
        <w:rPr>
          <w:i/>
          <w:lang w:val="en-US"/>
        </w:rPr>
        <w:t>83.28 du Code criminel (Re)</w:t>
      </w:r>
      <w:r w:rsidRPr="00A570AE">
        <w:rPr>
          <w:lang w:val="en-US"/>
        </w:rPr>
        <w:t>,</w:t>
      </w:r>
      <w:r w:rsidRPr="00A570AE">
        <w:t xml:space="preserve"> 2004 CSC 42, [2004] 2 R.C.S. 248; </w:t>
      </w:r>
      <w:r w:rsidRPr="00A570AE">
        <w:rPr>
          <w:i/>
          <w:szCs w:val="24"/>
        </w:rPr>
        <w:t>Brown c. Canada (Public Safety)</w:t>
      </w:r>
      <w:r w:rsidRPr="00A570AE">
        <w:rPr>
          <w:szCs w:val="24"/>
        </w:rPr>
        <w:t xml:space="preserve">, 2018 ONCA 14, 420 D.L.R. (4th) 124; </w:t>
      </w:r>
      <w:r w:rsidRPr="00A570AE">
        <w:rPr>
          <w:i/>
        </w:rPr>
        <w:t>Ali c. Canada (Minister of Public Safety and Emergency Preparedness)</w:t>
      </w:r>
      <w:r w:rsidRPr="00A570AE">
        <w:t>, 2017 ONSC 2660, 137 O.R. (3d) 498;</w:t>
      </w:r>
      <w:r w:rsidRPr="00A570AE">
        <w:rPr>
          <w:i/>
          <w:szCs w:val="24"/>
        </w:rPr>
        <w:t xml:space="preserve"> Canada (Minister of Citizenship and Immigration) c. Li</w:t>
      </w:r>
      <w:r w:rsidRPr="00A570AE">
        <w:rPr>
          <w:szCs w:val="24"/>
        </w:rPr>
        <w:t>, 2009 CAF 85, [2010] 2 R.C.F. 433;</w:t>
      </w:r>
      <w:r w:rsidRPr="00A570AE">
        <w:t xml:space="preserve"> </w:t>
      </w:r>
      <w:r w:rsidRPr="00A570AE">
        <w:rPr>
          <w:i/>
          <w:szCs w:val="24"/>
        </w:rPr>
        <w:t>Canada c. Dadzie</w:t>
      </w:r>
      <w:r w:rsidRPr="00A570AE">
        <w:rPr>
          <w:szCs w:val="24"/>
        </w:rPr>
        <w:t xml:space="preserve">, 2016 ONSC 6045; </w:t>
      </w:r>
      <w:r w:rsidRPr="00A570AE">
        <w:rPr>
          <w:i/>
          <w:szCs w:val="24"/>
        </w:rPr>
        <w:t>R. v. Miller</w:t>
      </w:r>
      <w:r w:rsidRPr="00A570AE">
        <w:rPr>
          <w:szCs w:val="24"/>
        </w:rPr>
        <w:t xml:space="preserve">, [1985] 2 R.C.S. 613; </w:t>
      </w:r>
      <w:r w:rsidRPr="00A570AE">
        <w:rPr>
          <w:i/>
        </w:rPr>
        <w:t xml:space="preserve">Reza c. Canada </w:t>
      </w:r>
      <w:r w:rsidRPr="00A570AE">
        <w:t xml:space="preserve">(1992), 11 O.R. (3d) 65; </w:t>
      </w:r>
      <w:r w:rsidRPr="00A570AE">
        <w:rPr>
          <w:i/>
          <w:spacing w:val="-3"/>
          <w:lang w:val="en-GB"/>
        </w:rPr>
        <w:t>Cuddy Chicks Ltd.</w:t>
      </w:r>
      <w:r w:rsidRPr="00A570AE">
        <w:rPr>
          <w:i/>
          <w:iCs/>
          <w:spacing w:val="-3"/>
          <w:lang w:val="en-GB"/>
        </w:rPr>
        <w:t xml:space="preserve"> c.</w:t>
      </w:r>
      <w:r w:rsidRPr="00A570AE">
        <w:rPr>
          <w:i/>
          <w:spacing w:val="-3"/>
          <w:lang w:val="en-GB"/>
        </w:rPr>
        <w:t xml:space="preserve"> Ontario (Commission des relations de travail)</w:t>
      </w:r>
      <w:r w:rsidRPr="00A570AE">
        <w:rPr>
          <w:spacing w:val="-3"/>
          <w:lang w:val="en-GB"/>
        </w:rPr>
        <w:t>, [1991] 2 R.C.S. 5.</w:t>
      </w:r>
    </w:p>
    <w:p w:rsidR="00B233C0" w:rsidRPr="00A570AE" w:rsidRDefault="00B233C0" w:rsidP="00B233C0">
      <w:pPr>
        <w:pStyle w:val="SCCNormalDoubleSpacing"/>
        <w:spacing w:after="720" w:line="240" w:lineRule="auto"/>
        <w:rPr>
          <w:b/>
          <w:lang w:val="fr-CA"/>
        </w:rPr>
      </w:pPr>
      <w:r w:rsidRPr="00A570AE">
        <w:rPr>
          <w:b/>
          <w:lang w:val="fr-CA"/>
        </w:rPr>
        <w:t>Lois et règlements cités</w:t>
      </w:r>
    </w:p>
    <w:p w:rsidR="00B233C0" w:rsidRPr="00A570AE" w:rsidRDefault="00B233C0" w:rsidP="00B233C0">
      <w:pPr>
        <w:pStyle w:val="SCCNormalDoubleSpacing"/>
        <w:spacing w:after="240" w:line="240" w:lineRule="auto"/>
        <w:ind w:left="540" w:hanging="540"/>
        <w:jc w:val="left"/>
        <w:rPr>
          <w:lang w:val="fr-CA"/>
        </w:rPr>
      </w:pPr>
      <w:r w:rsidRPr="00A570AE">
        <w:rPr>
          <w:i/>
          <w:lang w:val="fr-CA"/>
        </w:rPr>
        <w:t>Charte canadienne des droits et libertés</w:t>
      </w:r>
      <w:r w:rsidRPr="00A570AE">
        <w:rPr>
          <w:lang w:val="fr-CA"/>
        </w:rPr>
        <w:t xml:space="preserve">, </w:t>
      </w:r>
      <w:r>
        <w:rPr>
          <w:lang w:val="fr-CA"/>
        </w:rPr>
        <w:t>art. </w:t>
      </w:r>
      <w:r w:rsidRPr="00A570AE">
        <w:rPr>
          <w:lang w:val="fr-CA"/>
        </w:rPr>
        <w:t>7, 9, 10(</w:t>
      </w:r>
      <w:r w:rsidRPr="00A570AE">
        <w:rPr>
          <w:i/>
          <w:lang w:val="fr-CA"/>
        </w:rPr>
        <w:t>c</w:t>
      </w:r>
      <w:r w:rsidRPr="00A570AE">
        <w:rPr>
          <w:lang w:val="fr-CA"/>
        </w:rPr>
        <w:t>), 12.</w:t>
      </w:r>
    </w:p>
    <w:p w:rsidR="00B233C0" w:rsidRPr="00A570AE" w:rsidRDefault="00B233C0" w:rsidP="00B233C0">
      <w:pPr>
        <w:pStyle w:val="SCCNormalDoubleSpacing"/>
        <w:spacing w:after="240" w:line="240" w:lineRule="auto"/>
        <w:ind w:left="540" w:hanging="540"/>
        <w:jc w:val="left"/>
        <w:rPr>
          <w:lang w:val="fr-CA"/>
        </w:rPr>
      </w:pPr>
      <w:r w:rsidRPr="00A570AE">
        <w:rPr>
          <w:i/>
          <w:lang w:val="fr-CA"/>
        </w:rPr>
        <w:t>Code criminel</w:t>
      </w:r>
      <w:r w:rsidRPr="00A570AE">
        <w:rPr>
          <w:lang w:val="fr-CA"/>
        </w:rPr>
        <w:t>, L.R.C. 1985, c. C</w:t>
      </w:r>
      <w:r>
        <w:rPr>
          <w:lang w:val="fr-CA"/>
        </w:rPr>
        <w:noBreakHyphen/>
      </w:r>
      <w:r w:rsidRPr="00A570AE">
        <w:rPr>
          <w:lang w:val="fr-CA"/>
        </w:rPr>
        <w:t>46.</w:t>
      </w:r>
    </w:p>
    <w:p w:rsidR="00B233C0" w:rsidRPr="00A570AE" w:rsidRDefault="00B233C0" w:rsidP="00B233C0">
      <w:pPr>
        <w:pStyle w:val="SCCNormalDoubleSpacing"/>
        <w:spacing w:after="240" w:line="240" w:lineRule="auto"/>
        <w:jc w:val="left"/>
        <w:rPr>
          <w:szCs w:val="24"/>
          <w:lang w:val="fr-CA"/>
        </w:rPr>
      </w:pPr>
      <w:r w:rsidRPr="00A570AE">
        <w:rPr>
          <w:i/>
          <w:szCs w:val="24"/>
          <w:lang w:val="fr-CA"/>
        </w:rPr>
        <w:t>Code de procédure civile</w:t>
      </w:r>
      <w:r w:rsidRPr="00A570AE">
        <w:rPr>
          <w:lang w:val="fr-CA"/>
        </w:rPr>
        <w:t>,</w:t>
      </w:r>
      <w:r w:rsidRPr="00A570AE">
        <w:rPr>
          <w:i/>
          <w:szCs w:val="24"/>
          <w:lang w:val="fr-CA"/>
        </w:rPr>
        <w:t xml:space="preserve"> </w:t>
      </w:r>
      <w:r w:rsidRPr="00A570AE">
        <w:rPr>
          <w:szCs w:val="24"/>
          <w:lang w:val="fr-CA"/>
        </w:rPr>
        <w:t>RLRQ, c. C</w:t>
      </w:r>
      <w:r>
        <w:rPr>
          <w:szCs w:val="24"/>
          <w:lang w:val="fr-CA"/>
        </w:rPr>
        <w:noBreakHyphen/>
      </w:r>
      <w:r w:rsidRPr="00A570AE">
        <w:rPr>
          <w:szCs w:val="24"/>
          <w:lang w:val="fr-CA"/>
        </w:rPr>
        <w:t>25.01,</w:t>
      </w:r>
      <w:r w:rsidRPr="00A570AE">
        <w:rPr>
          <w:i/>
          <w:szCs w:val="24"/>
          <w:lang w:val="fr-CA"/>
        </w:rPr>
        <w:t xml:space="preserve"> </w:t>
      </w:r>
      <w:r>
        <w:rPr>
          <w:szCs w:val="24"/>
          <w:lang w:val="fr-CA"/>
        </w:rPr>
        <w:t>art. </w:t>
      </w:r>
      <w:r w:rsidRPr="00A570AE">
        <w:rPr>
          <w:szCs w:val="24"/>
          <w:lang w:val="fr-CA"/>
        </w:rPr>
        <w:t xml:space="preserve">82 </w:t>
      </w:r>
      <w:r>
        <w:rPr>
          <w:szCs w:val="24"/>
          <w:lang w:val="fr-CA"/>
        </w:rPr>
        <w:t>al. </w:t>
      </w:r>
      <w:r w:rsidRPr="00A570AE">
        <w:rPr>
          <w:szCs w:val="24"/>
          <w:lang w:val="fr-CA"/>
        </w:rPr>
        <w:t>3.</w:t>
      </w:r>
    </w:p>
    <w:p w:rsidR="00B233C0" w:rsidRPr="00A570AE" w:rsidRDefault="00B233C0" w:rsidP="00B233C0">
      <w:pPr>
        <w:pStyle w:val="SCCNormalDoubleSpacing"/>
        <w:spacing w:after="240" w:line="240" w:lineRule="auto"/>
        <w:jc w:val="left"/>
        <w:rPr>
          <w:lang w:val="fr-CA"/>
        </w:rPr>
      </w:pPr>
      <w:r w:rsidRPr="00A570AE">
        <w:rPr>
          <w:i/>
          <w:lang w:val="fr-CA"/>
        </w:rPr>
        <w:t>Déclaration canadienne des droits</w:t>
      </w:r>
      <w:r w:rsidRPr="00A570AE">
        <w:rPr>
          <w:lang w:val="fr-CA"/>
        </w:rPr>
        <w:t xml:space="preserve">, S.C. 1960, c. 44, </w:t>
      </w:r>
      <w:r>
        <w:rPr>
          <w:lang w:val="fr-CA"/>
        </w:rPr>
        <w:t>art. </w:t>
      </w:r>
      <w:r w:rsidRPr="00A570AE">
        <w:rPr>
          <w:lang w:val="fr-CA"/>
        </w:rPr>
        <w:t>2.</w:t>
      </w:r>
    </w:p>
    <w:p w:rsidR="00B233C0" w:rsidRPr="00A570AE" w:rsidRDefault="00B233C0" w:rsidP="00B233C0">
      <w:pPr>
        <w:pStyle w:val="SCCNormalDoubleSpacing"/>
        <w:spacing w:after="240" w:line="240" w:lineRule="auto"/>
        <w:ind w:left="540" w:hanging="540"/>
        <w:jc w:val="left"/>
        <w:rPr>
          <w:lang w:val="fr-CA"/>
        </w:rPr>
      </w:pPr>
      <w:r w:rsidRPr="00A570AE">
        <w:rPr>
          <w:i/>
          <w:lang w:val="fr-CA"/>
        </w:rPr>
        <w:t>Loi sur l</w:t>
      </w:r>
      <w:r>
        <w:rPr>
          <w:i/>
          <w:lang w:val="fr-CA"/>
        </w:rPr>
        <w:t>’</w:t>
      </w:r>
      <w:r w:rsidRPr="00A570AE">
        <w:rPr>
          <w:i/>
          <w:lang w:val="fr-CA"/>
        </w:rPr>
        <w:t>emploi dans la fonction publique</w:t>
      </w:r>
      <w:r w:rsidRPr="00A570AE">
        <w:rPr>
          <w:lang w:val="fr-CA"/>
        </w:rPr>
        <w:t xml:space="preserve">, L.C. 2003, c. 22. </w:t>
      </w:r>
    </w:p>
    <w:p w:rsidR="00B233C0" w:rsidRPr="00A570AE" w:rsidRDefault="00B233C0" w:rsidP="00B233C0">
      <w:pPr>
        <w:pStyle w:val="SCCNormalDoubleSpacing"/>
        <w:spacing w:after="240" w:line="240" w:lineRule="auto"/>
        <w:ind w:left="540" w:hanging="540"/>
        <w:jc w:val="left"/>
        <w:rPr>
          <w:szCs w:val="24"/>
          <w:lang w:val="fr-CA"/>
        </w:rPr>
      </w:pPr>
      <w:r w:rsidRPr="00A570AE">
        <w:rPr>
          <w:i/>
          <w:szCs w:val="24"/>
          <w:lang w:val="fr-CA"/>
        </w:rPr>
        <w:t>Loi sur l</w:t>
      </w:r>
      <w:r>
        <w:rPr>
          <w:i/>
          <w:szCs w:val="24"/>
          <w:lang w:val="fr-CA"/>
        </w:rPr>
        <w:t>’</w:t>
      </w:r>
      <w:r w:rsidRPr="00A570AE">
        <w:rPr>
          <w:i/>
          <w:szCs w:val="24"/>
          <w:lang w:val="fr-CA"/>
        </w:rPr>
        <w:t>habeas corpus</w:t>
      </w:r>
      <w:r w:rsidRPr="00A570AE">
        <w:rPr>
          <w:szCs w:val="24"/>
          <w:lang w:val="fr-CA"/>
        </w:rPr>
        <w:t>,</w:t>
      </w:r>
      <w:r w:rsidRPr="00A570AE">
        <w:rPr>
          <w:i/>
          <w:szCs w:val="24"/>
          <w:lang w:val="fr-CA"/>
        </w:rPr>
        <w:t xml:space="preserve"> </w:t>
      </w:r>
      <w:r w:rsidRPr="00A570AE">
        <w:rPr>
          <w:szCs w:val="24"/>
          <w:lang w:val="fr-CA"/>
        </w:rPr>
        <w:t xml:space="preserve">L.R.O. 1990, c. H.1, </w:t>
      </w:r>
      <w:r>
        <w:rPr>
          <w:szCs w:val="24"/>
          <w:lang w:val="fr-CA"/>
        </w:rPr>
        <w:t>art. </w:t>
      </w:r>
      <w:r w:rsidRPr="00A570AE">
        <w:rPr>
          <w:szCs w:val="24"/>
          <w:lang w:val="fr-CA"/>
        </w:rPr>
        <w:t>1(1).</w:t>
      </w:r>
    </w:p>
    <w:p w:rsidR="00B233C0" w:rsidRPr="00A570AE" w:rsidRDefault="00B233C0" w:rsidP="00B233C0">
      <w:pPr>
        <w:pStyle w:val="SCCNormalDoubleSpacing"/>
        <w:spacing w:after="240" w:line="240" w:lineRule="auto"/>
        <w:ind w:left="540" w:hanging="540"/>
        <w:jc w:val="left"/>
        <w:rPr>
          <w:iCs/>
          <w:lang w:val="fr-CA"/>
        </w:rPr>
      </w:pPr>
      <w:r w:rsidRPr="00A570AE">
        <w:rPr>
          <w:i/>
          <w:iCs/>
          <w:lang w:val="fr-CA"/>
        </w:rPr>
        <w:t>Loi sur l</w:t>
      </w:r>
      <w:r>
        <w:rPr>
          <w:i/>
          <w:iCs/>
          <w:lang w:val="fr-CA"/>
        </w:rPr>
        <w:t>’</w:t>
      </w:r>
      <w:r w:rsidRPr="00A570AE">
        <w:rPr>
          <w:i/>
          <w:iCs/>
          <w:lang w:val="fr-CA"/>
        </w:rPr>
        <w:t>immigration</w:t>
      </w:r>
      <w:r w:rsidRPr="00A570AE">
        <w:rPr>
          <w:iCs/>
          <w:lang w:val="fr-CA"/>
        </w:rPr>
        <w:t>, L.R.C. 1985, c. I</w:t>
      </w:r>
      <w:r>
        <w:rPr>
          <w:iCs/>
          <w:lang w:val="fr-CA"/>
        </w:rPr>
        <w:noBreakHyphen/>
      </w:r>
      <w:r w:rsidRPr="00A570AE">
        <w:rPr>
          <w:iCs/>
          <w:lang w:val="fr-CA"/>
        </w:rPr>
        <w:t>2.</w:t>
      </w:r>
    </w:p>
    <w:p w:rsidR="00B233C0" w:rsidRPr="00A570AE" w:rsidRDefault="00B233C0" w:rsidP="00B233C0">
      <w:pPr>
        <w:pStyle w:val="SCCNormalDoubleSpacing"/>
        <w:spacing w:after="240" w:line="240" w:lineRule="auto"/>
        <w:ind w:left="540" w:hanging="540"/>
        <w:jc w:val="left"/>
        <w:rPr>
          <w:lang w:val="fr-CA"/>
        </w:rPr>
      </w:pPr>
      <w:r w:rsidRPr="00A570AE">
        <w:rPr>
          <w:i/>
          <w:lang w:val="fr-CA"/>
        </w:rPr>
        <w:t>Loi sur l</w:t>
      </w:r>
      <w:r>
        <w:rPr>
          <w:i/>
          <w:lang w:val="fr-CA"/>
        </w:rPr>
        <w:t>’</w:t>
      </w:r>
      <w:r w:rsidRPr="00A570AE">
        <w:rPr>
          <w:i/>
          <w:lang w:val="fr-CA"/>
        </w:rPr>
        <w:t>immigration et la protection des réfugiés</w:t>
      </w:r>
      <w:r w:rsidRPr="00A570AE">
        <w:rPr>
          <w:lang w:val="fr-CA"/>
        </w:rPr>
        <w:t xml:space="preserve">, L.C. 2001, c. 27, </w:t>
      </w:r>
      <w:r>
        <w:rPr>
          <w:lang w:val="fr-CA"/>
        </w:rPr>
        <w:t>art. </w:t>
      </w:r>
      <w:r w:rsidRPr="00A570AE">
        <w:rPr>
          <w:lang w:val="fr-CA"/>
        </w:rPr>
        <w:t>3(1)(h), (3)(d), 57, 58, 72, 74(d), 151, 162(1), 172(2).</w:t>
      </w:r>
    </w:p>
    <w:p w:rsidR="00B233C0" w:rsidRPr="00A570AE" w:rsidRDefault="00B233C0" w:rsidP="00B233C0">
      <w:pPr>
        <w:pStyle w:val="SCCNormalDoubleSpacing"/>
        <w:spacing w:after="240" w:line="240" w:lineRule="auto"/>
        <w:ind w:left="540" w:hanging="540"/>
        <w:jc w:val="left"/>
        <w:rPr>
          <w:lang w:val="fr-CA"/>
        </w:rPr>
      </w:pPr>
      <w:r w:rsidRPr="00A570AE">
        <w:rPr>
          <w:i/>
          <w:lang w:val="fr-CA"/>
        </w:rPr>
        <w:t>Loi sur le système correctionnel et la mise en liberté sous condition</w:t>
      </w:r>
      <w:r w:rsidRPr="00A570AE">
        <w:rPr>
          <w:lang w:val="fr-CA"/>
        </w:rPr>
        <w:t>, L.C. 1992, c. 20.</w:t>
      </w:r>
    </w:p>
    <w:p w:rsidR="00B233C0" w:rsidRPr="00A570AE" w:rsidRDefault="00B233C0" w:rsidP="00B233C0">
      <w:pPr>
        <w:pStyle w:val="SCCNormalDoubleSpacing"/>
        <w:spacing w:after="240" w:line="240" w:lineRule="auto"/>
        <w:ind w:left="540" w:hanging="540"/>
        <w:rPr>
          <w:lang w:val="fr-CA"/>
        </w:rPr>
      </w:pPr>
      <w:r w:rsidRPr="00A570AE">
        <w:rPr>
          <w:i/>
          <w:lang w:val="fr-CA"/>
        </w:rPr>
        <w:t>Règlement sur l</w:t>
      </w:r>
      <w:r>
        <w:rPr>
          <w:i/>
          <w:lang w:val="fr-CA"/>
        </w:rPr>
        <w:t>’</w:t>
      </w:r>
      <w:r w:rsidRPr="00A570AE">
        <w:rPr>
          <w:i/>
          <w:lang w:val="fr-CA"/>
        </w:rPr>
        <w:t>immigration et la protection des réfugiés</w:t>
      </w:r>
      <w:r w:rsidRPr="00A570AE">
        <w:rPr>
          <w:lang w:val="fr-CA"/>
        </w:rPr>
        <w:t>,</w:t>
      </w:r>
      <w:r w:rsidRPr="00A570AE">
        <w:rPr>
          <w:i/>
          <w:lang w:val="fr-CA"/>
        </w:rPr>
        <w:t xml:space="preserve"> </w:t>
      </w:r>
      <w:r w:rsidRPr="00A570AE">
        <w:rPr>
          <w:lang w:val="fr-CA"/>
        </w:rPr>
        <w:t>DORS/2002</w:t>
      </w:r>
      <w:r>
        <w:rPr>
          <w:lang w:val="fr-CA"/>
        </w:rPr>
        <w:noBreakHyphen/>
      </w:r>
      <w:r w:rsidRPr="00A570AE">
        <w:rPr>
          <w:lang w:val="fr-CA"/>
        </w:rPr>
        <w:t xml:space="preserve">227, </w:t>
      </w:r>
      <w:r>
        <w:rPr>
          <w:lang w:val="fr-CA"/>
        </w:rPr>
        <w:t>art. </w:t>
      </w:r>
      <w:r w:rsidRPr="00A570AE">
        <w:rPr>
          <w:lang w:val="fr-CA"/>
        </w:rPr>
        <w:t>244 à 249, 248.</w:t>
      </w:r>
    </w:p>
    <w:p w:rsidR="00B233C0" w:rsidRPr="00A570AE" w:rsidRDefault="00B233C0" w:rsidP="00B233C0">
      <w:pPr>
        <w:pStyle w:val="SCCNormalDoubleSpacing"/>
        <w:spacing w:after="240" w:line="240" w:lineRule="auto"/>
        <w:ind w:left="540" w:hanging="540"/>
        <w:rPr>
          <w:lang w:val="fr-CA"/>
        </w:rPr>
      </w:pPr>
      <w:r w:rsidRPr="00A570AE">
        <w:rPr>
          <w:i/>
          <w:lang w:val="fr-FR"/>
        </w:rPr>
        <w:t>Règlement sur le système correctionnel et la mise en liberté sous condition</w:t>
      </w:r>
      <w:r w:rsidRPr="00A570AE">
        <w:rPr>
          <w:lang w:val="fr-FR"/>
        </w:rPr>
        <w:t>, DORS/92</w:t>
      </w:r>
      <w:r>
        <w:rPr>
          <w:lang w:val="fr-FR"/>
        </w:rPr>
        <w:noBreakHyphen/>
      </w:r>
      <w:r w:rsidRPr="00A570AE">
        <w:rPr>
          <w:lang w:val="fr-FR"/>
        </w:rPr>
        <w:t>620</w:t>
      </w:r>
      <w:r w:rsidR="004973D8">
        <w:rPr>
          <w:lang w:val="fr-FR"/>
        </w:rPr>
        <w:t>, art. 81(1)</w:t>
      </w:r>
      <w:r w:rsidRPr="00A570AE">
        <w:rPr>
          <w:lang w:val="fr-FR"/>
        </w:rPr>
        <w:t>.</w:t>
      </w:r>
    </w:p>
    <w:p w:rsidR="00881A3B" w:rsidRPr="00881A3B" w:rsidRDefault="00881A3B" w:rsidP="00881A3B">
      <w:pPr>
        <w:pStyle w:val="SCCNormalDoubleSpacing"/>
        <w:spacing w:after="240" w:line="240" w:lineRule="auto"/>
        <w:ind w:left="540" w:hanging="540"/>
        <w:jc w:val="left"/>
        <w:rPr>
          <w:szCs w:val="24"/>
          <w:lang w:val="fr-CA"/>
        </w:rPr>
      </w:pPr>
      <w:r w:rsidRPr="00A570AE">
        <w:rPr>
          <w:i/>
          <w:szCs w:val="24"/>
          <w:lang w:val="fr-FR"/>
        </w:rPr>
        <w:t>Règles de la Section de l</w:t>
      </w:r>
      <w:r>
        <w:rPr>
          <w:i/>
          <w:szCs w:val="24"/>
          <w:lang w:val="fr-FR"/>
        </w:rPr>
        <w:t>’</w:t>
      </w:r>
      <w:r w:rsidRPr="00A570AE">
        <w:rPr>
          <w:i/>
          <w:szCs w:val="24"/>
          <w:lang w:val="fr-FR"/>
        </w:rPr>
        <w:t>immigration</w:t>
      </w:r>
      <w:r w:rsidRPr="00A570AE">
        <w:rPr>
          <w:szCs w:val="24"/>
          <w:lang w:val="fr-FR"/>
        </w:rPr>
        <w:t>, DORS/2002</w:t>
      </w:r>
      <w:r>
        <w:rPr>
          <w:szCs w:val="24"/>
          <w:lang w:val="fr-FR"/>
        </w:rPr>
        <w:noBreakHyphen/>
      </w:r>
      <w:r w:rsidRPr="00A570AE">
        <w:rPr>
          <w:szCs w:val="24"/>
          <w:lang w:val="fr-FR"/>
        </w:rPr>
        <w:t>229, règles 9, 20</w:t>
      </w:r>
      <w:r>
        <w:rPr>
          <w:szCs w:val="24"/>
          <w:lang w:val="fr-FR"/>
        </w:rPr>
        <w:t>(1)</w:t>
      </w:r>
      <w:r w:rsidRPr="00A570AE">
        <w:rPr>
          <w:szCs w:val="24"/>
          <w:lang w:val="fr-FR"/>
        </w:rPr>
        <w:t>, 21, 23.</w:t>
      </w:r>
    </w:p>
    <w:p w:rsidR="00B233C0" w:rsidRPr="00A570AE" w:rsidRDefault="00B233C0" w:rsidP="00B233C0">
      <w:pPr>
        <w:pStyle w:val="SCCNormalDoubleSpacing"/>
        <w:spacing w:after="240" w:line="240" w:lineRule="auto"/>
        <w:ind w:left="540" w:hanging="540"/>
        <w:jc w:val="left"/>
        <w:rPr>
          <w:szCs w:val="24"/>
          <w:lang w:val="fr-CA"/>
        </w:rPr>
      </w:pPr>
      <w:r w:rsidRPr="00A570AE">
        <w:rPr>
          <w:i/>
          <w:szCs w:val="24"/>
          <w:lang w:val="fr-CA"/>
        </w:rPr>
        <w:t>Règles de procédure civile de la Nouvelle</w:t>
      </w:r>
      <w:r>
        <w:rPr>
          <w:i/>
          <w:szCs w:val="24"/>
          <w:lang w:val="fr-CA"/>
        </w:rPr>
        <w:noBreakHyphen/>
      </w:r>
      <w:r w:rsidRPr="00A570AE">
        <w:rPr>
          <w:i/>
          <w:szCs w:val="24"/>
          <w:lang w:val="fr-CA"/>
        </w:rPr>
        <w:t>Écosse</w:t>
      </w:r>
      <w:r w:rsidRPr="00A570AE">
        <w:rPr>
          <w:szCs w:val="24"/>
          <w:lang w:val="fr-CA"/>
        </w:rPr>
        <w:t>,</w:t>
      </w:r>
      <w:r w:rsidRPr="00A570AE">
        <w:rPr>
          <w:i/>
          <w:szCs w:val="24"/>
          <w:lang w:val="fr-CA"/>
        </w:rPr>
        <w:t xml:space="preserve"> </w:t>
      </w:r>
      <w:r w:rsidRPr="00A570AE">
        <w:rPr>
          <w:szCs w:val="24"/>
          <w:lang w:val="fr-CA"/>
        </w:rPr>
        <w:t>règle 7.13(1).</w:t>
      </w:r>
    </w:p>
    <w:p w:rsidR="00B233C0" w:rsidRPr="00A570AE" w:rsidRDefault="00B233C0" w:rsidP="00B233C0">
      <w:pPr>
        <w:pStyle w:val="SCCNormalDoubleSpacing"/>
        <w:spacing w:after="240" w:line="240" w:lineRule="auto"/>
        <w:ind w:left="540" w:hanging="540"/>
        <w:jc w:val="left"/>
        <w:rPr>
          <w:lang w:val="fr-CA"/>
        </w:rPr>
      </w:pPr>
      <w:r w:rsidRPr="00A570AE">
        <w:rPr>
          <w:i/>
          <w:szCs w:val="24"/>
          <w:lang w:val="fr-CA"/>
        </w:rPr>
        <w:t>Règles de procédure en matière criminelle de la Cour suprême des Territoires du Nord</w:t>
      </w:r>
      <w:r>
        <w:rPr>
          <w:i/>
          <w:szCs w:val="24"/>
          <w:lang w:val="fr-CA"/>
        </w:rPr>
        <w:noBreakHyphen/>
      </w:r>
      <w:r w:rsidRPr="00A570AE">
        <w:rPr>
          <w:i/>
          <w:szCs w:val="24"/>
          <w:lang w:val="fr-CA"/>
        </w:rPr>
        <w:t>Ouest</w:t>
      </w:r>
      <w:r w:rsidRPr="00A570AE">
        <w:rPr>
          <w:szCs w:val="24"/>
          <w:lang w:val="fr-CA"/>
        </w:rPr>
        <w:t>, TR/98</w:t>
      </w:r>
      <w:r>
        <w:rPr>
          <w:szCs w:val="24"/>
          <w:lang w:val="fr-CA"/>
        </w:rPr>
        <w:noBreakHyphen/>
      </w:r>
      <w:r w:rsidR="00C85066">
        <w:rPr>
          <w:szCs w:val="24"/>
          <w:lang w:val="fr-CA"/>
        </w:rPr>
        <w:t>78, règles</w:t>
      </w:r>
      <w:r w:rsidRPr="00A570AE">
        <w:rPr>
          <w:szCs w:val="24"/>
          <w:lang w:val="fr-CA"/>
        </w:rPr>
        <w:t> 103 à 107.</w:t>
      </w:r>
    </w:p>
    <w:p w:rsidR="00B233C0" w:rsidRPr="00A570AE" w:rsidRDefault="00B233C0" w:rsidP="00B233C0">
      <w:pPr>
        <w:pStyle w:val="SCCNormalDoubleSpacing"/>
        <w:spacing w:after="240" w:line="240" w:lineRule="auto"/>
        <w:ind w:left="540" w:hanging="540"/>
        <w:jc w:val="left"/>
        <w:rPr>
          <w:lang w:val="fr-CA"/>
        </w:rPr>
      </w:pPr>
      <w:r w:rsidRPr="00A570AE">
        <w:rPr>
          <w:i/>
          <w:lang w:val="fr-CA"/>
        </w:rPr>
        <w:t>Règles des Cours fédérales</w:t>
      </w:r>
      <w:r w:rsidRPr="00A570AE">
        <w:rPr>
          <w:lang w:val="fr-CA"/>
        </w:rPr>
        <w:t>, DORS/98</w:t>
      </w:r>
      <w:r>
        <w:rPr>
          <w:lang w:val="fr-CA"/>
        </w:rPr>
        <w:noBreakHyphen/>
      </w:r>
      <w:r w:rsidRPr="00A570AE">
        <w:rPr>
          <w:lang w:val="fr-CA"/>
        </w:rPr>
        <w:t>106, règle 302.</w:t>
      </w:r>
    </w:p>
    <w:p w:rsidR="00B233C0" w:rsidRPr="00A570AE" w:rsidRDefault="00B233C0" w:rsidP="00B233C0">
      <w:pPr>
        <w:pStyle w:val="SCCNormalDoubleSpacing"/>
        <w:spacing w:after="720" w:line="240" w:lineRule="auto"/>
        <w:ind w:left="540" w:hanging="540"/>
        <w:jc w:val="left"/>
        <w:rPr>
          <w:szCs w:val="24"/>
          <w:lang w:val="fr-CA"/>
        </w:rPr>
      </w:pPr>
      <w:r w:rsidRPr="00A570AE">
        <w:rPr>
          <w:i/>
          <w:szCs w:val="24"/>
          <w:lang w:val="fr-CA"/>
        </w:rPr>
        <w:t>Règles des cours fédérales en matière de citoyenneté, d</w:t>
      </w:r>
      <w:r>
        <w:rPr>
          <w:i/>
          <w:szCs w:val="24"/>
          <w:lang w:val="fr-CA"/>
        </w:rPr>
        <w:t>’</w:t>
      </w:r>
      <w:r w:rsidRPr="00A570AE">
        <w:rPr>
          <w:i/>
          <w:szCs w:val="24"/>
          <w:lang w:val="fr-CA"/>
        </w:rPr>
        <w:t>immigration et de protection des réfugiés</w:t>
      </w:r>
      <w:r w:rsidRPr="00A570AE">
        <w:rPr>
          <w:szCs w:val="24"/>
          <w:lang w:val="fr-CA"/>
        </w:rPr>
        <w:t>, DORS/93</w:t>
      </w:r>
      <w:r>
        <w:rPr>
          <w:szCs w:val="24"/>
          <w:lang w:val="fr-CA"/>
        </w:rPr>
        <w:noBreakHyphen/>
      </w:r>
      <w:r w:rsidRPr="00A570AE">
        <w:rPr>
          <w:szCs w:val="24"/>
          <w:lang w:val="fr-CA"/>
        </w:rPr>
        <w:t>22, règles 10(1), 11, 13.</w:t>
      </w:r>
    </w:p>
    <w:p w:rsidR="00B233C0" w:rsidRPr="00A570AE" w:rsidRDefault="00B233C0" w:rsidP="00B233C0">
      <w:pPr>
        <w:pStyle w:val="SCCNormalDoubleSpacing"/>
        <w:spacing w:after="720" w:line="240" w:lineRule="auto"/>
        <w:rPr>
          <w:b/>
          <w:lang w:val="fr-CA"/>
        </w:rPr>
      </w:pPr>
      <w:r w:rsidRPr="00A570AE">
        <w:rPr>
          <w:b/>
          <w:lang w:val="fr-CA"/>
        </w:rPr>
        <w:t>Doctrine et autres documents cités</w:t>
      </w:r>
    </w:p>
    <w:p w:rsidR="00B233C0" w:rsidRPr="00A570AE" w:rsidRDefault="00B233C0" w:rsidP="00B233C0">
      <w:pPr>
        <w:pStyle w:val="SCCNormalDoubleSpacing"/>
        <w:spacing w:after="240" w:line="240" w:lineRule="auto"/>
        <w:ind w:left="539" w:hanging="539"/>
      </w:pPr>
      <w:r w:rsidRPr="00FF71EA">
        <w:rPr>
          <w:lang w:val="fr-CA"/>
        </w:rPr>
        <w:t xml:space="preserve">Blackstone, William. </w:t>
      </w:r>
      <w:r w:rsidRPr="00A570AE">
        <w:rPr>
          <w:i/>
        </w:rPr>
        <w:t>Commentaries on the Laws of England</w:t>
      </w:r>
      <w:r w:rsidRPr="00A570AE">
        <w:t>, Book III</w:t>
      </w:r>
      <w:r w:rsidR="00C85066">
        <w:t xml:space="preserve"> : </w:t>
      </w:r>
      <w:r w:rsidR="00C85066" w:rsidRPr="00C85066">
        <w:rPr>
          <w:i/>
        </w:rPr>
        <w:t>Of Private Wrongs</w:t>
      </w:r>
      <w:r w:rsidRPr="00A570AE">
        <w:t xml:space="preserve">, by Thomas </w:t>
      </w:r>
      <w:r>
        <w:t>P. </w:t>
      </w:r>
      <w:r w:rsidRPr="00A570AE">
        <w:t>Gallanis, Oxford, Oxford University Press, 2016.</w:t>
      </w:r>
    </w:p>
    <w:p w:rsidR="00B233C0" w:rsidRPr="00A570AE" w:rsidRDefault="00B233C0" w:rsidP="00B233C0">
      <w:pPr>
        <w:pStyle w:val="SCCNormalDoubleSpacing"/>
        <w:spacing w:after="240" w:line="240" w:lineRule="auto"/>
        <w:ind w:left="539" w:hanging="539"/>
      </w:pPr>
      <w:r w:rsidRPr="00A570AE">
        <w:t xml:space="preserve">Del Buono, Vincent M. </w:t>
      </w:r>
      <w:r w:rsidRPr="00A570AE">
        <w:rPr>
          <w:lang w:val="en-US"/>
        </w:rPr>
        <w:t>« </w:t>
      </w:r>
      <w:r w:rsidRPr="00A570AE">
        <w:t>The Righ</w:t>
      </w:r>
      <w:r w:rsidR="00C85066">
        <w:t>t to Appeal in Indictable Cases :</w:t>
      </w:r>
      <w:r w:rsidRPr="00A570AE">
        <w:t xml:space="preserve"> A Legislative History</w:t>
      </w:r>
      <w:r w:rsidRPr="00A570AE">
        <w:rPr>
          <w:lang w:val="en-US"/>
        </w:rPr>
        <w:t> »</w:t>
      </w:r>
      <w:r w:rsidRPr="00A570AE">
        <w:t xml:space="preserve"> (1978), 16 </w:t>
      </w:r>
      <w:r w:rsidRPr="00A570AE">
        <w:rPr>
          <w:i/>
        </w:rPr>
        <w:t>Alta. L.R.</w:t>
      </w:r>
      <w:r w:rsidRPr="00A570AE">
        <w:t xml:space="preserve"> 446.</w:t>
      </w:r>
    </w:p>
    <w:p w:rsidR="00B233C0" w:rsidRPr="00A570AE" w:rsidRDefault="00B233C0" w:rsidP="00B233C0">
      <w:pPr>
        <w:pStyle w:val="SCCNormalDoubleSpacing"/>
        <w:spacing w:after="240" w:line="240" w:lineRule="auto"/>
        <w:ind w:left="539" w:hanging="539"/>
      </w:pPr>
      <w:r w:rsidRPr="00A570AE">
        <w:t>Farbey, Judith, Robert J. Sharpe</w:t>
      </w:r>
      <w:r w:rsidR="00790800">
        <w:t xml:space="preserve"> and</w:t>
      </w:r>
      <w:r w:rsidRPr="00A570AE">
        <w:t xml:space="preserve"> Simon Atrill. </w:t>
      </w:r>
      <w:r w:rsidRPr="00A570AE">
        <w:rPr>
          <w:i/>
        </w:rPr>
        <w:t>The Law of Habeas Corpus</w:t>
      </w:r>
      <w:r w:rsidRPr="00A570AE">
        <w:t>, 3rd ed., New York, Oxford University Press, 2011.</w:t>
      </w:r>
    </w:p>
    <w:p w:rsidR="00B233C0" w:rsidRPr="00A570AE" w:rsidRDefault="00B233C0" w:rsidP="00B233C0">
      <w:pPr>
        <w:pStyle w:val="SCCNormalDoubleSpacing"/>
        <w:spacing w:after="720" w:line="240" w:lineRule="auto"/>
        <w:ind w:left="540" w:hanging="540"/>
      </w:pPr>
      <w:r w:rsidRPr="00A570AE">
        <w:t xml:space="preserve">Sharpe, Robert J. </w:t>
      </w:r>
      <w:r w:rsidRPr="00A570AE">
        <w:rPr>
          <w:i/>
        </w:rPr>
        <w:t>The Law of Habeas Corpus</w:t>
      </w:r>
      <w:r w:rsidRPr="00A570AE">
        <w:t>, Oxford, Clarendon Press, 1976.</w:t>
      </w:r>
    </w:p>
    <w:p w:rsidR="00B233C0" w:rsidRPr="00A570AE" w:rsidRDefault="00B233C0" w:rsidP="00B233C0">
      <w:pPr>
        <w:pStyle w:val="SCCNormalDoubleSpacing"/>
        <w:spacing w:after="480"/>
        <w:rPr>
          <w:lang w:val="fr-CA"/>
        </w:rPr>
      </w:pPr>
      <w:r w:rsidRPr="00A570AE">
        <w:tab/>
      </w:r>
      <w:r w:rsidRPr="00A570AE">
        <w:rPr>
          <w:lang w:val="fr-CA"/>
        </w:rPr>
        <w:t>POURVOI contre un arrêt de la Cour d</w:t>
      </w:r>
      <w:r>
        <w:rPr>
          <w:lang w:val="fr-CA"/>
        </w:rPr>
        <w:t>’</w:t>
      </w:r>
      <w:r w:rsidRPr="00A570AE">
        <w:rPr>
          <w:lang w:val="fr-CA"/>
        </w:rPr>
        <w:t>appel de l</w:t>
      </w:r>
      <w:r>
        <w:rPr>
          <w:lang w:val="fr-CA"/>
        </w:rPr>
        <w:t>’</w:t>
      </w:r>
      <w:r w:rsidRPr="00A570AE">
        <w:rPr>
          <w:lang w:val="fr-CA"/>
        </w:rPr>
        <w:t>Alberta (les juges Paperny, O</w:t>
      </w:r>
      <w:r>
        <w:rPr>
          <w:lang w:val="fr-CA"/>
        </w:rPr>
        <w:t>’</w:t>
      </w:r>
      <w:r w:rsidRPr="00A570AE">
        <w:rPr>
          <w:lang w:val="fr-CA"/>
        </w:rPr>
        <w:t>Ferrall et Greckol), 2017 ABCA 248, 56 Alta. L.R. (6th) 1, [2017] 11 W.W.R. 637, 25 Admin</w:t>
      </w:r>
      <w:r w:rsidR="00F21B38">
        <w:rPr>
          <w:lang w:val="fr-CA"/>
        </w:rPr>
        <w:t>.</w:t>
      </w:r>
      <w:r w:rsidRPr="00A570AE">
        <w:rPr>
          <w:lang w:val="fr-CA"/>
        </w:rPr>
        <w:t xml:space="preserve"> L.R. (6th) 279, 415 D.L.R. (4th) 732, [2017] A.J. </w:t>
      </w:r>
      <w:r>
        <w:rPr>
          <w:lang w:val="fr-CA"/>
        </w:rPr>
        <w:t>No. </w:t>
      </w:r>
      <w:r w:rsidRPr="00A570AE">
        <w:rPr>
          <w:lang w:val="fr-CA"/>
        </w:rPr>
        <w:t>840 (QL), 2017 CarswellAlta 1432 (WL Can.), qui a infirmé une décision du juge Mahoney de la Cour du Banc de la Reine de l</w:t>
      </w:r>
      <w:r>
        <w:rPr>
          <w:lang w:val="fr-CA"/>
        </w:rPr>
        <w:t>’</w:t>
      </w:r>
      <w:r w:rsidRPr="00A570AE">
        <w:rPr>
          <w:lang w:val="fr-CA"/>
        </w:rPr>
        <w:t xml:space="preserve">Alberta, numéro 160576914X1, datée du 2 septembre 2016, </w:t>
      </w:r>
      <w:r>
        <w:rPr>
          <w:lang w:val="fr-CA"/>
        </w:rPr>
        <w:t xml:space="preserve">rejetant </w:t>
      </w:r>
      <w:r w:rsidRPr="00312711">
        <w:rPr>
          <w:lang w:val="fr-CA"/>
        </w:rPr>
        <w:t>une demande d’</w:t>
      </w:r>
      <w:r w:rsidRPr="00312711">
        <w:rPr>
          <w:i/>
          <w:lang w:val="fr-CA"/>
        </w:rPr>
        <w:t>habeas corpus</w:t>
      </w:r>
      <w:r w:rsidRPr="00A570AE">
        <w:rPr>
          <w:lang w:val="fr-CA"/>
        </w:rPr>
        <w:t>. Pourvoi rejeté, la juge Abella est dissidente.</w:t>
      </w:r>
    </w:p>
    <w:p w:rsidR="00B233C0" w:rsidRPr="00A570AE" w:rsidRDefault="00B233C0" w:rsidP="00B233C0">
      <w:pPr>
        <w:pStyle w:val="SCCNormalDoubleSpacing"/>
        <w:spacing w:after="480"/>
        <w:rPr>
          <w:lang w:val="fr-CA"/>
        </w:rPr>
      </w:pPr>
      <w:r w:rsidRPr="00A570AE">
        <w:rPr>
          <w:rStyle w:val="SCCCounselNameChar"/>
          <w:lang w:val="fr-CA"/>
        </w:rPr>
        <w:tab/>
        <w:t>Donnaree Nygard</w:t>
      </w:r>
      <w:r w:rsidRPr="00A570AE">
        <w:rPr>
          <w:rStyle w:val="SCCCounselSeparatorChar"/>
          <w:lang w:val="fr-CA"/>
        </w:rPr>
        <w:t xml:space="preserve"> et </w:t>
      </w:r>
      <w:r w:rsidRPr="00A570AE">
        <w:rPr>
          <w:rStyle w:val="SCCCounselNameChar"/>
          <w:lang w:val="fr-CA"/>
        </w:rPr>
        <w:t>Liliane Bantourakis</w:t>
      </w:r>
      <w:r w:rsidRPr="00A570AE">
        <w:rPr>
          <w:rStyle w:val="SCCCounselPartyRoleChar"/>
          <w:lang w:val="fr-CA"/>
        </w:rPr>
        <w:t>, pour les appelants.</w:t>
      </w:r>
    </w:p>
    <w:p w:rsidR="00B233C0" w:rsidRPr="00A570AE" w:rsidRDefault="00B233C0" w:rsidP="00B233C0">
      <w:pPr>
        <w:pStyle w:val="SCCNormalDoubleSpacing"/>
        <w:spacing w:after="480"/>
        <w:rPr>
          <w:lang w:val="fr-CA"/>
        </w:rPr>
      </w:pPr>
      <w:r w:rsidRPr="00A570AE">
        <w:rPr>
          <w:rStyle w:val="SCCCounselNameChar"/>
          <w:lang w:val="fr-CA"/>
        </w:rPr>
        <w:tab/>
        <w:t>Nico G. J. Breed</w:t>
      </w:r>
      <w:r w:rsidRPr="00A570AE">
        <w:rPr>
          <w:rStyle w:val="SCCCounselSeparatorChar"/>
          <w:lang w:val="fr-CA"/>
        </w:rPr>
        <w:t xml:space="preserve">, </w:t>
      </w:r>
      <w:r w:rsidRPr="00A570AE">
        <w:rPr>
          <w:rStyle w:val="SCCCounselNameChar"/>
          <w:lang w:val="fr-CA"/>
        </w:rPr>
        <w:t>Barbara Jackman</w:t>
      </w:r>
      <w:r w:rsidRPr="00E1552E">
        <w:rPr>
          <w:rStyle w:val="SCCCounselNameChar"/>
          <w:i w:val="0"/>
          <w:lang w:val="fr-CA"/>
        </w:rPr>
        <w:t xml:space="preserve">, </w:t>
      </w:r>
      <w:r w:rsidRPr="00A570AE">
        <w:rPr>
          <w:rStyle w:val="SCCCounselNameChar"/>
          <w:lang w:val="fr-CA"/>
        </w:rPr>
        <w:t>Chris Reid</w:t>
      </w:r>
      <w:r w:rsidRPr="00A570AE">
        <w:rPr>
          <w:rStyle w:val="SCCCounselSeparatorChar"/>
          <w:lang w:val="fr-CA"/>
        </w:rPr>
        <w:t xml:space="preserve"> et </w:t>
      </w:r>
      <w:r w:rsidRPr="00A570AE">
        <w:rPr>
          <w:rStyle w:val="SCCCounselNameChar"/>
          <w:lang w:val="fr-CA"/>
        </w:rPr>
        <w:t>Farah Saleem</w:t>
      </w:r>
      <w:r w:rsidRPr="00A570AE">
        <w:rPr>
          <w:rStyle w:val="SCCCounselPartyRoleChar"/>
          <w:lang w:val="fr-CA"/>
        </w:rPr>
        <w:t>, pour l</w:t>
      </w:r>
      <w:r>
        <w:rPr>
          <w:rStyle w:val="SCCCounselPartyRoleChar"/>
          <w:lang w:val="fr-CA"/>
        </w:rPr>
        <w:t>’</w:t>
      </w:r>
      <w:r w:rsidRPr="00A570AE">
        <w:rPr>
          <w:rStyle w:val="SCCCounselPartyRoleChar"/>
          <w:lang w:val="fr-CA"/>
        </w:rPr>
        <w:t>intimé.</w:t>
      </w:r>
    </w:p>
    <w:p w:rsidR="00B233C0" w:rsidRPr="00A570AE" w:rsidRDefault="00B233C0" w:rsidP="00B233C0">
      <w:pPr>
        <w:pStyle w:val="SCCNormalDoubleSpacing"/>
        <w:spacing w:after="480"/>
        <w:rPr>
          <w:lang w:val="fr-CA"/>
        </w:rPr>
      </w:pPr>
      <w:r w:rsidRPr="00A570AE">
        <w:rPr>
          <w:rStyle w:val="SCCCounselNameChar"/>
          <w:lang w:val="fr-CA"/>
        </w:rPr>
        <w:tab/>
        <w:t>Swathi Sekhar</w:t>
      </w:r>
      <w:r w:rsidRPr="00A570AE">
        <w:rPr>
          <w:rStyle w:val="SCCCounselSeparatorChar"/>
          <w:lang w:val="fr-CA"/>
        </w:rPr>
        <w:t xml:space="preserve"> et </w:t>
      </w:r>
      <w:r w:rsidRPr="00A570AE">
        <w:rPr>
          <w:rStyle w:val="SCCCounselNameChar"/>
          <w:lang w:val="fr-CA"/>
        </w:rPr>
        <w:t>Maija Martin</w:t>
      </w:r>
      <w:r w:rsidRPr="00A570AE">
        <w:rPr>
          <w:rStyle w:val="SCCCounselPartyRoleChar"/>
          <w:lang w:val="fr-CA"/>
        </w:rPr>
        <w:t>, pour l</w:t>
      </w:r>
      <w:r>
        <w:rPr>
          <w:rStyle w:val="SCCCounselPartyRoleChar"/>
          <w:lang w:val="fr-CA"/>
        </w:rPr>
        <w:t>’</w:t>
      </w:r>
      <w:r w:rsidRPr="00A570AE">
        <w:rPr>
          <w:rStyle w:val="SCCCounselPartyRoleChar"/>
          <w:lang w:val="fr-CA"/>
        </w:rPr>
        <w:t>intervenant End Immigration Detention Network.</w:t>
      </w:r>
    </w:p>
    <w:p w:rsidR="00B233C0" w:rsidRPr="00A570AE" w:rsidRDefault="00B233C0" w:rsidP="00B233C0">
      <w:pPr>
        <w:pStyle w:val="SCCNormalDoubleSpacing"/>
        <w:spacing w:after="480"/>
        <w:rPr>
          <w:lang w:val="fr-CA"/>
        </w:rPr>
      </w:pPr>
      <w:r w:rsidRPr="00A570AE">
        <w:rPr>
          <w:rStyle w:val="SCCCounselNameChar"/>
          <w:lang w:val="fr-CA"/>
        </w:rPr>
        <w:tab/>
        <w:t>Jared Will</w:t>
      </w:r>
      <w:r w:rsidRPr="00A570AE">
        <w:rPr>
          <w:rStyle w:val="SCCCounselSeparatorChar"/>
          <w:lang w:val="fr-CA"/>
        </w:rPr>
        <w:t xml:space="preserve"> et </w:t>
      </w:r>
      <w:r w:rsidRPr="00A570AE">
        <w:rPr>
          <w:rStyle w:val="SCCCounselNameChar"/>
          <w:lang w:val="fr-CA"/>
        </w:rPr>
        <w:t>Joshua Blum</w:t>
      </w:r>
      <w:r w:rsidRPr="00A570AE">
        <w:rPr>
          <w:rStyle w:val="SCCCounselPartyRoleChar"/>
          <w:lang w:val="fr-CA"/>
        </w:rPr>
        <w:t>, pour l</w:t>
      </w:r>
      <w:r>
        <w:rPr>
          <w:rStyle w:val="SCCCounselPartyRoleChar"/>
          <w:lang w:val="fr-CA"/>
        </w:rPr>
        <w:t>’</w:t>
      </w:r>
      <w:r w:rsidRPr="00A570AE">
        <w:rPr>
          <w:rStyle w:val="SCCCounselPartyRoleChar"/>
          <w:lang w:val="fr-CA"/>
        </w:rPr>
        <w:t>intervenante l</w:t>
      </w:r>
      <w:r>
        <w:rPr>
          <w:rStyle w:val="SCCCounselPartyRoleChar"/>
          <w:lang w:val="fr-CA"/>
        </w:rPr>
        <w:t>’</w:t>
      </w:r>
      <w:r w:rsidRPr="00A570AE">
        <w:rPr>
          <w:rStyle w:val="SCCCounselPartyRoleChar"/>
          <w:lang w:val="fr-CA"/>
        </w:rPr>
        <w:t>Association canadienne des avocats et avocates en droit des réfugiés.</w:t>
      </w:r>
    </w:p>
    <w:p w:rsidR="00B233C0" w:rsidRPr="00A570AE" w:rsidRDefault="00B233C0" w:rsidP="00B233C0">
      <w:pPr>
        <w:pStyle w:val="SCCNormalDoubleSpacing"/>
        <w:spacing w:after="480"/>
        <w:rPr>
          <w:lang w:val="fr-CA"/>
        </w:rPr>
      </w:pPr>
      <w:r w:rsidRPr="00A570AE">
        <w:rPr>
          <w:rStyle w:val="SCCCounselNameChar"/>
          <w:lang w:val="fr-CA"/>
        </w:rPr>
        <w:tab/>
        <w:t>Farrah Hudani</w:t>
      </w:r>
      <w:r w:rsidRPr="00E1552E">
        <w:rPr>
          <w:rStyle w:val="SCCCounselNameChar"/>
          <w:i w:val="0"/>
          <w:lang w:val="fr-CA"/>
        </w:rPr>
        <w:t xml:space="preserve">, </w:t>
      </w:r>
      <w:r w:rsidRPr="00A570AE">
        <w:rPr>
          <w:rStyle w:val="SCCCounselNameChar"/>
          <w:lang w:val="fr-CA"/>
        </w:rPr>
        <w:t>Jeffrey Wilson</w:t>
      </w:r>
      <w:r w:rsidRPr="00A570AE">
        <w:rPr>
          <w:rStyle w:val="SCCCounselSeparatorChar"/>
          <w:lang w:val="fr-CA"/>
        </w:rPr>
        <w:t xml:space="preserve"> et </w:t>
      </w:r>
      <w:r w:rsidRPr="00A570AE">
        <w:rPr>
          <w:rStyle w:val="SCCCounselNameChar"/>
          <w:lang w:val="fr-CA"/>
        </w:rPr>
        <w:t>Christina Doris</w:t>
      </w:r>
      <w:r w:rsidRPr="00A570AE">
        <w:rPr>
          <w:rStyle w:val="SCCCounselPartyRoleChar"/>
          <w:lang w:val="fr-CA"/>
        </w:rPr>
        <w:t>, pour l</w:t>
      </w:r>
      <w:r>
        <w:rPr>
          <w:rStyle w:val="SCCCounselPartyRoleChar"/>
          <w:lang w:val="fr-CA"/>
        </w:rPr>
        <w:t>’</w:t>
      </w:r>
      <w:r w:rsidRPr="00A570AE">
        <w:rPr>
          <w:rStyle w:val="SCCCounselPartyRoleChar"/>
          <w:lang w:val="fr-CA"/>
        </w:rPr>
        <w:t>intervenante Defence for Children International</w:t>
      </w:r>
      <w:r>
        <w:rPr>
          <w:rStyle w:val="SCCCounselPartyRoleChar"/>
          <w:lang w:val="fr-CA"/>
        </w:rPr>
        <w:noBreakHyphen/>
      </w:r>
      <w:r w:rsidRPr="00A570AE">
        <w:rPr>
          <w:rStyle w:val="SCCCounselPartyRoleChar"/>
          <w:lang w:val="fr-CA"/>
        </w:rPr>
        <w:t>Canada.</w:t>
      </w:r>
    </w:p>
    <w:p w:rsidR="00B233C0" w:rsidRPr="00A570AE" w:rsidRDefault="00B233C0" w:rsidP="00B233C0">
      <w:pPr>
        <w:pStyle w:val="SCCNormalDoubleSpacing"/>
        <w:spacing w:after="480"/>
        <w:rPr>
          <w:lang w:val="fr-CA"/>
        </w:rPr>
      </w:pPr>
      <w:r w:rsidRPr="00A570AE">
        <w:rPr>
          <w:rStyle w:val="SCCCounselNameChar"/>
          <w:lang w:val="fr-CA"/>
        </w:rPr>
        <w:tab/>
        <w:t>Laïla Demirdache</w:t>
      </w:r>
      <w:r w:rsidRPr="00A570AE">
        <w:rPr>
          <w:rStyle w:val="SCCCounselSeparatorChar"/>
          <w:lang w:val="fr-CA"/>
        </w:rPr>
        <w:t xml:space="preserve"> et </w:t>
      </w:r>
      <w:r w:rsidRPr="00A570AE">
        <w:rPr>
          <w:rStyle w:val="SCCCounselNameChar"/>
          <w:lang w:val="fr-CA"/>
        </w:rPr>
        <w:t>Jamie Liew</w:t>
      </w:r>
      <w:r w:rsidRPr="00A570AE">
        <w:rPr>
          <w:rStyle w:val="SCCCounselPartyRoleChar"/>
          <w:lang w:val="fr-CA"/>
        </w:rPr>
        <w:t>, pour l</w:t>
      </w:r>
      <w:r>
        <w:rPr>
          <w:rStyle w:val="SCCCounselPartyRoleChar"/>
          <w:lang w:val="fr-CA"/>
        </w:rPr>
        <w:t>’</w:t>
      </w:r>
      <w:r w:rsidRPr="00A570AE">
        <w:rPr>
          <w:rStyle w:val="SCCCounselPartyRoleChar"/>
          <w:lang w:val="fr-CA"/>
        </w:rPr>
        <w:t>intervenant Amnesty International Canada (English Branch).</w:t>
      </w:r>
    </w:p>
    <w:p w:rsidR="00B233C0" w:rsidRPr="00A570AE" w:rsidRDefault="00B233C0" w:rsidP="00B233C0">
      <w:pPr>
        <w:pStyle w:val="SCCNormalDoubleSpacing"/>
        <w:spacing w:after="480"/>
        <w:rPr>
          <w:lang w:val="fr-CA"/>
        </w:rPr>
      </w:pPr>
      <w:r w:rsidRPr="00A570AE">
        <w:rPr>
          <w:rStyle w:val="SCCCounselNameChar"/>
          <w:lang w:val="fr-CA"/>
        </w:rPr>
        <w:tab/>
        <w:t>Subodh Bharati</w:t>
      </w:r>
      <w:r w:rsidRPr="00A570AE">
        <w:rPr>
          <w:rStyle w:val="SCCCounselSeparatorChar"/>
          <w:lang w:val="fr-CA"/>
        </w:rPr>
        <w:t xml:space="preserve"> et </w:t>
      </w:r>
      <w:r w:rsidRPr="00A570AE">
        <w:rPr>
          <w:rStyle w:val="SCCCounselNameChar"/>
          <w:lang w:val="fr-CA"/>
        </w:rPr>
        <w:t>Suzanne Johnson</w:t>
      </w:r>
      <w:r w:rsidRPr="00A570AE">
        <w:rPr>
          <w:rStyle w:val="SCCCounselPartyRoleChar"/>
          <w:lang w:val="fr-CA"/>
        </w:rPr>
        <w:t>, pour l</w:t>
      </w:r>
      <w:r>
        <w:rPr>
          <w:rStyle w:val="SCCCounselPartyRoleChar"/>
          <w:lang w:val="fr-CA"/>
        </w:rPr>
        <w:t>’</w:t>
      </w:r>
      <w:r w:rsidRPr="00A570AE">
        <w:rPr>
          <w:rStyle w:val="SCCCounselPartyRoleChar"/>
          <w:lang w:val="fr-CA"/>
        </w:rPr>
        <w:t>intervenant Community &amp; Legal Aid Services Programme.</w:t>
      </w:r>
    </w:p>
    <w:p w:rsidR="00B233C0" w:rsidRPr="00A570AE" w:rsidRDefault="00B233C0" w:rsidP="00B233C0">
      <w:pPr>
        <w:pStyle w:val="SCCNormalDoubleSpacing"/>
        <w:spacing w:after="480"/>
        <w:rPr>
          <w:lang w:val="fr-CA"/>
        </w:rPr>
      </w:pPr>
      <w:r w:rsidRPr="00A570AE">
        <w:rPr>
          <w:rStyle w:val="SCCCounselNameChar"/>
          <w:lang w:val="fr-CA"/>
        </w:rPr>
        <w:tab/>
        <w:t>Erica Olmstead</w:t>
      </w:r>
      <w:r w:rsidRPr="00A570AE">
        <w:rPr>
          <w:rStyle w:val="SCCCounselSeparatorChar"/>
          <w:lang w:val="fr-CA"/>
        </w:rPr>
        <w:t xml:space="preserve">, </w:t>
      </w:r>
      <w:r w:rsidRPr="00A570AE">
        <w:rPr>
          <w:rStyle w:val="SCCCounselNameChar"/>
          <w:lang w:val="fr-CA"/>
        </w:rPr>
        <w:t xml:space="preserve">Molly Joeck </w:t>
      </w:r>
      <w:r w:rsidRPr="00A570AE">
        <w:rPr>
          <w:rStyle w:val="SCCCounselPartyRoleChar"/>
          <w:lang w:val="fr-CA"/>
        </w:rPr>
        <w:t xml:space="preserve">et </w:t>
      </w:r>
      <w:r w:rsidRPr="00A570AE">
        <w:rPr>
          <w:rStyle w:val="SCCCounselNameChar"/>
          <w:lang w:val="fr-CA"/>
        </w:rPr>
        <w:t>Peter H. Edelmann</w:t>
      </w:r>
      <w:r w:rsidRPr="00A570AE">
        <w:rPr>
          <w:rStyle w:val="SCCCounselPartyRoleChar"/>
          <w:lang w:val="fr-CA"/>
        </w:rPr>
        <w:t>, pour l</w:t>
      </w:r>
      <w:r>
        <w:rPr>
          <w:rStyle w:val="SCCCounselPartyRoleChar"/>
          <w:lang w:val="fr-CA"/>
        </w:rPr>
        <w:t>’</w:t>
      </w:r>
      <w:r w:rsidRPr="00A570AE">
        <w:rPr>
          <w:rStyle w:val="SCCCounselPartyRoleChar"/>
          <w:lang w:val="fr-CA"/>
        </w:rPr>
        <w:t>intervenant le Conseil canadien pour les réfugiés.</w:t>
      </w:r>
    </w:p>
    <w:p w:rsidR="00B233C0" w:rsidRPr="00A570AE" w:rsidRDefault="00B233C0" w:rsidP="00B233C0">
      <w:pPr>
        <w:pStyle w:val="SCCNormalDoubleSpacing"/>
        <w:spacing w:after="480"/>
        <w:rPr>
          <w:lang w:val="fr-CA"/>
        </w:rPr>
      </w:pPr>
      <w:r w:rsidRPr="00A570AE">
        <w:rPr>
          <w:rStyle w:val="SCCCounselNameChar"/>
          <w:lang w:val="fr-CA"/>
        </w:rPr>
        <w:tab/>
        <w:t>Nader Hasan</w:t>
      </w:r>
      <w:r w:rsidRPr="00A570AE">
        <w:rPr>
          <w:rStyle w:val="SCCCounselSeparatorChar"/>
          <w:lang w:val="fr-CA"/>
        </w:rPr>
        <w:t xml:space="preserve">, </w:t>
      </w:r>
      <w:r w:rsidRPr="00A570AE">
        <w:rPr>
          <w:rStyle w:val="SCCCounselNameChar"/>
          <w:lang w:val="fr-CA"/>
        </w:rPr>
        <w:t>Gillian Moore</w:t>
      </w:r>
      <w:r w:rsidRPr="00A570AE">
        <w:rPr>
          <w:rStyle w:val="SCCCounselSeparatorChar"/>
          <w:lang w:val="fr-CA"/>
        </w:rPr>
        <w:t xml:space="preserve"> et </w:t>
      </w:r>
      <w:r w:rsidRPr="00A570AE">
        <w:rPr>
          <w:rStyle w:val="SCCCounselNameChar"/>
          <w:lang w:val="fr-CA"/>
        </w:rPr>
        <w:t>Paul Quick</w:t>
      </w:r>
      <w:r w:rsidRPr="00A570AE">
        <w:rPr>
          <w:rStyle w:val="SCCCounselPartyRoleChar"/>
          <w:lang w:val="fr-CA"/>
        </w:rPr>
        <w:t>, pour l</w:t>
      </w:r>
      <w:r>
        <w:rPr>
          <w:rStyle w:val="SCCCounselPartyRoleChar"/>
          <w:lang w:val="fr-CA"/>
        </w:rPr>
        <w:t>’</w:t>
      </w:r>
      <w:r w:rsidRPr="00A570AE">
        <w:rPr>
          <w:rStyle w:val="SCCCounselPartyRoleChar"/>
          <w:lang w:val="fr-CA"/>
        </w:rPr>
        <w:t>intervenante Queen</w:t>
      </w:r>
      <w:r>
        <w:rPr>
          <w:rStyle w:val="SCCCounselPartyRoleChar"/>
          <w:lang w:val="fr-CA"/>
        </w:rPr>
        <w:t>’</w:t>
      </w:r>
      <w:r w:rsidRPr="00A570AE">
        <w:rPr>
          <w:rStyle w:val="SCCCounselPartyRoleChar"/>
          <w:lang w:val="fr-CA"/>
        </w:rPr>
        <w:t>s Prison Law Clinic.</w:t>
      </w:r>
    </w:p>
    <w:p w:rsidR="00B233C0" w:rsidRPr="00A570AE" w:rsidRDefault="00B233C0" w:rsidP="00B233C0">
      <w:pPr>
        <w:pStyle w:val="SCCNormalDoubleSpacing"/>
        <w:spacing w:after="480"/>
        <w:rPr>
          <w:lang w:val="fr-CA"/>
        </w:rPr>
      </w:pPr>
      <w:r w:rsidRPr="00A570AE">
        <w:rPr>
          <w:rStyle w:val="SCCCounselNameChar"/>
          <w:lang w:val="fr-CA"/>
        </w:rPr>
        <w:tab/>
        <w:t>Michael Battista</w:t>
      </w:r>
      <w:r w:rsidRPr="00A570AE">
        <w:rPr>
          <w:rStyle w:val="SCCCounselSeparatorChar"/>
          <w:lang w:val="fr-CA"/>
        </w:rPr>
        <w:t xml:space="preserve"> et </w:t>
      </w:r>
      <w:r w:rsidRPr="00A570AE">
        <w:rPr>
          <w:rStyle w:val="SCCCounselNameChar"/>
          <w:lang w:val="fr-CA"/>
        </w:rPr>
        <w:t>Adrienne Smith</w:t>
      </w:r>
      <w:r w:rsidRPr="00A570AE">
        <w:rPr>
          <w:rStyle w:val="SCCCounselPartyRoleChar"/>
          <w:lang w:val="fr-CA"/>
        </w:rPr>
        <w:t>, pour l</w:t>
      </w:r>
      <w:r>
        <w:rPr>
          <w:rStyle w:val="SCCCounselPartyRoleChar"/>
          <w:lang w:val="fr-CA"/>
        </w:rPr>
        <w:t>’</w:t>
      </w:r>
      <w:r w:rsidRPr="00A570AE">
        <w:rPr>
          <w:rStyle w:val="SCCCounselPartyRoleChar"/>
          <w:lang w:val="fr-CA"/>
        </w:rPr>
        <w:t>intervenant</w:t>
      </w:r>
      <w:r w:rsidR="00E1552E">
        <w:rPr>
          <w:rStyle w:val="SCCCounselPartyRoleChar"/>
          <w:lang w:val="fr-CA"/>
        </w:rPr>
        <w:t xml:space="preserve"> le</w:t>
      </w:r>
      <w:r w:rsidRPr="00A570AE">
        <w:rPr>
          <w:rStyle w:val="SCCCounselPartyRoleChar"/>
          <w:lang w:val="fr-CA"/>
        </w:rPr>
        <w:t xml:space="preserve"> Fonds Égale Canada pour les droits de la personne.</w:t>
      </w:r>
    </w:p>
    <w:p w:rsidR="00B233C0" w:rsidRPr="00A570AE" w:rsidRDefault="00B233C0" w:rsidP="00B233C0">
      <w:pPr>
        <w:pStyle w:val="SCCNormalDoubleSpacing"/>
        <w:spacing w:after="480"/>
        <w:rPr>
          <w:lang w:val="fr-CA"/>
        </w:rPr>
      </w:pPr>
      <w:r w:rsidRPr="00A570AE">
        <w:rPr>
          <w:rStyle w:val="SCCCounselNameChar"/>
          <w:lang w:val="fr-CA"/>
        </w:rPr>
        <w:tab/>
        <w:t>Frances Mahon</w:t>
      </w:r>
      <w:r w:rsidRPr="00A570AE">
        <w:rPr>
          <w:rStyle w:val="SCCCounselPartyRoleChar"/>
          <w:lang w:val="fr-CA"/>
        </w:rPr>
        <w:t>, pour l</w:t>
      </w:r>
      <w:r>
        <w:rPr>
          <w:rStyle w:val="SCCCounselPartyRoleChar"/>
          <w:lang w:val="fr-CA"/>
        </w:rPr>
        <w:t>’</w:t>
      </w:r>
      <w:r w:rsidRPr="00A570AE">
        <w:rPr>
          <w:rStyle w:val="SCCCounselPartyRoleChar"/>
          <w:lang w:val="fr-CA"/>
        </w:rPr>
        <w:t>intervenante British Columbia Civil Liberties Association.</w:t>
      </w:r>
    </w:p>
    <w:p w:rsidR="00B233C0" w:rsidRPr="00A570AE" w:rsidRDefault="00B233C0" w:rsidP="00B233C0">
      <w:pPr>
        <w:pStyle w:val="SCCNormalDoubleSpacing"/>
        <w:spacing w:after="480"/>
        <w:rPr>
          <w:lang w:val="fr-CA"/>
        </w:rPr>
      </w:pPr>
      <w:r w:rsidRPr="00A570AE">
        <w:rPr>
          <w:rStyle w:val="SCCCounselNameChar"/>
          <w:lang w:val="fr-CA"/>
        </w:rPr>
        <w:tab/>
        <w:t>Ewa Krajewska</w:t>
      </w:r>
      <w:r w:rsidRPr="00A570AE">
        <w:rPr>
          <w:rStyle w:val="SCCCounselSeparatorChar"/>
          <w:lang w:val="fr-CA"/>
        </w:rPr>
        <w:t xml:space="preserve"> et </w:t>
      </w:r>
      <w:r w:rsidRPr="00A570AE">
        <w:rPr>
          <w:rStyle w:val="SCCCounselNameChar"/>
          <w:lang w:val="fr-CA"/>
        </w:rPr>
        <w:t>Pierre N. Gemson</w:t>
      </w:r>
      <w:r w:rsidRPr="00A570AE">
        <w:rPr>
          <w:rStyle w:val="SCCCounselPartyRoleChar"/>
          <w:lang w:val="fr-CA"/>
        </w:rPr>
        <w:t>, pour l</w:t>
      </w:r>
      <w:r>
        <w:rPr>
          <w:rStyle w:val="SCCCounselPartyRoleChar"/>
          <w:lang w:val="fr-CA"/>
        </w:rPr>
        <w:t>’</w:t>
      </w:r>
      <w:r w:rsidRPr="00A570AE">
        <w:rPr>
          <w:rStyle w:val="SCCCounselPartyRoleChar"/>
          <w:lang w:val="fr-CA"/>
        </w:rPr>
        <w:t>intervenante l</w:t>
      </w:r>
      <w:r>
        <w:rPr>
          <w:rStyle w:val="SCCCounselPartyRoleChar"/>
          <w:lang w:val="fr-CA"/>
        </w:rPr>
        <w:t>’</w:t>
      </w:r>
      <w:r w:rsidRPr="00A570AE">
        <w:rPr>
          <w:rStyle w:val="SCCCounselPartyRoleChar"/>
          <w:lang w:val="fr-CA"/>
        </w:rPr>
        <w:t>Association canadienne des libertés civiles.</w:t>
      </w:r>
    </w:p>
    <w:p w:rsidR="00B233C0" w:rsidRDefault="00B233C0" w:rsidP="00D07237">
      <w:pPr>
        <w:pStyle w:val="SCCNormalDoubleSpacing"/>
        <w:spacing w:after="480"/>
        <w:rPr>
          <w:rStyle w:val="SCCCounselPartyRoleChar"/>
          <w:lang w:val="fr-CA"/>
        </w:rPr>
      </w:pPr>
      <w:r w:rsidRPr="00A570AE">
        <w:rPr>
          <w:rStyle w:val="SCCCounselNameChar"/>
          <w:lang w:val="fr-CA"/>
        </w:rPr>
        <w:tab/>
        <w:t>Simon Borys</w:t>
      </w:r>
      <w:r w:rsidRPr="00A570AE">
        <w:rPr>
          <w:rStyle w:val="SCCCounselSeparatorChar"/>
          <w:lang w:val="fr-CA"/>
        </w:rPr>
        <w:t xml:space="preserve"> et </w:t>
      </w:r>
      <w:r w:rsidRPr="00A570AE">
        <w:rPr>
          <w:rStyle w:val="SCCCounselNameChar"/>
          <w:lang w:val="fr-CA"/>
        </w:rPr>
        <w:t>Simon Wallace</w:t>
      </w:r>
      <w:r w:rsidRPr="00A570AE">
        <w:rPr>
          <w:rStyle w:val="SCCCounselPartyRoleChar"/>
          <w:lang w:val="fr-CA"/>
        </w:rPr>
        <w:t>, pour l</w:t>
      </w:r>
      <w:r>
        <w:rPr>
          <w:rStyle w:val="SCCCounselPartyRoleChar"/>
          <w:lang w:val="fr-CA"/>
        </w:rPr>
        <w:t>’</w:t>
      </w:r>
      <w:r w:rsidRPr="00A570AE">
        <w:rPr>
          <w:rStyle w:val="SCCCounselPartyRoleChar"/>
          <w:lang w:val="fr-CA"/>
        </w:rPr>
        <w:t>intervenante Canadian Prison Law Association.</w:t>
      </w:r>
    </w:p>
    <w:p w:rsidR="00B233C0" w:rsidRDefault="00D07237" w:rsidP="00D07237">
      <w:pPr>
        <w:pStyle w:val="SCCNormalDoubleSpacing"/>
        <w:spacing w:after="360"/>
        <w:rPr>
          <w:lang w:val="fr-CA"/>
        </w:rPr>
      </w:pPr>
      <w:r>
        <w:rPr>
          <w:lang w:val="fr-CA"/>
        </w:rPr>
        <w:tab/>
      </w:r>
      <w:r w:rsidR="00B233C0" w:rsidRPr="002E7820">
        <w:rPr>
          <w:lang w:val="fr-CA"/>
        </w:rPr>
        <w:t xml:space="preserve">Version française </w:t>
      </w:r>
      <w:r w:rsidR="00B233C0">
        <w:rPr>
          <w:lang w:val="fr-CA"/>
        </w:rPr>
        <w:t>du jugement du juge en chef Wagner et des</w:t>
      </w:r>
      <w:r w:rsidR="00B233C0" w:rsidRPr="00EA53E1">
        <w:rPr>
          <w:lang w:val="fr-CA"/>
        </w:rPr>
        <w:t xml:space="preserve"> juges </w:t>
      </w:r>
      <w:r w:rsidR="00B233C0">
        <w:rPr>
          <w:lang w:val="fr-CA"/>
        </w:rPr>
        <w:t>Moldaver, Karakatsanis, Gascon</w:t>
      </w:r>
      <w:r w:rsidR="00B233C0" w:rsidRPr="003620FF">
        <w:rPr>
          <w:lang w:val="fr-CA"/>
        </w:rPr>
        <w:t xml:space="preserve">, </w:t>
      </w:r>
      <w:r w:rsidR="00B233C0">
        <w:rPr>
          <w:lang w:val="fr-CA"/>
        </w:rPr>
        <w:t xml:space="preserve">Côté et Brown </w:t>
      </w:r>
      <w:r w:rsidR="00B233C0" w:rsidRPr="00EA53E1">
        <w:rPr>
          <w:lang w:val="fr-CA"/>
        </w:rPr>
        <w:t xml:space="preserve">rendu par </w:t>
      </w:r>
    </w:p>
    <w:p w:rsidR="00B233C0" w:rsidRPr="003E073E" w:rsidRDefault="00B233C0" w:rsidP="00B233C0">
      <w:pPr>
        <w:pStyle w:val="JudgeJuge"/>
        <w:spacing w:before="480"/>
        <w:rPr>
          <w:lang w:val="fr-CA"/>
        </w:rPr>
      </w:pPr>
      <w:r w:rsidRPr="003E073E">
        <w:rPr>
          <w:lang w:val="fr-CA"/>
        </w:rPr>
        <w:tab/>
        <w:t xml:space="preserve">La juge Karakatsanis — </w:t>
      </w:r>
    </w:p>
    <w:p w:rsidR="00B233C0" w:rsidRPr="003E073E" w:rsidRDefault="00B233C0" w:rsidP="00B233C0">
      <w:pPr>
        <w:pStyle w:val="Title1LevelTitre1Niveau-AltL"/>
        <w:rPr>
          <w:rFonts w:cs="Times New Roman"/>
          <w:lang w:val="fr-CA"/>
        </w:rPr>
      </w:pPr>
      <w:r w:rsidRPr="003E073E">
        <w:rPr>
          <w:rFonts w:cs="Times New Roman"/>
          <w:lang w:val="fr-CA"/>
        </w:rPr>
        <w:t>Aperçu</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Le bref d’</w:t>
      </w:r>
      <w:r w:rsidRPr="003E073E">
        <w:rPr>
          <w:rFonts w:cs="Times New Roman"/>
          <w:i/>
          <w:lang w:val="fr-CA"/>
        </w:rPr>
        <w:t>habeas corpus</w:t>
      </w:r>
      <w:r w:rsidRPr="003E073E">
        <w:rPr>
          <w:rFonts w:cs="Times New Roman"/>
          <w:lang w:val="fr-CA"/>
        </w:rPr>
        <w:t xml:space="preserve"> est une ancienne mesure de réparation juridique qui demeure fondamentale aujourd’hui pour la liberté individuelle et la primauté du droit. Remontant au 13</w:t>
      </w:r>
      <w:r w:rsidRPr="003E073E">
        <w:rPr>
          <w:rFonts w:cs="Times New Roman"/>
          <w:vertAlign w:val="superscript"/>
          <w:lang w:val="fr-CA"/>
        </w:rPr>
        <w:t>e</w:t>
      </w:r>
      <w:r w:rsidRPr="003E073E">
        <w:rPr>
          <w:rFonts w:cs="Times New Roman"/>
          <w:lang w:val="fr-CA"/>
        </w:rPr>
        <w:t xml:space="preserve"> siècle, ce bref garantit la protection de la personne contre les privations illégales de liberté. Enchâssé dans la </w:t>
      </w:r>
      <w:r w:rsidRPr="003E073E">
        <w:rPr>
          <w:rFonts w:cs="Times New Roman"/>
          <w:i/>
          <w:lang w:val="fr-CA"/>
        </w:rPr>
        <w:t>Charte canadienne des droits et libertés</w:t>
      </w:r>
      <w:r w:rsidRPr="003E073E">
        <w:rPr>
          <w:rFonts w:cs="Times New Roman"/>
          <w:lang w:val="fr-CA"/>
        </w:rPr>
        <w:t>, à l’</w:t>
      </w:r>
      <w:r>
        <w:rPr>
          <w:rFonts w:cs="Times New Roman"/>
          <w:lang w:val="fr-CA"/>
        </w:rPr>
        <w:t>al. </w:t>
      </w:r>
      <w:r w:rsidRPr="003E073E">
        <w:rPr>
          <w:rFonts w:cs="Times New Roman"/>
          <w:lang w:val="fr-CA"/>
        </w:rPr>
        <w:t>10</w:t>
      </w:r>
      <w:r w:rsidRPr="003E073E">
        <w:rPr>
          <w:rFonts w:cs="Times New Roman"/>
          <w:i/>
          <w:lang w:val="fr-CA"/>
        </w:rPr>
        <w:t>c</w:t>
      </w:r>
      <w:r w:rsidRPr="003E073E">
        <w:rPr>
          <w:rFonts w:cs="Times New Roman"/>
          <w:lang w:val="fr-CA"/>
        </w:rPr>
        <w:t>), le droit à l’</w:t>
      </w:r>
      <w:r w:rsidRPr="003E073E">
        <w:rPr>
          <w:rFonts w:cs="Times New Roman"/>
          <w:i/>
          <w:lang w:val="fr-CA"/>
        </w:rPr>
        <w:t>habeas corpus</w:t>
      </w:r>
      <w:r w:rsidRPr="003E073E">
        <w:rPr>
          <w:rFonts w:cs="Times New Roman"/>
          <w:lang w:val="fr-CA"/>
        </w:rPr>
        <w:t xml:space="preserve"> permet à ceux qui sont détenus de s’adresser à une cour supérieure provinciale et de revendiquer de savoir si la détention est justifiée en droit. Si l’autorité compétente ne peut fournir une justification suffisante, la personne doit être libérée.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Malgré l’importance de l’</w:t>
      </w:r>
      <w:r w:rsidRPr="003E073E">
        <w:rPr>
          <w:rFonts w:cs="Times New Roman"/>
          <w:i/>
          <w:lang w:val="fr-CA"/>
        </w:rPr>
        <w:t>habeas corpus</w:t>
      </w:r>
      <w:r w:rsidRPr="003E073E">
        <w:rPr>
          <w:rFonts w:cs="Times New Roman"/>
          <w:lang w:val="fr-CA"/>
        </w:rPr>
        <w:t>, la Cour a élaboré deux exceptions restreintes qui empêchent d’y avoir recours. Premièrement, la cour supérieure provinciale devrait refuser d’exercer sa compétence pour entendre une demande d’</w:t>
      </w:r>
      <w:r w:rsidRPr="003E073E">
        <w:rPr>
          <w:rFonts w:cs="Times New Roman"/>
          <w:i/>
          <w:lang w:val="fr-CA"/>
        </w:rPr>
        <w:t>habeas corpus</w:t>
      </w:r>
      <w:r w:rsidRPr="003E073E">
        <w:rPr>
          <w:rFonts w:cs="Times New Roman"/>
          <w:lang w:val="fr-CA"/>
        </w:rPr>
        <w:t xml:space="preserve"> lorsqu’un détenu utilise cette demande pour contester la légalité de sa déclaration de culpabilité ou de la peine qui lui a été infligée, puisque c’est au moyen des mécanismes d’appel habituels qui sont énoncés dans le </w:t>
      </w:r>
      <w:r w:rsidRPr="003E073E">
        <w:rPr>
          <w:rFonts w:cs="Times New Roman"/>
          <w:i/>
          <w:lang w:val="fr-CA"/>
        </w:rPr>
        <w:t>Code criminel</w:t>
      </w:r>
      <w:r w:rsidRPr="003E073E">
        <w:rPr>
          <w:rFonts w:cs="Times New Roman"/>
          <w:lang w:val="fr-CA"/>
        </w:rPr>
        <w:t>, L.R.C. 1985, c. C</w:t>
      </w:r>
      <w:r>
        <w:rPr>
          <w:rFonts w:cs="Times New Roman"/>
          <w:lang w:val="fr-CA"/>
        </w:rPr>
        <w:noBreakHyphen/>
      </w:r>
      <w:r w:rsidRPr="003E073E">
        <w:rPr>
          <w:rFonts w:cs="Times New Roman"/>
          <w:lang w:val="fr-CA"/>
        </w:rPr>
        <w:t xml:space="preserve">46, qu’il convient de présenter une telle contestation (voir </w:t>
      </w:r>
      <w:r w:rsidRPr="003E073E">
        <w:rPr>
          <w:rFonts w:cs="Times New Roman"/>
          <w:i/>
          <w:lang w:val="fr-CA"/>
        </w:rPr>
        <w:t>R. c. Gamble</w:t>
      </w:r>
      <w:r w:rsidRPr="003E073E">
        <w:rPr>
          <w:rFonts w:cs="Times New Roman"/>
          <w:lang w:val="fr-CA"/>
        </w:rPr>
        <w:t xml:space="preserve">, [1988] 2 R.C.S. 595, </w:t>
      </w:r>
      <w:r>
        <w:rPr>
          <w:rFonts w:cs="Times New Roman"/>
          <w:lang w:val="fr-CA"/>
        </w:rPr>
        <w:t>p. </w:t>
      </w:r>
      <w:r w:rsidRPr="003E073E">
        <w:rPr>
          <w:rFonts w:cs="Times New Roman"/>
          <w:lang w:val="fr-CA"/>
        </w:rPr>
        <w:t>636</w:t>
      </w:r>
      <w:r>
        <w:rPr>
          <w:rFonts w:cs="Times New Roman"/>
          <w:lang w:val="fr-CA"/>
        </w:rPr>
        <w:noBreakHyphen/>
      </w:r>
      <w:r w:rsidRPr="003E073E">
        <w:rPr>
          <w:rFonts w:cs="Times New Roman"/>
          <w:lang w:val="fr-CA"/>
        </w:rPr>
        <w:t>637). Deuxièmement, la cour supérieure provinciale devrait également refuser d’exercer sa compétence lorsque le législateur a mis en place « un régime complet, exhaustif et spécialisé prévoyant une procédure d’examen au moins aussi large et aussi avantageuse que celle de l’</w:t>
      </w:r>
      <w:r w:rsidRPr="003E073E">
        <w:rPr>
          <w:rFonts w:cs="Times New Roman"/>
          <w:i/>
          <w:lang w:val="fr-CA"/>
        </w:rPr>
        <w:t>habeas corpus</w:t>
      </w:r>
      <w:r w:rsidRPr="003E073E">
        <w:rPr>
          <w:rFonts w:cs="Times New Roman"/>
          <w:lang w:val="fr-CA"/>
        </w:rPr>
        <w:t> » (</w:t>
      </w:r>
      <w:r w:rsidRPr="003E073E">
        <w:rPr>
          <w:rFonts w:cs="Times New Roman"/>
          <w:i/>
          <w:lang w:val="fr-CA"/>
        </w:rPr>
        <w:t>May c. Établissement Ferndale</w:t>
      </w:r>
      <w:r w:rsidRPr="003E073E">
        <w:rPr>
          <w:rFonts w:cs="Times New Roman"/>
          <w:lang w:val="fr-CA"/>
        </w:rPr>
        <w:t xml:space="preserve">, 2005 CSC 82, [2005] 3 R.C.S. 809, </w:t>
      </w:r>
      <w:r>
        <w:rPr>
          <w:rFonts w:cs="Times New Roman"/>
          <w:lang w:val="fr-CA"/>
        </w:rPr>
        <w:t>par. </w:t>
      </w:r>
      <w:r w:rsidRPr="003E073E">
        <w:rPr>
          <w:rFonts w:cs="Times New Roman"/>
          <w:lang w:val="fr-CA"/>
        </w:rPr>
        <w:t xml:space="preserve">40). Cette seconde exception est maintenant appelée l’exception établie par l’arrêt </w:t>
      </w:r>
      <w:r w:rsidRPr="003E073E">
        <w:rPr>
          <w:rFonts w:cs="Times New Roman"/>
          <w:i/>
          <w:lang w:val="fr-CA"/>
        </w:rPr>
        <w:t>Peiroo</w:t>
      </w:r>
      <w:r w:rsidRPr="003E073E">
        <w:rPr>
          <w:rFonts w:cs="Times New Roman"/>
          <w:lang w:val="fr-CA"/>
        </w:rPr>
        <w:t xml:space="preserve"> (voir </w:t>
      </w:r>
      <w:r w:rsidRPr="003E073E">
        <w:rPr>
          <w:rFonts w:cs="Times New Roman"/>
          <w:i/>
          <w:lang w:val="fr-CA"/>
        </w:rPr>
        <w:t>Peiroo c. Canada (Minister of Employment and Immigration)</w:t>
      </w:r>
      <w:r w:rsidRPr="003E073E">
        <w:rPr>
          <w:rFonts w:cs="Times New Roman"/>
          <w:lang w:val="fr-CA"/>
        </w:rPr>
        <w:t xml:space="preserve"> (1989), 69 O.R. (2d) 253 (C.A.)).</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En l’espèce, M. Chhina a présenté une demande d’</w:t>
      </w:r>
      <w:r w:rsidRPr="003E073E">
        <w:rPr>
          <w:rFonts w:cs="Times New Roman"/>
          <w:i/>
          <w:lang w:val="fr-CA"/>
        </w:rPr>
        <w:t>habeas corpus</w:t>
      </w:r>
      <w:r w:rsidRPr="003E073E">
        <w:rPr>
          <w:rFonts w:cs="Times New Roman"/>
          <w:lang w:val="fr-CA"/>
        </w:rPr>
        <w:t xml:space="preserve">, faisant valoir que sa détention aux fins d’immigration était devenue illégale au regard de la </w:t>
      </w:r>
      <w:r w:rsidRPr="003E073E">
        <w:rPr>
          <w:rFonts w:cs="Times New Roman"/>
          <w:i/>
          <w:lang w:val="fr-CA"/>
        </w:rPr>
        <w:t>Charte</w:t>
      </w:r>
      <w:r w:rsidRPr="003E073E">
        <w:rPr>
          <w:rFonts w:cs="Times New Roman"/>
          <w:lang w:val="fr-CA"/>
        </w:rPr>
        <w:t>, en raison de sa longueur et de sa durée incertaine. Il a également contesté sa détention au motif qu’il était détenu dans des conditions de confinement cellulaire inappropriées dans une unité à sécurité maximale.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La Cour doit trancher la question de savoir si la Cour du Banc de la Reine de l’Alberta a commis une erreur en refusant d’exercer sa compétence pour entendre la demande d’</w:t>
      </w:r>
      <w:r w:rsidRPr="003E073E">
        <w:rPr>
          <w:rFonts w:cs="Times New Roman"/>
          <w:i/>
          <w:lang w:val="fr-CA"/>
        </w:rPr>
        <w:t>habeas corpus</w:t>
      </w:r>
      <w:r w:rsidRPr="003E073E">
        <w:rPr>
          <w:rFonts w:cs="Times New Roman"/>
          <w:lang w:val="fr-CA"/>
        </w:rPr>
        <w:t xml:space="preserve"> de M. Chhina au motif que la </w:t>
      </w:r>
      <w:r w:rsidRPr="003E073E">
        <w:rPr>
          <w:rFonts w:cs="Times New Roman"/>
          <w:i/>
          <w:lang w:val="fr-CA"/>
        </w:rPr>
        <w:t>Loi sur l’immigration et la protection des réfugiés</w:t>
      </w:r>
      <w:r w:rsidRPr="003E073E">
        <w:rPr>
          <w:rFonts w:cs="Times New Roman"/>
          <w:lang w:val="fr-CA"/>
        </w:rPr>
        <w:t>, L.C. 2001, c. 27 (</w:t>
      </w:r>
      <w:r w:rsidRPr="003E073E">
        <w:rPr>
          <w:rFonts w:cs="Times New Roman"/>
          <w:i/>
          <w:lang w:val="fr-CA"/>
        </w:rPr>
        <w:t>LIPR</w:t>
      </w:r>
      <w:r w:rsidRPr="003E073E">
        <w:rPr>
          <w:rFonts w:cs="Times New Roman"/>
          <w:lang w:val="fr-CA"/>
        </w:rPr>
        <w:t>)</w:t>
      </w:r>
      <w:r w:rsidR="00D07237">
        <w:rPr>
          <w:rFonts w:cs="Times New Roman"/>
          <w:lang w:val="fr-CA"/>
        </w:rPr>
        <w:t>,</w:t>
      </w:r>
      <w:r w:rsidRPr="003E073E">
        <w:rPr>
          <w:rFonts w:cs="Times New Roman"/>
          <w:lang w:val="fr-CA"/>
        </w:rPr>
        <w:t xml:space="preserve"> satisfait à la seconde exception.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Les parties ne contestent pas le fait que le régime législatif établi par la </w:t>
      </w:r>
      <w:r w:rsidRPr="003E073E">
        <w:rPr>
          <w:rFonts w:cs="Times New Roman"/>
          <w:i/>
          <w:lang w:val="fr-CA"/>
        </w:rPr>
        <w:t>LIPR</w:t>
      </w:r>
      <w:r w:rsidRPr="003E073E">
        <w:rPr>
          <w:rFonts w:cs="Times New Roman"/>
          <w:lang w:val="fr-CA"/>
        </w:rPr>
        <w:t xml:space="preserve"> prévoit une procédure complète, exhaustive et spécialisée pour l’examen en général de questions en matière d’immigration. C’est la conclusion qu’avait tirée la Cour d’appel de l’Ontario dans l’arrêt </w:t>
      </w:r>
      <w:r w:rsidRPr="003E073E">
        <w:rPr>
          <w:rFonts w:cs="Times New Roman"/>
          <w:i/>
          <w:lang w:val="fr-CA"/>
        </w:rPr>
        <w:t>Peiroo</w:t>
      </w:r>
      <w:r w:rsidRPr="003E073E">
        <w:rPr>
          <w:rFonts w:cs="Times New Roman"/>
          <w:lang w:val="fr-CA"/>
        </w:rPr>
        <w:t>. Ce que la présente affaire souligne cependant, c’est que, pour décider si un régime est aussi large et aussi avantageux que celui de l’</w:t>
      </w:r>
      <w:r w:rsidRPr="003E073E">
        <w:rPr>
          <w:rFonts w:cs="Times New Roman"/>
          <w:i/>
          <w:lang w:val="fr-CA"/>
        </w:rPr>
        <w:t>habeas corpus</w:t>
      </w:r>
      <w:r w:rsidRPr="003E073E">
        <w:rPr>
          <w:rFonts w:cs="Times New Roman"/>
          <w:lang w:val="fr-CA"/>
        </w:rPr>
        <w:t xml:space="preserve">, il faut l’examiner en fonction des </w:t>
      </w:r>
      <w:r w:rsidRPr="003E073E">
        <w:rPr>
          <w:rFonts w:cs="Times New Roman"/>
          <w:i/>
          <w:lang w:val="fr-CA"/>
        </w:rPr>
        <w:t>motifs particuliers</w:t>
      </w:r>
      <w:r w:rsidRPr="003E073E">
        <w:rPr>
          <w:rFonts w:cs="Times New Roman"/>
          <w:lang w:val="fr-CA"/>
        </w:rPr>
        <w:t xml:space="preserve"> qui sont invoqués pour contester la légalité de la détention.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L’exception établie par l’arrêt </w:t>
      </w:r>
      <w:r w:rsidRPr="003E073E">
        <w:rPr>
          <w:rFonts w:cs="Times New Roman"/>
          <w:i/>
          <w:lang w:val="fr-CA"/>
        </w:rPr>
        <w:t>Peiroo</w:t>
      </w:r>
      <w:r w:rsidRPr="003E073E">
        <w:rPr>
          <w:rFonts w:cs="Times New Roman"/>
          <w:lang w:val="fr-CA"/>
        </w:rPr>
        <w:t xml:space="preserve"> n’empêche donc pas de présenter des demandes d’</w:t>
      </w:r>
      <w:r w:rsidRPr="003E073E">
        <w:rPr>
          <w:rFonts w:cs="Times New Roman"/>
          <w:i/>
          <w:lang w:val="fr-CA"/>
        </w:rPr>
        <w:t xml:space="preserve">habeas corpus </w:t>
      </w:r>
      <w:r w:rsidRPr="003E073E">
        <w:rPr>
          <w:rFonts w:cs="Times New Roman"/>
          <w:lang w:val="fr-CA"/>
        </w:rPr>
        <w:t xml:space="preserve">relativement à toutes les privations de liberté découlant du régime législatif applicable en matière d’immigration. La question à trancher en l’espèce est donc plutôt celle de savoir si la </w:t>
      </w:r>
      <w:r w:rsidRPr="003E073E">
        <w:rPr>
          <w:rFonts w:cs="Times New Roman"/>
          <w:i/>
          <w:lang w:val="fr-CA"/>
        </w:rPr>
        <w:t>LIPR</w:t>
      </w:r>
      <w:r w:rsidRPr="003E073E">
        <w:rPr>
          <w:rFonts w:cs="Times New Roman"/>
          <w:lang w:val="fr-CA"/>
        </w:rPr>
        <w:t xml:space="preserve"> prévoit une procédure d’examen au moins aussi large et aussi avantageuse que celle de l’</w:t>
      </w:r>
      <w:r w:rsidRPr="003E073E">
        <w:rPr>
          <w:rFonts w:cs="Times New Roman"/>
          <w:i/>
          <w:lang w:val="fr-CA"/>
        </w:rPr>
        <w:t>habeas corpus</w:t>
      </w:r>
      <w:r w:rsidRPr="003E073E">
        <w:rPr>
          <w:rFonts w:cs="Times New Roman"/>
          <w:lang w:val="fr-CA"/>
        </w:rPr>
        <w:t xml:space="preserve"> en ce qui a trait aux remises en cause spécifiques de la légalité de la détention formulées dans la demande d’</w:t>
      </w:r>
      <w:r w:rsidRPr="003E073E">
        <w:rPr>
          <w:rFonts w:cs="Times New Roman"/>
          <w:i/>
          <w:lang w:val="fr-CA"/>
        </w:rPr>
        <w:t>habeas corpus</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À mon avis, ce n’est pas le cas. M. Chhina n’a pas remis en cause son statut d’immigration ni n’a contesté les mesures d’expulsion ou de mise en détention prises à son égard en soutenant que ces mesures ne respectaient pas la </w:t>
      </w:r>
      <w:r w:rsidRPr="003E073E">
        <w:rPr>
          <w:rFonts w:cs="Times New Roman"/>
          <w:i/>
          <w:lang w:val="fr-CA"/>
        </w:rPr>
        <w:t>LIPR</w:t>
      </w:r>
      <w:r w:rsidRPr="003E073E">
        <w:rPr>
          <w:rFonts w:cs="Times New Roman"/>
          <w:lang w:val="fr-CA"/>
        </w:rPr>
        <w:t xml:space="preserve">. Il a plutôt allégué que son maintien en détention était devenu illégal parce que la longueur de sa détention, les conditions dont elle était assortie ainsi que sa durée incertaine portaient atteinte aux droits qui lui sont garantis par la </w:t>
      </w:r>
      <w:r w:rsidRPr="003E073E">
        <w:rPr>
          <w:rFonts w:cs="Times New Roman"/>
          <w:i/>
          <w:lang w:val="fr-CA"/>
        </w:rPr>
        <w:t>Charte</w:t>
      </w:r>
      <w:r w:rsidRPr="003E073E">
        <w:rPr>
          <w:rFonts w:cs="Times New Roman"/>
          <w:lang w:val="fr-CA"/>
        </w:rPr>
        <w:t xml:space="preserve">. La </w:t>
      </w:r>
      <w:r w:rsidRPr="003E073E">
        <w:rPr>
          <w:rFonts w:cs="Times New Roman"/>
          <w:i/>
          <w:lang w:val="fr-CA"/>
        </w:rPr>
        <w:t>LIPR</w:t>
      </w:r>
      <w:r w:rsidRPr="003E073E">
        <w:rPr>
          <w:rFonts w:cs="Times New Roman"/>
          <w:lang w:val="fr-CA"/>
        </w:rPr>
        <w:t xml:space="preserve"> ne prévoit pas de contrôle aussi large et aussi avantageux que ne le fait le recours en </w:t>
      </w:r>
      <w:r w:rsidRPr="003E073E">
        <w:rPr>
          <w:rFonts w:cs="Times New Roman"/>
          <w:i/>
          <w:lang w:val="fr-CA"/>
        </w:rPr>
        <w:t>habeas corpus</w:t>
      </w:r>
      <w:r w:rsidRPr="003E073E">
        <w:rPr>
          <w:rFonts w:cs="Times New Roman"/>
          <w:lang w:val="fr-CA"/>
        </w:rPr>
        <w:t xml:space="preserve"> pour de telles questions. M. Chhina avait donc droit à ce que sa demande d’</w:t>
      </w:r>
      <w:r w:rsidRPr="003E073E">
        <w:rPr>
          <w:rFonts w:cs="Times New Roman"/>
          <w:i/>
          <w:lang w:val="fr-CA"/>
        </w:rPr>
        <w:t>habeas corpus</w:t>
      </w:r>
      <w:r w:rsidRPr="003E073E">
        <w:rPr>
          <w:rFonts w:cs="Times New Roman"/>
          <w:lang w:val="fr-CA"/>
        </w:rPr>
        <w:t xml:space="preserve"> soit entendue par un juge de la Cour du Banc de la Reine de l’Alberta.</w:t>
      </w:r>
    </w:p>
    <w:p w:rsidR="00B233C0" w:rsidRPr="003E073E" w:rsidRDefault="00B233C0" w:rsidP="00B233C0">
      <w:pPr>
        <w:pStyle w:val="Title1LevelTitre1Niveau-AltL"/>
        <w:rPr>
          <w:rFonts w:cs="Times New Roman"/>
          <w:lang w:val="fr-CA"/>
        </w:rPr>
      </w:pPr>
      <w:r w:rsidRPr="003E073E">
        <w:rPr>
          <w:rFonts w:cs="Times New Roman"/>
          <w:lang w:val="fr-CA"/>
        </w:rPr>
        <w:t>Faits</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L’intimé, Tusif Chhina, est entré au Canada sous un autre nom en décembre 2006, et il a obtenu le statut de réfugié approximativement deux ans plus tard. En février 2012, le statut de réfugié de M. Chhina a été annulé, et il a été déclaré interdit de territoire au Canada, à la fois parce que sa demande d’asile comportait de fausses déclarations et parce qu’il avait participé à des activités criminelles. Une mesure d’expulsion a été prise contre lui.</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Après avoir passé du temps en détention au criminel, M. Chhina a été mis en détention aux fins de l’immigration en avril 2013. Toutefois, étant donné les délais pour obtenir des documents de voyage de la part du Pakistan, M. Chhina a été mis en liberté sous conditions sept mois plus tard. Il n’a pas respecté les conditions qui lui avaient été infligées et il a disparu pendant un an. Il a toutefois fini par être remis en détention aux fins de l’immigration en novembre 2015. Il a été placé au Calgary Remand Center, une unité à sécurité maximale qui garde les détenus en confinement cellulaire 22 heures et demie par jour. Les agents de la fonction publique ont contrôlé le bien</w:t>
      </w:r>
      <w:r>
        <w:rPr>
          <w:rFonts w:cs="Times New Roman"/>
          <w:lang w:val="fr-CA"/>
        </w:rPr>
        <w:noBreakHyphen/>
      </w:r>
      <w:r w:rsidRPr="003E073E">
        <w:rPr>
          <w:rFonts w:cs="Times New Roman"/>
          <w:lang w:val="fr-CA"/>
        </w:rPr>
        <w:t>fondé de la détention de M. Chhina mensuellement, conformément à l’</w:t>
      </w:r>
      <w:r>
        <w:rPr>
          <w:rFonts w:cs="Times New Roman"/>
          <w:lang w:val="fr-CA"/>
        </w:rPr>
        <w:t>art. </w:t>
      </w:r>
      <w:r w:rsidRPr="003E073E">
        <w:rPr>
          <w:rFonts w:cs="Times New Roman"/>
          <w:lang w:val="fr-CA"/>
        </w:rPr>
        <w:t xml:space="preserve">57 de la </w:t>
      </w:r>
      <w:r w:rsidRPr="003E073E">
        <w:rPr>
          <w:rFonts w:cs="Times New Roman"/>
          <w:i/>
          <w:lang w:val="fr-CA"/>
        </w:rPr>
        <w:t>LIPR</w:t>
      </w:r>
      <w:r w:rsidRPr="003E073E">
        <w:rPr>
          <w:rFonts w:cs="Times New Roman"/>
          <w:lang w:val="fr-CA"/>
        </w:rPr>
        <w:t>, et ils ont conclu chaque fois qu’il y avait lieu de confirmer la décision de le détenir.</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M. Chhina a déposé sa demande d’</w:t>
      </w:r>
      <w:r w:rsidRPr="003E073E">
        <w:rPr>
          <w:rFonts w:cs="Times New Roman"/>
          <w:i/>
          <w:lang w:val="fr-CA"/>
        </w:rPr>
        <w:t>habeas corpus</w:t>
      </w:r>
      <w:r w:rsidRPr="003E073E">
        <w:rPr>
          <w:rFonts w:cs="Times New Roman"/>
          <w:lang w:val="fr-CA"/>
        </w:rPr>
        <w:t xml:space="preserve"> en mai 2016, faisant valoir que sa détention aux fins de l’immigration était rendue illégale, parce qu’elle était devenue trop longue et d’une durée indéterminée, et parce que les conditions dont elle était assortie étaient [</w:t>
      </w:r>
      <w:r w:rsidRPr="003E073E">
        <w:rPr>
          <w:rFonts w:cs="Times New Roman"/>
          <w:smallCaps/>
          <w:lang w:val="fr-CA"/>
        </w:rPr>
        <w:t>traduction</w:t>
      </w:r>
      <w:r w:rsidRPr="003E073E">
        <w:rPr>
          <w:rFonts w:cs="Times New Roman"/>
          <w:lang w:val="fr-CA"/>
        </w:rPr>
        <w:t>] « i</w:t>
      </w:r>
      <w:r w:rsidR="00D07237">
        <w:rPr>
          <w:rFonts w:cs="Times New Roman"/>
          <w:lang w:val="fr-CA"/>
        </w:rPr>
        <w:t>nappropriées » (m</w:t>
      </w:r>
      <w:r w:rsidRPr="003E073E">
        <w:rPr>
          <w:rFonts w:cs="Times New Roman"/>
          <w:lang w:val="fr-CA"/>
        </w:rPr>
        <w:t>otifs de la Cour du Banc de la Reine de l’Alberta, n</w:t>
      </w:r>
      <w:r w:rsidRPr="003E073E">
        <w:rPr>
          <w:rFonts w:cs="Times New Roman"/>
          <w:vertAlign w:val="superscript"/>
          <w:lang w:val="fr-CA"/>
        </w:rPr>
        <w:t>o</w:t>
      </w:r>
      <w:r w:rsidRPr="003E073E">
        <w:rPr>
          <w:rFonts w:cs="Times New Roman"/>
          <w:lang w:val="fr-CA"/>
        </w:rPr>
        <w:t xml:space="preserve"> 160576914X1, 2 septembre 2016 (décision non publiée), </w:t>
      </w:r>
      <w:r>
        <w:rPr>
          <w:rFonts w:cs="Times New Roman"/>
          <w:lang w:val="fr-CA"/>
        </w:rPr>
        <w:t>p. </w:t>
      </w:r>
      <w:r w:rsidRPr="003E073E">
        <w:rPr>
          <w:rFonts w:cs="Times New Roman"/>
          <w:lang w:val="fr-CA"/>
        </w:rPr>
        <w:t>2). Au moment de la présentation de sa demande devant la Cour du Banc de la Reine de l’Alberta, il avait passé un total de 13 mois en détention aux fins de l’immigration.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Le juge siégeant en son cabinet a refusé d’exercer sa compétence pour examiner la demande d’</w:t>
      </w:r>
      <w:r w:rsidRPr="003E073E">
        <w:rPr>
          <w:rFonts w:cs="Times New Roman"/>
          <w:i/>
          <w:lang w:val="fr-CA"/>
        </w:rPr>
        <w:t>habeas corpus</w:t>
      </w:r>
      <w:r w:rsidRPr="003E073E">
        <w:rPr>
          <w:rFonts w:cs="Times New Roman"/>
          <w:lang w:val="fr-CA"/>
        </w:rPr>
        <w:t xml:space="preserve"> de M. Chhina puisque, selon lui, la </w:t>
      </w:r>
      <w:r w:rsidRPr="003E073E">
        <w:rPr>
          <w:rFonts w:cs="Times New Roman"/>
          <w:i/>
          <w:lang w:val="fr-CA"/>
        </w:rPr>
        <w:t xml:space="preserve">LIPR </w:t>
      </w:r>
      <w:r w:rsidRPr="003E073E">
        <w:rPr>
          <w:rFonts w:cs="Times New Roman"/>
          <w:lang w:val="fr-CA"/>
        </w:rPr>
        <w:t xml:space="preserve">constituait un cadre législatif exhaustif qui satisfaisait à l’exception établie par l’arrêt </w:t>
      </w:r>
      <w:r w:rsidRPr="003E073E">
        <w:rPr>
          <w:rFonts w:cs="Times New Roman"/>
          <w:i/>
          <w:lang w:val="fr-CA"/>
        </w:rPr>
        <w:t>Peiroo</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La Cour d’appel de l’Alberta (2017 ABCA 248, 56 Alta. L.R. (6th) 1) a infirmé cette décision, et elle a déclaré que le juge siégeant en son cabinet aurait dû exercer son pouvoir discrétionnaire pour entendre la demande d’</w:t>
      </w:r>
      <w:r w:rsidRPr="003E073E">
        <w:rPr>
          <w:rFonts w:cs="Times New Roman"/>
          <w:i/>
          <w:lang w:val="fr-CA"/>
        </w:rPr>
        <w:t>habeas corpus</w:t>
      </w:r>
      <w:r w:rsidRPr="003E073E">
        <w:rPr>
          <w:rFonts w:cs="Times New Roman"/>
          <w:lang w:val="fr-CA"/>
        </w:rPr>
        <w:t xml:space="preserve"> de M. Chhina. Étant donné l’importance du bref, elle a aussi fait remarquer que les exceptions à la disponibilité de l’</w:t>
      </w:r>
      <w:r w:rsidRPr="003E073E">
        <w:rPr>
          <w:rFonts w:cs="Times New Roman"/>
          <w:i/>
          <w:lang w:val="fr-CA"/>
        </w:rPr>
        <w:t>habeas corpus</w:t>
      </w:r>
      <w:r w:rsidRPr="003E073E">
        <w:rPr>
          <w:rFonts w:cs="Times New Roman"/>
          <w:lang w:val="fr-CA"/>
        </w:rPr>
        <w:t xml:space="preserve"> devaient être restreintes et bien définies. Ainsi, un juge siégeant en son cabinet ne devrait refuser d’entendre des demandes d’</w:t>
      </w:r>
      <w:r w:rsidRPr="003E073E">
        <w:rPr>
          <w:rFonts w:cs="Times New Roman"/>
          <w:i/>
          <w:lang w:val="fr-CA"/>
        </w:rPr>
        <w:t>habeas</w:t>
      </w:r>
      <w:r w:rsidRPr="003E073E">
        <w:rPr>
          <w:rFonts w:cs="Times New Roman"/>
          <w:lang w:val="fr-CA"/>
        </w:rPr>
        <w:t xml:space="preserve"> </w:t>
      </w:r>
      <w:r w:rsidRPr="003E073E">
        <w:rPr>
          <w:rFonts w:cs="Times New Roman"/>
          <w:i/>
          <w:lang w:val="fr-CA"/>
        </w:rPr>
        <w:t>corpus</w:t>
      </w:r>
      <w:r w:rsidRPr="003E073E">
        <w:rPr>
          <w:rFonts w:cs="Times New Roman"/>
          <w:lang w:val="fr-CA"/>
        </w:rPr>
        <w:t xml:space="preserve"> que dans des circonstances limitées, au</w:t>
      </w:r>
      <w:r>
        <w:rPr>
          <w:rFonts w:cs="Times New Roman"/>
          <w:lang w:val="fr-CA"/>
        </w:rPr>
        <w:noBreakHyphen/>
      </w:r>
      <w:r w:rsidRPr="003E073E">
        <w:rPr>
          <w:rFonts w:cs="Times New Roman"/>
          <w:lang w:val="fr-CA"/>
        </w:rPr>
        <w:t>delà desquelles la décision par un tribunal de décliner sa compétence constitue une erreur de droit.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Tout en prenant acte de ce qui avait été décidé dans l’arrêt </w:t>
      </w:r>
      <w:r w:rsidRPr="003E073E">
        <w:rPr>
          <w:rFonts w:cs="Times New Roman"/>
          <w:i/>
          <w:lang w:val="fr-CA"/>
        </w:rPr>
        <w:t>Peiroo</w:t>
      </w:r>
      <w:r w:rsidRPr="003E073E">
        <w:rPr>
          <w:rFonts w:cs="Times New Roman"/>
          <w:lang w:val="fr-CA"/>
        </w:rPr>
        <w:t>, la juge Greckol, s’exprimant au nom de la Cour d’appel, a conclu que l’exception n’empêchait pas de présenter des demandes d’</w:t>
      </w:r>
      <w:r w:rsidRPr="003E073E">
        <w:rPr>
          <w:rFonts w:cs="Times New Roman"/>
          <w:i/>
          <w:lang w:val="fr-CA"/>
        </w:rPr>
        <w:t>habeas corpus</w:t>
      </w:r>
      <w:r w:rsidRPr="003E073E">
        <w:rPr>
          <w:rFonts w:cs="Times New Roman"/>
          <w:lang w:val="fr-CA"/>
        </w:rPr>
        <w:t xml:space="preserve"> dans toutes les affaires liées à l’immigration. Elle a distingué la remise en cause formulée par M. Chhina de celle plaidée dans </w:t>
      </w:r>
      <w:r w:rsidRPr="003E073E">
        <w:rPr>
          <w:rFonts w:cs="Times New Roman"/>
          <w:i/>
          <w:lang w:val="fr-CA"/>
        </w:rPr>
        <w:t>Peiroo</w:t>
      </w:r>
      <w:r w:rsidRPr="003E073E">
        <w:rPr>
          <w:rFonts w:cs="Times New Roman"/>
          <w:lang w:val="fr-CA"/>
        </w:rPr>
        <w:t xml:space="preserve"> en soulignant que, contrairement à la demanderesse dans cette dernière affaire, M. Chhina ne contestait pas les décisions sur son interdiction de territoire ou sur son expulsion. Il remettait plutôt en cause la légalité de sa détention, accessoire à ces décisions, en se fondant sur la </w:t>
      </w:r>
      <w:r w:rsidRPr="003E073E">
        <w:rPr>
          <w:rFonts w:cs="Times New Roman"/>
          <w:i/>
          <w:lang w:val="fr-CA"/>
        </w:rPr>
        <w:t>Charte</w:t>
      </w:r>
      <w:r w:rsidRPr="003E073E">
        <w:rPr>
          <w:rFonts w:cs="Times New Roman"/>
          <w:lang w:val="fr-CA"/>
        </w:rPr>
        <w:t>. L’issue de la demande d’</w:t>
      </w:r>
      <w:r w:rsidRPr="003E073E">
        <w:rPr>
          <w:rFonts w:cs="Times New Roman"/>
          <w:i/>
          <w:lang w:val="fr-CA"/>
        </w:rPr>
        <w:t>habeas corpus</w:t>
      </w:r>
      <w:r w:rsidRPr="003E073E">
        <w:rPr>
          <w:rFonts w:cs="Times New Roman"/>
          <w:lang w:val="fr-CA"/>
        </w:rPr>
        <w:t xml:space="preserve"> de M. Chhina n’aurait aucun effet sur son statut d’immigration ou sur la mesure d’expulsion prise contre lui, mais, si elle était accueillie, cela entraînerait immédiatement sa mise en liberté.</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De ce point de vue, la juge Greckol a perçu des différences manifestes entre le contrôle ainsi que la mesure de réparation qui existent dans le cadre du processus établi par la </w:t>
      </w:r>
      <w:r w:rsidRPr="003E073E">
        <w:rPr>
          <w:rFonts w:cs="Times New Roman"/>
          <w:i/>
          <w:lang w:val="fr-CA"/>
        </w:rPr>
        <w:t>LIPR</w:t>
      </w:r>
      <w:r w:rsidRPr="003E073E">
        <w:rPr>
          <w:rFonts w:cs="Times New Roman"/>
          <w:lang w:val="fr-CA"/>
        </w:rPr>
        <w:t xml:space="preserve"> et ceux qui sont applicables dans le contexte d’une demande d’</w:t>
      </w:r>
      <w:r w:rsidRPr="003E073E">
        <w:rPr>
          <w:rFonts w:cs="Times New Roman"/>
          <w:i/>
          <w:lang w:val="fr-CA"/>
        </w:rPr>
        <w:t>habeas corpus</w:t>
      </w:r>
      <w:r w:rsidRPr="003E073E">
        <w:rPr>
          <w:rFonts w:cs="Times New Roman"/>
          <w:lang w:val="fr-CA"/>
        </w:rPr>
        <w:t xml:space="preserve">, ces derniers étant, selon elle, plus larges et plus avantageux lorsque la remise en cause est liée à la longueur et à la durée indéterminée de la détention. Ainsi, l’exception établie par l’arrêt </w:t>
      </w:r>
      <w:r w:rsidRPr="003E073E">
        <w:rPr>
          <w:rFonts w:cs="Times New Roman"/>
          <w:i/>
          <w:lang w:val="fr-CA"/>
        </w:rPr>
        <w:t>Peiroo</w:t>
      </w:r>
      <w:r w:rsidRPr="003E073E">
        <w:rPr>
          <w:rFonts w:cs="Times New Roman"/>
          <w:lang w:val="fr-CA"/>
        </w:rPr>
        <w:t xml:space="preserve"> ne s’appliquait pas au cas de M. Chhina, et l’affaire a été renvoyée à la Cour du Banc de la Reine pour que celle</w:t>
      </w:r>
      <w:r>
        <w:rPr>
          <w:rFonts w:cs="Times New Roman"/>
          <w:lang w:val="fr-CA"/>
        </w:rPr>
        <w:noBreakHyphen/>
      </w:r>
      <w:r w:rsidRPr="003E073E">
        <w:rPr>
          <w:rFonts w:cs="Times New Roman"/>
          <w:lang w:val="fr-CA"/>
        </w:rPr>
        <w:t>ci tienne une audience sur le fond de la demande d’</w:t>
      </w:r>
      <w:r w:rsidRPr="003E073E">
        <w:rPr>
          <w:rFonts w:cs="Times New Roman"/>
          <w:i/>
          <w:lang w:val="fr-CA"/>
        </w:rPr>
        <w:t>habeas corpus</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Par la suite, des documents de voyage ont été obtenus pour M. Chhina et il a été renvoyé du Canada en septembre 2017. Les arguments au sujet de sa détention sont donc maintenant théoriques. Cela dit, comme l’illustre le cas de M. Chhina, les demandes d’</w:t>
      </w:r>
      <w:r w:rsidRPr="003E073E">
        <w:rPr>
          <w:rFonts w:cs="Times New Roman"/>
          <w:i/>
          <w:lang w:val="fr-CA"/>
        </w:rPr>
        <w:t>habeas corpus</w:t>
      </w:r>
      <w:r w:rsidRPr="003E073E">
        <w:rPr>
          <w:rFonts w:cs="Times New Roman"/>
          <w:lang w:val="fr-CA"/>
        </w:rPr>
        <w:t xml:space="preserve"> échappent souvent à l’examen judiciaire, puisqu’un changement dans les faits a fréquemment pour résultat que la demande devient théorique avant de pouvoir être examinée en appel (</w:t>
      </w:r>
      <w:r w:rsidRPr="003E073E">
        <w:rPr>
          <w:rFonts w:cs="Times New Roman"/>
          <w:i/>
          <w:lang w:val="fr-CA"/>
        </w:rPr>
        <w:t>Établissement de Mission c. Khela</w:t>
      </w:r>
      <w:r w:rsidRPr="003E073E">
        <w:rPr>
          <w:rFonts w:cs="Times New Roman"/>
          <w:lang w:val="fr-CA"/>
        </w:rPr>
        <w:t xml:space="preserve">, 2014 CSC 24, [2014] 1 R.C.S. 502, </w:t>
      </w:r>
      <w:r>
        <w:rPr>
          <w:rFonts w:cs="Times New Roman"/>
          <w:lang w:val="fr-CA"/>
        </w:rPr>
        <w:t>par. </w:t>
      </w:r>
      <w:r w:rsidRPr="003E073E">
        <w:rPr>
          <w:rFonts w:cs="Times New Roman"/>
          <w:lang w:val="fr-CA"/>
        </w:rPr>
        <w:t>14). Étant donné l’importance de définir clairement les limites des exceptions à l’</w:t>
      </w:r>
      <w:r w:rsidRPr="003E073E">
        <w:rPr>
          <w:rFonts w:cs="Times New Roman"/>
          <w:i/>
          <w:lang w:val="fr-CA"/>
        </w:rPr>
        <w:t>habeas corpus</w:t>
      </w:r>
      <w:r w:rsidRPr="003E073E">
        <w:rPr>
          <w:rFonts w:cs="Times New Roman"/>
          <w:lang w:val="fr-CA"/>
        </w:rPr>
        <w:t>, il convient que la Cour étudie les questions juridiques soulevées par le pourvoi de M. Chhina, malgré son caractère théorique. Aucune partie ne s’est opposée à ce que la Cour procède à cet examen.</w:t>
      </w:r>
    </w:p>
    <w:p w:rsidR="00B233C0" w:rsidRPr="003E073E" w:rsidRDefault="00B233C0" w:rsidP="00B233C0">
      <w:pPr>
        <w:pStyle w:val="Title1LevelTitre1Niveau-AltL"/>
        <w:rPr>
          <w:rFonts w:cs="Times New Roman"/>
          <w:lang w:val="fr-CA"/>
        </w:rPr>
      </w:pPr>
      <w:r w:rsidRPr="003E073E">
        <w:rPr>
          <w:rFonts w:cs="Times New Roman"/>
          <w:lang w:val="fr-CA"/>
        </w:rPr>
        <w:t>Questions en litige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Le présent pourvoi a trait à la portée et à l’application de l’exception établie par l’arrêt </w:t>
      </w:r>
      <w:r w:rsidRPr="003E073E">
        <w:rPr>
          <w:rFonts w:cs="Times New Roman"/>
          <w:i/>
          <w:lang w:val="fr-CA"/>
        </w:rPr>
        <w:t>Peiroo</w:t>
      </w:r>
      <w:r w:rsidRPr="003E073E">
        <w:rPr>
          <w:rFonts w:cs="Times New Roman"/>
          <w:lang w:val="fr-CA"/>
        </w:rPr>
        <w:t>, ce qui donne à la Cour une occasion de clarifier quand un régime législatif complet, exhaustif et spécialisé prévoit un examen aussi large et aussi avantageux que l’</w:t>
      </w:r>
      <w:r w:rsidRPr="003E073E">
        <w:rPr>
          <w:rFonts w:cs="Times New Roman"/>
          <w:i/>
          <w:lang w:val="fr-CA"/>
        </w:rPr>
        <w:t>habeas corpus</w:t>
      </w:r>
      <w:r w:rsidRPr="003E073E">
        <w:rPr>
          <w:rFonts w:cs="Times New Roman"/>
          <w:lang w:val="fr-CA"/>
        </w:rPr>
        <w:t>, de sorte qu’il sera interdit à un détenu de présenter une demande d’</w:t>
      </w:r>
      <w:r w:rsidRPr="003E073E">
        <w:rPr>
          <w:rFonts w:cs="Times New Roman"/>
          <w:i/>
          <w:lang w:val="fr-CA"/>
        </w:rPr>
        <w:t>habeas corpus</w:t>
      </w:r>
      <w:r w:rsidRPr="005A6B47">
        <w:rPr>
          <w:rStyle w:val="Hyperlink"/>
          <w:vertAlign w:val="superscript"/>
        </w:rPr>
        <w:footnoteReference w:id="1"/>
      </w:r>
      <w:r w:rsidRPr="003E073E">
        <w:rPr>
          <w:rFonts w:cs="Times New Roman"/>
          <w:lang w:val="fr-CA"/>
        </w:rPr>
        <w:t>.</w:t>
      </w:r>
    </w:p>
    <w:p w:rsidR="00B233C0" w:rsidRPr="003E073E" w:rsidRDefault="00B233C0" w:rsidP="00B233C0">
      <w:pPr>
        <w:pStyle w:val="Title1LevelTitre1Niveau-AltL"/>
        <w:rPr>
          <w:rFonts w:cs="Times New Roman"/>
          <w:lang w:val="fr-CA"/>
        </w:rPr>
      </w:pPr>
      <w:r w:rsidRPr="003E073E">
        <w:rPr>
          <w:rFonts w:cs="Times New Roman"/>
          <w:lang w:val="fr-CA"/>
        </w:rPr>
        <w:t>Analyse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Les cours supérieures provinciales possèdent une compétence inhérente pour entendre les demandes d’</w:t>
      </w:r>
      <w:r w:rsidRPr="003E073E">
        <w:rPr>
          <w:rFonts w:cs="Times New Roman"/>
          <w:i/>
          <w:lang w:val="fr-CA"/>
        </w:rPr>
        <w:t>habeas corpus</w:t>
      </w:r>
      <w:r w:rsidRPr="003E073E">
        <w:rPr>
          <w:rFonts w:cs="Times New Roman"/>
          <w:lang w:val="fr-CA"/>
        </w:rPr>
        <w:t xml:space="preserve"> (</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 xml:space="preserve">29). Ce type de demande exige du demandeur qu’il établisse l’existence d’une privation de liberté et qu’il avance un motif légitime pour contester la légalité de cette privation. Une fois que cela est fait, le fardeau est renversé, et il appartient à l’autorité qui le détient de démontrer que la privation de liberté est légale. Pour qu’il en soit ainsi, le décideur doit avoir le pouvoir de l’ordonner, le processus décisionnel doit être équitable et la décision de mise en détention doit être raisonnable et conforme à la </w:t>
      </w:r>
      <w:r w:rsidRPr="003E073E">
        <w:rPr>
          <w:rFonts w:cs="Times New Roman"/>
          <w:i/>
          <w:lang w:val="fr-CA"/>
        </w:rPr>
        <w:t xml:space="preserve">Charte </w:t>
      </w:r>
      <w:r w:rsidRPr="003E073E">
        <w:rPr>
          <w:rFonts w:cs="Times New Roman"/>
          <w:lang w:val="fr-CA"/>
        </w:rPr>
        <w:t>(</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 xml:space="preserve">77; </w:t>
      </w:r>
      <w:r w:rsidRPr="003E073E">
        <w:rPr>
          <w:rFonts w:cs="Times New Roman"/>
          <w:i/>
          <w:lang w:val="fr-CA"/>
        </w:rPr>
        <w:t>R. c. Khela</w:t>
      </w:r>
      <w:r w:rsidRPr="003E073E">
        <w:rPr>
          <w:rFonts w:cs="Times New Roman"/>
          <w:lang w:val="fr-CA"/>
        </w:rPr>
        <w:t xml:space="preserve">, 2009 CSC 4, [2009] 1 R.C.S. 104, </w:t>
      </w:r>
      <w:r>
        <w:rPr>
          <w:rFonts w:cs="Times New Roman"/>
          <w:lang w:val="fr-CA"/>
        </w:rPr>
        <w:t>par. </w:t>
      </w:r>
      <w:r w:rsidRPr="003E073E">
        <w:rPr>
          <w:rFonts w:cs="Times New Roman"/>
          <w:lang w:val="fr-CA"/>
        </w:rPr>
        <w:t xml:space="preserve">72). Les modifications qui sont apportées aux conditions ou aux ordonnances et qui mènent à d’autres privations de liberté peuvent également être contestées de la même manière. Lorsque, comme en l’espèce, la demande est assortie d’un </w:t>
      </w:r>
      <w:r w:rsidRPr="003E073E">
        <w:rPr>
          <w:rFonts w:cs="Times New Roman"/>
          <w:i/>
          <w:lang w:val="fr-CA"/>
        </w:rPr>
        <w:t>certiorari</w:t>
      </w:r>
      <w:r w:rsidRPr="003E073E">
        <w:rPr>
          <w:rFonts w:cs="Times New Roman"/>
          <w:lang w:val="fr-CA"/>
        </w:rPr>
        <w:t xml:space="preserve"> auxiliaire, le tribunal qui entend la demande effectue son examen en fonction du dossier qui a donn</w:t>
      </w:r>
      <w:r w:rsidR="00E1552E">
        <w:rPr>
          <w:rFonts w:cs="Times New Roman"/>
          <w:lang w:val="fr-CA"/>
        </w:rPr>
        <w:t xml:space="preserve">é lieu à la décision (J. Farbey, </w:t>
      </w:r>
      <w:r w:rsidRPr="003E073E">
        <w:rPr>
          <w:rFonts w:cs="Times New Roman"/>
          <w:lang w:val="fr-CA"/>
        </w:rPr>
        <w:t>R. J. Sharpe</w:t>
      </w:r>
      <w:r w:rsidR="00E1552E">
        <w:rPr>
          <w:rFonts w:cs="Times New Roman"/>
          <w:lang w:val="fr-CA"/>
        </w:rPr>
        <w:t xml:space="preserve"> et </w:t>
      </w:r>
      <w:r w:rsidRPr="003E073E">
        <w:rPr>
          <w:rFonts w:cs="Times New Roman"/>
          <w:lang w:val="fr-CA"/>
        </w:rPr>
        <w:t xml:space="preserve">S. Atrill, </w:t>
      </w:r>
      <w:r w:rsidRPr="003E073E">
        <w:rPr>
          <w:rFonts w:cs="Times New Roman"/>
          <w:i/>
          <w:lang w:val="fr-CA"/>
        </w:rPr>
        <w:t>The Law of Habeas Corpus</w:t>
      </w:r>
      <w:r w:rsidRPr="003E073E">
        <w:rPr>
          <w:rFonts w:cs="Times New Roman"/>
          <w:lang w:val="fr-CA"/>
        </w:rPr>
        <w:t xml:space="preserve"> (3</w:t>
      </w:r>
      <w:r w:rsidRPr="003E073E">
        <w:rPr>
          <w:rFonts w:cs="Times New Roman"/>
          <w:vertAlign w:val="superscript"/>
          <w:lang w:val="fr-CA"/>
        </w:rPr>
        <w:t>e</w:t>
      </w:r>
      <w:r w:rsidRPr="003E073E">
        <w:rPr>
          <w:rFonts w:cs="Times New Roman"/>
          <w:lang w:val="fr-CA"/>
        </w:rPr>
        <w:t xml:space="preserve"> éd. 2011), </w:t>
      </w:r>
      <w:r>
        <w:rPr>
          <w:rFonts w:cs="Times New Roman"/>
          <w:lang w:val="fr-CA"/>
        </w:rPr>
        <w:t>p. </w:t>
      </w:r>
      <w:r w:rsidRPr="003E073E">
        <w:rPr>
          <w:rFonts w:cs="Times New Roman"/>
          <w:lang w:val="fr-CA"/>
        </w:rPr>
        <w:t xml:space="preserve">45; </w:t>
      </w:r>
      <w:r w:rsidRPr="003E073E">
        <w:rPr>
          <w:rFonts w:cs="Times New Roman"/>
          <w:i/>
          <w:lang w:val="fr-CA"/>
        </w:rPr>
        <w:t>Établissement de Mission c. Khela</w:t>
      </w:r>
      <w:r w:rsidRPr="003E073E">
        <w:rPr>
          <w:rFonts w:cs="Times New Roman"/>
          <w:lang w:val="fr-CA"/>
        </w:rPr>
        <w:t xml:space="preserve">, </w:t>
      </w:r>
      <w:r>
        <w:rPr>
          <w:rFonts w:cs="Times New Roman"/>
          <w:lang w:val="fr-CA"/>
        </w:rPr>
        <w:t>par. </w:t>
      </w:r>
      <w:r w:rsidRPr="003E073E">
        <w:rPr>
          <w:rFonts w:cs="Times New Roman"/>
          <w:lang w:val="fr-CA"/>
        </w:rPr>
        <w:t xml:space="preserve">35; </w:t>
      </w:r>
      <w:r w:rsidRPr="003E073E">
        <w:rPr>
          <w:rFonts w:cs="Times New Roman"/>
          <w:i/>
          <w:lang w:val="fr-CA"/>
        </w:rPr>
        <w:t>R. c. Miller</w:t>
      </w:r>
      <w:r w:rsidRPr="003E073E">
        <w:rPr>
          <w:rFonts w:cs="Times New Roman"/>
          <w:lang w:val="fr-CA"/>
        </w:rPr>
        <w:t>,</w:t>
      </w:r>
      <w:r w:rsidRPr="003E073E">
        <w:rPr>
          <w:rFonts w:cs="Times New Roman"/>
          <w:i/>
          <w:lang w:val="fr-CA"/>
        </w:rPr>
        <w:t xml:space="preserve"> </w:t>
      </w:r>
      <w:r w:rsidRPr="003E073E">
        <w:rPr>
          <w:rFonts w:cs="Times New Roman"/>
          <w:lang w:val="fr-CA"/>
        </w:rPr>
        <w:t xml:space="preserve">[1985] 2 R.C.S. 613, </w:t>
      </w:r>
      <w:r>
        <w:rPr>
          <w:rFonts w:cs="Times New Roman"/>
          <w:lang w:val="fr-CA"/>
        </w:rPr>
        <w:t>p. </w:t>
      </w:r>
      <w:r w:rsidRPr="003E073E">
        <w:rPr>
          <w:rFonts w:cs="Times New Roman"/>
          <w:lang w:val="fr-CA"/>
        </w:rPr>
        <w:t>624).</w:t>
      </w:r>
    </w:p>
    <w:p w:rsidR="00B233C0" w:rsidRPr="003E073E" w:rsidRDefault="00B233C0" w:rsidP="00B233C0">
      <w:pPr>
        <w:pStyle w:val="ParaNoNdepar-AltN"/>
        <w:tabs>
          <w:tab w:val="clear" w:pos="1166"/>
          <w:tab w:val="num" w:pos="1152"/>
        </w:tabs>
        <w:rPr>
          <w:rFonts w:cs="Times New Roman"/>
          <w:lang w:val="fr-CA"/>
        </w:rPr>
      </w:pPr>
      <w:r>
        <w:rPr>
          <w:rFonts w:cs="Times New Roman"/>
          <w:lang w:val="fr-CA"/>
        </w:rPr>
        <w:t>L</w:t>
      </w:r>
      <w:r w:rsidRPr="003E073E">
        <w:rPr>
          <w:rFonts w:cs="Times New Roman"/>
          <w:lang w:val="fr-CA"/>
        </w:rPr>
        <w:t>a demande d’</w:t>
      </w:r>
      <w:r w:rsidRPr="003E073E">
        <w:rPr>
          <w:rFonts w:cs="Times New Roman"/>
          <w:i/>
          <w:lang w:val="fr-CA"/>
        </w:rPr>
        <w:t>habeas corpus</w:t>
      </w:r>
      <w:r w:rsidRPr="003E073E">
        <w:rPr>
          <w:rFonts w:cs="Times New Roman"/>
          <w:lang w:val="fr-CA"/>
        </w:rPr>
        <w:t xml:space="preserve"> n’est pas un recours discrétionnaire; elle est accueillie d’office lorsque le demandeur réussit à remettre en cause la légalité d’une détention. Une cour supérieure provinciale ne peut décliner sa compétence d’entendre une telle demande simplement parce qu’il existe d’autres recours (</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34 et 44). Elle peut le faire seulement lorsque le législateur a mis en place « un régime complet, exhaustif et spécialisé prévoyant une procédure d’examen au moins aussi large et aussi avantageuse que celle de l’</w:t>
      </w:r>
      <w:r w:rsidRPr="003E073E">
        <w:rPr>
          <w:rFonts w:cs="Times New Roman"/>
          <w:i/>
          <w:lang w:val="fr-CA"/>
        </w:rPr>
        <w:t>habeas corpus</w:t>
      </w:r>
      <w:r w:rsidRPr="003E073E">
        <w:rPr>
          <w:rFonts w:cs="Times New Roman"/>
          <w:lang w:val="fr-CA"/>
        </w:rPr>
        <w:t> »</w:t>
      </w:r>
      <w:r w:rsidRPr="003E073E" w:rsidDel="002725D1">
        <w:rPr>
          <w:rFonts w:cs="Times New Roman"/>
          <w:lang w:val="fr-CA"/>
        </w:rPr>
        <w:t xml:space="preserve"> </w:t>
      </w:r>
      <w:r w:rsidRPr="003E073E">
        <w:rPr>
          <w:rFonts w:cs="Times New Roman"/>
          <w:lang w:val="fr-CA"/>
        </w:rPr>
        <w:t>(</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 xml:space="preserve">40; </w:t>
      </w:r>
      <w:r w:rsidRPr="003E073E">
        <w:rPr>
          <w:rFonts w:cs="Times New Roman"/>
          <w:i/>
          <w:lang w:val="fr-CA"/>
        </w:rPr>
        <w:t>R. c. Bird</w:t>
      </w:r>
      <w:r w:rsidRPr="003E073E">
        <w:rPr>
          <w:rFonts w:cs="Times New Roman"/>
          <w:lang w:val="fr-CA"/>
        </w:rPr>
        <w:t xml:space="preserve">, 2019 CSC 7, </w:t>
      </w:r>
      <w:r w:rsidR="00D07237">
        <w:rPr>
          <w:rFonts w:cs="Times New Roman"/>
          <w:lang w:val="fr-CA"/>
        </w:rPr>
        <w:t xml:space="preserve">[2019] 1 R.C.S. </w:t>
      </w:r>
      <w:r w:rsidR="00E1552E">
        <w:rPr>
          <w:rFonts w:cs="Times New Roman"/>
          <w:lang w:val="fr-CA"/>
        </w:rPr>
        <w:t>409</w:t>
      </w:r>
      <w:r w:rsidR="00D07237">
        <w:rPr>
          <w:rFonts w:cs="Times New Roman"/>
          <w:lang w:val="fr-CA"/>
        </w:rPr>
        <w:t xml:space="preserve">, </w:t>
      </w:r>
      <w:r>
        <w:rPr>
          <w:rFonts w:cs="Times New Roman"/>
          <w:lang w:val="fr-CA"/>
        </w:rPr>
        <w:t>par. </w:t>
      </w:r>
      <w:r w:rsidRPr="003E073E">
        <w:rPr>
          <w:rFonts w:cs="Times New Roman"/>
          <w:lang w:val="fr-CA"/>
        </w:rPr>
        <w:t>65).</w:t>
      </w:r>
      <w:r w:rsidRPr="003E073E" w:rsidDel="002725D1">
        <w:rPr>
          <w:rFonts w:cs="Times New Roman"/>
          <w:lang w:val="fr-CA"/>
        </w:rPr>
        <w:t xml:space="preserve"> </w:t>
      </w:r>
      <w:r w:rsidRPr="003E073E">
        <w:rPr>
          <w:rFonts w:cs="Times New Roman"/>
          <w:lang w:val="fr-CA"/>
        </w:rPr>
        <w:t>Comme l’illustre le cas de M. Chhina, l’analyse doit s’effectuer à la lumière de la nature de la remise en cause spécifique soulevée dans la demande d’</w:t>
      </w:r>
      <w:r w:rsidRPr="003E073E">
        <w:rPr>
          <w:rFonts w:cs="Times New Roman"/>
          <w:i/>
          <w:lang w:val="fr-CA"/>
        </w:rPr>
        <w:t>habeas corpus</w:t>
      </w:r>
      <w:r w:rsidRPr="003E073E">
        <w:rPr>
          <w:rFonts w:cs="Times New Roman"/>
          <w:lang w:val="fr-CA"/>
        </w:rPr>
        <w:t xml:space="preserve"> quant à la légalité de la détention.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w:t>
      </w:r>
      <w:r w:rsidRPr="004A45B3">
        <w:rPr>
          <w:rFonts w:cs="Times New Roman"/>
          <w:i/>
          <w:lang w:val="fr-CA"/>
        </w:rPr>
        <w:t>h</w:t>
      </w:r>
      <w:r w:rsidRPr="003E073E">
        <w:rPr>
          <w:rFonts w:cs="Times New Roman"/>
          <w:i/>
          <w:lang w:val="fr-CA"/>
        </w:rPr>
        <w:t xml:space="preserve">abeas corpus </w:t>
      </w:r>
      <w:r w:rsidRPr="003E073E">
        <w:rPr>
          <w:rFonts w:cs="Times New Roman"/>
          <w:lang w:val="fr-CA"/>
        </w:rPr>
        <w:t>— que l’on peut traduire à peu près par « que tu aies le corps pour le soumettre » — était une expression familière dans le domaine de la procédure civile anglaise au 13</w:t>
      </w:r>
      <w:r w:rsidRPr="003E073E">
        <w:rPr>
          <w:rFonts w:cs="Times New Roman"/>
          <w:vertAlign w:val="superscript"/>
          <w:lang w:val="fr-CA"/>
        </w:rPr>
        <w:t>e</w:t>
      </w:r>
      <w:r w:rsidRPr="003E073E">
        <w:rPr>
          <w:rFonts w:cs="Times New Roman"/>
          <w:lang w:val="fr-CA"/>
        </w:rPr>
        <w:t xml:space="preserve"> siècle; cette procédure exigeait que l’on présente physiquement le défendeur à une action devant le tribunal (Farbey, Sharpe et Atrill, </w:t>
      </w:r>
      <w:r>
        <w:rPr>
          <w:rFonts w:cs="Times New Roman"/>
          <w:lang w:val="fr-CA"/>
        </w:rPr>
        <w:t>p. </w:t>
      </w:r>
      <w:r w:rsidRPr="003E073E">
        <w:rPr>
          <w:rFonts w:cs="Times New Roman"/>
          <w:lang w:val="fr-CA"/>
        </w:rPr>
        <w:t>2). Au cours des 15</w:t>
      </w:r>
      <w:r w:rsidRPr="003E073E">
        <w:rPr>
          <w:rFonts w:cs="Times New Roman"/>
          <w:vertAlign w:val="superscript"/>
          <w:lang w:val="fr-CA"/>
        </w:rPr>
        <w:t>e</w:t>
      </w:r>
      <w:r w:rsidRPr="003E073E">
        <w:rPr>
          <w:rFonts w:cs="Times New Roman"/>
          <w:lang w:val="fr-CA"/>
        </w:rPr>
        <w:t xml:space="preserve"> et 16</w:t>
      </w:r>
      <w:r w:rsidRPr="003E073E">
        <w:rPr>
          <w:rFonts w:cs="Times New Roman"/>
          <w:vertAlign w:val="superscript"/>
          <w:lang w:val="fr-CA"/>
        </w:rPr>
        <w:t>e</w:t>
      </w:r>
      <w:r w:rsidRPr="003E073E">
        <w:rPr>
          <w:rFonts w:cs="Times New Roman"/>
          <w:lang w:val="fr-CA"/>
        </w:rPr>
        <w:t> siècles, l’</w:t>
      </w:r>
      <w:r w:rsidRPr="003E073E">
        <w:rPr>
          <w:rFonts w:cs="Times New Roman"/>
          <w:i/>
          <w:lang w:val="fr-CA"/>
        </w:rPr>
        <w:t xml:space="preserve">habeas corpus </w:t>
      </w:r>
      <w:r w:rsidRPr="003E073E">
        <w:rPr>
          <w:rFonts w:cs="Times New Roman"/>
          <w:lang w:val="fr-CA"/>
        </w:rPr>
        <w:t>a pris sa forme moderne, permettant à un demandeur de réclamer une justification pour sa détention (</w:t>
      </w:r>
      <w:r>
        <w:rPr>
          <w:rFonts w:cs="Times New Roman"/>
          <w:lang w:val="fr-CA"/>
        </w:rPr>
        <w:t>p. </w:t>
      </w:r>
      <w:r w:rsidRPr="003E073E">
        <w:rPr>
          <w:rFonts w:cs="Times New Roman"/>
          <w:lang w:val="fr-CA"/>
        </w:rPr>
        <w:t>4) et devenant le [</w:t>
      </w:r>
      <w:r w:rsidRPr="003E073E">
        <w:rPr>
          <w:rFonts w:cs="Times New Roman"/>
          <w:smallCaps/>
          <w:lang w:val="fr-CA"/>
        </w:rPr>
        <w:t>traduction</w:t>
      </w:r>
      <w:r w:rsidRPr="003E073E">
        <w:rPr>
          <w:rFonts w:cs="Times New Roman"/>
          <w:lang w:val="fr-CA"/>
        </w:rPr>
        <w:t xml:space="preserve">] « grand bref efficace pour tous les cas de détention illégale » (W. Blackstone, </w:t>
      </w:r>
      <w:r w:rsidRPr="003E073E">
        <w:rPr>
          <w:rFonts w:cs="Times New Roman"/>
          <w:i/>
          <w:lang w:val="fr-CA"/>
        </w:rPr>
        <w:t>Commentaries on the Laws of England</w:t>
      </w:r>
      <w:r w:rsidRPr="003E073E">
        <w:rPr>
          <w:rFonts w:cs="Times New Roman"/>
          <w:lang w:val="fr-CA"/>
        </w:rPr>
        <w:t xml:space="preserve">, </w:t>
      </w:r>
      <w:r w:rsidR="00E15679">
        <w:rPr>
          <w:rFonts w:cs="Times New Roman"/>
          <w:lang w:val="fr-CA"/>
        </w:rPr>
        <w:t>Livre</w:t>
      </w:r>
      <w:r>
        <w:rPr>
          <w:rFonts w:cs="Times New Roman"/>
          <w:lang w:val="fr-CA"/>
        </w:rPr>
        <w:t> </w:t>
      </w:r>
      <w:r w:rsidR="00E15679">
        <w:rPr>
          <w:rFonts w:cs="Times New Roman"/>
          <w:lang w:val="fr-CA"/>
        </w:rPr>
        <w:t xml:space="preserve">III : </w:t>
      </w:r>
      <w:r w:rsidR="00E15679" w:rsidRPr="00E15679">
        <w:rPr>
          <w:rFonts w:cs="Times New Roman"/>
          <w:i/>
          <w:lang w:val="fr-CA"/>
        </w:rPr>
        <w:t>Of Private Wrongs</w:t>
      </w:r>
      <w:r w:rsidR="00E15679">
        <w:rPr>
          <w:rFonts w:cs="Times New Roman"/>
          <w:lang w:val="fr-CA"/>
        </w:rPr>
        <w:t xml:space="preserve"> (2016),</w:t>
      </w:r>
      <w:r w:rsidRPr="003E073E">
        <w:rPr>
          <w:rFonts w:cs="Times New Roman"/>
          <w:lang w:val="fr-CA"/>
        </w:rPr>
        <w:t xml:space="preserve"> par T. </w:t>
      </w:r>
      <w:r>
        <w:rPr>
          <w:rFonts w:cs="Times New Roman"/>
          <w:lang w:val="fr-CA"/>
        </w:rPr>
        <w:t>P. </w:t>
      </w:r>
      <w:r w:rsidR="00E15679">
        <w:rPr>
          <w:rFonts w:cs="Times New Roman"/>
          <w:lang w:val="fr-CA"/>
        </w:rPr>
        <w:t>Gallanis</w:t>
      </w:r>
      <w:r w:rsidRPr="003E073E">
        <w:rPr>
          <w:rFonts w:cs="Times New Roman"/>
          <w:lang w:val="fr-CA"/>
        </w:rPr>
        <w:t xml:space="preserve">, </w:t>
      </w:r>
      <w:r>
        <w:rPr>
          <w:rFonts w:cs="Times New Roman"/>
          <w:lang w:val="fr-CA"/>
        </w:rPr>
        <w:t>p. </w:t>
      </w:r>
      <w:r w:rsidR="00E15679">
        <w:rPr>
          <w:rFonts w:cs="Times New Roman"/>
          <w:lang w:val="fr-CA"/>
        </w:rPr>
        <w:t>89</w:t>
      </w:r>
      <w:r w:rsidRPr="003E073E">
        <w:rPr>
          <w:rFonts w:cs="Times New Roman"/>
          <w:lang w:val="fr-CA"/>
        </w:rPr>
        <w:t>). L’</w:t>
      </w:r>
      <w:r w:rsidRPr="004A45B3">
        <w:rPr>
          <w:rFonts w:cs="Times New Roman"/>
          <w:i/>
          <w:lang w:val="fr-CA"/>
        </w:rPr>
        <w:t>h</w:t>
      </w:r>
      <w:r w:rsidRPr="003E073E">
        <w:rPr>
          <w:rFonts w:cs="Times New Roman"/>
          <w:i/>
          <w:lang w:val="fr-CA"/>
        </w:rPr>
        <w:t>abeas corpus</w:t>
      </w:r>
      <w:r w:rsidRPr="003E073E">
        <w:rPr>
          <w:rFonts w:cs="Times New Roman"/>
          <w:lang w:val="fr-CA"/>
        </w:rPr>
        <w:t xml:space="preserve"> n’a jamais été [</w:t>
      </w:r>
      <w:r w:rsidRPr="003E073E">
        <w:rPr>
          <w:rFonts w:cs="Times New Roman"/>
          <w:smallCaps/>
          <w:lang w:val="fr-CA"/>
        </w:rPr>
        <w:t>traduction</w:t>
      </w:r>
      <w:r w:rsidRPr="003E073E">
        <w:rPr>
          <w:rFonts w:cs="Times New Roman"/>
          <w:lang w:val="fr-CA"/>
        </w:rPr>
        <w:t>] « un recours statique, étroit et formaliste »; au cours des siècles, sa portée « s’est [plutôt] élargie</w:t>
      </w:r>
      <w:r w:rsidR="00706ECC">
        <w:rPr>
          <w:rFonts w:cs="Times New Roman"/>
          <w:lang w:val="fr-CA"/>
        </w:rPr>
        <w:t xml:space="preserve"> </w:t>
      </w:r>
      <w:r w:rsidRPr="003E073E">
        <w:rPr>
          <w:rFonts w:cs="Times New Roman"/>
          <w:lang w:val="fr-CA"/>
        </w:rPr>
        <w:t>afin qu’il puisse remplir son objet premier — la protection des individus contre l’érosion de leur droit de ne pas se voir imposer de restrictions abusives à leur liberté » (</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 xml:space="preserve">21, citant </w:t>
      </w:r>
      <w:r w:rsidRPr="003E073E">
        <w:rPr>
          <w:rFonts w:cs="Times New Roman"/>
          <w:i/>
          <w:lang w:val="fr-CA"/>
        </w:rPr>
        <w:t>Jones c. Cunningham</w:t>
      </w:r>
      <w:r w:rsidRPr="003E073E">
        <w:rPr>
          <w:rFonts w:cs="Times New Roman"/>
          <w:lang w:val="fr-CA"/>
        </w:rPr>
        <w:t xml:space="preserve">, 371 U.S. 236 (1962), </w:t>
      </w:r>
      <w:r>
        <w:rPr>
          <w:rFonts w:cs="Times New Roman"/>
          <w:lang w:val="fr-CA"/>
        </w:rPr>
        <w:t>p. </w:t>
      </w:r>
      <w:r w:rsidRPr="003E073E">
        <w:rPr>
          <w:rFonts w:cs="Times New Roman"/>
          <w:lang w:val="fr-CA"/>
        </w:rPr>
        <w:t>243).</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w:t>
      </w:r>
      <w:r w:rsidRPr="004A45B3">
        <w:rPr>
          <w:rFonts w:cs="Times New Roman"/>
          <w:i/>
          <w:lang w:val="fr-CA"/>
        </w:rPr>
        <w:t>h</w:t>
      </w:r>
      <w:r w:rsidRPr="003E073E">
        <w:rPr>
          <w:rFonts w:cs="Times New Roman"/>
          <w:i/>
          <w:lang w:val="fr-CA"/>
        </w:rPr>
        <w:t>abeas corpus</w:t>
      </w:r>
      <w:r w:rsidRPr="003E073E">
        <w:rPr>
          <w:rFonts w:cs="Times New Roman"/>
          <w:lang w:val="fr-CA"/>
        </w:rPr>
        <w:t xml:space="preserve"> continue d’occuper une place essentielle et prestigieuse dans le paysage juridique moderne au Canada. Avant l’adoption de la </w:t>
      </w:r>
      <w:r w:rsidRPr="003E073E">
        <w:rPr>
          <w:rFonts w:cs="Times New Roman"/>
          <w:i/>
          <w:lang w:val="fr-CA"/>
        </w:rPr>
        <w:t>Charte</w:t>
      </w:r>
      <w:r w:rsidRPr="003E073E">
        <w:rPr>
          <w:rFonts w:cs="Times New Roman"/>
          <w:lang w:val="fr-CA"/>
        </w:rPr>
        <w:t>, l’</w:t>
      </w:r>
      <w:r>
        <w:rPr>
          <w:rFonts w:cs="Times New Roman"/>
          <w:lang w:val="fr-CA"/>
        </w:rPr>
        <w:t>art. </w:t>
      </w:r>
      <w:r w:rsidRPr="003E073E">
        <w:rPr>
          <w:rFonts w:cs="Times New Roman"/>
          <w:lang w:val="fr-CA"/>
        </w:rPr>
        <w:t xml:space="preserve">2 de la </w:t>
      </w:r>
      <w:r w:rsidRPr="003E073E">
        <w:rPr>
          <w:rFonts w:cs="Times New Roman"/>
          <w:i/>
          <w:lang w:val="fr-CA"/>
        </w:rPr>
        <w:t>Déclaration canadienne des droits</w:t>
      </w:r>
      <w:r w:rsidRPr="003E073E">
        <w:rPr>
          <w:rFonts w:cs="Times New Roman"/>
          <w:lang w:val="fr-CA"/>
        </w:rPr>
        <w:t>, S.C. 1960, c. 44, prescrivait qu’aucune loi du Canada ne serait interprétée ou ne s’appliquerait de manière à priver une personne de voir être jugée la validité de sa détention, et prévoyait que cette personne serait libérée si sa détention était déclarée illégale. En 1982, l’</w:t>
      </w:r>
      <w:r w:rsidRPr="003E073E">
        <w:rPr>
          <w:rFonts w:cs="Times New Roman"/>
          <w:i/>
          <w:lang w:val="fr-CA"/>
        </w:rPr>
        <w:t>habeas corpus</w:t>
      </w:r>
      <w:r w:rsidRPr="003E073E">
        <w:rPr>
          <w:rFonts w:cs="Times New Roman"/>
          <w:lang w:val="fr-CA"/>
        </w:rPr>
        <w:t xml:space="preserve"> est devenu un droit constitutionnel, enchâssé à l’</w:t>
      </w:r>
      <w:r>
        <w:rPr>
          <w:rFonts w:cs="Times New Roman"/>
          <w:lang w:val="fr-CA"/>
        </w:rPr>
        <w:t>al. </w:t>
      </w:r>
      <w:r w:rsidRPr="003E073E">
        <w:rPr>
          <w:rFonts w:cs="Times New Roman"/>
          <w:lang w:val="fr-CA"/>
        </w:rPr>
        <w:t>10</w:t>
      </w:r>
      <w:r w:rsidRPr="003E073E">
        <w:rPr>
          <w:rFonts w:cs="Times New Roman"/>
          <w:i/>
          <w:lang w:val="fr-CA"/>
        </w:rPr>
        <w:t>c</w:t>
      </w:r>
      <w:r w:rsidRPr="003E073E">
        <w:rPr>
          <w:rFonts w:cs="Times New Roman"/>
          <w:lang w:val="fr-CA"/>
        </w:rPr>
        <w:t xml:space="preserve">) de la </w:t>
      </w:r>
      <w:r w:rsidRPr="003E073E">
        <w:rPr>
          <w:rFonts w:cs="Times New Roman"/>
          <w:i/>
          <w:lang w:val="fr-CA"/>
        </w:rPr>
        <w:t>Charte</w:t>
      </w:r>
      <w:r>
        <w:rPr>
          <w:rFonts w:cs="Times New Roman"/>
          <w:lang w:val="fr-CA"/>
        </w:rPr>
        <w:t> :</w:t>
      </w:r>
      <w:r w:rsidRPr="003E073E">
        <w:rPr>
          <w:rFonts w:cs="Times New Roman"/>
          <w:lang w:val="fr-CA"/>
        </w:rPr>
        <w:t xml:space="preserve"> </w:t>
      </w:r>
    </w:p>
    <w:p w:rsidR="00B233C0" w:rsidRPr="003E073E" w:rsidRDefault="00B233C0" w:rsidP="00B233C0">
      <w:pPr>
        <w:pStyle w:val="Citation-AltC"/>
        <w:spacing w:after="240"/>
        <w:ind w:left="1168" w:hanging="1168"/>
        <w:contextualSpacing w:val="0"/>
        <w:rPr>
          <w:rFonts w:eastAsiaTheme="minorEastAsia"/>
          <w:lang w:val="fr-CA"/>
        </w:rPr>
      </w:pPr>
      <w:r w:rsidRPr="003E073E">
        <w:rPr>
          <w:rFonts w:eastAsiaTheme="minorEastAsia"/>
          <w:lang w:val="fr-CA"/>
        </w:rPr>
        <w:tab/>
      </w:r>
      <w:r w:rsidR="001001DB">
        <w:rPr>
          <w:rFonts w:eastAsiaTheme="minorEastAsia"/>
          <w:lang w:val="fr-CA"/>
        </w:rPr>
        <w:tab/>
      </w:r>
      <w:r w:rsidRPr="001001DB">
        <w:rPr>
          <w:rFonts w:eastAsiaTheme="minorEastAsia"/>
          <w:b/>
          <w:lang w:val="fr-CA"/>
        </w:rPr>
        <w:t>10.</w:t>
      </w:r>
      <w:r w:rsidRPr="003E073E">
        <w:rPr>
          <w:rFonts w:eastAsiaTheme="minorEastAsia"/>
          <w:lang w:val="fr-CA"/>
        </w:rPr>
        <w:t> Chacun a le droit, en cas d’arrestation ou de détention</w:t>
      </w:r>
      <w:r>
        <w:rPr>
          <w:rFonts w:eastAsiaTheme="minorEastAsia"/>
          <w:lang w:val="fr-CA"/>
        </w:rPr>
        <w:t> :</w:t>
      </w:r>
      <w:r w:rsidRPr="003E073E">
        <w:rPr>
          <w:rFonts w:eastAsiaTheme="minorEastAsia"/>
          <w:lang w:val="fr-CA"/>
        </w:rPr>
        <w:t xml:space="preserve"> </w:t>
      </w:r>
    </w:p>
    <w:p w:rsidR="00B233C0" w:rsidRPr="003E073E" w:rsidRDefault="00B233C0" w:rsidP="001001DB">
      <w:pPr>
        <w:pStyle w:val="Citation-AltC"/>
        <w:spacing w:after="240"/>
        <w:ind w:left="1168" w:hanging="1168"/>
        <w:contextualSpacing w:val="0"/>
        <w:jc w:val="center"/>
        <w:rPr>
          <w:rFonts w:eastAsiaTheme="minorEastAsia"/>
          <w:lang w:val="fr-CA"/>
        </w:rPr>
      </w:pPr>
      <w:r w:rsidRPr="003E073E">
        <w:rPr>
          <w:rFonts w:eastAsiaTheme="minorEastAsia"/>
          <w:lang w:val="fr-CA"/>
        </w:rPr>
        <w:t>. . .</w:t>
      </w:r>
    </w:p>
    <w:p w:rsidR="00B233C0" w:rsidRPr="003E073E" w:rsidRDefault="00B233C0" w:rsidP="001001DB">
      <w:pPr>
        <w:pStyle w:val="Citation-AltC"/>
        <w:tabs>
          <w:tab w:val="left" w:pos="1440"/>
        </w:tabs>
        <w:ind w:left="1440"/>
        <w:rPr>
          <w:rFonts w:eastAsiaTheme="minorEastAsia"/>
          <w:lang w:val="fr-CA"/>
        </w:rPr>
      </w:pPr>
      <w:r w:rsidRPr="003E073E">
        <w:rPr>
          <w:rFonts w:eastAsiaTheme="minorEastAsia"/>
          <w:i/>
          <w:lang w:val="fr-CA"/>
        </w:rPr>
        <w:t>c</w:t>
      </w:r>
      <w:r w:rsidRPr="003E073E">
        <w:rPr>
          <w:rFonts w:eastAsiaTheme="minorEastAsia"/>
          <w:lang w:val="fr-CA"/>
        </w:rPr>
        <w:t xml:space="preserve">) de faire contrôler, par </w:t>
      </w:r>
      <w:r w:rsidRPr="003E073E">
        <w:rPr>
          <w:rFonts w:eastAsiaTheme="minorEastAsia"/>
          <w:i/>
          <w:lang w:val="fr-CA"/>
        </w:rPr>
        <w:t>habeas corpus</w:t>
      </w:r>
      <w:r w:rsidRPr="003E073E">
        <w:rPr>
          <w:rFonts w:eastAsiaTheme="minorEastAsia"/>
          <w:lang w:val="fr-CA"/>
        </w:rPr>
        <w:t>, la légalité de sa détention et d’obtenir, le cas échéant, sa libération.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Le contrôle de la légalité d’une détention sous le régime de l’</w:t>
      </w:r>
      <w:r w:rsidRPr="003E073E">
        <w:rPr>
          <w:rFonts w:cs="Times New Roman"/>
          <w:i/>
          <w:lang w:val="fr-CA"/>
        </w:rPr>
        <w:t>habeas corpus</w:t>
      </w:r>
      <w:r w:rsidRPr="003E073E">
        <w:rPr>
          <w:rFonts w:cs="Times New Roman"/>
          <w:lang w:val="fr-CA"/>
        </w:rPr>
        <w:t xml:space="preserve"> a une large portée, protégeant et interagissant souvent avec d’autres droits protégés par la </w:t>
      </w:r>
      <w:r w:rsidRPr="003E073E">
        <w:rPr>
          <w:rFonts w:cs="Times New Roman"/>
          <w:i/>
          <w:lang w:val="fr-CA"/>
        </w:rPr>
        <w:t>Charte</w:t>
      </w:r>
      <w:r w:rsidRPr="003E073E">
        <w:rPr>
          <w:rFonts w:cs="Times New Roman"/>
          <w:lang w:val="fr-CA"/>
        </w:rPr>
        <w:t>, notamment le droit à la vie, à la liberté et à la sécurité de sa personne, protégé par l’</w:t>
      </w:r>
      <w:r>
        <w:rPr>
          <w:rFonts w:cs="Times New Roman"/>
          <w:lang w:val="fr-CA"/>
        </w:rPr>
        <w:t>art. </w:t>
      </w:r>
      <w:r w:rsidRPr="003E073E">
        <w:rPr>
          <w:rFonts w:cs="Times New Roman"/>
          <w:lang w:val="fr-CA"/>
        </w:rPr>
        <w:t>7; le droit à la protection contre la détention ou l’emprisonnement arbitraires, protégé par l’</w:t>
      </w:r>
      <w:r>
        <w:rPr>
          <w:rFonts w:cs="Times New Roman"/>
          <w:lang w:val="fr-CA"/>
        </w:rPr>
        <w:t>art. </w:t>
      </w:r>
      <w:r w:rsidRPr="003E073E">
        <w:rPr>
          <w:rFonts w:cs="Times New Roman"/>
          <w:lang w:val="fr-CA"/>
        </w:rPr>
        <w:t>9; et le droit à la protection contre tous traitements ou peines cruels et inusités, protégé par l’</w:t>
      </w:r>
      <w:r>
        <w:rPr>
          <w:rFonts w:cs="Times New Roman"/>
          <w:lang w:val="fr-CA"/>
        </w:rPr>
        <w:t>art. </w:t>
      </w:r>
      <w:r w:rsidRPr="003E073E">
        <w:rPr>
          <w:rFonts w:cs="Times New Roman"/>
          <w:lang w:val="fr-CA"/>
        </w:rPr>
        <w:t>12.</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L’affaire </w:t>
      </w:r>
      <w:r w:rsidRPr="003E073E">
        <w:rPr>
          <w:rFonts w:cs="Times New Roman"/>
          <w:i/>
          <w:lang w:val="fr-CA"/>
        </w:rPr>
        <w:t>Dumas c. Centre de détention Leclerc</w:t>
      </w:r>
      <w:r w:rsidRPr="003E073E">
        <w:rPr>
          <w:rFonts w:cs="Times New Roman"/>
          <w:lang w:val="fr-CA"/>
        </w:rPr>
        <w:t>, [1986] 2 R.C.S. 459, est utile pour illustrer différentes circonstances dans lesquelles peut survenir une privation de liberté et, de ce fait, différentes manières possibles de contester une détention. Une privation de liberté peut être liée à (1) la décision initiale exigeant la mise en détention, ou à une autre privation de liberté fondée sur (2) un changement dans les conditions de la détention ou (3) la continuation de la détention.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Bien qu’elle ne soit pas exhaustive, cette liste peut s’avérer particulièrement utile pour déterminer la nature d’une remise en cause relativement à une privation de liberté fondée sur des motifs indépendants de ceux qui sous</w:t>
      </w:r>
      <w:r>
        <w:rPr>
          <w:rFonts w:cs="Times New Roman"/>
          <w:lang w:val="fr-CA"/>
        </w:rPr>
        <w:noBreakHyphen/>
      </w:r>
      <w:r w:rsidRPr="003E073E">
        <w:rPr>
          <w:rFonts w:cs="Times New Roman"/>
          <w:lang w:val="fr-CA"/>
        </w:rPr>
        <w:t>tendaient l’ordonnance initiale. Comme je le verrai plus en détail ultérieurement, ces trois catégories peuvent aider à expliquer la jurisprudence applicable. Par exemple, dans le contexte de l’immigration, une conclusion d’interdiction de territoire peut mener à une mesure de mise en détention constituant une privation initiale de liberté</w:t>
      </w:r>
      <w:r>
        <w:rPr>
          <w:rFonts w:cs="Times New Roman"/>
          <w:lang w:val="fr-CA"/>
        </w:rPr>
        <w:t> :</w:t>
      </w:r>
      <w:r w:rsidRPr="003E073E">
        <w:rPr>
          <w:rFonts w:cs="Times New Roman"/>
          <w:lang w:val="fr-CA"/>
        </w:rPr>
        <w:t xml:space="preserve"> il s’agit de la première catégorie de </w:t>
      </w:r>
      <w:r w:rsidRPr="003E073E">
        <w:rPr>
          <w:rFonts w:cs="Times New Roman"/>
          <w:i/>
          <w:lang w:val="fr-CA"/>
        </w:rPr>
        <w:t>Dumas</w:t>
      </w:r>
      <w:r w:rsidRPr="003E073E">
        <w:rPr>
          <w:rFonts w:cs="Times New Roman"/>
          <w:lang w:val="fr-CA"/>
        </w:rPr>
        <w:t xml:space="preserve"> (</w:t>
      </w:r>
      <w:r w:rsidRPr="003E073E">
        <w:rPr>
          <w:rFonts w:cs="Times New Roman"/>
          <w:i/>
          <w:lang w:val="fr-CA"/>
        </w:rPr>
        <w:t>Peiroo</w:t>
      </w:r>
      <w:r w:rsidRPr="003E073E">
        <w:rPr>
          <w:rFonts w:cs="Times New Roman"/>
          <w:lang w:val="fr-CA"/>
        </w:rPr>
        <w:t>). Le transfèrement de détenus d’un établissement à sécurité moins élevée vers un établissement plus sécurisé est l’exemple type du deuxième type de privation</w:t>
      </w:r>
      <w:r>
        <w:rPr>
          <w:rFonts w:cs="Times New Roman"/>
          <w:lang w:val="fr-CA"/>
        </w:rPr>
        <w:t> :</w:t>
      </w:r>
      <w:r w:rsidRPr="003E073E">
        <w:rPr>
          <w:rFonts w:cs="Times New Roman"/>
          <w:lang w:val="fr-CA"/>
        </w:rPr>
        <w:t xml:space="preserve"> un changement de circonstances donnant lieu à une privation additionnelle de liberté (</w:t>
      </w:r>
      <w:r w:rsidRPr="003E073E">
        <w:rPr>
          <w:rFonts w:cs="Times New Roman"/>
          <w:i/>
          <w:lang w:val="fr-CA"/>
        </w:rPr>
        <w:t>May</w:t>
      </w:r>
      <w:r w:rsidRPr="003E073E">
        <w:rPr>
          <w:rFonts w:cs="Times New Roman"/>
          <w:lang w:val="fr-CA"/>
        </w:rPr>
        <w:t xml:space="preserve">). Le troisième type de privation exposé dans </w:t>
      </w:r>
      <w:r w:rsidRPr="003E073E">
        <w:rPr>
          <w:rFonts w:cs="Times New Roman"/>
          <w:i/>
          <w:lang w:val="fr-CA"/>
        </w:rPr>
        <w:t>Dumas</w:t>
      </w:r>
      <w:r w:rsidRPr="003E073E">
        <w:rPr>
          <w:rFonts w:cs="Times New Roman"/>
          <w:lang w:val="fr-CA"/>
        </w:rPr>
        <w:t xml:space="preserve"> peut comprendre les détentions prolongées ou celles dont la durée est incertaine, qui peuvent mettre en jeu les </w:t>
      </w:r>
      <w:r>
        <w:rPr>
          <w:rFonts w:cs="Times New Roman"/>
          <w:lang w:val="fr-CA"/>
        </w:rPr>
        <w:t>art. </w:t>
      </w:r>
      <w:r w:rsidRPr="003E073E">
        <w:rPr>
          <w:rFonts w:cs="Times New Roman"/>
          <w:lang w:val="fr-CA"/>
        </w:rPr>
        <w:t xml:space="preserve">7 et 9 de la </w:t>
      </w:r>
      <w:r w:rsidRPr="003E073E">
        <w:rPr>
          <w:rFonts w:cs="Times New Roman"/>
          <w:i/>
          <w:lang w:val="fr-CA"/>
        </w:rPr>
        <w:t>Charte</w:t>
      </w:r>
      <w:r w:rsidRPr="003E073E">
        <w:rPr>
          <w:rFonts w:cs="Times New Roman"/>
          <w:lang w:val="fr-CA"/>
        </w:rPr>
        <w:t xml:space="preserve">, comme on l’a fait valoir en l’espèce (ainsi que dans </w:t>
      </w:r>
      <w:r w:rsidRPr="003E073E">
        <w:rPr>
          <w:rFonts w:cs="Times New Roman"/>
          <w:i/>
          <w:lang w:val="fr-CA"/>
        </w:rPr>
        <w:t>Chaudhary</w:t>
      </w:r>
      <w:r w:rsidRPr="003E073E">
        <w:rPr>
          <w:rFonts w:cs="Times New Roman"/>
          <w:lang w:val="fr-CA"/>
        </w:rPr>
        <w:t xml:space="preserve"> </w:t>
      </w:r>
      <w:r w:rsidRPr="003E073E">
        <w:rPr>
          <w:rFonts w:cs="Times New Roman"/>
          <w:i/>
          <w:lang w:val="fr-CA"/>
        </w:rPr>
        <w:t>c. Canada (Minister of Public Safety &amp; Emergency Preparedness)</w:t>
      </w:r>
      <w:r w:rsidRPr="003E073E">
        <w:rPr>
          <w:rFonts w:cs="Times New Roman"/>
          <w:lang w:val="fr-CA"/>
        </w:rPr>
        <w:t>, 2</w:t>
      </w:r>
      <w:r w:rsidR="001001DB">
        <w:rPr>
          <w:rFonts w:cs="Times New Roman"/>
          <w:lang w:val="fr-CA"/>
        </w:rPr>
        <w:t>015 ONCA 700, 127 O.R. (3d) 401,</w:t>
      </w:r>
      <w:r w:rsidRPr="003E073E">
        <w:rPr>
          <w:rFonts w:cs="Times New Roman"/>
          <w:lang w:val="fr-CA"/>
        </w:rPr>
        <w:t xml:space="preserve"> et </w:t>
      </w:r>
      <w:r w:rsidRPr="003E073E">
        <w:rPr>
          <w:rFonts w:cs="Times New Roman"/>
          <w:i/>
          <w:lang w:val="fr-CA"/>
        </w:rPr>
        <w:t>Ogiamien c. Ontario (Community Safety and Correctional Services)</w:t>
      </w:r>
      <w:r w:rsidRPr="003E073E">
        <w:rPr>
          <w:rFonts w:cs="Times New Roman"/>
          <w:lang w:val="fr-CA"/>
        </w:rPr>
        <w:t>, 2017 ONCA 839, 55 Imm. L.R. (4th) 220).</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Sans égard à la manière dont une privation de liberté a lieu, l’importance du « grand bref de la liberté » sous</w:t>
      </w:r>
      <w:r>
        <w:rPr>
          <w:rFonts w:cs="Times New Roman"/>
          <w:lang w:val="fr-CA"/>
        </w:rPr>
        <w:noBreakHyphen/>
      </w:r>
      <w:r w:rsidRPr="003E073E">
        <w:rPr>
          <w:rFonts w:cs="Times New Roman"/>
          <w:lang w:val="fr-CA"/>
        </w:rPr>
        <w:t>tend la règle générale selon laquelle les exceptions à la disponibilité de l’</w:t>
      </w:r>
      <w:r w:rsidRPr="003E073E">
        <w:rPr>
          <w:rFonts w:cs="Times New Roman"/>
          <w:i/>
          <w:lang w:val="fr-CA"/>
        </w:rPr>
        <w:t>habeas corpus</w:t>
      </w:r>
      <w:r w:rsidRPr="003E073E">
        <w:rPr>
          <w:rFonts w:cs="Times New Roman"/>
          <w:lang w:val="fr-CA"/>
        </w:rPr>
        <w:t xml:space="preserve"> doivent être circonscrites et bien définies.</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À ce jour, la Cour n’a reconnu que deux cas dans lesquels une cour supérieure provinciale peut refuser d’entendre une demande d’</w:t>
      </w:r>
      <w:r w:rsidRPr="003E073E">
        <w:rPr>
          <w:rFonts w:cs="Times New Roman"/>
          <w:i/>
          <w:lang w:val="fr-CA"/>
        </w:rPr>
        <w:t>habeas corpus</w:t>
      </w:r>
      <w:r w:rsidRPr="003E073E">
        <w:rPr>
          <w:rFonts w:cs="Times New Roman"/>
          <w:lang w:val="fr-CA"/>
        </w:rPr>
        <w:t xml:space="preserve">. Le premier permet à une telle cour de décliner sa compétence lorsqu’un détenu cherche à contester la légalité de sa déclaration de culpabilité ou de la peine infligée, ces décisions pouvant être remises en cause au moyen de mécanismes d’appel décrits dans le </w:t>
      </w:r>
      <w:r w:rsidRPr="003E073E">
        <w:rPr>
          <w:rFonts w:cs="Times New Roman"/>
          <w:i/>
          <w:lang w:val="fr-CA"/>
        </w:rPr>
        <w:t xml:space="preserve">Code criminel </w:t>
      </w:r>
      <w:r w:rsidRPr="003E073E">
        <w:rPr>
          <w:rFonts w:cs="Times New Roman"/>
          <w:lang w:val="fr-CA"/>
        </w:rPr>
        <w:t>(</w:t>
      </w:r>
      <w:r w:rsidRPr="003E073E">
        <w:rPr>
          <w:rFonts w:cs="Times New Roman"/>
          <w:i/>
          <w:lang w:val="fr-CA"/>
        </w:rPr>
        <w:t>Gamble</w:t>
      </w:r>
      <w:r w:rsidRPr="003E073E">
        <w:rPr>
          <w:rFonts w:cs="Times New Roman"/>
          <w:lang w:val="fr-CA"/>
        </w:rPr>
        <w:t xml:space="preserve">, </w:t>
      </w:r>
      <w:r>
        <w:rPr>
          <w:rFonts w:cs="Times New Roman"/>
          <w:lang w:val="fr-CA"/>
        </w:rPr>
        <w:t>p. </w:t>
      </w:r>
      <w:r w:rsidRPr="003E073E">
        <w:rPr>
          <w:rFonts w:cs="Times New Roman"/>
          <w:lang w:val="fr-CA"/>
        </w:rPr>
        <w:t>636). La seconde exception a émergé dans le contexte du droit de l’immigration. Dans</w:t>
      </w:r>
      <w:r w:rsidRPr="003E073E">
        <w:rPr>
          <w:rFonts w:cs="Times New Roman"/>
          <w:iCs/>
          <w:lang w:val="fr-CA"/>
        </w:rPr>
        <w:t xml:space="preserve"> </w:t>
      </w:r>
      <w:r w:rsidRPr="003E073E">
        <w:rPr>
          <w:rFonts w:cs="Times New Roman"/>
          <w:i/>
          <w:iCs/>
          <w:lang w:val="fr-CA"/>
        </w:rPr>
        <w:t>Peiroo</w:t>
      </w:r>
      <w:r w:rsidRPr="003E073E">
        <w:rPr>
          <w:rFonts w:cs="Times New Roman"/>
          <w:iCs/>
          <w:lang w:val="fr-CA"/>
        </w:rPr>
        <w:t>, la demanderesse visait à ce que soit délivré un bref d’</w:t>
      </w:r>
      <w:r w:rsidRPr="003E073E">
        <w:rPr>
          <w:rFonts w:cs="Times New Roman"/>
          <w:i/>
          <w:iCs/>
          <w:lang w:val="fr-CA"/>
        </w:rPr>
        <w:t>habeas corpus</w:t>
      </w:r>
      <w:r w:rsidRPr="003E073E">
        <w:rPr>
          <w:rFonts w:cs="Times New Roman"/>
          <w:iCs/>
          <w:lang w:val="fr-CA"/>
        </w:rPr>
        <w:t xml:space="preserve"> assorti d’un </w:t>
      </w:r>
      <w:r w:rsidRPr="003E073E">
        <w:rPr>
          <w:rFonts w:cs="Times New Roman"/>
          <w:i/>
          <w:iCs/>
          <w:lang w:val="fr-CA"/>
        </w:rPr>
        <w:t>certiorari</w:t>
      </w:r>
      <w:r w:rsidRPr="003E073E">
        <w:rPr>
          <w:rFonts w:cs="Times New Roman"/>
          <w:iCs/>
          <w:lang w:val="fr-CA"/>
        </w:rPr>
        <w:t xml:space="preserve"> auxiliaire, en contestant une conclusion selon laquelle sa demande d’asile n’avait aucun fondement crédible et en faisant valoir que, par conséquent, rien ne justifiait la prise d’une mesure de renvoi contre elle. La Cour d’appel de l’Ontario a conclu que la </w:t>
      </w:r>
      <w:r w:rsidRPr="003E073E">
        <w:rPr>
          <w:rFonts w:cs="Times New Roman"/>
          <w:i/>
          <w:iCs/>
          <w:lang w:val="fr-CA"/>
        </w:rPr>
        <w:t>Loi sur l’immigration</w:t>
      </w:r>
      <w:r w:rsidRPr="003E073E">
        <w:rPr>
          <w:rFonts w:cs="Times New Roman"/>
          <w:iCs/>
          <w:lang w:val="fr-CA"/>
        </w:rPr>
        <w:t>, L.R.C. 1985, c. I</w:t>
      </w:r>
      <w:r>
        <w:rPr>
          <w:rFonts w:cs="Times New Roman"/>
          <w:iCs/>
          <w:lang w:val="fr-CA"/>
        </w:rPr>
        <w:noBreakHyphen/>
      </w:r>
      <w:r w:rsidRPr="003E073E">
        <w:rPr>
          <w:rFonts w:cs="Times New Roman"/>
          <w:iCs/>
          <w:lang w:val="fr-CA"/>
        </w:rPr>
        <w:t>2, alors en vigueur, établissait un régime exhaustif régissant l’examen des demandes en matière d’immigration et la prise de décision à leur égard, de sorte que ce régime avait une</w:t>
      </w:r>
      <w:r w:rsidRPr="003E073E">
        <w:rPr>
          <w:rFonts w:cs="Times New Roman"/>
          <w:lang w:val="fr-CA"/>
        </w:rPr>
        <w:t xml:space="preserve"> [</w:t>
      </w:r>
      <w:r w:rsidRPr="003E073E">
        <w:rPr>
          <w:rFonts w:cs="Times New Roman"/>
          <w:smallCaps/>
          <w:lang w:val="fr-CA"/>
        </w:rPr>
        <w:t>traduction</w:t>
      </w:r>
      <w:r w:rsidRPr="003E073E">
        <w:rPr>
          <w:rFonts w:cs="Times New Roman"/>
          <w:lang w:val="fr-CA"/>
        </w:rPr>
        <w:t>] « portée [. . .] au moins aussi large que la portée traditionnelle de l’</w:t>
      </w:r>
      <w:r w:rsidRPr="003E073E">
        <w:rPr>
          <w:rFonts w:cs="Times New Roman"/>
          <w:i/>
          <w:iCs/>
          <w:lang w:val="fr-CA"/>
        </w:rPr>
        <w:t xml:space="preserve">habeas corpus </w:t>
      </w:r>
      <w:r w:rsidRPr="003E073E">
        <w:rPr>
          <w:rFonts w:cs="Times New Roman"/>
          <w:lang w:val="fr-CA"/>
        </w:rPr>
        <w:t xml:space="preserve">assorti d’un </w:t>
      </w:r>
      <w:r w:rsidRPr="003E073E">
        <w:rPr>
          <w:rFonts w:cs="Times New Roman"/>
          <w:i/>
          <w:iCs/>
          <w:lang w:val="fr-CA"/>
        </w:rPr>
        <w:t>certiorari</w:t>
      </w:r>
      <w:r w:rsidRPr="003E073E">
        <w:rPr>
          <w:rFonts w:cs="Times New Roman"/>
          <w:iCs/>
          <w:lang w:val="fr-CA"/>
        </w:rPr>
        <w:t> auxiliaire »</w:t>
      </w:r>
      <w:r w:rsidRPr="003E073E">
        <w:rPr>
          <w:rFonts w:cs="Times New Roman"/>
          <w:lang w:val="fr-CA"/>
        </w:rPr>
        <w:t xml:space="preserve"> (</w:t>
      </w:r>
      <w:r w:rsidRPr="003E073E">
        <w:rPr>
          <w:rFonts w:cs="Times New Roman"/>
          <w:i/>
          <w:lang w:val="fr-CA"/>
        </w:rPr>
        <w:t>Peiroo</w:t>
      </w:r>
      <w:r w:rsidRPr="003E073E">
        <w:rPr>
          <w:rFonts w:cs="Times New Roman"/>
          <w:lang w:val="fr-CA"/>
        </w:rPr>
        <w:t xml:space="preserve">, </w:t>
      </w:r>
      <w:r>
        <w:rPr>
          <w:rFonts w:cs="Times New Roman"/>
          <w:lang w:val="fr-CA"/>
        </w:rPr>
        <w:t>p. </w:t>
      </w:r>
      <w:r w:rsidRPr="003E073E">
        <w:rPr>
          <w:rFonts w:cs="Times New Roman"/>
          <w:lang w:val="fr-CA"/>
        </w:rPr>
        <w:t>261).</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Ces deux exceptions reconnaissent l’élaboration de véhicules procéduraux sophistiqués dans notre système juridique moderne ainsi que le fait que ceux</w:t>
      </w:r>
      <w:r>
        <w:rPr>
          <w:rFonts w:cs="Times New Roman"/>
          <w:lang w:val="fr-CA"/>
        </w:rPr>
        <w:noBreakHyphen/>
      </w:r>
      <w:r w:rsidRPr="003E073E">
        <w:rPr>
          <w:rFonts w:cs="Times New Roman"/>
          <w:lang w:val="fr-CA"/>
        </w:rPr>
        <w:t>ci sont en mesure d’offrir une protection complète des droits fondamentaux, au même titre que l’</w:t>
      </w:r>
      <w:r w:rsidRPr="003E073E">
        <w:rPr>
          <w:rFonts w:cs="Times New Roman"/>
          <w:i/>
          <w:lang w:val="fr-CA"/>
        </w:rPr>
        <w:t>habeas corpus</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En matière criminelle, les appels prévus par la loi, qui étaient antérieurement circonscrits par les brefs de </w:t>
      </w:r>
      <w:r w:rsidRPr="003E073E">
        <w:rPr>
          <w:rFonts w:cs="Times New Roman"/>
          <w:i/>
          <w:lang w:val="fr-CA"/>
        </w:rPr>
        <w:t>certiorari</w:t>
      </w:r>
      <w:r w:rsidRPr="003E073E">
        <w:rPr>
          <w:rFonts w:cs="Times New Roman"/>
          <w:lang w:val="fr-CA"/>
        </w:rPr>
        <w:t xml:space="preserve"> et l’erreur en common law, ont été introduits quelque 500 ans après l’</w:t>
      </w:r>
      <w:r w:rsidRPr="003E073E">
        <w:rPr>
          <w:rFonts w:cs="Times New Roman"/>
          <w:i/>
          <w:lang w:val="fr-CA"/>
        </w:rPr>
        <w:t>habeas corpus</w:t>
      </w:r>
      <w:r w:rsidRPr="003E073E">
        <w:rPr>
          <w:rFonts w:cs="Times New Roman"/>
          <w:lang w:val="fr-CA"/>
        </w:rPr>
        <w:t xml:space="preserve"> (V. M. Del Buono, « The Righ</w:t>
      </w:r>
      <w:r w:rsidR="001001DB">
        <w:rPr>
          <w:rFonts w:cs="Times New Roman"/>
          <w:lang w:val="fr-CA"/>
        </w:rPr>
        <w:t>t to Appeal in Indictable Cases :</w:t>
      </w:r>
      <w:r w:rsidRPr="003E073E">
        <w:rPr>
          <w:rFonts w:cs="Times New Roman"/>
          <w:lang w:val="fr-CA"/>
        </w:rPr>
        <w:t xml:space="preserve"> A Legislative History » (1978), 16 </w:t>
      </w:r>
      <w:r w:rsidRPr="003E073E">
        <w:rPr>
          <w:rFonts w:cs="Times New Roman"/>
          <w:i/>
          <w:lang w:val="fr-CA"/>
        </w:rPr>
        <w:t>Alta. L.R.</w:t>
      </w:r>
      <w:r w:rsidRPr="003E073E">
        <w:rPr>
          <w:rFonts w:cs="Times New Roman"/>
          <w:lang w:val="fr-CA"/>
        </w:rPr>
        <w:t xml:space="preserve"> 446, </w:t>
      </w:r>
      <w:r>
        <w:rPr>
          <w:rFonts w:cs="Times New Roman"/>
          <w:lang w:val="fr-CA"/>
        </w:rPr>
        <w:t>p. </w:t>
      </w:r>
      <w:r w:rsidRPr="003E073E">
        <w:rPr>
          <w:rFonts w:cs="Times New Roman"/>
          <w:lang w:val="fr-CA"/>
        </w:rPr>
        <w:t xml:space="preserve">448). Bien que la Cour ait confirmé dans </w:t>
      </w:r>
      <w:r w:rsidRPr="003E073E">
        <w:rPr>
          <w:rFonts w:cs="Times New Roman"/>
          <w:i/>
          <w:lang w:val="fr-CA"/>
        </w:rPr>
        <w:t>Gamble</w:t>
      </w:r>
      <w:r w:rsidRPr="003E073E">
        <w:rPr>
          <w:rFonts w:cs="Times New Roman"/>
          <w:lang w:val="fr-CA"/>
        </w:rPr>
        <w:t xml:space="preserve"> l’exception relative au </w:t>
      </w:r>
      <w:r w:rsidRPr="003E073E">
        <w:rPr>
          <w:rFonts w:cs="Times New Roman"/>
          <w:i/>
          <w:lang w:val="fr-CA"/>
        </w:rPr>
        <w:t>Code criminel</w:t>
      </w:r>
      <w:r w:rsidRPr="003E073E">
        <w:rPr>
          <w:rFonts w:cs="Times New Roman"/>
          <w:lang w:val="fr-CA"/>
        </w:rPr>
        <w:t xml:space="preserve"> dans le contexte d’une contestation fondée sur la </w:t>
      </w:r>
      <w:r w:rsidRPr="003E073E">
        <w:rPr>
          <w:rFonts w:cs="Times New Roman"/>
          <w:i/>
          <w:lang w:val="fr-CA"/>
        </w:rPr>
        <w:t>Charte</w:t>
      </w:r>
      <w:r w:rsidRPr="003E073E">
        <w:rPr>
          <w:rFonts w:cs="Times New Roman"/>
          <w:lang w:val="fr-CA"/>
        </w:rPr>
        <w:t>, la règle écartant les demandes d’</w:t>
      </w:r>
      <w:r w:rsidRPr="003E073E">
        <w:rPr>
          <w:rFonts w:cs="Times New Roman"/>
          <w:i/>
          <w:lang w:val="fr-CA"/>
        </w:rPr>
        <w:t>habeas corpus</w:t>
      </w:r>
      <w:r w:rsidRPr="003E073E">
        <w:rPr>
          <w:rFonts w:cs="Times New Roman"/>
          <w:lang w:val="fr-CA"/>
        </w:rPr>
        <w:t xml:space="preserve"> dans les cas où un appel prévu par la loi pouvait être interjeté a existé bien avant la </w:t>
      </w:r>
      <w:r w:rsidRPr="003E073E">
        <w:rPr>
          <w:rFonts w:cs="Times New Roman"/>
          <w:i/>
          <w:lang w:val="fr-CA"/>
        </w:rPr>
        <w:t>Charte</w:t>
      </w:r>
      <w:r w:rsidRPr="003E073E">
        <w:rPr>
          <w:rFonts w:cs="Times New Roman"/>
          <w:lang w:val="fr-CA"/>
        </w:rPr>
        <w:t xml:space="preserve"> (voir</w:t>
      </w:r>
      <w:r>
        <w:rPr>
          <w:rFonts w:cs="Times New Roman"/>
          <w:lang w:val="fr-CA"/>
        </w:rPr>
        <w:t> :</w:t>
      </w:r>
      <w:r w:rsidRPr="003E073E">
        <w:rPr>
          <w:rFonts w:cs="Times New Roman"/>
          <w:lang w:val="fr-CA"/>
        </w:rPr>
        <w:t xml:space="preserve"> </w:t>
      </w:r>
      <w:r w:rsidR="00270162">
        <w:rPr>
          <w:rFonts w:cs="Times New Roman"/>
          <w:i/>
          <w:lang w:val="fr-CA"/>
        </w:rPr>
        <w:t>In r</w:t>
      </w:r>
      <w:r w:rsidRPr="003E073E">
        <w:rPr>
          <w:rFonts w:cs="Times New Roman"/>
          <w:i/>
          <w:lang w:val="fr-CA"/>
        </w:rPr>
        <w:t>e Trepanier</w:t>
      </w:r>
      <w:r w:rsidRPr="003E073E">
        <w:rPr>
          <w:rFonts w:cs="Times New Roman"/>
          <w:lang w:val="fr-CA"/>
        </w:rPr>
        <w:t xml:space="preserve"> (1885), 12 R.C.S. 111; </w:t>
      </w:r>
      <w:r w:rsidR="00270162">
        <w:rPr>
          <w:rFonts w:cs="Times New Roman"/>
          <w:i/>
          <w:lang w:val="fr-CA"/>
        </w:rPr>
        <w:t>In r</w:t>
      </w:r>
      <w:r w:rsidRPr="003E073E">
        <w:rPr>
          <w:rFonts w:cs="Times New Roman"/>
          <w:i/>
          <w:lang w:val="fr-CA"/>
        </w:rPr>
        <w:t>e Sproule</w:t>
      </w:r>
      <w:r w:rsidRPr="003E073E">
        <w:rPr>
          <w:rFonts w:cs="Times New Roman"/>
          <w:lang w:val="fr-CA"/>
        </w:rPr>
        <w:t xml:space="preserve"> (1886), 12 R.C.S. 140, </w:t>
      </w:r>
      <w:r>
        <w:rPr>
          <w:rFonts w:cs="Times New Roman"/>
          <w:lang w:val="fr-CA"/>
        </w:rPr>
        <w:t>p. </w:t>
      </w:r>
      <w:r w:rsidRPr="003E073E">
        <w:rPr>
          <w:rFonts w:cs="Times New Roman"/>
          <w:lang w:val="fr-CA"/>
        </w:rPr>
        <w:t xml:space="preserve">204; </w:t>
      </w:r>
      <w:r w:rsidRPr="003E073E">
        <w:rPr>
          <w:rFonts w:cs="Times New Roman"/>
          <w:i/>
          <w:lang w:val="fr-CA"/>
        </w:rPr>
        <w:t>Goldhar c. The Queen</w:t>
      </w:r>
      <w:r w:rsidRPr="003E073E">
        <w:rPr>
          <w:rFonts w:cs="Times New Roman"/>
          <w:lang w:val="fr-CA"/>
        </w:rPr>
        <w:t xml:space="preserve">, [1960] R.C.S. 431, </w:t>
      </w:r>
      <w:r>
        <w:rPr>
          <w:rFonts w:cs="Times New Roman"/>
          <w:lang w:val="fr-CA"/>
        </w:rPr>
        <w:t>p. </w:t>
      </w:r>
      <w:r w:rsidRPr="003E073E">
        <w:rPr>
          <w:rFonts w:cs="Times New Roman"/>
          <w:lang w:val="fr-CA"/>
        </w:rPr>
        <w:t xml:space="preserve">439; </w:t>
      </w:r>
      <w:r w:rsidRPr="003E073E">
        <w:rPr>
          <w:rFonts w:cs="Times New Roman"/>
          <w:i/>
          <w:lang w:val="fr-CA"/>
        </w:rPr>
        <w:t>Morrison c. The Queen</w:t>
      </w:r>
      <w:r w:rsidRPr="003E073E">
        <w:rPr>
          <w:rFonts w:cs="Times New Roman"/>
          <w:lang w:val="fr-CA"/>
        </w:rPr>
        <w:t xml:space="preserve">, [1966] R.C.S. 356; </w:t>
      </w:r>
      <w:r w:rsidRPr="003E073E">
        <w:rPr>
          <w:rFonts w:cs="Times New Roman"/>
          <w:i/>
          <w:lang w:val="fr-CA"/>
        </w:rPr>
        <w:t>Karchesky c. The Queen</w:t>
      </w:r>
      <w:r w:rsidRPr="003E073E">
        <w:rPr>
          <w:rFonts w:cs="Times New Roman"/>
          <w:lang w:val="fr-CA"/>
        </w:rPr>
        <w:t xml:space="preserve">, [1967] R.C.S. 547, </w:t>
      </w:r>
      <w:r>
        <w:rPr>
          <w:rFonts w:cs="Times New Roman"/>
          <w:lang w:val="fr-CA"/>
        </w:rPr>
        <w:t>p. </w:t>
      </w:r>
      <w:r w:rsidRPr="003E073E">
        <w:rPr>
          <w:rFonts w:cs="Times New Roman"/>
          <w:lang w:val="fr-CA"/>
        </w:rPr>
        <w:t xml:space="preserve">551; </w:t>
      </w:r>
      <w:r w:rsidRPr="003E073E">
        <w:rPr>
          <w:rFonts w:cs="Times New Roman"/>
          <w:i/>
          <w:lang w:val="fr-CA"/>
        </w:rPr>
        <w:t>Korponay c. Kulik</w:t>
      </w:r>
      <w:r w:rsidRPr="003E073E">
        <w:rPr>
          <w:rFonts w:cs="Times New Roman"/>
          <w:lang w:val="fr-CA"/>
        </w:rPr>
        <w:t>, [1980] 2 R.C.S. 265).</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La </w:t>
      </w:r>
      <w:r w:rsidRPr="003E073E">
        <w:rPr>
          <w:rFonts w:cs="Times New Roman"/>
          <w:i/>
          <w:lang w:val="fr-CA"/>
        </w:rPr>
        <w:t>LIPR</w:t>
      </w:r>
      <w:r w:rsidRPr="003E073E">
        <w:rPr>
          <w:rFonts w:cs="Times New Roman"/>
          <w:lang w:val="fr-CA"/>
        </w:rPr>
        <w:t>, quant à elle, est un produit de l’avènement de l’état administratif moderne</w:t>
      </w:r>
      <w:r>
        <w:rPr>
          <w:rFonts w:cs="Times New Roman"/>
          <w:lang w:val="fr-CA"/>
        </w:rPr>
        <w:t> :</w:t>
      </w:r>
      <w:r w:rsidRPr="003E073E">
        <w:rPr>
          <w:rFonts w:cs="Times New Roman"/>
          <w:lang w:val="fr-CA"/>
        </w:rPr>
        <w:t xml:space="preserve"> un système de justice parallèle au système judiciaire afin de faciliter l’accès à une instance spécialisée et expéditive pour un large éventail de demandes. Par exemple, l’arrêt rendu dans </w:t>
      </w:r>
      <w:r w:rsidRPr="003E073E">
        <w:rPr>
          <w:rFonts w:cs="Times New Roman"/>
          <w:i/>
          <w:lang w:val="fr-CA"/>
        </w:rPr>
        <w:t>Pringle c. Fraser</w:t>
      </w:r>
      <w:r w:rsidRPr="003E073E">
        <w:rPr>
          <w:rFonts w:cs="Times New Roman"/>
          <w:lang w:val="fr-CA"/>
        </w:rPr>
        <w:t>, [1972] R.C.S. 821</w:t>
      </w:r>
      <w:r w:rsidR="00270162">
        <w:rPr>
          <w:rFonts w:cs="Times New Roman"/>
          <w:lang w:val="fr-CA"/>
        </w:rPr>
        <w:t>,</w:t>
      </w:r>
      <w:r w:rsidRPr="003E073E">
        <w:rPr>
          <w:rFonts w:cs="Times New Roman"/>
          <w:lang w:val="fr-CA"/>
        </w:rPr>
        <w:t xml:space="preserve"> — dans lequel la Cour a jugé que la </w:t>
      </w:r>
      <w:r w:rsidRPr="003E073E">
        <w:rPr>
          <w:rFonts w:cs="Times New Roman"/>
          <w:i/>
          <w:iCs/>
          <w:spacing w:val="-3"/>
          <w:shd w:val="clear" w:color="auto" w:fill="FFFFFF"/>
          <w:lang w:val="fr-CA"/>
        </w:rPr>
        <w:t>Loi sur l’immigration</w:t>
      </w:r>
      <w:r w:rsidRPr="003E073E">
        <w:rPr>
          <w:rFonts w:cs="Times New Roman"/>
          <w:iCs/>
          <w:spacing w:val="-3"/>
          <w:shd w:val="clear" w:color="auto" w:fill="FFFFFF"/>
          <w:lang w:val="fr-CA"/>
        </w:rPr>
        <w:t>, S.R.C. 1952, c. 325</w:t>
      </w:r>
      <w:r w:rsidR="00270162">
        <w:rPr>
          <w:rFonts w:cs="Times New Roman"/>
          <w:iCs/>
          <w:spacing w:val="-3"/>
          <w:shd w:val="clear" w:color="auto" w:fill="FFFFFF"/>
          <w:lang w:val="fr-CA"/>
        </w:rPr>
        <w:t>,</w:t>
      </w:r>
      <w:r w:rsidRPr="003E073E">
        <w:rPr>
          <w:rFonts w:cs="Times New Roman"/>
          <w:iCs/>
          <w:spacing w:val="-3"/>
          <w:shd w:val="clear" w:color="auto" w:fill="FFFFFF"/>
          <w:lang w:val="fr-CA"/>
        </w:rPr>
        <w:t xml:space="preserve"> écartait la compétence des cours supérieures provinciales d’entendre une demande de bref de</w:t>
      </w:r>
      <w:r w:rsidRPr="003E073E">
        <w:rPr>
          <w:rFonts w:cs="Times New Roman"/>
          <w:lang w:val="fr-CA"/>
        </w:rPr>
        <w:t xml:space="preserve"> </w:t>
      </w:r>
      <w:r w:rsidRPr="003E073E">
        <w:rPr>
          <w:rFonts w:cs="Times New Roman"/>
          <w:i/>
          <w:lang w:val="fr-CA"/>
        </w:rPr>
        <w:t>certiorari</w:t>
      </w:r>
      <w:r w:rsidRPr="003E073E">
        <w:rPr>
          <w:rFonts w:cs="Times New Roman"/>
          <w:lang w:val="fr-CA"/>
        </w:rPr>
        <w:t xml:space="preserve"> — constituait une reconnaissance précoce de la possibilité qu’une législature puisse créer d’autres modes d’examen par l’entremise d’organismes administratifs.</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Ces deux exceptions visent à répondre à des préoccupations similaires, soit principalement à « la nécessité d’endiguer la multiplication des moyens indirects de contester des déclarations de culpabilité ou d’autres privations de la liberté » (</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 xml:space="preserve">35). En confirmant de tels régimes législatifs, la norme énoncée dans </w:t>
      </w:r>
      <w:r w:rsidRPr="003E073E">
        <w:rPr>
          <w:rFonts w:cs="Times New Roman"/>
          <w:i/>
          <w:lang w:val="fr-CA"/>
        </w:rPr>
        <w:t>May</w:t>
      </w:r>
      <w:r w:rsidRPr="003E073E">
        <w:rPr>
          <w:rFonts w:cs="Times New Roman"/>
          <w:lang w:val="fr-CA"/>
        </w:rPr>
        <w:t xml:space="preserve"> garantit que le droit constitutionnel à l’</w:t>
      </w:r>
      <w:r w:rsidRPr="003E073E">
        <w:rPr>
          <w:rFonts w:cs="Times New Roman"/>
          <w:i/>
          <w:lang w:val="fr-CA"/>
        </w:rPr>
        <w:t>habeas corpus</w:t>
      </w:r>
      <w:r w:rsidRPr="003E073E">
        <w:rPr>
          <w:rFonts w:cs="Times New Roman"/>
          <w:lang w:val="fr-CA"/>
        </w:rPr>
        <w:t xml:space="preserve"> est protégé, tout en faisant une économie des ressources judiciaires, en évitant le dédoublement des instances et en réduisant la possibilité que des décisions incohérentes soient rendues ainsi que la recherche du tribunal le plus favorable</w:t>
      </w:r>
      <w:r w:rsidRPr="003E073E">
        <w:rPr>
          <w:rFonts w:cs="Times New Roman"/>
          <w:spacing w:val="-3"/>
          <w:shd w:val="clear" w:color="auto" w:fill="FFFFFF"/>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La question à trancher dans le présent pourvoi est celle de la portée de l’exception établie par l’arrêt </w:t>
      </w:r>
      <w:r w:rsidRPr="003E073E">
        <w:rPr>
          <w:rFonts w:cs="Times New Roman"/>
          <w:i/>
          <w:lang w:val="fr-CA"/>
        </w:rPr>
        <w:t>Peiroo</w:t>
      </w:r>
      <w:r w:rsidRPr="003E073E">
        <w:rPr>
          <w:rFonts w:cs="Times New Roman"/>
          <w:lang w:val="fr-CA"/>
        </w:rPr>
        <w:t xml:space="preserve"> et, plus précisément, celle de savoir si cette exception écarte le recours à </w:t>
      </w:r>
      <w:r w:rsidRPr="00270162">
        <w:rPr>
          <w:rFonts w:cs="Times New Roman"/>
          <w:lang w:val="fr-CA"/>
        </w:rPr>
        <w:t>l’</w:t>
      </w:r>
      <w:r w:rsidRPr="003E073E">
        <w:rPr>
          <w:rFonts w:cs="Times New Roman"/>
          <w:i/>
          <w:lang w:val="fr-CA"/>
        </w:rPr>
        <w:t>habeas corpus</w:t>
      </w:r>
      <w:r w:rsidRPr="003E073E">
        <w:rPr>
          <w:rFonts w:cs="Times New Roman"/>
          <w:lang w:val="fr-CA"/>
        </w:rPr>
        <w:t xml:space="preserve"> relativement à </w:t>
      </w:r>
      <w:r w:rsidRPr="003E073E">
        <w:rPr>
          <w:rFonts w:cs="Times New Roman"/>
          <w:i/>
          <w:lang w:val="fr-CA"/>
        </w:rPr>
        <w:t>toutes</w:t>
      </w:r>
      <w:r w:rsidRPr="003E073E">
        <w:rPr>
          <w:rFonts w:cs="Times New Roman"/>
          <w:lang w:val="fr-CA"/>
        </w:rPr>
        <w:t xml:space="preserve"> les décisions prises sous le régime législatif applicable en matière d’immigration. L’appelant fait valoir que tel est bel et bien le cas. Il invoque la description qu’a faite la Cour de l’exception établie par l’arrêt </w:t>
      </w:r>
      <w:r w:rsidRPr="003E073E">
        <w:rPr>
          <w:rFonts w:cs="Times New Roman"/>
          <w:i/>
          <w:lang w:val="fr-CA"/>
        </w:rPr>
        <w:t>Peiroo</w:t>
      </w:r>
      <w:r w:rsidRPr="003E073E">
        <w:rPr>
          <w:rFonts w:cs="Times New Roman"/>
          <w:lang w:val="fr-CA"/>
        </w:rPr>
        <w:t xml:space="preserve"> dans </w:t>
      </w:r>
      <w:r w:rsidRPr="003E073E">
        <w:rPr>
          <w:rFonts w:cs="Times New Roman"/>
          <w:i/>
          <w:lang w:val="fr-CA"/>
        </w:rPr>
        <w:t>May</w:t>
      </w:r>
      <w:r w:rsidRPr="003E073E">
        <w:rPr>
          <w:rFonts w:cs="Times New Roman"/>
          <w:lang w:val="fr-CA"/>
        </w:rPr>
        <w:t>, où nous avons affirmé que, « en droit de l’immigration, le recours de l’</w:t>
      </w:r>
      <w:r w:rsidRPr="003E073E">
        <w:rPr>
          <w:rFonts w:cs="Times New Roman"/>
          <w:i/>
          <w:lang w:val="fr-CA"/>
        </w:rPr>
        <w:t>habeas corpus</w:t>
      </w:r>
      <w:r w:rsidRPr="003E073E">
        <w:rPr>
          <w:rFonts w:cs="Times New Roman"/>
          <w:lang w:val="fr-CA"/>
        </w:rPr>
        <w:t xml:space="preserve"> est écarté parce que le législateur a mis en place un régime complet, exhaustif et spécialisé prévoyant une procédure d’examen au moins aussi large et aussi avantageuse que celle de l’</w:t>
      </w:r>
      <w:r w:rsidRPr="003E073E">
        <w:rPr>
          <w:rFonts w:cs="Times New Roman"/>
          <w:i/>
          <w:lang w:val="fr-CA"/>
        </w:rPr>
        <w:t>habeas corpus</w:t>
      </w:r>
      <w:r w:rsidRPr="003E073E">
        <w:rPr>
          <w:rFonts w:cs="Times New Roman"/>
          <w:lang w:val="fr-CA"/>
        </w:rPr>
        <w:t> » (</w:t>
      </w:r>
      <w:r w:rsidRPr="00386B48">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40).</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À mon avis, cette affirmation n’a jamais eu pour but d’écarter l’examen au regard de l’</w:t>
      </w:r>
      <w:r w:rsidRPr="003E073E">
        <w:rPr>
          <w:rFonts w:cs="Times New Roman"/>
          <w:i/>
          <w:lang w:val="fr-CA"/>
        </w:rPr>
        <w:t>habeas corpus</w:t>
      </w:r>
      <w:r w:rsidRPr="003E073E">
        <w:rPr>
          <w:rFonts w:cs="Times New Roman"/>
          <w:lang w:val="fr-CA"/>
        </w:rPr>
        <w:t xml:space="preserve"> relativement à </w:t>
      </w:r>
      <w:r w:rsidRPr="003E073E">
        <w:rPr>
          <w:rFonts w:cs="Times New Roman"/>
          <w:i/>
          <w:lang w:val="fr-CA"/>
        </w:rPr>
        <w:t>toutes</w:t>
      </w:r>
      <w:r w:rsidRPr="003E073E">
        <w:rPr>
          <w:rFonts w:cs="Times New Roman"/>
          <w:lang w:val="fr-CA"/>
        </w:rPr>
        <w:t xml:space="preserve"> les mises en détention en contexte d’immigration, </w:t>
      </w:r>
      <w:r w:rsidRPr="003E073E">
        <w:rPr>
          <w:rFonts w:cs="Times New Roman"/>
          <w:i/>
          <w:lang w:val="fr-CA"/>
        </w:rPr>
        <w:t>quelle que soit</w:t>
      </w:r>
      <w:r w:rsidRPr="003E073E">
        <w:rPr>
          <w:rFonts w:cs="Times New Roman"/>
          <w:lang w:val="fr-CA"/>
        </w:rPr>
        <w:t xml:space="preserve"> la nature de la remise en cause de la légalité de la détention. Selon moi, l’arrêt </w:t>
      </w:r>
      <w:r w:rsidRPr="003E073E">
        <w:rPr>
          <w:rFonts w:cs="Times New Roman"/>
          <w:i/>
          <w:lang w:val="fr-CA"/>
        </w:rPr>
        <w:t>May</w:t>
      </w:r>
      <w:r w:rsidRPr="003E073E">
        <w:rPr>
          <w:rFonts w:cs="Times New Roman"/>
          <w:lang w:val="fr-CA"/>
        </w:rPr>
        <w:t xml:space="preserve"> ne fait pas une proposition aussi large, et ce, pour trois raisons.</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Premièrement, la </w:t>
      </w:r>
      <w:r w:rsidRPr="003E073E">
        <w:rPr>
          <w:rFonts w:cs="Times New Roman"/>
          <w:i/>
          <w:lang w:val="fr-CA"/>
        </w:rPr>
        <w:t>LIPR</w:t>
      </w:r>
      <w:r w:rsidRPr="003E073E">
        <w:rPr>
          <w:rFonts w:cs="Times New Roman"/>
          <w:lang w:val="fr-CA"/>
        </w:rPr>
        <w:t xml:space="preserve"> n’était pas en cause devant la Cour lorsque celle</w:t>
      </w:r>
      <w:r>
        <w:rPr>
          <w:rFonts w:cs="Times New Roman"/>
          <w:lang w:val="fr-CA"/>
        </w:rPr>
        <w:noBreakHyphen/>
      </w:r>
      <w:r w:rsidRPr="003E073E">
        <w:rPr>
          <w:rFonts w:cs="Times New Roman"/>
          <w:lang w:val="fr-CA"/>
        </w:rPr>
        <w:t xml:space="preserve">ci a été saisie de la cause </w:t>
      </w:r>
      <w:r w:rsidRPr="003E073E">
        <w:rPr>
          <w:rFonts w:cs="Times New Roman"/>
          <w:i/>
          <w:lang w:val="fr-CA"/>
        </w:rPr>
        <w:t>May</w:t>
      </w:r>
      <w:r w:rsidRPr="003E073E">
        <w:rPr>
          <w:rFonts w:cs="Times New Roman"/>
          <w:lang w:val="fr-CA"/>
        </w:rPr>
        <w:t>. Dans cette affaire, un certain nombre de détenus dans des établissements fédéraux avaient été transférés d’un établissement à sécurité minimale à un autre à sécurité moyenne. Ils ont présenté des demandes d’</w:t>
      </w:r>
      <w:r w:rsidRPr="003E073E">
        <w:rPr>
          <w:rFonts w:cs="Times New Roman"/>
          <w:i/>
          <w:lang w:val="fr-CA"/>
        </w:rPr>
        <w:t>habeas corpus</w:t>
      </w:r>
      <w:r w:rsidRPr="003E073E">
        <w:rPr>
          <w:rFonts w:cs="Times New Roman"/>
          <w:lang w:val="fr-CA"/>
        </w:rPr>
        <w:t xml:space="preserve"> pour remettre en cause ce transfèrement vers une forme de détention plus contraignante. Le directeur de l’établissement a fait valoir que la </w:t>
      </w:r>
      <w:r w:rsidRPr="003E073E">
        <w:rPr>
          <w:rFonts w:cs="Times New Roman"/>
          <w:i/>
          <w:lang w:val="fr-CA"/>
        </w:rPr>
        <w:t>Loi sur le système correctionnel et la mise en liberté sous condition</w:t>
      </w:r>
      <w:r w:rsidRPr="003E073E">
        <w:rPr>
          <w:rFonts w:cs="Times New Roman"/>
          <w:lang w:val="fr-CA"/>
        </w:rPr>
        <w:t>, L.C. 1992, c. 20 (</w:t>
      </w:r>
      <w:r w:rsidRPr="003E073E">
        <w:rPr>
          <w:rFonts w:cs="Times New Roman"/>
          <w:i/>
          <w:lang w:val="fr-CA"/>
        </w:rPr>
        <w:t>LSCMLC</w:t>
      </w:r>
      <w:r w:rsidRPr="003E073E">
        <w:rPr>
          <w:rFonts w:cs="Times New Roman"/>
          <w:lang w:val="fr-CA"/>
        </w:rPr>
        <w:t>), établissait un régime législatif complet qui offrait des recours comparables à l’</w:t>
      </w:r>
      <w:r w:rsidRPr="003E073E">
        <w:rPr>
          <w:rFonts w:cs="Times New Roman"/>
          <w:i/>
          <w:lang w:val="fr-CA"/>
        </w:rPr>
        <w:t xml:space="preserve">habeas corpus </w:t>
      </w:r>
      <w:r w:rsidRPr="003E073E">
        <w:rPr>
          <w:rFonts w:cs="Times New Roman"/>
          <w:lang w:val="fr-CA"/>
        </w:rPr>
        <w:t xml:space="preserve">— une proposition que la Cour n’a pas acceptée. Dans ce contexte, cette dernière a comparé la </w:t>
      </w:r>
      <w:r w:rsidRPr="003E073E">
        <w:rPr>
          <w:rFonts w:cs="Times New Roman"/>
          <w:i/>
          <w:lang w:val="fr-CA"/>
        </w:rPr>
        <w:t>LSCMLC</w:t>
      </w:r>
      <w:r w:rsidRPr="003E073E">
        <w:rPr>
          <w:rFonts w:cs="Times New Roman"/>
          <w:lang w:val="fr-CA"/>
        </w:rPr>
        <w:t xml:space="preserve">, non pas à la </w:t>
      </w:r>
      <w:r w:rsidRPr="003E073E">
        <w:rPr>
          <w:rFonts w:cs="Times New Roman"/>
          <w:i/>
          <w:lang w:val="fr-CA"/>
        </w:rPr>
        <w:t xml:space="preserve">LIPR </w:t>
      </w:r>
      <w:r w:rsidRPr="003E073E">
        <w:rPr>
          <w:rFonts w:cs="Times New Roman"/>
          <w:lang w:val="fr-CA"/>
        </w:rPr>
        <w:t xml:space="preserve">(même si cette dernière était en vigueur), mais plutôt à la </w:t>
      </w:r>
      <w:r w:rsidRPr="003E073E">
        <w:rPr>
          <w:rFonts w:cs="Times New Roman"/>
          <w:i/>
          <w:lang w:val="fr-CA"/>
        </w:rPr>
        <w:t>Loi sur l’immigration</w:t>
      </w:r>
      <w:r w:rsidRPr="003E073E">
        <w:rPr>
          <w:rFonts w:cs="Times New Roman"/>
          <w:lang w:val="fr-CA"/>
        </w:rPr>
        <w:t xml:space="preserve"> examinée dans </w:t>
      </w:r>
      <w:r w:rsidRPr="003E073E">
        <w:rPr>
          <w:rFonts w:cs="Times New Roman"/>
          <w:i/>
          <w:lang w:val="fr-CA"/>
        </w:rPr>
        <w:t>Peiroo</w:t>
      </w:r>
      <w:r w:rsidRPr="003E073E">
        <w:rPr>
          <w:rFonts w:cs="Times New Roman"/>
          <w:lang w:val="fr-CA"/>
        </w:rPr>
        <w:t>. Elle a conclu que, contrairement au régime applicable en matière d’immigration, la loi en matière correctionnelle ne garantissait pas la tenue d’un contrôle impartial, ne créait pas de mesures de réparation spécifiques et efficaces, ou même ne fournissait pas de motifs clairs en fonction desquels les décisions de transfèrement pouvaient être examinées (</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62).</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Deuxièmement, la jurisprudence sur laquelle s’est fondée la Cour dans </w:t>
      </w:r>
      <w:r w:rsidRPr="003E073E">
        <w:rPr>
          <w:rFonts w:cs="Times New Roman"/>
          <w:i/>
          <w:lang w:val="fr-CA"/>
        </w:rPr>
        <w:t>May</w:t>
      </w:r>
      <w:r w:rsidRPr="003E073E">
        <w:rPr>
          <w:rFonts w:cs="Times New Roman"/>
          <w:lang w:val="fr-CA"/>
        </w:rPr>
        <w:t xml:space="preserve"> — soit les arrêts </w:t>
      </w:r>
      <w:r w:rsidRPr="003E073E">
        <w:rPr>
          <w:rFonts w:cs="Times New Roman"/>
          <w:i/>
          <w:lang w:val="fr-CA"/>
        </w:rPr>
        <w:t>Peiroo</w:t>
      </w:r>
      <w:r w:rsidRPr="003E073E">
        <w:rPr>
          <w:rFonts w:cs="Times New Roman"/>
          <w:lang w:val="fr-CA"/>
        </w:rPr>
        <w:t xml:space="preserve">, </w:t>
      </w:r>
      <w:r w:rsidRPr="003E073E">
        <w:rPr>
          <w:rFonts w:cs="Times New Roman"/>
          <w:i/>
          <w:lang w:val="fr-CA"/>
        </w:rPr>
        <w:t>Pringle</w:t>
      </w:r>
      <w:r w:rsidRPr="003E073E">
        <w:rPr>
          <w:rFonts w:cs="Times New Roman"/>
          <w:lang w:val="fr-CA"/>
        </w:rPr>
        <w:t xml:space="preserve"> et </w:t>
      </w:r>
      <w:r w:rsidRPr="003E073E">
        <w:rPr>
          <w:rFonts w:cs="Times New Roman"/>
          <w:i/>
          <w:lang w:val="fr-CA"/>
        </w:rPr>
        <w:t>Reza c. Canada</w:t>
      </w:r>
      <w:r w:rsidRPr="003E073E">
        <w:rPr>
          <w:rFonts w:cs="Times New Roman"/>
          <w:lang w:val="fr-CA"/>
        </w:rPr>
        <w:t>, [1994] 2 R.C.S. 394</w:t>
      </w:r>
      <w:r w:rsidR="00270162">
        <w:rPr>
          <w:rFonts w:cs="Times New Roman"/>
          <w:lang w:val="fr-CA"/>
        </w:rPr>
        <w:t>,</w:t>
      </w:r>
      <w:r w:rsidRPr="003E073E">
        <w:rPr>
          <w:rFonts w:cs="Times New Roman"/>
          <w:lang w:val="fr-CA"/>
        </w:rPr>
        <w:t xml:space="preserve"> — n’appuyait pas la proposition générale selon laquelle il ne serait jamais possible de recourir à l’</w:t>
      </w:r>
      <w:r w:rsidRPr="003E073E">
        <w:rPr>
          <w:rFonts w:cs="Times New Roman"/>
          <w:i/>
          <w:lang w:val="fr-CA"/>
        </w:rPr>
        <w:t>habeas corpus</w:t>
      </w:r>
      <w:r w:rsidRPr="003E073E">
        <w:rPr>
          <w:rFonts w:cs="Times New Roman"/>
          <w:lang w:val="fr-CA"/>
        </w:rPr>
        <w:t xml:space="preserve"> lorsque la détention est liée aux questions d’immigration. Il faut interpréter l’arrêt </w:t>
      </w:r>
      <w:r w:rsidRPr="003E073E">
        <w:rPr>
          <w:rFonts w:cs="Times New Roman"/>
          <w:i/>
          <w:lang w:val="fr-CA"/>
        </w:rPr>
        <w:t>May</w:t>
      </w:r>
      <w:r w:rsidRPr="003E073E">
        <w:rPr>
          <w:rFonts w:cs="Times New Roman"/>
          <w:lang w:val="fr-CA"/>
        </w:rPr>
        <w:t xml:space="preserve"> à la lumière des causes citées; la Cour n’a pas eu l’intention d’étendre leurs conclusions. Ni l’arrêt </w:t>
      </w:r>
      <w:r w:rsidRPr="003E073E">
        <w:rPr>
          <w:rFonts w:cs="Times New Roman"/>
          <w:i/>
          <w:lang w:val="fr-CA"/>
        </w:rPr>
        <w:t>Pringle</w:t>
      </w:r>
      <w:r w:rsidRPr="003E073E">
        <w:rPr>
          <w:rFonts w:cs="Times New Roman"/>
          <w:lang w:val="fr-CA"/>
        </w:rPr>
        <w:t xml:space="preserve"> ni l’arrêt </w:t>
      </w:r>
      <w:r w:rsidRPr="003E073E">
        <w:rPr>
          <w:rFonts w:cs="Times New Roman"/>
          <w:i/>
          <w:lang w:val="fr-CA"/>
        </w:rPr>
        <w:t>Reza</w:t>
      </w:r>
      <w:r w:rsidRPr="003E073E">
        <w:rPr>
          <w:rFonts w:cs="Times New Roman"/>
          <w:lang w:val="fr-CA"/>
        </w:rPr>
        <w:t xml:space="preserve"> n’ont traité spécifiquement de l’</w:t>
      </w:r>
      <w:r w:rsidRPr="003E073E">
        <w:rPr>
          <w:rFonts w:cs="Times New Roman"/>
          <w:i/>
          <w:lang w:val="fr-CA"/>
        </w:rPr>
        <w:t>habeas corpus</w:t>
      </w:r>
      <w:r w:rsidRPr="003E073E">
        <w:rPr>
          <w:rFonts w:cs="Times New Roman"/>
          <w:lang w:val="fr-CA"/>
        </w:rPr>
        <w:t xml:space="preserve">. L’arrêt </w:t>
      </w:r>
      <w:r w:rsidRPr="003E073E">
        <w:rPr>
          <w:rFonts w:cs="Times New Roman"/>
          <w:i/>
          <w:lang w:val="fr-CA"/>
        </w:rPr>
        <w:t>Pringle</w:t>
      </w:r>
      <w:r w:rsidRPr="003E073E">
        <w:rPr>
          <w:rFonts w:cs="Times New Roman"/>
          <w:lang w:val="fr-CA"/>
        </w:rPr>
        <w:t xml:space="preserve"> portait sur le </w:t>
      </w:r>
      <w:r w:rsidRPr="003E073E">
        <w:rPr>
          <w:rFonts w:cs="Times New Roman"/>
          <w:i/>
          <w:lang w:val="fr-CA"/>
        </w:rPr>
        <w:t>certiorari</w:t>
      </w:r>
      <w:r w:rsidRPr="003E073E">
        <w:rPr>
          <w:rFonts w:cs="Times New Roman"/>
          <w:lang w:val="fr-CA"/>
        </w:rPr>
        <w:t>, un bref qui, contrairement à celui d’</w:t>
      </w:r>
      <w:r w:rsidRPr="003E073E">
        <w:rPr>
          <w:rFonts w:cs="Times New Roman"/>
          <w:i/>
          <w:lang w:val="fr-CA"/>
        </w:rPr>
        <w:t>habeas corpus</w:t>
      </w:r>
      <w:r w:rsidRPr="003E073E">
        <w:rPr>
          <w:rFonts w:cs="Times New Roman"/>
          <w:lang w:val="fr-CA"/>
        </w:rPr>
        <w:t xml:space="preserve">, n’est pas protégé par la Constitution. L’arrêt </w:t>
      </w:r>
      <w:r w:rsidRPr="003E073E">
        <w:rPr>
          <w:rFonts w:cs="Times New Roman"/>
          <w:i/>
          <w:lang w:val="fr-CA"/>
        </w:rPr>
        <w:t xml:space="preserve">Reza </w:t>
      </w:r>
      <w:r w:rsidRPr="003E073E">
        <w:rPr>
          <w:rFonts w:cs="Times New Roman"/>
          <w:lang w:val="fr-CA"/>
        </w:rPr>
        <w:t>ne concernait pas non plus une demande d’</w:t>
      </w:r>
      <w:r w:rsidRPr="003E073E">
        <w:rPr>
          <w:rFonts w:cs="Times New Roman"/>
          <w:i/>
          <w:lang w:val="fr-CA"/>
        </w:rPr>
        <w:t>habeas corpus</w:t>
      </w:r>
      <w:r w:rsidRPr="003E073E">
        <w:rPr>
          <w:rFonts w:cs="Times New Roman"/>
          <w:lang w:val="fr-CA"/>
        </w:rPr>
        <w:t xml:space="preserve">, mais bien une contestation de la constitutionnalité de la </w:t>
      </w:r>
      <w:r w:rsidRPr="003E073E">
        <w:rPr>
          <w:rFonts w:cs="Times New Roman"/>
          <w:i/>
          <w:lang w:val="fr-CA"/>
        </w:rPr>
        <w:t>Loi sur l’immigration</w:t>
      </w:r>
      <w:r w:rsidRPr="003E073E">
        <w:rPr>
          <w:rFonts w:cs="Times New Roman"/>
          <w:lang w:val="fr-CA"/>
        </w:rPr>
        <w:t xml:space="preserve"> pour d’autres motifs. Même l’arrêt </w:t>
      </w:r>
      <w:r w:rsidRPr="003E073E">
        <w:rPr>
          <w:rFonts w:cs="Times New Roman"/>
          <w:i/>
          <w:lang w:val="fr-CA"/>
        </w:rPr>
        <w:t>Peiroo</w:t>
      </w:r>
      <w:r w:rsidRPr="003E073E">
        <w:rPr>
          <w:rFonts w:cs="Times New Roman"/>
          <w:lang w:val="fr-CA"/>
        </w:rPr>
        <w:t xml:space="preserve"> n’a pas prescrit que l’</w:t>
      </w:r>
      <w:r w:rsidRPr="003E073E">
        <w:rPr>
          <w:rFonts w:cs="Times New Roman"/>
          <w:i/>
          <w:lang w:val="fr-CA"/>
        </w:rPr>
        <w:t>habeas corpus</w:t>
      </w:r>
      <w:r w:rsidRPr="003E073E">
        <w:rPr>
          <w:rFonts w:cs="Times New Roman"/>
          <w:lang w:val="fr-CA"/>
        </w:rPr>
        <w:t xml:space="preserve"> ne pourrait </w:t>
      </w:r>
      <w:r w:rsidRPr="003E073E">
        <w:rPr>
          <w:rFonts w:cs="Times New Roman"/>
          <w:i/>
          <w:lang w:val="fr-CA"/>
        </w:rPr>
        <w:t xml:space="preserve">jamais </w:t>
      </w:r>
      <w:r w:rsidRPr="003E073E">
        <w:rPr>
          <w:rFonts w:cs="Times New Roman"/>
          <w:lang w:val="fr-CA"/>
        </w:rPr>
        <w:t xml:space="preserve">servir dans le contexte de l’immigration. Il a simplement décidé que la </w:t>
      </w:r>
      <w:r w:rsidRPr="003E073E">
        <w:rPr>
          <w:rFonts w:cs="Times New Roman"/>
          <w:i/>
          <w:lang w:val="fr-CA"/>
        </w:rPr>
        <w:t>Loi sur l’immigration</w:t>
      </w:r>
      <w:r w:rsidRPr="003E073E">
        <w:rPr>
          <w:rFonts w:cs="Times New Roman"/>
          <w:lang w:val="fr-CA"/>
        </w:rPr>
        <w:t xml:space="preserve"> alors en vigueur était « au moins aussi large » que l’</w:t>
      </w:r>
      <w:r w:rsidRPr="003E073E">
        <w:rPr>
          <w:rFonts w:cs="Times New Roman"/>
          <w:i/>
          <w:lang w:val="fr-CA"/>
        </w:rPr>
        <w:t>habeas corpus</w:t>
      </w:r>
      <w:r w:rsidRPr="003E073E">
        <w:rPr>
          <w:rFonts w:cs="Times New Roman"/>
          <w:lang w:val="fr-CA"/>
        </w:rPr>
        <w:t xml:space="preserve"> pour des [</w:t>
      </w:r>
      <w:r w:rsidRPr="003E073E">
        <w:rPr>
          <w:rFonts w:cs="Times New Roman"/>
          <w:smallCaps/>
          <w:lang w:val="fr-CA"/>
        </w:rPr>
        <w:t>traduction</w:t>
      </w:r>
      <w:r w:rsidRPr="003E073E">
        <w:rPr>
          <w:rFonts w:cs="Times New Roman"/>
          <w:lang w:val="fr-CA"/>
        </w:rPr>
        <w:t>] « questions d’immigration » comme celle de M</w:t>
      </w:r>
      <w:r w:rsidRPr="003E073E">
        <w:rPr>
          <w:rFonts w:cs="Times New Roman"/>
          <w:vertAlign w:val="superscript"/>
          <w:lang w:val="fr-CA"/>
        </w:rPr>
        <w:t>me </w:t>
      </w:r>
      <w:r w:rsidRPr="003E073E">
        <w:rPr>
          <w:rFonts w:cs="Times New Roman"/>
          <w:lang w:val="fr-CA"/>
        </w:rPr>
        <w:t>Peiroo. Celle</w:t>
      </w:r>
      <w:r>
        <w:rPr>
          <w:rFonts w:cs="Times New Roman"/>
          <w:lang w:val="fr-CA"/>
        </w:rPr>
        <w:noBreakHyphen/>
      </w:r>
      <w:r w:rsidRPr="003E073E">
        <w:rPr>
          <w:rFonts w:cs="Times New Roman"/>
          <w:lang w:val="fr-CA"/>
        </w:rPr>
        <w:t>ci avait soutenu que le décideur avait commis une erreur en concluant qu’elle n’avait aucun fondement crédible pour sa demande d’asile et que sa détention était donc illégale.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Enfin, l’arrêt </w:t>
      </w:r>
      <w:r w:rsidRPr="003E073E">
        <w:rPr>
          <w:rFonts w:cs="Times New Roman"/>
          <w:i/>
          <w:lang w:val="fr-CA"/>
        </w:rPr>
        <w:t>May</w:t>
      </w:r>
      <w:r w:rsidRPr="003E073E">
        <w:rPr>
          <w:rFonts w:cs="Times New Roman"/>
          <w:lang w:val="fr-CA"/>
        </w:rPr>
        <w:t xml:space="preserve"> lui</w:t>
      </w:r>
      <w:r>
        <w:rPr>
          <w:rFonts w:cs="Times New Roman"/>
          <w:lang w:val="fr-CA"/>
        </w:rPr>
        <w:noBreakHyphen/>
      </w:r>
      <w:r w:rsidRPr="003E073E">
        <w:rPr>
          <w:rFonts w:cs="Times New Roman"/>
          <w:lang w:val="fr-CA"/>
        </w:rPr>
        <w:t>même nous a incités à interpréter restrictivement les exceptions qui limitent l’accès à l’</w:t>
      </w:r>
      <w:r w:rsidRPr="003E073E">
        <w:rPr>
          <w:rFonts w:cs="Times New Roman"/>
          <w:i/>
          <w:lang w:val="fr-CA"/>
        </w:rPr>
        <w:t>habeas corpus</w:t>
      </w:r>
      <w:r>
        <w:rPr>
          <w:rFonts w:cs="Times New Roman"/>
          <w:lang w:val="fr-CA"/>
        </w:rPr>
        <w:t> :</w:t>
      </w:r>
    </w:p>
    <w:p w:rsidR="00B233C0" w:rsidRPr="00270162" w:rsidRDefault="00B233C0" w:rsidP="00270162">
      <w:pPr>
        <w:pStyle w:val="Citation-AltC"/>
        <w:ind w:hanging="1166"/>
        <w:contextualSpacing w:val="0"/>
        <w:rPr>
          <w:lang w:val="fr-CA"/>
        </w:rPr>
      </w:pPr>
      <w:r w:rsidRPr="003E073E">
        <w:rPr>
          <w:lang w:val="fr-CA"/>
        </w:rPr>
        <w:tab/>
      </w:r>
      <w:r w:rsidRPr="003E073E">
        <w:rPr>
          <w:lang w:val="fr-CA"/>
        </w:rPr>
        <w:tab/>
        <w:t>L’importance historique de l’</w:t>
      </w:r>
      <w:r w:rsidRPr="003E073E">
        <w:rPr>
          <w:i/>
          <w:lang w:val="fr-CA"/>
        </w:rPr>
        <w:t>habeas corpus</w:t>
      </w:r>
      <w:r w:rsidRPr="003E073E">
        <w:rPr>
          <w:lang w:val="fr-CA"/>
        </w:rPr>
        <w:t xml:space="preserve"> dans la protection de diverses formes de liberté justifie un examen soigneux de toute évolution jurisprudentielle restreignant la compétence en matière d’</w:t>
      </w:r>
      <w:r w:rsidRPr="00270162">
        <w:rPr>
          <w:i/>
          <w:lang w:val="fr-CA"/>
        </w:rPr>
        <w:t xml:space="preserve">habeas corpus </w:t>
      </w:r>
      <w:r w:rsidRPr="003E073E">
        <w:rPr>
          <w:lang w:val="fr-CA"/>
        </w:rPr>
        <w:t>et ne permet pas de le laisser se développer sans contrôle. Il importe que les exceptions à la compétence en matière d’</w:t>
      </w:r>
      <w:r w:rsidRPr="003E073E">
        <w:rPr>
          <w:i/>
          <w:lang w:val="fr-CA"/>
        </w:rPr>
        <w:t>habeas corpus</w:t>
      </w:r>
      <w:r w:rsidRPr="003E073E">
        <w:rPr>
          <w:lang w:val="fr-CA"/>
        </w:rPr>
        <w:t xml:space="preserve"> et les circonstances dans lesquelles une cour supérieure peut décliner compétence demeurent bien définies et circonscrites. </w:t>
      </w:r>
      <w:r w:rsidR="00270162">
        <w:t>[</w:t>
      </w:r>
      <w:r>
        <w:t>par. </w:t>
      </w:r>
      <w:r w:rsidR="00270162">
        <w:t>50]</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Pour ces motifs, j’estime qu’il ne faudrait pas donner à l’arrêt </w:t>
      </w:r>
      <w:r w:rsidRPr="003E073E">
        <w:rPr>
          <w:rFonts w:cs="Times New Roman"/>
          <w:i/>
          <w:lang w:val="fr-CA"/>
        </w:rPr>
        <w:t>May</w:t>
      </w:r>
      <w:r w:rsidRPr="003E073E">
        <w:rPr>
          <w:rFonts w:cs="Times New Roman"/>
          <w:lang w:val="fr-CA"/>
        </w:rPr>
        <w:t xml:space="preserve"> un sens qui serait tel que l’exception établie par l’arrêt </w:t>
      </w:r>
      <w:r w:rsidRPr="003E073E">
        <w:rPr>
          <w:rFonts w:cs="Times New Roman"/>
          <w:i/>
          <w:lang w:val="fr-CA"/>
        </w:rPr>
        <w:t>Peiroo</w:t>
      </w:r>
      <w:r w:rsidRPr="003E073E">
        <w:rPr>
          <w:rFonts w:cs="Times New Roman"/>
          <w:lang w:val="fr-CA"/>
        </w:rPr>
        <w:t xml:space="preserve"> écarte toutes les demandes d’</w:t>
      </w:r>
      <w:r w:rsidRPr="003E073E">
        <w:rPr>
          <w:rFonts w:cs="Times New Roman"/>
          <w:i/>
          <w:lang w:val="fr-CA"/>
        </w:rPr>
        <w:t xml:space="preserve">habeas corpus </w:t>
      </w:r>
      <w:r w:rsidRPr="003E073E">
        <w:rPr>
          <w:rFonts w:cs="Times New Roman"/>
          <w:lang w:val="fr-CA"/>
        </w:rPr>
        <w:t xml:space="preserve">qui se présentent dans le contexte de l’immigration, sans égard aux motifs invoqués pour remettre en cause la détention. </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Deux arrêts récents de la Cour d’appel de l’Ontario — </w:t>
      </w:r>
      <w:r w:rsidRPr="003E073E">
        <w:rPr>
          <w:rFonts w:cs="Times New Roman"/>
          <w:i/>
          <w:lang w:val="fr-CA"/>
        </w:rPr>
        <w:t>Chaudhary</w:t>
      </w:r>
      <w:r w:rsidRPr="003E073E">
        <w:rPr>
          <w:rFonts w:cs="Times New Roman"/>
          <w:lang w:val="fr-CA"/>
        </w:rPr>
        <w:t xml:space="preserve"> et </w:t>
      </w:r>
      <w:r w:rsidRPr="003E073E">
        <w:rPr>
          <w:rFonts w:cs="Times New Roman"/>
          <w:i/>
          <w:lang w:val="fr-CA"/>
        </w:rPr>
        <w:t>Ogiamien</w:t>
      </w:r>
      <w:r w:rsidRPr="003E073E">
        <w:rPr>
          <w:rFonts w:cs="Times New Roman"/>
          <w:lang w:val="fr-CA"/>
        </w:rPr>
        <w:t xml:space="preserve"> — ont reconnu que l’exception établie par l’arrêt </w:t>
      </w:r>
      <w:r w:rsidRPr="003E073E">
        <w:rPr>
          <w:rFonts w:cs="Times New Roman"/>
          <w:i/>
          <w:lang w:val="fr-CA"/>
        </w:rPr>
        <w:t>Peiroo</w:t>
      </w:r>
      <w:r w:rsidRPr="003E073E">
        <w:rPr>
          <w:rFonts w:cs="Times New Roman"/>
          <w:lang w:val="fr-CA"/>
        </w:rPr>
        <w:t xml:space="preserve"> n’interdisait pas toutes les demandes d’</w:t>
      </w:r>
      <w:r w:rsidRPr="003E073E">
        <w:rPr>
          <w:rFonts w:cs="Times New Roman"/>
          <w:i/>
          <w:lang w:val="fr-CA"/>
        </w:rPr>
        <w:t>habeas corpus</w:t>
      </w:r>
      <w:r w:rsidRPr="003E073E">
        <w:rPr>
          <w:rFonts w:cs="Times New Roman"/>
          <w:lang w:val="fr-CA"/>
        </w:rPr>
        <w:t xml:space="preserve"> visant une privation de liberté découlant du régime législatif applicable en matière d’immigration. </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Dans l’arrêt </w:t>
      </w:r>
      <w:r w:rsidRPr="003E073E">
        <w:rPr>
          <w:rFonts w:cs="Times New Roman"/>
          <w:i/>
          <w:lang w:val="fr-CA"/>
        </w:rPr>
        <w:t>Chaudhary</w:t>
      </w:r>
      <w:r w:rsidRPr="003E073E">
        <w:rPr>
          <w:rFonts w:cs="Times New Roman"/>
          <w:lang w:val="fr-CA"/>
        </w:rPr>
        <w:t xml:space="preserve">, le juge Rouleau, au nom de la Cour d’appel, a distingué l’affaire dont il était saisi de l’affaire </w:t>
      </w:r>
      <w:r w:rsidRPr="003E073E">
        <w:rPr>
          <w:rFonts w:cs="Times New Roman"/>
          <w:i/>
          <w:lang w:val="fr-CA"/>
        </w:rPr>
        <w:t>Peiroo</w:t>
      </w:r>
      <w:r w:rsidRPr="003E073E">
        <w:rPr>
          <w:rFonts w:cs="Times New Roman"/>
          <w:lang w:val="fr-CA"/>
        </w:rPr>
        <w:t xml:space="preserve">, en faisant remarquer que la demanderesse dans cette dernière avait remis en cause des aspects de son statut même de réfugiée — une décision en matière d’immigration pour laquelle la </w:t>
      </w:r>
      <w:r w:rsidRPr="003E073E">
        <w:rPr>
          <w:rFonts w:cs="Times New Roman"/>
          <w:i/>
          <w:lang w:val="fr-CA"/>
        </w:rPr>
        <w:t xml:space="preserve">LIPR </w:t>
      </w:r>
      <w:r w:rsidRPr="003E073E">
        <w:rPr>
          <w:rFonts w:cs="Times New Roman"/>
          <w:lang w:val="fr-CA"/>
        </w:rPr>
        <w:t>prévoyait un contrôle aussi large que l’</w:t>
      </w:r>
      <w:r w:rsidRPr="003E073E">
        <w:rPr>
          <w:rFonts w:cs="Times New Roman"/>
          <w:i/>
          <w:lang w:val="fr-CA"/>
        </w:rPr>
        <w:t xml:space="preserve">habeas corpus </w:t>
      </w:r>
      <w:r w:rsidRPr="003E073E">
        <w:rPr>
          <w:rFonts w:cs="Times New Roman"/>
          <w:lang w:val="fr-CA"/>
        </w:rPr>
        <w:t xml:space="preserve">— alors que les multiples demandeurs dans l’affaire </w:t>
      </w:r>
      <w:r w:rsidRPr="003E073E">
        <w:rPr>
          <w:rFonts w:cs="Times New Roman"/>
          <w:i/>
          <w:lang w:val="fr-CA"/>
        </w:rPr>
        <w:t>Chaudhary</w:t>
      </w:r>
      <w:r w:rsidRPr="003E073E">
        <w:rPr>
          <w:rFonts w:cs="Times New Roman"/>
          <w:lang w:val="fr-CA"/>
        </w:rPr>
        <w:t xml:space="preserve"> contestaient leur détention au motif que leur durée prolongée ou leur caractère indéterminé contrevenaient à l’</w:t>
      </w:r>
      <w:r>
        <w:rPr>
          <w:rFonts w:cs="Times New Roman"/>
          <w:lang w:val="fr-CA"/>
        </w:rPr>
        <w:t>art. </w:t>
      </w:r>
      <w:r w:rsidRPr="003E073E">
        <w:rPr>
          <w:rFonts w:cs="Times New Roman"/>
          <w:lang w:val="fr-CA"/>
        </w:rPr>
        <w:t xml:space="preserve">7 de la </w:t>
      </w:r>
      <w:r w:rsidRPr="003E073E">
        <w:rPr>
          <w:rFonts w:cs="Times New Roman"/>
          <w:i/>
          <w:lang w:val="fr-CA"/>
        </w:rPr>
        <w:t>Charte</w:t>
      </w:r>
      <w:r w:rsidRPr="003E073E">
        <w:rPr>
          <w:rFonts w:cs="Times New Roman"/>
          <w:lang w:val="fr-CA"/>
        </w:rPr>
        <w:t xml:space="preserve">. La Cour d’appel a conclu que la </w:t>
      </w:r>
      <w:r w:rsidRPr="003E073E">
        <w:rPr>
          <w:rFonts w:cs="Times New Roman"/>
          <w:i/>
          <w:lang w:val="fr-CA"/>
        </w:rPr>
        <w:t>LIPR</w:t>
      </w:r>
      <w:r w:rsidRPr="003E073E">
        <w:rPr>
          <w:rFonts w:cs="Times New Roman"/>
          <w:lang w:val="fr-CA"/>
        </w:rPr>
        <w:t xml:space="preserve"> n’avait pas une portée aussi large ou avantageuse que l’</w:t>
      </w:r>
      <w:r w:rsidRPr="003E073E">
        <w:rPr>
          <w:rFonts w:cs="Times New Roman"/>
          <w:i/>
          <w:lang w:val="fr-CA"/>
        </w:rPr>
        <w:t>habeas corpus</w:t>
      </w:r>
      <w:r w:rsidRPr="003E073E">
        <w:rPr>
          <w:rFonts w:cs="Times New Roman"/>
          <w:lang w:val="fr-CA"/>
        </w:rPr>
        <w:t xml:space="preserve"> en rapport avec de telles questions. De plus, les demandeurs ne remettaient en cause que leur détention; l’issue des demandes n’allait avoir aucun effet sur leur statut en matière d’immigration. En fin de compte, la compétence des cours supérieures provinciales constituait un complément nécessaire au régime législatif pour protéger le droit constitutionnel à l’</w:t>
      </w:r>
      <w:r w:rsidRPr="003E073E">
        <w:rPr>
          <w:rFonts w:cs="Times New Roman"/>
          <w:i/>
          <w:lang w:val="fr-CA"/>
        </w:rPr>
        <w:t>habeas corpus</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Le juge</w:t>
      </w:r>
      <w:r>
        <w:rPr>
          <w:rFonts w:cs="Times New Roman"/>
          <w:lang w:val="fr-CA"/>
        </w:rPr>
        <w:t xml:space="preserve"> </w:t>
      </w:r>
      <w:r w:rsidRPr="003E073E">
        <w:rPr>
          <w:rFonts w:cs="Times New Roman"/>
          <w:lang w:val="fr-CA"/>
        </w:rPr>
        <w:t xml:space="preserve">Sharpe de la Cour d’appel s’est penché sur des faits similaires dans l’arrêt </w:t>
      </w:r>
      <w:r w:rsidRPr="003E073E">
        <w:rPr>
          <w:rFonts w:cs="Times New Roman"/>
          <w:i/>
          <w:lang w:val="fr-CA"/>
        </w:rPr>
        <w:t>Ogiamien</w:t>
      </w:r>
      <w:r w:rsidRPr="003E073E">
        <w:rPr>
          <w:rFonts w:cs="Times New Roman"/>
          <w:lang w:val="fr-CA"/>
        </w:rPr>
        <w:t>, et il a conclu qu’une détention de 25 mois — en raison d’une mesure d’expulsion toujours en vigueur — était sujette à un examen par voie d’</w:t>
      </w:r>
      <w:r w:rsidRPr="003E073E">
        <w:rPr>
          <w:rFonts w:cs="Times New Roman"/>
          <w:i/>
          <w:lang w:val="fr-CA"/>
        </w:rPr>
        <w:t>habeas corpus</w:t>
      </w:r>
      <w:r w:rsidRPr="003E073E">
        <w:rPr>
          <w:rFonts w:cs="Times New Roman"/>
          <w:lang w:val="fr-CA"/>
        </w:rPr>
        <w:t xml:space="preserve">. Bien que la Cour d’appel ait conclu qu’il n’était pas nécessaire de prendre en considération la prétention de M. Ogiamien selon laquelle il aurait dû être détenu dans un centre de surveillance de l’immigration plutôt que dans un établissement à sécurité maximale — étant donné que cette plainte spécifique avait été étudiée dans le cadre d’une demande distincte —, elle a fait remarquer que le principe appliqué dans l’arrêt </w:t>
      </w:r>
      <w:r w:rsidRPr="003E073E">
        <w:rPr>
          <w:rFonts w:cs="Times New Roman"/>
          <w:i/>
          <w:lang w:val="fr-CA"/>
        </w:rPr>
        <w:t xml:space="preserve">Chaudhary </w:t>
      </w:r>
      <w:r w:rsidRPr="003E073E">
        <w:rPr>
          <w:rFonts w:cs="Times New Roman"/>
          <w:lang w:val="fr-CA"/>
        </w:rPr>
        <w:t>n’était pas limité aux situations comportant de longues détentions dont la durée était incertaine. Au lieu de cela, le principe reposait sur la vaste compétence résiduelle de la Cour supérieure d’entendre les demandes d’</w:t>
      </w:r>
      <w:r w:rsidRPr="003E073E">
        <w:rPr>
          <w:rFonts w:cs="Times New Roman"/>
          <w:i/>
          <w:lang w:val="fr-CA"/>
        </w:rPr>
        <w:t>habeas corpus</w:t>
      </w:r>
      <w:r w:rsidRPr="003E073E">
        <w:rPr>
          <w:rFonts w:cs="Times New Roman"/>
          <w:lang w:val="fr-CA"/>
        </w:rPr>
        <w:t xml:space="preserve">, sous réserve seulement du cadre établi dans </w:t>
      </w:r>
      <w:r w:rsidRPr="003E073E">
        <w:rPr>
          <w:rFonts w:cs="Times New Roman"/>
          <w:i/>
          <w:lang w:val="fr-CA"/>
        </w:rPr>
        <w:t xml:space="preserve">May </w:t>
      </w:r>
      <w:r w:rsidRPr="003E073E">
        <w:rPr>
          <w:rFonts w:cs="Times New Roman"/>
          <w:lang w:val="fr-CA"/>
        </w:rPr>
        <w:t>(</w:t>
      </w:r>
      <w:r w:rsidRPr="003E073E">
        <w:rPr>
          <w:rFonts w:cs="Times New Roman"/>
          <w:i/>
          <w:lang w:val="fr-CA"/>
        </w:rPr>
        <w:t>Ogiamien</w:t>
      </w:r>
      <w:r w:rsidRPr="003E073E">
        <w:rPr>
          <w:rFonts w:cs="Times New Roman"/>
          <w:lang w:val="fr-CA"/>
        </w:rPr>
        <w:t xml:space="preserve">, </w:t>
      </w:r>
      <w:r>
        <w:rPr>
          <w:rFonts w:cs="Times New Roman"/>
          <w:lang w:val="fr-CA"/>
        </w:rPr>
        <w:t>par. </w:t>
      </w:r>
      <w:r w:rsidRPr="003E073E">
        <w:rPr>
          <w:rFonts w:cs="Times New Roman"/>
          <w:lang w:val="fr-CA"/>
        </w:rPr>
        <w:t>38</w:t>
      </w:r>
      <w:r>
        <w:rPr>
          <w:rFonts w:cs="Times New Roman"/>
          <w:lang w:val="fr-CA"/>
        </w:rPr>
        <w:noBreakHyphen/>
      </w:r>
      <w:r w:rsidRPr="003E073E">
        <w:rPr>
          <w:rFonts w:cs="Times New Roman"/>
          <w:lang w:val="fr-CA"/>
        </w:rPr>
        <w:t>42).</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Je souscris à l’approche préconisée par les arrêts </w:t>
      </w:r>
      <w:r w:rsidRPr="003E073E">
        <w:rPr>
          <w:rFonts w:cs="Times New Roman"/>
          <w:i/>
          <w:lang w:val="fr-CA"/>
        </w:rPr>
        <w:t>Chaudhary</w:t>
      </w:r>
      <w:r w:rsidRPr="003E073E">
        <w:rPr>
          <w:rFonts w:cs="Times New Roman"/>
          <w:lang w:val="fr-CA"/>
        </w:rPr>
        <w:t xml:space="preserve"> et </w:t>
      </w:r>
      <w:r w:rsidRPr="003E073E">
        <w:rPr>
          <w:rFonts w:cs="Times New Roman"/>
          <w:i/>
          <w:lang w:val="fr-CA"/>
        </w:rPr>
        <w:t>Ogiamien</w:t>
      </w:r>
      <w:r w:rsidRPr="003E073E">
        <w:rPr>
          <w:rFonts w:cs="Times New Roman"/>
          <w:lang w:val="fr-CA"/>
        </w:rPr>
        <w:t xml:space="preserve">, qu’a adoptée la Cour d’appel dans la présente affaire. Cette approche découle comme il se doit des principes énoncés par la Cour dans </w:t>
      </w:r>
      <w:r w:rsidRPr="003E073E">
        <w:rPr>
          <w:rFonts w:cs="Times New Roman"/>
          <w:i/>
          <w:lang w:val="fr-CA"/>
        </w:rPr>
        <w:t>May</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En somme, l’exception établie par l’arrêt </w:t>
      </w:r>
      <w:r w:rsidRPr="003E073E">
        <w:rPr>
          <w:rFonts w:cs="Times New Roman"/>
          <w:i/>
          <w:lang w:val="fr-CA"/>
        </w:rPr>
        <w:t>Peiroo</w:t>
      </w:r>
      <w:r w:rsidRPr="003E073E">
        <w:rPr>
          <w:rFonts w:cs="Times New Roman"/>
          <w:lang w:val="fr-CA"/>
        </w:rPr>
        <w:t xml:space="preserve"> peut être exprimée plus clairement ainsi</w:t>
      </w:r>
      <w:r>
        <w:rPr>
          <w:rFonts w:cs="Times New Roman"/>
          <w:lang w:val="fr-CA"/>
        </w:rPr>
        <w:t> :</w:t>
      </w:r>
      <w:r w:rsidRPr="003E073E">
        <w:rPr>
          <w:rFonts w:cs="Times New Roman"/>
          <w:lang w:val="fr-CA"/>
        </w:rPr>
        <w:t xml:space="preserve"> une demande d’</w:t>
      </w:r>
      <w:r w:rsidRPr="003E073E">
        <w:rPr>
          <w:rFonts w:cs="Times New Roman"/>
          <w:i/>
          <w:lang w:val="fr-CA"/>
        </w:rPr>
        <w:t>habeas corpus</w:t>
      </w:r>
      <w:r w:rsidRPr="003E073E">
        <w:rPr>
          <w:rFonts w:cs="Times New Roman"/>
          <w:lang w:val="fr-CA"/>
        </w:rPr>
        <w:t xml:space="preserve"> n’est écartée que lorsqu’il existe un régime complet, exhaustif et spécialisé prévoyant une procédure d’examen au moins aussi large et aussi avantageuse que celle de l’</w:t>
      </w:r>
      <w:r w:rsidRPr="003E073E">
        <w:rPr>
          <w:rFonts w:cs="Times New Roman"/>
          <w:i/>
          <w:lang w:val="fr-CA"/>
        </w:rPr>
        <w:t>habeas corpus</w:t>
      </w:r>
      <w:r w:rsidRPr="003E073E">
        <w:rPr>
          <w:rFonts w:cs="Times New Roman"/>
          <w:lang w:val="fr-CA"/>
        </w:rPr>
        <w:t>, à la lumière des remises en cause de la détention énoncées dans la demande d’</w:t>
      </w:r>
      <w:r w:rsidRPr="003E073E">
        <w:rPr>
          <w:rFonts w:cs="Times New Roman"/>
          <w:i/>
          <w:lang w:val="fr-CA"/>
        </w:rPr>
        <w:t>habeas corpus</w:t>
      </w:r>
      <w:r w:rsidRPr="003E073E">
        <w:rPr>
          <w:rFonts w:cs="Times New Roman"/>
          <w:lang w:val="fr-CA"/>
        </w:rPr>
        <w:t>. Un régime administratif peut suffire pour sauvegarder les droits protégés par l’</w:t>
      </w:r>
      <w:r w:rsidRPr="003E073E">
        <w:rPr>
          <w:rFonts w:cs="Times New Roman"/>
          <w:i/>
          <w:lang w:val="fr-CA"/>
        </w:rPr>
        <w:t>habeas corpus</w:t>
      </w:r>
      <w:r w:rsidRPr="003E073E">
        <w:rPr>
          <w:rFonts w:cs="Times New Roman"/>
          <w:lang w:val="fr-CA"/>
        </w:rPr>
        <w:t xml:space="preserve"> relativement à certains types de contestations, mais il peut s’avérer nécessaire de l’examiner à nouveau dans d’autres cas. Il est donc essentiel de prendre en compte la manière dont la remise en cause de la légalité de la détention est formulée dans la demande d’</w:t>
      </w:r>
      <w:r w:rsidRPr="003E073E">
        <w:rPr>
          <w:rFonts w:cs="Times New Roman"/>
          <w:i/>
          <w:lang w:val="fr-CA"/>
        </w:rPr>
        <w:t>habeas corpus</w:t>
      </w:r>
      <w:r w:rsidRPr="003E073E">
        <w:rPr>
          <w:rFonts w:cs="Times New Roman"/>
          <w:lang w:val="fr-CA"/>
        </w:rPr>
        <w:t>.</w:t>
      </w:r>
    </w:p>
    <w:p w:rsidR="00B233C0" w:rsidRPr="003E073E" w:rsidRDefault="00B233C0" w:rsidP="00B233C0">
      <w:pPr>
        <w:pStyle w:val="Title2LevelTitre2Niveau"/>
        <w:rPr>
          <w:rFonts w:cs="Times New Roman"/>
          <w:lang w:val="fr-CA"/>
        </w:rPr>
      </w:pPr>
      <w:r w:rsidRPr="003E073E">
        <w:rPr>
          <w:rFonts w:cs="Times New Roman"/>
          <w:lang w:val="fr-CA"/>
        </w:rPr>
        <w:t>La détermination des circonstances dans lesquelles s’applique l’exception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Comment, alors, un tribunal détermine</w:t>
      </w:r>
      <w:r>
        <w:rPr>
          <w:rFonts w:cs="Times New Roman"/>
          <w:lang w:val="fr-CA"/>
        </w:rPr>
        <w:noBreakHyphen/>
      </w:r>
      <w:r w:rsidRPr="003E073E">
        <w:rPr>
          <w:rFonts w:cs="Times New Roman"/>
          <w:lang w:val="fr-CA"/>
        </w:rPr>
        <w:t>t</w:t>
      </w:r>
      <w:r>
        <w:rPr>
          <w:rFonts w:cs="Times New Roman"/>
          <w:lang w:val="fr-CA"/>
        </w:rPr>
        <w:noBreakHyphen/>
      </w:r>
      <w:r w:rsidRPr="003E073E">
        <w:rPr>
          <w:rFonts w:cs="Times New Roman"/>
          <w:lang w:val="fr-CA"/>
        </w:rPr>
        <w:t>il s’il existe « un régime complet, exhaustif et spécialisé prévoyant une procédure d’examen au moins aussi large et aussi avantageuse que celle de l’</w:t>
      </w:r>
      <w:r w:rsidRPr="003E073E">
        <w:rPr>
          <w:rFonts w:cs="Times New Roman"/>
          <w:i/>
          <w:lang w:val="fr-CA"/>
        </w:rPr>
        <w:t>habeas corpus</w:t>
      </w:r>
      <w:r w:rsidRPr="003E073E">
        <w:rPr>
          <w:rFonts w:cs="Times New Roman"/>
          <w:lang w:val="fr-CA"/>
        </w:rPr>
        <w:t> », de sorte qu’un demandeur sera empêché de présenter une demande d’</w:t>
      </w:r>
      <w:r w:rsidRPr="003E073E">
        <w:rPr>
          <w:rFonts w:cs="Times New Roman"/>
          <w:i/>
          <w:lang w:val="fr-CA"/>
        </w:rPr>
        <w:t xml:space="preserve">habeas corpus </w:t>
      </w:r>
      <w:r w:rsidRPr="003E073E">
        <w:rPr>
          <w:rFonts w:cs="Times New Roman"/>
          <w:lang w:val="fr-CA"/>
        </w:rPr>
        <w:t>(</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40)?</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Premièrement, il faut se demander quel est le fondement de la remise en cause de la légalité de la détention. En d’autres termes, il faut déterminer quels sont les motifs invoqués au soutien de la demande d’</w:t>
      </w:r>
      <w:r w:rsidRPr="003E073E">
        <w:rPr>
          <w:rFonts w:cs="Times New Roman"/>
          <w:i/>
          <w:lang w:val="fr-CA"/>
        </w:rPr>
        <w:t>habeas corpus</w:t>
      </w:r>
      <w:r>
        <w:rPr>
          <w:rFonts w:cs="Times New Roman"/>
          <w:lang w:val="fr-CA"/>
        </w:rPr>
        <w:t>.</w:t>
      </w:r>
      <w:r w:rsidRPr="003E073E">
        <w:rPr>
          <w:rFonts w:cs="Times New Roman"/>
          <w:lang w:val="fr-CA"/>
        </w:rPr>
        <w:t xml:space="preserve"> La référence aux catégories énumérées dans </w:t>
      </w:r>
      <w:r w:rsidRPr="003E073E">
        <w:rPr>
          <w:rFonts w:cs="Times New Roman"/>
          <w:i/>
          <w:lang w:val="fr-CA"/>
        </w:rPr>
        <w:t>Dumas</w:t>
      </w:r>
      <w:r w:rsidRPr="003E073E">
        <w:rPr>
          <w:rFonts w:cs="Times New Roman"/>
          <w:lang w:val="fr-CA"/>
        </w:rPr>
        <w:t xml:space="preserve"> peut être utile à cet examen. Le demandeur conteste</w:t>
      </w:r>
      <w:r>
        <w:rPr>
          <w:rFonts w:cs="Times New Roman"/>
          <w:lang w:val="fr-CA"/>
        </w:rPr>
        <w:noBreakHyphen/>
      </w:r>
      <w:r w:rsidRPr="003E073E">
        <w:rPr>
          <w:rFonts w:cs="Times New Roman"/>
          <w:lang w:val="fr-CA"/>
        </w:rPr>
        <w:t>t</w:t>
      </w:r>
      <w:r>
        <w:rPr>
          <w:rFonts w:cs="Times New Roman"/>
          <w:lang w:val="fr-CA"/>
        </w:rPr>
        <w:noBreakHyphen/>
      </w:r>
      <w:r w:rsidRPr="003E073E">
        <w:rPr>
          <w:rFonts w:cs="Times New Roman"/>
          <w:lang w:val="fr-CA"/>
        </w:rPr>
        <w:t>il une décision initiale qui a entraîné la détent</w:t>
      </w:r>
      <w:r w:rsidR="00270162">
        <w:rPr>
          <w:rFonts w:cs="Times New Roman"/>
          <w:lang w:val="fr-CA"/>
        </w:rPr>
        <w:t>ion, comme une mesure de renvoi</w:t>
      </w:r>
      <w:r w:rsidRPr="003E073E">
        <w:rPr>
          <w:rFonts w:cs="Times New Roman"/>
          <w:lang w:val="fr-CA"/>
        </w:rPr>
        <w:t>? Conteste</w:t>
      </w:r>
      <w:r>
        <w:rPr>
          <w:rFonts w:cs="Times New Roman"/>
          <w:lang w:val="fr-CA"/>
        </w:rPr>
        <w:noBreakHyphen/>
      </w:r>
      <w:r w:rsidRPr="003E073E">
        <w:rPr>
          <w:rFonts w:cs="Times New Roman"/>
          <w:lang w:val="fr-CA"/>
        </w:rPr>
        <w:t>t</w:t>
      </w:r>
      <w:r>
        <w:rPr>
          <w:rFonts w:cs="Times New Roman"/>
          <w:lang w:val="fr-CA"/>
        </w:rPr>
        <w:noBreakHyphen/>
      </w:r>
      <w:r w:rsidRPr="003E073E">
        <w:rPr>
          <w:rFonts w:cs="Times New Roman"/>
          <w:lang w:val="fr-CA"/>
        </w:rPr>
        <w:t>il les conditio</w:t>
      </w:r>
      <w:r w:rsidR="00270162">
        <w:rPr>
          <w:rFonts w:cs="Times New Roman"/>
          <w:lang w:val="fr-CA"/>
        </w:rPr>
        <w:t>ns de sa détention</w:t>
      </w:r>
      <w:r w:rsidRPr="003E073E">
        <w:rPr>
          <w:rFonts w:cs="Times New Roman"/>
          <w:lang w:val="fr-CA"/>
        </w:rPr>
        <w:t>? Ou conteste</w:t>
      </w:r>
      <w:r>
        <w:rPr>
          <w:rFonts w:cs="Times New Roman"/>
          <w:lang w:val="fr-CA"/>
        </w:rPr>
        <w:noBreakHyphen/>
      </w:r>
      <w:r w:rsidRPr="003E073E">
        <w:rPr>
          <w:rFonts w:cs="Times New Roman"/>
          <w:lang w:val="fr-CA"/>
        </w:rPr>
        <w:t>il la durée de sa détention et son caractère incertain ? Il est nécessaire de circonscrire précisément les fondements de la demande d’</w:t>
      </w:r>
      <w:r w:rsidRPr="003E073E">
        <w:rPr>
          <w:rFonts w:cs="Times New Roman"/>
          <w:i/>
          <w:lang w:val="fr-CA"/>
        </w:rPr>
        <w:t>habeas corpus</w:t>
      </w:r>
      <w:r w:rsidRPr="003E073E">
        <w:rPr>
          <w:rFonts w:cs="Times New Roman"/>
          <w:lang w:val="fr-CA"/>
        </w:rPr>
        <w:t xml:space="preserve"> afin de déterminer s’il existe un recours légal efficace pour répondre à ces motifs. </w:t>
      </w:r>
    </w:p>
    <w:p w:rsidR="00B233C0" w:rsidRPr="003E073E" w:rsidRDefault="00B233C0" w:rsidP="00B233C0">
      <w:pPr>
        <w:pStyle w:val="ParaNoNdepar-AltN"/>
        <w:tabs>
          <w:tab w:val="clear" w:pos="1166"/>
          <w:tab w:val="num" w:pos="1152"/>
        </w:tabs>
        <w:rPr>
          <w:lang w:val="fr-CA"/>
        </w:rPr>
      </w:pPr>
      <w:r w:rsidRPr="003E073E">
        <w:rPr>
          <w:lang w:val="fr-CA"/>
        </w:rPr>
        <w:t>Deuxièmement, il faut se demander s’il existe une procédure complète, exhaustive et spécialisée qui soit aussi large et avantageuse que l’</w:t>
      </w:r>
      <w:r w:rsidRPr="003E073E">
        <w:rPr>
          <w:i/>
          <w:lang w:val="fr-CA"/>
        </w:rPr>
        <w:t>habeas corpus</w:t>
      </w:r>
      <w:r w:rsidRPr="003E073E">
        <w:rPr>
          <w:lang w:val="fr-CA"/>
        </w:rPr>
        <w:t xml:space="preserve"> relativement aux fondements spécifiques de la demande d’</w:t>
      </w:r>
      <w:r w:rsidRPr="003E073E">
        <w:rPr>
          <w:i/>
          <w:lang w:val="fr-CA"/>
        </w:rPr>
        <w:t>habeas corpus</w:t>
      </w:r>
      <w:r w:rsidRPr="003E073E">
        <w:rPr>
          <w:lang w:val="fr-CA"/>
        </w:rPr>
        <w:t xml:space="preserve">. Certains éléments du régime de contrôle de la détention établi par la </w:t>
      </w:r>
      <w:r w:rsidRPr="003E073E">
        <w:rPr>
          <w:i/>
          <w:lang w:val="fr-CA"/>
        </w:rPr>
        <w:t>LIPR</w:t>
      </w:r>
      <w:r w:rsidRPr="003E073E">
        <w:rPr>
          <w:lang w:val="fr-CA"/>
        </w:rPr>
        <w:t xml:space="preserve"> </w:t>
      </w:r>
      <w:r>
        <w:rPr>
          <w:lang w:val="fr-CA"/>
        </w:rPr>
        <w:t xml:space="preserve">permettent d’affirmer que le régime est </w:t>
      </w:r>
      <w:r w:rsidRPr="003E073E">
        <w:rPr>
          <w:lang w:val="fr-CA"/>
        </w:rPr>
        <w:t xml:space="preserve">complet, exhaustif et spécialisé. Toutefois, la principale question en litige en l’espèce, et celle sur laquelle se sont concentrées les observations des parties, est celle de savoir si le processus de contrôle établi par la </w:t>
      </w:r>
      <w:r w:rsidRPr="003E073E">
        <w:rPr>
          <w:i/>
          <w:lang w:val="fr-CA"/>
        </w:rPr>
        <w:t>LIPR</w:t>
      </w:r>
      <w:r w:rsidRPr="003E073E">
        <w:rPr>
          <w:lang w:val="fr-CA"/>
        </w:rPr>
        <w:t xml:space="preserve"> est aussi large et avantageux que l’</w:t>
      </w:r>
      <w:r w:rsidRPr="003E073E">
        <w:rPr>
          <w:i/>
          <w:lang w:val="fr-CA"/>
        </w:rPr>
        <w:t xml:space="preserve">habeas corpus </w:t>
      </w:r>
      <w:r w:rsidRPr="003E073E">
        <w:rPr>
          <w:lang w:val="fr-CA"/>
        </w:rPr>
        <w:t xml:space="preserve">en ce qui a trait aux fondements spécifiques de la remise en cause par M. Chhina de la légalité de sa détention. </w:t>
      </w:r>
      <w:r w:rsidRPr="002821BB">
        <w:rPr>
          <w:rFonts w:cs="Times New Roman"/>
          <w:lang w:val="fr-CA"/>
        </w:rPr>
        <w:t>Dans le cadre de cet examen, il peut s’avérer utile d’examiner si le régime légal est muet quant aux fondements énoncés dans la demande d’</w:t>
      </w:r>
      <w:r w:rsidRPr="00123644">
        <w:rPr>
          <w:rFonts w:cs="Times New Roman"/>
          <w:i/>
          <w:lang w:val="fr-CA"/>
        </w:rPr>
        <w:t>habeas corpus</w:t>
      </w:r>
      <w:r w:rsidRPr="002821BB">
        <w:rPr>
          <w:rFonts w:cs="Times New Roman"/>
          <w:lang w:val="fr-CA"/>
        </w:rPr>
        <w:t>.</w:t>
      </w:r>
      <w:r w:rsidRPr="003E073E">
        <w:rPr>
          <w:lang w:val="fr-CA"/>
        </w:rPr>
        <w:t xml:space="preserve"> Si c’est le cas, ce régime n’est pas aussi large et avantageux que l’</w:t>
      </w:r>
      <w:r w:rsidRPr="003E073E">
        <w:rPr>
          <w:i/>
          <w:lang w:val="fr-CA"/>
        </w:rPr>
        <w:t>habeas corpus</w:t>
      </w:r>
      <w:r w:rsidRPr="003E073E">
        <w:rPr>
          <w:lang w:val="fr-CA"/>
        </w:rPr>
        <w:t>. Le régime ne pourra pas non plus écarter l’</w:t>
      </w:r>
      <w:r w:rsidRPr="003E073E">
        <w:rPr>
          <w:i/>
          <w:lang w:val="fr-CA"/>
        </w:rPr>
        <w:t xml:space="preserve">habeas corpus </w:t>
      </w:r>
      <w:r w:rsidRPr="003E073E">
        <w:rPr>
          <w:lang w:val="fr-CA"/>
        </w:rPr>
        <w:t>s’il prévoit un examen fondé sur les motifs invoqués dans la demande, mais que cet examen n’est pas aussi large et avantageux que celui de l’</w:t>
      </w:r>
      <w:r w:rsidRPr="003E073E">
        <w:rPr>
          <w:i/>
          <w:lang w:val="fr-CA"/>
        </w:rPr>
        <w:t>habeas corpus</w:t>
      </w:r>
      <w:r w:rsidRPr="003E073E">
        <w:rPr>
          <w:lang w:val="fr-CA"/>
        </w:rPr>
        <w:t>, en prenant en considération tant la nature de la procédure d’examen que tous les avantages pouvant être offerts par chacun des véhicules procéduraux.</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Comme je l’expliquerai, si on applique ce cadre aux faits de l’affaire de M. Chhina, on observe que, bien que le régime établi par la </w:t>
      </w:r>
      <w:r w:rsidRPr="003E073E">
        <w:rPr>
          <w:rFonts w:cs="Times New Roman"/>
          <w:i/>
          <w:lang w:val="fr-CA"/>
        </w:rPr>
        <w:t>LIPR</w:t>
      </w:r>
      <w:r w:rsidRPr="003E073E">
        <w:rPr>
          <w:rFonts w:cs="Times New Roman"/>
          <w:lang w:val="fr-CA"/>
        </w:rPr>
        <w:t xml:space="preserve"> (y compris le contrôle judiciaire) puisse prévoir une procédure d’examen adéquate en rapport avec certaines questions, il ne peut répondre efficacement à la remise en cause formulée dans la demande de M. Chhina d’une manière aussi large et avantageuse que ne le ferait l’</w:t>
      </w:r>
      <w:r w:rsidRPr="003E073E">
        <w:rPr>
          <w:rFonts w:cs="Times New Roman"/>
          <w:i/>
          <w:lang w:val="fr-CA"/>
        </w:rPr>
        <w:t>habeas corpus</w:t>
      </w:r>
      <w:r w:rsidRPr="003E073E">
        <w:rPr>
          <w:rFonts w:cs="Times New Roman"/>
          <w:lang w:val="fr-CA"/>
        </w:rPr>
        <w:t>.</w:t>
      </w:r>
    </w:p>
    <w:p w:rsidR="00B233C0" w:rsidRPr="003E073E" w:rsidRDefault="00B233C0" w:rsidP="00B233C0">
      <w:pPr>
        <w:pStyle w:val="Title2LevelTitre2Niveau"/>
        <w:rPr>
          <w:rFonts w:cs="Times New Roman"/>
          <w:lang w:val="fr-CA"/>
        </w:rPr>
      </w:pPr>
      <w:r w:rsidRPr="003E073E">
        <w:rPr>
          <w:rFonts w:cs="Times New Roman"/>
          <w:lang w:val="fr-CA"/>
        </w:rPr>
        <w:t>La détermination des fondements de la remise en cause invoqués par M. Chhina</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Il faut avant tout identifier les fondements de la demande d’</w:t>
      </w:r>
      <w:r w:rsidRPr="003E073E">
        <w:rPr>
          <w:rFonts w:cs="Times New Roman"/>
          <w:i/>
          <w:lang w:val="fr-CA"/>
        </w:rPr>
        <w:t>habeas corpus</w:t>
      </w:r>
      <w:r w:rsidRPr="003E073E">
        <w:rPr>
          <w:rFonts w:cs="Times New Roman"/>
          <w:lang w:val="fr-CA"/>
        </w:rPr>
        <w:t>. M. Chhina a contesté la légalité de sa détention pour deux motifs</w:t>
      </w:r>
      <w:r>
        <w:rPr>
          <w:rFonts w:cs="Times New Roman"/>
          <w:lang w:val="fr-CA"/>
        </w:rPr>
        <w:t> :</w:t>
      </w:r>
      <w:r w:rsidRPr="003E073E">
        <w:rPr>
          <w:rFonts w:cs="Times New Roman"/>
          <w:lang w:val="fr-CA"/>
        </w:rPr>
        <w:t xml:space="preserve"> parce qu’il était détenu dans des conditions inappropriées et parce que la durée de sa détention était devenue indéterminée et excessivement longue. M. Chhina a fait valoir que la longueur et la durée de sa détention violait ses droits protégés par les </w:t>
      </w:r>
      <w:r>
        <w:rPr>
          <w:rFonts w:cs="Times New Roman"/>
          <w:lang w:val="fr-CA"/>
        </w:rPr>
        <w:t>art. </w:t>
      </w:r>
      <w:r w:rsidRPr="003E073E">
        <w:rPr>
          <w:rFonts w:cs="Times New Roman"/>
          <w:lang w:val="fr-CA"/>
        </w:rPr>
        <w:t xml:space="preserve">7 et 9 de la </w:t>
      </w:r>
      <w:r w:rsidRPr="003E073E">
        <w:rPr>
          <w:rFonts w:cs="Times New Roman"/>
          <w:i/>
          <w:lang w:val="fr-CA"/>
        </w:rPr>
        <w:t>Charte</w:t>
      </w:r>
      <w:r w:rsidRPr="003E073E">
        <w:rPr>
          <w:rFonts w:cs="Times New Roman"/>
          <w:lang w:val="fr-CA"/>
        </w:rPr>
        <w:t xml:space="preserve">, parce qu’il n’y avait aucune perspective raisonnable que les objectifs liés à l’immigration qui justifiaient sa détention soient atteints dans un délai raisonnable. Les tribunaux d’instance inférieure ont fondé leur décision sur ce deuxième motif, à savoir que la détention prolongée d’une durée indéterminée violait la </w:t>
      </w:r>
      <w:r w:rsidRPr="003E073E">
        <w:rPr>
          <w:rFonts w:cs="Times New Roman"/>
          <w:i/>
          <w:lang w:val="fr-CA"/>
        </w:rPr>
        <w:t>Charte</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Contrairement à la demande en cause dans l’affaire </w:t>
      </w:r>
      <w:r w:rsidRPr="003E073E">
        <w:rPr>
          <w:rFonts w:cs="Times New Roman"/>
          <w:i/>
          <w:lang w:val="fr-CA"/>
        </w:rPr>
        <w:t>Peiroo</w:t>
      </w:r>
      <w:r w:rsidRPr="003E073E">
        <w:rPr>
          <w:rFonts w:cs="Times New Roman"/>
          <w:lang w:val="fr-CA"/>
        </w:rPr>
        <w:t>, la demande d’</w:t>
      </w:r>
      <w:r w:rsidRPr="003E073E">
        <w:rPr>
          <w:rFonts w:cs="Times New Roman"/>
          <w:i/>
          <w:lang w:val="fr-CA"/>
        </w:rPr>
        <w:t>habeas corpus</w:t>
      </w:r>
      <w:r w:rsidRPr="003E073E">
        <w:rPr>
          <w:rFonts w:cs="Times New Roman"/>
          <w:lang w:val="fr-CA"/>
        </w:rPr>
        <w:t xml:space="preserve"> de M. Chhina n’avait rien à voir avec la question de savoir si les décisions sur son interdiction de territoire ou son expulsion étaient bien fondées ou erronées.</w:t>
      </w:r>
    </w:p>
    <w:p w:rsidR="00B233C0" w:rsidRPr="003E073E" w:rsidRDefault="00B233C0" w:rsidP="00B233C0">
      <w:pPr>
        <w:pStyle w:val="Title2LevelTitre2Niveau"/>
        <w:rPr>
          <w:rFonts w:cs="Times New Roman"/>
          <w:lang w:val="fr-CA"/>
        </w:rPr>
      </w:pPr>
      <w:r w:rsidRPr="003E073E">
        <w:rPr>
          <w:rFonts w:cs="Times New Roman"/>
          <w:lang w:val="fr-CA"/>
        </w:rPr>
        <w:t>Le régime légal d’examen établi par la LIPR</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Pour décider si le régime prévoit un examen aussi large et aussi avantageux que l’</w:t>
      </w:r>
      <w:r w:rsidRPr="003E073E">
        <w:rPr>
          <w:rFonts w:cs="Times New Roman"/>
          <w:i/>
          <w:lang w:val="fr-CA"/>
        </w:rPr>
        <w:t>habeas corpus</w:t>
      </w:r>
      <w:r w:rsidRPr="003E073E">
        <w:rPr>
          <w:rFonts w:cs="Times New Roman"/>
          <w:lang w:val="fr-CA"/>
        </w:rPr>
        <w:t xml:space="preserve">, le tribunal doit examiner les solutions de rechange véritables au contrôle de la détention dont peut réalistement se prévaloir quelqu’un qui se trouve dans la situation de M. Chhina. Comme l’a déclaré la Cour dans </w:t>
      </w:r>
      <w:r w:rsidRPr="003E073E">
        <w:rPr>
          <w:rFonts w:cs="Times New Roman"/>
          <w:i/>
          <w:lang w:val="fr-CA"/>
        </w:rPr>
        <w:t>May</w:t>
      </w:r>
      <w:r w:rsidRPr="003E073E">
        <w:rPr>
          <w:rFonts w:cs="Times New Roman"/>
          <w:lang w:val="fr-CA"/>
        </w:rPr>
        <w:t>, une « démarche téléologique oblige [. . .] à l’examen de l’ensemble du contexte », qui, dans cette affaire, comprenait les inconvénients relatifs au contrôle judiciaire devant la Cour fédérale (</w:t>
      </w:r>
      <w:r w:rsidRPr="003E073E">
        <w:rPr>
          <w:rFonts w:cs="Times New Roman"/>
          <w:i/>
          <w:lang w:val="fr-CA"/>
        </w:rPr>
        <w:t>May</w:t>
      </w:r>
      <w:r w:rsidRPr="003E073E">
        <w:rPr>
          <w:rFonts w:cs="Times New Roman"/>
          <w:lang w:val="fr-CA"/>
        </w:rPr>
        <w:t>,</w:t>
      </w:r>
      <w:r w:rsidRPr="003E073E">
        <w:rPr>
          <w:rFonts w:cs="Times New Roman"/>
          <w:i/>
          <w:lang w:val="fr-CA"/>
        </w:rPr>
        <w:t xml:space="preserve"> </w:t>
      </w:r>
      <w:r>
        <w:rPr>
          <w:rFonts w:cs="Times New Roman"/>
          <w:lang w:val="fr-CA"/>
        </w:rPr>
        <w:t>par. </w:t>
      </w:r>
      <w:r w:rsidRPr="003E073E">
        <w:rPr>
          <w:rFonts w:cs="Times New Roman"/>
          <w:lang w:val="fr-CA"/>
        </w:rPr>
        <w:t>65). Cet examen peut notamment viser à vérifier l’existence de recours à des arbitres ou à des tribunaux administratifs, de mécanismes d’appel internes ou de processus de contrôle judiciaire ou d’appel prévus par la loi. En l’espèce, je tiens compte tant de la Section de l’immigration que des processus de contrôle judiciaire qui peuvent se dérouler devant les Cours fédérales.</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Je commencerai en donnant un aperçu général de la façon dont fonctionne le régime établi par la </w:t>
      </w:r>
      <w:r w:rsidRPr="003E073E">
        <w:rPr>
          <w:rFonts w:cs="Times New Roman"/>
          <w:i/>
          <w:lang w:val="fr-CA"/>
        </w:rPr>
        <w:t>LIPR</w:t>
      </w:r>
      <w:r w:rsidRPr="003E073E">
        <w:rPr>
          <w:rFonts w:cs="Times New Roman"/>
          <w:lang w:val="fr-CA"/>
        </w:rPr>
        <w:t>. J’examinerai ensuite s’il donne lieu à un contrôle aussi large et avantageux que l’</w:t>
      </w:r>
      <w:r w:rsidRPr="003E073E">
        <w:rPr>
          <w:rFonts w:cs="Times New Roman"/>
          <w:i/>
          <w:lang w:val="fr-CA"/>
        </w:rPr>
        <w:t>habeas corpus</w:t>
      </w:r>
      <w:r w:rsidRPr="003E073E">
        <w:rPr>
          <w:rFonts w:cs="Times New Roman"/>
          <w:lang w:val="fr-CA"/>
        </w:rPr>
        <w:t xml:space="preserve">. La </w:t>
      </w:r>
      <w:r w:rsidRPr="003E073E">
        <w:rPr>
          <w:rFonts w:cs="Times New Roman"/>
          <w:i/>
          <w:lang w:val="fr-CA"/>
        </w:rPr>
        <w:t>LIPR</w:t>
      </w:r>
      <w:r w:rsidRPr="003E073E">
        <w:rPr>
          <w:rFonts w:cs="Times New Roman"/>
          <w:lang w:val="fr-CA"/>
        </w:rPr>
        <w:t xml:space="preserve"> prévoit un régime détaillé qui permet le contrôle de la détention dans le contexte de l’immigration. Tout comme dans le contexte criminel, une privation de liberté ordonnée au titre de la </w:t>
      </w:r>
      <w:r w:rsidRPr="003E073E">
        <w:rPr>
          <w:rFonts w:cs="Times New Roman"/>
          <w:i/>
          <w:lang w:val="fr-CA"/>
        </w:rPr>
        <w:t>LIPR</w:t>
      </w:r>
      <w:r w:rsidRPr="003E073E">
        <w:rPr>
          <w:rFonts w:cs="Times New Roman"/>
          <w:lang w:val="fr-CA"/>
        </w:rPr>
        <w:t xml:space="preserve"> doit toujours être justifiée. La mise en liberté est l’option par défaut, sauf lorsque le ministre démontre que le détenu constitue un danger pour la sécurité publique ou se soustraira vraisemblablement à une procédure; lorsque le ministre enquête sur l’interdiction de territoire en raison de risques de sécurité, d’atteinte aux droits de la personne ou de criminalité; ou lorsqu’il est préoccupé par le fait que l’identité de la personne n’a pas été prouvée (</w:t>
      </w:r>
      <w:r w:rsidRPr="003E073E">
        <w:rPr>
          <w:rFonts w:cs="Times New Roman"/>
          <w:i/>
          <w:lang w:val="fr-CA"/>
        </w:rPr>
        <w:t>LIPR</w:t>
      </w:r>
      <w:r w:rsidRPr="003E073E">
        <w:rPr>
          <w:rFonts w:cs="Times New Roman"/>
          <w:lang w:val="fr-CA"/>
        </w:rPr>
        <w:t xml:space="preserve">, </w:t>
      </w:r>
      <w:r>
        <w:rPr>
          <w:rFonts w:cs="Times New Roman"/>
          <w:lang w:val="fr-CA"/>
        </w:rPr>
        <w:t>par. </w:t>
      </w:r>
      <w:r w:rsidRPr="003E073E">
        <w:rPr>
          <w:rFonts w:cs="Times New Roman"/>
          <w:lang w:val="fr-CA"/>
        </w:rPr>
        <w:t xml:space="preserve">58(1)). Chacun de ces motifs de détention est déterminé en fonction d’une liste de critères spécifiques à l’immigration dressée dans le </w:t>
      </w:r>
      <w:r w:rsidRPr="003E073E">
        <w:rPr>
          <w:rFonts w:cs="Times New Roman"/>
          <w:i/>
          <w:lang w:val="fr-CA"/>
        </w:rPr>
        <w:t>Règlement sur l’immigration et la protection des réfugiés</w:t>
      </w:r>
      <w:r w:rsidRPr="003E073E">
        <w:rPr>
          <w:rFonts w:cs="Times New Roman"/>
          <w:lang w:val="fr-CA"/>
        </w:rPr>
        <w:t>, DORS/2002</w:t>
      </w:r>
      <w:r>
        <w:rPr>
          <w:rFonts w:cs="Times New Roman"/>
          <w:lang w:val="fr-CA"/>
        </w:rPr>
        <w:noBreakHyphen/>
      </w:r>
      <w:r w:rsidRPr="003E073E">
        <w:rPr>
          <w:rFonts w:cs="Times New Roman"/>
          <w:lang w:val="fr-CA"/>
        </w:rPr>
        <w:t xml:space="preserve">227, </w:t>
      </w:r>
      <w:r>
        <w:rPr>
          <w:rFonts w:cs="Times New Roman"/>
          <w:lang w:val="fr-CA"/>
        </w:rPr>
        <w:t>art. </w:t>
      </w:r>
      <w:r w:rsidRPr="003E073E">
        <w:rPr>
          <w:rFonts w:cs="Times New Roman"/>
          <w:lang w:val="fr-CA"/>
        </w:rPr>
        <w:t>244</w:t>
      </w:r>
      <w:r w:rsidR="00270162">
        <w:rPr>
          <w:rFonts w:cs="Times New Roman"/>
          <w:lang w:val="fr-CA"/>
        </w:rPr>
        <w:t xml:space="preserve"> à </w:t>
      </w:r>
      <w:r w:rsidRPr="003E073E">
        <w:rPr>
          <w:rFonts w:cs="Times New Roman"/>
          <w:lang w:val="fr-CA"/>
        </w:rPr>
        <w:t>249 (</w:t>
      </w:r>
      <w:r w:rsidRPr="003E073E">
        <w:rPr>
          <w:rFonts w:cs="Times New Roman"/>
          <w:i/>
          <w:lang w:val="fr-CA"/>
        </w:rPr>
        <w:t>RIPR</w:t>
      </w:r>
      <w:r w:rsidRPr="003E073E">
        <w:rPr>
          <w:rFonts w:cs="Times New Roman"/>
          <w:lang w:val="fr-CA"/>
        </w:rPr>
        <w:t>).</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Une fois que la mesure initiale de mise en détention a été prise, la procédure d’examen de la </w:t>
      </w:r>
      <w:r w:rsidRPr="003E073E">
        <w:rPr>
          <w:rFonts w:cs="Times New Roman"/>
          <w:i/>
          <w:lang w:val="fr-CA"/>
        </w:rPr>
        <w:t>LIPR</w:t>
      </w:r>
      <w:r w:rsidRPr="003E073E">
        <w:rPr>
          <w:rFonts w:cs="Times New Roman"/>
          <w:lang w:val="fr-CA"/>
        </w:rPr>
        <w:t xml:space="preserve"> en prévoit </w:t>
      </w:r>
      <w:r>
        <w:rPr>
          <w:rFonts w:cs="Times New Roman"/>
          <w:lang w:val="fr-CA"/>
        </w:rPr>
        <w:t>le</w:t>
      </w:r>
      <w:r w:rsidRPr="003E073E">
        <w:rPr>
          <w:rFonts w:cs="Times New Roman"/>
          <w:lang w:val="fr-CA"/>
        </w:rPr>
        <w:t xml:space="preserve"> contrôle interne périodique par des commissaires de la Section de l’immigration de la Commission de l’immigration et du statut de réfugié, nommés conformément à la </w:t>
      </w:r>
      <w:r w:rsidRPr="003E073E">
        <w:rPr>
          <w:rFonts w:cs="Times New Roman"/>
          <w:i/>
          <w:lang w:val="fr-CA"/>
        </w:rPr>
        <w:t>Loi sur l’emploi dans la fonction publique</w:t>
      </w:r>
      <w:r w:rsidRPr="003E073E">
        <w:rPr>
          <w:rFonts w:cs="Times New Roman"/>
          <w:lang w:val="fr-CA"/>
        </w:rPr>
        <w:t>, L.C. 2003, c. 22 (</w:t>
      </w:r>
      <w:r w:rsidRPr="003E073E">
        <w:rPr>
          <w:rFonts w:cs="Times New Roman"/>
          <w:i/>
          <w:lang w:val="fr-CA"/>
        </w:rPr>
        <w:t>LIPR</w:t>
      </w:r>
      <w:r w:rsidRPr="003E073E">
        <w:rPr>
          <w:rFonts w:cs="Times New Roman"/>
          <w:lang w:val="fr-CA"/>
        </w:rPr>
        <w:t xml:space="preserve">, </w:t>
      </w:r>
      <w:r>
        <w:rPr>
          <w:rFonts w:cs="Times New Roman"/>
          <w:lang w:val="fr-CA"/>
        </w:rPr>
        <w:t>art. </w:t>
      </w:r>
      <w:r w:rsidRPr="003E073E">
        <w:rPr>
          <w:rFonts w:cs="Times New Roman"/>
          <w:lang w:val="fr-CA"/>
        </w:rPr>
        <w:t xml:space="preserve">151 et </w:t>
      </w:r>
      <w:r>
        <w:rPr>
          <w:rFonts w:cs="Times New Roman"/>
          <w:lang w:val="fr-CA"/>
        </w:rPr>
        <w:t>par. </w:t>
      </w:r>
      <w:r w:rsidRPr="003E073E">
        <w:rPr>
          <w:rFonts w:cs="Times New Roman"/>
          <w:lang w:val="fr-CA"/>
        </w:rPr>
        <w:t xml:space="preserve">172(2)). Un premier contrôle doit être effectué par un commissaire de la Section de l’immigration dans les </w:t>
      </w:r>
      <w:r w:rsidR="00270162">
        <w:rPr>
          <w:rFonts w:cs="Times New Roman"/>
          <w:lang w:val="fr-CA"/>
        </w:rPr>
        <w:t xml:space="preserve">48 </w:t>
      </w:r>
      <w:r w:rsidRPr="003E073E">
        <w:rPr>
          <w:rFonts w:cs="Times New Roman"/>
          <w:lang w:val="fr-CA"/>
        </w:rPr>
        <w:t xml:space="preserve">heures suivant le début de la détention aux fins de l’immigration; il doit ensuite y avoir un nouveau contrôle dans les </w:t>
      </w:r>
      <w:r w:rsidR="00270162">
        <w:rPr>
          <w:rFonts w:cs="Times New Roman"/>
          <w:lang w:val="fr-CA"/>
        </w:rPr>
        <w:t>7</w:t>
      </w:r>
      <w:r w:rsidRPr="003E073E">
        <w:rPr>
          <w:rFonts w:cs="Times New Roman"/>
          <w:lang w:val="fr-CA"/>
        </w:rPr>
        <w:t xml:space="preserve"> jours suivants, puis d’autres tous les </w:t>
      </w:r>
      <w:r w:rsidR="00270162">
        <w:rPr>
          <w:rFonts w:cs="Times New Roman"/>
          <w:lang w:val="fr-CA"/>
        </w:rPr>
        <w:t>30</w:t>
      </w:r>
      <w:r w:rsidRPr="003E073E">
        <w:rPr>
          <w:rFonts w:cs="Times New Roman"/>
          <w:lang w:val="fr-CA"/>
        </w:rPr>
        <w:t> jours par la suite (</w:t>
      </w:r>
      <w:r w:rsidRPr="003E073E">
        <w:rPr>
          <w:rFonts w:cs="Times New Roman"/>
          <w:i/>
          <w:lang w:val="fr-CA"/>
        </w:rPr>
        <w:t>LIPR</w:t>
      </w:r>
      <w:r w:rsidRPr="003E073E">
        <w:rPr>
          <w:rFonts w:cs="Times New Roman"/>
          <w:lang w:val="fr-CA"/>
        </w:rPr>
        <w:t xml:space="preserve">, </w:t>
      </w:r>
      <w:r>
        <w:rPr>
          <w:rFonts w:cs="Times New Roman"/>
          <w:lang w:val="fr-CA"/>
        </w:rPr>
        <w:t>art. </w:t>
      </w:r>
      <w:r w:rsidRPr="003E073E">
        <w:rPr>
          <w:rFonts w:cs="Times New Roman"/>
          <w:lang w:val="fr-CA"/>
        </w:rPr>
        <w:t>57).</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La </w:t>
      </w:r>
      <w:r w:rsidRPr="003E073E">
        <w:rPr>
          <w:rFonts w:cs="Times New Roman"/>
          <w:i/>
          <w:lang w:val="fr-CA"/>
        </w:rPr>
        <w:t>LIPR</w:t>
      </w:r>
      <w:r w:rsidRPr="003E073E">
        <w:rPr>
          <w:rFonts w:cs="Times New Roman"/>
          <w:lang w:val="fr-CA"/>
        </w:rPr>
        <w:t xml:space="preserve"> prévoit en outre explicitement le contrôle judiciaire de ces décisions par la Cour fédérale (</w:t>
      </w:r>
      <w:r w:rsidRPr="003E073E">
        <w:rPr>
          <w:rFonts w:cs="Times New Roman"/>
          <w:i/>
          <w:lang w:val="fr-CA"/>
        </w:rPr>
        <w:t>LIPR</w:t>
      </w:r>
      <w:r w:rsidRPr="003E073E">
        <w:rPr>
          <w:rFonts w:cs="Times New Roman"/>
          <w:lang w:val="fr-CA"/>
        </w:rPr>
        <w:t xml:space="preserve">, </w:t>
      </w:r>
      <w:r>
        <w:rPr>
          <w:rFonts w:cs="Times New Roman"/>
          <w:lang w:val="fr-CA"/>
        </w:rPr>
        <w:t>art. </w:t>
      </w:r>
      <w:r w:rsidRPr="003E073E">
        <w:rPr>
          <w:rFonts w:cs="Times New Roman"/>
          <w:lang w:val="fr-CA"/>
        </w:rPr>
        <w:t>72). Un appel de ce contrôle judiciaire peut être interjeté devant la Cour d’appel fédérale sur une question certifiée de portée générale</w:t>
      </w:r>
      <w:r w:rsidRPr="003E073E">
        <w:rPr>
          <w:rFonts w:cs="Times New Roman"/>
          <w:iCs/>
          <w:lang w:val="fr-CA"/>
        </w:rPr>
        <w:t xml:space="preserve"> (</w:t>
      </w:r>
      <w:r w:rsidRPr="003E073E">
        <w:rPr>
          <w:rFonts w:cs="Times New Roman"/>
          <w:i/>
          <w:iCs/>
          <w:lang w:val="fr-CA"/>
        </w:rPr>
        <w:t>LIPR</w:t>
      </w:r>
      <w:r w:rsidRPr="003E073E">
        <w:rPr>
          <w:rFonts w:cs="Times New Roman"/>
          <w:iCs/>
          <w:lang w:val="fr-CA"/>
        </w:rPr>
        <w:t xml:space="preserve">, </w:t>
      </w:r>
      <w:r>
        <w:rPr>
          <w:rFonts w:cs="Times New Roman"/>
          <w:iCs/>
          <w:lang w:val="fr-CA"/>
        </w:rPr>
        <w:t>al. </w:t>
      </w:r>
      <w:r w:rsidRPr="003E073E">
        <w:rPr>
          <w:rFonts w:cs="Times New Roman"/>
          <w:iCs/>
          <w:lang w:val="fr-CA"/>
        </w:rPr>
        <w:t xml:space="preserve">74d)). </w:t>
      </w:r>
      <w:r w:rsidRPr="003E073E">
        <w:rPr>
          <w:rFonts w:cs="Times New Roman"/>
          <w:lang w:val="fr-CA"/>
        </w:rPr>
        <w:t>Les procédures d’examen sont toutes intimement liées, puisque le contrôle judiciaire est circonscrit par le mandat que la loi confère au premier décideur.</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En dernier lieu, soulignons que les fonctionnaires de l’immigration sont experts dans l’exercice du mandat que leur confère la loi. Vu son rôle lors du contrôle judiciaire, la Cour fédérale a elle aussi acquis une connaissance approfondie du contexte de l’immigration et apporte un surcroît d’expertise en cette matière.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Comme la présente analyse le révèle, le processus de contrôle établi par la </w:t>
      </w:r>
      <w:r w:rsidRPr="003E073E">
        <w:rPr>
          <w:rFonts w:cs="Times New Roman"/>
          <w:i/>
          <w:lang w:val="fr-CA"/>
        </w:rPr>
        <w:t>LIPR</w:t>
      </w:r>
      <w:r w:rsidRPr="003E073E">
        <w:rPr>
          <w:rFonts w:cs="Times New Roman"/>
          <w:lang w:val="fr-CA"/>
        </w:rPr>
        <w:t xml:space="preserve"> est détaillé et clair. Les motifs pour ordonner la détention ou son maintien sont clairs. L’examen indépendant est assuré par un contrôle judiciaire qu’effectuent les Cours fédérales. Il existe une mesure de réparation évidente, soit la mise en liberté. </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Toutefois, comme je l’expliquerai, la procédure prescrite par la </w:t>
      </w:r>
      <w:r w:rsidRPr="003E073E">
        <w:rPr>
          <w:rFonts w:cs="Times New Roman"/>
          <w:i/>
          <w:lang w:val="fr-CA"/>
        </w:rPr>
        <w:t>LIPR</w:t>
      </w:r>
      <w:r w:rsidRPr="003E073E">
        <w:rPr>
          <w:rFonts w:cs="Times New Roman"/>
          <w:lang w:val="fr-CA"/>
        </w:rPr>
        <w:t xml:space="preserve"> ne prévoit pas un contrôle aussi large et avantageux que celle en </w:t>
      </w:r>
      <w:r w:rsidRPr="003E073E">
        <w:rPr>
          <w:rFonts w:cs="Times New Roman"/>
          <w:i/>
          <w:lang w:val="fr-CA"/>
        </w:rPr>
        <w:t>habeas corpus</w:t>
      </w:r>
      <w:r w:rsidRPr="003E073E">
        <w:rPr>
          <w:rFonts w:cs="Times New Roman"/>
          <w:lang w:val="fr-CA"/>
        </w:rPr>
        <w:t xml:space="preserve"> en ce qui a trait au fondement spécifique de la contestation par M. Chhina de la légalité de sa détention.</w:t>
      </w:r>
    </w:p>
    <w:p w:rsidR="00B233C0" w:rsidRPr="003E073E" w:rsidRDefault="00B233C0" w:rsidP="00B233C0">
      <w:pPr>
        <w:pStyle w:val="Title2LevelTitre2Niveau"/>
        <w:rPr>
          <w:rFonts w:cs="Times New Roman"/>
          <w:lang w:val="fr-CA"/>
        </w:rPr>
      </w:pPr>
      <w:r w:rsidRPr="003E073E">
        <w:rPr>
          <w:rFonts w:cs="Times New Roman"/>
          <w:lang w:val="fr-CA"/>
        </w:rPr>
        <w:t>Le contrôle sous le régime de la LIPR est</w:t>
      </w:r>
      <w:r>
        <w:rPr>
          <w:rFonts w:cs="Times New Roman"/>
          <w:lang w:val="fr-CA"/>
        </w:rPr>
        <w:noBreakHyphen/>
      </w:r>
      <w:r w:rsidRPr="003E073E">
        <w:rPr>
          <w:rFonts w:cs="Times New Roman"/>
          <w:lang w:val="fr-CA"/>
        </w:rPr>
        <w:t>il aussi large et avantageux que l’habeas corpus?</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La portée du contrôle prévue par la </w:t>
      </w:r>
      <w:r w:rsidRPr="003E073E">
        <w:rPr>
          <w:rFonts w:cs="Times New Roman"/>
          <w:i/>
          <w:lang w:val="fr-CA"/>
        </w:rPr>
        <w:t>LIPR</w:t>
      </w:r>
      <w:r w:rsidRPr="003E073E">
        <w:rPr>
          <w:rFonts w:cs="Times New Roman"/>
          <w:lang w:val="fr-CA"/>
        </w:rPr>
        <w:t xml:space="preserve"> doit, bien entendu, effectivement viser les motifs invoqués par M. Chhina.</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Une fois que le ministre a établi les motifs de la détention, les agents d’immigration et les commissaires de la Section de l’immigration doivent prendre en compte des critères, dont la liste est dressée à l’</w:t>
      </w:r>
      <w:r>
        <w:rPr>
          <w:rFonts w:cs="Times New Roman"/>
          <w:lang w:val="fr-CA"/>
        </w:rPr>
        <w:t>art. </w:t>
      </w:r>
      <w:r w:rsidRPr="003E073E">
        <w:rPr>
          <w:rFonts w:cs="Times New Roman"/>
          <w:lang w:val="fr-CA"/>
        </w:rPr>
        <w:t xml:space="preserve">248 du </w:t>
      </w:r>
      <w:r w:rsidRPr="003E073E">
        <w:rPr>
          <w:rFonts w:cs="Times New Roman"/>
          <w:i/>
          <w:lang w:val="fr-CA"/>
        </w:rPr>
        <w:t>RIPR</w:t>
      </w:r>
      <w:r w:rsidRPr="003E073E">
        <w:rPr>
          <w:rFonts w:cs="Times New Roman"/>
          <w:lang w:val="fr-CA"/>
        </w:rPr>
        <w:t>, qui peuvent favoriser la mise en liberté</w:t>
      </w:r>
      <w:r>
        <w:rPr>
          <w:rFonts w:cs="Times New Roman"/>
          <w:lang w:val="fr-CA"/>
        </w:rPr>
        <w:t> :</w:t>
      </w:r>
      <w:r w:rsidRPr="003E073E">
        <w:rPr>
          <w:rFonts w:cs="Times New Roman"/>
          <w:lang w:val="fr-CA"/>
        </w:rPr>
        <w:t xml:space="preserve"> </w:t>
      </w:r>
    </w:p>
    <w:p w:rsidR="00B233C0" w:rsidRPr="003E073E" w:rsidRDefault="00B233C0" w:rsidP="00B233C0">
      <w:pPr>
        <w:pStyle w:val="Citation-AltC"/>
        <w:numPr>
          <w:ilvl w:val="0"/>
          <w:numId w:val="30"/>
        </w:numPr>
        <w:spacing w:after="240"/>
        <w:ind w:left="1701" w:hanging="567"/>
        <w:contextualSpacing w:val="0"/>
        <w:rPr>
          <w:rFonts w:eastAsiaTheme="minorEastAsia"/>
          <w:lang w:val="fr-CA"/>
        </w:rPr>
      </w:pPr>
      <w:r w:rsidRPr="003E073E">
        <w:rPr>
          <w:rFonts w:eastAsiaTheme="minorEastAsia"/>
          <w:lang w:val="fr-CA"/>
        </w:rPr>
        <w:t xml:space="preserve">le motif de la détention; </w:t>
      </w:r>
    </w:p>
    <w:p w:rsidR="00B233C0" w:rsidRPr="003E073E" w:rsidRDefault="00B233C0" w:rsidP="00B233C0">
      <w:pPr>
        <w:pStyle w:val="Citation-AltC"/>
        <w:numPr>
          <w:ilvl w:val="0"/>
          <w:numId w:val="30"/>
        </w:numPr>
        <w:spacing w:after="240"/>
        <w:ind w:left="1701" w:hanging="567"/>
        <w:contextualSpacing w:val="0"/>
        <w:rPr>
          <w:rFonts w:eastAsiaTheme="minorEastAsia"/>
          <w:lang w:val="fr-CA"/>
        </w:rPr>
      </w:pPr>
      <w:r w:rsidRPr="003E073E">
        <w:rPr>
          <w:rFonts w:eastAsiaTheme="minorEastAsia"/>
          <w:lang w:val="fr-CA"/>
        </w:rPr>
        <w:t xml:space="preserve">la durée de la détention; </w:t>
      </w:r>
    </w:p>
    <w:p w:rsidR="00B233C0" w:rsidRPr="003E073E" w:rsidRDefault="00321B07" w:rsidP="00B233C0">
      <w:pPr>
        <w:pStyle w:val="Citation-AltC"/>
        <w:numPr>
          <w:ilvl w:val="0"/>
          <w:numId w:val="30"/>
        </w:numPr>
        <w:spacing w:after="240"/>
        <w:ind w:left="1701" w:hanging="567"/>
        <w:contextualSpacing w:val="0"/>
        <w:rPr>
          <w:rFonts w:eastAsiaTheme="minorEastAsia"/>
          <w:lang w:val="fr-CA"/>
        </w:rPr>
      </w:pPr>
      <w:r>
        <w:rPr>
          <w:rFonts w:eastAsiaTheme="minorEastAsia"/>
          <w:lang w:val="fr-CA"/>
        </w:rPr>
        <w:t>. . . l’évaluation de la durée probable de la détention et, dans l’affirmative</w:t>
      </w:r>
      <w:r w:rsidR="00B233C0" w:rsidRPr="003E073E">
        <w:rPr>
          <w:rFonts w:eastAsiaTheme="minorEastAsia"/>
          <w:lang w:val="fr-CA"/>
        </w:rPr>
        <w:t xml:space="preserve">, [la durée de cette prolongation]; </w:t>
      </w:r>
    </w:p>
    <w:p w:rsidR="00B233C0" w:rsidRPr="003E073E" w:rsidRDefault="00B233C0" w:rsidP="00B233C0">
      <w:pPr>
        <w:pStyle w:val="Citation-AltC"/>
        <w:numPr>
          <w:ilvl w:val="0"/>
          <w:numId w:val="30"/>
        </w:numPr>
        <w:spacing w:after="240"/>
        <w:ind w:left="1701" w:hanging="567"/>
        <w:contextualSpacing w:val="0"/>
        <w:rPr>
          <w:rFonts w:eastAsiaTheme="minorEastAsia"/>
          <w:lang w:val="fr-CA"/>
        </w:rPr>
      </w:pPr>
      <w:r w:rsidRPr="003E073E">
        <w:rPr>
          <w:rFonts w:eastAsiaTheme="minorEastAsia"/>
          <w:lang w:val="fr-CA"/>
        </w:rPr>
        <w:t xml:space="preserve">les retards inexpliqués ou le manque inexpliqué de diligence de la part du ministère, de l’Agence des services frontaliers ou de l’intéressé; </w:t>
      </w:r>
    </w:p>
    <w:p w:rsidR="00B233C0" w:rsidRPr="003E073E" w:rsidRDefault="00B233C0" w:rsidP="00B233C0">
      <w:pPr>
        <w:pStyle w:val="Citation-AltC"/>
        <w:numPr>
          <w:ilvl w:val="0"/>
          <w:numId w:val="30"/>
        </w:numPr>
        <w:ind w:left="1701" w:hanging="567"/>
        <w:contextualSpacing w:val="0"/>
        <w:rPr>
          <w:rFonts w:eastAsiaTheme="minorEastAsia"/>
          <w:lang w:val="fr-CA"/>
        </w:rPr>
      </w:pPr>
      <w:r w:rsidRPr="003E073E">
        <w:rPr>
          <w:lang w:val="fr-CA"/>
        </w:rPr>
        <w:t>l’</w:t>
      </w:r>
      <w:r w:rsidRPr="003E073E">
        <w:rPr>
          <w:rFonts w:eastAsiaTheme="minorEastAsia"/>
          <w:lang w:val="fr-CA"/>
        </w:rPr>
        <w:t>existence de solutions de rechange à la détention.</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À cette liste, la Cour d’appel fédérale a ajouté que le décideur devait prendre en compte les principes applicables à l’</w:t>
      </w:r>
      <w:r>
        <w:rPr>
          <w:rFonts w:cs="Times New Roman"/>
          <w:lang w:val="fr-CA"/>
        </w:rPr>
        <w:t>art. </w:t>
      </w:r>
      <w:r w:rsidRPr="003E073E">
        <w:rPr>
          <w:rFonts w:cs="Times New Roman"/>
          <w:lang w:val="fr-CA"/>
        </w:rPr>
        <w:t xml:space="preserve">7 de la </w:t>
      </w:r>
      <w:r w:rsidRPr="003E073E">
        <w:rPr>
          <w:rFonts w:cs="Times New Roman"/>
          <w:i/>
          <w:lang w:val="fr-CA"/>
        </w:rPr>
        <w:t>Charte</w:t>
      </w:r>
      <w:r w:rsidRPr="003E073E">
        <w:rPr>
          <w:rFonts w:cs="Times New Roman"/>
          <w:lang w:val="fr-CA"/>
        </w:rPr>
        <w:t xml:space="preserve"> (</w:t>
      </w:r>
      <w:r w:rsidRPr="003E073E">
        <w:rPr>
          <w:rFonts w:cs="Times New Roman"/>
          <w:i/>
          <w:lang w:val="fr-CA"/>
        </w:rPr>
        <w:t>Canada (Ministre de la Citoyenneté et de l’Immigration) c. Thanabalasingham</w:t>
      </w:r>
      <w:r w:rsidRPr="003E073E">
        <w:rPr>
          <w:rFonts w:cs="Times New Roman"/>
          <w:lang w:val="fr-CA"/>
        </w:rPr>
        <w:t xml:space="preserve">, 2004 CAF 4, [2004] 3 R.C.F. 572, </w:t>
      </w:r>
      <w:r>
        <w:rPr>
          <w:rFonts w:cs="Times New Roman"/>
          <w:lang w:val="fr-CA"/>
        </w:rPr>
        <w:t>par. </w:t>
      </w:r>
      <w:r w:rsidRPr="003E073E">
        <w:rPr>
          <w:rFonts w:cs="Times New Roman"/>
          <w:lang w:val="fr-CA"/>
        </w:rPr>
        <w:t>14).</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Monsieur Chhina a contesté la durée de sa détention, le caractère incertain de cette durée ainsi que les conditions de cette détention. Il importe de noter que nulle part dans le texte de l’</w:t>
      </w:r>
      <w:r>
        <w:rPr>
          <w:rFonts w:cs="Times New Roman"/>
          <w:lang w:val="fr-CA"/>
        </w:rPr>
        <w:t>art. </w:t>
      </w:r>
      <w:r w:rsidRPr="003E073E">
        <w:rPr>
          <w:rFonts w:cs="Times New Roman"/>
          <w:lang w:val="fr-CA"/>
        </w:rPr>
        <w:t>248 de la</w:t>
      </w:r>
      <w:r w:rsidRPr="003E073E">
        <w:rPr>
          <w:rFonts w:cs="Times New Roman"/>
          <w:i/>
          <w:lang w:val="fr-CA"/>
        </w:rPr>
        <w:t xml:space="preserve"> RIPR</w:t>
      </w:r>
      <w:r w:rsidRPr="003E073E">
        <w:rPr>
          <w:rFonts w:cs="Times New Roman"/>
          <w:lang w:val="fr-CA"/>
        </w:rPr>
        <w:t xml:space="preserve"> n’est</w:t>
      </w:r>
      <w:r>
        <w:rPr>
          <w:rFonts w:cs="Times New Roman"/>
          <w:lang w:val="fr-CA"/>
        </w:rPr>
        <w:noBreakHyphen/>
      </w:r>
      <w:r w:rsidRPr="003E073E">
        <w:rPr>
          <w:rFonts w:cs="Times New Roman"/>
          <w:lang w:val="fr-CA"/>
        </w:rPr>
        <w:t>il question des conditions dans lesquelles une personne est détenue. Le procureur de l’appelant l’a d’ailleurs reconnu, ajoutant que les conditions de détention relèvent des autorités correctionnelles provinciales ou de l’Agence des services frontaliers du Canada, et non de la Section de l’immigration (</w:t>
      </w:r>
      <w:r w:rsidRPr="003E073E">
        <w:rPr>
          <w:rFonts w:cs="Times New Roman"/>
          <w:i/>
          <w:lang w:val="fr-CA"/>
        </w:rPr>
        <w:t>Brown c. Canada (Citoyenneté et Immigration)</w:t>
      </w:r>
      <w:r w:rsidRPr="003E073E">
        <w:rPr>
          <w:rFonts w:cs="Times New Roman"/>
          <w:lang w:val="fr-CA"/>
        </w:rPr>
        <w:t xml:space="preserve">, 2017 CF 710, 25 Admin. L.R. (6th) 191, </w:t>
      </w:r>
      <w:r>
        <w:rPr>
          <w:rFonts w:cs="Times New Roman"/>
          <w:lang w:val="fr-CA"/>
        </w:rPr>
        <w:t>par. </w:t>
      </w:r>
      <w:r w:rsidRPr="003E073E">
        <w:rPr>
          <w:rFonts w:cs="Times New Roman"/>
          <w:lang w:val="fr-CA"/>
        </w:rPr>
        <w:t>138). La Section de l’immigration n’est investie d’aucun pouvoir explicite de contrôler les conditions difficiles ou illégales. En revanche, l’</w:t>
      </w:r>
      <w:r w:rsidRPr="003E073E">
        <w:rPr>
          <w:rFonts w:cs="Times New Roman"/>
          <w:i/>
          <w:lang w:val="fr-CA"/>
        </w:rPr>
        <w:t>habeas corpus</w:t>
      </w:r>
      <w:r w:rsidRPr="003E073E">
        <w:rPr>
          <w:rFonts w:cs="Times New Roman"/>
          <w:lang w:val="fr-CA"/>
        </w:rPr>
        <w:t xml:space="preserve"> permet l’examen de toute forme illégale de détention. Si un régime est incapable de traiter le motif particulier soulevé dans une demande d’</w:t>
      </w:r>
      <w:r w:rsidRPr="003E073E">
        <w:rPr>
          <w:rFonts w:cs="Times New Roman"/>
          <w:i/>
          <w:lang w:val="fr-CA"/>
        </w:rPr>
        <w:t>habeas corpus</w:t>
      </w:r>
      <w:r w:rsidRPr="003E073E">
        <w:rPr>
          <w:rFonts w:cs="Times New Roman"/>
          <w:lang w:val="fr-CA"/>
        </w:rPr>
        <w:t>, il s’ensuit que ce régime n’écarte pas l’</w:t>
      </w:r>
      <w:r w:rsidRPr="003E073E">
        <w:rPr>
          <w:rFonts w:cs="Times New Roman"/>
          <w:i/>
          <w:lang w:val="fr-CA"/>
        </w:rPr>
        <w:t>habeas corpus</w:t>
      </w:r>
      <w:r w:rsidRPr="003E073E">
        <w:rPr>
          <w:rFonts w:cs="Times New Roman"/>
          <w:lang w:val="fr-CA"/>
        </w:rPr>
        <w:t>. Cela dit, la Cour d’appel n’a pas traité de ce motif de la demande d’</w:t>
      </w:r>
      <w:r w:rsidRPr="003E073E">
        <w:rPr>
          <w:rFonts w:cs="Times New Roman"/>
          <w:i/>
          <w:lang w:val="fr-CA"/>
        </w:rPr>
        <w:t>habeas corpus</w:t>
      </w:r>
      <w:r w:rsidRPr="003E073E">
        <w:rPr>
          <w:rFonts w:cs="Times New Roman"/>
          <w:lang w:val="fr-CA"/>
        </w:rPr>
        <w:t xml:space="preserve"> de M. Chhina, et il n’a pas non plus été plaidé devant la Cour.</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Contrairement à ce qu’il en est relativement aux conditions de la détention, le règlement prévoit </w:t>
      </w:r>
      <w:r w:rsidRPr="003E073E">
        <w:rPr>
          <w:rFonts w:cs="Times New Roman"/>
          <w:u w:val="single"/>
          <w:lang w:val="fr-CA"/>
        </w:rPr>
        <w:t>effectivement</w:t>
      </w:r>
      <w:r w:rsidRPr="003E073E">
        <w:rPr>
          <w:rFonts w:cs="Times New Roman"/>
          <w:lang w:val="fr-CA"/>
        </w:rPr>
        <w:t xml:space="preserve"> la prise en compte de sa durée et du fait qu’elle est susceptible de se prolonger (</w:t>
      </w:r>
      <w:r w:rsidRPr="003E073E">
        <w:rPr>
          <w:rFonts w:cs="Times New Roman"/>
          <w:i/>
          <w:lang w:val="fr-CA"/>
        </w:rPr>
        <w:t>RIPR</w:t>
      </w:r>
      <w:r w:rsidRPr="003E073E">
        <w:rPr>
          <w:rFonts w:cs="Times New Roman"/>
          <w:lang w:val="fr-CA"/>
        </w:rPr>
        <w:t xml:space="preserve">, </w:t>
      </w:r>
      <w:r>
        <w:rPr>
          <w:rFonts w:cs="Times New Roman"/>
          <w:lang w:val="fr-CA"/>
        </w:rPr>
        <w:t>al. </w:t>
      </w:r>
      <w:r w:rsidRPr="003E073E">
        <w:rPr>
          <w:rFonts w:cs="Times New Roman"/>
          <w:lang w:val="fr-CA"/>
        </w:rPr>
        <w:t xml:space="preserve">248c) et d)). La question est donc de savoir si l’examen de la durée et de la prolongation de la détention sous le régime de la </w:t>
      </w:r>
      <w:r w:rsidRPr="003E073E">
        <w:rPr>
          <w:rFonts w:cs="Times New Roman"/>
          <w:i/>
          <w:lang w:val="fr-CA"/>
        </w:rPr>
        <w:t>LIPR</w:t>
      </w:r>
      <w:r w:rsidRPr="003E073E">
        <w:rPr>
          <w:rFonts w:cs="Times New Roman"/>
          <w:lang w:val="fr-CA"/>
        </w:rPr>
        <w:t xml:space="preserve"> est aussi large et avantageux que celui qui découle d’une demande d’</w:t>
      </w:r>
      <w:r w:rsidRPr="003E073E">
        <w:rPr>
          <w:rFonts w:cs="Times New Roman"/>
          <w:i/>
          <w:lang w:val="fr-CA"/>
        </w:rPr>
        <w:t>habeas corpus</w:t>
      </w:r>
      <w:r w:rsidRPr="003E073E">
        <w:rPr>
          <w:rFonts w:cs="Times New Roman"/>
          <w:lang w:val="fr-CA"/>
        </w:rPr>
        <w:t>. Pour trancher cette question, il faut se pencher sur la nature de la procédure d’examen ainsi que sur tous les avantages fournis par chacun des véhicules procéduraux.</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Je conclus que la </w:t>
      </w:r>
      <w:r w:rsidRPr="003E073E">
        <w:rPr>
          <w:rFonts w:cs="Times New Roman"/>
          <w:i/>
          <w:lang w:val="fr-CA"/>
        </w:rPr>
        <w:t>LIPR</w:t>
      </w:r>
      <w:r w:rsidRPr="003E073E">
        <w:rPr>
          <w:rFonts w:cs="Times New Roman"/>
          <w:lang w:val="fr-CA"/>
        </w:rPr>
        <w:t xml:space="preserve"> ne permet pas un contrôle aussi large et aussi avantageux que celui mené dans le contexte d’une demande d’</w:t>
      </w:r>
      <w:r w:rsidRPr="003E073E">
        <w:rPr>
          <w:rFonts w:cs="Times New Roman"/>
          <w:i/>
          <w:lang w:val="fr-CA"/>
        </w:rPr>
        <w:t xml:space="preserve">habeas corpus </w:t>
      </w:r>
      <w:r w:rsidRPr="003E073E">
        <w:rPr>
          <w:rFonts w:cs="Times New Roman"/>
          <w:lang w:val="fr-CA"/>
        </w:rPr>
        <w:t xml:space="preserve">lorsque le demandeur allègue que sa détention aux fins de l’immigration est illégale au motif qu’elle est longue et de durée incertaine. Considéré globalement, le régime est insuffisant à au moins trois égards importants. Premièrement, le fardeau dont doit s’acquitter le détenu lors du contrôle de sa détention sous le régime de la </w:t>
      </w:r>
      <w:r w:rsidRPr="003E073E">
        <w:rPr>
          <w:rFonts w:cs="Times New Roman"/>
          <w:i/>
          <w:lang w:val="fr-CA"/>
        </w:rPr>
        <w:t>LIPR</w:t>
      </w:r>
      <w:r w:rsidRPr="003E073E">
        <w:rPr>
          <w:rFonts w:cs="Times New Roman"/>
          <w:lang w:val="fr-CA"/>
        </w:rPr>
        <w:t xml:space="preserve"> lui est moins favorable que celui qui lui incombe dans le cadre d’une instance d’</w:t>
      </w:r>
      <w:r w:rsidRPr="003E073E">
        <w:rPr>
          <w:rFonts w:cs="Times New Roman"/>
          <w:i/>
          <w:lang w:val="fr-CA"/>
        </w:rPr>
        <w:t>habeas corpus</w:t>
      </w:r>
      <w:r w:rsidRPr="003E073E">
        <w:rPr>
          <w:rFonts w:cs="Times New Roman"/>
          <w:lang w:val="fr-CA"/>
        </w:rPr>
        <w:t>. Deuxièmement, la portée du contrôle devant les Cours fédérales est plus étroite que celle de l’examen par une cour supérieure provinciale d’une demande d’</w:t>
      </w:r>
      <w:r w:rsidRPr="003E073E">
        <w:rPr>
          <w:rFonts w:cs="Times New Roman"/>
          <w:i/>
          <w:lang w:val="fr-CA"/>
        </w:rPr>
        <w:t>habeas corpus</w:t>
      </w:r>
      <w:r w:rsidRPr="003E073E">
        <w:rPr>
          <w:rFonts w:cs="Times New Roman"/>
          <w:lang w:val="fr-CA"/>
        </w:rPr>
        <w:t>. Troisièmement, l’</w:t>
      </w:r>
      <w:r w:rsidRPr="003E073E">
        <w:rPr>
          <w:rFonts w:cs="Times New Roman"/>
          <w:i/>
          <w:lang w:val="fr-CA"/>
        </w:rPr>
        <w:t xml:space="preserve">habeas corpus </w:t>
      </w:r>
      <w:r w:rsidRPr="003E073E">
        <w:rPr>
          <w:rFonts w:cs="Times New Roman"/>
          <w:lang w:val="fr-CA"/>
        </w:rPr>
        <w:t>fournit un recours plus rapidement accessible que celui du contrôle judiciaire.</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Sous le régime de la </w:t>
      </w:r>
      <w:r w:rsidRPr="003E073E">
        <w:rPr>
          <w:rFonts w:cs="Times New Roman"/>
          <w:i/>
          <w:lang w:val="fr-CA"/>
        </w:rPr>
        <w:t>LIPR</w:t>
      </w:r>
      <w:r w:rsidRPr="003E073E">
        <w:rPr>
          <w:rFonts w:cs="Times New Roman"/>
          <w:lang w:val="fr-CA"/>
        </w:rPr>
        <w:t xml:space="preserve">, il suffit que le ministre établisse une preuve </w:t>
      </w:r>
      <w:r w:rsidRPr="003E073E">
        <w:rPr>
          <w:rFonts w:cs="Times New Roman"/>
          <w:i/>
          <w:lang w:val="fr-CA"/>
        </w:rPr>
        <w:t>prima facie</w:t>
      </w:r>
      <w:r w:rsidRPr="003E073E">
        <w:rPr>
          <w:rFonts w:cs="Times New Roman"/>
          <w:lang w:val="fr-CA"/>
        </w:rPr>
        <w:t xml:space="preserve"> qu’il y a lieu de maintenir la détention (</w:t>
      </w:r>
      <w:r>
        <w:rPr>
          <w:rFonts w:cs="Times New Roman"/>
          <w:lang w:val="fr-CA"/>
        </w:rPr>
        <w:t>p. </w:t>
      </w:r>
      <w:r w:rsidRPr="003E073E">
        <w:rPr>
          <w:rFonts w:cs="Times New Roman"/>
          <w:lang w:val="fr-CA"/>
        </w:rPr>
        <w:t xml:space="preserve">ex., en indiquant que le détenu risque toujours de prendre la fuite) pour qu’il incombe au détenu de justifier sa mise en liberté. Si la </w:t>
      </w:r>
      <w:r w:rsidRPr="003E073E">
        <w:rPr>
          <w:rFonts w:cs="Times New Roman"/>
          <w:i/>
          <w:lang w:val="fr-CA"/>
        </w:rPr>
        <w:t xml:space="preserve">LIPR </w:t>
      </w:r>
      <w:r w:rsidRPr="003E073E">
        <w:rPr>
          <w:rFonts w:cs="Times New Roman"/>
          <w:lang w:val="fr-CA"/>
        </w:rPr>
        <w:t>impose bel et bien au ministre le fardeau d’établir un motif de détention (</w:t>
      </w:r>
      <w:r w:rsidRPr="003E073E">
        <w:rPr>
          <w:rFonts w:cs="Times New Roman"/>
          <w:i/>
          <w:lang w:val="fr-CA"/>
        </w:rPr>
        <w:t>LIPR</w:t>
      </w:r>
      <w:r w:rsidRPr="003E073E">
        <w:rPr>
          <w:rFonts w:cs="Times New Roman"/>
          <w:lang w:val="fr-CA"/>
        </w:rPr>
        <w:t xml:space="preserve">, </w:t>
      </w:r>
      <w:r>
        <w:rPr>
          <w:rFonts w:cs="Times New Roman"/>
          <w:lang w:val="fr-CA"/>
        </w:rPr>
        <w:t>art. </w:t>
      </w:r>
      <w:r w:rsidRPr="003E073E">
        <w:rPr>
          <w:rFonts w:cs="Times New Roman"/>
          <w:lang w:val="fr-CA"/>
        </w:rPr>
        <w:t>58), le règlement affirme simplement que le temps passé en détention et la durée probable de celle</w:t>
      </w:r>
      <w:r>
        <w:rPr>
          <w:rFonts w:cs="Times New Roman"/>
          <w:lang w:val="fr-CA"/>
        </w:rPr>
        <w:noBreakHyphen/>
      </w:r>
      <w:r w:rsidRPr="003E073E">
        <w:rPr>
          <w:rFonts w:cs="Times New Roman"/>
          <w:lang w:val="fr-CA"/>
        </w:rPr>
        <w:t>ci (entre autres facteurs) « doivent être pris[es] en compte avant qu’une décision ne soit prise quant à la détention ou la mise en liberté » (</w:t>
      </w:r>
      <w:r w:rsidRPr="003E073E">
        <w:rPr>
          <w:rFonts w:cs="Times New Roman"/>
          <w:i/>
          <w:lang w:val="fr-CA"/>
        </w:rPr>
        <w:t>RIPR</w:t>
      </w:r>
      <w:r w:rsidRPr="003E073E">
        <w:rPr>
          <w:rFonts w:cs="Times New Roman"/>
          <w:lang w:val="fr-CA"/>
        </w:rPr>
        <w:t xml:space="preserve">, </w:t>
      </w:r>
      <w:r>
        <w:rPr>
          <w:rFonts w:cs="Times New Roman"/>
          <w:lang w:val="fr-CA"/>
        </w:rPr>
        <w:t>art. </w:t>
      </w:r>
      <w:r w:rsidRPr="003E073E">
        <w:rPr>
          <w:rFonts w:cs="Times New Roman"/>
          <w:lang w:val="fr-CA"/>
        </w:rPr>
        <w:t>248). La Cour fédérale a interprété le règlement comme imposant le fardeau au détenu de démontrer que la poursuite de sa détention serait illégale à la lumière des facteurs énumérés à l’</w:t>
      </w:r>
      <w:r>
        <w:rPr>
          <w:rFonts w:cs="Times New Roman"/>
          <w:lang w:val="fr-CA"/>
        </w:rPr>
        <w:t>art. </w:t>
      </w:r>
      <w:r w:rsidRPr="003E073E">
        <w:rPr>
          <w:rFonts w:cs="Times New Roman"/>
          <w:lang w:val="fr-CA"/>
        </w:rPr>
        <w:t>248 (</w:t>
      </w:r>
      <w:r w:rsidRPr="003E073E">
        <w:rPr>
          <w:rFonts w:cs="Times New Roman"/>
          <w:i/>
          <w:lang w:val="fr-CA"/>
        </w:rPr>
        <w:t>Thanabalasingham</w:t>
      </w:r>
      <w:r w:rsidRPr="003E073E">
        <w:rPr>
          <w:rFonts w:cs="Times New Roman"/>
          <w:lang w:val="fr-CA"/>
        </w:rPr>
        <w:t xml:space="preserve">, </w:t>
      </w:r>
      <w:r>
        <w:rPr>
          <w:rFonts w:cs="Times New Roman"/>
          <w:lang w:val="fr-CA"/>
        </w:rPr>
        <w:t>par. </w:t>
      </w:r>
      <w:r w:rsidRPr="003E073E">
        <w:rPr>
          <w:rFonts w:cs="Times New Roman"/>
          <w:lang w:val="fr-CA"/>
        </w:rPr>
        <w:t xml:space="preserve">16; </w:t>
      </w:r>
      <w:r w:rsidRPr="003E073E">
        <w:rPr>
          <w:rFonts w:cs="Times New Roman"/>
          <w:i/>
          <w:lang w:val="fr-CA"/>
        </w:rPr>
        <w:t>Chaudhary</w:t>
      </w:r>
      <w:r w:rsidRPr="003E073E">
        <w:rPr>
          <w:rFonts w:cs="Times New Roman"/>
          <w:lang w:val="fr-CA"/>
        </w:rPr>
        <w:t xml:space="preserve">, </w:t>
      </w:r>
      <w:r>
        <w:rPr>
          <w:rFonts w:cs="Times New Roman"/>
          <w:lang w:val="fr-CA"/>
        </w:rPr>
        <w:t>par. </w:t>
      </w:r>
      <w:r w:rsidRPr="003E073E">
        <w:rPr>
          <w:rFonts w:cs="Times New Roman"/>
          <w:lang w:val="fr-CA"/>
        </w:rPr>
        <w:t xml:space="preserve">86; </w:t>
      </w:r>
      <w:r w:rsidRPr="003E073E">
        <w:rPr>
          <w:rFonts w:cs="Times New Roman"/>
          <w:i/>
          <w:lang w:val="fr-CA"/>
        </w:rPr>
        <w:t>Canada (Sécurité publique et Protection civile) c. Lunyamila</w:t>
      </w:r>
      <w:r w:rsidRPr="003E073E">
        <w:rPr>
          <w:rFonts w:cs="Times New Roman"/>
          <w:lang w:val="fr-CA"/>
        </w:rPr>
        <w:t xml:space="preserve">, 2016 CF 1199, [2017] 3 </w:t>
      </w:r>
      <w:r w:rsidR="009413B2">
        <w:rPr>
          <w:rFonts w:cs="Times New Roman"/>
          <w:lang w:val="fr-CA"/>
        </w:rPr>
        <w:t>R.C.F.</w:t>
      </w:r>
      <w:r w:rsidRPr="003E073E">
        <w:rPr>
          <w:rFonts w:cs="Times New Roman"/>
          <w:lang w:val="fr-CA"/>
        </w:rPr>
        <w:t xml:space="preserve"> 428). Cette interprétation est conforme au principe général selon lequel l’auteur d’une demande fondée sur la </w:t>
      </w:r>
      <w:r w:rsidRPr="003E073E">
        <w:rPr>
          <w:rFonts w:cs="Times New Roman"/>
          <w:i/>
          <w:lang w:val="fr-CA"/>
        </w:rPr>
        <w:t>Charte</w:t>
      </w:r>
      <w:r w:rsidRPr="003E073E">
        <w:rPr>
          <w:rFonts w:cs="Times New Roman"/>
          <w:lang w:val="fr-CA"/>
        </w:rPr>
        <w:t xml:space="preserve"> a le fardeau d’en établir l’atteinte. En outre, même si l’</w:t>
      </w:r>
      <w:r>
        <w:rPr>
          <w:rFonts w:cs="Times New Roman"/>
          <w:lang w:val="fr-CA"/>
        </w:rPr>
        <w:t>art. </w:t>
      </w:r>
      <w:r w:rsidRPr="003E073E">
        <w:rPr>
          <w:rFonts w:cs="Times New Roman"/>
          <w:lang w:val="fr-CA"/>
        </w:rPr>
        <w:t xml:space="preserve">248 prévoit qu’un commissaire de la Section de l’immigration doit examiner certains facteurs, le règlement ne donne aucune ligne directrice quant </w:t>
      </w:r>
      <w:r w:rsidRPr="003E073E">
        <w:rPr>
          <w:rFonts w:cs="Times New Roman"/>
          <w:i/>
          <w:lang w:val="fr-CA"/>
        </w:rPr>
        <w:t>à la façon</w:t>
      </w:r>
      <w:r w:rsidRPr="003E073E">
        <w:rPr>
          <w:rFonts w:cs="Times New Roman"/>
          <w:lang w:val="fr-CA"/>
        </w:rPr>
        <w:t xml:space="preserve"> de prendre en compte la durée et sa prolongation ainsi que, et cela est crucial, quant au moment où ces critères pourraient être écartés par d’autres — comme le fondement de la détention. Par conséquent, comme l’a souligné à juste titre le juge Rouleau de la Cour d’appel, la </w:t>
      </w:r>
      <w:r w:rsidRPr="003E073E">
        <w:rPr>
          <w:rFonts w:cs="Times New Roman"/>
          <w:i/>
          <w:lang w:val="fr-CA"/>
        </w:rPr>
        <w:t>LIPR</w:t>
      </w:r>
      <w:r w:rsidRPr="003E073E">
        <w:rPr>
          <w:rFonts w:cs="Times New Roman"/>
          <w:lang w:val="fr-CA"/>
        </w:rPr>
        <w:t xml:space="preserve"> n’oblige pas le ministre à expliquer ou à justifier la durée d’une détention et le caractère incertain de cette durée, car il suffit qu’il établisse </w:t>
      </w:r>
      <w:r w:rsidRPr="003E073E">
        <w:rPr>
          <w:rFonts w:cs="Times New Roman"/>
          <w:u w:val="single"/>
          <w:lang w:val="fr-CA"/>
        </w:rPr>
        <w:t>un seul</w:t>
      </w:r>
      <w:r w:rsidRPr="003E073E">
        <w:rPr>
          <w:rFonts w:cs="Times New Roman"/>
          <w:lang w:val="fr-CA"/>
        </w:rPr>
        <w:t xml:space="preserve"> des motifs énoncés à l’</w:t>
      </w:r>
      <w:r>
        <w:rPr>
          <w:rFonts w:cs="Times New Roman"/>
          <w:lang w:val="fr-CA"/>
        </w:rPr>
        <w:t>art. </w:t>
      </w:r>
      <w:r w:rsidRPr="003E073E">
        <w:rPr>
          <w:rFonts w:cs="Times New Roman"/>
          <w:lang w:val="fr-CA"/>
        </w:rPr>
        <w:t>58 du régime pour déplacer le fardeau sur le détenu (</w:t>
      </w:r>
      <w:r w:rsidRPr="003E073E">
        <w:rPr>
          <w:rFonts w:cs="Times New Roman"/>
          <w:i/>
          <w:lang w:val="fr-CA"/>
        </w:rPr>
        <w:t>Chaudhary</w:t>
      </w:r>
      <w:r w:rsidRPr="003E073E">
        <w:rPr>
          <w:rFonts w:cs="Times New Roman"/>
          <w:lang w:val="fr-CA"/>
        </w:rPr>
        <w:t xml:space="preserve">, </w:t>
      </w:r>
      <w:r>
        <w:rPr>
          <w:rFonts w:cs="Times New Roman"/>
          <w:lang w:val="fr-CA"/>
        </w:rPr>
        <w:t>par. </w:t>
      </w:r>
      <w:r w:rsidRPr="003E073E">
        <w:rPr>
          <w:rFonts w:cs="Times New Roman"/>
          <w:lang w:val="fr-CA"/>
        </w:rPr>
        <w:t>86). Cela contraste nettement avec la procédure d’</w:t>
      </w:r>
      <w:r w:rsidRPr="003E073E">
        <w:rPr>
          <w:rFonts w:cs="Times New Roman"/>
          <w:i/>
          <w:lang w:val="fr-CA"/>
        </w:rPr>
        <w:t>habeas corpus</w:t>
      </w:r>
      <w:r w:rsidRPr="003E073E">
        <w:rPr>
          <w:rFonts w:cs="Times New Roman"/>
          <w:lang w:val="fr-CA"/>
        </w:rPr>
        <w:t xml:space="preserve">, dans le cadre de laquelle le ministre a le fardeau de justifier la légalité de la détention à tous égards, à moins que ne soit soulevée un doute quant à la légalité de la restriction à sa liberté. Comme l’a souligné la Cour dans </w:t>
      </w:r>
      <w:r w:rsidRPr="003E073E">
        <w:rPr>
          <w:rFonts w:cs="Times New Roman"/>
          <w:i/>
          <w:lang w:val="fr-CA"/>
        </w:rPr>
        <w:t>Établissement de Mission c. Khela</w:t>
      </w:r>
      <w:r w:rsidRPr="003E073E">
        <w:rPr>
          <w:rFonts w:cs="Times New Roman"/>
          <w:lang w:val="fr-CA"/>
        </w:rPr>
        <w:t>, le fardeau de la preuve dans le contexte d’une demande d’</w:t>
      </w:r>
      <w:r w:rsidRPr="003E073E">
        <w:rPr>
          <w:rFonts w:cs="Times New Roman"/>
          <w:i/>
          <w:lang w:val="fr-CA"/>
        </w:rPr>
        <w:t xml:space="preserve">habeas corpus </w:t>
      </w:r>
      <w:r w:rsidRPr="003E073E">
        <w:rPr>
          <w:rFonts w:cs="Times New Roman"/>
          <w:lang w:val="fr-CA"/>
        </w:rPr>
        <w:t>revêt une importance historique particulière</w:t>
      </w:r>
      <w:r>
        <w:rPr>
          <w:rFonts w:cs="Times New Roman"/>
          <w:lang w:val="fr-CA"/>
        </w:rPr>
        <w:t> :</w:t>
      </w:r>
    </w:p>
    <w:p w:rsidR="00B233C0" w:rsidRPr="003E073E" w:rsidRDefault="00B233C0" w:rsidP="00486B7A">
      <w:pPr>
        <w:pStyle w:val="Citation-AltC"/>
        <w:spacing w:after="240"/>
        <w:ind w:left="1168" w:hanging="448"/>
        <w:contextualSpacing w:val="0"/>
        <w:rPr>
          <w:lang w:val="fr-CA"/>
        </w:rPr>
      </w:pPr>
      <w:r w:rsidRPr="003E073E">
        <w:rPr>
          <w:lang w:val="fr-CA"/>
        </w:rPr>
        <w:tab/>
        <w:t>Ce déplacement particulier du fardeau de la preuve est propre au bref d’</w:t>
      </w:r>
      <w:r w:rsidRPr="003E073E">
        <w:rPr>
          <w:i/>
          <w:iCs/>
          <w:lang w:val="fr-CA"/>
        </w:rPr>
        <w:t>habeas corpus</w:t>
      </w:r>
      <w:r w:rsidRPr="003E073E">
        <w:rPr>
          <w:lang w:val="fr-CA"/>
        </w:rPr>
        <w:t>. L’attribution de ce fardeau aux autorités carcérales exprime le fondement même du droit en matière d’</w:t>
      </w:r>
      <w:r w:rsidRPr="003E073E">
        <w:rPr>
          <w:i/>
          <w:iCs/>
          <w:lang w:val="fr-CA"/>
        </w:rPr>
        <w:t>habeas corpus</w:t>
      </w:r>
      <w:r w:rsidRPr="003E073E">
        <w:rPr>
          <w:lang w:val="fr-CA"/>
        </w:rPr>
        <w:t xml:space="preserve">, selon lequel une privation de liberté n’est autorisée que lorsque la personne qui l’a ordonné peut démontrer qu’elle est justifiée. </w:t>
      </w:r>
      <w:r w:rsidR="00486B7A">
        <w:rPr>
          <w:lang w:val="fr-CA"/>
        </w:rPr>
        <w:t>[</w:t>
      </w:r>
      <w:r>
        <w:rPr>
          <w:lang w:val="fr-CA"/>
        </w:rPr>
        <w:t>par. </w:t>
      </w:r>
      <w:r w:rsidR="00486B7A">
        <w:rPr>
          <w:lang w:val="fr-CA"/>
        </w:rPr>
        <w:t>40]</w:t>
      </w:r>
    </w:p>
    <w:p w:rsidR="00B233C0" w:rsidRPr="00486B7A" w:rsidRDefault="00B233C0" w:rsidP="00B233C0">
      <w:pPr>
        <w:pStyle w:val="ParaNoNdepar-AltN"/>
        <w:tabs>
          <w:tab w:val="clear" w:pos="1166"/>
          <w:tab w:val="num" w:pos="1152"/>
        </w:tabs>
        <w:rPr>
          <w:rFonts w:cs="Times New Roman"/>
          <w:szCs w:val="24"/>
          <w:lang w:val="fr-CA"/>
        </w:rPr>
      </w:pPr>
      <w:r w:rsidRPr="00486B7A">
        <w:rPr>
          <w:rFonts w:cs="Times New Roman"/>
          <w:szCs w:val="24"/>
          <w:lang w:val="fr-CA"/>
        </w:rPr>
        <w:t>En outre, dans le cadre d’un contrôle judiciaire en Cour fédérale, le fardeau d’établir que la décision est déraisonnable repose carrément sur le demandeur (</w:t>
      </w:r>
      <w:r w:rsidRPr="00486B7A">
        <w:rPr>
          <w:rFonts w:cs="Times New Roman"/>
          <w:i/>
          <w:szCs w:val="24"/>
          <w:lang w:val="fr-CA"/>
        </w:rPr>
        <w:t>Établissement Mission c. Khela</w:t>
      </w:r>
      <w:r w:rsidRPr="00486B7A">
        <w:rPr>
          <w:rFonts w:cs="Times New Roman"/>
          <w:szCs w:val="24"/>
          <w:lang w:val="fr-CA"/>
        </w:rPr>
        <w:t>, par. 40).</w:t>
      </w:r>
    </w:p>
    <w:p w:rsidR="00B233C0" w:rsidRPr="003E073E" w:rsidRDefault="00B233C0" w:rsidP="00B233C0">
      <w:pPr>
        <w:pStyle w:val="ParaNoNdepar-AltN"/>
        <w:tabs>
          <w:tab w:val="clear" w:pos="1166"/>
          <w:tab w:val="num" w:pos="1152"/>
        </w:tabs>
        <w:rPr>
          <w:rFonts w:cs="Times New Roman"/>
          <w:szCs w:val="24"/>
          <w:lang w:val="fr-CA"/>
        </w:rPr>
      </w:pPr>
      <w:r w:rsidRPr="003E073E">
        <w:rPr>
          <w:rFonts w:cs="Times New Roman"/>
          <w:szCs w:val="24"/>
          <w:lang w:val="fr-CA"/>
        </w:rPr>
        <w:t xml:space="preserve">De plus, suivant la </w:t>
      </w:r>
      <w:r w:rsidRPr="003E073E">
        <w:rPr>
          <w:rFonts w:cs="Times New Roman"/>
          <w:i/>
          <w:szCs w:val="24"/>
          <w:lang w:val="fr-CA"/>
        </w:rPr>
        <w:t>LIPR</w:t>
      </w:r>
      <w:r w:rsidRPr="003E073E">
        <w:rPr>
          <w:rFonts w:cs="Times New Roman"/>
          <w:szCs w:val="24"/>
          <w:lang w:val="fr-CA"/>
        </w:rPr>
        <w:t xml:space="preserve">, le ministre peut s’acquitter de son fardeau en se fondant sur des motifs donnés lors d’une audience antérieure sur la détention. Cette pratique a été encouragée par les Cours fédérales qui ont jugé que, </w:t>
      </w:r>
      <w:r w:rsidRPr="003E073E">
        <w:rPr>
          <w:rFonts w:cs="Times New Roman"/>
          <w:lang w:val="fr-CA"/>
        </w:rPr>
        <w:t>bien qu’il ne soit pas lié par les décisions antérieures relatives à la détention, « il faut, dans les cas où un commissaire décide d’aller à l’encontre des décisions antérieures ordonnant la détention d’une personne, que des motifs clairs et convaincants soient énoncés » (</w:t>
      </w:r>
      <w:r w:rsidRPr="003E073E">
        <w:rPr>
          <w:rFonts w:cs="Times New Roman"/>
          <w:i/>
          <w:lang w:val="fr-CA"/>
        </w:rPr>
        <w:t>Thanabalasingham</w:t>
      </w:r>
      <w:r w:rsidRPr="003E073E">
        <w:rPr>
          <w:rFonts w:cs="Times New Roman"/>
          <w:lang w:val="fr-CA"/>
        </w:rPr>
        <w:t xml:space="preserve">, </w:t>
      </w:r>
      <w:r>
        <w:rPr>
          <w:rFonts w:cs="Times New Roman"/>
          <w:lang w:val="fr-CA"/>
        </w:rPr>
        <w:t>par. </w:t>
      </w:r>
      <w:r w:rsidRPr="003E073E">
        <w:rPr>
          <w:rFonts w:cs="Times New Roman"/>
          <w:lang w:val="fr-CA"/>
        </w:rPr>
        <w:t>10; voir aussi, notamment</w:t>
      </w:r>
      <w:r>
        <w:rPr>
          <w:rFonts w:cs="Times New Roman"/>
          <w:lang w:val="fr-CA"/>
        </w:rPr>
        <w:t> :</w:t>
      </w:r>
      <w:r w:rsidRPr="003E073E">
        <w:rPr>
          <w:rFonts w:cs="Times New Roman"/>
          <w:lang w:val="fr-CA"/>
        </w:rPr>
        <w:t xml:space="preserve"> </w:t>
      </w:r>
      <w:r w:rsidRPr="003E073E">
        <w:rPr>
          <w:rFonts w:cs="Times New Roman"/>
          <w:i/>
          <w:lang w:val="fr-CA"/>
        </w:rPr>
        <w:t>Canada (Sécurité publique et Protection civile) c. Mehmedovic</w:t>
      </w:r>
      <w:r w:rsidRPr="003E073E">
        <w:rPr>
          <w:rFonts w:cs="Times New Roman"/>
          <w:lang w:val="fr-CA"/>
        </w:rPr>
        <w:t xml:space="preserve">, 2018 CF 729, </w:t>
      </w:r>
      <w:r>
        <w:rPr>
          <w:rFonts w:cs="Times New Roman"/>
          <w:lang w:val="fr-CA"/>
        </w:rPr>
        <w:t>par. </w:t>
      </w:r>
      <w:r w:rsidRPr="003E073E">
        <w:rPr>
          <w:rFonts w:cs="Times New Roman"/>
          <w:lang w:val="fr-CA"/>
        </w:rPr>
        <w:t xml:space="preserve">19 (CanLII); </w:t>
      </w:r>
      <w:r w:rsidRPr="003E073E">
        <w:rPr>
          <w:rFonts w:cs="Times New Roman"/>
          <w:i/>
          <w:lang w:val="fr-CA"/>
        </w:rPr>
        <w:t>Canada (Sécurité publique et Protection civile) c. Torres</w:t>
      </w:r>
      <w:r w:rsidRPr="003E073E">
        <w:rPr>
          <w:rFonts w:cs="Times New Roman"/>
          <w:lang w:val="fr-CA"/>
        </w:rPr>
        <w:t xml:space="preserve">, 2017 CF 918, </w:t>
      </w:r>
      <w:r>
        <w:rPr>
          <w:rFonts w:cs="Times New Roman"/>
          <w:lang w:val="fr-CA"/>
        </w:rPr>
        <w:t>par. </w:t>
      </w:r>
      <w:r w:rsidRPr="003E073E">
        <w:rPr>
          <w:rFonts w:cs="Times New Roman"/>
          <w:lang w:val="fr-CA"/>
        </w:rPr>
        <w:t xml:space="preserve">20 (CanLII); </w:t>
      </w:r>
      <w:r w:rsidRPr="003E073E">
        <w:rPr>
          <w:rFonts w:cs="Times New Roman"/>
          <w:i/>
          <w:lang w:val="fr-CA"/>
        </w:rPr>
        <w:t>Canada (Sécurité publique et Protection civile) c. Karimi</w:t>
      </w:r>
      <w:r>
        <w:rPr>
          <w:rFonts w:cs="Times New Roman"/>
          <w:i/>
          <w:lang w:val="fr-CA"/>
        </w:rPr>
        <w:noBreakHyphen/>
      </w:r>
      <w:r w:rsidRPr="003E073E">
        <w:rPr>
          <w:rFonts w:cs="Times New Roman"/>
          <w:i/>
          <w:lang w:val="fr-CA"/>
        </w:rPr>
        <w:t>Arshad</w:t>
      </w:r>
      <w:r w:rsidR="00670CC2">
        <w:rPr>
          <w:rFonts w:cs="Times New Roman"/>
          <w:lang w:val="fr-CA"/>
        </w:rPr>
        <w:t>, 2010 CF 964</w:t>
      </w:r>
      <w:r w:rsidRPr="003E073E">
        <w:rPr>
          <w:rFonts w:cs="Times New Roman"/>
          <w:lang w:val="fr-CA"/>
        </w:rPr>
        <w:t xml:space="preserve">, </w:t>
      </w:r>
      <w:r>
        <w:rPr>
          <w:rFonts w:cs="Times New Roman"/>
          <w:lang w:val="fr-CA"/>
        </w:rPr>
        <w:t>par. </w:t>
      </w:r>
      <w:r w:rsidRPr="003E073E">
        <w:rPr>
          <w:rFonts w:cs="Times New Roman"/>
          <w:lang w:val="fr-CA"/>
        </w:rPr>
        <w:t>16</w:t>
      </w:r>
      <w:r w:rsidR="00706ECC">
        <w:rPr>
          <w:rFonts w:cs="Times New Roman"/>
          <w:lang w:val="fr-CA"/>
        </w:rPr>
        <w:t xml:space="preserve"> (CanLII</w:t>
      </w:r>
      <w:r w:rsidR="00670CC2">
        <w:rPr>
          <w:rFonts w:cs="Times New Roman"/>
          <w:lang w:val="fr-CA"/>
        </w:rPr>
        <w:t>)</w:t>
      </w:r>
      <w:r w:rsidRPr="003E073E">
        <w:rPr>
          <w:rFonts w:cs="Times New Roman"/>
          <w:lang w:val="fr-CA"/>
        </w:rPr>
        <w:t>). Autrement dit</w:t>
      </w:r>
      <w:r w:rsidRPr="003E073E">
        <w:rPr>
          <w:rFonts w:cs="Times New Roman"/>
          <w:szCs w:val="24"/>
          <w:lang w:val="fr-CA"/>
        </w:rPr>
        <w:t xml:space="preserve">, un agent d’immigration peut se fier entièrement aux motifs prononcés par les agents qui l’ont précédé pour ordonner le maintien en détention, et toujours se conformer en tout point au régime créé par la </w:t>
      </w:r>
      <w:r w:rsidRPr="003E073E">
        <w:rPr>
          <w:rFonts w:cs="Times New Roman"/>
          <w:i/>
          <w:szCs w:val="24"/>
          <w:lang w:val="fr-CA"/>
        </w:rPr>
        <w:t>LIPR</w:t>
      </w:r>
      <w:r w:rsidRPr="003E073E">
        <w:rPr>
          <w:rFonts w:cs="Times New Roman"/>
          <w:szCs w:val="24"/>
          <w:lang w:val="fr-CA"/>
        </w:rPr>
        <w:t xml:space="preserve">. En pratique, les examens périodiques prévus par la </w:t>
      </w:r>
      <w:r w:rsidRPr="003E073E">
        <w:rPr>
          <w:rFonts w:cs="Times New Roman"/>
          <w:i/>
          <w:szCs w:val="24"/>
          <w:lang w:val="fr-CA"/>
        </w:rPr>
        <w:t>LIPR</w:t>
      </w:r>
      <w:r w:rsidRPr="003E073E">
        <w:rPr>
          <w:rFonts w:cs="Times New Roman"/>
          <w:szCs w:val="24"/>
          <w:lang w:val="fr-CA"/>
        </w:rPr>
        <w:t xml:space="preserve"> sont susceptibles de faire l’objet d’un raisonnement autoréférentiel, au lieu de constituer un examen nouveau et indépendant de la situation du détenu. </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En conséquence, le régime n’offre pas au détenu le contrôle nouveau et précis que procure l’</w:t>
      </w:r>
      <w:r w:rsidRPr="003E073E">
        <w:rPr>
          <w:rFonts w:cs="Times New Roman"/>
          <w:i/>
          <w:lang w:val="fr-CA"/>
        </w:rPr>
        <w:t>habeas corpus</w:t>
      </w:r>
      <w:r w:rsidRPr="003E073E">
        <w:rPr>
          <w:rFonts w:cs="Times New Roman"/>
          <w:lang w:val="fr-CA"/>
        </w:rPr>
        <w:t>, où le ministre assume le fardeau. Les nouveaux éléments de preuve déposés devant la Cour mettent en évidence les points susmentionnés. Une vérification externe demandée par le président de la Commission de l’immigration et du statut de réfugiés donne, en temps opportun, un portrait franchement désolant de la façon dont le régime est administré pour les personnes en détention de longue durée. La vérification de 2018 souligne comment, en pratique, les détenus ne tirent pas pleinement parti du régime</w:t>
      </w:r>
      <w:r>
        <w:rPr>
          <w:rFonts w:cs="Times New Roman"/>
          <w:lang w:val="fr-CA"/>
        </w:rPr>
        <w:t> :</w:t>
      </w:r>
      <w:r w:rsidRPr="003E073E">
        <w:rPr>
          <w:rFonts w:cs="Times New Roman"/>
          <w:lang w:val="fr-CA"/>
        </w:rPr>
        <w:t xml:space="preserve"> </w:t>
      </w:r>
    </w:p>
    <w:p w:rsidR="00B233C0" w:rsidRPr="003E073E" w:rsidRDefault="00B233C0" w:rsidP="00670CC2">
      <w:pPr>
        <w:pStyle w:val="Citation-AltC"/>
        <w:numPr>
          <w:ilvl w:val="0"/>
          <w:numId w:val="25"/>
        </w:numPr>
        <w:spacing w:after="240" w:line="480" w:lineRule="auto"/>
        <w:ind w:left="450" w:hanging="450"/>
        <w:contextualSpacing w:val="0"/>
        <w:rPr>
          <w:lang w:val="fr-CA"/>
        </w:rPr>
      </w:pPr>
      <w:r w:rsidRPr="003E073E">
        <w:rPr>
          <w:lang w:val="fr-CA"/>
        </w:rPr>
        <w:t xml:space="preserve">en principe, la Section de l’immigration devrait imposer au ministre le fardeau pour le maintien de la détention; en pratique, elle omet souvent de le faire </w:t>
      </w:r>
      <w:r w:rsidRPr="003E073E">
        <w:rPr>
          <w:lang w:val="fr-CA" w:bidi="en-US"/>
        </w:rPr>
        <w:t xml:space="preserve">(2017/2018, vérification, </w:t>
      </w:r>
      <w:r>
        <w:rPr>
          <w:lang w:val="fr-CA" w:bidi="en-US"/>
        </w:rPr>
        <w:t>p. </w:t>
      </w:r>
      <w:r w:rsidRPr="003E073E">
        <w:rPr>
          <w:lang w:val="fr-CA" w:bidi="en-US"/>
        </w:rPr>
        <w:t>18)</w:t>
      </w:r>
      <w:r w:rsidRPr="003E073E">
        <w:rPr>
          <w:lang w:val="fr-CA"/>
        </w:rPr>
        <w:t>;</w:t>
      </w:r>
    </w:p>
    <w:p w:rsidR="00B233C0" w:rsidRPr="003E073E" w:rsidRDefault="00B233C0" w:rsidP="00670CC2">
      <w:pPr>
        <w:pStyle w:val="Citation-AltC"/>
        <w:numPr>
          <w:ilvl w:val="0"/>
          <w:numId w:val="25"/>
        </w:numPr>
        <w:spacing w:after="240" w:line="480" w:lineRule="auto"/>
        <w:ind w:left="450" w:hanging="450"/>
        <w:contextualSpacing w:val="0"/>
        <w:rPr>
          <w:lang w:val="fr-CA"/>
        </w:rPr>
      </w:pPr>
      <w:r w:rsidRPr="003E073E">
        <w:rPr>
          <w:lang w:val="fr-CA"/>
        </w:rPr>
        <w:t>en principe, la Section de l’immigration devrait reprendre à neuf chaque contrôle de la détention; en pratique, elle s’appuie excessivement sur des décisions antérieures en matière de contrôle de la détention (</w:t>
      </w:r>
      <w:r w:rsidRPr="003E073E">
        <w:rPr>
          <w:lang w:val="fr-CA" w:bidi="en-US"/>
        </w:rPr>
        <w:t>2017/2018, vérification,</w:t>
      </w:r>
      <w:r w:rsidRPr="003E073E">
        <w:rPr>
          <w:lang w:val="fr-CA"/>
        </w:rPr>
        <w:t xml:space="preserve"> </w:t>
      </w:r>
      <w:r>
        <w:rPr>
          <w:lang w:val="fr-CA"/>
        </w:rPr>
        <w:t>p. </w:t>
      </w:r>
      <w:r w:rsidRPr="003E073E">
        <w:rPr>
          <w:lang w:val="fr-CA"/>
        </w:rPr>
        <w:t>31</w:t>
      </w:r>
      <w:r>
        <w:rPr>
          <w:lang w:val="fr-CA"/>
        </w:rPr>
        <w:noBreakHyphen/>
      </w:r>
      <w:r w:rsidRPr="003E073E">
        <w:rPr>
          <w:lang w:val="fr-CA"/>
        </w:rPr>
        <w:t>32);</w:t>
      </w:r>
    </w:p>
    <w:p w:rsidR="00B233C0" w:rsidRPr="003E073E" w:rsidRDefault="00B233C0" w:rsidP="00670CC2">
      <w:pPr>
        <w:pStyle w:val="Citation-AltC"/>
        <w:numPr>
          <w:ilvl w:val="0"/>
          <w:numId w:val="25"/>
        </w:numPr>
        <w:spacing w:after="240" w:line="480" w:lineRule="auto"/>
        <w:ind w:left="450" w:hanging="450"/>
        <w:contextualSpacing w:val="0"/>
        <w:rPr>
          <w:lang w:val="fr-CA"/>
        </w:rPr>
      </w:pPr>
      <w:r w:rsidRPr="003E073E">
        <w:rPr>
          <w:lang w:val="fr-CA"/>
        </w:rPr>
        <w:t>en principe, la Section de l’immigration devrait être impartiale et indépendante de l’Agence des services frontaliers du Canada; en pratique, dans bien des cas, la Section de l’immigration s’appuie excessivement sur les observations de l’Agence canadienne des services frontaliers (</w:t>
      </w:r>
      <w:r w:rsidRPr="003E073E">
        <w:rPr>
          <w:lang w:val="fr-CA" w:bidi="en-US"/>
        </w:rPr>
        <w:t>2017/2018, vérification,</w:t>
      </w:r>
      <w:r w:rsidRPr="003E073E">
        <w:rPr>
          <w:lang w:val="fr-CA"/>
        </w:rPr>
        <w:t xml:space="preserve"> </w:t>
      </w:r>
      <w:r>
        <w:rPr>
          <w:lang w:val="fr-CA"/>
        </w:rPr>
        <w:t>p. </w:t>
      </w:r>
      <w:r w:rsidRPr="003E073E">
        <w:rPr>
          <w:lang w:val="fr-CA"/>
        </w:rPr>
        <w:t>17</w:t>
      </w:r>
      <w:r>
        <w:rPr>
          <w:lang w:val="fr-CA"/>
        </w:rPr>
        <w:noBreakHyphen/>
      </w:r>
      <w:r w:rsidRPr="003E073E">
        <w:rPr>
          <w:lang w:val="fr-CA"/>
        </w:rPr>
        <w:t xml:space="preserve">18); </w:t>
      </w:r>
    </w:p>
    <w:p w:rsidR="00B233C0" w:rsidRPr="003E073E" w:rsidRDefault="00B233C0" w:rsidP="00670CC2">
      <w:pPr>
        <w:pStyle w:val="Citation-AltC"/>
        <w:numPr>
          <w:ilvl w:val="0"/>
          <w:numId w:val="25"/>
        </w:numPr>
        <w:spacing w:after="240" w:line="480" w:lineRule="auto"/>
        <w:ind w:left="450" w:hanging="450"/>
        <w:contextualSpacing w:val="0"/>
        <w:rPr>
          <w:lang w:val="fr-CA"/>
        </w:rPr>
      </w:pPr>
      <w:r w:rsidRPr="003E073E">
        <w:rPr>
          <w:lang w:val="fr-CA"/>
        </w:rPr>
        <w:t xml:space="preserve">en principe, la Section de l’immigration devrait examiner les détentions ordonnées sous le régime de la </w:t>
      </w:r>
      <w:r w:rsidRPr="003E073E">
        <w:rPr>
          <w:i/>
          <w:lang w:val="fr-CA"/>
        </w:rPr>
        <w:t>LIPR</w:t>
      </w:r>
      <w:r w:rsidRPr="003E073E">
        <w:rPr>
          <w:lang w:val="fr-CA"/>
        </w:rPr>
        <w:t xml:space="preserve"> pour juger de leur conformité au regard des </w:t>
      </w:r>
      <w:r>
        <w:rPr>
          <w:lang w:val="fr-CA"/>
        </w:rPr>
        <w:t>art. </w:t>
      </w:r>
      <w:r w:rsidRPr="003E073E">
        <w:rPr>
          <w:lang w:val="fr-CA"/>
        </w:rPr>
        <w:t xml:space="preserve">7, 9 et 12 de la </w:t>
      </w:r>
      <w:r w:rsidRPr="003E073E">
        <w:rPr>
          <w:i/>
          <w:lang w:val="fr-CA"/>
        </w:rPr>
        <w:t>Charte</w:t>
      </w:r>
      <w:r w:rsidRPr="003E073E">
        <w:rPr>
          <w:lang w:val="fr-CA"/>
        </w:rPr>
        <w:t>; en pratique, faute de reprendre à neuf chaque contrôle de la détention, elle ne le fait pas (</w:t>
      </w:r>
      <w:r w:rsidRPr="003E073E">
        <w:rPr>
          <w:lang w:val="fr-CA" w:bidi="en-US"/>
        </w:rPr>
        <w:t>2017/2018, vérification,</w:t>
      </w:r>
      <w:r w:rsidRPr="003E073E">
        <w:rPr>
          <w:lang w:val="fr-CA"/>
        </w:rPr>
        <w:t xml:space="preserve"> </w:t>
      </w:r>
      <w:r>
        <w:rPr>
          <w:lang w:val="fr-CA"/>
        </w:rPr>
        <w:t>p. </w:t>
      </w:r>
      <w:r w:rsidRPr="003E073E">
        <w:rPr>
          <w:lang w:val="fr-CA"/>
        </w:rPr>
        <w:t>31</w:t>
      </w:r>
      <w:r>
        <w:rPr>
          <w:lang w:val="fr-CA"/>
        </w:rPr>
        <w:noBreakHyphen/>
      </w:r>
      <w:r w:rsidRPr="003E073E">
        <w:rPr>
          <w:lang w:val="fr-CA"/>
        </w:rPr>
        <w:t>32).</w:t>
      </w:r>
    </w:p>
    <w:p w:rsidR="00B233C0" w:rsidRPr="003E073E" w:rsidRDefault="00B233C0" w:rsidP="00B233C0">
      <w:pPr>
        <w:pStyle w:val="ParaNoNdepar-AltN"/>
        <w:tabs>
          <w:tab w:val="clear" w:pos="1166"/>
          <w:tab w:val="num" w:pos="1152"/>
        </w:tabs>
        <w:rPr>
          <w:rFonts w:cs="Times New Roman"/>
          <w:szCs w:val="24"/>
          <w:lang w:val="fr-CA"/>
        </w:rPr>
      </w:pPr>
      <w:r w:rsidRPr="003E073E">
        <w:rPr>
          <w:rFonts w:cs="Times New Roman"/>
          <w:lang w:val="fr-CA"/>
        </w:rPr>
        <w:t xml:space="preserve">Le deuxième désavantage du régime créé par la </w:t>
      </w:r>
      <w:r w:rsidRPr="003E073E">
        <w:rPr>
          <w:rFonts w:cs="Times New Roman"/>
          <w:i/>
          <w:lang w:val="fr-CA"/>
        </w:rPr>
        <w:t>LIPR</w:t>
      </w:r>
      <w:r w:rsidRPr="003E073E">
        <w:rPr>
          <w:rFonts w:cs="Times New Roman"/>
          <w:lang w:val="fr-CA"/>
        </w:rPr>
        <w:t xml:space="preserve"> réside dans la portée du contrôle. Sur le plan pratique, comme je l’ai déjà mentionné, la Section de l’immigration ne procède pas à neuf chaque fois qu’elle fait un examen périodique des motifs de la détention; ainsi, la portée du contrôle devant les Cours fédérales est comparativement plus étroite que celle du contrôle par voie d’</w:t>
      </w:r>
      <w:r w:rsidRPr="003E073E">
        <w:rPr>
          <w:rFonts w:cs="Times New Roman"/>
          <w:i/>
          <w:lang w:val="fr-CA"/>
        </w:rPr>
        <w:t>habeas corpus</w:t>
      </w:r>
      <w:r w:rsidRPr="003E073E">
        <w:rPr>
          <w:rFonts w:cs="Times New Roman"/>
          <w:lang w:val="fr-CA"/>
        </w:rPr>
        <w:t>. Le large examen que permet de faire une demande d’</w:t>
      </w:r>
      <w:r w:rsidRPr="003E073E">
        <w:rPr>
          <w:rFonts w:cs="Times New Roman"/>
          <w:i/>
          <w:lang w:val="fr-CA"/>
        </w:rPr>
        <w:t>habeas corpus</w:t>
      </w:r>
      <w:r w:rsidRPr="003E073E">
        <w:rPr>
          <w:rFonts w:cs="Times New Roman"/>
          <w:lang w:val="fr-CA"/>
        </w:rPr>
        <w:t xml:space="preserve"> porte sur la détention dans son ensemble. Par exemple, la présente cause requérait un examen global des droits que la </w:t>
      </w:r>
      <w:r w:rsidRPr="003E073E">
        <w:rPr>
          <w:rFonts w:cs="Times New Roman"/>
          <w:i/>
          <w:lang w:val="fr-CA"/>
        </w:rPr>
        <w:t>Charte</w:t>
      </w:r>
      <w:r w:rsidRPr="003E073E">
        <w:rPr>
          <w:rFonts w:cs="Times New Roman"/>
          <w:lang w:val="fr-CA"/>
        </w:rPr>
        <w:t xml:space="preserve"> garantit à M. Chhina et de la façon dont ils ont pu être violés — non pas par une décision en particulier, mais par le contexte général de sa détention. Ce type d’analyse est étroitement lié à l’expertise des cours supérieures provinciales (</w:t>
      </w:r>
      <w:r w:rsidRPr="003E073E">
        <w:rPr>
          <w:rFonts w:cs="Times New Roman"/>
          <w:i/>
          <w:lang w:val="fr-CA"/>
        </w:rPr>
        <w:t>May</w:t>
      </w:r>
      <w:r w:rsidRPr="003E073E">
        <w:rPr>
          <w:rFonts w:cs="Times New Roman"/>
          <w:lang w:val="fr-CA"/>
        </w:rPr>
        <w:t xml:space="preserve">, </w:t>
      </w:r>
      <w:r>
        <w:rPr>
          <w:rFonts w:cs="Times New Roman"/>
          <w:lang w:val="fr-CA"/>
        </w:rPr>
        <w:t>par. </w:t>
      </w:r>
      <w:r w:rsidRPr="003E073E">
        <w:rPr>
          <w:rFonts w:cs="Times New Roman"/>
          <w:lang w:val="fr-CA"/>
        </w:rPr>
        <w:t xml:space="preserve">68; voir aussi </w:t>
      </w:r>
      <w:r w:rsidRPr="003E073E">
        <w:rPr>
          <w:rFonts w:cs="Times New Roman"/>
          <w:i/>
          <w:lang w:val="fr-CA"/>
        </w:rPr>
        <w:t>Établissement de Mission c. Khela</w:t>
      </w:r>
      <w:r w:rsidRPr="003E073E">
        <w:rPr>
          <w:rFonts w:cs="Times New Roman"/>
          <w:lang w:val="fr-CA"/>
        </w:rPr>
        <w:t xml:space="preserve">, </w:t>
      </w:r>
      <w:r>
        <w:rPr>
          <w:rFonts w:cs="Times New Roman"/>
          <w:lang w:val="fr-CA"/>
        </w:rPr>
        <w:t>par. </w:t>
      </w:r>
      <w:r w:rsidRPr="003E073E">
        <w:rPr>
          <w:rFonts w:cs="Times New Roman"/>
          <w:lang w:val="fr-CA"/>
        </w:rPr>
        <w:t xml:space="preserve">45; </w:t>
      </w:r>
      <w:r w:rsidRPr="003E073E">
        <w:rPr>
          <w:rFonts w:cs="Times New Roman"/>
          <w:i/>
          <w:lang w:val="fr-CA"/>
        </w:rPr>
        <w:t>Chaudhary</w:t>
      </w:r>
      <w:r w:rsidRPr="003E073E">
        <w:rPr>
          <w:rFonts w:cs="Times New Roman"/>
          <w:lang w:val="fr-CA"/>
        </w:rPr>
        <w:t xml:space="preserve">, </w:t>
      </w:r>
      <w:r>
        <w:rPr>
          <w:rFonts w:cs="Times New Roman"/>
          <w:lang w:val="fr-CA"/>
        </w:rPr>
        <w:t>par. </w:t>
      </w:r>
      <w:r w:rsidRPr="003E073E">
        <w:rPr>
          <w:rFonts w:cs="Times New Roman"/>
          <w:lang w:val="fr-CA"/>
        </w:rPr>
        <w:t xml:space="preserve">102). En revanche, on ne peut demander une réparation au moyen d’un contrôle judiciaire qu’à l’encontre d’une seule décision, laquelle, dans le contexte de la </w:t>
      </w:r>
      <w:r w:rsidRPr="003E073E">
        <w:rPr>
          <w:rFonts w:cs="Times New Roman"/>
          <w:i/>
          <w:lang w:val="fr-CA"/>
        </w:rPr>
        <w:t>LIPR</w:t>
      </w:r>
      <w:r w:rsidRPr="003E073E">
        <w:rPr>
          <w:rFonts w:cs="Times New Roman"/>
          <w:lang w:val="fr-CA"/>
        </w:rPr>
        <w:t xml:space="preserve">, est habituellement celle rendue à l’issue du plus récent contrôle aux </w:t>
      </w:r>
      <w:r w:rsidR="00C264A2">
        <w:rPr>
          <w:rFonts w:cs="Times New Roman"/>
          <w:lang w:val="fr-CA"/>
        </w:rPr>
        <w:t>30</w:t>
      </w:r>
      <w:r w:rsidRPr="003E073E">
        <w:rPr>
          <w:rFonts w:cs="Times New Roman"/>
          <w:lang w:val="fr-CA"/>
        </w:rPr>
        <w:t> jours des motifs de détention (</w:t>
      </w:r>
      <w:r w:rsidRPr="003E073E">
        <w:rPr>
          <w:rFonts w:cs="Times New Roman"/>
          <w:i/>
          <w:lang w:val="fr-CA"/>
        </w:rPr>
        <w:t>Règles des Cours fédérales</w:t>
      </w:r>
      <w:r w:rsidRPr="003E073E">
        <w:rPr>
          <w:rFonts w:cs="Times New Roman"/>
          <w:lang w:val="fr-CA"/>
        </w:rPr>
        <w:t>, DORS/98</w:t>
      </w:r>
      <w:r>
        <w:rPr>
          <w:rFonts w:cs="Times New Roman"/>
          <w:lang w:val="fr-CA"/>
        </w:rPr>
        <w:noBreakHyphen/>
      </w:r>
      <w:r w:rsidRPr="003E073E">
        <w:rPr>
          <w:rFonts w:cs="Times New Roman"/>
          <w:lang w:val="fr-CA"/>
        </w:rPr>
        <w:t xml:space="preserve">106, </w:t>
      </w:r>
      <w:r>
        <w:rPr>
          <w:rFonts w:cs="Times New Roman"/>
          <w:lang w:val="fr-CA"/>
        </w:rPr>
        <w:t>art. </w:t>
      </w:r>
      <w:r w:rsidRPr="003E073E">
        <w:rPr>
          <w:rFonts w:cs="Times New Roman"/>
          <w:lang w:val="fr-CA"/>
        </w:rPr>
        <w:t>302).</w:t>
      </w:r>
    </w:p>
    <w:p w:rsidR="00B233C0" w:rsidRPr="003E073E" w:rsidRDefault="00B233C0" w:rsidP="00B233C0">
      <w:pPr>
        <w:pStyle w:val="ParaNoNdepar-AltN"/>
        <w:tabs>
          <w:tab w:val="clear" w:pos="1166"/>
          <w:tab w:val="num" w:pos="1152"/>
        </w:tabs>
        <w:rPr>
          <w:rFonts w:cs="Times New Roman"/>
          <w:szCs w:val="24"/>
          <w:lang w:val="fr-CA"/>
        </w:rPr>
      </w:pPr>
      <w:r w:rsidRPr="003E073E">
        <w:rPr>
          <w:rFonts w:cs="Times New Roman"/>
          <w:lang w:val="fr-CA"/>
        </w:rPr>
        <w:t>De plus, les réparations auxquelles le contrôle judiciaire donne ouverture sont plus limitées et moins avantageuses pour un détenu que celles auxquelles peut mener une demande d’</w:t>
      </w:r>
      <w:r w:rsidRPr="003E073E">
        <w:rPr>
          <w:rFonts w:cs="Times New Roman"/>
          <w:i/>
          <w:lang w:val="fr-CA"/>
        </w:rPr>
        <w:t>habeas corpus</w:t>
      </w:r>
      <w:r w:rsidRPr="003E073E">
        <w:rPr>
          <w:rFonts w:cs="Times New Roman"/>
          <w:lang w:val="fr-CA"/>
        </w:rPr>
        <w:t xml:space="preserve">. Bien que les Cours fédérales détiennent des pouvoirs limités pour rendre des ordonnances de </w:t>
      </w:r>
      <w:r w:rsidRPr="003E073E">
        <w:rPr>
          <w:rFonts w:cs="Times New Roman"/>
          <w:i/>
          <w:lang w:val="fr-CA"/>
        </w:rPr>
        <w:t>mandamus</w:t>
      </w:r>
      <w:r w:rsidRPr="003E073E">
        <w:rPr>
          <w:rFonts w:cs="Times New Roman"/>
          <w:lang w:val="fr-CA"/>
        </w:rPr>
        <w:t xml:space="preserve"> — </w:t>
      </w:r>
      <w:r w:rsidRPr="003E073E">
        <w:rPr>
          <w:rFonts w:cs="Times New Roman"/>
          <w:iCs/>
          <w:lang w:val="fr-CA"/>
        </w:rPr>
        <w:t>le pouvoir d’obliger un décideur à prendre une mesure concrète, par exemple d’obliger la Section de l’immigration à libérer un détenu —, je n’ai connaissance d’aucune affaire où la libération a été ordonnée. Dans la mesure où ce pouvoir peut être exercé, la réparation n’est accordée que « lorsque certaines conditions préalables relativement rares sont réunies »</w:t>
      </w:r>
      <w:r w:rsidRPr="003E073E">
        <w:rPr>
          <w:rFonts w:cs="Times New Roman"/>
          <w:lang w:val="fr-CA"/>
        </w:rPr>
        <w:t xml:space="preserve"> (</w:t>
      </w:r>
      <w:r w:rsidRPr="003E073E">
        <w:rPr>
          <w:rFonts w:cs="Times New Roman"/>
          <w:i/>
          <w:lang w:val="fr-CA"/>
        </w:rPr>
        <w:t>Canada (Citoyenneté et Immigration)</w:t>
      </w:r>
      <w:r w:rsidR="00FB1153">
        <w:rPr>
          <w:rFonts w:cs="Times New Roman"/>
          <w:i/>
          <w:lang w:val="fr-CA"/>
        </w:rPr>
        <w:t xml:space="preserve"> c. Tennant</w:t>
      </w:r>
      <w:r w:rsidRPr="003E073E">
        <w:rPr>
          <w:rFonts w:cs="Times New Roman"/>
          <w:lang w:val="fr-CA"/>
        </w:rPr>
        <w:t xml:space="preserve">, 2018 CAF 132, </w:t>
      </w:r>
      <w:r>
        <w:rPr>
          <w:rFonts w:cs="Times New Roman"/>
          <w:lang w:val="fr-CA"/>
        </w:rPr>
        <w:t>par. </w:t>
      </w:r>
      <w:r w:rsidRPr="003E073E">
        <w:rPr>
          <w:rFonts w:cs="Times New Roman"/>
          <w:lang w:val="fr-CA"/>
        </w:rPr>
        <w:t>28 (CanLII)). Généralement, une demande de contrôle judiciaire accueillie donne plutôt lieu à une ordonnance de réexamen, lequel nécessite la tenue d’audiences supplémentaires pour obtenir la libération et allonge de ce fait la détention. En revanche, dans le cas d’une demande d’</w:t>
      </w:r>
      <w:r w:rsidRPr="003E073E">
        <w:rPr>
          <w:rFonts w:cs="Times New Roman"/>
          <w:i/>
          <w:lang w:val="fr-CA"/>
        </w:rPr>
        <w:t>habeas corpus</w:t>
      </w:r>
      <w:r w:rsidRPr="003E073E">
        <w:rPr>
          <w:rFonts w:cs="Times New Roman"/>
          <w:lang w:val="fr-CA"/>
        </w:rPr>
        <w:t>, la libération est ordonnée dès que l’autorité compétente n’a pas été en mesure de justifier la privation de liberté.</w:t>
      </w:r>
    </w:p>
    <w:p w:rsidR="00B233C0" w:rsidRPr="003E073E" w:rsidRDefault="00B233C0" w:rsidP="00B233C0">
      <w:pPr>
        <w:pStyle w:val="ParaNoNdepar-AltN"/>
        <w:tabs>
          <w:tab w:val="clear" w:pos="1166"/>
          <w:tab w:val="num" w:pos="1152"/>
        </w:tabs>
        <w:rPr>
          <w:rFonts w:cs="Times New Roman"/>
          <w:szCs w:val="24"/>
          <w:lang w:val="fr-CA"/>
        </w:rPr>
      </w:pPr>
      <w:r w:rsidRPr="003E073E">
        <w:rPr>
          <w:rFonts w:cs="Times New Roman"/>
          <w:lang w:val="fr-CA"/>
        </w:rPr>
        <w:t>Enfin, l’</w:t>
      </w:r>
      <w:r w:rsidRPr="003E073E">
        <w:rPr>
          <w:rFonts w:cs="Times New Roman"/>
          <w:i/>
          <w:lang w:val="fr-CA"/>
        </w:rPr>
        <w:t xml:space="preserve">habeas corpus </w:t>
      </w:r>
      <w:r w:rsidRPr="003E073E">
        <w:rPr>
          <w:rFonts w:cs="Times New Roman"/>
          <w:lang w:val="fr-CA"/>
        </w:rPr>
        <w:t xml:space="preserve">permet d’obtenir une réparation plus rapidement que ne le permet la </w:t>
      </w:r>
      <w:r w:rsidRPr="003E073E">
        <w:rPr>
          <w:rFonts w:cs="Times New Roman"/>
          <w:i/>
          <w:lang w:val="fr-CA"/>
        </w:rPr>
        <w:t>LIPR</w:t>
      </w:r>
      <w:r w:rsidRPr="003E073E">
        <w:rPr>
          <w:rFonts w:cs="Times New Roman"/>
          <w:lang w:val="fr-CA"/>
        </w:rPr>
        <w:t xml:space="preserve">. Le contrôle judiciaire d’une décision relative à une détention sous le régime de la </w:t>
      </w:r>
      <w:r w:rsidRPr="003E073E">
        <w:rPr>
          <w:rFonts w:cs="Times New Roman"/>
          <w:i/>
          <w:szCs w:val="24"/>
          <w:lang w:val="fr-CA"/>
        </w:rPr>
        <w:t xml:space="preserve">LIPR </w:t>
      </w:r>
      <w:r w:rsidRPr="003E073E">
        <w:rPr>
          <w:rFonts w:cs="Times New Roman"/>
          <w:szCs w:val="24"/>
          <w:lang w:val="fr-CA"/>
        </w:rPr>
        <w:t>requiert l’obtention préalable d’une autorisation. Or, la mise en état d’une demande d’autorisation de contrôle judiciaire peut prendre jusqu’à 85 jours (</w:t>
      </w:r>
      <w:r w:rsidRPr="003E073E">
        <w:rPr>
          <w:rFonts w:cs="Times New Roman"/>
          <w:i/>
          <w:szCs w:val="24"/>
          <w:lang w:val="fr-CA"/>
        </w:rPr>
        <w:t>LIPR</w:t>
      </w:r>
      <w:r w:rsidRPr="003E073E">
        <w:rPr>
          <w:rFonts w:cs="Times New Roman"/>
          <w:szCs w:val="24"/>
          <w:lang w:val="fr-CA"/>
        </w:rPr>
        <w:t xml:space="preserve">, </w:t>
      </w:r>
      <w:r>
        <w:rPr>
          <w:rFonts w:cs="Times New Roman"/>
          <w:szCs w:val="24"/>
          <w:lang w:val="fr-CA"/>
        </w:rPr>
        <w:t>al. </w:t>
      </w:r>
      <w:r w:rsidRPr="003E073E">
        <w:rPr>
          <w:rFonts w:cs="Times New Roman"/>
          <w:szCs w:val="24"/>
          <w:lang w:val="fr-CA"/>
        </w:rPr>
        <w:t xml:space="preserve">72(2)b); </w:t>
      </w:r>
      <w:r w:rsidRPr="003E073E">
        <w:rPr>
          <w:rFonts w:cs="Times New Roman"/>
          <w:i/>
          <w:szCs w:val="24"/>
          <w:lang w:val="fr-CA"/>
        </w:rPr>
        <w:t>Règles des cours fédérales en matière de citoyenneté, d’immigration et de protection des réfugiés</w:t>
      </w:r>
      <w:r w:rsidRPr="003E073E">
        <w:rPr>
          <w:rFonts w:cs="Times New Roman"/>
          <w:szCs w:val="24"/>
          <w:lang w:val="fr-CA"/>
        </w:rPr>
        <w:t>, DORS/93</w:t>
      </w:r>
      <w:r>
        <w:rPr>
          <w:rFonts w:cs="Times New Roman"/>
          <w:szCs w:val="24"/>
          <w:lang w:val="fr-CA"/>
        </w:rPr>
        <w:noBreakHyphen/>
      </w:r>
      <w:r w:rsidRPr="003E073E">
        <w:rPr>
          <w:rFonts w:cs="Times New Roman"/>
          <w:szCs w:val="24"/>
          <w:lang w:val="fr-CA"/>
        </w:rPr>
        <w:t xml:space="preserve">22, </w:t>
      </w:r>
      <w:r>
        <w:rPr>
          <w:rFonts w:cs="Times New Roman"/>
          <w:szCs w:val="24"/>
          <w:lang w:val="fr-CA"/>
        </w:rPr>
        <w:t>par. </w:t>
      </w:r>
      <w:r w:rsidRPr="003E073E">
        <w:rPr>
          <w:rFonts w:cs="Times New Roman"/>
          <w:szCs w:val="24"/>
          <w:lang w:val="fr-CA"/>
        </w:rPr>
        <w:t xml:space="preserve">10(1) et </w:t>
      </w:r>
      <w:r>
        <w:rPr>
          <w:rFonts w:cs="Times New Roman"/>
          <w:szCs w:val="24"/>
          <w:lang w:val="fr-CA"/>
        </w:rPr>
        <w:t>art. </w:t>
      </w:r>
      <w:r w:rsidRPr="003E073E">
        <w:rPr>
          <w:rFonts w:cs="Times New Roman"/>
          <w:szCs w:val="24"/>
          <w:lang w:val="fr-CA"/>
        </w:rPr>
        <w:t>11 et 13). Comme l’a reconnu la Cour fédérale, même dans le meilleur des cas, il est donc impossible d’obtenir le contrôle judiciaire avant la tenue du prochain contrôle de la détention, soit dans un délai de 30 jours, rendant théorique le résultat du contrôle judiciaire en question (</w:t>
      </w:r>
      <w:r w:rsidRPr="003E073E">
        <w:rPr>
          <w:rFonts w:cs="Times New Roman"/>
          <w:i/>
          <w:szCs w:val="24"/>
          <w:lang w:val="fr-CA"/>
        </w:rPr>
        <w:t>Canada (Citoyenneté et Immigration) c. B386</w:t>
      </w:r>
      <w:r w:rsidRPr="003E073E">
        <w:rPr>
          <w:rFonts w:cs="Times New Roman"/>
          <w:szCs w:val="24"/>
          <w:lang w:val="fr-CA"/>
        </w:rPr>
        <w:t xml:space="preserve">, 2011 CF 175, [2012] 4 </w:t>
      </w:r>
      <w:r w:rsidR="00E6179B">
        <w:rPr>
          <w:rFonts w:cs="Times New Roman"/>
          <w:szCs w:val="24"/>
          <w:lang w:val="fr-CA"/>
        </w:rPr>
        <w:t>R.C.F.</w:t>
      </w:r>
      <w:r w:rsidRPr="003E073E">
        <w:rPr>
          <w:rFonts w:cs="Times New Roman"/>
          <w:szCs w:val="24"/>
          <w:lang w:val="fr-CA"/>
        </w:rPr>
        <w:t xml:space="preserve"> 220, </w:t>
      </w:r>
      <w:r>
        <w:rPr>
          <w:rFonts w:cs="Times New Roman"/>
          <w:szCs w:val="24"/>
          <w:lang w:val="fr-CA"/>
        </w:rPr>
        <w:t>par. </w:t>
      </w:r>
      <w:r w:rsidRPr="003E073E">
        <w:rPr>
          <w:rFonts w:cs="Times New Roman"/>
          <w:szCs w:val="24"/>
          <w:lang w:val="fr-CA"/>
        </w:rPr>
        <w:t xml:space="preserve">13; </w:t>
      </w:r>
      <w:r w:rsidRPr="003E073E">
        <w:rPr>
          <w:rFonts w:cs="Times New Roman"/>
          <w:i/>
          <w:szCs w:val="24"/>
          <w:lang w:val="fr-CA"/>
        </w:rPr>
        <w:t>Chaudhary</w:t>
      </w:r>
      <w:r w:rsidRPr="003E073E">
        <w:rPr>
          <w:rFonts w:cs="Times New Roman"/>
          <w:szCs w:val="24"/>
          <w:lang w:val="fr-CA"/>
        </w:rPr>
        <w:t xml:space="preserve">, </w:t>
      </w:r>
      <w:r>
        <w:rPr>
          <w:rFonts w:cs="Times New Roman"/>
          <w:szCs w:val="24"/>
          <w:lang w:val="fr-CA"/>
        </w:rPr>
        <w:t>par. </w:t>
      </w:r>
      <w:r w:rsidRPr="003E073E">
        <w:rPr>
          <w:rFonts w:cs="Times New Roman"/>
          <w:szCs w:val="24"/>
          <w:lang w:val="fr-CA"/>
        </w:rPr>
        <w:t>94). La réparation sous forme de réexamen fait recommencer le processus de contrôle, occasionnant d’autres délais. Cette succession de résultats à caractère théorique au stade du contrôle judiciaire fait obstacle à une réparation efficace applicable en temps opportun.</w:t>
      </w:r>
    </w:p>
    <w:p w:rsidR="00B233C0" w:rsidRPr="003E073E" w:rsidRDefault="00B233C0" w:rsidP="00B233C0">
      <w:pPr>
        <w:pStyle w:val="ParaNoNdepar-AltN"/>
        <w:tabs>
          <w:tab w:val="clear" w:pos="1166"/>
          <w:tab w:val="num" w:pos="1152"/>
        </w:tabs>
        <w:rPr>
          <w:rFonts w:cs="Times New Roman"/>
          <w:szCs w:val="24"/>
          <w:lang w:val="fr-CA"/>
        </w:rPr>
      </w:pPr>
      <w:r w:rsidRPr="003E073E">
        <w:rPr>
          <w:rFonts w:cs="Times New Roman"/>
          <w:lang w:val="fr-CA"/>
        </w:rPr>
        <w:t>Par contre, l</w:t>
      </w:r>
      <w:r w:rsidRPr="003E073E">
        <w:rPr>
          <w:rFonts w:cs="Times New Roman"/>
          <w:szCs w:val="24"/>
          <w:lang w:val="fr-CA"/>
        </w:rPr>
        <w:t>’importance de l’</w:t>
      </w:r>
      <w:r w:rsidRPr="003E073E">
        <w:rPr>
          <w:rFonts w:cs="Times New Roman"/>
          <w:i/>
          <w:szCs w:val="24"/>
          <w:lang w:val="fr-CA"/>
        </w:rPr>
        <w:t>habeas corpus</w:t>
      </w:r>
      <w:r w:rsidRPr="003E073E">
        <w:rPr>
          <w:rFonts w:cs="Times New Roman"/>
          <w:lang w:val="fr-CA"/>
        </w:rPr>
        <w:t xml:space="preserve"> en tant que [</w:t>
      </w:r>
      <w:r w:rsidRPr="003E073E">
        <w:rPr>
          <w:rFonts w:cs="Times New Roman"/>
          <w:smallCaps/>
          <w:lang w:val="fr-CA"/>
        </w:rPr>
        <w:t>traduction</w:t>
      </w:r>
      <w:r w:rsidRPr="003E073E">
        <w:rPr>
          <w:rFonts w:cs="Times New Roman"/>
          <w:lang w:val="fr-CA"/>
        </w:rPr>
        <w:t>] « recours rapide et impératif » est reconnue depuis longtemps (</w:t>
      </w:r>
      <w:r w:rsidRPr="003E073E">
        <w:rPr>
          <w:rFonts w:cs="Times New Roman"/>
          <w:i/>
          <w:lang w:val="fr-CA"/>
        </w:rPr>
        <w:t>Établissement de Mission c. Khela</w:t>
      </w:r>
      <w:r w:rsidRPr="003E073E">
        <w:rPr>
          <w:rFonts w:cs="Times New Roman"/>
          <w:lang w:val="fr-CA"/>
        </w:rPr>
        <w:t xml:space="preserve">, </w:t>
      </w:r>
      <w:r>
        <w:rPr>
          <w:rFonts w:cs="Times New Roman"/>
          <w:lang w:val="fr-CA"/>
        </w:rPr>
        <w:t>par. </w:t>
      </w:r>
      <w:r w:rsidRPr="003E073E">
        <w:rPr>
          <w:rFonts w:cs="Times New Roman"/>
          <w:lang w:val="fr-CA"/>
        </w:rPr>
        <w:t xml:space="preserve">3; </w:t>
      </w:r>
      <w:r w:rsidR="00D248DB">
        <w:rPr>
          <w:rFonts w:cs="Times New Roman"/>
          <w:i/>
          <w:lang w:val="fr-CA"/>
        </w:rPr>
        <w:t>In r</w:t>
      </w:r>
      <w:r w:rsidRPr="003E073E">
        <w:rPr>
          <w:rFonts w:cs="Times New Roman"/>
          <w:i/>
          <w:lang w:val="fr-CA"/>
        </w:rPr>
        <w:t>e Storgoff</w:t>
      </w:r>
      <w:r w:rsidRPr="003E073E">
        <w:rPr>
          <w:rFonts w:cs="Times New Roman"/>
          <w:lang w:val="fr-CA"/>
        </w:rPr>
        <w:t xml:space="preserve">, [1945] R.C.S. 526, </w:t>
      </w:r>
      <w:r>
        <w:rPr>
          <w:rFonts w:cs="Times New Roman"/>
          <w:lang w:val="fr-CA"/>
        </w:rPr>
        <w:t>p. </w:t>
      </w:r>
      <w:r w:rsidRPr="003E073E">
        <w:rPr>
          <w:rFonts w:cs="Times New Roman"/>
          <w:lang w:val="fr-CA"/>
        </w:rPr>
        <w:t>591). Des ressorts partout au pays l’ont reconnu en adoptant des règles faisant en sorte de prioriser l’audition des demandes d’</w:t>
      </w:r>
      <w:r w:rsidRPr="003E073E">
        <w:rPr>
          <w:rFonts w:cs="Times New Roman"/>
          <w:i/>
          <w:lang w:val="fr-CA"/>
        </w:rPr>
        <w:t>habeas corpus</w:t>
      </w:r>
      <w:r w:rsidRPr="003E073E">
        <w:rPr>
          <w:rFonts w:cs="Times New Roman"/>
          <w:lang w:val="fr-CA"/>
        </w:rPr>
        <w:t>. Le bref d’</w:t>
      </w:r>
      <w:r w:rsidRPr="003E073E">
        <w:rPr>
          <w:rFonts w:cs="Times New Roman"/>
          <w:i/>
          <w:lang w:val="fr-CA"/>
        </w:rPr>
        <w:t xml:space="preserve">habeas corpus </w:t>
      </w:r>
      <w:r w:rsidRPr="003E073E">
        <w:rPr>
          <w:rFonts w:cs="Times New Roman"/>
          <w:lang w:val="fr-CA"/>
        </w:rPr>
        <w:t>est « rapportable immédiatement » devant un juge d’une cour supérieure de l’Ontario et l’instruction d’une demande d’</w:t>
      </w:r>
      <w:r w:rsidRPr="003E073E">
        <w:rPr>
          <w:rFonts w:cs="Times New Roman"/>
          <w:i/>
          <w:lang w:val="fr-CA"/>
        </w:rPr>
        <w:t xml:space="preserve">habeas corpus </w:t>
      </w:r>
      <w:r w:rsidRPr="003E073E">
        <w:rPr>
          <w:rFonts w:cs="Times New Roman"/>
          <w:lang w:val="fr-CA"/>
        </w:rPr>
        <w:t>a priorité sur toutes les autres affaires dont le tribunal est saisi au Québec et en Nouvelle</w:t>
      </w:r>
      <w:r>
        <w:rPr>
          <w:rFonts w:cs="Times New Roman"/>
          <w:lang w:val="fr-CA"/>
        </w:rPr>
        <w:noBreakHyphen/>
      </w:r>
      <w:r w:rsidRPr="003E073E">
        <w:rPr>
          <w:rFonts w:cs="Times New Roman"/>
          <w:lang w:val="fr-CA"/>
        </w:rPr>
        <w:t>Écosse (</w:t>
      </w:r>
      <w:r w:rsidRPr="003E073E">
        <w:rPr>
          <w:rFonts w:cs="Times New Roman"/>
          <w:i/>
          <w:szCs w:val="24"/>
          <w:lang w:val="fr-CA"/>
        </w:rPr>
        <w:t>Loi sur l’habeas corpus</w:t>
      </w:r>
      <w:r w:rsidRPr="003E073E">
        <w:rPr>
          <w:rFonts w:cs="Times New Roman"/>
          <w:szCs w:val="24"/>
          <w:lang w:val="fr-CA"/>
        </w:rPr>
        <w:t xml:space="preserve">, L.R.O. 1990, c. H.1, </w:t>
      </w:r>
      <w:r>
        <w:rPr>
          <w:rFonts w:cs="Times New Roman"/>
          <w:szCs w:val="24"/>
          <w:lang w:val="fr-CA"/>
        </w:rPr>
        <w:t>par. </w:t>
      </w:r>
      <w:r w:rsidRPr="003E073E">
        <w:rPr>
          <w:rFonts w:cs="Times New Roman"/>
          <w:szCs w:val="24"/>
          <w:lang w:val="fr-CA"/>
        </w:rPr>
        <w:t xml:space="preserve">1(1); </w:t>
      </w:r>
      <w:r w:rsidRPr="003E073E">
        <w:rPr>
          <w:rFonts w:cs="Times New Roman"/>
          <w:i/>
          <w:szCs w:val="24"/>
          <w:lang w:val="fr-CA"/>
        </w:rPr>
        <w:t>Code de procédure civile</w:t>
      </w:r>
      <w:r w:rsidRPr="003E073E">
        <w:rPr>
          <w:rFonts w:cs="Times New Roman"/>
          <w:lang w:val="fr-CA"/>
        </w:rPr>
        <w:t>, RLRQ</w:t>
      </w:r>
      <w:r w:rsidRPr="003E073E">
        <w:rPr>
          <w:rFonts w:cs="Times New Roman"/>
          <w:szCs w:val="24"/>
          <w:lang w:val="fr-CA"/>
        </w:rPr>
        <w:t>, c. C</w:t>
      </w:r>
      <w:r>
        <w:rPr>
          <w:rFonts w:cs="Times New Roman"/>
          <w:szCs w:val="24"/>
          <w:lang w:val="fr-CA"/>
        </w:rPr>
        <w:noBreakHyphen/>
      </w:r>
      <w:r w:rsidRPr="003E073E">
        <w:rPr>
          <w:rFonts w:cs="Times New Roman"/>
          <w:szCs w:val="24"/>
          <w:lang w:val="fr-CA"/>
        </w:rPr>
        <w:t>25.01,</w:t>
      </w:r>
      <w:r w:rsidRPr="003E073E">
        <w:rPr>
          <w:rFonts w:cs="Times New Roman"/>
          <w:i/>
          <w:szCs w:val="24"/>
          <w:lang w:val="fr-CA"/>
        </w:rPr>
        <w:t xml:space="preserve"> </w:t>
      </w:r>
      <w:r>
        <w:rPr>
          <w:rFonts w:cs="Times New Roman"/>
          <w:szCs w:val="24"/>
          <w:lang w:val="fr-CA"/>
        </w:rPr>
        <w:t>art. </w:t>
      </w:r>
      <w:r w:rsidRPr="003E073E">
        <w:rPr>
          <w:rFonts w:cs="Times New Roman"/>
          <w:szCs w:val="24"/>
          <w:lang w:val="fr-CA"/>
        </w:rPr>
        <w:t>82 </w:t>
      </w:r>
      <w:r>
        <w:rPr>
          <w:rFonts w:cs="Times New Roman"/>
          <w:szCs w:val="24"/>
          <w:lang w:val="fr-CA"/>
        </w:rPr>
        <w:t>al. </w:t>
      </w:r>
      <w:r w:rsidRPr="003E073E">
        <w:rPr>
          <w:rFonts w:cs="Times New Roman"/>
          <w:szCs w:val="24"/>
          <w:lang w:val="fr-CA"/>
        </w:rPr>
        <w:t xml:space="preserve">3; </w:t>
      </w:r>
      <w:r w:rsidR="00D248DB">
        <w:rPr>
          <w:rFonts w:cs="Times New Roman"/>
          <w:i/>
          <w:szCs w:val="24"/>
          <w:lang w:val="fr-CA"/>
        </w:rPr>
        <w:t>Règles de procédure civile de la Nouvelle</w:t>
      </w:r>
      <w:r w:rsidR="00D248DB" w:rsidRPr="00D248DB">
        <w:rPr>
          <w:rFonts w:cs="Times New Roman"/>
          <w:i/>
          <w:szCs w:val="24"/>
          <w:lang w:val="fr-CA"/>
        </w:rPr>
        <w:t>-</w:t>
      </w:r>
      <w:r w:rsidR="00D248DB" w:rsidRPr="00D248DB">
        <w:rPr>
          <w:rFonts w:cs="Times New Roman"/>
          <w:i/>
          <w:lang w:val="fr-CA"/>
        </w:rPr>
        <w:t>Écosse</w:t>
      </w:r>
      <w:r w:rsidRPr="003E073E">
        <w:rPr>
          <w:rFonts w:cs="Times New Roman"/>
          <w:szCs w:val="24"/>
          <w:lang w:val="fr-CA"/>
        </w:rPr>
        <w:t xml:space="preserve">, </w:t>
      </w:r>
      <w:r>
        <w:rPr>
          <w:rFonts w:cs="Times New Roman"/>
          <w:szCs w:val="24"/>
          <w:lang w:val="fr-CA"/>
        </w:rPr>
        <w:t>par. </w:t>
      </w:r>
      <w:r w:rsidRPr="003E073E">
        <w:rPr>
          <w:rFonts w:cs="Times New Roman"/>
          <w:szCs w:val="24"/>
          <w:lang w:val="fr-CA"/>
        </w:rPr>
        <w:t xml:space="preserve">7.13(1); voir aussi </w:t>
      </w:r>
      <w:r w:rsidRPr="003E073E">
        <w:rPr>
          <w:rFonts w:cs="Times New Roman"/>
          <w:i/>
          <w:szCs w:val="24"/>
          <w:lang w:val="fr-CA"/>
        </w:rPr>
        <w:t>Règles de procédure en matière criminelle de la Cour suprême des Territoires du Nord</w:t>
      </w:r>
      <w:r>
        <w:rPr>
          <w:rFonts w:cs="Times New Roman"/>
          <w:i/>
          <w:szCs w:val="24"/>
          <w:lang w:val="fr-CA"/>
        </w:rPr>
        <w:noBreakHyphen/>
      </w:r>
      <w:r w:rsidRPr="003E073E">
        <w:rPr>
          <w:rFonts w:cs="Times New Roman"/>
          <w:i/>
          <w:szCs w:val="24"/>
          <w:lang w:val="fr-CA"/>
        </w:rPr>
        <w:t>Ouest</w:t>
      </w:r>
      <w:r w:rsidRPr="003E073E">
        <w:rPr>
          <w:rFonts w:cs="Times New Roman"/>
          <w:szCs w:val="24"/>
          <w:lang w:val="fr-CA"/>
        </w:rPr>
        <w:t>, TR/98</w:t>
      </w:r>
      <w:r>
        <w:rPr>
          <w:rFonts w:cs="Times New Roman"/>
          <w:szCs w:val="24"/>
          <w:lang w:val="fr-CA"/>
        </w:rPr>
        <w:noBreakHyphen/>
      </w:r>
      <w:r w:rsidRPr="003E073E">
        <w:rPr>
          <w:rFonts w:cs="Times New Roman"/>
          <w:szCs w:val="24"/>
          <w:lang w:val="fr-CA"/>
        </w:rPr>
        <w:t xml:space="preserve">78, </w:t>
      </w:r>
      <w:r>
        <w:rPr>
          <w:rFonts w:cs="Times New Roman"/>
          <w:szCs w:val="24"/>
          <w:lang w:val="fr-CA"/>
        </w:rPr>
        <w:t>art. </w:t>
      </w:r>
      <w:r w:rsidRPr="003E073E">
        <w:rPr>
          <w:rFonts w:cs="Times New Roman"/>
          <w:szCs w:val="24"/>
          <w:lang w:val="fr-CA"/>
        </w:rPr>
        <w:t>103 à 107). Les avantages offerts par l’</w:t>
      </w:r>
      <w:r w:rsidRPr="003E073E">
        <w:rPr>
          <w:rFonts w:cs="Times New Roman"/>
          <w:i/>
          <w:szCs w:val="24"/>
          <w:lang w:val="fr-CA"/>
        </w:rPr>
        <w:t>habeas corpus</w:t>
      </w:r>
      <w:r w:rsidRPr="003E073E">
        <w:rPr>
          <w:rFonts w:cs="Times New Roman"/>
          <w:szCs w:val="24"/>
          <w:lang w:val="fr-CA"/>
        </w:rPr>
        <w:t xml:space="preserve"> en ce qui a trait à la promptitude sont particulièrement pertinents à l’égard d’une demande comme celle de M. Chhina, qui portait principalement sur la durée de sa détention.</w:t>
      </w:r>
    </w:p>
    <w:p w:rsidR="00B233C0" w:rsidRPr="003E073E" w:rsidRDefault="00B233C0" w:rsidP="00B233C0">
      <w:pPr>
        <w:pStyle w:val="ParaNoNdepar-AltN"/>
        <w:tabs>
          <w:tab w:val="clear" w:pos="1166"/>
          <w:tab w:val="num" w:pos="1152"/>
        </w:tabs>
        <w:rPr>
          <w:rFonts w:cs="Times New Roman"/>
          <w:szCs w:val="24"/>
          <w:lang w:val="fr-CA"/>
        </w:rPr>
      </w:pPr>
      <w:r w:rsidRPr="003E073E">
        <w:rPr>
          <w:rFonts w:cs="Times New Roman"/>
          <w:lang w:val="fr-CA"/>
        </w:rPr>
        <w:t xml:space="preserve">En résumé, la </w:t>
      </w:r>
      <w:r w:rsidRPr="003E073E">
        <w:rPr>
          <w:rFonts w:cs="Times New Roman"/>
          <w:i/>
          <w:lang w:val="fr-CA"/>
        </w:rPr>
        <w:t>LIPR</w:t>
      </w:r>
      <w:r w:rsidRPr="003E073E">
        <w:rPr>
          <w:rFonts w:cs="Times New Roman"/>
          <w:lang w:val="fr-CA"/>
        </w:rPr>
        <w:t xml:space="preserve"> n’offre pas un recours aussi large et avantageux que la demande d’</w:t>
      </w:r>
      <w:r w:rsidRPr="003E073E">
        <w:rPr>
          <w:rFonts w:cs="Times New Roman"/>
          <w:i/>
          <w:lang w:val="fr-CA"/>
        </w:rPr>
        <w:t>habeas corpus</w:t>
      </w:r>
      <w:r w:rsidRPr="003E073E">
        <w:rPr>
          <w:rFonts w:cs="Times New Roman"/>
          <w:lang w:val="fr-CA"/>
        </w:rPr>
        <w:t xml:space="preserve"> pour répondre à la remise en cause de M. Chhina quant à la légalité de la durée de sa détention ou de son caractère incertain.</w:t>
      </w:r>
    </w:p>
    <w:p w:rsidR="00B233C0" w:rsidRPr="003E073E" w:rsidRDefault="00B233C0" w:rsidP="00B233C0">
      <w:pPr>
        <w:pStyle w:val="Title1LevelTitre1Niveau-AltL"/>
        <w:rPr>
          <w:rFonts w:cs="Times New Roman"/>
          <w:lang w:val="fr-CA"/>
        </w:rPr>
      </w:pPr>
      <w:r w:rsidRPr="003E073E">
        <w:rPr>
          <w:rFonts w:cs="Times New Roman"/>
          <w:lang w:val="fr-CA"/>
        </w:rPr>
        <w:t>La requête en modification du dossier</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Dans le cadre du pourvoi devant la Cour, l’intimé a présenté une requête en modification de dossier et pour être autorisé à déposer de nouveaux éléments de preuve. Ceux</w:t>
      </w:r>
      <w:r>
        <w:rPr>
          <w:rFonts w:cs="Times New Roman"/>
          <w:lang w:val="fr-CA"/>
        </w:rPr>
        <w:noBreakHyphen/>
      </w:r>
      <w:r w:rsidRPr="003E073E">
        <w:rPr>
          <w:rFonts w:cs="Times New Roman"/>
          <w:lang w:val="fr-CA"/>
        </w:rPr>
        <w:t xml:space="preserve">ci comprenaient une vérification troublante qui a relevé des exemples de mauvaise administration au sein du régime créé par la </w:t>
      </w:r>
      <w:r w:rsidRPr="003E073E">
        <w:rPr>
          <w:rFonts w:cs="Times New Roman"/>
          <w:i/>
          <w:lang w:val="fr-CA"/>
        </w:rPr>
        <w:t>LIPR</w:t>
      </w:r>
      <w:r w:rsidRPr="003E073E">
        <w:rPr>
          <w:rFonts w:cs="Times New Roman"/>
          <w:lang w:val="fr-CA"/>
        </w:rPr>
        <w:t xml:space="preserve">, faisant en sorte que plusieurs détenus sont maintenus en un cycle de détention de longue durée. </w:t>
      </w:r>
    </w:p>
    <w:p w:rsidR="00B233C0" w:rsidRPr="003E073E" w:rsidRDefault="00B233C0" w:rsidP="00B233C0">
      <w:pPr>
        <w:pStyle w:val="ParaNoNdepar-AltN"/>
        <w:tabs>
          <w:tab w:val="clear" w:pos="1166"/>
          <w:tab w:val="num" w:pos="1152"/>
        </w:tabs>
        <w:rPr>
          <w:rFonts w:cs="Times New Roman"/>
          <w:lang w:val="fr-CA"/>
        </w:rPr>
      </w:pPr>
      <w:r w:rsidRPr="003E073E">
        <w:rPr>
          <w:rFonts w:cs="Times New Roman"/>
          <w:lang w:val="fr-CA"/>
        </w:rPr>
        <w:t xml:space="preserve">Les éléments de preuve en question n’étaient pas nécessaires pour trancher le présent pourvoi, mais ils </w:t>
      </w:r>
      <w:r>
        <w:rPr>
          <w:rFonts w:cs="Times New Roman"/>
          <w:lang w:val="fr-CA"/>
        </w:rPr>
        <w:t xml:space="preserve">sont </w:t>
      </w:r>
      <w:r w:rsidRPr="003E073E">
        <w:rPr>
          <w:rFonts w:cs="Times New Roman"/>
          <w:lang w:val="fr-CA"/>
        </w:rPr>
        <w:t xml:space="preserve">admissibles, en application de l’arrêt </w:t>
      </w:r>
      <w:r w:rsidRPr="003E073E">
        <w:rPr>
          <w:rFonts w:cs="Times New Roman"/>
          <w:i/>
          <w:lang w:val="fr-CA"/>
        </w:rPr>
        <w:t>Palmer c. La Reine</w:t>
      </w:r>
      <w:r w:rsidRPr="003E073E">
        <w:rPr>
          <w:rFonts w:cs="Times New Roman"/>
          <w:lang w:val="fr-CA"/>
        </w:rPr>
        <w:t xml:space="preserve">, [1980] 1 R.C.S. 759, </w:t>
      </w:r>
      <w:r>
        <w:rPr>
          <w:rFonts w:cs="Times New Roman"/>
          <w:lang w:val="fr-CA"/>
        </w:rPr>
        <w:t>p. </w:t>
      </w:r>
      <w:r w:rsidRPr="003E073E">
        <w:rPr>
          <w:rFonts w:cs="Times New Roman"/>
          <w:lang w:val="fr-CA"/>
        </w:rPr>
        <w:t xml:space="preserve">775. Ces éléments de preuve </w:t>
      </w:r>
      <w:r>
        <w:rPr>
          <w:rFonts w:cs="Times New Roman"/>
          <w:lang w:val="fr-CA"/>
        </w:rPr>
        <w:t xml:space="preserve">sont </w:t>
      </w:r>
      <w:r w:rsidRPr="003E073E">
        <w:rPr>
          <w:rFonts w:cs="Times New Roman"/>
          <w:lang w:val="fr-CA"/>
        </w:rPr>
        <w:t>nouveaux, pertinents, plausibles et confirmatifs, en ce qu’ils offre</w:t>
      </w:r>
      <w:r>
        <w:rPr>
          <w:rFonts w:cs="Times New Roman"/>
          <w:lang w:val="fr-CA"/>
        </w:rPr>
        <w:t>nt</w:t>
      </w:r>
      <w:r w:rsidRPr="003E073E">
        <w:rPr>
          <w:rFonts w:cs="Times New Roman"/>
          <w:lang w:val="fr-CA"/>
        </w:rPr>
        <w:t xml:space="preserve"> des éléments statistiques pour appuyer l’argument selon lequel le régime de la </w:t>
      </w:r>
      <w:r w:rsidRPr="003E073E">
        <w:rPr>
          <w:rFonts w:cs="Times New Roman"/>
          <w:i/>
          <w:lang w:val="fr-CA"/>
        </w:rPr>
        <w:t>LIPR</w:t>
      </w:r>
      <w:r w:rsidRPr="003E073E">
        <w:rPr>
          <w:rFonts w:cs="Times New Roman"/>
          <w:lang w:val="fr-CA"/>
        </w:rPr>
        <w:t xml:space="preserve"> n’est pas aussi large et avantageux que celui de l’</w:t>
      </w:r>
      <w:r w:rsidRPr="003E073E">
        <w:rPr>
          <w:rFonts w:cs="Times New Roman"/>
          <w:i/>
          <w:lang w:val="fr-CA"/>
        </w:rPr>
        <w:t>habeas corpus</w:t>
      </w:r>
      <w:r w:rsidRPr="003E073E">
        <w:rPr>
          <w:rFonts w:cs="Times New Roman"/>
          <w:lang w:val="fr-CA"/>
        </w:rPr>
        <w:t xml:space="preserve"> eu égard aux détentions de longue durée, en particulier au regard du fardeau imposé au demandeur à chacun des contrôles successifs de sa détention. Dans la présente affaire, même en ne tenant pas compte de ces éléments de preuve, il est évident que le régime légal, y compris le contrôle judiciaire en Cour fédérale, n’est pas aussi avantageux que l’</w:t>
      </w:r>
      <w:r w:rsidRPr="003E073E">
        <w:rPr>
          <w:rFonts w:cs="Times New Roman"/>
          <w:i/>
          <w:lang w:val="fr-CA"/>
        </w:rPr>
        <w:t>habeas corpus</w:t>
      </w:r>
      <w:r w:rsidRPr="003E073E">
        <w:rPr>
          <w:rFonts w:cs="Times New Roman"/>
          <w:lang w:val="fr-CA"/>
        </w:rPr>
        <w:t>, vu la nature de la remise en cause.</w:t>
      </w:r>
    </w:p>
    <w:p w:rsidR="00B233C0" w:rsidRPr="003E073E" w:rsidRDefault="00B233C0" w:rsidP="00B233C0">
      <w:pPr>
        <w:pStyle w:val="Title1LevelTitre1Niveau-AltL"/>
        <w:rPr>
          <w:rFonts w:cs="Times New Roman"/>
          <w:lang w:val="fr-CA"/>
        </w:rPr>
      </w:pPr>
      <w:r w:rsidRPr="003E073E">
        <w:rPr>
          <w:rFonts w:cs="Times New Roman"/>
          <w:lang w:val="fr-CA"/>
        </w:rPr>
        <w:t>Conclusion</w:t>
      </w:r>
    </w:p>
    <w:p w:rsidR="00B233C0" w:rsidRPr="003E073E" w:rsidRDefault="00B233C0" w:rsidP="00B233C0">
      <w:pPr>
        <w:pStyle w:val="ParaNoNdepar-AltN"/>
        <w:tabs>
          <w:tab w:val="clear" w:pos="1166"/>
          <w:tab w:val="num" w:pos="1152"/>
        </w:tabs>
        <w:rPr>
          <w:rFonts w:cs="Times New Roman"/>
          <w:i/>
          <w:lang w:val="fr-CA"/>
        </w:rPr>
      </w:pPr>
      <w:r w:rsidRPr="003E073E">
        <w:rPr>
          <w:rFonts w:cs="Times New Roman"/>
          <w:lang w:val="fr-CA"/>
        </w:rPr>
        <w:t>L’</w:t>
      </w:r>
      <w:r w:rsidRPr="003E073E">
        <w:rPr>
          <w:rFonts w:cs="Times New Roman"/>
          <w:i/>
          <w:lang w:val="fr-CA"/>
        </w:rPr>
        <w:t>habeas corpus</w:t>
      </w:r>
      <w:r w:rsidRPr="003E073E">
        <w:rPr>
          <w:rFonts w:cs="Times New Roman"/>
          <w:lang w:val="fr-CA"/>
        </w:rPr>
        <w:t xml:space="preserve"> constitue un recours fondamental et historique qui permet à des personnes de solliciter une décision quant à la légalité de leur détention. Une cour supérieure provinciale ne devrait refuser d’exercer sa compétence relative à l’</w:t>
      </w:r>
      <w:r w:rsidRPr="003E073E">
        <w:rPr>
          <w:rFonts w:cs="Times New Roman"/>
          <w:i/>
          <w:lang w:val="fr-CA"/>
        </w:rPr>
        <w:t>habeas corpus</w:t>
      </w:r>
      <w:r w:rsidRPr="003E073E">
        <w:rPr>
          <w:rFonts w:cs="Times New Roman"/>
          <w:lang w:val="fr-CA"/>
        </w:rPr>
        <w:t xml:space="preserve"> que lorsqu’elle est en présence d’un régime complet, exhaustif et spécialisé qui prévoit une procédure d’examen au moins aussi large et aussi avantageuse que celle de l’</w:t>
      </w:r>
      <w:r w:rsidRPr="003E073E">
        <w:rPr>
          <w:rFonts w:cs="Times New Roman"/>
          <w:i/>
          <w:lang w:val="fr-CA"/>
        </w:rPr>
        <w:t>habeas corpus</w:t>
      </w:r>
      <w:r w:rsidRPr="003E073E">
        <w:rPr>
          <w:rFonts w:cs="Times New Roman"/>
          <w:lang w:val="fr-CA"/>
        </w:rPr>
        <w:t>, relativement aux motifs soulevés par le demandeur. L’évolution de notre système juridique se poursuit, mais l’</w:t>
      </w:r>
      <w:r w:rsidRPr="003E073E">
        <w:rPr>
          <w:rFonts w:cs="Times New Roman"/>
          <w:i/>
          <w:lang w:val="fr-CA"/>
        </w:rPr>
        <w:t>habeas corpus</w:t>
      </w:r>
      <w:r w:rsidRPr="003E073E">
        <w:rPr>
          <w:rFonts w:cs="Times New Roman"/>
          <w:lang w:val="fr-CA"/>
        </w:rPr>
        <w:t xml:space="preserve"> « demeure aussi fondamental dans notre conception moderne de la liberté qu’il l’était à l’époque du Roi Jean », et toute exception à sa disponibilité doit être circonscrite avec soin (</w:t>
      </w:r>
      <w:r w:rsidRPr="003E073E">
        <w:rPr>
          <w:rFonts w:cs="Times New Roman"/>
          <w:i/>
          <w:lang w:val="fr-CA"/>
        </w:rPr>
        <w:t>Charkaoui c. Canada (Citoyenneté et Immigration)</w:t>
      </w:r>
      <w:r w:rsidRPr="003E073E">
        <w:rPr>
          <w:rFonts w:cs="Times New Roman"/>
          <w:lang w:val="fr-CA"/>
        </w:rPr>
        <w:t xml:space="preserve">, 2007 CSC 9, [2007] 1 R.C.S. 350, </w:t>
      </w:r>
      <w:r>
        <w:rPr>
          <w:rFonts w:cs="Times New Roman"/>
          <w:lang w:val="fr-CA"/>
        </w:rPr>
        <w:t>par. </w:t>
      </w:r>
      <w:r w:rsidRPr="003E073E">
        <w:rPr>
          <w:rFonts w:cs="Times New Roman"/>
          <w:lang w:val="fr-CA"/>
        </w:rPr>
        <w:t xml:space="preserve">28). Il </w:t>
      </w:r>
      <w:r w:rsidRPr="003E073E">
        <w:rPr>
          <w:rFonts w:cs="Times New Roman"/>
          <w:i/>
          <w:lang w:val="fr-CA"/>
        </w:rPr>
        <w:t>a</w:t>
      </w:r>
      <w:r w:rsidRPr="003E073E">
        <w:rPr>
          <w:rFonts w:cs="Times New Roman"/>
          <w:lang w:val="fr-CA"/>
        </w:rPr>
        <w:t xml:space="preserve"> bel et bien été jugé que le régime de la </w:t>
      </w:r>
      <w:r w:rsidRPr="003E073E">
        <w:rPr>
          <w:rFonts w:cs="Times New Roman"/>
          <w:i/>
          <w:lang w:val="fr-CA"/>
        </w:rPr>
        <w:t>LIPR</w:t>
      </w:r>
      <w:r w:rsidRPr="003E073E">
        <w:rPr>
          <w:rFonts w:cs="Times New Roman"/>
          <w:lang w:val="fr-CA"/>
        </w:rPr>
        <w:t xml:space="preserve"> était complet, exhaustif et spécialisé pour les questions d’immigration de manière générale, mais il ne peut répondre à la remise en cause formulée par M. Chhina d’une façon aussi vaste et avantageuse que l’</w:t>
      </w:r>
      <w:r w:rsidRPr="003E073E">
        <w:rPr>
          <w:rFonts w:cs="Times New Roman"/>
          <w:i/>
          <w:lang w:val="fr-CA"/>
        </w:rPr>
        <w:t>habeas corpus</w:t>
      </w:r>
      <w:r w:rsidRPr="003E073E">
        <w:rPr>
          <w:rFonts w:cs="Times New Roman"/>
          <w:lang w:val="fr-CA"/>
        </w:rPr>
        <w:t xml:space="preserve">. La Cour </w:t>
      </w:r>
      <w:r>
        <w:rPr>
          <w:rFonts w:cs="Times New Roman"/>
          <w:lang w:val="fr-CA"/>
        </w:rPr>
        <w:t xml:space="preserve">du Banc de la Reine </w:t>
      </w:r>
      <w:r w:rsidRPr="003E073E">
        <w:rPr>
          <w:rFonts w:cs="Times New Roman"/>
          <w:lang w:val="fr-CA"/>
        </w:rPr>
        <w:t>de l’Alberta a donc commis une erreur en refusant d’entendre sa demande d’</w:t>
      </w:r>
      <w:r w:rsidRPr="003E073E">
        <w:rPr>
          <w:rFonts w:cs="Times New Roman"/>
          <w:i/>
          <w:lang w:val="fr-CA"/>
        </w:rPr>
        <w:t>habeas corpus</w:t>
      </w:r>
      <w:r w:rsidRPr="003E073E">
        <w:rPr>
          <w:rFonts w:cs="Times New Roman"/>
          <w:lang w:val="fr-CA"/>
        </w:rPr>
        <w:t>. Pour ces motifs, je suis d’avis d’accueillir la requête en en production de nouveaux éléments de preuve et de rejeter le pourvoi avec les dépens adjugés conformément à l’entente convenue par les parties.</w:t>
      </w:r>
    </w:p>
    <w:p w:rsidR="00B233C0" w:rsidRPr="00D248DB" w:rsidRDefault="00B233C0" w:rsidP="00B233C0">
      <w:pPr>
        <w:pStyle w:val="JudgeJuge"/>
        <w:spacing w:before="480"/>
        <w:rPr>
          <w:smallCaps w:val="0"/>
          <w:lang w:val="fr-CA"/>
        </w:rPr>
      </w:pPr>
      <w:r w:rsidRPr="00BD3AAF">
        <w:rPr>
          <w:lang w:val="fr-CA"/>
        </w:rPr>
        <w:tab/>
      </w:r>
      <w:r w:rsidR="00D248DB" w:rsidRPr="00D248DB">
        <w:rPr>
          <w:smallCaps w:val="0"/>
          <w:lang w:val="fr-CA"/>
        </w:rPr>
        <w:t>Version française des motifs rendus par</w:t>
      </w:r>
    </w:p>
    <w:p w:rsidR="00B233C0" w:rsidRPr="00BD3AAF" w:rsidRDefault="00D248DB" w:rsidP="00B233C0">
      <w:pPr>
        <w:pStyle w:val="ParaNoNdepar-AltN"/>
        <w:tabs>
          <w:tab w:val="clear" w:pos="1166"/>
          <w:tab w:val="num" w:pos="1152"/>
        </w:tabs>
        <w:rPr>
          <w:rFonts w:cs="Times New Roman"/>
          <w:lang w:val="fr-CA"/>
        </w:rPr>
      </w:pPr>
      <w:r w:rsidRPr="00D248DB">
        <w:rPr>
          <w:smallCaps/>
          <w:lang w:val="fr-CA"/>
        </w:rPr>
        <w:t>La juge Abella</w:t>
      </w:r>
      <w:r w:rsidRPr="00BD3AAF">
        <w:rPr>
          <w:lang w:val="fr-CA"/>
        </w:rPr>
        <w:t xml:space="preserve"> </w:t>
      </w:r>
      <w:r>
        <w:rPr>
          <w:lang w:val="fr-CA"/>
        </w:rPr>
        <w:t xml:space="preserve">(dissidente) </w:t>
      </w:r>
      <w:r w:rsidRPr="00BD3AAF">
        <w:rPr>
          <w:lang w:val="fr-CA"/>
        </w:rPr>
        <w:t xml:space="preserve">— </w:t>
      </w:r>
      <w:r w:rsidR="00B233C0" w:rsidRPr="00BD3AAF">
        <w:rPr>
          <w:rFonts w:cs="Times New Roman"/>
          <w:lang w:val="fr-CA"/>
        </w:rPr>
        <w:t>Je conviens avec la majorité que la légalité de toute privation de liberté devrait faire l</w:t>
      </w:r>
      <w:r w:rsidR="00B233C0">
        <w:rPr>
          <w:rFonts w:cs="Times New Roman"/>
          <w:lang w:val="fr-CA"/>
        </w:rPr>
        <w:t>’</w:t>
      </w:r>
      <w:r w:rsidR="00B233C0" w:rsidRPr="00BD3AAF">
        <w:rPr>
          <w:rFonts w:cs="Times New Roman"/>
          <w:lang w:val="fr-CA"/>
        </w:rPr>
        <w:t>objet d</w:t>
      </w:r>
      <w:r w:rsidR="00B233C0">
        <w:rPr>
          <w:rFonts w:cs="Times New Roman"/>
          <w:lang w:val="fr-CA"/>
        </w:rPr>
        <w:t>’</w:t>
      </w:r>
      <w:r w:rsidR="00B233C0" w:rsidRPr="00BD3AAF">
        <w:rPr>
          <w:rFonts w:cs="Times New Roman"/>
          <w:lang w:val="fr-CA"/>
        </w:rPr>
        <w:t>un examen ferme et rigoureux. C</w:t>
      </w:r>
      <w:r w:rsidR="00B233C0">
        <w:rPr>
          <w:rFonts w:cs="Times New Roman"/>
          <w:lang w:val="fr-CA"/>
        </w:rPr>
        <w:t>’</w:t>
      </w:r>
      <w:r w:rsidR="00B233C0" w:rsidRPr="00BD3AAF">
        <w:rPr>
          <w:rFonts w:cs="Times New Roman"/>
          <w:lang w:val="fr-CA"/>
        </w:rPr>
        <w:t xml:space="preserve">est pourquoi, à mon avis, la </w:t>
      </w:r>
      <w:r w:rsidR="00B233C0" w:rsidRPr="00BD3AAF">
        <w:rPr>
          <w:rFonts w:cs="Times New Roman"/>
          <w:i/>
          <w:lang w:val="fr-CA"/>
        </w:rPr>
        <w:t>Loi sur l</w:t>
      </w:r>
      <w:r w:rsidR="00B233C0">
        <w:rPr>
          <w:rFonts w:cs="Times New Roman"/>
          <w:i/>
          <w:lang w:val="fr-CA"/>
        </w:rPr>
        <w:t>’</w:t>
      </w:r>
      <w:r w:rsidR="00B233C0" w:rsidRPr="00BD3AAF">
        <w:rPr>
          <w:rFonts w:cs="Times New Roman"/>
          <w:i/>
          <w:lang w:val="fr-CA"/>
        </w:rPr>
        <w:t>immigration et la protection des réfugiés</w:t>
      </w:r>
      <w:r w:rsidR="00B233C0" w:rsidRPr="00BD3AAF">
        <w:rPr>
          <w:rFonts w:cs="Times New Roman"/>
          <w:lang w:val="fr-CA"/>
        </w:rPr>
        <w:t>, L.C. 2001, c. 27 (</w:t>
      </w:r>
      <w:r w:rsidR="00B233C0" w:rsidRPr="00BD3AAF">
        <w:rPr>
          <w:rFonts w:cs="Times New Roman"/>
          <w:i/>
          <w:lang w:val="fr-CA"/>
        </w:rPr>
        <w:t>LIPR</w:t>
      </w:r>
      <w:r w:rsidR="00B233C0" w:rsidRPr="00BD3AAF">
        <w:rPr>
          <w:rFonts w:cs="Times New Roman"/>
          <w:lang w:val="fr-CA"/>
        </w:rPr>
        <w:t>), doit être interprétée de telle sorte qu</w:t>
      </w:r>
      <w:r w:rsidR="00B233C0">
        <w:rPr>
          <w:rFonts w:cs="Times New Roman"/>
          <w:lang w:val="fr-CA"/>
        </w:rPr>
        <w:t>’</w:t>
      </w:r>
      <w:r w:rsidR="00B233C0" w:rsidRPr="00BD3AAF">
        <w:rPr>
          <w:rFonts w:cs="Times New Roman"/>
          <w:lang w:val="fr-CA"/>
        </w:rPr>
        <w:t xml:space="preserve">elle garantit le contrôle le plus exhaustif qui soit des motifs de la détention, notamment des conditions de détention. Je ne vois rien dans la </w:t>
      </w:r>
      <w:r w:rsidR="00B233C0" w:rsidRPr="00BD3AAF">
        <w:rPr>
          <w:rFonts w:cs="Times New Roman"/>
          <w:i/>
          <w:lang w:val="fr-CA"/>
        </w:rPr>
        <w:t>Loi</w:t>
      </w:r>
      <w:r w:rsidR="00B233C0" w:rsidRPr="00BD3AAF">
        <w:rPr>
          <w:rFonts w:cs="Times New Roman"/>
          <w:lang w:val="fr-CA"/>
        </w:rPr>
        <w:t xml:space="preserve"> qui empêche un contrôle aussi exhaustif. En fait, j</w:t>
      </w:r>
      <w:r w:rsidR="00B233C0">
        <w:rPr>
          <w:rFonts w:cs="Times New Roman"/>
          <w:lang w:val="fr-CA"/>
        </w:rPr>
        <w:t>’</w:t>
      </w:r>
      <w:r w:rsidR="00B233C0" w:rsidRPr="00BD3AAF">
        <w:rPr>
          <w:rFonts w:cs="Times New Roman"/>
          <w:lang w:val="fr-CA"/>
        </w:rPr>
        <w:t xml:space="preserve">estime que toute son économie </w:t>
      </w:r>
      <w:r w:rsidR="00B233C0" w:rsidRPr="00D248DB">
        <w:rPr>
          <w:rFonts w:cs="Times New Roman"/>
          <w:lang w:val="fr-CA"/>
        </w:rPr>
        <w:t>l’</w:t>
      </w:r>
      <w:r w:rsidR="00B233C0" w:rsidRPr="00BD3AAF">
        <w:rPr>
          <w:rFonts w:cs="Times New Roman"/>
          <w:i/>
          <w:lang w:val="fr-CA"/>
        </w:rPr>
        <w:t>exige</w:t>
      </w:r>
      <w:r w:rsidR="00B233C0" w:rsidRPr="00BD3AAF">
        <w:rPr>
          <w:rFonts w:cs="Times New Roman"/>
          <w:lang w:val="fr-CA"/>
        </w:rPr>
        <w:t>. Par ailleurs, une interprétation qui restreint la portée du contrôle porte indûment atteinte aux droits du détenu et ne respecte pas l</w:t>
      </w:r>
      <w:r w:rsidR="00B233C0">
        <w:rPr>
          <w:rFonts w:cs="Times New Roman"/>
          <w:lang w:val="fr-CA"/>
        </w:rPr>
        <w:t>’</w:t>
      </w:r>
      <w:r w:rsidR="00B233C0" w:rsidRPr="00BD3AAF">
        <w:rPr>
          <w:rFonts w:cs="Times New Roman"/>
          <w:lang w:val="fr-CA"/>
        </w:rPr>
        <w:t>intention du législateur qui souhaitait une intégration complète et généreuse de ces droits avec l</w:t>
      </w:r>
      <w:r w:rsidR="00B233C0">
        <w:rPr>
          <w:rFonts w:cs="Times New Roman"/>
          <w:lang w:val="fr-CA"/>
        </w:rPr>
        <w:t>’</w:t>
      </w:r>
      <w:r w:rsidR="00B233C0" w:rsidRPr="00BD3AAF">
        <w:rPr>
          <w:rFonts w:cs="Times New Roman"/>
          <w:lang w:val="fr-CA"/>
        </w:rPr>
        <w:t>objet de l</w:t>
      </w:r>
      <w:r w:rsidR="00B233C0">
        <w:rPr>
          <w:rFonts w:cs="Times New Roman"/>
          <w:lang w:val="fr-CA"/>
        </w:rPr>
        <w:t>’</w:t>
      </w:r>
      <w:r w:rsidR="00B233C0" w:rsidRPr="00BD3AAF">
        <w:rPr>
          <w:rFonts w:cs="Times New Roman"/>
          <w:lang w:val="fr-CA"/>
        </w:rPr>
        <w:t xml:space="preserve">ensemble du régime.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Qui plus est, une interprétation de la </w:t>
      </w:r>
      <w:r w:rsidRPr="00BD3AAF">
        <w:rPr>
          <w:rFonts w:cs="Times New Roman"/>
          <w:i/>
          <w:lang w:val="fr-CA"/>
        </w:rPr>
        <w:t>Loi</w:t>
      </w:r>
      <w:r w:rsidRPr="00BD3AAF">
        <w:rPr>
          <w:rFonts w:cs="Times New Roman"/>
          <w:lang w:val="fr-CA"/>
        </w:rPr>
        <w:t xml:space="preserve"> qui écarte la possibilité d</w:t>
      </w:r>
      <w:r>
        <w:rPr>
          <w:rFonts w:cs="Times New Roman"/>
          <w:lang w:val="fr-CA"/>
        </w:rPr>
        <w:t>’</w:t>
      </w:r>
      <w:r w:rsidRPr="00BD3AAF">
        <w:rPr>
          <w:rFonts w:cs="Times New Roman"/>
          <w:lang w:val="fr-CA"/>
        </w:rPr>
        <w:t xml:space="preserve">examiner </w:t>
      </w:r>
      <w:r w:rsidRPr="00BD3AAF">
        <w:rPr>
          <w:rFonts w:cs="Times New Roman"/>
          <w:i/>
          <w:lang w:val="fr-CA"/>
        </w:rPr>
        <w:t>tous</w:t>
      </w:r>
      <w:r w:rsidRPr="00BD3AAF">
        <w:rPr>
          <w:rFonts w:cs="Times New Roman"/>
          <w:lang w:val="fr-CA"/>
        </w:rPr>
        <w:t xml:space="preserve"> les aspects de la détention aux fins de l</w:t>
      </w:r>
      <w:r>
        <w:rPr>
          <w:rFonts w:cs="Times New Roman"/>
          <w:lang w:val="fr-CA"/>
        </w:rPr>
        <w:t>’</w:t>
      </w:r>
      <w:r w:rsidRPr="00BD3AAF">
        <w:rPr>
          <w:rFonts w:cs="Times New Roman"/>
          <w:lang w:val="fr-CA"/>
        </w:rPr>
        <w:t xml:space="preserve">immigration, y compris ses conditions et sa légalité, exclut à toutes fins utiles et de manière inappropriée le processus de contrôle des motifs de la détention établi par la </w:t>
      </w:r>
      <w:r w:rsidRPr="00BD3AAF">
        <w:rPr>
          <w:rFonts w:cs="Times New Roman"/>
          <w:i/>
          <w:lang w:val="fr-CA"/>
        </w:rPr>
        <w:t>LIPR</w:t>
      </w:r>
      <w:r w:rsidRPr="00BD3AAF">
        <w:rPr>
          <w:rFonts w:cs="Times New Roman"/>
          <w:lang w:val="fr-CA"/>
        </w:rPr>
        <w:t>. Pourquoi un détenu se contenterait</w:t>
      </w:r>
      <w:r>
        <w:rPr>
          <w:rFonts w:cs="Times New Roman"/>
          <w:lang w:val="fr-CA"/>
        </w:rPr>
        <w:noBreakHyphen/>
      </w:r>
      <w:r w:rsidRPr="00BD3AAF">
        <w:rPr>
          <w:rFonts w:cs="Times New Roman"/>
          <w:lang w:val="fr-CA"/>
        </w:rPr>
        <w:t>il d</w:t>
      </w:r>
      <w:r>
        <w:rPr>
          <w:rFonts w:cs="Times New Roman"/>
          <w:lang w:val="fr-CA"/>
        </w:rPr>
        <w:t>’</w:t>
      </w:r>
      <w:r w:rsidRPr="00BD3AAF">
        <w:rPr>
          <w:rFonts w:cs="Times New Roman"/>
          <w:lang w:val="fr-CA"/>
        </w:rPr>
        <w:t xml:space="preserve">un contrôle partiel de sa détention en application de la </w:t>
      </w:r>
      <w:r w:rsidRPr="00BD3AAF">
        <w:rPr>
          <w:rFonts w:cs="Times New Roman"/>
          <w:i/>
          <w:lang w:val="fr-CA"/>
        </w:rPr>
        <w:t>LIPR</w:t>
      </w:r>
      <w:r w:rsidRPr="00BD3AAF">
        <w:rPr>
          <w:rFonts w:cs="Times New Roman"/>
          <w:lang w:val="fr-CA"/>
        </w:rPr>
        <w:t xml:space="preserve"> s</w:t>
      </w:r>
      <w:r>
        <w:rPr>
          <w:rFonts w:cs="Times New Roman"/>
          <w:lang w:val="fr-CA"/>
        </w:rPr>
        <w:t>’</w:t>
      </w:r>
      <w:r w:rsidRPr="00BD3AAF">
        <w:rPr>
          <w:rFonts w:cs="Times New Roman"/>
          <w:lang w:val="fr-CA"/>
        </w:rPr>
        <w:t>il peut bénéficier d</w:t>
      </w:r>
      <w:r>
        <w:rPr>
          <w:rFonts w:cs="Times New Roman"/>
          <w:lang w:val="fr-CA"/>
        </w:rPr>
        <w:t>’</w:t>
      </w:r>
      <w:r w:rsidRPr="00BD3AAF">
        <w:rPr>
          <w:rFonts w:cs="Times New Roman"/>
          <w:lang w:val="fr-CA"/>
        </w:rPr>
        <w:t>un examen plus large en recourant à l</w:t>
      </w:r>
      <w:r>
        <w:rPr>
          <w:rFonts w:cs="Times New Roman"/>
          <w:lang w:val="fr-CA"/>
        </w:rPr>
        <w:t>’</w:t>
      </w:r>
      <w:r w:rsidRPr="00BD3AAF">
        <w:rPr>
          <w:rFonts w:cs="Times New Roman"/>
          <w:i/>
          <w:lang w:val="fr-CA"/>
        </w:rPr>
        <w:t>habeas</w:t>
      </w:r>
      <w:r>
        <w:rPr>
          <w:rFonts w:cs="Times New Roman"/>
          <w:i/>
          <w:lang w:val="fr-CA"/>
        </w:rPr>
        <w:t xml:space="preserve"> </w:t>
      </w:r>
      <w:r w:rsidRPr="00BD3AAF">
        <w:rPr>
          <w:rFonts w:cs="Times New Roman"/>
          <w:i/>
          <w:lang w:val="fr-CA"/>
        </w:rPr>
        <w:t>corpus</w:t>
      </w:r>
      <w:r w:rsidRPr="00BD3AAF">
        <w:rPr>
          <w:rFonts w:cs="Times New Roman"/>
          <w:lang w:val="fr-CA"/>
        </w:rPr>
        <w:t xml:space="preserve">? En restreignant la portée du contrôle des motifs de la détention que prévoit la </w:t>
      </w:r>
      <w:r w:rsidRPr="00BD3AAF">
        <w:rPr>
          <w:rFonts w:cs="Times New Roman"/>
          <w:i/>
          <w:lang w:val="fr-CA"/>
        </w:rPr>
        <w:t>LIPR</w:t>
      </w:r>
      <w:r w:rsidRPr="00BD3AAF">
        <w:rPr>
          <w:rFonts w:cs="Times New Roman"/>
          <w:lang w:val="fr-CA"/>
        </w:rPr>
        <w:t>, l</w:t>
      </w:r>
      <w:r>
        <w:rPr>
          <w:rFonts w:cs="Times New Roman"/>
          <w:lang w:val="fr-CA"/>
        </w:rPr>
        <w:t>’</w:t>
      </w:r>
      <w:r w:rsidRPr="00BD3AAF">
        <w:rPr>
          <w:rFonts w:cs="Times New Roman"/>
          <w:lang w:val="fr-CA"/>
        </w:rPr>
        <w:t>interprétation préconisée par les juges majoritaires fait en sorte que l</w:t>
      </w:r>
      <w:r>
        <w:rPr>
          <w:rFonts w:cs="Times New Roman"/>
          <w:lang w:val="fr-CA"/>
        </w:rPr>
        <w:t>’</w:t>
      </w:r>
      <w:r w:rsidRPr="00BD3AAF">
        <w:rPr>
          <w:rFonts w:cs="Times New Roman"/>
          <w:i/>
          <w:lang w:val="fr-CA"/>
        </w:rPr>
        <w:t>habeas corpus</w:t>
      </w:r>
      <w:r w:rsidRPr="00BD3AAF">
        <w:rPr>
          <w:rFonts w:cs="Times New Roman"/>
          <w:lang w:val="fr-CA"/>
        </w:rPr>
        <w:t xml:space="preserve"> devient le seul recours utile dont disposent les détenus qui souhaitent obtenir un contrôle complet de leur détention. En plus de reléguer le rôle de la </w:t>
      </w:r>
      <w:r w:rsidRPr="00BD3AAF">
        <w:rPr>
          <w:rFonts w:cs="Times New Roman"/>
          <w:i/>
          <w:lang w:val="fr-CA"/>
        </w:rPr>
        <w:t>Loi</w:t>
      </w:r>
      <w:r w:rsidRPr="00BD3AAF">
        <w:rPr>
          <w:rFonts w:cs="Times New Roman"/>
          <w:lang w:val="fr-CA"/>
        </w:rPr>
        <w:t xml:space="preserve"> au second plan, cette interprétation crée un processus de contrôle de la détention à deux niveaux dans le cadre duquel ceux qui choisissent le menu prévu par la </w:t>
      </w:r>
      <w:r w:rsidRPr="00BD3AAF">
        <w:rPr>
          <w:rFonts w:cs="Times New Roman"/>
          <w:i/>
          <w:lang w:val="fr-CA"/>
        </w:rPr>
        <w:t>Loi</w:t>
      </w:r>
      <w:r w:rsidRPr="00BD3AAF">
        <w:rPr>
          <w:rFonts w:cs="Times New Roman"/>
          <w:lang w:val="fr-CA"/>
        </w:rPr>
        <w:t xml:space="preserve"> disposent d</w:t>
      </w:r>
      <w:r>
        <w:rPr>
          <w:rFonts w:cs="Times New Roman"/>
          <w:lang w:val="fr-CA"/>
        </w:rPr>
        <w:t>’</w:t>
      </w:r>
      <w:r w:rsidRPr="00BD3AAF">
        <w:rPr>
          <w:rFonts w:cs="Times New Roman"/>
          <w:lang w:val="fr-CA"/>
        </w:rPr>
        <w:t>un buffet de mesures de réparation plus restreint.</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Il est préférable de continuer à interpréter les dispositions de la </w:t>
      </w:r>
      <w:r w:rsidRPr="00BD3AAF">
        <w:rPr>
          <w:rFonts w:cs="Times New Roman"/>
          <w:i/>
          <w:lang w:val="fr-CA"/>
        </w:rPr>
        <w:t>LIPR</w:t>
      </w:r>
      <w:r w:rsidRPr="00BD3AAF">
        <w:rPr>
          <w:rFonts w:cs="Times New Roman"/>
          <w:lang w:val="fr-CA"/>
        </w:rPr>
        <w:t xml:space="preserve"> d</w:t>
      </w:r>
      <w:r>
        <w:rPr>
          <w:rFonts w:cs="Times New Roman"/>
          <w:lang w:val="fr-CA"/>
        </w:rPr>
        <w:t>’</w:t>
      </w:r>
      <w:r w:rsidRPr="00BD3AAF">
        <w:rPr>
          <w:rFonts w:cs="Times New Roman"/>
          <w:lang w:val="fr-CA"/>
        </w:rPr>
        <w:t>une manière qui soit aussi large et avantageuse que l</w:t>
      </w:r>
      <w:r>
        <w:rPr>
          <w:rFonts w:cs="Times New Roman"/>
          <w:lang w:val="fr-CA"/>
        </w:rPr>
        <w:t>’</w:t>
      </w:r>
      <w:r w:rsidRPr="00BD3AAF">
        <w:rPr>
          <w:rFonts w:cs="Times New Roman"/>
          <w:i/>
          <w:lang w:val="fr-CA"/>
        </w:rPr>
        <w:t xml:space="preserve">habeas corpus </w:t>
      </w:r>
      <w:r w:rsidRPr="00BD3AAF">
        <w:rPr>
          <w:rFonts w:cs="Times New Roman"/>
          <w:lang w:val="fr-CA"/>
        </w:rPr>
        <w:t>et qui assure l</w:t>
      </w:r>
      <w:r>
        <w:rPr>
          <w:rFonts w:cs="Times New Roman"/>
          <w:lang w:val="fr-CA"/>
        </w:rPr>
        <w:t>’</w:t>
      </w:r>
      <w:r w:rsidRPr="00BD3AAF">
        <w:rPr>
          <w:rFonts w:cs="Times New Roman"/>
          <w:lang w:val="fr-CA"/>
        </w:rPr>
        <w:t>examen complet, exhaustif et spécialisé de la détention aux fins de l</w:t>
      </w:r>
      <w:r>
        <w:rPr>
          <w:rFonts w:cs="Times New Roman"/>
          <w:lang w:val="fr-CA"/>
        </w:rPr>
        <w:t>’</w:t>
      </w:r>
      <w:r w:rsidRPr="00BD3AAF">
        <w:rPr>
          <w:rFonts w:cs="Times New Roman"/>
          <w:lang w:val="fr-CA"/>
        </w:rPr>
        <w:t>immigration qu</w:t>
      </w:r>
      <w:r>
        <w:rPr>
          <w:rFonts w:cs="Times New Roman"/>
          <w:lang w:val="fr-CA"/>
        </w:rPr>
        <w:t>’</w:t>
      </w:r>
      <w:r w:rsidRPr="00BD3AAF">
        <w:rPr>
          <w:rFonts w:cs="Times New Roman"/>
          <w:lang w:val="fr-CA"/>
        </w:rPr>
        <w:t>elle était censée offrir, comme l</w:t>
      </w:r>
      <w:r>
        <w:rPr>
          <w:rFonts w:cs="Times New Roman"/>
          <w:lang w:val="fr-CA"/>
        </w:rPr>
        <w:t>’</w:t>
      </w:r>
      <w:r w:rsidRPr="00BD3AAF">
        <w:rPr>
          <w:rFonts w:cs="Times New Roman"/>
          <w:lang w:val="fr-CA"/>
        </w:rPr>
        <w:t>a fait toute la jurisprudence antérieure de la Cour. Une interprétation qui insuffle le plus d</w:t>
      </w:r>
      <w:r>
        <w:rPr>
          <w:rFonts w:cs="Times New Roman"/>
          <w:lang w:val="fr-CA"/>
        </w:rPr>
        <w:t>’</w:t>
      </w:r>
      <w:r w:rsidRPr="00BD3AAF">
        <w:rPr>
          <w:rFonts w:cs="Times New Roman"/>
          <w:lang w:val="fr-CA"/>
        </w:rPr>
        <w:t xml:space="preserve">éléments réparateurs possible dans la </w:t>
      </w:r>
      <w:r w:rsidRPr="00BD3AAF">
        <w:rPr>
          <w:rFonts w:cs="Times New Roman"/>
          <w:i/>
          <w:lang w:val="fr-CA"/>
        </w:rPr>
        <w:t xml:space="preserve">Loi </w:t>
      </w:r>
      <w:r w:rsidRPr="00BD3AAF">
        <w:rPr>
          <w:rFonts w:cs="Times New Roman"/>
          <w:lang w:val="fr-CA"/>
        </w:rPr>
        <w:t>s</w:t>
      </w:r>
      <w:r>
        <w:rPr>
          <w:rFonts w:cs="Times New Roman"/>
          <w:lang w:val="fr-CA"/>
        </w:rPr>
        <w:t>’</w:t>
      </w:r>
      <w:r w:rsidRPr="00BD3AAF">
        <w:rPr>
          <w:rFonts w:cs="Times New Roman"/>
          <w:lang w:val="fr-CA"/>
        </w:rPr>
        <w:t>harmonise bien davantage avec l</w:t>
      </w:r>
      <w:r>
        <w:rPr>
          <w:rFonts w:cs="Times New Roman"/>
          <w:lang w:val="fr-CA"/>
        </w:rPr>
        <w:t>’</w:t>
      </w:r>
      <w:r w:rsidRPr="00BD3AAF">
        <w:rPr>
          <w:rFonts w:cs="Times New Roman"/>
          <w:lang w:val="fr-CA"/>
        </w:rPr>
        <w:t>économie de celle</w:t>
      </w:r>
      <w:r>
        <w:rPr>
          <w:rFonts w:cs="Times New Roman"/>
          <w:lang w:val="fr-CA"/>
        </w:rPr>
        <w:noBreakHyphen/>
      </w:r>
      <w:r w:rsidRPr="00BD3AAF">
        <w:rPr>
          <w:rFonts w:cs="Times New Roman"/>
          <w:lang w:val="fr-CA"/>
        </w:rPr>
        <w:t>ci qu</w:t>
      </w:r>
      <w:r>
        <w:rPr>
          <w:rFonts w:cs="Times New Roman"/>
          <w:lang w:val="fr-CA"/>
        </w:rPr>
        <w:t>’</w:t>
      </w:r>
      <w:r w:rsidRPr="00BD3AAF">
        <w:rPr>
          <w:rFonts w:cs="Times New Roman"/>
          <w:lang w:val="fr-CA"/>
        </w:rPr>
        <w:t>une interprétation qui incite à toutes fins utiles les détenus à éviter le régime exclusif et à exercer leurs recours analogues ailleurs.</w:t>
      </w:r>
    </w:p>
    <w:p w:rsidR="00B233C0" w:rsidRPr="00A81C6C" w:rsidRDefault="00B233C0" w:rsidP="00B233C0">
      <w:pPr>
        <w:pStyle w:val="Title1LevelTitre1Niveau-AltL"/>
        <w:numPr>
          <w:ilvl w:val="0"/>
          <w:numId w:val="41"/>
        </w:numPr>
        <w:rPr>
          <w:rFonts w:cs="Times New Roman"/>
          <w:lang w:val="fr-CA"/>
        </w:rPr>
      </w:pPr>
      <w:r w:rsidRPr="00A81C6C">
        <w:rPr>
          <w:rFonts w:cs="Times New Roman"/>
          <w:lang w:val="fr-CA"/>
        </w:rPr>
        <w:t xml:space="preserve">Faits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Tusif Ur Rehman Chhina est né au Pakistan. Il est entré au Canada en décembre 2006 et a obtenu le statut de réfugié sous un faux nom. Lorsque le ministre de la Citoyenneté et de l</w:t>
      </w:r>
      <w:r>
        <w:rPr>
          <w:rFonts w:cs="Times New Roman"/>
          <w:lang w:val="fr-CA"/>
        </w:rPr>
        <w:t>’</w:t>
      </w:r>
      <w:r w:rsidRPr="00BD3AAF">
        <w:rPr>
          <w:rFonts w:cs="Times New Roman"/>
          <w:lang w:val="fr-CA"/>
        </w:rPr>
        <w:t>Immigration a été mis au courant de la fausse déclaration de M. Chhina, il a demandé à la Section de la protection des réfugiés de la Commission de l</w:t>
      </w:r>
      <w:r>
        <w:rPr>
          <w:rFonts w:cs="Times New Roman"/>
          <w:lang w:val="fr-CA"/>
        </w:rPr>
        <w:t>’</w:t>
      </w:r>
      <w:r w:rsidRPr="00BD3AAF">
        <w:rPr>
          <w:rFonts w:cs="Times New Roman"/>
          <w:lang w:val="fr-CA"/>
        </w:rPr>
        <w:t>immigration et du statut de réfugié de retirer à M. Chhina son statut de réfugié.</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La Section de la protection des réfugiés a fait droit à la demande du ministre en février 2012. Elle a conclu que M. Chhina était interdit de territoire au Canada pour grande criminalité et a pris une mesure d</w:t>
      </w:r>
      <w:r>
        <w:rPr>
          <w:rFonts w:cs="Times New Roman"/>
          <w:lang w:val="fr-CA"/>
        </w:rPr>
        <w:t>’</w:t>
      </w:r>
      <w:r w:rsidRPr="00BD3AAF">
        <w:rPr>
          <w:rFonts w:cs="Times New Roman"/>
          <w:lang w:val="fr-CA"/>
        </w:rPr>
        <w:t>expulsion contre lui. Par suite de cette mesure, l</w:t>
      </w:r>
      <w:r>
        <w:rPr>
          <w:rFonts w:cs="Times New Roman"/>
          <w:lang w:val="fr-CA"/>
        </w:rPr>
        <w:t>’</w:t>
      </w:r>
      <w:r w:rsidRPr="00BD3AAF">
        <w:rPr>
          <w:rFonts w:cs="Times New Roman"/>
          <w:lang w:val="fr-CA"/>
        </w:rPr>
        <w:t xml:space="preserve">Agence des services frontaliers du Canada a entrepris des démarches pour obtenir les titres de voyage nécessaires au retour de M. Chhina au Pakistan.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Avant même que la mesure d</w:t>
      </w:r>
      <w:r>
        <w:rPr>
          <w:rFonts w:cs="Times New Roman"/>
          <w:lang w:val="fr-CA"/>
        </w:rPr>
        <w:t>’</w:t>
      </w:r>
      <w:r w:rsidRPr="00BD3AAF">
        <w:rPr>
          <w:rFonts w:cs="Times New Roman"/>
          <w:lang w:val="fr-CA"/>
        </w:rPr>
        <w:t>expulsion puisse être exécutée, M. Chhina a été déclaré coupable de diverses infractions criminelles et il a été incarcéré pendant trois ans. Lorsqu</w:t>
      </w:r>
      <w:r>
        <w:rPr>
          <w:rFonts w:cs="Times New Roman"/>
          <w:lang w:val="fr-CA"/>
        </w:rPr>
        <w:t>’</w:t>
      </w:r>
      <w:r w:rsidRPr="00BD3AAF">
        <w:rPr>
          <w:rFonts w:cs="Times New Roman"/>
          <w:lang w:val="fr-CA"/>
        </w:rPr>
        <w:t>il a été mis en liberté en avril 2013, M. Chhina a immédiatement été placé dans un centre de détention aux fins de l</w:t>
      </w:r>
      <w:r>
        <w:rPr>
          <w:rFonts w:cs="Times New Roman"/>
          <w:lang w:val="fr-CA"/>
        </w:rPr>
        <w:t>’</w:t>
      </w:r>
      <w:r w:rsidRPr="00BD3AAF">
        <w:rPr>
          <w:rFonts w:cs="Times New Roman"/>
          <w:lang w:val="fr-CA"/>
        </w:rPr>
        <w:t>immigration au motif qu</w:t>
      </w:r>
      <w:r>
        <w:rPr>
          <w:rFonts w:cs="Times New Roman"/>
          <w:lang w:val="fr-CA"/>
        </w:rPr>
        <w:t>’</w:t>
      </w:r>
      <w:r w:rsidRPr="00BD3AAF">
        <w:rPr>
          <w:rFonts w:cs="Times New Roman"/>
          <w:lang w:val="fr-CA"/>
        </w:rPr>
        <w:t>il constituait un danger pour la sécurité publique et qu</w:t>
      </w:r>
      <w:r>
        <w:rPr>
          <w:rFonts w:cs="Times New Roman"/>
          <w:lang w:val="fr-CA"/>
        </w:rPr>
        <w:t>’</w:t>
      </w:r>
      <w:r w:rsidRPr="00BD3AAF">
        <w:rPr>
          <w:rFonts w:cs="Times New Roman"/>
          <w:lang w:val="fr-CA"/>
        </w:rPr>
        <w:t>il se soustrairait vraisemblablement à son renvoi du Canada s</w:t>
      </w:r>
      <w:r>
        <w:rPr>
          <w:rFonts w:cs="Times New Roman"/>
          <w:lang w:val="fr-CA"/>
        </w:rPr>
        <w:t>’</w:t>
      </w:r>
      <w:r w:rsidRPr="00BD3AAF">
        <w:rPr>
          <w:rFonts w:cs="Times New Roman"/>
          <w:lang w:val="fr-CA"/>
        </w:rPr>
        <w:t xml:space="preserve">il était mis en liberté.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Ainsi que l</w:t>
      </w:r>
      <w:r>
        <w:rPr>
          <w:rFonts w:cs="Times New Roman"/>
          <w:lang w:val="fr-CA"/>
        </w:rPr>
        <w:t>’</w:t>
      </w:r>
      <w:r w:rsidRPr="00BD3AAF">
        <w:rPr>
          <w:rFonts w:cs="Times New Roman"/>
          <w:lang w:val="fr-CA"/>
        </w:rPr>
        <w:t xml:space="preserve">exige la </w:t>
      </w:r>
      <w:r w:rsidRPr="00BD3AAF">
        <w:rPr>
          <w:rFonts w:cs="Times New Roman"/>
          <w:i/>
          <w:lang w:val="fr-CA"/>
        </w:rPr>
        <w:t>Loi</w:t>
      </w:r>
      <w:r w:rsidRPr="00BD3AAF">
        <w:rPr>
          <w:rFonts w:cs="Times New Roman"/>
          <w:lang w:val="fr-CA"/>
        </w:rPr>
        <w:t>, un commissaire de la Section de l</w:t>
      </w:r>
      <w:r>
        <w:rPr>
          <w:rFonts w:cs="Times New Roman"/>
          <w:lang w:val="fr-CA"/>
        </w:rPr>
        <w:t>’</w:t>
      </w:r>
      <w:r w:rsidRPr="00BD3AAF">
        <w:rPr>
          <w:rFonts w:cs="Times New Roman"/>
          <w:lang w:val="fr-CA"/>
        </w:rPr>
        <w:t>immigration de la Commission de l</w:t>
      </w:r>
      <w:r>
        <w:rPr>
          <w:rFonts w:cs="Times New Roman"/>
          <w:lang w:val="fr-CA"/>
        </w:rPr>
        <w:t>’</w:t>
      </w:r>
      <w:r w:rsidRPr="00BD3AAF">
        <w:rPr>
          <w:rFonts w:cs="Times New Roman"/>
          <w:lang w:val="fr-CA"/>
        </w:rPr>
        <w:t xml:space="preserve">immigration et du statut de réfugié a procédé au contrôle des motifs de la détention de M. Chhina dans les 48 heures, puis à nouveau </w:t>
      </w:r>
      <w:r w:rsidR="00D248DB">
        <w:rPr>
          <w:rFonts w:cs="Times New Roman"/>
          <w:lang w:val="fr-CA"/>
        </w:rPr>
        <w:t xml:space="preserve">7 </w:t>
      </w:r>
      <w:r w:rsidRPr="00BD3AAF">
        <w:rPr>
          <w:rFonts w:cs="Times New Roman"/>
          <w:lang w:val="fr-CA"/>
        </w:rPr>
        <w:t>jours plus tard. Par la suite, la Section de l</w:t>
      </w:r>
      <w:r>
        <w:rPr>
          <w:rFonts w:cs="Times New Roman"/>
          <w:lang w:val="fr-CA"/>
        </w:rPr>
        <w:t>’</w:t>
      </w:r>
      <w:r w:rsidRPr="00BD3AAF">
        <w:rPr>
          <w:rFonts w:cs="Times New Roman"/>
          <w:lang w:val="fr-CA"/>
        </w:rPr>
        <w:t>immigration a procédé à un nouveau contrôle des motifs de la détention de M. Chhina au moins tous les 30 jours. La commissaire Leeann King a ordonné la mise en liberté sous condition de M. Chhina après un contrôle des motifs de sa détention effectué en novembre 2013. Voici les explications qu</w:t>
      </w:r>
      <w:r>
        <w:rPr>
          <w:rFonts w:cs="Times New Roman"/>
          <w:lang w:val="fr-CA"/>
        </w:rPr>
        <w:t>’</w:t>
      </w:r>
      <w:r w:rsidRPr="00BD3AAF">
        <w:rPr>
          <w:rFonts w:cs="Times New Roman"/>
          <w:lang w:val="fr-CA"/>
        </w:rPr>
        <w:t>elle a alors données</w:t>
      </w:r>
      <w:r>
        <w:rPr>
          <w:rFonts w:cs="Times New Roman"/>
          <w:lang w:val="fr-CA"/>
        </w:rPr>
        <w:t> :</w:t>
      </w:r>
    </w:p>
    <w:p w:rsidR="00B233C0" w:rsidRPr="00BD3AAF" w:rsidRDefault="00B233C0" w:rsidP="00B233C0">
      <w:pPr>
        <w:pStyle w:val="Citation-AltC"/>
        <w:spacing w:after="240"/>
        <w:ind w:left="1168" w:hanging="1168"/>
        <w:contextualSpacing w:val="0"/>
        <w:rPr>
          <w:lang w:val="fr-CA"/>
        </w:rPr>
      </w:pPr>
      <w:r w:rsidRPr="00BD3AAF">
        <w:rPr>
          <w:lang w:val="fr-CA"/>
        </w:rPr>
        <w:tab/>
      </w:r>
      <w:r w:rsidR="00D248DB" w:rsidRPr="00BD3AAF">
        <w:rPr>
          <w:lang w:val="fr-CA"/>
        </w:rPr>
        <w:sym w:font="Symbol" w:char="F05B"/>
      </w:r>
      <w:r w:rsidR="00D248DB" w:rsidRPr="00BD3AAF">
        <w:rPr>
          <w:smallCaps/>
          <w:lang w:val="fr-CA"/>
        </w:rPr>
        <w:t>traduction</w:t>
      </w:r>
      <w:r w:rsidR="00D248DB" w:rsidRPr="00BD3AAF">
        <w:rPr>
          <w:lang w:val="fr-CA"/>
        </w:rPr>
        <w:sym w:font="Symbol" w:char="F05D"/>
      </w:r>
      <w:r w:rsidR="00D248DB" w:rsidRPr="00BD3AAF">
        <w:rPr>
          <w:lang w:val="fr-CA"/>
        </w:rPr>
        <w:t xml:space="preserve"> </w:t>
      </w:r>
      <w:r w:rsidRPr="00BD3AAF">
        <w:rPr>
          <w:lang w:val="fr-CA"/>
        </w:rPr>
        <w:t>[U]ne période indéterminée s</w:t>
      </w:r>
      <w:r>
        <w:rPr>
          <w:lang w:val="fr-CA"/>
        </w:rPr>
        <w:t>’</w:t>
      </w:r>
      <w:r w:rsidRPr="00BD3AAF">
        <w:rPr>
          <w:lang w:val="fr-CA"/>
        </w:rPr>
        <w:t>écoulera avant que les autorités du Pakistan délivrent un titre de voyage, si jamais elles le font, parce qu</w:t>
      </w:r>
      <w:r>
        <w:rPr>
          <w:lang w:val="fr-CA"/>
        </w:rPr>
        <w:t>’</w:t>
      </w:r>
      <w:r w:rsidRPr="00BD3AAF">
        <w:rPr>
          <w:lang w:val="fr-CA"/>
        </w:rPr>
        <w:t>il n</w:t>
      </w:r>
      <w:r>
        <w:rPr>
          <w:lang w:val="fr-CA"/>
        </w:rPr>
        <w:t>’</w:t>
      </w:r>
      <w:r w:rsidRPr="00BD3AAF">
        <w:rPr>
          <w:lang w:val="fr-CA"/>
        </w:rPr>
        <w:t>y a aucun moyen de savoir à ce moment</w:t>
      </w:r>
      <w:r>
        <w:rPr>
          <w:lang w:val="fr-CA"/>
        </w:rPr>
        <w:noBreakHyphen/>
      </w:r>
      <w:r w:rsidRPr="00BD3AAF">
        <w:rPr>
          <w:lang w:val="fr-CA"/>
        </w:rPr>
        <w:t>ci ce qui empêche les choses d</w:t>
      </w:r>
      <w:r>
        <w:rPr>
          <w:lang w:val="fr-CA"/>
        </w:rPr>
        <w:t>’</w:t>
      </w:r>
      <w:r w:rsidRPr="00BD3AAF">
        <w:rPr>
          <w:lang w:val="fr-CA"/>
        </w:rPr>
        <w:t>avancer, malgré l</w:t>
      </w:r>
      <w:r>
        <w:rPr>
          <w:lang w:val="fr-CA"/>
        </w:rPr>
        <w:t>’</w:t>
      </w:r>
      <w:r w:rsidRPr="00BD3AAF">
        <w:rPr>
          <w:lang w:val="fr-CA"/>
        </w:rPr>
        <w:t>entière collaboration de M. Chhina et de sa famille</w:t>
      </w:r>
      <w:r w:rsidR="00D248DB">
        <w:rPr>
          <w:lang w:val="fr-CA"/>
        </w:rPr>
        <w:t xml:space="preserve"> . . .</w:t>
      </w:r>
    </w:p>
    <w:p w:rsidR="00B233C0" w:rsidRPr="00BD3AAF" w:rsidRDefault="00D248DB" w:rsidP="00B233C0">
      <w:pPr>
        <w:pStyle w:val="Citation-AltC"/>
        <w:spacing w:after="240"/>
        <w:ind w:left="1168" w:hanging="1168"/>
        <w:contextualSpacing w:val="0"/>
        <w:rPr>
          <w:lang w:val="fr-CA"/>
        </w:rPr>
      </w:pPr>
      <w:r>
        <w:rPr>
          <w:lang w:val="fr-CA"/>
        </w:rPr>
        <w:tab/>
      </w:r>
      <w:r w:rsidR="00B233C0" w:rsidRPr="00BD3AAF">
        <w:rPr>
          <w:lang w:val="fr-CA"/>
        </w:rPr>
        <w:t>Je dois donc tenir compte des facteurs énumérés à l</w:t>
      </w:r>
      <w:r w:rsidR="00B233C0">
        <w:rPr>
          <w:lang w:val="fr-CA"/>
        </w:rPr>
        <w:t>’art. </w:t>
      </w:r>
      <w:r w:rsidR="00B233C0" w:rsidRPr="00BD3AAF">
        <w:rPr>
          <w:lang w:val="fr-CA"/>
        </w:rPr>
        <w:t xml:space="preserve">248 du Règlement, qui sont tirés textuellement de la décision </w:t>
      </w:r>
      <w:r w:rsidR="00B233C0" w:rsidRPr="00BD3AAF">
        <w:rPr>
          <w:i/>
          <w:lang w:val="fr-CA"/>
        </w:rPr>
        <w:t>Sahin</w:t>
      </w:r>
      <w:r w:rsidR="00B233C0" w:rsidRPr="00BD3AAF">
        <w:rPr>
          <w:lang w:val="fr-CA"/>
        </w:rPr>
        <w:t>. Celle</w:t>
      </w:r>
      <w:r w:rsidR="00B233C0">
        <w:rPr>
          <w:lang w:val="fr-CA"/>
        </w:rPr>
        <w:noBreakHyphen/>
      </w:r>
      <w:r w:rsidR="00B233C0" w:rsidRPr="00BD3AAF">
        <w:rPr>
          <w:lang w:val="fr-CA"/>
        </w:rPr>
        <w:t>ci concerne l</w:t>
      </w:r>
      <w:r w:rsidR="00B233C0">
        <w:rPr>
          <w:lang w:val="fr-CA"/>
        </w:rPr>
        <w:t>’art. </w:t>
      </w:r>
      <w:r w:rsidR="00B233C0" w:rsidRPr="00BD3AAF">
        <w:rPr>
          <w:lang w:val="fr-CA"/>
        </w:rPr>
        <w:t xml:space="preserve">7 de la </w:t>
      </w:r>
      <w:r w:rsidR="00B233C0" w:rsidRPr="00D248DB">
        <w:rPr>
          <w:lang w:val="fr-CA"/>
        </w:rPr>
        <w:t>Charte</w:t>
      </w:r>
      <w:r w:rsidR="00B233C0" w:rsidRPr="00BD3AAF">
        <w:rPr>
          <w:lang w:val="fr-CA"/>
        </w:rPr>
        <w:t xml:space="preserve"> et la détention de personnes pour des périodes longues et indéterminées lorsqu</w:t>
      </w:r>
      <w:r w:rsidR="00B233C0">
        <w:rPr>
          <w:lang w:val="fr-CA"/>
        </w:rPr>
        <w:t>’</w:t>
      </w:r>
      <w:r w:rsidR="00B233C0" w:rsidRPr="00BD3AAF">
        <w:rPr>
          <w:lang w:val="fr-CA"/>
        </w:rPr>
        <w:t xml:space="preserve">existent des solutions de rechange à la détention qui pourraient réduire les risques connexes. </w:t>
      </w:r>
    </w:p>
    <w:p w:rsidR="00B233C0" w:rsidRPr="00BD3AAF" w:rsidRDefault="00B233C0" w:rsidP="00B233C0">
      <w:pPr>
        <w:pStyle w:val="Citation-AltC"/>
        <w:ind w:hanging="1166"/>
        <w:rPr>
          <w:lang w:val="fr-CA"/>
        </w:rPr>
      </w:pPr>
      <w:r w:rsidRPr="00BD3AAF">
        <w:rPr>
          <w:lang w:val="fr-CA"/>
        </w:rPr>
        <w:t xml:space="preserve">(d.a., </w:t>
      </w:r>
      <w:r>
        <w:rPr>
          <w:lang w:val="fr-CA"/>
        </w:rPr>
        <w:t>vol. </w:t>
      </w:r>
      <w:r w:rsidRPr="00BD3AAF">
        <w:rPr>
          <w:lang w:val="fr-CA"/>
        </w:rPr>
        <w:t xml:space="preserve">II, </w:t>
      </w:r>
      <w:r>
        <w:rPr>
          <w:lang w:val="fr-CA"/>
        </w:rPr>
        <w:t>p. </w:t>
      </w:r>
      <w:r w:rsidRPr="00BD3AAF">
        <w:rPr>
          <w:lang w:val="fr-CA"/>
        </w:rPr>
        <w:t>106)</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M. Chhina n</w:t>
      </w:r>
      <w:r>
        <w:rPr>
          <w:rFonts w:cs="Times New Roman"/>
          <w:lang w:val="fr-CA"/>
        </w:rPr>
        <w:t>’</w:t>
      </w:r>
      <w:r w:rsidRPr="00BD3AAF">
        <w:rPr>
          <w:rFonts w:cs="Times New Roman"/>
          <w:lang w:val="fr-CA"/>
        </w:rPr>
        <w:t>a pas respecté les conditions de sa mise en liberté en omettant de se présenter à l</w:t>
      </w:r>
      <w:r>
        <w:rPr>
          <w:rFonts w:cs="Times New Roman"/>
          <w:lang w:val="fr-CA"/>
        </w:rPr>
        <w:t>’</w:t>
      </w:r>
      <w:r w:rsidRPr="00BD3AAF">
        <w:rPr>
          <w:rFonts w:cs="Times New Roman"/>
          <w:lang w:val="fr-CA"/>
        </w:rPr>
        <w:t>Agence des services frontaliers du Canada, comme il devait le faire. L</w:t>
      </w:r>
      <w:r>
        <w:rPr>
          <w:rFonts w:cs="Times New Roman"/>
          <w:lang w:val="fr-CA"/>
        </w:rPr>
        <w:t>’</w:t>
      </w:r>
      <w:r w:rsidRPr="00BD3AAF">
        <w:rPr>
          <w:rFonts w:cs="Times New Roman"/>
          <w:lang w:val="fr-CA"/>
        </w:rPr>
        <w:t>Agence a délivré un mandat d</w:t>
      </w:r>
      <w:r>
        <w:rPr>
          <w:rFonts w:cs="Times New Roman"/>
          <w:lang w:val="fr-CA"/>
        </w:rPr>
        <w:t>’</w:t>
      </w:r>
      <w:r w:rsidRPr="00BD3AAF">
        <w:rPr>
          <w:rFonts w:cs="Times New Roman"/>
          <w:lang w:val="fr-CA"/>
        </w:rPr>
        <w:t>arrestation contre lui en décembre 2013, mais M. Chhina a disparu pendant un an. Il a finalement été arrêté par la police en décembre 2014 pour des crimes commis après sa mise en liberté. Il a été détenu relativement à ces accusations criminelles jusqu</w:t>
      </w:r>
      <w:r>
        <w:rPr>
          <w:rFonts w:cs="Times New Roman"/>
          <w:lang w:val="fr-CA"/>
        </w:rPr>
        <w:t>’</w:t>
      </w:r>
      <w:r w:rsidRPr="00BD3AAF">
        <w:rPr>
          <w:rFonts w:cs="Times New Roman"/>
          <w:lang w:val="fr-CA"/>
        </w:rPr>
        <w:t>en novembre 2015, après quoi il a été de nouveau conduit directement dans un centre de détention aux fins de l</w:t>
      </w:r>
      <w:r>
        <w:rPr>
          <w:rFonts w:cs="Times New Roman"/>
          <w:lang w:val="fr-CA"/>
        </w:rPr>
        <w:t>’</w:t>
      </w:r>
      <w:r w:rsidRPr="00BD3AAF">
        <w:rPr>
          <w:rFonts w:cs="Times New Roman"/>
          <w:lang w:val="fr-CA"/>
        </w:rPr>
        <w:t>immigration.</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La Section de l</w:t>
      </w:r>
      <w:r>
        <w:rPr>
          <w:rFonts w:cs="Times New Roman"/>
          <w:lang w:val="fr-CA"/>
        </w:rPr>
        <w:t>’</w:t>
      </w:r>
      <w:r w:rsidRPr="00BD3AAF">
        <w:rPr>
          <w:rFonts w:cs="Times New Roman"/>
          <w:lang w:val="fr-CA"/>
        </w:rPr>
        <w:t>immigration a procédé au contrôle des motifs de la détention de M. Chhina le lendemain et a ordonné le maintien de celle</w:t>
      </w:r>
      <w:r>
        <w:rPr>
          <w:rFonts w:cs="Times New Roman"/>
          <w:lang w:val="fr-CA"/>
        </w:rPr>
        <w:noBreakHyphen/>
      </w:r>
      <w:r w:rsidRPr="00BD3AAF">
        <w:rPr>
          <w:rFonts w:cs="Times New Roman"/>
          <w:lang w:val="fr-CA"/>
        </w:rPr>
        <w:t>ci au motif qu</w:t>
      </w:r>
      <w:r>
        <w:rPr>
          <w:rFonts w:cs="Times New Roman"/>
          <w:lang w:val="fr-CA"/>
        </w:rPr>
        <w:t>’</w:t>
      </w:r>
      <w:r w:rsidRPr="00BD3AAF">
        <w:rPr>
          <w:rFonts w:cs="Times New Roman"/>
          <w:lang w:val="fr-CA"/>
        </w:rPr>
        <w:t>il se soustrairait vraisemblablement à son renvoi du Canada et qu</w:t>
      </w:r>
      <w:r>
        <w:rPr>
          <w:rFonts w:cs="Times New Roman"/>
          <w:lang w:val="fr-CA"/>
        </w:rPr>
        <w:t>’</w:t>
      </w:r>
      <w:r w:rsidRPr="00BD3AAF">
        <w:rPr>
          <w:rFonts w:cs="Times New Roman"/>
          <w:lang w:val="fr-CA"/>
        </w:rPr>
        <w:t>il constituait un danger pour la sécurité publique. La Section de l</w:t>
      </w:r>
      <w:r>
        <w:rPr>
          <w:rFonts w:cs="Times New Roman"/>
          <w:lang w:val="fr-CA"/>
        </w:rPr>
        <w:t>’</w:t>
      </w:r>
      <w:r w:rsidRPr="00BD3AAF">
        <w:rPr>
          <w:rFonts w:cs="Times New Roman"/>
          <w:lang w:val="fr-CA"/>
        </w:rPr>
        <w:t>immigration a continué à contrôler les motifs de la détention de M. Chhina, ainsi que l</w:t>
      </w:r>
      <w:r>
        <w:rPr>
          <w:rFonts w:cs="Times New Roman"/>
          <w:lang w:val="fr-CA"/>
        </w:rPr>
        <w:t>’</w:t>
      </w:r>
      <w:r w:rsidRPr="00BD3AAF">
        <w:rPr>
          <w:rFonts w:cs="Times New Roman"/>
          <w:lang w:val="fr-CA"/>
        </w:rPr>
        <w:t xml:space="preserve">exigent les </w:t>
      </w:r>
      <w:r>
        <w:rPr>
          <w:rFonts w:cs="Times New Roman"/>
          <w:lang w:val="fr-CA"/>
        </w:rPr>
        <w:t>art. </w:t>
      </w:r>
      <w:r w:rsidRPr="00BD3AAF">
        <w:rPr>
          <w:rFonts w:cs="Times New Roman"/>
          <w:lang w:val="fr-CA"/>
        </w:rPr>
        <w:t xml:space="preserve">57 et 58 de la </w:t>
      </w:r>
      <w:r w:rsidRPr="00BD3AAF">
        <w:rPr>
          <w:rFonts w:cs="Times New Roman"/>
          <w:i/>
          <w:lang w:val="fr-CA"/>
        </w:rPr>
        <w:t>LIPR</w:t>
      </w:r>
      <w:r w:rsidRPr="00BD3AAF">
        <w:rPr>
          <w:rFonts w:cs="Times New Roman"/>
          <w:lang w:val="fr-CA"/>
        </w:rPr>
        <w:t xml:space="preserve"> et l</w:t>
      </w:r>
      <w:r>
        <w:rPr>
          <w:rFonts w:cs="Times New Roman"/>
          <w:lang w:val="fr-CA"/>
        </w:rPr>
        <w:t>’art. </w:t>
      </w:r>
      <w:r w:rsidRPr="00BD3AAF">
        <w:rPr>
          <w:rFonts w:cs="Times New Roman"/>
          <w:lang w:val="fr-CA"/>
        </w:rPr>
        <w:t xml:space="preserve">248 du </w:t>
      </w:r>
      <w:r w:rsidRPr="00BD3AAF">
        <w:rPr>
          <w:rFonts w:cs="Times New Roman"/>
          <w:i/>
          <w:lang w:val="fr-CA"/>
        </w:rPr>
        <w:t>Règlement sur l</w:t>
      </w:r>
      <w:r>
        <w:rPr>
          <w:rFonts w:cs="Times New Roman"/>
          <w:i/>
          <w:lang w:val="fr-CA"/>
        </w:rPr>
        <w:t>’</w:t>
      </w:r>
      <w:r w:rsidRPr="00BD3AAF">
        <w:rPr>
          <w:rFonts w:cs="Times New Roman"/>
          <w:i/>
          <w:lang w:val="fr-CA"/>
        </w:rPr>
        <w:t>immigration et la protection des réfugiés</w:t>
      </w:r>
      <w:r w:rsidRPr="00BD3AAF">
        <w:rPr>
          <w:rFonts w:cs="Times New Roman"/>
          <w:lang w:val="fr-CA"/>
        </w:rPr>
        <w:t>, DORS/2002</w:t>
      </w:r>
      <w:r>
        <w:rPr>
          <w:rFonts w:cs="Times New Roman"/>
          <w:lang w:val="fr-CA"/>
        </w:rPr>
        <w:noBreakHyphen/>
      </w:r>
      <w:r w:rsidRPr="00BD3AAF">
        <w:rPr>
          <w:rFonts w:cs="Times New Roman"/>
          <w:lang w:val="fr-CA"/>
        </w:rPr>
        <w:t>227 (</w:t>
      </w:r>
      <w:r w:rsidRPr="00BD3AAF">
        <w:rPr>
          <w:rFonts w:cs="Times New Roman"/>
          <w:i/>
          <w:lang w:val="fr-CA"/>
        </w:rPr>
        <w:t>Règlement</w:t>
      </w:r>
      <w:r w:rsidRPr="00BD3AAF">
        <w:rPr>
          <w:rFonts w:cs="Times New Roman"/>
          <w:lang w:val="fr-CA"/>
        </w:rPr>
        <w:t>), qui garantissent aux personnes détenues aux fins de l</w:t>
      </w:r>
      <w:r>
        <w:rPr>
          <w:rFonts w:cs="Times New Roman"/>
          <w:lang w:val="fr-CA"/>
        </w:rPr>
        <w:t>’</w:t>
      </w:r>
      <w:r w:rsidRPr="00BD3AAF">
        <w:rPr>
          <w:rFonts w:cs="Times New Roman"/>
          <w:lang w:val="fr-CA"/>
        </w:rPr>
        <w:t>immigration, comme M. Chhina, la possibilité de contester la légalité de leur détention devant la Section de l</w:t>
      </w:r>
      <w:r>
        <w:rPr>
          <w:rFonts w:cs="Times New Roman"/>
          <w:lang w:val="fr-CA"/>
        </w:rPr>
        <w:t>’</w:t>
      </w:r>
      <w:r w:rsidRPr="00BD3AAF">
        <w:rPr>
          <w:rFonts w:cs="Times New Roman"/>
          <w:lang w:val="fr-CA"/>
        </w:rPr>
        <w:t>immigration au moins tous les 30 jours.</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w:t>
      </w:r>
      <w:r>
        <w:rPr>
          <w:rFonts w:cs="Times New Roman"/>
          <w:lang w:val="fr-CA"/>
        </w:rPr>
        <w:t>’</w:t>
      </w:r>
      <w:r w:rsidRPr="00BD3AAF">
        <w:rPr>
          <w:rFonts w:cs="Times New Roman"/>
          <w:lang w:val="fr-CA"/>
        </w:rPr>
        <w:t>Agence des services frontaliers du Canada a poursuivi ses démarches en vue de renvoyer M. Chhina au Pakistan. Elle a demandé des titres de voyage au Pakistan à trois reprises sur une période de trois ans et demi. Le Pakistan n</w:t>
      </w:r>
      <w:r>
        <w:rPr>
          <w:rFonts w:cs="Times New Roman"/>
          <w:lang w:val="fr-CA"/>
        </w:rPr>
        <w:t>’</w:t>
      </w:r>
      <w:r w:rsidRPr="00BD3AAF">
        <w:rPr>
          <w:rFonts w:cs="Times New Roman"/>
          <w:lang w:val="fr-CA"/>
        </w:rPr>
        <w:t>a pas obtempéré aux demandes en question. Même s</w:t>
      </w:r>
      <w:r>
        <w:rPr>
          <w:rFonts w:cs="Times New Roman"/>
          <w:lang w:val="fr-CA"/>
        </w:rPr>
        <w:t>’</w:t>
      </w:r>
      <w:r w:rsidRPr="00BD3AAF">
        <w:rPr>
          <w:rFonts w:cs="Times New Roman"/>
          <w:lang w:val="fr-CA"/>
        </w:rPr>
        <w:t>il avait déjà reconnu à un certain moment que M. Chhina était un citoyen pakistanais, le Pakistan est revenu sur cette position par la suite et a affirmé qu</w:t>
      </w:r>
      <w:r>
        <w:rPr>
          <w:rFonts w:cs="Times New Roman"/>
          <w:lang w:val="fr-CA"/>
        </w:rPr>
        <w:t>’</w:t>
      </w:r>
      <w:r w:rsidRPr="00BD3AAF">
        <w:rPr>
          <w:rFonts w:cs="Times New Roman"/>
          <w:lang w:val="fr-CA"/>
        </w:rPr>
        <w:t>il ne délivrerait pas de titre de voyage, parce qu</w:t>
      </w:r>
      <w:r>
        <w:rPr>
          <w:rFonts w:cs="Times New Roman"/>
          <w:lang w:val="fr-CA"/>
        </w:rPr>
        <w:t>’</w:t>
      </w:r>
      <w:r w:rsidRPr="00BD3AAF">
        <w:rPr>
          <w:rFonts w:cs="Times New Roman"/>
          <w:lang w:val="fr-CA"/>
        </w:rPr>
        <w:t>il ne pouvait pas vérifier la nationalité de M. Chhina. Après avoir appris en décembre 2015 que le Pakistan refusait de délivrer un titre de voyage, l</w:t>
      </w:r>
      <w:r>
        <w:rPr>
          <w:rFonts w:cs="Times New Roman"/>
          <w:lang w:val="fr-CA"/>
        </w:rPr>
        <w:t>’</w:t>
      </w:r>
      <w:r w:rsidRPr="00BD3AAF">
        <w:rPr>
          <w:rFonts w:cs="Times New Roman"/>
          <w:lang w:val="fr-CA"/>
        </w:rPr>
        <w:t xml:space="preserve">Agence des services frontaliers du Canada a entrepris des démarches pour établir la véritable identité de M. Chhina.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M. Chhina a exercé les recours que la </w:t>
      </w:r>
      <w:r w:rsidRPr="00BD3AAF">
        <w:rPr>
          <w:rFonts w:cs="Times New Roman"/>
          <w:i/>
          <w:lang w:val="fr-CA"/>
        </w:rPr>
        <w:t>LIPR</w:t>
      </w:r>
      <w:r w:rsidRPr="00BD3AAF">
        <w:rPr>
          <w:rFonts w:cs="Times New Roman"/>
          <w:lang w:val="fr-CA"/>
        </w:rPr>
        <w:t xml:space="preserve"> mettait à sa disposition pour contester la légalité de son maintien en détention. Cependant, il a également tenté de recourir à la procédure d</w:t>
      </w:r>
      <w:r>
        <w:rPr>
          <w:rFonts w:cs="Times New Roman"/>
          <w:lang w:val="fr-CA"/>
        </w:rPr>
        <w:t>’</w:t>
      </w:r>
      <w:r w:rsidRPr="00BD3AAF">
        <w:rPr>
          <w:rFonts w:cs="Times New Roman"/>
          <w:i/>
          <w:lang w:val="fr-CA"/>
        </w:rPr>
        <w:t>habeas corpus</w:t>
      </w:r>
      <w:r w:rsidRPr="00BD3AAF">
        <w:rPr>
          <w:rFonts w:cs="Times New Roman"/>
          <w:lang w:val="fr-CA"/>
        </w:rPr>
        <w:t xml:space="preserve"> en insistant sur la nature </w:t>
      </w:r>
      <w:r w:rsidRPr="00BD3AAF">
        <w:rPr>
          <w:rFonts w:cs="Times New Roman"/>
          <w:i/>
          <w:lang w:val="fr-CA"/>
        </w:rPr>
        <w:t>constitutionnelle</w:t>
      </w:r>
      <w:r w:rsidRPr="00BD3AAF">
        <w:rPr>
          <w:rFonts w:cs="Times New Roman"/>
          <w:lang w:val="fr-CA"/>
        </w:rPr>
        <w:t xml:space="preserve"> de sa contestation fondée sur les </w:t>
      </w:r>
      <w:r>
        <w:rPr>
          <w:rFonts w:cs="Times New Roman"/>
          <w:lang w:val="fr-CA"/>
        </w:rPr>
        <w:t>art. </w:t>
      </w:r>
      <w:r w:rsidRPr="00BD3AAF">
        <w:rPr>
          <w:rFonts w:cs="Times New Roman"/>
          <w:lang w:val="fr-CA"/>
        </w:rPr>
        <w:t xml:space="preserve">7, 9 et 12 de la </w:t>
      </w:r>
      <w:r w:rsidRPr="00BD3AAF">
        <w:rPr>
          <w:rFonts w:cs="Times New Roman"/>
          <w:i/>
          <w:lang w:val="fr-CA"/>
        </w:rPr>
        <w:t>Charte canadienne des droits et libertés</w:t>
      </w:r>
      <w:r w:rsidRPr="00BD3AAF">
        <w:rPr>
          <w:rFonts w:cs="Times New Roman"/>
          <w:lang w:val="fr-CA"/>
        </w:rPr>
        <w:t>.</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Le juge Mahoney, qui siégeait comme juge des requêtes à la Cour du Banc de la Reine, a refusé d</w:t>
      </w:r>
      <w:r>
        <w:rPr>
          <w:rFonts w:cs="Times New Roman"/>
          <w:lang w:val="fr-CA"/>
        </w:rPr>
        <w:t>’</w:t>
      </w:r>
      <w:r w:rsidRPr="00BD3AAF">
        <w:rPr>
          <w:rFonts w:cs="Times New Roman"/>
          <w:lang w:val="fr-CA"/>
        </w:rPr>
        <w:t>exercer sa compétence en matière d</w:t>
      </w:r>
      <w:r>
        <w:rPr>
          <w:rFonts w:cs="Times New Roman"/>
          <w:lang w:val="fr-CA"/>
        </w:rPr>
        <w:t>’</w:t>
      </w:r>
      <w:r w:rsidRPr="00BD3AAF">
        <w:rPr>
          <w:rFonts w:cs="Times New Roman"/>
          <w:i/>
          <w:lang w:val="fr-CA"/>
        </w:rPr>
        <w:t>habeas corpus</w:t>
      </w:r>
      <w:r w:rsidRPr="00BD3AAF">
        <w:rPr>
          <w:rFonts w:cs="Times New Roman"/>
          <w:lang w:val="fr-CA"/>
        </w:rPr>
        <w:t xml:space="preserve"> au motif que les dispositions de la </w:t>
      </w:r>
      <w:r w:rsidRPr="00BD3AAF">
        <w:rPr>
          <w:rFonts w:cs="Times New Roman"/>
          <w:i/>
          <w:lang w:val="fr-CA"/>
        </w:rPr>
        <w:t>LIPR</w:t>
      </w:r>
      <w:r w:rsidRPr="00BD3AAF">
        <w:rPr>
          <w:rFonts w:cs="Times New Roman"/>
          <w:lang w:val="fr-CA"/>
        </w:rPr>
        <w:t xml:space="preserve"> concernant le contrôle des motifs de la détention aux fins de l</w:t>
      </w:r>
      <w:r>
        <w:rPr>
          <w:rFonts w:cs="Times New Roman"/>
          <w:lang w:val="fr-CA"/>
        </w:rPr>
        <w:t>’</w:t>
      </w:r>
      <w:r w:rsidRPr="00BD3AAF">
        <w:rPr>
          <w:rFonts w:cs="Times New Roman"/>
          <w:lang w:val="fr-CA"/>
        </w:rPr>
        <w:t>immigration prévoyaient une procédure complète, exhaustive et spécialisée pour le contrôle des décisions de la Section de l</w:t>
      </w:r>
      <w:r>
        <w:rPr>
          <w:rFonts w:cs="Times New Roman"/>
          <w:lang w:val="fr-CA"/>
        </w:rPr>
        <w:t>’</w:t>
      </w:r>
      <w:r w:rsidRPr="00BD3AAF">
        <w:rPr>
          <w:rFonts w:cs="Times New Roman"/>
          <w:lang w:val="fr-CA"/>
        </w:rPr>
        <w:t>immigration. Il a conclu que l</w:t>
      </w:r>
      <w:r>
        <w:rPr>
          <w:rFonts w:cs="Times New Roman"/>
          <w:lang w:val="fr-CA"/>
        </w:rPr>
        <w:t>’</w:t>
      </w:r>
      <w:r w:rsidRPr="00BD3AAF">
        <w:rPr>
          <w:rFonts w:cs="Times New Roman"/>
          <w:lang w:val="fr-CA"/>
        </w:rPr>
        <w:t>affaire concernait une question d</w:t>
      </w:r>
      <w:r>
        <w:rPr>
          <w:rFonts w:cs="Times New Roman"/>
          <w:lang w:val="fr-CA"/>
        </w:rPr>
        <w:t>’</w:t>
      </w:r>
      <w:r w:rsidRPr="00BD3AAF">
        <w:rPr>
          <w:rFonts w:cs="Times New Roman"/>
          <w:lang w:val="fr-CA"/>
        </w:rPr>
        <w:t>immigration relevant de la compétence et de l</w:t>
      </w:r>
      <w:r>
        <w:rPr>
          <w:rFonts w:cs="Times New Roman"/>
          <w:lang w:val="fr-CA"/>
        </w:rPr>
        <w:t>’</w:t>
      </w:r>
      <w:r w:rsidRPr="00BD3AAF">
        <w:rPr>
          <w:rFonts w:cs="Times New Roman"/>
          <w:lang w:val="fr-CA"/>
        </w:rPr>
        <w:t xml:space="preserve">expertise de la Cour fédérale.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Alberta a conclu que le juge des requêtes avait commis une erreur en refusant d</w:t>
      </w:r>
      <w:r>
        <w:rPr>
          <w:rFonts w:cs="Times New Roman"/>
          <w:lang w:val="fr-CA"/>
        </w:rPr>
        <w:t>’</w:t>
      </w:r>
      <w:r w:rsidRPr="00BD3AAF">
        <w:rPr>
          <w:rFonts w:cs="Times New Roman"/>
          <w:lang w:val="fr-CA"/>
        </w:rPr>
        <w:t>exercer sa compétence en matière d</w:t>
      </w:r>
      <w:r>
        <w:rPr>
          <w:rFonts w:cs="Times New Roman"/>
          <w:lang w:val="fr-CA"/>
        </w:rPr>
        <w:t>’</w:t>
      </w:r>
      <w:r w:rsidRPr="00BD3AAF">
        <w:rPr>
          <w:rFonts w:cs="Times New Roman"/>
          <w:i/>
          <w:lang w:val="fr-CA"/>
        </w:rPr>
        <w:t>habeas corpus</w:t>
      </w:r>
      <w:r w:rsidRPr="00BD3AAF">
        <w:rPr>
          <w:rFonts w:cs="Times New Roman"/>
          <w:lang w:val="fr-CA"/>
        </w:rPr>
        <w:t>. De l</w:t>
      </w:r>
      <w:r>
        <w:rPr>
          <w:rFonts w:cs="Times New Roman"/>
          <w:lang w:val="fr-CA"/>
        </w:rPr>
        <w:t>’</w:t>
      </w:r>
      <w:r w:rsidRPr="00BD3AAF">
        <w:rPr>
          <w:rFonts w:cs="Times New Roman"/>
          <w:lang w:val="fr-CA"/>
        </w:rPr>
        <w:t>avis de la Cour d</w:t>
      </w:r>
      <w:r>
        <w:rPr>
          <w:rFonts w:cs="Times New Roman"/>
          <w:lang w:val="fr-CA"/>
        </w:rPr>
        <w:t>’</w:t>
      </w:r>
      <w:r w:rsidRPr="00BD3AAF">
        <w:rPr>
          <w:rFonts w:cs="Times New Roman"/>
          <w:lang w:val="fr-CA"/>
        </w:rPr>
        <w:t>appel, la procédure d</w:t>
      </w:r>
      <w:r>
        <w:rPr>
          <w:rFonts w:cs="Times New Roman"/>
          <w:lang w:val="fr-CA"/>
        </w:rPr>
        <w:t>’</w:t>
      </w:r>
      <w:r w:rsidRPr="00BD3AAF">
        <w:rPr>
          <w:rFonts w:cs="Times New Roman"/>
          <w:i/>
          <w:lang w:val="fr-CA"/>
        </w:rPr>
        <w:t>habeas corpus</w:t>
      </w:r>
      <w:r w:rsidRPr="00BD3AAF">
        <w:rPr>
          <w:rFonts w:cs="Times New Roman"/>
          <w:lang w:val="fr-CA"/>
        </w:rPr>
        <w:t xml:space="preserve"> était plus avantageuse que le régime créé par la </w:t>
      </w:r>
      <w:r w:rsidRPr="00BD3AAF">
        <w:rPr>
          <w:rFonts w:cs="Times New Roman"/>
          <w:i/>
          <w:lang w:val="fr-CA"/>
        </w:rPr>
        <w:t>LIPR</w:t>
      </w:r>
      <w:r w:rsidRPr="00BD3AAF">
        <w:rPr>
          <w:rFonts w:cs="Times New Roman"/>
          <w:lang w:val="fr-CA"/>
        </w:rPr>
        <w:t xml:space="preserve"> pour les détenus comme M. Chhina. </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En rendant cette décision,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Alberta a souscrit à l</w:t>
      </w:r>
      <w:r>
        <w:rPr>
          <w:rFonts w:cs="Times New Roman"/>
          <w:lang w:val="fr-CA"/>
        </w:rPr>
        <w:t>’</w:t>
      </w:r>
      <w:r w:rsidRPr="00BD3AAF">
        <w:rPr>
          <w:rFonts w:cs="Times New Roman"/>
          <w:lang w:val="fr-CA"/>
        </w:rPr>
        <w:t>arrêt rendu par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Ontario dans l</w:t>
      </w:r>
      <w:r>
        <w:rPr>
          <w:rFonts w:cs="Times New Roman"/>
          <w:lang w:val="fr-CA"/>
        </w:rPr>
        <w:t>’</w:t>
      </w:r>
      <w:r w:rsidRPr="00BD3AAF">
        <w:rPr>
          <w:rFonts w:cs="Times New Roman"/>
          <w:lang w:val="fr-CA"/>
        </w:rPr>
        <w:t xml:space="preserve">affaire </w:t>
      </w:r>
      <w:r w:rsidRPr="00BD3AAF">
        <w:rPr>
          <w:rFonts w:cs="Times New Roman"/>
          <w:i/>
          <w:lang w:val="fr-CA"/>
        </w:rPr>
        <w:t>Chaudhary c. Canada (Minister of Public Safety &amp; Emergency Preparedness)</w:t>
      </w:r>
      <w:r w:rsidRPr="00BD3AAF">
        <w:rPr>
          <w:rFonts w:cs="Times New Roman"/>
          <w:lang w:val="fr-CA"/>
        </w:rPr>
        <w:t xml:space="preserve"> (2015), 127 O.R. (3d) 401 (C.A.), mais s</w:t>
      </w:r>
      <w:r>
        <w:rPr>
          <w:rFonts w:cs="Times New Roman"/>
          <w:lang w:val="fr-CA"/>
        </w:rPr>
        <w:t>’</w:t>
      </w:r>
      <w:r w:rsidRPr="00BD3AAF">
        <w:rPr>
          <w:rFonts w:cs="Times New Roman"/>
          <w:lang w:val="fr-CA"/>
        </w:rPr>
        <w:t xml:space="preserve">est écartée des principes juridiques établis. En effet, la Cour a répété à maintes reprises que les dispositions de la </w:t>
      </w:r>
      <w:r w:rsidRPr="00BD3AAF">
        <w:rPr>
          <w:rFonts w:cs="Times New Roman"/>
          <w:i/>
          <w:lang w:val="fr-CA"/>
        </w:rPr>
        <w:t>LIPR</w:t>
      </w:r>
      <w:r w:rsidRPr="00BD3AAF">
        <w:rPr>
          <w:rFonts w:cs="Times New Roman"/>
          <w:lang w:val="fr-CA"/>
        </w:rPr>
        <w:t xml:space="preserve"> concernant le contrôle des décisions relatives à la détention aux fins de l</w:t>
      </w:r>
      <w:r>
        <w:rPr>
          <w:rFonts w:cs="Times New Roman"/>
          <w:lang w:val="fr-CA"/>
        </w:rPr>
        <w:t>’</w:t>
      </w:r>
      <w:r w:rsidRPr="00BD3AAF">
        <w:rPr>
          <w:rFonts w:cs="Times New Roman"/>
          <w:lang w:val="fr-CA"/>
        </w:rPr>
        <w:t>immigration constituent un régime complet, exhaustif et spécialisé qui prévoit une procédure d</w:t>
      </w:r>
      <w:r>
        <w:rPr>
          <w:rFonts w:cs="Times New Roman"/>
          <w:lang w:val="fr-CA"/>
        </w:rPr>
        <w:t>’</w:t>
      </w:r>
      <w:r w:rsidRPr="00BD3AAF">
        <w:rPr>
          <w:rFonts w:cs="Times New Roman"/>
          <w:lang w:val="fr-CA"/>
        </w:rPr>
        <w:t>examen au moins aussi large et aussi avantageuse que celle de l</w:t>
      </w:r>
      <w:r>
        <w:rPr>
          <w:rFonts w:cs="Times New Roman"/>
          <w:lang w:val="fr-CA"/>
        </w:rPr>
        <w:t>’</w:t>
      </w:r>
      <w:r w:rsidRPr="00BD3AAF">
        <w:rPr>
          <w:rFonts w:cs="Times New Roman"/>
          <w:i/>
          <w:lang w:val="fr-CA"/>
        </w:rPr>
        <w:t>habeas corpus</w:t>
      </w:r>
      <w:r w:rsidRPr="00BD3AAF">
        <w:rPr>
          <w:rFonts w:cs="Times New Roman"/>
          <w:lang w:val="fr-CA"/>
        </w:rPr>
        <w:t>. Je ne vois aucune raison de conclure différemment aujourd</w:t>
      </w:r>
      <w:r>
        <w:rPr>
          <w:rFonts w:cs="Times New Roman"/>
          <w:lang w:val="fr-CA"/>
        </w:rPr>
        <w:t>’</w:t>
      </w:r>
      <w:r w:rsidRPr="00BD3AAF">
        <w:rPr>
          <w:rFonts w:cs="Times New Roman"/>
          <w:lang w:val="fr-CA"/>
        </w:rPr>
        <w:t>hui. La présente affaire offre plutôt l</w:t>
      </w:r>
      <w:r>
        <w:rPr>
          <w:rFonts w:cs="Times New Roman"/>
          <w:lang w:val="fr-CA"/>
        </w:rPr>
        <w:t>’</w:t>
      </w:r>
      <w:r w:rsidRPr="00BD3AAF">
        <w:rPr>
          <w:rFonts w:cs="Times New Roman"/>
          <w:lang w:val="fr-CA"/>
        </w:rPr>
        <w:t xml:space="preserve">occasion de confirmer que les règles de procédure et de fond qui régissent le contrôle des motifs de la détention sous le régime de la </w:t>
      </w:r>
      <w:r w:rsidRPr="00BD3AAF">
        <w:rPr>
          <w:rFonts w:cs="Times New Roman"/>
          <w:i/>
          <w:lang w:val="fr-CA"/>
        </w:rPr>
        <w:t>LIPR</w:t>
      </w:r>
      <w:r w:rsidRPr="00BD3AAF">
        <w:rPr>
          <w:rFonts w:cs="Times New Roman"/>
          <w:lang w:val="fr-CA"/>
        </w:rPr>
        <w:t xml:space="preserve"> </w:t>
      </w:r>
      <w:r w:rsidRPr="00BD3AAF">
        <w:rPr>
          <w:rFonts w:cs="Times New Roman"/>
          <w:i/>
          <w:lang w:val="fr-CA"/>
        </w:rPr>
        <w:t xml:space="preserve">devraient </w:t>
      </w:r>
      <w:r w:rsidRPr="00D248DB">
        <w:rPr>
          <w:rFonts w:cs="Times New Roman"/>
          <w:lang w:val="fr-CA"/>
        </w:rPr>
        <w:t>être</w:t>
      </w:r>
      <w:r w:rsidRPr="00BD3AAF">
        <w:rPr>
          <w:rFonts w:cs="Times New Roman"/>
          <w:lang w:val="fr-CA"/>
        </w:rPr>
        <w:t xml:space="preserve"> aussi avantageuses que celles de l</w:t>
      </w:r>
      <w:r>
        <w:rPr>
          <w:rFonts w:cs="Times New Roman"/>
          <w:lang w:val="fr-CA"/>
        </w:rPr>
        <w:t>’</w:t>
      </w:r>
      <w:r w:rsidRPr="00BD3AAF">
        <w:rPr>
          <w:rFonts w:cs="Times New Roman"/>
          <w:i/>
          <w:lang w:val="fr-CA"/>
        </w:rPr>
        <w:t>habeas corpus</w:t>
      </w:r>
      <w:r w:rsidRPr="00BD3AAF">
        <w:rPr>
          <w:rFonts w:cs="Times New Roman"/>
          <w:lang w:val="fr-CA"/>
        </w:rPr>
        <w:t>,</w:t>
      </w:r>
      <w:r w:rsidRPr="00BD3AAF">
        <w:rPr>
          <w:rFonts w:cs="Times New Roman"/>
          <w:i/>
          <w:lang w:val="fr-CA"/>
        </w:rPr>
        <w:t xml:space="preserve"> </w:t>
      </w:r>
      <w:r w:rsidRPr="00BD3AAF">
        <w:rPr>
          <w:rFonts w:cs="Times New Roman"/>
          <w:lang w:val="fr-CA"/>
        </w:rPr>
        <w:t>de manière à ce que les détenus puissent bénéficier en temps opportun du contrôle le plus complet qui soit des conditions de leur détention.</w:t>
      </w:r>
    </w:p>
    <w:p w:rsidR="00B233C0" w:rsidRPr="00BD3AAF" w:rsidRDefault="00B233C0" w:rsidP="00B233C0">
      <w:pPr>
        <w:pStyle w:val="Title1LevelTitre1Niveau-AltL"/>
        <w:rPr>
          <w:rFonts w:cs="Times New Roman"/>
          <w:lang w:val="fr-CA"/>
        </w:rPr>
      </w:pPr>
      <w:r w:rsidRPr="00BD3AAF">
        <w:rPr>
          <w:rFonts w:cs="Times New Roman"/>
          <w:lang w:val="fr-CA"/>
        </w:rPr>
        <w:t>Analyse</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Les fondements historiques de l</w:t>
      </w:r>
      <w:r>
        <w:rPr>
          <w:rFonts w:cs="Times New Roman"/>
          <w:lang w:val="fr-CA"/>
        </w:rPr>
        <w:t>’</w:t>
      </w:r>
      <w:r w:rsidRPr="00BD3AAF">
        <w:rPr>
          <w:rFonts w:cs="Times New Roman"/>
          <w:i/>
          <w:lang w:val="fr-CA"/>
        </w:rPr>
        <w:t>habeas corpus</w:t>
      </w:r>
      <w:r w:rsidRPr="00BD3AAF">
        <w:rPr>
          <w:rFonts w:cs="Times New Roman"/>
          <w:lang w:val="fr-CA"/>
        </w:rPr>
        <w:t xml:space="preserve"> — la procédure traditionnelle servant à évaluer la privation de la liberté — sont aussi la source de différents recours d</w:t>
      </w:r>
      <w:r>
        <w:rPr>
          <w:rFonts w:cs="Times New Roman"/>
          <w:lang w:val="fr-CA"/>
        </w:rPr>
        <w:t>’</w:t>
      </w:r>
      <w:r w:rsidRPr="00BD3AAF">
        <w:rPr>
          <w:rFonts w:cs="Times New Roman"/>
          <w:lang w:val="fr-CA"/>
        </w:rPr>
        <w:t>origine législative qui visent à offrir les mêmes protections. Ces recours sont prévus notamment dans le</w:t>
      </w:r>
      <w:r w:rsidRPr="00BD3AAF">
        <w:rPr>
          <w:rFonts w:cs="Times New Roman"/>
          <w:szCs w:val="24"/>
          <w:lang w:val="fr-CA"/>
        </w:rPr>
        <w:t> </w:t>
      </w:r>
      <w:r w:rsidRPr="00BD3AAF">
        <w:rPr>
          <w:rStyle w:val="Emphasis"/>
          <w:szCs w:val="24"/>
          <w:lang w:val="fr-CA"/>
        </w:rPr>
        <w:t>Code criminel,</w:t>
      </w:r>
      <w:r w:rsidRPr="00BD3AAF">
        <w:rPr>
          <w:rFonts w:cs="Times New Roman"/>
          <w:szCs w:val="24"/>
          <w:lang w:val="fr-CA"/>
        </w:rPr>
        <w:t xml:space="preserve"> L.R.C. 1985, c.</w:t>
      </w:r>
      <w:r>
        <w:rPr>
          <w:rFonts w:cs="Times New Roman"/>
          <w:szCs w:val="24"/>
          <w:lang w:val="fr-CA"/>
        </w:rPr>
        <w:t> </w:t>
      </w:r>
      <w:r w:rsidRPr="00BD3AAF">
        <w:rPr>
          <w:rFonts w:cs="Times New Roman"/>
          <w:szCs w:val="24"/>
          <w:lang w:val="fr-CA"/>
        </w:rPr>
        <w:t>C</w:t>
      </w:r>
      <w:r>
        <w:rPr>
          <w:rFonts w:cs="Times New Roman"/>
          <w:szCs w:val="24"/>
          <w:lang w:val="fr-CA"/>
        </w:rPr>
        <w:noBreakHyphen/>
      </w:r>
      <w:r w:rsidRPr="00BD3AAF">
        <w:rPr>
          <w:rFonts w:cs="Times New Roman"/>
          <w:szCs w:val="24"/>
          <w:lang w:val="fr-CA"/>
        </w:rPr>
        <w:t>46, qui habilite les cours d</w:t>
      </w:r>
      <w:r>
        <w:rPr>
          <w:rFonts w:cs="Times New Roman"/>
          <w:szCs w:val="24"/>
          <w:lang w:val="fr-CA"/>
        </w:rPr>
        <w:t>’</w:t>
      </w:r>
      <w:r w:rsidRPr="00BD3AAF">
        <w:rPr>
          <w:rFonts w:cs="Times New Roman"/>
          <w:szCs w:val="24"/>
          <w:lang w:val="fr-CA"/>
        </w:rPr>
        <w:t>appel à corriger les erreurs des juridictions d</w:t>
      </w:r>
      <w:r>
        <w:rPr>
          <w:rFonts w:cs="Times New Roman"/>
          <w:szCs w:val="24"/>
          <w:lang w:val="fr-CA"/>
        </w:rPr>
        <w:t>’</w:t>
      </w:r>
      <w:r w:rsidRPr="00BD3AAF">
        <w:rPr>
          <w:rFonts w:cs="Times New Roman"/>
          <w:szCs w:val="24"/>
          <w:lang w:val="fr-CA"/>
        </w:rPr>
        <w:t xml:space="preserve">instances inférieures et à libérer le demandeur (voir, par exemple, </w:t>
      </w:r>
      <w:r w:rsidRPr="00BD3AAF">
        <w:rPr>
          <w:rFonts w:cs="Times New Roman"/>
          <w:i/>
          <w:szCs w:val="24"/>
          <w:lang w:val="fr-CA"/>
        </w:rPr>
        <w:t>R. c. Gamble</w:t>
      </w:r>
      <w:r w:rsidRPr="00BD3AAF">
        <w:rPr>
          <w:rFonts w:cs="Times New Roman"/>
          <w:szCs w:val="24"/>
          <w:lang w:val="fr-CA"/>
        </w:rPr>
        <w:t xml:space="preserve">, [1988] 2 R.C.S. 595, </w:t>
      </w:r>
      <w:r>
        <w:rPr>
          <w:rFonts w:cs="Times New Roman"/>
          <w:szCs w:val="24"/>
          <w:lang w:val="fr-CA"/>
        </w:rPr>
        <w:t>p. </w:t>
      </w:r>
      <w:r w:rsidRPr="00BD3AAF">
        <w:rPr>
          <w:rFonts w:cs="Times New Roman"/>
          <w:szCs w:val="24"/>
          <w:lang w:val="fr-CA"/>
        </w:rPr>
        <w:t>636</w:t>
      </w:r>
      <w:r>
        <w:rPr>
          <w:rFonts w:cs="Times New Roman"/>
          <w:szCs w:val="24"/>
          <w:lang w:val="fr-CA"/>
        </w:rPr>
        <w:noBreakHyphen/>
      </w:r>
      <w:r w:rsidRPr="00BD3AAF">
        <w:rPr>
          <w:rFonts w:cs="Times New Roman"/>
          <w:szCs w:val="24"/>
          <w:lang w:val="fr-CA"/>
        </w:rPr>
        <w:t xml:space="preserve">637; </w:t>
      </w:r>
      <w:r w:rsidRPr="00BD3AAF">
        <w:rPr>
          <w:rFonts w:cs="Times New Roman"/>
          <w:i/>
          <w:lang w:val="fr-CA"/>
        </w:rPr>
        <w:t>R. c. Pearson</w:t>
      </w:r>
      <w:r w:rsidRPr="00BD3AAF">
        <w:rPr>
          <w:rFonts w:cs="Times New Roman"/>
          <w:lang w:val="fr-CA"/>
        </w:rPr>
        <w:t>, [1992] 3 R.C.S. 665 (révision de l</w:t>
      </w:r>
      <w:r>
        <w:rPr>
          <w:rFonts w:cs="Times New Roman"/>
          <w:lang w:val="fr-CA"/>
        </w:rPr>
        <w:t>’</w:t>
      </w:r>
      <w:r w:rsidRPr="00BD3AAF">
        <w:rPr>
          <w:rFonts w:cs="Times New Roman"/>
          <w:lang w:val="fr-CA"/>
        </w:rPr>
        <w:t>ordonnance de m</w:t>
      </w:r>
      <w:r w:rsidR="00D248DB">
        <w:rPr>
          <w:rFonts w:cs="Times New Roman"/>
          <w:lang w:val="fr-CA"/>
        </w:rPr>
        <w:t>ise en liberté sous caution);</w:t>
      </w:r>
      <w:r w:rsidRPr="00BD3AAF">
        <w:rPr>
          <w:rFonts w:cs="Times New Roman"/>
          <w:lang w:val="fr-CA"/>
        </w:rPr>
        <w:t xml:space="preserve"> </w:t>
      </w:r>
      <w:r w:rsidRPr="00BD3AAF">
        <w:rPr>
          <w:rFonts w:cs="Times New Roman"/>
          <w:i/>
          <w:lang w:val="fr-CA"/>
        </w:rPr>
        <w:t>Staetter c. British Columbia (Adult Forensic Psychiatric Services)</w:t>
      </w:r>
      <w:r w:rsidRPr="00BD3AAF">
        <w:rPr>
          <w:rFonts w:cs="Times New Roman"/>
          <w:lang w:val="fr-CA"/>
        </w:rPr>
        <w:t>, 2017 BCCA 68 (ordonnances de détention de la Commission d</w:t>
      </w:r>
      <w:r>
        <w:rPr>
          <w:rFonts w:cs="Times New Roman"/>
          <w:lang w:val="fr-CA"/>
        </w:rPr>
        <w:t>’</w:t>
      </w:r>
      <w:r w:rsidRPr="00BD3AAF">
        <w:rPr>
          <w:rFonts w:cs="Times New Roman"/>
          <w:lang w:val="fr-CA"/>
        </w:rPr>
        <w:t>examen)).</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Des recours de cette nature sont également prévus dans la </w:t>
      </w:r>
      <w:r w:rsidRPr="00BD3AAF">
        <w:rPr>
          <w:rFonts w:cs="Times New Roman"/>
          <w:i/>
          <w:lang w:val="fr-CA"/>
        </w:rPr>
        <w:t>LIPR</w:t>
      </w:r>
      <w:r w:rsidRPr="00BD3AAF">
        <w:rPr>
          <w:rFonts w:cs="Times New Roman"/>
          <w:lang w:val="fr-CA"/>
        </w:rPr>
        <w:t>. Leur légitimité en tant que solution de rechange valable à la procédure d</w:t>
      </w:r>
      <w:r>
        <w:rPr>
          <w:rFonts w:cs="Times New Roman"/>
          <w:lang w:val="fr-CA"/>
        </w:rPr>
        <w:t>’</w:t>
      </w:r>
      <w:r w:rsidRPr="00BD3AAF">
        <w:rPr>
          <w:rFonts w:cs="Times New Roman"/>
          <w:i/>
          <w:lang w:val="fr-CA"/>
        </w:rPr>
        <w:t>habeas corpus</w:t>
      </w:r>
      <w:r w:rsidRPr="00BD3AAF">
        <w:rPr>
          <w:rFonts w:cs="Times New Roman"/>
          <w:lang w:val="fr-CA"/>
        </w:rPr>
        <w:t xml:space="preserve"> a été examinée par les tribunaux et reconnue dans les arrêts </w:t>
      </w:r>
      <w:r w:rsidRPr="00BD3AAF">
        <w:rPr>
          <w:rFonts w:cs="Times New Roman"/>
          <w:i/>
          <w:lang w:val="fr-CA"/>
        </w:rPr>
        <w:t>Pringle c. Fraser</w:t>
      </w:r>
      <w:r w:rsidRPr="00BD3AAF">
        <w:rPr>
          <w:rFonts w:cs="Times New Roman"/>
          <w:lang w:val="fr-CA"/>
        </w:rPr>
        <w:t xml:space="preserve">, [1972] R.C.S. 821; </w:t>
      </w:r>
      <w:r w:rsidRPr="00BD3AAF">
        <w:rPr>
          <w:rFonts w:cs="Times New Roman"/>
          <w:i/>
          <w:lang w:val="fr-CA"/>
        </w:rPr>
        <w:t>Peiroo c. Canada (Minister of Employment &amp; Immigration)</w:t>
      </w:r>
      <w:r w:rsidRPr="00BD3AAF">
        <w:rPr>
          <w:rFonts w:cs="Times New Roman"/>
          <w:lang w:val="fr-CA"/>
        </w:rPr>
        <w:t xml:space="preserve"> (1989), 69 O.R. (2d) 253 (C.A.), autorisation d</w:t>
      </w:r>
      <w:r>
        <w:rPr>
          <w:rFonts w:cs="Times New Roman"/>
          <w:lang w:val="fr-CA"/>
        </w:rPr>
        <w:t>’</w:t>
      </w:r>
      <w:r w:rsidRPr="00BD3AAF">
        <w:rPr>
          <w:rFonts w:cs="Times New Roman"/>
          <w:lang w:val="fr-CA"/>
        </w:rPr>
        <w:t>appel refusée</w:t>
      </w:r>
      <w:r w:rsidR="00EF31D5">
        <w:rPr>
          <w:rFonts w:cs="Times New Roman"/>
          <w:lang w:val="fr-CA"/>
        </w:rPr>
        <w:t>,</w:t>
      </w:r>
      <w:r w:rsidRPr="00BD3AAF">
        <w:rPr>
          <w:rFonts w:cs="Times New Roman"/>
          <w:lang w:val="fr-CA"/>
        </w:rPr>
        <w:t xml:space="preserve"> [1989] 2 R.C.S. x; </w:t>
      </w:r>
      <w:r w:rsidRPr="00BD3AAF">
        <w:rPr>
          <w:rFonts w:cs="Times New Roman"/>
          <w:i/>
          <w:lang w:val="fr-CA"/>
        </w:rPr>
        <w:t>Reza c. Canada</w:t>
      </w:r>
      <w:r w:rsidRPr="00BD3AAF">
        <w:rPr>
          <w:rFonts w:cs="Times New Roman"/>
          <w:lang w:val="fr-CA"/>
        </w:rPr>
        <w:t xml:space="preserve">, [1994] 2 R.C.S. 394; </w:t>
      </w:r>
      <w:r w:rsidRPr="00BD3AAF">
        <w:rPr>
          <w:rFonts w:cs="Times New Roman"/>
          <w:i/>
          <w:lang w:val="fr-CA"/>
        </w:rPr>
        <w:t>May c. Établissement Ferndale</w:t>
      </w:r>
      <w:r w:rsidRPr="00BD3AAF">
        <w:rPr>
          <w:rFonts w:cs="Times New Roman"/>
          <w:lang w:val="fr-CA"/>
        </w:rPr>
        <w:t>, [2005] 3 R.C.S. 809. Dans chacune de ces décisions, il a été reconnu que les recours semblables à l</w:t>
      </w:r>
      <w:r>
        <w:rPr>
          <w:rFonts w:cs="Times New Roman"/>
          <w:lang w:val="fr-CA"/>
        </w:rPr>
        <w:t>’</w:t>
      </w:r>
      <w:r w:rsidRPr="00BD3AAF">
        <w:rPr>
          <w:rFonts w:cs="Times New Roman"/>
          <w:i/>
          <w:lang w:val="fr-CA"/>
        </w:rPr>
        <w:t xml:space="preserve">habeas corpus </w:t>
      </w:r>
      <w:r w:rsidRPr="00BD3AAF">
        <w:rPr>
          <w:rFonts w:cs="Times New Roman"/>
          <w:lang w:val="fr-CA"/>
        </w:rPr>
        <w:t>qui peuvent être exercés en application d</w:t>
      </w:r>
      <w:r>
        <w:rPr>
          <w:rFonts w:cs="Times New Roman"/>
          <w:lang w:val="fr-CA"/>
        </w:rPr>
        <w:t>’</w:t>
      </w:r>
      <w:r w:rsidRPr="00BD3AAF">
        <w:rPr>
          <w:rFonts w:cs="Times New Roman"/>
          <w:lang w:val="fr-CA"/>
        </w:rPr>
        <w:t xml:space="preserve">un régime légal conçu pour être un régime exclusif avaient une </w:t>
      </w:r>
      <w:r w:rsidRPr="00BD3AAF">
        <w:rPr>
          <w:rFonts w:cs="Times New Roman"/>
          <w:lang w:val="fr-CA"/>
        </w:rPr>
        <w:sym w:font="Symbol" w:char="F05B"/>
      </w:r>
      <w:r w:rsidRPr="00BD3AAF">
        <w:rPr>
          <w:rFonts w:cs="Times New Roman"/>
          <w:smallCaps/>
          <w:lang w:val="fr-CA"/>
        </w:rPr>
        <w:t>traduction</w:t>
      </w:r>
      <w:r w:rsidRPr="00BD3AAF">
        <w:rPr>
          <w:rFonts w:cs="Times New Roman"/>
          <w:lang w:val="fr-CA"/>
        </w:rPr>
        <w:sym w:font="Symbol" w:char="F05D"/>
      </w:r>
      <w:r w:rsidRPr="00BD3AAF">
        <w:rPr>
          <w:rFonts w:cs="Times New Roman"/>
          <w:lang w:val="fr-CA"/>
        </w:rPr>
        <w:t xml:space="preserve"> « portée au moins aussi large que celle traditionnelle de l</w:t>
      </w:r>
      <w:r>
        <w:rPr>
          <w:rFonts w:cs="Times New Roman"/>
          <w:lang w:val="fr-CA"/>
        </w:rPr>
        <w:t>’</w:t>
      </w:r>
      <w:r w:rsidRPr="00BD3AAF">
        <w:rPr>
          <w:rFonts w:cs="Times New Roman"/>
          <w:i/>
          <w:lang w:val="fr-CA"/>
        </w:rPr>
        <w:t>habeas corpus</w:t>
      </w:r>
      <w:r w:rsidRPr="00BD3AAF">
        <w:rPr>
          <w:rFonts w:cs="Times New Roman"/>
          <w:lang w:val="fr-CA"/>
        </w:rPr>
        <w:t> » (</w:t>
      </w:r>
      <w:r w:rsidRPr="00BD3AAF">
        <w:rPr>
          <w:rFonts w:cs="Times New Roman"/>
          <w:i/>
          <w:lang w:val="fr-CA"/>
        </w:rPr>
        <w:t>Peiroo</w:t>
      </w:r>
      <w:r w:rsidRPr="00BD3AAF">
        <w:rPr>
          <w:rFonts w:cs="Times New Roman"/>
          <w:lang w:val="fr-CA"/>
        </w:rPr>
        <w:t xml:space="preserve">, </w:t>
      </w:r>
      <w:r>
        <w:rPr>
          <w:rFonts w:cs="Times New Roman"/>
          <w:lang w:val="fr-CA"/>
        </w:rPr>
        <w:t>p. </w:t>
      </w:r>
      <w:r w:rsidRPr="00BD3AAF">
        <w:rPr>
          <w:rFonts w:cs="Times New Roman"/>
          <w:lang w:val="fr-CA"/>
        </w:rPr>
        <w:t>261).</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Le présent pourvoi soulève la question de savoir si cela est toujours le cas, c</w:t>
      </w:r>
      <w:r>
        <w:rPr>
          <w:rFonts w:cs="Times New Roman"/>
          <w:lang w:val="fr-CA"/>
        </w:rPr>
        <w:t>’</w:t>
      </w:r>
      <w:r w:rsidRPr="00BD3AAF">
        <w:rPr>
          <w:rFonts w:cs="Times New Roman"/>
          <w:lang w:val="fr-CA"/>
        </w:rPr>
        <w:t>est</w:t>
      </w:r>
      <w:r>
        <w:rPr>
          <w:rFonts w:cs="Times New Roman"/>
          <w:lang w:val="fr-CA"/>
        </w:rPr>
        <w:noBreakHyphen/>
      </w:r>
      <w:r w:rsidRPr="00BD3AAF">
        <w:rPr>
          <w:rFonts w:cs="Times New Roman"/>
          <w:lang w:val="fr-CA"/>
        </w:rPr>
        <w:t>à</w:t>
      </w:r>
      <w:r>
        <w:rPr>
          <w:rFonts w:cs="Times New Roman"/>
          <w:lang w:val="fr-CA"/>
        </w:rPr>
        <w:noBreakHyphen/>
      </w:r>
      <w:r w:rsidRPr="00BD3AAF">
        <w:rPr>
          <w:rFonts w:cs="Times New Roman"/>
          <w:lang w:val="fr-CA"/>
        </w:rPr>
        <w:t>dire si le régime d</w:t>
      </w:r>
      <w:r>
        <w:rPr>
          <w:rFonts w:cs="Times New Roman"/>
          <w:lang w:val="fr-CA"/>
        </w:rPr>
        <w:t>’</w:t>
      </w:r>
      <w:r w:rsidRPr="00BD3AAF">
        <w:rPr>
          <w:rFonts w:cs="Times New Roman"/>
          <w:lang w:val="fr-CA"/>
        </w:rPr>
        <w:t>immigration peut continuer à offrir un éventail de protections aussi complet que la procédure d</w:t>
      </w:r>
      <w:r>
        <w:rPr>
          <w:rFonts w:cs="Times New Roman"/>
          <w:lang w:val="fr-CA"/>
        </w:rPr>
        <w:t>’</w:t>
      </w:r>
      <w:r w:rsidRPr="00BD3AAF">
        <w:rPr>
          <w:rFonts w:cs="Times New Roman"/>
          <w:i/>
          <w:lang w:val="fr-CA"/>
        </w:rPr>
        <w:t>habeas corpus</w:t>
      </w:r>
      <w:r w:rsidRPr="00BD3AAF">
        <w:rPr>
          <w:rFonts w:cs="Times New Roman"/>
          <w:lang w:val="fr-CA"/>
        </w:rPr>
        <w:t>, ou s</w:t>
      </w:r>
      <w:r>
        <w:rPr>
          <w:rFonts w:cs="Times New Roman"/>
          <w:lang w:val="fr-CA"/>
        </w:rPr>
        <w:t>’</w:t>
      </w:r>
      <w:r w:rsidRPr="00BD3AAF">
        <w:rPr>
          <w:rFonts w:cs="Times New Roman"/>
          <w:lang w:val="fr-CA"/>
        </w:rPr>
        <w:t>il n</w:t>
      </w:r>
      <w:r>
        <w:rPr>
          <w:rFonts w:cs="Times New Roman"/>
          <w:lang w:val="fr-CA"/>
        </w:rPr>
        <w:t>’</w:t>
      </w:r>
      <w:r w:rsidRPr="00BD3AAF">
        <w:rPr>
          <w:rFonts w:cs="Times New Roman"/>
          <w:lang w:val="fr-CA"/>
        </w:rPr>
        <w:t>offre plus des avantages analogues, ce qui justifierait de nous écarter de notre jurisprudence.</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Les régimes établis par des lois comme la </w:t>
      </w:r>
      <w:r w:rsidRPr="00BD3AAF">
        <w:rPr>
          <w:rFonts w:cs="Times New Roman"/>
          <w:i/>
          <w:lang w:val="fr-CA"/>
        </w:rPr>
        <w:t>LIPR</w:t>
      </w:r>
      <w:r w:rsidRPr="00BD3AAF">
        <w:rPr>
          <w:rFonts w:cs="Times New Roman"/>
          <w:lang w:val="fr-CA"/>
        </w:rPr>
        <w:t xml:space="preserve"> qui remplacent l</w:t>
      </w:r>
      <w:r>
        <w:rPr>
          <w:rFonts w:cs="Times New Roman"/>
          <w:lang w:val="fr-CA"/>
        </w:rPr>
        <w:t>’</w:t>
      </w:r>
      <w:r w:rsidRPr="00BD3AAF">
        <w:rPr>
          <w:rFonts w:cs="Times New Roman"/>
          <w:i/>
          <w:lang w:val="fr-CA"/>
        </w:rPr>
        <w:t>habeas corpus</w:t>
      </w:r>
      <w:r w:rsidRPr="00BD3AAF">
        <w:rPr>
          <w:rFonts w:cs="Times New Roman"/>
          <w:lang w:val="fr-CA"/>
        </w:rPr>
        <w:t xml:space="preserve"> par des recours tout aussi efficaces sont reconnus depuis longtemps (Judith</w:t>
      </w:r>
      <w:r>
        <w:rPr>
          <w:rFonts w:cs="Times New Roman"/>
          <w:lang w:val="fr-CA"/>
        </w:rPr>
        <w:t xml:space="preserve"> </w:t>
      </w:r>
      <w:r w:rsidRPr="00BD3AAF">
        <w:rPr>
          <w:rFonts w:cs="Times New Roman"/>
          <w:lang w:val="fr-CA"/>
        </w:rPr>
        <w:t>Farbey et Robert. </w:t>
      </w:r>
      <w:r w:rsidRPr="00BD3AAF">
        <w:rPr>
          <w:rFonts w:cs="Times New Roman"/>
        </w:rPr>
        <w:t xml:space="preserve">J. Sharpe, avec Simon Atrill, </w:t>
      </w:r>
      <w:r w:rsidRPr="00BD3AAF">
        <w:rPr>
          <w:rFonts w:cs="Times New Roman"/>
          <w:i/>
        </w:rPr>
        <w:t>The Law of Habeas Corpus</w:t>
      </w:r>
      <w:r w:rsidRPr="00BD3AAF">
        <w:rPr>
          <w:rFonts w:cs="Times New Roman"/>
        </w:rPr>
        <w:t xml:space="preserve"> (3</w:t>
      </w:r>
      <w:r w:rsidRPr="00BD3AAF">
        <w:rPr>
          <w:rFonts w:cs="Times New Roman"/>
          <w:vertAlign w:val="superscript"/>
        </w:rPr>
        <w:t>e</w:t>
      </w:r>
      <w:r w:rsidRPr="00BD3AAF">
        <w:rPr>
          <w:rFonts w:cs="Times New Roman"/>
        </w:rPr>
        <w:t xml:space="preserve"> éd. 2011), </w:t>
      </w:r>
      <w:r>
        <w:rPr>
          <w:rFonts w:cs="Times New Roman"/>
        </w:rPr>
        <w:t>p. </w:t>
      </w:r>
      <w:r w:rsidRPr="00BD3AAF">
        <w:rPr>
          <w:rFonts w:cs="Times New Roman"/>
        </w:rPr>
        <w:t xml:space="preserve">49). </w:t>
      </w:r>
      <w:r w:rsidRPr="00BD3AAF">
        <w:rPr>
          <w:rFonts w:cs="Times New Roman"/>
          <w:lang w:val="fr-CA"/>
        </w:rPr>
        <w:t>Ainsi que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Ontario l</w:t>
      </w:r>
      <w:r>
        <w:rPr>
          <w:rFonts w:cs="Times New Roman"/>
          <w:lang w:val="fr-CA"/>
        </w:rPr>
        <w:t>’</w:t>
      </w:r>
      <w:r w:rsidRPr="00BD3AAF">
        <w:rPr>
          <w:rFonts w:cs="Times New Roman"/>
          <w:lang w:val="fr-CA"/>
        </w:rPr>
        <w:t>a récemment souligné dans l</w:t>
      </w:r>
      <w:r>
        <w:rPr>
          <w:rFonts w:cs="Times New Roman"/>
          <w:lang w:val="fr-CA"/>
        </w:rPr>
        <w:t>’</w:t>
      </w:r>
      <w:r w:rsidRPr="00BD3AAF">
        <w:rPr>
          <w:rFonts w:cs="Times New Roman"/>
          <w:lang w:val="fr-CA"/>
        </w:rPr>
        <w:t xml:space="preserve">arrêt </w:t>
      </w:r>
      <w:r w:rsidRPr="00BD3AAF">
        <w:rPr>
          <w:rFonts w:cs="Times New Roman"/>
          <w:i/>
          <w:lang w:val="fr-CA"/>
        </w:rPr>
        <w:t>Ogiamien c. Ontario (Community Safety and Correctional Services)</w:t>
      </w:r>
      <w:r w:rsidRPr="00BD3AAF">
        <w:rPr>
          <w:rFonts w:cs="Times New Roman"/>
          <w:lang w:val="fr-CA"/>
        </w:rPr>
        <w:t xml:space="preserve"> (2017), 55 Imm. L.R. (4th) 220 (C.A. Ont.), on ne peut pas se servir de l</w:t>
      </w:r>
      <w:r>
        <w:rPr>
          <w:rFonts w:cs="Times New Roman"/>
          <w:lang w:val="fr-CA"/>
        </w:rPr>
        <w:t>’</w:t>
      </w:r>
      <w:r w:rsidRPr="00BD3AAF">
        <w:rPr>
          <w:rFonts w:cs="Times New Roman"/>
          <w:i/>
          <w:lang w:val="fr-CA"/>
        </w:rPr>
        <w:t>habeas corpus</w:t>
      </w:r>
      <w:r w:rsidRPr="00BD3AAF">
        <w:rPr>
          <w:rFonts w:cs="Times New Roman"/>
          <w:lang w:val="fr-CA"/>
        </w:rPr>
        <w:t xml:space="preserve"> pour contester incidemment des décisions en matière d</w:t>
      </w:r>
      <w:r>
        <w:rPr>
          <w:rFonts w:cs="Times New Roman"/>
          <w:lang w:val="fr-CA"/>
        </w:rPr>
        <w:t>’</w:t>
      </w:r>
      <w:r w:rsidRPr="00BD3AAF">
        <w:rPr>
          <w:rFonts w:cs="Times New Roman"/>
          <w:lang w:val="fr-CA"/>
        </w:rPr>
        <w:t>immigration pour lesquelles il existe déjà un processus du contrôle exhaustif (</w:t>
      </w:r>
      <w:r>
        <w:rPr>
          <w:rFonts w:cs="Times New Roman"/>
          <w:lang w:val="fr-CA"/>
        </w:rPr>
        <w:t>par. </w:t>
      </w:r>
      <w:r w:rsidRPr="00BD3AAF">
        <w:rPr>
          <w:rFonts w:cs="Times New Roman"/>
          <w:lang w:val="fr-CA"/>
        </w:rPr>
        <w:t>14).</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Le régime légal établi par la </w:t>
      </w:r>
      <w:r w:rsidRPr="00BD3AAF">
        <w:rPr>
          <w:rFonts w:cs="Times New Roman"/>
          <w:i/>
          <w:lang w:val="fr-CA"/>
        </w:rPr>
        <w:t>LIPR</w:t>
      </w:r>
      <w:r w:rsidRPr="00BD3AAF">
        <w:rPr>
          <w:rFonts w:cs="Times New Roman"/>
          <w:lang w:val="fr-CA"/>
        </w:rPr>
        <w:t xml:space="preserve">, le </w:t>
      </w:r>
      <w:r w:rsidRPr="00BD3AAF">
        <w:rPr>
          <w:rFonts w:cs="Times New Roman"/>
          <w:i/>
          <w:lang w:val="fr-CA"/>
        </w:rPr>
        <w:t xml:space="preserve">Règlement </w:t>
      </w:r>
      <w:r w:rsidRPr="00BD3AAF">
        <w:rPr>
          <w:rFonts w:cs="Times New Roman"/>
          <w:lang w:val="fr-CA"/>
        </w:rPr>
        <w:t xml:space="preserve">et les </w:t>
      </w:r>
      <w:r w:rsidRPr="00BD3AAF">
        <w:rPr>
          <w:rFonts w:cs="Times New Roman"/>
          <w:i/>
          <w:lang w:val="fr-CA"/>
        </w:rPr>
        <w:t>Règles de la Section de l</w:t>
      </w:r>
      <w:r>
        <w:rPr>
          <w:rFonts w:cs="Times New Roman"/>
          <w:i/>
          <w:lang w:val="fr-CA"/>
        </w:rPr>
        <w:t>’</w:t>
      </w:r>
      <w:r w:rsidRPr="00BD3AAF">
        <w:rPr>
          <w:rFonts w:cs="Times New Roman"/>
          <w:i/>
          <w:lang w:val="fr-CA"/>
        </w:rPr>
        <w:t>immigration</w:t>
      </w:r>
      <w:r w:rsidRPr="00BD3AAF">
        <w:rPr>
          <w:rFonts w:cs="Times New Roman"/>
          <w:lang w:val="fr-CA"/>
        </w:rPr>
        <w:t>, DORS/2002</w:t>
      </w:r>
      <w:r>
        <w:rPr>
          <w:rFonts w:cs="Times New Roman"/>
          <w:lang w:val="fr-CA"/>
        </w:rPr>
        <w:noBreakHyphen/>
      </w:r>
      <w:r w:rsidRPr="00BD3AAF">
        <w:rPr>
          <w:rFonts w:cs="Times New Roman"/>
          <w:lang w:val="fr-CA"/>
        </w:rPr>
        <w:t>229, en matière de contrôle des motifs de la détention aux fins de l</w:t>
      </w:r>
      <w:r>
        <w:rPr>
          <w:rFonts w:cs="Times New Roman"/>
          <w:lang w:val="fr-CA"/>
        </w:rPr>
        <w:t>’</w:t>
      </w:r>
      <w:r w:rsidRPr="00BD3AAF">
        <w:rPr>
          <w:rFonts w:cs="Times New Roman"/>
          <w:lang w:val="fr-CA"/>
        </w:rPr>
        <w:t xml:space="preserve">immigration exige un examen rapide, régulier, accessible et conforme à la </w:t>
      </w:r>
      <w:r w:rsidRPr="00BD3AAF">
        <w:rPr>
          <w:rFonts w:cs="Times New Roman"/>
          <w:i/>
          <w:lang w:val="fr-CA"/>
        </w:rPr>
        <w:t xml:space="preserve">Charte </w:t>
      </w:r>
      <w:r w:rsidRPr="00BD3AAF">
        <w:rPr>
          <w:rFonts w:cs="Times New Roman"/>
          <w:lang w:val="fr-CA"/>
        </w:rPr>
        <w:t>des décisions rendues en la matière par la Section de l</w:t>
      </w:r>
      <w:r>
        <w:rPr>
          <w:rFonts w:cs="Times New Roman"/>
          <w:lang w:val="fr-CA"/>
        </w:rPr>
        <w:t>’</w:t>
      </w:r>
      <w:r w:rsidRPr="00BD3AAF">
        <w:rPr>
          <w:rFonts w:cs="Times New Roman"/>
          <w:lang w:val="fr-CA"/>
        </w:rPr>
        <w:t>immigration de la Commission de l</w:t>
      </w:r>
      <w:r>
        <w:rPr>
          <w:rFonts w:cs="Times New Roman"/>
          <w:lang w:val="fr-CA"/>
        </w:rPr>
        <w:t>’</w:t>
      </w:r>
      <w:r w:rsidRPr="00BD3AAF">
        <w:rPr>
          <w:rFonts w:cs="Times New Roman"/>
          <w:lang w:val="fr-CA"/>
        </w:rPr>
        <w:t>immigration et du statut de réfugié, qui est un tribunal administratif quasi judiciaire indépendant possédant des connaissances spécialisées dans ce domaine, notamment en ce qui concerne la détention aux fins de l</w:t>
      </w:r>
      <w:r>
        <w:rPr>
          <w:rFonts w:cs="Times New Roman"/>
          <w:lang w:val="fr-CA"/>
        </w:rPr>
        <w:t>’</w:t>
      </w:r>
      <w:r w:rsidRPr="00BD3AAF">
        <w:rPr>
          <w:rFonts w:cs="Times New Roman"/>
          <w:lang w:val="fr-CA"/>
        </w:rPr>
        <w:t>immigration.</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Le régime établi par la </w:t>
      </w:r>
      <w:r w:rsidRPr="00BD3AAF">
        <w:rPr>
          <w:rFonts w:cs="Times New Roman"/>
          <w:i/>
          <w:lang w:val="fr-CA"/>
        </w:rPr>
        <w:t>LIPR</w:t>
      </w:r>
      <w:r w:rsidRPr="00BD3AAF">
        <w:rPr>
          <w:rFonts w:cs="Times New Roman"/>
          <w:lang w:val="fr-CA"/>
        </w:rPr>
        <w:t xml:space="preserve"> vise à assurer le même contrôle complet et conforme à la </w:t>
      </w:r>
      <w:r w:rsidRPr="00BD3AAF">
        <w:rPr>
          <w:rFonts w:cs="Times New Roman"/>
          <w:i/>
          <w:lang w:val="fr-CA"/>
        </w:rPr>
        <w:t xml:space="preserve">Charte </w:t>
      </w:r>
      <w:r w:rsidRPr="00BD3AAF">
        <w:rPr>
          <w:rFonts w:cs="Times New Roman"/>
          <w:lang w:val="fr-CA"/>
        </w:rPr>
        <w:t>de la détention aux fins de l</w:t>
      </w:r>
      <w:r>
        <w:rPr>
          <w:rFonts w:cs="Times New Roman"/>
          <w:lang w:val="fr-CA"/>
        </w:rPr>
        <w:t>’</w:t>
      </w:r>
      <w:r w:rsidRPr="00BD3AAF">
        <w:rPr>
          <w:rFonts w:cs="Times New Roman"/>
          <w:lang w:val="fr-CA"/>
        </w:rPr>
        <w:t>immigration que celui qu</w:t>
      </w:r>
      <w:r>
        <w:rPr>
          <w:rFonts w:cs="Times New Roman"/>
          <w:lang w:val="fr-CA"/>
        </w:rPr>
        <w:t>’</w:t>
      </w:r>
      <w:r w:rsidRPr="00BD3AAF">
        <w:rPr>
          <w:rFonts w:cs="Times New Roman"/>
          <w:lang w:val="fr-CA"/>
        </w:rPr>
        <w:t>offre l</w:t>
      </w:r>
      <w:r>
        <w:rPr>
          <w:rFonts w:cs="Times New Roman"/>
          <w:lang w:val="fr-CA"/>
        </w:rPr>
        <w:t>’</w:t>
      </w:r>
      <w:r w:rsidRPr="00BD3AAF">
        <w:rPr>
          <w:rFonts w:cs="Times New Roman"/>
          <w:i/>
          <w:lang w:val="fr-CA"/>
        </w:rPr>
        <w:t>habeas corpus</w:t>
      </w:r>
      <w:r w:rsidRPr="00BD3AAF">
        <w:rPr>
          <w:rFonts w:cs="Times New Roman"/>
          <w:lang w:val="fr-CA"/>
        </w:rPr>
        <w:t>. L</w:t>
      </w:r>
      <w:r>
        <w:rPr>
          <w:rFonts w:cs="Times New Roman"/>
          <w:lang w:val="fr-CA"/>
        </w:rPr>
        <w:t>’</w:t>
      </w:r>
      <w:r w:rsidRPr="00BD3AAF">
        <w:rPr>
          <w:rFonts w:cs="Times New Roman"/>
          <w:lang w:val="fr-CA"/>
        </w:rPr>
        <w:t xml:space="preserve">alinéa 3(3)d) de la </w:t>
      </w:r>
      <w:r w:rsidRPr="00BD3AAF">
        <w:rPr>
          <w:rFonts w:cs="Times New Roman"/>
          <w:i/>
          <w:lang w:val="fr-CA"/>
        </w:rPr>
        <w:t>LIPR</w:t>
      </w:r>
      <w:r w:rsidRPr="00BD3AAF">
        <w:rPr>
          <w:rFonts w:cs="Times New Roman"/>
          <w:lang w:val="fr-CA"/>
        </w:rPr>
        <w:t xml:space="preserve"> codifie l</w:t>
      </w:r>
      <w:r>
        <w:rPr>
          <w:rFonts w:cs="Times New Roman"/>
          <w:lang w:val="fr-CA"/>
        </w:rPr>
        <w:t>’</w:t>
      </w:r>
      <w:r w:rsidRPr="00BD3AAF">
        <w:rPr>
          <w:rFonts w:cs="Times New Roman"/>
          <w:lang w:val="fr-CA"/>
        </w:rPr>
        <w:t>obligation qu</w:t>
      </w:r>
      <w:r>
        <w:rPr>
          <w:rFonts w:cs="Times New Roman"/>
          <w:lang w:val="fr-CA"/>
        </w:rPr>
        <w:t>’</w:t>
      </w:r>
      <w:r w:rsidRPr="00BD3AAF">
        <w:rPr>
          <w:rFonts w:cs="Times New Roman"/>
          <w:lang w:val="fr-CA"/>
        </w:rPr>
        <w:t>ont les commissaires de la Section de l</w:t>
      </w:r>
      <w:r>
        <w:rPr>
          <w:rFonts w:cs="Times New Roman"/>
          <w:lang w:val="fr-CA"/>
        </w:rPr>
        <w:t>’</w:t>
      </w:r>
      <w:r w:rsidRPr="00BD3AAF">
        <w:rPr>
          <w:rFonts w:cs="Times New Roman"/>
          <w:lang w:val="fr-CA"/>
        </w:rPr>
        <w:t>immigration d</w:t>
      </w:r>
      <w:r>
        <w:rPr>
          <w:rFonts w:cs="Times New Roman"/>
          <w:lang w:val="fr-CA"/>
        </w:rPr>
        <w:t>’</w:t>
      </w:r>
      <w:r w:rsidRPr="00BD3AAF">
        <w:rPr>
          <w:rFonts w:cs="Times New Roman"/>
          <w:lang w:val="fr-CA"/>
        </w:rPr>
        <w:t xml:space="preserve">exercer leur pouvoir discrétionnaire conformément à la </w:t>
      </w:r>
      <w:r w:rsidRPr="00BD3AAF">
        <w:rPr>
          <w:rFonts w:cs="Times New Roman"/>
          <w:i/>
          <w:lang w:val="fr-CA"/>
        </w:rPr>
        <w:t>Charte</w:t>
      </w:r>
      <w:r>
        <w:rPr>
          <w:rFonts w:cs="Times New Roman"/>
          <w:i/>
          <w:lang w:val="fr-CA"/>
        </w:rPr>
        <w:t> </w:t>
      </w:r>
      <w:r w:rsidRPr="00EF31D5">
        <w:rPr>
          <w:rFonts w:cs="Times New Roman"/>
          <w:lang w:val="fr-CA"/>
        </w:rPr>
        <w:t>:</w:t>
      </w:r>
    </w:p>
    <w:p w:rsidR="00B233C0" w:rsidRPr="00BD3AAF" w:rsidRDefault="00B233C0" w:rsidP="00B233C0">
      <w:pPr>
        <w:pStyle w:val="Citation-AltC"/>
        <w:spacing w:after="240"/>
        <w:ind w:left="1168" w:hanging="1168"/>
        <w:contextualSpacing w:val="0"/>
        <w:rPr>
          <w:lang w:val="fr-CA"/>
        </w:rPr>
      </w:pPr>
      <w:r w:rsidRPr="00BD3AAF">
        <w:rPr>
          <w:b/>
          <w:lang w:val="fr-CA"/>
        </w:rPr>
        <w:tab/>
      </w:r>
      <w:r w:rsidR="00EF31D5">
        <w:rPr>
          <w:b/>
          <w:lang w:val="fr-CA"/>
        </w:rPr>
        <w:t>Interprétation et m</w:t>
      </w:r>
      <w:r w:rsidRPr="00BD3AAF">
        <w:rPr>
          <w:b/>
          <w:lang w:val="fr-CA"/>
        </w:rPr>
        <w:t xml:space="preserve">ise en œuvre </w:t>
      </w:r>
    </w:p>
    <w:p w:rsidR="00B233C0" w:rsidRPr="00BD3AAF" w:rsidRDefault="00B233C0" w:rsidP="00B233C0">
      <w:pPr>
        <w:pStyle w:val="Citation-AltC"/>
        <w:spacing w:after="240"/>
        <w:ind w:left="1168" w:hanging="1168"/>
        <w:contextualSpacing w:val="0"/>
        <w:rPr>
          <w:lang w:val="fr-CA"/>
        </w:rPr>
      </w:pPr>
      <w:r w:rsidRPr="00BD3AAF">
        <w:rPr>
          <w:rStyle w:val="lawlabel"/>
          <w:b/>
          <w:bCs/>
          <w:lang w:val="fr-CA"/>
        </w:rPr>
        <w:tab/>
        <w:t>(3)</w:t>
      </w:r>
      <w:r w:rsidRPr="00BD3AAF">
        <w:rPr>
          <w:lang w:val="fr-CA"/>
        </w:rPr>
        <w:t> L</w:t>
      </w:r>
      <w:r>
        <w:rPr>
          <w:lang w:val="fr-CA"/>
        </w:rPr>
        <w:t>’</w:t>
      </w:r>
      <w:r w:rsidRPr="00BD3AAF">
        <w:rPr>
          <w:lang w:val="fr-CA"/>
        </w:rPr>
        <w:t>interprétation et la mise en œuvre de la présente loi doivent avoir pour effet</w:t>
      </w:r>
      <w:r>
        <w:rPr>
          <w:lang w:val="fr-CA"/>
        </w:rPr>
        <w:t> :</w:t>
      </w:r>
      <w:r w:rsidRPr="00BD3AAF">
        <w:rPr>
          <w:lang w:val="fr-CA"/>
        </w:rPr>
        <w:t xml:space="preserve"> </w:t>
      </w:r>
    </w:p>
    <w:p w:rsidR="00B233C0" w:rsidRPr="00BD3AAF" w:rsidRDefault="00B233C0" w:rsidP="00B233C0">
      <w:pPr>
        <w:pStyle w:val="Citation-AltC"/>
        <w:spacing w:after="240"/>
        <w:ind w:left="1168" w:hanging="1168"/>
        <w:contextualSpacing w:val="0"/>
        <w:jc w:val="center"/>
        <w:rPr>
          <w:lang w:val="fr-CA"/>
        </w:rPr>
      </w:pPr>
      <w:r>
        <w:rPr>
          <w:lang w:val="fr-CA"/>
        </w:rPr>
        <w:tab/>
      </w:r>
      <w:r w:rsidRPr="00BD3AAF">
        <w:rPr>
          <w:lang w:val="fr-CA"/>
        </w:rPr>
        <w:t>. . .</w:t>
      </w:r>
    </w:p>
    <w:p w:rsidR="00B233C0" w:rsidRPr="00BD3AAF" w:rsidRDefault="00B233C0" w:rsidP="00B233C0">
      <w:pPr>
        <w:pStyle w:val="Citation-AltC"/>
        <w:spacing w:after="240"/>
        <w:ind w:left="1168" w:hanging="1168"/>
        <w:contextualSpacing w:val="0"/>
        <w:rPr>
          <w:lang w:val="fr-CA"/>
        </w:rPr>
      </w:pPr>
      <w:r w:rsidRPr="00BD3AAF">
        <w:rPr>
          <w:rStyle w:val="lawlabel"/>
          <w:bCs/>
          <w:lang w:val="fr-CA"/>
        </w:rPr>
        <w:tab/>
      </w:r>
      <w:r w:rsidRPr="00BD3AAF">
        <w:rPr>
          <w:rStyle w:val="lawlabel"/>
          <w:b/>
          <w:bCs/>
          <w:lang w:val="fr-CA"/>
        </w:rPr>
        <w:t>d)</w:t>
      </w:r>
      <w:r w:rsidRPr="00BD3AAF">
        <w:rPr>
          <w:lang w:val="fr-CA"/>
        </w:rPr>
        <w:t> d</w:t>
      </w:r>
      <w:r>
        <w:rPr>
          <w:lang w:val="fr-CA"/>
        </w:rPr>
        <w:t>’</w:t>
      </w:r>
      <w:r w:rsidRPr="00BD3AAF">
        <w:rPr>
          <w:lang w:val="fr-CA"/>
        </w:rPr>
        <w:t>assurer que les décisions prises en vertu de la présente loi sont conformes à la</w:t>
      </w:r>
      <w:r w:rsidRPr="00BD3AAF">
        <w:rPr>
          <w:rStyle w:val="HTMLCite"/>
          <w:rFonts w:eastAsiaTheme="majorEastAsia"/>
          <w:lang w:val="fr-CA"/>
        </w:rPr>
        <w:t xml:space="preserve"> Charte canadienne des droits et libertés, </w:t>
      </w:r>
      <w:r w:rsidRPr="00BD3AAF">
        <w:rPr>
          <w:lang w:val="fr-CA"/>
        </w:rPr>
        <w:t>notamment en ce qui touche les principes, d</w:t>
      </w:r>
      <w:r>
        <w:rPr>
          <w:lang w:val="fr-CA"/>
        </w:rPr>
        <w:t>’</w:t>
      </w:r>
      <w:r w:rsidRPr="00BD3AAF">
        <w:rPr>
          <w:lang w:val="fr-CA"/>
        </w:rPr>
        <w:t>une part, d</w:t>
      </w:r>
      <w:r>
        <w:rPr>
          <w:lang w:val="fr-CA"/>
        </w:rPr>
        <w:t>’</w:t>
      </w:r>
      <w:r w:rsidRPr="00BD3AAF">
        <w:rPr>
          <w:lang w:val="fr-CA"/>
        </w:rPr>
        <w:t>égalité et de protection contre la discrimination et, d</w:t>
      </w:r>
      <w:r>
        <w:rPr>
          <w:lang w:val="fr-CA"/>
        </w:rPr>
        <w:t>’</w:t>
      </w:r>
      <w:r w:rsidRPr="00BD3AAF">
        <w:rPr>
          <w:lang w:val="fr-CA"/>
        </w:rPr>
        <w:t>autre part, d</w:t>
      </w:r>
      <w:r>
        <w:rPr>
          <w:lang w:val="fr-CA"/>
        </w:rPr>
        <w:t>’</w:t>
      </w:r>
      <w:r w:rsidRPr="00BD3AAF">
        <w:rPr>
          <w:lang w:val="fr-CA"/>
        </w:rPr>
        <w:t>égalité du français et de l</w:t>
      </w:r>
      <w:r>
        <w:rPr>
          <w:lang w:val="fr-CA"/>
        </w:rPr>
        <w:t>’</w:t>
      </w:r>
      <w:r w:rsidRPr="00BD3AAF">
        <w:rPr>
          <w:lang w:val="fr-CA"/>
        </w:rPr>
        <w:t>anglais à titre des langues officielles du Canada</w:t>
      </w:r>
      <w:r w:rsidR="008E68C1">
        <w:rPr>
          <w:lang w:val="fr-CA"/>
        </w:rPr>
        <w:t>;</w:t>
      </w:r>
      <w:r w:rsidRPr="00BD3AAF">
        <w:rPr>
          <w:lang w:val="fr-CA"/>
        </w:rPr>
        <w:t xml:space="preserve"> </w:t>
      </w:r>
    </w:p>
    <w:p w:rsidR="00B233C0" w:rsidRPr="00BD3AAF" w:rsidRDefault="00B233C0" w:rsidP="00B233C0">
      <w:pPr>
        <w:pStyle w:val="Citation-AltC"/>
        <w:ind w:hanging="1166"/>
        <w:jc w:val="center"/>
        <w:rPr>
          <w:lang w:val="fr-CA"/>
        </w:rPr>
      </w:pP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La </w:t>
      </w:r>
      <w:r w:rsidRPr="00BD3AAF">
        <w:rPr>
          <w:rFonts w:cs="Times New Roman"/>
          <w:i/>
          <w:lang w:val="fr-CA"/>
        </w:rPr>
        <w:t>Charte</w:t>
      </w:r>
      <w:r w:rsidRPr="00BD3AAF">
        <w:rPr>
          <w:rFonts w:cs="Times New Roman"/>
          <w:lang w:val="fr-CA"/>
        </w:rPr>
        <w:t xml:space="preserve"> encadre par conséquent l</w:t>
      </w:r>
      <w:r>
        <w:rPr>
          <w:rFonts w:cs="Times New Roman"/>
          <w:lang w:val="fr-CA"/>
        </w:rPr>
        <w:t>’</w:t>
      </w:r>
      <w:r w:rsidRPr="00BD3AAF">
        <w:rPr>
          <w:rFonts w:cs="Times New Roman"/>
          <w:lang w:val="fr-CA"/>
        </w:rPr>
        <w:t xml:space="preserve">exercice du pouvoir discrétionnaire prévu par la </w:t>
      </w:r>
      <w:r w:rsidRPr="00BD3AAF">
        <w:rPr>
          <w:rFonts w:cs="Times New Roman"/>
          <w:i/>
          <w:lang w:val="fr-CA"/>
        </w:rPr>
        <w:t>Loi</w:t>
      </w:r>
      <w:r w:rsidRPr="00BD3AAF">
        <w:rPr>
          <w:rFonts w:cs="Times New Roman"/>
          <w:lang w:val="fr-CA"/>
        </w:rPr>
        <w:t xml:space="preserve"> et propose, en ce qui concerne l</w:t>
      </w:r>
      <w:r>
        <w:rPr>
          <w:rFonts w:cs="Times New Roman"/>
          <w:lang w:val="fr-CA"/>
        </w:rPr>
        <w:t>’</w:t>
      </w:r>
      <w:r w:rsidRPr="00BD3AAF">
        <w:rPr>
          <w:rFonts w:cs="Times New Roman"/>
          <w:lang w:val="fr-CA"/>
        </w:rPr>
        <w:t>interprétation du régime lui</w:t>
      </w:r>
      <w:r>
        <w:rPr>
          <w:rFonts w:cs="Times New Roman"/>
          <w:lang w:val="fr-CA"/>
        </w:rPr>
        <w:noBreakHyphen/>
      </w:r>
      <w:r w:rsidRPr="00BD3AAF">
        <w:rPr>
          <w:rFonts w:cs="Times New Roman"/>
          <w:lang w:val="fr-CA"/>
        </w:rPr>
        <w:t>même, certaines balises qui permettent d</w:t>
      </w:r>
      <w:r>
        <w:rPr>
          <w:rFonts w:cs="Times New Roman"/>
          <w:lang w:val="fr-CA"/>
        </w:rPr>
        <w:t>’</w:t>
      </w:r>
      <w:r w:rsidRPr="00BD3AAF">
        <w:rPr>
          <w:rFonts w:cs="Times New Roman"/>
          <w:lang w:val="fr-CA"/>
        </w:rPr>
        <w:t>en interpréter les dispositions d</w:t>
      </w:r>
      <w:r>
        <w:rPr>
          <w:rFonts w:cs="Times New Roman"/>
          <w:lang w:val="fr-CA"/>
        </w:rPr>
        <w:t>’</w:t>
      </w:r>
      <w:r w:rsidRPr="00BD3AAF">
        <w:rPr>
          <w:rFonts w:cs="Times New Roman"/>
          <w:lang w:val="fr-CA"/>
        </w:rPr>
        <w:t xml:space="preserve">une manière qui assure le contrôle le plus complet possible de la privation de liberté du détenu. Il faut donc interpréter la </w:t>
      </w:r>
      <w:r w:rsidRPr="00BD3AAF">
        <w:rPr>
          <w:rFonts w:cs="Times New Roman"/>
          <w:i/>
          <w:lang w:val="fr-CA"/>
        </w:rPr>
        <w:t>Loi</w:t>
      </w:r>
      <w:r w:rsidRPr="00BD3AAF">
        <w:rPr>
          <w:rFonts w:cs="Times New Roman"/>
          <w:lang w:val="fr-CA"/>
        </w:rPr>
        <w:t xml:space="preserve"> d</w:t>
      </w:r>
      <w:r>
        <w:rPr>
          <w:rFonts w:cs="Times New Roman"/>
          <w:lang w:val="fr-CA"/>
        </w:rPr>
        <w:t>’</w:t>
      </w:r>
      <w:r w:rsidRPr="00BD3AAF">
        <w:rPr>
          <w:rFonts w:cs="Times New Roman"/>
          <w:lang w:val="fr-CA"/>
        </w:rPr>
        <w:t>une manière qui n</w:t>
      </w:r>
      <w:r>
        <w:rPr>
          <w:rFonts w:cs="Times New Roman"/>
          <w:lang w:val="fr-CA"/>
        </w:rPr>
        <w:t>’</w:t>
      </w:r>
      <w:r w:rsidRPr="00BD3AAF">
        <w:rPr>
          <w:rFonts w:cs="Times New Roman"/>
          <w:lang w:val="fr-CA"/>
        </w:rPr>
        <w:t>en restreint pas l</w:t>
      </w:r>
      <w:r>
        <w:rPr>
          <w:rFonts w:cs="Times New Roman"/>
          <w:lang w:val="fr-CA"/>
        </w:rPr>
        <w:t>’</w:t>
      </w:r>
      <w:r w:rsidRPr="00BD3AAF">
        <w:rPr>
          <w:rFonts w:cs="Times New Roman"/>
          <w:lang w:val="fr-CA"/>
        </w:rPr>
        <w:t>objet, mais qui lui donne au contraire la plus large portée qui soit afin d</w:t>
      </w:r>
      <w:r>
        <w:rPr>
          <w:rFonts w:cs="Times New Roman"/>
          <w:lang w:val="fr-CA"/>
        </w:rPr>
        <w:t>’</w:t>
      </w:r>
      <w:r w:rsidRPr="00BD3AAF">
        <w:rPr>
          <w:rFonts w:cs="Times New Roman"/>
          <w:lang w:val="fr-CA"/>
        </w:rPr>
        <w:t>assurer la réalisation de ses objectifs par un contrôle rigoureux de la détention. L</w:t>
      </w:r>
      <w:r>
        <w:rPr>
          <w:rFonts w:cs="Times New Roman"/>
          <w:lang w:val="fr-CA"/>
        </w:rPr>
        <w:t>’</w:t>
      </w:r>
      <w:r w:rsidRPr="00BD3AAF">
        <w:rPr>
          <w:rFonts w:cs="Times New Roman"/>
          <w:lang w:val="fr-CA"/>
        </w:rPr>
        <w:t xml:space="preserve">application de la </w:t>
      </w:r>
      <w:r w:rsidRPr="00BD3AAF">
        <w:rPr>
          <w:rFonts w:cs="Times New Roman"/>
          <w:i/>
          <w:lang w:val="fr-CA"/>
        </w:rPr>
        <w:t>Charte</w:t>
      </w:r>
      <w:r w:rsidRPr="00BD3AAF">
        <w:rPr>
          <w:rFonts w:cs="Times New Roman"/>
          <w:lang w:val="fr-CA"/>
        </w:rPr>
        <w:t xml:space="preserve"> au régime établi par la </w:t>
      </w:r>
      <w:r w:rsidRPr="00BD3AAF">
        <w:rPr>
          <w:rFonts w:cs="Times New Roman"/>
          <w:i/>
          <w:lang w:val="fr-CA"/>
        </w:rPr>
        <w:t>LIPR</w:t>
      </w:r>
      <w:r w:rsidRPr="00BD3AAF">
        <w:rPr>
          <w:rFonts w:cs="Times New Roman"/>
          <w:lang w:val="fr-CA"/>
        </w:rPr>
        <w:t xml:space="preserve"> garantit aux détenus une protection qui découle de toute la panoplie des droits, ce qui comprend les questions de célérité et d</w:t>
      </w:r>
      <w:r>
        <w:rPr>
          <w:rFonts w:cs="Times New Roman"/>
          <w:lang w:val="fr-CA"/>
        </w:rPr>
        <w:t>’</w:t>
      </w:r>
      <w:r w:rsidRPr="00BD3AAF">
        <w:rPr>
          <w:rFonts w:cs="Times New Roman"/>
          <w:lang w:val="fr-CA"/>
        </w:rPr>
        <w:t>accès aux recours prévus par la loi, la nature du contrôle, le fardeau de la preuve et l</w:t>
      </w:r>
      <w:r>
        <w:rPr>
          <w:rFonts w:cs="Times New Roman"/>
          <w:lang w:val="fr-CA"/>
        </w:rPr>
        <w:t>’</w:t>
      </w:r>
      <w:r w:rsidRPr="00BD3AAF">
        <w:rPr>
          <w:rFonts w:cs="Times New Roman"/>
          <w:lang w:val="fr-CA"/>
        </w:rPr>
        <w:t>expertise.</w:t>
      </w:r>
    </w:p>
    <w:p w:rsidR="00B233C0" w:rsidRPr="00BD3AAF" w:rsidRDefault="00B233C0" w:rsidP="00B233C0">
      <w:pPr>
        <w:pStyle w:val="ParaNoNdepar-AltN"/>
        <w:rPr>
          <w:rFonts w:cs="Times New Roman"/>
          <w:lang w:val="fr-CA"/>
        </w:rPr>
      </w:pPr>
      <w:r w:rsidRPr="00BD3AAF">
        <w:rPr>
          <w:rFonts w:cs="Times New Roman"/>
          <w:lang w:val="fr-CA"/>
        </w:rPr>
        <w:t>L</w:t>
      </w:r>
      <w:r>
        <w:rPr>
          <w:rFonts w:cs="Times New Roman"/>
          <w:lang w:val="fr-CA"/>
        </w:rPr>
        <w:t>’</w:t>
      </w:r>
      <w:r w:rsidRPr="00BD3AAF">
        <w:rPr>
          <w:rFonts w:cs="Times New Roman"/>
          <w:lang w:val="fr-CA"/>
        </w:rPr>
        <w:t>idée selon laquelle un examen complet de la détention ne peut avoir lieu que dans le cadre de l</w:t>
      </w:r>
      <w:r>
        <w:rPr>
          <w:rFonts w:cs="Times New Roman"/>
          <w:lang w:val="fr-CA"/>
        </w:rPr>
        <w:t>’</w:t>
      </w:r>
      <w:r w:rsidRPr="00BD3AAF">
        <w:rPr>
          <w:rFonts w:cs="Times New Roman"/>
          <w:i/>
          <w:lang w:val="fr-CA"/>
        </w:rPr>
        <w:t>habeas corpus</w:t>
      </w:r>
      <w:r w:rsidRPr="00BD3AAF">
        <w:rPr>
          <w:rFonts w:cs="Times New Roman"/>
          <w:lang w:val="fr-CA"/>
        </w:rPr>
        <w:t xml:space="preserve"> s</w:t>
      </w:r>
      <w:r>
        <w:rPr>
          <w:rFonts w:cs="Times New Roman"/>
          <w:lang w:val="fr-CA"/>
        </w:rPr>
        <w:t>’</w:t>
      </w:r>
      <w:r w:rsidRPr="00BD3AAF">
        <w:rPr>
          <w:rFonts w:cs="Times New Roman"/>
          <w:lang w:val="fr-CA"/>
        </w:rPr>
        <w:t>explique sans doute par l</w:t>
      </w:r>
      <w:r>
        <w:rPr>
          <w:rFonts w:cs="Times New Roman"/>
          <w:lang w:val="fr-CA"/>
        </w:rPr>
        <w:t>’</w:t>
      </w:r>
      <w:r w:rsidRPr="00BD3AAF">
        <w:rPr>
          <w:rFonts w:cs="Times New Roman"/>
          <w:lang w:val="fr-CA"/>
        </w:rPr>
        <w:t>étiquette séduisante que l</w:t>
      </w:r>
      <w:r>
        <w:rPr>
          <w:rFonts w:cs="Times New Roman"/>
          <w:lang w:val="fr-CA"/>
        </w:rPr>
        <w:t>’</w:t>
      </w:r>
      <w:r w:rsidRPr="00BD3AAF">
        <w:rPr>
          <w:rFonts w:cs="Times New Roman"/>
          <w:lang w:val="fr-CA"/>
        </w:rPr>
        <w:t>on accole à cette procédure. Elle méconnaît toutefois qu</w:t>
      </w:r>
      <w:r>
        <w:rPr>
          <w:rFonts w:cs="Times New Roman"/>
          <w:lang w:val="fr-CA"/>
        </w:rPr>
        <w:t>’</w:t>
      </w:r>
      <w:r w:rsidRPr="00BD3AAF">
        <w:rPr>
          <w:rFonts w:cs="Times New Roman"/>
          <w:lang w:val="fr-CA"/>
        </w:rPr>
        <w:t xml:space="preserve">on restreint ainsi inutilement le contrôle exhaustif de la légalité de la détention prévu par la </w:t>
      </w:r>
      <w:r w:rsidRPr="00BD3AAF">
        <w:rPr>
          <w:rFonts w:cs="Times New Roman"/>
          <w:i/>
          <w:lang w:val="fr-CA"/>
        </w:rPr>
        <w:t>Loi</w:t>
      </w:r>
      <w:r w:rsidRPr="00BD3AAF">
        <w:rPr>
          <w:rFonts w:cs="Times New Roman"/>
          <w:lang w:val="fr-CA"/>
        </w:rPr>
        <w:t>. Elle fait également fi d</w:t>
      </w:r>
      <w:r>
        <w:rPr>
          <w:rFonts w:cs="Times New Roman"/>
          <w:lang w:val="fr-CA"/>
        </w:rPr>
        <w:t>’</w:t>
      </w:r>
      <w:r w:rsidRPr="00BD3AAF">
        <w:rPr>
          <w:rFonts w:cs="Times New Roman"/>
          <w:lang w:val="fr-CA"/>
        </w:rPr>
        <w:t xml:space="preserve">un principe qui fait consensus depuis longtemps dans la jurisprudence, soit que le régime établi par la </w:t>
      </w:r>
      <w:r w:rsidRPr="00BD3AAF">
        <w:rPr>
          <w:rFonts w:cs="Times New Roman"/>
          <w:i/>
          <w:lang w:val="fr-CA"/>
        </w:rPr>
        <w:t>LIPR</w:t>
      </w:r>
      <w:r w:rsidRPr="00BD3AAF">
        <w:rPr>
          <w:rFonts w:cs="Times New Roman"/>
          <w:lang w:val="fr-CA"/>
        </w:rPr>
        <w:t xml:space="preserve"> pour assurer le contrôle des décisions relatives à la détention aux fins de l</w:t>
      </w:r>
      <w:r>
        <w:rPr>
          <w:rFonts w:cs="Times New Roman"/>
          <w:lang w:val="fr-CA"/>
        </w:rPr>
        <w:t>’</w:t>
      </w:r>
      <w:r w:rsidRPr="00BD3AAF">
        <w:rPr>
          <w:rFonts w:cs="Times New Roman"/>
          <w:lang w:val="fr-CA"/>
        </w:rPr>
        <w:t>immigration offre aux détenus un recours au moins aussi large et aussi avantageux que le contrôle exercé par voie d</w:t>
      </w:r>
      <w:r>
        <w:rPr>
          <w:rFonts w:cs="Times New Roman"/>
          <w:lang w:val="fr-CA"/>
        </w:rPr>
        <w:t>’</w:t>
      </w:r>
      <w:r w:rsidRPr="00BD3AAF">
        <w:rPr>
          <w:rFonts w:cs="Times New Roman"/>
          <w:i/>
          <w:lang w:val="fr-CA"/>
        </w:rPr>
        <w:t>habeas corpus</w:t>
      </w:r>
      <w:r w:rsidRPr="00BD3AAF">
        <w:rPr>
          <w:rFonts w:cs="Times New Roman"/>
          <w:lang w:val="fr-CA"/>
        </w:rPr>
        <w:t>. À mon avis, il n</w:t>
      </w:r>
      <w:r>
        <w:rPr>
          <w:rFonts w:cs="Times New Roman"/>
          <w:lang w:val="fr-CA"/>
        </w:rPr>
        <w:t>’</w:t>
      </w:r>
      <w:r w:rsidRPr="00BD3AAF">
        <w:rPr>
          <w:rFonts w:cs="Times New Roman"/>
          <w:lang w:val="fr-CA"/>
        </w:rPr>
        <w:t>y a aucune raison de principe qui justifie d</w:t>
      </w:r>
      <w:r>
        <w:rPr>
          <w:rFonts w:cs="Times New Roman"/>
          <w:lang w:val="fr-CA"/>
        </w:rPr>
        <w:t>’</w:t>
      </w:r>
      <w:r w:rsidRPr="00BD3AAF">
        <w:rPr>
          <w:rFonts w:cs="Times New Roman"/>
          <w:lang w:val="fr-CA"/>
        </w:rPr>
        <w:t xml:space="preserve">écarter le raisonnement solide suivi dans les arrêts </w:t>
      </w:r>
      <w:r w:rsidRPr="00BD3AAF">
        <w:rPr>
          <w:rFonts w:cs="Times New Roman"/>
          <w:i/>
          <w:lang w:val="fr-CA"/>
        </w:rPr>
        <w:t>Pringle</w:t>
      </w:r>
      <w:r w:rsidRPr="00BD3AAF">
        <w:rPr>
          <w:rFonts w:cs="Times New Roman"/>
          <w:lang w:val="fr-CA"/>
        </w:rPr>
        <w:t xml:space="preserve">, </w:t>
      </w:r>
      <w:r w:rsidRPr="00BD3AAF">
        <w:rPr>
          <w:rFonts w:cs="Times New Roman"/>
          <w:i/>
          <w:lang w:val="fr-CA"/>
        </w:rPr>
        <w:t>Peiroo</w:t>
      </w:r>
      <w:r w:rsidRPr="00BD3AAF">
        <w:rPr>
          <w:rFonts w:cs="Times New Roman"/>
          <w:lang w:val="fr-CA"/>
        </w:rPr>
        <w:t xml:space="preserve">, </w:t>
      </w:r>
      <w:r w:rsidRPr="00BD3AAF">
        <w:rPr>
          <w:rFonts w:cs="Times New Roman"/>
          <w:i/>
          <w:lang w:val="fr-CA"/>
        </w:rPr>
        <w:t>Reza</w:t>
      </w:r>
      <w:r w:rsidRPr="00BD3AAF">
        <w:rPr>
          <w:rFonts w:cs="Times New Roman"/>
          <w:lang w:val="fr-CA"/>
        </w:rPr>
        <w:t xml:space="preserve"> et </w:t>
      </w:r>
      <w:r w:rsidRPr="00BD3AAF">
        <w:rPr>
          <w:rFonts w:cs="Times New Roman"/>
          <w:i/>
          <w:lang w:val="fr-CA"/>
        </w:rPr>
        <w:t>May</w:t>
      </w:r>
      <w:r w:rsidRPr="00BD3AAF">
        <w:rPr>
          <w:rFonts w:cs="Times New Roman"/>
          <w:lang w:val="fr-CA"/>
        </w:rPr>
        <w:t>.</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Au moment où la décision a été rendue dans l</w:t>
      </w:r>
      <w:r>
        <w:rPr>
          <w:rFonts w:cs="Times New Roman"/>
          <w:lang w:val="fr-CA"/>
        </w:rPr>
        <w:t>’</w:t>
      </w:r>
      <w:r w:rsidRPr="00BD3AAF">
        <w:rPr>
          <w:rFonts w:cs="Times New Roman"/>
          <w:lang w:val="fr-CA"/>
        </w:rPr>
        <w:t xml:space="preserve">affaire </w:t>
      </w:r>
      <w:r w:rsidRPr="00BD3AAF">
        <w:rPr>
          <w:rFonts w:cs="Times New Roman"/>
          <w:i/>
          <w:lang w:val="fr-CA"/>
        </w:rPr>
        <w:t>Pringle</w:t>
      </w:r>
      <w:r w:rsidRPr="00BD3AAF">
        <w:rPr>
          <w:rFonts w:cs="Times New Roman"/>
          <w:lang w:val="fr-CA"/>
        </w:rPr>
        <w:t xml:space="preserve"> en 1972, le législateur venait de modifier la </w:t>
      </w:r>
      <w:r w:rsidRPr="00BD3AAF">
        <w:rPr>
          <w:rFonts w:cs="Times New Roman"/>
          <w:i/>
          <w:lang w:val="fr-CA"/>
        </w:rPr>
        <w:t>Loi sur la Commission d</w:t>
      </w:r>
      <w:r>
        <w:rPr>
          <w:rFonts w:cs="Times New Roman"/>
          <w:i/>
          <w:lang w:val="fr-CA"/>
        </w:rPr>
        <w:t>’</w:t>
      </w:r>
      <w:r w:rsidRPr="00BD3AAF">
        <w:rPr>
          <w:rFonts w:cs="Times New Roman"/>
          <w:i/>
          <w:lang w:val="fr-CA"/>
        </w:rPr>
        <w:t>appel de l</w:t>
      </w:r>
      <w:r>
        <w:rPr>
          <w:rFonts w:cs="Times New Roman"/>
          <w:i/>
          <w:lang w:val="fr-CA"/>
        </w:rPr>
        <w:t>’</w:t>
      </w:r>
      <w:r w:rsidRPr="00BD3AAF">
        <w:rPr>
          <w:rFonts w:cs="Times New Roman"/>
          <w:i/>
          <w:lang w:val="fr-CA"/>
        </w:rPr>
        <w:t>immigration</w:t>
      </w:r>
      <w:r w:rsidRPr="00BD3AAF">
        <w:rPr>
          <w:rFonts w:cs="Times New Roman"/>
          <w:lang w:val="fr-CA"/>
        </w:rPr>
        <w:t>, S.C. 1966</w:t>
      </w:r>
      <w:r>
        <w:rPr>
          <w:rFonts w:cs="Times New Roman"/>
          <w:lang w:val="fr-CA"/>
        </w:rPr>
        <w:noBreakHyphen/>
      </w:r>
      <w:r w:rsidRPr="00BD3AAF">
        <w:rPr>
          <w:rFonts w:cs="Times New Roman"/>
          <w:lang w:val="fr-CA"/>
        </w:rPr>
        <w:t>67</w:t>
      </w:r>
      <w:r w:rsidR="00BB1D2B">
        <w:rPr>
          <w:rFonts w:cs="Times New Roman"/>
          <w:lang w:val="fr-CA"/>
        </w:rPr>
        <w:t>,</w:t>
      </w:r>
      <w:r w:rsidRPr="00BD3AAF">
        <w:rPr>
          <w:rFonts w:cs="Times New Roman"/>
          <w:lang w:val="fr-CA"/>
        </w:rPr>
        <w:t> c. 90, afin de créer un régime de contrôle des ordonnances d</w:t>
      </w:r>
      <w:r>
        <w:rPr>
          <w:rFonts w:cs="Times New Roman"/>
          <w:lang w:val="fr-CA"/>
        </w:rPr>
        <w:t>’</w:t>
      </w:r>
      <w:r w:rsidRPr="00BD3AAF">
        <w:rPr>
          <w:rFonts w:cs="Times New Roman"/>
          <w:lang w:val="fr-CA"/>
        </w:rPr>
        <w:t>expulsion par la Commission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immigration, un tribunal administratif indépendant investi de tous les pouvoirs d</w:t>
      </w:r>
      <w:r>
        <w:rPr>
          <w:rFonts w:cs="Times New Roman"/>
          <w:lang w:val="fr-CA"/>
        </w:rPr>
        <w:t>’</w:t>
      </w:r>
      <w:r w:rsidRPr="00BD3AAF">
        <w:rPr>
          <w:rFonts w:cs="Times New Roman"/>
          <w:lang w:val="fr-CA"/>
        </w:rPr>
        <w:t>une cour supérieure d</w:t>
      </w:r>
      <w:r>
        <w:rPr>
          <w:rFonts w:cs="Times New Roman"/>
          <w:lang w:val="fr-CA"/>
        </w:rPr>
        <w:t>’</w:t>
      </w:r>
      <w:r w:rsidRPr="00BD3AAF">
        <w:rPr>
          <w:rFonts w:cs="Times New Roman"/>
          <w:lang w:val="fr-CA"/>
        </w:rPr>
        <w:t>archives. Le demandeur avait interjeté appel auprès de la Commission après qu</w:t>
      </w:r>
      <w:r>
        <w:rPr>
          <w:rFonts w:cs="Times New Roman"/>
          <w:lang w:val="fr-CA"/>
        </w:rPr>
        <w:t>’</w:t>
      </w:r>
      <w:r w:rsidRPr="00BD3AAF">
        <w:rPr>
          <w:rFonts w:cs="Times New Roman"/>
          <w:lang w:val="fr-CA"/>
        </w:rPr>
        <w:t>un enquêteur en matière d</w:t>
      </w:r>
      <w:r>
        <w:rPr>
          <w:rFonts w:cs="Times New Roman"/>
          <w:lang w:val="fr-CA"/>
        </w:rPr>
        <w:t>’</w:t>
      </w:r>
      <w:r w:rsidRPr="00BD3AAF">
        <w:rPr>
          <w:rFonts w:cs="Times New Roman"/>
          <w:lang w:val="fr-CA"/>
        </w:rPr>
        <w:t>immigration eut rendu une ordonnance d</w:t>
      </w:r>
      <w:r>
        <w:rPr>
          <w:rFonts w:cs="Times New Roman"/>
          <w:lang w:val="fr-CA"/>
        </w:rPr>
        <w:t>’</w:t>
      </w:r>
      <w:r w:rsidRPr="00BD3AAF">
        <w:rPr>
          <w:rFonts w:cs="Times New Roman"/>
          <w:lang w:val="fr-CA"/>
        </w:rPr>
        <w:t xml:space="preserve">expulsion contre lui. Au même moment, il a présenté une demande de </w:t>
      </w:r>
      <w:r w:rsidRPr="00BD3AAF">
        <w:rPr>
          <w:rFonts w:cs="Times New Roman"/>
          <w:i/>
          <w:lang w:val="fr-CA"/>
        </w:rPr>
        <w:t>certiorari</w:t>
      </w:r>
      <w:r w:rsidRPr="00BD3AAF">
        <w:rPr>
          <w:rFonts w:cs="Times New Roman"/>
          <w:lang w:val="fr-CA"/>
        </w:rPr>
        <w:t xml:space="preserve"> devant la cour supérieure afin de faire annuler cette ordonnance. Sa demande de </w:t>
      </w:r>
      <w:r w:rsidRPr="00BD3AAF">
        <w:rPr>
          <w:rFonts w:cs="Times New Roman"/>
          <w:i/>
          <w:lang w:val="fr-CA"/>
        </w:rPr>
        <w:t>certiorari</w:t>
      </w:r>
      <w:r w:rsidRPr="00BD3AAF">
        <w:rPr>
          <w:rFonts w:cs="Times New Roman"/>
          <w:lang w:val="fr-CA"/>
        </w:rPr>
        <w:t xml:space="preserve"> a été rejetée en première instance, mais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 xml:space="preserve">Ontario y a fait droit. Devant la Cour, le pourvoi concernait la question de savoir si la cour supérieure avait compétence en matière de </w:t>
      </w:r>
      <w:r w:rsidRPr="00BD3AAF">
        <w:rPr>
          <w:rFonts w:cs="Times New Roman"/>
          <w:i/>
          <w:lang w:val="fr-CA"/>
        </w:rPr>
        <w:t>certiorari</w:t>
      </w:r>
      <w:r w:rsidRPr="00BD3AAF">
        <w:rPr>
          <w:rFonts w:cs="Times New Roman"/>
          <w:lang w:val="fr-CA"/>
        </w:rPr>
        <w:t xml:space="preserve"> pour annuler une ordonnance d</w:t>
      </w:r>
      <w:r>
        <w:rPr>
          <w:rFonts w:cs="Times New Roman"/>
          <w:lang w:val="fr-CA"/>
        </w:rPr>
        <w:t>’</w:t>
      </w:r>
      <w:r w:rsidRPr="00BD3AAF">
        <w:rPr>
          <w:rFonts w:cs="Times New Roman"/>
          <w:lang w:val="fr-CA"/>
        </w:rPr>
        <w:t xml:space="preserve">expulsion rendue en application de la </w:t>
      </w:r>
      <w:r w:rsidRPr="00BD3AAF">
        <w:rPr>
          <w:rFonts w:cs="Times New Roman"/>
          <w:i/>
          <w:lang w:val="fr-CA"/>
        </w:rPr>
        <w:t>Loi sur l</w:t>
      </w:r>
      <w:r>
        <w:rPr>
          <w:rFonts w:cs="Times New Roman"/>
          <w:i/>
          <w:lang w:val="fr-CA"/>
        </w:rPr>
        <w:t>’</w:t>
      </w:r>
      <w:r w:rsidRPr="00BD3AAF">
        <w:rPr>
          <w:rFonts w:cs="Times New Roman"/>
          <w:i/>
          <w:lang w:val="fr-CA"/>
        </w:rPr>
        <w:t>immigration</w:t>
      </w:r>
      <w:r w:rsidRPr="00BD3AAF">
        <w:rPr>
          <w:rFonts w:cs="Times New Roman"/>
          <w:lang w:val="fr-CA"/>
        </w:rPr>
        <w:t>, S.R.C. 1952, c. 325.</w:t>
      </w:r>
    </w:p>
    <w:p w:rsidR="00B233C0" w:rsidRPr="00BD3AAF" w:rsidRDefault="00B233C0" w:rsidP="00B233C0">
      <w:pPr>
        <w:pStyle w:val="ParaNoNdepar-AltN"/>
        <w:tabs>
          <w:tab w:val="clear" w:pos="1166"/>
          <w:tab w:val="num" w:pos="1152"/>
        </w:tabs>
        <w:rPr>
          <w:rFonts w:cs="Times New Roman"/>
          <w:lang w:val="fr-CA"/>
        </w:rPr>
      </w:pPr>
      <w:r>
        <w:rPr>
          <w:rFonts w:cs="Times New Roman"/>
          <w:lang w:val="fr-CA"/>
        </w:rPr>
        <w:t xml:space="preserve">Le juge </w:t>
      </w:r>
      <w:r w:rsidRPr="00BD3AAF">
        <w:rPr>
          <w:rFonts w:cs="Times New Roman"/>
          <w:lang w:val="fr-CA"/>
        </w:rPr>
        <w:t xml:space="preserve">Laskin a conclu que les modifications apportées à la </w:t>
      </w:r>
      <w:r w:rsidRPr="00BD3AAF">
        <w:rPr>
          <w:rFonts w:cs="Times New Roman"/>
          <w:i/>
          <w:lang w:val="fr-CA"/>
        </w:rPr>
        <w:t>Loi sur la Commission d</w:t>
      </w:r>
      <w:r>
        <w:rPr>
          <w:rFonts w:cs="Times New Roman"/>
          <w:i/>
          <w:lang w:val="fr-CA"/>
        </w:rPr>
        <w:t>’</w:t>
      </w:r>
      <w:r w:rsidRPr="00BD3AAF">
        <w:rPr>
          <w:rFonts w:cs="Times New Roman"/>
          <w:i/>
          <w:lang w:val="fr-CA"/>
        </w:rPr>
        <w:t>appel de l</w:t>
      </w:r>
      <w:r>
        <w:rPr>
          <w:rFonts w:cs="Times New Roman"/>
          <w:i/>
          <w:lang w:val="fr-CA"/>
        </w:rPr>
        <w:t>’</w:t>
      </w:r>
      <w:r w:rsidRPr="00BD3AAF">
        <w:rPr>
          <w:rFonts w:cs="Times New Roman"/>
          <w:i/>
          <w:lang w:val="fr-CA"/>
        </w:rPr>
        <w:t>immigration</w:t>
      </w:r>
      <w:r w:rsidRPr="00BD3AAF">
        <w:rPr>
          <w:rFonts w:cs="Times New Roman"/>
          <w:lang w:val="fr-CA"/>
        </w:rPr>
        <w:t xml:space="preserve"> en vue de constituer la Commission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immigration et de la doter de certains pouvoirs avaient « élargi, par rapport au régime antérieur, les voies de recours pour les appels au premier degré à l</w:t>
      </w:r>
      <w:r>
        <w:rPr>
          <w:rFonts w:cs="Times New Roman"/>
          <w:lang w:val="fr-CA"/>
        </w:rPr>
        <w:t>’</w:t>
      </w:r>
      <w:r w:rsidRPr="00BD3AAF">
        <w:rPr>
          <w:rFonts w:cs="Times New Roman"/>
          <w:lang w:val="fr-CA"/>
        </w:rPr>
        <w:t>encontre des ordonnances d</w:t>
      </w:r>
      <w:r>
        <w:rPr>
          <w:rFonts w:cs="Times New Roman"/>
          <w:lang w:val="fr-CA"/>
        </w:rPr>
        <w:t>’</w:t>
      </w:r>
      <w:r w:rsidRPr="00BD3AAF">
        <w:rPr>
          <w:rFonts w:cs="Times New Roman"/>
          <w:lang w:val="fr-CA"/>
        </w:rPr>
        <w:t>expulsion » (</w:t>
      </w:r>
      <w:r>
        <w:rPr>
          <w:rFonts w:cs="Times New Roman"/>
          <w:lang w:val="fr-CA"/>
        </w:rPr>
        <w:t>p. </w:t>
      </w:r>
      <w:r w:rsidRPr="00BD3AAF">
        <w:rPr>
          <w:rFonts w:cs="Times New Roman"/>
          <w:lang w:val="fr-CA"/>
        </w:rPr>
        <w:t>825). Le juge Laskin a également formulé les remarques suivantes</w:t>
      </w:r>
      <w:r>
        <w:rPr>
          <w:rFonts w:cs="Times New Roman"/>
          <w:lang w:val="fr-CA"/>
        </w:rPr>
        <w:t> :</w:t>
      </w:r>
    </w:p>
    <w:p w:rsidR="00B233C0" w:rsidRPr="00BD3AAF" w:rsidRDefault="00B233C0" w:rsidP="00706ECC">
      <w:pPr>
        <w:pStyle w:val="Citation-AltC"/>
        <w:ind w:hanging="1166"/>
        <w:contextualSpacing w:val="0"/>
        <w:rPr>
          <w:lang w:val="fr-CA"/>
        </w:rPr>
      </w:pPr>
      <w:r w:rsidRPr="00BD3AAF">
        <w:rPr>
          <w:lang w:val="fr-CA"/>
        </w:rPr>
        <w:tab/>
        <w:t>[</w:t>
      </w:r>
      <w:r w:rsidRPr="00BB1D2B">
        <w:rPr>
          <w:lang w:val="fr-CA"/>
        </w:rPr>
        <w:t xml:space="preserve">La </w:t>
      </w:r>
      <w:r w:rsidRPr="00BD3AAF">
        <w:rPr>
          <w:i/>
          <w:lang w:val="fr-CA"/>
        </w:rPr>
        <w:t>Loi sur la Commission d</w:t>
      </w:r>
      <w:r>
        <w:rPr>
          <w:i/>
          <w:lang w:val="fr-CA"/>
        </w:rPr>
        <w:t>’</w:t>
      </w:r>
      <w:r w:rsidRPr="00BD3AAF">
        <w:rPr>
          <w:i/>
          <w:lang w:val="fr-CA"/>
        </w:rPr>
        <w:t>appel de l</w:t>
      </w:r>
      <w:r>
        <w:rPr>
          <w:i/>
          <w:lang w:val="fr-CA"/>
        </w:rPr>
        <w:t>’</w:t>
      </w:r>
      <w:r w:rsidRPr="00BD3AAF">
        <w:rPr>
          <w:i/>
          <w:lang w:val="fr-CA"/>
        </w:rPr>
        <w:t>immigration</w:t>
      </w:r>
      <w:r w:rsidRPr="00706215">
        <w:rPr>
          <w:lang w:val="fr-CA"/>
        </w:rPr>
        <w:t>]</w:t>
      </w:r>
      <w:r w:rsidRPr="00BD3AAF">
        <w:rPr>
          <w:lang w:val="fr-CA"/>
        </w:rPr>
        <w:t xml:space="preserve"> et la </w:t>
      </w:r>
      <w:r w:rsidRPr="00BD3AAF">
        <w:rPr>
          <w:i/>
          <w:iCs/>
          <w:lang w:val="fr-CA"/>
        </w:rPr>
        <w:t>Loi sur l</w:t>
      </w:r>
      <w:r>
        <w:rPr>
          <w:i/>
          <w:iCs/>
          <w:lang w:val="fr-CA"/>
        </w:rPr>
        <w:t>’</w:t>
      </w:r>
      <w:r w:rsidRPr="00BD3AAF">
        <w:rPr>
          <w:i/>
          <w:iCs/>
          <w:lang w:val="fr-CA"/>
        </w:rPr>
        <w:t>immigration</w:t>
      </w:r>
      <w:r w:rsidRPr="00BD3AAF">
        <w:rPr>
          <w:lang w:val="fr-CA"/>
        </w:rPr>
        <w:t>, ainsi que les règlements établis en vertu de chacune d</w:t>
      </w:r>
      <w:r>
        <w:rPr>
          <w:lang w:val="fr-CA"/>
        </w:rPr>
        <w:t>’</w:t>
      </w:r>
      <w:r w:rsidRPr="00BD3AAF">
        <w:rPr>
          <w:lang w:val="fr-CA"/>
        </w:rPr>
        <w:t>elles, constituent un code à la fois de l</w:t>
      </w:r>
      <w:r>
        <w:rPr>
          <w:lang w:val="fr-CA"/>
        </w:rPr>
        <w:t>’</w:t>
      </w:r>
      <w:r w:rsidRPr="00BD3AAF">
        <w:rPr>
          <w:lang w:val="fr-CA"/>
        </w:rPr>
        <w:t>administration des matières relatives à l</w:t>
      </w:r>
      <w:r>
        <w:rPr>
          <w:lang w:val="fr-CA"/>
        </w:rPr>
        <w:t>’</w:t>
      </w:r>
      <w:r w:rsidRPr="00BD3AAF">
        <w:rPr>
          <w:lang w:val="fr-CA"/>
        </w:rPr>
        <w:t>immigration et de la révision des procédures faites en ces matières. Il n</w:t>
      </w:r>
      <w:r>
        <w:rPr>
          <w:lang w:val="fr-CA"/>
        </w:rPr>
        <w:t>’</w:t>
      </w:r>
      <w:r w:rsidRPr="00BD3AAF">
        <w:rPr>
          <w:lang w:val="fr-CA"/>
        </w:rPr>
        <w:t xml:space="preserve">y a pas de </w:t>
      </w:r>
      <w:r w:rsidRPr="00BD3AAF">
        <w:rPr>
          <w:i/>
          <w:lang w:val="fr-CA"/>
        </w:rPr>
        <w:t>common law</w:t>
      </w:r>
      <w:r w:rsidRPr="00BD3AAF">
        <w:rPr>
          <w:lang w:val="fr-CA"/>
        </w:rPr>
        <w:t xml:space="preserve"> de l</w:t>
      </w:r>
      <w:r>
        <w:rPr>
          <w:lang w:val="fr-CA"/>
        </w:rPr>
        <w:t>’</w:t>
      </w:r>
      <w:r w:rsidRPr="00BD3AAF">
        <w:rPr>
          <w:lang w:val="fr-CA"/>
        </w:rPr>
        <w:t>immigration. L</w:t>
      </w:r>
      <w:r>
        <w:rPr>
          <w:lang w:val="fr-CA"/>
        </w:rPr>
        <w:t>’</w:t>
      </w:r>
      <w:r w:rsidRPr="00BD3AAF">
        <w:rPr>
          <w:lang w:val="fr-CA"/>
        </w:rPr>
        <w:t>autorité du Parlement d</w:t>
      </w:r>
      <w:r>
        <w:rPr>
          <w:lang w:val="fr-CA"/>
        </w:rPr>
        <w:t>’</w:t>
      </w:r>
      <w:r w:rsidRPr="00BD3AAF">
        <w:rPr>
          <w:lang w:val="fr-CA"/>
        </w:rPr>
        <w:t>établir un tel code n</w:t>
      </w:r>
      <w:r>
        <w:rPr>
          <w:lang w:val="fr-CA"/>
        </w:rPr>
        <w:t>’</w:t>
      </w:r>
      <w:r w:rsidRPr="00BD3AAF">
        <w:rPr>
          <w:lang w:val="fr-CA"/>
        </w:rPr>
        <w:t>est pas contestée, pas plus que ne l</w:t>
      </w:r>
      <w:r>
        <w:rPr>
          <w:lang w:val="fr-CA"/>
        </w:rPr>
        <w:t>’</w:t>
      </w:r>
      <w:r w:rsidRPr="00BD3AAF">
        <w:rPr>
          <w:lang w:val="fr-CA"/>
        </w:rPr>
        <w:t>est son autorité de refuser ou d</w:t>
      </w:r>
      <w:r>
        <w:rPr>
          <w:lang w:val="fr-CA"/>
        </w:rPr>
        <w:t>’</w:t>
      </w:r>
      <w:r w:rsidRPr="00BD3AAF">
        <w:rPr>
          <w:lang w:val="fr-CA"/>
        </w:rPr>
        <w:t xml:space="preserve">enlever aux cours supérieures provinciales la compétence en matière de </w:t>
      </w:r>
      <w:r w:rsidRPr="00BD3AAF">
        <w:rPr>
          <w:i/>
          <w:iCs/>
          <w:lang w:val="fr-CA"/>
        </w:rPr>
        <w:t xml:space="preserve">certiorari </w:t>
      </w:r>
      <w:r w:rsidRPr="00BD3AAF">
        <w:rPr>
          <w:lang w:val="fr-CA"/>
        </w:rPr>
        <w:t>quant aux ordonnances d</w:t>
      </w:r>
      <w:r>
        <w:rPr>
          <w:lang w:val="fr-CA"/>
        </w:rPr>
        <w:t>’</w:t>
      </w:r>
      <w:r w:rsidRPr="00BD3AAF">
        <w:rPr>
          <w:lang w:val="fr-CA"/>
        </w:rPr>
        <w:t>expulsion. [</w:t>
      </w:r>
      <w:r>
        <w:rPr>
          <w:lang w:val="fr-CA"/>
        </w:rPr>
        <w:t>p. </w:t>
      </w:r>
      <w:r w:rsidRPr="00BD3AAF">
        <w:rPr>
          <w:lang w:val="fr-CA"/>
        </w:rPr>
        <w:t>825</w:t>
      </w:r>
      <w:r w:rsidR="00BB1D2B">
        <w:rPr>
          <w:lang w:val="fr-CA"/>
        </w:rPr>
        <w:t>-826</w:t>
      </w:r>
      <w:r w:rsidRPr="00BD3AAF">
        <w:rPr>
          <w:lang w:val="fr-CA"/>
        </w:rPr>
        <w:t>]</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Le juge Laskin a décidé que la </w:t>
      </w:r>
      <w:r w:rsidRPr="00BD3AAF">
        <w:rPr>
          <w:rFonts w:cs="Times New Roman"/>
          <w:i/>
          <w:lang w:val="fr-CA"/>
        </w:rPr>
        <w:t>Loi sur la Commission d</w:t>
      </w:r>
      <w:r>
        <w:rPr>
          <w:rFonts w:cs="Times New Roman"/>
          <w:i/>
          <w:lang w:val="fr-CA"/>
        </w:rPr>
        <w:t>’</w:t>
      </w:r>
      <w:r w:rsidRPr="00BD3AAF">
        <w:rPr>
          <w:rFonts w:cs="Times New Roman"/>
          <w:i/>
          <w:lang w:val="fr-CA"/>
        </w:rPr>
        <w:t>appel de l</w:t>
      </w:r>
      <w:r>
        <w:rPr>
          <w:rFonts w:cs="Times New Roman"/>
          <w:i/>
          <w:lang w:val="fr-CA"/>
        </w:rPr>
        <w:t>’</w:t>
      </w:r>
      <w:r w:rsidRPr="00BD3AAF">
        <w:rPr>
          <w:rFonts w:cs="Times New Roman"/>
          <w:i/>
          <w:lang w:val="fr-CA"/>
        </w:rPr>
        <w:t xml:space="preserve">immigration </w:t>
      </w:r>
      <w:r w:rsidRPr="00BD3AAF">
        <w:rPr>
          <w:rFonts w:cs="Times New Roman"/>
          <w:lang w:val="fr-CA"/>
        </w:rPr>
        <w:t>et son nouveau régime relatif au contrôle administratif des ordonnances d</w:t>
      </w:r>
      <w:r>
        <w:rPr>
          <w:rFonts w:cs="Times New Roman"/>
          <w:lang w:val="fr-CA"/>
        </w:rPr>
        <w:t>’</w:t>
      </w:r>
      <w:r w:rsidRPr="00BD3AAF">
        <w:rPr>
          <w:rFonts w:cs="Times New Roman"/>
          <w:lang w:val="fr-CA"/>
        </w:rPr>
        <w:t>expulsion avaient eu pour effet d</w:t>
      </w:r>
      <w:r>
        <w:rPr>
          <w:rFonts w:cs="Times New Roman"/>
          <w:lang w:val="fr-CA"/>
        </w:rPr>
        <w:t>’</w:t>
      </w:r>
      <w:r w:rsidRPr="00BD3AAF">
        <w:rPr>
          <w:rFonts w:cs="Times New Roman"/>
          <w:lang w:val="fr-CA"/>
        </w:rPr>
        <w:t xml:space="preserve">écarter la compétence de la cour supérieure en matière de </w:t>
      </w:r>
      <w:r w:rsidRPr="00BD3AAF">
        <w:rPr>
          <w:rFonts w:cs="Times New Roman"/>
          <w:i/>
          <w:lang w:val="fr-CA"/>
        </w:rPr>
        <w:t>certiorari</w:t>
      </w:r>
      <w:r w:rsidRPr="00BD3AAF">
        <w:rPr>
          <w:rFonts w:cs="Times New Roman"/>
          <w:lang w:val="fr-CA"/>
        </w:rPr>
        <w:t>. Il a rejeté l</w:t>
      </w:r>
      <w:r>
        <w:rPr>
          <w:rFonts w:cs="Times New Roman"/>
          <w:lang w:val="fr-CA"/>
        </w:rPr>
        <w:t>’</w:t>
      </w:r>
      <w:r w:rsidRPr="00BD3AAF">
        <w:rPr>
          <w:rFonts w:cs="Times New Roman"/>
          <w:lang w:val="fr-CA"/>
        </w:rPr>
        <w:t>argument selon lequel le législateur n</w:t>
      </w:r>
      <w:r>
        <w:rPr>
          <w:rFonts w:cs="Times New Roman"/>
          <w:lang w:val="fr-CA"/>
        </w:rPr>
        <w:t>’</w:t>
      </w:r>
      <w:r w:rsidRPr="00BD3AAF">
        <w:rPr>
          <w:rFonts w:cs="Times New Roman"/>
          <w:lang w:val="fr-CA"/>
        </w:rPr>
        <w:t>avait pas clairement exprimé, dans le nouveau régime d</w:t>
      </w:r>
      <w:r>
        <w:rPr>
          <w:rFonts w:cs="Times New Roman"/>
          <w:lang w:val="fr-CA"/>
        </w:rPr>
        <w:t>’</w:t>
      </w:r>
      <w:r w:rsidRPr="00BD3AAF">
        <w:rPr>
          <w:rFonts w:cs="Times New Roman"/>
          <w:lang w:val="fr-CA"/>
        </w:rPr>
        <w:t xml:space="preserve">immigration, son intention que le régime retire aux cours supérieures provinciales leur compétence en matière de </w:t>
      </w:r>
      <w:r w:rsidRPr="00BD3AAF">
        <w:rPr>
          <w:rFonts w:cs="Times New Roman"/>
          <w:i/>
          <w:lang w:val="fr-CA"/>
        </w:rPr>
        <w:t>certiorari.</w:t>
      </w:r>
      <w:r w:rsidRPr="00BD3AAF">
        <w:rPr>
          <w:rFonts w:cs="Times New Roman"/>
          <w:lang w:val="fr-CA"/>
        </w:rPr>
        <w:t xml:space="preserve"> Au contraire, il a estimé que l</w:t>
      </w:r>
      <w:r>
        <w:rPr>
          <w:rFonts w:cs="Times New Roman"/>
          <w:lang w:val="fr-CA"/>
        </w:rPr>
        <w:t>’art. </w:t>
      </w:r>
      <w:r w:rsidRPr="00BD3AAF">
        <w:rPr>
          <w:rFonts w:cs="Times New Roman"/>
          <w:lang w:val="fr-CA"/>
        </w:rPr>
        <w:t>22 du régime conférait expressément à la Commission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 xml:space="preserve">immigration la « compétence exclusive pour entendre et décider toutes questions de </w:t>
      </w:r>
      <w:r w:rsidR="00857F07">
        <w:rPr>
          <w:rFonts w:cs="Times New Roman"/>
          <w:lang w:val="fr-CA"/>
        </w:rPr>
        <w:t>fait</w:t>
      </w:r>
      <w:r w:rsidRPr="00BD3AAF">
        <w:rPr>
          <w:rFonts w:cs="Times New Roman"/>
          <w:lang w:val="fr-CA"/>
        </w:rPr>
        <w:t xml:space="preserve"> ou de </w:t>
      </w:r>
      <w:r w:rsidR="00857F07">
        <w:rPr>
          <w:rFonts w:cs="Times New Roman"/>
          <w:lang w:val="fr-CA"/>
        </w:rPr>
        <w:t>droit</w:t>
      </w:r>
      <w:r w:rsidRPr="00BD3AAF">
        <w:rPr>
          <w:rFonts w:cs="Times New Roman"/>
          <w:lang w:val="fr-CA"/>
        </w:rPr>
        <w:t>, y compris les questions de compétence ». Selon le juge</w:t>
      </w:r>
      <w:r>
        <w:rPr>
          <w:rFonts w:cs="Times New Roman"/>
          <w:lang w:val="fr-CA"/>
        </w:rPr>
        <w:t xml:space="preserve"> </w:t>
      </w:r>
      <w:r w:rsidRPr="00BD3AAF">
        <w:rPr>
          <w:rFonts w:cs="Times New Roman"/>
          <w:lang w:val="fr-CA"/>
        </w:rPr>
        <w:t>Laskin, le sens ordinaire du texte législatif illustre qu</w:t>
      </w:r>
      <w:r>
        <w:rPr>
          <w:rFonts w:cs="Times New Roman"/>
          <w:lang w:val="fr-CA"/>
        </w:rPr>
        <w:t>’</w:t>
      </w:r>
      <w:r w:rsidRPr="00BD3AAF">
        <w:rPr>
          <w:rFonts w:cs="Times New Roman"/>
          <w:lang w:val="fr-CA"/>
        </w:rPr>
        <w:t>il visait clairement à empêcher que tout autre cour de justice ou tribunal administratif soit saisi de la même demande</w:t>
      </w:r>
      <w:r>
        <w:rPr>
          <w:rFonts w:cs="Times New Roman"/>
          <w:lang w:val="fr-CA"/>
        </w:rPr>
        <w:t> :</w:t>
      </w:r>
      <w:r w:rsidRPr="00BD3AAF">
        <w:rPr>
          <w:rFonts w:cs="Times New Roman"/>
          <w:lang w:val="fr-CA"/>
        </w:rPr>
        <w:t xml:space="preserve"> </w:t>
      </w:r>
    </w:p>
    <w:p w:rsidR="00B233C0" w:rsidRPr="00BD3AAF" w:rsidRDefault="00B233C0" w:rsidP="00B233C0">
      <w:pPr>
        <w:pStyle w:val="Citation-AltC"/>
        <w:ind w:left="1168" w:hanging="1168"/>
        <w:contextualSpacing w:val="0"/>
        <w:rPr>
          <w:lang w:val="fr-CA"/>
        </w:rPr>
      </w:pPr>
      <w:r w:rsidRPr="00BD3AAF">
        <w:rPr>
          <w:lang w:val="fr-CA"/>
        </w:rPr>
        <w:tab/>
      </w:r>
      <w:r w:rsidRPr="00BD3AAF">
        <w:rPr>
          <w:lang w:val="fr-CA"/>
        </w:rPr>
        <w:tab/>
        <w:t>La conclusion à laquelle j</w:t>
      </w:r>
      <w:r>
        <w:rPr>
          <w:lang w:val="fr-CA"/>
        </w:rPr>
        <w:t>’</w:t>
      </w:r>
      <w:r w:rsidRPr="00BD3AAF">
        <w:rPr>
          <w:lang w:val="fr-CA"/>
        </w:rPr>
        <w:t>en arriverais va au</w:t>
      </w:r>
      <w:r>
        <w:rPr>
          <w:lang w:val="fr-CA"/>
        </w:rPr>
        <w:noBreakHyphen/>
      </w:r>
      <w:r w:rsidRPr="00BD3AAF">
        <w:rPr>
          <w:lang w:val="fr-CA"/>
        </w:rPr>
        <w:t>delà du sens littéral des termes de l</w:t>
      </w:r>
      <w:r>
        <w:rPr>
          <w:lang w:val="fr-CA"/>
        </w:rPr>
        <w:t>’art. </w:t>
      </w:r>
      <w:r w:rsidRPr="00BD3AAF">
        <w:rPr>
          <w:lang w:val="fr-CA"/>
        </w:rPr>
        <w:t>22. Les faits de l</w:t>
      </w:r>
      <w:r>
        <w:rPr>
          <w:lang w:val="fr-CA"/>
        </w:rPr>
        <w:t>’</w:t>
      </w:r>
      <w:r w:rsidRPr="00BD3AAF">
        <w:rPr>
          <w:lang w:val="fr-CA"/>
        </w:rPr>
        <w:t>espèce démontrent que la juridiction d</w:t>
      </w:r>
      <w:r>
        <w:rPr>
          <w:lang w:val="fr-CA"/>
        </w:rPr>
        <w:t>’</w:t>
      </w:r>
      <w:r w:rsidRPr="00BD3AAF">
        <w:rPr>
          <w:lang w:val="fr-CA"/>
        </w:rPr>
        <w:t xml:space="preserve">appel conférée à la Commission est inconciliable avec le maintien de la compétence en matière de </w:t>
      </w:r>
      <w:r w:rsidRPr="00BD3AAF">
        <w:rPr>
          <w:i/>
          <w:lang w:val="fr-CA"/>
        </w:rPr>
        <w:t>certiorari</w:t>
      </w:r>
      <w:r w:rsidRPr="00BD3AAF">
        <w:rPr>
          <w:lang w:val="fr-CA"/>
        </w:rPr>
        <w:t xml:space="preserve"> des cours supérieures provinciales. Il n</w:t>
      </w:r>
      <w:r>
        <w:rPr>
          <w:lang w:val="fr-CA"/>
        </w:rPr>
        <w:t>’</w:t>
      </w:r>
      <w:r w:rsidRPr="00BD3AAF">
        <w:rPr>
          <w:lang w:val="fr-CA"/>
        </w:rPr>
        <w:t>a pas été avancé que des procédures en annulation engagées en Cour suprême de l</w:t>
      </w:r>
      <w:r>
        <w:rPr>
          <w:lang w:val="fr-CA"/>
        </w:rPr>
        <w:t>’</w:t>
      </w:r>
      <w:r w:rsidRPr="00BD3AAF">
        <w:rPr>
          <w:lang w:val="fr-CA"/>
        </w:rPr>
        <w:t>Ontario feraient échouer l</w:t>
      </w:r>
      <w:r>
        <w:rPr>
          <w:lang w:val="fr-CA"/>
        </w:rPr>
        <w:t>’</w:t>
      </w:r>
      <w:r w:rsidRPr="00BD3AAF">
        <w:rPr>
          <w:lang w:val="fr-CA"/>
        </w:rPr>
        <w:t>appel interjeté à la Commission. En fait, Fraser n</w:t>
      </w:r>
      <w:r>
        <w:rPr>
          <w:lang w:val="fr-CA"/>
        </w:rPr>
        <w:t>’</w:t>
      </w:r>
      <w:r w:rsidRPr="00BD3AAF">
        <w:rPr>
          <w:lang w:val="fr-CA"/>
        </w:rPr>
        <w:t xml:space="preserve">a pas abandonné son appel en engageant des procédures en </w:t>
      </w:r>
      <w:r w:rsidRPr="00BD3AAF">
        <w:rPr>
          <w:i/>
          <w:lang w:val="fr-CA"/>
        </w:rPr>
        <w:t>certiorari</w:t>
      </w:r>
      <w:r w:rsidRPr="00BD3AAF">
        <w:rPr>
          <w:lang w:val="fr-CA"/>
        </w:rPr>
        <w:t>. Cependant, je n</w:t>
      </w:r>
      <w:r>
        <w:rPr>
          <w:lang w:val="fr-CA"/>
        </w:rPr>
        <w:t>’</w:t>
      </w:r>
      <w:r w:rsidRPr="00BD3AAF">
        <w:rPr>
          <w:lang w:val="fr-CA"/>
        </w:rPr>
        <w:t>ai pas l</w:t>
      </w:r>
      <w:r>
        <w:rPr>
          <w:lang w:val="fr-CA"/>
        </w:rPr>
        <w:t>’</w:t>
      </w:r>
      <w:r w:rsidRPr="00BD3AAF">
        <w:rPr>
          <w:lang w:val="fr-CA"/>
        </w:rPr>
        <w:t>intention de traiter cette affaire comme si un choix de recours s</w:t>
      </w:r>
      <w:r>
        <w:rPr>
          <w:lang w:val="fr-CA"/>
        </w:rPr>
        <w:t>’</w:t>
      </w:r>
      <w:r w:rsidRPr="00BD3AAF">
        <w:rPr>
          <w:lang w:val="fr-CA"/>
        </w:rPr>
        <w:t>était exercé et que ce choix dictait la décision à prendre. Certes, la possibilité de deux décisions contradictoires (chacune pouvant faire l</w:t>
      </w:r>
      <w:r>
        <w:rPr>
          <w:lang w:val="fr-CA"/>
        </w:rPr>
        <w:t>’</w:t>
      </w:r>
      <w:r w:rsidRPr="00BD3AAF">
        <w:rPr>
          <w:lang w:val="fr-CA"/>
        </w:rPr>
        <w:t>objet d</w:t>
      </w:r>
      <w:r>
        <w:rPr>
          <w:lang w:val="fr-CA"/>
        </w:rPr>
        <w:t>’</w:t>
      </w:r>
      <w:r w:rsidRPr="00BD3AAF">
        <w:rPr>
          <w:lang w:val="fr-CA"/>
        </w:rPr>
        <w:t>un appel ultime à cette Cour) n</w:t>
      </w:r>
      <w:r>
        <w:rPr>
          <w:lang w:val="fr-CA"/>
        </w:rPr>
        <w:t>’</w:t>
      </w:r>
      <w:r w:rsidRPr="00BD3AAF">
        <w:rPr>
          <w:lang w:val="fr-CA"/>
        </w:rPr>
        <w:t>a rien de recommandable. La seule solution pratique est de reconnaître l</w:t>
      </w:r>
      <w:r>
        <w:rPr>
          <w:lang w:val="fr-CA"/>
        </w:rPr>
        <w:t>’</w:t>
      </w:r>
      <w:r w:rsidRPr="00BD3AAF">
        <w:rPr>
          <w:lang w:val="fr-CA"/>
        </w:rPr>
        <w:t>exclusivité de la procédure spéciale prescrite par le Parlement. [</w:t>
      </w:r>
      <w:r>
        <w:rPr>
          <w:lang w:val="fr-CA"/>
        </w:rPr>
        <w:t>p. </w:t>
      </w:r>
      <w:r w:rsidRPr="00BD3AAF">
        <w:rPr>
          <w:lang w:val="fr-CA"/>
        </w:rPr>
        <w:t>82</w:t>
      </w:r>
      <w:r w:rsidR="001F1B74">
        <w:rPr>
          <w:lang w:val="fr-CA"/>
        </w:rPr>
        <w:t>7</w:t>
      </w:r>
      <w:r w:rsidRPr="00BD3AAF">
        <w:rPr>
          <w:lang w:val="fr-CA"/>
        </w:rPr>
        <w:t>]</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Après avoir comparé le </w:t>
      </w:r>
      <w:r w:rsidRPr="00BD3AAF">
        <w:rPr>
          <w:rFonts w:cs="Times New Roman"/>
          <w:i/>
          <w:lang w:val="fr-CA"/>
        </w:rPr>
        <w:t>certiorari</w:t>
      </w:r>
      <w:r w:rsidRPr="00BD3AAF">
        <w:rPr>
          <w:rFonts w:cs="Times New Roman"/>
          <w:lang w:val="fr-CA"/>
        </w:rPr>
        <w:t xml:space="preserve"> à l</w:t>
      </w:r>
      <w:r>
        <w:rPr>
          <w:rFonts w:cs="Times New Roman"/>
          <w:lang w:val="fr-CA"/>
        </w:rPr>
        <w:t>’</w:t>
      </w:r>
      <w:r w:rsidRPr="00BD3AAF">
        <w:rPr>
          <w:rFonts w:cs="Times New Roman"/>
          <w:i/>
          <w:lang w:val="fr-CA"/>
        </w:rPr>
        <w:t>habeas corpus</w:t>
      </w:r>
      <w:r w:rsidRPr="00BD3AAF">
        <w:rPr>
          <w:rFonts w:cs="Times New Roman"/>
          <w:lang w:val="fr-CA"/>
        </w:rPr>
        <w:t>, le juge Laskin a conclu qu</w:t>
      </w:r>
      <w:r>
        <w:rPr>
          <w:rFonts w:cs="Times New Roman"/>
          <w:lang w:val="fr-CA"/>
        </w:rPr>
        <w:t>’</w:t>
      </w:r>
      <w:r w:rsidRPr="00BD3AAF">
        <w:rPr>
          <w:rFonts w:cs="Times New Roman"/>
          <w:lang w:val="fr-CA"/>
        </w:rPr>
        <w:t>il s</w:t>
      </w:r>
      <w:r>
        <w:rPr>
          <w:rFonts w:cs="Times New Roman"/>
          <w:lang w:val="fr-CA"/>
        </w:rPr>
        <w:t>’</w:t>
      </w:r>
      <w:r w:rsidRPr="00BD3AAF">
        <w:rPr>
          <w:rFonts w:cs="Times New Roman"/>
          <w:lang w:val="fr-CA"/>
        </w:rPr>
        <w:t xml:space="preserve">agissait, dans les deux cas, de mesures de réparation dont </w:t>
      </w:r>
      <w:r w:rsidR="001F1B74" w:rsidRPr="00BD3AAF">
        <w:rPr>
          <w:rFonts w:cs="Times New Roman"/>
          <w:lang w:val="fr-CA"/>
        </w:rPr>
        <w:t>l</w:t>
      </w:r>
      <w:r w:rsidR="001F1B74">
        <w:rPr>
          <w:rFonts w:cs="Times New Roman"/>
          <w:lang w:val="fr-CA"/>
        </w:rPr>
        <w:t>’</w:t>
      </w:r>
      <w:r w:rsidRPr="00BD3AAF">
        <w:rPr>
          <w:rFonts w:cs="Times New Roman"/>
          <w:lang w:val="fr-CA"/>
        </w:rPr>
        <w:t>« application dépend de la question de savoir si la législature compétente le</w:t>
      </w:r>
      <w:r w:rsidRPr="00BD3AAF">
        <w:rPr>
          <w:rFonts w:cs="Times New Roman"/>
          <w:lang w:val="fr-CA"/>
        </w:rPr>
        <w:sym w:font="Symbol" w:char="F05B"/>
      </w:r>
      <w:r w:rsidRPr="00BD3AAF">
        <w:rPr>
          <w:rFonts w:cs="Times New Roman"/>
          <w:lang w:val="fr-CA"/>
        </w:rPr>
        <w:t>s</w:t>
      </w:r>
      <w:r w:rsidRPr="00BD3AAF">
        <w:rPr>
          <w:rFonts w:cs="Times New Roman"/>
          <w:lang w:val="fr-CA"/>
        </w:rPr>
        <w:sym w:font="Symbol" w:char="F05D"/>
      </w:r>
      <w:r w:rsidRPr="00BD3AAF">
        <w:rPr>
          <w:rFonts w:cs="Times New Roman"/>
          <w:lang w:val="fr-CA"/>
        </w:rPr>
        <w:t xml:space="preserve"> prescrit comme recours » (</w:t>
      </w:r>
      <w:r>
        <w:rPr>
          <w:rFonts w:cs="Times New Roman"/>
          <w:lang w:val="fr-CA"/>
        </w:rPr>
        <w:t>p. </w:t>
      </w:r>
      <w:r w:rsidRPr="00BD3AAF">
        <w:rPr>
          <w:rFonts w:cs="Times New Roman"/>
          <w:lang w:val="fr-CA"/>
        </w:rPr>
        <w:t>826, citant l</w:t>
      </w:r>
      <w:r>
        <w:rPr>
          <w:rFonts w:cs="Times New Roman"/>
          <w:lang w:val="fr-CA"/>
        </w:rPr>
        <w:t>’</w:t>
      </w:r>
      <w:r w:rsidRPr="00BD3AAF">
        <w:rPr>
          <w:rFonts w:cs="Times New Roman"/>
          <w:lang w:val="fr-CA"/>
        </w:rPr>
        <w:t xml:space="preserve">arrêt </w:t>
      </w:r>
      <w:r w:rsidRPr="00BD3AAF">
        <w:rPr>
          <w:rFonts w:cs="Times New Roman"/>
          <w:i/>
          <w:lang w:val="fr-CA"/>
        </w:rPr>
        <w:t>In re Storgoff</w:t>
      </w:r>
      <w:r w:rsidRPr="00BD3AAF">
        <w:rPr>
          <w:rFonts w:cs="Times New Roman"/>
          <w:lang w:val="fr-CA"/>
        </w:rPr>
        <w:t>, [1945] R.C.S. 526). Ces recours « ne s</w:t>
      </w:r>
      <w:r>
        <w:rPr>
          <w:rFonts w:cs="Times New Roman"/>
          <w:lang w:val="fr-CA"/>
        </w:rPr>
        <w:t>’</w:t>
      </w:r>
      <w:r w:rsidRPr="00BD3AAF">
        <w:rPr>
          <w:rFonts w:cs="Times New Roman"/>
          <w:lang w:val="fr-CA"/>
        </w:rPr>
        <w:t>appliqu[ent</w:t>
      </w:r>
      <w:r w:rsidRPr="00BD3AAF">
        <w:rPr>
          <w:rFonts w:cs="Times New Roman"/>
          <w:lang w:val="fr-CA"/>
        </w:rPr>
        <w:sym w:font="Symbol" w:char="F05D"/>
      </w:r>
      <w:r w:rsidRPr="00BD3AAF">
        <w:rPr>
          <w:rFonts w:cs="Times New Roman"/>
          <w:lang w:val="fr-CA"/>
        </w:rPr>
        <w:t xml:space="preserve"> pas nécessairement à toutes les matières à l</w:t>
      </w:r>
      <w:r>
        <w:rPr>
          <w:rFonts w:cs="Times New Roman"/>
          <w:lang w:val="fr-CA"/>
        </w:rPr>
        <w:t>’</w:t>
      </w:r>
      <w:r w:rsidRPr="00BD3AAF">
        <w:rPr>
          <w:rFonts w:cs="Times New Roman"/>
          <w:lang w:val="fr-CA"/>
        </w:rPr>
        <w:t xml:space="preserve">égard desquelles on pourrait </w:t>
      </w:r>
      <w:r w:rsidRPr="00BD3AAF">
        <w:rPr>
          <w:rFonts w:cs="Times New Roman"/>
          <w:lang w:val="fr-CA"/>
        </w:rPr>
        <w:sym w:font="Symbol" w:char="F05B"/>
      </w:r>
      <w:r w:rsidRPr="00BD3AAF">
        <w:rPr>
          <w:rFonts w:cs="Times New Roman"/>
          <w:lang w:val="fr-CA"/>
        </w:rPr>
        <w:t>les</w:t>
      </w:r>
      <w:r w:rsidRPr="00BD3AAF">
        <w:rPr>
          <w:rFonts w:cs="Times New Roman"/>
          <w:lang w:val="fr-CA"/>
        </w:rPr>
        <w:sym w:font="Symbol" w:char="F05D"/>
      </w:r>
      <w:r w:rsidRPr="00BD3AAF">
        <w:rPr>
          <w:rFonts w:cs="Times New Roman"/>
          <w:lang w:val="fr-CA"/>
        </w:rPr>
        <w:t xml:space="preserve"> employer, si une loi valide d</w:t>
      </w:r>
      <w:r>
        <w:rPr>
          <w:rFonts w:cs="Times New Roman"/>
          <w:lang w:val="fr-CA"/>
        </w:rPr>
        <w:t>’</w:t>
      </w:r>
      <w:r w:rsidRPr="00BD3AAF">
        <w:rPr>
          <w:rFonts w:cs="Times New Roman"/>
          <w:lang w:val="fr-CA"/>
        </w:rPr>
        <w:t>exclusion est adoptée » (</w:t>
      </w:r>
      <w:r w:rsidR="001F1B74">
        <w:rPr>
          <w:rFonts w:cs="Times New Roman"/>
          <w:lang w:val="fr-CA"/>
        </w:rPr>
        <w:t>p.</w:t>
      </w:r>
      <w:r w:rsidR="001F1B74" w:rsidRPr="00BD3AAF">
        <w:rPr>
          <w:rFonts w:cs="Times New Roman"/>
          <w:lang w:val="fr-CA"/>
        </w:rPr>
        <w:t xml:space="preserve"> </w:t>
      </w:r>
      <w:r w:rsidRPr="00BD3AAF">
        <w:rPr>
          <w:rFonts w:cs="Times New Roman"/>
          <w:lang w:val="fr-CA"/>
        </w:rPr>
        <w:t>827).</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 xml:space="preserve">Les principes formulés dans </w:t>
      </w:r>
      <w:r w:rsidRPr="00BD3AAF">
        <w:rPr>
          <w:rFonts w:cs="Times New Roman"/>
          <w:i/>
          <w:lang w:val="fr-CA"/>
        </w:rPr>
        <w:t>Pringle</w:t>
      </w:r>
      <w:r w:rsidRPr="00BD3AAF">
        <w:rPr>
          <w:rFonts w:cs="Times New Roman"/>
          <w:lang w:val="fr-CA"/>
        </w:rPr>
        <w:t xml:space="preserve"> ont été adoptés dans l</w:t>
      </w:r>
      <w:r>
        <w:rPr>
          <w:rFonts w:cs="Times New Roman"/>
          <w:lang w:val="fr-CA"/>
        </w:rPr>
        <w:t>’</w:t>
      </w:r>
      <w:r w:rsidRPr="00BD3AAF">
        <w:rPr>
          <w:rFonts w:cs="Times New Roman"/>
          <w:lang w:val="fr-CA"/>
        </w:rPr>
        <w:t>arrêt</w:t>
      </w:r>
      <w:r>
        <w:rPr>
          <w:rFonts w:cs="Times New Roman"/>
          <w:lang w:val="fr-CA"/>
        </w:rPr>
        <w:t xml:space="preserve"> </w:t>
      </w:r>
      <w:r w:rsidRPr="00BD3AAF">
        <w:rPr>
          <w:rFonts w:cs="Times New Roman"/>
          <w:i/>
          <w:lang w:val="fr-CA"/>
        </w:rPr>
        <w:t>Peiroo</w:t>
      </w:r>
      <w:r w:rsidRPr="00BD3AAF">
        <w:rPr>
          <w:rFonts w:cs="Times New Roman"/>
          <w:lang w:val="fr-CA"/>
        </w:rPr>
        <w:t>. Dans cette dernière affaire, la demanderesse avait présenté une demande d</w:t>
      </w:r>
      <w:r>
        <w:rPr>
          <w:rFonts w:cs="Times New Roman"/>
          <w:lang w:val="fr-CA"/>
        </w:rPr>
        <w:t>’</w:t>
      </w:r>
      <w:r w:rsidRPr="00BD3AAF">
        <w:rPr>
          <w:rFonts w:cs="Times New Roman"/>
          <w:lang w:val="fr-CA"/>
        </w:rPr>
        <w:t>asile au Canada. La Section du statut de réfugié de la Commission de l</w:t>
      </w:r>
      <w:r>
        <w:rPr>
          <w:rFonts w:cs="Times New Roman"/>
          <w:lang w:val="fr-CA"/>
        </w:rPr>
        <w:t>’</w:t>
      </w:r>
      <w:r w:rsidRPr="00BD3AAF">
        <w:rPr>
          <w:rFonts w:cs="Times New Roman"/>
          <w:lang w:val="fr-CA"/>
        </w:rPr>
        <w:t>immigration et du statut de réfugié avait conclu à l</w:t>
      </w:r>
      <w:r>
        <w:rPr>
          <w:rFonts w:cs="Times New Roman"/>
          <w:lang w:val="fr-CA"/>
        </w:rPr>
        <w:t>’</w:t>
      </w:r>
      <w:r w:rsidRPr="00BD3AAF">
        <w:rPr>
          <w:rFonts w:cs="Times New Roman"/>
          <w:lang w:val="fr-CA"/>
        </w:rPr>
        <w:t xml:space="preserve">absence de fondement crédible de cette demande et avait pris une mesure de renvoi conformément aux dispositions de ce qui était alors la </w:t>
      </w:r>
      <w:r w:rsidRPr="00BD3AAF">
        <w:rPr>
          <w:rFonts w:cs="Times New Roman"/>
          <w:i/>
          <w:lang w:val="fr-CA"/>
        </w:rPr>
        <w:t>Loi sur l</w:t>
      </w:r>
      <w:r>
        <w:rPr>
          <w:rFonts w:cs="Times New Roman"/>
          <w:i/>
          <w:lang w:val="fr-CA"/>
        </w:rPr>
        <w:t>’</w:t>
      </w:r>
      <w:r w:rsidRPr="00BD3AAF">
        <w:rPr>
          <w:rFonts w:cs="Times New Roman"/>
          <w:i/>
          <w:lang w:val="fr-CA"/>
        </w:rPr>
        <w:t>immigration</w:t>
      </w:r>
      <w:r w:rsidRPr="00BD3AAF">
        <w:rPr>
          <w:rFonts w:cs="Times New Roman"/>
          <w:lang w:val="fr-CA"/>
        </w:rPr>
        <w:t>, L.R.C. 1985, c.</w:t>
      </w:r>
      <w:r>
        <w:rPr>
          <w:rFonts w:cs="Times New Roman"/>
          <w:lang w:val="fr-CA"/>
        </w:rPr>
        <w:t> </w:t>
      </w:r>
      <w:r w:rsidRPr="00BD3AAF">
        <w:rPr>
          <w:rFonts w:cs="Times New Roman"/>
          <w:lang w:val="fr-CA"/>
        </w:rPr>
        <w:t>I</w:t>
      </w:r>
      <w:r>
        <w:rPr>
          <w:rFonts w:cs="Times New Roman"/>
          <w:lang w:val="fr-CA"/>
        </w:rPr>
        <w:noBreakHyphen/>
      </w:r>
      <w:r w:rsidRPr="00BD3AAF">
        <w:rPr>
          <w:rFonts w:cs="Times New Roman"/>
          <w:lang w:val="fr-CA"/>
        </w:rPr>
        <w:t>2. Madame</w:t>
      </w:r>
      <w:r>
        <w:rPr>
          <w:rFonts w:cs="Times New Roman"/>
          <w:lang w:val="fr-CA"/>
        </w:rPr>
        <w:t xml:space="preserve"> </w:t>
      </w:r>
      <w:r w:rsidRPr="00BD3AAF">
        <w:rPr>
          <w:rFonts w:cs="Times New Roman"/>
          <w:lang w:val="fr-CA"/>
        </w:rPr>
        <w:t>Peiroo a été placée dans un centre de détention aux fins de l</w:t>
      </w:r>
      <w:r>
        <w:rPr>
          <w:rFonts w:cs="Times New Roman"/>
          <w:lang w:val="fr-CA"/>
        </w:rPr>
        <w:t>’</w:t>
      </w:r>
      <w:r w:rsidRPr="00BD3AAF">
        <w:rPr>
          <w:rFonts w:cs="Times New Roman"/>
          <w:lang w:val="fr-CA"/>
        </w:rPr>
        <w:t>immigration. Elle a tenté de contester la conclusion d</w:t>
      </w:r>
      <w:r>
        <w:rPr>
          <w:rFonts w:cs="Times New Roman"/>
          <w:lang w:val="fr-CA"/>
        </w:rPr>
        <w:t>’</w:t>
      </w:r>
      <w:r w:rsidRPr="00BD3AAF">
        <w:rPr>
          <w:rFonts w:cs="Times New Roman"/>
          <w:lang w:val="fr-CA"/>
        </w:rPr>
        <w:t>absence de fondement crédible et la mesure de renvoi en présentant à la cour supérieure provinciale une demande d</w:t>
      </w:r>
      <w:r>
        <w:rPr>
          <w:rFonts w:cs="Times New Roman"/>
          <w:lang w:val="fr-CA"/>
        </w:rPr>
        <w:t>’</w:t>
      </w:r>
      <w:r w:rsidRPr="00BD3AAF">
        <w:rPr>
          <w:rFonts w:cs="Times New Roman"/>
          <w:i/>
          <w:lang w:val="fr-CA"/>
        </w:rPr>
        <w:t>habeas corpus</w:t>
      </w:r>
      <w:r w:rsidRPr="00BD3AAF">
        <w:rPr>
          <w:rFonts w:cs="Times New Roman"/>
          <w:lang w:val="fr-CA"/>
        </w:rPr>
        <w:t xml:space="preserve"> avec </w:t>
      </w:r>
      <w:r w:rsidRPr="00BD3AAF">
        <w:rPr>
          <w:rFonts w:cs="Times New Roman"/>
          <w:i/>
          <w:lang w:val="fr-CA"/>
        </w:rPr>
        <w:t>certiorari</w:t>
      </w:r>
      <w:r w:rsidRPr="00BD3AAF">
        <w:rPr>
          <w:rFonts w:cs="Times New Roman"/>
          <w:lang w:val="fr-CA"/>
        </w:rPr>
        <w:t xml:space="preserve"> auxiliaire. Sa demande a été rejetée et elle a interjeté appel devant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Ontario.</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La Cour d</w:t>
      </w:r>
      <w:r>
        <w:rPr>
          <w:rFonts w:cs="Times New Roman"/>
          <w:lang w:val="fr-CA"/>
        </w:rPr>
        <w:t>’</w:t>
      </w:r>
      <w:r w:rsidRPr="00BD3AAF">
        <w:rPr>
          <w:rFonts w:cs="Times New Roman"/>
          <w:lang w:val="fr-CA"/>
        </w:rPr>
        <w:t>appel s</w:t>
      </w:r>
      <w:r>
        <w:rPr>
          <w:rFonts w:cs="Times New Roman"/>
          <w:lang w:val="fr-CA"/>
        </w:rPr>
        <w:t>’</w:t>
      </w:r>
      <w:r w:rsidRPr="00BD3AAF">
        <w:rPr>
          <w:rFonts w:cs="Times New Roman"/>
          <w:lang w:val="fr-CA"/>
        </w:rPr>
        <w:t>est demandé si elle devait refuser d</w:t>
      </w:r>
      <w:r>
        <w:rPr>
          <w:rFonts w:cs="Times New Roman"/>
          <w:lang w:val="fr-CA"/>
        </w:rPr>
        <w:t>’</w:t>
      </w:r>
      <w:r w:rsidRPr="00BD3AAF">
        <w:rPr>
          <w:rFonts w:cs="Times New Roman"/>
          <w:lang w:val="fr-CA"/>
        </w:rPr>
        <w:t>exercer sa compétence en matière d</w:t>
      </w:r>
      <w:r>
        <w:rPr>
          <w:rFonts w:cs="Times New Roman"/>
          <w:lang w:val="fr-CA"/>
        </w:rPr>
        <w:t>’</w:t>
      </w:r>
      <w:r w:rsidRPr="00BD3AAF">
        <w:rPr>
          <w:rFonts w:cs="Times New Roman"/>
          <w:i/>
          <w:lang w:val="fr-CA"/>
        </w:rPr>
        <w:t>habeas corpus</w:t>
      </w:r>
      <w:r w:rsidRPr="00BD3AAF">
        <w:rPr>
          <w:rFonts w:cs="Times New Roman"/>
          <w:lang w:val="fr-CA"/>
        </w:rPr>
        <w:t xml:space="preserve"> pour contrôler la détention de M</w:t>
      </w:r>
      <w:r w:rsidRPr="00BD3AAF">
        <w:rPr>
          <w:rFonts w:cs="Times New Roman"/>
          <w:vertAlign w:val="superscript"/>
          <w:lang w:val="fr-CA"/>
        </w:rPr>
        <w:t>me</w:t>
      </w:r>
      <w:r w:rsidRPr="00BD3AAF">
        <w:rPr>
          <w:rFonts w:cs="Times New Roman"/>
          <w:lang w:val="fr-CA"/>
        </w:rPr>
        <w:t> Peiroo et si elle devait accorder la préférence aux autres recours dont celle</w:t>
      </w:r>
      <w:r>
        <w:rPr>
          <w:rFonts w:cs="Times New Roman"/>
          <w:lang w:val="fr-CA"/>
        </w:rPr>
        <w:noBreakHyphen/>
      </w:r>
      <w:r w:rsidRPr="00BD3AAF">
        <w:rPr>
          <w:rFonts w:cs="Times New Roman"/>
          <w:lang w:val="fr-CA"/>
        </w:rPr>
        <w:t>ci disposait pour contester les décisions rendues contre elle en matière d</w:t>
      </w:r>
      <w:r>
        <w:rPr>
          <w:rFonts w:cs="Times New Roman"/>
          <w:lang w:val="fr-CA"/>
        </w:rPr>
        <w:t>’</w:t>
      </w:r>
      <w:r w:rsidRPr="00BD3AAF">
        <w:rPr>
          <w:rFonts w:cs="Times New Roman"/>
          <w:lang w:val="fr-CA"/>
        </w:rPr>
        <w:t>immigration. S</w:t>
      </w:r>
      <w:r>
        <w:rPr>
          <w:rFonts w:cs="Times New Roman"/>
          <w:lang w:val="fr-CA"/>
        </w:rPr>
        <w:t>’</w:t>
      </w:r>
      <w:r w:rsidRPr="00BD3AAF">
        <w:rPr>
          <w:rFonts w:cs="Times New Roman"/>
          <w:lang w:val="fr-CA"/>
        </w:rPr>
        <w:t>exprimant au nom de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Ontario, le juge Catzman a souligné que l</w:t>
      </w:r>
      <w:r>
        <w:rPr>
          <w:rFonts w:cs="Times New Roman"/>
          <w:lang w:val="fr-CA"/>
        </w:rPr>
        <w:t>’</w:t>
      </w:r>
      <w:r w:rsidRPr="00BD3AAF">
        <w:rPr>
          <w:rFonts w:cs="Times New Roman"/>
          <w:i/>
          <w:lang w:val="fr-CA"/>
        </w:rPr>
        <w:t>habeas corpus</w:t>
      </w:r>
      <w:r w:rsidRPr="00BD3AAF">
        <w:rPr>
          <w:rFonts w:cs="Times New Roman"/>
          <w:lang w:val="fr-CA"/>
        </w:rPr>
        <w:t xml:space="preserve"> était un recours extraordinaire qui ne pouvait généralement pas être exercé lorsqu</w:t>
      </w:r>
      <w:r>
        <w:rPr>
          <w:rFonts w:cs="Times New Roman"/>
          <w:lang w:val="fr-CA"/>
        </w:rPr>
        <w:t>’</w:t>
      </w:r>
      <w:r w:rsidRPr="00BD3AAF">
        <w:rPr>
          <w:rFonts w:cs="Times New Roman"/>
          <w:lang w:val="fr-CA"/>
        </w:rPr>
        <w:t xml:space="preserve">il existait un autre recours (voir </w:t>
      </w:r>
      <w:r w:rsidRPr="00BD3AAF">
        <w:rPr>
          <w:rFonts w:cs="Times New Roman"/>
          <w:i/>
          <w:lang w:val="fr-CA"/>
        </w:rPr>
        <w:t>Peiroo</w:t>
      </w:r>
      <w:r w:rsidRPr="00BD3AAF">
        <w:rPr>
          <w:rFonts w:cs="Times New Roman"/>
          <w:lang w:val="fr-CA"/>
        </w:rPr>
        <w:t xml:space="preserve">, </w:t>
      </w:r>
      <w:r>
        <w:rPr>
          <w:rFonts w:cs="Times New Roman"/>
          <w:lang w:val="fr-CA"/>
        </w:rPr>
        <w:t>p. </w:t>
      </w:r>
      <w:r w:rsidR="00906429">
        <w:rPr>
          <w:rFonts w:cs="Times New Roman"/>
          <w:lang w:val="fr-CA"/>
        </w:rPr>
        <w:t>257,</w:t>
      </w:r>
      <w:r w:rsidRPr="00BD3AAF">
        <w:rPr>
          <w:rFonts w:cs="Times New Roman"/>
          <w:lang w:val="fr-CA"/>
        </w:rPr>
        <w:t xml:space="preserve"> citant Cameron </w:t>
      </w:r>
      <w:r w:rsidRPr="00BD3AAF">
        <w:rPr>
          <w:rFonts w:cs="Times New Roman"/>
          <w:szCs w:val="24"/>
          <w:lang w:val="fr-CA"/>
        </w:rPr>
        <w:t xml:space="preserve">Harvey, </w:t>
      </w:r>
      <w:r w:rsidRPr="00BD3AAF">
        <w:rPr>
          <w:rStyle w:val="Emphasis"/>
          <w:szCs w:val="24"/>
          <w:lang w:val="fr-CA"/>
        </w:rPr>
        <w:t>The Law of Habeas Corpus in Canada</w:t>
      </w:r>
      <w:r w:rsidRPr="00BD3AAF">
        <w:rPr>
          <w:rFonts w:cs="Times New Roman"/>
          <w:szCs w:val="24"/>
          <w:lang w:val="fr-CA"/>
        </w:rPr>
        <w:t xml:space="preserve"> (1974), </w:t>
      </w:r>
      <w:r>
        <w:rPr>
          <w:rFonts w:cs="Times New Roman"/>
          <w:szCs w:val="24"/>
          <w:lang w:val="fr-CA"/>
        </w:rPr>
        <w:t>p. </w:t>
      </w:r>
      <w:r w:rsidRPr="00BD3AAF">
        <w:rPr>
          <w:rFonts w:cs="Times New Roman"/>
          <w:szCs w:val="24"/>
          <w:lang w:val="fr-CA"/>
        </w:rPr>
        <w:t>13; Roger Salhany, </w:t>
      </w:r>
      <w:r w:rsidRPr="00BD3AAF">
        <w:rPr>
          <w:rStyle w:val="Emphasis"/>
          <w:szCs w:val="24"/>
          <w:lang w:val="fr-CA"/>
        </w:rPr>
        <w:t>Canadian Criminal Procedure</w:t>
      </w:r>
      <w:r w:rsidRPr="00BD3AAF">
        <w:rPr>
          <w:rFonts w:cs="Times New Roman"/>
          <w:szCs w:val="24"/>
          <w:lang w:val="fr-CA"/>
        </w:rPr>
        <w:t xml:space="preserve"> (4</w:t>
      </w:r>
      <w:r w:rsidRPr="00BD3AAF">
        <w:rPr>
          <w:rFonts w:cs="Times New Roman"/>
          <w:szCs w:val="24"/>
          <w:vertAlign w:val="superscript"/>
          <w:lang w:val="fr-CA"/>
        </w:rPr>
        <w:t>e</w:t>
      </w:r>
      <w:r w:rsidRPr="00BD3AAF">
        <w:rPr>
          <w:rFonts w:cs="Times New Roman"/>
          <w:szCs w:val="24"/>
          <w:lang w:val="fr-CA"/>
        </w:rPr>
        <w:t xml:space="preserve"> éd. 1984), </w:t>
      </w:r>
      <w:r>
        <w:rPr>
          <w:rFonts w:cs="Times New Roman"/>
          <w:szCs w:val="24"/>
          <w:lang w:val="fr-CA"/>
        </w:rPr>
        <w:t>p. </w:t>
      </w:r>
      <w:r w:rsidRPr="00BD3AAF">
        <w:rPr>
          <w:rFonts w:cs="Times New Roman"/>
          <w:szCs w:val="24"/>
          <w:lang w:val="fr-CA"/>
        </w:rPr>
        <w:t>521)</w:t>
      </w:r>
      <w:r w:rsidRPr="00BD3AAF">
        <w:rPr>
          <w:rFonts w:cs="Times New Roman"/>
          <w:lang w:val="fr-CA"/>
        </w:rPr>
        <w:t>.</w:t>
      </w:r>
    </w:p>
    <w:p w:rsidR="00B233C0" w:rsidRPr="00BD3AAF" w:rsidRDefault="00B233C0" w:rsidP="00B233C0">
      <w:pPr>
        <w:pStyle w:val="ParaNoNdepar-AltN"/>
        <w:tabs>
          <w:tab w:val="clear" w:pos="1166"/>
          <w:tab w:val="num" w:pos="1152"/>
        </w:tabs>
        <w:rPr>
          <w:rFonts w:cs="Times New Roman"/>
          <w:lang w:val="fr-CA"/>
        </w:rPr>
      </w:pPr>
      <w:r>
        <w:rPr>
          <w:rFonts w:cs="Times New Roman"/>
          <w:lang w:val="fr-CA"/>
        </w:rPr>
        <w:t xml:space="preserve">Le juge </w:t>
      </w:r>
      <w:r w:rsidRPr="00BD3AAF">
        <w:rPr>
          <w:rFonts w:cs="Times New Roman"/>
          <w:lang w:val="fr-CA"/>
        </w:rPr>
        <w:t>Catzman a comparé l</w:t>
      </w:r>
      <w:r>
        <w:rPr>
          <w:rFonts w:cs="Times New Roman"/>
          <w:lang w:val="fr-CA"/>
        </w:rPr>
        <w:t>’</w:t>
      </w:r>
      <w:r w:rsidRPr="00BD3AAF">
        <w:rPr>
          <w:rFonts w:cs="Times New Roman"/>
          <w:i/>
          <w:lang w:val="fr-CA"/>
        </w:rPr>
        <w:t>habeas corpus</w:t>
      </w:r>
      <w:r w:rsidRPr="00BD3AAF">
        <w:rPr>
          <w:rFonts w:cs="Times New Roman"/>
          <w:lang w:val="fr-CA"/>
        </w:rPr>
        <w:t xml:space="preserve"> aux recours que la </w:t>
      </w:r>
      <w:r w:rsidRPr="00BD3AAF">
        <w:rPr>
          <w:rFonts w:cs="Times New Roman"/>
          <w:i/>
          <w:lang w:val="fr-CA"/>
        </w:rPr>
        <w:t>Loi sur l</w:t>
      </w:r>
      <w:r>
        <w:rPr>
          <w:rFonts w:cs="Times New Roman"/>
          <w:i/>
          <w:lang w:val="fr-CA"/>
        </w:rPr>
        <w:t>’</w:t>
      </w:r>
      <w:r w:rsidRPr="00BD3AAF">
        <w:rPr>
          <w:rFonts w:cs="Times New Roman"/>
          <w:i/>
          <w:lang w:val="fr-CA"/>
        </w:rPr>
        <w:t>i</w:t>
      </w:r>
      <w:r>
        <w:rPr>
          <w:rFonts w:cs="Times New Roman"/>
          <w:i/>
          <w:lang w:val="fr-CA"/>
        </w:rPr>
        <w:t xml:space="preserve">mmigration </w:t>
      </w:r>
      <w:r w:rsidRPr="00BD3AAF">
        <w:rPr>
          <w:rFonts w:cs="Times New Roman"/>
          <w:lang w:val="fr-CA"/>
        </w:rPr>
        <w:t>permettait d</w:t>
      </w:r>
      <w:r>
        <w:rPr>
          <w:rFonts w:cs="Times New Roman"/>
          <w:lang w:val="fr-CA"/>
        </w:rPr>
        <w:t>’</w:t>
      </w:r>
      <w:r w:rsidRPr="00BD3AAF">
        <w:rPr>
          <w:rFonts w:cs="Times New Roman"/>
          <w:lang w:val="fr-CA"/>
        </w:rPr>
        <w:t>exercer pour contester les mesures de renvoi et les conclusions relatives au fondement crédible. La Loi prévoyait expressément un appel devant la Cour fédérale du Canada, avec l</w:t>
      </w:r>
      <w:r>
        <w:rPr>
          <w:rFonts w:cs="Times New Roman"/>
          <w:lang w:val="fr-CA"/>
        </w:rPr>
        <w:t>’</w:t>
      </w:r>
      <w:r w:rsidRPr="00BD3AAF">
        <w:rPr>
          <w:rFonts w:cs="Times New Roman"/>
          <w:lang w:val="fr-CA"/>
        </w:rPr>
        <w:t>autorisation de celle</w:t>
      </w:r>
      <w:r>
        <w:rPr>
          <w:rFonts w:cs="Times New Roman"/>
          <w:lang w:val="fr-CA"/>
        </w:rPr>
        <w:noBreakHyphen/>
      </w:r>
      <w:r w:rsidRPr="00BD3AAF">
        <w:rPr>
          <w:rFonts w:cs="Times New Roman"/>
          <w:lang w:val="fr-CA"/>
        </w:rPr>
        <w:t xml:space="preserve">ci. Le juge Catzman a souligné que les motifs et la portée du contrôle prévus par les dispositions de la </w:t>
      </w:r>
      <w:r w:rsidRPr="00BD3AAF">
        <w:rPr>
          <w:rFonts w:cs="Times New Roman"/>
          <w:i/>
          <w:lang w:val="fr-CA"/>
        </w:rPr>
        <w:t>Loi sur la Cour fédérale</w:t>
      </w:r>
      <w:r w:rsidRPr="00BD3AAF">
        <w:rPr>
          <w:rFonts w:cs="Times New Roman"/>
          <w:lang w:val="fr-CA"/>
        </w:rPr>
        <w:t>, L.R.C. 1985, c.</w:t>
      </w:r>
      <w:r>
        <w:rPr>
          <w:rFonts w:cs="Times New Roman"/>
          <w:lang w:val="fr-CA"/>
        </w:rPr>
        <w:t> </w:t>
      </w:r>
      <w:r w:rsidRPr="00BD3AAF">
        <w:rPr>
          <w:rFonts w:cs="Times New Roman"/>
          <w:lang w:val="fr-CA"/>
        </w:rPr>
        <w:t>F</w:t>
      </w:r>
      <w:r>
        <w:rPr>
          <w:rFonts w:cs="Times New Roman"/>
          <w:lang w:val="fr-CA"/>
        </w:rPr>
        <w:noBreakHyphen/>
      </w:r>
      <w:r w:rsidRPr="00BD3AAF">
        <w:rPr>
          <w:rFonts w:cs="Times New Roman"/>
          <w:lang w:val="fr-CA"/>
        </w:rPr>
        <w:t>7, en matière d</w:t>
      </w:r>
      <w:r>
        <w:rPr>
          <w:rFonts w:cs="Times New Roman"/>
          <w:lang w:val="fr-CA"/>
        </w:rPr>
        <w:t>’</w:t>
      </w:r>
      <w:r w:rsidRPr="00BD3AAF">
        <w:rPr>
          <w:rFonts w:cs="Times New Roman"/>
          <w:lang w:val="fr-CA"/>
        </w:rPr>
        <w:t xml:space="preserve">appel </w:t>
      </w:r>
      <w:r w:rsidRPr="00BD3AAF">
        <w:rPr>
          <w:rFonts w:cs="Times New Roman"/>
          <w:lang w:val="fr-CA"/>
        </w:rPr>
        <w:sym w:font="Symbol" w:char="F05B"/>
      </w:r>
      <w:r w:rsidRPr="00BD3AAF">
        <w:rPr>
          <w:rFonts w:cs="Times New Roman"/>
          <w:smallCaps/>
          <w:lang w:val="fr-CA"/>
        </w:rPr>
        <w:t>traduction</w:t>
      </w:r>
      <w:r w:rsidRPr="00BD3AAF">
        <w:rPr>
          <w:rFonts w:cs="Times New Roman"/>
          <w:lang w:val="fr-CA"/>
        </w:rPr>
        <w:sym w:font="Symbol" w:char="F05D"/>
      </w:r>
      <w:r w:rsidRPr="00BD3AAF">
        <w:rPr>
          <w:rFonts w:cs="Times New Roman"/>
          <w:lang w:val="fr-CA"/>
        </w:rPr>
        <w:t xml:space="preserve"> « sont aussi larges, et — en ce qui concerne le pouvoir d</w:t>
      </w:r>
      <w:r>
        <w:rPr>
          <w:rFonts w:cs="Times New Roman"/>
          <w:lang w:val="fr-CA"/>
        </w:rPr>
        <w:t>’</w:t>
      </w:r>
      <w:r w:rsidRPr="00BD3AAF">
        <w:rPr>
          <w:rFonts w:cs="Times New Roman"/>
          <w:lang w:val="fr-CA"/>
        </w:rPr>
        <w:t>examiner des conclusions de fait erronées — probablement plus larges que ceux qui constituent le fondement de la compétence exercée par [la cour supérieure] dans les demandes d</w:t>
      </w:r>
      <w:r>
        <w:rPr>
          <w:rFonts w:cs="Times New Roman"/>
          <w:lang w:val="fr-CA"/>
        </w:rPr>
        <w:t>’</w:t>
      </w:r>
      <w:r w:rsidRPr="00BD3AAF">
        <w:rPr>
          <w:rFonts w:cs="Times New Roman"/>
          <w:i/>
          <w:lang w:val="fr-CA"/>
        </w:rPr>
        <w:t>habeas corpus</w:t>
      </w:r>
      <w:r w:rsidRPr="00BD3AAF">
        <w:rPr>
          <w:rFonts w:cs="Times New Roman"/>
          <w:lang w:val="fr-CA"/>
        </w:rPr>
        <w:t xml:space="preserve"> avec </w:t>
      </w:r>
      <w:r w:rsidRPr="00BD3AAF">
        <w:rPr>
          <w:rFonts w:cs="Times New Roman"/>
          <w:i/>
          <w:lang w:val="fr-CA"/>
        </w:rPr>
        <w:t>certiorari</w:t>
      </w:r>
      <w:r w:rsidRPr="00BD3AAF">
        <w:rPr>
          <w:rFonts w:cs="Times New Roman"/>
          <w:lang w:val="fr-CA"/>
        </w:rPr>
        <w:t xml:space="preserve"> auxiliaire » (</w:t>
      </w:r>
      <w:r>
        <w:rPr>
          <w:rFonts w:cs="Times New Roman"/>
          <w:lang w:val="fr-CA"/>
        </w:rPr>
        <w:t>p. </w:t>
      </w:r>
      <w:r w:rsidRPr="00BD3AAF">
        <w:rPr>
          <w:rFonts w:cs="Times New Roman"/>
          <w:lang w:val="fr-CA"/>
        </w:rPr>
        <w:t>258).</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Le juge Catzman a conclu que la portée des mécanismes de contrôle et d</w:t>
      </w:r>
      <w:r>
        <w:rPr>
          <w:rFonts w:cs="Times New Roman"/>
          <w:lang w:val="fr-CA"/>
        </w:rPr>
        <w:t>’</w:t>
      </w:r>
      <w:r w:rsidRPr="00BD3AAF">
        <w:rPr>
          <w:rFonts w:cs="Times New Roman"/>
          <w:lang w:val="fr-CA"/>
        </w:rPr>
        <w:t xml:space="preserve">appel prévus par la Loi était </w:t>
      </w:r>
      <w:r w:rsidRPr="00BD3AAF">
        <w:rPr>
          <w:rFonts w:cs="Times New Roman"/>
          <w:lang w:val="fr-CA"/>
        </w:rPr>
        <w:sym w:font="Symbol" w:char="F05B"/>
      </w:r>
      <w:r w:rsidRPr="00BD3AAF">
        <w:rPr>
          <w:rFonts w:cs="Times New Roman"/>
          <w:smallCaps/>
          <w:lang w:val="fr-CA"/>
        </w:rPr>
        <w:t>traduction</w:t>
      </w:r>
      <w:r w:rsidRPr="00BD3AAF">
        <w:rPr>
          <w:rFonts w:cs="Times New Roman"/>
          <w:lang w:val="fr-CA"/>
        </w:rPr>
        <w:sym w:font="Symbol" w:char="F05D"/>
      </w:r>
      <w:r w:rsidRPr="00BD3AAF">
        <w:rPr>
          <w:rFonts w:cs="Times New Roman"/>
          <w:lang w:val="fr-CA"/>
        </w:rPr>
        <w:t xml:space="preserve"> « aussi large ou plus large que celle traditionnelle de l</w:t>
      </w:r>
      <w:r>
        <w:rPr>
          <w:rFonts w:cs="Times New Roman"/>
          <w:lang w:val="fr-CA"/>
        </w:rPr>
        <w:t>’</w:t>
      </w:r>
      <w:r w:rsidRPr="00BD3AAF">
        <w:rPr>
          <w:rFonts w:cs="Times New Roman"/>
          <w:i/>
          <w:lang w:val="fr-CA"/>
        </w:rPr>
        <w:t>habeas corpus </w:t>
      </w:r>
      <w:r w:rsidRPr="00BD3AAF">
        <w:rPr>
          <w:rFonts w:cs="Times New Roman"/>
          <w:lang w:val="fr-CA"/>
        </w:rPr>
        <w:t>». En conséquence, le régime légal n</w:t>
      </w:r>
      <w:r>
        <w:rPr>
          <w:rFonts w:cs="Times New Roman"/>
          <w:lang w:val="fr-CA"/>
        </w:rPr>
        <w:t>’</w:t>
      </w:r>
      <w:r w:rsidRPr="00BD3AAF">
        <w:rPr>
          <w:rFonts w:cs="Times New Roman"/>
          <w:lang w:val="fr-CA"/>
        </w:rPr>
        <w:t>allait pas à l</w:t>
      </w:r>
      <w:r>
        <w:rPr>
          <w:rFonts w:cs="Times New Roman"/>
          <w:lang w:val="fr-CA"/>
        </w:rPr>
        <w:t>’</w:t>
      </w:r>
      <w:r w:rsidRPr="00BD3AAF">
        <w:rPr>
          <w:rFonts w:cs="Times New Roman"/>
          <w:lang w:val="fr-CA"/>
        </w:rPr>
        <w:t>encontre du principe selon lequel « il n</w:t>
      </w:r>
      <w:r>
        <w:rPr>
          <w:rFonts w:cs="Times New Roman"/>
          <w:lang w:val="fr-CA"/>
        </w:rPr>
        <w:t>’</w:t>
      </w:r>
      <w:r w:rsidRPr="00BD3AAF">
        <w:rPr>
          <w:rFonts w:cs="Times New Roman"/>
          <w:lang w:val="fr-CA"/>
        </w:rPr>
        <w:t>y a pas lieu de refuser l</w:t>
      </w:r>
      <w:r>
        <w:rPr>
          <w:rFonts w:cs="Times New Roman"/>
          <w:lang w:val="fr-CA"/>
        </w:rPr>
        <w:t>’</w:t>
      </w:r>
      <w:r w:rsidRPr="00BD3AAF">
        <w:rPr>
          <w:rFonts w:cs="Times New Roman"/>
          <w:lang w:val="fr-CA"/>
        </w:rPr>
        <w:t>accès à l</w:t>
      </w:r>
      <w:r>
        <w:rPr>
          <w:rFonts w:cs="Times New Roman"/>
          <w:lang w:val="fr-CA"/>
        </w:rPr>
        <w:t>’</w:t>
      </w:r>
      <w:r w:rsidRPr="00BD3AAF">
        <w:rPr>
          <w:rFonts w:cs="Times New Roman"/>
          <w:lang w:val="fr-CA"/>
        </w:rPr>
        <w:t xml:space="preserve">ancien recours en </w:t>
      </w:r>
      <w:r w:rsidRPr="00BD3AAF">
        <w:rPr>
          <w:rFonts w:cs="Times New Roman"/>
          <w:i/>
          <w:lang w:val="fr-CA"/>
        </w:rPr>
        <w:t>habeas corpus</w:t>
      </w:r>
      <w:r w:rsidRPr="00BD3AAF">
        <w:rPr>
          <w:rFonts w:cs="Times New Roman"/>
          <w:lang w:val="fr-CA"/>
        </w:rPr>
        <w:t xml:space="preserve"> en raison de l</w:t>
      </w:r>
      <w:r>
        <w:rPr>
          <w:rFonts w:cs="Times New Roman"/>
          <w:lang w:val="fr-CA"/>
        </w:rPr>
        <w:t>’</w:t>
      </w:r>
      <w:r w:rsidRPr="00BD3AAF">
        <w:rPr>
          <w:rFonts w:cs="Times New Roman"/>
          <w:lang w:val="fr-CA"/>
        </w:rPr>
        <w:t>existence d</w:t>
      </w:r>
      <w:r>
        <w:rPr>
          <w:rFonts w:cs="Times New Roman"/>
          <w:lang w:val="fr-CA"/>
        </w:rPr>
        <w:t>’</w:t>
      </w:r>
      <w:r w:rsidRPr="00BD3AAF">
        <w:rPr>
          <w:rFonts w:cs="Times New Roman"/>
          <w:lang w:val="fr-CA"/>
        </w:rPr>
        <w:t xml:space="preserve">un autre recours moins rapide et moins avantageux » </w:t>
      </w:r>
      <w:r w:rsidRPr="00BD3AAF">
        <w:rPr>
          <w:rFonts w:cs="Times New Roman"/>
          <w:szCs w:val="24"/>
          <w:lang w:val="fr-CA"/>
        </w:rPr>
        <w:t>(</w:t>
      </w:r>
      <w:r>
        <w:rPr>
          <w:rFonts w:cs="Times New Roman"/>
          <w:lang w:val="fr-CA"/>
        </w:rPr>
        <w:t>p. </w:t>
      </w:r>
      <w:r w:rsidRPr="00BD3AAF">
        <w:rPr>
          <w:rFonts w:cs="Times New Roman"/>
          <w:lang w:val="fr-CA"/>
        </w:rPr>
        <w:t xml:space="preserve">258, citant </w:t>
      </w:r>
      <w:r w:rsidRPr="00BD3AAF">
        <w:rPr>
          <w:rStyle w:val="Emphasis"/>
          <w:szCs w:val="24"/>
          <w:lang w:val="fr-CA"/>
        </w:rPr>
        <w:t xml:space="preserve">R. c. Governor of Pentonville Prison, </w:t>
      </w:r>
      <w:r w:rsidR="00F7756B">
        <w:rPr>
          <w:rStyle w:val="Emphasis"/>
          <w:szCs w:val="24"/>
          <w:lang w:val="fr-CA"/>
        </w:rPr>
        <w:t>e</w:t>
      </w:r>
      <w:r w:rsidRPr="00BD3AAF">
        <w:rPr>
          <w:rStyle w:val="Emphasis"/>
          <w:szCs w:val="24"/>
          <w:lang w:val="fr-CA"/>
        </w:rPr>
        <w:t>x parte Azam</w:t>
      </w:r>
      <w:r w:rsidRPr="00706ECC">
        <w:rPr>
          <w:rStyle w:val="Emphasis"/>
          <w:i w:val="0"/>
          <w:szCs w:val="24"/>
          <w:lang w:val="fr-CA"/>
        </w:rPr>
        <w:t>,</w:t>
      </w:r>
      <w:r w:rsidRPr="00BD3AAF">
        <w:rPr>
          <w:rStyle w:val="Emphasis"/>
          <w:szCs w:val="24"/>
          <w:lang w:val="fr-CA"/>
        </w:rPr>
        <w:t xml:space="preserve"> </w:t>
      </w:r>
      <w:r w:rsidRPr="00BD3AAF">
        <w:rPr>
          <w:rFonts w:cs="Times New Roman"/>
          <w:szCs w:val="24"/>
          <w:lang w:val="fr-CA"/>
        </w:rPr>
        <w:t>[</w:t>
      </w:r>
      <w:r w:rsidR="00F7756B">
        <w:rPr>
          <w:rFonts w:cs="Times New Roman"/>
          <w:szCs w:val="24"/>
          <w:lang w:val="fr-CA"/>
        </w:rPr>
        <w:t>1973] 2 All E.R. 741</w:t>
      </w:r>
      <w:r w:rsidRPr="00BD3AAF">
        <w:rPr>
          <w:rFonts w:cs="Times New Roman"/>
          <w:szCs w:val="24"/>
          <w:lang w:val="fr-CA"/>
        </w:rPr>
        <w:t xml:space="preserve"> (C.A.), </w:t>
      </w:r>
      <w:r>
        <w:rPr>
          <w:rFonts w:cs="Times New Roman"/>
          <w:szCs w:val="24"/>
          <w:lang w:val="fr-CA"/>
        </w:rPr>
        <w:t>p. </w:t>
      </w:r>
      <w:r w:rsidR="00F7756B">
        <w:rPr>
          <w:rFonts w:cs="Times New Roman"/>
          <w:szCs w:val="24"/>
          <w:lang w:val="fr-CA"/>
        </w:rPr>
        <w:t xml:space="preserve">758, conf. par [1973] 2 All E.R. </w:t>
      </w:r>
      <w:r w:rsidR="00706ECC">
        <w:rPr>
          <w:rFonts w:cs="Times New Roman"/>
          <w:szCs w:val="24"/>
          <w:lang w:val="fr-CA"/>
        </w:rPr>
        <w:t xml:space="preserve">765 </w:t>
      </w:r>
      <w:r w:rsidR="00F7756B">
        <w:rPr>
          <w:rFonts w:cs="Times New Roman"/>
          <w:szCs w:val="24"/>
          <w:lang w:val="fr-CA"/>
        </w:rPr>
        <w:t>(H</w:t>
      </w:r>
      <w:r w:rsidRPr="00BD3AAF">
        <w:rPr>
          <w:rFonts w:cs="Times New Roman"/>
          <w:szCs w:val="24"/>
          <w:lang w:val="fr-CA"/>
        </w:rPr>
        <w:t>.L.)</w:t>
      </w:r>
      <w:r w:rsidRPr="00BD3AAF">
        <w:rPr>
          <w:rFonts w:cs="Times New Roman"/>
          <w:lang w:val="fr-CA"/>
        </w:rPr>
        <w:t>). Voici les explications qu</w:t>
      </w:r>
      <w:r>
        <w:rPr>
          <w:rFonts w:cs="Times New Roman"/>
          <w:lang w:val="fr-CA"/>
        </w:rPr>
        <w:t>’</w:t>
      </w:r>
      <w:r w:rsidRPr="00BD3AAF">
        <w:rPr>
          <w:rFonts w:cs="Times New Roman"/>
          <w:lang w:val="fr-CA"/>
        </w:rPr>
        <w:t>il a données à ce sujet</w:t>
      </w:r>
      <w:r>
        <w:rPr>
          <w:rFonts w:cs="Times New Roman"/>
          <w:lang w:val="fr-CA"/>
        </w:rPr>
        <w:t> :</w:t>
      </w:r>
    </w:p>
    <w:p w:rsidR="00B233C0" w:rsidRPr="00BD3AAF" w:rsidRDefault="00B233C0" w:rsidP="00B233C0">
      <w:pPr>
        <w:pStyle w:val="Citation-AltC"/>
        <w:spacing w:after="240"/>
        <w:ind w:hanging="1166"/>
        <w:contextualSpacing w:val="0"/>
        <w:rPr>
          <w:lang w:val="fr-FR"/>
        </w:rPr>
      </w:pPr>
      <w:r w:rsidRPr="00BD3AAF">
        <w:rPr>
          <w:lang w:val="fr-FR"/>
        </w:rPr>
        <w:tab/>
      </w:r>
      <w:r w:rsidR="006E311D" w:rsidRPr="00BD3AAF">
        <w:rPr>
          <w:lang w:val="fr-FR"/>
        </w:rPr>
        <w:sym w:font="Symbol" w:char="F05B"/>
      </w:r>
      <w:r w:rsidR="006E311D" w:rsidRPr="00BD3AAF">
        <w:rPr>
          <w:smallCaps/>
          <w:lang w:val="fr-FR"/>
        </w:rPr>
        <w:t>traduction</w:t>
      </w:r>
      <w:r w:rsidR="006E311D" w:rsidRPr="00BD3AAF">
        <w:rPr>
          <w:lang w:val="fr-FR"/>
        </w:rPr>
        <w:sym w:font="Symbol" w:char="F05D"/>
      </w:r>
      <w:r w:rsidR="006E311D">
        <w:rPr>
          <w:lang w:val="fr-FR"/>
        </w:rPr>
        <w:t xml:space="preserve"> </w:t>
      </w:r>
      <w:r w:rsidRPr="00BD3AAF">
        <w:rPr>
          <w:lang w:val="fr-FR"/>
        </w:rPr>
        <w:t>Le législateur a établi dans la [</w:t>
      </w:r>
      <w:r w:rsidRPr="00BD3AAF">
        <w:rPr>
          <w:i/>
          <w:iCs/>
          <w:lang w:val="fr-FR"/>
        </w:rPr>
        <w:t>Loi sur l</w:t>
      </w:r>
      <w:r>
        <w:rPr>
          <w:i/>
          <w:iCs/>
          <w:lang w:val="fr-FR"/>
        </w:rPr>
        <w:t>’</w:t>
      </w:r>
      <w:r w:rsidRPr="00BD3AAF">
        <w:rPr>
          <w:i/>
          <w:iCs/>
          <w:lang w:val="fr-FR"/>
        </w:rPr>
        <w:t>immigration</w:t>
      </w:r>
      <w:r w:rsidRPr="00BD3AAF">
        <w:rPr>
          <w:lang w:val="fr-FR"/>
        </w:rPr>
        <w:t>], plus particulièrement dans les modifications récentes concernant précisément le traitement des revendications de personnes dans la situation de l</w:t>
      </w:r>
      <w:r>
        <w:rPr>
          <w:lang w:val="fr-FR"/>
        </w:rPr>
        <w:t>’</w:t>
      </w:r>
      <w:r w:rsidRPr="00BD3AAF">
        <w:rPr>
          <w:lang w:val="fr-FR"/>
        </w:rPr>
        <w:t>appelante, un régime exhaustif comportant des procédures de contrôle et d</w:t>
      </w:r>
      <w:r>
        <w:rPr>
          <w:lang w:val="fr-FR"/>
        </w:rPr>
        <w:t>’</w:t>
      </w:r>
      <w:r w:rsidRPr="00BD3AAF">
        <w:rPr>
          <w:lang w:val="fr-FR"/>
        </w:rPr>
        <w:t xml:space="preserve">appel, devant la Cour fédérale du Canada, des décisions et ordonnances prises en vertu de la </w:t>
      </w:r>
      <w:r w:rsidRPr="006E311D">
        <w:rPr>
          <w:lang w:val="fr-FR"/>
        </w:rPr>
        <w:t>Loi</w:t>
      </w:r>
      <w:r w:rsidRPr="00BD3AAF">
        <w:rPr>
          <w:lang w:val="fr-FR"/>
        </w:rPr>
        <w:t>, procédures dont la portée est au moins aussi large que celle de l</w:t>
      </w:r>
      <w:r>
        <w:rPr>
          <w:lang w:val="fr-FR"/>
        </w:rPr>
        <w:t>’</w:t>
      </w:r>
      <w:r w:rsidRPr="00BD3AAF">
        <w:rPr>
          <w:i/>
          <w:iCs/>
          <w:lang w:val="fr-FR"/>
        </w:rPr>
        <w:t xml:space="preserve">habeas corpus </w:t>
      </w:r>
      <w:r w:rsidRPr="00BD3AAF">
        <w:rPr>
          <w:lang w:val="fr-FR"/>
        </w:rPr>
        <w:t xml:space="preserve">avec </w:t>
      </w:r>
      <w:r w:rsidRPr="00BD3AAF">
        <w:rPr>
          <w:i/>
          <w:iCs/>
          <w:lang w:val="fr-FR"/>
        </w:rPr>
        <w:t>certiorari</w:t>
      </w:r>
      <w:r w:rsidRPr="00BD3AAF">
        <w:rPr>
          <w:iCs/>
          <w:lang w:val="fr-FR"/>
        </w:rPr>
        <w:t xml:space="preserve"> auxiliaire</w:t>
      </w:r>
      <w:r w:rsidRPr="00BD3AAF">
        <w:rPr>
          <w:lang w:val="fr-FR"/>
        </w:rPr>
        <w:t>. En l</w:t>
      </w:r>
      <w:r>
        <w:rPr>
          <w:lang w:val="fr-FR"/>
        </w:rPr>
        <w:t>’</w:t>
      </w:r>
      <w:r w:rsidRPr="00BD3AAF">
        <w:rPr>
          <w:lang w:val="fr-FR"/>
        </w:rPr>
        <w:t>absence de quelque preuve que ce soit que les procédures de contrôle et d</w:t>
      </w:r>
      <w:r>
        <w:rPr>
          <w:lang w:val="fr-FR"/>
        </w:rPr>
        <w:t>’</w:t>
      </w:r>
      <w:r w:rsidRPr="00BD3AAF">
        <w:rPr>
          <w:lang w:val="fr-FR"/>
        </w:rPr>
        <w:t>appel prévues par le législateur sont inadéquates ou moins avantageuses que la compétence de la Cour suprême de l</w:t>
      </w:r>
      <w:r>
        <w:rPr>
          <w:lang w:val="fr-FR"/>
        </w:rPr>
        <w:t>’</w:t>
      </w:r>
      <w:r w:rsidRPr="00BD3AAF">
        <w:rPr>
          <w:lang w:val="fr-FR"/>
        </w:rPr>
        <w:t>Ontario en matière d</w:t>
      </w:r>
      <w:r>
        <w:rPr>
          <w:lang w:val="fr-FR"/>
        </w:rPr>
        <w:t>’</w:t>
      </w:r>
      <w:r w:rsidRPr="00BD3AAF">
        <w:rPr>
          <w:i/>
          <w:iCs/>
          <w:lang w:val="fr-FR"/>
        </w:rPr>
        <w:t>habeas corpus</w:t>
      </w:r>
      <w:r w:rsidRPr="00BD3AAF">
        <w:rPr>
          <w:lang w:val="fr-FR"/>
        </w:rPr>
        <w:t>, je suis d</w:t>
      </w:r>
      <w:r>
        <w:rPr>
          <w:lang w:val="fr-FR"/>
        </w:rPr>
        <w:t>’</w:t>
      </w:r>
      <w:r w:rsidRPr="00BD3AAF">
        <w:rPr>
          <w:lang w:val="fr-FR"/>
        </w:rPr>
        <w:t>avis que la Cour devrait, dans l</w:t>
      </w:r>
      <w:r>
        <w:rPr>
          <w:lang w:val="fr-FR"/>
        </w:rPr>
        <w:t>’</w:t>
      </w:r>
      <w:r w:rsidRPr="00BD3AAF">
        <w:rPr>
          <w:lang w:val="fr-FR"/>
        </w:rPr>
        <w:t>exercice de son pouvoir discrétionnaire, refuser d</w:t>
      </w:r>
      <w:r>
        <w:rPr>
          <w:lang w:val="fr-FR"/>
        </w:rPr>
        <w:t>’</w:t>
      </w:r>
      <w:r w:rsidRPr="00BD3AAF">
        <w:rPr>
          <w:lang w:val="fr-FR"/>
        </w:rPr>
        <w:t>accorder la réparation demandée en l</w:t>
      </w:r>
      <w:r>
        <w:rPr>
          <w:lang w:val="fr-FR"/>
        </w:rPr>
        <w:t>’</w:t>
      </w:r>
      <w:r w:rsidRPr="00BD3AAF">
        <w:rPr>
          <w:lang w:val="fr-FR"/>
        </w:rPr>
        <w:t>espèce dans le cadre de la demande d</w:t>
      </w:r>
      <w:r>
        <w:rPr>
          <w:lang w:val="fr-FR"/>
        </w:rPr>
        <w:t>’</w:t>
      </w:r>
      <w:r w:rsidRPr="00BD3AAF">
        <w:rPr>
          <w:i/>
          <w:iCs/>
          <w:lang w:val="fr-FR"/>
        </w:rPr>
        <w:t>habeas corpus</w:t>
      </w:r>
      <w:r w:rsidRPr="00BD3AAF">
        <w:rPr>
          <w:lang w:val="fr-FR"/>
        </w:rPr>
        <w:t> qui s</w:t>
      </w:r>
      <w:r>
        <w:rPr>
          <w:lang w:val="fr-FR"/>
        </w:rPr>
        <w:t>’</w:t>
      </w:r>
      <w:r w:rsidRPr="00BD3AAF">
        <w:rPr>
          <w:lang w:val="fr-FR"/>
        </w:rPr>
        <w:t>inscrit nettement dans le régime de contrôle et d</w:t>
      </w:r>
      <w:r>
        <w:rPr>
          <w:lang w:val="fr-FR"/>
        </w:rPr>
        <w:t>’</w:t>
      </w:r>
      <w:r w:rsidRPr="00BD3AAF">
        <w:rPr>
          <w:lang w:val="fr-FR"/>
        </w:rPr>
        <w:t xml:space="preserve">appel prévu par la Loi. </w:t>
      </w:r>
    </w:p>
    <w:p w:rsidR="00B233C0" w:rsidRPr="00BD3AAF" w:rsidRDefault="00B233C0" w:rsidP="00B233C0">
      <w:pPr>
        <w:pStyle w:val="Citation-AltC"/>
        <w:ind w:left="1168" w:hanging="1168"/>
        <w:contextualSpacing w:val="0"/>
        <w:rPr>
          <w:lang w:val="fr-CA"/>
        </w:rPr>
      </w:pPr>
      <w:r w:rsidRPr="00BD3AAF">
        <w:rPr>
          <w:lang w:val="fr-FR"/>
        </w:rPr>
        <w:tab/>
      </w:r>
      <w:r w:rsidRPr="00BD3AAF">
        <w:rPr>
          <w:lang w:val="fr-FR"/>
        </w:rPr>
        <w:tab/>
        <w:t>Cette conclusion est renforcée par le fait que des considérations similaires semblent avoir incité la Cour suprême du Canada à statuer que lorsque le législateur a instauré un régime ou un code complet pour l</w:t>
      </w:r>
      <w:r>
        <w:rPr>
          <w:lang w:val="fr-FR"/>
        </w:rPr>
        <w:t>’</w:t>
      </w:r>
      <w:r w:rsidRPr="00BD3AAF">
        <w:rPr>
          <w:lang w:val="fr-FR"/>
        </w:rPr>
        <w:t>administration et l</w:t>
      </w:r>
      <w:r>
        <w:rPr>
          <w:lang w:val="fr-FR"/>
        </w:rPr>
        <w:t>’</w:t>
      </w:r>
      <w:r w:rsidRPr="00BD3AAF">
        <w:rPr>
          <w:lang w:val="fr-FR"/>
        </w:rPr>
        <w:t>examen des procédures dans un domaine comme l</w:t>
      </w:r>
      <w:r>
        <w:rPr>
          <w:lang w:val="fr-FR"/>
        </w:rPr>
        <w:t>’</w:t>
      </w:r>
      <w:r w:rsidRPr="00BD3AAF">
        <w:rPr>
          <w:lang w:val="fr-FR"/>
        </w:rPr>
        <w:t>immigration (</w:t>
      </w:r>
      <w:r w:rsidRPr="00BD3AAF">
        <w:rPr>
          <w:i/>
          <w:iCs/>
          <w:lang w:val="fr-FR"/>
        </w:rPr>
        <w:t>Pringle c. Fraser</w:t>
      </w:r>
      <w:r w:rsidR="006E311D">
        <w:rPr>
          <w:i/>
          <w:iCs/>
          <w:lang w:val="fr-FR"/>
        </w:rPr>
        <w:t xml:space="preserve"> </w:t>
      </w:r>
      <w:r w:rsidR="006E311D">
        <w:rPr>
          <w:iCs/>
          <w:lang w:val="fr-FR"/>
        </w:rPr>
        <w:t>[</w:t>
      </w:r>
      <w:r w:rsidRPr="00BD3AAF">
        <w:rPr>
          <w:lang w:val="fr-FR"/>
        </w:rPr>
        <w:t>. . .</w:t>
      </w:r>
      <w:r w:rsidR="006E311D">
        <w:rPr>
          <w:lang w:val="fr-FR"/>
        </w:rPr>
        <w:t>]</w:t>
      </w:r>
      <w:r w:rsidRPr="00BD3AAF">
        <w:rPr>
          <w:lang w:val="fr-FR"/>
        </w:rPr>
        <w:t xml:space="preserve"> [1972] R.C.S. 821), ou les droits de la personne (</w:t>
      </w:r>
      <w:r w:rsidRPr="00BD3AAF">
        <w:rPr>
          <w:i/>
          <w:iCs/>
          <w:lang w:val="fr-FR"/>
        </w:rPr>
        <w:t>Seneca College c. Bhadauria</w:t>
      </w:r>
      <w:r w:rsidRPr="00BD3AAF">
        <w:rPr>
          <w:lang w:val="fr-FR"/>
        </w:rPr>
        <w:t xml:space="preserve"> </w:t>
      </w:r>
      <w:r w:rsidR="006E311D">
        <w:rPr>
          <w:lang w:val="fr-FR"/>
        </w:rPr>
        <w:t>[</w:t>
      </w:r>
      <w:r w:rsidRPr="00BD3AAF">
        <w:rPr>
          <w:lang w:val="fr-FR"/>
        </w:rPr>
        <w:t>. . .</w:t>
      </w:r>
      <w:r w:rsidR="006E311D">
        <w:rPr>
          <w:lang w:val="fr-FR"/>
        </w:rPr>
        <w:t>]</w:t>
      </w:r>
      <w:r w:rsidRPr="00BD3AAF">
        <w:rPr>
          <w:lang w:val="fr-FR"/>
        </w:rPr>
        <w:t xml:space="preserve"> [1981] 2 R.C.S. 181 </w:t>
      </w:r>
      <w:r w:rsidR="006E311D">
        <w:rPr>
          <w:lang w:val="fr-FR"/>
        </w:rPr>
        <w:t>[</w:t>
      </w:r>
      <w:r w:rsidRPr="00BD3AAF">
        <w:rPr>
          <w:lang w:val="fr-FR"/>
        </w:rPr>
        <w:t>. . .</w:t>
      </w:r>
      <w:r w:rsidR="006E311D">
        <w:rPr>
          <w:lang w:val="fr-FR"/>
        </w:rPr>
        <w:t>]</w:t>
      </w:r>
      <w:r w:rsidRPr="00BD3AAF">
        <w:rPr>
          <w:lang w:val="fr-FR"/>
        </w:rPr>
        <w:t>), il n</w:t>
      </w:r>
      <w:r>
        <w:rPr>
          <w:lang w:val="fr-FR"/>
        </w:rPr>
        <w:t>’</w:t>
      </w:r>
      <w:r w:rsidRPr="00BD3AAF">
        <w:rPr>
          <w:lang w:val="fr-FR"/>
        </w:rPr>
        <w:t>y a pas lieu de contourner ce régime, que ce soit en créant une nouvelle cause d</w:t>
      </w:r>
      <w:r>
        <w:rPr>
          <w:lang w:val="fr-FR"/>
        </w:rPr>
        <w:t>’</w:t>
      </w:r>
      <w:r w:rsidRPr="00BD3AAF">
        <w:rPr>
          <w:lang w:val="fr-FR"/>
        </w:rPr>
        <w:t>action (comme dans l</w:t>
      </w:r>
      <w:r>
        <w:rPr>
          <w:lang w:val="fr-FR"/>
        </w:rPr>
        <w:t>’</w:t>
      </w:r>
      <w:r w:rsidRPr="00BD3AAF">
        <w:rPr>
          <w:lang w:val="fr-FR"/>
        </w:rPr>
        <w:t xml:space="preserve">arrêt </w:t>
      </w:r>
      <w:r w:rsidRPr="00BD3AAF">
        <w:rPr>
          <w:i/>
          <w:iCs/>
          <w:lang w:val="fr-FR"/>
        </w:rPr>
        <w:t>Bhadauria</w:t>
      </w:r>
      <w:r w:rsidRPr="00BD3AAF">
        <w:rPr>
          <w:lang w:val="fr-FR"/>
        </w:rPr>
        <w:t>) ou en utilisant le bref de</w:t>
      </w:r>
      <w:r w:rsidRPr="00BD3AAF">
        <w:rPr>
          <w:lang w:val="fr-CA"/>
        </w:rPr>
        <w:t xml:space="preserve"> prérogative (comme dans l</w:t>
      </w:r>
      <w:r>
        <w:rPr>
          <w:lang w:val="fr-CA"/>
        </w:rPr>
        <w:t>’</w:t>
      </w:r>
      <w:r w:rsidRPr="00BD3AAF">
        <w:rPr>
          <w:lang w:val="fr-CA"/>
        </w:rPr>
        <w:t xml:space="preserve">arrêt </w:t>
      </w:r>
      <w:r w:rsidRPr="00BD3AAF">
        <w:rPr>
          <w:i/>
          <w:iCs/>
          <w:lang w:val="fr-CA"/>
        </w:rPr>
        <w:t>Pringle</w:t>
      </w:r>
      <w:r w:rsidRPr="00BD3AAF">
        <w:rPr>
          <w:lang w:val="fr-CA"/>
        </w:rPr>
        <w:t>). Tant la jurisprudence que la logique justifient la Cour de laisser le contrôle des affaires d</w:t>
      </w:r>
      <w:r>
        <w:rPr>
          <w:lang w:val="fr-CA"/>
        </w:rPr>
        <w:t>’</w:t>
      </w:r>
      <w:r w:rsidRPr="00BD3AAF">
        <w:rPr>
          <w:lang w:val="fr-CA"/>
        </w:rPr>
        <w:t>immigration à la Cour fédérale du Canada, qui est habilitée à réviser, que ce soit dans le cadre d</w:t>
      </w:r>
      <w:r>
        <w:rPr>
          <w:lang w:val="fr-CA"/>
        </w:rPr>
        <w:t>’</w:t>
      </w:r>
      <w:r w:rsidRPr="00BD3AAF">
        <w:rPr>
          <w:lang w:val="fr-CA"/>
        </w:rPr>
        <w:t>un appel ou d</w:t>
      </w:r>
      <w:r>
        <w:rPr>
          <w:lang w:val="fr-CA"/>
        </w:rPr>
        <w:t>’</w:t>
      </w:r>
      <w:r w:rsidRPr="00BD3AAF">
        <w:rPr>
          <w:lang w:val="fr-CA"/>
        </w:rPr>
        <w:t>un contrôle judiciaire, de nombreux aspects du droit de l</w:t>
      </w:r>
      <w:r>
        <w:rPr>
          <w:lang w:val="fr-CA"/>
        </w:rPr>
        <w:t>’</w:t>
      </w:r>
      <w:r w:rsidRPr="00BD3AAF">
        <w:rPr>
          <w:lang w:val="fr-CA"/>
        </w:rPr>
        <w:t>immigration et dont la compétence territoriale couvre l</w:t>
      </w:r>
      <w:r>
        <w:rPr>
          <w:lang w:val="fr-CA"/>
        </w:rPr>
        <w:t>’</w:t>
      </w:r>
      <w:r w:rsidRPr="00BD3AAF">
        <w:rPr>
          <w:lang w:val="fr-CA"/>
        </w:rPr>
        <w:t>ensemble du Canada, ce qui lui permet de traiter les demandes des demandeurs d</w:t>
      </w:r>
      <w:r>
        <w:rPr>
          <w:lang w:val="fr-CA"/>
        </w:rPr>
        <w:t>’</w:t>
      </w:r>
      <w:r w:rsidRPr="00BD3AAF">
        <w:rPr>
          <w:lang w:val="fr-CA"/>
        </w:rPr>
        <w:t>asile, quel que soit le lieu de leur point d</w:t>
      </w:r>
      <w:r>
        <w:rPr>
          <w:lang w:val="fr-CA"/>
        </w:rPr>
        <w:t>’</w:t>
      </w:r>
      <w:r w:rsidRPr="00BD3AAF">
        <w:rPr>
          <w:lang w:val="fr-CA"/>
        </w:rPr>
        <w:t>entrée. [</w:t>
      </w:r>
      <w:r>
        <w:rPr>
          <w:lang w:val="fr-CA"/>
        </w:rPr>
        <w:t>p. </w:t>
      </w:r>
      <w:r w:rsidRPr="00BD3AAF">
        <w:rPr>
          <w:lang w:val="fr-CA"/>
        </w:rPr>
        <w:t>261</w:t>
      </w:r>
      <w:r w:rsidR="006E311D">
        <w:rPr>
          <w:lang w:val="fr-CA"/>
        </w:rPr>
        <w:t>-</w:t>
      </w:r>
      <w:r w:rsidRPr="00BD3AAF">
        <w:rPr>
          <w:lang w:val="fr-CA"/>
        </w:rPr>
        <w:t>262]</w:t>
      </w:r>
    </w:p>
    <w:p w:rsidR="00B233C0" w:rsidRPr="00BD3AAF" w:rsidRDefault="00B233C0" w:rsidP="00B233C0">
      <w:pPr>
        <w:pStyle w:val="ParaNoNdepar-AltN"/>
        <w:rPr>
          <w:rFonts w:cs="Times New Roman"/>
          <w:lang w:val="fr-CA"/>
        </w:rPr>
      </w:pPr>
      <w:r w:rsidRPr="00BD3AAF">
        <w:rPr>
          <w:rFonts w:cs="Times New Roman"/>
          <w:lang w:val="fr-CA"/>
        </w:rPr>
        <w:t>C</w:t>
      </w:r>
      <w:r>
        <w:rPr>
          <w:rFonts w:cs="Times New Roman"/>
          <w:lang w:val="fr-CA"/>
        </w:rPr>
        <w:t>’</w:t>
      </w:r>
      <w:r w:rsidRPr="00BD3AAF">
        <w:rPr>
          <w:rFonts w:cs="Times New Roman"/>
          <w:lang w:val="fr-CA"/>
        </w:rPr>
        <w:t>est ce qu</w:t>
      </w:r>
      <w:r>
        <w:rPr>
          <w:rFonts w:cs="Times New Roman"/>
          <w:lang w:val="fr-CA"/>
        </w:rPr>
        <w:t>’</w:t>
      </w:r>
      <w:r w:rsidRPr="00BD3AAF">
        <w:rPr>
          <w:rFonts w:cs="Times New Roman"/>
          <w:lang w:val="fr-CA"/>
        </w:rPr>
        <w:t>on en est venu à appeler l</w:t>
      </w:r>
      <w:r>
        <w:rPr>
          <w:rFonts w:cs="Times New Roman"/>
          <w:lang w:val="fr-CA"/>
        </w:rPr>
        <w:t>’</w:t>
      </w:r>
      <w:r w:rsidRPr="00BD3AAF">
        <w:rPr>
          <w:rFonts w:cs="Times New Roman"/>
          <w:lang w:val="fr-CA"/>
        </w:rPr>
        <w:t>« exception établie par l</w:t>
      </w:r>
      <w:r>
        <w:rPr>
          <w:rFonts w:cs="Times New Roman"/>
          <w:lang w:val="fr-CA"/>
        </w:rPr>
        <w:t>’</w:t>
      </w:r>
      <w:r w:rsidRPr="00BD3AAF">
        <w:rPr>
          <w:rFonts w:cs="Times New Roman"/>
          <w:lang w:val="fr-CA"/>
        </w:rPr>
        <w:t xml:space="preserve">arrêt </w:t>
      </w:r>
      <w:r w:rsidRPr="00BD3AAF">
        <w:rPr>
          <w:rFonts w:cs="Times New Roman"/>
          <w:i/>
          <w:lang w:val="fr-CA"/>
        </w:rPr>
        <w:t>Peiroo</w:t>
      </w:r>
      <w:r w:rsidRPr="00BD3AAF">
        <w:rPr>
          <w:rFonts w:cs="Times New Roman"/>
          <w:lang w:val="fr-CA"/>
        </w:rPr>
        <w:t> », selon laquelle, lorsque le législateur a instauré un régime complet, exhaustif et spécialisé prévoyant une procédure d</w:t>
      </w:r>
      <w:r>
        <w:rPr>
          <w:rFonts w:cs="Times New Roman"/>
          <w:lang w:val="fr-CA"/>
        </w:rPr>
        <w:t>’</w:t>
      </w:r>
      <w:r w:rsidRPr="00BD3AAF">
        <w:rPr>
          <w:rFonts w:cs="Times New Roman"/>
          <w:lang w:val="fr-CA"/>
        </w:rPr>
        <w:t>examen de la détention aussi large et aussi avantageuse que celle de l</w:t>
      </w:r>
      <w:r>
        <w:rPr>
          <w:rFonts w:cs="Times New Roman"/>
          <w:lang w:val="fr-CA"/>
        </w:rPr>
        <w:t>’</w:t>
      </w:r>
      <w:r w:rsidRPr="00BD3AAF">
        <w:rPr>
          <w:rFonts w:cs="Times New Roman"/>
          <w:i/>
          <w:lang w:val="fr-CA"/>
        </w:rPr>
        <w:t>habeas corpus</w:t>
      </w:r>
      <w:r w:rsidRPr="00BD3AAF">
        <w:rPr>
          <w:rFonts w:cs="Times New Roman"/>
          <w:lang w:val="fr-CA"/>
        </w:rPr>
        <w:t>, les cours supérieures devraient refuser d</w:t>
      </w:r>
      <w:r>
        <w:rPr>
          <w:rFonts w:cs="Times New Roman"/>
          <w:lang w:val="fr-CA"/>
        </w:rPr>
        <w:t>’</w:t>
      </w:r>
      <w:r w:rsidRPr="00BD3AAF">
        <w:rPr>
          <w:rFonts w:cs="Times New Roman"/>
          <w:lang w:val="fr-CA"/>
        </w:rPr>
        <w:t>exercer leur compétence en matière d</w:t>
      </w:r>
      <w:r>
        <w:rPr>
          <w:rFonts w:cs="Times New Roman"/>
          <w:lang w:val="fr-CA"/>
        </w:rPr>
        <w:t>’</w:t>
      </w:r>
      <w:r w:rsidRPr="00BD3AAF">
        <w:rPr>
          <w:rFonts w:cs="Times New Roman"/>
          <w:i/>
          <w:lang w:val="fr-CA"/>
        </w:rPr>
        <w:t>habeas corpus</w:t>
      </w:r>
      <w:r w:rsidRPr="00BD3AAF">
        <w:rPr>
          <w:rFonts w:cs="Times New Roman"/>
          <w:lang w:val="fr-CA"/>
        </w:rPr>
        <w:t xml:space="preserve"> et donner prépondérance au régime ainsi établi par la loi.</w:t>
      </w:r>
    </w:p>
    <w:p w:rsidR="00B233C0" w:rsidRPr="00BD3AAF" w:rsidRDefault="00B233C0" w:rsidP="00B233C0">
      <w:pPr>
        <w:pStyle w:val="ParaNoNdepar-AltN"/>
        <w:rPr>
          <w:rFonts w:cs="Times New Roman"/>
          <w:lang w:val="fr-CA"/>
        </w:rPr>
      </w:pPr>
      <w:r w:rsidRPr="00BD3AAF">
        <w:rPr>
          <w:rFonts w:cs="Times New Roman"/>
          <w:lang w:val="fr-CA"/>
        </w:rPr>
        <w:t>La Cour a appliqué l</w:t>
      </w:r>
      <w:r>
        <w:rPr>
          <w:rFonts w:cs="Times New Roman"/>
          <w:lang w:val="fr-CA"/>
        </w:rPr>
        <w:t>’</w:t>
      </w:r>
      <w:r w:rsidRPr="00BD3AAF">
        <w:rPr>
          <w:rFonts w:cs="Times New Roman"/>
          <w:lang w:val="fr-CA"/>
        </w:rPr>
        <w:t>exception établie par l</w:t>
      </w:r>
      <w:r>
        <w:rPr>
          <w:rFonts w:cs="Times New Roman"/>
          <w:lang w:val="fr-CA"/>
        </w:rPr>
        <w:t>’</w:t>
      </w:r>
      <w:r w:rsidRPr="00BD3AAF">
        <w:rPr>
          <w:rFonts w:cs="Times New Roman"/>
          <w:lang w:val="fr-CA"/>
        </w:rPr>
        <w:t>arrêt</w:t>
      </w:r>
      <w:r w:rsidRPr="00BD3AAF">
        <w:rPr>
          <w:rFonts w:cs="Times New Roman"/>
          <w:i/>
          <w:lang w:val="fr-CA"/>
        </w:rPr>
        <w:t xml:space="preserve"> Peiroo</w:t>
      </w:r>
      <w:r w:rsidRPr="00BD3AAF">
        <w:rPr>
          <w:rFonts w:cs="Times New Roman"/>
          <w:lang w:val="fr-CA"/>
        </w:rPr>
        <w:t xml:space="preserve"> dans l</w:t>
      </w:r>
      <w:r>
        <w:rPr>
          <w:rFonts w:cs="Times New Roman"/>
          <w:lang w:val="fr-CA"/>
        </w:rPr>
        <w:t>’</w:t>
      </w:r>
      <w:r w:rsidRPr="00BD3AAF">
        <w:rPr>
          <w:rFonts w:cs="Times New Roman"/>
          <w:lang w:val="fr-CA"/>
        </w:rPr>
        <w:t xml:space="preserve">arrêt </w:t>
      </w:r>
      <w:r w:rsidRPr="00BD3AAF">
        <w:rPr>
          <w:rFonts w:cs="Times New Roman"/>
          <w:i/>
          <w:lang w:val="fr-CA"/>
        </w:rPr>
        <w:t>Reza</w:t>
      </w:r>
      <w:r w:rsidRPr="00BD3AAF">
        <w:rPr>
          <w:rFonts w:cs="Times New Roman"/>
          <w:lang w:val="fr-CA"/>
        </w:rPr>
        <w:t>, qui, comme l</w:t>
      </w:r>
      <w:r>
        <w:rPr>
          <w:rFonts w:cs="Times New Roman"/>
          <w:lang w:val="fr-CA"/>
        </w:rPr>
        <w:t>’</w:t>
      </w:r>
      <w:r w:rsidRPr="00BD3AAF">
        <w:rPr>
          <w:rFonts w:cs="Times New Roman"/>
          <w:lang w:val="fr-CA"/>
        </w:rPr>
        <w:t xml:space="preserve">affaire </w:t>
      </w:r>
      <w:r w:rsidRPr="00BD3AAF">
        <w:rPr>
          <w:rFonts w:cs="Times New Roman"/>
          <w:i/>
          <w:lang w:val="fr-CA"/>
        </w:rPr>
        <w:t>Peiroo</w:t>
      </w:r>
      <w:r w:rsidRPr="00BD3AAF">
        <w:rPr>
          <w:rFonts w:cs="Times New Roman"/>
          <w:lang w:val="fr-CA"/>
        </w:rPr>
        <w:t xml:space="preserve">, portait sur une revendication du statut de réfugié. M. Reza avait revendiqué au Canada le statut de réfugié au sens de la Convention. Un tribunal constitué sous le régime des dispositions transitoires de la </w:t>
      </w:r>
      <w:r w:rsidRPr="00BD3AAF">
        <w:rPr>
          <w:rFonts w:cs="Times New Roman"/>
          <w:i/>
          <w:lang w:val="fr-CA"/>
        </w:rPr>
        <w:t>Loi sur l</w:t>
      </w:r>
      <w:r>
        <w:rPr>
          <w:rFonts w:cs="Times New Roman"/>
          <w:i/>
          <w:lang w:val="fr-CA"/>
        </w:rPr>
        <w:t>’</w:t>
      </w:r>
      <w:r w:rsidRPr="00BD3AAF">
        <w:rPr>
          <w:rFonts w:cs="Times New Roman"/>
          <w:i/>
          <w:lang w:val="fr-CA"/>
        </w:rPr>
        <w:t>immigration</w:t>
      </w:r>
      <w:r w:rsidRPr="00BD3AAF">
        <w:rPr>
          <w:rFonts w:cs="Times New Roman"/>
          <w:lang w:val="fr-CA"/>
        </w:rPr>
        <w:t>, L.R.C. 1985, c. 28 (4</w:t>
      </w:r>
      <w:r w:rsidRPr="00BD3AAF">
        <w:rPr>
          <w:rFonts w:cs="Times New Roman"/>
          <w:vertAlign w:val="superscript"/>
          <w:lang w:val="fr-CA"/>
        </w:rPr>
        <w:t>e</w:t>
      </w:r>
      <w:r w:rsidRPr="00BD3AAF">
        <w:rPr>
          <w:rFonts w:cs="Times New Roman"/>
          <w:lang w:val="fr-CA"/>
        </w:rPr>
        <w:t> suppl.), avait conclu que la revendication de M. Reza n</w:t>
      </w:r>
      <w:r>
        <w:rPr>
          <w:rFonts w:cs="Times New Roman"/>
          <w:lang w:val="fr-CA"/>
        </w:rPr>
        <w:t>’</w:t>
      </w:r>
      <w:r w:rsidRPr="00BD3AAF">
        <w:rPr>
          <w:rFonts w:cs="Times New Roman"/>
          <w:lang w:val="fr-CA"/>
        </w:rPr>
        <w:t>avait pas de fondement crédible et avait donc pris une mesure d</w:t>
      </w:r>
      <w:r>
        <w:rPr>
          <w:rFonts w:cs="Times New Roman"/>
          <w:lang w:val="fr-CA"/>
        </w:rPr>
        <w:t>’</w:t>
      </w:r>
      <w:r w:rsidRPr="00BD3AAF">
        <w:rPr>
          <w:rFonts w:cs="Times New Roman"/>
          <w:lang w:val="fr-CA"/>
        </w:rPr>
        <w:t>expulsion contre lui. M. Reza n</w:t>
      </w:r>
      <w:r>
        <w:rPr>
          <w:rFonts w:cs="Times New Roman"/>
          <w:lang w:val="fr-CA"/>
        </w:rPr>
        <w:t>’</w:t>
      </w:r>
      <w:r w:rsidRPr="00BD3AAF">
        <w:rPr>
          <w:rFonts w:cs="Times New Roman"/>
          <w:lang w:val="fr-CA"/>
        </w:rPr>
        <w:t>a pas obtenu gain de cause dans sa demande de contrôle pour des considérations humanitaires soumise à un agent d</w:t>
      </w:r>
      <w:r>
        <w:rPr>
          <w:rFonts w:cs="Times New Roman"/>
          <w:lang w:val="fr-CA"/>
        </w:rPr>
        <w:t>’</w:t>
      </w:r>
      <w:r w:rsidRPr="00BD3AAF">
        <w:rPr>
          <w:rFonts w:cs="Times New Roman"/>
          <w:lang w:val="fr-CA"/>
        </w:rPr>
        <w:t>immigration. Il a ensuite demandé à la Cour fédérale l</w:t>
      </w:r>
      <w:r>
        <w:rPr>
          <w:rFonts w:cs="Times New Roman"/>
          <w:lang w:val="fr-CA"/>
        </w:rPr>
        <w:t>’</w:t>
      </w:r>
      <w:r w:rsidRPr="00BD3AAF">
        <w:rPr>
          <w:rFonts w:cs="Times New Roman"/>
          <w:lang w:val="fr-CA"/>
        </w:rPr>
        <w:t>autorisation de présenter une demande de contrôle judiciaire de la décision de l</w:t>
      </w:r>
      <w:r>
        <w:rPr>
          <w:rFonts w:cs="Times New Roman"/>
          <w:lang w:val="fr-CA"/>
        </w:rPr>
        <w:t>’</w:t>
      </w:r>
      <w:r w:rsidRPr="00BD3AAF">
        <w:rPr>
          <w:rFonts w:cs="Times New Roman"/>
          <w:lang w:val="fr-CA"/>
        </w:rPr>
        <w:t>agent en question.</w:t>
      </w:r>
    </w:p>
    <w:p w:rsidR="00B233C0" w:rsidRPr="00BD3AAF" w:rsidRDefault="00B233C0" w:rsidP="00B233C0">
      <w:pPr>
        <w:pStyle w:val="ParaNoNdepar-AltN"/>
        <w:spacing w:before="0"/>
        <w:rPr>
          <w:rFonts w:cs="Times New Roman"/>
          <w:lang w:val="fr-CA"/>
        </w:rPr>
      </w:pPr>
      <w:r w:rsidRPr="00BD3AAF">
        <w:rPr>
          <w:rFonts w:cs="Times New Roman"/>
          <w:lang w:val="fr-CA"/>
        </w:rPr>
        <w:t xml:space="preserve">Par la suite, M. Reza a contesté la constitutionnalité de la </w:t>
      </w:r>
      <w:r w:rsidRPr="00BD3AAF">
        <w:rPr>
          <w:rFonts w:cs="Times New Roman"/>
          <w:i/>
          <w:lang w:val="fr-CA"/>
        </w:rPr>
        <w:t>Loi sur l</w:t>
      </w:r>
      <w:r>
        <w:rPr>
          <w:rFonts w:cs="Times New Roman"/>
          <w:i/>
          <w:lang w:val="fr-CA"/>
        </w:rPr>
        <w:t>’</w:t>
      </w:r>
      <w:r w:rsidRPr="00BD3AAF">
        <w:rPr>
          <w:rFonts w:cs="Times New Roman"/>
          <w:i/>
          <w:lang w:val="fr-CA"/>
        </w:rPr>
        <w:t>immigration</w:t>
      </w:r>
      <w:r w:rsidRPr="00BD3AAF">
        <w:rPr>
          <w:rFonts w:cs="Times New Roman"/>
          <w:lang w:val="fr-CA"/>
        </w:rPr>
        <w:t xml:space="preserve"> devant la cour supérieure. Le juge des requêtes a ordonné le sursis de la contestation constitutionnelle au motif que la Cour fédérale avait compétence concurrente sur la question et qu</w:t>
      </w:r>
      <w:r>
        <w:rPr>
          <w:rFonts w:cs="Times New Roman"/>
          <w:lang w:val="fr-CA"/>
        </w:rPr>
        <w:t>’</w:t>
      </w:r>
      <w:r w:rsidRPr="00BD3AAF">
        <w:rPr>
          <w:rFonts w:cs="Times New Roman"/>
          <w:lang w:val="fr-CA"/>
        </w:rPr>
        <w:t>il était plus approprié que ce soit cette dernière qui tranche la contestation constitutionnelle. S</w:t>
      </w:r>
      <w:r>
        <w:rPr>
          <w:rFonts w:cs="Times New Roman"/>
          <w:lang w:val="fr-CA"/>
        </w:rPr>
        <w:t>’</w:t>
      </w:r>
      <w:r w:rsidRPr="00BD3AAF">
        <w:rPr>
          <w:rFonts w:cs="Times New Roman"/>
          <w:lang w:val="fr-CA"/>
        </w:rPr>
        <w:t>estimant lié par l</w:t>
      </w:r>
      <w:r>
        <w:rPr>
          <w:rFonts w:cs="Times New Roman"/>
          <w:lang w:val="fr-CA"/>
        </w:rPr>
        <w:t>’</w:t>
      </w:r>
      <w:r w:rsidRPr="00BD3AAF">
        <w:rPr>
          <w:rFonts w:cs="Times New Roman"/>
          <w:lang w:val="fr-CA"/>
        </w:rPr>
        <w:t xml:space="preserve">arrêt </w:t>
      </w:r>
      <w:r w:rsidRPr="00BD3AAF">
        <w:rPr>
          <w:rFonts w:cs="Times New Roman"/>
          <w:i/>
          <w:lang w:val="fr-CA"/>
        </w:rPr>
        <w:t>Peiroo</w:t>
      </w:r>
      <w:r w:rsidRPr="00BD3AAF">
        <w:rPr>
          <w:rFonts w:cs="Times New Roman"/>
          <w:lang w:val="fr-CA"/>
        </w:rPr>
        <w:t>, le juge des requêtes a déclaré</w:t>
      </w:r>
      <w:r>
        <w:rPr>
          <w:rFonts w:cs="Times New Roman"/>
          <w:lang w:val="fr-CA"/>
        </w:rPr>
        <w:t> :</w:t>
      </w:r>
    </w:p>
    <w:p w:rsidR="00B233C0" w:rsidRPr="00BD3AAF" w:rsidRDefault="00B233C0" w:rsidP="00B233C0">
      <w:pPr>
        <w:pStyle w:val="Citation-AltC"/>
        <w:spacing w:after="240"/>
        <w:ind w:hanging="1166"/>
        <w:contextualSpacing w:val="0"/>
        <w:rPr>
          <w:lang w:val="fr-CA"/>
        </w:rPr>
      </w:pPr>
      <w:r w:rsidRPr="00BD3AAF">
        <w:rPr>
          <w:lang w:val="fr-CA"/>
        </w:rPr>
        <w:tab/>
      </w:r>
      <w:r w:rsidR="00CE6DB8" w:rsidRPr="00BD3AAF">
        <w:rPr>
          <w:smallCaps/>
          <w:lang w:val="fr-CA"/>
        </w:rPr>
        <w:t>[</w:t>
      </w:r>
      <w:r w:rsidR="00CE6DB8" w:rsidRPr="00BD3AAF">
        <w:rPr>
          <w:smallCaps/>
          <w:lang w:val="fr-FR"/>
        </w:rPr>
        <w:t>traduction</w:t>
      </w:r>
      <w:r w:rsidR="00CE6DB8" w:rsidRPr="00BD3AAF">
        <w:rPr>
          <w:smallCaps/>
          <w:lang w:val="fr-CA"/>
        </w:rPr>
        <w:t>]</w:t>
      </w:r>
      <w:r w:rsidR="00CE6DB8">
        <w:rPr>
          <w:smallCaps/>
          <w:lang w:val="fr-CA"/>
        </w:rPr>
        <w:t xml:space="preserve"> </w:t>
      </w:r>
      <w:r w:rsidRPr="00BD3AAF">
        <w:rPr>
          <w:lang w:val="fr-CA"/>
        </w:rPr>
        <w:t xml:space="preserve">En </w:t>
      </w:r>
      <w:r w:rsidRPr="00BD3AAF">
        <w:rPr>
          <w:lang w:val="fr-FR"/>
        </w:rPr>
        <w:t>l</w:t>
      </w:r>
      <w:r>
        <w:rPr>
          <w:lang w:val="fr-FR"/>
        </w:rPr>
        <w:t>’</w:t>
      </w:r>
      <w:r w:rsidRPr="00BD3AAF">
        <w:rPr>
          <w:lang w:val="fr-FR"/>
        </w:rPr>
        <w:t>absence</w:t>
      </w:r>
      <w:r w:rsidRPr="00BD3AAF">
        <w:rPr>
          <w:lang w:val="fr-CA"/>
        </w:rPr>
        <w:t xml:space="preserve"> de </w:t>
      </w:r>
      <w:r w:rsidR="00CE6DB8">
        <w:rPr>
          <w:lang w:val="fr-CA"/>
        </w:rPr>
        <w:t>toute</w:t>
      </w:r>
      <w:r w:rsidRPr="00BD3AAF">
        <w:rPr>
          <w:lang w:val="fr-CA"/>
        </w:rPr>
        <w:t xml:space="preserve"> preuve que les procédures de contrôle et d</w:t>
      </w:r>
      <w:r>
        <w:rPr>
          <w:lang w:val="fr-CA"/>
        </w:rPr>
        <w:t>’</w:t>
      </w:r>
      <w:r w:rsidRPr="00BD3AAF">
        <w:rPr>
          <w:lang w:val="fr-CA"/>
        </w:rPr>
        <w:t xml:space="preserve">appel sont inadéquates ou moins avantageuses que la compétence de </w:t>
      </w:r>
      <w:r w:rsidR="008C1C51">
        <w:rPr>
          <w:lang w:val="fr-CA"/>
        </w:rPr>
        <w:t>notre C</w:t>
      </w:r>
      <w:r w:rsidRPr="00BD3AAF">
        <w:rPr>
          <w:lang w:val="fr-CA"/>
        </w:rPr>
        <w:t>our en matière d</w:t>
      </w:r>
      <w:r>
        <w:rPr>
          <w:lang w:val="fr-CA"/>
        </w:rPr>
        <w:t>’</w:t>
      </w:r>
      <w:r w:rsidRPr="00E6179B">
        <w:rPr>
          <w:lang w:val="fr-CA"/>
        </w:rPr>
        <w:t>habeas corpus</w:t>
      </w:r>
      <w:r w:rsidRPr="00BD3AAF">
        <w:rPr>
          <w:lang w:val="fr-CA"/>
        </w:rPr>
        <w:t xml:space="preserve">, </w:t>
      </w:r>
      <w:r w:rsidR="008C1C51">
        <w:rPr>
          <w:lang w:val="fr-CA"/>
        </w:rPr>
        <w:t>notre C</w:t>
      </w:r>
      <w:r w:rsidRPr="00BD3AAF">
        <w:rPr>
          <w:lang w:val="fr-CA"/>
        </w:rPr>
        <w:t>our devrait, dans l</w:t>
      </w:r>
      <w:r>
        <w:rPr>
          <w:lang w:val="fr-CA"/>
        </w:rPr>
        <w:t>’</w:t>
      </w:r>
      <w:r w:rsidRPr="00BD3AAF">
        <w:rPr>
          <w:lang w:val="fr-CA"/>
        </w:rPr>
        <w:t>exercice de son pouvoir discrétionnaire, refuser d</w:t>
      </w:r>
      <w:r>
        <w:rPr>
          <w:lang w:val="fr-CA"/>
        </w:rPr>
        <w:t>’</w:t>
      </w:r>
      <w:r w:rsidRPr="00BD3AAF">
        <w:rPr>
          <w:lang w:val="fr-CA"/>
        </w:rPr>
        <w:t>accorder la réparation demandée dans le cadre d</w:t>
      </w:r>
      <w:r>
        <w:rPr>
          <w:lang w:val="fr-CA"/>
        </w:rPr>
        <w:t>’</w:t>
      </w:r>
      <w:r w:rsidRPr="00BD3AAF">
        <w:rPr>
          <w:lang w:val="fr-CA"/>
        </w:rPr>
        <w:t>une demande d</w:t>
      </w:r>
      <w:r>
        <w:rPr>
          <w:lang w:val="fr-CA"/>
        </w:rPr>
        <w:t>’</w:t>
      </w:r>
      <w:r w:rsidRPr="00E6179B">
        <w:rPr>
          <w:lang w:val="fr-CA"/>
        </w:rPr>
        <w:t>habeas corpus</w:t>
      </w:r>
      <w:r w:rsidRPr="00BD3AAF">
        <w:rPr>
          <w:lang w:val="fr-CA"/>
        </w:rPr>
        <w:t xml:space="preserve">. Tant la jurisprudence que la logique justifient </w:t>
      </w:r>
      <w:r w:rsidR="00CE6DB8">
        <w:rPr>
          <w:lang w:val="fr-CA"/>
        </w:rPr>
        <w:t>notre C</w:t>
      </w:r>
      <w:r w:rsidRPr="00BD3AAF">
        <w:rPr>
          <w:lang w:val="fr-CA"/>
        </w:rPr>
        <w:t>our de laisser à la Cour fédérale du Canada le contrôle des affaires d</w:t>
      </w:r>
      <w:r>
        <w:rPr>
          <w:lang w:val="fr-CA"/>
        </w:rPr>
        <w:t>’</w:t>
      </w:r>
      <w:r w:rsidRPr="00BD3AAF">
        <w:rPr>
          <w:lang w:val="fr-CA"/>
        </w:rPr>
        <w:t>immigration</w:t>
      </w:r>
      <w:r>
        <w:rPr>
          <w:lang w:val="fr-CA"/>
        </w:rPr>
        <w:t> :</w:t>
      </w:r>
      <w:r w:rsidRPr="00BD3AAF">
        <w:rPr>
          <w:lang w:val="fr-CA"/>
        </w:rPr>
        <w:t xml:space="preserve"> </w:t>
      </w:r>
      <w:r w:rsidRPr="00BD3AAF">
        <w:rPr>
          <w:i/>
          <w:lang w:val="fr-CA"/>
        </w:rPr>
        <w:t>Re Peiroo</w:t>
      </w:r>
      <w:r w:rsidRPr="00BD3AAF">
        <w:rPr>
          <w:lang w:val="fr-CA"/>
        </w:rPr>
        <w:t xml:space="preserve"> (1989), 69 O.R. (2d) 253 (C.A.O.). La décision de la C.A. dans </w:t>
      </w:r>
      <w:r w:rsidRPr="00BD3AAF">
        <w:rPr>
          <w:i/>
          <w:lang w:val="fr-CA"/>
        </w:rPr>
        <w:t>Sheperd</w:t>
      </w:r>
      <w:r w:rsidRPr="00BD3AAF">
        <w:rPr>
          <w:lang w:val="fr-CA"/>
        </w:rPr>
        <w:t xml:space="preserve"> (1989) 52 C.C.C. (3d) 386 est au même effet. Je suis évidemment lié par ces arrêts.</w:t>
      </w:r>
    </w:p>
    <w:p w:rsidR="00B233C0" w:rsidRPr="00BD3AAF" w:rsidRDefault="00B233C0" w:rsidP="00B233C0">
      <w:pPr>
        <w:pStyle w:val="Citation-AltC"/>
        <w:spacing w:after="240"/>
        <w:ind w:hanging="1166"/>
        <w:contextualSpacing w:val="0"/>
        <w:rPr>
          <w:lang w:val="fr-CA"/>
        </w:rPr>
      </w:pPr>
      <w:r w:rsidRPr="00BD3AAF">
        <w:rPr>
          <w:lang w:val="fr-CA"/>
        </w:rPr>
        <w:tab/>
      </w:r>
      <w:r w:rsidRPr="00BD3AAF">
        <w:rPr>
          <w:lang w:val="fr-CA"/>
        </w:rPr>
        <w:tab/>
        <w:t>En l</w:t>
      </w:r>
      <w:r>
        <w:rPr>
          <w:lang w:val="fr-CA"/>
        </w:rPr>
        <w:t>’</w:t>
      </w:r>
      <w:r w:rsidRPr="00BD3AAF">
        <w:rPr>
          <w:lang w:val="fr-CA"/>
        </w:rPr>
        <w:t>espèce, il ne s</w:t>
      </w:r>
      <w:r>
        <w:rPr>
          <w:lang w:val="fr-CA"/>
        </w:rPr>
        <w:t>’</w:t>
      </w:r>
      <w:r w:rsidRPr="00BD3AAF">
        <w:rPr>
          <w:lang w:val="fr-CA"/>
        </w:rPr>
        <w:t>agit pas d</w:t>
      </w:r>
      <w:r>
        <w:rPr>
          <w:lang w:val="fr-CA"/>
        </w:rPr>
        <w:t>’</w:t>
      </w:r>
      <w:r w:rsidRPr="00BD3AAF">
        <w:rPr>
          <w:lang w:val="fr-CA"/>
        </w:rPr>
        <w:t>une demande d</w:t>
      </w:r>
      <w:r>
        <w:rPr>
          <w:lang w:val="fr-CA"/>
        </w:rPr>
        <w:t>’</w:t>
      </w:r>
      <w:r w:rsidR="00CE6DB8" w:rsidRPr="00E6179B">
        <w:rPr>
          <w:lang w:val="fr-CA"/>
        </w:rPr>
        <w:t>habeas corpus</w:t>
      </w:r>
      <w:r w:rsidR="00CE6DB8">
        <w:rPr>
          <w:lang w:val="fr-CA"/>
        </w:rPr>
        <w:t>, mais la</w:t>
      </w:r>
      <w:r w:rsidRPr="00CE6DB8">
        <w:rPr>
          <w:lang w:val="fr-CA"/>
        </w:rPr>
        <w:t xml:space="preserve"> </w:t>
      </w:r>
      <w:r w:rsidRPr="00BD3AAF">
        <w:rPr>
          <w:lang w:val="fr-FR"/>
        </w:rPr>
        <w:t>réparation</w:t>
      </w:r>
      <w:r w:rsidR="00CE6DB8">
        <w:rPr>
          <w:lang w:val="fr-CA"/>
        </w:rPr>
        <w:t xml:space="preserve"> demandée</w:t>
      </w:r>
      <w:r w:rsidRPr="00BD3AAF">
        <w:rPr>
          <w:lang w:val="fr-CA"/>
        </w:rPr>
        <w:t xml:space="preserve"> au moyen du jugement déclaratoire et de l</w:t>
      </w:r>
      <w:r>
        <w:rPr>
          <w:lang w:val="fr-CA"/>
        </w:rPr>
        <w:t>’</w:t>
      </w:r>
      <w:r w:rsidRPr="00BD3AAF">
        <w:rPr>
          <w:lang w:val="fr-CA"/>
        </w:rPr>
        <w:t xml:space="preserve">injonction, relève également du pouvoir discrétionnaire de </w:t>
      </w:r>
      <w:r w:rsidR="00CE6DB8">
        <w:rPr>
          <w:lang w:val="fr-CA"/>
        </w:rPr>
        <w:t>notre</w:t>
      </w:r>
      <w:r w:rsidRPr="00BD3AAF">
        <w:rPr>
          <w:lang w:val="fr-CA"/>
        </w:rPr>
        <w:t xml:space="preserve"> Cour</w:t>
      </w:r>
      <w:r>
        <w:rPr>
          <w:lang w:val="fr-CA"/>
        </w:rPr>
        <w:t xml:space="preserve">. </w:t>
      </w:r>
      <w:r w:rsidRPr="00BD3AAF">
        <w:rPr>
          <w:lang w:val="fr-CA"/>
        </w:rPr>
        <w:t>La Cour fédérale a compétence pour accorder la réparation demandée et, à mon avis, les principes énoncés dans les arrêts</w:t>
      </w:r>
      <w:r w:rsidR="00CE6DB8">
        <w:rPr>
          <w:lang w:val="fr-CA"/>
        </w:rPr>
        <w:t xml:space="preserve"> de la C.A.</w:t>
      </w:r>
      <w:r w:rsidRPr="00BD3AAF">
        <w:rPr>
          <w:lang w:val="fr-CA"/>
        </w:rPr>
        <w:t xml:space="preserve"> </w:t>
      </w:r>
      <w:r w:rsidRPr="00BD3AAF">
        <w:rPr>
          <w:i/>
          <w:lang w:val="fr-CA"/>
        </w:rPr>
        <w:t>Peiroo</w:t>
      </w:r>
      <w:r w:rsidRPr="00BD3AAF">
        <w:rPr>
          <w:lang w:val="fr-CA"/>
        </w:rPr>
        <w:t xml:space="preserve"> et </w:t>
      </w:r>
      <w:r w:rsidRPr="00BD3AAF">
        <w:rPr>
          <w:i/>
          <w:lang w:val="fr-CA"/>
        </w:rPr>
        <w:t xml:space="preserve">Sheperd </w:t>
      </w:r>
      <w:r w:rsidRPr="00BD3AAF">
        <w:rPr>
          <w:lang w:val="fr-CA"/>
        </w:rPr>
        <w:t>s</w:t>
      </w:r>
      <w:r>
        <w:rPr>
          <w:lang w:val="fr-CA"/>
        </w:rPr>
        <w:t>’</w:t>
      </w:r>
      <w:r w:rsidRPr="00BD3AAF">
        <w:rPr>
          <w:lang w:val="fr-CA"/>
        </w:rPr>
        <w:t>appliquent en l</w:t>
      </w:r>
      <w:r>
        <w:rPr>
          <w:lang w:val="fr-CA"/>
        </w:rPr>
        <w:t xml:space="preserve">’espèce. </w:t>
      </w:r>
      <w:r w:rsidRPr="00BD3AAF">
        <w:rPr>
          <w:lang w:val="fr-CA"/>
        </w:rPr>
        <w:t xml:space="preserve">Les circonstances décrites par Campbell dans </w:t>
      </w:r>
      <w:r w:rsidRPr="00BD3AAF">
        <w:rPr>
          <w:i/>
          <w:lang w:val="fr-CA"/>
        </w:rPr>
        <w:t>Bembeneck</w:t>
      </w:r>
      <w:r w:rsidRPr="00BD3AAF">
        <w:rPr>
          <w:lang w:val="fr-CA"/>
        </w:rPr>
        <w:t xml:space="preserve"> 69 C.C.C. (3d) 34, qui ont amené </w:t>
      </w:r>
      <w:r w:rsidR="00CE6DB8">
        <w:rPr>
          <w:lang w:val="fr-CA"/>
        </w:rPr>
        <w:t>la cour</w:t>
      </w:r>
      <w:r w:rsidRPr="00BD3AAF">
        <w:rPr>
          <w:lang w:val="fr-CA"/>
        </w:rPr>
        <w:t xml:space="preserve"> à exercer sa compétence, ne se retrouvent pas en l</w:t>
      </w:r>
      <w:r>
        <w:rPr>
          <w:lang w:val="fr-CA"/>
        </w:rPr>
        <w:t>’</w:t>
      </w:r>
      <w:r w:rsidRPr="00BD3AAF">
        <w:rPr>
          <w:lang w:val="fr-CA"/>
        </w:rPr>
        <w:t>espèce.</w:t>
      </w:r>
    </w:p>
    <w:p w:rsidR="00B233C0" w:rsidRPr="00BD3AAF" w:rsidRDefault="003B44AB" w:rsidP="00B233C0">
      <w:pPr>
        <w:pStyle w:val="Citation-AltC"/>
        <w:spacing w:after="240"/>
        <w:ind w:hanging="1166"/>
        <w:contextualSpacing w:val="0"/>
        <w:rPr>
          <w:lang w:val="fr-CA"/>
        </w:rPr>
      </w:pPr>
      <w:r>
        <w:rPr>
          <w:lang w:val="fr-CA"/>
        </w:rPr>
        <w:tab/>
      </w:r>
      <w:r w:rsidR="00B233C0" w:rsidRPr="00BD3AAF">
        <w:rPr>
          <w:lang w:val="fr-CA"/>
        </w:rPr>
        <w:t>Quant à savoir si le processus est moins avantageux en Cour fédérale, comme on l</w:t>
      </w:r>
      <w:r w:rsidR="00B233C0">
        <w:rPr>
          <w:lang w:val="fr-CA"/>
        </w:rPr>
        <w:t>’</w:t>
      </w:r>
      <w:r w:rsidR="00B233C0" w:rsidRPr="00BD3AAF">
        <w:rPr>
          <w:lang w:val="fr-CA"/>
        </w:rPr>
        <w:t>a indiqué, cette dernière peut accorder la réparation et, à mon avis, l</w:t>
      </w:r>
      <w:r w:rsidR="00B233C0">
        <w:rPr>
          <w:lang w:val="fr-CA"/>
        </w:rPr>
        <w:t>’</w:t>
      </w:r>
      <w:r w:rsidR="00B233C0" w:rsidRPr="00BD3AAF">
        <w:rPr>
          <w:lang w:val="fr-CA"/>
        </w:rPr>
        <w:t>obligation d</w:t>
      </w:r>
      <w:r w:rsidR="00B233C0">
        <w:rPr>
          <w:lang w:val="fr-CA"/>
        </w:rPr>
        <w:t>’</w:t>
      </w:r>
      <w:r w:rsidR="00B233C0" w:rsidRPr="00BD3AAF">
        <w:rPr>
          <w:lang w:val="fr-CA"/>
        </w:rPr>
        <w:t xml:space="preserve">obtenir son autorisation </w:t>
      </w:r>
      <w:r w:rsidR="00DD574C">
        <w:rPr>
          <w:lang w:val="fr-CA"/>
        </w:rPr>
        <w:t>pour demander</w:t>
      </w:r>
      <w:r w:rsidR="00B233C0" w:rsidRPr="00BD3AAF">
        <w:rPr>
          <w:lang w:val="fr-CA"/>
        </w:rPr>
        <w:t xml:space="preserve"> un jugement déclaratoire ne rend pas le processus moins avantageux. . .</w:t>
      </w:r>
    </w:p>
    <w:p w:rsidR="00B233C0" w:rsidRPr="00BD3AAF" w:rsidRDefault="00B233C0" w:rsidP="00B233C0">
      <w:pPr>
        <w:pStyle w:val="Citation-AltC"/>
        <w:ind w:left="1168" w:hanging="1168"/>
        <w:contextualSpacing w:val="0"/>
        <w:rPr>
          <w:lang w:val="fr-CA"/>
        </w:rPr>
      </w:pPr>
      <w:r w:rsidRPr="00BD3AAF">
        <w:rPr>
          <w:lang w:val="fr-CA"/>
        </w:rPr>
        <w:tab/>
      </w:r>
      <w:r w:rsidRPr="00BD3AAF">
        <w:rPr>
          <w:lang w:val="fr-CA"/>
        </w:rPr>
        <w:tab/>
        <w:t>En conséquence, je suis d</w:t>
      </w:r>
      <w:r>
        <w:rPr>
          <w:lang w:val="fr-CA"/>
        </w:rPr>
        <w:t>’</w:t>
      </w:r>
      <w:r w:rsidRPr="00BD3AAF">
        <w:rPr>
          <w:lang w:val="fr-CA"/>
        </w:rPr>
        <w:t>avis de surseoir à la présente procédure. [</w:t>
      </w:r>
      <w:r>
        <w:rPr>
          <w:lang w:val="fr-CA"/>
        </w:rPr>
        <w:t>p. </w:t>
      </w:r>
      <w:r w:rsidRPr="00BD3AAF">
        <w:rPr>
          <w:lang w:val="fr-CA"/>
        </w:rPr>
        <w:t>399</w:t>
      </w:r>
      <w:r>
        <w:rPr>
          <w:lang w:val="fr-CA"/>
        </w:rPr>
        <w:noBreakHyphen/>
      </w:r>
      <w:r w:rsidRPr="00BD3AAF">
        <w:rPr>
          <w:lang w:val="fr-CA"/>
        </w:rPr>
        <w:t>400]</w:t>
      </w:r>
    </w:p>
    <w:p w:rsidR="00B233C0" w:rsidRPr="00BD3AAF" w:rsidRDefault="00B233C0" w:rsidP="00B233C0">
      <w:pPr>
        <w:pStyle w:val="ParaNoNdepar-AltN"/>
        <w:rPr>
          <w:rFonts w:cs="Times New Roman"/>
          <w:lang w:val="fr-CA"/>
        </w:rPr>
      </w:pPr>
      <w:r w:rsidRPr="00BD3AAF">
        <w:rPr>
          <w:rFonts w:cs="Times New Roman"/>
          <w:lang w:val="fr-CA"/>
        </w:rPr>
        <w:t>Les juges majoritaires de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Ontario ont infirmé la décision du juge des requêtes. Notre Cour a fait droit à l</w:t>
      </w:r>
      <w:r>
        <w:rPr>
          <w:rFonts w:cs="Times New Roman"/>
          <w:lang w:val="fr-CA"/>
        </w:rPr>
        <w:t>’</w:t>
      </w:r>
      <w:r w:rsidRPr="00BD3AAF">
        <w:rPr>
          <w:rFonts w:cs="Times New Roman"/>
          <w:lang w:val="fr-CA"/>
        </w:rPr>
        <w:t>appel en raison de l</w:t>
      </w:r>
      <w:r>
        <w:rPr>
          <w:rFonts w:cs="Times New Roman"/>
          <w:lang w:val="fr-CA"/>
        </w:rPr>
        <w:t>’</w:t>
      </w:r>
      <w:r w:rsidRPr="00BD3AAF">
        <w:rPr>
          <w:rFonts w:cs="Times New Roman"/>
          <w:lang w:val="fr-CA"/>
        </w:rPr>
        <w:t>existence d</w:t>
      </w:r>
      <w:r>
        <w:rPr>
          <w:rFonts w:cs="Times New Roman"/>
          <w:lang w:val="fr-CA"/>
        </w:rPr>
        <w:t>’</w:t>
      </w:r>
      <w:r w:rsidRPr="00BD3AAF">
        <w:rPr>
          <w:rFonts w:cs="Times New Roman"/>
          <w:lang w:val="fr-CA"/>
        </w:rPr>
        <w:t xml:space="preserve">un régime complet portant sur les mêmes questions. La </w:t>
      </w:r>
      <w:r>
        <w:rPr>
          <w:rFonts w:cs="Times New Roman"/>
          <w:i/>
          <w:lang w:val="fr-CA"/>
        </w:rPr>
        <w:t xml:space="preserve">Loi </w:t>
      </w:r>
      <w:r w:rsidRPr="00BD3AAF">
        <w:rPr>
          <w:rFonts w:cs="Times New Roman"/>
          <w:i/>
          <w:lang w:val="fr-CA"/>
        </w:rPr>
        <w:t>sur l</w:t>
      </w:r>
      <w:r>
        <w:rPr>
          <w:rFonts w:cs="Times New Roman"/>
          <w:i/>
          <w:lang w:val="fr-CA"/>
        </w:rPr>
        <w:t>’</w:t>
      </w:r>
      <w:r w:rsidRPr="00BD3AAF">
        <w:rPr>
          <w:rFonts w:cs="Times New Roman"/>
          <w:i/>
          <w:lang w:val="fr-CA"/>
        </w:rPr>
        <w:t>immigration</w:t>
      </w:r>
      <w:r w:rsidRPr="00BD3AAF">
        <w:rPr>
          <w:rFonts w:cs="Times New Roman"/>
          <w:lang w:val="fr-CA"/>
        </w:rPr>
        <w:t xml:space="preserve"> alors en vigueur conférait à la Cour fédérale un mandat exclusif en matière d</w:t>
      </w:r>
      <w:r>
        <w:rPr>
          <w:rFonts w:cs="Times New Roman"/>
          <w:lang w:val="fr-CA"/>
        </w:rPr>
        <w:t>’</w:t>
      </w:r>
      <w:r w:rsidRPr="00BD3AAF">
        <w:rPr>
          <w:rFonts w:cs="Times New Roman"/>
          <w:lang w:val="fr-CA"/>
        </w:rPr>
        <w:t>immigration. Comme dans l</w:t>
      </w:r>
      <w:r>
        <w:rPr>
          <w:rFonts w:cs="Times New Roman"/>
          <w:lang w:val="fr-CA"/>
        </w:rPr>
        <w:t>’</w:t>
      </w:r>
      <w:r w:rsidRPr="00BD3AAF">
        <w:rPr>
          <w:rFonts w:cs="Times New Roman"/>
          <w:lang w:val="fr-CA"/>
        </w:rPr>
        <w:t xml:space="preserve">arrêt </w:t>
      </w:r>
      <w:r w:rsidRPr="00BD3AAF">
        <w:rPr>
          <w:rFonts w:cs="Times New Roman"/>
          <w:i/>
          <w:lang w:val="fr-CA"/>
        </w:rPr>
        <w:t>Peiroo</w:t>
      </w:r>
      <w:r w:rsidRPr="00BD3AAF">
        <w:rPr>
          <w:rFonts w:cs="Times New Roman"/>
          <w:lang w:val="fr-CA"/>
        </w:rPr>
        <w:t xml:space="preserve">, la Cour a conclu que, en adoptant la </w:t>
      </w:r>
      <w:r w:rsidRPr="00BD3AAF">
        <w:rPr>
          <w:rFonts w:cs="Times New Roman"/>
          <w:i/>
          <w:lang w:val="fr-CA"/>
        </w:rPr>
        <w:t>Loi sur l</w:t>
      </w:r>
      <w:r>
        <w:rPr>
          <w:rFonts w:cs="Times New Roman"/>
          <w:i/>
          <w:lang w:val="fr-CA"/>
        </w:rPr>
        <w:t>’</w:t>
      </w:r>
      <w:r w:rsidRPr="00BD3AAF">
        <w:rPr>
          <w:rFonts w:cs="Times New Roman"/>
          <w:i/>
          <w:lang w:val="fr-CA"/>
        </w:rPr>
        <w:t>immigration</w:t>
      </w:r>
      <w:r w:rsidRPr="00BD3AAF">
        <w:rPr>
          <w:rFonts w:cs="Times New Roman"/>
          <w:lang w:val="fr-CA"/>
        </w:rPr>
        <w:t xml:space="preserve"> et en attribuant à la Cour fédérale une compétence exclusive, le législateur souhaitait que cette dernière soit le tribunal approprié pour trancher les affaires d</w:t>
      </w:r>
      <w:r>
        <w:rPr>
          <w:rFonts w:cs="Times New Roman"/>
          <w:lang w:val="fr-CA"/>
        </w:rPr>
        <w:t>’</w:t>
      </w:r>
      <w:r w:rsidRPr="00BD3AAF">
        <w:rPr>
          <w:rFonts w:cs="Times New Roman"/>
          <w:lang w:val="fr-CA"/>
        </w:rPr>
        <w:t>immigration. Cette conclusion militait contre l</w:t>
      </w:r>
      <w:r>
        <w:rPr>
          <w:rFonts w:cs="Times New Roman"/>
          <w:lang w:val="fr-CA"/>
        </w:rPr>
        <w:t>’</w:t>
      </w:r>
      <w:r w:rsidRPr="00BD3AAF">
        <w:rPr>
          <w:rFonts w:cs="Times New Roman"/>
          <w:lang w:val="fr-CA"/>
        </w:rPr>
        <w:t>exercice d</w:t>
      </w:r>
      <w:r>
        <w:rPr>
          <w:rFonts w:cs="Times New Roman"/>
          <w:lang w:val="fr-CA"/>
        </w:rPr>
        <w:t>’</w:t>
      </w:r>
      <w:r w:rsidRPr="00BD3AAF">
        <w:rPr>
          <w:rFonts w:cs="Times New Roman"/>
          <w:lang w:val="fr-CA"/>
        </w:rPr>
        <w:t>une compétence concurrente et permettait plutôt de penser que l</w:t>
      </w:r>
      <w:r>
        <w:rPr>
          <w:rFonts w:cs="Times New Roman"/>
          <w:lang w:val="fr-CA"/>
        </w:rPr>
        <w:t>’</w:t>
      </w:r>
      <w:r w:rsidRPr="00BD3AAF">
        <w:rPr>
          <w:rFonts w:cs="Times New Roman"/>
          <w:lang w:val="fr-CA"/>
        </w:rPr>
        <w:t>attribution légale d</w:t>
      </w:r>
      <w:r>
        <w:rPr>
          <w:rFonts w:cs="Times New Roman"/>
          <w:lang w:val="fr-CA"/>
        </w:rPr>
        <w:t>’</w:t>
      </w:r>
      <w:r w:rsidRPr="00BD3AAF">
        <w:rPr>
          <w:rFonts w:cs="Times New Roman"/>
          <w:lang w:val="fr-CA"/>
        </w:rPr>
        <w:t>une compétence exclusive à la Cour fédérale démontrait que le législateur avait l</w:t>
      </w:r>
      <w:r>
        <w:rPr>
          <w:rFonts w:cs="Times New Roman"/>
          <w:lang w:val="fr-CA"/>
        </w:rPr>
        <w:t>’</w:t>
      </w:r>
      <w:r w:rsidRPr="00BD3AAF">
        <w:rPr>
          <w:rFonts w:cs="Times New Roman"/>
          <w:lang w:val="fr-CA"/>
        </w:rPr>
        <w:t>intention d</w:t>
      </w:r>
      <w:r>
        <w:rPr>
          <w:rFonts w:cs="Times New Roman"/>
          <w:lang w:val="fr-CA"/>
        </w:rPr>
        <w:t>’</w:t>
      </w:r>
      <w:r w:rsidRPr="00BD3AAF">
        <w:rPr>
          <w:rFonts w:cs="Times New Roman"/>
          <w:lang w:val="fr-CA"/>
        </w:rPr>
        <w:t>empêcher les particuliers d</w:t>
      </w:r>
      <w:r>
        <w:rPr>
          <w:rFonts w:cs="Times New Roman"/>
          <w:lang w:val="fr-CA"/>
        </w:rPr>
        <w:t>’</w:t>
      </w:r>
      <w:r w:rsidRPr="00BD3AAF">
        <w:rPr>
          <w:rFonts w:cs="Times New Roman"/>
          <w:lang w:val="fr-CA"/>
        </w:rPr>
        <w:t xml:space="preserve">exercer des recours parallèles devant les cours supérieures. </w:t>
      </w:r>
    </w:p>
    <w:p w:rsidR="00B233C0" w:rsidRPr="00BD3AAF" w:rsidRDefault="00B233C0" w:rsidP="00B233C0">
      <w:pPr>
        <w:pStyle w:val="ParaNoNdepar-AltN"/>
        <w:rPr>
          <w:rFonts w:cs="Times New Roman"/>
          <w:lang w:val="fr-CA"/>
        </w:rPr>
      </w:pPr>
      <w:r w:rsidRPr="00BD3AAF">
        <w:rPr>
          <w:rFonts w:cs="Times New Roman"/>
          <w:lang w:val="fr-CA"/>
        </w:rPr>
        <w:t>Deuxièmement, les facteurs de l</w:t>
      </w:r>
      <w:r>
        <w:rPr>
          <w:rFonts w:cs="Times New Roman"/>
          <w:lang w:val="fr-CA"/>
        </w:rPr>
        <w:t>’</w:t>
      </w:r>
      <w:r w:rsidRPr="00BD3AAF">
        <w:rPr>
          <w:rFonts w:cs="Times New Roman"/>
          <w:lang w:val="fr-CA"/>
        </w:rPr>
        <w:t>expertise et de l</w:t>
      </w:r>
      <w:r>
        <w:rPr>
          <w:rFonts w:cs="Times New Roman"/>
          <w:lang w:val="fr-CA"/>
        </w:rPr>
        <w:t>’</w:t>
      </w:r>
      <w:r w:rsidRPr="00BD3AAF">
        <w:rPr>
          <w:rFonts w:cs="Times New Roman"/>
          <w:lang w:val="fr-CA"/>
        </w:rPr>
        <w:t>expérience favorisaient également le mandat exclusif de la Cour fédérale en matière d</w:t>
      </w:r>
      <w:r>
        <w:rPr>
          <w:rFonts w:cs="Times New Roman"/>
          <w:lang w:val="fr-CA"/>
        </w:rPr>
        <w:t>’</w:t>
      </w:r>
      <w:r w:rsidRPr="00BD3AAF">
        <w:rPr>
          <w:rFonts w:cs="Times New Roman"/>
          <w:lang w:val="fr-CA"/>
        </w:rPr>
        <w:t>immigration. En effet, la Cour fédérale possède une expertise en droit de l</w:t>
      </w:r>
      <w:r>
        <w:rPr>
          <w:rFonts w:cs="Times New Roman"/>
          <w:lang w:val="fr-CA"/>
        </w:rPr>
        <w:t>’</w:t>
      </w:r>
      <w:r w:rsidRPr="00BD3AAF">
        <w:rPr>
          <w:rFonts w:cs="Times New Roman"/>
          <w:lang w:val="fr-CA"/>
        </w:rPr>
        <w:t>immigration et en droit administratif, ainsi qu</w:t>
      </w:r>
      <w:r>
        <w:rPr>
          <w:rFonts w:cs="Times New Roman"/>
          <w:lang w:val="fr-CA"/>
        </w:rPr>
        <w:t>’</w:t>
      </w:r>
      <w:r w:rsidRPr="00BD3AAF">
        <w:rPr>
          <w:rFonts w:cs="Times New Roman"/>
          <w:lang w:val="fr-CA"/>
        </w:rPr>
        <w:t>en ce qui avait trait à sa procédure. Même si, à première vue, le cas de M. Reza semblait être d</w:t>
      </w:r>
      <w:r>
        <w:rPr>
          <w:rFonts w:cs="Times New Roman"/>
          <w:lang w:val="fr-CA"/>
        </w:rPr>
        <w:t>’</w:t>
      </w:r>
      <w:r w:rsidRPr="00BD3AAF">
        <w:rPr>
          <w:rFonts w:cs="Times New Roman"/>
          <w:lang w:val="fr-CA"/>
        </w:rPr>
        <w:t>ordre constitutionnel, sa contestation constitutionnelle était essentiellement liée à des questions de politique et de processus d</w:t>
      </w:r>
      <w:r>
        <w:rPr>
          <w:rFonts w:cs="Times New Roman"/>
          <w:lang w:val="fr-CA"/>
        </w:rPr>
        <w:t>’</w:t>
      </w:r>
      <w:r w:rsidRPr="00BD3AAF">
        <w:rPr>
          <w:rFonts w:cs="Times New Roman"/>
          <w:lang w:val="fr-CA"/>
        </w:rPr>
        <w:t>immigration.</w:t>
      </w:r>
    </w:p>
    <w:p w:rsidR="00B233C0" w:rsidRPr="00BD3AAF" w:rsidRDefault="00B233C0" w:rsidP="00B233C0">
      <w:pPr>
        <w:pStyle w:val="ParaNoNdepar-AltN"/>
        <w:rPr>
          <w:rFonts w:cs="Times New Roman"/>
          <w:lang w:val="fr-CA"/>
        </w:rPr>
      </w:pPr>
      <w:r w:rsidRPr="00BD3AAF">
        <w:rPr>
          <w:rFonts w:cs="Times New Roman"/>
          <w:lang w:val="fr-CA"/>
        </w:rPr>
        <w:t>Troisièmement, lorsque la Cour fédérale a une compétence concurrente, les cours supérieures devraient refuser d</w:t>
      </w:r>
      <w:r>
        <w:rPr>
          <w:rFonts w:cs="Times New Roman"/>
          <w:lang w:val="fr-CA"/>
        </w:rPr>
        <w:t>’</w:t>
      </w:r>
      <w:r w:rsidRPr="00BD3AAF">
        <w:rPr>
          <w:rFonts w:cs="Times New Roman"/>
          <w:lang w:val="fr-CA"/>
        </w:rPr>
        <w:t>exercer leur compétence en matière d</w:t>
      </w:r>
      <w:r>
        <w:rPr>
          <w:rFonts w:cs="Times New Roman"/>
          <w:lang w:val="fr-CA"/>
        </w:rPr>
        <w:t>’</w:t>
      </w:r>
      <w:r w:rsidRPr="00BD3AAF">
        <w:rPr>
          <w:rFonts w:cs="Times New Roman"/>
          <w:lang w:val="fr-CA"/>
        </w:rPr>
        <w:t>immigration pour éviter les problèmes que représentent la recherche du tribunal le plus favorable, le manque d</w:t>
      </w:r>
      <w:r>
        <w:rPr>
          <w:rFonts w:cs="Times New Roman"/>
          <w:lang w:val="fr-CA"/>
        </w:rPr>
        <w:t>’</w:t>
      </w:r>
      <w:r w:rsidRPr="00BD3AAF">
        <w:rPr>
          <w:rFonts w:cs="Times New Roman"/>
          <w:lang w:val="fr-CA"/>
        </w:rPr>
        <w:t xml:space="preserve">uniformité des décisions et la multiplicité des instances (voir également </w:t>
      </w:r>
      <w:r w:rsidRPr="00BD3AAF">
        <w:rPr>
          <w:rFonts w:cs="Times New Roman"/>
          <w:i/>
          <w:lang w:val="fr-CA"/>
        </w:rPr>
        <w:t xml:space="preserve">Reference re Constitutional Act, 1867, </w:t>
      </w:r>
      <w:r w:rsidR="000A5DC9">
        <w:rPr>
          <w:rFonts w:cs="Times New Roman"/>
          <w:i/>
          <w:lang w:val="fr-CA"/>
        </w:rPr>
        <w:t>s</w:t>
      </w:r>
      <w:r>
        <w:rPr>
          <w:rFonts w:cs="Times New Roman"/>
          <w:i/>
          <w:lang w:val="fr-CA"/>
        </w:rPr>
        <w:t>. </w:t>
      </w:r>
      <w:r w:rsidRPr="00BD3AAF">
        <w:rPr>
          <w:rFonts w:cs="Times New Roman"/>
          <w:i/>
          <w:lang w:val="fr-CA"/>
        </w:rPr>
        <w:t>92(10)</w:t>
      </w:r>
      <w:r w:rsidR="000A5DC9">
        <w:rPr>
          <w:rFonts w:cs="Times New Roman"/>
          <w:i/>
          <w:lang w:val="fr-CA"/>
        </w:rPr>
        <w:t>(</w:t>
      </w:r>
      <w:r w:rsidRPr="00BD3AAF">
        <w:rPr>
          <w:rFonts w:cs="Times New Roman"/>
          <w:i/>
          <w:lang w:val="fr-CA"/>
        </w:rPr>
        <w:t>a)</w:t>
      </w:r>
      <w:r w:rsidRPr="00BD3AAF">
        <w:rPr>
          <w:rFonts w:cs="Times New Roman"/>
          <w:lang w:val="fr-CA"/>
        </w:rPr>
        <w:t xml:space="preserve"> (1988), 64 O.R. (2d) 393 (C.A.)).</w:t>
      </w:r>
    </w:p>
    <w:p w:rsidR="00B233C0" w:rsidRPr="00BD3AAF" w:rsidRDefault="00B233C0" w:rsidP="00B233C0">
      <w:pPr>
        <w:pStyle w:val="ParaNoNdepar-AltN"/>
        <w:rPr>
          <w:rFonts w:cs="Times New Roman"/>
          <w:lang w:val="fr-CA"/>
        </w:rPr>
      </w:pPr>
      <w:r w:rsidRPr="00BD3AAF">
        <w:rPr>
          <w:rFonts w:cs="Times New Roman"/>
          <w:lang w:val="fr-CA"/>
        </w:rPr>
        <w:t>Le juge des requêtes a donc refusé à bon droit d</w:t>
      </w:r>
      <w:r>
        <w:rPr>
          <w:rFonts w:cs="Times New Roman"/>
          <w:lang w:val="fr-CA"/>
        </w:rPr>
        <w:t>’</w:t>
      </w:r>
      <w:r w:rsidRPr="00BD3AAF">
        <w:rPr>
          <w:rFonts w:cs="Times New Roman"/>
          <w:lang w:val="fr-CA"/>
        </w:rPr>
        <w:t>exercer sa compétence au motif que le législateur avait créé un régime complet de contrôle en matière d</w:t>
      </w:r>
      <w:r>
        <w:rPr>
          <w:rFonts w:cs="Times New Roman"/>
          <w:lang w:val="fr-CA"/>
        </w:rPr>
        <w:t>’</w:t>
      </w:r>
      <w:r w:rsidRPr="00BD3AAF">
        <w:rPr>
          <w:rFonts w:cs="Times New Roman"/>
          <w:lang w:val="fr-CA"/>
        </w:rPr>
        <w:t>immigration et que la Cour fédérale était un tribunal efficace et approprié.</w:t>
      </w:r>
    </w:p>
    <w:p w:rsidR="00B233C0" w:rsidRPr="00BD3AAF" w:rsidRDefault="00B233C0" w:rsidP="00B233C0">
      <w:pPr>
        <w:pStyle w:val="ParaNoNdepar-AltN"/>
        <w:rPr>
          <w:rFonts w:cs="Times New Roman"/>
          <w:lang w:val="fr-CA"/>
        </w:rPr>
      </w:pPr>
      <w:r w:rsidRPr="00BD3AAF">
        <w:rPr>
          <w:rFonts w:cs="Times New Roman"/>
          <w:lang w:val="fr-CA"/>
        </w:rPr>
        <w:t>La Cour s</w:t>
      </w:r>
      <w:r>
        <w:rPr>
          <w:rFonts w:cs="Times New Roman"/>
          <w:lang w:val="fr-CA"/>
        </w:rPr>
        <w:t>’</w:t>
      </w:r>
      <w:r w:rsidRPr="00BD3AAF">
        <w:rPr>
          <w:rFonts w:cs="Times New Roman"/>
          <w:lang w:val="fr-CA"/>
        </w:rPr>
        <w:t xml:space="preserve">est penchée sur les arrêts </w:t>
      </w:r>
      <w:r w:rsidRPr="00BD3AAF">
        <w:rPr>
          <w:rFonts w:cs="Times New Roman"/>
          <w:i/>
          <w:lang w:val="fr-CA"/>
        </w:rPr>
        <w:t>Pringle</w:t>
      </w:r>
      <w:r w:rsidRPr="00BD3AAF">
        <w:rPr>
          <w:rFonts w:cs="Times New Roman"/>
          <w:lang w:val="fr-CA"/>
        </w:rPr>
        <w:t xml:space="preserve">, </w:t>
      </w:r>
      <w:r w:rsidRPr="00BD3AAF">
        <w:rPr>
          <w:rFonts w:cs="Times New Roman"/>
          <w:i/>
          <w:lang w:val="fr-CA"/>
        </w:rPr>
        <w:t>Peiroo</w:t>
      </w:r>
      <w:r w:rsidRPr="00BD3AAF">
        <w:rPr>
          <w:rFonts w:cs="Times New Roman"/>
          <w:lang w:val="fr-CA"/>
        </w:rPr>
        <w:t xml:space="preserve"> et </w:t>
      </w:r>
      <w:r w:rsidRPr="00BD3AAF">
        <w:rPr>
          <w:rFonts w:cs="Times New Roman"/>
          <w:i/>
          <w:lang w:val="fr-CA"/>
        </w:rPr>
        <w:t>Reza</w:t>
      </w:r>
      <w:r w:rsidRPr="00BD3AAF">
        <w:rPr>
          <w:rFonts w:cs="Times New Roman"/>
          <w:lang w:val="fr-CA"/>
        </w:rPr>
        <w:t xml:space="preserve"> dans l</w:t>
      </w:r>
      <w:r>
        <w:rPr>
          <w:rFonts w:cs="Times New Roman"/>
          <w:lang w:val="fr-CA"/>
        </w:rPr>
        <w:t>’</w:t>
      </w:r>
      <w:r w:rsidRPr="00BD3AAF">
        <w:rPr>
          <w:rFonts w:cs="Times New Roman"/>
          <w:lang w:val="fr-CA"/>
        </w:rPr>
        <w:t xml:space="preserve">affaire </w:t>
      </w:r>
      <w:r w:rsidRPr="00BD3AAF">
        <w:rPr>
          <w:rFonts w:cs="Times New Roman"/>
          <w:i/>
          <w:lang w:val="fr-CA"/>
        </w:rPr>
        <w:t>May</w:t>
      </w:r>
      <w:r w:rsidRPr="00BD3AAF">
        <w:rPr>
          <w:rFonts w:cs="Times New Roman"/>
          <w:lang w:val="fr-CA"/>
        </w:rPr>
        <w:t xml:space="preserve"> où nous avons confirmé deux exceptions à la possibilité de recourir à l</w:t>
      </w:r>
      <w:r>
        <w:rPr>
          <w:rFonts w:cs="Times New Roman"/>
          <w:lang w:val="fr-CA"/>
        </w:rPr>
        <w:t>’</w:t>
      </w:r>
      <w:r w:rsidRPr="00BD3AAF">
        <w:rPr>
          <w:rFonts w:cs="Times New Roman"/>
          <w:i/>
          <w:lang w:val="fr-CA"/>
        </w:rPr>
        <w:t>habeas corpus</w:t>
      </w:r>
      <w:r w:rsidRPr="00BD3AAF">
        <w:rPr>
          <w:rFonts w:cs="Times New Roman"/>
          <w:lang w:val="fr-CA"/>
        </w:rPr>
        <w:t>. D</w:t>
      </w:r>
      <w:r>
        <w:rPr>
          <w:rFonts w:cs="Times New Roman"/>
          <w:lang w:val="fr-CA"/>
        </w:rPr>
        <w:t>’</w:t>
      </w:r>
      <w:r w:rsidRPr="00BD3AAF">
        <w:rPr>
          <w:rFonts w:cs="Times New Roman"/>
          <w:lang w:val="fr-CA"/>
        </w:rPr>
        <w:t>abord, on ne peut se prévaloir de l</w:t>
      </w:r>
      <w:r>
        <w:rPr>
          <w:rFonts w:cs="Times New Roman"/>
          <w:lang w:val="fr-CA"/>
        </w:rPr>
        <w:t>’</w:t>
      </w:r>
      <w:r w:rsidRPr="00BD3AAF">
        <w:rPr>
          <w:rFonts w:cs="Times New Roman"/>
          <w:i/>
          <w:lang w:val="fr-CA"/>
        </w:rPr>
        <w:t xml:space="preserve">habeas corpus </w:t>
      </w:r>
      <w:r w:rsidRPr="00BD3AAF">
        <w:rPr>
          <w:rFonts w:cs="Times New Roman"/>
          <w:lang w:val="fr-CA"/>
        </w:rPr>
        <w:t>pour contester la légalité d</w:t>
      </w:r>
      <w:r>
        <w:rPr>
          <w:rFonts w:cs="Times New Roman"/>
          <w:lang w:val="fr-CA"/>
        </w:rPr>
        <w:t>’</w:t>
      </w:r>
      <w:r w:rsidRPr="00BD3AAF">
        <w:rPr>
          <w:rFonts w:cs="Times New Roman"/>
          <w:lang w:val="fr-CA"/>
        </w:rPr>
        <w:t>une déclaration de culpabilité lorsqu</w:t>
      </w:r>
      <w:r>
        <w:rPr>
          <w:rFonts w:cs="Times New Roman"/>
          <w:lang w:val="fr-CA"/>
        </w:rPr>
        <w:t>’</w:t>
      </w:r>
      <w:r w:rsidRPr="00BD3AAF">
        <w:rPr>
          <w:rFonts w:cs="Times New Roman"/>
          <w:lang w:val="fr-CA"/>
        </w:rPr>
        <w:t>une loi prévoit un droit d</w:t>
      </w:r>
      <w:r>
        <w:rPr>
          <w:rFonts w:cs="Times New Roman"/>
          <w:lang w:val="fr-CA"/>
        </w:rPr>
        <w:t>’</w:t>
      </w:r>
      <w:r w:rsidRPr="00BD3AAF">
        <w:rPr>
          <w:rFonts w:cs="Times New Roman"/>
          <w:lang w:val="fr-CA"/>
        </w:rPr>
        <w:t>appel. Ensuite, le recours à l</w:t>
      </w:r>
      <w:r>
        <w:rPr>
          <w:rFonts w:cs="Times New Roman"/>
          <w:lang w:val="fr-CA"/>
        </w:rPr>
        <w:t>’</w:t>
      </w:r>
      <w:r w:rsidRPr="00BD3AAF">
        <w:rPr>
          <w:rFonts w:cs="Times New Roman"/>
          <w:i/>
          <w:lang w:val="fr-CA"/>
        </w:rPr>
        <w:t>habeas</w:t>
      </w:r>
      <w:r>
        <w:rPr>
          <w:rFonts w:cs="Times New Roman"/>
          <w:i/>
          <w:lang w:val="fr-CA"/>
        </w:rPr>
        <w:t xml:space="preserve"> corpus </w:t>
      </w:r>
      <w:r w:rsidRPr="00BD3AAF">
        <w:rPr>
          <w:rFonts w:cs="Times New Roman"/>
          <w:lang w:val="fr-CA"/>
        </w:rPr>
        <w:t>est écarté « [en droit de l</w:t>
      </w:r>
      <w:r>
        <w:rPr>
          <w:rFonts w:cs="Times New Roman"/>
          <w:lang w:val="fr-CA"/>
        </w:rPr>
        <w:t>’</w:t>
      </w:r>
      <w:r w:rsidRPr="00BD3AAF">
        <w:rPr>
          <w:rFonts w:cs="Times New Roman"/>
          <w:lang w:val="fr-CA"/>
        </w:rPr>
        <w:t>immigration]</w:t>
      </w:r>
      <w:r>
        <w:rPr>
          <w:rFonts w:cs="Times New Roman"/>
          <w:lang w:val="fr-CA"/>
        </w:rPr>
        <w:t xml:space="preserve"> </w:t>
      </w:r>
      <w:r w:rsidRPr="00BD3AAF">
        <w:rPr>
          <w:rFonts w:cs="Times New Roman"/>
          <w:lang w:val="fr-CA"/>
        </w:rPr>
        <w:t>parce que le législateur a mis en place un régime complet, exhaustif et spécialisé prévoyant une procédure d</w:t>
      </w:r>
      <w:r>
        <w:rPr>
          <w:rFonts w:cs="Times New Roman"/>
          <w:lang w:val="fr-CA"/>
        </w:rPr>
        <w:t>’</w:t>
      </w:r>
      <w:r w:rsidRPr="00BD3AAF">
        <w:rPr>
          <w:rFonts w:cs="Times New Roman"/>
          <w:lang w:val="fr-CA"/>
        </w:rPr>
        <w:t>examen au moins aussi large et aussi avantageuse que celle de l</w:t>
      </w:r>
      <w:r>
        <w:rPr>
          <w:rFonts w:cs="Times New Roman"/>
          <w:lang w:val="fr-CA"/>
        </w:rPr>
        <w:t>’</w:t>
      </w:r>
      <w:r w:rsidRPr="00BD3AAF">
        <w:rPr>
          <w:rFonts w:cs="Times New Roman"/>
          <w:i/>
          <w:lang w:val="fr-CA"/>
        </w:rPr>
        <w:t>habeas corpus</w:t>
      </w:r>
      <w:r w:rsidRPr="00BD3AAF">
        <w:rPr>
          <w:rFonts w:cs="Times New Roman"/>
          <w:lang w:val="fr-CA"/>
        </w:rPr>
        <w:t> », ce qu</w:t>
      </w:r>
      <w:r>
        <w:rPr>
          <w:rFonts w:cs="Times New Roman"/>
          <w:lang w:val="fr-CA"/>
        </w:rPr>
        <w:t>’</w:t>
      </w:r>
      <w:r w:rsidRPr="00BD3AAF">
        <w:rPr>
          <w:rFonts w:cs="Times New Roman"/>
          <w:lang w:val="fr-CA"/>
        </w:rPr>
        <w:t>il est convenu d</w:t>
      </w:r>
      <w:r>
        <w:rPr>
          <w:rFonts w:cs="Times New Roman"/>
          <w:lang w:val="fr-CA"/>
        </w:rPr>
        <w:t>’</w:t>
      </w:r>
      <w:r w:rsidRPr="00BD3AAF">
        <w:rPr>
          <w:rFonts w:cs="Times New Roman"/>
          <w:lang w:val="fr-CA"/>
        </w:rPr>
        <w:t>appeler l</w:t>
      </w:r>
      <w:r>
        <w:rPr>
          <w:rFonts w:cs="Times New Roman"/>
          <w:lang w:val="fr-CA"/>
        </w:rPr>
        <w:t>’</w:t>
      </w:r>
      <w:r w:rsidRPr="00BD3AAF">
        <w:rPr>
          <w:rFonts w:cs="Times New Roman"/>
          <w:lang w:val="fr-CA"/>
        </w:rPr>
        <w:t>exception établie par l</w:t>
      </w:r>
      <w:r>
        <w:rPr>
          <w:rFonts w:cs="Times New Roman"/>
          <w:lang w:val="fr-CA"/>
        </w:rPr>
        <w:t>’</w:t>
      </w:r>
      <w:r w:rsidRPr="00BD3AAF">
        <w:rPr>
          <w:rFonts w:cs="Times New Roman"/>
          <w:lang w:val="fr-CA"/>
        </w:rPr>
        <w:t>arrêt</w:t>
      </w:r>
      <w:r w:rsidRPr="00BD3AAF">
        <w:rPr>
          <w:rFonts w:cs="Times New Roman"/>
          <w:i/>
          <w:lang w:val="fr-CA"/>
        </w:rPr>
        <w:t xml:space="preserve"> Peiroo</w:t>
      </w:r>
      <w:r w:rsidRPr="00BD3AAF">
        <w:rPr>
          <w:rFonts w:cs="Times New Roman"/>
          <w:lang w:val="fr-CA"/>
        </w:rPr>
        <w:t xml:space="preserve"> (</w:t>
      </w:r>
      <w:r>
        <w:rPr>
          <w:rFonts w:cs="Times New Roman"/>
          <w:lang w:val="fr-CA"/>
        </w:rPr>
        <w:t>par. </w:t>
      </w:r>
      <w:r w:rsidRPr="00BD3AAF">
        <w:rPr>
          <w:rFonts w:cs="Times New Roman"/>
          <w:lang w:val="fr-CA"/>
        </w:rPr>
        <w:t>40).</w:t>
      </w:r>
    </w:p>
    <w:p w:rsidR="00B233C0" w:rsidRPr="00BD3AAF" w:rsidRDefault="00B233C0" w:rsidP="00B233C0">
      <w:pPr>
        <w:pStyle w:val="ParaNoNdepar-AltN"/>
        <w:rPr>
          <w:rFonts w:cs="Times New Roman"/>
          <w:lang w:val="fr-CA"/>
        </w:rPr>
      </w:pPr>
      <w:r w:rsidRPr="00BD3AAF">
        <w:rPr>
          <w:rFonts w:cs="Times New Roman"/>
          <w:lang w:val="fr-CA"/>
        </w:rPr>
        <w:t xml:space="preserve">La procédure de règlement des griefs prévue au </w:t>
      </w:r>
      <w:r>
        <w:rPr>
          <w:rFonts w:cs="Times New Roman"/>
          <w:lang w:val="fr-CA"/>
        </w:rPr>
        <w:t>par. </w:t>
      </w:r>
      <w:r w:rsidRPr="00BD3AAF">
        <w:rPr>
          <w:rFonts w:cs="Times New Roman"/>
          <w:lang w:val="fr-CA"/>
        </w:rPr>
        <w:t xml:space="preserve">81(1) du </w:t>
      </w:r>
      <w:r w:rsidRPr="00BD3AAF">
        <w:rPr>
          <w:rFonts w:cs="Times New Roman"/>
          <w:i/>
          <w:lang w:val="fr-CA"/>
        </w:rPr>
        <w:t>Règlement sur le système correctionnel et la mise en liberté sous condition</w:t>
      </w:r>
      <w:r w:rsidRPr="00BD3AAF">
        <w:rPr>
          <w:rFonts w:cs="Times New Roman"/>
          <w:lang w:val="fr-CA"/>
        </w:rPr>
        <w:t>, DORS/92</w:t>
      </w:r>
      <w:r>
        <w:rPr>
          <w:rFonts w:cs="Times New Roman"/>
          <w:lang w:val="fr-CA"/>
        </w:rPr>
        <w:noBreakHyphen/>
      </w:r>
      <w:r w:rsidRPr="00BD3AAF">
        <w:rPr>
          <w:rFonts w:cs="Times New Roman"/>
          <w:lang w:val="fr-CA"/>
        </w:rPr>
        <w:t>620, était en litige dans l</w:t>
      </w:r>
      <w:r>
        <w:rPr>
          <w:rFonts w:cs="Times New Roman"/>
          <w:lang w:val="fr-CA"/>
        </w:rPr>
        <w:t>’</w:t>
      </w:r>
      <w:r w:rsidRPr="00BD3AAF">
        <w:rPr>
          <w:rFonts w:cs="Times New Roman"/>
          <w:lang w:val="fr-CA"/>
        </w:rPr>
        <w:t xml:space="preserve">affaire </w:t>
      </w:r>
      <w:r w:rsidRPr="00BD3AAF">
        <w:rPr>
          <w:rFonts w:cs="Times New Roman"/>
          <w:i/>
          <w:lang w:val="fr-CA"/>
        </w:rPr>
        <w:t>May</w:t>
      </w:r>
      <w:r>
        <w:rPr>
          <w:rFonts w:cs="Times New Roman"/>
          <w:lang w:val="fr-CA"/>
        </w:rPr>
        <w:t> :</w:t>
      </w:r>
    </w:p>
    <w:p w:rsidR="00B233C0" w:rsidRPr="00BD3AAF" w:rsidRDefault="00B233C0" w:rsidP="00B233C0">
      <w:pPr>
        <w:pStyle w:val="Citation-AltC"/>
        <w:ind w:hanging="1166"/>
        <w:rPr>
          <w:lang w:val="fr-CA"/>
        </w:rPr>
      </w:pPr>
      <w:r w:rsidRPr="00BD3AAF">
        <w:rPr>
          <w:b/>
          <w:lang w:val="fr-CA"/>
        </w:rPr>
        <w:tab/>
        <w:t>81 (1)</w:t>
      </w:r>
      <w:r w:rsidRPr="00BD3AAF">
        <w:rPr>
          <w:lang w:val="fr-CA"/>
        </w:rPr>
        <w:t> Lorsque le délinquant décide de prendre un recours judiciaire concernant sa plainte ou son grief, en plus de présenter une plainte ou un grief selon la procédure prévue dans le présent règlement, l</w:t>
      </w:r>
      <w:r>
        <w:rPr>
          <w:lang w:val="fr-CA"/>
        </w:rPr>
        <w:t>’</w:t>
      </w:r>
      <w:r w:rsidRPr="00BD3AAF">
        <w:rPr>
          <w:lang w:val="fr-CA"/>
        </w:rPr>
        <w:t>examen de la plainte ou du grief conformément au présent règlement est suspendu jusqu</w:t>
      </w:r>
      <w:r>
        <w:rPr>
          <w:lang w:val="fr-CA"/>
        </w:rPr>
        <w:t>’</w:t>
      </w:r>
      <w:r w:rsidRPr="00BD3AAF">
        <w:rPr>
          <w:lang w:val="fr-CA"/>
        </w:rPr>
        <w:t>à ce qu</w:t>
      </w:r>
      <w:r>
        <w:rPr>
          <w:lang w:val="fr-CA"/>
        </w:rPr>
        <w:t>’</w:t>
      </w:r>
      <w:r w:rsidRPr="00BD3AAF">
        <w:rPr>
          <w:lang w:val="fr-CA"/>
        </w:rPr>
        <w:t>une décision ait été rendue dans le recours judiciaire ou que le détenu s</w:t>
      </w:r>
      <w:r>
        <w:rPr>
          <w:lang w:val="fr-CA"/>
        </w:rPr>
        <w:t>’</w:t>
      </w:r>
      <w:r w:rsidRPr="00BD3AAF">
        <w:rPr>
          <w:lang w:val="fr-CA"/>
        </w:rPr>
        <w:t>en désiste.</w:t>
      </w:r>
    </w:p>
    <w:p w:rsidR="00B233C0" w:rsidRPr="00BD3AAF" w:rsidRDefault="00B233C0" w:rsidP="00B233C0">
      <w:pPr>
        <w:pStyle w:val="ParaNoNdepar-AltN"/>
        <w:rPr>
          <w:rFonts w:cs="Times New Roman"/>
          <w:lang w:val="fr-CA"/>
        </w:rPr>
      </w:pPr>
      <w:r w:rsidRPr="00BD3AAF">
        <w:rPr>
          <w:rFonts w:cs="Times New Roman"/>
          <w:lang w:val="fr-CA"/>
        </w:rPr>
        <w:t>La Cour a conclu que le libellé de cette disposition ne révélait pas une intention du législateur d</w:t>
      </w:r>
      <w:r>
        <w:rPr>
          <w:rFonts w:cs="Times New Roman"/>
          <w:lang w:val="fr-CA"/>
        </w:rPr>
        <w:t>’</w:t>
      </w:r>
      <w:r w:rsidRPr="00BD3AAF">
        <w:rPr>
          <w:rFonts w:cs="Times New Roman"/>
          <w:lang w:val="fr-CA"/>
        </w:rPr>
        <w:t>écarter la compétence des cours supérieures en matière d</w:t>
      </w:r>
      <w:r>
        <w:rPr>
          <w:rFonts w:cs="Times New Roman"/>
          <w:lang w:val="fr-CA"/>
        </w:rPr>
        <w:t>’</w:t>
      </w:r>
      <w:r w:rsidRPr="00BD3AAF">
        <w:rPr>
          <w:rFonts w:cs="Times New Roman"/>
          <w:i/>
          <w:iCs/>
          <w:lang w:val="fr-CA"/>
        </w:rPr>
        <w:t>habeas corpus</w:t>
      </w:r>
      <w:r w:rsidRPr="00BD3AAF">
        <w:rPr>
          <w:rFonts w:cs="Times New Roman"/>
          <w:lang w:val="fr-CA"/>
        </w:rPr>
        <w:t xml:space="preserve"> (</w:t>
      </w:r>
      <w:r>
        <w:rPr>
          <w:rFonts w:cs="Times New Roman"/>
          <w:lang w:val="fr-CA"/>
        </w:rPr>
        <w:t>par. </w:t>
      </w:r>
      <w:r w:rsidRPr="00BD3AAF">
        <w:rPr>
          <w:rFonts w:cs="Times New Roman"/>
          <w:lang w:val="fr-CA"/>
        </w:rPr>
        <w:t>60). Elle a plutôt estimé qu</w:t>
      </w:r>
      <w:r>
        <w:rPr>
          <w:rFonts w:cs="Times New Roman"/>
          <w:lang w:val="fr-CA"/>
        </w:rPr>
        <w:t>’</w:t>
      </w:r>
      <w:r w:rsidRPr="00BD3AAF">
        <w:rPr>
          <w:rFonts w:cs="Times New Roman"/>
          <w:lang w:val="fr-CA"/>
        </w:rPr>
        <w:t>on avait envisagé la possibilité qu</w:t>
      </w:r>
      <w:r>
        <w:rPr>
          <w:rFonts w:cs="Times New Roman"/>
          <w:lang w:val="fr-CA"/>
        </w:rPr>
        <w:t>’</w:t>
      </w:r>
      <w:r w:rsidRPr="00BD3AAF">
        <w:rPr>
          <w:rFonts w:cs="Times New Roman"/>
          <w:lang w:val="fr-CA"/>
        </w:rPr>
        <w:t xml:space="preserve">un détenu puisse </w:t>
      </w:r>
      <w:r w:rsidRPr="00BD3AAF">
        <w:rPr>
          <w:rFonts w:cs="Times New Roman"/>
          <w:i/>
          <w:lang w:val="fr-CA"/>
        </w:rPr>
        <w:t xml:space="preserve">choisir </w:t>
      </w:r>
      <w:r w:rsidRPr="00BD3AAF">
        <w:rPr>
          <w:rFonts w:cs="Times New Roman"/>
          <w:lang w:val="fr-CA"/>
        </w:rPr>
        <w:t>d</w:t>
      </w:r>
      <w:r>
        <w:rPr>
          <w:rFonts w:cs="Times New Roman"/>
          <w:lang w:val="fr-CA"/>
        </w:rPr>
        <w:t>’</w:t>
      </w:r>
      <w:r w:rsidRPr="00BD3AAF">
        <w:rPr>
          <w:rFonts w:cs="Times New Roman"/>
          <w:lang w:val="fr-CA"/>
        </w:rPr>
        <w:t xml:space="preserve">intenter un recours judiciaire, comme un recours en </w:t>
      </w:r>
      <w:r w:rsidRPr="00BD3AAF">
        <w:rPr>
          <w:rFonts w:cs="Times New Roman"/>
          <w:i/>
          <w:iCs/>
          <w:lang w:val="fr-CA"/>
        </w:rPr>
        <w:t>habeas corpus</w:t>
      </w:r>
      <w:r w:rsidRPr="00BD3AAF">
        <w:rPr>
          <w:rFonts w:cs="Times New Roman"/>
          <w:lang w:val="fr-CA"/>
        </w:rPr>
        <w:t>, en plus de déposer un grief administratif. Le libellé de la loi révélait l</w:t>
      </w:r>
      <w:r>
        <w:rPr>
          <w:rFonts w:cs="Times New Roman"/>
          <w:lang w:val="fr-CA"/>
        </w:rPr>
        <w:t>’</w:t>
      </w:r>
      <w:r w:rsidRPr="00BD3AAF">
        <w:rPr>
          <w:rFonts w:cs="Times New Roman"/>
          <w:lang w:val="fr-CA"/>
        </w:rPr>
        <w:t>intention du législateur de faire en sorte que le régime législatif s</w:t>
      </w:r>
      <w:r>
        <w:rPr>
          <w:rFonts w:cs="Times New Roman"/>
          <w:lang w:val="fr-CA"/>
        </w:rPr>
        <w:t>’</w:t>
      </w:r>
      <w:r w:rsidRPr="00BD3AAF">
        <w:rPr>
          <w:rFonts w:cs="Times New Roman"/>
          <w:lang w:val="fr-CA"/>
        </w:rPr>
        <w:t xml:space="preserve">applique </w:t>
      </w:r>
      <w:r w:rsidRPr="00BD3AAF">
        <w:rPr>
          <w:rFonts w:cs="Times New Roman"/>
          <w:i/>
          <w:lang w:val="fr-CA"/>
        </w:rPr>
        <w:t>conjointement avec</w:t>
      </w:r>
      <w:r w:rsidRPr="00BD3AAF">
        <w:rPr>
          <w:rFonts w:cs="Times New Roman"/>
          <w:lang w:val="fr-CA"/>
        </w:rPr>
        <w:t xml:space="preserve"> la compétence des cours supérieures en matière d</w:t>
      </w:r>
      <w:r>
        <w:rPr>
          <w:rFonts w:cs="Times New Roman"/>
          <w:lang w:val="fr-CA"/>
        </w:rPr>
        <w:t>’</w:t>
      </w:r>
      <w:r w:rsidRPr="00BD3AAF">
        <w:rPr>
          <w:rFonts w:cs="Times New Roman"/>
          <w:i/>
          <w:lang w:val="fr-CA"/>
        </w:rPr>
        <w:t>habeas corpus</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La Cour a jugé que, s</w:t>
      </w:r>
      <w:r>
        <w:rPr>
          <w:rFonts w:cs="Times New Roman"/>
          <w:lang w:val="fr-CA"/>
        </w:rPr>
        <w:t>’</w:t>
      </w:r>
      <w:r w:rsidRPr="00BD3AAF">
        <w:rPr>
          <w:rFonts w:cs="Times New Roman"/>
          <w:lang w:val="fr-CA"/>
        </w:rPr>
        <w:t>agissant des détenus cherchant à contester leur maintien en détention aux fins de l</w:t>
      </w:r>
      <w:r>
        <w:rPr>
          <w:rFonts w:cs="Times New Roman"/>
          <w:lang w:val="fr-CA"/>
        </w:rPr>
        <w:t>’</w:t>
      </w:r>
      <w:r w:rsidRPr="00BD3AAF">
        <w:rPr>
          <w:rFonts w:cs="Times New Roman"/>
          <w:lang w:val="fr-CA"/>
        </w:rPr>
        <w:t xml:space="preserve">immigration pour violation de leurs droits protégés par la </w:t>
      </w:r>
      <w:r w:rsidRPr="00BD3AAF">
        <w:rPr>
          <w:rFonts w:cs="Times New Roman"/>
          <w:i/>
          <w:lang w:val="fr-CA"/>
        </w:rPr>
        <w:t>Charte</w:t>
      </w:r>
      <w:r w:rsidRPr="00BD3AAF">
        <w:rPr>
          <w:rFonts w:cs="Times New Roman"/>
          <w:lang w:val="fr-CA"/>
        </w:rPr>
        <w:t xml:space="preserve">, le régime établi par la </w:t>
      </w:r>
      <w:r w:rsidRPr="00BD3AAF">
        <w:rPr>
          <w:rFonts w:cs="Times New Roman"/>
          <w:i/>
          <w:lang w:val="fr-CA"/>
        </w:rPr>
        <w:t>LIPR</w:t>
      </w:r>
      <w:r w:rsidRPr="00BD3AAF">
        <w:rPr>
          <w:rFonts w:cs="Times New Roman"/>
          <w:lang w:val="fr-CA"/>
        </w:rPr>
        <w:t xml:space="preserve"> pour régir les questions relatives au droit de l</w:t>
      </w:r>
      <w:r>
        <w:rPr>
          <w:rFonts w:cs="Times New Roman"/>
          <w:lang w:val="fr-CA"/>
        </w:rPr>
        <w:t>’</w:t>
      </w:r>
      <w:r w:rsidRPr="00BD3AAF">
        <w:rPr>
          <w:rFonts w:cs="Times New Roman"/>
          <w:lang w:val="fr-CA"/>
        </w:rPr>
        <w:t>immigration constituait un régime complet, exhaustif et spécialisé prévoyant une procédure d</w:t>
      </w:r>
      <w:r>
        <w:rPr>
          <w:rFonts w:cs="Times New Roman"/>
          <w:lang w:val="fr-CA"/>
        </w:rPr>
        <w:t>’</w:t>
      </w:r>
      <w:r w:rsidRPr="00BD3AAF">
        <w:rPr>
          <w:rFonts w:cs="Times New Roman"/>
          <w:lang w:val="fr-CA"/>
        </w:rPr>
        <w:t>examen au moins aussi large et aussi avantageuse que celle de l</w:t>
      </w:r>
      <w:r>
        <w:rPr>
          <w:rFonts w:cs="Times New Roman"/>
          <w:lang w:val="fr-CA"/>
        </w:rPr>
        <w:t>’</w:t>
      </w:r>
      <w:r w:rsidRPr="00BD3AAF">
        <w:rPr>
          <w:rFonts w:cs="Times New Roman"/>
          <w:i/>
          <w:lang w:val="fr-CA"/>
        </w:rPr>
        <w:t>habeas corpus</w:t>
      </w:r>
      <w:r w:rsidRPr="00BD3AAF">
        <w:rPr>
          <w:rFonts w:cs="Times New Roman"/>
          <w:lang w:val="fr-CA"/>
        </w:rPr>
        <w:t xml:space="preserve"> en ce qui avait trait à l</w:t>
      </w:r>
      <w:r>
        <w:rPr>
          <w:rFonts w:cs="Times New Roman"/>
          <w:lang w:val="fr-CA"/>
        </w:rPr>
        <w:t>’</w:t>
      </w:r>
      <w:r w:rsidRPr="00BD3AAF">
        <w:rPr>
          <w:rFonts w:cs="Times New Roman"/>
          <w:lang w:val="fr-CA"/>
        </w:rPr>
        <w:t>expertise, au fardeau de la preuve, à la nature du recours et à célérité. Les cours supérieures provinciales devaient par conséquent refuser d</w:t>
      </w:r>
      <w:r>
        <w:rPr>
          <w:rFonts w:cs="Times New Roman"/>
          <w:lang w:val="fr-CA"/>
        </w:rPr>
        <w:t>’</w:t>
      </w:r>
      <w:r w:rsidRPr="00BD3AAF">
        <w:rPr>
          <w:rFonts w:cs="Times New Roman"/>
          <w:lang w:val="fr-CA"/>
        </w:rPr>
        <w:t>exercer leur compétence concurrente pour contrôler les motifs de la détention aux fins de l</w:t>
      </w:r>
      <w:r>
        <w:rPr>
          <w:rFonts w:cs="Times New Roman"/>
          <w:lang w:val="fr-CA"/>
        </w:rPr>
        <w:t>’</w:t>
      </w:r>
      <w:r w:rsidRPr="00BD3AAF">
        <w:rPr>
          <w:rFonts w:cs="Times New Roman"/>
          <w:lang w:val="fr-CA"/>
        </w:rPr>
        <w:t>immigration par voie d</w:t>
      </w:r>
      <w:r>
        <w:rPr>
          <w:rFonts w:cs="Times New Roman"/>
          <w:lang w:val="fr-CA"/>
        </w:rPr>
        <w:t>’</w:t>
      </w:r>
      <w:r w:rsidRPr="00BD3AAF">
        <w:rPr>
          <w:rFonts w:cs="Times New Roman"/>
          <w:i/>
          <w:lang w:val="fr-CA"/>
        </w:rPr>
        <w:t>habeas corpus</w:t>
      </w:r>
      <w:r w:rsidRPr="00BD3AAF">
        <w:rPr>
          <w:rFonts w:cs="Times New Roman"/>
          <w:lang w:val="fr-CA"/>
        </w:rPr>
        <w:t xml:space="preserve"> et reconnaître la compétence conférée à la Section de l</w:t>
      </w:r>
      <w:r>
        <w:rPr>
          <w:rFonts w:cs="Times New Roman"/>
          <w:lang w:val="fr-CA"/>
        </w:rPr>
        <w:t>’</w:t>
      </w:r>
      <w:r w:rsidRPr="00BD3AAF">
        <w:rPr>
          <w:rFonts w:cs="Times New Roman"/>
          <w:lang w:val="fr-CA"/>
        </w:rPr>
        <w:t xml:space="preserve">immigration et à la Cour fédérale par le régime établi par la </w:t>
      </w:r>
      <w:r w:rsidRPr="00BD3AAF">
        <w:rPr>
          <w:rFonts w:cs="Times New Roman"/>
          <w:i/>
          <w:lang w:val="fr-CA"/>
        </w:rPr>
        <w:t>LIPR</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 xml:space="preserve">Le paragraphe 162(1) de la </w:t>
      </w:r>
      <w:r w:rsidRPr="00BD3AAF">
        <w:rPr>
          <w:rFonts w:cs="Times New Roman"/>
          <w:i/>
          <w:lang w:val="fr-CA"/>
        </w:rPr>
        <w:t>LIPR</w:t>
      </w:r>
      <w:r w:rsidRPr="00BD3AAF">
        <w:rPr>
          <w:rFonts w:cs="Times New Roman"/>
          <w:lang w:val="fr-CA"/>
        </w:rPr>
        <w:t xml:space="preserve"> confirme que le législateur avait de toute évidence l</w:t>
      </w:r>
      <w:r>
        <w:rPr>
          <w:rFonts w:cs="Times New Roman"/>
          <w:lang w:val="fr-CA"/>
        </w:rPr>
        <w:t>’</w:t>
      </w:r>
      <w:r w:rsidRPr="00BD3AAF">
        <w:rPr>
          <w:rFonts w:cs="Times New Roman"/>
          <w:lang w:val="fr-CA"/>
        </w:rPr>
        <w:t>intention d</w:t>
      </w:r>
      <w:r>
        <w:rPr>
          <w:rFonts w:cs="Times New Roman"/>
          <w:lang w:val="fr-CA"/>
        </w:rPr>
        <w:t>’</w:t>
      </w:r>
      <w:r w:rsidRPr="00BD3AAF">
        <w:rPr>
          <w:rFonts w:cs="Times New Roman"/>
          <w:lang w:val="fr-CA"/>
        </w:rPr>
        <w:t>accorder à la Section de l</w:t>
      </w:r>
      <w:r>
        <w:rPr>
          <w:rFonts w:cs="Times New Roman"/>
          <w:lang w:val="fr-CA"/>
        </w:rPr>
        <w:t>’</w:t>
      </w:r>
      <w:r w:rsidRPr="00BD3AAF">
        <w:rPr>
          <w:rFonts w:cs="Times New Roman"/>
          <w:lang w:val="fr-CA"/>
        </w:rPr>
        <w:t>immigration une compétence exclusive sur les questions d</w:t>
      </w:r>
      <w:r>
        <w:rPr>
          <w:rFonts w:cs="Times New Roman"/>
          <w:lang w:val="fr-CA"/>
        </w:rPr>
        <w:t>’</w:t>
      </w:r>
      <w:r w:rsidRPr="00BD3AAF">
        <w:rPr>
          <w:rFonts w:cs="Times New Roman"/>
          <w:lang w:val="fr-CA"/>
        </w:rPr>
        <w:t>immigration</w:t>
      </w:r>
      <w:r>
        <w:rPr>
          <w:rFonts w:cs="Times New Roman"/>
          <w:lang w:val="fr-CA"/>
        </w:rPr>
        <w:t> :</w:t>
      </w:r>
    </w:p>
    <w:p w:rsidR="00B233C0" w:rsidRPr="00BD3AAF" w:rsidRDefault="00B233C0" w:rsidP="00B233C0">
      <w:pPr>
        <w:pStyle w:val="Citation-AltC"/>
        <w:spacing w:after="240"/>
        <w:ind w:left="1168" w:hanging="1168"/>
        <w:contextualSpacing w:val="0"/>
        <w:rPr>
          <w:b/>
          <w:lang w:val="fr-CA"/>
        </w:rPr>
      </w:pPr>
      <w:r w:rsidRPr="00BD3AAF">
        <w:rPr>
          <w:b/>
          <w:lang w:val="fr-CA"/>
        </w:rPr>
        <w:tab/>
        <w:t>Compétence exclusive</w:t>
      </w:r>
    </w:p>
    <w:p w:rsidR="00B233C0" w:rsidRPr="00BD3AAF" w:rsidRDefault="00B233C0" w:rsidP="00B233C0">
      <w:pPr>
        <w:pStyle w:val="Citation-AltC"/>
        <w:ind w:left="1168" w:hanging="1168"/>
        <w:rPr>
          <w:lang w:val="fr-CA"/>
        </w:rPr>
      </w:pPr>
      <w:r w:rsidRPr="00BD3AAF">
        <w:rPr>
          <w:rStyle w:val="sectionlabel"/>
          <w:rFonts w:eastAsiaTheme="minorHAnsi"/>
          <w:b/>
          <w:bCs/>
          <w:lang w:val="fr-CA"/>
        </w:rPr>
        <w:tab/>
        <w:t>162</w:t>
      </w:r>
      <w:r w:rsidRPr="00BD3AAF">
        <w:rPr>
          <w:lang w:val="fr-CA"/>
        </w:rPr>
        <w:t> </w:t>
      </w:r>
      <w:r w:rsidRPr="00BD3AAF">
        <w:rPr>
          <w:rStyle w:val="lawlabel"/>
          <w:rFonts w:eastAsiaTheme="minorHAnsi"/>
          <w:b/>
          <w:bCs/>
          <w:lang w:val="fr-CA"/>
        </w:rPr>
        <w:t>(1)</w:t>
      </w:r>
      <w:r w:rsidRPr="00BD3AAF">
        <w:rPr>
          <w:lang w:val="fr-CA"/>
        </w:rPr>
        <w:t> Chacune des sections a compétence exclusive pour connaître des questions de droit et de fait — y compris en matière de compétence — dans le cadre des affaires dont elle est saisie.</w:t>
      </w:r>
    </w:p>
    <w:p w:rsidR="00B233C0" w:rsidRPr="00BD3AAF" w:rsidRDefault="00B233C0" w:rsidP="00B233C0">
      <w:pPr>
        <w:pStyle w:val="ContinueParaSuitedupar-AltP"/>
        <w:rPr>
          <w:rFonts w:cs="Times New Roman"/>
          <w:lang w:val="fr-CA"/>
        </w:rPr>
      </w:pPr>
      <w:r w:rsidRPr="00BD3AAF">
        <w:rPr>
          <w:rFonts w:cs="Times New Roman"/>
          <w:lang w:val="fr-CA"/>
        </w:rPr>
        <w:t>Dans l</w:t>
      </w:r>
      <w:r>
        <w:rPr>
          <w:rFonts w:cs="Times New Roman"/>
          <w:lang w:val="fr-CA"/>
        </w:rPr>
        <w:t>’</w:t>
      </w:r>
      <w:r w:rsidRPr="00BD3AAF">
        <w:rPr>
          <w:rFonts w:cs="Times New Roman"/>
          <w:lang w:val="fr-CA"/>
        </w:rPr>
        <w:t xml:space="preserve">arrêt </w:t>
      </w:r>
      <w:r w:rsidRPr="00BD3AAF">
        <w:rPr>
          <w:rFonts w:cs="Times New Roman"/>
          <w:i/>
          <w:lang w:val="fr-CA"/>
        </w:rPr>
        <w:t>Pringle</w:t>
      </w:r>
      <w:r w:rsidRPr="00BD3AAF">
        <w:rPr>
          <w:rFonts w:cs="Times New Roman"/>
          <w:lang w:val="fr-CA"/>
        </w:rPr>
        <w:t>, le juge Laskin a conclu que ce libellé empêchait les tribunaux de connaître du type de procédures en matière d</w:t>
      </w:r>
      <w:r>
        <w:rPr>
          <w:rFonts w:cs="Times New Roman"/>
          <w:lang w:val="fr-CA"/>
        </w:rPr>
        <w:t>’</w:t>
      </w:r>
      <w:r w:rsidRPr="00BD3AAF">
        <w:rPr>
          <w:rFonts w:cs="Times New Roman"/>
          <w:lang w:val="fr-CA"/>
        </w:rPr>
        <w:t>immigration pour lesquelles la loi avait attribué une compétence exclusive à la Commission. Cette expertise spécialisée et exclusive est à la base de l</w:t>
      </w:r>
      <w:r>
        <w:rPr>
          <w:rFonts w:cs="Times New Roman"/>
          <w:lang w:val="fr-CA"/>
        </w:rPr>
        <w:t>’</w:t>
      </w:r>
      <w:r w:rsidRPr="00BD3AAF">
        <w:rPr>
          <w:rFonts w:cs="Times New Roman"/>
          <w:lang w:val="fr-CA"/>
        </w:rPr>
        <w:t>exception établie par l</w:t>
      </w:r>
      <w:r>
        <w:rPr>
          <w:rFonts w:cs="Times New Roman"/>
          <w:lang w:val="fr-CA"/>
        </w:rPr>
        <w:t>’</w:t>
      </w:r>
      <w:r w:rsidRPr="00BD3AAF">
        <w:rPr>
          <w:rFonts w:cs="Times New Roman"/>
          <w:lang w:val="fr-CA"/>
        </w:rPr>
        <w:t xml:space="preserve">arrêt </w:t>
      </w:r>
      <w:r w:rsidRPr="00BD3AAF">
        <w:rPr>
          <w:rFonts w:cs="Times New Roman"/>
          <w:i/>
          <w:lang w:val="fr-CA"/>
        </w:rPr>
        <w:t>Peiroo</w:t>
      </w:r>
      <w:r w:rsidRPr="00BD3AAF">
        <w:rPr>
          <w:rFonts w:cs="Times New Roman"/>
          <w:lang w:val="fr-CA"/>
        </w:rPr>
        <w:t xml:space="preserve"> en ce qui concerne la possibilité de recourir à l</w:t>
      </w:r>
      <w:r>
        <w:rPr>
          <w:rFonts w:cs="Times New Roman"/>
          <w:lang w:val="fr-CA"/>
        </w:rPr>
        <w:t>’</w:t>
      </w:r>
      <w:r w:rsidRPr="00BD3AAF">
        <w:rPr>
          <w:rFonts w:cs="Times New Roman"/>
          <w:i/>
          <w:lang w:val="fr-CA"/>
        </w:rPr>
        <w:t>habeas corpus</w:t>
      </w:r>
      <w:r w:rsidRPr="00BD3AAF">
        <w:rPr>
          <w:rFonts w:cs="Times New Roman"/>
          <w:lang w:val="fr-CA"/>
        </w:rPr>
        <w:t xml:space="preserve"> en matière d</w:t>
      </w:r>
      <w:r>
        <w:rPr>
          <w:rFonts w:cs="Times New Roman"/>
          <w:lang w:val="fr-CA"/>
        </w:rPr>
        <w:t>’</w:t>
      </w:r>
      <w:r w:rsidRPr="00BD3AAF">
        <w:rPr>
          <w:rFonts w:cs="Times New Roman"/>
          <w:lang w:val="fr-CA"/>
        </w:rPr>
        <w:t>immigration.</w:t>
      </w:r>
    </w:p>
    <w:p w:rsidR="00B233C0" w:rsidRPr="00BD3AAF" w:rsidRDefault="00B233C0" w:rsidP="00B233C0">
      <w:pPr>
        <w:pStyle w:val="ParaNoNdepar-AltN"/>
        <w:rPr>
          <w:rFonts w:cs="Times New Roman"/>
          <w:lang w:val="fr-CA"/>
        </w:rPr>
      </w:pPr>
      <w:r w:rsidRPr="00BD3AAF">
        <w:rPr>
          <w:rFonts w:cs="Times New Roman"/>
          <w:lang w:val="fr-CA"/>
        </w:rPr>
        <w:t>La Cour a constamment reconnu l</w:t>
      </w:r>
      <w:r>
        <w:rPr>
          <w:rFonts w:cs="Times New Roman"/>
          <w:lang w:val="fr-CA"/>
        </w:rPr>
        <w:t>’</w:t>
      </w:r>
      <w:r w:rsidRPr="00BD3AAF">
        <w:rPr>
          <w:rFonts w:cs="Times New Roman"/>
          <w:lang w:val="fr-CA"/>
        </w:rPr>
        <w:t>exception établie par l</w:t>
      </w:r>
      <w:r>
        <w:rPr>
          <w:rFonts w:cs="Times New Roman"/>
          <w:lang w:val="fr-CA"/>
        </w:rPr>
        <w:t>’</w:t>
      </w:r>
      <w:r w:rsidRPr="00BD3AAF">
        <w:rPr>
          <w:rFonts w:cs="Times New Roman"/>
          <w:lang w:val="fr-CA"/>
        </w:rPr>
        <w:t>arrêt</w:t>
      </w:r>
      <w:r w:rsidRPr="00BD3AAF">
        <w:rPr>
          <w:rFonts w:cs="Times New Roman"/>
          <w:i/>
          <w:lang w:val="fr-CA"/>
        </w:rPr>
        <w:t xml:space="preserve"> Peiroo</w:t>
      </w:r>
      <w:r w:rsidRPr="00BD3AAF">
        <w:rPr>
          <w:rFonts w:cs="Times New Roman"/>
          <w:lang w:val="fr-CA"/>
        </w:rPr>
        <w:t xml:space="preserve"> qui limite la possibilité d</w:t>
      </w:r>
      <w:r>
        <w:rPr>
          <w:rFonts w:cs="Times New Roman"/>
          <w:lang w:val="fr-CA"/>
        </w:rPr>
        <w:t>’</w:t>
      </w:r>
      <w:r w:rsidRPr="00BD3AAF">
        <w:rPr>
          <w:rFonts w:cs="Times New Roman"/>
          <w:lang w:val="fr-CA"/>
        </w:rPr>
        <w:t>exercer un recours en</w:t>
      </w:r>
      <w:r w:rsidRPr="00BD3AAF">
        <w:rPr>
          <w:rFonts w:cs="Times New Roman"/>
          <w:i/>
          <w:lang w:val="fr-CA"/>
        </w:rPr>
        <w:t xml:space="preserve"> habeas corpus</w:t>
      </w:r>
      <w:r w:rsidRPr="00BD3AAF">
        <w:rPr>
          <w:rFonts w:cs="Times New Roman"/>
          <w:lang w:val="fr-CA"/>
        </w:rPr>
        <w:t xml:space="preserve"> en matière d</w:t>
      </w:r>
      <w:r>
        <w:rPr>
          <w:rFonts w:cs="Times New Roman"/>
          <w:lang w:val="fr-CA"/>
        </w:rPr>
        <w:t>’</w:t>
      </w:r>
      <w:r w:rsidRPr="00BD3AAF">
        <w:rPr>
          <w:rFonts w:cs="Times New Roman"/>
          <w:lang w:val="fr-CA"/>
        </w:rPr>
        <w:t>immigration. À défaut de preuve que</w:t>
      </w:r>
      <w:r w:rsidR="004E538F">
        <w:rPr>
          <w:rFonts w:cs="Times New Roman"/>
          <w:lang w:val="fr-CA"/>
        </w:rPr>
        <w:t xml:space="preserve"> </w:t>
      </w:r>
      <w:r w:rsidR="004E538F" w:rsidRPr="00BD3AAF">
        <w:rPr>
          <w:rFonts w:cs="Times New Roman"/>
          <w:lang w:val="fr-CA"/>
        </w:rPr>
        <w:t>le</w:t>
      </w:r>
      <w:r w:rsidRPr="00BD3AAF">
        <w:rPr>
          <w:rFonts w:cs="Times New Roman"/>
          <w:lang w:val="fr-CA"/>
        </w:rPr>
        <w:t xml:space="preserve"> « régime </w:t>
      </w:r>
      <w:r w:rsidR="004E538F">
        <w:rPr>
          <w:rFonts w:cs="Times New Roman"/>
          <w:lang w:val="fr-CA"/>
        </w:rPr>
        <w:t>[</w:t>
      </w:r>
      <w:r w:rsidRPr="00BD3AAF">
        <w:rPr>
          <w:rFonts w:cs="Times New Roman"/>
          <w:lang w:val="fr-CA"/>
        </w:rPr>
        <w:t>d</w:t>
      </w:r>
      <w:r>
        <w:rPr>
          <w:rFonts w:cs="Times New Roman"/>
          <w:lang w:val="fr-CA"/>
        </w:rPr>
        <w:t>’</w:t>
      </w:r>
      <w:r w:rsidRPr="00BD3AAF">
        <w:rPr>
          <w:rFonts w:cs="Times New Roman"/>
          <w:lang w:val="fr-CA"/>
        </w:rPr>
        <w:t>examen</w:t>
      </w:r>
      <w:r w:rsidR="004E538F">
        <w:rPr>
          <w:rFonts w:cs="Times New Roman"/>
          <w:lang w:val="fr-CA"/>
        </w:rPr>
        <w:t>]</w:t>
      </w:r>
      <w:r w:rsidRPr="00BD3AAF">
        <w:rPr>
          <w:rFonts w:cs="Times New Roman"/>
          <w:lang w:val="fr-CA"/>
        </w:rPr>
        <w:t xml:space="preserve"> complet, exhaustif et spécialisé prév</w:t>
      </w:r>
      <w:r w:rsidR="004E538F">
        <w:rPr>
          <w:rFonts w:cs="Times New Roman"/>
          <w:lang w:val="fr-CA"/>
        </w:rPr>
        <w:t>[</w:t>
      </w:r>
      <w:r w:rsidRPr="00BD3AAF">
        <w:rPr>
          <w:rFonts w:cs="Times New Roman"/>
          <w:lang w:val="fr-CA"/>
        </w:rPr>
        <w:t>u par la loi</w:t>
      </w:r>
      <w:r w:rsidR="004E538F">
        <w:rPr>
          <w:rFonts w:cs="Times New Roman"/>
          <w:lang w:val="fr-CA"/>
        </w:rPr>
        <w:t>]</w:t>
      </w:r>
      <w:r w:rsidRPr="00BD3AAF">
        <w:rPr>
          <w:rFonts w:cs="Times New Roman"/>
          <w:lang w:val="fr-CA"/>
        </w:rPr>
        <w:t> » a une portée au moins aussi large que la procédure d</w:t>
      </w:r>
      <w:r>
        <w:rPr>
          <w:rFonts w:cs="Times New Roman"/>
          <w:lang w:val="fr-CA"/>
        </w:rPr>
        <w:t>’</w:t>
      </w:r>
      <w:r w:rsidRPr="00BD3AAF">
        <w:rPr>
          <w:rFonts w:cs="Times New Roman"/>
          <w:i/>
          <w:lang w:val="fr-CA"/>
        </w:rPr>
        <w:t xml:space="preserve">habeas corpus </w:t>
      </w:r>
      <w:r w:rsidRPr="00BD3AAF">
        <w:rPr>
          <w:rFonts w:cs="Times New Roman"/>
          <w:lang w:val="fr-CA"/>
        </w:rPr>
        <w:t>et est tout aussi avantageux, je ne vois aucune raison d</w:t>
      </w:r>
      <w:r>
        <w:rPr>
          <w:rFonts w:cs="Times New Roman"/>
          <w:lang w:val="fr-CA"/>
        </w:rPr>
        <w:t>’</w:t>
      </w:r>
      <w:r w:rsidRPr="00BD3AAF">
        <w:rPr>
          <w:rFonts w:cs="Times New Roman"/>
          <w:lang w:val="fr-CA"/>
        </w:rPr>
        <w:t>écarter la jurisprudence de la Cour en permettant l</w:t>
      </w:r>
      <w:r>
        <w:rPr>
          <w:rFonts w:cs="Times New Roman"/>
          <w:lang w:val="fr-CA"/>
        </w:rPr>
        <w:t>’</w:t>
      </w:r>
      <w:r w:rsidRPr="00BD3AAF">
        <w:rPr>
          <w:rFonts w:cs="Times New Roman"/>
          <w:lang w:val="fr-CA"/>
        </w:rPr>
        <w:t>exercice d</w:t>
      </w:r>
      <w:r>
        <w:rPr>
          <w:rFonts w:cs="Times New Roman"/>
          <w:lang w:val="fr-CA"/>
        </w:rPr>
        <w:t>’</w:t>
      </w:r>
      <w:r w:rsidRPr="00BD3AAF">
        <w:rPr>
          <w:rFonts w:cs="Times New Roman"/>
          <w:lang w:val="fr-CA"/>
        </w:rPr>
        <w:t>un autre recours qui se traduira par la recherche du tribunal le plus accommodant, un manque d</w:t>
      </w:r>
      <w:r>
        <w:rPr>
          <w:rFonts w:cs="Times New Roman"/>
          <w:lang w:val="fr-CA"/>
        </w:rPr>
        <w:t>’</w:t>
      </w:r>
      <w:r w:rsidRPr="00BD3AAF">
        <w:rPr>
          <w:rFonts w:cs="Times New Roman"/>
          <w:lang w:val="fr-CA"/>
        </w:rPr>
        <w:t>uniformité dans les décisions et une multiplication des instances, ce contre quoi la Cour a mis en garde dans l</w:t>
      </w:r>
      <w:r>
        <w:rPr>
          <w:rFonts w:cs="Times New Roman"/>
          <w:lang w:val="fr-CA"/>
        </w:rPr>
        <w:t>’</w:t>
      </w:r>
      <w:r w:rsidRPr="00BD3AAF">
        <w:rPr>
          <w:rFonts w:cs="Times New Roman"/>
          <w:lang w:val="fr-CA"/>
        </w:rPr>
        <w:t xml:space="preserve">arrêt </w:t>
      </w:r>
      <w:r w:rsidRPr="00BD3AAF">
        <w:rPr>
          <w:rFonts w:cs="Times New Roman"/>
          <w:i/>
          <w:lang w:val="fr-CA"/>
        </w:rPr>
        <w:t>Reza</w:t>
      </w:r>
      <w:r w:rsidRPr="00BD3AAF">
        <w:rPr>
          <w:rFonts w:cs="Times New Roman"/>
          <w:lang w:val="fr-CA"/>
        </w:rPr>
        <w:t xml:space="preserve">. Rien dans le libellé de la loi ne limite la portée du contrôle des motifs de la détention prévue par la </w:t>
      </w:r>
      <w:r w:rsidRPr="00BD3AAF">
        <w:rPr>
          <w:rFonts w:cs="Times New Roman"/>
          <w:i/>
          <w:lang w:val="fr-CA"/>
        </w:rPr>
        <w:t>LIPR</w:t>
      </w:r>
      <w:r w:rsidRPr="00BD3AAF">
        <w:rPr>
          <w:rFonts w:cs="Times New Roman"/>
          <w:lang w:val="fr-CA"/>
        </w:rPr>
        <w:t xml:space="preserve"> à un contrôle partiel qu</w:t>
      </w:r>
      <w:r>
        <w:rPr>
          <w:rFonts w:cs="Times New Roman"/>
          <w:lang w:val="fr-CA"/>
        </w:rPr>
        <w:t>’</w:t>
      </w:r>
      <w:r w:rsidRPr="00BD3AAF">
        <w:rPr>
          <w:rFonts w:cs="Times New Roman"/>
          <w:lang w:val="fr-CA"/>
        </w:rPr>
        <w:t xml:space="preserve">il faut compléter par un </w:t>
      </w:r>
      <w:r w:rsidRPr="00BD3AAF">
        <w:rPr>
          <w:rFonts w:cs="Times New Roman"/>
          <w:i/>
          <w:lang w:val="fr-CA"/>
        </w:rPr>
        <w:t>habeas corpus</w:t>
      </w:r>
      <w:r w:rsidRPr="00BD3AAF">
        <w:rPr>
          <w:rFonts w:cs="Times New Roman"/>
          <w:lang w:val="fr-CA"/>
        </w:rPr>
        <w:t xml:space="preserve">. Au contraire, le régime de la </w:t>
      </w:r>
      <w:r w:rsidRPr="00BD3AAF">
        <w:rPr>
          <w:rFonts w:cs="Times New Roman"/>
          <w:i/>
          <w:lang w:val="fr-CA"/>
        </w:rPr>
        <w:t>LIPR</w:t>
      </w:r>
      <w:r w:rsidRPr="00BD3AAF">
        <w:rPr>
          <w:rFonts w:cs="Times New Roman"/>
          <w:lang w:val="fr-CA"/>
        </w:rPr>
        <w:t xml:space="preserve"> est structuré de manière à accorder aux détenus au moins les mêmes droits que ceux qu</w:t>
      </w:r>
      <w:r>
        <w:rPr>
          <w:rFonts w:cs="Times New Roman"/>
          <w:lang w:val="fr-CA"/>
        </w:rPr>
        <w:t>’</w:t>
      </w:r>
      <w:r w:rsidRPr="00BD3AAF">
        <w:rPr>
          <w:rFonts w:cs="Times New Roman"/>
          <w:lang w:val="fr-CA"/>
        </w:rPr>
        <w:t>ils obtiendraient dans le cadre d</w:t>
      </w:r>
      <w:r>
        <w:rPr>
          <w:rFonts w:cs="Times New Roman"/>
          <w:lang w:val="fr-CA"/>
        </w:rPr>
        <w:t>’</w:t>
      </w:r>
      <w:r w:rsidRPr="00BD3AAF">
        <w:rPr>
          <w:rFonts w:cs="Times New Roman"/>
          <w:lang w:val="fr-CA"/>
        </w:rPr>
        <w:t>un contrôle par voie d</w:t>
      </w:r>
      <w:r>
        <w:rPr>
          <w:rFonts w:cs="Times New Roman"/>
          <w:lang w:val="fr-CA"/>
        </w:rPr>
        <w:t>’</w:t>
      </w:r>
      <w:r w:rsidRPr="00BD3AAF">
        <w:rPr>
          <w:rFonts w:cs="Times New Roman"/>
          <w:i/>
          <w:lang w:val="fr-CA"/>
        </w:rPr>
        <w:t>habeas corpus</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Rappelons tout d</w:t>
      </w:r>
      <w:r>
        <w:rPr>
          <w:rFonts w:cs="Times New Roman"/>
          <w:lang w:val="fr-CA"/>
        </w:rPr>
        <w:t>’</w:t>
      </w:r>
      <w:r w:rsidRPr="00BD3AAF">
        <w:rPr>
          <w:rFonts w:cs="Times New Roman"/>
          <w:lang w:val="fr-CA"/>
        </w:rPr>
        <w:t xml:space="preserve">abord que, selon le mécanisme établi par la </w:t>
      </w:r>
      <w:r w:rsidRPr="00BD3AAF">
        <w:rPr>
          <w:rFonts w:cs="Times New Roman"/>
          <w:i/>
          <w:lang w:val="fr-CA"/>
        </w:rPr>
        <w:t>LIPR</w:t>
      </w:r>
      <w:r w:rsidRPr="00BD3AAF">
        <w:rPr>
          <w:rFonts w:cs="Times New Roman"/>
          <w:lang w:val="fr-CA"/>
        </w:rPr>
        <w:t xml:space="preserve"> en matière de contrôle des motifs de la détention aux fins de l</w:t>
      </w:r>
      <w:r>
        <w:rPr>
          <w:rFonts w:cs="Times New Roman"/>
          <w:lang w:val="fr-CA"/>
        </w:rPr>
        <w:t>’</w:t>
      </w:r>
      <w:r w:rsidRPr="00BD3AAF">
        <w:rPr>
          <w:rFonts w:cs="Times New Roman"/>
          <w:lang w:val="fr-CA"/>
        </w:rPr>
        <w:t>immigration, toute détention doit faire l</w:t>
      </w:r>
      <w:r>
        <w:rPr>
          <w:rFonts w:cs="Times New Roman"/>
          <w:lang w:val="fr-CA"/>
        </w:rPr>
        <w:t>’</w:t>
      </w:r>
      <w:r w:rsidRPr="00BD3AAF">
        <w:rPr>
          <w:rFonts w:cs="Times New Roman"/>
          <w:lang w:val="fr-CA"/>
        </w:rPr>
        <w:t>objet de contrôles réguliers. Les individus détenus aux fins d</w:t>
      </w:r>
      <w:r>
        <w:rPr>
          <w:rFonts w:cs="Times New Roman"/>
          <w:lang w:val="fr-CA"/>
        </w:rPr>
        <w:t>’</w:t>
      </w:r>
      <w:r w:rsidRPr="00BD3AAF">
        <w:rPr>
          <w:rFonts w:cs="Times New Roman"/>
          <w:lang w:val="fr-CA"/>
        </w:rPr>
        <w:t>immigration ont le droit de comparaître devant la Section de l</w:t>
      </w:r>
      <w:r>
        <w:rPr>
          <w:rFonts w:cs="Times New Roman"/>
          <w:lang w:val="fr-CA"/>
        </w:rPr>
        <w:t>’</w:t>
      </w:r>
      <w:r w:rsidRPr="00BD3AAF">
        <w:rPr>
          <w:rFonts w:cs="Times New Roman"/>
          <w:lang w:val="fr-CA"/>
        </w:rPr>
        <w:t>immigration dans les 48 heures suivant le début de leur détention (</w:t>
      </w:r>
      <w:r>
        <w:rPr>
          <w:rFonts w:cs="Times New Roman"/>
          <w:lang w:val="fr-CA"/>
        </w:rPr>
        <w:t>par. </w:t>
      </w:r>
      <w:r w:rsidRPr="00BD3AAF">
        <w:rPr>
          <w:rFonts w:cs="Times New Roman"/>
          <w:lang w:val="fr-CA"/>
        </w:rPr>
        <w:t xml:space="preserve">57(1)). Un autre contrôle doit avoir lieu dans les </w:t>
      </w:r>
      <w:r w:rsidR="004E538F">
        <w:rPr>
          <w:rFonts w:cs="Times New Roman"/>
          <w:lang w:val="fr-CA"/>
        </w:rPr>
        <w:t xml:space="preserve">7 </w:t>
      </w:r>
      <w:r w:rsidRPr="00BD3AAF">
        <w:rPr>
          <w:rFonts w:cs="Times New Roman"/>
          <w:lang w:val="fr-CA"/>
        </w:rPr>
        <w:t>jours suivant le premier contrôle, puis au moins tous les 30 jours par la suite (</w:t>
      </w:r>
      <w:r>
        <w:rPr>
          <w:rFonts w:cs="Times New Roman"/>
          <w:lang w:val="fr-CA"/>
        </w:rPr>
        <w:t>par. </w:t>
      </w:r>
      <w:r w:rsidRPr="00BD3AAF">
        <w:rPr>
          <w:rFonts w:cs="Times New Roman"/>
          <w:lang w:val="fr-CA"/>
        </w:rPr>
        <w:t>57(2)). Le détenu peut demander à la Section de l</w:t>
      </w:r>
      <w:r>
        <w:rPr>
          <w:rFonts w:cs="Times New Roman"/>
          <w:lang w:val="fr-CA"/>
        </w:rPr>
        <w:t>’</w:t>
      </w:r>
      <w:r w:rsidRPr="00BD3AAF">
        <w:rPr>
          <w:rFonts w:cs="Times New Roman"/>
          <w:lang w:val="fr-CA"/>
        </w:rPr>
        <w:t>immigration le contrôle des motifs de sa détention avant l</w:t>
      </w:r>
      <w:r>
        <w:rPr>
          <w:rFonts w:cs="Times New Roman"/>
          <w:lang w:val="fr-CA"/>
        </w:rPr>
        <w:t>’</w:t>
      </w:r>
      <w:r w:rsidRPr="00BD3AAF">
        <w:rPr>
          <w:rFonts w:cs="Times New Roman"/>
          <w:lang w:val="fr-CA"/>
        </w:rPr>
        <w:t xml:space="preserve">expiration du délai de </w:t>
      </w:r>
      <w:r w:rsidR="004E538F">
        <w:rPr>
          <w:rFonts w:cs="Times New Roman"/>
          <w:lang w:val="fr-CA"/>
        </w:rPr>
        <w:t>7</w:t>
      </w:r>
      <w:r w:rsidRPr="00BD3AAF">
        <w:rPr>
          <w:rFonts w:cs="Times New Roman"/>
          <w:lang w:val="fr-CA"/>
        </w:rPr>
        <w:t xml:space="preserve"> jours ou de 30 jours, selon le cas (</w:t>
      </w:r>
      <w:r w:rsidRPr="00BD3AAF">
        <w:rPr>
          <w:rFonts w:cs="Times New Roman"/>
          <w:i/>
          <w:lang w:val="fr-CA"/>
        </w:rPr>
        <w:t>Règles de la Section de l</w:t>
      </w:r>
      <w:r>
        <w:rPr>
          <w:rFonts w:cs="Times New Roman"/>
          <w:i/>
          <w:lang w:val="fr-CA"/>
        </w:rPr>
        <w:t>’</w:t>
      </w:r>
      <w:r w:rsidRPr="00BD3AAF">
        <w:rPr>
          <w:rFonts w:cs="Times New Roman"/>
          <w:i/>
          <w:lang w:val="fr-CA"/>
        </w:rPr>
        <w:t>immigration</w:t>
      </w:r>
      <w:r w:rsidRPr="00BD3AAF">
        <w:rPr>
          <w:rFonts w:cs="Times New Roman"/>
          <w:lang w:val="fr-CA"/>
        </w:rPr>
        <w:t xml:space="preserve">, </w:t>
      </w:r>
      <w:r>
        <w:rPr>
          <w:rFonts w:cs="Times New Roman"/>
          <w:lang w:val="fr-CA"/>
        </w:rPr>
        <w:t>art. </w:t>
      </w:r>
      <w:r w:rsidRPr="00BD3AAF">
        <w:rPr>
          <w:rFonts w:cs="Times New Roman"/>
          <w:lang w:val="fr-CA"/>
        </w:rPr>
        <w:t>9). Les contrôles sont structurés de manière à être rapides et accessibles et doivent se dérouler de façon aussi informelle et rapide que le permettent les circonstances, de même que les considérations d</w:t>
      </w:r>
      <w:r>
        <w:rPr>
          <w:rFonts w:cs="Times New Roman"/>
          <w:lang w:val="fr-CA"/>
        </w:rPr>
        <w:t>’</w:t>
      </w:r>
      <w:r w:rsidRPr="00BD3AAF">
        <w:rPr>
          <w:rFonts w:cs="Times New Roman"/>
          <w:lang w:val="fr-CA"/>
        </w:rPr>
        <w:t xml:space="preserve">équité et de justice naturelle. </w:t>
      </w:r>
    </w:p>
    <w:p w:rsidR="00B233C0" w:rsidRPr="00BD3AAF" w:rsidRDefault="00B233C0" w:rsidP="00B233C0">
      <w:pPr>
        <w:pStyle w:val="ParaNoNdepar-AltN"/>
        <w:rPr>
          <w:rFonts w:cs="Times New Roman"/>
          <w:lang w:val="fr-CA"/>
        </w:rPr>
      </w:pPr>
      <w:r w:rsidRPr="00BD3AAF">
        <w:rPr>
          <w:rFonts w:cs="Times New Roman"/>
          <w:lang w:val="fr-CA"/>
        </w:rPr>
        <w:t xml:space="preserve">La </w:t>
      </w:r>
      <w:r w:rsidRPr="00BD3AAF">
        <w:rPr>
          <w:rFonts w:cs="Times New Roman"/>
          <w:i/>
          <w:lang w:val="fr-CA"/>
        </w:rPr>
        <w:t>LIPR</w:t>
      </w:r>
      <w:r w:rsidRPr="00BD3AAF">
        <w:rPr>
          <w:rFonts w:cs="Times New Roman"/>
          <w:lang w:val="fr-CA"/>
        </w:rPr>
        <w:t xml:space="preserve"> prévoit que l</w:t>
      </w:r>
      <w:r>
        <w:rPr>
          <w:rFonts w:cs="Times New Roman"/>
          <w:lang w:val="fr-CA"/>
        </w:rPr>
        <w:t>’</w:t>
      </w:r>
      <w:r w:rsidRPr="00BD3AAF">
        <w:rPr>
          <w:rFonts w:cs="Times New Roman"/>
          <w:lang w:val="fr-CA"/>
        </w:rPr>
        <w:t>agent d</w:t>
      </w:r>
      <w:r>
        <w:rPr>
          <w:rFonts w:cs="Times New Roman"/>
          <w:lang w:val="fr-CA"/>
        </w:rPr>
        <w:t>’</w:t>
      </w:r>
      <w:r w:rsidRPr="00BD3AAF">
        <w:rPr>
          <w:rFonts w:cs="Times New Roman"/>
          <w:lang w:val="fr-CA"/>
        </w:rPr>
        <w:t>immigration est chargé d</w:t>
      </w:r>
      <w:r>
        <w:rPr>
          <w:rFonts w:cs="Times New Roman"/>
          <w:lang w:val="fr-CA"/>
        </w:rPr>
        <w:t>’</w:t>
      </w:r>
      <w:r w:rsidRPr="00BD3AAF">
        <w:rPr>
          <w:rFonts w:cs="Times New Roman"/>
          <w:lang w:val="fr-CA"/>
        </w:rPr>
        <w:t>amener le détenu devant la Section de l</w:t>
      </w:r>
      <w:r>
        <w:rPr>
          <w:rFonts w:cs="Times New Roman"/>
          <w:lang w:val="fr-CA"/>
        </w:rPr>
        <w:t>’</w:t>
      </w:r>
      <w:r w:rsidRPr="00BD3AAF">
        <w:rPr>
          <w:rFonts w:cs="Times New Roman"/>
          <w:lang w:val="fr-CA"/>
        </w:rPr>
        <w:t>immigration pour tous les contrôles de sa détention (</w:t>
      </w:r>
      <w:r>
        <w:rPr>
          <w:rFonts w:cs="Times New Roman"/>
          <w:lang w:val="fr-CA"/>
        </w:rPr>
        <w:t>par. </w:t>
      </w:r>
      <w:r w:rsidRPr="00BD3AAF">
        <w:rPr>
          <w:rFonts w:cs="Times New Roman"/>
          <w:lang w:val="fr-CA"/>
        </w:rPr>
        <w:t>57(3)). La Section de l</w:t>
      </w:r>
      <w:r>
        <w:rPr>
          <w:rFonts w:cs="Times New Roman"/>
          <w:lang w:val="fr-CA"/>
        </w:rPr>
        <w:t>’</w:t>
      </w:r>
      <w:r w:rsidRPr="00BD3AAF">
        <w:rPr>
          <w:rFonts w:cs="Times New Roman"/>
          <w:lang w:val="fr-CA"/>
        </w:rPr>
        <w:t>immigration a le pouvoir correspondant d</w:t>
      </w:r>
      <w:r>
        <w:rPr>
          <w:rFonts w:cs="Times New Roman"/>
          <w:lang w:val="fr-CA"/>
        </w:rPr>
        <w:t>’</w:t>
      </w:r>
      <w:r w:rsidRPr="00BD3AAF">
        <w:rPr>
          <w:rFonts w:cs="Times New Roman"/>
          <w:lang w:val="fr-CA"/>
        </w:rPr>
        <w:t>ordonner aux autorités de l</w:t>
      </w:r>
      <w:r>
        <w:rPr>
          <w:rFonts w:cs="Times New Roman"/>
          <w:lang w:val="fr-CA"/>
        </w:rPr>
        <w:t>’</w:t>
      </w:r>
      <w:r w:rsidRPr="00BD3AAF">
        <w:rPr>
          <w:rFonts w:cs="Times New Roman"/>
          <w:lang w:val="fr-CA"/>
        </w:rPr>
        <w:t>immigration d</w:t>
      </w:r>
      <w:r>
        <w:rPr>
          <w:rFonts w:cs="Times New Roman"/>
          <w:lang w:val="fr-CA"/>
        </w:rPr>
        <w:t>’</w:t>
      </w:r>
      <w:r w:rsidRPr="00BD3AAF">
        <w:rPr>
          <w:rFonts w:cs="Times New Roman"/>
          <w:lang w:val="fr-CA"/>
        </w:rPr>
        <w:t>amener le détenu au lieu précisé par la Section de l</w:t>
      </w:r>
      <w:r>
        <w:rPr>
          <w:rFonts w:cs="Times New Roman"/>
          <w:lang w:val="fr-CA"/>
        </w:rPr>
        <w:t>’</w:t>
      </w:r>
      <w:r w:rsidRPr="00BD3AAF">
        <w:rPr>
          <w:rFonts w:cs="Times New Roman"/>
          <w:lang w:val="fr-CA"/>
        </w:rPr>
        <w:t>immigration (</w:t>
      </w:r>
      <w:r w:rsidRPr="00BD3AAF">
        <w:rPr>
          <w:rFonts w:cs="Times New Roman"/>
          <w:i/>
          <w:lang w:val="fr-CA"/>
        </w:rPr>
        <w:t>Règles de la Section de l</w:t>
      </w:r>
      <w:r>
        <w:rPr>
          <w:rFonts w:cs="Times New Roman"/>
          <w:i/>
          <w:lang w:val="fr-CA"/>
        </w:rPr>
        <w:t>’</w:t>
      </w:r>
      <w:r w:rsidRPr="00BD3AAF">
        <w:rPr>
          <w:rFonts w:cs="Times New Roman"/>
          <w:i/>
          <w:lang w:val="fr-CA"/>
        </w:rPr>
        <w:t>immigration</w:t>
      </w:r>
      <w:r w:rsidRPr="00BD3AAF">
        <w:rPr>
          <w:rFonts w:cs="Times New Roman"/>
          <w:lang w:val="fr-CA"/>
        </w:rPr>
        <w:t xml:space="preserve">, </w:t>
      </w:r>
      <w:r>
        <w:rPr>
          <w:rFonts w:cs="Times New Roman"/>
          <w:lang w:val="fr-CA"/>
        </w:rPr>
        <w:t>art. </w:t>
      </w:r>
      <w:r w:rsidRPr="00BD3AAF">
        <w:rPr>
          <w:rFonts w:cs="Times New Roman"/>
          <w:lang w:val="fr-CA"/>
        </w:rPr>
        <w:t>23). La Section de l</w:t>
      </w:r>
      <w:r>
        <w:rPr>
          <w:rFonts w:cs="Times New Roman"/>
          <w:lang w:val="fr-CA"/>
        </w:rPr>
        <w:t>’</w:t>
      </w:r>
      <w:r w:rsidRPr="00BD3AAF">
        <w:rPr>
          <w:rFonts w:cs="Times New Roman"/>
          <w:lang w:val="fr-CA"/>
        </w:rPr>
        <w:t>immigration peut également faciliter l</w:t>
      </w:r>
      <w:r>
        <w:rPr>
          <w:rFonts w:cs="Times New Roman"/>
          <w:lang w:val="fr-CA"/>
        </w:rPr>
        <w:t>’</w:t>
      </w:r>
      <w:r w:rsidRPr="00BD3AAF">
        <w:rPr>
          <w:rFonts w:cs="Times New Roman"/>
          <w:lang w:val="fr-CA"/>
        </w:rPr>
        <w:t>exercice de ce recours en exigeant que les parties participent à une conférence pour discuter de toute question afin que les procédures soient plus équitables et efficaces, ou qu</w:t>
      </w:r>
      <w:r>
        <w:rPr>
          <w:rFonts w:cs="Times New Roman"/>
          <w:lang w:val="fr-CA"/>
        </w:rPr>
        <w:t>’</w:t>
      </w:r>
      <w:r w:rsidRPr="00BD3AAF">
        <w:rPr>
          <w:rFonts w:cs="Times New Roman"/>
          <w:lang w:val="fr-CA"/>
        </w:rPr>
        <w:t>elles collaborent à la préparation de l</w:t>
      </w:r>
      <w:r>
        <w:rPr>
          <w:rFonts w:cs="Times New Roman"/>
          <w:lang w:val="fr-CA"/>
        </w:rPr>
        <w:t>’</w:t>
      </w:r>
      <w:r w:rsidRPr="00BD3AAF">
        <w:rPr>
          <w:rFonts w:cs="Times New Roman"/>
          <w:lang w:val="fr-CA"/>
        </w:rPr>
        <w:t>échéancier de l</w:t>
      </w:r>
      <w:r>
        <w:rPr>
          <w:rFonts w:cs="Times New Roman"/>
          <w:lang w:val="fr-CA"/>
        </w:rPr>
        <w:t>’</w:t>
      </w:r>
      <w:r w:rsidRPr="00BD3AAF">
        <w:rPr>
          <w:rFonts w:cs="Times New Roman"/>
          <w:lang w:val="fr-CA"/>
        </w:rPr>
        <w:t>affaire (</w:t>
      </w:r>
      <w:r w:rsidRPr="00BD3AAF">
        <w:rPr>
          <w:rFonts w:cs="Times New Roman"/>
          <w:i/>
          <w:lang w:val="fr-CA"/>
        </w:rPr>
        <w:t>Règles de la Section de l</w:t>
      </w:r>
      <w:r>
        <w:rPr>
          <w:rFonts w:cs="Times New Roman"/>
          <w:i/>
          <w:lang w:val="fr-CA"/>
        </w:rPr>
        <w:t>’</w:t>
      </w:r>
      <w:r w:rsidRPr="00BD3AAF">
        <w:rPr>
          <w:rFonts w:cs="Times New Roman"/>
          <w:i/>
          <w:lang w:val="fr-CA"/>
        </w:rPr>
        <w:t>immigration</w:t>
      </w:r>
      <w:r w:rsidRPr="00BD3AAF">
        <w:rPr>
          <w:rFonts w:cs="Times New Roman"/>
          <w:lang w:val="fr-CA"/>
        </w:rPr>
        <w:t xml:space="preserve">, </w:t>
      </w:r>
      <w:r>
        <w:rPr>
          <w:rFonts w:cs="Times New Roman"/>
          <w:lang w:val="fr-CA"/>
        </w:rPr>
        <w:t>par. </w:t>
      </w:r>
      <w:r w:rsidRPr="00BD3AAF">
        <w:rPr>
          <w:rFonts w:cs="Times New Roman"/>
          <w:lang w:val="fr-CA"/>
        </w:rPr>
        <w:t xml:space="preserve">20(1) et </w:t>
      </w:r>
      <w:r>
        <w:rPr>
          <w:rFonts w:cs="Times New Roman"/>
          <w:lang w:val="fr-CA"/>
        </w:rPr>
        <w:t>art. </w:t>
      </w:r>
      <w:r w:rsidRPr="00BD3AAF">
        <w:rPr>
          <w:rFonts w:cs="Times New Roman"/>
          <w:lang w:val="fr-CA"/>
        </w:rPr>
        <w:t>21).</w:t>
      </w:r>
    </w:p>
    <w:p w:rsidR="00B233C0" w:rsidRPr="00BD3AAF" w:rsidRDefault="00B233C0" w:rsidP="00B233C0">
      <w:pPr>
        <w:pStyle w:val="ParaNoNdepar-AltN"/>
        <w:rPr>
          <w:rFonts w:cs="Times New Roman"/>
          <w:lang w:val="fr-CA"/>
        </w:rPr>
      </w:pPr>
      <w:r w:rsidRPr="00BD3AAF">
        <w:rPr>
          <w:rFonts w:cs="Times New Roman"/>
          <w:lang w:val="fr-CA"/>
        </w:rPr>
        <w:t>Lors du contrôle des motifs de la détention, la Section de l</w:t>
      </w:r>
      <w:r>
        <w:rPr>
          <w:rFonts w:cs="Times New Roman"/>
          <w:lang w:val="fr-CA"/>
        </w:rPr>
        <w:t>’</w:t>
      </w:r>
      <w:r w:rsidRPr="00BD3AAF">
        <w:rPr>
          <w:rFonts w:cs="Times New Roman"/>
          <w:lang w:val="fr-CA"/>
        </w:rPr>
        <w:t>immigration peut ordonner le maintien en détention du détenu, sa mise en liberté sans condition ou sa libération aux conditions qu</w:t>
      </w:r>
      <w:r>
        <w:rPr>
          <w:rFonts w:cs="Times New Roman"/>
          <w:lang w:val="fr-CA"/>
        </w:rPr>
        <w:t>’</w:t>
      </w:r>
      <w:r w:rsidRPr="00BD3AAF">
        <w:rPr>
          <w:rFonts w:cs="Times New Roman"/>
          <w:lang w:val="fr-CA"/>
        </w:rPr>
        <w:t>elle juge nécessaires. Lorsqu</w:t>
      </w:r>
      <w:r>
        <w:rPr>
          <w:rFonts w:cs="Times New Roman"/>
          <w:lang w:val="fr-CA"/>
        </w:rPr>
        <w:t>’</w:t>
      </w:r>
      <w:r w:rsidRPr="00BD3AAF">
        <w:rPr>
          <w:rFonts w:cs="Times New Roman"/>
          <w:lang w:val="fr-CA"/>
        </w:rPr>
        <w:t>elle rend ses décisions, la Section de l</w:t>
      </w:r>
      <w:r>
        <w:rPr>
          <w:rFonts w:cs="Times New Roman"/>
          <w:lang w:val="fr-CA"/>
        </w:rPr>
        <w:t>’</w:t>
      </w:r>
      <w:r w:rsidRPr="00BD3AAF">
        <w:rPr>
          <w:rFonts w:cs="Times New Roman"/>
          <w:lang w:val="fr-CA"/>
        </w:rPr>
        <w:t xml:space="preserve">immigration tient compte des objets de la </w:t>
      </w:r>
      <w:r w:rsidRPr="00BD3AAF">
        <w:rPr>
          <w:rFonts w:cs="Times New Roman"/>
          <w:i/>
          <w:lang w:val="fr-CA"/>
        </w:rPr>
        <w:t>LIPR</w:t>
      </w:r>
      <w:r w:rsidRPr="00BD3AAF">
        <w:rPr>
          <w:rFonts w:cs="Times New Roman"/>
          <w:lang w:val="fr-CA"/>
        </w:rPr>
        <w:t>, notamment celui de protéger la sécurité publique et de garantir la sécurité de la société canadienne (</w:t>
      </w:r>
      <w:r>
        <w:rPr>
          <w:rFonts w:cs="Times New Roman"/>
          <w:lang w:val="fr-CA"/>
        </w:rPr>
        <w:t>al. </w:t>
      </w:r>
      <w:r w:rsidRPr="00BD3AAF">
        <w:rPr>
          <w:rFonts w:cs="Times New Roman"/>
          <w:lang w:val="fr-CA"/>
        </w:rPr>
        <w:t>3(1)h)).</w:t>
      </w:r>
    </w:p>
    <w:p w:rsidR="00B233C0" w:rsidRPr="00BD3AAF" w:rsidRDefault="00B233C0" w:rsidP="00B233C0">
      <w:pPr>
        <w:pStyle w:val="ParaNoNdepar-AltN"/>
        <w:rPr>
          <w:rFonts w:cs="Times New Roman"/>
          <w:lang w:val="fr-CA"/>
        </w:rPr>
      </w:pPr>
      <w:r w:rsidRPr="00BD3AAF">
        <w:rPr>
          <w:rFonts w:cs="Times New Roman"/>
          <w:lang w:val="fr-CA"/>
        </w:rPr>
        <w:t>Même si, la plupart du temps, le contrôle des motifs de la détention a lieu devant la Section de l</w:t>
      </w:r>
      <w:r>
        <w:rPr>
          <w:rFonts w:cs="Times New Roman"/>
          <w:lang w:val="fr-CA"/>
        </w:rPr>
        <w:t>’</w:t>
      </w:r>
      <w:r w:rsidRPr="00BD3AAF">
        <w:rPr>
          <w:rFonts w:cs="Times New Roman"/>
          <w:lang w:val="fr-CA"/>
        </w:rPr>
        <w:t>immigration, le détenu insatisfait d</w:t>
      </w:r>
      <w:r>
        <w:rPr>
          <w:rFonts w:cs="Times New Roman"/>
          <w:lang w:val="fr-CA"/>
        </w:rPr>
        <w:t>’</w:t>
      </w:r>
      <w:r w:rsidRPr="00BD3AAF">
        <w:rPr>
          <w:rFonts w:cs="Times New Roman"/>
          <w:lang w:val="fr-CA"/>
        </w:rPr>
        <w:t>une décision de cette dernière peut saisir la Cour fédérale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lang w:val="fr-CA"/>
        </w:rPr>
        <w:t xml:space="preserve">autorisation et de contrôle judiciaire que ce soit ou non pour des motifs fondés sur la </w:t>
      </w:r>
      <w:r w:rsidRPr="00BD3AAF">
        <w:rPr>
          <w:rFonts w:cs="Times New Roman"/>
          <w:i/>
          <w:lang w:val="fr-CA"/>
        </w:rPr>
        <w:t xml:space="preserve">Charte </w:t>
      </w:r>
      <w:r w:rsidRPr="00BD3AAF">
        <w:rPr>
          <w:rFonts w:cs="Times New Roman"/>
          <w:lang w:val="fr-CA"/>
        </w:rPr>
        <w:t>(</w:t>
      </w:r>
      <w:r w:rsidRPr="00BD3AAF">
        <w:rPr>
          <w:rFonts w:cs="Times New Roman"/>
          <w:i/>
          <w:lang w:val="fr-CA"/>
        </w:rPr>
        <w:t>LIPR</w:t>
      </w:r>
      <w:r w:rsidRPr="00BD3AAF">
        <w:rPr>
          <w:rFonts w:cs="Times New Roman"/>
          <w:lang w:val="fr-CA"/>
        </w:rPr>
        <w:t xml:space="preserve">, </w:t>
      </w:r>
      <w:r>
        <w:rPr>
          <w:rFonts w:cs="Times New Roman"/>
          <w:lang w:val="fr-CA"/>
        </w:rPr>
        <w:t>par. </w:t>
      </w:r>
      <w:r w:rsidRPr="00BD3AAF">
        <w:rPr>
          <w:rFonts w:cs="Times New Roman"/>
          <w:lang w:val="fr-CA"/>
        </w:rPr>
        <w:t>72(1)). Je souscris aux propos du juge Catzman qui, dans l</w:t>
      </w:r>
      <w:r>
        <w:rPr>
          <w:rFonts w:cs="Times New Roman"/>
          <w:lang w:val="fr-CA"/>
        </w:rPr>
        <w:t>’</w:t>
      </w:r>
      <w:r w:rsidRPr="00BD3AAF">
        <w:rPr>
          <w:rFonts w:cs="Times New Roman"/>
          <w:lang w:val="fr-CA"/>
        </w:rPr>
        <w:t xml:space="preserve">arrêt </w:t>
      </w:r>
      <w:r w:rsidRPr="00BD3AAF">
        <w:rPr>
          <w:rFonts w:cs="Times New Roman"/>
          <w:i/>
          <w:lang w:val="fr-CA"/>
        </w:rPr>
        <w:t>Peiroo</w:t>
      </w:r>
      <w:r w:rsidRPr="00BD3AAF">
        <w:rPr>
          <w:rFonts w:cs="Times New Roman"/>
          <w:lang w:val="fr-CA"/>
        </w:rPr>
        <w:t>, a écarté l</w:t>
      </w:r>
      <w:r>
        <w:rPr>
          <w:rFonts w:cs="Times New Roman"/>
          <w:lang w:val="fr-CA"/>
        </w:rPr>
        <w:t>’</w:t>
      </w:r>
      <w:r w:rsidRPr="00BD3AAF">
        <w:rPr>
          <w:rFonts w:cs="Times New Roman"/>
          <w:lang w:val="fr-CA"/>
        </w:rPr>
        <w:t>argument selon lequel l</w:t>
      </w:r>
      <w:r>
        <w:rPr>
          <w:rFonts w:cs="Times New Roman"/>
          <w:lang w:val="fr-CA"/>
        </w:rPr>
        <w:t>’</w:t>
      </w:r>
      <w:r w:rsidRPr="00BD3AAF">
        <w:rPr>
          <w:rFonts w:cs="Times New Roman"/>
          <w:lang w:val="fr-CA"/>
        </w:rPr>
        <w:t>obligation de demander l</w:t>
      </w:r>
      <w:r>
        <w:rPr>
          <w:rFonts w:cs="Times New Roman"/>
          <w:lang w:val="fr-CA"/>
        </w:rPr>
        <w:t>’</w:t>
      </w:r>
      <w:r w:rsidRPr="00BD3AAF">
        <w:rPr>
          <w:rFonts w:cs="Times New Roman"/>
          <w:lang w:val="fr-CA"/>
        </w:rPr>
        <w:t>autorisation d</w:t>
      </w:r>
      <w:r>
        <w:rPr>
          <w:rFonts w:cs="Times New Roman"/>
          <w:lang w:val="fr-CA"/>
        </w:rPr>
        <w:t>’</w:t>
      </w:r>
      <w:r w:rsidRPr="00BD3AAF">
        <w:rPr>
          <w:rFonts w:cs="Times New Roman"/>
          <w:lang w:val="fr-CA"/>
        </w:rPr>
        <w:t>interjeter appel des décisions en matière d</w:t>
      </w:r>
      <w:r>
        <w:rPr>
          <w:rFonts w:cs="Times New Roman"/>
          <w:lang w:val="fr-CA"/>
        </w:rPr>
        <w:t>’</w:t>
      </w:r>
      <w:r w:rsidRPr="00BD3AAF">
        <w:rPr>
          <w:rFonts w:cs="Times New Roman"/>
          <w:lang w:val="fr-CA"/>
        </w:rPr>
        <w:t>immigration devant la Cour fédérale rendait ce recours moins avantageux que l</w:t>
      </w:r>
      <w:r>
        <w:rPr>
          <w:rFonts w:cs="Times New Roman"/>
          <w:lang w:val="fr-CA"/>
        </w:rPr>
        <w:t>’</w:t>
      </w:r>
      <w:r w:rsidRPr="00BD3AAF">
        <w:rPr>
          <w:rFonts w:cs="Times New Roman"/>
          <w:i/>
          <w:lang w:val="fr-CA"/>
        </w:rPr>
        <w:t>habeas corpus</w:t>
      </w:r>
      <w:r w:rsidRPr="00BD3AAF">
        <w:rPr>
          <w:rFonts w:cs="Times New Roman"/>
          <w:lang w:val="fr-CA"/>
        </w:rPr>
        <w:t>, pour lequel aucune autorisation n</w:t>
      </w:r>
      <w:r>
        <w:rPr>
          <w:rFonts w:cs="Times New Roman"/>
          <w:lang w:val="fr-CA"/>
        </w:rPr>
        <w:t>’</w:t>
      </w:r>
      <w:r w:rsidRPr="00BD3AAF">
        <w:rPr>
          <w:rFonts w:cs="Times New Roman"/>
          <w:lang w:val="fr-CA"/>
        </w:rPr>
        <w:t>était requise. Voici ce que le juge Catzman a écrit</w:t>
      </w:r>
      <w:r>
        <w:rPr>
          <w:rFonts w:cs="Times New Roman"/>
          <w:lang w:val="fr-CA"/>
        </w:rPr>
        <w:t> :</w:t>
      </w:r>
    </w:p>
    <w:p w:rsidR="00B233C0" w:rsidRPr="00BD3AAF" w:rsidRDefault="00B233C0" w:rsidP="00B233C0">
      <w:pPr>
        <w:pStyle w:val="Citation-AltC"/>
        <w:ind w:left="1168" w:hanging="1168"/>
        <w:contextualSpacing w:val="0"/>
        <w:rPr>
          <w:lang w:val="fr-CA"/>
        </w:rPr>
      </w:pPr>
      <w:r w:rsidRPr="00BD3AAF">
        <w:rPr>
          <w:lang w:val="fr-CA"/>
        </w:rPr>
        <w:tab/>
      </w:r>
      <w:r w:rsidR="00607917" w:rsidRPr="00BD3AAF">
        <w:rPr>
          <w:lang w:val="fr-CA"/>
        </w:rPr>
        <w:t>[</w:t>
      </w:r>
      <w:r w:rsidR="00607917" w:rsidRPr="00BD3AAF">
        <w:rPr>
          <w:smallCaps/>
          <w:lang w:val="fr-CA"/>
        </w:rPr>
        <w:t>traduction</w:t>
      </w:r>
      <w:r w:rsidR="00607917" w:rsidRPr="00BD3AAF">
        <w:rPr>
          <w:lang w:val="fr-CA"/>
        </w:rPr>
        <w:t>]</w:t>
      </w:r>
      <w:r w:rsidR="00607917">
        <w:rPr>
          <w:lang w:val="fr-CA"/>
        </w:rPr>
        <w:t xml:space="preserve"> </w:t>
      </w:r>
      <w:r w:rsidRPr="00BD3AAF">
        <w:rPr>
          <w:lang w:val="fr-CA"/>
        </w:rPr>
        <w:t>La distinction suggérée me semble plus apparente que réelle. Pour obtenir gain de cause dans sa demande d</w:t>
      </w:r>
      <w:r>
        <w:rPr>
          <w:lang w:val="fr-CA"/>
        </w:rPr>
        <w:t>’</w:t>
      </w:r>
      <w:r w:rsidRPr="00BD3AAF">
        <w:rPr>
          <w:i/>
          <w:lang w:val="fr-CA"/>
        </w:rPr>
        <w:t>habeas corpus</w:t>
      </w:r>
      <w:r w:rsidRPr="00BD3AAF">
        <w:rPr>
          <w:lang w:val="fr-CA"/>
        </w:rPr>
        <w:t>, le demandeur doit démontrer l</w:t>
      </w:r>
      <w:r>
        <w:rPr>
          <w:lang w:val="fr-CA"/>
        </w:rPr>
        <w:t>’</w:t>
      </w:r>
      <w:r w:rsidRPr="00BD3AAF">
        <w:rPr>
          <w:lang w:val="fr-CA"/>
        </w:rPr>
        <w:t>existence de motifs raisonnables et probables justifiant sa plainte (</w:t>
      </w:r>
      <w:r w:rsidRPr="00BD3AAF">
        <w:rPr>
          <w:i/>
          <w:lang w:val="fr-CA"/>
        </w:rPr>
        <w:t>Loi sur l</w:t>
      </w:r>
      <w:r>
        <w:rPr>
          <w:i/>
          <w:lang w:val="fr-CA"/>
        </w:rPr>
        <w:t>’</w:t>
      </w:r>
      <w:r w:rsidRPr="00BD3AAF">
        <w:rPr>
          <w:i/>
          <w:lang w:val="fr-CA"/>
        </w:rPr>
        <w:t>h</w:t>
      </w:r>
      <w:r w:rsidRPr="00BD3AAF">
        <w:rPr>
          <w:rStyle w:val="Emphasis"/>
          <w:lang w:val="fr-CA"/>
        </w:rPr>
        <w:t>abeas corpus</w:t>
      </w:r>
      <w:r w:rsidRPr="00BD3AAF">
        <w:rPr>
          <w:lang w:val="fr-CA"/>
        </w:rPr>
        <w:t xml:space="preserve">, L.R.O. 1980, c. 193, </w:t>
      </w:r>
      <w:r>
        <w:rPr>
          <w:lang w:val="fr-CA"/>
        </w:rPr>
        <w:t>par. </w:t>
      </w:r>
      <w:r w:rsidRPr="00BD3AAF">
        <w:rPr>
          <w:lang w:val="fr-CA"/>
        </w:rPr>
        <w:t>1(1)). L</w:t>
      </w:r>
      <w:r>
        <w:rPr>
          <w:lang w:val="fr-CA"/>
        </w:rPr>
        <w:t>’</w:t>
      </w:r>
      <w:r w:rsidRPr="00BD3AAF">
        <w:rPr>
          <w:lang w:val="fr-CA"/>
        </w:rPr>
        <w:t>obligation d</w:t>
      </w:r>
      <w:r>
        <w:rPr>
          <w:lang w:val="fr-CA"/>
        </w:rPr>
        <w:t>’</w:t>
      </w:r>
      <w:r w:rsidRPr="00BD3AAF">
        <w:rPr>
          <w:lang w:val="fr-CA"/>
        </w:rPr>
        <w:t xml:space="preserve">obtenir une autorisation qui est énoncée au </w:t>
      </w:r>
      <w:r>
        <w:rPr>
          <w:lang w:val="fr-CA"/>
        </w:rPr>
        <w:t>par. </w:t>
      </w:r>
      <w:r w:rsidRPr="00BD3AAF">
        <w:rPr>
          <w:lang w:val="fr-CA"/>
        </w:rPr>
        <w:t>83.1(1) est de toute évidence censée faire partie d</w:t>
      </w:r>
      <w:r>
        <w:rPr>
          <w:lang w:val="fr-CA"/>
        </w:rPr>
        <w:t>’</w:t>
      </w:r>
      <w:r w:rsidRPr="00BD3AAF">
        <w:rPr>
          <w:lang w:val="fr-CA"/>
        </w:rPr>
        <w:t>une série de mesures de filtrage prévues par la Loi pour décourager la présentation de demandes fallacieuses ou non fondées. J</w:t>
      </w:r>
      <w:r>
        <w:rPr>
          <w:lang w:val="fr-CA"/>
        </w:rPr>
        <w:t>’</w:t>
      </w:r>
      <w:r w:rsidRPr="00BD3AAF">
        <w:rPr>
          <w:lang w:val="fr-CA"/>
        </w:rPr>
        <w:t>ai du mal à accepter qu</w:t>
      </w:r>
      <w:r>
        <w:rPr>
          <w:lang w:val="fr-CA"/>
        </w:rPr>
        <w:t>’</w:t>
      </w:r>
      <w:r w:rsidRPr="00BD3AAF">
        <w:rPr>
          <w:lang w:val="fr-CA"/>
        </w:rPr>
        <w:t>un demandeur qui est en mesure de démontrer l</w:t>
      </w:r>
      <w:r>
        <w:rPr>
          <w:lang w:val="fr-CA"/>
        </w:rPr>
        <w:t>’</w:t>
      </w:r>
      <w:r w:rsidRPr="00BD3AAF">
        <w:rPr>
          <w:lang w:val="fr-CA"/>
        </w:rPr>
        <w:t>existence de motifs raisonnables et probables justifiant sa plainte en ce qui a trait à la décision ou à l</w:t>
      </w:r>
      <w:r>
        <w:rPr>
          <w:lang w:val="fr-CA"/>
        </w:rPr>
        <w:t>’</w:t>
      </w:r>
      <w:r w:rsidRPr="00BD3AAF">
        <w:rPr>
          <w:lang w:val="fr-CA"/>
        </w:rPr>
        <w:t>ordonnance dont il demande le contrôle n</w:t>
      </w:r>
      <w:r>
        <w:rPr>
          <w:lang w:val="fr-CA"/>
        </w:rPr>
        <w:t>’</w:t>
      </w:r>
      <w:r w:rsidRPr="00BD3AAF">
        <w:rPr>
          <w:lang w:val="fr-CA"/>
        </w:rPr>
        <w:t>obtienne pas l</w:t>
      </w:r>
      <w:r>
        <w:rPr>
          <w:lang w:val="fr-CA"/>
        </w:rPr>
        <w:t>’</w:t>
      </w:r>
      <w:r w:rsidRPr="00BD3AAF">
        <w:rPr>
          <w:lang w:val="fr-CA"/>
        </w:rPr>
        <w:t>autorisation requise pour présenter cette demande. En fait, les avocats ont indiqué que cette autorisation avait effectivement été accordée en l</w:t>
      </w:r>
      <w:r>
        <w:rPr>
          <w:lang w:val="fr-CA"/>
        </w:rPr>
        <w:t>’</w:t>
      </w:r>
      <w:r w:rsidRPr="00BD3AAF">
        <w:rPr>
          <w:lang w:val="fr-CA"/>
        </w:rPr>
        <w:t>espèce</w:t>
      </w:r>
      <w:r w:rsidR="00607917">
        <w:rPr>
          <w:lang w:val="fr-CA"/>
        </w:rPr>
        <w:t xml:space="preserve"> </w:t>
      </w:r>
      <w:r w:rsidRPr="00BD3AAF">
        <w:rPr>
          <w:lang w:val="fr-CA"/>
        </w:rPr>
        <w:t>. . . [</w:t>
      </w:r>
      <w:r>
        <w:rPr>
          <w:lang w:val="fr-CA"/>
        </w:rPr>
        <w:t>p. </w:t>
      </w:r>
      <w:r w:rsidRPr="00BD3AAF">
        <w:rPr>
          <w:lang w:val="fr-CA"/>
        </w:rPr>
        <w:t>259]</w:t>
      </w:r>
    </w:p>
    <w:p w:rsidR="00B233C0" w:rsidRPr="00BD3AAF" w:rsidRDefault="00B233C0" w:rsidP="00B233C0">
      <w:pPr>
        <w:pStyle w:val="ParaNoNdepar-AltN"/>
        <w:rPr>
          <w:rFonts w:cs="Times New Roman"/>
          <w:lang w:val="fr-CA"/>
        </w:rPr>
      </w:pPr>
      <w:r w:rsidRPr="00BD3AAF">
        <w:rPr>
          <w:rFonts w:cs="Times New Roman"/>
          <w:lang w:val="fr-CA"/>
        </w:rPr>
        <w:t>La demande de contrôle judiciaire dont M. Chhina a saisi la Cour fédérale a effectivement fait l</w:t>
      </w:r>
      <w:r>
        <w:rPr>
          <w:rFonts w:cs="Times New Roman"/>
          <w:lang w:val="fr-CA"/>
        </w:rPr>
        <w:t>’</w:t>
      </w:r>
      <w:r w:rsidRPr="00BD3AAF">
        <w:rPr>
          <w:rFonts w:cs="Times New Roman"/>
          <w:lang w:val="fr-CA"/>
        </w:rPr>
        <w:t>objet d</w:t>
      </w:r>
      <w:r>
        <w:rPr>
          <w:rFonts w:cs="Times New Roman"/>
          <w:lang w:val="fr-CA"/>
        </w:rPr>
        <w:t>’</w:t>
      </w:r>
      <w:r w:rsidRPr="00BD3AAF">
        <w:rPr>
          <w:rFonts w:cs="Times New Roman"/>
          <w:lang w:val="fr-CA"/>
        </w:rPr>
        <w:t>un traitement accéléré. Son instruction et la décision à son égard ont nécessité une semaine de moins que la demande d</w:t>
      </w:r>
      <w:r>
        <w:rPr>
          <w:rFonts w:cs="Times New Roman"/>
          <w:lang w:val="fr-CA"/>
        </w:rPr>
        <w:t>’</w:t>
      </w:r>
      <w:r w:rsidRPr="00BD3AAF">
        <w:rPr>
          <w:rFonts w:cs="Times New Roman"/>
          <w:i/>
          <w:lang w:val="fr-CA"/>
        </w:rPr>
        <w:t>habeas corpus</w:t>
      </w:r>
      <w:r w:rsidRPr="00BD3AAF">
        <w:rPr>
          <w:rFonts w:cs="Times New Roman"/>
          <w:lang w:val="fr-CA"/>
        </w:rPr>
        <w:t xml:space="preserve"> qu</w:t>
      </w:r>
      <w:r>
        <w:rPr>
          <w:rFonts w:cs="Times New Roman"/>
          <w:lang w:val="fr-CA"/>
        </w:rPr>
        <w:t>’</w:t>
      </w:r>
      <w:r w:rsidRPr="00BD3AAF">
        <w:rPr>
          <w:rFonts w:cs="Times New Roman"/>
          <w:lang w:val="fr-CA"/>
        </w:rPr>
        <w:t>il avait présentée à la Cour du Banc de la Reine de l</w:t>
      </w:r>
      <w:r>
        <w:rPr>
          <w:rFonts w:cs="Times New Roman"/>
          <w:lang w:val="fr-CA"/>
        </w:rPr>
        <w:t>’</w:t>
      </w:r>
      <w:r w:rsidRPr="00BD3AAF">
        <w:rPr>
          <w:rFonts w:cs="Times New Roman"/>
          <w:lang w:val="fr-CA"/>
        </w:rPr>
        <w:t xml:space="preserve">Alberta. </w:t>
      </w:r>
    </w:p>
    <w:p w:rsidR="00B233C0" w:rsidRPr="00BD3AAF" w:rsidRDefault="00B233C0" w:rsidP="00B233C0">
      <w:pPr>
        <w:pStyle w:val="ParaNoNdepar-AltN"/>
        <w:rPr>
          <w:rFonts w:cs="Times New Roman"/>
          <w:lang w:val="fr-CA"/>
        </w:rPr>
      </w:pPr>
      <w:r w:rsidRPr="00BD3AAF">
        <w:rPr>
          <w:rFonts w:cs="Times New Roman"/>
          <w:lang w:val="fr-CA"/>
        </w:rPr>
        <w:t>En tout état de cause, l</w:t>
      </w:r>
      <w:r>
        <w:rPr>
          <w:rFonts w:cs="Times New Roman"/>
          <w:lang w:val="fr-CA"/>
        </w:rPr>
        <w:t>’</w:t>
      </w:r>
      <w:r w:rsidRPr="00BD3AAF">
        <w:rPr>
          <w:rFonts w:cs="Times New Roman"/>
          <w:lang w:val="fr-CA"/>
        </w:rPr>
        <w:t>obligation d</w:t>
      </w:r>
      <w:r>
        <w:rPr>
          <w:rFonts w:cs="Times New Roman"/>
          <w:lang w:val="fr-CA"/>
        </w:rPr>
        <w:t>’</w:t>
      </w:r>
      <w:r w:rsidRPr="00BD3AAF">
        <w:rPr>
          <w:rFonts w:cs="Times New Roman"/>
          <w:lang w:val="fr-CA"/>
        </w:rPr>
        <w:t>obtenir de la Cour fédérale l</w:t>
      </w:r>
      <w:r>
        <w:rPr>
          <w:rFonts w:cs="Times New Roman"/>
          <w:lang w:val="fr-CA"/>
        </w:rPr>
        <w:t>’</w:t>
      </w:r>
      <w:r w:rsidRPr="00BD3AAF">
        <w:rPr>
          <w:rFonts w:cs="Times New Roman"/>
          <w:lang w:val="fr-CA"/>
        </w:rPr>
        <w:t>autorisation d</w:t>
      </w:r>
      <w:r>
        <w:rPr>
          <w:rFonts w:cs="Times New Roman"/>
          <w:lang w:val="fr-CA"/>
        </w:rPr>
        <w:t>’</w:t>
      </w:r>
      <w:r w:rsidRPr="00BD3AAF">
        <w:rPr>
          <w:rFonts w:cs="Times New Roman"/>
          <w:lang w:val="fr-CA"/>
        </w:rPr>
        <w:t>en appeler ne change rien à l</w:t>
      </w:r>
      <w:r>
        <w:rPr>
          <w:rFonts w:cs="Times New Roman"/>
          <w:lang w:val="fr-CA"/>
        </w:rPr>
        <w:t>’</w:t>
      </w:r>
      <w:r w:rsidRPr="00BD3AAF">
        <w:rPr>
          <w:rFonts w:cs="Times New Roman"/>
          <w:lang w:val="fr-CA"/>
        </w:rPr>
        <w:t xml:space="preserve">exhaustivité du contrôle des motifs de la détention qui est prévu par la </w:t>
      </w:r>
      <w:r w:rsidRPr="00BD3AAF">
        <w:rPr>
          <w:rFonts w:cs="Times New Roman"/>
          <w:i/>
          <w:lang w:val="fr-CA"/>
        </w:rPr>
        <w:t>LIPR</w:t>
      </w:r>
      <w:r w:rsidRPr="00BD3AAF">
        <w:rPr>
          <w:rFonts w:cs="Times New Roman"/>
          <w:lang w:val="fr-CA"/>
        </w:rPr>
        <w:t xml:space="preserve"> et qui est encadré par l</w:t>
      </w:r>
      <w:r>
        <w:rPr>
          <w:rFonts w:cs="Times New Roman"/>
          <w:lang w:val="fr-CA"/>
        </w:rPr>
        <w:t>’art. </w:t>
      </w:r>
      <w:r w:rsidRPr="00BD3AAF">
        <w:rPr>
          <w:rFonts w:cs="Times New Roman"/>
          <w:lang w:val="fr-CA"/>
        </w:rPr>
        <w:t xml:space="preserve">58 de la </w:t>
      </w:r>
      <w:r w:rsidRPr="00BD3AAF">
        <w:rPr>
          <w:rFonts w:cs="Times New Roman"/>
          <w:i/>
          <w:lang w:val="fr-CA"/>
        </w:rPr>
        <w:t>LIPR</w:t>
      </w:r>
      <w:r w:rsidRPr="00BD3AAF">
        <w:rPr>
          <w:rFonts w:cs="Times New Roman"/>
          <w:lang w:val="fr-CA"/>
        </w:rPr>
        <w:t xml:space="preserve"> et par l</w:t>
      </w:r>
      <w:r>
        <w:rPr>
          <w:rFonts w:cs="Times New Roman"/>
          <w:lang w:val="fr-CA"/>
        </w:rPr>
        <w:t>’art. </w:t>
      </w:r>
      <w:r w:rsidRPr="00BD3AAF">
        <w:rPr>
          <w:rFonts w:cs="Times New Roman"/>
          <w:lang w:val="fr-CA"/>
        </w:rPr>
        <w:t xml:space="preserve">248 du </w:t>
      </w:r>
      <w:r w:rsidRPr="00BD3AAF">
        <w:rPr>
          <w:rFonts w:cs="Times New Roman"/>
          <w:i/>
          <w:lang w:val="fr-CA"/>
        </w:rPr>
        <w:t>Règlement</w:t>
      </w:r>
      <w:r w:rsidRPr="00BD3AAF">
        <w:rPr>
          <w:rFonts w:cs="Times New Roman"/>
          <w:lang w:val="fr-CA"/>
        </w:rPr>
        <w:t>. La Section de l</w:t>
      </w:r>
      <w:r>
        <w:rPr>
          <w:rFonts w:cs="Times New Roman"/>
          <w:lang w:val="fr-CA"/>
        </w:rPr>
        <w:t>’</w:t>
      </w:r>
      <w:r w:rsidRPr="00BD3AAF">
        <w:rPr>
          <w:rFonts w:cs="Times New Roman"/>
          <w:lang w:val="fr-CA"/>
        </w:rPr>
        <w:t xml:space="preserve">immigration </w:t>
      </w:r>
      <w:r w:rsidRPr="00BD3AAF">
        <w:rPr>
          <w:rFonts w:cs="Times New Roman"/>
          <w:i/>
          <w:lang w:val="fr-CA"/>
        </w:rPr>
        <w:t>doit</w:t>
      </w:r>
      <w:r w:rsidRPr="00BD3AAF">
        <w:rPr>
          <w:rFonts w:cs="Times New Roman"/>
          <w:b/>
          <w:lang w:val="fr-CA"/>
        </w:rPr>
        <w:t xml:space="preserve"> </w:t>
      </w:r>
      <w:r w:rsidRPr="00BD3AAF">
        <w:rPr>
          <w:rFonts w:cs="Times New Roman"/>
          <w:lang w:val="fr-CA"/>
        </w:rPr>
        <w:t>prononcer la mise en liberté du détenu, sauf si le ministre la convainc qu</w:t>
      </w:r>
      <w:r>
        <w:rPr>
          <w:rFonts w:cs="Times New Roman"/>
          <w:lang w:val="fr-CA"/>
        </w:rPr>
        <w:t>’</w:t>
      </w:r>
      <w:r w:rsidRPr="00BD3AAF">
        <w:rPr>
          <w:rFonts w:cs="Times New Roman"/>
          <w:lang w:val="fr-CA"/>
        </w:rPr>
        <w:t>il est satisfait à l</w:t>
      </w:r>
      <w:r>
        <w:rPr>
          <w:rFonts w:cs="Times New Roman"/>
          <w:lang w:val="fr-CA"/>
        </w:rPr>
        <w:t>’</w:t>
      </w:r>
      <w:r w:rsidRPr="00BD3AAF">
        <w:rPr>
          <w:rFonts w:cs="Times New Roman"/>
          <w:lang w:val="fr-CA"/>
        </w:rPr>
        <w:t>un ou l</w:t>
      </w:r>
      <w:r>
        <w:rPr>
          <w:rFonts w:cs="Times New Roman"/>
          <w:lang w:val="fr-CA"/>
        </w:rPr>
        <w:t>’</w:t>
      </w:r>
      <w:r w:rsidRPr="00BD3AAF">
        <w:rPr>
          <w:rFonts w:cs="Times New Roman"/>
          <w:lang w:val="fr-CA"/>
        </w:rPr>
        <w:t xml:space="preserve">autre des critères énumérés au </w:t>
      </w:r>
      <w:r>
        <w:rPr>
          <w:rFonts w:cs="Times New Roman"/>
          <w:lang w:val="fr-CA"/>
        </w:rPr>
        <w:t>par. </w:t>
      </w:r>
      <w:r w:rsidRPr="00BD3AAF">
        <w:rPr>
          <w:rFonts w:cs="Times New Roman"/>
          <w:lang w:val="fr-CA"/>
        </w:rPr>
        <w:t xml:space="preserve">58(1) de la </w:t>
      </w:r>
      <w:r w:rsidRPr="00BD3AAF">
        <w:rPr>
          <w:rFonts w:cs="Times New Roman"/>
          <w:i/>
          <w:lang w:val="fr-CA"/>
        </w:rPr>
        <w:t>LIPR</w:t>
      </w:r>
      <w:r>
        <w:rPr>
          <w:rFonts w:cs="Times New Roman"/>
          <w:lang w:val="fr-CA"/>
        </w:rPr>
        <w:t> :</w:t>
      </w:r>
    </w:p>
    <w:p w:rsidR="00B233C0" w:rsidRPr="00607917" w:rsidRDefault="00B233C0" w:rsidP="00956A31">
      <w:pPr>
        <w:pStyle w:val="Citation-AltC"/>
        <w:spacing w:after="480" w:line="480" w:lineRule="auto"/>
        <w:ind w:hanging="1166"/>
        <w:contextualSpacing w:val="0"/>
        <w:rPr>
          <w:lang w:val="fr-CA"/>
        </w:rPr>
      </w:pPr>
      <w:r w:rsidRPr="00607917">
        <w:rPr>
          <w:rStyle w:val="lawlabel2"/>
          <w:b w:val="0"/>
          <w:lang w:val="fr-CA"/>
        </w:rPr>
        <w:t>a)</w:t>
      </w:r>
      <w:r w:rsidRPr="00607917">
        <w:rPr>
          <w:lang w:val="fr-CA"/>
        </w:rPr>
        <w:t> le détenu constitue un danger pour le public;</w:t>
      </w:r>
    </w:p>
    <w:p w:rsidR="00B233C0" w:rsidRPr="00607917" w:rsidRDefault="00607917" w:rsidP="00956A31">
      <w:pPr>
        <w:pStyle w:val="Citation-AltC"/>
        <w:tabs>
          <w:tab w:val="right" w:pos="3686"/>
        </w:tabs>
        <w:spacing w:after="480" w:line="480" w:lineRule="auto"/>
        <w:ind w:left="0"/>
        <w:contextualSpacing w:val="0"/>
        <w:rPr>
          <w:lang w:val="fr-CA"/>
        </w:rPr>
      </w:pPr>
      <w:r w:rsidRPr="00607917">
        <w:rPr>
          <w:rStyle w:val="lawlabel2"/>
          <w:b w:val="0"/>
          <w:lang w:val="fr-CA"/>
        </w:rPr>
        <w:t>b)</w:t>
      </w:r>
      <w:r w:rsidRPr="00607917">
        <w:rPr>
          <w:rStyle w:val="lawlabel2"/>
          <w:lang w:val="fr-CA"/>
        </w:rPr>
        <w:t xml:space="preserve"> </w:t>
      </w:r>
      <w:r w:rsidR="00B233C0" w:rsidRPr="00607917">
        <w:rPr>
          <w:lang w:val="fr-CA"/>
        </w:rPr>
        <w:t xml:space="preserve">le détenu se </w:t>
      </w:r>
      <w:r w:rsidR="00B233C0" w:rsidRPr="00B64F3D">
        <w:rPr>
          <w:lang w:val="fr-CA"/>
        </w:rPr>
        <w:t>soustraira</w:t>
      </w:r>
      <w:r w:rsidR="00B233C0" w:rsidRPr="00607917">
        <w:rPr>
          <w:lang w:val="fr-CA"/>
        </w:rPr>
        <w:t xml:space="preserve"> vraisemblablement au contrôle, à l’enquête ou au renvoi du Canada, ou à la procédure pouvant mener à la prise par le ministre d’une mesure de renvoi;</w:t>
      </w:r>
    </w:p>
    <w:p w:rsidR="00B233C0" w:rsidRPr="00607917" w:rsidRDefault="00B233C0" w:rsidP="00956A31">
      <w:pPr>
        <w:pStyle w:val="Citation-AltC"/>
        <w:tabs>
          <w:tab w:val="right" w:pos="3686"/>
        </w:tabs>
        <w:spacing w:after="480" w:line="480" w:lineRule="auto"/>
        <w:ind w:left="0"/>
        <w:contextualSpacing w:val="0"/>
        <w:rPr>
          <w:lang w:val="fr-CA"/>
        </w:rPr>
      </w:pPr>
      <w:r w:rsidRPr="00607917">
        <w:rPr>
          <w:rStyle w:val="lawlabel2"/>
          <w:b w:val="0"/>
          <w:lang w:val="fr-CA"/>
        </w:rPr>
        <w:t>c)</w:t>
      </w:r>
      <w:r w:rsidRPr="00607917">
        <w:rPr>
          <w:lang w:val="fr-CA"/>
        </w:rPr>
        <w:t xml:space="preserve"> le ministre </w:t>
      </w:r>
      <w:r w:rsidRPr="00B64F3D">
        <w:rPr>
          <w:lang w:val="fr-CA"/>
        </w:rPr>
        <w:t>prend</w:t>
      </w:r>
      <w:r w:rsidRPr="00607917">
        <w:rPr>
          <w:lang w:val="fr-CA"/>
        </w:rPr>
        <w:t xml:space="preserve"> les mesures voulues pour enquêter sur les motifs raisonnables de soupçonner que le détenu est interdit de territoire pour raison de sécurité, pour atteinte aux droits humains ou internationaux ou pour grande criminalité, criminalité ou criminalité organisée;</w:t>
      </w:r>
    </w:p>
    <w:p w:rsidR="00B233C0" w:rsidRPr="00607917" w:rsidRDefault="00B233C0" w:rsidP="00956A31">
      <w:pPr>
        <w:pStyle w:val="Citation-AltC"/>
        <w:tabs>
          <w:tab w:val="right" w:pos="3686"/>
        </w:tabs>
        <w:spacing w:after="480" w:line="480" w:lineRule="auto"/>
        <w:ind w:left="0"/>
        <w:contextualSpacing w:val="0"/>
        <w:rPr>
          <w:lang w:val="fr-CA"/>
        </w:rPr>
      </w:pPr>
      <w:r w:rsidRPr="00607917">
        <w:rPr>
          <w:rStyle w:val="lawlabel2"/>
          <w:b w:val="0"/>
          <w:lang w:val="fr-CA"/>
        </w:rPr>
        <w:t>d)</w:t>
      </w:r>
      <w:r w:rsidRPr="00607917">
        <w:rPr>
          <w:lang w:val="fr-CA"/>
        </w:rPr>
        <w:t xml:space="preserve"> l’identité du </w:t>
      </w:r>
      <w:r w:rsidRPr="00B64F3D">
        <w:rPr>
          <w:lang w:val="fr-CA"/>
        </w:rPr>
        <w:t>détenu</w:t>
      </w:r>
      <w:r w:rsidRPr="00607917">
        <w:rPr>
          <w:lang w:val="fr-CA"/>
        </w:rPr>
        <w:t xml:space="preserve"> n’a pas été prouvée, mais peut l’être;</w:t>
      </w:r>
    </w:p>
    <w:p w:rsidR="00B233C0" w:rsidRPr="00607917" w:rsidRDefault="00B233C0" w:rsidP="00956A31">
      <w:pPr>
        <w:pStyle w:val="Citation-AltC"/>
        <w:tabs>
          <w:tab w:val="right" w:pos="3686"/>
        </w:tabs>
        <w:spacing w:after="480" w:line="480" w:lineRule="auto"/>
        <w:ind w:left="0"/>
        <w:contextualSpacing w:val="0"/>
        <w:rPr>
          <w:lang w:val="fr-CA"/>
        </w:rPr>
      </w:pPr>
      <w:r w:rsidRPr="00607917">
        <w:rPr>
          <w:rStyle w:val="lawlabel2"/>
          <w:b w:val="0"/>
          <w:lang w:val="fr-CA"/>
        </w:rPr>
        <w:t>e)</w:t>
      </w:r>
      <w:r w:rsidRPr="00607917">
        <w:rPr>
          <w:b/>
          <w:lang w:val="fr-CA"/>
        </w:rPr>
        <w:t> </w:t>
      </w:r>
      <w:r w:rsidRPr="00607917">
        <w:rPr>
          <w:lang w:val="fr-CA"/>
        </w:rPr>
        <w:t>si le détenu est un étranger désigné, le ministre est d’avis que l’identité du détenu n’a pas été prouvée.</w:t>
      </w:r>
    </w:p>
    <w:p w:rsidR="00B233C0" w:rsidRPr="00BD3AAF" w:rsidRDefault="00B233C0" w:rsidP="00B233C0">
      <w:pPr>
        <w:pStyle w:val="ParaNoNdepar-AltN"/>
        <w:rPr>
          <w:rFonts w:cs="Times New Roman"/>
          <w:lang w:val="fr-CA"/>
        </w:rPr>
      </w:pPr>
      <w:r w:rsidRPr="00BD3AAF">
        <w:rPr>
          <w:rFonts w:cs="Times New Roman"/>
          <w:lang w:val="fr-CA"/>
        </w:rPr>
        <w:t>Dès lors que l</w:t>
      </w:r>
      <w:r>
        <w:rPr>
          <w:rFonts w:cs="Times New Roman"/>
          <w:lang w:val="fr-CA"/>
        </w:rPr>
        <w:t>’</w:t>
      </w:r>
      <w:r w:rsidRPr="00BD3AAF">
        <w:rPr>
          <w:rFonts w:cs="Times New Roman"/>
          <w:lang w:val="fr-CA"/>
        </w:rPr>
        <w:t>existence des motifs de détention énumérés à l</w:t>
      </w:r>
      <w:r>
        <w:rPr>
          <w:rFonts w:cs="Times New Roman"/>
          <w:lang w:val="fr-CA"/>
        </w:rPr>
        <w:t>’art. </w:t>
      </w:r>
      <w:r w:rsidRPr="00BD3AAF">
        <w:rPr>
          <w:rFonts w:cs="Times New Roman"/>
          <w:lang w:val="fr-CA"/>
        </w:rPr>
        <w:t>58 est constatée, l</w:t>
      </w:r>
      <w:r>
        <w:rPr>
          <w:rFonts w:cs="Times New Roman"/>
          <w:lang w:val="fr-CA"/>
        </w:rPr>
        <w:t>’art. </w:t>
      </w:r>
      <w:r w:rsidRPr="00BD3AAF">
        <w:rPr>
          <w:rFonts w:cs="Times New Roman"/>
          <w:lang w:val="fr-CA"/>
        </w:rPr>
        <w:t xml:space="preserve">248 du </w:t>
      </w:r>
      <w:r w:rsidRPr="00BD3AAF">
        <w:rPr>
          <w:rFonts w:cs="Times New Roman"/>
          <w:i/>
          <w:lang w:val="fr-CA"/>
        </w:rPr>
        <w:t>Règlement</w:t>
      </w:r>
      <w:r w:rsidRPr="00BD3AAF">
        <w:rPr>
          <w:rFonts w:cs="Times New Roman"/>
          <w:lang w:val="fr-CA"/>
        </w:rPr>
        <w:t xml:space="preserve"> exige que la Section de l</w:t>
      </w:r>
      <w:r>
        <w:rPr>
          <w:rFonts w:cs="Times New Roman"/>
          <w:lang w:val="fr-CA"/>
        </w:rPr>
        <w:t>’</w:t>
      </w:r>
      <w:r w:rsidRPr="00BD3AAF">
        <w:rPr>
          <w:rFonts w:cs="Times New Roman"/>
          <w:lang w:val="fr-CA"/>
        </w:rPr>
        <w:t>immigration tienne compte des critères additionnels qui suivent pour décider si la détention doit être maintenue</w:t>
      </w:r>
      <w:r>
        <w:rPr>
          <w:rFonts w:cs="Times New Roman"/>
          <w:lang w:val="fr-CA"/>
        </w:rPr>
        <w:t> :</w:t>
      </w:r>
      <w:r w:rsidRPr="00BD3AAF">
        <w:rPr>
          <w:rFonts w:cs="Times New Roman"/>
          <w:lang w:val="fr-CA"/>
        </w:rPr>
        <w:t xml:space="preserve"> </w:t>
      </w:r>
    </w:p>
    <w:p w:rsidR="00B233C0" w:rsidRPr="00BD3AAF" w:rsidRDefault="00956A31" w:rsidP="00956A31">
      <w:pPr>
        <w:pStyle w:val="Citation-AltC"/>
        <w:tabs>
          <w:tab w:val="right" w:pos="3686"/>
        </w:tabs>
        <w:spacing w:after="480" w:line="480" w:lineRule="auto"/>
        <w:ind w:left="0"/>
        <w:contextualSpacing w:val="0"/>
        <w:rPr>
          <w:lang w:val="fr-CA"/>
        </w:rPr>
      </w:pPr>
      <w:r>
        <w:rPr>
          <w:lang w:val="fr-CA"/>
        </w:rPr>
        <w:t>a) </w:t>
      </w:r>
      <w:r w:rsidR="00B233C0" w:rsidRPr="00BD3AAF">
        <w:rPr>
          <w:lang w:val="fr-CA"/>
        </w:rPr>
        <w:t>le motif de la détention;</w:t>
      </w:r>
    </w:p>
    <w:p w:rsidR="00B233C0" w:rsidRPr="00BD3AAF" w:rsidRDefault="00956A31" w:rsidP="00956A31">
      <w:pPr>
        <w:pStyle w:val="Citation-AltC"/>
        <w:tabs>
          <w:tab w:val="right" w:pos="3686"/>
        </w:tabs>
        <w:spacing w:after="480" w:line="480" w:lineRule="auto"/>
        <w:ind w:left="0"/>
        <w:contextualSpacing w:val="0"/>
        <w:rPr>
          <w:lang w:val="fr-CA"/>
        </w:rPr>
      </w:pPr>
      <w:r>
        <w:rPr>
          <w:lang w:val="fr-CA"/>
        </w:rPr>
        <w:t>b) </w:t>
      </w:r>
      <w:r w:rsidR="00B233C0" w:rsidRPr="00BD3AAF">
        <w:rPr>
          <w:lang w:val="fr-CA"/>
        </w:rPr>
        <w:t>la durée de la détention;</w:t>
      </w:r>
    </w:p>
    <w:p w:rsidR="00956A31" w:rsidRDefault="00956A31" w:rsidP="00956A31">
      <w:pPr>
        <w:pStyle w:val="Citation-AltC"/>
        <w:tabs>
          <w:tab w:val="right" w:pos="3686"/>
        </w:tabs>
        <w:spacing w:after="480" w:line="480" w:lineRule="auto"/>
        <w:ind w:left="0"/>
        <w:contextualSpacing w:val="0"/>
        <w:rPr>
          <w:lang w:val="fr-CA"/>
        </w:rPr>
      </w:pPr>
      <w:r>
        <w:rPr>
          <w:lang w:val="fr-CA"/>
        </w:rPr>
        <w:t>c) </w:t>
      </w:r>
      <w:r w:rsidR="00B233C0" w:rsidRPr="00BD3AAF">
        <w:rPr>
          <w:lang w:val="fr-CA"/>
        </w:rPr>
        <w:t xml:space="preserve">les </w:t>
      </w:r>
      <w:r w:rsidR="00B233C0" w:rsidRPr="00956A31">
        <w:rPr>
          <w:lang w:val="fr-CA"/>
        </w:rPr>
        <w:t>éléments</w:t>
      </w:r>
      <w:r w:rsidR="00B233C0" w:rsidRPr="00BD3AAF">
        <w:rPr>
          <w:lang w:val="fr-CA"/>
        </w:rPr>
        <w:t xml:space="preserve"> permettant l</w:t>
      </w:r>
      <w:r w:rsidR="00B233C0">
        <w:rPr>
          <w:lang w:val="fr-CA"/>
        </w:rPr>
        <w:t>’</w:t>
      </w:r>
      <w:r w:rsidR="00B233C0" w:rsidRPr="00BD3AAF">
        <w:rPr>
          <w:lang w:val="fr-CA"/>
        </w:rPr>
        <w:t>évaluation de la durée probable de la détention;</w:t>
      </w:r>
    </w:p>
    <w:p w:rsidR="00B233C0" w:rsidRPr="00956A31" w:rsidRDefault="00956A31" w:rsidP="00956A31">
      <w:pPr>
        <w:pStyle w:val="Citation-AltC"/>
        <w:tabs>
          <w:tab w:val="right" w:pos="3686"/>
        </w:tabs>
        <w:spacing w:after="480" w:line="480" w:lineRule="auto"/>
        <w:ind w:left="0"/>
        <w:contextualSpacing w:val="0"/>
        <w:rPr>
          <w:lang w:val="fr-CA"/>
        </w:rPr>
      </w:pPr>
      <w:r>
        <w:rPr>
          <w:lang w:val="fr-CA"/>
        </w:rPr>
        <w:t>d) </w:t>
      </w:r>
      <w:r w:rsidR="00B233C0" w:rsidRPr="00956A31">
        <w:rPr>
          <w:lang w:val="fr-CA"/>
        </w:rPr>
        <w:t>les retards ou le manque inexpliqué de diligence de la part du détenu ou du gouvernement;</w:t>
      </w:r>
    </w:p>
    <w:p w:rsidR="00B233C0" w:rsidRPr="00BD3AAF" w:rsidRDefault="00956A31" w:rsidP="00956A31">
      <w:pPr>
        <w:pStyle w:val="Citation-AltC"/>
        <w:tabs>
          <w:tab w:val="right" w:pos="3686"/>
        </w:tabs>
        <w:spacing w:after="480" w:line="480" w:lineRule="auto"/>
        <w:ind w:left="0"/>
        <w:contextualSpacing w:val="0"/>
        <w:rPr>
          <w:lang w:val="fr-CA"/>
        </w:rPr>
      </w:pPr>
      <w:r>
        <w:rPr>
          <w:lang w:val="fr-CA"/>
        </w:rPr>
        <w:t xml:space="preserve">e) </w:t>
      </w:r>
      <w:r w:rsidR="00B233C0" w:rsidRPr="00BD3AAF">
        <w:rPr>
          <w:lang w:val="fr-CA"/>
        </w:rPr>
        <w:t>les solutions de rechange à la détention.</w:t>
      </w:r>
    </w:p>
    <w:p w:rsidR="00B233C0" w:rsidRPr="00BD3AAF" w:rsidRDefault="00B233C0" w:rsidP="00B233C0">
      <w:pPr>
        <w:pStyle w:val="ParaNoNdepar-AltN"/>
        <w:rPr>
          <w:rFonts w:cs="Times New Roman"/>
          <w:lang w:val="fr-CA"/>
        </w:rPr>
      </w:pPr>
      <w:r w:rsidRPr="00BD3AAF">
        <w:rPr>
          <w:rFonts w:cs="Times New Roman"/>
          <w:lang w:val="fr-CA"/>
        </w:rPr>
        <w:t>Les facteurs énumérés à l</w:t>
      </w:r>
      <w:r>
        <w:rPr>
          <w:rFonts w:cs="Times New Roman"/>
          <w:lang w:val="fr-CA"/>
        </w:rPr>
        <w:t>’art. </w:t>
      </w:r>
      <w:r w:rsidRPr="00BD3AAF">
        <w:rPr>
          <w:rFonts w:cs="Times New Roman"/>
          <w:lang w:val="fr-CA"/>
        </w:rPr>
        <w:t xml:space="preserve">248 du </w:t>
      </w:r>
      <w:r w:rsidRPr="00BD3AAF">
        <w:rPr>
          <w:rFonts w:cs="Times New Roman"/>
          <w:i/>
          <w:lang w:val="fr-CA"/>
        </w:rPr>
        <w:t>Règlement</w:t>
      </w:r>
      <w:r w:rsidRPr="00BD3AAF">
        <w:rPr>
          <w:rFonts w:cs="Times New Roman"/>
          <w:lang w:val="fr-CA"/>
        </w:rPr>
        <w:t xml:space="preserve"> codifient ceux que le juge Rothstein a énoncés dans le jugement </w:t>
      </w:r>
      <w:r w:rsidRPr="00BD3AAF">
        <w:rPr>
          <w:rFonts w:cs="Times New Roman"/>
          <w:i/>
          <w:lang w:val="fr-CA"/>
        </w:rPr>
        <w:t>Sahin c. Canada (Ministre de la Citoyenneté et de l</w:t>
      </w:r>
      <w:r>
        <w:rPr>
          <w:rFonts w:cs="Times New Roman"/>
          <w:i/>
          <w:lang w:val="fr-CA"/>
        </w:rPr>
        <w:t>’</w:t>
      </w:r>
      <w:r w:rsidRPr="00BD3AAF">
        <w:rPr>
          <w:rFonts w:cs="Times New Roman"/>
          <w:i/>
          <w:lang w:val="fr-CA"/>
        </w:rPr>
        <w:t>Immigration)</w:t>
      </w:r>
      <w:r w:rsidRPr="00BD3AAF">
        <w:rPr>
          <w:rFonts w:cs="Times New Roman"/>
          <w:lang w:val="fr-CA"/>
        </w:rPr>
        <w:t>, [1995] 1 C.F. 214 (1</w:t>
      </w:r>
      <w:r w:rsidR="00956A31">
        <w:rPr>
          <w:rFonts w:cs="Times New Roman"/>
          <w:vertAlign w:val="superscript"/>
          <w:lang w:val="fr-CA"/>
        </w:rPr>
        <w:t>re</w:t>
      </w:r>
      <w:r w:rsidRPr="00BD3AAF">
        <w:rPr>
          <w:rFonts w:cs="Times New Roman"/>
          <w:lang w:val="fr-CA"/>
        </w:rPr>
        <w:t xml:space="preserve"> inst.). La Cour a repris à son compte les facteurs énumérés à l</w:t>
      </w:r>
      <w:r>
        <w:rPr>
          <w:rFonts w:cs="Times New Roman"/>
          <w:lang w:val="fr-CA"/>
        </w:rPr>
        <w:t>’art. </w:t>
      </w:r>
      <w:r w:rsidRPr="00BD3AAF">
        <w:rPr>
          <w:rFonts w:cs="Times New Roman"/>
          <w:lang w:val="fr-CA"/>
        </w:rPr>
        <w:t>248 dans l</w:t>
      </w:r>
      <w:r>
        <w:rPr>
          <w:rFonts w:cs="Times New Roman"/>
          <w:lang w:val="fr-CA"/>
        </w:rPr>
        <w:t>’</w:t>
      </w:r>
      <w:r w:rsidRPr="00BD3AAF">
        <w:rPr>
          <w:rFonts w:cs="Times New Roman"/>
          <w:lang w:val="fr-CA"/>
        </w:rPr>
        <w:t xml:space="preserve">arrêt </w:t>
      </w:r>
      <w:r w:rsidRPr="00BD3AAF">
        <w:rPr>
          <w:rFonts w:cs="Times New Roman"/>
          <w:i/>
          <w:lang w:val="fr-CA"/>
        </w:rPr>
        <w:t>Charkaoui c. Canada (Citoyenneté et Immigration)</w:t>
      </w:r>
      <w:r w:rsidRPr="00BD3AAF">
        <w:rPr>
          <w:rFonts w:cs="Times New Roman"/>
          <w:lang w:val="fr-CA"/>
        </w:rPr>
        <w:t>, [2007] 1 R.C.S. 350. Ils garantissent qu</w:t>
      </w:r>
      <w:r>
        <w:rPr>
          <w:rFonts w:cs="Times New Roman"/>
          <w:lang w:val="fr-CA"/>
        </w:rPr>
        <w:t>’</w:t>
      </w:r>
      <w:r w:rsidRPr="00BD3AAF">
        <w:rPr>
          <w:rFonts w:cs="Times New Roman"/>
          <w:lang w:val="fr-CA"/>
        </w:rPr>
        <w:t>aucune période de détention prolongée n</w:t>
      </w:r>
      <w:r>
        <w:rPr>
          <w:rFonts w:cs="Times New Roman"/>
          <w:lang w:val="fr-CA"/>
        </w:rPr>
        <w:t>’</w:t>
      </w:r>
      <w:r w:rsidRPr="00BD3AAF">
        <w:rPr>
          <w:rFonts w:cs="Times New Roman"/>
          <w:lang w:val="fr-CA"/>
        </w:rPr>
        <w:t xml:space="preserve">enfreint la </w:t>
      </w:r>
      <w:r w:rsidRPr="00BD3AAF">
        <w:rPr>
          <w:rFonts w:cs="Times New Roman"/>
          <w:i/>
          <w:lang w:val="fr-CA"/>
        </w:rPr>
        <w:t>Charte</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Comme le juge Rothstein l</w:t>
      </w:r>
      <w:r>
        <w:rPr>
          <w:rFonts w:cs="Times New Roman"/>
          <w:lang w:val="fr-CA"/>
        </w:rPr>
        <w:t>’</w:t>
      </w:r>
      <w:r w:rsidRPr="00BD3AAF">
        <w:rPr>
          <w:rFonts w:cs="Times New Roman"/>
          <w:lang w:val="fr-CA"/>
        </w:rPr>
        <w:t xml:space="preserve">a noté dans le jugement </w:t>
      </w:r>
      <w:r w:rsidRPr="00BD3AAF">
        <w:rPr>
          <w:rFonts w:cs="Times New Roman"/>
          <w:i/>
          <w:lang w:val="fr-CA"/>
        </w:rPr>
        <w:t>Sahin</w:t>
      </w:r>
      <w:r w:rsidRPr="00BD3AAF">
        <w:rPr>
          <w:rFonts w:cs="Times New Roman"/>
          <w:lang w:val="fr-CA"/>
        </w:rPr>
        <w:t xml:space="preserve">, au moyen de la </w:t>
      </w:r>
      <w:r w:rsidRPr="00BD3AAF">
        <w:rPr>
          <w:rFonts w:cs="Times New Roman"/>
          <w:i/>
          <w:lang w:val="fr-CA"/>
        </w:rPr>
        <w:t>LIPR</w:t>
      </w:r>
      <w:r w:rsidRPr="00BD3AAF">
        <w:rPr>
          <w:rFonts w:cs="Times New Roman"/>
          <w:lang w:val="fr-CA"/>
        </w:rPr>
        <w:t>, le législateur « traite du droit qu</w:t>
      </w:r>
      <w:r>
        <w:rPr>
          <w:rFonts w:cs="Times New Roman"/>
          <w:lang w:val="fr-CA"/>
        </w:rPr>
        <w:t>’</w:t>
      </w:r>
      <w:r w:rsidRPr="00BD3AAF">
        <w:rPr>
          <w:rFonts w:cs="Times New Roman"/>
          <w:lang w:val="fr-CA"/>
        </w:rPr>
        <w:t>a la société d</w:t>
      </w:r>
      <w:r>
        <w:rPr>
          <w:rFonts w:cs="Times New Roman"/>
          <w:lang w:val="fr-CA"/>
        </w:rPr>
        <w:t>’</w:t>
      </w:r>
      <w:r w:rsidRPr="00BD3AAF">
        <w:rPr>
          <w:rFonts w:cs="Times New Roman"/>
          <w:lang w:val="fr-CA"/>
        </w:rPr>
        <w:t>être protégée contre ceux qui constituent une menace pour la sécurité publique et du droit qu</w:t>
      </w:r>
      <w:r>
        <w:rPr>
          <w:rFonts w:cs="Times New Roman"/>
          <w:lang w:val="fr-CA"/>
        </w:rPr>
        <w:t>’</w:t>
      </w:r>
      <w:r w:rsidRPr="00BD3AAF">
        <w:rPr>
          <w:rFonts w:cs="Times New Roman"/>
          <w:lang w:val="fr-CA"/>
        </w:rPr>
        <w:t>a le Canada de contrôler ceux qui entrent et demeurent dans notre pays » (</w:t>
      </w:r>
      <w:r>
        <w:rPr>
          <w:rFonts w:cs="Times New Roman"/>
          <w:lang w:val="fr-CA"/>
        </w:rPr>
        <w:t>p. </w:t>
      </w:r>
      <w:r w:rsidRPr="00BD3AAF">
        <w:rPr>
          <w:rFonts w:cs="Times New Roman"/>
          <w:lang w:val="fr-CA"/>
        </w:rPr>
        <w:t xml:space="preserve">229). Pour atteindre ces objectifs, le régime de la </w:t>
      </w:r>
      <w:r w:rsidRPr="00BD3AAF">
        <w:rPr>
          <w:rFonts w:cs="Times New Roman"/>
          <w:i/>
          <w:lang w:val="fr-CA"/>
        </w:rPr>
        <w:t>LIPR</w:t>
      </w:r>
      <w:r w:rsidRPr="00BD3AAF">
        <w:rPr>
          <w:rFonts w:cs="Times New Roman"/>
          <w:lang w:val="fr-CA"/>
        </w:rPr>
        <w:t xml:space="preserve"> confère aux commissaires de la Section de l</w:t>
      </w:r>
      <w:r>
        <w:rPr>
          <w:rFonts w:cs="Times New Roman"/>
          <w:lang w:val="fr-CA"/>
        </w:rPr>
        <w:t>’</w:t>
      </w:r>
      <w:r w:rsidRPr="00BD3AAF">
        <w:rPr>
          <w:rFonts w:cs="Times New Roman"/>
          <w:lang w:val="fr-CA"/>
        </w:rPr>
        <w:t>immigration le pouvoir de détenir des individus en raison du danger qu</w:t>
      </w:r>
      <w:r>
        <w:rPr>
          <w:rFonts w:cs="Times New Roman"/>
          <w:lang w:val="fr-CA"/>
        </w:rPr>
        <w:t>’</w:t>
      </w:r>
      <w:r w:rsidRPr="00BD3AAF">
        <w:rPr>
          <w:rFonts w:cs="Times New Roman"/>
          <w:lang w:val="fr-CA"/>
        </w:rPr>
        <w:t>ils constituent pour le public ou du fait qu</w:t>
      </w:r>
      <w:r>
        <w:rPr>
          <w:rFonts w:cs="Times New Roman"/>
          <w:lang w:val="fr-CA"/>
        </w:rPr>
        <w:t>’</w:t>
      </w:r>
      <w:r w:rsidRPr="00BD3AAF">
        <w:rPr>
          <w:rFonts w:cs="Times New Roman"/>
          <w:lang w:val="fr-CA"/>
        </w:rPr>
        <w:t xml:space="preserve">ils se soustrairont vraisemblablement à leur renvoi du Canada. </w:t>
      </w:r>
    </w:p>
    <w:p w:rsidR="00B233C0" w:rsidRPr="00BD3AAF" w:rsidRDefault="00B233C0" w:rsidP="00B233C0">
      <w:pPr>
        <w:pStyle w:val="ParaNoNdepar-AltN"/>
        <w:rPr>
          <w:rFonts w:cs="Times New Roman"/>
          <w:lang w:val="fr-CA"/>
        </w:rPr>
      </w:pPr>
      <w:r w:rsidRPr="00BD3AAF">
        <w:rPr>
          <w:rFonts w:cs="Times New Roman"/>
          <w:lang w:val="fr-CA"/>
        </w:rPr>
        <w:t>Lorsqu</w:t>
      </w:r>
      <w:r>
        <w:rPr>
          <w:rFonts w:cs="Times New Roman"/>
          <w:lang w:val="fr-CA"/>
        </w:rPr>
        <w:t>’</w:t>
      </w:r>
      <w:r w:rsidRPr="00BD3AAF">
        <w:rPr>
          <w:rFonts w:cs="Times New Roman"/>
          <w:lang w:val="fr-CA"/>
        </w:rPr>
        <w:t xml:space="preserve">elle décide de détenir ou de libérer un individu sous le régime de la </w:t>
      </w:r>
      <w:r w:rsidRPr="00BD3AAF">
        <w:rPr>
          <w:rFonts w:cs="Times New Roman"/>
          <w:i/>
          <w:lang w:val="fr-CA"/>
        </w:rPr>
        <w:t>LIPR</w:t>
      </w:r>
      <w:r w:rsidRPr="00BD3AAF">
        <w:rPr>
          <w:rFonts w:cs="Times New Roman"/>
          <w:lang w:val="fr-CA"/>
        </w:rPr>
        <w:t>, la Section de l</w:t>
      </w:r>
      <w:r>
        <w:rPr>
          <w:rFonts w:cs="Times New Roman"/>
          <w:lang w:val="fr-CA"/>
        </w:rPr>
        <w:t>’</w:t>
      </w:r>
      <w:r w:rsidRPr="00BD3AAF">
        <w:rPr>
          <w:rFonts w:cs="Times New Roman"/>
          <w:lang w:val="fr-CA"/>
        </w:rPr>
        <w:t xml:space="preserve">immigration </w:t>
      </w:r>
      <w:r w:rsidRPr="00BD3AAF">
        <w:rPr>
          <w:rFonts w:cs="Times New Roman"/>
          <w:i/>
          <w:lang w:val="fr-CA"/>
        </w:rPr>
        <w:t>doit</w:t>
      </w:r>
      <w:r w:rsidRPr="00BD3AAF">
        <w:rPr>
          <w:rFonts w:cs="Times New Roman"/>
          <w:lang w:val="fr-CA"/>
        </w:rPr>
        <w:t xml:space="preserve"> toujours exercer son pouvoir discrétionnaire en conformité avec la </w:t>
      </w:r>
      <w:r w:rsidRPr="00BD3AAF">
        <w:rPr>
          <w:rFonts w:cs="Times New Roman"/>
          <w:i/>
          <w:lang w:val="fr-CA"/>
        </w:rPr>
        <w:t>Charte</w:t>
      </w:r>
      <w:r w:rsidRPr="00BD3AAF">
        <w:rPr>
          <w:rFonts w:cs="Times New Roman"/>
          <w:lang w:val="fr-CA"/>
        </w:rPr>
        <w:t xml:space="preserve"> (voir </w:t>
      </w:r>
      <w:r w:rsidRPr="00BD3AAF">
        <w:rPr>
          <w:rFonts w:cs="Times New Roman"/>
          <w:i/>
          <w:lang w:val="fr-CA"/>
        </w:rPr>
        <w:t>LIPR</w:t>
      </w:r>
      <w:r w:rsidRPr="00BD3AAF">
        <w:rPr>
          <w:rFonts w:cs="Times New Roman"/>
          <w:lang w:val="fr-CA"/>
        </w:rPr>
        <w:t xml:space="preserve">, </w:t>
      </w:r>
      <w:r>
        <w:rPr>
          <w:rFonts w:cs="Times New Roman"/>
          <w:lang w:val="fr-CA"/>
        </w:rPr>
        <w:t>al. </w:t>
      </w:r>
      <w:r w:rsidRPr="00BD3AAF">
        <w:rPr>
          <w:rFonts w:cs="Times New Roman"/>
          <w:lang w:val="fr-CA"/>
        </w:rPr>
        <w:t>3(3)d)). Il existe une présomption légale pour la mise en liberté par la Section de l</w:t>
      </w:r>
      <w:r>
        <w:rPr>
          <w:rFonts w:cs="Times New Roman"/>
          <w:lang w:val="fr-CA"/>
        </w:rPr>
        <w:t>’</w:t>
      </w:r>
      <w:r w:rsidRPr="00BD3AAF">
        <w:rPr>
          <w:rFonts w:cs="Times New Roman"/>
          <w:lang w:val="fr-CA"/>
        </w:rPr>
        <w:t>immigration, qui « prononce la mise en liberté » du détenu, à moins qu</w:t>
      </w:r>
      <w:r>
        <w:rPr>
          <w:rFonts w:cs="Times New Roman"/>
          <w:lang w:val="fr-CA"/>
        </w:rPr>
        <w:t>’</w:t>
      </w:r>
      <w:r w:rsidRPr="00BD3AAF">
        <w:rPr>
          <w:rFonts w:cs="Times New Roman"/>
          <w:lang w:val="fr-CA"/>
        </w:rPr>
        <w:t>elle soit convaincue qu</w:t>
      </w:r>
      <w:r>
        <w:rPr>
          <w:rFonts w:cs="Times New Roman"/>
          <w:lang w:val="fr-CA"/>
        </w:rPr>
        <w:t>’</w:t>
      </w:r>
      <w:r w:rsidRPr="00BD3AAF">
        <w:rPr>
          <w:rFonts w:cs="Times New Roman"/>
          <w:lang w:val="fr-CA"/>
        </w:rPr>
        <w:t>il a été satisfait à au moins un des motifs énumérés à l</w:t>
      </w:r>
      <w:r>
        <w:rPr>
          <w:rFonts w:cs="Times New Roman"/>
          <w:lang w:val="fr-CA"/>
        </w:rPr>
        <w:t>’art. </w:t>
      </w:r>
      <w:r w:rsidRPr="00BD3AAF">
        <w:rPr>
          <w:rFonts w:cs="Times New Roman"/>
          <w:lang w:val="fr-CA"/>
        </w:rPr>
        <w:t xml:space="preserve">58 de la </w:t>
      </w:r>
      <w:r w:rsidRPr="00BD3AAF">
        <w:rPr>
          <w:rFonts w:cs="Times New Roman"/>
          <w:i/>
          <w:lang w:val="fr-CA"/>
        </w:rPr>
        <w:t>LIPR</w:t>
      </w:r>
      <w:r w:rsidRPr="00BD3AAF">
        <w:rPr>
          <w:rFonts w:cs="Times New Roman"/>
          <w:lang w:val="fr-CA"/>
        </w:rPr>
        <w:t>, compte tenu des facteurs énumérés à l</w:t>
      </w:r>
      <w:r>
        <w:rPr>
          <w:rFonts w:cs="Times New Roman"/>
          <w:lang w:val="fr-CA"/>
        </w:rPr>
        <w:t>’art. </w:t>
      </w:r>
      <w:r w:rsidRPr="00BD3AAF">
        <w:rPr>
          <w:rFonts w:cs="Times New Roman"/>
          <w:lang w:val="fr-CA"/>
        </w:rPr>
        <w:t xml:space="preserve">248 du </w:t>
      </w:r>
      <w:r w:rsidRPr="00BD3AAF">
        <w:rPr>
          <w:rFonts w:cs="Times New Roman"/>
          <w:i/>
          <w:lang w:val="fr-CA"/>
        </w:rPr>
        <w:t>Règlement</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Il importe de signaler que le contrôle prescrit par l</w:t>
      </w:r>
      <w:r>
        <w:rPr>
          <w:rFonts w:cs="Times New Roman"/>
          <w:lang w:val="fr-CA"/>
        </w:rPr>
        <w:t>’art. </w:t>
      </w:r>
      <w:r w:rsidRPr="00BD3AAF">
        <w:rPr>
          <w:rFonts w:cs="Times New Roman"/>
          <w:lang w:val="fr-CA"/>
        </w:rPr>
        <w:t>248 oblige la Section de l</w:t>
      </w:r>
      <w:r>
        <w:rPr>
          <w:rFonts w:cs="Times New Roman"/>
          <w:lang w:val="fr-CA"/>
        </w:rPr>
        <w:t>’</w:t>
      </w:r>
      <w:r w:rsidRPr="00BD3AAF">
        <w:rPr>
          <w:rFonts w:cs="Times New Roman"/>
          <w:lang w:val="fr-CA"/>
        </w:rPr>
        <w:t>immigration à se prononcer sur la légalité du maintien en détention de l</w:t>
      </w:r>
      <w:r>
        <w:rPr>
          <w:rFonts w:cs="Times New Roman"/>
          <w:lang w:val="fr-CA"/>
        </w:rPr>
        <w:t>’individu</w:t>
      </w:r>
      <w:r w:rsidRPr="00BD3AAF">
        <w:rPr>
          <w:rFonts w:cs="Times New Roman"/>
          <w:lang w:val="fr-CA"/>
        </w:rPr>
        <w:t xml:space="preserve"> sans lui imposer quelque fardeau de preuve que ce soit. Contrairement aux demandes d</w:t>
      </w:r>
      <w:r>
        <w:rPr>
          <w:rFonts w:cs="Times New Roman"/>
          <w:lang w:val="fr-CA"/>
        </w:rPr>
        <w:t>’</w:t>
      </w:r>
      <w:r w:rsidRPr="00BD3AAF">
        <w:rPr>
          <w:rFonts w:cs="Times New Roman"/>
          <w:i/>
          <w:lang w:val="fr-CA"/>
        </w:rPr>
        <w:t>habeas corpus</w:t>
      </w:r>
      <w:r w:rsidRPr="00BD3AAF">
        <w:rPr>
          <w:rFonts w:cs="Times New Roman"/>
          <w:lang w:val="fr-CA"/>
        </w:rPr>
        <w:t xml:space="preserve"> dans le cadre desquelles le détenu doit invoquer un motif légitime pour contester la légalité de sa détention, tout au long du processus établi par la </w:t>
      </w:r>
      <w:r w:rsidRPr="00BD3AAF">
        <w:rPr>
          <w:rFonts w:cs="Times New Roman"/>
          <w:i/>
          <w:lang w:val="fr-CA"/>
        </w:rPr>
        <w:t>LIPR</w:t>
      </w:r>
      <w:r w:rsidRPr="00BD3AAF">
        <w:rPr>
          <w:rFonts w:cs="Times New Roman"/>
          <w:lang w:val="fr-CA"/>
        </w:rPr>
        <w:t xml:space="preserve"> c</w:t>
      </w:r>
      <w:r>
        <w:rPr>
          <w:rFonts w:cs="Times New Roman"/>
          <w:lang w:val="fr-CA"/>
        </w:rPr>
        <w:t>’</w:t>
      </w:r>
      <w:r w:rsidRPr="00BD3AAF">
        <w:rPr>
          <w:rFonts w:cs="Times New Roman"/>
          <w:lang w:val="fr-CA"/>
        </w:rPr>
        <w:t>est au ministre qu</w:t>
      </w:r>
      <w:r>
        <w:rPr>
          <w:rFonts w:cs="Times New Roman"/>
          <w:lang w:val="fr-CA"/>
        </w:rPr>
        <w:t>’</w:t>
      </w:r>
      <w:r w:rsidRPr="00BD3AAF">
        <w:rPr>
          <w:rFonts w:cs="Times New Roman"/>
          <w:lang w:val="fr-CA"/>
        </w:rPr>
        <w:t>il incombe de justifier la détention de l</w:t>
      </w:r>
      <w:r>
        <w:rPr>
          <w:rFonts w:cs="Times New Roman"/>
          <w:lang w:val="fr-CA"/>
        </w:rPr>
        <w:t>’</w:t>
      </w:r>
      <w:r w:rsidRPr="00BD3AAF">
        <w:rPr>
          <w:rFonts w:cs="Times New Roman"/>
          <w:lang w:val="fr-CA"/>
        </w:rPr>
        <w:t>intéressé devant la Section de l</w:t>
      </w:r>
      <w:r>
        <w:rPr>
          <w:rFonts w:cs="Times New Roman"/>
          <w:lang w:val="fr-CA"/>
        </w:rPr>
        <w:t>’</w:t>
      </w:r>
      <w:r w:rsidRPr="00BD3AAF">
        <w:rPr>
          <w:rFonts w:cs="Times New Roman"/>
          <w:lang w:val="fr-CA"/>
        </w:rPr>
        <w:t>immigration. Le détenu n</w:t>
      </w:r>
      <w:r>
        <w:rPr>
          <w:rFonts w:cs="Times New Roman"/>
          <w:lang w:val="fr-CA"/>
        </w:rPr>
        <w:t>’</w:t>
      </w:r>
      <w:r w:rsidRPr="00BD3AAF">
        <w:rPr>
          <w:rFonts w:cs="Times New Roman"/>
          <w:lang w:val="fr-CA"/>
        </w:rPr>
        <w:t>a pas à produire d</w:t>
      </w:r>
      <w:r>
        <w:rPr>
          <w:rFonts w:cs="Times New Roman"/>
          <w:lang w:val="fr-CA"/>
        </w:rPr>
        <w:t>’</w:t>
      </w:r>
      <w:r w:rsidRPr="00BD3AAF">
        <w:rPr>
          <w:rFonts w:cs="Times New Roman"/>
          <w:lang w:val="fr-CA"/>
        </w:rPr>
        <w:t xml:space="preserve">éléments de preuve en ce qui concerne les facteurs énoncés aux </w:t>
      </w:r>
      <w:r>
        <w:rPr>
          <w:rFonts w:cs="Times New Roman"/>
          <w:lang w:val="fr-CA"/>
        </w:rPr>
        <w:t>art. </w:t>
      </w:r>
      <w:r w:rsidRPr="00BD3AAF">
        <w:rPr>
          <w:rFonts w:cs="Times New Roman"/>
          <w:lang w:val="fr-CA"/>
        </w:rPr>
        <w:t xml:space="preserve">58 de la </w:t>
      </w:r>
      <w:r w:rsidRPr="00BD3AAF">
        <w:rPr>
          <w:rFonts w:cs="Times New Roman"/>
          <w:i/>
          <w:lang w:val="fr-CA"/>
        </w:rPr>
        <w:t>LIPR</w:t>
      </w:r>
      <w:r w:rsidRPr="00BD3AAF">
        <w:rPr>
          <w:rFonts w:cs="Times New Roman"/>
          <w:lang w:val="fr-CA"/>
        </w:rPr>
        <w:t xml:space="preserve"> et 248 du </w:t>
      </w:r>
      <w:r w:rsidRPr="00BD3AAF">
        <w:rPr>
          <w:rFonts w:cs="Times New Roman"/>
          <w:i/>
          <w:lang w:val="fr-CA"/>
        </w:rPr>
        <w:t>Règlement</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Dans la mesure où elles ont conclu le contraire, la Cour d</w:t>
      </w:r>
      <w:r>
        <w:rPr>
          <w:rFonts w:cs="Times New Roman"/>
          <w:lang w:val="fr-CA"/>
        </w:rPr>
        <w:t>’</w:t>
      </w:r>
      <w:r w:rsidRPr="00BD3AAF">
        <w:rPr>
          <w:rFonts w:cs="Times New Roman"/>
          <w:lang w:val="fr-CA"/>
        </w:rPr>
        <w:t>appel fédérale, dans l</w:t>
      </w:r>
      <w:r>
        <w:rPr>
          <w:rFonts w:cs="Times New Roman"/>
          <w:lang w:val="fr-CA"/>
        </w:rPr>
        <w:t>’</w:t>
      </w:r>
      <w:r w:rsidRPr="00BD3AAF">
        <w:rPr>
          <w:rFonts w:cs="Times New Roman"/>
          <w:lang w:val="fr-CA"/>
        </w:rPr>
        <w:t xml:space="preserve">arrêt </w:t>
      </w:r>
      <w:r w:rsidRPr="00BD3AAF">
        <w:rPr>
          <w:rFonts w:cs="Times New Roman"/>
          <w:i/>
          <w:lang w:val="fr-CA"/>
        </w:rPr>
        <w:t>Canada (Ministre de la Citoyenneté et de l</w:t>
      </w:r>
      <w:r>
        <w:rPr>
          <w:rFonts w:cs="Times New Roman"/>
          <w:i/>
          <w:lang w:val="fr-CA"/>
        </w:rPr>
        <w:t>’</w:t>
      </w:r>
      <w:r w:rsidRPr="00BD3AAF">
        <w:rPr>
          <w:rFonts w:cs="Times New Roman"/>
          <w:i/>
          <w:lang w:val="fr-CA"/>
        </w:rPr>
        <w:t>Immigration) c. Thanabalasingham</w:t>
      </w:r>
      <w:r w:rsidRPr="00BD3AAF">
        <w:rPr>
          <w:rFonts w:cs="Times New Roman"/>
          <w:lang w:val="fr-CA"/>
        </w:rPr>
        <w:t>, [2004] 3 R.C.F. 572</w:t>
      </w:r>
      <w:r w:rsidR="00956A31">
        <w:rPr>
          <w:rFonts w:cs="Times New Roman"/>
          <w:lang w:val="fr-CA"/>
        </w:rPr>
        <w:t>,</w:t>
      </w:r>
      <w:r w:rsidRPr="00BD3AAF">
        <w:rPr>
          <w:rFonts w:cs="Times New Roman"/>
          <w:lang w:val="fr-CA"/>
        </w:rPr>
        <w:t xml:space="preserve"> et la Cour d</w:t>
      </w:r>
      <w:r>
        <w:rPr>
          <w:rFonts w:cs="Times New Roman"/>
          <w:lang w:val="fr-CA"/>
        </w:rPr>
        <w:t>’</w:t>
      </w:r>
      <w:r w:rsidRPr="00BD3AAF">
        <w:rPr>
          <w:rFonts w:cs="Times New Roman"/>
          <w:lang w:val="fr-CA"/>
        </w:rPr>
        <w:t>appel de l</w:t>
      </w:r>
      <w:r>
        <w:rPr>
          <w:rFonts w:cs="Times New Roman"/>
          <w:lang w:val="fr-CA"/>
        </w:rPr>
        <w:t>’</w:t>
      </w:r>
      <w:r w:rsidRPr="00BD3AAF">
        <w:rPr>
          <w:rFonts w:cs="Times New Roman"/>
          <w:lang w:val="fr-CA"/>
        </w:rPr>
        <w:t>Ontario, dans l</w:t>
      </w:r>
      <w:r>
        <w:rPr>
          <w:rFonts w:cs="Times New Roman"/>
          <w:lang w:val="fr-CA"/>
        </w:rPr>
        <w:t>’</w:t>
      </w:r>
      <w:r w:rsidRPr="00BD3AAF">
        <w:rPr>
          <w:rFonts w:cs="Times New Roman"/>
          <w:lang w:val="fr-CA"/>
        </w:rPr>
        <w:t xml:space="preserve">arrêt </w:t>
      </w:r>
      <w:r w:rsidRPr="00BD3AAF">
        <w:rPr>
          <w:rFonts w:cs="Times New Roman"/>
          <w:i/>
          <w:lang w:val="fr-CA"/>
        </w:rPr>
        <w:t>Chaudhary</w:t>
      </w:r>
      <w:r w:rsidRPr="00BD3AAF">
        <w:rPr>
          <w:rFonts w:cs="Times New Roman"/>
          <w:lang w:val="fr-CA"/>
        </w:rPr>
        <w:t>, ont, à mon avis, rendu des décisions erronées. De plus, la conclusion formulée par la Cour d</w:t>
      </w:r>
      <w:r>
        <w:rPr>
          <w:rFonts w:cs="Times New Roman"/>
          <w:lang w:val="fr-CA"/>
        </w:rPr>
        <w:t>’</w:t>
      </w:r>
      <w:r w:rsidRPr="00BD3AAF">
        <w:rPr>
          <w:rFonts w:cs="Times New Roman"/>
          <w:lang w:val="fr-CA"/>
        </w:rPr>
        <w:t>appel dans l</w:t>
      </w:r>
      <w:r>
        <w:rPr>
          <w:rFonts w:cs="Times New Roman"/>
          <w:lang w:val="fr-CA"/>
        </w:rPr>
        <w:t>’</w:t>
      </w:r>
      <w:r w:rsidRPr="00BD3AAF">
        <w:rPr>
          <w:rFonts w:cs="Times New Roman"/>
          <w:lang w:val="fr-CA"/>
        </w:rPr>
        <w:t xml:space="preserve">arrêt </w:t>
      </w:r>
      <w:r w:rsidRPr="00BD3AAF">
        <w:rPr>
          <w:rFonts w:cs="Times New Roman"/>
          <w:i/>
          <w:lang w:val="fr-CA"/>
        </w:rPr>
        <w:t>Chaudhary</w:t>
      </w:r>
      <w:r w:rsidRPr="00BD3AAF">
        <w:rPr>
          <w:rFonts w:cs="Times New Roman"/>
          <w:lang w:val="fr-CA"/>
        </w:rPr>
        <w:t xml:space="preserve"> — suivant laquelle le ministre peut se décharger du fardeau de la preuve qui lui incombe devant la Section de l</w:t>
      </w:r>
      <w:r>
        <w:rPr>
          <w:rFonts w:cs="Times New Roman"/>
          <w:lang w:val="fr-CA"/>
        </w:rPr>
        <w:t>’</w:t>
      </w:r>
      <w:r w:rsidRPr="00BD3AAF">
        <w:rPr>
          <w:rFonts w:cs="Times New Roman"/>
          <w:lang w:val="fr-CA"/>
        </w:rPr>
        <w:t>immigration [</w:t>
      </w:r>
      <w:r w:rsidRPr="00BD3AAF">
        <w:rPr>
          <w:rFonts w:cs="Times New Roman"/>
          <w:smallCaps/>
          <w:lang w:val="fr-CA"/>
        </w:rPr>
        <w:t>traduction</w:t>
      </w:r>
      <w:r w:rsidRPr="00BD3AAF">
        <w:rPr>
          <w:rFonts w:cs="Times New Roman"/>
          <w:lang w:val="fr-CA"/>
        </w:rPr>
        <w:t>] « en se contentant de reprendre les motifs exposés lors des contrôles antérieurs de la détention » (</w:t>
      </w:r>
      <w:r>
        <w:rPr>
          <w:rFonts w:cs="Times New Roman"/>
          <w:lang w:val="fr-CA"/>
        </w:rPr>
        <w:t>par. </w:t>
      </w:r>
      <w:r w:rsidRPr="00BD3AAF">
        <w:rPr>
          <w:rFonts w:cs="Times New Roman"/>
          <w:lang w:val="fr-CA"/>
        </w:rPr>
        <w:t>87) — est incompatible avec l</w:t>
      </w:r>
      <w:r>
        <w:rPr>
          <w:rFonts w:cs="Times New Roman"/>
          <w:lang w:val="fr-CA"/>
        </w:rPr>
        <w:t>’</w:t>
      </w:r>
      <w:r w:rsidRPr="00BD3AAF">
        <w:rPr>
          <w:rFonts w:cs="Times New Roman"/>
          <w:lang w:val="fr-CA"/>
        </w:rPr>
        <w:t>obligation de la Section de l</w:t>
      </w:r>
      <w:r>
        <w:rPr>
          <w:rFonts w:cs="Times New Roman"/>
          <w:lang w:val="fr-CA"/>
        </w:rPr>
        <w:t>’</w:t>
      </w:r>
      <w:r w:rsidRPr="00BD3AAF">
        <w:rPr>
          <w:rFonts w:cs="Times New Roman"/>
          <w:lang w:val="fr-CA"/>
        </w:rPr>
        <w:t>immigration de reprendre depuis le début le contrôle de la légalité de la détention à chaque contrôle. En effet, lors de chaque audience de la Section de l</w:t>
      </w:r>
      <w:r>
        <w:rPr>
          <w:rFonts w:cs="Times New Roman"/>
          <w:lang w:val="fr-CA"/>
        </w:rPr>
        <w:t>’</w:t>
      </w:r>
      <w:r w:rsidRPr="00BD3AAF">
        <w:rPr>
          <w:rFonts w:cs="Times New Roman"/>
          <w:lang w:val="fr-CA"/>
        </w:rPr>
        <w:t>immigration, le détenu a droit au même nouveau contrôle de la légalité de sa détention qu</w:t>
      </w:r>
      <w:r>
        <w:rPr>
          <w:rFonts w:cs="Times New Roman"/>
          <w:lang w:val="fr-CA"/>
        </w:rPr>
        <w:t>’</w:t>
      </w:r>
      <w:r w:rsidRPr="00BD3AAF">
        <w:rPr>
          <w:rFonts w:cs="Times New Roman"/>
          <w:lang w:val="fr-CA"/>
        </w:rPr>
        <w:t>à celui auquel il aurait droit dans le cadre d</w:t>
      </w:r>
      <w:r>
        <w:rPr>
          <w:rFonts w:cs="Times New Roman"/>
          <w:lang w:val="fr-CA"/>
        </w:rPr>
        <w:t>’</w:t>
      </w:r>
      <w:r w:rsidRPr="00BD3AAF">
        <w:rPr>
          <w:rFonts w:cs="Times New Roman"/>
          <w:lang w:val="fr-CA"/>
        </w:rPr>
        <w:t xml:space="preserve">un recours en </w:t>
      </w:r>
      <w:r w:rsidRPr="00BD3AAF">
        <w:rPr>
          <w:rFonts w:cs="Times New Roman"/>
          <w:i/>
          <w:lang w:val="fr-CA"/>
        </w:rPr>
        <w:t>habeas corpus</w:t>
      </w:r>
      <w:r w:rsidRPr="00BD3AAF">
        <w:rPr>
          <w:rFonts w:cs="Times New Roman"/>
          <w:lang w:val="fr-CA"/>
        </w:rPr>
        <w:t>. Dans un cas comme celui de M. Chhina, la Section de l</w:t>
      </w:r>
      <w:r>
        <w:rPr>
          <w:rFonts w:cs="Times New Roman"/>
          <w:lang w:val="fr-CA"/>
        </w:rPr>
        <w:t>’</w:t>
      </w:r>
      <w:r w:rsidRPr="00BD3AAF">
        <w:rPr>
          <w:rFonts w:cs="Times New Roman"/>
          <w:lang w:val="fr-CA"/>
        </w:rPr>
        <w:t xml:space="preserve">immigration doit toujours réévaluer les éléments de preuve antérieurs à la lumière des moyens fondés sur la </w:t>
      </w:r>
      <w:r w:rsidRPr="00BD3AAF">
        <w:rPr>
          <w:rFonts w:cs="Times New Roman"/>
          <w:i/>
          <w:lang w:val="fr-CA"/>
        </w:rPr>
        <w:t>Charte</w:t>
      </w:r>
      <w:r w:rsidRPr="00BD3AAF">
        <w:rPr>
          <w:rFonts w:cs="Times New Roman"/>
          <w:lang w:val="fr-CA"/>
        </w:rPr>
        <w:t xml:space="preserve"> qu</w:t>
      </w:r>
      <w:r>
        <w:rPr>
          <w:rFonts w:cs="Times New Roman"/>
          <w:lang w:val="fr-CA"/>
        </w:rPr>
        <w:t>’</w:t>
      </w:r>
      <w:r w:rsidRPr="00BD3AAF">
        <w:rPr>
          <w:rFonts w:cs="Times New Roman"/>
          <w:lang w:val="fr-CA"/>
        </w:rPr>
        <w:t>invoque le détenu.</w:t>
      </w:r>
    </w:p>
    <w:p w:rsidR="00B233C0" w:rsidRPr="00BD3AAF" w:rsidRDefault="00B233C0" w:rsidP="00B233C0">
      <w:pPr>
        <w:pStyle w:val="ParaNoNdepar-AltN"/>
        <w:rPr>
          <w:rFonts w:cs="Times New Roman"/>
          <w:lang w:val="fr-CA"/>
        </w:rPr>
      </w:pPr>
      <w:r w:rsidRPr="00BD3AAF">
        <w:rPr>
          <w:rFonts w:cs="Times New Roman"/>
          <w:lang w:val="fr-CA"/>
        </w:rPr>
        <w:t>Plus particulièrement, lorsque le détenu conteste sa détention au motif qu</w:t>
      </w:r>
      <w:r>
        <w:rPr>
          <w:rFonts w:cs="Times New Roman"/>
          <w:lang w:val="fr-CA"/>
        </w:rPr>
        <w:t>’</w:t>
      </w:r>
      <w:r w:rsidRPr="00BD3AAF">
        <w:rPr>
          <w:rFonts w:cs="Times New Roman"/>
          <w:lang w:val="fr-CA"/>
        </w:rPr>
        <w:t xml:space="preserve">elle contrevient à la </w:t>
      </w:r>
      <w:r w:rsidRPr="00BD3AAF">
        <w:rPr>
          <w:rFonts w:cs="Times New Roman"/>
          <w:i/>
          <w:lang w:val="fr-CA"/>
        </w:rPr>
        <w:t>Charte</w:t>
      </w:r>
      <w:r w:rsidRPr="00BD3AAF">
        <w:rPr>
          <w:rFonts w:cs="Times New Roman"/>
          <w:lang w:val="fr-CA"/>
        </w:rPr>
        <w:t>, le temps qui s</w:t>
      </w:r>
      <w:r>
        <w:rPr>
          <w:rFonts w:cs="Times New Roman"/>
          <w:lang w:val="fr-CA"/>
        </w:rPr>
        <w:t>’</w:t>
      </w:r>
      <w:r w:rsidRPr="00BD3AAF">
        <w:rPr>
          <w:rFonts w:cs="Times New Roman"/>
          <w:lang w:val="fr-CA"/>
        </w:rPr>
        <w:t>est écoulé entre le contrôle précédent et le contrôle en cours constitue un nouvel élément de preuve dont la Section de l</w:t>
      </w:r>
      <w:r>
        <w:rPr>
          <w:rFonts w:cs="Times New Roman"/>
          <w:lang w:val="fr-CA"/>
        </w:rPr>
        <w:t>’</w:t>
      </w:r>
      <w:r w:rsidRPr="00BD3AAF">
        <w:rPr>
          <w:rFonts w:cs="Times New Roman"/>
          <w:lang w:val="fr-CA"/>
        </w:rPr>
        <w:t xml:space="preserve">immigration doit tenir compte pour appliquer les </w:t>
      </w:r>
      <w:r>
        <w:rPr>
          <w:rFonts w:cs="Times New Roman"/>
          <w:lang w:val="fr-CA"/>
        </w:rPr>
        <w:t>art. </w:t>
      </w:r>
      <w:r w:rsidRPr="00BD3AAF">
        <w:rPr>
          <w:rFonts w:cs="Times New Roman"/>
          <w:lang w:val="fr-CA"/>
        </w:rPr>
        <w:t xml:space="preserve">58 de la </w:t>
      </w:r>
      <w:r w:rsidRPr="00BD3AAF">
        <w:rPr>
          <w:rFonts w:cs="Times New Roman"/>
          <w:i/>
          <w:lang w:val="fr-CA"/>
        </w:rPr>
        <w:t>LIPR</w:t>
      </w:r>
      <w:r w:rsidRPr="00BD3AAF">
        <w:rPr>
          <w:rFonts w:cs="Times New Roman"/>
          <w:lang w:val="fr-CA"/>
        </w:rPr>
        <w:t xml:space="preserve"> et 248 du </w:t>
      </w:r>
      <w:r w:rsidRPr="00BD3AAF">
        <w:rPr>
          <w:rFonts w:cs="Times New Roman"/>
          <w:i/>
          <w:lang w:val="fr-CA"/>
        </w:rPr>
        <w:t>Règlement</w:t>
      </w:r>
      <w:r w:rsidRPr="00BD3AAF">
        <w:rPr>
          <w:rFonts w:cs="Times New Roman"/>
          <w:lang w:val="fr-CA"/>
        </w:rPr>
        <w:t>. Le ministre ne peut pas se contenter d</w:t>
      </w:r>
      <w:r>
        <w:rPr>
          <w:rFonts w:cs="Times New Roman"/>
          <w:lang w:val="fr-CA"/>
        </w:rPr>
        <w:t>’</w:t>
      </w:r>
      <w:r w:rsidRPr="00BD3AAF">
        <w:rPr>
          <w:rFonts w:cs="Times New Roman"/>
          <w:lang w:val="fr-CA"/>
        </w:rPr>
        <w:t>invoquer les décisions antérieures de la Section de l</w:t>
      </w:r>
      <w:r>
        <w:rPr>
          <w:rFonts w:cs="Times New Roman"/>
          <w:lang w:val="fr-CA"/>
        </w:rPr>
        <w:t>’</w:t>
      </w:r>
      <w:r w:rsidRPr="00BD3AAF">
        <w:rPr>
          <w:rFonts w:cs="Times New Roman"/>
          <w:lang w:val="fr-CA"/>
        </w:rPr>
        <w:t>immigration pour convaincre celle</w:t>
      </w:r>
      <w:r>
        <w:rPr>
          <w:rFonts w:cs="Times New Roman"/>
          <w:lang w:val="fr-CA"/>
        </w:rPr>
        <w:noBreakHyphen/>
      </w:r>
      <w:r w:rsidRPr="00BD3AAF">
        <w:rPr>
          <w:rFonts w:cs="Times New Roman"/>
          <w:lang w:val="fr-CA"/>
        </w:rPr>
        <w:t>ci de l</w:t>
      </w:r>
      <w:r>
        <w:rPr>
          <w:rFonts w:cs="Times New Roman"/>
          <w:lang w:val="fr-CA"/>
        </w:rPr>
        <w:t>’</w:t>
      </w:r>
      <w:r w:rsidRPr="00BD3AAF">
        <w:rPr>
          <w:rFonts w:cs="Times New Roman"/>
          <w:lang w:val="fr-CA"/>
        </w:rPr>
        <w:t xml:space="preserve">existence des critères exigés dans le cadre du contrôle effectué en application des </w:t>
      </w:r>
      <w:r>
        <w:rPr>
          <w:rFonts w:cs="Times New Roman"/>
          <w:lang w:val="fr-CA"/>
        </w:rPr>
        <w:t>art. </w:t>
      </w:r>
      <w:r w:rsidRPr="00BD3AAF">
        <w:rPr>
          <w:rFonts w:cs="Times New Roman"/>
          <w:lang w:val="fr-CA"/>
        </w:rPr>
        <w:t>58 et 248. L</w:t>
      </w:r>
      <w:r>
        <w:rPr>
          <w:rFonts w:cs="Times New Roman"/>
          <w:lang w:val="fr-CA"/>
        </w:rPr>
        <w:t>’</w:t>
      </w:r>
      <w:r w:rsidRPr="00BD3AAF">
        <w:rPr>
          <w:rFonts w:cs="Times New Roman"/>
          <w:lang w:val="fr-CA"/>
        </w:rPr>
        <w:t xml:space="preserve">intégrité du processus prévu par la </w:t>
      </w:r>
      <w:r w:rsidRPr="00BD3AAF">
        <w:rPr>
          <w:rFonts w:cs="Times New Roman"/>
          <w:i/>
          <w:lang w:val="fr-CA"/>
        </w:rPr>
        <w:t>LIPR</w:t>
      </w:r>
      <w:r w:rsidRPr="00BD3AAF">
        <w:rPr>
          <w:rFonts w:cs="Times New Roman"/>
          <w:lang w:val="fr-CA"/>
        </w:rPr>
        <w:t xml:space="preserve"> dépend de la tenue d</w:t>
      </w:r>
      <w:r>
        <w:rPr>
          <w:rFonts w:cs="Times New Roman"/>
          <w:lang w:val="fr-CA"/>
        </w:rPr>
        <w:t>’</w:t>
      </w:r>
      <w:r w:rsidRPr="00BD3AAF">
        <w:rPr>
          <w:rFonts w:cs="Times New Roman"/>
          <w:lang w:val="fr-CA"/>
        </w:rPr>
        <w:t xml:space="preserve">un examen complet de la légalité de la détention, y compris de sa conformité avec la </w:t>
      </w:r>
      <w:r w:rsidRPr="00BD3AAF">
        <w:rPr>
          <w:rFonts w:cs="Times New Roman"/>
          <w:i/>
          <w:lang w:val="fr-CA"/>
        </w:rPr>
        <w:t>Charte</w:t>
      </w:r>
      <w:r w:rsidRPr="00BD3AAF">
        <w:rPr>
          <w:rFonts w:cs="Times New Roman"/>
          <w:lang w:val="fr-CA"/>
        </w:rPr>
        <w:t xml:space="preserve">, lors de chaque contrôle des motifs de la détention. </w:t>
      </w:r>
    </w:p>
    <w:p w:rsidR="00B233C0" w:rsidRPr="00BD3AAF" w:rsidRDefault="00B233C0" w:rsidP="00B233C0">
      <w:pPr>
        <w:pStyle w:val="ParaNoNdepar-AltN"/>
        <w:rPr>
          <w:rFonts w:cs="Times New Roman"/>
          <w:lang w:val="fr-CA"/>
        </w:rPr>
      </w:pPr>
      <w:r w:rsidRPr="00BD3AAF">
        <w:rPr>
          <w:rFonts w:cs="Times New Roman"/>
          <w:lang w:val="fr-CA"/>
        </w:rPr>
        <w:t xml:space="preserve">La </w:t>
      </w:r>
      <w:r w:rsidRPr="00BD3AAF">
        <w:rPr>
          <w:rFonts w:cs="Times New Roman"/>
          <w:i/>
          <w:lang w:val="fr-CA"/>
        </w:rPr>
        <w:t>Charte</w:t>
      </w:r>
      <w:r w:rsidRPr="00BD3AAF">
        <w:rPr>
          <w:rFonts w:cs="Times New Roman"/>
          <w:lang w:val="fr-CA"/>
        </w:rPr>
        <w:t xml:space="preserve"> à la fois encadre la façon dont sont rendues les décisions administratives discrétionnaires sous le régime de la </w:t>
      </w:r>
      <w:r w:rsidRPr="00BD3AAF">
        <w:rPr>
          <w:rFonts w:cs="Times New Roman"/>
          <w:i/>
          <w:lang w:val="fr-CA"/>
        </w:rPr>
        <w:t>LIPR</w:t>
      </w:r>
      <w:r w:rsidRPr="00BD3AAF">
        <w:rPr>
          <w:rFonts w:cs="Times New Roman"/>
          <w:lang w:val="fr-CA"/>
        </w:rPr>
        <w:t xml:space="preserve"> et propose des balises sur l</w:t>
      </w:r>
      <w:r>
        <w:rPr>
          <w:rFonts w:cs="Times New Roman"/>
          <w:lang w:val="fr-CA"/>
        </w:rPr>
        <w:t>’</w:t>
      </w:r>
      <w:r w:rsidRPr="00BD3AAF">
        <w:rPr>
          <w:rFonts w:cs="Times New Roman"/>
          <w:lang w:val="fr-CA"/>
        </w:rPr>
        <w:t>interprétation du régime lui</w:t>
      </w:r>
      <w:r>
        <w:rPr>
          <w:rFonts w:cs="Times New Roman"/>
          <w:lang w:val="fr-CA"/>
        </w:rPr>
        <w:noBreakHyphen/>
      </w:r>
      <w:r w:rsidRPr="00BD3AAF">
        <w:rPr>
          <w:rFonts w:cs="Times New Roman"/>
          <w:lang w:val="fr-CA"/>
        </w:rPr>
        <w:t xml:space="preserve">même. Le régime de la </w:t>
      </w:r>
      <w:r w:rsidRPr="00BD3AAF">
        <w:rPr>
          <w:rFonts w:cs="Times New Roman"/>
          <w:i/>
          <w:lang w:val="fr-CA"/>
        </w:rPr>
        <w:t>LIPR</w:t>
      </w:r>
      <w:r w:rsidRPr="00BD3AAF">
        <w:rPr>
          <w:rFonts w:cs="Times New Roman"/>
          <w:lang w:val="fr-CA"/>
        </w:rPr>
        <w:t xml:space="preserve"> doit par conséquent être interprété en harmonie avec les valeurs consacrées par la </w:t>
      </w:r>
      <w:r w:rsidRPr="00BD3AAF">
        <w:rPr>
          <w:rFonts w:cs="Times New Roman"/>
          <w:i/>
          <w:lang w:val="fr-CA"/>
        </w:rPr>
        <w:t xml:space="preserve">Charte </w:t>
      </w:r>
      <w:r w:rsidRPr="00BD3AAF">
        <w:rPr>
          <w:rFonts w:cs="Times New Roman"/>
          <w:lang w:val="fr-CA"/>
        </w:rPr>
        <w:t>qui définissent les paramètres de son application. Ainsi que les juges Iacobucci et Arbour l</w:t>
      </w:r>
      <w:r>
        <w:rPr>
          <w:rFonts w:cs="Times New Roman"/>
          <w:lang w:val="fr-CA"/>
        </w:rPr>
        <w:t>’</w:t>
      </w:r>
      <w:r w:rsidRPr="00BD3AAF">
        <w:rPr>
          <w:rFonts w:cs="Times New Roman"/>
          <w:lang w:val="fr-CA"/>
        </w:rPr>
        <w:t xml:space="preserve">ont déclaré dans la </w:t>
      </w:r>
      <w:r w:rsidRPr="00BD3AAF">
        <w:rPr>
          <w:rFonts w:cs="Times New Roman"/>
          <w:i/>
          <w:lang w:val="fr-CA"/>
        </w:rPr>
        <w:t>Demande fondée sur l</w:t>
      </w:r>
      <w:r>
        <w:rPr>
          <w:rFonts w:cs="Times New Roman"/>
          <w:i/>
          <w:lang w:val="fr-CA"/>
        </w:rPr>
        <w:t>’art. </w:t>
      </w:r>
      <w:r w:rsidRPr="00BD3AAF">
        <w:rPr>
          <w:rFonts w:cs="Times New Roman"/>
          <w:i/>
          <w:lang w:val="fr-CA"/>
        </w:rPr>
        <w:t>83.28 du Code criminel (Re)</w:t>
      </w:r>
      <w:r w:rsidRPr="00BD3AAF">
        <w:rPr>
          <w:rFonts w:cs="Times New Roman"/>
          <w:lang w:val="fr-CA"/>
        </w:rPr>
        <w:t>, [2004] 2 R.C.S. 248</w:t>
      </w:r>
      <w:r>
        <w:rPr>
          <w:rFonts w:cs="Times New Roman"/>
          <w:lang w:val="fr-CA"/>
        </w:rPr>
        <w:t> :</w:t>
      </w:r>
    </w:p>
    <w:p w:rsidR="00B233C0" w:rsidRPr="00BD3AAF" w:rsidRDefault="00B233C0" w:rsidP="00B233C0">
      <w:pPr>
        <w:pStyle w:val="Citation-AltC"/>
        <w:spacing w:after="240"/>
        <w:ind w:left="1168" w:hanging="1166"/>
        <w:contextualSpacing w:val="0"/>
        <w:rPr>
          <w:sz w:val="14"/>
          <w:szCs w:val="14"/>
          <w:lang w:val="fr-CA"/>
        </w:rPr>
      </w:pPr>
      <w:r w:rsidRPr="00BD3AAF">
        <w:rPr>
          <w:lang w:val="fr-CA"/>
        </w:rPr>
        <w:tab/>
        <w:t>L</w:t>
      </w:r>
      <w:r>
        <w:rPr>
          <w:lang w:val="fr-CA"/>
        </w:rPr>
        <w:t>’</w:t>
      </w:r>
      <w:r w:rsidRPr="00BD3AAF">
        <w:rPr>
          <w:lang w:val="fr-CA"/>
        </w:rPr>
        <w:t>approche contemporaine [en matière d</w:t>
      </w:r>
      <w:r>
        <w:rPr>
          <w:lang w:val="fr-CA"/>
        </w:rPr>
        <w:t>’</w:t>
      </w:r>
      <w:r w:rsidRPr="00BD3AAF">
        <w:rPr>
          <w:lang w:val="fr-CA"/>
        </w:rPr>
        <w:t>interprétation législative] tient compte de la nature diversifiée de l</w:t>
      </w:r>
      <w:r>
        <w:rPr>
          <w:lang w:val="fr-CA"/>
        </w:rPr>
        <w:t>’</w:t>
      </w:r>
      <w:r w:rsidRPr="00BD3AAF">
        <w:rPr>
          <w:lang w:val="fr-CA"/>
        </w:rPr>
        <w:t>interprétation législative. Les considérations relatives au texte doivent être interprétées de concert avec l</w:t>
      </w:r>
      <w:r>
        <w:rPr>
          <w:lang w:val="fr-CA"/>
        </w:rPr>
        <w:t>’</w:t>
      </w:r>
      <w:r w:rsidRPr="00BD3AAF">
        <w:rPr>
          <w:lang w:val="fr-CA"/>
        </w:rPr>
        <w:t>intention du législateur et les normes juridiques établies.</w:t>
      </w:r>
    </w:p>
    <w:p w:rsidR="00B233C0" w:rsidRPr="00BD3AAF" w:rsidRDefault="00B233C0" w:rsidP="00B233C0">
      <w:pPr>
        <w:pStyle w:val="Citation-AltC"/>
        <w:ind w:left="1168" w:hanging="1168"/>
        <w:contextualSpacing w:val="0"/>
        <w:rPr>
          <w:lang w:val="fr-CA"/>
        </w:rPr>
      </w:pPr>
      <w:r w:rsidRPr="00BD3AAF">
        <w:rPr>
          <w:lang w:val="fr-CA"/>
        </w:rPr>
        <w:tab/>
      </w:r>
      <w:r w:rsidR="00956A31">
        <w:rPr>
          <w:lang w:val="fr-CA"/>
        </w:rPr>
        <w:tab/>
      </w:r>
      <w:r w:rsidRPr="00BD3AAF">
        <w:rPr>
          <w:lang w:val="fr-CA"/>
        </w:rPr>
        <w:t xml:space="preserve">Cette approche est fondée sur la présomption que le texte législatif édicté respecte les normes constitutionnelles, y compris les droits et libertés consacrés par la </w:t>
      </w:r>
      <w:r w:rsidRPr="00BD3AAF">
        <w:rPr>
          <w:i/>
          <w:lang w:val="fr-CA"/>
        </w:rPr>
        <w:t>Charte</w:t>
      </w:r>
      <w:r w:rsidRPr="00BD3AAF">
        <w:rPr>
          <w:lang w:val="fr-CA"/>
        </w:rPr>
        <w:t xml:space="preserve"> [. . .]</w:t>
      </w:r>
      <w:r w:rsidRPr="00BD3AAF">
        <w:rPr>
          <w:i/>
          <w:iCs/>
          <w:lang w:val="fr-CA"/>
        </w:rPr>
        <w:t xml:space="preserve"> </w:t>
      </w:r>
      <w:r w:rsidRPr="00BD3AAF">
        <w:rPr>
          <w:lang w:val="fr-CA"/>
        </w:rPr>
        <w:t>Cette présomption reconnaît le rôle crucial des valeurs constitutionnelles dans le processus législatif et, de façon plus générale, dans la culture politique et juridique canadienne. [</w:t>
      </w:r>
      <w:r>
        <w:rPr>
          <w:lang w:val="fr-CA"/>
        </w:rPr>
        <w:t>par. </w:t>
      </w:r>
      <w:r w:rsidRPr="00BD3AAF">
        <w:rPr>
          <w:lang w:val="fr-CA"/>
        </w:rPr>
        <w:t>34</w:t>
      </w:r>
      <w:r>
        <w:rPr>
          <w:lang w:val="fr-CA"/>
        </w:rPr>
        <w:noBreakHyphen/>
      </w:r>
      <w:r w:rsidRPr="00BD3AAF">
        <w:rPr>
          <w:lang w:val="fr-CA"/>
        </w:rPr>
        <w:t>35]</w:t>
      </w:r>
    </w:p>
    <w:p w:rsidR="00B233C0" w:rsidRPr="00BD3AAF" w:rsidRDefault="00B233C0" w:rsidP="00B233C0">
      <w:pPr>
        <w:pStyle w:val="ParaNoNdepar-AltN"/>
        <w:rPr>
          <w:rFonts w:cs="Times New Roman"/>
          <w:lang w:val="fr-CA"/>
        </w:rPr>
      </w:pPr>
      <w:r w:rsidRPr="00BD3AAF">
        <w:rPr>
          <w:rFonts w:cs="Times New Roman"/>
          <w:lang w:val="fr-CA"/>
        </w:rPr>
        <w:t xml:space="preserve">Transposer les principes consacrés par la </w:t>
      </w:r>
      <w:r w:rsidRPr="00BD3AAF">
        <w:rPr>
          <w:rFonts w:cs="Times New Roman"/>
          <w:i/>
          <w:lang w:val="fr-CA"/>
        </w:rPr>
        <w:t>Charte</w:t>
      </w:r>
      <w:r w:rsidRPr="00BD3AAF">
        <w:rPr>
          <w:rFonts w:cs="Times New Roman"/>
          <w:lang w:val="fr-CA"/>
        </w:rPr>
        <w:t xml:space="preserve"> dans l</w:t>
      </w:r>
      <w:r>
        <w:rPr>
          <w:rFonts w:cs="Times New Roman"/>
          <w:lang w:val="fr-CA"/>
        </w:rPr>
        <w:t>’</w:t>
      </w:r>
      <w:r w:rsidRPr="00BD3AAF">
        <w:rPr>
          <w:rFonts w:cs="Times New Roman"/>
          <w:lang w:val="fr-CA"/>
        </w:rPr>
        <w:t xml:space="preserve">exercice des pouvoirs discrétionnaires administratifs prévus par la </w:t>
      </w:r>
      <w:r w:rsidRPr="00BD3AAF">
        <w:rPr>
          <w:rFonts w:cs="Times New Roman"/>
          <w:i/>
          <w:lang w:val="fr-CA"/>
        </w:rPr>
        <w:t>LIPR</w:t>
      </w:r>
      <w:r w:rsidRPr="00BD3AAF">
        <w:rPr>
          <w:rFonts w:cs="Times New Roman"/>
          <w:lang w:val="fr-CA"/>
        </w:rPr>
        <w:t xml:space="preserve"> oblige les commissaires de la Section de l</w:t>
      </w:r>
      <w:r>
        <w:rPr>
          <w:rFonts w:cs="Times New Roman"/>
          <w:lang w:val="fr-CA"/>
        </w:rPr>
        <w:t>’</w:t>
      </w:r>
      <w:r w:rsidRPr="00BD3AAF">
        <w:rPr>
          <w:rFonts w:cs="Times New Roman"/>
          <w:lang w:val="fr-CA"/>
        </w:rPr>
        <w:t>immigration à appliquer ce régime d</w:t>
      </w:r>
      <w:r>
        <w:rPr>
          <w:rFonts w:cs="Times New Roman"/>
          <w:lang w:val="fr-CA"/>
        </w:rPr>
        <w:t>’</w:t>
      </w:r>
      <w:r w:rsidRPr="00BD3AAF">
        <w:rPr>
          <w:rFonts w:cs="Times New Roman"/>
          <w:lang w:val="fr-CA"/>
        </w:rPr>
        <w:t>une manière au moins aussi rigoureuse et équitable que n</w:t>
      </w:r>
      <w:r>
        <w:rPr>
          <w:rFonts w:cs="Times New Roman"/>
          <w:lang w:val="fr-CA"/>
        </w:rPr>
        <w:t>’</w:t>
      </w:r>
      <w:r w:rsidRPr="00BD3AAF">
        <w:rPr>
          <w:rFonts w:cs="Times New Roman"/>
          <w:lang w:val="fr-CA"/>
        </w:rPr>
        <w:t>est appliqué le recours en</w:t>
      </w:r>
      <w:r w:rsidRPr="00BD3AAF">
        <w:rPr>
          <w:rFonts w:cs="Times New Roman"/>
          <w:i/>
          <w:lang w:val="fr-CA"/>
        </w:rPr>
        <w:t xml:space="preserve"> habeas corpus</w:t>
      </w:r>
      <w:r w:rsidRPr="00BD3AAF">
        <w:rPr>
          <w:rFonts w:cs="Times New Roman"/>
          <w:lang w:val="fr-CA"/>
        </w:rPr>
        <w:t>. Il ne suffit pas qu</w:t>
      </w:r>
      <w:r>
        <w:rPr>
          <w:rFonts w:cs="Times New Roman"/>
          <w:lang w:val="fr-CA"/>
        </w:rPr>
        <w:t>’</w:t>
      </w:r>
      <w:r w:rsidRPr="00BD3AAF">
        <w:rPr>
          <w:rFonts w:cs="Times New Roman"/>
          <w:lang w:val="fr-CA"/>
        </w:rPr>
        <w:t>un régime établi par une loi ait une portée au moins aussi large et soit aussi avantageuse en théorie que le recours en</w:t>
      </w:r>
      <w:r w:rsidRPr="00BD3AAF">
        <w:rPr>
          <w:rFonts w:cs="Times New Roman"/>
          <w:i/>
          <w:lang w:val="fr-CA"/>
        </w:rPr>
        <w:t xml:space="preserve"> habeas corpus</w:t>
      </w:r>
      <w:r w:rsidRPr="00BD3AAF">
        <w:rPr>
          <w:rFonts w:cs="Times New Roman"/>
          <w:lang w:val="fr-CA"/>
        </w:rPr>
        <w:t>; encore faut</w:t>
      </w:r>
      <w:r>
        <w:rPr>
          <w:rFonts w:cs="Times New Roman"/>
          <w:lang w:val="fr-CA"/>
        </w:rPr>
        <w:noBreakHyphen/>
      </w:r>
      <w:r w:rsidRPr="00BD3AAF">
        <w:rPr>
          <w:rFonts w:cs="Times New Roman"/>
          <w:lang w:val="fr-CA"/>
        </w:rPr>
        <w:t>il qu</w:t>
      </w:r>
      <w:r>
        <w:rPr>
          <w:rFonts w:cs="Times New Roman"/>
          <w:lang w:val="fr-CA"/>
        </w:rPr>
        <w:t>’</w:t>
      </w:r>
      <w:r w:rsidRPr="00BD3AAF">
        <w:rPr>
          <w:rFonts w:cs="Times New Roman"/>
          <w:lang w:val="fr-CA"/>
        </w:rPr>
        <w:t xml:space="preserve">on puisse </w:t>
      </w:r>
      <w:r w:rsidRPr="00BD3AAF">
        <w:rPr>
          <w:rFonts w:cs="Times New Roman"/>
          <w:i/>
          <w:lang w:val="fr-CA"/>
        </w:rPr>
        <w:t>appliquer</w:t>
      </w:r>
      <w:r w:rsidRPr="00BD3AAF">
        <w:rPr>
          <w:rFonts w:cs="Times New Roman"/>
          <w:lang w:val="fr-CA"/>
        </w:rPr>
        <w:t xml:space="preserve"> ce régime de manière à protéger les droits des détenus et l</w:t>
      </w:r>
      <w:r>
        <w:rPr>
          <w:rFonts w:cs="Times New Roman"/>
          <w:lang w:val="fr-CA"/>
        </w:rPr>
        <w:t>’</w:t>
      </w:r>
      <w:r w:rsidRPr="00BD3AAF">
        <w:rPr>
          <w:rFonts w:cs="Times New Roman"/>
          <w:lang w:val="fr-CA"/>
        </w:rPr>
        <w:t>intégrité du processus de la façon la plus exhaustive possible.</w:t>
      </w:r>
    </w:p>
    <w:p w:rsidR="00B233C0" w:rsidRPr="00BD3AAF" w:rsidRDefault="00B233C0" w:rsidP="00B233C0">
      <w:pPr>
        <w:pStyle w:val="ParaNoNdepar-AltN"/>
        <w:rPr>
          <w:rFonts w:cs="Times New Roman"/>
          <w:lang w:val="fr-CA"/>
        </w:rPr>
      </w:pPr>
      <w:r w:rsidRPr="00BD3AAF">
        <w:rPr>
          <w:rFonts w:cs="Times New Roman"/>
          <w:lang w:val="fr-CA"/>
        </w:rPr>
        <w:t>Il s</w:t>
      </w:r>
      <w:r>
        <w:rPr>
          <w:rFonts w:cs="Times New Roman"/>
          <w:lang w:val="fr-CA"/>
        </w:rPr>
        <w:t>’</w:t>
      </w:r>
      <w:r w:rsidRPr="00BD3AAF">
        <w:rPr>
          <w:rFonts w:cs="Times New Roman"/>
          <w:lang w:val="fr-CA"/>
        </w:rPr>
        <w:t xml:space="preserve">ensuit que, pour exercer les fonctions que leur confère le régime établi par la </w:t>
      </w:r>
      <w:r w:rsidRPr="00BD3AAF">
        <w:rPr>
          <w:rFonts w:cs="Times New Roman"/>
          <w:i/>
          <w:lang w:val="fr-CA"/>
        </w:rPr>
        <w:t>LIPR</w:t>
      </w:r>
      <w:r w:rsidRPr="00BD3AAF">
        <w:rPr>
          <w:rFonts w:cs="Times New Roman"/>
          <w:lang w:val="fr-CA"/>
        </w:rPr>
        <w:t>, les commissaires de la Section de l</w:t>
      </w:r>
      <w:r>
        <w:rPr>
          <w:rFonts w:cs="Times New Roman"/>
          <w:lang w:val="fr-CA"/>
        </w:rPr>
        <w:t>’</w:t>
      </w:r>
      <w:r w:rsidRPr="00BD3AAF">
        <w:rPr>
          <w:rFonts w:cs="Times New Roman"/>
          <w:lang w:val="fr-CA"/>
        </w:rPr>
        <w:t>immigration doivent veiller à ce que la détention aux fins de l</w:t>
      </w:r>
      <w:r>
        <w:rPr>
          <w:rFonts w:cs="Times New Roman"/>
          <w:lang w:val="fr-CA"/>
        </w:rPr>
        <w:t>’</w:t>
      </w:r>
      <w:r w:rsidRPr="00BD3AAF">
        <w:rPr>
          <w:rFonts w:cs="Times New Roman"/>
          <w:lang w:val="fr-CA"/>
        </w:rPr>
        <w:t>immigration fasse l</w:t>
      </w:r>
      <w:r>
        <w:rPr>
          <w:rFonts w:cs="Times New Roman"/>
          <w:lang w:val="fr-CA"/>
        </w:rPr>
        <w:t>’</w:t>
      </w:r>
      <w:r w:rsidRPr="00BD3AAF">
        <w:rPr>
          <w:rFonts w:cs="Times New Roman"/>
          <w:lang w:val="fr-CA"/>
        </w:rPr>
        <w:t>objet du contrôle le plus complet possible. Ceci comprend — et a toujours compris — l</w:t>
      </w:r>
      <w:r>
        <w:rPr>
          <w:rFonts w:cs="Times New Roman"/>
          <w:lang w:val="fr-CA"/>
        </w:rPr>
        <w:t>’</w:t>
      </w:r>
      <w:r w:rsidRPr="00BD3AAF">
        <w:rPr>
          <w:rFonts w:cs="Times New Roman"/>
          <w:lang w:val="fr-CA"/>
        </w:rPr>
        <w:t>obligation de mettre en balance les objets de la détention aux fins de l</w:t>
      </w:r>
      <w:r>
        <w:rPr>
          <w:rFonts w:cs="Times New Roman"/>
          <w:lang w:val="fr-CA"/>
        </w:rPr>
        <w:t>’</w:t>
      </w:r>
      <w:r w:rsidRPr="00BD3AAF">
        <w:rPr>
          <w:rFonts w:cs="Times New Roman"/>
          <w:lang w:val="fr-CA"/>
        </w:rPr>
        <w:t xml:space="preserve">immigration et les droits garantis aux détenus par les </w:t>
      </w:r>
      <w:r>
        <w:rPr>
          <w:rFonts w:cs="Times New Roman"/>
          <w:lang w:val="fr-CA"/>
        </w:rPr>
        <w:t>art. </w:t>
      </w:r>
      <w:r w:rsidRPr="00BD3AAF">
        <w:rPr>
          <w:rFonts w:cs="Times New Roman"/>
          <w:lang w:val="fr-CA"/>
        </w:rPr>
        <w:t xml:space="preserve">7, 9 et 12 de la </w:t>
      </w:r>
      <w:r w:rsidRPr="00BD3AAF">
        <w:rPr>
          <w:rFonts w:cs="Times New Roman"/>
          <w:i/>
          <w:lang w:val="fr-CA"/>
        </w:rPr>
        <w:t>Charte</w:t>
      </w:r>
      <w:r w:rsidRPr="00BD3AAF">
        <w:rPr>
          <w:rFonts w:cs="Times New Roman"/>
          <w:lang w:val="fr-CA"/>
        </w:rPr>
        <w:t>. Le contrôle de la légalité de la détention auquel procèdent les commissaires de la Section de l</w:t>
      </w:r>
      <w:r>
        <w:rPr>
          <w:rFonts w:cs="Times New Roman"/>
          <w:lang w:val="fr-CA"/>
        </w:rPr>
        <w:t>’</w:t>
      </w:r>
      <w:r w:rsidRPr="00BD3AAF">
        <w:rPr>
          <w:rFonts w:cs="Times New Roman"/>
          <w:lang w:val="fr-CA"/>
        </w:rPr>
        <w:t>immigration doit tenir compte du droit que reconnaît l</w:t>
      </w:r>
      <w:r>
        <w:rPr>
          <w:rFonts w:cs="Times New Roman"/>
          <w:lang w:val="fr-CA"/>
        </w:rPr>
        <w:t>’art. </w:t>
      </w:r>
      <w:r w:rsidRPr="00BD3AAF">
        <w:rPr>
          <w:rFonts w:cs="Times New Roman"/>
          <w:lang w:val="fr-CA"/>
        </w:rPr>
        <w:t xml:space="preserve">7 de la </w:t>
      </w:r>
      <w:r w:rsidRPr="00BD3AAF">
        <w:rPr>
          <w:rFonts w:cs="Times New Roman"/>
          <w:i/>
          <w:lang w:val="fr-CA"/>
        </w:rPr>
        <w:t xml:space="preserve">Charte </w:t>
      </w:r>
      <w:r w:rsidRPr="00BD3AAF">
        <w:rPr>
          <w:rFonts w:cs="Times New Roman"/>
          <w:lang w:val="fr-CA"/>
        </w:rPr>
        <w:t>au détenu de ne pas être privé de sa liberté, sauf en conformité avec les principes de justice fondamentale, de son droit garanti par l</w:t>
      </w:r>
      <w:r>
        <w:rPr>
          <w:rFonts w:cs="Times New Roman"/>
          <w:lang w:val="fr-CA"/>
        </w:rPr>
        <w:t>’art. </w:t>
      </w:r>
      <w:r w:rsidRPr="00BD3AAF">
        <w:rPr>
          <w:rFonts w:cs="Times New Roman"/>
          <w:lang w:val="fr-CA"/>
        </w:rPr>
        <w:t>9 de ne pas être détenu ou emprisonné arbitrairement et du droit que lui reconnaît l</w:t>
      </w:r>
      <w:r>
        <w:rPr>
          <w:rFonts w:cs="Times New Roman"/>
          <w:lang w:val="fr-CA"/>
        </w:rPr>
        <w:t>’art. </w:t>
      </w:r>
      <w:r w:rsidRPr="00BD3AAF">
        <w:rPr>
          <w:rFonts w:cs="Times New Roman"/>
          <w:lang w:val="fr-CA"/>
        </w:rPr>
        <w:t>12 de ne pas être soumis à des traitements ou à des peines cruelles et inusitées. Ainsi que le juge Rothstein l</w:t>
      </w:r>
      <w:r>
        <w:rPr>
          <w:rFonts w:cs="Times New Roman"/>
          <w:lang w:val="fr-CA"/>
        </w:rPr>
        <w:t>’</w:t>
      </w:r>
      <w:r w:rsidRPr="00BD3AAF">
        <w:rPr>
          <w:rFonts w:cs="Times New Roman"/>
          <w:lang w:val="fr-CA"/>
        </w:rPr>
        <w:t xml:space="preserve">a souligné dans le jugement </w:t>
      </w:r>
      <w:r w:rsidRPr="00BD3AAF">
        <w:rPr>
          <w:rFonts w:cs="Times New Roman"/>
          <w:i/>
          <w:lang w:val="fr-CA"/>
        </w:rPr>
        <w:t>Sahin</w:t>
      </w:r>
      <w:r w:rsidRPr="00BD3AAF">
        <w:rPr>
          <w:rFonts w:cs="Times New Roman"/>
          <w:lang w:val="fr-CA"/>
        </w:rPr>
        <w:t xml:space="preserve"> « l</w:t>
      </w:r>
      <w:r>
        <w:rPr>
          <w:rFonts w:cs="Times New Roman"/>
          <w:lang w:val="fr-CA"/>
        </w:rPr>
        <w:t>’</w:t>
      </w:r>
      <w:r w:rsidRPr="00BD3AAF">
        <w:rPr>
          <w:rFonts w:cs="Times New Roman"/>
          <w:lang w:val="fr-CA"/>
        </w:rPr>
        <w:t>arbitre ne tient pas cette compétence des termes de [la </w:t>
      </w:r>
      <w:r w:rsidRPr="00BD3AAF">
        <w:rPr>
          <w:rFonts w:cs="Times New Roman"/>
          <w:i/>
          <w:lang w:val="fr-CA"/>
        </w:rPr>
        <w:t>LIPR</w:t>
      </w:r>
      <w:r w:rsidRPr="00BD3AAF">
        <w:rPr>
          <w:rFonts w:cs="Times New Roman"/>
          <w:lang w:val="fr-CA"/>
        </w:rPr>
        <w:t>], mais de l</w:t>
      </w:r>
      <w:r>
        <w:rPr>
          <w:rFonts w:cs="Times New Roman"/>
          <w:lang w:val="fr-CA"/>
        </w:rPr>
        <w:t>’</w:t>
      </w:r>
      <w:r w:rsidRPr="00BD3AAF">
        <w:rPr>
          <w:rFonts w:cs="Times New Roman"/>
          <w:lang w:val="fr-CA"/>
        </w:rPr>
        <w:t xml:space="preserve">application des principes consacrés par la </w:t>
      </w:r>
      <w:r w:rsidRPr="001A77D9">
        <w:rPr>
          <w:rFonts w:cs="Times New Roman"/>
          <w:lang w:val="fr-CA"/>
        </w:rPr>
        <w:t>Charte</w:t>
      </w:r>
      <w:r w:rsidRPr="00BD3AAF">
        <w:rPr>
          <w:rFonts w:cs="Times New Roman"/>
          <w:lang w:val="fr-CA"/>
        </w:rPr>
        <w:t xml:space="preserve"> à l</w:t>
      </w:r>
      <w:r>
        <w:rPr>
          <w:rFonts w:cs="Times New Roman"/>
          <w:lang w:val="fr-CA"/>
        </w:rPr>
        <w:t>’</w:t>
      </w:r>
      <w:r w:rsidRPr="00BD3AAF">
        <w:rPr>
          <w:rFonts w:cs="Times New Roman"/>
          <w:lang w:val="fr-CA"/>
        </w:rPr>
        <w:t>exercice du pouvoir discrétionnaire prévu [par le régime] » (</w:t>
      </w:r>
      <w:r>
        <w:rPr>
          <w:rFonts w:cs="Times New Roman"/>
          <w:lang w:val="fr-CA"/>
        </w:rPr>
        <w:t>p. </w:t>
      </w:r>
      <w:r w:rsidRPr="00BD3AAF">
        <w:rPr>
          <w:rFonts w:cs="Times New Roman"/>
          <w:lang w:val="fr-CA"/>
        </w:rPr>
        <w:t>230).</w:t>
      </w:r>
    </w:p>
    <w:p w:rsidR="00B233C0" w:rsidRPr="00BD3AAF" w:rsidRDefault="00B233C0" w:rsidP="00B233C0">
      <w:pPr>
        <w:pStyle w:val="ParaNoNdepar-AltN"/>
        <w:rPr>
          <w:rFonts w:cs="Times New Roman"/>
          <w:lang w:val="fr-CA"/>
        </w:rPr>
      </w:pPr>
      <w:r w:rsidRPr="00BD3AAF">
        <w:rPr>
          <w:rFonts w:cs="Times New Roman"/>
          <w:lang w:val="fr-CA"/>
        </w:rPr>
        <w:t>À mon avis, cela comprend nécessairement la capacité de la Section de l</w:t>
      </w:r>
      <w:r>
        <w:rPr>
          <w:rFonts w:cs="Times New Roman"/>
          <w:lang w:val="fr-CA"/>
        </w:rPr>
        <w:t>’</w:t>
      </w:r>
      <w:r w:rsidRPr="00BD3AAF">
        <w:rPr>
          <w:rFonts w:cs="Times New Roman"/>
          <w:lang w:val="fr-CA"/>
        </w:rPr>
        <w:t xml:space="preserve">immigration de se pencher sur les conditions de détention. Une analyse exhaustive, fondée sur la </w:t>
      </w:r>
      <w:r w:rsidRPr="00BD3AAF">
        <w:rPr>
          <w:rFonts w:cs="Times New Roman"/>
          <w:i/>
          <w:lang w:val="fr-CA"/>
        </w:rPr>
        <w:t>Charte</w:t>
      </w:r>
      <w:r w:rsidRPr="00BD3AAF">
        <w:rPr>
          <w:rFonts w:cs="Times New Roman"/>
          <w:lang w:val="fr-CA"/>
        </w:rPr>
        <w:t>, de la détention aux fins de l</w:t>
      </w:r>
      <w:r>
        <w:rPr>
          <w:rFonts w:cs="Times New Roman"/>
          <w:lang w:val="fr-CA"/>
        </w:rPr>
        <w:t>’</w:t>
      </w:r>
      <w:r w:rsidRPr="00BD3AAF">
        <w:rPr>
          <w:rFonts w:cs="Times New Roman"/>
          <w:lang w:val="fr-CA"/>
        </w:rPr>
        <w:t xml:space="preserve">immigration peut révéler que la durée </w:t>
      </w:r>
      <w:r w:rsidRPr="00BD3AAF">
        <w:rPr>
          <w:rFonts w:cs="Times New Roman"/>
          <w:i/>
          <w:lang w:val="fr-CA"/>
        </w:rPr>
        <w:t>ou les</w:t>
      </w:r>
      <w:r w:rsidRPr="00BD3AAF">
        <w:rPr>
          <w:rFonts w:cs="Times New Roman"/>
          <w:lang w:val="fr-CA"/>
        </w:rPr>
        <w:t xml:space="preserve"> </w:t>
      </w:r>
      <w:r w:rsidRPr="00BD3AAF">
        <w:rPr>
          <w:rFonts w:cs="Times New Roman"/>
          <w:i/>
          <w:lang w:val="fr-CA"/>
        </w:rPr>
        <w:t xml:space="preserve">conditions </w:t>
      </w:r>
      <w:r w:rsidRPr="00BD3AAF">
        <w:rPr>
          <w:rFonts w:cs="Times New Roman"/>
          <w:lang w:val="fr-CA"/>
        </w:rPr>
        <w:t>de détention sont telles que le maintien en détention n</w:t>
      </w:r>
      <w:r>
        <w:rPr>
          <w:rFonts w:cs="Times New Roman"/>
          <w:lang w:val="fr-CA"/>
        </w:rPr>
        <w:t>’</w:t>
      </w:r>
      <w:r w:rsidRPr="00BD3AAF">
        <w:rPr>
          <w:rFonts w:cs="Times New Roman"/>
          <w:lang w:val="fr-CA"/>
        </w:rPr>
        <w:t>est pas conforme aux principes de justice naturelle (</w:t>
      </w:r>
      <w:r>
        <w:rPr>
          <w:rFonts w:cs="Times New Roman"/>
          <w:lang w:val="fr-CA"/>
        </w:rPr>
        <w:t>art. </w:t>
      </w:r>
      <w:r w:rsidRPr="00BD3AAF">
        <w:rPr>
          <w:rFonts w:cs="Times New Roman"/>
          <w:lang w:val="fr-CA"/>
        </w:rPr>
        <w:t>7), est arbitraire parce qu</w:t>
      </w:r>
      <w:r>
        <w:rPr>
          <w:rFonts w:cs="Times New Roman"/>
          <w:lang w:val="fr-CA"/>
        </w:rPr>
        <w:t>’</w:t>
      </w:r>
      <w:r w:rsidRPr="00BD3AAF">
        <w:rPr>
          <w:rFonts w:cs="Times New Roman"/>
          <w:lang w:val="fr-CA"/>
        </w:rPr>
        <w:t>elle ne permet pas la réalisation d</w:t>
      </w:r>
      <w:r>
        <w:rPr>
          <w:rFonts w:cs="Times New Roman"/>
          <w:lang w:val="fr-CA"/>
        </w:rPr>
        <w:t>’</w:t>
      </w:r>
      <w:r w:rsidRPr="00BD3AAF">
        <w:rPr>
          <w:rFonts w:cs="Times New Roman"/>
          <w:lang w:val="fr-CA"/>
        </w:rPr>
        <w:t>un objectif de l</w:t>
      </w:r>
      <w:r>
        <w:rPr>
          <w:rFonts w:cs="Times New Roman"/>
          <w:lang w:val="fr-CA"/>
        </w:rPr>
        <w:t>’</w:t>
      </w:r>
      <w:r w:rsidRPr="00BD3AAF">
        <w:rPr>
          <w:rFonts w:cs="Times New Roman"/>
          <w:lang w:val="fr-CA"/>
        </w:rPr>
        <w:t>État (</w:t>
      </w:r>
      <w:r>
        <w:rPr>
          <w:rFonts w:cs="Times New Roman"/>
          <w:lang w:val="fr-CA"/>
        </w:rPr>
        <w:t>art. </w:t>
      </w:r>
      <w:r w:rsidRPr="00BD3AAF">
        <w:rPr>
          <w:rFonts w:cs="Times New Roman"/>
          <w:lang w:val="fr-CA"/>
        </w:rPr>
        <w:t>9) ou constitue une peine cruelle et inusitée (</w:t>
      </w:r>
      <w:r>
        <w:rPr>
          <w:rFonts w:cs="Times New Roman"/>
          <w:lang w:val="fr-CA"/>
        </w:rPr>
        <w:t>art. </w:t>
      </w:r>
      <w:r w:rsidRPr="00BD3AAF">
        <w:rPr>
          <w:rFonts w:cs="Times New Roman"/>
          <w:lang w:val="fr-CA"/>
        </w:rPr>
        <w:t>12). L</w:t>
      </w:r>
      <w:r>
        <w:rPr>
          <w:rFonts w:cs="Times New Roman"/>
          <w:lang w:val="fr-CA"/>
        </w:rPr>
        <w:t>’</w:t>
      </w:r>
      <w:r w:rsidRPr="00BD3AAF">
        <w:rPr>
          <w:rFonts w:cs="Times New Roman"/>
          <w:lang w:val="fr-CA"/>
        </w:rPr>
        <w:t>application des art</w:t>
      </w:r>
      <w:r w:rsidR="00956A31">
        <w:rPr>
          <w:rFonts w:cs="Times New Roman"/>
          <w:lang w:val="fr-CA"/>
        </w:rPr>
        <w:t>.</w:t>
      </w:r>
      <w:r w:rsidRPr="00BD3AAF">
        <w:rPr>
          <w:rFonts w:cs="Times New Roman"/>
          <w:lang w:val="fr-CA"/>
        </w:rPr>
        <w:t xml:space="preserve"> 7, 9 et 12 de la </w:t>
      </w:r>
      <w:r w:rsidRPr="00BD3AAF">
        <w:rPr>
          <w:rFonts w:cs="Times New Roman"/>
          <w:i/>
          <w:lang w:val="fr-CA"/>
        </w:rPr>
        <w:t>Charte</w:t>
      </w:r>
      <w:r w:rsidRPr="00BD3AAF">
        <w:rPr>
          <w:rFonts w:cs="Times New Roman"/>
          <w:lang w:val="fr-CA"/>
        </w:rPr>
        <w:t xml:space="preserve"> au régime de la </w:t>
      </w:r>
      <w:r w:rsidRPr="00BD3AAF">
        <w:rPr>
          <w:rFonts w:cs="Times New Roman"/>
          <w:i/>
          <w:lang w:val="fr-CA"/>
        </w:rPr>
        <w:t>LIPR</w:t>
      </w:r>
      <w:r w:rsidRPr="00BD3AAF">
        <w:rPr>
          <w:rFonts w:cs="Times New Roman"/>
          <w:lang w:val="fr-CA"/>
        </w:rPr>
        <w:t xml:space="preserve"> fait ressortir l</w:t>
      </w:r>
      <w:r>
        <w:rPr>
          <w:rFonts w:cs="Times New Roman"/>
          <w:lang w:val="fr-CA"/>
        </w:rPr>
        <w:t>’</w:t>
      </w:r>
      <w:r w:rsidRPr="00BD3AAF">
        <w:rPr>
          <w:rFonts w:cs="Times New Roman"/>
          <w:lang w:val="fr-CA"/>
        </w:rPr>
        <w:t>obligation qu</w:t>
      </w:r>
      <w:r>
        <w:rPr>
          <w:rFonts w:cs="Times New Roman"/>
          <w:lang w:val="fr-CA"/>
        </w:rPr>
        <w:t>’</w:t>
      </w:r>
      <w:r w:rsidRPr="00BD3AAF">
        <w:rPr>
          <w:rFonts w:cs="Times New Roman"/>
          <w:lang w:val="fr-CA"/>
        </w:rPr>
        <w:t>a la Section de l</w:t>
      </w:r>
      <w:r>
        <w:rPr>
          <w:rFonts w:cs="Times New Roman"/>
          <w:lang w:val="fr-CA"/>
        </w:rPr>
        <w:t>’</w:t>
      </w:r>
      <w:r w:rsidRPr="00BD3AAF">
        <w:rPr>
          <w:rFonts w:cs="Times New Roman"/>
          <w:lang w:val="fr-CA"/>
        </w:rPr>
        <w:t>immigration d</w:t>
      </w:r>
      <w:r>
        <w:rPr>
          <w:rFonts w:cs="Times New Roman"/>
          <w:lang w:val="fr-CA"/>
        </w:rPr>
        <w:t>’</w:t>
      </w:r>
      <w:r w:rsidRPr="00BD3AAF">
        <w:rPr>
          <w:rFonts w:cs="Times New Roman"/>
          <w:lang w:val="fr-CA"/>
        </w:rPr>
        <w:t xml:space="preserve">évaluer la durée actuelle et future de la détention, ainsi que les </w:t>
      </w:r>
      <w:r w:rsidRPr="00BD3AAF">
        <w:rPr>
          <w:rFonts w:cs="Times New Roman"/>
          <w:i/>
          <w:lang w:val="fr-CA"/>
        </w:rPr>
        <w:t>conditions de celle</w:t>
      </w:r>
      <w:r>
        <w:rPr>
          <w:rFonts w:cs="Times New Roman"/>
          <w:i/>
          <w:lang w:val="fr-CA"/>
        </w:rPr>
        <w:noBreakHyphen/>
      </w:r>
      <w:r w:rsidRPr="00BD3AAF">
        <w:rPr>
          <w:rFonts w:cs="Times New Roman"/>
          <w:i/>
          <w:lang w:val="fr-CA"/>
        </w:rPr>
        <w:t>ci</w:t>
      </w:r>
      <w:r w:rsidRPr="00BD3AAF">
        <w:rPr>
          <w:rFonts w:cs="Times New Roman"/>
          <w:lang w:val="fr-CA"/>
        </w:rPr>
        <w:t xml:space="preserve"> lorsqu</w:t>
      </w:r>
      <w:r>
        <w:rPr>
          <w:rFonts w:cs="Times New Roman"/>
          <w:lang w:val="fr-CA"/>
        </w:rPr>
        <w:t>’</w:t>
      </w:r>
      <w:r w:rsidRPr="00BD3AAF">
        <w:rPr>
          <w:rFonts w:cs="Times New Roman"/>
          <w:lang w:val="fr-CA"/>
        </w:rPr>
        <w:t>elle met en balance les objectifs de l</w:t>
      </w:r>
      <w:r>
        <w:rPr>
          <w:rFonts w:cs="Times New Roman"/>
          <w:lang w:val="fr-CA"/>
        </w:rPr>
        <w:t>’</w:t>
      </w:r>
      <w:r w:rsidRPr="00BD3AAF">
        <w:rPr>
          <w:rFonts w:cs="Times New Roman"/>
          <w:lang w:val="fr-CA"/>
        </w:rPr>
        <w:t>État avec les droits individuels des détenus.</w:t>
      </w:r>
    </w:p>
    <w:p w:rsidR="00B233C0" w:rsidRPr="00BD3AAF" w:rsidRDefault="00B233C0" w:rsidP="00B233C0">
      <w:pPr>
        <w:pStyle w:val="ParaNoNdepar-AltN"/>
        <w:rPr>
          <w:rFonts w:cs="Times New Roman"/>
          <w:lang w:val="fr-CA"/>
        </w:rPr>
      </w:pPr>
      <w:r w:rsidRPr="00BD3AAF">
        <w:rPr>
          <w:rFonts w:cs="Times New Roman"/>
          <w:lang w:val="fr-CA"/>
        </w:rPr>
        <w:t xml:space="preserve">Le régime de la </w:t>
      </w:r>
      <w:r w:rsidRPr="00BD3AAF">
        <w:rPr>
          <w:rFonts w:cs="Times New Roman"/>
          <w:i/>
          <w:lang w:val="fr-CA"/>
        </w:rPr>
        <w:t>LIPR</w:t>
      </w:r>
      <w:r w:rsidRPr="00BD3AAF">
        <w:rPr>
          <w:rFonts w:cs="Times New Roman"/>
          <w:lang w:val="fr-CA"/>
        </w:rPr>
        <w:t xml:space="preserve"> assure donc la protection des autres droits garantis par la </w:t>
      </w:r>
      <w:r w:rsidRPr="00BD3AAF">
        <w:rPr>
          <w:rFonts w:cs="Times New Roman"/>
          <w:i/>
          <w:lang w:val="fr-CA"/>
        </w:rPr>
        <w:t>Charte</w:t>
      </w:r>
      <w:r w:rsidRPr="00BD3AAF">
        <w:rPr>
          <w:rFonts w:cs="Times New Roman"/>
          <w:lang w:val="fr-CA"/>
        </w:rPr>
        <w:t xml:space="preserve"> en prescrivant que la Section de l</w:t>
      </w:r>
      <w:r>
        <w:rPr>
          <w:rFonts w:cs="Times New Roman"/>
          <w:lang w:val="fr-CA"/>
        </w:rPr>
        <w:t>’</w:t>
      </w:r>
      <w:r w:rsidRPr="00BD3AAF">
        <w:rPr>
          <w:rFonts w:cs="Times New Roman"/>
          <w:lang w:val="fr-CA"/>
        </w:rPr>
        <w:t>immigration se demande si la détention est devenue illégale du fait de sa durée, de l</w:t>
      </w:r>
      <w:r>
        <w:rPr>
          <w:rFonts w:cs="Times New Roman"/>
          <w:lang w:val="fr-CA"/>
        </w:rPr>
        <w:t>’</w:t>
      </w:r>
      <w:r w:rsidRPr="00BD3AAF">
        <w:rPr>
          <w:rFonts w:cs="Times New Roman"/>
          <w:lang w:val="fr-CA"/>
        </w:rPr>
        <w:t>incertitude de sa durée ou de ses conditions. Il n</w:t>
      </w:r>
      <w:r>
        <w:rPr>
          <w:rFonts w:cs="Times New Roman"/>
          <w:lang w:val="fr-CA"/>
        </w:rPr>
        <w:t>’</w:t>
      </w:r>
      <w:r w:rsidRPr="00BD3AAF">
        <w:rPr>
          <w:rFonts w:cs="Times New Roman"/>
          <w:lang w:val="fr-CA"/>
        </w:rPr>
        <w:t>existe aucune raison de principe pour interpréter les dispositions relatives au contrôle de telle sorte qu</w:t>
      </w:r>
      <w:r>
        <w:rPr>
          <w:rFonts w:cs="Times New Roman"/>
          <w:lang w:val="fr-CA"/>
        </w:rPr>
        <w:t>’</w:t>
      </w:r>
      <w:r w:rsidRPr="00BD3AAF">
        <w:rPr>
          <w:rFonts w:cs="Times New Roman"/>
          <w:lang w:val="fr-CA"/>
        </w:rPr>
        <w:t>elles empêchent l</w:t>
      </w:r>
      <w:r>
        <w:rPr>
          <w:rFonts w:cs="Times New Roman"/>
          <w:lang w:val="fr-CA"/>
        </w:rPr>
        <w:t>’</w:t>
      </w:r>
      <w:r w:rsidRPr="00BD3AAF">
        <w:rPr>
          <w:rFonts w:cs="Times New Roman"/>
          <w:lang w:val="fr-CA"/>
        </w:rPr>
        <w:t>examen des conditions de la détention. Pourquoi appliquer une interprétation étroite et restrictive à une loi réparatrice lorsqu</w:t>
      </w:r>
      <w:r>
        <w:rPr>
          <w:rFonts w:cs="Times New Roman"/>
          <w:lang w:val="fr-CA"/>
        </w:rPr>
        <w:t>’</w:t>
      </w:r>
      <w:r w:rsidRPr="00BD3AAF">
        <w:rPr>
          <w:rFonts w:cs="Times New Roman"/>
          <w:lang w:val="fr-CA"/>
        </w:rPr>
        <w:t>une interprétation plus large et qui assure une plus grande protection est non seulement disponible, mais exigée par l</w:t>
      </w:r>
      <w:r>
        <w:rPr>
          <w:rFonts w:cs="Times New Roman"/>
          <w:lang w:val="fr-CA"/>
        </w:rPr>
        <w:t>’</w:t>
      </w:r>
      <w:r w:rsidRPr="00BD3AAF">
        <w:rPr>
          <w:rFonts w:cs="Times New Roman"/>
          <w:lang w:val="fr-CA"/>
        </w:rPr>
        <w:t>objet sous</w:t>
      </w:r>
      <w:r>
        <w:rPr>
          <w:rFonts w:cs="Times New Roman"/>
          <w:lang w:val="fr-CA"/>
        </w:rPr>
        <w:noBreakHyphen/>
      </w:r>
      <w:r w:rsidRPr="00BD3AAF">
        <w:rPr>
          <w:rFonts w:cs="Times New Roman"/>
          <w:lang w:val="fr-CA"/>
        </w:rPr>
        <w:t>jacent du régime? Comme les présents motifs visent à le clarifier, les facteurs énumérés à l</w:t>
      </w:r>
      <w:r>
        <w:rPr>
          <w:rFonts w:cs="Times New Roman"/>
          <w:lang w:val="fr-CA"/>
        </w:rPr>
        <w:t>’art. </w:t>
      </w:r>
      <w:r w:rsidRPr="00BD3AAF">
        <w:rPr>
          <w:rFonts w:cs="Times New Roman"/>
          <w:lang w:val="fr-CA"/>
        </w:rPr>
        <w:t>248 offrent des repères à la Section de l</w:t>
      </w:r>
      <w:r>
        <w:rPr>
          <w:rFonts w:cs="Times New Roman"/>
          <w:lang w:val="fr-CA"/>
        </w:rPr>
        <w:t>’</w:t>
      </w:r>
      <w:r w:rsidRPr="00BD3AAF">
        <w:rPr>
          <w:rFonts w:cs="Times New Roman"/>
          <w:lang w:val="fr-CA"/>
        </w:rPr>
        <w:t xml:space="preserve">immigration pour déterminer, selon les critères suivants, si le maintien en détention est justifié au regard de la </w:t>
      </w:r>
      <w:r w:rsidRPr="00BD3AAF">
        <w:rPr>
          <w:rFonts w:cs="Times New Roman"/>
          <w:i/>
          <w:lang w:val="fr-CA"/>
        </w:rPr>
        <w:t>Charte</w:t>
      </w:r>
      <w:r w:rsidRPr="00956A31">
        <w:rPr>
          <w:rFonts w:cs="Times New Roman"/>
          <w:lang w:val="fr-CA"/>
        </w:rPr>
        <w:t> :</w:t>
      </w:r>
      <w:r w:rsidRPr="00BD3AAF">
        <w:rPr>
          <w:rFonts w:cs="Times New Roman"/>
          <w:lang w:val="fr-CA"/>
        </w:rPr>
        <w:t xml:space="preserve"> </w:t>
      </w:r>
    </w:p>
    <w:p w:rsidR="00B233C0" w:rsidRPr="00BD3AAF" w:rsidRDefault="00F017B6" w:rsidP="00956A31">
      <w:pPr>
        <w:pStyle w:val="Citation-AltC"/>
        <w:tabs>
          <w:tab w:val="right" w:pos="3686"/>
        </w:tabs>
        <w:spacing w:after="480" w:line="480" w:lineRule="auto"/>
        <w:ind w:left="0"/>
        <w:contextualSpacing w:val="0"/>
        <w:rPr>
          <w:lang w:val="fr-CA"/>
        </w:rPr>
      </w:pPr>
      <w:r>
        <w:rPr>
          <w:lang w:val="fr-CA"/>
        </w:rPr>
        <w:t>a) </w:t>
      </w:r>
      <w:r w:rsidR="00B233C0" w:rsidRPr="00BD3AAF">
        <w:rPr>
          <w:lang w:val="fr-CA"/>
        </w:rPr>
        <w:t>le motif de la détention;</w:t>
      </w:r>
    </w:p>
    <w:p w:rsidR="00B233C0" w:rsidRPr="00BD3AAF" w:rsidRDefault="00F017B6" w:rsidP="00956A31">
      <w:pPr>
        <w:pStyle w:val="Citation-AltC"/>
        <w:tabs>
          <w:tab w:val="right" w:pos="3686"/>
        </w:tabs>
        <w:spacing w:after="480" w:line="480" w:lineRule="auto"/>
        <w:ind w:left="0"/>
        <w:contextualSpacing w:val="0"/>
        <w:rPr>
          <w:lang w:val="fr-CA"/>
        </w:rPr>
      </w:pPr>
      <w:r>
        <w:rPr>
          <w:lang w:val="fr-CA"/>
        </w:rPr>
        <w:t>b) </w:t>
      </w:r>
      <w:r w:rsidR="00B233C0" w:rsidRPr="00BD3AAF">
        <w:rPr>
          <w:lang w:val="fr-CA"/>
        </w:rPr>
        <w:t>la durée de la détention;</w:t>
      </w:r>
    </w:p>
    <w:p w:rsidR="00B233C0" w:rsidRPr="00BD3AAF" w:rsidRDefault="00F017B6" w:rsidP="00956A31">
      <w:pPr>
        <w:pStyle w:val="Citation-AltC"/>
        <w:tabs>
          <w:tab w:val="right" w:pos="3686"/>
        </w:tabs>
        <w:spacing w:after="480" w:line="480" w:lineRule="auto"/>
        <w:ind w:left="0"/>
        <w:contextualSpacing w:val="0"/>
        <w:rPr>
          <w:lang w:val="fr-CA"/>
        </w:rPr>
      </w:pPr>
      <w:r>
        <w:rPr>
          <w:lang w:val="fr-CA"/>
        </w:rPr>
        <w:t>c) </w:t>
      </w:r>
      <w:r w:rsidR="00B233C0" w:rsidRPr="00BD3AAF">
        <w:rPr>
          <w:lang w:val="fr-CA"/>
        </w:rPr>
        <w:t>les éléments permettant l</w:t>
      </w:r>
      <w:r w:rsidR="00B233C0">
        <w:rPr>
          <w:lang w:val="fr-CA"/>
        </w:rPr>
        <w:t>’</w:t>
      </w:r>
      <w:r w:rsidR="00B233C0" w:rsidRPr="00BD3AAF">
        <w:rPr>
          <w:lang w:val="fr-CA"/>
        </w:rPr>
        <w:t>évaluation de la durée probable de la détention;</w:t>
      </w:r>
    </w:p>
    <w:p w:rsidR="00B233C0" w:rsidRPr="00BD3AAF" w:rsidRDefault="00F017B6" w:rsidP="00956A31">
      <w:pPr>
        <w:pStyle w:val="Citation-AltC"/>
        <w:tabs>
          <w:tab w:val="right" w:pos="3686"/>
        </w:tabs>
        <w:spacing w:after="480" w:line="480" w:lineRule="auto"/>
        <w:ind w:left="0"/>
        <w:contextualSpacing w:val="0"/>
        <w:rPr>
          <w:lang w:val="fr-CA"/>
        </w:rPr>
      </w:pPr>
      <w:r>
        <w:rPr>
          <w:lang w:val="fr-CA"/>
        </w:rPr>
        <w:t>d) </w:t>
      </w:r>
      <w:r w:rsidR="00B233C0" w:rsidRPr="00BD3AAF">
        <w:rPr>
          <w:lang w:val="fr-CA"/>
        </w:rPr>
        <w:t>les retards ou le manque inexpliqué de diligence de la part du détenu ou du gouvernement;</w:t>
      </w:r>
    </w:p>
    <w:p w:rsidR="00B233C0" w:rsidRPr="00BD3AAF" w:rsidRDefault="00F017B6" w:rsidP="00956A31">
      <w:pPr>
        <w:pStyle w:val="Citation-AltC"/>
        <w:tabs>
          <w:tab w:val="right" w:pos="3686"/>
        </w:tabs>
        <w:spacing w:after="480" w:line="480" w:lineRule="auto"/>
        <w:ind w:left="0"/>
        <w:contextualSpacing w:val="0"/>
        <w:rPr>
          <w:lang w:val="fr-CA"/>
        </w:rPr>
      </w:pPr>
      <w:r>
        <w:rPr>
          <w:lang w:val="fr-CA"/>
        </w:rPr>
        <w:t>e) </w:t>
      </w:r>
      <w:r w:rsidR="00B233C0" w:rsidRPr="00BD3AAF">
        <w:rPr>
          <w:lang w:val="fr-CA"/>
        </w:rPr>
        <w:t>les solutions de rechange à la détention.</w:t>
      </w:r>
    </w:p>
    <w:p w:rsidR="00B233C0" w:rsidRPr="00BD3AAF" w:rsidRDefault="00B233C0" w:rsidP="00B233C0">
      <w:pPr>
        <w:pStyle w:val="ParaNoNdepar-AltN"/>
        <w:rPr>
          <w:rFonts w:cs="Times New Roman"/>
          <w:lang w:val="fr-CA"/>
        </w:rPr>
      </w:pPr>
      <w:r w:rsidRPr="00BD3AAF">
        <w:rPr>
          <w:rFonts w:cs="Times New Roman"/>
          <w:lang w:val="fr-CA"/>
        </w:rPr>
        <w:t>L</w:t>
      </w:r>
      <w:r>
        <w:rPr>
          <w:rFonts w:cs="Times New Roman"/>
          <w:lang w:val="fr-CA"/>
        </w:rPr>
        <w:t>’</w:t>
      </w:r>
      <w:r w:rsidRPr="00BD3AAF">
        <w:rPr>
          <w:rFonts w:cs="Times New Roman"/>
          <w:lang w:val="fr-CA"/>
        </w:rPr>
        <w:t>alinéa 248a) exige que la Section de l</w:t>
      </w:r>
      <w:r>
        <w:rPr>
          <w:rFonts w:cs="Times New Roman"/>
          <w:lang w:val="fr-CA"/>
        </w:rPr>
        <w:t>’</w:t>
      </w:r>
      <w:r w:rsidRPr="00BD3AAF">
        <w:rPr>
          <w:rFonts w:cs="Times New Roman"/>
          <w:lang w:val="fr-CA"/>
        </w:rPr>
        <w:t>immigration mette en balance les objectifs de l</w:t>
      </w:r>
      <w:r>
        <w:rPr>
          <w:rFonts w:cs="Times New Roman"/>
          <w:lang w:val="fr-CA"/>
        </w:rPr>
        <w:t>’</w:t>
      </w:r>
      <w:r w:rsidRPr="00BD3AAF">
        <w:rPr>
          <w:rFonts w:cs="Times New Roman"/>
          <w:lang w:val="fr-CA"/>
        </w:rPr>
        <w:t>État en matière d</w:t>
      </w:r>
      <w:r>
        <w:rPr>
          <w:rFonts w:cs="Times New Roman"/>
          <w:lang w:val="fr-CA"/>
        </w:rPr>
        <w:t>’</w:t>
      </w:r>
      <w:r w:rsidRPr="00BD3AAF">
        <w:rPr>
          <w:rFonts w:cs="Times New Roman"/>
          <w:lang w:val="fr-CA"/>
        </w:rPr>
        <w:t>immigration et le droit du détenu de ne pas être privé de façon arbitraire ou indéfinie de sa liberté. Comme dans le cas d</w:t>
      </w:r>
      <w:r>
        <w:rPr>
          <w:rFonts w:cs="Times New Roman"/>
          <w:lang w:val="fr-CA"/>
        </w:rPr>
        <w:t>’</w:t>
      </w:r>
      <w:r w:rsidRPr="00BD3AAF">
        <w:rPr>
          <w:rFonts w:cs="Times New Roman"/>
          <w:lang w:val="fr-CA"/>
        </w:rPr>
        <w:t xml:space="preserve">un recours en </w:t>
      </w:r>
      <w:r w:rsidRPr="00BD3AAF">
        <w:rPr>
          <w:rFonts w:cs="Times New Roman"/>
          <w:i/>
          <w:lang w:val="fr-CA"/>
        </w:rPr>
        <w:t>habeas corpus</w:t>
      </w:r>
      <w:r w:rsidRPr="00BD3AAF">
        <w:rPr>
          <w:rFonts w:cs="Times New Roman"/>
          <w:lang w:val="fr-CA"/>
        </w:rPr>
        <w:t xml:space="preserve"> dans le cadre duquel la conformité avec la </w:t>
      </w:r>
      <w:r w:rsidRPr="00BD3AAF">
        <w:rPr>
          <w:rFonts w:cs="Times New Roman"/>
          <w:i/>
          <w:lang w:val="fr-CA"/>
        </w:rPr>
        <w:t>Charte</w:t>
      </w:r>
      <w:r w:rsidRPr="00BD3AAF">
        <w:rPr>
          <w:rFonts w:cs="Times New Roman"/>
          <w:lang w:val="fr-CA"/>
        </w:rPr>
        <w:t xml:space="preserve"> est évaluée, la Section de l</w:t>
      </w:r>
      <w:r>
        <w:rPr>
          <w:rFonts w:cs="Times New Roman"/>
          <w:lang w:val="fr-CA"/>
        </w:rPr>
        <w:t>’</w:t>
      </w:r>
      <w:r w:rsidRPr="00BD3AAF">
        <w:rPr>
          <w:rFonts w:cs="Times New Roman"/>
          <w:lang w:val="fr-CA"/>
        </w:rPr>
        <w:t>immigration doit évaluer la solidité des motifs justifiant la détention. Une décision antérieure de la Section de l</w:t>
      </w:r>
      <w:r>
        <w:rPr>
          <w:rFonts w:cs="Times New Roman"/>
          <w:lang w:val="fr-CA"/>
        </w:rPr>
        <w:t>’</w:t>
      </w:r>
      <w:r w:rsidRPr="00BD3AAF">
        <w:rPr>
          <w:rFonts w:cs="Times New Roman"/>
          <w:lang w:val="fr-CA"/>
        </w:rPr>
        <w:t>immigration, reposant sur des faits, selon laquelle l</w:t>
      </w:r>
      <w:r>
        <w:rPr>
          <w:rFonts w:cs="Times New Roman"/>
          <w:lang w:val="fr-CA"/>
        </w:rPr>
        <w:t>’</w:t>
      </w:r>
      <w:r w:rsidRPr="00BD3AAF">
        <w:rPr>
          <w:rFonts w:cs="Times New Roman"/>
          <w:lang w:val="fr-CA"/>
        </w:rPr>
        <w:t>individu risque de s</w:t>
      </w:r>
      <w:r>
        <w:rPr>
          <w:rFonts w:cs="Times New Roman"/>
          <w:lang w:val="fr-CA"/>
        </w:rPr>
        <w:t>’</w:t>
      </w:r>
      <w:r w:rsidRPr="00BD3AAF">
        <w:rPr>
          <w:rFonts w:cs="Times New Roman"/>
          <w:lang w:val="fr-CA"/>
        </w:rPr>
        <w:t>évader ou constitue un danger pour le public appelle la retenue tant lors d</w:t>
      </w:r>
      <w:r>
        <w:rPr>
          <w:rFonts w:cs="Times New Roman"/>
          <w:lang w:val="fr-CA"/>
        </w:rPr>
        <w:t>’</w:t>
      </w:r>
      <w:r w:rsidRPr="00BD3AAF">
        <w:rPr>
          <w:rFonts w:cs="Times New Roman"/>
          <w:lang w:val="fr-CA"/>
        </w:rPr>
        <w:t xml:space="preserve">un contrôle effectué dans le cadre de la </w:t>
      </w:r>
      <w:r w:rsidRPr="00BD3AAF">
        <w:rPr>
          <w:rFonts w:cs="Times New Roman"/>
          <w:i/>
          <w:lang w:val="fr-CA"/>
        </w:rPr>
        <w:t>LIPR</w:t>
      </w:r>
      <w:r w:rsidRPr="00BD3AAF">
        <w:rPr>
          <w:rFonts w:cs="Times New Roman"/>
          <w:lang w:val="fr-CA"/>
        </w:rPr>
        <w:t xml:space="preserve"> que d</w:t>
      </w:r>
      <w:r>
        <w:rPr>
          <w:rFonts w:cs="Times New Roman"/>
          <w:lang w:val="fr-CA"/>
        </w:rPr>
        <w:t>’</w:t>
      </w:r>
      <w:r w:rsidRPr="00BD3AAF">
        <w:rPr>
          <w:rFonts w:cs="Times New Roman"/>
          <w:lang w:val="fr-CA"/>
        </w:rPr>
        <w:t xml:space="preserve">un recours en </w:t>
      </w:r>
      <w:r w:rsidRPr="00BD3AAF">
        <w:rPr>
          <w:rFonts w:cs="Times New Roman"/>
          <w:i/>
          <w:szCs w:val="24"/>
          <w:lang w:val="fr-CA"/>
        </w:rPr>
        <w:t>habeas corpus</w:t>
      </w:r>
      <w:r w:rsidRPr="00BD3AAF">
        <w:rPr>
          <w:rFonts w:cs="Times New Roman"/>
          <w:szCs w:val="24"/>
          <w:lang w:val="fr-CA"/>
        </w:rPr>
        <w:t xml:space="preserve"> (voir </w:t>
      </w:r>
      <w:r w:rsidRPr="00BD3AAF">
        <w:rPr>
          <w:rFonts w:cs="Times New Roman"/>
          <w:i/>
          <w:lang w:val="fr-CA"/>
        </w:rPr>
        <w:t>Thanabalasingham</w:t>
      </w:r>
      <w:r w:rsidRPr="00BD3AAF">
        <w:rPr>
          <w:rFonts w:cs="Times New Roman"/>
          <w:szCs w:val="24"/>
          <w:lang w:val="fr-CA"/>
        </w:rPr>
        <w:t xml:space="preserve">, </w:t>
      </w:r>
      <w:r>
        <w:rPr>
          <w:rFonts w:cs="Times New Roman"/>
          <w:szCs w:val="24"/>
          <w:lang w:val="fr-CA"/>
        </w:rPr>
        <w:t>par. </w:t>
      </w:r>
      <w:r w:rsidRPr="00BD3AAF">
        <w:rPr>
          <w:rFonts w:cs="Times New Roman"/>
          <w:szCs w:val="24"/>
          <w:lang w:val="fr-CA"/>
        </w:rPr>
        <w:t xml:space="preserve">10 (contrôle effectué dans le cadre de la </w:t>
      </w:r>
      <w:r w:rsidRPr="00BD3AAF">
        <w:rPr>
          <w:rFonts w:cs="Times New Roman"/>
          <w:i/>
          <w:lang w:val="fr-CA"/>
        </w:rPr>
        <w:t>LIPR</w:t>
      </w:r>
      <w:r w:rsidRPr="00BD3AAF">
        <w:rPr>
          <w:rFonts w:cs="Times New Roman"/>
          <w:szCs w:val="24"/>
          <w:lang w:val="fr-CA"/>
        </w:rPr>
        <w:t xml:space="preserve">) et </w:t>
      </w:r>
      <w:r w:rsidRPr="00BD3AAF">
        <w:rPr>
          <w:rFonts w:cs="Times New Roman"/>
          <w:i/>
          <w:szCs w:val="24"/>
          <w:lang w:val="fr-CA"/>
        </w:rPr>
        <w:t>Brown c. Canada (Public Safety)</w:t>
      </w:r>
      <w:r w:rsidRPr="00BD3AAF">
        <w:rPr>
          <w:rFonts w:cs="Times New Roman"/>
          <w:szCs w:val="24"/>
          <w:lang w:val="fr-CA"/>
        </w:rPr>
        <w:t xml:space="preserve"> (2018), 420 D.L.R. (4th) 124 (C.A. Ont.), </w:t>
      </w:r>
      <w:r>
        <w:rPr>
          <w:rFonts w:cs="Times New Roman"/>
          <w:szCs w:val="24"/>
          <w:lang w:val="fr-CA"/>
        </w:rPr>
        <w:t>par. </w:t>
      </w:r>
      <w:r w:rsidRPr="00BD3AAF">
        <w:rPr>
          <w:rFonts w:cs="Times New Roman"/>
          <w:szCs w:val="24"/>
          <w:lang w:val="fr-CA"/>
        </w:rPr>
        <w:t>29 (contrôle effectué dans le cadre d</w:t>
      </w:r>
      <w:r>
        <w:rPr>
          <w:rFonts w:cs="Times New Roman"/>
          <w:szCs w:val="24"/>
          <w:lang w:val="fr-CA"/>
        </w:rPr>
        <w:t>’</w:t>
      </w:r>
      <w:r w:rsidRPr="00BD3AAF">
        <w:rPr>
          <w:rFonts w:cs="Times New Roman"/>
          <w:szCs w:val="24"/>
          <w:lang w:val="fr-CA"/>
        </w:rPr>
        <w:t>une demande d</w:t>
      </w:r>
      <w:r>
        <w:rPr>
          <w:rFonts w:cs="Times New Roman"/>
          <w:szCs w:val="24"/>
          <w:lang w:val="fr-CA"/>
        </w:rPr>
        <w:t>’</w:t>
      </w:r>
      <w:r w:rsidRPr="00BD3AAF">
        <w:rPr>
          <w:rFonts w:cs="Times New Roman"/>
          <w:i/>
          <w:szCs w:val="24"/>
          <w:lang w:val="fr-CA"/>
        </w:rPr>
        <w:t>habeas corpus</w:t>
      </w:r>
      <w:r w:rsidRPr="00BD3AAF">
        <w:rPr>
          <w:rFonts w:cs="Times New Roman"/>
          <w:szCs w:val="24"/>
          <w:lang w:val="fr-CA"/>
        </w:rPr>
        <w:t xml:space="preserve">)). Plus grand est le risque pour le public, plus solides sont les motifs justifiant le maintien en détention </w:t>
      </w:r>
      <w:r w:rsidRPr="00BD3AAF">
        <w:rPr>
          <w:rFonts w:cs="Times New Roman"/>
          <w:lang w:val="fr-CA"/>
        </w:rPr>
        <w:t>(</w:t>
      </w:r>
      <w:r w:rsidRPr="00BD3AAF">
        <w:rPr>
          <w:rFonts w:cs="Times New Roman"/>
          <w:i/>
          <w:lang w:val="fr-CA"/>
        </w:rPr>
        <w:t>Sahin</w:t>
      </w:r>
      <w:r w:rsidRPr="00BD3AAF">
        <w:rPr>
          <w:rFonts w:cs="Times New Roman"/>
          <w:lang w:val="fr-CA"/>
        </w:rPr>
        <w:t xml:space="preserve">, </w:t>
      </w:r>
      <w:r>
        <w:rPr>
          <w:rFonts w:cs="Times New Roman"/>
          <w:lang w:val="fr-CA"/>
        </w:rPr>
        <w:t>p. </w:t>
      </w:r>
      <w:r w:rsidRPr="00BD3AAF">
        <w:rPr>
          <w:rFonts w:cs="Times New Roman"/>
          <w:lang w:val="fr-CA"/>
        </w:rPr>
        <w:t xml:space="preserve">231 (contrôle effectué dans le cadre de la </w:t>
      </w:r>
      <w:r w:rsidRPr="00BD3AAF">
        <w:rPr>
          <w:rFonts w:cs="Times New Roman"/>
          <w:i/>
          <w:lang w:val="fr-CA"/>
        </w:rPr>
        <w:t>LIPR</w:t>
      </w:r>
      <w:r w:rsidRPr="00BD3AAF">
        <w:rPr>
          <w:rFonts w:cs="Times New Roman"/>
          <w:lang w:val="fr-CA"/>
        </w:rPr>
        <w:t xml:space="preserve">); </w:t>
      </w:r>
      <w:r w:rsidRPr="00BD3AAF">
        <w:rPr>
          <w:rFonts w:cs="Times New Roman"/>
          <w:i/>
          <w:lang w:val="fr-CA"/>
        </w:rPr>
        <w:t>Ali c. Canada (Minister of Public and</w:t>
      </w:r>
      <w:r>
        <w:rPr>
          <w:rFonts w:cs="Times New Roman"/>
          <w:i/>
          <w:lang w:val="fr-CA"/>
        </w:rPr>
        <w:t xml:space="preserve"> </w:t>
      </w:r>
      <w:r w:rsidRPr="00BD3AAF">
        <w:rPr>
          <w:rFonts w:cs="Times New Roman"/>
          <w:i/>
          <w:lang w:val="fr-CA"/>
        </w:rPr>
        <w:t>Emergency Preparedness)</w:t>
      </w:r>
      <w:r w:rsidRPr="00BD3AAF">
        <w:rPr>
          <w:rFonts w:cs="Times New Roman"/>
          <w:lang w:val="fr-CA"/>
        </w:rPr>
        <w:t xml:space="preserve"> (2017), 137 O.R. (3d) 498 (C.A.), </w:t>
      </w:r>
      <w:r>
        <w:rPr>
          <w:rFonts w:cs="Times New Roman"/>
          <w:lang w:val="fr-CA"/>
        </w:rPr>
        <w:t>par. </w:t>
      </w:r>
      <w:r w:rsidRPr="00BD3AAF">
        <w:rPr>
          <w:rFonts w:cs="Times New Roman"/>
          <w:lang w:val="fr-CA"/>
        </w:rPr>
        <w:t>24 (</w:t>
      </w:r>
      <w:r w:rsidRPr="00BD3AAF">
        <w:rPr>
          <w:rFonts w:cs="Times New Roman"/>
          <w:szCs w:val="24"/>
          <w:lang w:val="fr-CA"/>
        </w:rPr>
        <w:t>contrôle effectué dans le cadre d</w:t>
      </w:r>
      <w:r>
        <w:rPr>
          <w:rFonts w:cs="Times New Roman"/>
          <w:szCs w:val="24"/>
          <w:lang w:val="fr-CA"/>
        </w:rPr>
        <w:t>’</w:t>
      </w:r>
      <w:r w:rsidRPr="00BD3AAF">
        <w:rPr>
          <w:rFonts w:cs="Times New Roman"/>
          <w:szCs w:val="24"/>
          <w:lang w:val="fr-CA"/>
        </w:rPr>
        <w:t>une demande d</w:t>
      </w:r>
      <w:r>
        <w:rPr>
          <w:rFonts w:cs="Times New Roman"/>
          <w:szCs w:val="24"/>
          <w:lang w:val="fr-CA"/>
        </w:rPr>
        <w:t>’</w:t>
      </w:r>
      <w:r w:rsidRPr="00BD3AAF">
        <w:rPr>
          <w:rFonts w:cs="Times New Roman"/>
          <w:i/>
          <w:szCs w:val="24"/>
          <w:lang w:val="fr-CA"/>
        </w:rPr>
        <w:t>habeas corpus</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S</w:t>
      </w:r>
      <w:r>
        <w:rPr>
          <w:rFonts w:cs="Times New Roman"/>
          <w:lang w:val="fr-CA"/>
        </w:rPr>
        <w:t>’</w:t>
      </w:r>
      <w:r w:rsidRPr="00BD3AAF">
        <w:rPr>
          <w:rFonts w:cs="Times New Roman"/>
          <w:lang w:val="fr-CA"/>
        </w:rPr>
        <w:t>agissant de l</w:t>
      </w:r>
      <w:r>
        <w:rPr>
          <w:rFonts w:cs="Times New Roman"/>
          <w:lang w:val="fr-CA"/>
        </w:rPr>
        <w:t>’</w:t>
      </w:r>
      <w:r w:rsidRPr="00BD3AAF">
        <w:rPr>
          <w:rFonts w:cs="Times New Roman"/>
          <w:lang w:val="fr-CA"/>
        </w:rPr>
        <w:t>al</w:t>
      </w:r>
      <w:r w:rsidR="00F017B6">
        <w:rPr>
          <w:rFonts w:cs="Times New Roman"/>
          <w:lang w:val="fr-CA"/>
        </w:rPr>
        <w:t>.</w:t>
      </w:r>
      <w:r w:rsidRPr="00BD3AAF">
        <w:rPr>
          <w:rFonts w:cs="Times New Roman"/>
          <w:lang w:val="fr-CA"/>
        </w:rPr>
        <w:t> 248b), la force des motifs justifiant le maintien en détention faiblit au fur et à mesure que la durée de la détention se prolonge. Un facteur qui doit « peser lourd » dans la balance lorsque la Section de l</w:t>
      </w:r>
      <w:r>
        <w:rPr>
          <w:rFonts w:cs="Times New Roman"/>
          <w:lang w:val="fr-CA"/>
        </w:rPr>
        <w:t>’</w:t>
      </w:r>
      <w:r w:rsidRPr="00BD3AAF">
        <w:rPr>
          <w:rFonts w:cs="Times New Roman"/>
          <w:lang w:val="fr-CA"/>
        </w:rPr>
        <w:t xml:space="preserve">immigration se prononce sur le maintien en détention est la durée de la détention (voir </w:t>
      </w:r>
      <w:r w:rsidRPr="00BD3AAF">
        <w:rPr>
          <w:rFonts w:cs="Times New Roman"/>
          <w:i/>
          <w:lang w:val="fr-CA"/>
        </w:rPr>
        <w:t>Sahin</w:t>
      </w:r>
      <w:r w:rsidRPr="00BD3AAF">
        <w:rPr>
          <w:rFonts w:cs="Times New Roman"/>
          <w:lang w:val="fr-CA"/>
        </w:rPr>
        <w:t xml:space="preserve">, </w:t>
      </w:r>
      <w:r>
        <w:rPr>
          <w:rFonts w:cs="Times New Roman"/>
          <w:lang w:val="fr-CA"/>
        </w:rPr>
        <w:t>p. </w:t>
      </w:r>
      <w:r w:rsidRPr="00BD3AAF">
        <w:rPr>
          <w:rFonts w:cs="Times New Roman"/>
          <w:lang w:val="fr-CA"/>
        </w:rPr>
        <w:t>231</w:t>
      </w:r>
      <w:r>
        <w:rPr>
          <w:rFonts w:cs="Times New Roman"/>
          <w:lang w:val="fr-CA"/>
        </w:rPr>
        <w:noBreakHyphen/>
      </w:r>
      <w:r w:rsidRPr="00BD3AAF">
        <w:rPr>
          <w:rFonts w:cs="Times New Roman"/>
          <w:lang w:val="fr-CA"/>
        </w:rPr>
        <w:t>232). La solidité de l</w:t>
      </w:r>
      <w:r>
        <w:rPr>
          <w:rFonts w:cs="Times New Roman"/>
          <w:lang w:val="fr-CA"/>
        </w:rPr>
        <w:t>’</w:t>
      </w:r>
      <w:r w:rsidRPr="00BD3AAF">
        <w:rPr>
          <w:rFonts w:cs="Times New Roman"/>
          <w:lang w:val="fr-CA"/>
        </w:rPr>
        <w:t>argument de l</w:t>
      </w:r>
      <w:r>
        <w:rPr>
          <w:rFonts w:cs="Times New Roman"/>
          <w:lang w:val="fr-CA"/>
        </w:rPr>
        <w:t>’</w:t>
      </w:r>
      <w:r w:rsidRPr="00BD3AAF">
        <w:rPr>
          <w:rFonts w:cs="Times New Roman"/>
          <w:lang w:val="fr-CA"/>
        </w:rPr>
        <w:t>individu détenu aux fins de l</w:t>
      </w:r>
      <w:r>
        <w:rPr>
          <w:rFonts w:cs="Times New Roman"/>
          <w:lang w:val="fr-CA"/>
        </w:rPr>
        <w:t>’</w:t>
      </w:r>
      <w:r w:rsidRPr="00BD3AAF">
        <w:rPr>
          <w:rFonts w:cs="Times New Roman"/>
          <w:lang w:val="fr-CA"/>
        </w:rPr>
        <w:t xml:space="preserve">immigration suivant lequel son maintien en détention est devenu une violation de la </w:t>
      </w:r>
      <w:r w:rsidRPr="00BD3AAF">
        <w:rPr>
          <w:rFonts w:cs="Times New Roman"/>
          <w:i/>
          <w:lang w:val="fr-CA"/>
        </w:rPr>
        <w:t xml:space="preserve">Charte </w:t>
      </w:r>
      <w:r w:rsidRPr="00BD3AAF">
        <w:rPr>
          <w:rFonts w:cs="Times New Roman"/>
          <w:lang w:val="fr-CA"/>
        </w:rPr>
        <w:t>augmente avec chaque contrôle subséquent de sa détention. Les autorités qui le détiennent ont le fardeau corrélatif de justifier son maintien en détention lorsqu</w:t>
      </w:r>
      <w:r>
        <w:rPr>
          <w:rFonts w:cs="Times New Roman"/>
          <w:lang w:val="fr-CA"/>
        </w:rPr>
        <w:t>’</w:t>
      </w:r>
      <w:r w:rsidRPr="00BD3AAF">
        <w:rPr>
          <w:rFonts w:cs="Times New Roman"/>
          <w:lang w:val="fr-CA"/>
        </w:rPr>
        <w:t xml:space="preserve">est invoqué un moyen fondé sur la </w:t>
      </w:r>
      <w:r w:rsidRPr="00BD3AAF">
        <w:rPr>
          <w:rFonts w:cs="Times New Roman"/>
          <w:i/>
          <w:lang w:val="fr-CA"/>
        </w:rPr>
        <w:t>Charte</w:t>
      </w:r>
      <w:r w:rsidRPr="00BD3AAF">
        <w:rPr>
          <w:rFonts w:cs="Times New Roman"/>
          <w:lang w:val="fr-CA"/>
        </w:rPr>
        <w:t xml:space="preserve"> qui ne cesse de prendre de la vigueur. Une période de détention qui se prolonge signifie que les autorités de l</w:t>
      </w:r>
      <w:r>
        <w:rPr>
          <w:rFonts w:cs="Times New Roman"/>
          <w:lang w:val="fr-CA"/>
        </w:rPr>
        <w:t>’</w:t>
      </w:r>
      <w:r w:rsidRPr="00BD3AAF">
        <w:rPr>
          <w:rFonts w:cs="Times New Roman"/>
          <w:lang w:val="fr-CA"/>
        </w:rPr>
        <w:t>immigration ont eu plus de temps pour procéder au renvoi, une mesure qu</w:t>
      </w:r>
      <w:r>
        <w:rPr>
          <w:rFonts w:cs="Times New Roman"/>
          <w:lang w:val="fr-CA"/>
        </w:rPr>
        <w:t>’</w:t>
      </w:r>
      <w:r w:rsidRPr="00BD3AAF">
        <w:rPr>
          <w:rFonts w:cs="Times New Roman"/>
          <w:lang w:val="fr-CA"/>
        </w:rPr>
        <w:t>elles sont censées exécuter dès qu</w:t>
      </w:r>
      <w:r>
        <w:rPr>
          <w:rFonts w:cs="Times New Roman"/>
          <w:lang w:val="fr-CA"/>
        </w:rPr>
        <w:t>’</w:t>
      </w:r>
      <w:r w:rsidRPr="00BD3AAF">
        <w:rPr>
          <w:rFonts w:cs="Times New Roman"/>
          <w:lang w:val="fr-CA"/>
        </w:rPr>
        <w:t>il est raisonnablement possible qu</w:t>
      </w:r>
      <w:r>
        <w:rPr>
          <w:rFonts w:cs="Times New Roman"/>
          <w:lang w:val="fr-CA"/>
        </w:rPr>
        <w:t>’</w:t>
      </w:r>
      <w:r w:rsidRPr="00BD3AAF">
        <w:rPr>
          <w:rFonts w:cs="Times New Roman"/>
          <w:lang w:val="fr-CA"/>
        </w:rPr>
        <w:t>elles le fassent. En conséquence, le fardeau de la preuve dont doivent s</w:t>
      </w:r>
      <w:r>
        <w:rPr>
          <w:rFonts w:cs="Times New Roman"/>
          <w:lang w:val="fr-CA"/>
        </w:rPr>
        <w:t>’</w:t>
      </w:r>
      <w:r w:rsidRPr="00BD3AAF">
        <w:rPr>
          <w:rFonts w:cs="Times New Roman"/>
          <w:lang w:val="fr-CA"/>
        </w:rPr>
        <w:t>acquitter les autorités qui détiennent l</w:t>
      </w:r>
      <w:r>
        <w:rPr>
          <w:rFonts w:cs="Times New Roman"/>
          <w:lang w:val="fr-CA"/>
        </w:rPr>
        <w:t>’</w:t>
      </w:r>
      <w:r w:rsidRPr="00BD3AAF">
        <w:rPr>
          <w:rFonts w:cs="Times New Roman"/>
          <w:lang w:val="fr-CA"/>
        </w:rPr>
        <w:t>intéressé pour justifier son maintien en détention s</w:t>
      </w:r>
      <w:r>
        <w:rPr>
          <w:rFonts w:cs="Times New Roman"/>
          <w:lang w:val="fr-CA"/>
        </w:rPr>
        <w:t>’</w:t>
      </w:r>
      <w:r w:rsidRPr="00BD3AAF">
        <w:rPr>
          <w:rFonts w:cs="Times New Roman"/>
          <w:lang w:val="fr-CA"/>
        </w:rPr>
        <w:t>alourdit au fur et à mesure que la détention se prolonge. Cette conception de la durée de la détention n</w:t>
      </w:r>
      <w:r>
        <w:rPr>
          <w:rFonts w:cs="Times New Roman"/>
          <w:lang w:val="fr-CA"/>
        </w:rPr>
        <w:t>’</w:t>
      </w:r>
      <w:r w:rsidRPr="00BD3AAF">
        <w:rPr>
          <w:rFonts w:cs="Times New Roman"/>
          <w:lang w:val="fr-CA"/>
        </w:rPr>
        <w:t>est pas différente de celle qui s</w:t>
      </w:r>
      <w:r>
        <w:rPr>
          <w:rFonts w:cs="Times New Roman"/>
          <w:lang w:val="fr-CA"/>
        </w:rPr>
        <w:t>’</w:t>
      </w:r>
      <w:r w:rsidRPr="00BD3AAF">
        <w:rPr>
          <w:rFonts w:cs="Times New Roman"/>
          <w:lang w:val="fr-CA"/>
        </w:rPr>
        <w:t>applique dans le cadre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i/>
          <w:lang w:val="fr-CA"/>
        </w:rPr>
        <w:t>habeas corpus</w:t>
      </w:r>
      <w:r w:rsidRPr="00BD3AAF">
        <w:rPr>
          <w:rFonts w:cs="Times New Roman"/>
          <w:lang w:val="fr-CA"/>
        </w:rPr>
        <w:t xml:space="preserve"> (voir </w:t>
      </w:r>
      <w:r w:rsidRPr="00BD3AAF">
        <w:rPr>
          <w:rFonts w:cs="Times New Roman"/>
          <w:i/>
          <w:lang w:val="fr-CA"/>
        </w:rPr>
        <w:t>Chaudhary</w:t>
      </w:r>
      <w:r w:rsidRPr="00BD3AAF">
        <w:rPr>
          <w:rFonts w:cs="Times New Roman"/>
          <w:lang w:val="fr-CA"/>
        </w:rPr>
        <w:t xml:space="preserve">, </w:t>
      </w:r>
      <w:r w:rsidRPr="00BD3AAF">
        <w:rPr>
          <w:rFonts w:cs="Times New Roman"/>
          <w:i/>
          <w:lang w:val="fr-CA"/>
        </w:rPr>
        <w:t>Ali</w:t>
      </w:r>
      <w:r w:rsidRPr="00BD3AAF">
        <w:rPr>
          <w:rFonts w:cs="Times New Roman"/>
          <w:lang w:val="fr-CA"/>
        </w:rPr>
        <w:t xml:space="preserve"> et </w:t>
      </w:r>
      <w:r w:rsidRPr="00BD3AAF">
        <w:rPr>
          <w:rFonts w:cs="Times New Roman"/>
          <w:i/>
          <w:lang w:val="fr-CA"/>
        </w:rPr>
        <w:t>Brown</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La durée prévue de la détention dont il est question à l</w:t>
      </w:r>
      <w:r>
        <w:rPr>
          <w:rFonts w:cs="Times New Roman"/>
          <w:lang w:val="fr-CA"/>
        </w:rPr>
        <w:t>’al. </w:t>
      </w:r>
      <w:r w:rsidRPr="00BD3AAF">
        <w:rPr>
          <w:rFonts w:cs="Times New Roman"/>
          <w:lang w:val="fr-CA"/>
        </w:rPr>
        <w:t xml:space="preserve">248c) du </w:t>
      </w:r>
      <w:r w:rsidRPr="00BD3AAF">
        <w:rPr>
          <w:rFonts w:cs="Times New Roman"/>
          <w:i/>
          <w:lang w:val="fr-CA"/>
        </w:rPr>
        <w:t>Règlement</w:t>
      </w:r>
      <w:r w:rsidRPr="00BD3AAF">
        <w:rPr>
          <w:rFonts w:cs="Times New Roman"/>
          <w:lang w:val="fr-CA"/>
        </w:rPr>
        <w:t xml:space="preserve"> exige une estimation de la durée probable de la détention. Une détention légitime aux fins du renvoi peut devenir arbitraire et contraire à l</w:t>
      </w:r>
      <w:r>
        <w:rPr>
          <w:rFonts w:cs="Times New Roman"/>
          <w:lang w:val="fr-CA"/>
        </w:rPr>
        <w:t>’art. </w:t>
      </w:r>
      <w:r w:rsidRPr="00BD3AAF">
        <w:rPr>
          <w:rFonts w:cs="Times New Roman"/>
          <w:lang w:val="fr-CA"/>
        </w:rPr>
        <w:t xml:space="preserve">9 de la </w:t>
      </w:r>
      <w:r w:rsidRPr="00BD3AAF">
        <w:rPr>
          <w:rFonts w:cs="Times New Roman"/>
          <w:i/>
          <w:lang w:val="fr-CA"/>
        </w:rPr>
        <w:t xml:space="preserve">Charte </w:t>
      </w:r>
      <w:r w:rsidRPr="00BD3AAF">
        <w:rPr>
          <w:rFonts w:cs="Times New Roman"/>
          <w:lang w:val="fr-CA"/>
        </w:rPr>
        <w:t>lorsqu</w:t>
      </w:r>
      <w:r>
        <w:rPr>
          <w:rFonts w:cs="Times New Roman"/>
          <w:lang w:val="fr-CA"/>
        </w:rPr>
        <w:t>’</w:t>
      </w:r>
      <w:r w:rsidRPr="00BD3AAF">
        <w:rPr>
          <w:rFonts w:cs="Times New Roman"/>
          <w:lang w:val="fr-CA"/>
        </w:rPr>
        <w:t>elle ne se rattache plus à ses fins d</w:t>
      </w:r>
      <w:r>
        <w:rPr>
          <w:rFonts w:cs="Times New Roman"/>
          <w:lang w:val="fr-CA"/>
        </w:rPr>
        <w:t>’</w:t>
      </w:r>
      <w:r w:rsidRPr="00BD3AAF">
        <w:rPr>
          <w:rFonts w:cs="Times New Roman"/>
          <w:lang w:val="fr-CA"/>
        </w:rPr>
        <w:t>immigration. Lorsque le renvoi semble peu probable et que la durée future de la détention ne peut pas être déterminée, ce facteur milite pour la libération (</w:t>
      </w:r>
      <w:r w:rsidRPr="00BD3AAF">
        <w:rPr>
          <w:rFonts w:cs="Times New Roman"/>
          <w:i/>
          <w:lang w:val="fr-CA"/>
        </w:rPr>
        <w:t>Sahin</w:t>
      </w:r>
      <w:r w:rsidRPr="00BD3AAF">
        <w:rPr>
          <w:rFonts w:cs="Times New Roman"/>
          <w:lang w:val="fr-CA"/>
        </w:rPr>
        <w:t xml:space="preserve">, </w:t>
      </w:r>
      <w:r>
        <w:rPr>
          <w:rFonts w:cs="Times New Roman"/>
          <w:lang w:val="fr-CA"/>
        </w:rPr>
        <w:t>p. </w:t>
      </w:r>
      <w:r w:rsidRPr="00BD3AAF">
        <w:rPr>
          <w:rFonts w:cs="Times New Roman"/>
          <w:lang w:val="fr-CA"/>
        </w:rPr>
        <w:t xml:space="preserve">231; </w:t>
      </w:r>
      <w:r w:rsidRPr="00BD3AAF">
        <w:rPr>
          <w:rFonts w:cs="Times New Roman"/>
          <w:i/>
          <w:lang w:val="fr-CA"/>
        </w:rPr>
        <w:t>Charkaoui</w:t>
      </w:r>
      <w:r w:rsidRPr="00BD3AAF">
        <w:rPr>
          <w:rFonts w:cs="Times New Roman"/>
          <w:lang w:val="fr-CA"/>
        </w:rPr>
        <w:t xml:space="preserve">, </w:t>
      </w:r>
      <w:r>
        <w:rPr>
          <w:rFonts w:cs="Times New Roman"/>
          <w:lang w:val="fr-CA"/>
        </w:rPr>
        <w:t>par. </w:t>
      </w:r>
      <w:r w:rsidRPr="00BD3AAF">
        <w:rPr>
          <w:rFonts w:cs="Times New Roman"/>
          <w:lang w:val="fr-CA"/>
        </w:rPr>
        <w:t>115).</w:t>
      </w:r>
    </w:p>
    <w:p w:rsidR="00B233C0" w:rsidRPr="00BD3AAF" w:rsidRDefault="00B233C0" w:rsidP="00B233C0">
      <w:pPr>
        <w:pStyle w:val="ParaNoNdepar-AltN"/>
        <w:rPr>
          <w:rFonts w:cs="Times New Roman"/>
          <w:lang w:val="fr-CA"/>
        </w:rPr>
      </w:pPr>
      <w:r w:rsidRPr="00BD3AAF">
        <w:rPr>
          <w:rFonts w:cs="Times New Roman"/>
          <w:lang w:val="fr-CA"/>
        </w:rPr>
        <w:t>Il s</w:t>
      </w:r>
      <w:r>
        <w:rPr>
          <w:rFonts w:cs="Times New Roman"/>
          <w:lang w:val="fr-CA"/>
        </w:rPr>
        <w:t>’</w:t>
      </w:r>
      <w:r w:rsidRPr="00BD3AAF">
        <w:rPr>
          <w:rFonts w:cs="Times New Roman"/>
          <w:lang w:val="fr-CA"/>
        </w:rPr>
        <w:t>agit de la même analyse que dans le cadre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i/>
          <w:lang w:val="fr-CA"/>
        </w:rPr>
        <w:t>habeas corpus</w:t>
      </w:r>
      <w:r w:rsidRPr="00BD3AAF">
        <w:rPr>
          <w:rFonts w:cs="Times New Roman"/>
          <w:lang w:val="fr-CA"/>
        </w:rPr>
        <w:t>. Ainsi que le juge Rouleau l</w:t>
      </w:r>
      <w:r>
        <w:rPr>
          <w:rFonts w:cs="Times New Roman"/>
          <w:lang w:val="fr-CA"/>
        </w:rPr>
        <w:t>’</w:t>
      </w:r>
      <w:r w:rsidRPr="00BD3AAF">
        <w:rPr>
          <w:rFonts w:cs="Times New Roman"/>
          <w:lang w:val="fr-CA"/>
        </w:rPr>
        <w:t>a fait observer dans l</w:t>
      </w:r>
      <w:r>
        <w:rPr>
          <w:rFonts w:cs="Times New Roman"/>
          <w:lang w:val="fr-CA"/>
        </w:rPr>
        <w:t>’</w:t>
      </w:r>
      <w:r w:rsidRPr="00BD3AAF">
        <w:rPr>
          <w:rFonts w:cs="Times New Roman"/>
          <w:lang w:val="fr-CA"/>
        </w:rPr>
        <w:t xml:space="preserve">arrêt </w:t>
      </w:r>
      <w:r w:rsidRPr="00BD3AAF">
        <w:rPr>
          <w:rFonts w:cs="Times New Roman"/>
          <w:i/>
          <w:lang w:val="fr-CA"/>
        </w:rPr>
        <w:t>Chaudhary</w:t>
      </w:r>
      <w:r w:rsidRPr="00F017B6">
        <w:rPr>
          <w:rFonts w:cs="Times New Roman"/>
          <w:lang w:val="fr-CA"/>
        </w:rPr>
        <w:t> :</w:t>
      </w:r>
    </w:p>
    <w:p w:rsidR="00B233C0" w:rsidRPr="00BD3AAF" w:rsidRDefault="00B233C0" w:rsidP="00B233C0">
      <w:pPr>
        <w:pStyle w:val="Citation-AltC"/>
        <w:ind w:left="1168" w:hanging="1168"/>
        <w:contextualSpacing w:val="0"/>
        <w:rPr>
          <w:lang w:val="fr-CA"/>
        </w:rPr>
      </w:pPr>
      <w:r w:rsidRPr="00BD3AAF">
        <w:rPr>
          <w:lang w:val="fr-CA"/>
        </w:rPr>
        <w:tab/>
      </w:r>
      <w:r w:rsidR="00F017B6" w:rsidRPr="00BD3AAF">
        <w:rPr>
          <w:lang w:val="fr-CA"/>
        </w:rPr>
        <w:t>[</w:t>
      </w:r>
      <w:r w:rsidR="00F017B6" w:rsidRPr="00BD3AAF">
        <w:rPr>
          <w:smallCaps/>
          <w:lang w:val="fr-CA"/>
        </w:rPr>
        <w:t>traduction</w:t>
      </w:r>
      <w:r w:rsidR="00F017B6" w:rsidRPr="00BD3AAF">
        <w:rPr>
          <w:lang w:val="fr-CA"/>
        </w:rPr>
        <w:t xml:space="preserve">] </w:t>
      </w:r>
      <w:r w:rsidRPr="00BD3AAF">
        <w:rPr>
          <w:lang w:val="fr-CA"/>
        </w:rPr>
        <w:t>[Une] détention n</w:t>
      </w:r>
      <w:r>
        <w:rPr>
          <w:lang w:val="fr-CA"/>
        </w:rPr>
        <w:t>’</w:t>
      </w:r>
      <w:r w:rsidRPr="00BD3AAF">
        <w:rPr>
          <w:lang w:val="fr-CA"/>
        </w:rPr>
        <w:t>est pas justifiée si elle n</w:t>
      </w:r>
      <w:r>
        <w:rPr>
          <w:lang w:val="fr-CA"/>
        </w:rPr>
        <w:t>’</w:t>
      </w:r>
      <w:r w:rsidRPr="00BD3AAF">
        <w:rPr>
          <w:lang w:val="fr-CA"/>
        </w:rPr>
        <w:t>est plus raisonnablement nécessaire pour faciliter les formalités d</w:t>
      </w:r>
      <w:r>
        <w:rPr>
          <w:lang w:val="fr-CA"/>
        </w:rPr>
        <w:t>’</w:t>
      </w:r>
      <w:r w:rsidRPr="00BD3AAF">
        <w:rPr>
          <w:lang w:val="fr-CA"/>
        </w:rPr>
        <w:t>immigration. L</w:t>
      </w:r>
      <w:r w:rsidRPr="00BD3AAF">
        <w:rPr>
          <w:rStyle w:val="citationcar"/>
          <w:lang w:val="fr-CA"/>
        </w:rPr>
        <w:t>orsqu</w:t>
      </w:r>
      <w:r>
        <w:rPr>
          <w:rStyle w:val="citationcar"/>
          <w:lang w:val="fr-CA"/>
        </w:rPr>
        <w:t>’</w:t>
      </w:r>
      <w:r w:rsidRPr="00BD3AAF">
        <w:rPr>
          <w:rStyle w:val="citationcar"/>
          <w:lang w:val="fr-CA"/>
        </w:rPr>
        <w:t>il n</w:t>
      </w:r>
      <w:r>
        <w:rPr>
          <w:rStyle w:val="citationcar"/>
          <w:lang w:val="fr-CA"/>
        </w:rPr>
        <w:t>’</w:t>
      </w:r>
      <w:r w:rsidRPr="00BD3AAF">
        <w:rPr>
          <w:rStyle w:val="citationcar"/>
          <w:lang w:val="fr-CA"/>
        </w:rPr>
        <w:t>y a aucune chance que les objectifs de la détention dans le contexte de l</w:t>
      </w:r>
      <w:r>
        <w:rPr>
          <w:rStyle w:val="citationcar"/>
          <w:lang w:val="fr-CA"/>
        </w:rPr>
        <w:t>’</w:t>
      </w:r>
      <w:r w:rsidRPr="00BD3AAF">
        <w:rPr>
          <w:rStyle w:val="citationcar"/>
          <w:lang w:val="fr-CA"/>
        </w:rPr>
        <w:t>immigration soient att</w:t>
      </w:r>
      <w:r>
        <w:rPr>
          <w:rStyle w:val="citationcar"/>
          <w:lang w:val="fr-CA"/>
        </w:rPr>
        <w:t xml:space="preserve">eints dans un délai raisonnable </w:t>
      </w:r>
      <w:r w:rsidRPr="00BD3AAF">
        <w:rPr>
          <w:rStyle w:val="citationcar"/>
          <w:lang w:val="fr-CA"/>
        </w:rPr>
        <w:t xml:space="preserve">— la question de savoir </w:t>
      </w:r>
      <w:r w:rsidRPr="00BD3AAF">
        <w:rPr>
          <w:lang w:val="fr-CA"/>
        </w:rPr>
        <w:t xml:space="preserve">ce qui est raisonnable dépendant des circonstances —, le maintien en détention viole les droits garantis au détenu par les </w:t>
      </w:r>
      <w:r>
        <w:rPr>
          <w:lang w:val="fr-CA"/>
        </w:rPr>
        <w:t>art. </w:t>
      </w:r>
      <w:r w:rsidRPr="00BD3AAF">
        <w:rPr>
          <w:lang w:val="fr-CA"/>
        </w:rPr>
        <w:t xml:space="preserve">7 et 9 de la </w:t>
      </w:r>
      <w:r w:rsidRPr="00BD3AAF">
        <w:rPr>
          <w:i/>
          <w:iCs/>
          <w:lang w:val="fr-CA"/>
        </w:rPr>
        <w:t xml:space="preserve">Charte </w:t>
      </w:r>
      <w:r w:rsidRPr="00BD3AAF">
        <w:rPr>
          <w:iCs/>
          <w:lang w:val="fr-CA"/>
        </w:rPr>
        <w:t>et sa détention n</w:t>
      </w:r>
      <w:r>
        <w:rPr>
          <w:iCs/>
          <w:lang w:val="fr-CA"/>
        </w:rPr>
        <w:t>’</w:t>
      </w:r>
      <w:r w:rsidRPr="00BD3AAF">
        <w:rPr>
          <w:iCs/>
          <w:lang w:val="fr-CA"/>
        </w:rPr>
        <w:t>est plus légale. [</w:t>
      </w:r>
      <w:r>
        <w:rPr>
          <w:iCs/>
          <w:lang w:val="fr-CA"/>
        </w:rPr>
        <w:t>par. </w:t>
      </w:r>
      <w:r w:rsidRPr="00BD3AAF">
        <w:rPr>
          <w:iCs/>
          <w:lang w:val="fr-CA"/>
        </w:rPr>
        <w:t>81]</w:t>
      </w:r>
    </w:p>
    <w:p w:rsidR="00B233C0" w:rsidRPr="00BD3AAF" w:rsidRDefault="00B233C0" w:rsidP="00B233C0">
      <w:pPr>
        <w:pStyle w:val="ParaNoNdepar-AltN"/>
        <w:rPr>
          <w:rFonts w:cs="Times New Roman"/>
          <w:lang w:val="fr-CA"/>
        </w:rPr>
      </w:pPr>
      <w:r w:rsidRPr="00BD3AAF">
        <w:rPr>
          <w:rFonts w:cs="Times New Roman"/>
          <w:lang w:val="fr-CA"/>
        </w:rPr>
        <w:t>La Section de l</w:t>
      </w:r>
      <w:r>
        <w:rPr>
          <w:rFonts w:cs="Times New Roman"/>
          <w:lang w:val="fr-CA"/>
        </w:rPr>
        <w:t>’</w:t>
      </w:r>
      <w:r w:rsidRPr="00BD3AAF">
        <w:rPr>
          <w:rFonts w:cs="Times New Roman"/>
          <w:lang w:val="fr-CA"/>
        </w:rPr>
        <w:t>immigration est par ailleurs mieux placée pour évaluer et trancher la question de la durée future de la détention que ne le sont les cours supérieures saisies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i/>
          <w:lang w:val="fr-CA"/>
        </w:rPr>
        <w:t>habeas corpus</w:t>
      </w:r>
      <w:r w:rsidRPr="00BD3AAF">
        <w:rPr>
          <w:rFonts w:cs="Times New Roman"/>
          <w:lang w:val="fr-CA"/>
        </w:rPr>
        <w:t>. Comme le juge Létourneau l</w:t>
      </w:r>
      <w:r>
        <w:rPr>
          <w:rFonts w:cs="Times New Roman"/>
          <w:lang w:val="fr-CA"/>
        </w:rPr>
        <w:t>’</w:t>
      </w:r>
      <w:r w:rsidRPr="00BD3AAF">
        <w:rPr>
          <w:rFonts w:cs="Times New Roman"/>
          <w:lang w:val="fr-CA"/>
        </w:rPr>
        <w:t>a déclaré dans l</w:t>
      </w:r>
      <w:r>
        <w:rPr>
          <w:rFonts w:cs="Times New Roman"/>
          <w:lang w:val="fr-CA"/>
        </w:rPr>
        <w:t>’</w:t>
      </w:r>
      <w:r w:rsidRPr="00BD3AAF">
        <w:rPr>
          <w:rFonts w:cs="Times New Roman"/>
          <w:lang w:val="fr-CA"/>
        </w:rPr>
        <w:t xml:space="preserve">arrêt </w:t>
      </w:r>
      <w:r w:rsidRPr="00BD3AAF">
        <w:rPr>
          <w:rFonts w:cs="Times New Roman"/>
          <w:i/>
          <w:szCs w:val="24"/>
          <w:lang w:val="fr-CA"/>
        </w:rPr>
        <w:t>Canada (Ministre de la Citoyenneté et de l</w:t>
      </w:r>
      <w:r>
        <w:rPr>
          <w:rFonts w:cs="Times New Roman"/>
          <w:i/>
          <w:szCs w:val="24"/>
          <w:lang w:val="fr-CA"/>
        </w:rPr>
        <w:t>’</w:t>
      </w:r>
      <w:r w:rsidRPr="00BD3AAF">
        <w:rPr>
          <w:rFonts w:cs="Times New Roman"/>
          <w:i/>
          <w:szCs w:val="24"/>
          <w:lang w:val="fr-CA"/>
        </w:rPr>
        <w:t>Immigration) c. Li</w:t>
      </w:r>
      <w:r w:rsidRPr="00BD3AAF">
        <w:rPr>
          <w:rFonts w:cs="Times New Roman"/>
          <w:szCs w:val="24"/>
          <w:lang w:val="fr-CA"/>
        </w:rPr>
        <w:t xml:space="preserve">, </w:t>
      </w:r>
      <w:r w:rsidRPr="00BD3AAF">
        <w:rPr>
          <w:rFonts w:cs="Times New Roman"/>
          <w:lang w:val="fr-CA"/>
        </w:rPr>
        <w:t xml:space="preserve">[2010] 2 R.C.F. 433 (C.A.), </w:t>
      </w:r>
      <w:r w:rsidRPr="00BD3AAF">
        <w:rPr>
          <w:rFonts w:cs="Times New Roman"/>
          <w:szCs w:val="24"/>
          <w:lang w:val="fr-CA"/>
        </w:rPr>
        <w:t xml:space="preserve">le </w:t>
      </w:r>
      <w:r w:rsidRPr="00BD3AAF">
        <w:rPr>
          <w:rFonts w:cs="Times New Roman"/>
          <w:lang w:val="fr-CA"/>
        </w:rPr>
        <w:t>court laps de temps de 30 jours qui s</w:t>
      </w:r>
      <w:r>
        <w:rPr>
          <w:rFonts w:cs="Times New Roman"/>
          <w:lang w:val="fr-CA"/>
        </w:rPr>
        <w:t>’</w:t>
      </w:r>
      <w:r w:rsidRPr="00BD3AAF">
        <w:rPr>
          <w:rFonts w:cs="Times New Roman"/>
          <w:lang w:val="fr-CA"/>
        </w:rPr>
        <w:t>écoule entre les contrôles effectués par la Section de l</w:t>
      </w:r>
      <w:r>
        <w:rPr>
          <w:rFonts w:cs="Times New Roman"/>
          <w:lang w:val="fr-CA"/>
        </w:rPr>
        <w:t>’</w:t>
      </w:r>
      <w:r w:rsidRPr="00BD3AAF">
        <w:rPr>
          <w:rFonts w:cs="Times New Roman"/>
          <w:lang w:val="fr-CA"/>
        </w:rPr>
        <w:t>immigration « permet d</w:t>
      </w:r>
      <w:r>
        <w:rPr>
          <w:rFonts w:cs="Times New Roman"/>
          <w:lang w:val="fr-CA"/>
        </w:rPr>
        <w:t>’</w:t>
      </w:r>
      <w:r w:rsidRPr="00BD3AAF">
        <w:rPr>
          <w:rFonts w:cs="Times New Roman"/>
          <w:lang w:val="fr-CA"/>
        </w:rPr>
        <w:t>effectuer une estimation fondée sur les faits concrets et les procédures en instance, au lieu de s</w:t>
      </w:r>
      <w:r>
        <w:rPr>
          <w:rFonts w:cs="Times New Roman"/>
          <w:lang w:val="fr-CA"/>
        </w:rPr>
        <w:t>’</w:t>
      </w:r>
      <w:r w:rsidRPr="00BD3AAF">
        <w:rPr>
          <w:rFonts w:cs="Times New Roman"/>
          <w:lang w:val="fr-CA"/>
        </w:rPr>
        <w:t>en remettre à une estimation fondée sur des spéculations portant sur des faits et des procédures éventuels »</w:t>
      </w:r>
      <w:r w:rsidRPr="00BD3AAF">
        <w:rPr>
          <w:rFonts w:cs="Times New Roman"/>
          <w:szCs w:val="24"/>
          <w:lang w:val="fr-CA"/>
        </w:rPr>
        <w:t xml:space="preserve"> (</w:t>
      </w:r>
      <w:r>
        <w:rPr>
          <w:rFonts w:cs="Times New Roman"/>
          <w:szCs w:val="24"/>
          <w:lang w:val="fr-CA"/>
        </w:rPr>
        <w:t>par. </w:t>
      </w:r>
      <w:r w:rsidRPr="00BD3AAF">
        <w:rPr>
          <w:rFonts w:cs="Times New Roman"/>
          <w:szCs w:val="24"/>
          <w:lang w:val="fr-CA"/>
        </w:rPr>
        <w:t>66). La Section de l</w:t>
      </w:r>
      <w:r>
        <w:rPr>
          <w:rFonts w:cs="Times New Roman"/>
          <w:szCs w:val="24"/>
          <w:lang w:val="fr-CA"/>
        </w:rPr>
        <w:t>’</w:t>
      </w:r>
      <w:r w:rsidRPr="00BD3AAF">
        <w:rPr>
          <w:rFonts w:cs="Times New Roman"/>
          <w:szCs w:val="24"/>
          <w:lang w:val="fr-CA"/>
        </w:rPr>
        <w:t>immigration obtient un portrait fidèle de la détention tous les 30 jours. Elle peut évaluer les progrès dans le temps en examinant les instances antérieures et en anticipant l</w:t>
      </w:r>
      <w:r>
        <w:rPr>
          <w:rFonts w:cs="Times New Roman"/>
          <w:szCs w:val="24"/>
          <w:lang w:val="fr-CA"/>
        </w:rPr>
        <w:t>’</w:t>
      </w:r>
      <w:r w:rsidRPr="00BD3AAF">
        <w:rPr>
          <w:rFonts w:cs="Times New Roman"/>
          <w:szCs w:val="24"/>
          <w:lang w:val="fr-CA"/>
        </w:rPr>
        <w:t>évolution de l</w:t>
      </w:r>
      <w:r>
        <w:rPr>
          <w:rFonts w:cs="Times New Roman"/>
          <w:szCs w:val="24"/>
          <w:lang w:val="fr-CA"/>
        </w:rPr>
        <w:t>’</w:t>
      </w:r>
      <w:r w:rsidRPr="00BD3AAF">
        <w:rPr>
          <w:rFonts w:cs="Times New Roman"/>
          <w:szCs w:val="24"/>
          <w:lang w:val="fr-CA"/>
        </w:rPr>
        <w:t xml:space="preserve">instance en cours pour éviter une violation des droits garantis au détenu par la </w:t>
      </w:r>
      <w:r w:rsidRPr="00BD3AAF">
        <w:rPr>
          <w:rFonts w:cs="Times New Roman"/>
          <w:i/>
          <w:szCs w:val="24"/>
          <w:lang w:val="fr-CA"/>
        </w:rPr>
        <w:t>Charte</w:t>
      </w:r>
      <w:r w:rsidRPr="00BD3AAF">
        <w:rPr>
          <w:rFonts w:cs="Times New Roman"/>
          <w:szCs w:val="24"/>
          <w:lang w:val="fr-CA"/>
        </w:rPr>
        <w:t>.</w:t>
      </w:r>
    </w:p>
    <w:p w:rsidR="00B233C0" w:rsidRPr="00BD3AAF" w:rsidRDefault="00B233C0" w:rsidP="00B233C0">
      <w:pPr>
        <w:pStyle w:val="ParaNoNdepar-AltN"/>
        <w:rPr>
          <w:rFonts w:cs="Times New Roman"/>
          <w:lang w:val="fr-CA"/>
        </w:rPr>
      </w:pPr>
      <w:r w:rsidRPr="00BD3AAF">
        <w:rPr>
          <w:rFonts w:cs="Times New Roman"/>
          <w:lang w:val="fr-CA"/>
        </w:rPr>
        <w:t>L</w:t>
      </w:r>
      <w:r>
        <w:rPr>
          <w:rFonts w:cs="Times New Roman"/>
          <w:lang w:val="fr-CA"/>
        </w:rPr>
        <w:t>’</w:t>
      </w:r>
      <w:r w:rsidRPr="00BD3AAF">
        <w:rPr>
          <w:rFonts w:cs="Times New Roman"/>
          <w:lang w:val="fr-CA"/>
        </w:rPr>
        <w:t>alinéa 248d) exige que l</w:t>
      </w:r>
      <w:r>
        <w:rPr>
          <w:rFonts w:cs="Times New Roman"/>
          <w:lang w:val="fr-CA"/>
        </w:rPr>
        <w:t>’</w:t>
      </w:r>
      <w:r w:rsidRPr="00BD3AAF">
        <w:rPr>
          <w:rFonts w:cs="Times New Roman"/>
          <w:lang w:val="fr-CA"/>
        </w:rPr>
        <w:t>on tienne compte des retards ou du manque de diligence de la part du détenu ou des autorités de l</w:t>
      </w:r>
      <w:r>
        <w:rPr>
          <w:rFonts w:cs="Times New Roman"/>
          <w:lang w:val="fr-CA"/>
        </w:rPr>
        <w:t>’</w:t>
      </w:r>
      <w:r w:rsidRPr="00BD3AAF">
        <w:rPr>
          <w:rFonts w:cs="Times New Roman"/>
          <w:lang w:val="fr-CA"/>
        </w:rPr>
        <w:t>immigration. Ainsi que le juge Rothstein l</w:t>
      </w:r>
      <w:r>
        <w:rPr>
          <w:rFonts w:cs="Times New Roman"/>
          <w:lang w:val="fr-CA"/>
        </w:rPr>
        <w:t>’</w:t>
      </w:r>
      <w:r w:rsidRPr="00BD3AAF">
        <w:rPr>
          <w:rFonts w:cs="Times New Roman"/>
          <w:lang w:val="fr-CA"/>
        </w:rPr>
        <w:t xml:space="preserve">a déclaré dans le jugement </w:t>
      </w:r>
      <w:r w:rsidRPr="00BD3AAF">
        <w:rPr>
          <w:rFonts w:cs="Times New Roman"/>
          <w:i/>
          <w:lang w:val="fr-CA"/>
        </w:rPr>
        <w:t>Sahin</w:t>
      </w:r>
      <w:r w:rsidRPr="00BD3AAF">
        <w:rPr>
          <w:rFonts w:cs="Times New Roman"/>
          <w:lang w:val="fr-CA"/>
        </w:rPr>
        <w:t xml:space="preserve"> et que la Cour l</w:t>
      </w:r>
      <w:r>
        <w:rPr>
          <w:rFonts w:cs="Times New Roman"/>
          <w:lang w:val="fr-CA"/>
        </w:rPr>
        <w:t>’</w:t>
      </w:r>
      <w:r w:rsidRPr="00BD3AAF">
        <w:rPr>
          <w:rFonts w:cs="Times New Roman"/>
          <w:lang w:val="fr-CA"/>
        </w:rPr>
        <w:t>a rappelé dans l</w:t>
      </w:r>
      <w:r>
        <w:rPr>
          <w:rFonts w:cs="Times New Roman"/>
          <w:lang w:val="fr-CA"/>
        </w:rPr>
        <w:t>’</w:t>
      </w:r>
      <w:r w:rsidRPr="00BD3AAF">
        <w:rPr>
          <w:rFonts w:cs="Times New Roman"/>
          <w:lang w:val="fr-CA"/>
        </w:rPr>
        <w:t xml:space="preserve">arrêt </w:t>
      </w:r>
      <w:r w:rsidRPr="00BD3AAF">
        <w:rPr>
          <w:rFonts w:cs="Times New Roman"/>
          <w:i/>
          <w:lang w:val="fr-CA"/>
        </w:rPr>
        <w:t>Charkaoui</w:t>
      </w:r>
      <w:r w:rsidRPr="00BD3AAF">
        <w:rPr>
          <w:rFonts w:cs="Times New Roman"/>
          <w:lang w:val="fr-CA"/>
        </w:rPr>
        <w:t>, les retards et les manques de diligence inexpliqués doivent être retenus contre la personne qui en est responsable (</w:t>
      </w:r>
      <w:r w:rsidRPr="00BD3AAF">
        <w:rPr>
          <w:rFonts w:cs="Times New Roman"/>
          <w:i/>
          <w:lang w:val="fr-CA"/>
        </w:rPr>
        <w:t>Sahin</w:t>
      </w:r>
      <w:r w:rsidRPr="00BD3AAF">
        <w:rPr>
          <w:rFonts w:cs="Times New Roman"/>
          <w:lang w:val="fr-CA"/>
        </w:rPr>
        <w:t xml:space="preserve">, </w:t>
      </w:r>
      <w:r>
        <w:rPr>
          <w:rFonts w:cs="Times New Roman"/>
          <w:lang w:val="fr-CA"/>
        </w:rPr>
        <w:t>p. </w:t>
      </w:r>
      <w:r w:rsidRPr="00BD3AAF">
        <w:rPr>
          <w:rFonts w:cs="Times New Roman"/>
          <w:lang w:val="fr-CA"/>
        </w:rPr>
        <w:t xml:space="preserve">231; </w:t>
      </w:r>
      <w:r w:rsidRPr="00BD3AAF">
        <w:rPr>
          <w:rFonts w:cs="Times New Roman"/>
          <w:i/>
          <w:lang w:val="fr-CA"/>
        </w:rPr>
        <w:t>Charkaoui</w:t>
      </w:r>
      <w:r w:rsidRPr="00BD3AAF">
        <w:rPr>
          <w:rFonts w:cs="Times New Roman"/>
          <w:lang w:val="fr-CA"/>
        </w:rPr>
        <w:t xml:space="preserve">, </w:t>
      </w:r>
      <w:r>
        <w:rPr>
          <w:rFonts w:cs="Times New Roman"/>
          <w:lang w:val="fr-CA"/>
        </w:rPr>
        <w:t>par. </w:t>
      </w:r>
      <w:r w:rsidRPr="00BD3AAF">
        <w:rPr>
          <w:rFonts w:cs="Times New Roman"/>
          <w:lang w:val="fr-CA"/>
        </w:rPr>
        <w:t>114). Les cours supérieures qui contrôlent la détention aux fins de l</w:t>
      </w:r>
      <w:r>
        <w:rPr>
          <w:rFonts w:cs="Times New Roman"/>
          <w:lang w:val="fr-CA"/>
        </w:rPr>
        <w:t>’</w:t>
      </w:r>
      <w:r w:rsidRPr="00BD3AAF">
        <w:rPr>
          <w:rFonts w:cs="Times New Roman"/>
          <w:lang w:val="fr-CA"/>
        </w:rPr>
        <w:t xml:space="preserve">immigration pour en vérifier la conformité avec les </w:t>
      </w:r>
      <w:r>
        <w:rPr>
          <w:rFonts w:cs="Times New Roman"/>
          <w:lang w:val="fr-CA"/>
        </w:rPr>
        <w:t>art. </w:t>
      </w:r>
      <w:r w:rsidRPr="00BD3AAF">
        <w:rPr>
          <w:rFonts w:cs="Times New Roman"/>
          <w:lang w:val="fr-CA"/>
        </w:rPr>
        <w:t xml:space="preserve">7, 9 et 12 de la </w:t>
      </w:r>
      <w:r w:rsidRPr="00BD3AAF">
        <w:rPr>
          <w:rFonts w:cs="Times New Roman"/>
          <w:i/>
          <w:lang w:val="fr-CA"/>
        </w:rPr>
        <w:t>Charte</w:t>
      </w:r>
      <w:r w:rsidRPr="00BD3AAF">
        <w:rPr>
          <w:rFonts w:cs="Times New Roman"/>
          <w:lang w:val="fr-CA"/>
        </w:rPr>
        <w:t xml:space="preserve"> se livrent à la même analyse. Elles examinent la complexité du renvoi du demandeur du Canada, le caractère raisonnable des mesures prises par les autorités de l</w:t>
      </w:r>
      <w:r>
        <w:rPr>
          <w:rFonts w:cs="Times New Roman"/>
          <w:lang w:val="fr-CA"/>
        </w:rPr>
        <w:t>’</w:t>
      </w:r>
      <w:r w:rsidRPr="00BD3AAF">
        <w:rPr>
          <w:rFonts w:cs="Times New Roman"/>
          <w:lang w:val="fr-CA"/>
        </w:rPr>
        <w:t xml:space="preserve">immigration pour procéder au renvoi et la mesure dans laquelle le demandeur a prolongé sa détention en refusant de collaborer à son renvoi avec les autorités (voir </w:t>
      </w:r>
      <w:r w:rsidRPr="00BD3AAF">
        <w:rPr>
          <w:rFonts w:cs="Times New Roman"/>
          <w:i/>
          <w:szCs w:val="24"/>
          <w:lang w:val="fr-CA"/>
        </w:rPr>
        <w:t>Brown</w:t>
      </w:r>
      <w:r w:rsidRPr="00BD3AAF">
        <w:rPr>
          <w:rFonts w:cs="Times New Roman"/>
          <w:szCs w:val="24"/>
          <w:lang w:val="fr-CA"/>
        </w:rPr>
        <w:t xml:space="preserve">, </w:t>
      </w:r>
      <w:r>
        <w:rPr>
          <w:rFonts w:cs="Times New Roman"/>
          <w:szCs w:val="24"/>
          <w:lang w:val="fr-CA"/>
        </w:rPr>
        <w:t>par. </w:t>
      </w:r>
      <w:r w:rsidRPr="00BD3AAF">
        <w:rPr>
          <w:rFonts w:cs="Times New Roman"/>
          <w:szCs w:val="24"/>
          <w:lang w:val="fr-CA"/>
        </w:rPr>
        <w:t xml:space="preserve">36; </w:t>
      </w:r>
      <w:r w:rsidRPr="00BD3AAF">
        <w:rPr>
          <w:rFonts w:cs="Times New Roman"/>
          <w:i/>
          <w:szCs w:val="24"/>
          <w:lang w:val="fr-CA"/>
        </w:rPr>
        <w:t>Canada c. Dadzie</w:t>
      </w:r>
      <w:r w:rsidRPr="00BD3AAF">
        <w:rPr>
          <w:rFonts w:cs="Times New Roman"/>
          <w:szCs w:val="24"/>
          <w:lang w:val="fr-CA"/>
        </w:rPr>
        <w:t xml:space="preserve">, 2016 ONSC 6045, </w:t>
      </w:r>
      <w:r>
        <w:rPr>
          <w:rFonts w:cs="Times New Roman"/>
          <w:szCs w:val="24"/>
          <w:lang w:val="fr-CA"/>
        </w:rPr>
        <w:t>par. </w:t>
      </w:r>
      <w:r w:rsidRPr="00BD3AAF">
        <w:rPr>
          <w:rFonts w:cs="Times New Roman"/>
          <w:szCs w:val="24"/>
          <w:lang w:val="fr-CA"/>
        </w:rPr>
        <w:t>46</w:t>
      </w:r>
      <w:r w:rsidR="00E6179B">
        <w:rPr>
          <w:rFonts w:cs="Times New Roman"/>
          <w:szCs w:val="24"/>
          <w:lang w:val="fr-CA"/>
        </w:rPr>
        <w:t xml:space="preserve"> (CanLII)</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Dans l</w:t>
      </w:r>
      <w:r>
        <w:rPr>
          <w:rFonts w:cs="Times New Roman"/>
          <w:lang w:val="fr-CA"/>
        </w:rPr>
        <w:t>’</w:t>
      </w:r>
      <w:r w:rsidRPr="00BD3AAF">
        <w:rPr>
          <w:rFonts w:cs="Times New Roman"/>
          <w:lang w:val="fr-CA"/>
        </w:rPr>
        <w:t xml:space="preserve">affaire </w:t>
      </w:r>
      <w:r w:rsidRPr="00BD3AAF">
        <w:rPr>
          <w:rFonts w:cs="Times New Roman"/>
          <w:i/>
          <w:lang w:val="fr-CA"/>
        </w:rPr>
        <w:t>Dadzie</w:t>
      </w:r>
      <w:r w:rsidRPr="00BD3AAF">
        <w:rPr>
          <w:rFonts w:cs="Times New Roman"/>
          <w:lang w:val="fr-CA"/>
        </w:rPr>
        <w:t xml:space="preserve">, un ressortissant étranger détenu en application de la </w:t>
      </w:r>
      <w:r w:rsidRPr="00BD3AAF">
        <w:rPr>
          <w:rFonts w:cs="Times New Roman"/>
          <w:i/>
          <w:lang w:val="fr-CA"/>
        </w:rPr>
        <w:t>LIPR</w:t>
      </w:r>
      <w:r w:rsidRPr="00BD3AAF">
        <w:rPr>
          <w:rFonts w:cs="Times New Roman"/>
          <w:lang w:val="fr-CA"/>
        </w:rPr>
        <w:t xml:space="preserve"> demandait sa mise en liberté par voie d</w:t>
      </w:r>
      <w:r>
        <w:rPr>
          <w:rFonts w:cs="Times New Roman"/>
          <w:lang w:val="fr-CA"/>
        </w:rPr>
        <w:t>’</w:t>
      </w:r>
      <w:r w:rsidRPr="00BD3AAF">
        <w:rPr>
          <w:rFonts w:cs="Times New Roman"/>
          <w:i/>
          <w:lang w:val="fr-CA"/>
        </w:rPr>
        <w:t>habeas corpus</w:t>
      </w:r>
      <w:r w:rsidRPr="00BD3AAF">
        <w:rPr>
          <w:rFonts w:cs="Times New Roman"/>
          <w:lang w:val="fr-CA"/>
        </w:rPr>
        <w:t xml:space="preserve">. Le juge Clark a appliqué les principes dégagés dans les décisions </w:t>
      </w:r>
      <w:r w:rsidRPr="00BD3AAF">
        <w:rPr>
          <w:rFonts w:cs="Times New Roman"/>
          <w:i/>
          <w:lang w:val="fr-CA"/>
        </w:rPr>
        <w:t>Charkaoui</w:t>
      </w:r>
      <w:r w:rsidRPr="00BD3AAF">
        <w:rPr>
          <w:rFonts w:cs="Times New Roman"/>
          <w:lang w:val="fr-CA"/>
        </w:rPr>
        <w:t xml:space="preserve"> et </w:t>
      </w:r>
      <w:r w:rsidRPr="00BD3AAF">
        <w:rPr>
          <w:rFonts w:cs="Times New Roman"/>
          <w:i/>
          <w:lang w:val="fr-CA"/>
        </w:rPr>
        <w:t>Sahin</w:t>
      </w:r>
      <w:r w:rsidRPr="00BD3AAF">
        <w:rPr>
          <w:rFonts w:cs="Times New Roman"/>
          <w:lang w:val="fr-CA"/>
        </w:rPr>
        <w:t xml:space="preserve"> au sujet des retards et du manque de diligence en matière de contrôle de la détention aux fins de l</w:t>
      </w:r>
      <w:r>
        <w:rPr>
          <w:rFonts w:cs="Times New Roman"/>
          <w:lang w:val="fr-CA"/>
        </w:rPr>
        <w:t>’</w:t>
      </w:r>
      <w:r w:rsidRPr="00BD3AAF">
        <w:rPr>
          <w:rFonts w:cs="Times New Roman"/>
          <w:lang w:val="fr-CA"/>
        </w:rPr>
        <w:t>immigration dans le contexte de l</w:t>
      </w:r>
      <w:r>
        <w:rPr>
          <w:rFonts w:cs="Times New Roman"/>
          <w:lang w:val="fr-CA"/>
        </w:rPr>
        <w:t>’</w:t>
      </w:r>
      <w:r w:rsidRPr="00BD3AAF">
        <w:rPr>
          <w:rFonts w:cs="Times New Roman"/>
          <w:i/>
          <w:lang w:val="fr-CA"/>
        </w:rPr>
        <w:t>habeas corpus</w:t>
      </w:r>
      <w:r w:rsidRPr="00BD3AAF">
        <w:rPr>
          <w:rFonts w:cs="Times New Roman"/>
          <w:lang w:val="fr-CA"/>
        </w:rPr>
        <w:t xml:space="preserve"> (</w:t>
      </w:r>
      <w:r>
        <w:rPr>
          <w:rFonts w:cs="Times New Roman"/>
          <w:lang w:val="fr-CA"/>
        </w:rPr>
        <w:t>par. </w:t>
      </w:r>
      <w:r w:rsidRPr="00BD3AAF">
        <w:rPr>
          <w:rFonts w:cs="Times New Roman"/>
          <w:lang w:val="fr-CA"/>
        </w:rPr>
        <w:t>36). Le manque de collaboration de M. Dadzie a amené le juge Clark à conclure qu</w:t>
      </w:r>
      <w:r>
        <w:rPr>
          <w:rFonts w:cs="Times New Roman"/>
          <w:lang w:val="fr-CA"/>
        </w:rPr>
        <w:t>’</w:t>
      </w:r>
      <w:r w:rsidRPr="00BD3AAF">
        <w:rPr>
          <w:rFonts w:cs="Times New Roman"/>
          <w:lang w:val="fr-CA"/>
        </w:rPr>
        <w:t>il ne s</w:t>
      </w:r>
      <w:r>
        <w:rPr>
          <w:rFonts w:cs="Times New Roman"/>
          <w:lang w:val="fr-CA"/>
        </w:rPr>
        <w:t>’</w:t>
      </w:r>
      <w:r w:rsidRPr="00BD3AAF">
        <w:rPr>
          <w:rFonts w:cs="Times New Roman"/>
          <w:lang w:val="fr-CA"/>
        </w:rPr>
        <w:t>était pas acquitté du fardeau qui lui incombait de démontrer que sa détention avait été exceptionnellement longue.</w:t>
      </w:r>
    </w:p>
    <w:p w:rsidR="00B233C0" w:rsidRPr="00BD3AAF" w:rsidRDefault="00B233C0" w:rsidP="00B233C0">
      <w:pPr>
        <w:pStyle w:val="ParaNoNdepar-AltN"/>
        <w:rPr>
          <w:rFonts w:cs="Times New Roman"/>
          <w:lang w:val="fr-CA"/>
        </w:rPr>
      </w:pPr>
      <w:r w:rsidRPr="00BD3AAF">
        <w:rPr>
          <w:rFonts w:cs="Times New Roman"/>
          <w:lang w:val="fr-CA"/>
        </w:rPr>
        <w:t>Enfin, l</w:t>
      </w:r>
      <w:r>
        <w:rPr>
          <w:rFonts w:cs="Times New Roman"/>
          <w:lang w:val="fr-CA"/>
        </w:rPr>
        <w:t>’</w:t>
      </w:r>
      <w:r w:rsidRPr="00BD3AAF">
        <w:rPr>
          <w:rFonts w:cs="Times New Roman"/>
          <w:lang w:val="fr-CA"/>
        </w:rPr>
        <w:t>al</w:t>
      </w:r>
      <w:r w:rsidR="00F017B6">
        <w:rPr>
          <w:rFonts w:cs="Times New Roman"/>
          <w:lang w:val="fr-CA"/>
        </w:rPr>
        <w:t>.</w:t>
      </w:r>
      <w:r w:rsidRPr="00BD3AAF">
        <w:rPr>
          <w:rFonts w:cs="Times New Roman"/>
          <w:lang w:val="fr-CA"/>
        </w:rPr>
        <w:t xml:space="preserve"> 248e) du </w:t>
      </w:r>
      <w:r w:rsidRPr="00BD3AAF">
        <w:rPr>
          <w:rFonts w:cs="Times New Roman"/>
          <w:i/>
          <w:lang w:val="fr-CA"/>
        </w:rPr>
        <w:t xml:space="preserve">Règlement </w:t>
      </w:r>
      <w:r w:rsidRPr="00BD3AAF">
        <w:rPr>
          <w:rFonts w:cs="Times New Roman"/>
          <w:lang w:val="fr-CA"/>
        </w:rPr>
        <w:t>oblige la Section de l</w:t>
      </w:r>
      <w:r>
        <w:rPr>
          <w:rFonts w:cs="Times New Roman"/>
          <w:lang w:val="fr-CA"/>
        </w:rPr>
        <w:t>’</w:t>
      </w:r>
      <w:r w:rsidRPr="00BD3AAF">
        <w:rPr>
          <w:rFonts w:cs="Times New Roman"/>
          <w:lang w:val="fr-CA"/>
        </w:rPr>
        <w:t>immigration à tenir compte de l</w:t>
      </w:r>
      <w:r>
        <w:rPr>
          <w:rFonts w:cs="Times New Roman"/>
          <w:lang w:val="fr-CA"/>
        </w:rPr>
        <w:t>’</w:t>
      </w:r>
      <w:r w:rsidRPr="00BD3AAF">
        <w:rPr>
          <w:rFonts w:cs="Times New Roman"/>
          <w:lang w:val="fr-CA"/>
        </w:rPr>
        <w:t>existence de solutions de rechange à la détention. Parmi celles</w:t>
      </w:r>
      <w:r>
        <w:rPr>
          <w:rFonts w:cs="Times New Roman"/>
          <w:lang w:val="fr-CA"/>
        </w:rPr>
        <w:noBreakHyphen/>
      </w:r>
      <w:r w:rsidRPr="00BD3AAF">
        <w:rPr>
          <w:rFonts w:cs="Times New Roman"/>
          <w:lang w:val="fr-CA"/>
        </w:rPr>
        <w:t>ci, mentionnons la libération pure et simple, la mise en liberté sous caution, les obligations de se rapporter aux autorités, la résidence surveillée à un lieu précis et la détention sous une forme moins restrictive de liberté (</w:t>
      </w:r>
      <w:r w:rsidRPr="00BD3AAF">
        <w:rPr>
          <w:rFonts w:cs="Times New Roman"/>
          <w:i/>
          <w:lang w:val="fr-CA"/>
        </w:rPr>
        <w:t>Sahin</w:t>
      </w:r>
      <w:r w:rsidRPr="00BD3AAF">
        <w:rPr>
          <w:rFonts w:cs="Times New Roman"/>
          <w:lang w:val="fr-CA"/>
        </w:rPr>
        <w:t xml:space="preserve">, </w:t>
      </w:r>
      <w:r w:rsidR="00F017B6">
        <w:rPr>
          <w:rFonts w:cs="Times New Roman"/>
          <w:lang w:val="fr-CA"/>
        </w:rPr>
        <w:t>p. 231</w:t>
      </w:r>
      <w:r w:rsidRPr="00BD3AAF">
        <w:rPr>
          <w:rFonts w:cs="Times New Roman"/>
          <w:lang w:val="fr-CA"/>
        </w:rPr>
        <w:t>). L</w:t>
      </w:r>
      <w:r>
        <w:rPr>
          <w:rFonts w:cs="Times New Roman"/>
          <w:lang w:val="fr-CA"/>
        </w:rPr>
        <w:t>’</w:t>
      </w:r>
      <w:r w:rsidRPr="00BD3AAF">
        <w:rPr>
          <w:rFonts w:cs="Times New Roman"/>
          <w:lang w:val="fr-CA"/>
        </w:rPr>
        <w:t>évaluation des conditions de détention est un élément essentiel de l</w:t>
      </w:r>
      <w:r>
        <w:rPr>
          <w:rFonts w:cs="Times New Roman"/>
          <w:lang w:val="fr-CA"/>
        </w:rPr>
        <w:t>’</w:t>
      </w:r>
      <w:r w:rsidRPr="00BD3AAF">
        <w:rPr>
          <w:rFonts w:cs="Times New Roman"/>
          <w:lang w:val="fr-CA"/>
        </w:rPr>
        <w:t>analyse des solutions de rechange à la détention prévue à l</w:t>
      </w:r>
      <w:r>
        <w:rPr>
          <w:rFonts w:cs="Times New Roman"/>
          <w:lang w:val="fr-CA"/>
        </w:rPr>
        <w:t>’al. </w:t>
      </w:r>
      <w:r w:rsidRPr="00BD3AAF">
        <w:rPr>
          <w:rFonts w:cs="Times New Roman"/>
          <w:lang w:val="fr-CA"/>
        </w:rPr>
        <w:t xml:space="preserve">248e). Comme la </w:t>
      </w:r>
      <w:r w:rsidRPr="00BD3AAF">
        <w:rPr>
          <w:rFonts w:cs="Times New Roman"/>
          <w:i/>
          <w:lang w:val="fr-CA"/>
        </w:rPr>
        <w:t xml:space="preserve">Loi </w:t>
      </w:r>
      <w:r w:rsidRPr="00BD3AAF">
        <w:rPr>
          <w:rFonts w:cs="Times New Roman"/>
          <w:lang w:val="fr-CA"/>
        </w:rPr>
        <w:t>confie à la Section de l</w:t>
      </w:r>
      <w:r>
        <w:rPr>
          <w:rFonts w:cs="Times New Roman"/>
          <w:lang w:val="fr-CA"/>
        </w:rPr>
        <w:t>’</w:t>
      </w:r>
      <w:r w:rsidRPr="00BD3AAF">
        <w:rPr>
          <w:rFonts w:cs="Times New Roman"/>
          <w:lang w:val="fr-CA"/>
        </w:rPr>
        <w:t>immigration la mission d</w:t>
      </w:r>
      <w:r>
        <w:rPr>
          <w:rFonts w:cs="Times New Roman"/>
          <w:lang w:val="fr-CA"/>
        </w:rPr>
        <w:t>’</w:t>
      </w:r>
      <w:r w:rsidRPr="00BD3AAF">
        <w:rPr>
          <w:rFonts w:cs="Times New Roman"/>
          <w:lang w:val="fr-CA"/>
        </w:rPr>
        <w:t>envisager des solutions de rechange à la détention et que les décisions de la Section de l</w:t>
      </w:r>
      <w:r>
        <w:rPr>
          <w:rFonts w:cs="Times New Roman"/>
          <w:lang w:val="fr-CA"/>
        </w:rPr>
        <w:t>’</w:t>
      </w:r>
      <w:r w:rsidRPr="00BD3AAF">
        <w:rPr>
          <w:rFonts w:cs="Times New Roman"/>
          <w:lang w:val="fr-CA"/>
        </w:rPr>
        <w:t xml:space="preserve">immigration doivent être conformes à la </w:t>
      </w:r>
      <w:r w:rsidRPr="00BD3AAF">
        <w:rPr>
          <w:rFonts w:cs="Times New Roman"/>
          <w:i/>
          <w:lang w:val="fr-CA"/>
        </w:rPr>
        <w:t>Charte</w:t>
      </w:r>
      <w:r w:rsidRPr="00BD3AAF">
        <w:rPr>
          <w:rFonts w:cs="Times New Roman"/>
          <w:lang w:val="fr-CA"/>
        </w:rPr>
        <w:t xml:space="preserve"> et compte tenu du fait que la Section de l</w:t>
      </w:r>
      <w:r>
        <w:rPr>
          <w:rFonts w:cs="Times New Roman"/>
          <w:lang w:val="fr-CA"/>
        </w:rPr>
        <w:t>’</w:t>
      </w:r>
      <w:r w:rsidRPr="00BD3AAF">
        <w:rPr>
          <w:rFonts w:cs="Times New Roman"/>
          <w:lang w:val="fr-CA"/>
        </w:rPr>
        <w:t>immigration jouit d</w:t>
      </w:r>
      <w:r>
        <w:rPr>
          <w:rFonts w:cs="Times New Roman"/>
          <w:lang w:val="fr-CA"/>
        </w:rPr>
        <w:t>’</w:t>
      </w:r>
      <w:r w:rsidRPr="00BD3AAF">
        <w:rPr>
          <w:rFonts w:cs="Times New Roman"/>
          <w:lang w:val="fr-CA"/>
        </w:rPr>
        <w:t>un pouvoir discrétionnaire en ce qui concerne les conditions de mise en liberté, son pouvoir de libérer un détenu sous conditions doit comporter celui de modifier ses conditions de détention. À l</w:t>
      </w:r>
      <w:r>
        <w:rPr>
          <w:rFonts w:cs="Times New Roman"/>
          <w:lang w:val="fr-CA"/>
        </w:rPr>
        <w:t>’</w:t>
      </w:r>
      <w:r w:rsidRPr="00BD3AAF">
        <w:rPr>
          <w:rFonts w:cs="Times New Roman"/>
          <w:lang w:val="fr-CA"/>
        </w:rPr>
        <w:t>instar des cours supérieures provinciales saisies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i/>
          <w:lang w:val="fr-CA"/>
        </w:rPr>
        <w:t>habeas corpus</w:t>
      </w:r>
      <w:r w:rsidRPr="00BD3AAF">
        <w:rPr>
          <w:rFonts w:cs="Times New Roman"/>
          <w:lang w:val="fr-CA"/>
        </w:rPr>
        <w:t>, la Section de l</w:t>
      </w:r>
      <w:r>
        <w:rPr>
          <w:rFonts w:cs="Times New Roman"/>
          <w:lang w:val="fr-CA"/>
        </w:rPr>
        <w:t>’</w:t>
      </w:r>
      <w:r w:rsidRPr="00BD3AAF">
        <w:rPr>
          <w:rFonts w:cs="Times New Roman"/>
          <w:lang w:val="fr-CA"/>
        </w:rPr>
        <w:t>immigration doit être considérée comme ayant le pouvoir de libérer un détenu d</w:t>
      </w:r>
      <w:r>
        <w:rPr>
          <w:rFonts w:cs="Times New Roman"/>
          <w:lang w:val="fr-CA"/>
        </w:rPr>
        <w:t>’</w:t>
      </w:r>
      <w:r w:rsidRPr="00BD3AAF">
        <w:rPr>
          <w:rFonts w:cs="Times New Roman"/>
          <w:lang w:val="fr-CA"/>
        </w:rPr>
        <w:t>une « prison au sein d</w:t>
      </w:r>
      <w:r>
        <w:rPr>
          <w:rFonts w:cs="Times New Roman"/>
          <w:lang w:val="fr-CA"/>
        </w:rPr>
        <w:t>’</w:t>
      </w:r>
      <w:r w:rsidRPr="00BD3AAF">
        <w:rPr>
          <w:rFonts w:cs="Times New Roman"/>
          <w:lang w:val="fr-CA"/>
        </w:rPr>
        <w:t xml:space="preserve">une prison » en vertu du </w:t>
      </w:r>
      <w:r>
        <w:rPr>
          <w:rFonts w:cs="Times New Roman"/>
          <w:lang w:val="fr-CA"/>
        </w:rPr>
        <w:t>par. </w:t>
      </w:r>
      <w:r w:rsidRPr="00BD3AAF">
        <w:rPr>
          <w:rFonts w:cs="Times New Roman"/>
          <w:lang w:val="fr-CA"/>
        </w:rPr>
        <w:t xml:space="preserve">58(3) (voir </w:t>
      </w:r>
      <w:r w:rsidRPr="00BD3AAF">
        <w:rPr>
          <w:rFonts w:cs="Times New Roman"/>
          <w:i/>
          <w:lang w:val="fr-CA"/>
        </w:rPr>
        <w:t>R. c. Miller</w:t>
      </w:r>
      <w:r w:rsidRPr="00BD3AAF">
        <w:rPr>
          <w:rFonts w:cs="Times New Roman"/>
          <w:lang w:val="fr-CA"/>
        </w:rPr>
        <w:t xml:space="preserve">, [1985] 2 R.C.S. 613, </w:t>
      </w:r>
      <w:r>
        <w:rPr>
          <w:rFonts w:cs="Times New Roman"/>
          <w:lang w:val="fr-CA"/>
        </w:rPr>
        <w:t>p. </w:t>
      </w:r>
      <w:r w:rsidRPr="00BD3AAF">
        <w:rPr>
          <w:rFonts w:cs="Times New Roman"/>
          <w:lang w:val="fr-CA"/>
        </w:rPr>
        <w:t>637, le juge Le</w:t>
      </w:r>
      <w:r w:rsidR="008B67D2">
        <w:rPr>
          <w:rFonts w:cs="Times New Roman"/>
          <w:lang w:val="fr-CA"/>
        </w:rPr>
        <w:t> </w:t>
      </w:r>
      <w:r w:rsidRPr="00BD3AAF">
        <w:rPr>
          <w:rFonts w:cs="Times New Roman"/>
          <w:lang w:val="fr-CA"/>
        </w:rPr>
        <w:t xml:space="preserve">Dain; Robert J. Sharpe, </w:t>
      </w:r>
      <w:r w:rsidRPr="00BD3AAF">
        <w:rPr>
          <w:rFonts w:cs="Times New Roman"/>
          <w:i/>
          <w:lang w:val="fr-CA"/>
        </w:rPr>
        <w:t>The Law of Habeas Corpus</w:t>
      </w:r>
      <w:r w:rsidRPr="00BD3AAF">
        <w:rPr>
          <w:rFonts w:cs="Times New Roman"/>
          <w:lang w:val="fr-CA"/>
        </w:rPr>
        <w:t xml:space="preserve"> (1976), </w:t>
      </w:r>
      <w:r>
        <w:rPr>
          <w:rFonts w:cs="Times New Roman"/>
          <w:lang w:val="fr-CA"/>
        </w:rPr>
        <w:t>p. </w:t>
      </w:r>
      <w:r w:rsidRPr="00BD3AAF">
        <w:rPr>
          <w:rFonts w:cs="Times New Roman"/>
          <w:lang w:val="fr-CA"/>
        </w:rPr>
        <w:t>149).</w:t>
      </w:r>
    </w:p>
    <w:p w:rsidR="00B233C0" w:rsidRPr="00BD3AAF" w:rsidRDefault="00B233C0" w:rsidP="00B233C0">
      <w:pPr>
        <w:pStyle w:val="ParaNoNdepar-AltN"/>
        <w:rPr>
          <w:rFonts w:cs="Times New Roman"/>
          <w:lang w:val="fr-CA"/>
        </w:rPr>
      </w:pPr>
      <w:r w:rsidRPr="00BD3AAF">
        <w:rPr>
          <w:rFonts w:cs="Times New Roman"/>
          <w:lang w:val="fr-CA"/>
        </w:rPr>
        <w:t>En somme, le processus de contrôle de la Section de l</w:t>
      </w:r>
      <w:r>
        <w:rPr>
          <w:rFonts w:cs="Times New Roman"/>
          <w:lang w:val="fr-CA"/>
        </w:rPr>
        <w:t>’</w:t>
      </w:r>
      <w:r w:rsidRPr="00BD3AAF">
        <w:rPr>
          <w:rFonts w:cs="Times New Roman"/>
          <w:lang w:val="fr-CA"/>
        </w:rPr>
        <w:t xml:space="preserve">immigration régi par les </w:t>
      </w:r>
      <w:r>
        <w:rPr>
          <w:rFonts w:cs="Times New Roman"/>
          <w:lang w:val="fr-CA"/>
        </w:rPr>
        <w:t>art. </w:t>
      </w:r>
      <w:r w:rsidRPr="00BD3AAF">
        <w:rPr>
          <w:rFonts w:cs="Times New Roman"/>
          <w:lang w:val="fr-CA"/>
        </w:rPr>
        <w:t xml:space="preserve">58 de la </w:t>
      </w:r>
      <w:r w:rsidRPr="00BD3AAF">
        <w:rPr>
          <w:rFonts w:cs="Times New Roman"/>
          <w:i/>
          <w:lang w:val="fr-CA"/>
        </w:rPr>
        <w:t>LIPR</w:t>
      </w:r>
      <w:r w:rsidRPr="00BD3AAF">
        <w:rPr>
          <w:rFonts w:cs="Times New Roman"/>
          <w:lang w:val="fr-CA"/>
        </w:rPr>
        <w:t xml:space="preserve"> et 248 du </w:t>
      </w:r>
      <w:r w:rsidRPr="00BD3AAF">
        <w:rPr>
          <w:rFonts w:cs="Times New Roman"/>
          <w:i/>
          <w:lang w:val="fr-CA"/>
        </w:rPr>
        <w:t>Règlement</w:t>
      </w:r>
      <w:r w:rsidRPr="00BD3AAF">
        <w:rPr>
          <w:rFonts w:cs="Times New Roman"/>
          <w:lang w:val="fr-CA"/>
        </w:rPr>
        <w:t xml:space="preserve"> exige que la Section de l</w:t>
      </w:r>
      <w:r>
        <w:rPr>
          <w:rFonts w:cs="Times New Roman"/>
          <w:lang w:val="fr-CA"/>
        </w:rPr>
        <w:t>’</w:t>
      </w:r>
      <w:r w:rsidRPr="00BD3AAF">
        <w:rPr>
          <w:rFonts w:cs="Times New Roman"/>
          <w:lang w:val="fr-CA"/>
        </w:rPr>
        <w:t>immigration examine les motifs de la détention, sa durée, la durée anticipée du prolongement de la détention, les retards ou le manque de diligence, puis, l</w:t>
      </w:r>
      <w:r>
        <w:rPr>
          <w:rFonts w:cs="Times New Roman"/>
          <w:lang w:val="fr-CA"/>
        </w:rPr>
        <w:t>’</w:t>
      </w:r>
      <w:r w:rsidRPr="00BD3AAF">
        <w:rPr>
          <w:rFonts w:cs="Times New Roman"/>
          <w:lang w:val="fr-CA"/>
        </w:rPr>
        <w:t>existence, l</w:t>
      </w:r>
      <w:r>
        <w:rPr>
          <w:rFonts w:cs="Times New Roman"/>
          <w:lang w:val="fr-CA"/>
        </w:rPr>
        <w:t>’</w:t>
      </w:r>
      <w:r w:rsidRPr="00BD3AAF">
        <w:rPr>
          <w:rFonts w:cs="Times New Roman"/>
          <w:lang w:val="fr-CA"/>
        </w:rPr>
        <w:t>efficacité et l</w:t>
      </w:r>
      <w:r>
        <w:rPr>
          <w:rFonts w:cs="Times New Roman"/>
          <w:lang w:val="fr-CA"/>
        </w:rPr>
        <w:t>’</w:t>
      </w:r>
      <w:r w:rsidRPr="00BD3AAF">
        <w:rPr>
          <w:rFonts w:cs="Times New Roman"/>
          <w:lang w:val="fr-CA"/>
        </w:rPr>
        <w:t>opportunité des solutions de rechange à la détention, y compris les changements dans les conditions de détention. Il s</w:t>
      </w:r>
      <w:r>
        <w:rPr>
          <w:rFonts w:cs="Times New Roman"/>
          <w:lang w:val="fr-CA"/>
        </w:rPr>
        <w:t>’</w:t>
      </w:r>
      <w:r w:rsidRPr="00BD3AAF">
        <w:rPr>
          <w:rFonts w:cs="Times New Roman"/>
          <w:lang w:val="fr-CA"/>
        </w:rPr>
        <w:t>agit des mêmes considérations que celles dont une cour supérieure saisie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i/>
          <w:lang w:val="fr-CA"/>
        </w:rPr>
        <w:t>habeas corpus</w:t>
      </w:r>
      <w:r w:rsidRPr="00BD3AAF">
        <w:rPr>
          <w:rFonts w:cs="Times New Roman"/>
          <w:lang w:val="fr-CA"/>
        </w:rPr>
        <w:t xml:space="preserve"> tient compte pour déterminer si le maintien de la détention de l</w:t>
      </w:r>
      <w:r>
        <w:rPr>
          <w:rFonts w:cs="Times New Roman"/>
          <w:lang w:val="fr-CA"/>
        </w:rPr>
        <w:t>’</w:t>
      </w:r>
      <w:r w:rsidRPr="00BD3AAF">
        <w:rPr>
          <w:rFonts w:cs="Times New Roman"/>
          <w:lang w:val="fr-CA"/>
        </w:rPr>
        <w:t xml:space="preserve">immigrant viole ou non les </w:t>
      </w:r>
      <w:r>
        <w:rPr>
          <w:rFonts w:cs="Times New Roman"/>
          <w:lang w:val="fr-CA"/>
        </w:rPr>
        <w:t>art. </w:t>
      </w:r>
      <w:r w:rsidRPr="00BD3AAF">
        <w:rPr>
          <w:rFonts w:cs="Times New Roman"/>
          <w:lang w:val="fr-CA"/>
        </w:rPr>
        <w:t xml:space="preserve">7, 9 ou 12 de la </w:t>
      </w:r>
      <w:r w:rsidRPr="00BD3AAF">
        <w:rPr>
          <w:rFonts w:cs="Times New Roman"/>
          <w:i/>
          <w:lang w:val="fr-CA"/>
        </w:rPr>
        <w:t>Charte</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La Section de l</w:t>
      </w:r>
      <w:r>
        <w:rPr>
          <w:rFonts w:cs="Times New Roman"/>
          <w:lang w:val="fr-CA"/>
        </w:rPr>
        <w:t>’</w:t>
      </w:r>
      <w:r w:rsidRPr="00BD3AAF">
        <w:rPr>
          <w:rFonts w:cs="Times New Roman"/>
          <w:lang w:val="fr-CA"/>
        </w:rPr>
        <w:t>immigration a le même mandat constitutionnel ainsi que l</w:t>
      </w:r>
      <w:r>
        <w:rPr>
          <w:rFonts w:cs="Times New Roman"/>
          <w:lang w:val="fr-CA"/>
        </w:rPr>
        <w:t>’</w:t>
      </w:r>
      <w:r w:rsidRPr="00BD3AAF">
        <w:rPr>
          <w:rFonts w:cs="Times New Roman"/>
          <w:lang w:val="fr-CA"/>
        </w:rPr>
        <w:t>obligation primordiale de donner effet à [</w:t>
      </w:r>
      <w:r w:rsidRPr="00BD3AAF">
        <w:rPr>
          <w:rFonts w:cs="Times New Roman"/>
          <w:smallCaps/>
          <w:lang w:val="fr-CA"/>
        </w:rPr>
        <w:t>traduction</w:t>
      </w:r>
      <w:r>
        <w:rPr>
          <w:rFonts w:cs="Times New Roman"/>
          <w:lang w:val="fr-CA"/>
        </w:rPr>
        <w:t xml:space="preserve">] </w:t>
      </w:r>
      <w:r w:rsidRPr="00BD3AAF">
        <w:rPr>
          <w:rFonts w:cs="Times New Roman"/>
          <w:lang w:val="fr-CA"/>
        </w:rPr>
        <w:t>« une mesure législative qui est censée établir un régime complet [. . .] pour l</w:t>
      </w:r>
      <w:r>
        <w:rPr>
          <w:rFonts w:cs="Times New Roman"/>
          <w:lang w:val="fr-CA"/>
        </w:rPr>
        <w:t>’</w:t>
      </w:r>
      <w:r w:rsidRPr="00BD3AAF">
        <w:rPr>
          <w:rFonts w:cs="Times New Roman"/>
          <w:lang w:val="fr-CA"/>
        </w:rPr>
        <w:t>administration et la révision des procédures [. . .] en matière d</w:t>
      </w:r>
      <w:r>
        <w:rPr>
          <w:rFonts w:cs="Times New Roman"/>
          <w:lang w:val="fr-CA"/>
        </w:rPr>
        <w:t>’</w:t>
      </w:r>
      <w:r w:rsidRPr="00BD3AAF">
        <w:rPr>
          <w:rFonts w:cs="Times New Roman"/>
          <w:lang w:val="fr-CA"/>
        </w:rPr>
        <w:t>immigration » (</w:t>
      </w:r>
      <w:r w:rsidRPr="00BD3AAF">
        <w:rPr>
          <w:rFonts w:cs="Times New Roman"/>
          <w:i/>
          <w:lang w:val="fr-CA"/>
        </w:rPr>
        <w:t>Peiroo</w:t>
      </w:r>
      <w:r w:rsidRPr="00BD3AAF">
        <w:rPr>
          <w:rFonts w:cs="Times New Roman"/>
          <w:lang w:val="fr-CA"/>
        </w:rPr>
        <w:t xml:space="preserve">, </w:t>
      </w:r>
      <w:r>
        <w:rPr>
          <w:rFonts w:cs="Times New Roman"/>
          <w:lang w:val="fr-CA"/>
        </w:rPr>
        <w:t>p. </w:t>
      </w:r>
      <w:r w:rsidRPr="00BD3AAF">
        <w:rPr>
          <w:rFonts w:cs="Times New Roman"/>
          <w:lang w:val="fr-CA"/>
        </w:rPr>
        <w:t xml:space="preserve">262; voir également </w:t>
      </w:r>
      <w:r w:rsidRPr="00BD3AAF">
        <w:rPr>
          <w:rFonts w:cs="Times New Roman"/>
          <w:i/>
          <w:lang w:val="fr-CA"/>
        </w:rPr>
        <w:t>Reza c. Canada</w:t>
      </w:r>
      <w:r w:rsidRPr="00BD3AAF">
        <w:rPr>
          <w:rFonts w:cs="Times New Roman"/>
          <w:lang w:val="fr-CA"/>
        </w:rPr>
        <w:t xml:space="preserve"> (1992), 11 O.R. (3d) 65 (C.A.), </w:t>
      </w:r>
      <w:r>
        <w:rPr>
          <w:rFonts w:cs="Times New Roman"/>
          <w:lang w:val="fr-CA"/>
        </w:rPr>
        <w:t>p. </w:t>
      </w:r>
      <w:r w:rsidRPr="00BD3AAF">
        <w:rPr>
          <w:rFonts w:cs="Times New Roman"/>
          <w:lang w:val="fr-CA"/>
        </w:rPr>
        <w:t>80). M. Chhina tente de faire fi de l</w:t>
      </w:r>
      <w:r>
        <w:rPr>
          <w:rFonts w:cs="Times New Roman"/>
          <w:lang w:val="fr-CA"/>
        </w:rPr>
        <w:t>’</w:t>
      </w:r>
      <w:r w:rsidRPr="00BD3AAF">
        <w:rPr>
          <w:rFonts w:cs="Times New Roman"/>
          <w:lang w:val="fr-CA"/>
        </w:rPr>
        <w:t xml:space="preserve">organe expressément et exclusivement chargé de réaliser les objectifs de la </w:t>
      </w:r>
      <w:r w:rsidRPr="00BD3AAF">
        <w:rPr>
          <w:rFonts w:cs="Times New Roman"/>
          <w:i/>
          <w:lang w:val="fr-CA"/>
        </w:rPr>
        <w:t>LIPR</w:t>
      </w:r>
      <w:r w:rsidRPr="00BD3AAF">
        <w:rPr>
          <w:rFonts w:cs="Times New Roman"/>
          <w:lang w:val="fr-CA"/>
        </w:rPr>
        <w:t xml:space="preserve"> en se parant du ruban de la </w:t>
      </w:r>
      <w:r w:rsidRPr="00BD3AAF">
        <w:rPr>
          <w:rFonts w:cs="Times New Roman"/>
          <w:i/>
          <w:lang w:val="fr-CA"/>
        </w:rPr>
        <w:t>Charte</w:t>
      </w:r>
      <w:r w:rsidRPr="00BD3AAF">
        <w:rPr>
          <w:rFonts w:cs="Times New Roman"/>
          <w:lang w:val="fr-CA"/>
        </w:rPr>
        <w:t xml:space="preserve"> pour contester sa détention aux fins de l</w:t>
      </w:r>
      <w:r>
        <w:rPr>
          <w:rFonts w:cs="Times New Roman"/>
          <w:lang w:val="fr-CA"/>
        </w:rPr>
        <w:t>’</w:t>
      </w:r>
      <w:r w:rsidRPr="00BD3AAF">
        <w:rPr>
          <w:rFonts w:cs="Times New Roman"/>
          <w:lang w:val="fr-CA"/>
        </w:rPr>
        <w:t>immigration.</w:t>
      </w:r>
    </w:p>
    <w:p w:rsidR="00B233C0" w:rsidRPr="00BD3AAF" w:rsidRDefault="00B233C0" w:rsidP="00B233C0">
      <w:pPr>
        <w:pStyle w:val="ParaNoNdepar-AltN"/>
        <w:rPr>
          <w:rFonts w:cs="Times New Roman"/>
          <w:lang w:val="fr-CA"/>
        </w:rPr>
      </w:pPr>
      <w:r w:rsidRPr="00BD3AAF">
        <w:rPr>
          <w:rFonts w:cs="Times New Roman"/>
          <w:szCs w:val="24"/>
          <w:lang w:val="fr-CA"/>
        </w:rPr>
        <w:t>Dans l</w:t>
      </w:r>
      <w:r>
        <w:rPr>
          <w:rFonts w:cs="Times New Roman"/>
          <w:szCs w:val="24"/>
          <w:lang w:val="fr-CA"/>
        </w:rPr>
        <w:t>’</w:t>
      </w:r>
      <w:r w:rsidRPr="00BD3AAF">
        <w:rPr>
          <w:rFonts w:cs="Times New Roman"/>
          <w:szCs w:val="24"/>
          <w:lang w:val="fr-CA"/>
        </w:rPr>
        <w:t xml:space="preserve">arrêt </w:t>
      </w:r>
      <w:r w:rsidRPr="00BD3AAF">
        <w:rPr>
          <w:rFonts w:cs="Times New Roman"/>
          <w:i/>
          <w:szCs w:val="24"/>
          <w:lang w:val="fr-CA"/>
        </w:rPr>
        <w:t>Reza</w:t>
      </w:r>
      <w:r w:rsidRPr="00BD3AAF">
        <w:rPr>
          <w:rFonts w:cs="Times New Roman"/>
          <w:szCs w:val="24"/>
          <w:lang w:val="fr-CA"/>
        </w:rPr>
        <w:t>, la Cour a déjoué des tentatives semblables faites par le demandeur pour passer outre au régime d</w:t>
      </w:r>
      <w:r>
        <w:rPr>
          <w:rFonts w:cs="Times New Roman"/>
          <w:szCs w:val="24"/>
          <w:lang w:val="fr-CA"/>
        </w:rPr>
        <w:t>’</w:t>
      </w:r>
      <w:r w:rsidRPr="00BD3AAF">
        <w:rPr>
          <w:rFonts w:cs="Times New Roman"/>
          <w:szCs w:val="24"/>
          <w:lang w:val="fr-CA"/>
        </w:rPr>
        <w:t>immigration en vue d</w:t>
      </w:r>
      <w:r>
        <w:rPr>
          <w:rFonts w:cs="Times New Roman"/>
          <w:szCs w:val="24"/>
          <w:lang w:val="fr-CA"/>
        </w:rPr>
        <w:t>’</w:t>
      </w:r>
      <w:r w:rsidRPr="00BD3AAF">
        <w:rPr>
          <w:rFonts w:cs="Times New Roman"/>
          <w:szCs w:val="24"/>
          <w:lang w:val="fr-CA"/>
        </w:rPr>
        <w:t>obtenir une solution constitutionnelle en sa faveur. Nous reconnaissions ainsi que l</w:t>
      </w:r>
      <w:r>
        <w:rPr>
          <w:rFonts w:cs="Times New Roman"/>
          <w:szCs w:val="24"/>
          <w:lang w:val="fr-CA"/>
        </w:rPr>
        <w:t>’</w:t>
      </w:r>
      <w:r w:rsidRPr="00BD3AAF">
        <w:rPr>
          <w:rFonts w:cs="Times New Roman"/>
          <w:szCs w:val="24"/>
          <w:lang w:val="fr-CA"/>
        </w:rPr>
        <w:t>expertise de la Section de l</w:t>
      </w:r>
      <w:r>
        <w:rPr>
          <w:rFonts w:cs="Times New Roman"/>
          <w:szCs w:val="24"/>
          <w:lang w:val="fr-CA"/>
        </w:rPr>
        <w:t>’</w:t>
      </w:r>
      <w:r w:rsidRPr="00BD3AAF">
        <w:rPr>
          <w:rFonts w:cs="Times New Roman"/>
          <w:szCs w:val="24"/>
          <w:lang w:val="fr-CA"/>
        </w:rPr>
        <w:t>immigration en matière d</w:t>
      </w:r>
      <w:r>
        <w:rPr>
          <w:rFonts w:cs="Times New Roman"/>
          <w:szCs w:val="24"/>
          <w:lang w:val="fr-CA"/>
        </w:rPr>
        <w:t>’</w:t>
      </w:r>
      <w:r w:rsidRPr="00BD3AAF">
        <w:rPr>
          <w:rFonts w:cs="Times New Roman"/>
          <w:szCs w:val="24"/>
          <w:lang w:val="fr-CA"/>
        </w:rPr>
        <w:t>immigration s</w:t>
      </w:r>
      <w:r>
        <w:rPr>
          <w:rFonts w:cs="Times New Roman"/>
          <w:szCs w:val="24"/>
          <w:lang w:val="fr-CA"/>
        </w:rPr>
        <w:t>’</w:t>
      </w:r>
      <w:r w:rsidRPr="00BD3AAF">
        <w:rPr>
          <w:rFonts w:cs="Times New Roman"/>
          <w:szCs w:val="24"/>
          <w:lang w:val="fr-CA"/>
        </w:rPr>
        <w:t xml:space="preserve">étendait aux aspects </w:t>
      </w:r>
      <w:r w:rsidRPr="00BD3AAF">
        <w:rPr>
          <w:rFonts w:cs="Times New Roman"/>
          <w:i/>
          <w:szCs w:val="24"/>
          <w:lang w:val="fr-CA"/>
        </w:rPr>
        <w:t>constitutionnels</w:t>
      </w:r>
      <w:r w:rsidRPr="00BD3AAF">
        <w:rPr>
          <w:rFonts w:cs="Times New Roman"/>
          <w:szCs w:val="24"/>
          <w:lang w:val="fr-CA"/>
        </w:rPr>
        <w:t xml:space="preserve"> des questions d</w:t>
      </w:r>
      <w:r>
        <w:rPr>
          <w:rFonts w:cs="Times New Roman"/>
          <w:szCs w:val="24"/>
          <w:lang w:val="fr-CA"/>
        </w:rPr>
        <w:t>’</w:t>
      </w:r>
      <w:r w:rsidRPr="00BD3AAF">
        <w:rPr>
          <w:rFonts w:cs="Times New Roman"/>
          <w:szCs w:val="24"/>
          <w:lang w:val="fr-CA"/>
        </w:rPr>
        <w:t xml:space="preserve">immigration. Comme </w:t>
      </w:r>
      <w:r w:rsidRPr="00BD3AAF">
        <w:rPr>
          <w:rFonts w:cs="Times New Roman"/>
          <w:lang w:val="fr-CA"/>
        </w:rPr>
        <w:t>le juge La Forest l</w:t>
      </w:r>
      <w:r>
        <w:rPr>
          <w:rFonts w:cs="Times New Roman"/>
          <w:lang w:val="fr-CA"/>
        </w:rPr>
        <w:t>’</w:t>
      </w:r>
      <w:r w:rsidRPr="00BD3AAF">
        <w:rPr>
          <w:rFonts w:cs="Times New Roman"/>
          <w:lang w:val="fr-CA"/>
        </w:rPr>
        <w:t>écrivait dans l</w:t>
      </w:r>
      <w:r>
        <w:rPr>
          <w:rFonts w:cs="Times New Roman"/>
          <w:lang w:val="fr-CA"/>
        </w:rPr>
        <w:t>’</w:t>
      </w:r>
      <w:r w:rsidRPr="00BD3AAF">
        <w:rPr>
          <w:rFonts w:cs="Times New Roman"/>
          <w:lang w:val="fr-CA"/>
        </w:rPr>
        <w:t xml:space="preserve">arrêt </w:t>
      </w:r>
      <w:r w:rsidRPr="00BD3AAF">
        <w:rPr>
          <w:rFonts w:cs="Times New Roman"/>
          <w:i/>
          <w:spacing w:val="-3"/>
          <w:lang w:val="fr-CA"/>
        </w:rPr>
        <w:t>Cuddy Chicks Ltd.</w:t>
      </w:r>
      <w:r w:rsidRPr="00BD3AAF">
        <w:rPr>
          <w:rFonts w:cs="Times New Roman"/>
          <w:i/>
          <w:iCs/>
          <w:spacing w:val="-3"/>
          <w:lang w:val="fr-CA"/>
        </w:rPr>
        <w:t xml:space="preserve"> c.</w:t>
      </w:r>
      <w:r w:rsidRPr="00BD3AAF">
        <w:rPr>
          <w:rFonts w:cs="Times New Roman"/>
          <w:i/>
          <w:spacing w:val="-3"/>
          <w:lang w:val="fr-CA"/>
        </w:rPr>
        <w:t xml:space="preserve"> Ontario (Commission des relations de travail)</w:t>
      </w:r>
      <w:r w:rsidRPr="00BD3AAF">
        <w:rPr>
          <w:rFonts w:cs="Times New Roman"/>
          <w:spacing w:val="-3"/>
          <w:lang w:val="fr-CA"/>
        </w:rPr>
        <w:t>, [1991] 2 R.C.S. 5</w:t>
      </w:r>
      <w:r>
        <w:rPr>
          <w:rFonts w:cs="Times New Roman"/>
          <w:spacing w:val="-3"/>
          <w:lang w:val="fr-CA"/>
        </w:rPr>
        <w:t> :</w:t>
      </w:r>
    </w:p>
    <w:p w:rsidR="00B233C0" w:rsidRPr="00BD3AAF" w:rsidRDefault="00B233C0" w:rsidP="00B233C0">
      <w:pPr>
        <w:pStyle w:val="Citation-AltC"/>
        <w:spacing w:after="240"/>
        <w:ind w:left="1168" w:hanging="1168"/>
        <w:contextualSpacing w:val="0"/>
        <w:rPr>
          <w:lang w:val="fr-CA"/>
        </w:rPr>
      </w:pPr>
      <w:r w:rsidRPr="00BD3AAF">
        <w:rPr>
          <w:spacing w:val="-3"/>
          <w:lang w:val="fr-CA"/>
        </w:rPr>
        <w:tab/>
        <w:t>Il faut souligner que le processus consistant à rendre des décisions à la lumière de la</w:t>
      </w:r>
      <w:r w:rsidRPr="00BD3AAF">
        <w:rPr>
          <w:i/>
          <w:iCs/>
          <w:spacing w:val="-3"/>
          <w:lang w:val="fr-CA"/>
        </w:rPr>
        <w:t xml:space="preserve"> Charte</w:t>
      </w:r>
      <w:r w:rsidRPr="00BD3AAF">
        <w:rPr>
          <w:spacing w:val="-3"/>
          <w:lang w:val="fr-CA"/>
        </w:rPr>
        <w:t xml:space="preserve"> ne se limite pas à des ruminations abstraites sur la théorie constitutionnelle. Lorsque des questions relatives à la</w:t>
      </w:r>
      <w:r w:rsidRPr="00BD3AAF">
        <w:rPr>
          <w:i/>
          <w:iCs/>
          <w:spacing w:val="-3"/>
          <w:lang w:val="fr-CA"/>
        </w:rPr>
        <w:t xml:space="preserve"> Charte</w:t>
      </w:r>
      <w:r w:rsidRPr="00BD3AAF">
        <w:rPr>
          <w:spacing w:val="-3"/>
          <w:lang w:val="fr-CA"/>
        </w:rPr>
        <w:t xml:space="preserve"> sont soulevées dans un contexte de réglementation donné, la capacité du décisionnaire d</w:t>
      </w:r>
      <w:r>
        <w:rPr>
          <w:spacing w:val="-3"/>
          <w:lang w:val="fr-CA"/>
        </w:rPr>
        <w:t>’</w:t>
      </w:r>
      <w:r w:rsidRPr="00BD3AAF">
        <w:rPr>
          <w:spacing w:val="-3"/>
          <w:lang w:val="fr-CA"/>
        </w:rPr>
        <w:t>analyser des considérations de principe o</w:t>
      </w:r>
      <w:r w:rsidR="008B67D2">
        <w:rPr>
          <w:spacing w:val="-3"/>
          <w:lang w:val="fr-CA"/>
        </w:rPr>
        <w:t>pposées est fondamentale . . .</w:t>
      </w:r>
    </w:p>
    <w:p w:rsidR="00B233C0" w:rsidRPr="00BD3AAF" w:rsidRDefault="00B233C0" w:rsidP="00B233C0">
      <w:pPr>
        <w:pStyle w:val="Citation-AltC"/>
        <w:spacing w:after="240"/>
        <w:ind w:left="1168" w:hanging="1168"/>
        <w:contextualSpacing w:val="0"/>
        <w:jc w:val="center"/>
        <w:rPr>
          <w:lang w:val="fr-CA"/>
        </w:rPr>
      </w:pPr>
      <w:r w:rsidRPr="00BD3AAF">
        <w:rPr>
          <w:lang w:val="fr-CA"/>
        </w:rPr>
        <w:tab/>
        <w:t>. . .</w:t>
      </w:r>
    </w:p>
    <w:p w:rsidR="00B233C0" w:rsidRPr="00BD3AAF" w:rsidRDefault="00B233C0" w:rsidP="00700AC4">
      <w:pPr>
        <w:pStyle w:val="Citation-AltC"/>
        <w:tabs>
          <w:tab w:val="left" w:pos="1530"/>
        </w:tabs>
        <w:ind w:left="1168" w:hanging="1168"/>
        <w:contextualSpacing w:val="0"/>
        <w:rPr>
          <w:lang w:val="fr-CA"/>
        </w:rPr>
      </w:pPr>
      <w:r w:rsidRPr="00BD3AAF">
        <w:rPr>
          <w:spacing w:val="-3"/>
          <w:lang w:val="fr-CA"/>
        </w:rPr>
        <w:tab/>
      </w:r>
      <w:r w:rsidR="00700AC4">
        <w:rPr>
          <w:spacing w:val="-3"/>
          <w:lang w:val="fr-CA"/>
        </w:rPr>
        <w:tab/>
      </w:r>
      <w:r w:rsidRPr="00BD3AAF">
        <w:rPr>
          <w:spacing w:val="-3"/>
          <w:lang w:val="fr-CA"/>
        </w:rPr>
        <w:t>Il est donc évident qu</w:t>
      </w:r>
      <w:r>
        <w:rPr>
          <w:spacing w:val="-3"/>
          <w:lang w:val="fr-CA"/>
        </w:rPr>
        <w:t>’</w:t>
      </w:r>
      <w:r w:rsidRPr="00BD3AAF">
        <w:rPr>
          <w:spacing w:val="-3"/>
          <w:lang w:val="fr-CA"/>
        </w:rPr>
        <w:t>un tribunal spécialisé [. . .] peut appliquer son expertise de façon très fonctionnelle et productive à trancher les questions relatives à la</w:t>
      </w:r>
      <w:r w:rsidRPr="00BD3AAF">
        <w:rPr>
          <w:i/>
          <w:iCs/>
          <w:spacing w:val="-3"/>
          <w:lang w:val="fr-CA"/>
        </w:rPr>
        <w:t xml:space="preserve"> Charte</w:t>
      </w:r>
      <w:r w:rsidRPr="00BD3AAF">
        <w:rPr>
          <w:spacing w:val="-3"/>
          <w:lang w:val="fr-CA"/>
        </w:rPr>
        <w:t xml:space="preserve"> qui requièrent cette expertise. [</w:t>
      </w:r>
      <w:r>
        <w:rPr>
          <w:spacing w:val="-3"/>
          <w:lang w:val="fr-CA"/>
        </w:rPr>
        <w:t>p. </w:t>
      </w:r>
      <w:r w:rsidR="00700AC4">
        <w:rPr>
          <w:spacing w:val="-3"/>
          <w:lang w:val="fr-CA"/>
        </w:rPr>
        <w:t>16-18</w:t>
      </w:r>
      <w:r w:rsidRPr="00BD3AAF">
        <w:rPr>
          <w:spacing w:val="-3"/>
          <w:lang w:val="fr-CA"/>
        </w:rPr>
        <w:t>]</w:t>
      </w:r>
    </w:p>
    <w:p w:rsidR="00B233C0" w:rsidRPr="00BD3AAF" w:rsidRDefault="00B233C0" w:rsidP="00B233C0">
      <w:pPr>
        <w:pStyle w:val="ParaNoNdepar-AltN"/>
        <w:rPr>
          <w:rFonts w:cs="Times New Roman"/>
          <w:szCs w:val="24"/>
          <w:lang w:val="fr-CA"/>
        </w:rPr>
      </w:pPr>
      <w:r w:rsidRPr="00BD3AAF">
        <w:rPr>
          <w:rFonts w:cs="Times New Roman"/>
          <w:szCs w:val="24"/>
          <w:lang w:val="fr-CA"/>
        </w:rPr>
        <w:t xml:space="preserve">Malgré les tentatives faites par M. Reza pour qualifier sa contestation de constitutionnelle, la Cour a reconnu que ses arguments fondés sur la </w:t>
      </w:r>
      <w:r w:rsidRPr="00BD3AAF">
        <w:rPr>
          <w:rFonts w:cs="Times New Roman"/>
          <w:i/>
          <w:szCs w:val="24"/>
          <w:lang w:val="fr-CA"/>
        </w:rPr>
        <w:t xml:space="preserve">Charte </w:t>
      </w:r>
      <w:r w:rsidRPr="00BD3AAF">
        <w:rPr>
          <w:rFonts w:cs="Times New Roman"/>
          <w:szCs w:val="24"/>
          <w:lang w:val="fr-CA"/>
        </w:rPr>
        <w:t>reposaient essentiellement sur des politiques d</w:t>
      </w:r>
      <w:r>
        <w:rPr>
          <w:rFonts w:cs="Times New Roman"/>
          <w:szCs w:val="24"/>
          <w:lang w:val="fr-CA"/>
        </w:rPr>
        <w:t>’</w:t>
      </w:r>
      <w:r w:rsidRPr="00BD3AAF">
        <w:rPr>
          <w:rFonts w:cs="Times New Roman"/>
          <w:szCs w:val="24"/>
          <w:lang w:val="fr-CA"/>
        </w:rPr>
        <w:t>immigration. Il en va de même pour les moyens que M. Chhina tire en l</w:t>
      </w:r>
      <w:r>
        <w:rPr>
          <w:rFonts w:cs="Times New Roman"/>
          <w:szCs w:val="24"/>
          <w:lang w:val="fr-CA"/>
        </w:rPr>
        <w:t>’</w:t>
      </w:r>
      <w:r w:rsidRPr="00BD3AAF">
        <w:rPr>
          <w:rFonts w:cs="Times New Roman"/>
          <w:szCs w:val="24"/>
          <w:lang w:val="fr-CA"/>
        </w:rPr>
        <w:t xml:space="preserve">espèce de la </w:t>
      </w:r>
      <w:r w:rsidRPr="00BD3AAF">
        <w:rPr>
          <w:rFonts w:cs="Times New Roman"/>
          <w:i/>
          <w:szCs w:val="24"/>
          <w:lang w:val="fr-CA"/>
        </w:rPr>
        <w:t xml:space="preserve">Charte </w:t>
      </w:r>
      <w:r w:rsidRPr="00BD3AAF">
        <w:rPr>
          <w:rFonts w:cs="Times New Roman"/>
          <w:szCs w:val="24"/>
          <w:lang w:val="fr-CA"/>
        </w:rPr>
        <w:t xml:space="preserve">et qui découlent des décisions de la </w:t>
      </w:r>
      <w:r w:rsidRPr="00BD3AAF">
        <w:rPr>
          <w:rFonts w:cs="Times New Roman"/>
          <w:lang w:val="fr-CA"/>
        </w:rPr>
        <w:t>Section de l</w:t>
      </w:r>
      <w:r>
        <w:rPr>
          <w:rFonts w:cs="Times New Roman"/>
          <w:lang w:val="fr-CA"/>
        </w:rPr>
        <w:t>’</w:t>
      </w:r>
      <w:r w:rsidRPr="00BD3AAF">
        <w:rPr>
          <w:rFonts w:cs="Times New Roman"/>
          <w:lang w:val="fr-CA"/>
        </w:rPr>
        <w:t>immigration de prolonger sa détention. Ce sont là des questions qui se situent au cœur même des politiques d</w:t>
      </w:r>
      <w:r>
        <w:rPr>
          <w:rFonts w:cs="Times New Roman"/>
          <w:lang w:val="fr-CA"/>
        </w:rPr>
        <w:t>’</w:t>
      </w:r>
      <w:r w:rsidRPr="00BD3AAF">
        <w:rPr>
          <w:rFonts w:cs="Times New Roman"/>
          <w:lang w:val="fr-CA"/>
        </w:rPr>
        <w:t>immigration. La Section de l</w:t>
      </w:r>
      <w:r>
        <w:rPr>
          <w:rFonts w:cs="Times New Roman"/>
          <w:lang w:val="fr-CA"/>
        </w:rPr>
        <w:t>’</w:t>
      </w:r>
      <w:r w:rsidRPr="00BD3AAF">
        <w:rPr>
          <w:rFonts w:cs="Times New Roman"/>
          <w:lang w:val="fr-CA"/>
        </w:rPr>
        <w:t xml:space="preserve">immigration est le forum qui convient le mieux pour intégrer les droits garantis par la </w:t>
      </w:r>
      <w:r w:rsidRPr="00BD3AAF">
        <w:rPr>
          <w:rFonts w:cs="Times New Roman"/>
          <w:i/>
          <w:lang w:val="fr-CA"/>
        </w:rPr>
        <w:t xml:space="preserve">Charte </w:t>
      </w:r>
      <w:r w:rsidRPr="00BD3AAF">
        <w:rPr>
          <w:rFonts w:cs="Times New Roman"/>
          <w:lang w:val="fr-CA"/>
        </w:rPr>
        <w:t>à l</w:t>
      </w:r>
      <w:r>
        <w:rPr>
          <w:rFonts w:cs="Times New Roman"/>
          <w:lang w:val="fr-CA"/>
        </w:rPr>
        <w:t>’</w:t>
      </w:r>
      <w:r w:rsidRPr="00BD3AAF">
        <w:rPr>
          <w:rFonts w:cs="Times New Roman"/>
          <w:lang w:val="fr-CA"/>
        </w:rPr>
        <w:t xml:space="preserve">économie de la </w:t>
      </w:r>
      <w:r w:rsidRPr="00BD3AAF">
        <w:rPr>
          <w:rFonts w:cs="Times New Roman"/>
          <w:i/>
          <w:lang w:val="fr-CA"/>
        </w:rPr>
        <w:t>LIPR</w:t>
      </w:r>
      <w:r w:rsidRPr="00BD3AAF">
        <w:rPr>
          <w:rFonts w:cs="Times New Roman"/>
          <w:lang w:val="fr-CA"/>
        </w:rPr>
        <w:t xml:space="preserve"> et à ses objets.</w:t>
      </w:r>
    </w:p>
    <w:p w:rsidR="00B233C0" w:rsidRPr="00BD3AAF" w:rsidRDefault="00B233C0" w:rsidP="00B233C0">
      <w:pPr>
        <w:pStyle w:val="ParaNoNdepar-AltN"/>
        <w:rPr>
          <w:rFonts w:cs="Times New Roman"/>
          <w:lang w:val="fr-CA"/>
        </w:rPr>
      </w:pPr>
      <w:r w:rsidRPr="00BD3AAF">
        <w:rPr>
          <w:rFonts w:cs="Times New Roman"/>
          <w:lang w:val="fr-CA"/>
        </w:rPr>
        <w:t>Il ressort de l</w:t>
      </w:r>
      <w:r>
        <w:rPr>
          <w:rFonts w:cs="Times New Roman"/>
          <w:lang w:val="fr-CA"/>
        </w:rPr>
        <w:t>’</w:t>
      </w:r>
      <w:r w:rsidRPr="00BD3AAF">
        <w:rPr>
          <w:rFonts w:cs="Times New Roman"/>
          <w:lang w:val="fr-CA"/>
        </w:rPr>
        <w:t>analyse qui précède que, si on l</w:t>
      </w:r>
      <w:r>
        <w:rPr>
          <w:rFonts w:cs="Times New Roman"/>
          <w:lang w:val="fr-CA"/>
        </w:rPr>
        <w:t>’</w:t>
      </w:r>
      <w:r w:rsidRPr="00BD3AAF">
        <w:rPr>
          <w:rFonts w:cs="Times New Roman"/>
          <w:lang w:val="fr-CA"/>
        </w:rPr>
        <w:t>interprète correctement, le régime de contrôle des motifs de la détention aux fins de l</w:t>
      </w:r>
      <w:r>
        <w:rPr>
          <w:rFonts w:cs="Times New Roman"/>
          <w:lang w:val="fr-CA"/>
        </w:rPr>
        <w:t>’</w:t>
      </w:r>
      <w:r w:rsidRPr="00BD3AAF">
        <w:rPr>
          <w:rFonts w:cs="Times New Roman"/>
          <w:lang w:val="fr-CA"/>
        </w:rPr>
        <w:t xml:space="preserve">immigration établi par la </w:t>
      </w:r>
      <w:r w:rsidRPr="00BD3AAF">
        <w:rPr>
          <w:rFonts w:cs="Times New Roman"/>
          <w:i/>
          <w:lang w:val="fr-CA"/>
        </w:rPr>
        <w:t>LIPR</w:t>
      </w:r>
      <w:r w:rsidRPr="00BD3AAF">
        <w:rPr>
          <w:rFonts w:cs="Times New Roman"/>
          <w:lang w:val="fr-CA"/>
        </w:rPr>
        <w:t xml:space="preserve"> offre aux détenus un recours dont la portée est au moins aussi large et aussi avantageux que celle de la procédure d</w:t>
      </w:r>
      <w:r>
        <w:rPr>
          <w:rFonts w:cs="Times New Roman"/>
          <w:lang w:val="fr-CA"/>
        </w:rPr>
        <w:t>’</w:t>
      </w:r>
      <w:r w:rsidRPr="00BD3AAF">
        <w:rPr>
          <w:rFonts w:cs="Times New Roman"/>
          <w:i/>
          <w:lang w:val="fr-CA"/>
        </w:rPr>
        <w:t>habeas corpus</w:t>
      </w:r>
      <w:r w:rsidRPr="00BD3AAF">
        <w:rPr>
          <w:rFonts w:cs="Times New Roman"/>
          <w:lang w:val="fr-CA"/>
        </w:rPr>
        <w:t>. Ce régime prévoit l</w:t>
      </w:r>
      <w:r>
        <w:rPr>
          <w:rFonts w:cs="Times New Roman"/>
          <w:lang w:val="fr-CA"/>
        </w:rPr>
        <w:t>’</w:t>
      </w:r>
      <w:r w:rsidRPr="00BD3AAF">
        <w:rPr>
          <w:rFonts w:cs="Times New Roman"/>
          <w:lang w:val="fr-CA"/>
        </w:rPr>
        <w:t>examen le plus complet possible du bien</w:t>
      </w:r>
      <w:r>
        <w:rPr>
          <w:rFonts w:cs="Times New Roman"/>
          <w:lang w:val="fr-CA"/>
        </w:rPr>
        <w:noBreakHyphen/>
      </w:r>
      <w:r w:rsidRPr="00BD3AAF">
        <w:rPr>
          <w:rFonts w:cs="Times New Roman"/>
          <w:lang w:val="fr-CA"/>
        </w:rPr>
        <w:t>fondé de la remise en cause de la détention aux fins de l</w:t>
      </w:r>
      <w:r>
        <w:rPr>
          <w:rFonts w:cs="Times New Roman"/>
          <w:lang w:val="fr-CA"/>
        </w:rPr>
        <w:t>’</w:t>
      </w:r>
      <w:r w:rsidRPr="00BD3AAF">
        <w:rPr>
          <w:rFonts w:cs="Times New Roman"/>
          <w:lang w:val="fr-CA"/>
        </w:rPr>
        <w:t>immigration. Et lorsque l</w:t>
      </w:r>
      <w:r>
        <w:rPr>
          <w:rFonts w:cs="Times New Roman"/>
          <w:lang w:val="fr-CA"/>
        </w:rPr>
        <w:t>’</w:t>
      </w:r>
      <w:r w:rsidRPr="00BD3AAF">
        <w:rPr>
          <w:rFonts w:cs="Times New Roman"/>
          <w:lang w:val="fr-CA"/>
        </w:rPr>
        <w:t>individu détenu par les autorités de l</w:t>
      </w:r>
      <w:r>
        <w:rPr>
          <w:rFonts w:cs="Times New Roman"/>
          <w:lang w:val="fr-CA"/>
        </w:rPr>
        <w:t>’</w:t>
      </w:r>
      <w:r w:rsidRPr="00BD3AAF">
        <w:rPr>
          <w:rFonts w:cs="Times New Roman"/>
          <w:lang w:val="fr-CA"/>
        </w:rPr>
        <w:t>immigration se prétend victime d</w:t>
      </w:r>
      <w:r>
        <w:rPr>
          <w:rFonts w:cs="Times New Roman"/>
          <w:lang w:val="fr-CA"/>
        </w:rPr>
        <w:t>’</w:t>
      </w:r>
      <w:r w:rsidRPr="00BD3AAF">
        <w:rPr>
          <w:rFonts w:cs="Times New Roman"/>
          <w:lang w:val="fr-CA"/>
        </w:rPr>
        <w:t xml:space="preserve">une violation des droits qui lui sont garantis par les </w:t>
      </w:r>
      <w:r>
        <w:rPr>
          <w:rFonts w:cs="Times New Roman"/>
          <w:lang w:val="fr-CA"/>
        </w:rPr>
        <w:t>art. </w:t>
      </w:r>
      <w:r w:rsidRPr="00BD3AAF">
        <w:rPr>
          <w:rFonts w:cs="Times New Roman"/>
          <w:lang w:val="fr-CA"/>
        </w:rPr>
        <w:t xml:space="preserve">7, 9 et 12 de la </w:t>
      </w:r>
      <w:r w:rsidRPr="00BD3AAF">
        <w:rPr>
          <w:rFonts w:cs="Times New Roman"/>
          <w:i/>
          <w:lang w:val="fr-CA"/>
        </w:rPr>
        <w:t>Charte</w:t>
      </w:r>
      <w:r w:rsidRPr="00BD3AAF">
        <w:rPr>
          <w:rFonts w:cs="Times New Roman"/>
          <w:lang w:val="fr-CA"/>
        </w:rPr>
        <w:t>, le processus de contrôle de la Section de l</w:t>
      </w:r>
      <w:r>
        <w:rPr>
          <w:rFonts w:cs="Times New Roman"/>
          <w:lang w:val="fr-CA"/>
        </w:rPr>
        <w:t>’</w:t>
      </w:r>
      <w:r w:rsidRPr="00BD3AAF">
        <w:rPr>
          <w:rFonts w:cs="Times New Roman"/>
          <w:lang w:val="fr-CA"/>
        </w:rPr>
        <w:t xml:space="preserve">immigration, encadré par les </w:t>
      </w:r>
      <w:r>
        <w:rPr>
          <w:rFonts w:cs="Times New Roman"/>
          <w:lang w:val="fr-CA"/>
        </w:rPr>
        <w:t>art. </w:t>
      </w:r>
      <w:r w:rsidRPr="00BD3AAF">
        <w:rPr>
          <w:rFonts w:cs="Times New Roman"/>
          <w:lang w:val="fr-CA"/>
        </w:rPr>
        <w:t xml:space="preserve">58 de la </w:t>
      </w:r>
      <w:r w:rsidRPr="00BD3AAF">
        <w:rPr>
          <w:rFonts w:cs="Times New Roman"/>
          <w:i/>
          <w:lang w:val="fr-CA"/>
        </w:rPr>
        <w:t>LIPR</w:t>
      </w:r>
      <w:r w:rsidRPr="00BD3AAF">
        <w:rPr>
          <w:rFonts w:cs="Times New Roman"/>
          <w:lang w:val="fr-CA"/>
        </w:rPr>
        <w:t xml:space="preserve"> et 248 du </w:t>
      </w:r>
      <w:r w:rsidRPr="00BD3AAF">
        <w:rPr>
          <w:rFonts w:cs="Times New Roman"/>
          <w:i/>
          <w:lang w:val="fr-CA"/>
        </w:rPr>
        <w:t>Règlement</w:t>
      </w:r>
      <w:r w:rsidRPr="00BD3AAF">
        <w:rPr>
          <w:rFonts w:cs="Times New Roman"/>
          <w:lang w:val="fr-CA"/>
        </w:rPr>
        <w:t>, permet au moins le même examen approfondi que celui qu</w:t>
      </w:r>
      <w:r>
        <w:rPr>
          <w:rFonts w:cs="Times New Roman"/>
          <w:lang w:val="fr-CA"/>
        </w:rPr>
        <w:t>’</w:t>
      </w:r>
      <w:r w:rsidRPr="00BD3AAF">
        <w:rPr>
          <w:rFonts w:cs="Times New Roman"/>
          <w:lang w:val="fr-CA"/>
        </w:rPr>
        <w:t>effectue une cour supérieure saisie d</w:t>
      </w:r>
      <w:r>
        <w:rPr>
          <w:rFonts w:cs="Times New Roman"/>
          <w:lang w:val="fr-CA"/>
        </w:rPr>
        <w:t>’</w:t>
      </w:r>
      <w:r w:rsidRPr="00BD3AAF">
        <w:rPr>
          <w:rFonts w:cs="Times New Roman"/>
          <w:lang w:val="fr-CA"/>
        </w:rPr>
        <w:t>une demande d</w:t>
      </w:r>
      <w:r>
        <w:rPr>
          <w:rFonts w:cs="Times New Roman"/>
          <w:lang w:val="fr-CA"/>
        </w:rPr>
        <w:t>’</w:t>
      </w:r>
      <w:r w:rsidRPr="00BD3AAF">
        <w:rPr>
          <w:rFonts w:cs="Times New Roman"/>
          <w:i/>
          <w:lang w:val="fr-CA"/>
        </w:rPr>
        <w:t>habeas corpus</w:t>
      </w:r>
      <w:r w:rsidRPr="00BD3AAF">
        <w:rPr>
          <w:rFonts w:cs="Times New Roman"/>
          <w:lang w:val="fr-CA"/>
        </w:rPr>
        <w:t>.</w:t>
      </w:r>
    </w:p>
    <w:p w:rsidR="00B233C0" w:rsidRPr="00BD3AAF" w:rsidRDefault="00B233C0" w:rsidP="00B233C0">
      <w:pPr>
        <w:pStyle w:val="ParaNoNdepar-AltN"/>
        <w:rPr>
          <w:rFonts w:cs="Times New Roman"/>
          <w:lang w:val="fr-CA"/>
        </w:rPr>
      </w:pPr>
      <w:r w:rsidRPr="00BD3AAF">
        <w:rPr>
          <w:rFonts w:cs="Times New Roman"/>
          <w:lang w:val="fr-CA"/>
        </w:rPr>
        <w:t>La Cour a affirmé à maintes reprises qu</w:t>
      </w:r>
      <w:r>
        <w:rPr>
          <w:rFonts w:cs="Times New Roman"/>
          <w:lang w:val="fr-CA"/>
        </w:rPr>
        <w:t>’</w:t>
      </w:r>
      <w:r w:rsidRPr="00BD3AAF">
        <w:rPr>
          <w:rFonts w:cs="Times New Roman"/>
          <w:lang w:val="fr-CA"/>
        </w:rPr>
        <w:t>il n</w:t>
      </w:r>
      <w:r>
        <w:rPr>
          <w:rFonts w:cs="Times New Roman"/>
          <w:lang w:val="fr-CA"/>
        </w:rPr>
        <w:t>’</w:t>
      </w:r>
      <w:r w:rsidRPr="00BD3AAF">
        <w:rPr>
          <w:rFonts w:cs="Times New Roman"/>
          <w:lang w:val="fr-CA"/>
        </w:rPr>
        <w:t>y a pas ouverture à l</w:t>
      </w:r>
      <w:r>
        <w:rPr>
          <w:rFonts w:cs="Times New Roman"/>
          <w:lang w:val="fr-CA"/>
        </w:rPr>
        <w:t>’</w:t>
      </w:r>
      <w:r w:rsidRPr="00BD3AAF">
        <w:rPr>
          <w:rFonts w:cs="Times New Roman"/>
          <w:i/>
          <w:lang w:val="fr-CA"/>
        </w:rPr>
        <w:t>habeas corpus</w:t>
      </w:r>
      <w:r w:rsidRPr="00BD3AAF">
        <w:rPr>
          <w:rFonts w:cs="Times New Roman"/>
          <w:lang w:val="fr-CA"/>
        </w:rPr>
        <w:t xml:space="preserve"> si la solution de rechange prévue par la loi offre un recours tout aussi favorable. À mon avis, c</w:t>
      </w:r>
      <w:r>
        <w:rPr>
          <w:rFonts w:cs="Times New Roman"/>
          <w:lang w:val="fr-CA"/>
        </w:rPr>
        <w:t>’</w:t>
      </w:r>
      <w:r w:rsidRPr="00BD3AAF">
        <w:rPr>
          <w:rFonts w:cs="Times New Roman"/>
          <w:lang w:val="fr-CA"/>
        </w:rPr>
        <w:t>est effectivement le cas en l</w:t>
      </w:r>
      <w:r>
        <w:rPr>
          <w:rFonts w:cs="Times New Roman"/>
          <w:lang w:val="fr-CA"/>
        </w:rPr>
        <w:t>’</w:t>
      </w:r>
      <w:r w:rsidRPr="00BD3AAF">
        <w:rPr>
          <w:rFonts w:cs="Times New Roman"/>
          <w:lang w:val="fr-CA"/>
        </w:rPr>
        <w:t>espèce. Le cas de M. Chhina tombe par conséquent sous le coup de l</w:t>
      </w:r>
      <w:r>
        <w:rPr>
          <w:rFonts w:cs="Times New Roman"/>
          <w:lang w:val="fr-CA"/>
        </w:rPr>
        <w:t>’</w:t>
      </w:r>
      <w:r w:rsidRPr="00BD3AAF">
        <w:rPr>
          <w:rFonts w:cs="Times New Roman"/>
          <w:lang w:val="fr-CA"/>
        </w:rPr>
        <w:t>exception établie par l</w:t>
      </w:r>
      <w:r>
        <w:rPr>
          <w:rFonts w:cs="Times New Roman"/>
          <w:lang w:val="fr-CA"/>
        </w:rPr>
        <w:t>’</w:t>
      </w:r>
      <w:r w:rsidRPr="00BD3AAF">
        <w:rPr>
          <w:rFonts w:cs="Times New Roman"/>
          <w:lang w:val="fr-CA"/>
        </w:rPr>
        <w:t>arrêt</w:t>
      </w:r>
      <w:r w:rsidRPr="00BD3AAF">
        <w:rPr>
          <w:rFonts w:cs="Times New Roman"/>
          <w:i/>
          <w:lang w:val="fr-CA"/>
        </w:rPr>
        <w:t xml:space="preserve"> Peiroo</w:t>
      </w:r>
      <w:r w:rsidRPr="00BD3AAF">
        <w:rPr>
          <w:rFonts w:cs="Times New Roman"/>
          <w:lang w:val="fr-CA"/>
        </w:rPr>
        <w:t>, ce qui le rend irrecevable à présenter une demande d</w:t>
      </w:r>
      <w:r>
        <w:rPr>
          <w:rFonts w:cs="Times New Roman"/>
          <w:lang w:val="fr-CA"/>
        </w:rPr>
        <w:t>’</w:t>
      </w:r>
      <w:r w:rsidRPr="00BD3AAF">
        <w:rPr>
          <w:rFonts w:cs="Times New Roman"/>
          <w:i/>
          <w:lang w:val="fr-CA"/>
        </w:rPr>
        <w:t>habeas corpus</w:t>
      </w:r>
      <w:r w:rsidRPr="00BD3AAF">
        <w:rPr>
          <w:rFonts w:cs="Times New Roman"/>
          <w:lang w:val="fr-CA"/>
        </w:rPr>
        <w:t>. La Cour supérieure a refusé à bon droit d</w:t>
      </w:r>
      <w:r>
        <w:rPr>
          <w:rFonts w:cs="Times New Roman"/>
          <w:lang w:val="fr-CA"/>
        </w:rPr>
        <w:t>’</w:t>
      </w:r>
      <w:r w:rsidRPr="00BD3AAF">
        <w:rPr>
          <w:rFonts w:cs="Times New Roman"/>
          <w:lang w:val="fr-CA"/>
        </w:rPr>
        <w:t>exercer sa compétence¸ en matière d</w:t>
      </w:r>
      <w:r>
        <w:rPr>
          <w:rFonts w:cs="Times New Roman"/>
          <w:lang w:val="fr-CA"/>
        </w:rPr>
        <w:t>’</w:t>
      </w:r>
      <w:r w:rsidRPr="00BD3AAF">
        <w:rPr>
          <w:rFonts w:cs="Times New Roman"/>
          <w:i/>
          <w:lang w:val="fr-CA"/>
        </w:rPr>
        <w:t>habeas corpus</w:t>
      </w:r>
      <w:r w:rsidRPr="00BD3AAF">
        <w:rPr>
          <w:rFonts w:cs="Times New Roman"/>
          <w:lang w:val="fr-CA"/>
        </w:rPr>
        <w:t xml:space="preserve"> au profit du régime complet, exhaustif et spécialisé auquel M. Chhina pouvait avoir recours selon la </w:t>
      </w:r>
      <w:r w:rsidRPr="00BD3AAF">
        <w:rPr>
          <w:rFonts w:cs="Times New Roman"/>
          <w:i/>
          <w:lang w:val="fr-CA"/>
        </w:rPr>
        <w:t>Loi</w:t>
      </w:r>
      <w:r w:rsidRPr="00BD3AAF">
        <w:rPr>
          <w:rFonts w:cs="Times New Roman"/>
          <w:lang w:val="fr-CA"/>
        </w:rPr>
        <w:t>.</w:t>
      </w:r>
    </w:p>
    <w:p w:rsidR="00B233C0" w:rsidRPr="00BD3AAF" w:rsidRDefault="00B233C0" w:rsidP="00B233C0">
      <w:pPr>
        <w:pStyle w:val="ParaNoNdepar-AltN"/>
        <w:tabs>
          <w:tab w:val="clear" w:pos="1166"/>
          <w:tab w:val="num" w:pos="1152"/>
        </w:tabs>
        <w:rPr>
          <w:rFonts w:cs="Times New Roman"/>
          <w:lang w:val="fr-CA"/>
        </w:rPr>
      </w:pPr>
      <w:r w:rsidRPr="00BD3AAF">
        <w:rPr>
          <w:rFonts w:cs="Times New Roman"/>
          <w:lang w:val="fr-CA"/>
        </w:rPr>
        <w:t>Je suis d</w:t>
      </w:r>
      <w:r>
        <w:rPr>
          <w:rFonts w:cs="Times New Roman"/>
          <w:lang w:val="fr-CA"/>
        </w:rPr>
        <w:t>’</w:t>
      </w:r>
      <w:r w:rsidRPr="00BD3AAF">
        <w:rPr>
          <w:rFonts w:cs="Times New Roman"/>
          <w:lang w:val="fr-CA"/>
        </w:rPr>
        <w:t>avis d</w:t>
      </w:r>
      <w:r>
        <w:rPr>
          <w:rFonts w:cs="Times New Roman"/>
          <w:lang w:val="fr-CA"/>
        </w:rPr>
        <w:t>’</w:t>
      </w:r>
      <w:r w:rsidRPr="00BD3AAF">
        <w:rPr>
          <w:rFonts w:cs="Times New Roman"/>
          <w:lang w:val="fr-CA"/>
        </w:rPr>
        <w:t>accueillir le pourvoi.</w:t>
      </w:r>
    </w:p>
    <w:p w:rsidR="00B233C0" w:rsidRPr="00A570AE" w:rsidRDefault="00B233C0" w:rsidP="00B233C0">
      <w:pPr>
        <w:pStyle w:val="SCCNormalDoubleSpacing"/>
        <w:spacing w:after="360"/>
        <w:rPr>
          <w:lang w:val="fr-CA"/>
        </w:rPr>
      </w:pPr>
    </w:p>
    <w:p w:rsidR="00B233C0" w:rsidRPr="00A570AE" w:rsidRDefault="00B233C0" w:rsidP="00B233C0">
      <w:pPr>
        <w:pStyle w:val="SCCNormalDoubleSpacing"/>
        <w:spacing w:after="480"/>
        <w:rPr>
          <w:lang w:val="fr-CA"/>
        </w:rPr>
      </w:pPr>
      <w:r w:rsidRPr="00A570AE">
        <w:rPr>
          <w:lang w:val="fr-CA"/>
        </w:rPr>
        <w:tab/>
      </w:r>
      <w:r w:rsidRPr="00A570AE">
        <w:rPr>
          <w:i/>
          <w:lang w:val="fr-CA"/>
        </w:rPr>
        <w:t xml:space="preserve">Pourvoi rejeté, la juge </w:t>
      </w:r>
      <w:r w:rsidRPr="00A570AE">
        <w:rPr>
          <w:smallCaps/>
          <w:lang w:val="fr-CA"/>
        </w:rPr>
        <w:t>Abella</w:t>
      </w:r>
      <w:r w:rsidRPr="00A570AE">
        <w:rPr>
          <w:lang w:val="fr-CA"/>
        </w:rPr>
        <w:t xml:space="preserve"> </w:t>
      </w:r>
      <w:r w:rsidRPr="00A570AE">
        <w:rPr>
          <w:i/>
          <w:lang w:val="fr-CA"/>
        </w:rPr>
        <w:t>est dissidente.</w:t>
      </w:r>
    </w:p>
    <w:p w:rsidR="00B233C0" w:rsidRPr="00A570AE" w:rsidRDefault="00B233C0" w:rsidP="00B233C0">
      <w:pPr>
        <w:pStyle w:val="SCCLawFirm"/>
        <w:spacing w:after="480"/>
        <w:rPr>
          <w:lang w:val="fr-CA"/>
        </w:rPr>
      </w:pPr>
      <w:r w:rsidRPr="00A570AE">
        <w:rPr>
          <w:lang w:val="fr-CA"/>
        </w:rPr>
        <w:tab/>
        <w:t>Procureur des appelants</w:t>
      </w:r>
      <w:r>
        <w:rPr>
          <w:lang w:val="fr-CA"/>
        </w:rPr>
        <w:t> :</w:t>
      </w:r>
      <w:r w:rsidRPr="00A570AE">
        <w:rPr>
          <w:lang w:val="fr-CA"/>
        </w:rPr>
        <w:t> Procureur général du Canada, Vancouver.</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intimé</w:t>
      </w:r>
      <w:r>
        <w:rPr>
          <w:lang w:val="fr-CA"/>
        </w:rPr>
        <w:t> :</w:t>
      </w:r>
      <w:r w:rsidRPr="00A570AE">
        <w:rPr>
          <w:lang w:val="fr-CA"/>
        </w:rPr>
        <w:t> Nota Bene Law, Calgary; Jackman, Nazami &amp; Associates, Toronto; Laishley Reed, Toronto.</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 End Immigration Detention Network</w:t>
      </w:r>
      <w:r>
        <w:rPr>
          <w:lang w:val="fr-CA"/>
        </w:rPr>
        <w:t> :</w:t>
      </w:r>
      <w:r w:rsidRPr="00A570AE">
        <w:rPr>
          <w:lang w:val="fr-CA"/>
        </w:rPr>
        <w:t> Sekhar Law Office, Toronto; Maija Martin, Toronto.</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intervenante l</w:t>
      </w:r>
      <w:r>
        <w:rPr>
          <w:lang w:val="fr-CA"/>
        </w:rPr>
        <w:t>’</w:t>
      </w:r>
      <w:r w:rsidRPr="00A570AE">
        <w:rPr>
          <w:lang w:val="fr-CA"/>
        </w:rPr>
        <w:t>Association canadienne des avocats et avocates en droit des réfugiés</w:t>
      </w:r>
      <w:r>
        <w:rPr>
          <w:lang w:val="fr-CA"/>
        </w:rPr>
        <w:t> :</w:t>
      </w:r>
      <w:r w:rsidRPr="00A570AE">
        <w:rPr>
          <w:lang w:val="fr-CA"/>
        </w:rPr>
        <w:t> Jared Will &amp; Associates, Toronto.</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intervenante Defence for Children International</w:t>
      </w:r>
      <w:r>
        <w:rPr>
          <w:lang w:val="fr-CA"/>
        </w:rPr>
        <w:noBreakHyphen/>
      </w:r>
      <w:r w:rsidRPr="00A570AE">
        <w:rPr>
          <w:lang w:val="fr-CA"/>
        </w:rPr>
        <w:t>Canada</w:t>
      </w:r>
      <w:r>
        <w:rPr>
          <w:lang w:val="fr-CA"/>
        </w:rPr>
        <w:t> :</w:t>
      </w:r>
      <w:r w:rsidRPr="00A570AE">
        <w:rPr>
          <w:lang w:val="fr-CA"/>
        </w:rPr>
        <w:t> Wilson, Christen, Toronto.</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 Amnesty International Canada (English Branch)</w:t>
      </w:r>
      <w:r>
        <w:rPr>
          <w:lang w:val="fr-CA"/>
        </w:rPr>
        <w:t> :</w:t>
      </w:r>
      <w:r w:rsidRPr="00A570AE">
        <w:rPr>
          <w:lang w:val="fr-CA"/>
        </w:rPr>
        <w:t> Community Legal Services</w:t>
      </w:r>
      <w:r>
        <w:rPr>
          <w:lang w:val="fr-CA"/>
        </w:rPr>
        <w:noBreakHyphen/>
      </w:r>
      <w:r w:rsidRPr="00A570AE">
        <w:rPr>
          <w:lang w:val="fr-CA"/>
        </w:rPr>
        <w:t>Ottawa, Ottawa; Université d</w:t>
      </w:r>
      <w:r>
        <w:rPr>
          <w:lang w:val="fr-CA"/>
        </w:rPr>
        <w:t>’</w:t>
      </w:r>
      <w:r w:rsidRPr="00A570AE">
        <w:rPr>
          <w:lang w:val="fr-CA"/>
        </w:rPr>
        <w:t>Ottawa, Ottawa.</w:t>
      </w:r>
    </w:p>
    <w:p w:rsidR="00B233C0" w:rsidRPr="00A570AE" w:rsidRDefault="00B233C0" w:rsidP="00B233C0">
      <w:pPr>
        <w:pStyle w:val="SCCLawFirm"/>
        <w:spacing w:after="480"/>
        <w:rPr>
          <w:lang w:val="en-US"/>
        </w:rPr>
      </w:pPr>
      <w:r w:rsidRPr="00A570AE">
        <w:rPr>
          <w:lang w:val="fr-CA"/>
        </w:rPr>
        <w:tab/>
      </w:r>
      <w:r w:rsidRPr="00A570AE">
        <w:rPr>
          <w:lang w:val="en-US"/>
        </w:rPr>
        <w:t>Procureurs de l</w:t>
      </w:r>
      <w:r>
        <w:rPr>
          <w:lang w:val="en-US"/>
        </w:rPr>
        <w:t>’</w:t>
      </w:r>
      <w:r w:rsidRPr="00A570AE">
        <w:rPr>
          <w:lang w:val="en-US"/>
        </w:rPr>
        <w:t>intervenant Community &amp; Legal Aid Services Programme</w:t>
      </w:r>
      <w:r>
        <w:rPr>
          <w:lang w:val="en-US"/>
        </w:rPr>
        <w:t> :</w:t>
      </w:r>
      <w:r w:rsidRPr="00A570AE">
        <w:rPr>
          <w:lang w:val="en-US"/>
        </w:rPr>
        <w:t xml:space="preserve"> York University, </w:t>
      </w:r>
      <w:r w:rsidRPr="00A570AE">
        <w:t>Osgoode Hall Law School, Toronto</w:t>
      </w:r>
      <w:r w:rsidRPr="00A570AE">
        <w:rPr>
          <w:lang w:val="en-US"/>
        </w:rPr>
        <w:t>.</w:t>
      </w:r>
    </w:p>
    <w:p w:rsidR="00B233C0" w:rsidRPr="00A570AE" w:rsidRDefault="00B233C0" w:rsidP="00B233C0">
      <w:pPr>
        <w:pStyle w:val="SCCLawFirm"/>
        <w:spacing w:after="480"/>
        <w:rPr>
          <w:lang w:val="fr-CA"/>
        </w:rPr>
      </w:pPr>
      <w:r w:rsidRPr="00A570AE">
        <w:rPr>
          <w:lang w:val="en-US"/>
        </w:rPr>
        <w:tab/>
      </w:r>
      <w:r w:rsidRPr="00A570AE">
        <w:rPr>
          <w:lang w:val="fr-CA"/>
        </w:rPr>
        <w:t>Procureurs de l</w:t>
      </w:r>
      <w:r>
        <w:rPr>
          <w:lang w:val="fr-CA"/>
        </w:rPr>
        <w:t>’</w:t>
      </w:r>
      <w:r w:rsidRPr="00A570AE">
        <w:rPr>
          <w:lang w:val="fr-CA"/>
        </w:rPr>
        <w:t>intervenant le Conseil canadien pour les réfugiés</w:t>
      </w:r>
      <w:r>
        <w:rPr>
          <w:lang w:val="fr-CA"/>
        </w:rPr>
        <w:t> :</w:t>
      </w:r>
      <w:r w:rsidRPr="00A570AE">
        <w:rPr>
          <w:lang w:val="fr-CA"/>
        </w:rPr>
        <w:t> Edelmann &amp; Co</w:t>
      </w:r>
      <w:r w:rsidR="000E7F21">
        <w:rPr>
          <w:lang w:val="fr-CA"/>
        </w:rPr>
        <w:t>.</w:t>
      </w:r>
      <w:r w:rsidRPr="00A570AE">
        <w:rPr>
          <w:lang w:val="fr-CA"/>
        </w:rPr>
        <w:t xml:space="preserve"> </w:t>
      </w:r>
      <w:r>
        <w:rPr>
          <w:lang w:val="fr-CA"/>
        </w:rPr>
        <w:t xml:space="preserve">Law </w:t>
      </w:r>
      <w:r w:rsidRPr="00A570AE">
        <w:rPr>
          <w:lang w:val="fr-CA"/>
        </w:rPr>
        <w:t>Corporation, Vancouver.</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intervenante Queen</w:t>
      </w:r>
      <w:r>
        <w:rPr>
          <w:lang w:val="fr-CA"/>
        </w:rPr>
        <w:t>’</w:t>
      </w:r>
      <w:r w:rsidRPr="00A570AE">
        <w:rPr>
          <w:lang w:val="fr-CA"/>
        </w:rPr>
        <w:t>s Prison Law Clinic</w:t>
      </w:r>
      <w:r>
        <w:rPr>
          <w:lang w:val="fr-CA"/>
        </w:rPr>
        <w:t> :</w:t>
      </w:r>
      <w:r w:rsidRPr="00A570AE">
        <w:rPr>
          <w:lang w:val="fr-CA"/>
        </w:rPr>
        <w:t> Stockwoods, Toronto; Queen</w:t>
      </w:r>
      <w:r>
        <w:rPr>
          <w:lang w:val="fr-CA"/>
        </w:rPr>
        <w:t>’</w:t>
      </w:r>
      <w:r w:rsidRPr="00A570AE">
        <w:rPr>
          <w:lang w:val="fr-CA"/>
        </w:rPr>
        <w:t>s Prison Law Clinic, Toronto.</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 xml:space="preserve">intervenant </w:t>
      </w:r>
      <w:r w:rsidR="002057B0">
        <w:rPr>
          <w:lang w:val="fr-CA"/>
        </w:rPr>
        <w:t xml:space="preserve">le </w:t>
      </w:r>
      <w:r w:rsidRPr="00A570AE">
        <w:rPr>
          <w:lang w:val="fr-CA"/>
        </w:rPr>
        <w:t>Fonds Égale Canada pour les droits de la personne</w:t>
      </w:r>
      <w:r>
        <w:rPr>
          <w:lang w:val="fr-CA"/>
        </w:rPr>
        <w:t> :</w:t>
      </w:r>
      <w:r w:rsidRPr="00A570AE">
        <w:rPr>
          <w:lang w:val="fr-CA"/>
        </w:rPr>
        <w:t> Battista Smith Migration Law Group, Toronto.</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intervenante British Columbia Civil Liberties Association</w:t>
      </w:r>
      <w:r>
        <w:rPr>
          <w:lang w:val="fr-CA"/>
        </w:rPr>
        <w:t> :</w:t>
      </w:r>
      <w:r w:rsidRPr="00A570AE">
        <w:rPr>
          <w:lang w:val="fr-CA"/>
        </w:rPr>
        <w:t> Frances Mahon Law, Vancouver.</w:t>
      </w:r>
    </w:p>
    <w:p w:rsidR="00B233C0" w:rsidRPr="00A570AE" w:rsidRDefault="00B233C0" w:rsidP="00B233C0">
      <w:pPr>
        <w:pStyle w:val="SCCLawFirm"/>
        <w:spacing w:after="480"/>
        <w:rPr>
          <w:lang w:val="fr-CA"/>
        </w:rPr>
      </w:pPr>
      <w:r w:rsidRPr="00A570AE">
        <w:rPr>
          <w:lang w:val="fr-CA"/>
        </w:rPr>
        <w:tab/>
        <w:t>Procureurs de l</w:t>
      </w:r>
      <w:r>
        <w:rPr>
          <w:lang w:val="fr-CA"/>
        </w:rPr>
        <w:t>’</w:t>
      </w:r>
      <w:r w:rsidRPr="00A570AE">
        <w:rPr>
          <w:lang w:val="fr-CA"/>
        </w:rPr>
        <w:t>intervenante l</w:t>
      </w:r>
      <w:r>
        <w:rPr>
          <w:lang w:val="fr-CA"/>
        </w:rPr>
        <w:t>’</w:t>
      </w:r>
      <w:r w:rsidRPr="00A570AE">
        <w:rPr>
          <w:lang w:val="fr-CA"/>
        </w:rPr>
        <w:t>Association canadienne des libertés civiles</w:t>
      </w:r>
      <w:r>
        <w:rPr>
          <w:lang w:val="fr-CA"/>
        </w:rPr>
        <w:t> :</w:t>
      </w:r>
      <w:r w:rsidRPr="00A570AE">
        <w:rPr>
          <w:lang w:val="fr-CA"/>
        </w:rPr>
        <w:t> Borden Ladner Gervais, Toronto.</w:t>
      </w:r>
    </w:p>
    <w:p w:rsidR="00B233C0" w:rsidRPr="00A570AE" w:rsidRDefault="00B233C0" w:rsidP="00B233C0">
      <w:pPr>
        <w:pStyle w:val="SCCLawFirm"/>
        <w:rPr>
          <w:lang w:val="fr-CA"/>
        </w:rPr>
      </w:pPr>
      <w:r w:rsidRPr="00A570AE">
        <w:rPr>
          <w:lang w:val="fr-CA"/>
        </w:rPr>
        <w:tab/>
        <w:t>Procureurs de l</w:t>
      </w:r>
      <w:r>
        <w:rPr>
          <w:lang w:val="fr-CA"/>
        </w:rPr>
        <w:t>’</w:t>
      </w:r>
      <w:r w:rsidRPr="00A570AE">
        <w:rPr>
          <w:lang w:val="fr-CA"/>
        </w:rPr>
        <w:t>intervenante Canadian Prison Law Association</w:t>
      </w:r>
      <w:r>
        <w:rPr>
          <w:lang w:val="fr-CA"/>
        </w:rPr>
        <w:t> :</w:t>
      </w:r>
      <w:r w:rsidRPr="00A570AE">
        <w:rPr>
          <w:lang w:val="fr-CA"/>
        </w:rPr>
        <w:t> </w:t>
      </w:r>
      <w:r w:rsidRPr="00A570AE">
        <w:t>Borys Law, Kingston;</w:t>
      </w:r>
      <w:r w:rsidRPr="00A570AE">
        <w:rPr>
          <w:lang w:val="fr-CA"/>
        </w:rPr>
        <w:t xml:space="preserve"> McCarten Wallace, Toronto. </w:t>
      </w:r>
    </w:p>
    <w:p w:rsidR="00803999" w:rsidRDefault="00803999"/>
    <w:sectPr w:rsidR="0080399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2C" w:rsidRDefault="00990A2C" w:rsidP="00B233C0">
      <w:r>
        <w:separator/>
      </w:r>
    </w:p>
  </w:endnote>
  <w:endnote w:type="continuationSeparator" w:id="0">
    <w:p w:rsidR="00990A2C" w:rsidRDefault="00990A2C" w:rsidP="00B2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2C" w:rsidRDefault="00990A2C" w:rsidP="00B233C0">
      <w:r>
        <w:separator/>
      </w:r>
    </w:p>
  </w:footnote>
  <w:footnote w:type="continuationSeparator" w:id="0">
    <w:p w:rsidR="00990A2C" w:rsidRDefault="00990A2C" w:rsidP="00B233C0">
      <w:r>
        <w:continuationSeparator/>
      </w:r>
    </w:p>
  </w:footnote>
  <w:footnote w:id="1">
    <w:p w:rsidR="00B233C0" w:rsidRPr="00C10EE2" w:rsidRDefault="00B233C0" w:rsidP="00E1552E">
      <w:pPr>
        <w:pStyle w:val="FootnoteText"/>
        <w:ind w:left="180" w:hanging="180"/>
        <w:rPr>
          <w:lang w:val="fr-CA"/>
        </w:rPr>
      </w:pPr>
      <w:r>
        <w:rPr>
          <w:rStyle w:val="FootnoteReference"/>
        </w:rPr>
        <w:footnoteRef/>
      </w:r>
      <w:r w:rsidRPr="00C10EE2">
        <w:rPr>
          <w:lang w:val="fr-CA"/>
        </w:rPr>
        <w:t xml:space="preserve"> </w:t>
      </w:r>
      <w:r w:rsidR="00E1552E">
        <w:rPr>
          <w:lang w:val="fr-CA"/>
        </w:rPr>
        <w:tab/>
      </w:r>
      <w:r>
        <w:rPr>
          <w:lang w:val="fr-CA"/>
        </w:rPr>
        <w:t xml:space="preserve">Même si M. Chhina a tenté de plaider devant la Cour que l’exception de common law établie par l’arrêt </w:t>
      </w:r>
      <w:r w:rsidRPr="002E1411">
        <w:rPr>
          <w:i/>
          <w:lang w:val="fr-CA"/>
        </w:rPr>
        <w:t>Peiroo</w:t>
      </w:r>
      <w:r>
        <w:rPr>
          <w:lang w:val="fr-CA"/>
        </w:rPr>
        <w:t xml:space="preserve"> contrevient à l’al. 10</w:t>
      </w:r>
      <w:r w:rsidRPr="00C23FE4">
        <w:rPr>
          <w:i/>
          <w:lang w:val="fr-CA"/>
        </w:rPr>
        <w:t>c</w:t>
      </w:r>
      <w:r>
        <w:rPr>
          <w:lang w:val="fr-CA"/>
        </w:rPr>
        <w:t xml:space="preserve">) de la </w:t>
      </w:r>
      <w:r w:rsidRPr="00F0170B">
        <w:rPr>
          <w:i/>
          <w:lang w:val="fr-CA"/>
        </w:rPr>
        <w:t>Charte</w:t>
      </w:r>
      <w:r>
        <w:rPr>
          <w:lang w:val="fr-CA"/>
        </w:rPr>
        <w:t xml:space="preserve"> et ne peut pas être justifiée au regard de l’article premier, il n’a pas déposé d’avis de question constitutionnelle dans les délais impartis. La Cour n’est donc pas saisie de cet argument dans le cadre du présent pourvoi.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0FB54C7"/>
    <w:multiLevelType w:val="multilevel"/>
    <w:tmpl w:val="319E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E462D"/>
    <w:multiLevelType w:val="hybridMultilevel"/>
    <w:tmpl w:val="BC92E3F8"/>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AA921DB"/>
    <w:multiLevelType w:val="hybridMultilevel"/>
    <w:tmpl w:val="5352CF30"/>
    <w:lvl w:ilvl="0" w:tplc="565CA2EE">
      <w:start w:val="1"/>
      <w:numFmt w:val="upperLetter"/>
      <w:lvlText w:val="%1."/>
      <w:lvlJc w:val="left"/>
      <w:pPr>
        <w:ind w:left="1080" w:firstLine="0"/>
      </w:pPr>
      <w:rPr>
        <w:rFonts w:hint="default"/>
        <w:lang w:val="en-GB"/>
      </w:rPr>
    </w:lvl>
    <w:lvl w:ilvl="1" w:tplc="10090019">
      <w:start w:val="1"/>
      <w:numFmt w:val="lowerLetter"/>
      <w:lvlText w:val="%2."/>
      <w:lvlJc w:val="left"/>
      <w:pPr>
        <w:ind w:left="2070" w:hanging="360"/>
      </w:pPr>
    </w:lvl>
    <w:lvl w:ilvl="2" w:tplc="1E589F6E">
      <w:start w:val="1"/>
      <w:numFmt w:val="lowerLetter"/>
      <w:lvlText w:val="%3)"/>
      <w:lvlJc w:val="left"/>
      <w:pPr>
        <w:ind w:left="2970" w:hanging="360"/>
      </w:pPr>
      <w:rPr>
        <w:rFonts w:hint="default"/>
      </w:r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3C7035"/>
    <w:multiLevelType w:val="hybridMultilevel"/>
    <w:tmpl w:val="1B7470AC"/>
    <w:lvl w:ilvl="0" w:tplc="1A660D40">
      <w:start w:val="1"/>
      <w:numFmt w:val="lowerLetter"/>
      <w:lvlText w:val="%1)"/>
      <w:lvlJc w:val="left"/>
      <w:pPr>
        <w:ind w:left="2454" w:hanging="360"/>
      </w:pPr>
      <w:rPr>
        <w:b/>
      </w:rPr>
    </w:lvl>
    <w:lvl w:ilvl="1" w:tplc="0C0C0019" w:tentative="1">
      <w:start w:val="1"/>
      <w:numFmt w:val="lowerLetter"/>
      <w:lvlText w:val="%2."/>
      <w:lvlJc w:val="left"/>
      <w:pPr>
        <w:ind w:left="3174" w:hanging="360"/>
      </w:pPr>
    </w:lvl>
    <w:lvl w:ilvl="2" w:tplc="0C0C001B" w:tentative="1">
      <w:start w:val="1"/>
      <w:numFmt w:val="lowerRoman"/>
      <w:lvlText w:val="%3."/>
      <w:lvlJc w:val="right"/>
      <w:pPr>
        <w:ind w:left="3894" w:hanging="180"/>
      </w:pPr>
    </w:lvl>
    <w:lvl w:ilvl="3" w:tplc="0C0C000F" w:tentative="1">
      <w:start w:val="1"/>
      <w:numFmt w:val="decimal"/>
      <w:lvlText w:val="%4."/>
      <w:lvlJc w:val="left"/>
      <w:pPr>
        <w:ind w:left="4614" w:hanging="360"/>
      </w:pPr>
    </w:lvl>
    <w:lvl w:ilvl="4" w:tplc="0C0C0019" w:tentative="1">
      <w:start w:val="1"/>
      <w:numFmt w:val="lowerLetter"/>
      <w:lvlText w:val="%5."/>
      <w:lvlJc w:val="left"/>
      <w:pPr>
        <w:ind w:left="5334" w:hanging="360"/>
      </w:pPr>
    </w:lvl>
    <w:lvl w:ilvl="5" w:tplc="0C0C001B" w:tentative="1">
      <w:start w:val="1"/>
      <w:numFmt w:val="lowerRoman"/>
      <w:lvlText w:val="%6."/>
      <w:lvlJc w:val="right"/>
      <w:pPr>
        <w:ind w:left="6054" w:hanging="180"/>
      </w:pPr>
    </w:lvl>
    <w:lvl w:ilvl="6" w:tplc="0C0C000F" w:tentative="1">
      <w:start w:val="1"/>
      <w:numFmt w:val="decimal"/>
      <w:lvlText w:val="%7."/>
      <w:lvlJc w:val="left"/>
      <w:pPr>
        <w:ind w:left="6774" w:hanging="360"/>
      </w:pPr>
    </w:lvl>
    <w:lvl w:ilvl="7" w:tplc="0C0C0019" w:tentative="1">
      <w:start w:val="1"/>
      <w:numFmt w:val="lowerLetter"/>
      <w:lvlText w:val="%8."/>
      <w:lvlJc w:val="left"/>
      <w:pPr>
        <w:ind w:left="7494" w:hanging="360"/>
      </w:pPr>
    </w:lvl>
    <w:lvl w:ilvl="8" w:tplc="0C0C001B" w:tentative="1">
      <w:start w:val="1"/>
      <w:numFmt w:val="lowerRoman"/>
      <w:lvlText w:val="%9."/>
      <w:lvlJc w:val="right"/>
      <w:pPr>
        <w:ind w:left="8214" w:hanging="180"/>
      </w:pPr>
    </w:lvl>
  </w:abstractNum>
  <w:abstractNum w:abstractNumId="5" w15:restartNumberingAfterBreak="0">
    <w:nsid w:val="0FC07104"/>
    <w:multiLevelType w:val="hybridMultilevel"/>
    <w:tmpl w:val="F692C3C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2E87596"/>
    <w:multiLevelType w:val="hybridMultilevel"/>
    <w:tmpl w:val="84AC1C54"/>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7" w15:restartNumberingAfterBreak="0">
    <w:nsid w:val="14DB4493"/>
    <w:multiLevelType w:val="multilevel"/>
    <w:tmpl w:val="0FD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E5339"/>
    <w:multiLevelType w:val="hybridMultilevel"/>
    <w:tmpl w:val="28EA1C0A"/>
    <w:lvl w:ilvl="0" w:tplc="32D8FAF6">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2C113C"/>
    <w:multiLevelType w:val="hybridMultilevel"/>
    <w:tmpl w:val="501A62AE"/>
    <w:lvl w:ilvl="0" w:tplc="2DE8AC02">
      <w:start w:val="2"/>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0" w15:restartNumberingAfterBreak="0">
    <w:nsid w:val="1C8F44D2"/>
    <w:multiLevelType w:val="hybridMultilevel"/>
    <w:tmpl w:val="E1064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585C8D"/>
    <w:multiLevelType w:val="hybridMultilevel"/>
    <w:tmpl w:val="BF72080A"/>
    <w:lvl w:ilvl="0" w:tplc="B82AACD0">
      <w:start w:val="1"/>
      <w:numFmt w:val="lowerRoman"/>
      <w:lvlText w:val="%1."/>
      <w:lvlJc w:val="right"/>
      <w:pPr>
        <w:ind w:left="900" w:firstLine="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3" w15:restartNumberingAfterBreak="0">
    <w:nsid w:val="350119DB"/>
    <w:multiLevelType w:val="multilevel"/>
    <w:tmpl w:val="328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F0EBA"/>
    <w:multiLevelType w:val="hybridMultilevel"/>
    <w:tmpl w:val="3F98354A"/>
    <w:lvl w:ilvl="0" w:tplc="8128801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037F7E"/>
    <w:multiLevelType w:val="hybridMultilevel"/>
    <w:tmpl w:val="B8B6C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D2893"/>
    <w:multiLevelType w:val="hybridMultilevel"/>
    <w:tmpl w:val="DE38AC4A"/>
    <w:lvl w:ilvl="0" w:tplc="5AE0D2A0">
      <w:start w:val="49"/>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5015C9"/>
    <w:multiLevelType w:val="hybridMultilevel"/>
    <w:tmpl w:val="88489E30"/>
    <w:lvl w:ilvl="0" w:tplc="62F27010">
      <w:numFmt w:val="bullet"/>
      <w:lvlText w:val="-"/>
      <w:lvlJc w:val="left"/>
      <w:pPr>
        <w:ind w:left="1802" w:hanging="360"/>
      </w:pPr>
      <w:rPr>
        <w:rFonts w:ascii="Times New Roman" w:eastAsia="Times New Roman" w:hAnsi="Times New Roman" w:cs="Times New Roman" w:hint="default"/>
      </w:rPr>
    </w:lvl>
    <w:lvl w:ilvl="1" w:tplc="10090003" w:tentative="1">
      <w:start w:val="1"/>
      <w:numFmt w:val="bullet"/>
      <w:lvlText w:val="o"/>
      <w:lvlJc w:val="left"/>
      <w:pPr>
        <w:ind w:left="2522" w:hanging="360"/>
      </w:pPr>
      <w:rPr>
        <w:rFonts w:ascii="Courier New" w:hAnsi="Courier New" w:cs="Courier New" w:hint="default"/>
      </w:rPr>
    </w:lvl>
    <w:lvl w:ilvl="2" w:tplc="10090005" w:tentative="1">
      <w:start w:val="1"/>
      <w:numFmt w:val="bullet"/>
      <w:lvlText w:val=""/>
      <w:lvlJc w:val="left"/>
      <w:pPr>
        <w:ind w:left="3242" w:hanging="360"/>
      </w:pPr>
      <w:rPr>
        <w:rFonts w:ascii="Wingdings" w:hAnsi="Wingdings" w:hint="default"/>
      </w:rPr>
    </w:lvl>
    <w:lvl w:ilvl="3" w:tplc="10090001" w:tentative="1">
      <w:start w:val="1"/>
      <w:numFmt w:val="bullet"/>
      <w:lvlText w:val=""/>
      <w:lvlJc w:val="left"/>
      <w:pPr>
        <w:ind w:left="3962" w:hanging="360"/>
      </w:pPr>
      <w:rPr>
        <w:rFonts w:ascii="Symbol" w:hAnsi="Symbol" w:hint="default"/>
      </w:rPr>
    </w:lvl>
    <w:lvl w:ilvl="4" w:tplc="10090003" w:tentative="1">
      <w:start w:val="1"/>
      <w:numFmt w:val="bullet"/>
      <w:lvlText w:val="o"/>
      <w:lvlJc w:val="left"/>
      <w:pPr>
        <w:ind w:left="4682" w:hanging="360"/>
      </w:pPr>
      <w:rPr>
        <w:rFonts w:ascii="Courier New" w:hAnsi="Courier New" w:cs="Courier New" w:hint="default"/>
      </w:rPr>
    </w:lvl>
    <w:lvl w:ilvl="5" w:tplc="10090005" w:tentative="1">
      <w:start w:val="1"/>
      <w:numFmt w:val="bullet"/>
      <w:lvlText w:val=""/>
      <w:lvlJc w:val="left"/>
      <w:pPr>
        <w:ind w:left="5402" w:hanging="360"/>
      </w:pPr>
      <w:rPr>
        <w:rFonts w:ascii="Wingdings" w:hAnsi="Wingdings" w:hint="default"/>
      </w:rPr>
    </w:lvl>
    <w:lvl w:ilvl="6" w:tplc="10090001" w:tentative="1">
      <w:start w:val="1"/>
      <w:numFmt w:val="bullet"/>
      <w:lvlText w:val=""/>
      <w:lvlJc w:val="left"/>
      <w:pPr>
        <w:ind w:left="6122" w:hanging="360"/>
      </w:pPr>
      <w:rPr>
        <w:rFonts w:ascii="Symbol" w:hAnsi="Symbol" w:hint="default"/>
      </w:rPr>
    </w:lvl>
    <w:lvl w:ilvl="7" w:tplc="10090003" w:tentative="1">
      <w:start w:val="1"/>
      <w:numFmt w:val="bullet"/>
      <w:lvlText w:val="o"/>
      <w:lvlJc w:val="left"/>
      <w:pPr>
        <w:ind w:left="6842" w:hanging="360"/>
      </w:pPr>
      <w:rPr>
        <w:rFonts w:ascii="Courier New" w:hAnsi="Courier New" w:cs="Courier New" w:hint="default"/>
      </w:rPr>
    </w:lvl>
    <w:lvl w:ilvl="8" w:tplc="10090005" w:tentative="1">
      <w:start w:val="1"/>
      <w:numFmt w:val="bullet"/>
      <w:lvlText w:val=""/>
      <w:lvlJc w:val="left"/>
      <w:pPr>
        <w:ind w:left="7562" w:hanging="360"/>
      </w:pPr>
      <w:rPr>
        <w:rFonts w:ascii="Wingdings" w:hAnsi="Wingdings" w:hint="default"/>
      </w:rPr>
    </w:lvl>
  </w:abstractNum>
  <w:abstractNum w:abstractNumId="18" w15:restartNumberingAfterBreak="0">
    <w:nsid w:val="3FEB5F30"/>
    <w:multiLevelType w:val="hybridMultilevel"/>
    <w:tmpl w:val="4EE058CC"/>
    <w:lvl w:ilvl="0" w:tplc="CEA8C3A6">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206"/>
        </w:tabs>
        <w:ind w:left="120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982D01"/>
    <w:multiLevelType w:val="multilevel"/>
    <w:tmpl w:val="6DA2408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83EE8"/>
    <w:multiLevelType w:val="multilevel"/>
    <w:tmpl w:val="B31E362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BC794B"/>
    <w:multiLevelType w:val="multilevel"/>
    <w:tmpl w:val="9BAEF164"/>
    <w:lvl w:ilvl="0">
      <w:start w:val="1"/>
      <w:numFmt w:val="lowerLetter"/>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5" w15:restartNumberingAfterBreak="0">
    <w:nsid w:val="646954EE"/>
    <w:multiLevelType w:val="hybridMultilevel"/>
    <w:tmpl w:val="CCBC077C"/>
    <w:lvl w:ilvl="0" w:tplc="F0325A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22098E"/>
    <w:multiLevelType w:val="multilevel"/>
    <w:tmpl w:val="9F68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7C4530"/>
    <w:multiLevelType w:val="hybridMultilevel"/>
    <w:tmpl w:val="F6E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150F1"/>
    <w:multiLevelType w:val="multilevel"/>
    <w:tmpl w:val="E1CCEE3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C7E67"/>
    <w:multiLevelType w:val="multilevel"/>
    <w:tmpl w:val="21B2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12AC6"/>
    <w:multiLevelType w:val="multilevel"/>
    <w:tmpl w:val="6C4E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91AFF"/>
    <w:multiLevelType w:val="hybridMultilevel"/>
    <w:tmpl w:val="CC382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66347"/>
    <w:multiLevelType w:val="hybridMultilevel"/>
    <w:tmpl w:val="EEC0FC36"/>
    <w:lvl w:ilvl="0" w:tplc="EC7008B2">
      <w:start w:val="4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7"/>
  </w:num>
  <w:num w:numId="4">
    <w:abstractNumId w:val="11"/>
  </w:num>
  <w:num w:numId="5">
    <w:abstractNumId w:val="3"/>
  </w:num>
  <w:num w:numId="6">
    <w:abstractNumId w:val="20"/>
  </w:num>
  <w:num w:numId="7">
    <w:abstractNumId w:val="21"/>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8"/>
  </w:num>
  <w:num w:numId="11">
    <w:abstractNumId w:val="12"/>
  </w:num>
  <w:num w:numId="12">
    <w:abstractNumId w:val="8"/>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2"/>
  </w:num>
  <w:num w:numId="17">
    <w:abstractNumId w:val="2"/>
    <w:lvlOverride w:ilvl="0">
      <w:startOverride w:val="1"/>
    </w:lvlOverride>
  </w:num>
  <w:num w:numId="18">
    <w:abstractNumId w:val="14"/>
  </w:num>
  <w:num w:numId="19">
    <w:abstractNumId w:val="1"/>
  </w:num>
  <w:num w:numId="20">
    <w:abstractNumId w:val="30"/>
  </w:num>
  <w:num w:numId="21">
    <w:abstractNumId w:val="33"/>
  </w:num>
  <w:num w:numId="22">
    <w:abstractNumId w:val="16"/>
  </w:num>
  <w:num w:numId="23">
    <w:abstractNumId w:val="25"/>
  </w:num>
  <w:num w:numId="24">
    <w:abstractNumId w:val="9"/>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4"/>
  </w:num>
  <w:num w:numId="31">
    <w:abstractNumId w:val="13"/>
  </w:num>
  <w:num w:numId="32">
    <w:abstractNumId w:val="10"/>
  </w:num>
  <w:num w:numId="33">
    <w:abstractNumId w:val="32"/>
  </w:num>
  <w:num w:numId="34">
    <w:abstractNumId w:val="7"/>
  </w:num>
  <w:num w:numId="35">
    <w:abstractNumId w:val="15"/>
  </w:num>
  <w:num w:numId="36">
    <w:abstractNumId w:val="31"/>
  </w:num>
  <w:num w:numId="37">
    <w:abstractNumId w:val="26"/>
  </w:num>
  <w:num w:numId="38">
    <w:abstractNumId w:val="18"/>
  </w:num>
  <w:num w:numId="39">
    <w:abstractNumId w:val="22"/>
  </w:num>
  <w:num w:numId="40">
    <w:abstractNumId w:val="2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10DFE"/>
    <w:rsid w:val="000178F8"/>
    <w:rsid w:val="000A5DC9"/>
    <w:rsid w:val="000E7F21"/>
    <w:rsid w:val="001001DB"/>
    <w:rsid w:val="001A77D9"/>
    <w:rsid w:val="001F1B74"/>
    <w:rsid w:val="002057B0"/>
    <w:rsid w:val="00270162"/>
    <w:rsid w:val="00273815"/>
    <w:rsid w:val="002B6259"/>
    <w:rsid w:val="002F2456"/>
    <w:rsid w:val="00321B07"/>
    <w:rsid w:val="003B44AB"/>
    <w:rsid w:val="00417AC0"/>
    <w:rsid w:val="00486B7A"/>
    <w:rsid w:val="004973D8"/>
    <w:rsid w:val="004E2228"/>
    <w:rsid w:val="004E538F"/>
    <w:rsid w:val="00501F4A"/>
    <w:rsid w:val="00607917"/>
    <w:rsid w:val="006103A0"/>
    <w:rsid w:val="00670CC2"/>
    <w:rsid w:val="006E311D"/>
    <w:rsid w:val="00700AC4"/>
    <w:rsid w:val="00706ECC"/>
    <w:rsid w:val="007214F1"/>
    <w:rsid w:val="00790800"/>
    <w:rsid w:val="00803999"/>
    <w:rsid w:val="00857F07"/>
    <w:rsid w:val="00881A3B"/>
    <w:rsid w:val="008B67D2"/>
    <w:rsid w:val="008C1C51"/>
    <w:rsid w:val="008E68C1"/>
    <w:rsid w:val="00906429"/>
    <w:rsid w:val="009413B2"/>
    <w:rsid w:val="00956A31"/>
    <w:rsid w:val="00961C84"/>
    <w:rsid w:val="00990A2C"/>
    <w:rsid w:val="00A31862"/>
    <w:rsid w:val="00B233C0"/>
    <w:rsid w:val="00B64F3D"/>
    <w:rsid w:val="00B72A5F"/>
    <w:rsid w:val="00BB1D2B"/>
    <w:rsid w:val="00BB4AB2"/>
    <w:rsid w:val="00C264A2"/>
    <w:rsid w:val="00C85066"/>
    <w:rsid w:val="00CE6DB8"/>
    <w:rsid w:val="00D07237"/>
    <w:rsid w:val="00D248DB"/>
    <w:rsid w:val="00DC5ECC"/>
    <w:rsid w:val="00DD574C"/>
    <w:rsid w:val="00E1552E"/>
    <w:rsid w:val="00E15679"/>
    <w:rsid w:val="00E6179B"/>
    <w:rsid w:val="00E8273F"/>
    <w:rsid w:val="00EF31D5"/>
    <w:rsid w:val="00F017B6"/>
    <w:rsid w:val="00F21B38"/>
    <w:rsid w:val="00F601EC"/>
    <w:rsid w:val="00F7756B"/>
    <w:rsid w:val="00FB1153"/>
    <w:rsid w:val="00FE3450"/>
    <w:rsid w:val="00FF7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C0"/>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B233C0"/>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233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233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233C0"/>
    <w:pPr>
      <w:keepNext/>
      <w:keepLines/>
      <w:spacing w:before="4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B233C0"/>
    <w:pPr>
      <w:keepNext/>
      <w:keepLines/>
      <w:spacing w:before="40"/>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C0"/>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rsid w:val="00B233C0"/>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rsid w:val="00B233C0"/>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rsid w:val="00B233C0"/>
    <w:rPr>
      <w:rFonts w:asciiTheme="majorHAnsi" w:eastAsiaTheme="majorEastAsia" w:hAnsiTheme="majorHAnsi" w:cstheme="majorBidi"/>
      <w:i/>
      <w:iCs/>
      <w:color w:val="2E74B5" w:themeColor="accent1" w:themeShade="BF"/>
      <w:sz w:val="24"/>
      <w:szCs w:val="24"/>
      <w:lang w:eastAsia="en-CA"/>
    </w:rPr>
  </w:style>
  <w:style w:type="character" w:customStyle="1" w:styleId="Heading5Char">
    <w:name w:val="Heading 5 Char"/>
    <w:basedOn w:val="DefaultParagraphFont"/>
    <w:link w:val="Heading5"/>
    <w:uiPriority w:val="9"/>
    <w:semiHidden/>
    <w:rsid w:val="00B233C0"/>
    <w:rPr>
      <w:rFonts w:asciiTheme="majorHAnsi" w:eastAsiaTheme="majorEastAsia" w:hAnsiTheme="majorHAnsi" w:cstheme="majorBidi"/>
      <w:color w:val="2E74B5" w:themeColor="accent1" w:themeShade="BF"/>
      <w:sz w:val="24"/>
      <w:szCs w:val="24"/>
      <w:lang w:eastAsia="en-CA"/>
    </w:rPr>
  </w:style>
  <w:style w:type="paragraph" w:customStyle="1" w:styleId="1">
    <w:name w:val="1"/>
    <w:aliases w:val=" 2, 3, A"/>
    <w:basedOn w:val="Normal"/>
    <w:uiPriority w:val="1"/>
    <w:rsid w:val="00B233C0"/>
    <w:pPr>
      <w:widowControl w:val="0"/>
    </w:pPr>
  </w:style>
  <w:style w:type="paragraph" w:customStyle="1" w:styleId="SCCNormalDoubleSpacing">
    <w:name w:val="SCC.Normal.DoubleSpacing"/>
    <w:basedOn w:val="Normal"/>
    <w:link w:val="SCCNormalDoubleSpacingChar"/>
    <w:rsid w:val="00B233C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233C0"/>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B233C0"/>
    <w:rPr>
      <w:b/>
      <w:bCs/>
    </w:rPr>
  </w:style>
  <w:style w:type="paragraph" w:styleId="Quote">
    <w:name w:val="Quote"/>
    <w:basedOn w:val="Normal"/>
    <w:next w:val="Normal"/>
    <w:link w:val="QuoteChar"/>
    <w:uiPriority w:val="29"/>
    <w:qFormat/>
    <w:rsid w:val="00B233C0"/>
    <w:rPr>
      <w:i/>
      <w:iCs/>
      <w:color w:val="000000" w:themeColor="text1"/>
    </w:rPr>
  </w:style>
  <w:style w:type="character" w:customStyle="1" w:styleId="QuoteChar">
    <w:name w:val="Quote Char"/>
    <w:basedOn w:val="DefaultParagraphFont"/>
    <w:link w:val="Quote"/>
    <w:uiPriority w:val="29"/>
    <w:rsid w:val="00B233C0"/>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B233C0"/>
    <w:rPr>
      <w:color w:val="808080"/>
    </w:rPr>
  </w:style>
  <w:style w:type="paragraph" w:styleId="BalloonText">
    <w:name w:val="Balloon Text"/>
    <w:basedOn w:val="Normal"/>
    <w:link w:val="BalloonTextChar"/>
    <w:uiPriority w:val="99"/>
    <w:semiHidden/>
    <w:unhideWhenUsed/>
    <w:rsid w:val="00B233C0"/>
    <w:rPr>
      <w:rFonts w:ascii="Tahoma" w:hAnsi="Tahoma" w:cs="Tahoma"/>
      <w:sz w:val="16"/>
      <w:szCs w:val="16"/>
    </w:rPr>
  </w:style>
  <w:style w:type="character" w:customStyle="1" w:styleId="BalloonTextChar">
    <w:name w:val="Balloon Text Char"/>
    <w:basedOn w:val="DefaultParagraphFont"/>
    <w:link w:val="BalloonText"/>
    <w:uiPriority w:val="99"/>
    <w:semiHidden/>
    <w:rsid w:val="00B233C0"/>
    <w:rPr>
      <w:rFonts w:ascii="Tahoma" w:eastAsia="Times New Roman" w:hAnsi="Tahoma" w:cs="Tahoma"/>
      <w:sz w:val="16"/>
      <w:szCs w:val="16"/>
      <w:lang w:eastAsia="en-CA"/>
    </w:rPr>
  </w:style>
  <w:style w:type="paragraph" w:styleId="Header">
    <w:name w:val="header"/>
    <w:basedOn w:val="Normal"/>
    <w:link w:val="HeaderChar"/>
    <w:uiPriority w:val="99"/>
    <w:unhideWhenUsed/>
    <w:rsid w:val="00B233C0"/>
    <w:pPr>
      <w:tabs>
        <w:tab w:val="center" w:pos="4680"/>
        <w:tab w:val="right" w:pos="9360"/>
      </w:tabs>
    </w:pPr>
  </w:style>
  <w:style w:type="character" w:customStyle="1" w:styleId="HeaderChar">
    <w:name w:val="Header Char"/>
    <w:basedOn w:val="DefaultParagraphFont"/>
    <w:link w:val="Header"/>
    <w:uiPriority w:val="99"/>
    <w:rsid w:val="00B233C0"/>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B233C0"/>
    <w:pPr>
      <w:tabs>
        <w:tab w:val="center" w:pos="4680"/>
        <w:tab w:val="right" w:pos="9360"/>
      </w:tabs>
    </w:pPr>
  </w:style>
  <w:style w:type="character" w:customStyle="1" w:styleId="FooterChar">
    <w:name w:val="Footer Char"/>
    <w:basedOn w:val="DefaultParagraphFont"/>
    <w:link w:val="Footer"/>
    <w:uiPriority w:val="99"/>
    <w:rsid w:val="00B233C0"/>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B233C0"/>
    <w:pPr>
      <w:tabs>
        <w:tab w:val="right" w:pos="8222"/>
      </w:tabs>
      <w:jc w:val="both"/>
    </w:pPr>
    <w:rPr>
      <w:b/>
    </w:rPr>
  </w:style>
  <w:style w:type="character" w:customStyle="1" w:styleId="SCCLsocPartyChar">
    <w:name w:val="SCC.Lsoc.Party Char"/>
    <w:basedOn w:val="DefaultParagraphFont"/>
    <w:link w:val="SCCLsocParty"/>
    <w:rsid w:val="00B233C0"/>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B233C0"/>
    <w:pPr>
      <w:spacing w:after="720"/>
    </w:pPr>
    <w:rPr>
      <w:i/>
    </w:rPr>
  </w:style>
  <w:style w:type="character" w:customStyle="1" w:styleId="SCCLsocVersusChar">
    <w:name w:val="SCC.Lsoc.Versus Char"/>
    <w:basedOn w:val="DefaultParagraphFont"/>
    <w:link w:val="SCCLsocVersus"/>
    <w:rsid w:val="00B233C0"/>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B233C0"/>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B233C0"/>
    <w:pPr>
      <w:spacing w:after="720"/>
    </w:pPr>
  </w:style>
  <w:style w:type="character" w:customStyle="1" w:styleId="SCCLsocSubfileSeparatorChar">
    <w:name w:val="SCC.Lsoc.SubfileSeparator Char"/>
    <w:basedOn w:val="DefaultParagraphFont"/>
    <w:link w:val="SCCLsocSubfileSeparator"/>
    <w:rsid w:val="00B233C0"/>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B233C0"/>
    <w:pPr>
      <w:spacing w:after="720"/>
    </w:pPr>
  </w:style>
  <w:style w:type="character" w:customStyle="1" w:styleId="SCCLsocOtherPartySeparatorChar">
    <w:name w:val="SCC.Lsoc.OtherPartySeparator Char"/>
    <w:basedOn w:val="DefaultParagraphFont"/>
    <w:link w:val="SCCLsocOtherPartySeparator"/>
    <w:rsid w:val="00B233C0"/>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B233C0"/>
    <w:pPr>
      <w:jc w:val="right"/>
    </w:pPr>
    <w:rPr>
      <w:b/>
    </w:rPr>
  </w:style>
  <w:style w:type="paragraph" w:customStyle="1" w:styleId="SCCAppellantForRunningHead">
    <w:name w:val="SCC.AppellantForRunningHead"/>
    <w:basedOn w:val="Normal"/>
    <w:next w:val="Normal"/>
    <w:link w:val="SCCAppellantForRunningHeadChar"/>
    <w:rsid w:val="00B233C0"/>
    <w:rPr>
      <w:smallCaps/>
    </w:rPr>
  </w:style>
  <w:style w:type="character" w:customStyle="1" w:styleId="SCCAppellantForRunningHeadChar">
    <w:name w:val="SCC.AppellantForRunningHead Char"/>
    <w:basedOn w:val="DefaultParagraphFont"/>
    <w:link w:val="SCCAppellantForRunningHead"/>
    <w:rsid w:val="00B233C0"/>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B233C0"/>
    <w:rPr>
      <w:smallCaps/>
    </w:rPr>
  </w:style>
  <w:style w:type="character" w:customStyle="1" w:styleId="SCCRespondentForRunningHeadChar">
    <w:name w:val="SCC.RespondentForRunningHead Char"/>
    <w:basedOn w:val="DefaultParagraphFont"/>
    <w:link w:val="SCCRespondentForRunningHead"/>
    <w:rsid w:val="00B233C0"/>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B233C0"/>
    <w:rPr>
      <w:b/>
    </w:rPr>
  </w:style>
  <w:style w:type="character" w:customStyle="1" w:styleId="SCCAppellantForIndexChar">
    <w:name w:val="SCC.AppellantForIndex Char"/>
    <w:basedOn w:val="DefaultParagraphFont"/>
    <w:link w:val="SCCAppellantForIndex"/>
    <w:rsid w:val="00B233C0"/>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B233C0"/>
    <w:rPr>
      <w:b/>
    </w:rPr>
  </w:style>
  <w:style w:type="character" w:customStyle="1" w:styleId="SCCRespondentForIndexChar">
    <w:name w:val="SCC.RespondentForIndex Char"/>
    <w:basedOn w:val="DefaultParagraphFont"/>
    <w:link w:val="SCCRespondentForIndex"/>
    <w:rsid w:val="00B233C0"/>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B233C0"/>
    <w:rPr>
      <w:b/>
    </w:rPr>
  </w:style>
  <w:style w:type="character" w:customStyle="1" w:styleId="SCCSystemYearChar">
    <w:name w:val="SCC.SystemYear Char"/>
    <w:basedOn w:val="DefaultParagraphFont"/>
    <w:link w:val="SCCSystemYear"/>
    <w:rsid w:val="00B233C0"/>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B233C0"/>
    <w:rPr>
      <w:smallCaps/>
    </w:rPr>
  </w:style>
  <w:style w:type="paragraph" w:customStyle="1" w:styleId="SCCCounselName">
    <w:name w:val="SCC.CounselName"/>
    <w:basedOn w:val="SCCNormalDoubleSpacing"/>
    <w:next w:val="SCCNormalDoubleSpacing"/>
    <w:link w:val="SCCCounselNameChar"/>
    <w:rsid w:val="00B233C0"/>
    <w:rPr>
      <w:i/>
    </w:rPr>
  </w:style>
  <w:style w:type="character" w:customStyle="1" w:styleId="SCCCounselNameChar">
    <w:name w:val="SCC.CounselName Char"/>
    <w:basedOn w:val="SCCNormalDoubleSpacingChar"/>
    <w:link w:val="SCCCounselName"/>
    <w:rsid w:val="00B233C0"/>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B233C0"/>
    <w:rPr>
      <w:i/>
    </w:rPr>
  </w:style>
  <w:style w:type="paragraph" w:customStyle="1" w:styleId="SCCAppellantForCitation">
    <w:name w:val="SCC.AppellantForCitation"/>
    <w:basedOn w:val="Normal"/>
    <w:next w:val="Normal"/>
    <w:link w:val="SCCAppellantForCitationChar"/>
    <w:rsid w:val="00B233C0"/>
    <w:rPr>
      <w:i/>
    </w:rPr>
  </w:style>
  <w:style w:type="character" w:customStyle="1" w:styleId="SCCAppellantForCitationChar">
    <w:name w:val="SCC.AppellantForCitation Char"/>
    <w:basedOn w:val="DefaultParagraphFont"/>
    <w:link w:val="SCCAppellantForCitation"/>
    <w:rsid w:val="00B233C0"/>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B233C0"/>
    <w:rPr>
      <w:i/>
    </w:rPr>
  </w:style>
  <w:style w:type="character" w:customStyle="1" w:styleId="SCCRespondentForCitationChar">
    <w:name w:val="SCC.RespondentForCitation Char"/>
    <w:basedOn w:val="DefaultParagraphFont"/>
    <w:link w:val="SCCRespondentForCitation"/>
    <w:rsid w:val="00B233C0"/>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B233C0"/>
  </w:style>
  <w:style w:type="character" w:customStyle="1" w:styleId="SCCCounselSeparatorChar">
    <w:name w:val="SCC.CounselSeparator Char"/>
    <w:basedOn w:val="SCCNormalDoubleSpacingChar"/>
    <w:link w:val="SCCCounselSeparator"/>
    <w:rsid w:val="00B233C0"/>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B233C0"/>
  </w:style>
  <w:style w:type="character" w:customStyle="1" w:styleId="SCCPartyRoleChar">
    <w:name w:val="SCC.PartyRole Char"/>
    <w:basedOn w:val="SCCNormalDoubleSpacingChar"/>
    <w:link w:val="SCCPartyRole"/>
    <w:rsid w:val="00B233C0"/>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B233C0"/>
    <w:rPr>
      <w:i/>
    </w:rPr>
  </w:style>
  <w:style w:type="character" w:customStyle="1" w:styleId="SCCLawFirmChar">
    <w:name w:val="SCC.LawFirm Char"/>
    <w:basedOn w:val="SCCNormalDoubleSpacingChar"/>
    <w:link w:val="SCCLawFirm"/>
    <w:rsid w:val="00B233C0"/>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B233C0"/>
  </w:style>
  <w:style w:type="character" w:customStyle="1" w:styleId="SCCCounselPartyRoleChar">
    <w:name w:val="SCC.CounselPartyRole Char"/>
    <w:basedOn w:val="SCCNormalDoubleSpacingChar"/>
    <w:link w:val="SCCCounselPartyRole"/>
    <w:rsid w:val="00B233C0"/>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B233C0"/>
    <w:pPr>
      <w:tabs>
        <w:tab w:val="right" w:pos="8222"/>
      </w:tabs>
      <w:spacing w:after="720"/>
    </w:pPr>
    <w:rPr>
      <w:b/>
    </w:rPr>
  </w:style>
  <w:style w:type="character" w:customStyle="1" w:styleId="SCCLsocLastPartyInRoleChar">
    <w:name w:val="SCC.Lsoc.LastPartyInRole Char"/>
    <w:basedOn w:val="SCCLsocPartyChar"/>
    <w:link w:val="SCCLsocLastPartyInRole"/>
    <w:rsid w:val="00B233C0"/>
    <w:rPr>
      <w:rFonts w:ascii="Times New Roman" w:eastAsia="Times New Roman" w:hAnsi="Times New Roman" w:cs="Times New Roman"/>
      <w:b/>
      <w:sz w:val="24"/>
      <w:szCs w:val="20"/>
      <w:lang w:eastAsia="en-CA"/>
    </w:rPr>
  </w:style>
  <w:style w:type="character" w:styleId="Emphasis">
    <w:name w:val="Emphasis"/>
    <w:basedOn w:val="DefaultParagraphFont"/>
    <w:uiPriority w:val="20"/>
    <w:qFormat/>
    <w:rsid w:val="00B233C0"/>
    <w:rPr>
      <w:i/>
      <w:iCs/>
    </w:rPr>
  </w:style>
  <w:style w:type="paragraph" w:customStyle="1" w:styleId="ParaNoNdepar-AltN">
    <w:name w:val="Para. No. / Nº de par. - Alt N"/>
    <w:link w:val="ParaNoNdepar-AltNChar"/>
    <w:qFormat/>
    <w:rsid w:val="00B233C0"/>
    <w:pPr>
      <w:numPr>
        <w:numId w:val="1"/>
      </w:numPr>
      <w:tabs>
        <w:tab w:val="clear" w:pos="1152"/>
        <w:tab w:val="left" w:pos="1166"/>
      </w:tabs>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B233C0"/>
    <w:rPr>
      <w:rFonts w:ascii="Times New Roman" w:eastAsiaTheme="minorEastAsia" w:hAnsi="Times New Roman"/>
      <w:sz w:val="24"/>
    </w:rPr>
  </w:style>
  <w:style w:type="paragraph" w:customStyle="1" w:styleId="SCCCoram">
    <w:name w:val="SCC.Coram"/>
    <w:basedOn w:val="Normal"/>
    <w:next w:val="Normal"/>
    <w:link w:val="SCCCoramChar"/>
    <w:rsid w:val="00B233C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233C0"/>
    <w:rPr>
      <w:rFonts w:ascii="Times New Roman" w:hAnsi="Times New Roman"/>
      <w:sz w:val="24"/>
    </w:rPr>
  </w:style>
  <w:style w:type="paragraph" w:customStyle="1" w:styleId="Title1LevelTitre1Niveau-AltL">
    <w:name w:val="Title 1 Level / Titre 1 Niveau - Alt L"/>
    <w:next w:val="ParaNoNdepar-AltN"/>
    <w:uiPriority w:val="4"/>
    <w:qFormat/>
    <w:rsid w:val="00B233C0"/>
    <w:pPr>
      <w:numPr>
        <w:numId w:val="2"/>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B233C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233C0"/>
    <w:pPr>
      <w:numPr>
        <w:ilvl w:val="2"/>
      </w:numPr>
      <w:outlineLvl w:val="2"/>
    </w:pPr>
  </w:style>
  <w:style w:type="paragraph" w:customStyle="1" w:styleId="Title4LevelTitre4Niveau">
    <w:name w:val="Title 4 Level / Titre 4 Niveau"/>
    <w:basedOn w:val="Title3LevelTitre3Niveau"/>
    <w:next w:val="ParaNoNdepar-AltN"/>
    <w:uiPriority w:val="4"/>
    <w:qFormat/>
    <w:rsid w:val="00B233C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233C0"/>
    <w:pPr>
      <w:numPr>
        <w:ilvl w:val="4"/>
      </w:numPr>
      <w:outlineLvl w:val="4"/>
    </w:pPr>
  </w:style>
  <w:style w:type="paragraph" w:customStyle="1" w:styleId="Title6LevelTitre6Niveau">
    <w:name w:val="Title 6 Level / Titre 6 Niveau"/>
    <w:basedOn w:val="Title5LevelTitre5Niveau"/>
    <w:next w:val="ParaNoNdepar-AltN"/>
    <w:uiPriority w:val="4"/>
    <w:qFormat/>
    <w:rsid w:val="00B233C0"/>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B233C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233C0"/>
    <w:rPr>
      <w:rFonts w:ascii="Times New Roman" w:hAnsi="Times New Roman"/>
      <w:sz w:val="24"/>
    </w:rPr>
  </w:style>
  <w:style w:type="character" w:customStyle="1" w:styleId="SCCBanSummaryChar">
    <w:name w:val="SCC.BanSummary Char"/>
    <w:basedOn w:val="DefaultParagraphFont"/>
    <w:link w:val="SCCBanSummary"/>
    <w:rsid w:val="00B233C0"/>
    <w:rPr>
      <w:rFonts w:ascii="Times New Roman" w:eastAsia="Times New Roman" w:hAnsi="Times New Roman" w:cs="Times New Roman"/>
      <w:b/>
      <w:sz w:val="24"/>
      <w:szCs w:val="20"/>
      <w:lang w:eastAsia="en-CA"/>
    </w:rPr>
  </w:style>
  <w:style w:type="table" w:styleId="TableGrid">
    <w:name w:val="Table Grid"/>
    <w:basedOn w:val="TableNormal"/>
    <w:uiPriority w:val="59"/>
    <w:rsid w:val="00B233C0"/>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233C0"/>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B233C0"/>
    <w:pPr>
      <w:spacing w:before="480" w:after="480" w:line="480" w:lineRule="auto"/>
      <w:jc w:val="both"/>
    </w:pPr>
    <w:rPr>
      <w:rFonts w:ascii="Times New Roman" w:hAnsi="Times New Roman"/>
      <w:sz w:val="24"/>
    </w:rPr>
  </w:style>
  <w:style w:type="paragraph" w:customStyle="1" w:styleId="JudgeJuge">
    <w:name w:val="Judge / Juge"/>
    <w:uiPriority w:val="3"/>
    <w:rsid w:val="00B233C0"/>
    <w:pPr>
      <w:tabs>
        <w:tab w:val="left" w:pos="1166"/>
      </w:tabs>
      <w:spacing w:after="480" w:line="480" w:lineRule="auto"/>
    </w:pPr>
    <w:rPr>
      <w:rFonts w:ascii="Times New Roman" w:eastAsia="Times New Roman" w:hAnsi="Times New Roman" w:cs="Times New Roman"/>
      <w:smallCaps/>
      <w:sz w:val="24"/>
      <w:szCs w:val="24"/>
      <w:lang w:eastAsia="en-CA"/>
    </w:rPr>
  </w:style>
  <w:style w:type="paragraph" w:styleId="TOC1">
    <w:name w:val="toc 1"/>
    <w:basedOn w:val="Normal"/>
    <w:next w:val="Normal"/>
    <w:autoRedefine/>
    <w:uiPriority w:val="39"/>
    <w:unhideWhenUsed/>
    <w:rsid w:val="00B233C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233C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233C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233C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233C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233C0"/>
    <w:pPr>
      <w:tabs>
        <w:tab w:val="left" w:pos="2160"/>
        <w:tab w:val="right" w:leader="dot" w:pos="8270"/>
      </w:tabs>
      <w:spacing w:after="100"/>
      <w:ind w:left="1800"/>
    </w:pPr>
    <w:rPr>
      <w:noProof/>
    </w:rPr>
  </w:style>
  <w:style w:type="table" w:customStyle="1" w:styleId="TableGrid1">
    <w:name w:val="Table Grid1"/>
    <w:basedOn w:val="TableNormal"/>
    <w:uiPriority w:val="59"/>
    <w:rsid w:val="00B233C0"/>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233C0"/>
    <w:pPr>
      <w:tabs>
        <w:tab w:val="left" w:pos="360"/>
      </w:tabs>
      <w:spacing w:before="480" w:after="720" w:line="240" w:lineRule="auto"/>
      <w:ind w:left="360" w:hanging="360"/>
      <w:jc w:val="both"/>
      <w:outlineLvl w:val="0"/>
    </w:pPr>
    <w:rPr>
      <w:rFonts w:ascii="Times New Roman" w:hAnsi="Times New Roman"/>
      <w:sz w:val="24"/>
    </w:rPr>
  </w:style>
  <w:style w:type="paragraph" w:styleId="FootnoteText">
    <w:name w:val="footnote text"/>
    <w:basedOn w:val="Normal"/>
    <w:link w:val="FootnoteTextChar"/>
    <w:uiPriority w:val="99"/>
    <w:unhideWhenUsed/>
    <w:rsid w:val="00B233C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233C0"/>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B233C0"/>
    <w:rPr>
      <w:vertAlign w:val="superscript"/>
    </w:rPr>
  </w:style>
  <w:style w:type="paragraph" w:styleId="NoSpacing">
    <w:name w:val="No Spacing"/>
    <w:basedOn w:val="Normal"/>
    <w:uiPriority w:val="1"/>
    <w:qFormat/>
    <w:rsid w:val="00B233C0"/>
    <w:rPr>
      <w:szCs w:val="24"/>
    </w:rPr>
  </w:style>
  <w:style w:type="paragraph" w:styleId="ListParagraph">
    <w:name w:val="List Paragraph"/>
    <w:basedOn w:val="Normal"/>
    <w:uiPriority w:val="34"/>
    <w:qFormat/>
    <w:rsid w:val="00B233C0"/>
    <w:pPr>
      <w:ind w:left="720"/>
      <w:contextualSpacing/>
    </w:pPr>
    <w:rPr>
      <w:szCs w:val="24"/>
    </w:rPr>
  </w:style>
  <w:style w:type="character" w:styleId="Hyperlink">
    <w:name w:val="Hyperlink"/>
    <w:basedOn w:val="DefaultParagraphFont"/>
    <w:uiPriority w:val="99"/>
    <w:unhideWhenUsed/>
    <w:rsid w:val="00B233C0"/>
    <w:rPr>
      <w:color w:val="0563C1" w:themeColor="hyperlink"/>
      <w:u w:val="single"/>
    </w:rPr>
  </w:style>
  <w:style w:type="character" w:styleId="SubtleEmphasis">
    <w:name w:val="Subtle Emphasis"/>
    <w:uiPriority w:val="19"/>
    <w:qFormat/>
    <w:rsid w:val="00B233C0"/>
    <w:rPr>
      <w:i/>
      <w:iCs/>
    </w:rPr>
  </w:style>
  <w:style w:type="paragraph" w:styleId="NormalWeb">
    <w:name w:val="Normal (Web)"/>
    <w:basedOn w:val="Normal"/>
    <w:uiPriority w:val="99"/>
    <w:unhideWhenUsed/>
    <w:rsid w:val="00B233C0"/>
    <w:pPr>
      <w:spacing w:before="100" w:beforeAutospacing="1" w:after="100" w:afterAutospacing="1"/>
    </w:pPr>
    <w:rPr>
      <w:szCs w:val="24"/>
      <w:lang w:val="fr-CA" w:eastAsia="fr-CA"/>
    </w:rPr>
  </w:style>
  <w:style w:type="character" w:styleId="CommentReference">
    <w:name w:val="annotation reference"/>
    <w:basedOn w:val="DefaultParagraphFont"/>
    <w:uiPriority w:val="99"/>
    <w:semiHidden/>
    <w:unhideWhenUsed/>
    <w:rsid w:val="00B233C0"/>
    <w:rPr>
      <w:sz w:val="16"/>
      <w:szCs w:val="16"/>
    </w:rPr>
  </w:style>
  <w:style w:type="paragraph" w:styleId="CommentText">
    <w:name w:val="annotation text"/>
    <w:basedOn w:val="Normal"/>
    <w:link w:val="CommentTextChar"/>
    <w:uiPriority w:val="99"/>
    <w:unhideWhenUsed/>
    <w:rsid w:val="00B233C0"/>
    <w:rPr>
      <w:sz w:val="20"/>
    </w:rPr>
  </w:style>
  <w:style w:type="character" w:customStyle="1" w:styleId="CommentTextChar">
    <w:name w:val="Comment Text Char"/>
    <w:basedOn w:val="DefaultParagraphFont"/>
    <w:link w:val="CommentText"/>
    <w:uiPriority w:val="99"/>
    <w:rsid w:val="00B233C0"/>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B233C0"/>
    <w:rPr>
      <w:b/>
      <w:bCs/>
    </w:rPr>
  </w:style>
  <w:style w:type="character" w:customStyle="1" w:styleId="CommentSubjectChar">
    <w:name w:val="Comment Subject Char"/>
    <w:basedOn w:val="CommentTextChar"/>
    <w:link w:val="CommentSubject"/>
    <w:uiPriority w:val="99"/>
    <w:semiHidden/>
    <w:rsid w:val="00B233C0"/>
    <w:rPr>
      <w:rFonts w:ascii="Times New Roman" w:eastAsia="Times New Roman" w:hAnsi="Times New Roman" w:cs="Times New Roman"/>
      <w:b/>
      <w:bCs/>
      <w:sz w:val="20"/>
      <w:szCs w:val="20"/>
      <w:lang w:eastAsia="en-CA"/>
    </w:rPr>
  </w:style>
  <w:style w:type="paragraph" w:styleId="Revision">
    <w:name w:val="Revision"/>
    <w:hidden/>
    <w:uiPriority w:val="99"/>
    <w:semiHidden/>
    <w:rsid w:val="00B233C0"/>
    <w:pPr>
      <w:spacing w:after="0"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B233C0"/>
    <w:pPr>
      <w:spacing w:before="100" w:beforeAutospacing="1" w:after="100" w:afterAutospacing="1"/>
    </w:pPr>
    <w:rPr>
      <w:szCs w:val="24"/>
    </w:rPr>
  </w:style>
  <w:style w:type="character" w:customStyle="1" w:styleId="lawlabel">
    <w:name w:val="lawlabel"/>
    <w:basedOn w:val="DefaultParagraphFont"/>
    <w:rsid w:val="00B233C0"/>
  </w:style>
  <w:style w:type="character" w:customStyle="1" w:styleId="canliisubsection">
    <w:name w:val="canlii_subsection"/>
    <w:basedOn w:val="DefaultParagraphFont"/>
    <w:rsid w:val="00B233C0"/>
  </w:style>
  <w:style w:type="paragraph" w:customStyle="1" w:styleId="paragraph">
    <w:name w:val="paragraph"/>
    <w:basedOn w:val="Normal"/>
    <w:rsid w:val="00B233C0"/>
    <w:pPr>
      <w:spacing w:before="100" w:beforeAutospacing="1" w:after="100" w:afterAutospacing="1"/>
    </w:pPr>
    <w:rPr>
      <w:szCs w:val="24"/>
    </w:rPr>
  </w:style>
  <w:style w:type="character" w:customStyle="1" w:styleId="reflex3-block">
    <w:name w:val="reflex3-block"/>
    <w:basedOn w:val="DefaultParagraphFont"/>
    <w:rsid w:val="00B233C0"/>
  </w:style>
  <w:style w:type="character" w:customStyle="1" w:styleId="reflex3-alt">
    <w:name w:val="reflex3-alt"/>
    <w:basedOn w:val="DefaultParagraphFont"/>
    <w:rsid w:val="00B233C0"/>
  </w:style>
  <w:style w:type="character" w:customStyle="1" w:styleId="cohl">
    <w:name w:val="co_hl"/>
    <w:basedOn w:val="DefaultParagraphFont"/>
    <w:rsid w:val="00B233C0"/>
  </w:style>
  <w:style w:type="paragraph" w:customStyle="1" w:styleId="Default">
    <w:name w:val="Default"/>
    <w:rsid w:val="00B233C0"/>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styleId="FollowedHyperlink">
    <w:name w:val="FollowedHyperlink"/>
    <w:basedOn w:val="DefaultParagraphFont"/>
    <w:uiPriority w:val="99"/>
    <w:semiHidden/>
    <w:unhideWhenUsed/>
    <w:rsid w:val="00B233C0"/>
    <w:rPr>
      <w:color w:val="954F72" w:themeColor="followedHyperlink"/>
      <w:u w:val="single"/>
    </w:rPr>
  </w:style>
  <w:style w:type="character" w:customStyle="1" w:styleId="sectionlabel">
    <w:name w:val="sectionlabel"/>
    <w:basedOn w:val="DefaultParagraphFont"/>
    <w:rsid w:val="00B233C0"/>
  </w:style>
  <w:style w:type="paragraph" w:customStyle="1" w:styleId="marginalnote">
    <w:name w:val="marginalnote"/>
    <w:basedOn w:val="Normal"/>
    <w:rsid w:val="00B233C0"/>
    <w:pPr>
      <w:spacing w:before="100" w:beforeAutospacing="1" w:after="100" w:afterAutospacing="1"/>
    </w:pPr>
    <w:rPr>
      <w:szCs w:val="24"/>
      <w:lang w:val="en-US" w:eastAsia="en-US"/>
    </w:rPr>
  </w:style>
  <w:style w:type="character" w:styleId="HTMLCite">
    <w:name w:val="HTML Cite"/>
    <w:basedOn w:val="DefaultParagraphFont"/>
    <w:uiPriority w:val="99"/>
    <w:semiHidden/>
    <w:unhideWhenUsed/>
    <w:rsid w:val="00B233C0"/>
    <w:rPr>
      <w:i/>
      <w:iCs/>
    </w:rPr>
  </w:style>
  <w:style w:type="character" w:customStyle="1" w:styleId="otherlang">
    <w:name w:val="otherlang"/>
    <w:basedOn w:val="DefaultParagraphFont"/>
    <w:rsid w:val="00B233C0"/>
  </w:style>
  <w:style w:type="character" w:customStyle="1" w:styleId="highlight">
    <w:name w:val="highlight"/>
    <w:basedOn w:val="DefaultParagraphFont"/>
    <w:rsid w:val="00B233C0"/>
  </w:style>
  <w:style w:type="character" w:customStyle="1" w:styleId="decisia-reflex2-icon">
    <w:name w:val="decisia-reflex2-icon"/>
    <w:basedOn w:val="DefaultParagraphFont"/>
    <w:rsid w:val="00B233C0"/>
    <w:rPr>
      <w:sz w:val="19"/>
      <w:szCs w:val="19"/>
    </w:rPr>
  </w:style>
  <w:style w:type="character" w:customStyle="1" w:styleId="lawlabel2">
    <w:name w:val="lawlabel2"/>
    <w:basedOn w:val="DefaultParagraphFont"/>
    <w:rsid w:val="00B233C0"/>
    <w:rPr>
      <w:b/>
      <w:bCs/>
      <w:color w:val="000000"/>
    </w:rPr>
  </w:style>
  <w:style w:type="character" w:customStyle="1" w:styleId="citationcar">
    <w:name w:val="citationcar"/>
    <w:basedOn w:val="DefaultParagraphFont"/>
    <w:rsid w:val="00B233C0"/>
  </w:style>
  <w:style w:type="table" w:customStyle="1" w:styleId="TableGrid2">
    <w:name w:val="Table Grid2"/>
    <w:basedOn w:val="TableNormal"/>
    <w:next w:val="TableGrid"/>
    <w:uiPriority w:val="59"/>
    <w:rsid w:val="00B233C0"/>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17AC0"/>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17AC0"/>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20768</Words>
  <Characters>118381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Carrière Caroline</cp:lastModifiedBy>
  <cp:revision>3</cp:revision>
  <dcterms:created xsi:type="dcterms:W3CDTF">2021-03-01T00:22:00Z</dcterms:created>
  <dcterms:modified xsi:type="dcterms:W3CDTF">2021-03-01T18:49:00Z</dcterms:modified>
</cp:coreProperties>
</file>