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890" w:rsidRPr="004B3890" w:rsidRDefault="004B3890" w:rsidP="00AA4A93">
      <w:pPr>
        <w:tabs>
          <w:tab w:val="center" w:pos="4680"/>
          <w:tab w:val="right" w:pos="9360"/>
        </w:tabs>
        <w:jc w:val="center"/>
        <w:rPr>
          <w:rFonts w:eastAsia="Calibri"/>
          <w:szCs w:val="24"/>
          <w:lang w:val="fr-CA" w:eastAsia="en-US"/>
        </w:rPr>
      </w:pPr>
      <w:r w:rsidRPr="004B3890">
        <w:rPr>
          <w:rFonts w:eastAsia="Calibri"/>
          <w:szCs w:val="24"/>
          <w:lang w:val="fr-CA" w:eastAsia="en-US"/>
        </w:rPr>
        <w:ptab w:relativeTo="margin" w:alignment="center" w:leader="none"/>
      </w:r>
      <w:r w:rsidRPr="004B3890">
        <w:rPr>
          <w:rFonts w:eastAsia="Calibri"/>
          <w:szCs w:val="24"/>
          <w:lang w:val="fr-CA" w:eastAsia="en-US"/>
        </w:rPr>
        <w:t xml:space="preserve"> </w:t>
      </w:r>
      <w:bookmarkStart w:id="0" w:name="_GoBack"/>
      <w:r w:rsidRPr="004B3890">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65pt" o:ole="">
            <v:imagedata r:id="rId7" o:title=""/>
          </v:shape>
          <o:OLEObject Type="Embed" ProgID="Presentations.Drawing.13" ShapeID="_x0000_i1025" DrawAspect="Content" ObjectID="_1676112230" r:id="rId8"/>
        </w:object>
      </w:r>
      <w:bookmarkEnd w:id="0"/>
      <w:r w:rsidRPr="004B3890">
        <w:rPr>
          <w:rFonts w:eastAsia="Calibri"/>
          <w:szCs w:val="24"/>
          <w:lang w:val="fr-CA" w:eastAsia="en-US"/>
        </w:rPr>
        <w:t xml:space="preserve"> </w:t>
      </w:r>
      <w:r w:rsidRPr="004B3890">
        <w:rPr>
          <w:rFonts w:eastAsia="Calibri"/>
          <w:szCs w:val="24"/>
          <w:lang w:val="fr-CA" w:eastAsia="en-US"/>
        </w:rPr>
        <w:ptab w:relativeTo="margin" w:alignment="right" w:leader="none"/>
      </w:r>
    </w:p>
    <w:p w:rsidR="004B3890" w:rsidRPr="004B3890" w:rsidRDefault="004B3890" w:rsidP="004B3890">
      <w:pPr>
        <w:tabs>
          <w:tab w:val="center" w:pos="4680"/>
          <w:tab w:val="right" w:pos="9360"/>
        </w:tabs>
        <w:rPr>
          <w:rFonts w:eastAsia="Calibri"/>
          <w:szCs w:val="24"/>
          <w:lang w:val="fr-CA" w:eastAsia="en-US"/>
        </w:rPr>
      </w:pPr>
    </w:p>
    <w:p w:rsidR="004B3890" w:rsidRPr="004B3890" w:rsidRDefault="004B3890" w:rsidP="004B3890">
      <w:pPr>
        <w:jc w:val="center"/>
        <w:rPr>
          <w:rFonts w:eastAsia="Calibri"/>
          <w:b/>
          <w:szCs w:val="24"/>
          <w:lang w:val="fr-CA" w:eastAsia="en-US"/>
        </w:rPr>
      </w:pPr>
      <w:r w:rsidRPr="004B3890">
        <w:rPr>
          <w:rFonts w:eastAsia="Calibri"/>
          <w:b/>
          <w:szCs w:val="24"/>
          <w:lang w:val="fr-CA" w:eastAsia="en-US"/>
        </w:rPr>
        <w:t>COUR SUPRÊME DU CANADA</w:t>
      </w:r>
    </w:p>
    <w:p w:rsidR="004B3890" w:rsidRPr="004B3890" w:rsidRDefault="004B3890" w:rsidP="004B3890">
      <w:pPr>
        <w:rPr>
          <w:rFonts w:eastAsia="Calibri"/>
          <w:szCs w:val="24"/>
          <w:lang w:val="fr-CA" w:eastAsia="en-US"/>
        </w:rPr>
      </w:pPr>
    </w:p>
    <w:tbl>
      <w:tblPr>
        <w:tblStyle w:val="TableGrid11"/>
        <w:tblW w:w="53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761"/>
        <w:gridCol w:w="1757"/>
        <w:gridCol w:w="3385"/>
      </w:tblGrid>
      <w:tr w:rsidR="004B3890" w:rsidRPr="004B3890" w:rsidTr="00695EFF">
        <w:tc>
          <w:tcPr>
            <w:tcW w:w="2112" w:type="pct"/>
            <w:tcMar>
              <w:top w:w="284" w:type="dxa"/>
            </w:tcMar>
          </w:tcPr>
          <w:p w:rsidR="004B3890" w:rsidRPr="004B3890" w:rsidRDefault="004B3890" w:rsidP="004B3890">
            <w:pPr>
              <w:spacing w:before="100" w:beforeAutospacing="1"/>
              <w:rPr>
                <w:rFonts w:eastAsia="Calibri"/>
                <w:szCs w:val="24"/>
                <w:lang w:val="fr-CA"/>
              </w:rPr>
            </w:pPr>
            <w:r w:rsidRPr="004B3890">
              <w:rPr>
                <w:b/>
                <w:smallCaps/>
                <w:szCs w:val="24"/>
                <w:lang w:val="fr-CA"/>
              </w:rPr>
              <w:t>Référence :</w:t>
            </w:r>
            <w:r w:rsidRPr="004B3890">
              <w:rPr>
                <w:szCs w:val="24"/>
                <w:lang w:val="fr-CA"/>
              </w:rPr>
              <w:t xml:space="preserve"> </w:t>
            </w:r>
            <w:r w:rsidRPr="004B3890">
              <w:rPr>
                <w:b/>
                <w:smallCaps/>
                <w:szCs w:val="24"/>
                <w:lang w:val="fr-CA"/>
              </w:rPr>
              <w:t>:</w:t>
            </w:r>
            <w:r w:rsidRPr="004B3890">
              <w:rPr>
                <w:szCs w:val="24"/>
                <w:lang w:val="fr-CA"/>
              </w:rPr>
              <w:t xml:space="preserve"> </w:t>
            </w:r>
            <w:r w:rsidRPr="004B3890">
              <w:rPr>
                <w:rFonts w:eastAsia="Calibri"/>
                <w:lang w:val="fr-CA"/>
              </w:rPr>
              <w:t xml:space="preserve">Christine DeJong Medicine Professional Corp. </w:t>
            </w:r>
            <w:r w:rsidRPr="004B3890">
              <w:rPr>
                <w:i/>
                <w:szCs w:val="24"/>
                <w:lang w:val="fr-CA"/>
              </w:rPr>
              <w:t>c.</w:t>
            </w:r>
            <w:r w:rsidRPr="004B3890">
              <w:rPr>
                <w:szCs w:val="24"/>
                <w:lang w:val="fr-CA"/>
              </w:rPr>
              <w:t xml:space="preserve"> </w:t>
            </w:r>
            <w:r w:rsidRPr="004B3890">
              <w:rPr>
                <w:rFonts w:eastAsia="Calibri"/>
                <w:lang w:val="fr-CA"/>
              </w:rPr>
              <w:t>DBDC Spadina Ltd.,</w:t>
            </w:r>
            <w:r w:rsidRPr="004B3890">
              <w:rPr>
                <w:rFonts w:eastAsia="Calibri"/>
                <w:smallCaps/>
                <w:lang w:val="fr-CA"/>
              </w:rPr>
              <w:t xml:space="preserve"> </w:t>
            </w:r>
            <w:r w:rsidRPr="004B3890">
              <w:rPr>
                <w:smallCaps/>
                <w:szCs w:val="24"/>
                <w:lang w:val="fr-CA"/>
              </w:rPr>
              <w:t>2019 CSC 30, [2019] 2 R.C.S. 530</w:t>
            </w:r>
          </w:p>
        </w:tc>
        <w:tc>
          <w:tcPr>
            <w:tcW w:w="987" w:type="pct"/>
          </w:tcPr>
          <w:p w:rsidR="004B3890" w:rsidRPr="004B3890" w:rsidRDefault="004B3890" w:rsidP="004B3890">
            <w:pPr>
              <w:rPr>
                <w:b/>
                <w:smallCaps/>
                <w:szCs w:val="24"/>
                <w:lang w:val="fr-CA"/>
              </w:rPr>
            </w:pPr>
          </w:p>
        </w:tc>
        <w:tc>
          <w:tcPr>
            <w:tcW w:w="1901" w:type="pct"/>
            <w:tcMar>
              <w:top w:w="284" w:type="dxa"/>
            </w:tcMar>
          </w:tcPr>
          <w:p w:rsidR="004B3890" w:rsidRPr="004B3890" w:rsidRDefault="004B3890" w:rsidP="004B3890">
            <w:pPr>
              <w:rPr>
                <w:szCs w:val="24"/>
                <w:lang w:val="fr-CA"/>
              </w:rPr>
            </w:pPr>
            <w:r w:rsidRPr="004B3890">
              <w:rPr>
                <w:b/>
                <w:smallCaps/>
                <w:szCs w:val="24"/>
                <w:lang w:val="fr-CA"/>
              </w:rPr>
              <w:t>Appel entendu :</w:t>
            </w:r>
            <w:r w:rsidRPr="004B3890">
              <w:rPr>
                <w:szCs w:val="24"/>
                <w:lang w:val="fr-CA"/>
              </w:rPr>
              <w:t xml:space="preserve"> 14 mai 2019</w:t>
            </w:r>
          </w:p>
          <w:p w:rsidR="004B3890" w:rsidRPr="004B3890" w:rsidRDefault="004B3890" w:rsidP="004B3890">
            <w:pPr>
              <w:rPr>
                <w:b/>
                <w:smallCaps/>
                <w:szCs w:val="24"/>
                <w:lang w:val="fr-CA"/>
              </w:rPr>
            </w:pPr>
            <w:r w:rsidRPr="004B3890">
              <w:rPr>
                <w:b/>
                <w:smallCaps/>
                <w:szCs w:val="24"/>
                <w:lang w:val="fr-CA"/>
              </w:rPr>
              <w:t xml:space="preserve">Jugement rendu : </w:t>
            </w:r>
            <w:r w:rsidRPr="004B3890">
              <w:rPr>
                <w:szCs w:val="24"/>
                <w:lang w:val="fr-CA"/>
              </w:rPr>
              <w:t>14 mai 2019</w:t>
            </w:r>
          </w:p>
          <w:p w:rsidR="004B3890" w:rsidRPr="004B3890" w:rsidRDefault="004B3890" w:rsidP="004B3890">
            <w:pPr>
              <w:rPr>
                <w:rFonts w:eastAsia="Calibri"/>
                <w:szCs w:val="24"/>
                <w:lang w:val="fr-CA"/>
              </w:rPr>
            </w:pPr>
            <w:r w:rsidRPr="004B3890">
              <w:rPr>
                <w:b/>
                <w:smallCaps/>
                <w:szCs w:val="24"/>
                <w:lang w:val="fr-CA"/>
              </w:rPr>
              <w:t xml:space="preserve">Dossier : </w:t>
            </w:r>
            <w:r w:rsidRPr="004B3890">
              <w:rPr>
                <w:szCs w:val="24"/>
                <w:lang w:val="fr-CA"/>
              </w:rPr>
              <w:t xml:space="preserve">38051 </w:t>
            </w:r>
          </w:p>
        </w:tc>
      </w:tr>
    </w:tbl>
    <w:p w:rsidR="004B3890" w:rsidRPr="004B3890" w:rsidRDefault="004B3890" w:rsidP="004B3890">
      <w:pPr>
        <w:rPr>
          <w:rFonts w:eastAsia="Calibri"/>
          <w:b/>
          <w:smallCaps/>
          <w:szCs w:val="24"/>
          <w:lang w:val="fr-CA" w:eastAsia="en-US"/>
        </w:rPr>
      </w:pPr>
    </w:p>
    <w:p w:rsidR="004B3890" w:rsidRPr="004B3890" w:rsidRDefault="004B3890" w:rsidP="004B3890">
      <w:pPr>
        <w:rPr>
          <w:rFonts w:eastAsia="Calibri"/>
          <w:b/>
          <w:smallCaps/>
          <w:szCs w:val="24"/>
          <w:lang w:val="fr-CA" w:eastAsia="en-US"/>
        </w:rPr>
      </w:pPr>
    </w:p>
    <w:p w:rsidR="004B3890" w:rsidRPr="004B3890" w:rsidRDefault="004B3890" w:rsidP="004B3890">
      <w:pPr>
        <w:rPr>
          <w:rFonts w:eastAsia="Calibri"/>
          <w:b/>
          <w:smallCaps/>
          <w:szCs w:val="24"/>
          <w:lang w:val="fr-CA" w:eastAsia="en-US"/>
        </w:rPr>
      </w:pPr>
      <w:r w:rsidRPr="004B3890">
        <w:rPr>
          <w:rFonts w:eastAsia="Calibri"/>
          <w:b/>
          <w:smallCaps/>
          <w:szCs w:val="24"/>
          <w:lang w:val="fr-CA" w:eastAsia="en-US"/>
        </w:rPr>
        <w:t>Entre :</w:t>
      </w:r>
    </w:p>
    <w:p w:rsidR="004B3890" w:rsidRPr="004B3890" w:rsidRDefault="004B3890" w:rsidP="004B3890">
      <w:pPr>
        <w:jc w:val="center"/>
        <w:rPr>
          <w:rFonts w:eastAsia="Calibri"/>
          <w:b/>
          <w:szCs w:val="24"/>
          <w:lang w:val="fr-CA" w:eastAsia="en-US"/>
        </w:rPr>
      </w:pPr>
      <w:r w:rsidRPr="004B3890">
        <w:rPr>
          <w:rFonts w:eastAsia="Calibri"/>
          <w:b/>
          <w:szCs w:val="24"/>
          <w:lang w:val="fr-CA" w:eastAsia="en-US"/>
        </w:rPr>
        <w:t xml:space="preserve">Christine DeJong Medicine Professional Corporation </w:t>
      </w:r>
    </w:p>
    <w:p w:rsidR="004B3890" w:rsidRPr="004B3890" w:rsidRDefault="004B3890" w:rsidP="004B3890">
      <w:pPr>
        <w:jc w:val="center"/>
        <w:rPr>
          <w:rFonts w:eastAsia="Calibri"/>
          <w:szCs w:val="24"/>
          <w:lang w:val="fr-CA" w:eastAsia="en-US"/>
        </w:rPr>
      </w:pPr>
      <w:r w:rsidRPr="004B3890">
        <w:rPr>
          <w:rFonts w:eastAsia="Calibri"/>
          <w:szCs w:val="24"/>
          <w:lang w:val="fr-CA" w:eastAsia="en-US"/>
        </w:rPr>
        <w:t>Appelante</w:t>
      </w:r>
    </w:p>
    <w:p w:rsidR="004B3890" w:rsidRPr="004B3890" w:rsidRDefault="004B3890" w:rsidP="004B3890">
      <w:pPr>
        <w:rPr>
          <w:rFonts w:eastAsia="Calibri"/>
          <w:szCs w:val="24"/>
          <w:lang w:val="fr-CA" w:eastAsia="en-US"/>
        </w:rPr>
      </w:pPr>
    </w:p>
    <w:p w:rsidR="004B3890" w:rsidRPr="004B3890" w:rsidRDefault="004B3890" w:rsidP="004B3890">
      <w:pPr>
        <w:jc w:val="center"/>
        <w:rPr>
          <w:rFonts w:eastAsia="Calibri"/>
          <w:szCs w:val="24"/>
          <w:lang w:val="fr-CA" w:eastAsia="en-US"/>
        </w:rPr>
      </w:pPr>
      <w:r w:rsidRPr="004B3890">
        <w:rPr>
          <w:rFonts w:eastAsia="Calibri"/>
          <w:szCs w:val="24"/>
          <w:lang w:val="fr-CA" w:eastAsia="en-US"/>
        </w:rPr>
        <w:t>et</w:t>
      </w:r>
    </w:p>
    <w:p w:rsidR="004B3890" w:rsidRPr="004B3890" w:rsidRDefault="004B3890" w:rsidP="004B3890">
      <w:pPr>
        <w:rPr>
          <w:rFonts w:eastAsia="Calibri"/>
          <w:szCs w:val="24"/>
          <w:lang w:val="fr-CA" w:eastAsia="en-US"/>
        </w:rPr>
      </w:pP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DBDC Spadina Ltd.,</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Dr. Bernstein Diet Clinics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2272551 Ontario Limited,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Investments Atlantic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Investment Pape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Investments Highway 7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Investments Trent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Investments St. Clair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DBDC Investments Tisdale Ltd.,</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Investments Leslie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Investments Lesliebrook Ltd., </w:t>
      </w:r>
    </w:p>
    <w:p w:rsidR="004B3890" w:rsidRPr="004B3890" w:rsidRDefault="004B3890" w:rsidP="004B3890">
      <w:pPr>
        <w:jc w:val="center"/>
        <w:rPr>
          <w:rFonts w:eastAsia="Calibri"/>
          <w:b/>
          <w:szCs w:val="24"/>
          <w:lang w:val="fr-CA" w:eastAsia="en-US"/>
        </w:rPr>
      </w:pPr>
      <w:r w:rsidRPr="004B3890">
        <w:rPr>
          <w:rFonts w:eastAsia="Calibri"/>
          <w:b/>
          <w:szCs w:val="24"/>
          <w:lang w:val="fr-CA" w:eastAsia="en-US"/>
        </w:rPr>
        <w:t xml:space="preserve">DBDC Fraser Properties Ltd., </w:t>
      </w:r>
    </w:p>
    <w:p w:rsidR="004B3890" w:rsidRPr="004B3890" w:rsidRDefault="004B3890" w:rsidP="004B3890">
      <w:pPr>
        <w:jc w:val="center"/>
        <w:rPr>
          <w:rFonts w:eastAsia="Calibri"/>
          <w:b/>
          <w:szCs w:val="24"/>
          <w:lang w:val="fr-CA" w:eastAsia="en-US"/>
        </w:rPr>
      </w:pPr>
      <w:r w:rsidRPr="004B3890">
        <w:rPr>
          <w:rFonts w:eastAsia="Calibri"/>
          <w:b/>
          <w:szCs w:val="24"/>
          <w:lang w:val="fr-CA" w:eastAsia="en-US"/>
        </w:rPr>
        <w:t xml:space="preserve">DBDC Fraser Lands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Queen’s Corner Inc.,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Queen’s Plate Holdings Inc.,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Dupont Developments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DBDC Red Door Developments Inc.,</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Red Door Lands Inc.,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Global Mills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Donalda Developments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Salmon River Properties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Cityview Industrial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Weston Lands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Double Rose Developments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DBDC Skyway Holdings Ltd.,</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West Mall Holdings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Royal Gate Holdings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Dewhurst Developments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DBDC Eddystone Place Ltd. et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lastRenderedPageBreak/>
        <w:t xml:space="preserve">DBDC Richmond Row Holdings Ltd. </w:t>
      </w:r>
    </w:p>
    <w:p w:rsidR="004B3890" w:rsidRPr="004B3890" w:rsidRDefault="004B3890" w:rsidP="004B3890">
      <w:pPr>
        <w:jc w:val="center"/>
        <w:rPr>
          <w:rFonts w:eastAsia="Calibri"/>
          <w:szCs w:val="24"/>
          <w:lang w:val="fr-CA" w:eastAsia="en-US"/>
        </w:rPr>
      </w:pPr>
      <w:r w:rsidRPr="004B3890">
        <w:rPr>
          <w:rFonts w:eastAsia="Calibri"/>
          <w:szCs w:val="24"/>
          <w:lang w:val="fr-CA" w:eastAsia="en-US"/>
        </w:rPr>
        <w:t>Intimées</w:t>
      </w:r>
    </w:p>
    <w:p w:rsidR="004B3890" w:rsidRPr="004B3890" w:rsidRDefault="004B3890" w:rsidP="004B3890">
      <w:pPr>
        <w:rPr>
          <w:rFonts w:eastAsia="Calibri"/>
          <w:szCs w:val="24"/>
          <w:lang w:val="fr-CA" w:eastAsia="en-US"/>
        </w:rPr>
      </w:pPr>
    </w:p>
    <w:p w:rsidR="004B3890" w:rsidRPr="004B3890" w:rsidRDefault="004B3890" w:rsidP="004B3890">
      <w:pPr>
        <w:jc w:val="center"/>
        <w:rPr>
          <w:rFonts w:eastAsia="Calibri"/>
          <w:szCs w:val="24"/>
          <w:lang w:val="fr-CA" w:eastAsia="en-US"/>
        </w:rPr>
      </w:pPr>
      <w:r w:rsidRPr="004B3890">
        <w:rPr>
          <w:rFonts w:eastAsia="Calibri"/>
          <w:szCs w:val="24"/>
          <w:lang w:val="fr-CA" w:eastAsia="en-US"/>
        </w:rPr>
        <w:t>- et -</w:t>
      </w:r>
    </w:p>
    <w:p w:rsidR="004B3890" w:rsidRPr="004B3890" w:rsidRDefault="004B3890" w:rsidP="004B3890">
      <w:pPr>
        <w:rPr>
          <w:rFonts w:eastAsia="Calibri"/>
          <w:szCs w:val="24"/>
          <w:lang w:val="fr-CA" w:eastAsia="en-US"/>
        </w:rPr>
      </w:pPr>
    </w:p>
    <w:p w:rsidR="004B3890" w:rsidRPr="004B3890" w:rsidRDefault="004B3890" w:rsidP="004B3890">
      <w:pPr>
        <w:jc w:val="center"/>
        <w:rPr>
          <w:rFonts w:eastAsia="Calibri"/>
          <w:b/>
          <w:szCs w:val="24"/>
          <w:lang w:val="fr-CA" w:eastAsia="en-US"/>
        </w:rPr>
      </w:pPr>
      <w:r w:rsidRPr="004B3890">
        <w:rPr>
          <w:rFonts w:eastAsia="Calibri"/>
          <w:b/>
          <w:szCs w:val="24"/>
          <w:lang w:val="fr-CA" w:eastAsia="en-US"/>
        </w:rPr>
        <w:t xml:space="preserve">Schonfeld Inc., en sa qualité d’inspectrice et gérante nommée </w:t>
      </w:r>
    </w:p>
    <w:p w:rsidR="004B3890" w:rsidRPr="004B3890" w:rsidRDefault="004B3890" w:rsidP="004B3890">
      <w:pPr>
        <w:jc w:val="center"/>
        <w:rPr>
          <w:rFonts w:eastAsia="Calibri"/>
          <w:b/>
          <w:szCs w:val="24"/>
          <w:lang w:val="fr-CA" w:eastAsia="en-US"/>
        </w:rPr>
      </w:pPr>
      <w:r w:rsidRPr="004B3890">
        <w:rPr>
          <w:rFonts w:eastAsia="Calibri"/>
          <w:b/>
          <w:szCs w:val="24"/>
          <w:lang w:val="fr-CA" w:eastAsia="en-US"/>
        </w:rPr>
        <w:t xml:space="preserve">par la cour pour Twin Dragons Corporation, </w:t>
      </w:r>
    </w:p>
    <w:p w:rsidR="004B3890" w:rsidRPr="004B3890" w:rsidRDefault="004B3890" w:rsidP="004B3890">
      <w:pPr>
        <w:jc w:val="center"/>
        <w:rPr>
          <w:rFonts w:eastAsia="Calibri"/>
          <w:b/>
          <w:szCs w:val="24"/>
          <w:lang w:val="fr-CA" w:eastAsia="en-US"/>
        </w:rPr>
      </w:pPr>
      <w:r w:rsidRPr="004B3890">
        <w:rPr>
          <w:rFonts w:eastAsia="Calibri"/>
          <w:b/>
          <w:szCs w:val="24"/>
          <w:lang w:val="fr-CA" w:eastAsia="en-US"/>
        </w:rPr>
        <w:t xml:space="preserve">Bannockburn Lands Inc. / Skyline — 1185 Eglinton Avenue Inc., </w:t>
      </w:r>
    </w:p>
    <w:p w:rsidR="004B3890" w:rsidRPr="004B3890" w:rsidRDefault="004B3890" w:rsidP="004B3890">
      <w:pPr>
        <w:jc w:val="center"/>
        <w:rPr>
          <w:rFonts w:eastAsia="Calibri"/>
          <w:b/>
          <w:szCs w:val="24"/>
          <w:lang w:val="fr-CA" w:eastAsia="en-US"/>
        </w:rPr>
      </w:pPr>
      <w:r w:rsidRPr="004B3890">
        <w:rPr>
          <w:rFonts w:eastAsia="Calibri"/>
          <w:b/>
          <w:szCs w:val="24"/>
          <w:lang w:val="fr-CA" w:eastAsia="en-US"/>
        </w:rPr>
        <w:t xml:space="preserve">Wynford Professional Centre Ltd., </w:t>
      </w:r>
    </w:p>
    <w:p w:rsidR="004B3890" w:rsidRPr="004B3890" w:rsidRDefault="004B3890" w:rsidP="004B3890">
      <w:pPr>
        <w:jc w:val="center"/>
        <w:rPr>
          <w:rFonts w:eastAsia="Calibri"/>
          <w:b/>
          <w:szCs w:val="24"/>
          <w:lang w:val="fr-CA" w:eastAsia="en-US"/>
        </w:rPr>
      </w:pPr>
      <w:r w:rsidRPr="004B3890">
        <w:rPr>
          <w:rFonts w:eastAsia="Calibri"/>
          <w:b/>
          <w:szCs w:val="24"/>
          <w:lang w:val="fr-CA" w:eastAsia="en-US"/>
        </w:rPr>
        <w:t>Liberty Village Properties Ltd., Liberty Village Lands Inc.,</w:t>
      </w:r>
    </w:p>
    <w:p w:rsidR="004B3890" w:rsidRPr="004B3890" w:rsidRDefault="004B3890" w:rsidP="004B3890">
      <w:pPr>
        <w:jc w:val="center"/>
        <w:rPr>
          <w:rFonts w:eastAsia="Calibri"/>
          <w:b/>
          <w:szCs w:val="24"/>
          <w:lang w:val="fr-CA" w:eastAsia="en-US"/>
        </w:rPr>
      </w:pPr>
      <w:r w:rsidRPr="004B3890">
        <w:rPr>
          <w:rFonts w:eastAsia="Calibri"/>
          <w:b/>
          <w:szCs w:val="24"/>
          <w:lang w:val="fr-CA" w:eastAsia="en-US"/>
        </w:rPr>
        <w:t xml:space="preserve">Riverdale Mansion Ltd., Royal Agincourt Corp.,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Hidden Gem Developments Inc., Ascalon Lands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Tisdale Mews Inc., Lesliebrook Holdings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Lesliebrook Lands Ltd., Fraser Properties Group,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Fraser Lands Ltd., Queen’s Corner Corp.,</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Northern Dancer Lands Ltd., Dupont Developments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Red Door Developments Inc. and Red Door Lands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Global Mills Inc., Donalda Developments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Salmon River Properties Ltd., Cityview Industrial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Weston Lands Ltd., Double Rose Developments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Skyway Holdings Ltd., West Mall Holdings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Royal Gate Holdings Ltd., Royal Gate Nominee Inc.,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Royal Gate (Land) Nominee Inc., Dewhurst Development Ltd.,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Eddystone Place Inc., Richmond Row Holdings Ltd.,</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El-Ad (1500 Don Mills) Limited, 165 Bathurst Inc.,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3270 American Drive, Mississauga,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0 Luttrell Ave.,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2 Kelvin Avenue,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346 Jarvis Street, Suites A, B, C, E and F, Toronto, Ontario,</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1 William Morgan Drive,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324 Prince Edward Drive,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24 Cecil Street,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30 and 30A Hazelton Avenue,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777 St. Clarens Avenue, Toronto, Ontario,</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252 Carlton Street and 478 Parliament Street,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66 Gerrard Street East,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2454 Bayview Avenue,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319-321 Carlaw,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260 Emerson Ave.,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44 Park Lane Circle, Toronto, Ontario,</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 xml:space="preserve">19 Tennis Crescent, Toronto, Ontario, </w:t>
      </w:r>
    </w:p>
    <w:p w:rsidR="004B3890" w:rsidRPr="004B3890" w:rsidRDefault="004B3890" w:rsidP="004B3890">
      <w:pPr>
        <w:jc w:val="center"/>
        <w:rPr>
          <w:rFonts w:eastAsia="Calibri"/>
          <w:b/>
          <w:szCs w:val="24"/>
          <w:lang w:val="en-US" w:eastAsia="en-US"/>
        </w:rPr>
      </w:pPr>
      <w:r w:rsidRPr="004B3890">
        <w:rPr>
          <w:rFonts w:eastAsia="Calibri"/>
          <w:b/>
          <w:szCs w:val="24"/>
          <w:lang w:val="en-US" w:eastAsia="en-US"/>
        </w:rPr>
        <w:t>646 Broadview Avenue, Toronto, Ontario et</w:t>
      </w:r>
    </w:p>
    <w:p w:rsidR="004B3890" w:rsidRPr="004B3890" w:rsidRDefault="004B3890" w:rsidP="004B3890">
      <w:pPr>
        <w:jc w:val="center"/>
        <w:rPr>
          <w:rFonts w:eastAsia="Calibri"/>
          <w:b/>
          <w:szCs w:val="24"/>
          <w:lang w:val="fr-CA" w:eastAsia="en-US"/>
        </w:rPr>
      </w:pPr>
      <w:r w:rsidRPr="004B3890">
        <w:rPr>
          <w:rFonts w:eastAsia="Calibri"/>
          <w:b/>
          <w:szCs w:val="24"/>
          <w:lang w:val="fr-CA" w:eastAsia="en-US"/>
        </w:rPr>
        <w:t>Chambre de commerce du Canada</w:t>
      </w:r>
    </w:p>
    <w:p w:rsidR="004B3890" w:rsidRPr="004B3890" w:rsidRDefault="004B3890" w:rsidP="004B3890">
      <w:pPr>
        <w:jc w:val="center"/>
        <w:rPr>
          <w:rFonts w:eastAsia="Calibri"/>
          <w:szCs w:val="24"/>
          <w:lang w:val="fr-CA" w:eastAsia="en-US"/>
        </w:rPr>
      </w:pPr>
      <w:r w:rsidRPr="004B3890">
        <w:rPr>
          <w:rFonts w:eastAsia="Calibri"/>
          <w:szCs w:val="24"/>
          <w:lang w:val="fr-CA" w:eastAsia="en-US"/>
        </w:rPr>
        <w:t>Intervenantes</w:t>
      </w:r>
    </w:p>
    <w:p w:rsidR="004B3890" w:rsidRPr="004B3890" w:rsidRDefault="004B3890" w:rsidP="004B3890">
      <w:pPr>
        <w:rPr>
          <w:rFonts w:eastAsia="Calibri"/>
          <w:szCs w:val="24"/>
          <w:lang w:val="fr-CA" w:eastAsia="en-US"/>
        </w:rPr>
      </w:pPr>
    </w:p>
    <w:p w:rsidR="004B3890" w:rsidRPr="004B3890" w:rsidRDefault="004B3890" w:rsidP="004B3890">
      <w:pPr>
        <w:rPr>
          <w:rFonts w:eastAsia="Calibri"/>
          <w:szCs w:val="24"/>
          <w:lang w:val="fr-CA" w:eastAsia="en-US"/>
        </w:rPr>
      </w:pPr>
    </w:p>
    <w:p w:rsidR="004B3890" w:rsidRPr="004B3890" w:rsidRDefault="004B3890" w:rsidP="004B3890">
      <w:pPr>
        <w:jc w:val="center"/>
        <w:rPr>
          <w:rFonts w:eastAsia="Calibri"/>
          <w:b/>
          <w:smallCaps/>
          <w:szCs w:val="24"/>
          <w:lang w:val="fr-CA" w:eastAsia="en-US"/>
        </w:rPr>
      </w:pPr>
      <w:r w:rsidRPr="004B3890">
        <w:rPr>
          <w:rFonts w:eastAsia="Calibri"/>
          <w:b/>
          <w:smallCaps/>
          <w:szCs w:val="24"/>
          <w:lang w:val="fr-CA" w:eastAsia="en-US"/>
        </w:rPr>
        <w:t>Traduction française officielle</w:t>
      </w:r>
    </w:p>
    <w:p w:rsidR="004B3890" w:rsidRPr="004B3890" w:rsidRDefault="004B3890" w:rsidP="004B3890">
      <w:pPr>
        <w:rPr>
          <w:rFonts w:eastAsia="Calibri"/>
          <w:szCs w:val="24"/>
          <w:lang w:val="fr-CA" w:eastAsia="en-US"/>
        </w:rPr>
      </w:pPr>
    </w:p>
    <w:p w:rsidR="004B3890" w:rsidRPr="004B3890" w:rsidRDefault="004B3890" w:rsidP="004B3890">
      <w:pPr>
        <w:rPr>
          <w:rFonts w:eastAsia="Calibri"/>
          <w:szCs w:val="24"/>
          <w:lang w:val="fr-CA" w:eastAsia="en-US"/>
        </w:rPr>
      </w:pPr>
      <w:r w:rsidRPr="004B3890">
        <w:rPr>
          <w:rFonts w:eastAsia="Calibri"/>
          <w:b/>
          <w:smallCaps/>
          <w:szCs w:val="24"/>
          <w:lang w:val="fr-CA" w:eastAsia="en-US"/>
        </w:rPr>
        <w:t>Coram :</w:t>
      </w:r>
      <w:r w:rsidRPr="004B3890">
        <w:rPr>
          <w:rFonts w:eastAsia="Calibri"/>
          <w:szCs w:val="24"/>
          <w:lang w:val="fr-CA" w:eastAsia="en-US"/>
        </w:rPr>
        <w:t xml:space="preserve"> Le juge en chef Wagner et les juges Abella, Karakatsanis, Côté, Brown, Rowe et Martin</w:t>
      </w:r>
    </w:p>
    <w:p w:rsidR="004B3890" w:rsidRPr="004B3890" w:rsidRDefault="004B3890" w:rsidP="004B3890">
      <w:pPr>
        <w:rPr>
          <w:rFonts w:eastAsia="Calibr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B3890" w:rsidRPr="00AA4A93" w:rsidTr="00695EFF">
        <w:trPr>
          <w:cantSplit/>
        </w:trPr>
        <w:tc>
          <w:tcPr>
            <w:tcW w:w="3618" w:type="dxa"/>
          </w:tcPr>
          <w:p w:rsidR="004B3890" w:rsidRPr="004B3890" w:rsidRDefault="004B3890" w:rsidP="004B3890">
            <w:pPr>
              <w:rPr>
                <w:b/>
                <w:smallCaps/>
                <w:lang w:val="fr-CA"/>
              </w:rPr>
            </w:pPr>
            <w:r w:rsidRPr="004B3890">
              <w:rPr>
                <w:b/>
                <w:smallCaps/>
                <w:lang w:val="fr-CA"/>
              </w:rPr>
              <w:t>Motifs de jugement :</w:t>
            </w:r>
          </w:p>
          <w:p w:rsidR="004B3890" w:rsidRPr="004B3890" w:rsidRDefault="004B3890" w:rsidP="004B3890">
            <w:pPr>
              <w:rPr>
                <w:lang w:val="fr-CA"/>
              </w:rPr>
            </w:pPr>
            <w:r w:rsidRPr="004B3890">
              <w:rPr>
                <w:lang w:val="fr-CA"/>
              </w:rPr>
              <w:t>(par. 1 à 2)</w:t>
            </w:r>
          </w:p>
        </w:tc>
        <w:tc>
          <w:tcPr>
            <w:tcW w:w="5958" w:type="dxa"/>
          </w:tcPr>
          <w:p w:rsidR="004B3890" w:rsidRPr="004B3890" w:rsidRDefault="004B3890" w:rsidP="004B3890">
            <w:pPr>
              <w:rPr>
                <w:lang w:val="fr-CA"/>
              </w:rPr>
            </w:pPr>
            <w:r w:rsidRPr="004B3890">
              <w:rPr>
                <w:lang w:val="fr-CA"/>
              </w:rPr>
              <w:t>Le juge Brown (avec l’accord du juge en chef Wagner et des juges Abella, Karakatsanis, Côté, Rowe et Martin)</w:t>
            </w:r>
          </w:p>
        </w:tc>
      </w:tr>
    </w:tbl>
    <w:p w:rsidR="004B3890" w:rsidRPr="004B3890" w:rsidRDefault="004B3890" w:rsidP="004B3890">
      <w:pPr>
        <w:rPr>
          <w:rFonts w:eastAsia="Calibri"/>
          <w:szCs w:val="24"/>
          <w:lang w:val="fr-CA" w:eastAsia="en-US"/>
        </w:rPr>
      </w:pPr>
    </w:p>
    <w:p w:rsidR="004B3890" w:rsidRPr="004B3890" w:rsidRDefault="004B3890" w:rsidP="004B3890">
      <w:pPr>
        <w:rPr>
          <w:rFonts w:eastAsia="Calibri"/>
          <w:szCs w:val="24"/>
          <w:lang w:val="fr-CA" w:eastAsia="en-US"/>
        </w:rPr>
      </w:pPr>
      <w:r w:rsidRPr="004B3890">
        <w:rPr>
          <w:rFonts w:eastAsia="Calibri"/>
          <w:noProof/>
          <w:szCs w:val="24"/>
          <w:lang w:val="en-US" w:eastAsia="en-US"/>
        </w:rPr>
        <mc:AlternateContent>
          <mc:Choice Requires="wps">
            <w:drawing>
              <wp:anchor distT="0" distB="0" distL="114300" distR="114300" simplePos="0" relativeHeight="251659264" behindDoc="0" locked="0" layoutInCell="1" allowOverlap="1" wp14:anchorId="40C2530F" wp14:editId="79F93F1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779E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B3890" w:rsidRPr="004B3890" w:rsidRDefault="004B3890" w:rsidP="004B3890">
      <w:pPr>
        <w:rPr>
          <w:rFonts w:eastAsia="Calibri"/>
          <w:szCs w:val="24"/>
          <w:lang w:val="fr-CA" w:eastAsia="en-US"/>
        </w:rPr>
      </w:pPr>
    </w:p>
    <w:p w:rsidR="004B3890" w:rsidRPr="004B3890" w:rsidRDefault="004B3890" w:rsidP="004B3890">
      <w:pPr>
        <w:rPr>
          <w:rFonts w:eastAsia="Calibri"/>
          <w:szCs w:val="24"/>
          <w:lang w:val="fr-CA" w:eastAsia="en-US"/>
        </w:rPr>
      </w:pPr>
    </w:p>
    <w:p w:rsidR="004D7D95" w:rsidRPr="00AE70F9" w:rsidRDefault="00AE70F9" w:rsidP="00F53694">
      <w:pPr>
        <w:spacing w:after="720"/>
        <w:jc w:val="both"/>
        <w:rPr>
          <w:b/>
          <w:lang w:val="en-US"/>
        </w:rPr>
      </w:pPr>
      <w:r w:rsidRPr="00AE70F9">
        <w:rPr>
          <w:rStyle w:val="SCCAppellantForIndexChar"/>
          <w:b w:val="0"/>
          <w:lang w:val="en-US"/>
        </w:rPr>
        <w:t xml:space="preserve">Christine DeJong Medicine Professional Corp. </w:t>
      </w:r>
      <w:r w:rsidRPr="00AE70F9">
        <w:rPr>
          <w:i/>
          <w:lang w:val="en-US"/>
        </w:rPr>
        <w:t>c.</w:t>
      </w:r>
      <w:r w:rsidRPr="00AE70F9">
        <w:rPr>
          <w:b/>
          <w:lang w:val="en-US"/>
        </w:rPr>
        <w:t xml:space="preserve"> </w:t>
      </w:r>
      <w:r w:rsidRPr="00AE70F9">
        <w:rPr>
          <w:rStyle w:val="SCCRespondentForIndexChar"/>
          <w:b w:val="0"/>
          <w:lang w:val="en-US"/>
        </w:rPr>
        <w:t>DBDC Spadina Ltd.</w:t>
      </w:r>
      <w:r>
        <w:rPr>
          <w:rStyle w:val="SCCRespondentForIndexChar"/>
          <w:b w:val="0"/>
          <w:lang w:val="en-US"/>
        </w:rPr>
        <w:t>, 2019 CSC 30, [2019] 2 R.C.S. 530</w:t>
      </w:r>
    </w:p>
    <w:p w:rsidR="00633C52" w:rsidRDefault="0069200F">
      <w:pPr>
        <w:pStyle w:val="SCCLsocLastPartyInRole"/>
      </w:pPr>
      <w:r>
        <w:t>Christine DeJong Medicine Professional Corporation</w:t>
      </w:r>
      <w:r w:rsidR="00DF55E7">
        <w:rPr>
          <w:rStyle w:val="SCCLsocPartyRole"/>
        </w:rPr>
        <w:tab/>
        <w:t>Appelante</w:t>
      </w:r>
    </w:p>
    <w:p w:rsidR="00633C52" w:rsidRDefault="0069200F">
      <w:pPr>
        <w:pStyle w:val="SCCLsocVersus"/>
      </w:pPr>
      <w:r>
        <w:t>c.</w:t>
      </w:r>
    </w:p>
    <w:p w:rsidR="00633C52" w:rsidRDefault="0069200F">
      <w:pPr>
        <w:pStyle w:val="SCCLsocParty"/>
      </w:pPr>
      <w:r>
        <w:t>DBDC Spadina Ltd.,</w:t>
      </w:r>
    </w:p>
    <w:p w:rsidR="005076BD" w:rsidRDefault="0069200F">
      <w:pPr>
        <w:pStyle w:val="SCCLsocParty"/>
      </w:pPr>
      <w:r>
        <w:t xml:space="preserve">Dr. Bernstein Diet Clinics Ltd., </w:t>
      </w:r>
    </w:p>
    <w:p w:rsidR="005076BD" w:rsidRDefault="0069200F">
      <w:pPr>
        <w:pStyle w:val="SCCLsocParty"/>
      </w:pPr>
      <w:r>
        <w:t xml:space="preserve">2272551 Ontario Limited, </w:t>
      </w:r>
    </w:p>
    <w:p w:rsidR="005076BD" w:rsidRDefault="0069200F">
      <w:pPr>
        <w:pStyle w:val="SCCLsocParty"/>
      </w:pPr>
      <w:r>
        <w:t xml:space="preserve">DBDC Investments Atlantic Ltd., </w:t>
      </w:r>
    </w:p>
    <w:p w:rsidR="005076BD" w:rsidRDefault="0069200F">
      <w:pPr>
        <w:pStyle w:val="SCCLsocParty"/>
      </w:pPr>
      <w:r>
        <w:t xml:space="preserve">DBDC Investment Pape Ltd., </w:t>
      </w:r>
    </w:p>
    <w:p w:rsidR="005076BD" w:rsidRDefault="0069200F">
      <w:pPr>
        <w:pStyle w:val="SCCLsocParty"/>
      </w:pPr>
      <w:r>
        <w:t xml:space="preserve">DBDC Investments Highway 7 Ltd., </w:t>
      </w:r>
    </w:p>
    <w:p w:rsidR="005076BD" w:rsidRDefault="0069200F">
      <w:pPr>
        <w:pStyle w:val="SCCLsocParty"/>
      </w:pPr>
      <w:r>
        <w:t xml:space="preserve">DBDC Investments Trent Ltd., </w:t>
      </w:r>
    </w:p>
    <w:p w:rsidR="005076BD" w:rsidRDefault="0069200F">
      <w:pPr>
        <w:pStyle w:val="SCCLsocParty"/>
      </w:pPr>
      <w:r>
        <w:t xml:space="preserve">DBDC Investments St. Clair Ltd., </w:t>
      </w:r>
    </w:p>
    <w:p w:rsidR="00633C52" w:rsidRDefault="0069200F">
      <w:pPr>
        <w:pStyle w:val="SCCLsocParty"/>
      </w:pPr>
      <w:r>
        <w:t>DBDC Investments Tisdale Ltd.,</w:t>
      </w:r>
    </w:p>
    <w:p w:rsidR="005076BD" w:rsidRDefault="0069200F">
      <w:pPr>
        <w:pStyle w:val="SCCLsocParty"/>
      </w:pPr>
      <w:r>
        <w:t xml:space="preserve">DBDC Investments Leslie Ltd., </w:t>
      </w:r>
    </w:p>
    <w:p w:rsidR="005076BD" w:rsidRDefault="0069200F">
      <w:pPr>
        <w:pStyle w:val="SCCLsocParty"/>
      </w:pPr>
      <w:r>
        <w:t xml:space="preserve">DBDC Investments Lesliebrook Ltd., </w:t>
      </w:r>
    </w:p>
    <w:p w:rsidR="005076BD" w:rsidRPr="00F4497E" w:rsidRDefault="0069200F">
      <w:pPr>
        <w:pStyle w:val="SCCLsocParty"/>
        <w:rPr>
          <w:lang w:val="fr-CA"/>
        </w:rPr>
      </w:pPr>
      <w:r w:rsidRPr="00F4497E">
        <w:rPr>
          <w:lang w:val="fr-CA"/>
        </w:rPr>
        <w:t xml:space="preserve">DBDC Fraser Properties Ltd., </w:t>
      </w:r>
    </w:p>
    <w:p w:rsidR="005076BD" w:rsidRPr="00F4497E" w:rsidRDefault="0069200F">
      <w:pPr>
        <w:pStyle w:val="SCCLsocParty"/>
        <w:rPr>
          <w:lang w:val="fr-CA"/>
        </w:rPr>
      </w:pPr>
      <w:r w:rsidRPr="00F4497E">
        <w:rPr>
          <w:lang w:val="fr-CA"/>
        </w:rPr>
        <w:t xml:space="preserve">DBDC Fraser Lands Ltd., </w:t>
      </w:r>
    </w:p>
    <w:p w:rsidR="005076BD" w:rsidRDefault="0069200F">
      <w:pPr>
        <w:pStyle w:val="SCCLsocParty"/>
      </w:pPr>
      <w:r>
        <w:t>DBDC Queen</w:t>
      </w:r>
      <w:r w:rsidR="00A90CB4">
        <w:t>’</w:t>
      </w:r>
      <w:r>
        <w:t xml:space="preserve">s Corner Inc., </w:t>
      </w:r>
    </w:p>
    <w:p w:rsidR="005076BD" w:rsidRDefault="0069200F">
      <w:pPr>
        <w:pStyle w:val="SCCLsocParty"/>
      </w:pPr>
      <w:r>
        <w:t>DBDC Queen</w:t>
      </w:r>
      <w:r w:rsidR="00A90CB4">
        <w:t>’</w:t>
      </w:r>
      <w:r>
        <w:t xml:space="preserve">s Plate Holdings Inc., </w:t>
      </w:r>
    </w:p>
    <w:p w:rsidR="005076BD" w:rsidRDefault="0069200F">
      <w:pPr>
        <w:pStyle w:val="SCCLsocParty"/>
      </w:pPr>
      <w:r>
        <w:t xml:space="preserve">DBDC Dupont Developments Ltd., </w:t>
      </w:r>
    </w:p>
    <w:p w:rsidR="00633C52" w:rsidRDefault="0069200F">
      <w:pPr>
        <w:pStyle w:val="SCCLsocParty"/>
      </w:pPr>
      <w:r>
        <w:t>DBDC Red Door Developments Inc.,</w:t>
      </w:r>
    </w:p>
    <w:p w:rsidR="005076BD" w:rsidRDefault="0069200F">
      <w:pPr>
        <w:pStyle w:val="SCCLsocParty"/>
      </w:pPr>
      <w:r>
        <w:t xml:space="preserve">DBDC Red Door Lands Inc., </w:t>
      </w:r>
    </w:p>
    <w:p w:rsidR="005076BD" w:rsidRDefault="0069200F">
      <w:pPr>
        <w:pStyle w:val="SCCLsocParty"/>
      </w:pPr>
      <w:r>
        <w:t xml:space="preserve">DBDC Global Mills Ltd., </w:t>
      </w:r>
    </w:p>
    <w:p w:rsidR="005076BD" w:rsidRDefault="0069200F">
      <w:pPr>
        <w:pStyle w:val="SCCLsocParty"/>
      </w:pPr>
      <w:r>
        <w:t xml:space="preserve">DBDC Donalda Developments Ltd., </w:t>
      </w:r>
    </w:p>
    <w:p w:rsidR="005076BD" w:rsidRDefault="0069200F">
      <w:pPr>
        <w:pStyle w:val="SCCLsocParty"/>
      </w:pPr>
      <w:r>
        <w:t xml:space="preserve">DBDC Salmon River Properties Ltd., </w:t>
      </w:r>
    </w:p>
    <w:p w:rsidR="005076BD" w:rsidRDefault="0069200F">
      <w:pPr>
        <w:pStyle w:val="SCCLsocParty"/>
      </w:pPr>
      <w:r>
        <w:t xml:space="preserve">DBDC Cityview Industrial Ltd., </w:t>
      </w:r>
    </w:p>
    <w:p w:rsidR="005076BD" w:rsidRDefault="0069200F">
      <w:pPr>
        <w:pStyle w:val="SCCLsocParty"/>
      </w:pPr>
      <w:r>
        <w:t xml:space="preserve">DBDC Weston Lands Ltd., </w:t>
      </w:r>
    </w:p>
    <w:p w:rsidR="005076BD" w:rsidRDefault="0069200F">
      <w:pPr>
        <w:pStyle w:val="SCCLsocParty"/>
      </w:pPr>
      <w:r>
        <w:t xml:space="preserve">DBDC Double Rose Developments Ltd., </w:t>
      </w:r>
    </w:p>
    <w:p w:rsidR="00633C52" w:rsidRDefault="0069200F">
      <w:pPr>
        <w:pStyle w:val="SCCLsocParty"/>
      </w:pPr>
      <w:r>
        <w:t>DBDC Skyway Holdings Ltd.,</w:t>
      </w:r>
    </w:p>
    <w:p w:rsidR="005076BD" w:rsidRDefault="0069200F" w:rsidP="005076BD">
      <w:pPr>
        <w:pStyle w:val="SCCLsocParty"/>
      </w:pPr>
      <w:r>
        <w:t xml:space="preserve">DBDC West Mall Holdings Ltd., </w:t>
      </w:r>
    </w:p>
    <w:p w:rsidR="005076BD" w:rsidRDefault="0069200F" w:rsidP="005076BD">
      <w:pPr>
        <w:pStyle w:val="SCCLsocParty"/>
      </w:pPr>
      <w:r>
        <w:t xml:space="preserve">DBDC Royal Gate Holdings Ltd., </w:t>
      </w:r>
    </w:p>
    <w:p w:rsidR="005076BD" w:rsidRDefault="0069200F" w:rsidP="005076BD">
      <w:pPr>
        <w:pStyle w:val="SCCLsocParty"/>
      </w:pPr>
      <w:r>
        <w:t>DBDC Dewhurst Developments L</w:t>
      </w:r>
      <w:r w:rsidR="00A90CB4">
        <w:t xml:space="preserve">td., </w:t>
      </w:r>
    </w:p>
    <w:p w:rsidR="005076BD" w:rsidRDefault="00A90CB4" w:rsidP="005076BD">
      <w:pPr>
        <w:pStyle w:val="SCCLsocParty"/>
      </w:pPr>
      <w:r>
        <w:t>DBDC Eddystone Place Ltd. et</w:t>
      </w:r>
      <w:r w:rsidR="0069200F">
        <w:t xml:space="preserve"> </w:t>
      </w:r>
    </w:p>
    <w:p w:rsidR="00633C52" w:rsidRPr="00013E7A" w:rsidRDefault="0069200F">
      <w:pPr>
        <w:pStyle w:val="SCCLsocLastPartyInRole"/>
        <w:rPr>
          <w:lang w:val="fr-CA"/>
        </w:rPr>
      </w:pPr>
      <w:r>
        <w:t>DBDC Richmond Row Holdings Ltd.</w:t>
      </w:r>
      <w:r w:rsidR="00DF55E7">
        <w:rPr>
          <w:rStyle w:val="SCCLsocPartyRole"/>
        </w:rPr>
        <w:tab/>
      </w:r>
      <w:r w:rsidR="00DF55E7" w:rsidRPr="00013E7A">
        <w:rPr>
          <w:rStyle w:val="SCCLsocPartyRole"/>
          <w:lang w:val="fr-CA"/>
        </w:rPr>
        <w:t>Intimé</w:t>
      </w:r>
      <w:r w:rsidR="00692531" w:rsidRPr="00013E7A">
        <w:rPr>
          <w:rStyle w:val="SCCLsocPartyRole"/>
          <w:lang w:val="fr-CA"/>
        </w:rPr>
        <w:t>e</w:t>
      </w:r>
      <w:r w:rsidRPr="00013E7A">
        <w:rPr>
          <w:rStyle w:val="SCCLsocPartyRole"/>
          <w:lang w:val="fr-CA"/>
        </w:rPr>
        <w:t>s</w:t>
      </w:r>
    </w:p>
    <w:p w:rsidR="00633C52" w:rsidRPr="00675C8E" w:rsidRDefault="0069200F">
      <w:pPr>
        <w:pStyle w:val="SCCLsocOtherPartySeparator"/>
        <w:rPr>
          <w:lang w:val="fr-CA"/>
        </w:rPr>
      </w:pPr>
      <w:r w:rsidRPr="00675C8E">
        <w:rPr>
          <w:lang w:val="fr-CA"/>
        </w:rPr>
        <w:t>et</w:t>
      </w:r>
    </w:p>
    <w:p w:rsidR="002C3B94" w:rsidRDefault="0069200F" w:rsidP="002C3B94">
      <w:pPr>
        <w:pStyle w:val="SCCLsocParty"/>
        <w:rPr>
          <w:lang w:val="fr-CA"/>
        </w:rPr>
      </w:pPr>
      <w:r w:rsidRPr="002C3B94">
        <w:rPr>
          <w:lang w:val="fr-CA"/>
        </w:rPr>
        <w:t xml:space="preserve">Schonfeld Inc., </w:t>
      </w:r>
      <w:r w:rsidR="002C3B94" w:rsidRPr="002C3B94">
        <w:rPr>
          <w:lang w:val="fr-CA"/>
        </w:rPr>
        <w:t xml:space="preserve">en sa qualité d’inspectrice et gérante nommée </w:t>
      </w:r>
    </w:p>
    <w:p w:rsidR="00BE019F" w:rsidRPr="002C3B94" w:rsidRDefault="002C3B94">
      <w:pPr>
        <w:pStyle w:val="SCCLsocParty"/>
        <w:rPr>
          <w:lang w:val="fr-CA"/>
        </w:rPr>
      </w:pPr>
      <w:r w:rsidRPr="002C3B94">
        <w:rPr>
          <w:lang w:val="fr-CA"/>
        </w:rPr>
        <w:t>par la cour pour</w:t>
      </w:r>
      <w:r w:rsidR="0069200F" w:rsidRPr="002C3B94">
        <w:rPr>
          <w:lang w:val="fr-CA"/>
        </w:rPr>
        <w:t xml:space="preserve"> Twin Dragons Corporation, </w:t>
      </w:r>
    </w:p>
    <w:p w:rsidR="002C3B94" w:rsidRPr="00675C8E" w:rsidRDefault="0069200F">
      <w:pPr>
        <w:pStyle w:val="SCCLsocParty"/>
        <w:rPr>
          <w:lang w:val="fr-CA"/>
        </w:rPr>
      </w:pPr>
      <w:r w:rsidRPr="00675C8E">
        <w:rPr>
          <w:lang w:val="fr-CA"/>
        </w:rPr>
        <w:t>Bannockburn Lands Inc. / Skyline</w:t>
      </w:r>
      <w:r w:rsidR="002C3B94" w:rsidRPr="00675C8E">
        <w:rPr>
          <w:lang w:val="fr-CA"/>
        </w:rPr>
        <w:t xml:space="preserve"> — 1185 Eglinton Avenue Inc.</w:t>
      </w:r>
      <w:r w:rsidRPr="00675C8E">
        <w:rPr>
          <w:lang w:val="fr-CA"/>
        </w:rPr>
        <w:t xml:space="preserve">, </w:t>
      </w:r>
    </w:p>
    <w:p w:rsidR="00BE019F" w:rsidRPr="00675C8E" w:rsidRDefault="0069200F">
      <w:pPr>
        <w:pStyle w:val="SCCLsocParty"/>
        <w:rPr>
          <w:lang w:val="fr-CA"/>
        </w:rPr>
      </w:pPr>
      <w:r w:rsidRPr="00675C8E">
        <w:rPr>
          <w:lang w:val="fr-CA"/>
        </w:rPr>
        <w:t xml:space="preserve">Wynford Professional Centre Ltd., </w:t>
      </w:r>
    </w:p>
    <w:p w:rsidR="00633C52" w:rsidRPr="00675C8E" w:rsidRDefault="0069200F">
      <w:pPr>
        <w:pStyle w:val="SCCLsocParty"/>
        <w:rPr>
          <w:lang w:val="fr-CA"/>
        </w:rPr>
      </w:pPr>
      <w:r w:rsidRPr="00675C8E">
        <w:rPr>
          <w:lang w:val="fr-CA"/>
        </w:rPr>
        <w:t>Liberty Village Properties Ltd., Liberty Village Lands Inc.,</w:t>
      </w:r>
    </w:p>
    <w:p w:rsidR="00BE019F" w:rsidRPr="00675C8E" w:rsidRDefault="0069200F">
      <w:pPr>
        <w:pStyle w:val="SCCLsocParty"/>
        <w:rPr>
          <w:lang w:val="fr-CA"/>
        </w:rPr>
      </w:pPr>
      <w:r w:rsidRPr="00675C8E">
        <w:rPr>
          <w:lang w:val="fr-CA"/>
        </w:rPr>
        <w:t xml:space="preserve">Riverdale Mansion Ltd., Royal Agincourt Corp., </w:t>
      </w:r>
    </w:p>
    <w:p w:rsidR="00BE019F" w:rsidRDefault="0069200F">
      <w:pPr>
        <w:pStyle w:val="SCCLsocParty"/>
      </w:pPr>
      <w:r>
        <w:t xml:space="preserve">Hidden Gem Developments Inc., Ascalon Lands Ltd., </w:t>
      </w:r>
    </w:p>
    <w:p w:rsidR="00BE019F" w:rsidRDefault="0069200F">
      <w:pPr>
        <w:pStyle w:val="SCCLsocParty"/>
      </w:pPr>
      <w:r>
        <w:t xml:space="preserve">Tisdale Mews Inc., Lesliebrook Holdings Ltd., </w:t>
      </w:r>
    </w:p>
    <w:p w:rsidR="00BE019F" w:rsidRDefault="0069200F">
      <w:pPr>
        <w:pStyle w:val="SCCLsocParty"/>
      </w:pPr>
      <w:r>
        <w:t xml:space="preserve">Lesliebrook Lands Ltd., Fraser Properties Group, </w:t>
      </w:r>
    </w:p>
    <w:p w:rsidR="00633C52" w:rsidRDefault="0069200F">
      <w:pPr>
        <w:pStyle w:val="SCCLsocParty"/>
      </w:pPr>
      <w:r>
        <w:t>Fraser Lands Ltd., Queen</w:t>
      </w:r>
      <w:r w:rsidR="00A90CB4">
        <w:t>’</w:t>
      </w:r>
      <w:r>
        <w:t>s Corner Corp.,</w:t>
      </w:r>
    </w:p>
    <w:p w:rsidR="00BE019F" w:rsidRDefault="0069200F">
      <w:pPr>
        <w:pStyle w:val="SCCLsocParty"/>
      </w:pPr>
      <w:r>
        <w:t xml:space="preserve">Northern Dancer Lands Ltd., Dupont Developments Ltd., </w:t>
      </w:r>
    </w:p>
    <w:p w:rsidR="00BE019F" w:rsidRDefault="0069200F">
      <w:pPr>
        <w:pStyle w:val="SCCLsocParty"/>
      </w:pPr>
      <w:r>
        <w:t xml:space="preserve">Red Door Developments Inc. and Red Door Lands Ltd., </w:t>
      </w:r>
    </w:p>
    <w:p w:rsidR="00BE019F" w:rsidRDefault="0069200F">
      <w:pPr>
        <w:pStyle w:val="SCCLsocParty"/>
      </w:pPr>
      <w:r>
        <w:t xml:space="preserve">Global Mills Inc., Donalda Developments Ltd., </w:t>
      </w:r>
    </w:p>
    <w:p w:rsidR="00BE019F" w:rsidRDefault="0069200F">
      <w:pPr>
        <w:pStyle w:val="SCCLsocParty"/>
      </w:pPr>
      <w:r>
        <w:t xml:space="preserve">Salmon River Properties Ltd., Cityview Industrial Ltd., </w:t>
      </w:r>
    </w:p>
    <w:p w:rsidR="00BE019F" w:rsidRDefault="0069200F">
      <w:pPr>
        <w:pStyle w:val="SCCLsocParty"/>
      </w:pPr>
      <w:r>
        <w:t>Weston Lands Ltd.,</w:t>
      </w:r>
      <w:r w:rsidR="00BE019F">
        <w:t xml:space="preserve"> </w:t>
      </w:r>
      <w:r>
        <w:t xml:space="preserve">Double Rose Developments Ltd., </w:t>
      </w:r>
    </w:p>
    <w:p w:rsidR="00BE019F" w:rsidRDefault="0069200F">
      <w:pPr>
        <w:pStyle w:val="SCCLsocParty"/>
      </w:pPr>
      <w:r>
        <w:t xml:space="preserve">Skyway Holdings Ltd., West Mall Holdings Ltd., </w:t>
      </w:r>
    </w:p>
    <w:p w:rsidR="00BE019F" w:rsidRDefault="0069200F">
      <w:pPr>
        <w:pStyle w:val="SCCLsocParty"/>
      </w:pPr>
      <w:r>
        <w:t xml:space="preserve">Royal Gate Holdings Ltd., Royal Gate Nominee Inc., </w:t>
      </w:r>
    </w:p>
    <w:p w:rsidR="00BE019F" w:rsidRDefault="0069200F">
      <w:pPr>
        <w:pStyle w:val="SCCLsocParty"/>
      </w:pPr>
      <w:r>
        <w:t xml:space="preserve">Royal Gate (Land) Nominee Inc., Dewhurst Development Ltd., </w:t>
      </w:r>
    </w:p>
    <w:p w:rsidR="00633C52" w:rsidRDefault="0069200F">
      <w:pPr>
        <w:pStyle w:val="SCCLsocParty"/>
      </w:pPr>
      <w:r>
        <w:t>Eddystone Place Inc., Richmond Row Holdings Ltd.,</w:t>
      </w:r>
    </w:p>
    <w:p w:rsidR="00BE019F" w:rsidRDefault="0069200F">
      <w:pPr>
        <w:pStyle w:val="SCCLsocParty"/>
      </w:pPr>
      <w:r>
        <w:t xml:space="preserve">El-Ad (1500 Don Mills) Limited, 165 Bathurst Inc., </w:t>
      </w:r>
    </w:p>
    <w:p w:rsidR="00BE019F" w:rsidRDefault="0069200F">
      <w:pPr>
        <w:pStyle w:val="SCCLsocParty"/>
      </w:pPr>
      <w:r>
        <w:t xml:space="preserve">3270 American Drive, Mississauga, Ontario, </w:t>
      </w:r>
    </w:p>
    <w:p w:rsidR="00BE019F" w:rsidRDefault="0069200F">
      <w:pPr>
        <w:pStyle w:val="SCCLsocParty"/>
      </w:pPr>
      <w:r>
        <w:t xml:space="preserve">0 Luttrell Ave., Toronto, Ontario, </w:t>
      </w:r>
    </w:p>
    <w:p w:rsidR="00BE019F" w:rsidRDefault="0069200F">
      <w:pPr>
        <w:pStyle w:val="SCCLsocParty"/>
      </w:pPr>
      <w:r>
        <w:t xml:space="preserve">2 Kelvin Avenue, Toronto, Ontario, </w:t>
      </w:r>
    </w:p>
    <w:p w:rsidR="00633C52" w:rsidRDefault="0069200F">
      <w:pPr>
        <w:pStyle w:val="SCCLsocParty"/>
      </w:pPr>
      <w:r>
        <w:t>346 Jarvis Street, Suites A, B, C, E and F, Toronto, Ontario,</w:t>
      </w:r>
    </w:p>
    <w:p w:rsidR="00BE019F" w:rsidRDefault="0069200F">
      <w:pPr>
        <w:pStyle w:val="SCCLsocParty"/>
      </w:pPr>
      <w:r>
        <w:t xml:space="preserve">1 William Morgan Drive, Toronto, Ontario, </w:t>
      </w:r>
    </w:p>
    <w:p w:rsidR="00BE019F" w:rsidRDefault="0069200F">
      <w:pPr>
        <w:pStyle w:val="SCCLsocParty"/>
      </w:pPr>
      <w:r>
        <w:t>324 Pri</w:t>
      </w:r>
      <w:r w:rsidR="00622478">
        <w:t>n</w:t>
      </w:r>
      <w:r>
        <w:t xml:space="preserve">ce Edward Drive, Toronto, Ontario, </w:t>
      </w:r>
    </w:p>
    <w:p w:rsidR="00BE019F" w:rsidRDefault="0069200F">
      <w:pPr>
        <w:pStyle w:val="SCCLsocParty"/>
      </w:pPr>
      <w:r>
        <w:t xml:space="preserve">24 Cecil Street, Toronto, Ontario, </w:t>
      </w:r>
    </w:p>
    <w:p w:rsidR="00BE019F" w:rsidRDefault="0069200F">
      <w:pPr>
        <w:pStyle w:val="SCCLsocParty"/>
      </w:pPr>
      <w:r>
        <w:t xml:space="preserve">30 and 30A Hazelton Avenue, Toronto, Ontario, </w:t>
      </w:r>
    </w:p>
    <w:p w:rsidR="00633C52" w:rsidRDefault="0069200F">
      <w:pPr>
        <w:pStyle w:val="SCCLsocParty"/>
      </w:pPr>
      <w:r>
        <w:t>777 St. Clarens Avenue, Toronto, Ontario,</w:t>
      </w:r>
    </w:p>
    <w:p w:rsidR="00BE019F" w:rsidRDefault="0069200F">
      <w:pPr>
        <w:pStyle w:val="SCCLsocParty"/>
      </w:pPr>
      <w:r>
        <w:t xml:space="preserve">252 Carlton Street and 478 Parliament Street, Toronto, Ontario, </w:t>
      </w:r>
    </w:p>
    <w:p w:rsidR="00BE019F" w:rsidRDefault="0069200F">
      <w:pPr>
        <w:pStyle w:val="SCCLsocParty"/>
      </w:pPr>
      <w:r>
        <w:t xml:space="preserve">66 Gerrard Street East, Toronto, Ontario, </w:t>
      </w:r>
    </w:p>
    <w:p w:rsidR="00BE019F" w:rsidRDefault="0069200F">
      <w:pPr>
        <w:pStyle w:val="SCCLsocParty"/>
      </w:pPr>
      <w:r>
        <w:t xml:space="preserve">2454 Bayview Avenue, Toronto, Ontario, </w:t>
      </w:r>
    </w:p>
    <w:p w:rsidR="00BE019F" w:rsidRDefault="0069200F">
      <w:pPr>
        <w:pStyle w:val="SCCLsocParty"/>
      </w:pPr>
      <w:r>
        <w:t xml:space="preserve">319-321 Carlaw, Toronto, Ontario, </w:t>
      </w:r>
    </w:p>
    <w:p w:rsidR="00BE019F" w:rsidRDefault="0069200F">
      <w:pPr>
        <w:pStyle w:val="SCCLsocParty"/>
      </w:pPr>
      <w:r>
        <w:t xml:space="preserve">260 Emerson Ave., Toronto, Ontario, </w:t>
      </w:r>
    </w:p>
    <w:p w:rsidR="00633C52" w:rsidRPr="002C3B94" w:rsidRDefault="0069200F">
      <w:pPr>
        <w:pStyle w:val="SCCLsocParty"/>
      </w:pPr>
      <w:r w:rsidRPr="002C3B94">
        <w:t>44 Park Lan</w:t>
      </w:r>
      <w:r w:rsidR="00A90CB4" w:rsidRPr="002C3B94">
        <w:t>e</w:t>
      </w:r>
      <w:r w:rsidRPr="002C3B94">
        <w:t xml:space="preserve"> Circle, Toronto, Ontario,</w:t>
      </w:r>
    </w:p>
    <w:p w:rsidR="00BE019F" w:rsidRPr="00045BFF" w:rsidRDefault="0069200F">
      <w:pPr>
        <w:pStyle w:val="SCCLsocParty"/>
        <w:rPr>
          <w:lang w:val="en-US"/>
        </w:rPr>
      </w:pPr>
      <w:r w:rsidRPr="00045BFF">
        <w:rPr>
          <w:lang w:val="en-US"/>
        </w:rPr>
        <w:t>19 Te</w:t>
      </w:r>
      <w:r w:rsidR="00A90CB4" w:rsidRPr="00045BFF">
        <w:rPr>
          <w:lang w:val="en-US"/>
        </w:rPr>
        <w:t xml:space="preserve">nnis Crescent, Toronto, Ontario, </w:t>
      </w:r>
    </w:p>
    <w:p w:rsidR="00633C52" w:rsidRPr="00045BFF" w:rsidRDefault="0069200F">
      <w:pPr>
        <w:pStyle w:val="SCCLsocParty"/>
        <w:rPr>
          <w:lang w:val="en-US"/>
        </w:rPr>
      </w:pPr>
      <w:r w:rsidRPr="00045BFF">
        <w:rPr>
          <w:lang w:val="en-US"/>
        </w:rPr>
        <w:t>646 Bro</w:t>
      </w:r>
      <w:r w:rsidR="00A90CB4" w:rsidRPr="00045BFF">
        <w:rPr>
          <w:lang w:val="en-US"/>
        </w:rPr>
        <w:t>adview Avenue, Toronto, Ontario et</w:t>
      </w:r>
    </w:p>
    <w:p w:rsidR="00633C52" w:rsidRPr="00FF7BCA" w:rsidRDefault="00F4497E">
      <w:pPr>
        <w:pStyle w:val="SCCLsocLastPartyInRole"/>
        <w:rPr>
          <w:lang w:val="fr-CA"/>
        </w:rPr>
      </w:pPr>
      <w:r>
        <w:rPr>
          <w:lang w:val="fr-CA"/>
        </w:rPr>
        <w:t>Chambre de c</w:t>
      </w:r>
      <w:r w:rsidR="0069200F" w:rsidRPr="00FF7BCA">
        <w:rPr>
          <w:lang w:val="fr-CA"/>
        </w:rPr>
        <w:t>ommerce du Canada</w:t>
      </w:r>
      <w:r w:rsidR="00DF55E7">
        <w:rPr>
          <w:rStyle w:val="SCCLsocPartyRole"/>
          <w:lang w:val="fr-CA"/>
        </w:rPr>
        <w:tab/>
        <w:t>Intervenant</w:t>
      </w:r>
      <w:r w:rsidR="00692531">
        <w:rPr>
          <w:rStyle w:val="SCCLsocPartyRole"/>
          <w:lang w:val="fr-CA"/>
        </w:rPr>
        <w:t>e</w:t>
      </w:r>
      <w:r w:rsidR="0069200F" w:rsidRPr="00FF7BCA">
        <w:rPr>
          <w:rStyle w:val="SCCLsocPartyRole"/>
          <w:lang w:val="fr-CA"/>
        </w:rPr>
        <w:t>s</w:t>
      </w:r>
    </w:p>
    <w:p w:rsidR="004D7D95" w:rsidRPr="00FF7BCA" w:rsidRDefault="00FF7BCA" w:rsidP="00092ED2">
      <w:pPr>
        <w:spacing w:after="720"/>
        <w:jc w:val="both"/>
        <w:rPr>
          <w:lang w:val="fr-CA"/>
        </w:rPr>
      </w:pPr>
      <w:r>
        <w:rPr>
          <w:b/>
          <w:lang w:val="fr-CA"/>
        </w:rPr>
        <w:t>Répertorié : </w:t>
      </w:r>
      <w:r w:rsidR="004D7D95" w:rsidRPr="00FF7BCA">
        <w:rPr>
          <w:rStyle w:val="SCCAppellantForIndexChar"/>
          <w:lang w:val="fr-CA"/>
        </w:rPr>
        <w:t xml:space="preserve">Christine DeJong Medicine </w:t>
      </w:r>
      <w:r>
        <w:rPr>
          <w:rStyle w:val="SCCAppellantForIndexChar"/>
          <w:lang w:val="fr-CA"/>
        </w:rPr>
        <w:t>Professional Corp.</w:t>
      </w:r>
      <w:r w:rsidRPr="00FF7BCA">
        <w:rPr>
          <w:rStyle w:val="SCCAppellantForIndexChar"/>
          <w:lang w:val="fr-CA"/>
        </w:rPr>
        <w:t xml:space="preserve"> </w:t>
      </w:r>
      <w:r w:rsidR="004D7D95" w:rsidRPr="00BB4C92">
        <w:rPr>
          <w:b/>
          <w:i/>
          <w:lang w:val="fr-CA"/>
        </w:rPr>
        <w:t>c.</w:t>
      </w:r>
      <w:r w:rsidR="004D7D95" w:rsidRPr="00BB4C92">
        <w:rPr>
          <w:b/>
          <w:lang w:val="fr-CA"/>
        </w:rPr>
        <w:t xml:space="preserve"> </w:t>
      </w:r>
      <w:r>
        <w:rPr>
          <w:rStyle w:val="SCCRespondentForIndexChar"/>
          <w:lang w:val="fr-CA"/>
        </w:rPr>
        <w:t>DBDC Spadina Ltd.</w:t>
      </w:r>
    </w:p>
    <w:p w:rsidR="004D7D95" w:rsidRPr="00F4497E" w:rsidRDefault="00D17B0E" w:rsidP="00092ED2">
      <w:pPr>
        <w:pStyle w:val="SCCSystemYear"/>
        <w:spacing w:after="720"/>
        <w:jc w:val="both"/>
        <w:rPr>
          <w:lang w:val="fr-CA"/>
        </w:rPr>
      </w:pPr>
      <w:r w:rsidRPr="00FF7BCA">
        <w:rPr>
          <w:lang w:val="fr-CA"/>
        </w:rPr>
        <w:t>2019</w:t>
      </w:r>
      <w:r w:rsidR="00DF55E7">
        <w:rPr>
          <w:lang w:val="fr-CA"/>
        </w:rPr>
        <w:t xml:space="preserve"> CSC 30</w:t>
      </w:r>
    </w:p>
    <w:p w:rsidR="004D7D95" w:rsidRPr="00FF7BCA" w:rsidRDefault="004D7D95" w:rsidP="00092ED2">
      <w:pPr>
        <w:spacing w:after="720"/>
        <w:jc w:val="both"/>
        <w:rPr>
          <w:lang w:val="fr-CA"/>
        </w:rPr>
      </w:pPr>
      <w:r w:rsidRPr="00FF7BCA">
        <w:rPr>
          <w:lang w:val="fr-CA"/>
        </w:rPr>
        <w:t>N</w:t>
      </w:r>
      <w:r w:rsidRPr="00FF7BCA">
        <w:rPr>
          <w:vertAlign w:val="superscript"/>
          <w:lang w:val="fr-CA"/>
        </w:rPr>
        <w:t>o</w:t>
      </w:r>
      <w:r w:rsidRPr="00FF7BCA">
        <w:rPr>
          <w:lang w:val="fr-CA"/>
        </w:rPr>
        <w:t xml:space="preserve"> du greffe : 38051.</w:t>
      </w:r>
    </w:p>
    <w:p w:rsidR="004D7D95" w:rsidRPr="00FF7BCA" w:rsidRDefault="00DF55E7" w:rsidP="00092ED2">
      <w:pPr>
        <w:spacing w:after="720"/>
        <w:jc w:val="both"/>
        <w:rPr>
          <w:lang w:val="fr-CA"/>
        </w:rPr>
      </w:pPr>
      <w:r>
        <w:rPr>
          <w:lang w:val="fr-CA"/>
        </w:rPr>
        <w:t>2019 : 1</w:t>
      </w:r>
      <w:r w:rsidR="008E5149">
        <w:rPr>
          <w:lang w:val="fr-CA"/>
        </w:rPr>
        <w:t>4</w:t>
      </w:r>
      <w:r w:rsidR="00D17B0E" w:rsidRPr="00FF7BCA">
        <w:rPr>
          <w:lang w:val="fr-CA"/>
        </w:rPr>
        <w:t xml:space="preserve"> mai</w:t>
      </w:r>
      <w:r w:rsidR="00FF7BCA">
        <w:rPr>
          <w:lang w:val="fr-CA"/>
        </w:rPr>
        <w:t>.</w:t>
      </w:r>
    </w:p>
    <w:p w:rsidR="00633C52" w:rsidRPr="00FF7BCA" w:rsidRDefault="004D7D95" w:rsidP="00CF53F3">
      <w:pPr>
        <w:spacing w:after="720"/>
        <w:jc w:val="both"/>
        <w:rPr>
          <w:lang w:val="fr-CA"/>
        </w:rPr>
      </w:pPr>
      <w:r w:rsidRPr="00FF7BCA">
        <w:rPr>
          <w:lang w:val="fr-CA"/>
        </w:rPr>
        <w:t>Présents : Le juge en chef Wagner et les juges Abella, Karakatsanis, Côté, Brown, Rowe et Martin.</w:t>
      </w:r>
    </w:p>
    <w:p w:rsidR="004D7D95" w:rsidRPr="00BB4C92" w:rsidRDefault="004D7D95" w:rsidP="00CF53F3">
      <w:pPr>
        <w:pStyle w:val="SCCLowerCourtNameLowercase"/>
        <w:spacing w:after="720" w:line="240" w:lineRule="auto"/>
        <w:rPr>
          <w:lang w:val="fr-CA"/>
        </w:rPr>
      </w:pPr>
      <w:r w:rsidRPr="00DF55E7">
        <w:rPr>
          <w:lang w:val="fr-CA"/>
        </w:rPr>
        <w:t>en appel de la cour d</w:t>
      </w:r>
      <w:r w:rsidR="00A90CB4">
        <w:rPr>
          <w:lang w:val="fr-CA"/>
        </w:rPr>
        <w:t>’</w:t>
      </w:r>
      <w:r w:rsidRPr="00DF55E7">
        <w:rPr>
          <w:lang w:val="fr-CA"/>
        </w:rPr>
        <w:t>appel de l</w:t>
      </w:r>
      <w:r w:rsidR="00A90CB4">
        <w:rPr>
          <w:lang w:val="fr-CA"/>
        </w:rPr>
        <w:t>’</w:t>
      </w:r>
      <w:r w:rsidRPr="00DF55E7">
        <w:rPr>
          <w:lang w:val="fr-CA"/>
        </w:rPr>
        <w:t>ontario</w:t>
      </w:r>
    </w:p>
    <w:p w:rsidR="004D7D95" w:rsidRPr="00DA3573" w:rsidRDefault="004D7D95" w:rsidP="00CF53F3">
      <w:pPr>
        <w:pStyle w:val="SCCNormalDoubleSpacing"/>
        <w:spacing w:after="480"/>
        <w:rPr>
          <w:i/>
          <w:lang w:val="fr-CA"/>
        </w:rPr>
      </w:pPr>
      <w:r w:rsidRPr="00BB4C92">
        <w:rPr>
          <w:lang w:val="fr-CA"/>
        </w:rPr>
        <w:tab/>
      </w:r>
      <w:r w:rsidR="00675C8E" w:rsidRPr="00DA3573">
        <w:rPr>
          <w:i/>
          <w:lang w:val="fr-CA"/>
        </w:rPr>
        <w:t>Responsabilité délictuelle</w:t>
      </w:r>
      <w:r w:rsidR="0021471D" w:rsidRPr="00DA3573">
        <w:rPr>
          <w:i/>
          <w:lang w:val="fr-CA"/>
        </w:rPr>
        <w:t xml:space="preserve"> — Aide apportée en connaissance de cause en violation d’une obligation fiduciaire — Imputation à des </w:t>
      </w:r>
      <w:r w:rsidR="0051316F" w:rsidRPr="00DA3573">
        <w:rPr>
          <w:i/>
          <w:lang w:val="fr-CA"/>
        </w:rPr>
        <w:t>sociétés par actions</w:t>
      </w:r>
      <w:r w:rsidR="0021471D" w:rsidRPr="00DA3573">
        <w:rPr>
          <w:i/>
          <w:lang w:val="fr-CA"/>
        </w:rPr>
        <w:t xml:space="preserve"> d’actes fautifs commis par des personnes physiques — Critères a</w:t>
      </w:r>
      <w:r w:rsidR="00675C8E" w:rsidRPr="00DA3573">
        <w:rPr>
          <w:i/>
          <w:lang w:val="fr-CA"/>
        </w:rPr>
        <w:t>pplicable</w:t>
      </w:r>
      <w:r w:rsidR="0021471D" w:rsidRPr="00DA3573">
        <w:rPr>
          <w:i/>
          <w:lang w:val="fr-CA"/>
        </w:rPr>
        <w:t>s</w:t>
      </w:r>
      <w:r w:rsidR="0051316F" w:rsidRPr="00DA3573">
        <w:rPr>
          <w:i/>
          <w:lang w:val="fr-CA"/>
        </w:rPr>
        <w:t xml:space="preserve"> — Fraude c</w:t>
      </w:r>
      <w:r w:rsidR="00675C8E" w:rsidRPr="00DA3573">
        <w:rPr>
          <w:i/>
          <w:lang w:val="fr-CA"/>
        </w:rPr>
        <w:t>omplex</w:t>
      </w:r>
      <w:r w:rsidR="0051316F" w:rsidRPr="00DA3573">
        <w:rPr>
          <w:i/>
          <w:lang w:val="fr-CA"/>
        </w:rPr>
        <w:t>e</w:t>
      </w:r>
      <w:r w:rsidR="00675C8E" w:rsidRPr="00DA3573">
        <w:rPr>
          <w:i/>
          <w:lang w:val="fr-CA"/>
        </w:rPr>
        <w:t xml:space="preserve"> </w:t>
      </w:r>
      <w:r w:rsidR="0051316F" w:rsidRPr="00DA3573">
        <w:rPr>
          <w:i/>
          <w:lang w:val="fr-CA"/>
        </w:rPr>
        <w:t xml:space="preserve">de plusieurs millions de dollars perpétrée par un homme et son épouse — Investisseurs convaincus par le couple d’investir </w:t>
      </w:r>
      <w:r w:rsidR="00DA3573">
        <w:rPr>
          <w:i/>
          <w:lang w:val="fr-CA"/>
        </w:rPr>
        <w:t xml:space="preserve">des fonds </w:t>
      </w:r>
      <w:r w:rsidR="0051316F" w:rsidRPr="00DA3573">
        <w:rPr>
          <w:i/>
          <w:lang w:val="fr-CA"/>
        </w:rPr>
        <w:t xml:space="preserve">avec lui dans des sociétés par actions </w:t>
      </w:r>
      <w:r w:rsidR="003971DD">
        <w:rPr>
          <w:i/>
          <w:lang w:val="fr-CA"/>
        </w:rPr>
        <w:t xml:space="preserve">visant </w:t>
      </w:r>
      <w:r w:rsidR="0051316F" w:rsidRPr="00DA3573">
        <w:rPr>
          <w:i/>
          <w:lang w:val="fr-CA"/>
        </w:rPr>
        <w:t xml:space="preserve">des projets spécifiques </w:t>
      </w:r>
      <w:r w:rsidR="00DA3573" w:rsidRPr="00DA3573">
        <w:rPr>
          <w:i/>
          <w:lang w:val="fr-CA"/>
        </w:rPr>
        <w:t>en vue d’acquérir et de détenir des b</w:t>
      </w:r>
      <w:r w:rsidR="0075777E">
        <w:rPr>
          <w:i/>
          <w:lang w:val="fr-CA"/>
        </w:rPr>
        <w:t>iens immobiliers commerciaux —</w:t>
      </w:r>
      <w:r w:rsidR="006C4CC1">
        <w:rPr>
          <w:i/>
          <w:lang w:val="fr-CA"/>
        </w:rPr>
        <w:t xml:space="preserve"> </w:t>
      </w:r>
      <w:r w:rsidR="0075777E" w:rsidRPr="006C4CC1">
        <w:rPr>
          <w:i/>
          <w:lang w:val="fr-CA"/>
        </w:rPr>
        <w:t xml:space="preserve">Appropriation à des fins personnelles par le couple des fonds versés pour investissement </w:t>
      </w:r>
      <w:r w:rsidR="00253B34">
        <w:rPr>
          <w:i/>
          <w:lang w:val="fr-CA"/>
        </w:rPr>
        <w:t xml:space="preserve">— Action en dommages-intérêts </w:t>
      </w:r>
      <w:r w:rsidR="0075777E">
        <w:rPr>
          <w:i/>
          <w:lang w:val="fr-CA"/>
        </w:rPr>
        <w:t xml:space="preserve">intentée contre l’époux et l’épouse personnellement pour cause d’assertion inexacte et frauduleuse, de dol et </w:t>
      </w:r>
      <w:r w:rsidR="00EB05EA">
        <w:rPr>
          <w:i/>
          <w:lang w:val="fr-CA"/>
        </w:rPr>
        <w:t>d</w:t>
      </w:r>
      <w:r w:rsidR="0075777E">
        <w:rPr>
          <w:i/>
          <w:lang w:val="fr-CA"/>
        </w:rPr>
        <w:t xml:space="preserve">e </w:t>
      </w:r>
      <w:r w:rsidR="00EB05EA">
        <w:rPr>
          <w:i/>
          <w:lang w:val="fr-CA"/>
        </w:rPr>
        <w:t>manquement à une obligation fiduciaire</w:t>
      </w:r>
      <w:r w:rsidR="00675C8E" w:rsidRPr="00DA3573">
        <w:rPr>
          <w:i/>
          <w:lang w:val="fr-CA"/>
        </w:rPr>
        <w:t xml:space="preserve"> — </w:t>
      </w:r>
      <w:r w:rsidR="003971DD">
        <w:rPr>
          <w:i/>
          <w:lang w:val="fr-CA"/>
        </w:rPr>
        <w:t>Responsabilité des s</w:t>
      </w:r>
      <w:r w:rsidR="003971DD" w:rsidRPr="00DA3573">
        <w:rPr>
          <w:i/>
          <w:lang w:val="fr-CA"/>
        </w:rPr>
        <w:t xml:space="preserve">ociétés par actions </w:t>
      </w:r>
      <w:r w:rsidR="003971DD">
        <w:rPr>
          <w:i/>
          <w:lang w:val="fr-CA"/>
        </w:rPr>
        <w:t xml:space="preserve">visant </w:t>
      </w:r>
      <w:r w:rsidR="003971DD" w:rsidRPr="00DA3573">
        <w:rPr>
          <w:i/>
          <w:lang w:val="fr-CA"/>
        </w:rPr>
        <w:t>des projets spécifiques</w:t>
      </w:r>
      <w:r w:rsidR="003971DD">
        <w:rPr>
          <w:i/>
          <w:lang w:val="fr-CA"/>
        </w:rPr>
        <w:t xml:space="preserve"> également recherchée par les </w:t>
      </w:r>
      <w:r w:rsidR="00EB05EA">
        <w:rPr>
          <w:i/>
          <w:lang w:val="fr-CA"/>
        </w:rPr>
        <w:t xml:space="preserve">investisseurs au motif </w:t>
      </w:r>
      <w:r w:rsidR="003971DD">
        <w:rPr>
          <w:i/>
          <w:lang w:val="fr-CA"/>
        </w:rPr>
        <w:t xml:space="preserve">que l’épouse ayant commis la fraude était l’âme dirigeante des sociétés — Juge de l’action condamnant l’époux et l’épouse </w:t>
      </w:r>
      <w:r w:rsidR="00FC273E">
        <w:rPr>
          <w:i/>
          <w:lang w:val="fr-CA"/>
        </w:rPr>
        <w:t xml:space="preserve">personnellement </w:t>
      </w:r>
      <w:r w:rsidR="003971DD">
        <w:rPr>
          <w:i/>
          <w:lang w:val="fr-CA"/>
        </w:rPr>
        <w:t>au paiement de dommages-intérêts</w:t>
      </w:r>
      <w:r w:rsidR="001E1AB1">
        <w:rPr>
          <w:i/>
          <w:lang w:val="fr-CA"/>
        </w:rPr>
        <w:t>, mais rejetant la demande fondée sur la notion d’aide apportée en connaissance de cause pour le motif que la connaissance par l’épouse de l’existence de la fraude ne pouvait être imputée aux sociétés par action</w:t>
      </w:r>
      <w:r w:rsidR="00173B9C">
        <w:rPr>
          <w:i/>
          <w:lang w:val="fr-CA"/>
        </w:rPr>
        <w:t>s</w:t>
      </w:r>
      <w:r w:rsidR="001E1AB1">
        <w:rPr>
          <w:i/>
          <w:lang w:val="fr-CA"/>
        </w:rPr>
        <w:t xml:space="preserve"> visant des projets spécifiques</w:t>
      </w:r>
      <w:r w:rsidR="00675C8E" w:rsidRPr="00DA3573">
        <w:rPr>
          <w:i/>
          <w:lang w:val="fr-CA"/>
        </w:rPr>
        <w:t xml:space="preserve"> — </w:t>
      </w:r>
      <w:r w:rsidR="00FC273E">
        <w:rPr>
          <w:i/>
          <w:lang w:val="fr-CA"/>
        </w:rPr>
        <w:t>Cour d’appel accueillant à la majorité la d</w:t>
      </w:r>
      <w:r w:rsidR="001E1AB1">
        <w:rPr>
          <w:i/>
          <w:lang w:val="fr-CA"/>
        </w:rPr>
        <w:t>emande fondée sur l</w:t>
      </w:r>
      <w:r w:rsidR="00FC273E">
        <w:rPr>
          <w:i/>
          <w:lang w:val="fr-CA"/>
        </w:rPr>
        <w:t>a notion d</w:t>
      </w:r>
      <w:r w:rsidR="001E1AB1">
        <w:rPr>
          <w:i/>
          <w:lang w:val="fr-CA"/>
        </w:rPr>
        <w:t xml:space="preserve">’aide apportée en connaissance de cause — </w:t>
      </w:r>
      <w:r w:rsidR="00FC273E">
        <w:rPr>
          <w:i/>
          <w:lang w:val="fr-CA"/>
        </w:rPr>
        <w:t>J</w:t>
      </w:r>
      <w:r w:rsidR="001E1AB1">
        <w:rPr>
          <w:i/>
          <w:lang w:val="fr-CA"/>
        </w:rPr>
        <w:t xml:space="preserve">uge dissidente </w:t>
      </w:r>
      <w:r w:rsidR="00FC273E">
        <w:rPr>
          <w:i/>
          <w:lang w:val="fr-CA"/>
        </w:rPr>
        <w:t xml:space="preserve">concluant </w:t>
      </w:r>
      <w:r w:rsidR="001E1AB1">
        <w:rPr>
          <w:i/>
          <w:lang w:val="fr-CA"/>
        </w:rPr>
        <w:t>que la responsabilité des s</w:t>
      </w:r>
      <w:r w:rsidR="001E1AB1" w:rsidRPr="00DA3573">
        <w:rPr>
          <w:i/>
          <w:lang w:val="fr-CA"/>
        </w:rPr>
        <w:t xml:space="preserve">ociétés par actions </w:t>
      </w:r>
      <w:r w:rsidR="001E1AB1">
        <w:rPr>
          <w:i/>
          <w:lang w:val="fr-CA"/>
        </w:rPr>
        <w:t xml:space="preserve">visant </w:t>
      </w:r>
      <w:r w:rsidR="001E1AB1" w:rsidRPr="00DA3573">
        <w:rPr>
          <w:i/>
          <w:lang w:val="fr-CA"/>
        </w:rPr>
        <w:t xml:space="preserve">des projets spécifiques </w:t>
      </w:r>
      <w:r w:rsidR="000D0FBA">
        <w:rPr>
          <w:i/>
          <w:lang w:val="fr-CA"/>
        </w:rPr>
        <w:t xml:space="preserve">fondée sur la notion d’aide apportée en connaissance de cause </w:t>
      </w:r>
      <w:r w:rsidR="001E1AB1">
        <w:rPr>
          <w:i/>
          <w:lang w:val="fr-CA"/>
        </w:rPr>
        <w:t xml:space="preserve">ne pouvait pas être </w:t>
      </w:r>
      <w:r w:rsidR="001E1AB1" w:rsidRPr="00561856">
        <w:rPr>
          <w:i/>
          <w:lang w:val="fr-CA"/>
        </w:rPr>
        <w:t>établie</w:t>
      </w:r>
      <w:r w:rsidR="00FC273E">
        <w:rPr>
          <w:i/>
          <w:lang w:val="fr-CA"/>
        </w:rPr>
        <w:t xml:space="preserve"> — Demande fondée sur la notion d’aide apportée en connaissance de cause</w:t>
      </w:r>
      <w:r w:rsidR="00FC273E" w:rsidRPr="00DA3573">
        <w:rPr>
          <w:i/>
          <w:lang w:val="fr-CA"/>
        </w:rPr>
        <w:t xml:space="preserve"> </w:t>
      </w:r>
      <w:r w:rsidR="00FC273E">
        <w:rPr>
          <w:i/>
          <w:lang w:val="fr-CA"/>
        </w:rPr>
        <w:t>rejetée</w:t>
      </w:r>
      <w:r w:rsidR="00675C8E" w:rsidRPr="00DA3573">
        <w:rPr>
          <w:i/>
          <w:lang w:val="fr-CA"/>
        </w:rPr>
        <w:t>.</w:t>
      </w:r>
    </w:p>
    <w:p w:rsidR="004D7D95" w:rsidRPr="00000775" w:rsidRDefault="004D7D95" w:rsidP="00CF53F3">
      <w:pPr>
        <w:pStyle w:val="SCCNormalDoubleSpacing"/>
        <w:spacing w:after="720" w:line="240" w:lineRule="auto"/>
        <w:rPr>
          <w:lang w:val="fr-CA"/>
        </w:rPr>
      </w:pPr>
      <w:r w:rsidRPr="00000775">
        <w:rPr>
          <w:b/>
          <w:lang w:val="fr-CA"/>
        </w:rPr>
        <w:t>Jurisprudence</w:t>
      </w:r>
    </w:p>
    <w:p w:rsidR="004D7D95" w:rsidRPr="00A90CB4" w:rsidRDefault="004D7D95" w:rsidP="00CF53F3">
      <w:pPr>
        <w:tabs>
          <w:tab w:val="left" w:pos="1170"/>
        </w:tabs>
        <w:spacing w:after="480" w:line="480" w:lineRule="auto"/>
        <w:jc w:val="both"/>
        <w:rPr>
          <w:lang w:val="fr-CA"/>
        </w:rPr>
      </w:pPr>
      <w:r w:rsidRPr="00000775">
        <w:rPr>
          <w:lang w:val="fr-CA"/>
        </w:rPr>
        <w:tab/>
      </w:r>
      <w:r w:rsidRPr="00A90CB4">
        <w:rPr>
          <w:b/>
          <w:lang w:val="fr-CA"/>
        </w:rPr>
        <w:t>Arrêts mentionnés :</w:t>
      </w:r>
      <w:r w:rsidRPr="00A90CB4">
        <w:rPr>
          <w:lang w:val="fr-CA"/>
        </w:rPr>
        <w:t xml:space="preserve"> </w:t>
      </w:r>
      <w:r w:rsidR="00A90CB4" w:rsidRPr="00A90CB4">
        <w:rPr>
          <w:i/>
          <w:lang w:val="fr-CA"/>
        </w:rPr>
        <w:t xml:space="preserve">Deloitte &amp; Touche </w:t>
      </w:r>
      <w:r w:rsidR="00A90CB4" w:rsidRPr="00A90CB4">
        <w:rPr>
          <w:i/>
          <w:iCs/>
          <w:lang w:val="fr-CA"/>
        </w:rPr>
        <w:t>c.</w:t>
      </w:r>
      <w:r w:rsidR="00A90CB4" w:rsidRPr="00A90CB4">
        <w:rPr>
          <w:i/>
          <w:lang w:val="fr-CA"/>
        </w:rPr>
        <w:t xml:space="preserve"> Livent Inc. (Séquestre de)</w:t>
      </w:r>
      <w:r w:rsidR="00A90CB4" w:rsidRPr="00A90CB4">
        <w:rPr>
          <w:lang w:val="fr-CA"/>
        </w:rPr>
        <w:t>, 2</w:t>
      </w:r>
      <w:r w:rsidR="005736C3">
        <w:rPr>
          <w:lang w:val="fr-CA"/>
        </w:rPr>
        <w:t>017 CSC 63, [2017] 2 R.C.S. 855;</w:t>
      </w:r>
      <w:r w:rsidR="00A90CB4" w:rsidRPr="00A90CB4">
        <w:rPr>
          <w:lang w:val="fr-CA"/>
        </w:rPr>
        <w:t xml:space="preserve"> </w:t>
      </w:r>
      <w:r w:rsidR="00A90CB4" w:rsidRPr="00A90CB4">
        <w:rPr>
          <w:i/>
          <w:lang w:val="fr-CA"/>
        </w:rPr>
        <w:t xml:space="preserve">Canadian Dredge &amp; Dock Co. </w:t>
      </w:r>
      <w:r w:rsidR="00A90CB4" w:rsidRPr="00A90CB4">
        <w:rPr>
          <w:i/>
          <w:iCs/>
          <w:lang w:val="fr-CA"/>
        </w:rPr>
        <w:t>c.</w:t>
      </w:r>
      <w:r w:rsidR="00A90CB4" w:rsidRPr="00A90CB4">
        <w:rPr>
          <w:i/>
          <w:lang w:val="fr-CA"/>
        </w:rPr>
        <w:t xml:space="preserve"> La Reine</w:t>
      </w:r>
      <w:r w:rsidR="00A90CB4" w:rsidRPr="00A90CB4">
        <w:rPr>
          <w:lang w:val="fr-CA"/>
        </w:rPr>
        <w:t>, [1985] 1 R.C.S. 662.</w:t>
      </w:r>
    </w:p>
    <w:p w:rsidR="004D7D95" w:rsidRPr="004D7D95" w:rsidRDefault="004D7D95" w:rsidP="00CF53F3">
      <w:pPr>
        <w:pStyle w:val="SCCNormalDoubleSpacing"/>
        <w:spacing w:after="480"/>
        <w:rPr>
          <w:lang w:val="fr-CA"/>
        </w:rPr>
      </w:pPr>
      <w:r w:rsidRPr="00A90CB4">
        <w:rPr>
          <w:lang w:val="fr-CA"/>
        </w:rPr>
        <w:tab/>
      </w:r>
      <w:r w:rsidRPr="004D7D95">
        <w:rPr>
          <w:lang w:val="fr-CA"/>
        </w:rPr>
        <w:t xml:space="preserve">POURVOI contre un arrêt de la </w:t>
      </w:r>
      <w:r w:rsidRPr="00FF7BCA">
        <w:rPr>
          <w:lang w:val="fr-CA"/>
        </w:rPr>
        <w:t>Cour d</w:t>
      </w:r>
      <w:r w:rsidR="00A90CB4">
        <w:rPr>
          <w:lang w:val="fr-CA"/>
        </w:rPr>
        <w:t>’</w:t>
      </w:r>
      <w:r w:rsidRPr="00FF7BCA">
        <w:rPr>
          <w:lang w:val="fr-CA"/>
        </w:rPr>
        <w:t xml:space="preserve">appel de </w:t>
      </w:r>
      <w:r w:rsidRPr="00DF55E7">
        <w:rPr>
          <w:lang w:val="fr-CA"/>
        </w:rPr>
        <w:t>l</w:t>
      </w:r>
      <w:r w:rsidR="00A90CB4">
        <w:rPr>
          <w:lang w:val="fr-CA"/>
        </w:rPr>
        <w:t>’</w:t>
      </w:r>
      <w:r w:rsidRPr="00DF55E7">
        <w:rPr>
          <w:lang w:val="fr-CA"/>
        </w:rPr>
        <w:t>Ontario</w:t>
      </w:r>
      <w:r w:rsidR="00DF55E7" w:rsidRPr="00DF55E7">
        <w:rPr>
          <w:lang w:val="fr-CA"/>
        </w:rPr>
        <w:t xml:space="preserve"> (les juges </w:t>
      </w:r>
      <w:r w:rsidR="00A90CB4">
        <w:rPr>
          <w:lang w:val="fr-CA"/>
        </w:rPr>
        <w:t>Cronk, Blair et van Rensburg</w:t>
      </w:r>
      <w:r w:rsidR="00DF55E7">
        <w:rPr>
          <w:lang w:val="fr-CA"/>
        </w:rPr>
        <w:t xml:space="preserve">), </w:t>
      </w:r>
      <w:r w:rsidR="00A90CB4" w:rsidRPr="00A90CB4">
        <w:rPr>
          <w:lang w:val="fr-CA"/>
        </w:rPr>
        <w:t>2018 ONCA 60, 419 D.L.R. (4th) 409, 78 B.L.R</w:t>
      </w:r>
      <w:r w:rsidR="00045BFF">
        <w:rPr>
          <w:lang w:val="fr-CA"/>
        </w:rPr>
        <w:t>. (5th) 183, 56 C.B.R. (6th) 174</w:t>
      </w:r>
      <w:r w:rsidR="00A90CB4" w:rsidRPr="00A90CB4">
        <w:rPr>
          <w:lang w:val="fr-CA"/>
        </w:rPr>
        <w:t>, 33 E.T.R. (4th) 173, [2018] O.J. No. 578 (QL), 2018 CarswellOnt 1571 (WL Can.)</w:t>
      </w:r>
      <w:r w:rsidR="005736C3">
        <w:rPr>
          <w:lang w:val="fr-CA"/>
        </w:rPr>
        <w:t>,</w:t>
      </w:r>
      <w:r w:rsidR="00DF55E7">
        <w:rPr>
          <w:lang w:val="fr-CA"/>
        </w:rPr>
        <w:t xml:space="preserve"> </w:t>
      </w:r>
      <w:r w:rsidR="00605B76">
        <w:rPr>
          <w:lang w:val="fr-CA"/>
        </w:rPr>
        <w:t>qui a infirmé</w:t>
      </w:r>
      <w:r w:rsidR="00DF55E7">
        <w:rPr>
          <w:lang w:val="fr-CA"/>
        </w:rPr>
        <w:t xml:space="preserve"> une décision </w:t>
      </w:r>
      <w:r w:rsidR="00A90CB4">
        <w:rPr>
          <w:lang w:val="fr-CA"/>
        </w:rPr>
        <w:t xml:space="preserve">du juge Newbould, </w:t>
      </w:r>
      <w:r w:rsidR="00A90CB4" w:rsidRPr="00A90CB4">
        <w:rPr>
          <w:lang w:val="fr-CA"/>
        </w:rPr>
        <w:t>2016 ONSC 6018, 40 C.B.R. (6th) 230, [2016] O.J. No. 5017 (QL), 2016 CarswellOnt 15044 (WL Can.)</w:t>
      </w:r>
      <w:r w:rsidR="00A90CB4">
        <w:rPr>
          <w:lang w:val="fr-CA"/>
        </w:rPr>
        <w:t>.</w:t>
      </w:r>
      <w:r w:rsidR="00DF55E7">
        <w:rPr>
          <w:lang w:val="fr-CA"/>
        </w:rPr>
        <w:t xml:space="preserve"> </w:t>
      </w:r>
      <w:r w:rsidR="00DF55E7" w:rsidRPr="00A90CB4">
        <w:rPr>
          <w:lang w:val="fr-CA"/>
        </w:rPr>
        <w:t>Pourvoi accueilli</w:t>
      </w:r>
      <w:r w:rsidR="00DF55E7">
        <w:rPr>
          <w:lang w:val="fr-CA"/>
        </w:rPr>
        <w:t>.</w:t>
      </w:r>
    </w:p>
    <w:p w:rsidR="00633C52" w:rsidRPr="00FF7BCA" w:rsidRDefault="0069200F" w:rsidP="00CF53F3">
      <w:pPr>
        <w:pStyle w:val="SCCNormalDoubleSpacing"/>
        <w:spacing w:after="480"/>
        <w:rPr>
          <w:lang w:val="fr-CA"/>
        </w:rPr>
      </w:pPr>
      <w:r w:rsidRPr="00FF7BCA">
        <w:rPr>
          <w:rStyle w:val="SCCCounselNameChar"/>
          <w:lang w:val="fr-CA"/>
        </w:rPr>
        <w:tab/>
        <w:t>Jeremy Opolsky</w:t>
      </w:r>
      <w:r w:rsidRPr="00FF7BCA">
        <w:rPr>
          <w:rStyle w:val="SCCCounselSeparatorChar"/>
          <w:lang w:val="fr-CA"/>
        </w:rPr>
        <w:t xml:space="preserve">, </w:t>
      </w:r>
      <w:r w:rsidR="00A90CB4">
        <w:rPr>
          <w:rStyle w:val="SCCCounselNameChar"/>
          <w:lang w:val="fr-CA"/>
        </w:rPr>
        <w:t xml:space="preserve">Jonathan Silver </w:t>
      </w:r>
      <w:r w:rsidR="00A90CB4">
        <w:rPr>
          <w:rStyle w:val="SCCCounselNameChar"/>
          <w:i w:val="0"/>
          <w:lang w:val="fr-CA"/>
        </w:rPr>
        <w:t>et</w:t>
      </w:r>
      <w:r w:rsidRPr="00FF7BCA">
        <w:rPr>
          <w:rStyle w:val="SCCCounselNameChar"/>
          <w:lang w:val="fr-CA"/>
        </w:rPr>
        <w:t xml:space="preserve"> Alicja Puchta</w:t>
      </w:r>
      <w:r w:rsidRPr="00FF7BCA">
        <w:rPr>
          <w:rStyle w:val="SCCCounselPartyRoleChar"/>
          <w:lang w:val="fr-CA"/>
        </w:rPr>
        <w:t>, pour l</w:t>
      </w:r>
      <w:r w:rsidR="00A90CB4">
        <w:rPr>
          <w:rStyle w:val="SCCCounselPartyRoleChar"/>
          <w:lang w:val="fr-CA"/>
        </w:rPr>
        <w:t>’</w:t>
      </w:r>
      <w:r w:rsidRPr="00FF7BCA">
        <w:rPr>
          <w:rStyle w:val="SCCCounselPartyRoleChar"/>
          <w:lang w:val="fr-CA"/>
        </w:rPr>
        <w:t>appelante.</w:t>
      </w:r>
    </w:p>
    <w:p w:rsidR="00633C52" w:rsidRPr="00FF7BCA" w:rsidRDefault="0069200F" w:rsidP="001C2063">
      <w:pPr>
        <w:pStyle w:val="SCCNormalDoubleSpacing"/>
        <w:spacing w:after="480"/>
        <w:rPr>
          <w:lang w:val="fr-CA"/>
        </w:rPr>
      </w:pPr>
      <w:r w:rsidRPr="00FF7BCA">
        <w:rPr>
          <w:rStyle w:val="SCCCounselNameChar"/>
          <w:lang w:val="fr-CA"/>
        </w:rPr>
        <w:tab/>
        <w:t>Shara N. Roy</w:t>
      </w:r>
      <w:r w:rsidRPr="005736C3">
        <w:rPr>
          <w:rStyle w:val="SCCCounselNameChar"/>
          <w:i w:val="0"/>
          <w:lang w:val="fr-CA"/>
        </w:rPr>
        <w:t>,</w:t>
      </w:r>
      <w:r w:rsidRPr="00FF7BCA">
        <w:rPr>
          <w:rStyle w:val="SCCCounselNameChar"/>
          <w:lang w:val="fr-CA"/>
        </w:rPr>
        <w:t xml:space="preserve"> Paul-Erik Veel</w:t>
      </w:r>
      <w:r w:rsidRPr="00FF7BCA">
        <w:rPr>
          <w:rStyle w:val="SCCCounselSeparatorChar"/>
          <w:lang w:val="fr-CA"/>
        </w:rPr>
        <w:t xml:space="preserve"> et </w:t>
      </w:r>
      <w:r w:rsidRPr="00FF7BCA">
        <w:rPr>
          <w:rStyle w:val="SCCCounselNameChar"/>
          <w:lang w:val="fr-CA"/>
        </w:rPr>
        <w:t>Madison Robins</w:t>
      </w:r>
      <w:r w:rsidRPr="00FF7BCA">
        <w:rPr>
          <w:rStyle w:val="SCCCounselPartyRoleChar"/>
          <w:lang w:val="fr-CA"/>
        </w:rPr>
        <w:t>, pour l</w:t>
      </w:r>
      <w:r w:rsidR="00A90CB4">
        <w:rPr>
          <w:rStyle w:val="SCCCounselPartyRoleChar"/>
          <w:lang w:val="fr-CA"/>
        </w:rPr>
        <w:t xml:space="preserve">es </w:t>
      </w:r>
      <w:r w:rsidRPr="00FF7BCA">
        <w:rPr>
          <w:rStyle w:val="SCCCounselPartyRoleChar"/>
          <w:lang w:val="fr-CA"/>
        </w:rPr>
        <w:t>intimée</w:t>
      </w:r>
      <w:r w:rsidR="00A90CB4">
        <w:rPr>
          <w:rStyle w:val="SCCCounselPartyRoleChar"/>
          <w:lang w:val="fr-CA"/>
        </w:rPr>
        <w:t>s</w:t>
      </w:r>
      <w:r w:rsidRPr="00FF7BCA">
        <w:rPr>
          <w:rStyle w:val="SCCCounselPartyRoleChar"/>
          <w:lang w:val="fr-CA"/>
        </w:rPr>
        <w:t>.</w:t>
      </w:r>
    </w:p>
    <w:p w:rsidR="00F4497E" w:rsidRPr="00FF7BCA" w:rsidRDefault="00F4497E" w:rsidP="00F4497E">
      <w:pPr>
        <w:pStyle w:val="SCCNormalDoubleSpacing"/>
        <w:spacing w:after="480"/>
        <w:rPr>
          <w:lang w:val="fr-CA"/>
        </w:rPr>
      </w:pPr>
      <w:r w:rsidRPr="005736C3">
        <w:rPr>
          <w:rStyle w:val="SCCCounselPartyRoleChar"/>
          <w:lang w:val="fr-CA"/>
        </w:rPr>
        <w:tab/>
      </w:r>
      <w:r w:rsidRPr="005736C3">
        <w:rPr>
          <w:rStyle w:val="SCCCounselNameChar"/>
          <w:lang w:val="fr-CA"/>
        </w:rPr>
        <w:t>Geoff R. Hall</w:t>
      </w:r>
      <w:r w:rsidRPr="005736C3">
        <w:rPr>
          <w:rStyle w:val="SCCCounselSeparatorChar"/>
          <w:lang w:val="fr-CA"/>
        </w:rPr>
        <w:t xml:space="preserve">, </w:t>
      </w:r>
      <w:r w:rsidRPr="005736C3">
        <w:rPr>
          <w:rStyle w:val="SCCCounselNameChar"/>
          <w:lang w:val="fr-CA"/>
        </w:rPr>
        <w:t>Anu Koshal</w:t>
      </w:r>
      <w:r w:rsidRPr="005736C3">
        <w:rPr>
          <w:rStyle w:val="SCCCounselSeparatorChar"/>
          <w:lang w:val="fr-CA"/>
        </w:rPr>
        <w:t xml:space="preserve"> et </w:t>
      </w:r>
      <w:r w:rsidRPr="005736C3">
        <w:rPr>
          <w:rStyle w:val="SCCCounselNameChar"/>
          <w:lang w:val="fr-CA"/>
        </w:rPr>
        <w:t>Natalie V. Kolos</w:t>
      </w:r>
      <w:r w:rsidRPr="005736C3">
        <w:rPr>
          <w:rStyle w:val="SCCCounselPartyRoleChar"/>
          <w:lang w:val="fr-CA"/>
        </w:rPr>
        <w:t>, pour l’intervenante la Chambre de commerce du Canada.</w:t>
      </w:r>
    </w:p>
    <w:p w:rsidR="00A90CB4" w:rsidRPr="00A90CB4" w:rsidRDefault="0069200F" w:rsidP="001C2063">
      <w:pPr>
        <w:pStyle w:val="SCCNormalDoubleSpacing"/>
        <w:spacing w:after="480"/>
        <w:rPr>
          <w:rStyle w:val="SCCCounselPartyRoleChar"/>
          <w:highlight w:val="yellow"/>
          <w:lang w:val="fr-CA"/>
        </w:rPr>
      </w:pPr>
      <w:r w:rsidRPr="00FF7BCA">
        <w:rPr>
          <w:rStyle w:val="SCCCounselNameChar"/>
          <w:lang w:val="fr-CA"/>
        </w:rPr>
        <w:tab/>
      </w:r>
      <w:r w:rsidR="00A90CB4" w:rsidRPr="005736C3">
        <w:rPr>
          <w:rStyle w:val="SCCCounselNameChar"/>
          <w:lang w:val="fr-CA"/>
        </w:rPr>
        <w:t>Mark Dunn</w:t>
      </w:r>
      <w:r w:rsidR="00A90CB4" w:rsidRPr="005736C3">
        <w:rPr>
          <w:rStyle w:val="SCCCounselSeparatorChar"/>
          <w:lang w:val="fr-CA"/>
        </w:rPr>
        <w:t xml:space="preserve"> et </w:t>
      </w:r>
      <w:r w:rsidR="00A90CB4" w:rsidRPr="005736C3">
        <w:rPr>
          <w:rStyle w:val="SCCCounselNameChar"/>
          <w:lang w:val="fr-CA"/>
        </w:rPr>
        <w:t>Carlie Fox</w:t>
      </w:r>
      <w:r w:rsidR="00A90CB4" w:rsidRPr="005736C3">
        <w:rPr>
          <w:rStyle w:val="SCCCounselPartyRoleChar"/>
          <w:lang w:val="fr-CA"/>
        </w:rPr>
        <w:t xml:space="preserve">, </w:t>
      </w:r>
      <w:r w:rsidR="00A90CB4" w:rsidRPr="00E71946">
        <w:rPr>
          <w:rStyle w:val="SCCCounselPartyRoleChar"/>
          <w:lang w:val="fr-CA"/>
        </w:rPr>
        <w:t xml:space="preserve">pour les </w:t>
      </w:r>
      <w:r w:rsidR="00F4497E" w:rsidRPr="002C3B94">
        <w:rPr>
          <w:rStyle w:val="SCCCounselPartyRoleChar"/>
          <w:lang w:val="fr-CA"/>
        </w:rPr>
        <w:t xml:space="preserve">autres </w:t>
      </w:r>
      <w:r w:rsidR="00A90CB4" w:rsidRPr="002C3B94">
        <w:rPr>
          <w:rStyle w:val="SCCCounselPartyRoleChar"/>
          <w:lang w:val="fr-CA"/>
        </w:rPr>
        <w:t>intervenant</w:t>
      </w:r>
      <w:r w:rsidR="002C3B94" w:rsidRPr="002C3B94">
        <w:rPr>
          <w:rStyle w:val="SCCCounselPartyRoleChar"/>
          <w:lang w:val="fr-CA"/>
        </w:rPr>
        <w:t>e</w:t>
      </w:r>
      <w:r w:rsidR="00A90CB4" w:rsidRPr="002C3B94">
        <w:rPr>
          <w:rStyle w:val="SCCCounselPartyRoleChar"/>
          <w:lang w:val="fr-CA"/>
        </w:rPr>
        <w:t>s.</w:t>
      </w:r>
    </w:p>
    <w:p w:rsidR="00DE33B1" w:rsidRPr="00360903" w:rsidRDefault="00374D52" w:rsidP="001C2063">
      <w:pPr>
        <w:pStyle w:val="SCCNormalDoubleSpacing"/>
        <w:widowControl w:val="0"/>
        <w:spacing w:before="480" w:after="480"/>
        <w:rPr>
          <w:lang w:val="fr-CA"/>
        </w:rPr>
      </w:pPr>
      <w:r>
        <w:rPr>
          <w:smallCaps/>
          <w:lang w:val="fr-CA"/>
        </w:rPr>
        <w:tab/>
      </w:r>
      <w:r w:rsidRPr="00AB33FA">
        <w:rPr>
          <w:lang w:val="fr-FR"/>
        </w:rPr>
        <w:t>Version française du jugement de la Cour rendu oralement par</w:t>
      </w:r>
    </w:p>
    <w:p w:rsidR="00DE33B1" w:rsidRDefault="00DE33B1" w:rsidP="003A3CE4">
      <w:pPr>
        <w:pStyle w:val="ParaNoNdepar-AltN"/>
        <w:numPr>
          <w:ilvl w:val="0"/>
          <w:numId w:val="0"/>
        </w:numPr>
        <w:rPr>
          <w:lang w:val="fr-CA"/>
        </w:rPr>
      </w:pPr>
      <w:r w:rsidRPr="00374D52">
        <w:rPr>
          <w:lang w:val="fr-CA"/>
        </w:rPr>
        <w:t>[1]</w:t>
      </w:r>
      <w:r w:rsidR="00374D52">
        <w:rPr>
          <w:lang w:val="fr-CA"/>
        </w:rPr>
        <w:tab/>
      </w:r>
      <w:r w:rsidRPr="00360903">
        <w:rPr>
          <w:smallCaps/>
          <w:lang w:val="fr-CA"/>
        </w:rPr>
        <w:t>Le juge Brown</w:t>
      </w:r>
      <w:r w:rsidRPr="00360903">
        <w:rPr>
          <w:lang w:val="fr-CA"/>
        </w:rPr>
        <w:t xml:space="preserve"> — À l’instar de la juge van Rensburg, dissidente en Cour d’appel, nous sommes d’avis que l’argument des intimées basé sur la notion d’aide apportée en connaissance de cause doit être écarté, et nous faisons nôtres ses motifs.</w:t>
      </w:r>
    </w:p>
    <w:p w:rsidR="003A3CE4" w:rsidRDefault="00DE33B1" w:rsidP="003A3CE4">
      <w:pPr>
        <w:pStyle w:val="ParaNoNdepar-AltN"/>
        <w:numPr>
          <w:ilvl w:val="0"/>
          <w:numId w:val="0"/>
        </w:numPr>
        <w:rPr>
          <w:lang w:val="fr-CA"/>
        </w:rPr>
      </w:pPr>
      <w:r w:rsidRPr="00DE33B1">
        <w:rPr>
          <w:lang w:val="fr-CA"/>
        </w:rPr>
        <w:t>[2]</w:t>
      </w:r>
      <w:r w:rsidRPr="00DE33B1">
        <w:rPr>
          <w:lang w:val="fr-CA"/>
        </w:rPr>
        <w:tab/>
      </w:r>
      <w:r w:rsidRPr="00360903">
        <w:rPr>
          <w:lang w:val="fr-CA"/>
        </w:rPr>
        <w:t xml:space="preserve">Vu les propos des juges majoritaires de la Cour d’appel portant que l’arrêt de notre Cour </w:t>
      </w:r>
      <w:r w:rsidRPr="00360903">
        <w:rPr>
          <w:i/>
          <w:lang w:val="fr-CA"/>
        </w:rPr>
        <w:t>Deloitte &amp; Touche c. Livent Inc. (Séquestre de)</w:t>
      </w:r>
      <w:r w:rsidRPr="00360903">
        <w:rPr>
          <w:lang w:val="fr-CA"/>
        </w:rPr>
        <w:t>, 2017 CSC 63, [2017] 2 R.C.S. 855, invite à une application [</w:t>
      </w:r>
      <w:r w:rsidRPr="00360903">
        <w:rPr>
          <w:smallCaps/>
          <w:lang w:val="fr-CA"/>
        </w:rPr>
        <w:t>traduction</w:t>
      </w:r>
      <w:r w:rsidRPr="00360903">
        <w:rPr>
          <w:lang w:val="fr-CA"/>
        </w:rPr>
        <w:t xml:space="preserve">] « souple » des critères énoncés dans l’affaire </w:t>
      </w:r>
      <w:r w:rsidRPr="00360903">
        <w:rPr>
          <w:i/>
          <w:lang w:val="fr-CA"/>
        </w:rPr>
        <w:t>Canadian Dredge &amp; Dock Co. c. La Reine</w:t>
      </w:r>
      <w:r w:rsidRPr="00360903">
        <w:rPr>
          <w:lang w:val="fr-CA"/>
        </w:rPr>
        <w:t xml:space="preserve">, [1985] 1 R.C.S. </w:t>
      </w:r>
      <w:r w:rsidRPr="0076100E">
        <w:rPr>
          <w:lang w:val="fr-CA"/>
        </w:rPr>
        <w:t>662</w:t>
      </w:r>
      <w:r w:rsidR="00374D52" w:rsidRPr="0076100E">
        <w:rPr>
          <w:lang w:val="fr-CA"/>
        </w:rPr>
        <w:t>,</w:t>
      </w:r>
      <w:r w:rsidRPr="00360903">
        <w:rPr>
          <w:lang w:val="fr-CA"/>
        </w:rPr>
        <w:t xml:space="preserve"> en matière d’imputation à une société des actes fautifs d’un individu, nous tenons, soit dit en tout respect, à ajouter la précision suivante. Ce que la Cour a indiqué dans l’arrêt </w:t>
      </w:r>
      <w:r w:rsidRPr="00360903">
        <w:rPr>
          <w:i/>
          <w:lang w:val="fr-CA"/>
        </w:rPr>
        <w:t>Livent</w:t>
      </w:r>
      <w:r w:rsidRPr="00360903">
        <w:rPr>
          <w:lang w:val="fr-CA"/>
        </w:rPr>
        <w:t xml:space="preserve">, par. 104, c’est que </w:t>
      </w:r>
      <w:r w:rsidRPr="00360903">
        <w:rPr>
          <w:i/>
          <w:lang w:val="fr-CA"/>
        </w:rPr>
        <w:t>même dans les cas où ces critères sont respectés</w:t>
      </w:r>
      <w:r w:rsidRPr="00360903">
        <w:rPr>
          <w:lang w:val="fr-CA"/>
        </w:rPr>
        <w:t xml:space="preserve">, « les tribunaux conservent le pouvoir discrétionnaire </w:t>
      </w:r>
      <w:r w:rsidRPr="00B55C01">
        <w:rPr>
          <w:u w:val="single"/>
          <w:lang w:val="fr-CA"/>
        </w:rPr>
        <w:t>de s’abstenir</w:t>
      </w:r>
      <w:r w:rsidRPr="00360903">
        <w:rPr>
          <w:lang w:val="fr-CA"/>
        </w:rPr>
        <w:t xml:space="preserve"> [d’]appliquer [le principe de l’imputation d’actes à une société] lorsque, dans les circonstances de l’espèce, il ne serait pas dans l’intérêt public de le faire »</w:t>
      </w:r>
      <w:r>
        <w:rPr>
          <w:lang w:val="fr-CA"/>
        </w:rPr>
        <w:t xml:space="preserve"> (je souligne)</w:t>
      </w:r>
      <w:r w:rsidRPr="00360903">
        <w:rPr>
          <w:lang w:val="fr-CA"/>
        </w:rPr>
        <w:t xml:space="preserve">. Autrement dit, bien que la présence de considérations relatives à l’intérêt public puisse </w:t>
      </w:r>
      <w:r w:rsidRPr="00360903">
        <w:rPr>
          <w:i/>
          <w:lang w:val="fr-CA"/>
        </w:rPr>
        <w:t>alourdir</w:t>
      </w:r>
      <w:r w:rsidRPr="00360903">
        <w:rPr>
          <w:lang w:val="fr-CA"/>
        </w:rPr>
        <w:t xml:space="preserve"> le fardeau incombant à la partie qui demande que soient imputés à une société les actes d’une âme dirigeante de cette dernière, l’arrêt </w:t>
      </w:r>
      <w:r w:rsidRPr="00360903">
        <w:rPr>
          <w:i/>
          <w:lang w:val="fr-CA"/>
        </w:rPr>
        <w:t>Canadian Dredge</w:t>
      </w:r>
      <w:r w:rsidRPr="00360903">
        <w:rPr>
          <w:lang w:val="fr-CA"/>
        </w:rPr>
        <w:t xml:space="preserve"> établit des critères </w:t>
      </w:r>
      <w:r w:rsidRPr="00360903">
        <w:rPr>
          <w:i/>
          <w:lang w:val="fr-CA"/>
        </w:rPr>
        <w:t>minimaux</w:t>
      </w:r>
      <w:r w:rsidRPr="00360903">
        <w:rPr>
          <w:lang w:val="fr-CA"/>
        </w:rPr>
        <w:t xml:space="preserve"> qui doivent toujours être respectés. Le pourvoi est accueilli, avec dépens devant toutes les cours.</w:t>
      </w:r>
    </w:p>
    <w:p w:rsidR="004D7D95" w:rsidRPr="00DF55E7" w:rsidRDefault="004D7D95" w:rsidP="003A3CE4">
      <w:pPr>
        <w:pStyle w:val="SCCNormalDoubleSpacing"/>
        <w:spacing w:after="480"/>
        <w:rPr>
          <w:lang w:val="fr-CA"/>
        </w:rPr>
      </w:pPr>
      <w:r w:rsidRPr="00A90CB4">
        <w:rPr>
          <w:lang w:val="fr-CA"/>
        </w:rPr>
        <w:tab/>
      </w:r>
      <w:r w:rsidR="00000775">
        <w:rPr>
          <w:i/>
          <w:lang w:val="fr-CA"/>
        </w:rPr>
        <w:t>Jugement en conséquence</w:t>
      </w:r>
      <w:r w:rsidR="00DF55E7" w:rsidRPr="00DF55E7">
        <w:rPr>
          <w:i/>
          <w:lang w:val="fr-CA"/>
        </w:rPr>
        <w:t>.</w:t>
      </w:r>
      <w:r w:rsidR="003A3CE4" w:rsidRPr="00DF55E7">
        <w:rPr>
          <w:lang w:val="fr-CA"/>
        </w:rPr>
        <w:t xml:space="preserve"> </w:t>
      </w:r>
    </w:p>
    <w:p w:rsidR="00633C52" w:rsidRPr="00A90CB4" w:rsidRDefault="0069200F" w:rsidP="003A3CE4">
      <w:pPr>
        <w:pStyle w:val="SCCLawFirm"/>
        <w:spacing w:after="480"/>
        <w:rPr>
          <w:lang w:val="fr-CA"/>
        </w:rPr>
      </w:pPr>
      <w:r w:rsidRPr="00DF55E7">
        <w:rPr>
          <w:lang w:val="fr-CA"/>
        </w:rPr>
        <w:tab/>
      </w:r>
      <w:r w:rsidRPr="00A90CB4">
        <w:rPr>
          <w:lang w:val="fr-CA"/>
        </w:rPr>
        <w:t>Procureurs de l</w:t>
      </w:r>
      <w:r w:rsidR="00A90CB4">
        <w:rPr>
          <w:lang w:val="fr-CA"/>
        </w:rPr>
        <w:t>’</w:t>
      </w:r>
      <w:r w:rsidRPr="00A90CB4">
        <w:rPr>
          <w:lang w:val="fr-CA"/>
        </w:rPr>
        <w:t>appelante : Torys</w:t>
      </w:r>
      <w:r w:rsidR="00A90CB4" w:rsidRPr="00A90CB4">
        <w:rPr>
          <w:lang w:val="fr-CA"/>
        </w:rPr>
        <w:t>,</w:t>
      </w:r>
      <w:r w:rsidRPr="00A90CB4">
        <w:rPr>
          <w:lang w:val="fr-CA"/>
        </w:rPr>
        <w:t xml:space="preserve"> Toronto.</w:t>
      </w:r>
    </w:p>
    <w:p w:rsidR="00633C52" w:rsidRPr="00FF7BCA" w:rsidRDefault="0069200F" w:rsidP="001A631D">
      <w:pPr>
        <w:pStyle w:val="SCCLawFirm"/>
        <w:spacing w:after="480"/>
        <w:rPr>
          <w:lang w:val="fr-CA"/>
        </w:rPr>
      </w:pPr>
      <w:r w:rsidRPr="00A90CB4">
        <w:rPr>
          <w:lang w:val="fr-CA"/>
        </w:rPr>
        <w:tab/>
      </w:r>
      <w:r w:rsidRPr="00FF7BCA">
        <w:rPr>
          <w:lang w:val="fr-CA"/>
        </w:rPr>
        <w:t>Procureurs de</w:t>
      </w:r>
      <w:r w:rsidR="00A90CB4">
        <w:rPr>
          <w:lang w:val="fr-CA"/>
        </w:rPr>
        <w:t>s</w:t>
      </w:r>
      <w:r w:rsidRPr="00FF7BCA">
        <w:rPr>
          <w:lang w:val="fr-CA"/>
        </w:rPr>
        <w:t xml:space="preserve"> intimée</w:t>
      </w:r>
      <w:r w:rsidR="00A90CB4">
        <w:rPr>
          <w:lang w:val="fr-CA"/>
        </w:rPr>
        <w:t>s</w:t>
      </w:r>
      <w:r w:rsidRPr="00FF7BCA">
        <w:rPr>
          <w:lang w:val="fr-CA"/>
        </w:rPr>
        <w:t> : Lenczner Slaght Royce Smith Griffin, Toronto.</w:t>
      </w:r>
    </w:p>
    <w:p w:rsidR="00F4497E" w:rsidRPr="00A90CB4" w:rsidRDefault="00F4497E" w:rsidP="00F4497E">
      <w:pPr>
        <w:pStyle w:val="SCCLawFirm"/>
        <w:spacing w:after="480"/>
        <w:rPr>
          <w:lang w:val="fr-CA"/>
        </w:rPr>
      </w:pPr>
      <w:r w:rsidRPr="005D360D">
        <w:rPr>
          <w:lang w:val="fr-CA"/>
        </w:rPr>
        <w:tab/>
        <w:t xml:space="preserve">Procureurs de l’intervenante la Chambre de </w:t>
      </w:r>
      <w:r>
        <w:rPr>
          <w:lang w:val="fr-CA"/>
        </w:rPr>
        <w:t>c</w:t>
      </w:r>
      <w:r w:rsidRPr="005D360D">
        <w:rPr>
          <w:lang w:val="fr-CA"/>
        </w:rPr>
        <w:t>ommerce du Canada : McCarthy Tétrault, Toronto.</w:t>
      </w:r>
    </w:p>
    <w:p w:rsidR="00F4497E" w:rsidRPr="00F4497E" w:rsidRDefault="00A90CB4">
      <w:pPr>
        <w:pStyle w:val="SCCLawFirm"/>
        <w:spacing w:after="480"/>
        <w:rPr>
          <w:highlight w:val="yellow"/>
          <w:lang w:val="fr-CA"/>
        </w:rPr>
      </w:pPr>
      <w:r w:rsidRPr="00000775">
        <w:rPr>
          <w:lang w:val="fr-CA"/>
        </w:rPr>
        <w:tab/>
      </w:r>
      <w:r w:rsidRPr="005D360D">
        <w:rPr>
          <w:lang w:val="fr-CA"/>
        </w:rPr>
        <w:t xml:space="preserve">Procureurs des </w:t>
      </w:r>
      <w:r w:rsidR="00F4497E" w:rsidRPr="002C3B94">
        <w:rPr>
          <w:lang w:val="fr-CA"/>
        </w:rPr>
        <w:t xml:space="preserve">autres </w:t>
      </w:r>
      <w:r w:rsidRPr="002C3B94">
        <w:rPr>
          <w:lang w:val="fr-CA"/>
        </w:rPr>
        <w:t>intervenantes : Goodmans</w:t>
      </w:r>
      <w:r w:rsidRPr="005D360D">
        <w:rPr>
          <w:lang w:val="fr-CA"/>
        </w:rPr>
        <w:t>, Toronto.</w:t>
      </w:r>
    </w:p>
    <w:sectPr w:rsidR="00F4497E" w:rsidRPr="00F4497E"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04" w:rsidRDefault="00F92104">
      <w:r>
        <w:separator/>
      </w:r>
    </w:p>
  </w:endnote>
  <w:endnote w:type="continuationSeparator" w:id="0">
    <w:p w:rsidR="00F92104" w:rsidRDefault="00F9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04" w:rsidRDefault="00F92104">
      <w:r>
        <w:separator/>
      </w:r>
    </w:p>
  </w:footnote>
  <w:footnote w:type="continuationSeparator" w:id="0">
    <w:p w:rsidR="00F92104" w:rsidRDefault="00F92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07073"/>
    <w:multiLevelType w:val="multilevel"/>
    <w:tmpl w:val="872652A6"/>
    <w:lvl w:ilvl="0">
      <w:start w:val="1"/>
      <w:numFmt w:val="decimal"/>
      <w:pStyle w:val="ParaNoNdepar-Alt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775"/>
    <w:rsid w:val="00000ED4"/>
    <w:rsid w:val="00013E7A"/>
    <w:rsid w:val="00023FC7"/>
    <w:rsid w:val="00025198"/>
    <w:rsid w:val="00045BFF"/>
    <w:rsid w:val="000477DB"/>
    <w:rsid w:val="000578A3"/>
    <w:rsid w:val="000648CC"/>
    <w:rsid w:val="00092ED2"/>
    <w:rsid w:val="000C59B8"/>
    <w:rsid w:val="000C6AF0"/>
    <w:rsid w:val="000D0A77"/>
    <w:rsid w:val="000D0FBA"/>
    <w:rsid w:val="000F7993"/>
    <w:rsid w:val="00104F33"/>
    <w:rsid w:val="00111DE2"/>
    <w:rsid w:val="00116B38"/>
    <w:rsid w:val="00135406"/>
    <w:rsid w:val="00135972"/>
    <w:rsid w:val="001426A9"/>
    <w:rsid w:val="00154D7C"/>
    <w:rsid w:val="001570B0"/>
    <w:rsid w:val="0015752C"/>
    <w:rsid w:val="00157737"/>
    <w:rsid w:val="00165277"/>
    <w:rsid w:val="00170592"/>
    <w:rsid w:val="001720F7"/>
    <w:rsid w:val="00173B9C"/>
    <w:rsid w:val="00195D83"/>
    <w:rsid w:val="001A00C1"/>
    <w:rsid w:val="001A631D"/>
    <w:rsid w:val="001B33E0"/>
    <w:rsid w:val="001B4573"/>
    <w:rsid w:val="001C2063"/>
    <w:rsid w:val="001C779F"/>
    <w:rsid w:val="001D2AC1"/>
    <w:rsid w:val="001D4E88"/>
    <w:rsid w:val="001E1AB1"/>
    <w:rsid w:val="0021471D"/>
    <w:rsid w:val="00220FC2"/>
    <w:rsid w:val="002222F4"/>
    <w:rsid w:val="00224FC0"/>
    <w:rsid w:val="00225EA4"/>
    <w:rsid w:val="00226EAF"/>
    <w:rsid w:val="00231F3A"/>
    <w:rsid w:val="002406EE"/>
    <w:rsid w:val="00243EC8"/>
    <w:rsid w:val="00253B34"/>
    <w:rsid w:val="00270D93"/>
    <w:rsid w:val="002745CC"/>
    <w:rsid w:val="002A68E4"/>
    <w:rsid w:val="002B6FBE"/>
    <w:rsid w:val="002B7924"/>
    <w:rsid w:val="002C10A6"/>
    <w:rsid w:val="002C3B94"/>
    <w:rsid w:val="002D28C3"/>
    <w:rsid w:val="002D39A4"/>
    <w:rsid w:val="002E6705"/>
    <w:rsid w:val="002F5B58"/>
    <w:rsid w:val="002F605C"/>
    <w:rsid w:val="0030329A"/>
    <w:rsid w:val="0031086F"/>
    <w:rsid w:val="0031414C"/>
    <w:rsid w:val="00314E01"/>
    <w:rsid w:val="0032089D"/>
    <w:rsid w:val="003310DE"/>
    <w:rsid w:val="003323B0"/>
    <w:rsid w:val="00340A49"/>
    <w:rsid w:val="0035169A"/>
    <w:rsid w:val="0035259D"/>
    <w:rsid w:val="00364B18"/>
    <w:rsid w:val="00374D52"/>
    <w:rsid w:val="003909EE"/>
    <w:rsid w:val="003971DD"/>
    <w:rsid w:val="003A125D"/>
    <w:rsid w:val="003A3CE4"/>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B3890"/>
    <w:rsid w:val="004C478D"/>
    <w:rsid w:val="004D7D95"/>
    <w:rsid w:val="004E2C26"/>
    <w:rsid w:val="005076BD"/>
    <w:rsid w:val="005125A8"/>
    <w:rsid w:val="0051316F"/>
    <w:rsid w:val="00517549"/>
    <w:rsid w:val="00520ABC"/>
    <w:rsid w:val="00521AE8"/>
    <w:rsid w:val="00527180"/>
    <w:rsid w:val="00555291"/>
    <w:rsid w:val="00561856"/>
    <w:rsid w:val="00566AD1"/>
    <w:rsid w:val="005736C3"/>
    <w:rsid w:val="005829B0"/>
    <w:rsid w:val="00583EDE"/>
    <w:rsid w:val="005A6079"/>
    <w:rsid w:val="005D360D"/>
    <w:rsid w:val="005E4698"/>
    <w:rsid w:val="00603924"/>
    <w:rsid w:val="00605B76"/>
    <w:rsid w:val="00610539"/>
    <w:rsid w:val="00613969"/>
    <w:rsid w:val="00622478"/>
    <w:rsid w:val="00625C35"/>
    <w:rsid w:val="00633C52"/>
    <w:rsid w:val="00647E49"/>
    <w:rsid w:val="00656313"/>
    <w:rsid w:val="006565F4"/>
    <w:rsid w:val="00675C8E"/>
    <w:rsid w:val="00684EEA"/>
    <w:rsid w:val="0069200F"/>
    <w:rsid w:val="00692531"/>
    <w:rsid w:val="0069689B"/>
    <w:rsid w:val="006B5FF5"/>
    <w:rsid w:val="006C4CC1"/>
    <w:rsid w:val="006F30AF"/>
    <w:rsid w:val="00701759"/>
    <w:rsid w:val="00705C15"/>
    <w:rsid w:val="007110F6"/>
    <w:rsid w:val="007208D1"/>
    <w:rsid w:val="0072577E"/>
    <w:rsid w:val="00744518"/>
    <w:rsid w:val="00747288"/>
    <w:rsid w:val="00747DD3"/>
    <w:rsid w:val="007549C8"/>
    <w:rsid w:val="0075777E"/>
    <w:rsid w:val="0076100E"/>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4F73"/>
    <w:rsid w:val="00864C8A"/>
    <w:rsid w:val="00864CF8"/>
    <w:rsid w:val="00874914"/>
    <w:rsid w:val="00891422"/>
    <w:rsid w:val="00892E1A"/>
    <w:rsid w:val="008B660A"/>
    <w:rsid w:val="008C01DA"/>
    <w:rsid w:val="008E5149"/>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41805"/>
    <w:rsid w:val="00A51882"/>
    <w:rsid w:val="00A52AFB"/>
    <w:rsid w:val="00A548CB"/>
    <w:rsid w:val="00A5521C"/>
    <w:rsid w:val="00A643E7"/>
    <w:rsid w:val="00A73C38"/>
    <w:rsid w:val="00A90CB4"/>
    <w:rsid w:val="00A921A7"/>
    <w:rsid w:val="00AA4A93"/>
    <w:rsid w:val="00AB670D"/>
    <w:rsid w:val="00AE70F9"/>
    <w:rsid w:val="00AF03C5"/>
    <w:rsid w:val="00B000D8"/>
    <w:rsid w:val="00B00F75"/>
    <w:rsid w:val="00B07009"/>
    <w:rsid w:val="00B145B6"/>
    <w:rsid w:val="00B279EB"/>
    <w:rsid w:val="00B50C81"/>
    <w:rsid w:val="00B557F8"/>
    <w:rsid w:val="00B815FC"/>
    <w:rsid w:val="00B93FBC"/>
    <w:rsid w:val="00BA7DA0"/>
    <w:rsid w:val="00BB2EE4"/>
    <w:rsid w:val="00BB4C92"/>
    <w:rsid w:val="00BB56AE"/>
    <w:rsid w:val="00BC2108"/>
    <w:rsid w:val="00BD0E9E"/>
    <w:rsid w:val="00BD1BEC"/>
    <w:rsid w:val="00BD32FF"/>
    <w:rsid w:val="00BE019F"/>
    <w:rsid w:val="00BF6FE9"/>
    <w:rsid w:val="00C02092"/>
    <w:rsid w:val="00C24D91"/>
    <w:rsid w:val="00C26DB2"/>
    <w:rsid w:val="00C53F14"/>
    <w:rsid w:val="00C600CF"/>
    <w:rsid w:val="00C6084F"/>
    <w:rsid w:val="00C62A66"/>
    <w:rsid w:val="00C66359"/>
    <w:rsid w:val="00C71458"/>
    <w:rsid w:val="00C77613"/>
    <w:rsid w:val="00C828E7"/>
    <w:rsid w:val="00C86719"/>
    <w:rsid w:val="00C921DD"/>
    <w:rsid w:val="00CA6391"/>
    <w:rsid w:val="00CE036E"/>
    <w:rsid w:val="00CE3171"/>
    <w:rsid w:val="00CF1601"/>
    <w:rsid w:val="00CF53F3"/>
    <w:rsid w:val="00D0172F"/>
    <w:rsid w:val="00D01E33"/>
    <w:rsid w:val="00D068A7"/>
    <w:rsid w:val="00D17476"/>
    <w:rsid w:val="00D17B0E"/>
    <w:rsid w:val="00D32086"/>
    <w:rsid w:val="00D37A3F"/>
    <w:rsid w:val="00D4431D"/>
    <w:rsid w:val="00D4667A"/>
    <w:rsid w:val="00D63A1C"/>
    <w:rsid w:val="00D7516F"/>
    <w:rsid w:val="00D95F8E"/>
    <w:rsid w:val="00DA01B5"/>
    <w:rsid w:val="00DA0590"/>
    <w:rsid w:val="00DA3573"/>
    <w:rsid w:val="00DC1739"/>
    <w:rsid w:val="00DC1788"/>
    <w:rsid w:val="00DE319C"/>
    <w:rsid w:val="00DE33B1"/>
    <w:rsid w:val="00DF0CA8"/>
    <w:rsid w:val="00DF2B48"/>
    <w:rsid w:val="00DF49A7"/>
    <w:rsid w:val="00DF55E7"/>
    <w:rsid w:val="00E07EE2"/>
    <w:rsid w:val="00E07FD1"/>
    <w:rsid w:val="00E24573"/>
    <w:rsid w:val="00E25E1E"/>
    <w:rsid w:val="00E27EE7"/>
    <w:rsid w:val="00E35404"/>
    <w:rsid w:val="00E45109"/>
    <w:rsid w:val="00E47B7A"/>
    <w:rsid w:val="00E56A44"/>
    <w:rsid w:val="00E60269"/>
    <w:rsid w:val="00E71946"/>
    <w:rsid w:val="00E97830"/>
    <w:rsid w:val="00EB05EA"/>
    <w:rsid w:val="00EE0830"/>
    <w:rsid w:val="00EE6CB8"/>
    <w:rsid w:val="00EF0683"/>
    <w:rsid w:val="00F0070C"/>
    <w:rsid w:val="00F00EB7"/>
    <w:rsid w:val="00F36AB6"/>
    <w:rsid w:val="00F37A09"/>
    <w:rsid w:val="00F409CE"/>
    <w:rsid w:val="00F4379D"/>
    <w:rsid w:val="00F4497E"/>
    <w:rsid w:val="00F50D2D"/>
    <w:rsid w:val="00F53694"/>
    <w:rsid w:val="00F56C8B"/>
    <w:rsid w:val="00F62639"/>
    <w:rsid w:val="00F66810"/>
    <w:rsid w:val="00F84DF4"/>
    <w:rsid w:val="00F85C97"/>
    <w:rsid w:val="00F92104"/>
    <w:rsid w:val="00FB37D2"/>
    <w:rsid w:val="00FC273E"/>
    <w:rsid w:val="00FC4EFB"/>
    <w:rsid w:val="00FD068D"/>
    <w:rsid w:val="00FD4F28"/>
    <w:rsid w:val="00FE6784"/>
    <w:rsid w:val="00FE7A8B"/>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3A3CE4"/>
    <w:pPr>
      <w:numPr>
        <w:numId w:val="1"/>
      </w:numPr>
      <w:tabs>
        <w:tab w:val="left" w:pos="1166"/>
      </w:tabs>
      <w:spacing w:before="480" w:after="480" w:line="480" w:lineRule="auto"/>
      <w:jc w:val="both"/>
    </w:pPr>
    <w:rPr>
      <w:rFonts w:eastAsiaTheme="minorEastAsia" w:cstheme="minorBidi"/>
      <w:sz w:val="24"/>
      <w:szCs w:val="22"/>
      <w:lang w:eastAsia="en-US"/>
    </w:rPr>
  </w:style>
  <w:style w:type="table" w:customStyle="1" w:styleId="TableGrid1">
    <w:name w:val="Table Grid1"/>
    <w:basedOn w:val="TableNormal"/>
    <w:next w:val="TableGrid"/>
    <w:uiPriority w:val="59"/>
    <w:rsid w:val="004B3890"/>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4B389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4B3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2021-02-27T23:46:00Z</dcterms:created>
  <dcterms:modified xsi:type="dcterms:W3CDTF">2021-03-01T18:55:00Z</dcterms:modified>
</cp:coreProperties>
</file>