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04" w:rsidRPr="00A10B04" w:rsidRDefault="00A10B04" w:rsidP="003F4289">
      <w:pPr>
        <w:tabs>
          <w:tab w:val="center" w:pos="4680"/>
          <w:tab w:val="right" w:pos="9360"/>
        </w:tabs>
        <w:jc w:val="center"/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szCs w:val="24"/>
          <w:lang w:val="fr-CA" w:eastAsia="en-US"/>
        </w:rPr>
        <w:ptab w:relativeTo="margin" w:alignment="center" w:leader="none"/>
      </w:r>
      <w:r w:rsidRPr="00A10B04">
        <w:rPr>
          <w:rFonts w:eastAsia="Calibri"/>
          <w:szCs w:val="24"/>
          <w:lang w:val="fr-CA" w:eastAsia="en-US"/>
        </w:rPr>
        <w:t xml:space="preserve"> </w:t>
      </w:r>
      <w:bookmarkStart w:id="0" w:name="_GoBack"/>
      <w:r w:rsidRPr="00A10B04">
        <w:rPr>
          <w:rFonts w:eastAsia="Calibr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4.8pt" o:ole="">
            <v:imagedata r:id="rId6" o:title=""/>
          </v:shape>
          <o:OLEObject Type="Embed" ProgID="Presentations.Drawing.13" ShapeID="_x0000_i1025" DrawAspect="Content" ObjectID="_1676112670" r:id="rId7"/>
        </w:object>
      </w:r>
      <w:bookmarkEnd w:id="0"/>
      <w:r w:rsidRPr="00A10B04">
        <w:rPr>
          <w:rFonts w:eastAsia="Calibri"/>
          <w:szCs w:val="24"/>
          <w:lang w:val="fr-CA" w:eastAsia="en-US"/>
        </w:rPr>
        <w:t xml:space="preserve"> </w:t>
      </w:r>
      <w:r w:rsidRPr="00A10B04">
        <w:rPr>
          <w:rFonts w:eastAsia="Calibri"/>
          <w:szCs w:val="24"/>
          <w:lang w:val="fr-CA" w:eastAsia="en-US"/>
        </w:rPr>
        <w:ptab w:relativeTo="margin" w:alignment="right" w:leader="none"/>
      </w:r>
    </w:p>
    <w:p w:rsidR="00A10B04" w:rsidRPr="00A10B04" w:rsidRDefault="00A10B04" w:rsidP="00A10B04">
      <w:pPr>
        <w:tabs>
          <w:tab w:val="center" w:pos="4680"/>
          <w:tab w:val="right" w:pos="9360"/>
        </w:tabs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jc w:val="center"/>
        <w:rPr>
          <w:rFonts w:eastAsia="Calibri"/>
          <w:b/>
          <w:szCs w:val="24"/>
          <w:lang w:val="fr-CA" w:eastAsia="en-US"/>
        </w:rPr>
      </w:pPr>
      <w:r w:rsidRPr="00A10B04">
        <w:rPr>
          <w:rFonts w:eastAsia="Calibri"/>
          <w:b/>
          <w:szCs w:val="24"/>
          <w:lang w:val="fr-CA" w:eastAsia="en-US"/>
        </w:rPr>
        <w:t>COUR SUPRÊME DU CANADA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tbl>
      <w:tblPr>
        <w:tblStyle w:val="TableGrid11"/>
        <w:tblW w:w="53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1"/>
        <w:gridCol w:w="1757"/>
        <w:gridCol w:w="3385"/>
      </w:tblGrid>
      <w:tr w:rsidR="00A10B04" w:rsidRPr="00A10B04" w:rsidTr="00FD0877">
        <w:tc>
          <w:tcPr>
            <w:tcW w:w="2112" w:type="pct"/>
            <w:tcMar>
              <w:top w:w="284" w:type="dxa"/>
            </w:tcMar>
          </w:tcPr>
          <w:p w:rsidR="00A10B04" w:rsidRPr="00A10B04" w:rsidRDefault="00A10B04" w:rsidP="00A10B04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A10B04">
              <w:rPr>
                <w:b/>
                <w:smallCaps/>
                <w:szCs w:val="24"/>
                <w:lang w:val="fr-CA"/>
              </w:rPr>
              <w:t>Référence</w:t>
            </w:r>
            <w:r w:rsidRPr="00A10B04">
              <w:rPr>
                <w:smallCaps/>
                <w:szCs w:val="24"/>
                <w:lang w:val="fr-CA"/>
              </w:rPr>
              <w:t> </w:t>
            </w:r>
            <w:r w:rsidRPr="00A10B04">
              <w:rPr>
                <w:b/>
                <w:smallCaps/>
                <w:szCs w:val="24"/>
                <w:lang w:val="fr-CA"/>
              </w:rPr>
              <w:t>:</w:t>
            </w:r>
            <w:r w:rsidRPr="00A10B04">
              <w:rPr>
                <w:szCs w:val="24"/>
                <w:lang w:val="fr-CA"/>
              </w:rPr>
              <w:t xml:space="preserve"> </w:t>
            </w:r>
            <w:r w:rsidRPr="00A10B04">
              <w:rPr>
                <w:rFonts w:eastAsia="Calibri"/>
                <w:lang w:val="fr-CA"/>
              </w:rPr>
              <w:t xml:space="preserve">R. </w:t>
            </w:r>
            <w:r w:rsidRPr="00A10B04">
              <w:rPr>
                <w:rFonts w:eastAsia="Calibri"/>
                <w:i/>
                <w:lang w:val="fr-CA"/>
              </w:rPr>
              <w:t>c.</w:t>
            </w:r>
            <w:r w:rsidRPr="00A10B04">
              <w:rPr>
                <w:rFonts w:eastAsia="Calibri"/>
                <w:lang w:val="fr-CA"/>
              </w:rPr>
              <w:t xml:space="preserve"> Omar,</w:t>
            </w:r>
            <w:r w:rsidRPr="00A10B04">
              <w:rPr>
                <w:rFonts w:eastAsia="Calibri"/>
                <w:smallCaps/>
                <w:lang w:val="fr-CA"/>
              </w:rPr>
              <w:t xml:space="preserve"> </w:t>
            </w:r>
            <w:r w:rsidRPr="00A10B04">
              <w:rPr>
                <w:smallCaps/>
                <w:szCs w:val="24"/>
                <w:lang w:val="fr-CA"/>
              </w:rPr>
              <w:t>2019 CSC 32, [2019] 2 R.C.S. 576</w:t>
            </w:r>
          </w:p>
        </w:tc>
        <w:tc>
          <w:tcPr>
            <w:tcW w:w="987" w:type="pct"/>
          </w:tcPr>
          <w:p w:rsidR="00A10B04" w:rsidRPr="00A10B04" w:rsidRDefault="00A10B04" w:rsidP="00A10B04">
            <w:pPr>
              <w:rPr>
                <w:smallCaps/>
                <w:szCs w:val="24"/>
                <w:lang w:val="fr-CA"/>
              </w:rPr>
            </w:pPr>
          </w:p>
        </w:tc>
        <w:tc>
          <w:tcPr>
            <w:tcW w:w="1901" w:type="pct"/>
            <w:tcMar>
              <w:top w:w="284" w:type="dxa"/>
            </w:tcMar>
          </w:tcPr>
          <w:p w:rsidR="00A10B04" w:rsidRPr="00A10B04" w:rsidRDefault="00A10B04" w:rsidP="00A10B04">
            <w:pPr>
              <w:rPr>
                <w:szCs w:val="24"/>
                <w:lang w:val="fr-CA"/>
              </w:rPr>
            </w:pPr>
            <w:r w:rsidRPr="00A10B04">
              <w:rPr>
                <w:b/>
                <w:smallCaps/>
                <w:szCs w:val="24"/>
                <w:lang w:val="fr-CA"/>
              </w:rPr>
              <w:t>Appel entendu :</w:t>
            </w:r>
            <w:r w:rsidRPr="00A10B04">
              <w:rPr>
                <w:szCs w:val="24"/>
                <w:lang w:val="fr-CA"/>
              </w:rPr>
              <w:t xml:space="preserve"> 22 mai 2019</w:t>
            </w:r>
          </w:p>
          <w:p w:rsidR="00A10B04" w:rsidRPr="00A10B04" w:rsidRDefault="00A10B04" w:rsidP="00A10B04">
            <w:pPr>
              <w:rPr>
                <w:smallCaps/>
                <w:szCs w:val="24"/>
                <w:lang w:val="fr-CA"/>
              </w:rPr>
            </w:pPr>
            <w:r w:rsidRPr="00A10B04">
              <w:rPr>
                <w:b/>
                <w:smallCaps/>
                <w:szCs w:val="24"/>
                <w:lang w:val="fr-CA"/>
              </w:rPr>
              <w:t>Jugement rendu</w:t>
            </w:r>
            <w:r w:rsidRPr="00A10B04">
              <w:rPr>
                <w:smallCaps/>
                <w:szCs w:val="24"/>
                <w:lang w:val="fr-CA"/>
              </w:rPr>
              <w:t> </w:t>
            </w:r>
            <w:r w:rsidRPr="00A10B04">
              <w:rPr>
                <w:b/>
                <w:smallCaps/>
                <w:szCs w:val="24"/>
                <w:lang w:val="fr-CA"/>
              </w:rPr>
              <w:t>:</w:t>
            </w:r>
            <w:r w:rsidRPr="00A10B04">
              <w:rPr>
                <w:smallCaps/>
                <w:szCs w:val="24"/>
                <w:lang w:val="fr-CA"/>
              </w:rPr>
              <w:t xml:space="preserve"> </w:t>
            </w:r>
            <w:r w:rsidRPr="00A10B04">
              <w:rPr>
                <w:szCs w:val="24"/>
                <w:lang w:val="fr-CA"/>
              </w:rPr>
              <w:t>22 mai 2019</w:t>
            </w:r>
          </w:p>
          <w:p w:rsidR="00A10B04" w:rsidRPr="00A10B04" w:rsidRDefault="00A10B04" w:rsidP="00A10B04">
            <w:pPr>
              <w:rPr>
                <w:rFonts w:eastAsia="Calibri"/>
                <w:szCs w:val="24"/>
                <w:lang w:val="fr-CA"/>
              </w:rPr>
            </w:pPr>
            <w:r w:rsidRPr="00A10B04">
              <w:rPr>
                <w:smallCaps/>
                <w:szCs w:val="24"/>
                <w:lang w:val="fr-CA"/>
              </w:rPr>
              <w:t>Dossier :</w:t>
            </w:r>
            <w:r w:rsidRPr="00A10B04">
              <w:rPr>
                <w:szCs w:val="24"/>
                <w:lang w:val="fr-CA"/>
              </w:rPr>
              <w:t xml:space="preserve"> 38461</w:t>
            </w:r>
          </w:p>
        </w:tc>
      </w:tr>
    </w:tbl>
    <w:p w:rsidR="00A10B04" w:rsidRPr="00A10B04" w:rsidRDefault="00A10B04" w:rsidP="00A10B04">
      <w:pPr>
        <w:rPr>
          <w:rFonts w:eastAsia="Calibri"/>
          <w:b/>
          <w:smallCaps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b/>
          <w:smallCaps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b/>
          <w:smallCaps/>
          <w:szCs w:val="24"/>
          <w:lang w:val="fr-CA" w:eastAsia="en-US"/>
        </w:rPr>
      </w:pPr>
      <w:r w:rsidRPr="00A10B04">
        <w:rPr>
          <w:rFonts w:eastAsia="Calibri"/>
          <w:b/>
          <w:smallCaps/>
          <w:szCs w:val="24"/>
          <w:lang w:val="fr-CA" w:eastAsia="en-US"/>
        </w:rPr>
        <w:t>Entre :</w:t>
      </w:r>
    </w:p>
    <w:p w:rsidR="00A10B04" w:rsidRPr="00A10B04" w:rsidRDefault="00A10B04" w:rsidP="00A10B04">
      <w:pPr>
        <w:jc w:val="center"/>
        <w:rPr>
          <w:rFonts w:eastAsia="Calibri"/>
          <w:b/>
          <w:szCs w:val="24"/>
          <w:lang w:val="fr-CA" w:eastAsia="en-US"/>
        </w:rPr>
      </w:pPr>
      <w:r w:rsidRPr="00A10B04">
        <w:rPr>
          <w:rFonts w:eastAsia="Calibri"/>
          <w:b/>
          <w:szCs w:val="24"/>
          <w:lang w:val="fr-CA" w:eastAsia="en-US"/>
        </w:rPr>
        <w:t>Sa Majesté la Reine</w:t>
      </w:r>
    </w:p>
    <w:p w:rsidR="00A10B04" w:rsidRPr="00A10B04" w:rsidRDefault="00A10B04" w:rsidP="00A10B04">
      <w:pPr>
        <w:jc w:val="center"/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szCs w:val="24"/>
          <w:lang w:val="fr-CA" w:eastAsia="en-US"/>
        </w:rPr>
        <w:t>Appelante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jc w:val="center"/>
        <w:rPr>
          <w:rFonts w:eastAsia="Calibri"/>
          <w:szCs w:val="24"/>
          <w:lang w:val="fr-CA" w:eastAsia="en-US"/>
        </w:rPr>
      </w:pPr>
      <w:proofErr w:type="gramStart"/>
      <w:r w:rsidRPr="00A10B04">
        <w:rPr>
          <w:rFonts w:eastAsia="Calibri"/>
          <w:szCs w:val="24"/>
          <w:lang w:val="fr-CA" w:eastAsia="en-US"/>
        </w:rPr>
        <w:t>et</w:t>
      </w:r>
      <w:proofErr w:type="gramEnd"/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jc w:val="center"/>
        <w:rPr>
          <w:rFonts w:eastAsia="Calibri"/>
          <w:b/>
          <w:szCs w:val="24"/>
          <w:lang w:val="fr-CA" w:eastAsia="en-US"/>
        </w:rPr>
      </w:pPr>
      <w:r w:rsidRPr="00A10B04">
        <w:rPr>
          <w:rFonts w:eastAsia="Calibri"/>
          <w:b/>
          <w:szCs w:val="24"/>
          <w:lang w:val="fr-CA" w:eastAsia="en-US"/>
        </w:rPr>
        <w:t xml:space="preserve">Omar Muhammad Omar </w:t>
      </w:r>
    </w:p>
    <w:p w:rsidR="00A10B04" w:rsidRPr="00A10B04" w:rsidRDefault="00A10B04" w:rsidP="00A10B04">
      <w:pPr>
        <w:jc w:val="center"/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szCs w:val="24"/>
          <w:lang w:val="fr-CA" w:eastAsia="en-US"/>
        </w:rPr>
        <w:t>Intimé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jc w:val="center"/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szCs w:val="24"/>
          <w:lang w:val="fr-CA" w:eastAsia="en-US"/>
        </w:rPr>
        <w:t>- et -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jc w:val="center"/>
        <w:rPr>
          <w:rFonts w:eastAsia="Calibri"/>
          <w:b/>
          <w:szCs w:val="24"/>
          <w:lang w:val="fr-CA" w:eastAsia="en-US"/>
        </w:rPr>
      </w:pPr>
      <w:r w:rsidRPr="00A10B04">
        <w:rPr>
          <w:rFonts w:eastAsia="Calibri"/>
          <w:b/>
          <w:szCs w:val="24"/>
          <w:lang w:val="fr-CA" w:eastAsia="en-US"/>
        </w:rPr>
        <w:t>Criminal Lawyers’ Association (Ontario)</w:t>
      </w:r>
    </w:p>
    <w:p w:rsidR="00A10B04" w:rsidRPr="00A10B04" w:rsidRDefault="00A10B04" w:rsidP="00A10B04">
      <w:pPr>
        <w:jc w:val="center"/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szCs w:val="24"/>
          <w:lang w:val="fr-CA" w:eastAsia="en-US"/>
        </w:rPr>
        <w:t>Intervenante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jc w:val="center"/>
        <w:rPr>
          <w:rFonts w:eastAsia="Calibri"/>
          <w:b/>
          <w:smallCaps/>
          <w:szCs w:val="24"/>
          <w:lang w:val="fr-CA" w:eastAsia="en-US"/>
        </w:rPr>
      </w:pPr>
      <w:r w:rsidRPr="00A10B04">
        <w:rPr>
          <w:rFonts w:eastAsia="Calibri"/>
          <w:b/>
          <w:smallCaps/>
          <w:szCs w:val="24"/>
          <w:lang w:val="fr-CA" w:eastAsia="en-US"/>
        </w:rPr>
        <w:t>Traduction française officielle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b/>
          <w:smallCaps/>
          <w:szCs w:val="24"/>
          <w:lang w:val="fr-CA" w:eastAsia="en-US"/>
        </w:rPr>
        <w:t>Coram :</w:t>
      </w:r>
      <w:r w:rsidRPr="00A10B04">
        <w:rPr>
          <w:rFonts w:eastAsia="Calibri"/>
          <w:szCs w:val="24"/>
          <w:lang w:val="fr-CA" w:eastAsia="en-US"/>
        </w:rPr>
        <w:t xml:space="preserve"> Le juge en chef Wagner et les juges Moldaver, Karakatsanis, Côté, Brown, Rowe et Martin </w: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A10B04" w:rsidRPr="003F4289" w:rsidTr="00FD0877">
        <w:trPr>
          <w:cantSplit/>
        </w:trPr>
        <w:tc>
          <w:tcPr>
            <w:tcW w:w="3618" w:type="dxa"/>
          </w:tcPr>
          <w:p w:rsidR="00A10B04" w:rsidRPr="00A10B04" w:rsidRDefault="00A10B04" w:rsidP="00A10B04">
            <w:pPr>
              <w:rPr>
                <w:b/>
                <w:smallCaps/>
                <w:lang w:val="fr-CA"/>
              </w:rPr>
            </w:pPr>
            <w:r w:rsidRPr="00A10B04">
              <w:rPr>
                <w:b/>
                <w:smallCaps/>
                <w:lang w:val="fr-CA"/>
              </w:rPr>
              <w:t>Motifs de jugement :</w:t>
            </w:r>
          </w:p>
          <w:p w:rsidR="00A10B04" w:rsidRPr="00A10B04" w:rsidRDefault="00A10B04" w:rsidP="00A10B04">
            <w:pPr>
              <w:rPr>
                <w:lang w:val="fr-CA"/>
              </w:rPr>
            </w:pPr>
            <w:r w:rsidRPr="00A10B04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A10B04" w:rsidRPr="00A10B04" w:rsidRDefault="00A10B04" w:rsidP="00A10B04">
            <w:pPr>
              <w:rPr>
                <w:lang w:val="fr-CA"/>
              </w:rPr>
            </w:pPr>
            <w:r w:rsidRPr="00A10B04">
              <w:rPr>
                <w:lang w:val="fr-CA"/>
              </w:rPr>
              <w:t>Le juge Brown (avec l’accord du juge en chef Wagner et des juges Moldaver, Karakatsanis, Côté, Rowe et Martin)</w:t>
            </w:r>
          </w:p>
        </w:tc>
      </w:tr>
    </w:tbl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  <w:r w:rsidRPr="00A10B04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43A0" wp14:editId="777A10E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DA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A10B04" w:rsidRPr="00A10B04" w:rsidRDefault="00A10B04" w:rsidP="00A10B04">
      <w:pPr>
        <w:rPr>
          <w:rFonts w:eastAsia="Calibri"/>
          <w:szCs w:val="24"/>
          <w:lang w:val="fr-CA" w:eastAsia="en-US"/>
        </w:rPr>
      </w:pPr>
    </w:p>
    <w:p w:rsidR="004D7D95" w:rsidRPr="00A10B04" w:rsidRDefault="00FC30DA" w:rsidP="004D7D95">
      <w:pPr>
        <w:jc w:val="both"/>
        <w:rPr>
          <w:b/>
          <w:lang w:val="fr-CA"/>
        </w:rPr>
      </w:pPr>
      <w:r w:rsidRPr="00A10B04">
        <w:rPr>
          <w:rStyle w:val="SCCAppellantForIndexChar"/>
          <w:b w:val="0"/>
          <w:lang w:val="fr-CA"/>
        </w:rPr>
        <w:t>R.</w:t>
      </w:r>
      <w:r w:rsidRPr="00A10B04">
        <w:rPr>
          <w:b/>
          <w:lang w:val="fr-CA"/>
        </w:rPr>
        <w:t xml:space="preserve"> </w:t>
      </w:r>
      <w:r w:rsidRPr="00A10B04">
        <w:rPr>
          <w:i/>
          <w:lang w:val="fr-CA"/>
        </w:rPr>
        <w:t>c.</w:t>
      </w:r>
      <w:r w:rsidRPr="00A10B04">
        <w:rPr>
          <w:b/>
          <w:lang w:val="fr-CA"/>
        </w:rPr>
        <w:t xml:space="preserve"> </w:t>
      </w:r>
      <w:r w:rsidRPr="00A10B04">
        <w:rPr>
          <w:rStyle w:val="SCCRespondentForIndexChar"/>
          <w:b w:val="0"/>
          <w:lang w:val="fr-CA"/>
        </w:rPr>
        <w:t>Omar, 2019 CSC 32, [2019] 2 R.C.S. 576</w:t>
      </w:r>
    </w:p>
    <w:p w:rsidR="004D7D95" w:rsidRPr="00A10B04" w:rsidRDefault="004D7D95" w:rsidP="004D7D95">
      <w:pPr>
        <w:jc w:val="both"/>
        <w:rPr>
          <w:lang w:val="fr-CA"/>
        </w:rPr>
      </w:pPr>
    </w:p>
    <w:p w:rsidR="004D7D95" w:rsidRPr="00A10B04" w:rsidRDefault="004D7D95" w:rsidP="004D7D95">
      <w:pPr>
        <w:jc w:val="both"/>
        <w:rPr>
          <w:lang w:val="fr-CA"/>
        </w:rPr>
      </w:pPr>
    </w:p>
    <w:p w:rsidR="00D320D0" w:rsidRPr="008F5391" w:rsidRDefault="008F5391">
      <w:pPr>
        <w:pStyle w:val="SCCLsocLastPartyInRole"/>
        <w:rPr>
          <w:lang w:val="fr-CA"/>
        </w:rPr>
      </w:pPr>
      <w:r w:rsidRPr="008F5391">
        <w:rPr>
          <w:lang w:val="fr-CA"/>
        </w:rPr>
        <w:t>Sa Majesté la Reine</w:t>
      </w:r>
      <w:r w:rsidRPr="008F5391">
        <w:rPr>
          <w:rStyle w:val="SCCLsocPartyRole"/>
          <w:lang w:val="fr-CA"/>
        </w:rPr>
        <w:tab/>
        <w:t>Appelante</w:t>
      </w:r>
    </w:p>
    <w:p w:rsidR="00D320D0" w:rsidRPr="008F5391" w:rsidRDefault="008F5391">
      <w:pPr>
        <w:pStyle w:val="SCCLsocVersus"/>
        <w:rPr>
          <w:lang w:val="fr-CA"/>
        </w:rPr>
      </w:pPr>
      <w:proofErr w:type="gramStart"/>
      <w:r w:rsidRPr="008F5391">
        <w:rPr>
          <w:lang w:val="fr-CA"/>
        </w:rPr>
        <w:t>c</w:t>
      </w:r>
      <w:proofErr w:type="gramEnd"/>
      <w:r w:rsidRPr="008F5391">
        <w:rPr>
          <w:lang w:val="fr-CA"/>
        </w:rPr>
        <w:t>.</w:t>
      </w:r>
    </w:p>
    <w:p w:rsidR="00D320D0" w:rsidRPr="008F5391" w:rsidRDefault="008F5391">
      <w:pPr>
        <w:pStyle w:val="SCCLsocLastPartyInRole"/>
        <w:rPr>
          <w:lang w:val="fr-CA"/>
        </w:rPr>
      </w:pPr>
      <w:r w:rsidRPr="008F5391">
        <w:rPr>
          <w:lang w:val="fr-CA"/>
        </w:rPr>
        <w:lastRenderedPageBreak/>
        <w:t>Omar Muhammad Omar</w:t>
      </w:r>
      <w:r w:rsidR="005F2F1A">
        <w:rPr>
          <w:lang w:val="fr-CA"/>
        </w:rPr>
        <w:t xml:space="preserve"> </w:t>
      </w:r>
      <w:r w:rsidRPr="008F5391">
        <w:rPr>
          <w:rStyle w:val="SCCLsocPartyRole"/>
          <w:lang w:val="fr-CA"/>
        </w:rPr>
        <w:tab/>
        <w:t>Intimé</w:t>
      </w:r>
    </w:p>
    <w:p w:rsidR="00D320D0" w:rsidRPr="008F5391" w:rsidRDefault="008F5391">
      <w:pPr>
        <w:pStyle w:val="SCCLsocOtherPartySeparator"/>
        <w:rPr>
          <w:lang w:val="fr-CA"/>
        </w:rPr>
      </w:pPr>
      <w:proofErr w:type="gramStart"/>
      <w:r w:rsidRPr="008F5391">
        <w:rPr>
          <w:lang w:val="fr-CA"/>
        </w:rPr>
        <w:t>et</w:t>
      </w:r>
      <w:proofErr w:type="gramEnd"/>
    </w:p>
    <w:p w:rsidR="00D320D0" w:rsidRPr="008F5391" w:rsidRDefault="008F5391">
      <w:pPr>
        <w:pStyle w:val="SCCLsocLastPartyInRole"/>
        <w:rPr>
          <w:lang w:val="fr-CA"/>
        </w:rPr>
      </w:pPr>
      <w:r w:rsidRPr="008F5391">
        <w:rPr>
          <w:lang w:val="fr-CA"/>
        </w:rPr>
        <w:t>Criminal Lawyers</w:t>
      </w:r>
      <w:r>
        <w:rPr>
          <w:lang w:val="fr-CA"/>
        </w:rPr>
        <w:t>’</w:t>
      </w:r>
      <w:r w:rsidRPr="008F5391">
        <w:rPr>
          <w:lang w:val="fr-CA"/>
        </w:rPr>
        <w:t xml:space="preserve"> Association (Ontario)</w:t>
      </w:r>
      <w:r w:rsidRPr="008F5391">
        <w:rPr>
          <w:rStyle w:val="SCCLsocPartyRole"/>
          <w:lang w:val="fr-CA"/>
        </w:rPr>
        <w:tab/>
        <w:t>Intervenante</w:t>
      </w: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Pr="008F5391">
        <w:rPr>
          <w:rStyle w:val="SCCAppellantForIndexChar"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Pr="008F5391">
        <w:rPr>
          <w:rStyle w:val="SCCRespondentForIndexChar"/>
          <w:lang w:val="fr-CA"/>
        </w:rPr>
        <w:t>Omar</w:t>
      </w: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D17B0E" w:rsidP="004D7D95">
      <w:pPr>
        <w:pStyle w:val="SCCSystemYear"/>
        <w:jc w:val="both"/>
        <w:rPr>
          <w:lang w:val="fr-CA"/>
        </w:rPr>
      </w:pPr>
      <w:r w:rsidRPr="008F5391">
        <w:rPr>
          <w:lang w:val="fr-CA"/>
        </w:rPr>
        <w:t>2019</w:t>
      </w:r>
      <w:r w:rsidR="004D7D95" w:rsidRPr="008F5391">
        <w:rPr>
          <w:lang w:val="fr-CA"/>
        </w:rPr>
        <w:t xml:space="preserve"> CSC </w:t>
      </w:r>
      <w:r w:rsidR="008F5391">
        <w:rPr>
          <w:lang w:val="fr-CA"/>
        </w:rPr>
        <w:t>32</w:t>
      </w: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  <w:r w:rsidRPr="008F5391">
        <w:rPr>
          <w:lang w:val="fr-CA"/>
        </w:rPr>
        <w:t>N</w:t>
      </w:r>
      <w:r w:rsidRPr="008F5391">
        <w:rPr>
          <w:vertAlign w:val="superscript"/>
          <w:lang w:val="fr-CA"/>
        </w:rPr>
        <w:t>o</w:t>
      </w:r>
      <w:r w:rsidRPr="008F5391">
        <w:rPr>
          <w:lang w:val="fr-CA"/>
        </w:rPr>
        <w:t xml:space="preserve"> du greffe : 38461.</w:t>
      </w: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D17B0E" w:rsidP="004D7D95">
      <w:pPr>
        <w:jc w:val="both"/>
        <w:rPr>
          <w:lang w:val="fr-CA"/>
        </w:rPr>
      </w:pPr>
      <w:r w:rsidRPr="00473105">
        <w:rPr>
          <w:lang w:val="fr-CA"/>
        </w:rPr>
        <w:t>2019 : 2</w:t>
      </w:r>
      <w:r w:rsidR="00454242">
        <w:rPr>
          <w:lang w:val="fr-CA"/>
        </w:rPr>
        <w:t>2</w:t>
      </w:r>
      <w:r w:rsidRPr="00473105">
        <w:rPr>
          <w:lang w:val="fr-CA"/>
        </w:rPr>
        <w:t xml:space="preserve"> mai</w:t>
      </w:r>
      <w:r w:rsidR="008F5391" w:rsidRPr="00473105">
        <w:rPr>
          <w:lang w:val="fr-CA"/>
        </w:rPr>
        <w:t>.</w:t>
      </w: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</w:p>
    <w:p w:rsidR="004D7D95" w:rsidRPr="008F5391" w:rsidRDefault="004D7D95" w:rsidP="004D7D95">
      <w:pPr>
        <w:jc w:val="both"/>
        <w:rPr>
          <w:lang w:val="fr-CA"/>
        </w:rPr>
      </w:pPr>
      <w:r w:rsidRPr="008F5391">
        <w:rPr>
          <w:lang w:val="fr-CA"/>
        </w:rPr>
        <w:t>Présents : Le juge en chef Wagner et les juges Moldaver, Karakatsanis, Côté, Brown, Rowe et Martin.</w:t>
      </w:r>
    </w:p>
    <w:p w:rsidR="004D7D95" w:rsidRPr="008F5391" w:rsidRDefault="004D7D95" w:rsidP="004D7D95">
      <w:pPr>
        <w:jc w:val="both"/>
        <w:rPr>
          <w:lang w:val="fr-CA"/>
        </w:rPr>
      </w:pPr>
    </w:p>
    <w:p w:rsidR="00D320D0" w:rsidRDefault="00D320D0">
      <w:pPr>
        <w:rPr>
          <w:lang w:val="fr-CA"/>
        </w:rPr>
      </w:pPr>
    </w:p>
    <w:p w:rsidR="00333678" w:rsidRPr="008F5391" w:rsidRDefault="00333678">
      <w:pPr>
        <w:rPr>
          <w:lang w:val="fr-CA"/>
        </w:rPr>
      </w:pPr>
    </w:p>
    <w:p w:rsidR="004D7D95" w:rsidRPr="008F5391" w:rsidRDefault="004D7D95" w:rsidP="000F7993">
      <w:pPr>
        <w:jc w:val="both"/>
        <w:rPr>
          <w:smallCaps/>
          <w:lang w:val="fr-CA"/>
        </w:rPr>
      </w:pPr>
      <w:r w:rsidRPr="008F5391">
        <w:rPr>
          <w:smallCaps/>
          <w:lang w:val="fr-CA"/>
        </w:rPr>
        <w:t>en appel de la cour d</w:t>
      </w:r>
      <w:r w:rsidR="008F5391" w:rsidRPr="008F5391">
        <w:rPr>
          <w:smallCaps/>
          <w:lang w:val="fr-CA"/>
        </w:rPr>
        <w:t>’</w:t>
      </w:r>
      <w:r w:rsidRPr="008F5391">
        <w:rPr>
          <w:smallCaps/>
          <w:lang w:val="fr-CA"/>
        </w:rPr>
        <w:t xml:space="preserve">appel de </w:t>
      </w:r>
      <w:proofErr w:type="spellStart"/>
      <w:r w:rsidRPr="008F5391">
        <w:rPr>
          <w:smallCaps/>
          <w:lang w:val="fr-CA"/>
        </w:rPr>
        <w:t>l</w:t>
      </w:r>
      <w:r w:rsidR="008F5391" w:rsidRPr="008F5391">
        <w:rPr>
          <w:smallCaps/>
          <w:lang w:val="fr-CA"/>
        </w:rPr>
        <w:t>’</w:t>
      </w:r>
      <w:r w:rsidRPr="008F5391">
        <w:rPr>
          <w:smallCaps/>
          <w:lang w:val="fr-CA"/>
        </w:rPr>
        <w:t>ontario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A1690E" w:rsidRDefault="004D7D95" w:rsidP="004D7D95">
      <w:pPr>
        <w:pStyle w:val="SCCNormalDoubleSpacing"/>
        <w:rPr>
          <w:i/>
          <w:lang w:val="fr-CA"/>
        </w:rPr>
      </w:pPr>
      <w:r w:rsidRPr="00A1690E">
        <w:rPr>
          <w:lang w:val="fr-CA"/>
        </w:rPr>
        <w:tab/>
      </w:r>
      <w:r w:rsidR="00CC133A" w:rsidRPr="00A1690E">
        <w:rPr>
          <w:lang w:val="fr-CA"/>
        </w:rPr>
        <w:tab/>
      </w:r>
      <w:r w:rsidR="00CC133A" w:rsidRPr="00A1690E">
        <w:rPr>
          <w:i/>
          <w:lang w:val="fr-CA"/>
        </w:rPr>
        <w:t>Droit constitutionnel — Charte des droits — Réparation — Exclusion de la preuve</w:t>
      </w:r>
      <w:r w:rsidR="00CC133A" w:rsidRPr="00A1690E">
        <w:rPr>
          <w:lang w:val="fr-CA"/>
        </w:rPr>
        <w:t xml:space="preserve"> — </w:t>
      </w:r>
      <w:r w:rsidR="00CC133A" w:rsidRPr="00A1690E">
        <w:rPr>
          <w:i/>
          <w:lang w:val="fr-CA"/>
        </w:rPr>
        <w:t>Gravité d</w:t>
      </w:r>
      <w:r w:rsidR="002917B7" w:rsidRPr="00A1690E">
        <w:rPr>
          <w:i/>
          <w:lang w:val="fr-CA"/>
        </w:rPr>
        <w:t xml:space="preserve">e la conduite </w:t>
      </w:r>
      <w:r w:rsidR="00B926B1">
        <w:rPr>
          <w:i/>
          <w:lang w:val="fr-CA"/>
        </w:rPr>
        <w:t>étatique attentatoire à</w:t>
      </w:r>
      <w:r w:rsidR="00CC133A" w:rsidRPr="00A1690E">
        <w:rPr>
          <w:i/>
          <w:lang w:val="fr-CA"/>
        </w:rPr>
        <w:t xml:space="preserve"> la Charte</w:t>
      </w:r>
      <w:r w:rsidR="00CC133A" w:rsidRPr="00A1690E">
        <w:rPr>
          <w:lang w:val="fr-CA"/>
        </w:rPr>
        <w:t xml:space="preserve"> — </w:t>
      </w:r>
      <w:r w:rsidR="00CC133A" w:rsidRPr="00A1690E">
        <w:rPr>
          <w:i/>
          <w:lang w:val="fr-CA"/>
        </w:rPr>
        <w:t xml:space="preserve">Accusé trouvé en possession d’une arme </w:t>
      </w:r>
      <w:r w:rsidR="00B926B1">
        <w:rPr>
          <w:i/>
          <w:lang w:val="fr-CA"/>
        </w:rPr>
        <w:t xml:space="preserve">de poing </w:t>
      </w:r>
      <w:r w:rsidR="00CC133A" w:rsidRPr="00A1690E">
        <w:rPr>
          <w:i/>
          <w:lang w:val="fr-CA"/>
        </w:rPr>
        <w:t>chargé</w:t>
      </w:r>
      <w:r w:rsidR="00A1690E">
        <w:rPr>
          <w:i/>
          <w:lang w:val="fr-CA"/>
        </w:rPr>
        <w:t>e</w:t>
      </w:r>
      <w:r w:rsidR="00CC133A" w:rsidRPr="00A1690E">
        <w:rPr>
          <w:i/>
          <w:lang w:val="fr-CA"/>
        </w:rPr>
        <w:t>, de munitions et de cocaïne lors de son interception par la police alors qu’il marchait dans une rue tard l</w:t>
      </w:r>
      <w:r w:rsidR="00A1690E">
        <w:rPr>
          <w:i/>
          <w:lang w:val="fr-CA"/>
        </w:rPr>
        <w:t>e soir</w:t>
      </w:r>
      <w:r w:rsidR="00CC133A" w:rsidRPr="00A1690E">
        <w:rPr>
          <w:i/>
          <w:lang w:val="fr-CA"/>
        </w:rPr>
        <w:t xml:space="preserve"> —</w:t>
      </w:r>
      <w:r w:rsidR="00550D4C">
        <w:rPr>
          <w:i/>
          <w:lang w:val="fr-CA"/>
        </w:rPr>
        <w:t xml:space="preserve"> </w:t>
      </w:r>
      <w:r w:rsidR="00B926B1">
        <w:rPr>
          <w:i/>
          <w:lang w:val="fr-CA"/>
        </w:rPr>
        <w:t>J</w:t>
      </w:r>
      <w:r w:rsidR="00CC133A" w:rsidRPr="00A1690E">
        <w:rPr>
          <w:i/>
          <w:lang w:val="fr-CA"/>
        </w:rPr>
        <w:t xml:space="preserve">uge du procès </w:t>
      </w:r>
      <w:r w:rsidR="00B926B1">
        <w:rPr>
          <w:i/>
          <w:lang w:val="fr-CA"/>
        </w:rPr>
        <w:t xml:space="preserve">concluant à la violation de </w:t>
      </w:r>
      <w:r w:rsidR="00CC133A" w:rsidRPr="00A1690E">
        <w:rPr>
          <w:i/>
          <w:lang w:val="fr-CA"/>
        </w:rPr>
        <w:t>plusieurs droits constitutionnels de l’</w:t>
      </w:r>
      <w:r w:rsidR="002917B7" w:rsidRPr="00A1690E">
        <w:rPr>
          <w:i/>
          <w:lang w:val="fr-CA"/>
        </w:rPr>
        <w:t xml:space="preserve">accusé, mais </w:t>
      </w:r>
      <w:r w:rsidR="002917B7" w:rsidRPr="00A1690E">
        <w:rPr>
          <w:i/>
          <w:lang w:val="fr-CA"/>
        </w:rPr>
        <w:lastRenderedPageBreak/>
        <w:t>refus</w:t>
      </w:r>
      <w:r w:rsidR="00B926B1">
        <w:rPr>
          <w:i/>
          <w:lang w:val="fr-CA"/>
        </w:rPr>
        <w:t xml:space="preserve">ant </w:t>
      </w:r>
      <w:r w:rsidR="002917B7" w:rsidRPr="00A1690E">
        <w:rPr>
          <w:i/>
          <w:lang w:val="fr-CA"/>
        </w:rPr>
        <w:t>d’exclure l</w:t>
      </w:r>
      <w:r w:rsidR="00B926B1">
        <w:rPr>
          <w:i/>
          <w:lang w:val="fr-CA"/>
        </w:rPr>
        <w:t xml:space="preserve">es éléments de </w:t>
      </w:r>
      <w:r w:rsidR="002917B7" w:rsidRPr="00A1690E">
        <w:rPr>
          <w:i/>
          <w:lang w:val="fr-CA"/>
        </w:rPr>
        <w:t>preuve et déclar</w:t>
      </w:r>
      <w:r w:rsidR="00A1690E">
        <w:rPr>
          <w:i/>
          <w:lang w:val="fr-CA"/>
        </w:rPr>
        <w:t>a</w:t>
      </w:r>
      <w:r w:rsidR="00147675">
        <w:rPr>
          <w:i/>
          <w:lang w:val="fr-CA"/>
        </w:rPr>
        <w:t xml:space="preserve">nt </w:t>
      </w:r>
      <w:r w:rsidR="00A1690E">
        <w:rPr>
          <w:i/>
          <w:lang w:val="fr-CA"/>
        </w:rPr>
        <w:t>l’accusé co</w:t>
      </w:r>
      <w:r w:rsidR="00147675">
        <w:rPr>
          <w:i/>
          <w:lang w:val="fr-CA"/>
        </w:rPr>
        <w:t xml:space="preserve">upable de </w:t>
      </w:r>
      <w:r w:rsidR="002917B7" w:rsidRPr="00A1690E">
        <w:rPr>
          <w:i/>
          <w:lang w:val="fr-CA"/>
        </w:rPr>
        <w:t xml:space="preserve">diverses infractions liées aux armes à feu et </w:t>
      </w:r>
      <w:r w:rsidR="001E5EB9">
        <w:rPr>
          <w:i/>
          <w:lang w:val="fr-CA"/>
        </w:rPr>
        <w:t xml:space="preserve">de </w:t>
      </w:r>
      <w:r w:rsidR="002917B7" w:rsidRPr="00A1690E">
        <w:rPr>
          <w:i/>
          <w:lang w:val="fr-CA"/>
        </w:rPr>
        <w:t xml:space="preserve">possession de cocaïne en vue d’en faire le trafic — </w:t>
      </w:r>
      <w:r w:rsidR="00147675">
        <w:rPr>
          <w:i/>
          <w:lang w:val="fr-CA"/>
        </w:rPr>
        <w:t xml:space="preserve">Conclusion des </w:t>
      </w:r>
      <w:r w:rsidR="001E5EB9">
        <w:rPr>
          <w:i/>
          <w:lang w:val="fr-CA"/>
        </w:rPr>
        <w:t>juges</w:t>
      </w:r>
      <w:r w:rsidR="002917B7" w:rsidRPr="00A1690E">
        <w:rPr>
          <w:i/>
          <w:lang w:val="fr-CA"/>
        </w:rPr>
        <w:t xml:space="preserve"> majorit</w:t>
      </w:r>
      <w:r w:rsidR="001E5EB9">
        <w:rPr>
          <w:i/>
          <w:lang w:val="fr-CA"/>
        </w:rPr>
        <w:t>aires de</w:t>
      </w:r>
      <w:r w:rsidR="002917B7" w:rsidRPr="00A1690E">
        <w:rPr>
          <w:i/>
          <w:lang w:val="fr-CA"/>
        </w:rPr>
        <w:t xml:space="preserve"> la Cour d’appel </w:t>
      </w:r>
      <w:r w:rsidR="00147675">
        <w:rPr>
          <w:i/>
          <w:lang w:val="fr-CA"/>
        </w:rPr>
        <w:t xml:space="preserve">portant </w:t>
      </w:r>
      <w:r w:rsidR="002917B7" w:rsidRPr="00A1690E">
        <w:rPr>
          <w:i/>
          <w:lang w:val="fr-CA"/>
        </w:rPr>
        <w:t xml:space="preserve">que le juge du procès a commis une erreur </w:t>
      </w:r>
      <w:r w:rsidR="00147675">
        <w:rPr>
          <w:i/>
          <w:lang w:val="fr-CA"/>
        </w:rPr>
        <w:t xml:space="preserve">infirmable dans le cadre de son appréciation de </w:t>
      </w:r>
      <w:r w:rsidR="002917B7" w:rsidRPr="00A1690E">
        <w:rPr>
          <w:i/>
          <w:lang w:val="fr-CA"/>
        </w:rPr>
        <w:t xml:space="preserve">la gravité de la conduite </w:t>
      </w:r>
      <w:r w:rsidR="00B926B1">
        <w:rPr>
          <w:i/>
          <w:lang w:val="fr-CA"/>
        </w:rPr>
        <w:t xml:space="preserve">policière attentatoire </w:t>
      </w:r>
      <w:r w:rsidR="002917B7" w:rsidRPr="00A1690E">
        <w:rPr>
          <w:i/>
          <w:lang w:val="fr-CA"/>
        </w:rPr>
        <w:t xml:space="preserve">à </w:t>
      </w:r>
      <w:r w:rsidR="00147675">
        <w:rPr>
          <w:i/>
          <w:lang w:val="fr-CA"/>
        </w:rPr>
        <w:t>la Charte — Décision des juges majoritaires e</w:t>
      </w:r>
      <w:r w:rsidR="002917B7" w:rsidRPr="00A1690E">
        <w:rPr>
          <w:i/>
          <w:lang w:val="fr-CA"/>
        </w:rPr>
        <w:t>xclu</w:t>
      </w:r>
      <w:r w:rsidR="0090175C">
        <w:rPr>
          <w:i/>
          <w:lang w:val="fr-CA"/>
        </w:rPr>
        <w:t xml:space="preserve">ant les éléments de </w:t>
      </w:r>
      <w:r w:rsidR="002917B7" w:rsidRPr="00A1690E">
        <w:rPr>
          <w:i/>
          <w:lang w:val="fr-CA"/>
        </w:rPr>
        <w:t>preuve et inscri</w:t>
      </w:r>
      <w:r w:rsidR="0090175C">
        <w:rPr>
          <w:i/>
          <w:lang w:val="fr-CA"/>
        </w:rPr>
        <w:t xml:space="preserve">vant des </w:t>
      </w:r>
      <w:r w:rsidR="002917B7" w:rsidRPr="00A1690E">
        <w:rPr>
          <w:i/>
          <w:lang w:val="fr-CA"/>
        </w:rPr>
        <w:t>acquittements</w:t>
      </w:r>
      <w:r w:rsidR="0090175C">
        <w:rPr>
          <w:i/>
          <w:lang w:val="fr-CA"/>
        </w:rPr>
        <w:t xml:space="preserve"> — Conclusion du </w:t>
      </w:r>
      <w:r w:rsidR="002917B7" w:rsidRPr="00A1690E">
        <w:rPr>
          <w:i/>
          <w:lang w:val="fr-CA"/>
        </w:rPr>
        <w:t>juge dissident</w:t>
      </w:r>
      <w:r w:rsidR="00A1690E" w:rsidRPr="00A1690E">
        <w:rPr>
          <w:i/>
          <w:lang w:val="fr-CA"/>
        </w:rPr>
        <w:t xml:space="preserve"> </w:t>
      </w:r>
      <w:r w:rsidR="0090175C">
        <w:rPr>
          <w:i/>
          <w:lang w:val="fr-CA"/>
        </w:rPr>
        <w:t xml:space="preserve">portant que le </w:t>
      </w:r>
      <w:r w:rsidR="00A1690E" w:rsidRPr="00A1690E">
        <w:rPr>
          <w:i/>
          <w:lang w:val="fr-CA"/>
        </w:rPr>
        <w:t xml:space="preserve">juge du procès n’a commis </w:t>
      </w:r>
      <w:r w:rsidR="0090175C">
        <w:rPr>
          <w:i/>
          <w:lang w:val="fr-CA"/>
        </w:rPr>
        <w:t xml:space="preserve">dans son appréciation de </w:t>
      </w:r>
      <w:r w:rsidR="00A1690E" w:rsidRPr="00A1690E">
        <w:rPr>
          <w:i/>
          <w:lang w:val="fr-CA"/>
        </w:rPr>
        <w:t xml:space="preserve">la gravité de la conduite </w:t>
      </w:r>
      <w:r w:rsidR="0090175C">
        <w:rPr>
          <w:i/>
          <w:lang w:val="fr-CA"/>
        </w:rPr>
        <w:t xml:space="preserve">étatique </w:t>
      </w:r>
      <w:r w:rsidR="0090175C" w:rsidRPr="00A1690E">
        <w:rPr>
          <w:i/>
          <w:lang w:val="fr-CA"/>
        </w:rPr>
        <w:t>aucun</w:t>
      </w:r>
      <w:r w:rsidR="0090175C">
        <w:rPr>
          <w:i/>
          <w:lang w:val="fr-CA"/>
        </w:rPr>
        <w:t>e</w:t>
      </w:r>
      <w:r w:rsidR="0090175C" w:rsidRPr="00A1690E">
        <w:rPr>
          <w:i/>
          <w:lang w:val="fr-CA"/>
        </w:rPr>
        <w:t xml:space="preserve"> erreur </w:t>
      </w:r>
      <w:r w:rsidR="00A1690E" w:rsidRPr="00A1690E">
        <w:rPr>
          <w:i/>
          <w:lang w:val="fr-CA"/>
        </w:rPr>
        <w:t>qui justifierait une intervention en appel</w:t>
      </w:r>
      <w:r w:rsidR="002917B7" w:rsidRPr="00A1690E">
        <w:rPr>
          <w:i/>
          <w:lang w:val="fr-CA"/>
        </w:rPr>
        <w:t xml:space="preserve"> </w:t>
      </w:r>
      <w:r w:rsidR="00A1690E" w:rsidRPr="00A1690E">
        <w:rPr>
          <w:i/>
          <w:lang w:val="fr-CA"/>
        </w:rPr>
        <w:t>— Rétablissement des déclarations de culpabilité — Charte canadienne des droits</w:t>
      </w:r>
      <w:r w:rsidR="00A1690E">
        <w:rPr>
          <w:i/>
          <w:lang w:val="fr-CA"/>
        </w:rPr>
        <w:t xml:space="preserve"> et libertés, </w:t>
      </w:r>
      <w:r w:rsidR="0090175C">
        <w:rPr>
          <w:i/>
          <w:lang w:val="fr-CA"/>
        </w:rPr>
        <w:t>art</w:t>
      </w:r>
      <w:r w:rsidR="00A1690E">
        <w:rPr>
          <w:i/>
          <w:lang w:val="fr-CA"/>
        </w:rPr>
        <w:t>. 24(2)</w:t>
      </w:r>
      <w:r w:rsidR="0090175C">
        <w:rPr>
          <w:i/>
          <w:lang w:val="fr-CA"/>
        </w:rPr>
        <w:t>.</w:t>
      </w:r>
      <w:r w:rsidR="00A1690E" w:rsidRPr="00A1690E">
        <w:rPr>
          <w:i/>
          <w:lang w:val="fr-CA"/>
        </w:rPr>
        <w:t xml:space="preserve"> </w:t>
      </w:r>
      <w:r w:rsidR="00CC133A" w:rsidRPr="00B926B1">
        <w:rPr>
          <w:i/>
          <w:lang w:val="fr-CA"/>
        </w:rPr>
        <w:t xml:space="preserve"> 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73105" w:rsidRDefault="00473105" w:rsidP="004D7D95">
      <w:pPr>
        <w:pStyle w:val="SCCNormalDoubleSpacing"/>
        <w:spacing w:line="240" w:lineRule="auto"/>
        <w:ind w:left="540" w:hanging="540"/>
        <w:rPr>
          <w:lang w:val="fr-CA"/>
        </w:rPr>
      </w:pPr>
      <w:r>
        <w:rPr>
          <w:i/>
          <w:lang w:val="fr-CA"/>
        </w:rPr>
        <w:t>Charte canadienne des droits et libertés</w:t>
      </w:r>
      <w:r>
        <w:rPr>
          <w:lang w:val="fr-CA"/>
        </w:rPr>
        <w:t>, art. 24(1), (2).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73105">
      <w:pPr>
        <w:pStyle w:val="SCCNormalDoubleSpacing"/>
        <w:spacing w:line="240" w:lineRule="auto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8F5391" w:rsidRDefault="008F5391" w:rsidP="004D7D95">
      <w:pPr>
        <w:pStyle w:val="SCCNormalDoubleSpacing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8F5391">
        <w:rPr>
          <w:lang w:val="fr-CA"/>
        </w:rPr>
        <w:t>Cour d</w:t>
      </w:r>
      <w:r>
        <w:rPr>
          <w:lang w:val="fr-CA"/>
        </w:rPr>
        <w:t>’</w:t>
      </w:r>
      <w:r w:rsidR="004D7D95" w:rsidRPr="008F5391">
        <w:rPr>
          <w:lang w:val="fr-CA"/>
        </w:rPr>
        <w:t>appel de l</w:t>
      </w:r>
      <w:r>
        <w:rPr>
          <w:lang w:val="fr-CA"/>
        </w:rPr>
        <w:t>’</w:t>
      </w:r>
      <w:r w:rsidR="004D7D95" w:rsidRPr="008F5391">
        <w:rPr>
          <w:lang w:val="fr-CA"/>
        </w:rPr>
        <w:t>Ontario</w:t>
      </w:r>
      <w:r>
        <w:rPr>
          <w:lang w:val="fr-CA"/>
        </w:rPr>
        <w:t xml:space="preserve"> (les juges Sharpe, Brown et Paciocco), </w:t>
      </w:r>
      <w:r w:rsidRPr="008F5391">
        <w:rPr>
          <w:lang w:val="fr-CA"/>
        </w:rPr>
        <w:t xml:space="preserve">2018 ONCA 975, 144 O.R. (3d) 1, 369 C.C.C. (3d) 544, </w:t>
      </w:r>
      <w:r w:rsidR="00904D93">
        <w:rPr>
          <w:lang w:val="fr-CA"/>
        </w:rPr>
        <w:t xml:space="preserve">435 D.L.R. (4th) 273, </w:t>
      </w:r>
      <w:r w:rsidRPr="008F5391">
        <w:rPr>
          <w:lang w:val="fr-CA"/>
        </w:rPr>
        <w:t xml:space="preserve">[2018] O.J. No. 6346 (QL), 2018 </w:t>
      </w:r>
      <w:proofErr w:type="spellStart"/>
      <w:r w:rsidRPr="008F5391">
        <w:rPr>
          <w:lang w:val="fr-CA"/>
        </w:rPr>
        <w:t>CarswellOnt</w:t>
      </w:r>
      <w:proofErr w:type="spellEnd"/>
      <w:r w:rsidRPr="008F5391">
        <w:rPr>
          <w:lang w:val="fr-CA"/>
        </w:rPr>
        <w:t xml:space="preserve"> 20344 (</w:t>
      </w:r>
      <w:r w:rsidRPr="00AA33C7">
        <w:rPr>
          <w:lang w:val="fr-CA"/>
        </w:rPr>
        <w:t xml:space="preserve">WL Can.), </w:t>
      </w:r>
      <w:r w:rsidR="00F828A9" w:rsidRPr="00AA33C7">
        <w:rPr>
          <w:lang w:val="fr-CA"/>
        </w:rPr>
        <w:t xml:space="preserve">qui a </w:t>
      </w:r>
      <w:r w:rsidR="00566A5F" w:rsidRPr="00AA33C7">
        <w:rPr>
          <w:lang w:val="fr-CA"/>
        </w:rPr>
        <w:t>annulé les déclarations de culpabilité</w:t>
      </w:r>
      <w:r w:rsidR="00AA33C7" w:rsidRPr="00AA33C7">
        <w:rPr>
          <w:lang w:val="fr-CA"/>
        </w:rPr>
        <w:t xml:space="preserve"> prononcées contre l’accusé</w:t>
      </w:r>
      <w:r w:rsidR="00566A5F" w:rsidRPr="00AA33C7">
        <w:rPr>
          <w:lang w:val="fr-CA"/>
        </w:rPr>
        <w:t>, exclu l</w:t>
      </w:r>
      <w:r w:rsidR="00D37115">
        <w:rPr>
          <w:lang w:val="fr-CA"/>
        </w:rPr>
        <w:t xml:space="preserve">es éléments de </w:t>
      </w:r>
      <w:r w:rsidR="00566A5F" w:rsidRPr="00AA33C7">
        <w:rPr>
          <w:lang w:val="fr-CA"/>
        </w:rPr>
        <w:t xml:space="preserve">preuve et </w:t>
      </w:r>
      <w:r w:rsidR="00D37115">
        <w:rPr>
          <w:lang w:val="fr-CA"/>
        </w:rPr>
        <w:t>inscrit des acquittements</w:t>
      </w:r>
      <w:r w:rsidRPr="00AA33C7">
        <w:rPr>
          <w:lang w:val="fr-CA"/>
        </w:rPr>
        <w:t>.</w:t>
      </w:r>
      <w:r>
        <w:rPr>
          <w:lang w:val="fr-CA"/>
        </w:rPr>
        <w:t xml:space="preserve"> Pourvoi </w:t>
      </w:r>
      <w:r w:rsidR="00473105">
        <w:rPr>
          <w:lang w:val="fr-CA"/>
        </w:rPr>
        <w:t>accueilli</w:t>
      </w:r>
      <w:r w:rsidR="00902DE8">
        <w:rPr>
          <w:lang w:val="fr-CA"/>
        </w:rPr>
        <w:t xml:space="preserve">, les juges </w:t>
      </w:r>
      <w:r w:rsidR="00902DE8" w:rsidRPr="0025542A">
        <w:rPr>
          <w:lang w:val="fr-CA"/>
        </w:rPr>
        <w:t>Karakatsanis, Brown et Martin</w:t>
      </w:r>
      <w:r w:rsidR="00902DE8">
        <w:rPr>
          <w:lang w:val="fr-CA"/>
        </w:rPr>
        <w:t xml:space="preserve"> sont dissidents</w:t>
      </w:r>
      <w:r>
        <w:rPr>
          <w:lang w:val="fr-CA"/>
        </w:rPr>
        <w:t xml:space="preserve">. 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D320D0" w:rsidRPr="008F5391" w:rsidRDefault="008F5391">
      <w:pPr>
        <w:pStyle w:val="SCCNormalDoubleSpacing"/>
        <w:rPr>
          <w:lang w:val="fr-CA"/>
        </w:rPr>
      </w:pPr>
      <w:r w:rsidRPr="008F5391">
        <w:rPr>
          <w:rStyle w:val="SCCCounselNameChar"/>
          <w:lang w:val="fr-CA"/>
        </w:rPr>
        <w:tab/>
        <w:t xml:space="preserve">Karen </w:t>
      </w:r>
      <w:proofErr w:type="spellStart"/>
      <w:r w:rsidRPr="008F5391">
        <w:rPr>
          <w:rStyle w:val="SCCCounselNameChar"/>
          <w:lang w:val="fr-CA"/>
        </w:rPr>
        <w:t>Papadopoulos</w:t>
      </w:r>
      <w:proofErr w:type="spellEnd"/>
      <w:r w:rsidRPr="008F5391">
        <w:rPr>
          <w:rStyle w:val="SCCCounselSeparatorChar"/>
          <w:lang w:val="fr-CA"/>
        </w:rPr>
        <w:t xml:space="preserve"> et </w:t>
      </w:r>
      <w:r w:rsidRPr="008F5391">
        <w:rPr>
          <w:rStyle w:val="SCCCounselNameChar"/>
          <w:lang w:val="fr-CA"/>
        </w:rPr>
        <w:t>Justin Reid</w:t>
      </w:r>
      <w:r w:rsidRPr="008F5391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</w:t>
      </w:r>
      <w:r w:rsidRPr="008F5391">
        <w:rPr>
          <w:rStyle w:val="SCCCounselPartyRoleChar"/>
          <w:lang w:val="fr-CA"/>
        </w:rPr>
        <w:t>appelante.</w:t>
      </w:r>
    </w:p>
    <w:p w:rsidR="00D320D0" w:rsidRPr="008F5391" w:rsidRDefault="00D320D0">
      <w:pPr>
        <w:pStyle w:val="SCCNormalDoubleSpacing"/>
        <w:rPr>
          <w:lang w:val="fr-CA"/>
        </w:rPr>
      </w:pPr>
    </w:p>
    <w:p w:rsidR="00D320D0" w:rsidRPr="008F5391" w:rsidRDefault="008F5391">
      <w:pPr>
        <w:pStyle w:val="SCCNormalDoubleSpacing"/>
        <w:rPr>
          <w:lang w:val="fr-CA"/>
        </w:rPr>
      </w:pPr>
      <w:r w:rsidRPr="008F5391">
        <w:rPr>
          <w:rStyle w:val="SCCCounselNameChar"/>
          <w:lang w:val="fr-CA"/>
        </w:rPr>
        <w:tab/>
        <w:t xml:space="preserve">Catriona </w:t>
      </w:r>
      <w:proofErr w:type="spellStart"/>
      <w:r w:rsidRPr="008F5391">
        <w:rPr>
          <w:rStyle w:val="SCCCounselNameChar"/>
          <w:lang w:val="fr-CA"/>
        </w:rPr>
        <w:t>Verner</w:t>
      </w:r>
      <w:proofErr w:type="spellEnd"/>
      <w:r w:rsidRPr="008F5391">
        <w:rPr>
          <w:rStyle w:val="SCCCounselSeparatorChar"/>
          <w:lang w:val="fr-CA"/>
        </w:rPr>
        <w:t xml:space="preserve"> et </w:t>
      </w:r>
      <w:r w:rsidRPr="008F5391">
        <w:rPr>
          <w:rStyle w:val="SCCCounselNameChar"/>
          <w:lang w:val="fr-CA"/>
        </w:rPr>
        <w:t>Patricia Brown</w:t>
      </w:r>
      <w:r w:rsidRPr="008F5391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</w:t>
      </w:r>
      <w:r w:rsidRPr="008F5391">
        <w:rPr>
          <w:rStyle w:val="SCCCounselPartyRoleChar"/>
          <w:lang w:val="fr-CA"/>
        </w:rPr>
        <w:t>intimé.</w:t>
      </w:r>
    </w:p>
    <w:p w:rsidR="00D320D0" w:rsidRPr="008F5391" w:rsidRDefault="00D320D0">
      <w:pPr>
        <w:pStyle w:val="SCCNormalDoubleSpacing"/>
        <w:rPr>
          <w:lang w:val="fr-CA"/>
        </w:rPr>
      </w:pPr>
    </w:p>
    <w:p w:rsidR="00D320D0" w:rsidRDefault="008F5391">
      <w:pPr>
        <w:pStyle w:val="SCCNormalDoubleSpacing"/>
        <w:rPr>
          <w:rStyle w:val="SCCCounselPartyRoleChar"/>
          <w:lang w:val="fr-CA"/>
        </w:rPr>
      </w:pPr>
      <w:r w:rsidRPr="008F5391">
        <w:rPr>
          <w:rStyle w:val="SCCCounselNameChar"/>
          <w:lang w:val="fr-CA"/>
        </w:rPr>
        <w:tab/>
        <w:t>Faisal Mirza</w:t>
      </w:r>
      <w:r w:rsidRPr="008F5391">
        <w:rPr>
          <w:rStyle w:val="SCCCounselSeparatorChar"/>
          <w:lang w:val="fr-CA"/>
        </w:rPr>
        <w:t xml:space="preserve"> et </w:t>
      </w:r>
      <w:r w:rsidRPr="008F5391">
        <w:rPr>
          <w:rStyle w:val="SCCCounselNameChar"/>
          <w:lang w:val="fr-CA"/>
        </w:rPr>
        <w:t>Kate Robertson</w:t>
      </w:r>
      <w:r w:rsidRPr="008F5391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</w:t>
      </w:r>
      <w:r w:rsidRPr="008F5391">
        <w:rPr>
          <w:rStyle w:val="SCCCounselPartyRoleChar"/>
          <w:lang w:val="fr-CA"/>
        </w:rPr>
        <w:t>intervenant</w:t>
      </w:r>
      <w:r>
        <w:rPr>
          <w:rStyle w:val="SCCCounselPartyRoleChar"/>
          <w:lang w:val="fr-CA"/>
        </w:rPr>
        <w:t>e</w:t>
      </w:r>
      <w:r w:rsidRPr="008F5391">
        <w:rPr>
          <w:rStyle w:val="SCCCounselPartyRoleChar"/>
          <w:lang w:val="fr-CA"/>
        </w:rPr>
        <w:t>.</w:t>
      </w:r>
    </w:p>
    <w:p w:rsidR="00473105" w:rsidRPr="008F5391" w:rsidRDefault="00473105">
      <w:pPr>
        <w:pStyle w:val="SCCNormalDoubleSpacing"/>
        <w:rPr>
          <w:lang w:val="fr-CA"/>
        </w:rPr>
      </w:pPr>
    </w:p>
    <w:p w:rsidR="00D320D0" w:rsidRDefault="008F5391">
      <w:pPr>
        <w:pStyle w:val="SCCLawFirm"/>
        <w:rPr>
          <w:i w:val="0"/>
          <w:lang w:val="fr-CA"/>
        </w:rPr>
      </w:pPr>
      <w:r>
        <w:rPr>
          <w:lang w:val="fr-CA"/>
        </w:rPr>
        <w:tab/>
      </w:r>
      <w:r>
        <w:rPr>
          <w:i w:val="0"/>
          <w:lang w:val="fr-CA"/>
        </w:rPr>
        <w:t>Version française du jugement de la Cour rendu oralement par</w:t>
      </w:r>
    </w:p>
    <w:p w:rsidR="00473105" w:rsidRPr="00473105" w:rsidRDefault="00473105" w:rsidP="00473105">
      <w:pPr>
        <w:pStyle w:val="SCCNormalDoubleSpacing"/>
        <w:rPr>
          <w:lang w:val="fr-CA"/>
        </w:rPr>
      </w:pPr>
    </w:p>
    <w:p w:rsidR="00473105" w:rsidRDefault="00473105" w:rsidP="00473105">
      <w:pPr>
        <w:tabs>
          <w:tab w:val="left" w:pos="1170"/>
        </w:tabs>
        <w:spacing w:line="480" w:lineRule="auto"/>
        <w:jc w:val="both"/>
        <w:rPr>
          <w:lang w:val="fr-CA"/>
        </w:rPr>
      </w:pPr>
      <w:r>
        <w:rPr>
          <w:smallCaps/>
          <w:lang w:val="fr-CA"/>
        </w:rPr>
        <w:t>[1]</w:t>
      </w:r>
      <w:r>
        <w:rPr>
          <w:smallCaps/>
          <w:lang w:val="fr-CA"/>
        </w:rPr>
        <w:tab/>
      </w:r>
      <w:r w:rsidRPr="00762602">
        <w:rPr>
          <w:smallCaps/>
          <w:lang w:val="fr-CA"/>
        </w:rPr>
        <w:t xml:space="preserve">Le juge </w:t>
      </w:r>
      <w:r w:rsidRPr="007002F8">
        <w:rPr>
          <w:smallCaps/>
          <w:lang w:val="fr-CA"/>
        </w:rPr>
        <w:t>Brown</w:t>
      </w:r>
      <w:r w:rsidRPr="007002F8">
        <w:rPr>
          <w:lang w:val="fr-CA"/>
        </w:rPr>
        <w:t xml:space="preserve"> — </w:t>
      </w:r>
      <w:r w:rsidRPr="0025542A">
        <w:rPr>
          <w:lang w:val="fr-CA"/>
        </w:rPr>
        <w:t>L</w:t>
      </w:r>
      <w:r>
        <w:rPr>
          <w:lang w:val="fr-CA"/>
        </w:rPr>
        <w:t xml:space="preserve">a Cour est d’avis, à la majorité, d’accueillir le pourvoi, essentiellement pour les motifs exposés par le juge Brown de la Cour d’appel. Les juges majoritaires ajoutent ce qui suit. Peut-être faudrait-il se demander si d’autres réparations que l’exclusion de la preuve peuvent être accordées en vertu du par. 24(1) de la </w:t>
      </w:r>
      <w:r w:rsidRPr="0025542A">
        <w:rPr>
          <w:i/>
          <w:lang w:val="fr-CA"/>
        </w:rPr>
        <w:t>Charte</w:t>
      </w:r>
      <w:r>
        <w:rPr>
          <w:i/>
          <w:lang w:val="fr-CA"/>
        </w:rPr>
        <w:t xml:space="preserve"> canadienne des droits et libertés</w:t>
      </w:r>
      <w:r>
        <w:rPr>
          <w:lang w:val="fr-CA"/>
        </w:rPr>
        <w:t xml:space="preserve"> lorsque le par. 24(2) est en cause, mais  cette question sera examinée à une autre occasion.</w:t>
      </w:r>
    </w:p>
    <w:p w:rsidR="00473105" w:rsidRDefault="00473105" w:rsidP="00473105">
      <w:pPr>
        <w:spacing w:line="480" w:lineRule="auto"/>
        <w:jc w:val="both"/>
        <w:rPr>
          <w:lang w:val="fr-CA"/>
        </w:rPr>
      </w:pPr>
    </w:p>
    <w:p w:rsidR="00473105" w:rsidRDefault="00473105" w:rsidP="00473105">
      <w:pPr>
        <w:tabs>
          <w:tab w:val="left" w:pos="1170"/>
        </w:tabs>
        <w:spacing w:line="480" w:lineRule="auto"/>
        <w:jc w:val="both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 w:rsidRPr="0025542A">
        <w:rPr>
          <w:lang w:val="fr-CA"/>
        </w:rPr>
        <w:t>Les juges Karakatsanis, Brown et Martin</w:t>
      </w:r>
      <w:r>
        <w:rPr>
          <w:lang w:val="fr-CA"/>
        </w:rPr>
        <w:t xml:space="preserve"> sont dissidents, principalement pour les motifs du juge Sharpe de la Cour d’appel. Les juges dissidents ajoutent ce qui suit. Peut-être conviendrait-il de se demander si les policiers doivent aviser les personnes qu’ils arrêtent et questionnent qu’elles ne sont pas tenues de rester sur place et de répondre à leurs questions, mais cette question sera examinée à une autre occasion. </w:t>
      </w:r>
    </w:p>
    <w:p w:rsidR="00473105" w:rsidRDefault="00473105" w:rsidP="00473105">
      <w:pPr>
        <w:spacing w:line="480" w:lineRule="auto"/>
        <w:jc w:val="both"/>
        <w:rPr>
          <w:lang w:val="fr-CA"/>
        </w:rPr>
      </w:pPr>
    </w:p>
    <w:p w:rsidR="00473105" w:rsidRPr="0025542A" w:rsidRDefault="00473105" w:rsidP="00473105">
      <w:pPr>
        <w:tabs>
          <w:tab w:val="left" w:pos="1170"/>
        </w:tabs>
        <w:spacing w:line="480" w:lineRule="auto"/>
        <w:jc w:val="both"/>
        <w:rPr>
          <w:lang w:val="fr-CA"/>
        </w:rPr>
      </w:pPr>
      <w:r w:rsidRPr="00473105">
        <w:rPr>
          <w:lang w:val="fr-CA"/>
        </w:rPr>
        <w:t>[3]</w:t>
      </w:r>
      <w:r>
        <w:rPr>
          <w:lang w:val="fr-CA"/>
        </w:rPr>
        <w:tab/>
        <w:t xml:space="preserve">Le pourvoi est accueilli et les déclarations de culpabilité sont rétablies. </w:t>
      </w:r>
    </w:p>
    <w:p w:rsidR="004D7D95" w:rsidRDefault="004D7D95" w:rsidP="004D7D95">
      <w:pPr>
        <w:pStyle w:val="SCCNormalDoubleSpacing"/>
        <w:rPr>
          <w:lang w:val="fr-CA"/>
        </w:rPr>
      </w:pPr>
    </w:p>
    <w:p w:rsidR="008F5391" w:rsidRDefault="008F5391" w:rsidP="004D7D95">
      <w:pPr>
        <w:pStyle w:val="SCCNormalDoubleSpacing"/>
        <w:rPr>
          <w:lang w:val="fr-CA"/>
        </w:rPr>
      </w:pPr>
    </w:p>
    <w:p w:rsidR="008F5391" w:rsidRPr="008F5391" w:rsidRDefault="008F5391" w:rsidP="004D7D95">
      <w:pPr>
        <w:pStyle w:val="SCCNormalDoubleSpacing"/>
        <w:rPr>
          <w:lang w:val="fr-CA"/>
        </w:rPr>
        <w:sectPr w:rsidR="008F5391" w:rsidRPr="008F5391" w:rsidSect="004D7D9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267" w:right="2160" w:bottom="720" w:left="1800" w:header="1440" w:footer="720" w:gutter="0"/>
          <w:cols w:space="720"/>
          <w:titlePg/>
          <w:docGrid w:linePitch="326"/>
        </w:sectPr>
      </w:pPr>
    </w:p>
    <w:p w:rsidR="004D7D95" w:rsidRPr="008F5391" w:rsidRDefault="004D7D95" w:rsidP="004D7D95">
      <w:pPr>
        <w:pStyle w:val="SCCNormalDoubleSpacing"/>
        <w:rPr>
          <w:i/>
          <w:lang w:val="fr-CA"/>
        </w:rPr>
      </w:pPr>
      <w:r w:rsidRPr="008F5391">
        <w:rPr>
          <w:lang w:val="fr-CA"/>
        </w:rPr>
        <w:tab/>
      </w:r>
      <w:r w:rsidR="008F5391">
        <w:rPr>
          <w:i/>
          <w:lang w:val="fr-CA"/>
        </w:rPr>
        <w:t>Jugement en conséquence.</w:t>
      </w:r>
    </w:p>
    <w:p w:rsidR="008F5391" w:rsidRPr="008F5391" w:rsidRDefault="008F5391" w:rsidP="008F5391">
      <w:pPr>
        <w:pStyle w:val="SCCNormalDoubleSpacing"/>
        <w:rPr>
          <w:lang w:val="fr-CA"/>
        </w:rPr>
      </w:pPr>
    </w:p>
    <w:p w:rsidR="008F5391" w:rsidRPr="008F5391" w:rsidRDefault="008F5391" w:rsidP="008F5391">
      <w:pPr>
        <w:pStyle w:val="SCCLawFirm"/>
        <w:rPr>
          <w:lang w:val="fr-CA"/>
        </w:rPr>
      </w:pPr>
      <w:r w:rsidRPr="008F5391">
        <w:rPr>
          <w:lang w:val="fr-CA"/>
        </w:rPr>
        <w:tab/>
        <w:t>Procureur de l’appelante : Procureure générale de l’Ontario, Toronto.</w:t>
      </w:r>
    </w:p>
    <w:p w:rsidR="008F5391" w:rsidRPr="008F5391" w:rsidRDefault="008F5391" w:rsidP="008F5391">
      <w:pPr>
        <w:pStyle w:val="SCCLawFirm"/>
        <w:rPr>
          <w:lang w:val="fr-CA"/>
        </w:rPr>
      </w:pPr>
    </w:p>
    <w:p w:rsidR="008F5391" w:rsidRPr="008F5391" w:rsidRDefault="008F5391" w:rsidP="008F5391">
      <w:pPr>
        <w:pStyle w:val="SCCLawFirm"/>
      </w:pPr>
      <w:r w:rsidRPr="008F5391">
        <w:rPr>
          <w:lang w:val="fr-CA"/>
        </w:rPr>
        <w:tab/>
      </w:r>
      <w:proofErr w:type="spellStart"/>
      <w:r w:rsidRPr="008F5391">
        <w:t>Procureurs</w:t>
      </w:r>
      <w:proofErr w:type="spellEnd"/>
      <w:r w:rsidRPr="008F5391">
        <w:t xml:space="preserve"> de </w:t>
      </w:r>
      <w:proofErr w:type="spellStart"/>
      <w:proofErr w:type="gramStart"/>
      <w:r w:rsidRPr="008F5391">
        <w:t>l’intimé</w:t>
      </w:r>
      <w:proofErr w:type="spellEnd"/>
      <w:r w:rsidRPr="008F5391">
        <w:t> :</w:t>
      </w:r>
      <w:proofErr w:type="gramEnd"/>
      <w:r w:rsidRPr="008F5391">
        <w:t xml:space="preserve"> Lockyer Campbell Posner, Toronto</w:t>
      </w:r>
      <w:r w:rsidRPr="00026138">
        <w:t xml:space="preserve">; Law Office of Patricia Brown, </w:t>
      </w:r>
      <w:r w:rsidR="00026138" w:rsidRPr="00026138">
        <w:t>Windsor</w:t>
      </w:r>
      <w:r w:rsidRPr="00026138">
        <w:t>.</w:t>
      </w:r>
    </w:p>
    <w:p w:rsidR="008F5391" w:rsidRPr="008F5391" w:rsidRDefault="008F5391" w:rsidP="008F5391">
      <w:pPr>
        <w:pStyle w:val="SCCLawFirm"/>
      </w:pPr>
    </w:p>
    <w:p w:rsidR="008F5391" w:rsidRPr="008F5391" w:rsidRDefault="008F5391" w:rsidP="008F5391">
      <w:pPr>
        <w:pStyle w:val="SCCLawFirm"/>
        <w:rPr>
          <w:lang w:val="fr-CA"/>
        </w:rPr>
      </w:pPr>
      <w:r w:rsidRPr="008F5391">
        <w:tab/>
      </w:r>
      <w:r w:rsidRPr="008F5391">
        <w:rPr>
          <w:lang w:val="fr-CA"/>
        </w:rPr>
        <w:t>Procureurs de l</w:t>
      </w:r>
      <w:r>
        <w:rPr>
          <w:lang w:val="fr-CA"/>
        </w:rPr>
        <w:t>’</w:t>
      </w:r>
      <w:r w:rsidRPr="008F5391">
        <w:rPr>
          <w:lang w:val="fr-CA"/>
        </w:rPr>
        <w:t>intervenante</w:t>
      </w:r>
      <w:r w:rsidR="00550D4C">
        <w:rPr>
          <w:lang w:val="fr-CA"/>
        </w:rPr>
        <w:t> </w:t>
      </w:r>
      <w:r w:rsidRPr="008F5391">
        <w:rPr>
          <w:lang w:val="fr-CA"/>
        </w:rPr>
        <w:t>: Faisal Mirza Professional Corporation, Mississauga</w:t>
      </w:r>
      <w:r w:rsidR="008E0557">
        <w:rPr>
          <w:lang w:val="fr-CA"/>
        </w:rPr>
        <w:t xml:space="preserve">; </w:t>
      </w:r>
      <w:proofErr w:type="spellStart"/>
      <w:r w:rsidR="008E0557">
        <w:rPr>
          <w:lang w:val="fr-CA"/>
        </w:rPr>
        <w:t>Markson</w:t>
      </w:r>
      <w:proofErr w:type="spellEnd"/>
      <w:r w:rsidR="008E0557">
        <w:rPr>
          <w:lang w:val="fr-CA"/>
        </w:rPr>
        <w:t xml:space="preserve"> Law Professional </w:t>
      </w:r>
      <w:r w:rsidR="008E0557" w:rsidRPr="00026138">
        <w:rPr>
          <w:lang w:val="fr-CA"/>
        </w:rPr>
        <w:t>Corporation, Toronto</w:t>
      </w:r>
      <w:r w:rsidRPr="00026138">
        <w:rPr>
          <w:lang w:val="fr-CA"/>
        </w:rPr>
        <w:t>.</w:t>
      </w:r>
    </w:p>
    <w:p w:rsidR="00D320D0" w:rsidRPr="008F5391" w:rsidRDefault="00D320D0">
      <w:pPr>
        <w:pStyle w:val="SCCLawFirm"/>
        <w:rPr>
          <w:lang w:val="fr-CA"/>
        </w:rPr>
      </w:pPr>
    </w:p>
    <w:p w:rsidR="004D7D95" w:rsidRPr="008F5391" w:rsidRDefault="004D7D95" w:rsidP="004D7D95">
      <w:pPr>
        <w:pStyle w:val="SCCItalic"/>
        <w:rPr>
          <w:lang w:val="fr-CA"/>
        </w:rPr>
      </w:pPr>
    </w:p>
    <w:p w:rsidR="009B57B3" w:rsidRPr="00473105" w:rsidRDefault="009B57B3" w:rsidP="004D7D95">
      <w:pPr>
        <w:rPr>
          <w:lang w:val="fr-CA"/>
        </w:rPr>
      </w:pPr>
    </w:p>
    <w:sectPr w:rsidR="009B57B3" w:rsidRPr="00473105" w:rsidSect="000648CC">
      <w:headerReference w:type="default" r:id="rId12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13" w:rsidRDefault="00ED2613">
      <w:r>
        <w:separator/>
      </w:r>
    </w:p>
  </w:endnote>
  <w:endnote w:type="continuationSeparator" w:id="0">
    <w:p w:rsidR="00ED2613" w:rsidRDefault="00ED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95" w:rsidRDefault="004D7D9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95" w:rsidRDefault="004D7D9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13" w:rsidRDefault="00ED2613">
      <w:r>
        <w:separator/>
      </w:r>
    </w:p>
  </w:footnote>
  <w:footnote w:type="continuationSeparator" w:id="0">
    <w:p w:rsidR="00ED2613" w:rsidRDefault="00ED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95" w:rsidRDefault="004D7D95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95" w:rsidRDefault="004D7D95">
    <w:pPr>
      <w:pStyle w:val="Header"/>
      <w:jc w:val="center"/>
    </w:pPr>
    <w:r>
      <w:t xml:space="preserve">- </w:t>
    </w:r>
    <w:sdt>
      <w:sdtPr>
        <w:id w:val="4489881"/>
        <w:docPartObj>
          <w:docPartGallery w:val="Page Numbers (Top of Page)"/>
          <w:docPartUnique/>
        </w:docPartObj>
      </w:sdtPr>
      <w:sdtEndPr/>
      <w:sdtContent>
        <w:r w:rsidR="00D17B0E">
          <w:fldChar w:fldCharType="begin"/>
        </w:r>
        <w:r w:rsidR="00D17B0E">
          <w:instrText xml:space="preserve"> PAGE   \* MERGEFORMAT </w:instrText>
        </w:r>
        <w:r w:rsidR="00D17B0E">
          <w:fldChar w:fldCharType="separate"/>
        </w:r>
        <w:r w:rsidR="003F4289">
          <w:rPr>
            <w:noProof/>
          </w:rPr>
          <w:t>4</w:t>
        </w:r>
        <w:r w:rsidR="00D17B0E">
          <w:rPr>
            <w:noProof/>
          </w:rPr>
          <w:fldChar w:fldCharType="end"/>
        </w:r>
        <w:r>
          <w:t xml:space="preserve"> -</w:t>
        </w:r>
      </w:sdtContent>
    </w:sdt>
  </w:p>
  <w:p w:rsidR="004D7D95" w:rsidRDefault="004D7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26138"/>
    <w:rsid w:val="000578A3"/>
    <w:rsid w:val="000648CC"/>
    <w:rsid w:val="000C59B8"/>
    <w:rsid w:val="000C6AF0"/>
    <w:rsid w:val="000C7ED9"/>
    <w:rsid w:val="000D0A77"/>
    <w:rsid w:val="000F7993"/>
    <w:rsid w:val="00104F33"/>
    <w:rsid w:val="00111DE2"/>
    <w:rsid w:val="00116B38"/>
    <w:rsid w:val="00135406"/>
    <w:rsid w:val="00135972"/>
    <w:rsid w:val="001426A9"/>
    <w:rsid w:val="00147675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1E5EB9"/>
    <w:rsid w:val="00220FC2"/>
    <w:rsid w:val="002222F4"/>
    <w:rsid w:val="00224FC0"/>
    <w:rsid w:val="00225EA4"/>
    <w:rsid w:val="00226EAF"/>
    <w:rsid w:val="00227F24"/>
    <w:rsid w:val="00231F3A"/>
    <w:rsid w:val="002406EE"/>
    <w:rsid w:val="00243EC8"/>
    <w:rsid w:val="00270D93"/>
    <w:rsid w:val="002745CC"/>
    <w:rsid w:val="002917B7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33678"/>
    <w:rsid w:val="00340A49"/>
    <w:rsid w:val="0035169A"/>
    <w:rsid w:val="0035259D"/>
    <w:rsid w:val="00364B18"/>
    <w:rsid w:val="00370E4B"/>
    <w:rsid w:val="003A125D"/>
    <w:rsid w:val="003A4C70"/>
    <w:rsid w:val="003B215F"/>
    <w:rsid w:val="003C799C"/>
    <w:rsid w:val="003D0399"/>
    <w:rsid w:val="003E1C71"/>
    <w:rsid w:val="003F327B"/>
    <w:rsid w:val="003F4289"/>
    <w:rsid w:val="00406166"/>
    <w:rsid w:val="0040704B"/>
    <w:rsid w:val="00410A55"/>
    <w:rsid w:val="00411300"/>
    <w:rsid w:val="00413F17"/>
    <w:rsid w:val="00415417"/>
    <w:rsid w:val="00426659"/>
    <w:rsid w:val="00450352"/>
    <w:rsid w:val="00454242"/>
    <w:rsid w:val="00454BDB"/>
    <w:rsid w:val="00465132"/>
    <w:rsid w:val="00473105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0D4C"/>
    <w:rsid w:val="00555291"/>
    <w:rsid w:val="00566A5F"/>
    <w:rsid w:val="00566AD1"/>
    <w:rsid w:val="00583EDE"/>
    <w:rsid w:val="005A6079"/>
    <w:rsid w:val="005E4698"/>
    <w:rsid w:val="005F2F1A"/>
    <w:rsid w:val="00603924"/>
    <w:rsid w:val="00610539"/>
    <w:rsid w:val="00613969"/>
    <w:rsid w:val="00625C35"/>
    <w:rsid w:val="006477B2"/>
    <w:rsid w:val="00647E49"/>
    <w:rsid w:val="00656313"/>
    <w:rsid w:val="006565F4"/>
    <w:rsid w:val="00675B5D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E0557"/>
    <w:rsid w:val="008F2674"/>
    <w:rsid w:val="008F5391"/>
    <w:rsid w:val="008F78E9"/>
    <w:rsid w:val="0090175C"/>
    <w:rsid w:val="00902DE8"/>
    <w:rsid w:val="00904D93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E2651"/>
    <w:rsid w:val="009F0E33"/>
    <w:rsid w:val="00A10B04"/>
    <w:rsid w:val="00A149DF"/>
    <w:rsid w:val="00A1690E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A33C7"/>
    <w:rsid w:val="00AB670D"/>
    <w:rsid w:val="00AF03C5"/>
    <w:rsid w:val="00B000D8"/>
    <w:rsid w:val="00B00F75"/>
    <w:rsid w:val="00B026ED"/>
    <w:rsid w:val="00B145B6"/>
    <w:rsid w:val="00B279EB"/>
    <w:rsid w:val="00B4507D"/>
    <w:rsid w:val="00B50C81"/>
    <w:rsid w:val="00B557F8"/>
    <w:rsid w:val="00B815FC"/>
    <w:rsid w:val="00B926B1"/>
    <w:rsid w:val="00B93FBC"/>
    <w:rsid w:val="00BA7DA0"/>
    <w:rsid w:val="00BB2EE4"/>
    <w:rsid w:val="00BB4C92"/>
    <w:rsid w:val="00BC2108"/>
    <w:rsid w:val="00BC6DCF"/>
    <w:rsid w:val="00BD0E9E"/>
    <w:rsid w:val="00BD1BEC"/>
    <w:rsid w:val="00BD32FF"/>
    <w:rsid w:val="00BF6FE9"/>
    <w:rsid w:val="00C02092"/>
    <w:rsid w:val="00C24D91"/>
    <w:rsid w:val="00C26DB2"/>
    <w:rsid w:val="00C42243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C133A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20D0"/>
    <w:rsid w:val="00D37115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3E33"/>
    <w:rsid w:val="00E45109"/>
    <w:rsid w:val="00E47B7A"/>
    <w:rsid w:val="00E56A44"/>
    <w:rsid w:val="00E60269"/>
    <w:rsid w:val="00E97830"/>
    <w:rsid w:val="00ED2613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28A9"/>
    <w:rsid w:val="00F84DF4"/>
    <w:rsid w:val="00F85C97"/>
    <w:rsid w:val="00FB37D2"/>
    <w:rsid w:val="00FC30DA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10B04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10B04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1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2021-02-28T20:36:00Z</dcterms:created>
  <dcterms:modified xsi:type="dcterms:W3CDTF">2021-03-01T19:02:00Z</dcterms:modified>
</cp:coreProperties>
</file>