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6"/>
        <w:gridCol w:w="1503"/>
        <w:gridCol w:w="3660"/>
        <w:gridCol w:w="21"/>
      </w:tblGrid>
      <w:tr w:rsidR="00426112" w:rsidTr="00335C88">
        <w:trPr>
          <w:trHeight w:val="1786"/>
        </w:trPr>
        <w:tc>
          <w:tcPr>
            <w:tcW w:w="5000" w:type="pct"/>
            <w:gridSpan w:val="4"/>
          </w:tcPr>
          <w:p w:rsidR="00426112" w:rsidRDefault="00426112" w:rsidP="00335C88">
            <w:pPr>
              <w:jc w:val="center"/>
            </w:pPr>
            <w:r w:rsidRPr="00C22905">
              <w:rPr>
                <w:rFonts w:eastAsia="Calibri"/>
                <w:szCs w:val="24"/>
                <w:lang w:eastAsia="en-US"/>
              </w:rPr>
              <w:object w:dxaOrig="136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4pt;height:64.8pt" o:ole="">
                  <v:imagedata r:id="rId6" o:title=""/>
                </v:shape>
                <o:OLEObject Type="Embed" ProgID="Presentations.Drawing.15" ShapeID="_x0000_i1027" DrawAspect="Content" ObjectID="_1704262828" r:id="rId7"/>
              </w:object>
            </w:r>
          </w:p>
          <w:p w:rsidR="00426112" w:rsidRDefault="00426112" w:rsidP="00335C88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COUR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 SUPRÊME DU</w:t>
            </w:r>
            <w:r w:rsidRPr="00C22905">
              <w:rPr>
                <w:rFonts w:eastAsia="Calibri"/>
                <w:b/>
                <w:szCs w:val="24"/>
                <w:lang w:eastAsia="en-US"/>
              </w:rPr>
              <w:t xml:space="preserve"> CANADA</w:t>
            </w:r>
          </w:p>
        </w:tc>
      </w:tr>
      <w:tr w:rsidR="00426112" w:rsidRPr="005539EF" w:rsidTr="00335C88">
        <w:trPr>
          <w:gridAfter w:val="1"/>
          <w:wAfter w:w="11" w:type="pct"/>
        </w:trPr>
        <w:tc>
          <w:tcPr>
            <w:tcW w:w="2231" w:type="pct"/>
            <w:tcMar>
              <w:top w:w="284" w:type="dxa"/>
            </w:tcMar>
          </w:tcPr>
          <w:p w:rsidR="00426112" w:rsidRPr="005539EF" w:rsidRDefault="00426112" w:rsidP="00335C88">
            <w:pPr>
              <w:spacing w:before="100" w:beforeAutospacing="1"/>
              <w:rPr>
                <w:rFonts w:eastAsia="Calibri"/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Référence :</w:t>
            </w:r>
            <w:r w:rsidRPr="00CB5B04">
              <w:rPr>
                <w:lang w:val="fr-CA"/>
              </w:rPr>
              <w:t xml:space="preserve"> </w:t>
            </w:r>
            <w:r w:rsidRPr="005539EF">
              <w:rPr>
                <w:lang w:val="fr-CA"/>
              </w:rPr>
              <w:t xml:space="preserve">Ontario (Procureure générale) </w:t>
            </w:r>
            <w:r w:rsidRPr="005539EF">
              <w:rPr>
                <w:i/>
                <w:lang w:val="fr-CA"/>
              </w:rPr>
              <w:t>c.</w:t>
            </w:r>
            <w:r w:rsidRPr="005539EF">
              <w:rPr>
                <w:lang w:val="fr-CA"/>
              </w:rPr>
              <w:t xml:space="preserve"> </w:t>
            </w:r>
            <w:r w:rsidRPr="005539EF">
              <w:rPr>
                <w:rStyle w:val="SCCAppellantForIndexChar"/>
                <w:b w:val="0"/>
                <w:lang w:val="fr-CA"/>
              </w:rPr>
              <w:t>G</w:t>
            </w:r>
            <w:r>
              <w:rPr>
                <w:lang w:val="fr-CA"/>
              </w:rPr>
              <w:t xml:space="preserve">, </w:t>
            </w:r>
            <w:r w:rsidRPr="00E4581E">
              <w:rPr>
                <w:lang w:val="fr-CA"/>
              </w:rPr>
              <w:t>201</w:t>
            </w:r>
            <w:r>
              <w:rPr>
                <w:lang w:val="fr-CA"/>
              </w:rPr>
              <w:t xml:space="preserve">9 CSC 36, </w:t>
            </w:r>
            <w:r>
              <w:rPr>
                <w:smallCaps/>
                <w:lang w:val="fr-CA"/>
              </w:rPr>
              <w:t xml:space="preserve">[2019] </w:t>
            </w:r>
            <w:r w:rsidRPr="00411EB2">
              <w:rPr>
                <w:lang w:val="fr-CA"/>
              </w:rPr>
              <w:t>2 R.C.S. 990</w:t>
            </w:r>
          </w:p>
        </w:tc>
        <w:tc>
          <w:tcPr>
            <w:tcW w:w="803" w:type="pct"/>
          </w:tcPr>
          <w:p w:rsidR="00426112" w:rsidRPr="00CB5B04" w:rsidRDefault="00426112" w:rsidP="00335C88">
            <w:pPr>
              <w:rPr>
                <w:b/>
                <w:smallCaps/>
                <w:lang w:val="fr-CA"/>
              </w:rPr>
            </w:pPr>
          </w:p>
        </w:tc>
        <w:tc>
          <w:tcPr>
            <w:tcW w:w="1955" w:type="pct"/>
            <w:tcMar>
              <w:top w:w="284" w:type="dxa"/>
            </w:tcMar>
          </w:tcPr>
          <w:p w:rsidR="00426112" w:rsidRPr="00CB5B04" w:rsidRDefault="00426112" w:rsidP="00335C88">
            <w:pPr>
              <w:rPr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Appel entendu :</w:t>
            </w:r>
            <w:r w:rsidRPr="00CB5B04">
              <w:rPr>
                <w:lang w:val="fr-CA"/>
              </w:rPr>
              <w:t xml:space="preserve"> </w:t>
            </w:r>
            <w:r>
              <w:rPr>
                <w:lang w:val="fr-CA"/>
              </w:rPr>
              <w:t>14 juin 2019</w:t>
            </w:r>
          </w:p>
          <w:p w:rsidR="00426112" w:rsidRPr="004A4030" w:rsidRDefault="00426112" w:rsidP="00335C88">
            <w:pPr>
              <w:rPr>
                <w:smallCaps/>
                <w:lang w:val="fr-CA"/>
              </w:rPr>
            </w:pPr>
            <w:r>
              <w:rPr>
                <w:b/>
                <w:smallCaps/>
                <w:lang w:val="fr-CA"/>
              </w:rPr>
              <w:t xml:space="preserve">Jugement rendu : </w:t>
            </w:r>
            <w:r>
              <w:rPr>
                <w:lang w:val="fr-CA"/>
              </w:rPr>
              <w:t>14 juin 2019</w:t>
            </w:r>
          </w:p>
          <w:p w:rsidR="00426112" w:rsidRPr="00A9085B" w:rsidRDefault="00426112" w:rsidP="00335C88">
            <w:pPr>
              <w:rPr>
                <w:rFonts w:eastAsia="Calibri"/>
                <w:lang w:val="fr-CA"/>
              </w:rPr>
            </w:pPr>
            <w:r w:rsidRPr="00A9085B">
              <w:rPr>
                <w:b/>
                <w:smallCaps/>
                <w:lang w:val="fr-CA"/>
              </w:rPr>
              <w:t>Dossier :</w:t>
            </w:r>
            <w:r w:rsidRPr="00A9085B">
              <w:rPr>
                <w:lang w:val="fr-CA"/>
              </w:rPr>
              <w:t xml:space="preserve"> </w:t>
            </w:r>
            <w:r>
              <w:rPr>
                <w:lang w:val="fr-CA"/>
              </w:rPr>
              <w:t>38585</w:t>
            </w:r>
          </w:p>
        </w:tc>
      </w:tr>
      <w:tr w:rsidR="00426112" w:rsidRPr="00934378" w:rsidTr="00335C88">
        <w:tc>
          <w:tcPr>
            <w:tcW w:w="5000" w:type="pct"/>
            <w:gridSpan w:val="4"/>
          </w:tcPr>
          <w:p w:rsidR="00426112" w:rsidRDefault="00426112" w:rsidP="00335C88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426112" w:rsidRDefault="00426112" w:rsidP="00335C88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Entre </w:t>
            </w:r>
            <w:r w:rsidRPr="004A4030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:</w:t>
            </w:r>
          </w:p>
          <w:p w:rsidR="00426112" w:rsidRPr="004A4030" w:rsidRDefault="00426112" w:rsidP="00335C88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  <w:p w:rsidR="00426112" w:rsidRPr="004A4030" w:rsidRDefault="00426112" w:rsidP="00335C88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5539EF">
              <w:rPr>
                <w:rFonts w:eastAsiaTheme="minorHAnsi" w:cstheme="minorBidi"/>
                <w:b/>
                <w:szCs w:val="24"/>
                <w:lang w:val="fr-CA" w:eastAsia="en-US"/>
              </w:rPr>
              <w:t>Procureure générale de l’Ontario</w:t>
            </w:r>
          </w:p>
          <w:p w:rsidR="00426112" w:rsidRDefault="00426112" w:rsidP="00335C88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934378">
              <w:rPr>
                <w:rFonts w:eastAsiaTheme="minorHAnsi" w:cstheme="minorBidi"/>
                <w:szCs w:val="24"/>
                <w:lang w:val="fr-CA" w:eastAsia="en-US"/>
              </w:rPr>
              <w:t>Requérante</w:t>
            </w:r>
          </w:p>
          <w:p w:rsidR="00426112" w:rsidRPr="004A4030" w:rsidRDefault="00426112" w:rsidP="00335C88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426112" w:rsidRDefault="00426112" w:rsidP="00335C88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szCs w:val="24"/>
                <w:lang w:val="fr-CA" w:eastAsia="en-US"/>
              </w:rPr>
              <w:t>et</w:t>
            </w:r>
          </w:p>
          <w:p w:rsidR="00426112" w:rsidRPr="004A4030" w:rsidRDefault="00426112" w:rsidP="00335C88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426112" w:rsidRPr="004A4030" w:rsidRDefault="00426112" w:rsidP="00335C88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b/>
                <w:szCs w:val="24"/>
                <w:lang w:val="fr-CA" w:eastAsia="en-US"/>
              </w:rPr>
              <w:t>G</w:t>
            </w:r>
          </w:p>
          <w:p w:rsidR="00426112" w:rsidRDefault="00426112" w:rsidP="00335C88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szCs w:val="24"/>
                <w:lang w:val="fr-CA" w:eastAsia="en-US"/>
              </w:rPr>
              <w:t>Intimé</w:t>
            </w:r>
          </w:p>
          <w:p w:rsidR="00426112" w:rsidRDefault="00426112" w:rsidP="00335C88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426112" w:rsidRDefault="00426112" w:rsidP="00335C88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426112" w:rsidRDefault="00426112" w:rsidP="00335C88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426112" w:rsidRPr="002F635B" w:rsidRDefault="00426112" w:rsidP="00335C88">
            <w:pPr>
              <w:jc w:val="center"/>
              <w:rPr>
                <w:b/>
                <w:smallCaps/>
                <w:lang w:val="fr-CA"/>
              </w:rPr>
            </w:pPr>
            <w:r w:rsidRPr="002F635B">
              <w:rPr>
                <w:b/>
                <w:smallCaps/>
                <w:lang w:val="fr-CA"/>
              </w:rPr>
              <w:t>Traduction française officielle</w:t>
            </w:r>
          </w:p>
          <w:p w:rsidR="00426112" w:rsidRPr="004A4030" w:rsidRDefault="00426112" w:rsidP="00335C88">
            <w:pPr>
              <w:rPr>
                <w:b/>
                <w:smallCaps/>
                <w:lang w:val="fr-CA"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610"/>
        <w:gridCol w:w="6750"/>
      </w:tblGrid>
      <w:tr w:rsidR="00426112" w:rsidRPr="00C22905" w:rsidTr="00335C88">
        <w:trPr>
          <w:cantSplit/>
          <w:trHeight w:val="319"/>
        </w:trPr>
        <w:tc>
          <w:tcPr>
            <w:tcW w:w="5000" w:type="pct"/>
            <w:gridSpan w:val="2"/>
            <w:tcMar>
              <w:top w:w="284" w:type="dxa"/>
              <w:bottom w:w="57" w:type="dxa"/>
            </w:tcMar>
          </w:tcPr>
          <w:p w:rsidR="00426112" w:rsidRPr="00C22905" w:rsidRDefault="00426112" w:rsidP="00335C88">
            <w:pPr>
              <w:spacing w:after="120"/>
            </w:pPr>
            <w:r w:rsidRPr="006B210C">
              <w:rPr>
                <w:b/>
                <w:smallCaps/>
              </w:rPr>
              <w:t>Coram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 xml:space="preserve">Le </w:t>
            </w:r>
            <w:proofErr w:type="spellStart"/>
            <w:r>
              <w:t>juge</w:t>
            </w:r>
            <w:proofErr w:type="spellEnd"/>
            <w:r>
              <w:t xml:space="preserve"> </w:t>
            </w:r>
            <w:proofErr w:type="spellStart"/>
            <w:r>
              <w:t>Moldaver</w:t>
            </w:r>
            <w:proofErr w:type="spellEnd"/>
          </w:p>
        </w:tc>
      </w:tr>
      <w:tr w:rsidR="00426112" w:rsidRPr="00C22905" w:rsidTr="00E15D7C">
        <w:trPr>
          <w:cantSplit/>
          <w:trHeight w:val="720"/>
        </w:trPr>
        <w:tc>
          <w:tcPr>
            <w:tcW w:w="1394" w:type="pct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426112" w:rsidRPr="007B3D74" w:rsidRDefault="00426112" w:rsidP="00335C88">
            <w:pPr>
              <w:rPr>
                <w:b/>
                <w:smallCaps/>
                <w:lang w:val="fr-CA"/>
              </w:rPr>
            </w:pPr>
            <w:r w:rsidRPr="002F635B">
              <w:rPr>
                <w:b/>
                <w:smallCaps/>
                <w:lang w:val="fr-CA"/>
              </w:rPr>
              <w:t>Motifs de jugement :</w:t>
            </w:r>
          </w:p>
          <w:p w:rsidR="00426112" w:rsidRPr="00934378" w:rsidRDefault="00426112" w:rsidP="00335C88">
            <w:pPr>
              <w:rPr>
                <w:b/>
                <w:smallCaps/>
                <w:lang w:val="fr-CA"/>
              </w:rPr>
            </w:pPr>
            <w:r w:rsidRPr="007B3D74">
              <w:rPr>
                <w:lang w:val="fr-CA"/>
              </w:rPr>
              <w:t>(par. 1</w:t>
            </w:r>
            <w:r>
              <w:rPr>
                <w:lang w:val="fr-CA"/>
              </w:rPr>
              <w:t xml:space="preserve"> </w:t>
            </w:r>
            <w:r w:rsidRPr="00B77470">
              <w:rPr>
                <w:lang w:val="fr-CA"/>
              </w:rPr>
              <w:t xml:space="preserve">à </w:t>
            </w:r>
            <w:r>
              <w:rPr>
                <w:lang w:val="fr-CA"/>
              </w:rPr>
              <w:t>6</w:t>
            </w:r>
            <w:r w:rsidRPr="00B77470">
              <w:rPr>
                <w:lang w:val="fr-CA"/>
              </w:rPr>
              <w:t>)</w:t>
            </w:r>
          </w:p>
        </w:tc>
        <w:tc>
          <w:tcPr>
            <w:tcW w:w="3606" w:type="pct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426112" w:rsidRPr="00E42546" w:rsidRDefault="00426112" w:rsidP="00335C88">
            <w:pPr>
              <w:rPr>
                <w:smallCaps/>
              </w:rPr>
            </w:pPr>
            <w:r>
              <w:rPr>
                <w:lang w:val="fr-CA"/>
              </w:rPr>
              <w:t xml:space="preserve">Le juge </w:t>
            </w:r>
            <w:proofErr w:type="spellStart"/>
            <w:r>
              <w:rPr>
                <w:lang w:val="fr-CA"/>
              </w:rPr>
              <w:t>Moldaver</w:t>
            </w:r>
            <w:proofErr w:type="spellEnd"/>
          </w:p>
        </w:tc>
      </w:tr>
    </w:tbl>
    <w:p w:rsidR="00426112" w:rsidRDefault="00426112" w:rsidP="00426112"/>
    <w:p w:rsidR="00426112" w:rsidRDefault="00426112" w:rsidP="0042611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426112" w:rsidRPr="001A07BA" w:rsidTr="00335C88">
        <w:tc>
          <w:tcPr>
            <w:tcW w:w="1500" w:type="pct"/>
            <w:tcMar>
              <w:top w:w="284" w:type="dxa"/>
            </w:tcMar>
          </w:tcPr>
          <w:p w:rsidR="00426112" w:rsidRPr="00A9085B" w:rsidRDefault="00426112" w:rsidP="00335C88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426112" w:rsidRPr="00A9085B" w:rsidRDefault="00426112" w:rsidP="00335C88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426112" w:rsidRPr="00A9085B" w:rsidRDefault="00426112" w:rsidP="00335C88">
            <w:pPr>
              <w:rPr>
                <w:rFonts w:eastAsia="Calibri"/>
                <w:szCs w:val="24"/>
                <w:lang w:val="fr-CA" w:eastAsia="en-US"/>
              </w:rPr>
            </w:pPr>
          </w:p>
        </w:tc>
      </w:tr>
    </w:tbl>
    <w:p w:rsidR="002F635B" w:rsidRDefault="002F635B" w:rsidP="00272587">
      <w:pPr>
        <w:spacing w:after="720"/>
      </w:pPr>
    </w:p>
    <w:p w:rsidR="00411EB2" w:rsidRPr="00411EB2" w:rsidRDefault="00411EB2" w:rsidP="00411EB2">
      <w:pPr>
        <w:spacing w:after="720"/>
        <w:jc w:val="both"/>
        <w:rPr>
          <w:lang w:val="fr-CA"/>
        </w:rPr>
      </w:pPr>
      <w:r w:rsidRPr="00411EB2">
        <w:rPr>
          <w:lang w:val="fr-CA"/>
        </w:rPr>
        <w:t xml:space="preserve">Ontario (Procureure générale) </w:t>
      </w:r>
      <w:r w:rsidRPr="00411EB2">
        <w:rPr>
          <w:i/>
          <w:lang w:val="fr-CA"/>
        </w:rPr>
        <w:t>c.</w:t>
      </w:r>
      <w:r w:rsidRPr="00411EB2">
        <w:rPr>
          <w:lang w:val="fr-CA"/>
        </w:rPr>
        <w:t xml:space="preserve"> </w:t>
      </w:r>
      <w:r w:rsidRPr="00411EB2">
        <w:rPr>
          <w:rStyle w:val="SCCAppellantForIndexChar"/>
          <w:b w:val="0"/>
          <w:lang w:val="fr-CA"/>
        </w:rPr>
        <w:t>G</w:t>
      </w:r>
      <w:r w:rsidR="002F635B" w:rsidRPr="00A208F5">
        <w:rPr>
          <w:rStyle w:val="SCCAppellantForRunningHeadChar"/>
          <w:lang w:val="fr-CA"/>
        </w:rPr>
        <w:t>,</w:t>
      </w:r>
      <w:r w:rsidR="002F635B" w:rsidRPr="00411EB2">
        <w:rPr>
          <w:rStyle w:val="SCCAppellantForRunningHeadChar"/>
          <w:lang w:val="fr-CA"/>
        </w:rPr>
        <w:t xml:space="preserve"> </w:t>
      </w:r>
      <w:r w:rsidR="002F635B" w:rsidRPr="00411EB2">
        <w:rPr>
          <w:smallCaps/>
          <w:lang w:val="fr-CA"/>
        </w:rPr>
        <w:t xml:space="preserve">2019 CSC 36, </w:t>
      </w:r>
      <w:r w:rsidR="00E13E96">
        <w:rPr>
          <w:smallCaps/>
          <w:lang w:val="fr-CA"/>
        </w:rPr>
        <w:t xml:space="preserve">[2019] </w:t>
      </w:r>
      <w:r w:rsidR="002F635B" w:rsidRPr="00411EB2">
        <w:rPr>
          <w:lang w:val="fr-CA"/>
        </w:rPr>
        <w:t>2 R.C.S. 990</w:t>
      </w:r>
    </w:p>
    <w:p w:rsidR="00E13E96" w:rsidRPr="00B376D9" w:rsidRDefault="00E13E96" w:rsidP="00E13E96">
      <w:pPr>
        <w:pStyle w:val="SCCLsocLastPartyInRole"/>
        <w:rPr>
          <w:lang w:val="fr-CA"/>
        </w:rPr>
      </w:pPr>
      <w:r w:rsidRPr="00B376D9">
        <w:rPr>
          <w:lang w:val="fr-CA"/>
        </w:rPr>
        <w:t>Procureure générale de l’Ontario</w:t>
      </w:r>
      <w:r w:rsidRPr="00B376D9">
        <w:rPr>
          <w:rStyle w:val="SCCLsocPartyRole"/>
          <w:lang w:val="fr-CA"/>
        </w:rPr>
        <w:tab/>
        <w:t>Requérante</w:t>
      </w:r>
    </w:p>
    <w:p w:rsidR="00E13E96" w:rsidRPr="00B376D9" w:rsidRDefault="00E13E96" w:rsidP="00E13E96">
      <w:pPr>
        <w:pStyle w:val="SCCLsocVersus"/>
        <w:rPr>
          <w:lang w:val="fr-CA"/>
        </w:rPr>
      </w:pPr>
      <w:proofErr w:type="gramStart"/>
      <w:r w:rsidRPr="00B376D9">
        <w:rPr>
          <w:lang w:val="fr-CA"/>
        </w:rPr>
        <w:lastRenderedPageBreak/>
        <w:t>c</w:t>
      </w:r>
      <w:proofErr w:type="gramEnd"/>
      <w:r w:rsidRPr="00B376D9">
        <w:rPr>
          <w:lang w:val="fr-CA"/>
        </w:rPr>
        <w:t>.</w:t>
      </w:r>
    </w:p>
    <w:p w:rsidR="00E13E96" w:rsidRPr="00B376D9" w:rsidRDefault="00E13E96" w:rsidP="00E13E96">
      <w:pPr>
        <w:pStyle w:val="SCCLsocLastPartyInRole"/>
        <w:rPr>
          <w:lang w:val="fr-CA"/>
        </w:rPr>
      </w:pPr>
      <w:r w:rsidRPr="00B376D9">
        <w:rPr>
          <w:lang w:val="fr-CA"/>
        </w:rPr>
        <w:t>G</w:t>
      </w:r>
      <w:r w:rsidRPr="00B376D9">
        <w:rPr>
          <w:rStyle w:val="SCCLsocPartyRole"/>
          <w:lang w:val="fr-CA"/>
        </w:rPr>
        <w:tab/>
        <w:t>Intimé</w:t>
      </w:r>
    </w:p>
    <w:p w:rsidR="00E13E96" w:rsidRDefault="00E13E96" w:rsidP="00E13E96">
      <w:pPr>
        <w:jc w:val="both"/>
        <w:rPr>
          <w:lang w:val="fr-CA"/>
        </w:rPr>
      </w:pPr>
    </w:p>
    <w:p w:rsidR="00E13E96" w:rsidRPr="00B376D9" w:rsidRDefault="00E13E96" w:rsidP="00E13E96">
      <w:pPr>
        <w:jc w:val="both"/>
        <w:rPr>
          <w:lang w:val="fr-CA"/>
        </w:rPr>
      </w:pPr>
    </w:p>
    <w:p w:rsidR="00E13E96" w:rsidRPr="00E4581E" w:rsidRDefault="00E13E96" w:rsidP="00E13E96">
      <w:pPr>
        <w:jc w:val="both"/>
        <w:rPr>
          <w:b/>
          <w:lang w:val="fr-CA"/>
        </w:rPr>
      </w:pPr>
      <w:r w:rsidRPr="00B376D9">
        <w:rPr>
          <w:b/>
          <w:lang w:val="fr-CA"/>
        </w:rPr>
        <w:t xml:space="preserve">Répertorié : Ontario (Procureure générale) </w:t>
      </w:r>
      <w:r w:rsidRPr="00B376D9">
        <w:rPr>
          <w:b/>
          <w:i/>
          <w:lang w:val="fr-CA"/>
        </w:rPr>
        <w:t>c.</w:t>
      </w:r>
      <w:r w:rsidRPr="00B376D9">
        <w:rPr>
          <w:b/>
          <w:lang w:val="fr-CA"/>
        </w:rPr>
        <w:t xml:space="preserve"> </w:t>
      </w:r>
      <w:r w:rsidRPr="00B376D9">
        <w:rPr>
          <w:rStyle w:val="SCCAppellantForIndexChar"/>
          <w:lang w:val="fr-CA"/>
        </w:rPr>
        <w:t>G</w:t>
      </w:r>
    </w:p>
    <w:p w:rsidR="00E13E96" w:rsidRPr="00E4581E" w:rsidRDefault="00E13E96" w:rsidP="00E13E96">
      <w:pPr>
        <w:jc w:val="both"/>
        <w:rPr>
          <w:lang w:val="fr-CA"/>
        </w:rPr>
      </w:pPr>
    </w:p>
    <w:p w:rsidR="00E13E96" w:rsidRPr="00E4581E" w:rsidRDefault="00E13E96" w:rsidP="00E13E96">
      <w:pPr>
        <w:jc w:val="both"/>
        <w:rPr>
          <w:lang w:val="fr-CA"/>
        </w:rPr>
      </w:pPr>
    </w:p>
    <w:p w:rsidR="00E13E96" w:rsidRPr="00E4581E" w:rsidRDefault="00E13E96" w:rsidP="00E13E96">
      <w:pPr>
        <w:jc w:val="both"/>
        <w:rPr>
          <w:lang w:val="fr-CA"/>
        </w:rPr>
      </w:pPr>
    </w:p>
    <w:p w:rsidR="00E13E96" w:rsidRPr="00E4581E" w:rsidRDefault="00E13E96" w:rsidP="00E13E96">
      <w:pPr>
        <w:pStyle w:val="SCCSystemYear"/>
        <w:jc w:val="both"/>
        <w:rPr>
          <w:lang w:val="fr-CA"/>
        </w:rPr>
      </w:pPr>
      <w:r w:rsidRPr="00E4581E">
        <w:rPr>
          <w:lang w:val="fr-CA"/>
        </w:rPr>
        <w:t>201</w:t>
      </w:r>
      <w:r>
        <w:rPr>
          <w:lang w:val="fr-CA"/>
        </w:rPr>
        <w:t>9 CSC 36</w:t>
      </w:r>
    </w:p>
    <w:p w:rsidR="00E13E96" w:rsidRPr="00E4581E" w:rsidRDefault="00E13E96" w:rsidP="00E13E96">
      <w:pPr>
        <w:jc w:val="both"/>
        <w:rPr>
          <w:lang w:val="fr-CA"/>
        </w:rPr>
      </w:pPr>
    </w:p>
    <w:p w:rsidR="00E13E96" w:rsidRPr="00E4581E" w:rsidRDefault="00E13E96" w:rsidP="00E13E96">
      <w:pPr>
        <w:jc w:val="both"/>
        <w:rPr>
          <w:lang w:val="fr-CA"/>
        </w:rPr>
      </w:pPr>
    </w:p>
    <w:p w:rsidR="00E13E96" w:rsidRPr="00E4581E" w:rsidRDefault="00E13E96" w:rsidP="00E13E96">
      <w:pPr>
        <w:jc w:val="both"/>
        <w:rPr>
          <w:lang w:val="fr-CA"/>
        </w:rPr>
      </w:pPr>
    </w:p>
    <w:p w:rsidR="00E13E96" w:rsidRPr="00E4581E" w:rsidRDefault="00E13E96" w:rsidP="00E13E96">
      <w:pPr>
        <w:jc w:val="both"/>
        <w:rPr>
          <w:lang w:val="fr-CA"/>
        </w:rPr>
      </w:pPr>
      <w:r w:rsidRPr="00E4581E">
        <w:rPr>
          <w:lang w:val="fr-CA"/>
        </w:rPr>
        <w:t>N</w:t>
      </w:r>
      <w:r w:rsidRPr="00E4581E">
        <w:rPr>
          <w:vertAlign w:val="superscript"/>
          <w:lang w:val="fr-CA"/>
        </w:rPr>
        <w:t>o</w:t>
      </w:r>
      <w:r>
        <w:rPr>
          <w:lang w:val="fr-CA"/>
        </w:rPr>
        <w:t xml:space="preserve"> du greffe : 38585</w:t>
      </w:r>
      <w:r w:rsidRPr="00E4581E">
        <w:rPr>
          <w:lang w:val="fr-CA"/>
        </w:rPr>
        <w:t>.</w:t>
      </w:r>
    </w:p>
    <w:p w:rsidR="00E13E96" w:rsidRPr="00E4581E" w:rsidRDefault="00E13E96" w:rsidP="00E13E96">
      <w:pPr>
        <w:jc w:val="both"/>
        <w:rPr>
          <w:lang w:val="fr-CA"/>
        </w:rPr>
      </w:pPr>
    </w:p>
    <w:p w:rsidR="00E13E96" w:rsidRPr="00E4581E" w:rsidRDefault="00E13E96" w:rsidP="00E13E96">
      <w:pPr>
        <w:jc w:val="both"/>
        <w:rPr>
          <w:lang w:val="fr-CA"/>
        </w:rPr>
      </w:pPr>
    </w:p>
    <w:p w:rsidR="00E13E96" w:rsidRPr="00E4581E" w:rsidRDefault="00E13E96" w:rsidP="00E13E96">
      <w:pPr>
        <w:jc w:val="both"/>
        <w:rPr>
          <w:lang w:val="fr-CA"/>
        </w:rPr>
      </w:pPr>
    </w:p>
    <w:p w:rsidR="00E13E96" w:rsidRPr="00E4581E" w:rsidRDefault="00E13E96" w:rsidP="00E13E96">
      <w:pPr>
        <w:jc w:val="both"/>
        <w:rPr>
          <w:lang w:val="fr-CA"/>
        </w:rPr>
      </w:pPr>
      <w:r>
        <w:rPr>
          <w:lang w:val="fr-CA"/>
        </w:rPr>
        <w:t>2019 </w:t>
      </w:r>
      <w:r>
        <w:rPr>
          <w:lang w:val="fr-CA"/>
        </w:rPr>
        <w:t>: 14 juin.</w:t>
      </w:r>
    </w:p>
    <w:p w:rsidR="00E13E96" w:rsidRPr="00E4581E" w:rsidRDefault="00E13E96" w:rsidP="00E13E96">
      <w:pPr>
        <w:jc w:val="both"/>
        <w:rPr>
          <w:lang w:val="fr-CA"/>
        </w:rPr>
      </w:pPr>
    </w:p>
    <w:p w:rsidR="00E13E96" w:rsidRPr="00E4581E" w:rsidRDefault="00E13E96" w:rsidP="00E13E96">
      <w:pPr>
        <w:jc w:val="both"/>
        <w:rPr>
          <w:lang w:val="fr-CA"/>
        </w:rPr>
      </w:pPr>
    </w:p>
    <w:p w:rsidR="00E13E96" w:rsidRDefault="00E13E96" w:rsidP="00E13E96">
      <w:pPr>
        <w:jc w:val="both"/>
        <w:rPr>
          <w:lang w:val="fr-CA"/>
        </w:rPr>
      </w:pPr>
      <w:r>
        <w:rPr>
          <w:lang w:val="fr-CA"/>
        </w:rPr>
        <w:t xml:space="preserve">Présent : Le juge </w:t>
      </w:r>
      <w:proofErr w:type="spellStart"/>
      <w:r>
        <w:rPr>
          <w:lang w:val="fr-CA"/>
        </w:rPr>
        <w:t>Moldaver</w:t>
      </w:r>
      <w:proofErr w:type="spellEnd"/>
      <w:r>
        <w:rPr>
          <w:lang w:val="fr-CA"/>
        </w:rPr>
        <w:t>.</w:t>
      </w:r>
    </w:p>
    <w:p w:rsidR="00E13E96" w:rsidRPr="00E4581E" w:rsidRDefault="00E13E96" w:rsidP="00E13E96">
      <w:pPr>
        <w:jc w:val="both"/>
        <w:rPr>
          <w:lang w:val="fr-CA"/>
        </w:rPr>
      </w:pPr>
    </w:p>
    <w:p w:rsidR="00E13E96" w:rsidRDefault="00E13E96" w:rsidP="00E13E96">
      <w:pPr>
        <w:jc w:val="both"/>
        <w:rPr>
          <w:lang w:val="fr-CA"/>
        </w:rPr>
      </w:pPr>
    </w:p>
    <w:p w:rsidR="00E13E96" w:rsidRPr="00910EF0" w:rsidRDefault="00E13E96" w:rsidP="00E13E96">
      <w:pPr>
        <w:jc w:val="both"/>
        <w:rPr>
          <w:smallCaps/>
          <w:lang w:val="fr-CA"/>
        </w:rPr>
      </w:pPr>
      <w:r w:rsidRPr="00910EF0">
        <w:rPr>
          <w:smallCaps/>
          <w:lang w:val="fr-CA"/>
        </w:rPr>
        <w:t xml:space="preserve">requête en sursis à la prise d’effet d’une exemption </w:t>
      </w:r>
      <w:r>
        <w:rPr>
          <w:smallCaps/>
          <w:lang w:val="fr-CA"/>
        </w:rPr>
        <w:t>à l’égard de</w:t>
      </w:r>
      <w:r w:rsidRPr="00910EF0">
        <w:rPr>
          <w:smallCaps/>
          <w:lang w:val="fr-CA"/>
        </w:rPr>
        <w:t xml:space="preserve"> la suspension d’une déclaration d’in</w:t>
      </w:r>
      <w:r>
        <w:rPr>
          <w:smallCaps/>
          <w:lang w:val="fr-CA"/>
        </w:rPr>
        <w:t>valid</w:t>
      </w:r>
      <w:r w:rsidRPr="00910EF0">
        <w:rPr>
          <w:smallCaps/>
          <w:lang w:val="fr-CA"/>
        </w:rPr>
        <w:t>ité</w:t>
      </w:r>
    </w:p>
    <w:p w:rsidR="00E13E96" w:rsidRPr="00910EF0" w:rsidRDefault="00E13E96" w:rsidP="00E13E96">
      <w:pPr>
        <w:spacing w:line="480" w:lineRule="auto"/>
        <w:jc w:val="both"/>
        <w:rPr>
          <w:lang w:val="fr-CA"/>
        </w:rPr>
      </w:pPr>
    </w:p>
    <w:p w:rsidR="00E13E96" w:rsidRPr="00910EF0" w:rsidRDefault="00E13E96" w:rsidP="00E13E96">
      <w:pPr>
        <w:spacing w:line="480" w:lineRule="auto"/>
        <w:jc w:val="both"/>
        <w:rPr>
          <w:lang w:val="fr-CA"/>
        </w:rPr>
      </w:pPr>
    </w:p>
    <w:p w:rsidR="00E13E96" w:rsidRPr="0087795F" w:rsidRDefault="00E13E96" w:rsidP="00E13E96">
      <w:pPr>
        <w:pStyle w:val="SCCNormalDoubleSpacing"/>
        <w:rPr>
          <w:i/>
          <w:lang w:val="fr-CA"/>
        </w:rPr>
      </w:pPr>
      <w:r w:rsidRPr="00910EF0">
        <w:rPr>
          <w:lang w:val="fr-CA"/>
        </w:rPr>
        <w:tab/>
      </w:r>
      <w:r w:rsidRPr="00910EF0">
        <w:rPr>
          <w:i/>
          <w:lang w:val="fr-CA"/>
        </w:rPr>
        <w:t>Jugements et ordonnances — Sursis à l’exécution — Exemption de la période de suspension d’une déclaration d’invalidité — Déclaration de la Cour d’appel portant que certaines dispositions législatives provinciales et fédérales relatives aux registres de délinquants sexuels sont inopérantes à l’égard de toute personne qui a été jugée non criminellement responsable pour cause de troubles mentaux et a obtenu subséquemment une absolution inconditionnelle —</w:t>
      </w:r>
      <w:r>
        <w:rPr>
          <w:i/>
          <w:lang w:val="fr-CA"/>
        </w:rPr>
        <w:t xml:space="preserve"> </w:t>
      </w:r>
      <w:r w:rsidRPr="00910EF0">
        <w:rPr>
          <w:i/>
          <w:lang w:val="fr-CA"/>
        </w:rPr>
        <w:t>Cour d’appel suspendant pendant 12 mois l’effet de la dé</w:t>
      </w:r>
      <w:r>
        <w:rPr>
          <w:i/>
          <w:lang w:val="fr-CA"/>
        </w:rPr>
        <w:t>claration d’invalidité</w:t>
      </w:r>
      <w:r w:rsidRPr="00910EF0">
        <w:rPr>
          <w:i/>
          <w:lang w:val="fr-CA"/>
        </w:rPr>
        <w:t xml:space="preserve"> mais exemptant l’intimé de cette période de suspension</w:t>
      </w:r>
      <w:r>
        <w:rPr>
          <w:i/>
          <w:lang w:val="fr-CA"/>
        </w:rPr>
        <w:t>,</w:t>
      </w:r>
      <w:r w:rsidRPr="00910EF0">
        <w:rPr>
          <w:i/>
          <w:lang w:val="fr-CA"/>
        </w:rPr>
        <w:t xml:space="preserve"> et rejetant </w:t>
      </w:r>
      <w:r>
        <w:rPr>
          <w:i/>
          <w:lang w:val="fr-CA"/>
        </w:rPr>
        <w:t xml:space="preserve">ultérieurement </w:t>
      </w:r>
      <w:r w:rsidRPr="00910EF0">
        <w:rPr>
          <w:i/>
          <w:lang w:val="fr-CA"/>
        </w:rPr>
        <w:t xml:space="preserve">la requête de la procureure générale de </w:t>
      </w:r>
      <w:r w:rsidRPr="00910EF0">
        <w:rPr>
          <w:i/>
          <w:lang w:val="fr-CA"/>
        </w:rPr>
        <w:lastRenderedPageBreak/>
        <w:t>l’Ontario demandant qu’il soit sursis à l’exemption accordée — Présentation par la procureure générale de l’Ontario d’une demande sollicitant l’autorisation de faire appel de l’arrêt de la Cour d’appel relativement à la loi provinciale et d’une requête en sursis à la prise d’effet de l’exemption individuelle accordée à l’intimé jusqu’à ce qu’il ait été statué sur la demande d’autorisation d’appel ou sur l’appel si l’autorisation d’appeler est octroyée — Absence de circonstance spéciale justifiant de réexaminer le refus de la Cour d’appel d’accorder un sursis — Absence de preuve de préjudice irréparable — Sursis refusé.</w:t>
      </w:r>
    </w:p>
    <w:p w:rsidR="00E13E96" w:rsidRDefault="00E13E96" w:rsidP="00E13E96">
      <w:pPr>
        <w:pStyle w:val="SCCNormalDoubleSpacing"/>
        <w:rPr>
          <w:lang w:val="fr-CA"/>
        </w:rPr>
      </w:pPr>
    </w:p>
    <w:p w:rsidR="00E13E96" w:rsidRDefault="00E13E96" w:rsidP="00E13E96">
      <w:pPr>
        <w:pStyle w:val="SCCNormalDoubleSpacing"/>
        <w:rPr>
          <w:lang w:val="fr-CA"/>
        </w:rPr>
      </w:pPr>
    </w:p>
    <w:p w:rsidR="00E13E96" w:rsidRDefault="00E13E96" w:rsidP="00E13E96">
      <w:pPr>
        <w:pStyle w:val="SCCNormalDoubleSpacing"/>
        <w:spacing w:after="480"/>
        <w:rPr>
          <w:b/>
          <w:lang w:val="fr-CA"/>
        </w:rPr>
      </w:pPr>
      <w:r w:rsidRPr="00862E8B">
        <w:rPr>
          <w:b/>
          <w:lang w:val="fr-CA"/>
        </w:rPr>
        <w:t xml:space="preserve">Jurisprudence </w:t>
      </w:r>
    </w:p>
    <w:p w:rsidR="00E13E96" w:rsidRPr="002D1793" w:rsidRDefault="00E13E96" w:rsidP="00E13E96">
      <w:pPr>
        <w:pStyle w:val="SCCNormalDoubleSpacing"/>
        <w:rPr>
          <w:lang w:val="fr-CA"/>
        </w:rPr>
      </w:pPr>
      <w:r w:rsidRPr="002D1793">
        <w:rPr>
          <w:i/>
          <w:lang w:val="fr-CA"/>
        </w:rPr>
        <w:tab/>
      </w:r>
      <w:r w:rsidRPr="00842D2B">
        <w:rPr>
          <w:b/>
          <w:lang w:val="fr-CA"/>
        </w:rPr>
        <w:t>Arrêt appliqué :</w:t>
      </w:r>
      <w:r>
        <w:rPr>
          <w:b/>
          <w:i/>
          <w:lang w:val="fr-CA"/>
        </w:rPr>
        <w:t xml:space="preserve"> </w:t>
      </w:r>
      <w:proofErr w:type="spellStart"/>
      <w:r w:rsidRPr="002D1793">
        <w:rPr>
          <w:i/>
          <w:lang w:val="fr-CA"/>
        </w:rPr>
        <w:t>Esmail</w:t>
      </w:r>
      <w:proofErr w:type="spellEnd"/>
      <w:r w:rsidRPr="002D1793">
        <w:rPr>
          <w:i/>
          <w:lang w:val="fr-CA"/>
        </w:rPr>
        <w:t xml:space="preserve"> c. Petro-Canada</w:t>
      </w:r>
      <w:r w:rsidRPr="002D1793">
        <w:rPr>
          <w:lang w:val="fr-CA"/>
        </w:rPr>
        <w:t>, [1997] 2 R.C.S. 3.</w:t>
      </w:r>
    </w:p>
    <w:p w:rsidR="00E13E96" w:rsidRDefault="00E13E96" w:rsidP="00E13E96">
      <w:pPr>
        <w:pStyle w:val="SCCNormalDoubleSpacing"/>
        <w:rPr>
          <w:lang w:val="fr-CA"/>
        </w:rPr>
      </w:pPr>
    </w:p>
    <w:p w:rsidR="00E13E96" w:rsidRDefault="00E13E96" w:rsidP="00E13E96">
      <w:pPr>
        <w:pStyle w:val="SCCNormalDoubleSpacing"/>
        <w:rPr>
          <w:lang w:val="fr-CA"/>
        </w:rPr>
      </w:pPr>
    </w:p>
    <w:p w:rsidR="00E13E96" w:rsidRDefault="00E13E96" w:rsidP="00E13E96">
      <w:pPr>
        <w:pStyle w:val="SCCNormalDoubleSpacing"/>
        <w:spacing w:after="480"/>
        <w:ind w:left="547" w:hanging="547"/>
        <w:rPr>
          <w:b/>
          <w:lang w:val="fr-CA"/>
        </w:rPr>
      </w:pPr>
      <w:r>
        <w:rPr>
          <w:b/>
          <w:lang w:val="fr-CA"/>
        </w:rPr>
        <w:t>Lois et règlements cités</w:t>
      </w:r>
    </w:p>
    <w:p w:rsidR="00E13E96" w:rsidRPr="00862E8B" w:rsidRDefault="00E13E96" w:rsidP="00E13E96">
      <w:pPr>
        <w:pStyle w:val="SCCNormalDoubleSpacing"/>
        <w:spacing w:after="480"/>
        <w:ind w:left="547" w:hanging="547"/>
        <w:rPr>
          <w:lang w:val="fr-CA"/>
        </w:rPr>
      </w:pPr>
      <w:r>
        <w:rPr>
          <w:i/>
          <w:lang w:val="fr-CA"/>
        </w:rPr>
        <w:t>Charte canadienne des droits et libertés</w:t>
      </w:r>
      <w:r>
        <w:rPr>
          <w:lang w:val="fr-CA"/>
        </w:rPr>
        <w:t>, art. 15(1).</w:t>
      </w:r>
    </w:p>
    <w:p w:rsidR="00E13E96" w:rsidRPr="00910EF0" w:rsidRDefault="00E13E96" w:rsidP="00E13E96">
      <w:pPr>
        <w:spacing w:line="480" w:lineRule="auto"/>
        <w:ind w:firstLine="1170"/>
        <w:jc w:val="both"/>
        <w:rPr>
          <w:lang w:val="fr-CA"/>
        </w:rPr>
      </w:pPr>
      <w:r w:rsidRPr="00910EF0">
        <w:rPr>
          <w:lang w:val="fr-CA"/>
        </w:rPr>
        <w:t xml:space="preserve">REQUÊTE en sursis à la prise d’effet d’une partie d’un arrêt de la Cour d’appel de l’Ontario (les juges Doherty, van </w:t>
      </w:r>
      <w:proofErr w:type="spellStart"/>
      <w:r w:rsidRPr="00910EF0">
        <w:rPr>
          <w:lang w:val="fr-CA"/>
        </w:rPr>
        <w:t>Rensburg</w:t>
      </w:r>
      <w:proofErr w:type="spellEnd"/>
      <w:r w:rsidRPr="00910EF0">
        <w:rPr>
          <w:lang w:val="fr-CA"/>
        </w:rPr>
        <w:t xml:space="preserve"> et </w:t>
      </w:r>
      <w:proofErr w:type="spellStart"/>
      <w:r w:rsidRPr="00910EF0">
        <w:rPr>
          <w:lang w:val="fr-CA"/>
        </w:rPr>
        <w:t>Hourigan</w:t>
      </w:r>
      <w:proofErr w:type="spellEnd"/>
      <w:r w:rsidRPr="00910EF0">
        <w:rPr>
          <w:lang w:val="fr-CA"/>
        </w:rPr>
        <w:t xml:space="preserve">), 2019 ONCA 264, 145 O.R. (3d) 161, </w:t>
      </w:r>
      <w:r>
        <w:rPr>
          <w:lang w:val="fr-CA"/>
        </w:rPr>
        <w:t>qui a accordé</w:t>
      </w:r>
      <w:r w:rsidRPr="00910EF0">
        <w:rPr>
          <w:lang w:val="fr-CA"/>
        </w:rPr>
        <w:t xml:space="preserve"> une exemption individuelle à l’égard de la suspension d’une déclaration </w:t>
      </w:r>
      <w:r>
        <w:rPr>
          <w:lang w:val="fr-CA"/>
        </w:rPr>
        <w:t>d’invalidité</w:t>
      </w:r>
      <w:r w:rsidRPr="00910EF0">
        <w:rPr>
          <w:lang w:val="fr-CA"/>
        </w:rPr>
        <w:t>. Requête rejetée.</w:t>
      </w:r>
    </w:p>
    <w:p w:rsidR="00E13E96" w:rsidRDefault="00E13E96" w:rsidP="00E13E96">
      <w:pPr>
        <w:ind w:left="720"/>
        <w:rPr>
          <w:lang w:val="fr-CA"/>
        </w:rPr>
      </w:pPr>
    </w:p>
    <w:p w:rsidR="00E13E96" w:rsidRDefault="00E13E96" w:rsidP="00E13E96">
      <w:pPr>
        <w:rPr>
          <w:lang w:val="fr-CA"/>
        </w:rPr>
      </w:pPr>
    </w:p>
    <w:p w:rsidR="00E13E96" w:rsidRPr="00842D2B" w:rsidRDefault="00E13E96" w:rsidP="00E13E96">
      <w:pPr>
        <w:pStyle w:val="SCCNormalDoubleSpacing"/>
        <w:rPr>
          <w:lang w:val="fr-CA"/>
        </w:rPr>
      </w:pPr>
      <w:r w:rsidRPr="00E4581E">
        <w:rPr>
          <w:rStyle w:val="SCCCounselNameChar"/>
          <w:lang w:val="fr-CA"/>
        </w:rPr>
        <w:tab/>
      </w:r>
      <w:r w:rsidRPr="00842D2B">
        <w:rPr>
          <w:rStyle w:val="SCCCounselNameChar"/>
          <w:i w:val="0"/>
          <w:lang w:val="fr-CA"/>
        </w:rPr>
        <w:t xml:space="preserve">Argumentation écrite par </w:t>
      </w:r>
      <w:r w:rsidRPr="00842D2B">
        <w:rPr>
          <w:rStyle w:val="SCCCounselNameChar"/>
          <w:lang w:val="fr-CA"/>
        </w:rPr>
        <w:t>S. Zachary Green</w:t>
      </w:r>
      <w:r w:rsidRPr="00842D2B">
        <w:rPr>
          <w:rStyle w:val="SCCCounselNameChar"/>
          <w:i w:val="0"/>
          <w:lang w:val="fr-CA"/>
        </w:rPr>
        <w:t>,</w:t>
      </w:r>
      <w:r w:rsidRPr="00842D2B">
        <w:rPr>
          <w:rStyle w:val="SCCCounselPartyRoleChar"/>
          <w:lang w:val="fr-CA"/>
        </w:rPr>
        <w:t xml:space="preserve"> pour la requérante.</w:t>
      </w:r>
    </w:p>
    <w:p w:rsidR="00E13E96" w:rsidRPr="00E4581E" w:rsidRDefault="00E13E96" w:rsidP="00E13E96">
      <w:pPr>
        <w:pStyle w:val="SCCNormalDoubleSpacing"/>
        <w:rPr>
          <w:lang w:val="fr-CA"/>
        </w:rPr>
      </w:pPr>
    </w:p>
    <w:p w:rsidR="00E13E96" w:rsidRDefault="00E13E96" w:rsidP="00E13E96">
      <w:pPr>
        <w:pStyle w:val="SCCNormalDoubleSpacing"/>
        <w:rPr>
          <w:rStyle w:val="SCCCounselPartyRoleChar"/>
          <w:lang w:val="fr-CA"/>
        </w:rPr>
      </w:pPr>
      <w:r w:rsidRPr="00E4581E">
        <w:rPr>
          <w:rStyle w:val="SCCCounselNameChar"/>
          <w:lang w:val="fr-CA"/>
        </w:rPr>
        <w:tab/>
      </w:r>
      <w:r w:rsidRPr="00842D2B">
        <w:rPr>
          <w:rStyle w:val="SCCCounselNameChar"/>
          <w:i w:val="0"/>
          <w:lang w:val="fr-CA"/>
        </w:rPr>
        <w:t xml:space="preserve">Argumentation écrite par </w:t>
      </w:r>
      <w:r w:rsidRPr="00842D2B">
        <w:rPr>
          <w:rStyle w:val="SCCCounselNameChar"/>
          <w:lang w:val="fr-CA"/>
        </w:rPr>
        <w:t xml:space="preserve">Marshall A. </w:t>
      </w:r>
      <w:proofErr w:type="spellStart"/>
      <w:r w:rsidRPr="00842D2B">
        <w:rPr>
          <w:rStyle w:val="SCCCounselNameChar"/>
          <w:lang w:val="fr-CA"/>
        </w:rPr>
        <w:t>Swadron</w:t>
      </w:r>
      <w:proofErr w:type="spellEnd"/>
      <w:r w:rsidRPr="00E42A9E">
        <w:rPr>
          <w:rStyle w:val="SCCCounselPartyRoleChar"/>
          <w:lang w:val="fr-CA"/>
        </w:rPr>
        <w:t>,</w:t>
      </w:r>
      <w:r w:rsidRPr="00B376D9">
        <w:rPr>
          <w:rStyle w:val="SCCCounselPartyRoleChar"/>
          <w:lang w:val="fr-CA"/>
        </w:rPr>
        <w:t xml:space="preserve"> </w:t>
      </w:r>
      <w:r>
        <w:rPr>
          <w:rStyle w:val="SCCCounselPartyRoleChar"/>
          <w:lang w:val="fr-CA"/>
        </w:rPr>
        <w:t>pour l’intimé</w:t>
      </w:r>
      <w:r w:rsidRPr="00E4581E">
        <w:rPr>
          <w:rStyle w:val="SCCCounselPartyRoleChar"/>
          <w:lang w:val="fr-CA"/>
        </w:rPr>
        <w:t>.</w:t>
      </w:r>
    </w:p>
    <w:p w:rsidR="00E13E96" w:rsidRDefault="00E13E96" w:rsidP="00E13E96">
      <w:pPr>
        <w:pStyle w:val="SCCNormalDoubleSpacing"/>
        <w:rPr>
          <w:rStyle w:val="SCCCounselPartyRoleChar"/>
          <w:lang w:val="fr-CA"/>
        </w:rPr>
      </w:pPr>
    </w:p>
    <w:p w:rsidR="00E13E96" w:rsidRDefault="00E13E96" w:rsidP="00E13E96">
      <w:pPr>
        <w:pStyle w:val="SCCNormalDoubleSpacing"/>
        <w:rPr>
          <w:lang w:val="fr-CA"/>
        </w:rPr>
      </w:pPr>
      <w:r>
        <w:rPr>
          <w:lang w:val="fr-CA"/>
        </w:rPr>
        <w:tab/>
      </w:r>
      <w:r w:rsidRPr="00910EF0">
        <w:rPr>
          <w:lang w:val="fr-CA"/>
        </w:rPr>
        <w:t>Version française de l’ordonnance de la Cour rendue par</w:t>
      </w:r>
    </w:p>
    <w:p w:rsidR="00E13E96" w:rsidRDefault="00E13E96" w:rsidP="00E13E96">
      <w:pPr>
        <w:spacing w:line="480" w:lineRule="auto"/>
        <w:jc w:val="both"/>
        <w:rPr>
          <w:smallCaps/>
          <w:lang w:val="fr-CA"/>
        </w:rPr>
      </w:pPr>
    </w:p>
    <w:p w:rsidR="00E13E96" w:rsidRPr="00E04AAA" w:rsidRDefault="00E13E96" w:rsidP="00E13E96">
      <w:pPr>
        <w:tabs>
          <w:tab w:val="left" w:pos="1170"/>
        </w:tabs>
        <w:spacing w:line="480" w:lineRule="auto"/>
        <w:jc w:val="both"/>
        <w:rPr>
          <w:lang w:val="fr-FR"/>
        </w:rPr>
      </w:pPr>
      <w:r>
        <w:rPr>
          <w:smallCaps/>
          <w:lang w:val="fr-CA"/>
        </w:rPr>
        <w:t>[1]</w:t>
      </w:r>
      <w:r>
        <w:rPr>
          <w:smallCaps/>
          <w:lang w:val="fr-CA"/>
        </w:rPr>
        <w:tab/>
        <w:t xml:space="preserve">Le juge </w:t>
      </w:r>
      <w:proofErr w:type="spellStart"/>
      <w:r>
        <w:rPr>
          <w:smallCaps/>
          <w:lang w:val="fr-CA"/>
        </w:rPr>
        <w:t>Moldaver</w:t>
      </w:r>
      <w:proofErr w:type="spellEnd"/>
      <w:r>
        <w:rPr>
          <w:smallCaps/>
          <w:lang w:val="fr-CA"/>
        </w:rPr>
        <w:t xml:space="preserve"> </w:t>
      </w:r>
      <w:r w:rsidRPr="00113168">
        <w:rPr>
          <w:smallCaps/>
          <w:lang w:val="fr-CA"/>
        </w:rPr>
        <w:t xml:space="preserve"> </w:t>
      </w:r>
      <w:r w:rsidRPr="00113168">
        <w:rPr>
          <w:lang w:val="fr-CA"/>
        </w:rPr>
        <w:t xml:space="preserve">— </w:t>
      </w:r>
      <w:r w:rsidRPr="00E04AAA">
        <w:rPr>
          <w:lang w:val="fr-FR"/>
        </w:rPr>
        <w:t>Je refuse de prononcer le sursis pour deux raisons.</w:t>
      </w:r>
    </w:p>
    <w:p w:rsidR="00E13E96" w:rsidRPr="00E04AAA" w:rsidRDefault="00E13E96" w:rsidP="00E13E96">
      <w:pPr>
        <w:spacing w:line="480" w:lineRule="auto"/>
        <w:jc w:val="both"/>
        <w:rPr>
          <w:lang w:val="fr-FR"/>
        </w:rPr>
      </w:pPr>
      <w:r w:rsidRPr="00E04AAA">
        <w:rPr>
          <w:lang w:val="fr-FR"/>
        </w:rPr>
        <w:t> </w:t>
      </w:r>
    </w:p>
    <w:p w:rsidR="00E13E96" w:rsidRPr="00E04AAA" w:rsidRDefault="00E13E96" w:rsidP="00E13E96">
      <w:pPr>
        <w:tabs>
          <w:tab w:val="left" w:pos="1170"/>
        </w:tabs>
        <w:spacing w:line="480" w:lineRule="auto"/>
        <w:jc w:val="both"/>
        <w:rPr>
          <w:lang w:val="fr-FR"/>
        </w:rPr>
      </w:pPr>
      <w:r w:rsidRPr="00DE54DD">
        <w:rPr>
          <w:lang w:val="fr-CA"/>
        </w:rPr>
        <w:t>[2]</w:t>
      </w:r>
      <w:r w:rsidRPr="00DE54DD">
        <w:rPr>
          <w:lang w:val="fr-CA"/>
        </w:rPr>
        <w:tab/>
      </w:r>
      <w:r w:rsidRPr="00E04AAA">
        <w:rPr>
          <w:lang w:val="fr-FR"/>
        </w:rPr>
        <w:t xml:space="preserve">Premièrement, je note que la juge Roberts de la Cour d’appel de l’Ontario a déjà rejeté une requête qui visait l’obtention du même redressement que </w:t>
      </w:r>
      <w:r w:rsidRPr="00910EF0">
        <w:rPr>
          <w:lang w:val="fr-FR"/>
        </w:rPr>
        <w:t xml:space="preserve">la procureure générale </w:t>
      </w:r>
      <w:r w:rsidRPr="00E04AAA">
        <w:rPr>
          <w:lang w:val="fr-FR"/>
        </w:rPr>
        <w:t>de l’Ontario demande maintenant à la Cour.</w:t>
      </w:r>
    </w:p>
    <w:p w:rsidR="00E13E96" w:rsidRPr="00E04AAA" w:rsidRDefault="00E13E96" w:rsidP="00E13E96">
      <w:pPr>
        <w:spacing w:line="480" w:lineRule="auto"/>
        <w:jc w:val="both"/>
        <w:rPr>
          <w:lang w:val="fr-FR"/>
        </w:rPr>
      </w:pPr>
      <w:r w:rsidRPr="00E04AAA">
        <w:rPr>
          <w:lang w:val="fr-FR"/>
        </w:rPr>
        <w:t> </w:t>
      </w:r>
    </w:p>
    <w:p w:rsidR="00E13E96" w:rsidRPr="00E04AAA" w:rsidRDefault="00E13E96" w:rsidP="00E13E96">
      <w:pPr>
        <w:tabs>
          <w:tab w:val="left" w:pos="1170"/>
        </w:tabs>
        <w:spacing w:line="480" w:lineRule="auto"/>
        <w:jc w:val="both"/>
        <w:rPr>
          <w:lang w:val="fr-FR"/>
        </w:rPr>
      </w:pPr>
      <w:r>
        <w:rPr>
          <w:lang w:val="fr-FR"/>
        </w:rPr>
        <w:t>[3]</w:t>
      </w:r>
      <w:r>
        <w:rPr>
          <w:lang w:val="fr-FR"/>
        </w:rPr>
        <w:tab/>
      </w:r>
      <w:r w:rsidRPr="00E04AAA">
        <w:rPr>
          <w:lang w:val="fr-FR"/>
        </w:rPr>
        <w:t xml:space="preserve">Dans l’arrêt </w:t>
      </w:r>
      <w:proofErr w:type="spellStart"/>
      <w:r w:rsidRPr="00E04AAA">
        <w:rPr>
          <w:i/>
          <w:iCs/>
          <w:lang w:val="fr-FR"/>
        </w:rPr>
        <w:t>Esmail</w:t>
      </w:r>
      <w:proofErr w:type="spellEnd"/>
      <w:r w:rsidRPr="00E04AAA">
        <w:rPr>
          <w:i/>
          <w:iCs/>
          <w:lang w:val="fr-FR"/>
        </w:rPr>
        <w:t xml:space="preserve"> c. Petro-Canada</w:t>
      </w:r>
      <w:r w:rsidRPr="00E04AAA">
        <w:rPr>
          <w:lang w:val="fr-FR"/>
        </w:rPr>
        <w:t xml:space="preserve">, [1997] 2 R.C.S. 3, le juge </w:t>
      </w:r>
      <w:proofErr w:type="spellStart"/>
      <w:r w:rsidRPr="00E04AAA">
        <w:rPr>
          <w:lang w:val="fr-FR"/>
        </w:rPr>
        <w:t>Sopinka</w:t>
      </w:r>
      <w:proofErr w:type="spellEnd"/>
      <w:r w:rsidRPr="00E04AAA">
        <w:rPr>
          <w:lang w:val="fr-FR"/>
        </w:rPr>
        <w:t xml:space="preserve"> a noté que « [c]’est seulement dans des circonstances spéciales qu’il devrait être permis de présenter successivement une demande à un juge de la juridiction inférieure et à un juge de notre Cour » : p</w:t>
      </w:r>
      <w:r>
        <w:rPr>
          <w:lang w:val="fr-FR"/>
        </w:rPr>
        <w:t>ar. 2</w:t>
      </w:r>
      <w:r w:rsidRPr="00E04AAA">
        <w:rPr>
          <w:lang w:val="fr-FR"/>
        </w:rPr>
        <w:t>. Après examen du dossier et des motifs de la juge Roberts, j’estime qu’il n’existe en l’espèce aucune circonstance spéciale qui justifierait que je réexamine sa décision.</w:t>
      </w:r>
    </w:p>
    <w:p w:rsidR="00E13E96" w:rsidRPr="00E04AAA" w:rsidRDefault="00E13E96" w:rsidP="00E13E96">
      <w:pPr>
        <w:spacing w:line="480" w:lineRule="auto"/>
        <w:jc w:val="both"/>
        <w:rPr>
          <w:lang w:val="fr-FR"/>
        </w:rPr>
      </w:pPr>
      <w:r w:rsidRPr="00E04AAA">
        <w:rPr>
          <w:lang w:val="fr-FR"/>
        </w:rPr>
        <w:t> </w:t>
      </w:r>
    </w:p>
    <w:p w:rsidR="00E13E96" w:rsidRPr="00E04AAA" w:rsidRDefault="00E13E96" w:rsidP="00E13E96">
      <w:pPr>
        <w:tabs>
          <w:tab w:val="left" w:pos="1170"/>
        </w:tabs>
        <w:spacing w:line="480" w:lineRule="auto"/>
        <w:jc w:val="both"/>
        <w:rPr>
          <w:lang w:val="fr-FR"/>
        </w:rPr>
      </w:pPr>
      <w:r>
        <w:rPr>
          <w:lang w:val="fr-FR"/>
        </w:rPr>
        <w:t>[4]</w:t>
      </w:r>
      <w:r>
        <w:rPr>
          <w:lang w:val="fr-FR"/>
        </w:rPr>
        <w:tab/>
        <w:t>Deuxièmem</w:t>
      </w:r>
      <w:r w:rsidRPr="00E04AAA">
        <w:rPr>
          <w:lang w:val="fr-FR"/>
        </w:rPr>
        <w:t>ent,</w:t>
      </w:r>
      <w:r>
        <w:rPr>
          <w:lang w:val="fr-FR"/>
        </w:rPr>
        <w:t xml:space="preserve"> </w:t>
      </w:r>
      <w:r w:rsidRPr="00E04AAA">
        <w:rPr>
          <w:lang w:val="fr-FR"/>
        </w:rPr>
        <w:t>quoi qu’il en soit, le ministère public n’a pas démontré qu’un préjudice irréparable pourrait être causé.</w:t>
      </w:r>
    </w:p>
    <w:p w:rsidR="00E13E96" w:rsidRPr="00E04AAA" w:rsidRDefault="00E13E96" w:rsidP="00E13E96">
      <w:pPr>
        <w:spacing w:line="480" w:lineRule="auto"/>
        <w:jc w:val="both"/>
        <w:rPr>
          <w:lang w:val="fr-FR"/>
        </w:rPr>
      </w:pPr>
      <w:r w:rsidRPr="00E04AAA">
        <w:rPr>
          <w:lang w:val="fr-FR"/>
        </w:rPr>
        <w:t> </w:t>
      </w:r>
    </w:p>
    <w:p w:rsidR="00E13E96" w:rsidRPr="00E04AAA" w:rsidRDefault="00E13E96" w:rsidP="00E13E96">
      <w:pPr>
        <w:tabs>
          <w:tab w:val="left" w:pos="1170"/>
        </w:tabs>
        <w:spacing w:line="480" w:lineRule="auto"/>
        <w:jc w:val="both"/>
        <w:rPr>
          <w:lang w:val="fr-FR"/>
        </w:rPr>
      </w:pPr>
      <w:r>
        <w:rPr>
          <w:lang w:val="fr-FR"/>
        </w:rPr>
        <w:t>[5]</w:t>
      </w:r>
      <w:r>
        <w:rPr>
          <w:lang w:val="fr-FR"/>
        </w:rPr>
        <w:tab/>
      </w:r>
      <w:r w:rsidRPr="00E04AAA">
        <w:rPr>
          <w:lang w:val="fr-FR"/>
        </w:rPr>
        <w:t xml:space="preserve">Le dossier de l’intimé au cours des 17 dernières années démontre que son attitude a été exemplaire et il fournit une preuve convaincante qu’il y a peu, voire aucune, possibilité qu’il commette une infraction sexuelle avant qu’il soit statué sur la demande d’autorisation et, si </w:t>
      </w:r>
      <w:r w:rsidRPr="00E04AAA">
        <w:rPr>
          <w:lang w:val="fr-FR"/>
        </w:rPr>
        <w:lastRenderedPageBreak/>
        <w:t xml:space="preserve">l’autorisation est accordée, avant la décision relative à l’appel. Cela étant, je ne vois aucune raison apparente pour laquelle il devrait être privé de son droit protégé par le </w:t>
      </w:r>
      <w:r w:rsidRPr="00DE54DD">
        <w:rPr>
          <w:lang w:val="fr-FR"/>
        </w:rPr>
        <w:t>par. 15(1) </w:t>
      </w:r>
      <w:r w:rsidRPr="00E04AAA">
        <w:rPr>
          <w:lang w:val="fr-FR"/>
        </w:rPr>
        <w:t xml:space="preserve"> de la </w:t>
      </w:r>
      <w:r w:rsidRPr="00DE54DD">
        <w:rPr>
          <w:i/>
          <w:iCs/>
          <w:lang w:val="fr-FR"/>
        </w:rPr>
        <w:t>Charte canadienne des droits et libertés </w:t>
      </w:r>
      <w:r w:rsidRPr="00E04AAA">
        <w:rPr>
          <w:lang w:val="fr-FR"/>
        </w:rPr>
        <w:t xml:space="preserve"> dans l’intervalle. En particulier, je fais miens les propos que tient le juge Doherty de la Cour d’appel au </w:t>
      </w:r>
      <w:proofErr w:type="spellStart"/>
      <w:r w:rsidRPr="00E04AAA">
        <w:rPr>
          <w:lang w:val="fr-FR"/>
        </w:rPr>
        <w:t>par</w:t>
      </w:r>
      <w:proofErr w:type="spellEnd"/>
      <w:r w:rsidRPr="00E04AAA">
        <w:rPr>
          <w:lang w:val="fr-FR"/>
        </w:rPr>
        <w:t>. 155 de ses motifs lorsqu’il déclare : [</w:t>
      </w:r>
      <w:r w:rsidRPr="00B376D9">
        <w:rPr>
          <w:smallCaps/>
          <w:lang w:val="fr-FR"/>
        </w:rPr>
        <w:t>traduction</w:t>
      </w:r>
      <w:r w:rsidRPr="00E04AAA">
        <w:rPr>
          <w:lang w:val="fr-FR"/>
        </w:rPr>
        <w:t xml:space="preserve">] </w:t>
      </w:r>
      <w:proofErr w:type="gramStart"/>
      <w:r w:rsidRPr="00E04AAA">
        <w:rPr>
          <w:lang w:val="fr-FR"/>
        </w:rPr>
        <w:t>« .</w:t>
      </w:r>
      <w:proofErr w:type="gramEnd"/>
      <w:r w:rsidRPr="00E04AAA">
        <w:rPr>
          <w:lang w:val="fr-FR"/>
        </w:rPr>
        <w:t xml:space="preserve"> . . à </w:t>
      </w:r>
      <w:r>
        <w:rPr>
          <w:lang w:val="fr-FR"/>
        </w:rPr>
        <w:t>la lecture du présent dossier</w:t>
      </w:r>
      <w:r w:rsidRPr="00E04AAA">
        <w:rPr>
          <w:lang w:val="fr-FR"/>
        </w:rPr>
        <w:t>, il est difficile d’envisager un régime législatif conforme à la Constitution qui n’entraînerait pas le retrait [de l’intimé] des registres et l’exemption pour lui de l’obligation de se conformer à l’avenir aux exigences qui se rattachent au fait d’y être inscrit » : 2019 ONCA 264</w:t>
      </w:r>
      <w:r>
        <w:rPr>
          <w:lang w:val="fr-FR"/>
        </w:rPr>
        <w:t xml:space="preserve">, </w:t>
      </w:r>
      <w:r w:rsidRPr="004B65E5">
        <w:rPr>
          <w:lang w:val="fr-CA"/>
        </w:rPr>
        <w:t>145 O.R. (3d) 161</w:t>
      </w:r>
      <w:r w:rsidRPr="00E04AAA">
        <w:rPr>
          <w:lang w:val="fr-FR"/>
        </w:rPr>
        <w:t>.</w:t>
      </w:r>
    </w:p>
    <w:p w:rsidR="00E13E96" w:rsidRPr="00E04AAA" w:rsidRDefault="00E13E96" w:rsidP="00E13E96">
      <w:pPr>
        <w:spacing w:line="480" w:lineRule="auto"/>
        <w:jc w:val="both"/>
        <w:rPr>
          <w:lang w:val="fr-FR"/>
        </w:rPr>
      </w:pPr>
      <w:r w:rsidRPr="00E04AAA">
        <w:rPr>
          <w:lang w:val="fr-FR"/>
        </w:rPr>
        <w:t> </w:t>
      </w:r>
    </w:p>
    <w:p w:rsidR="00E13E96" w:rsidRPr="00E04AAA" w:rsidRDefault="00F428B3" w:rsidP="00E13E96">
      <w:pPr>
        <w:tabs>
          <w:tab w:val="left" w:pos="1170"/>
        </w:tabs>
        <w:spacing w:line="480" w:lineRule="auto"/>
        <w:jc w:val="both"/>
        <w:rPr>
          <w:lang w:val="fr-FR"/>
        </w:rPr>
      </w:pPr>
      <w:r>
        <w:rPr>
          <w:lang w:val="fr-FR"/>
        </w:rPr>
        <w:t>[6]</w:t>
      </w:r>
      <w:bookmarkStart w:id="0" w:name="_GoBack"/>
      <w:bookmarkEnd w:id="0"/>
      <w:r w:rsidR="00E13E96">
        <w:rPr>
          <w:lang w:val="fr-FR"/>
        </w:rPr>
        <w:tab/>
      </w:r>
      <w:r w:rsidR="00E13E96" w:rsidRPr="00E04AAA">
        <w:rPr>
          <w:lang w:val="fr-FR"/>
        </w:rPr>
        <w:t>En conséquence, la requête en sursis est rejetée sans dépens.</w:t>
      </w:r>
    </w:p>
    <w:p w:rsidR="00E13E96" w:rsidRPr="00A2412E" w:rsidRDefault="00E13E96" w:rsidP="00E13E96">
      <w:pPr>
        <w:spacing w:line="480" w:lineRule="auto"/>
        <w:rPr>
          <w:lang w:val="fr-CA"/>
        </w:rPr>
      </w:pPr>
    </w:p>
    <w:p w:rsidR="00E13E96" w:rsidRDefault="00E13E96" w:rsidP="00E13E96">
      <w:pPr>
        <w:tabs>
          <w:tab w:val="left" w:pos="1170"/>
        </w:tabs>
        <w:rPr>
          <w:i/>
          <w:lang w:val="fr-CA"/>
        </w:rPr>
      </w:pPr>
      <w:r>
        <w:rPr>
          <w:i/>
          <w:lang w:val="fr-CA"/>
        </w:rPr>
        <w:tab/>
      </w:r>
      <w:r w:rsidRPr="00910EF0">
        <w:rPr>
          <w:i/>
          <w:lang w:val="fr-CA"/>
        </w:rPr>
        <w:t>Ordonnance en conséquence.</w:t>
      </w:r>
    </w:p>
    <w:p w:rsidR="00E13E96" w:rsidRDefault="00E13E96" w:rsidP="00E13E96">
      <w:pPr>
        <w:rPr>
          <w:i/>
          <w:lang w:val="fr-CA"/>
        </w:rPr>
      </w:pPr>
    </w:p>
    <w:p w:rsidR="00E13E96" w:rsidRDefault="00E13E96" w:rsidP="00E13E96">
      <w:pPr>
        <w:rPr>
          <w:i/>
          <w:lang w:val="fr-CA"/>
        </w:rPr>
      </w:pPr>
    </w:p>
    <w:p w:rsidR="00E13E96" w:rsidRDefault="00E13E96" w:rsidP="00E13E96">
      <w:pPr>
        <w:tabs>
          <w:tab w:val="left" w:pos="1170"/>
        </w:tabs>
        <w:rPr>
          <w:i/>
          <w:lang w:val="fr-CA"/>
        </w:rPr>
      </w:pPr>
      <w:r>
        <w:rPr>
          <w:i/>
          <w:lang w:val="fr-CA"/>
        </w:rPr>
        <w:tab/>
        <w:t>Procureur de la requérante : Procureure générale de l’Ontario, Toronto.</w:t>
      </w:r>
    </w:p>
    <w:p w:rsidR="00E13E96" w:rsidRDefault="00E13E96" w:rsidP="00E13E96">
      <w:pPr>
        <w:rPr>
          <w:i/>
          <w:lang w:val="fr-CA"/>
        </w:rPr>
      </w:pPr>
    </w:p>
    <w:p w:rsidR="00E13E96" w:rsidRDefault="00E13E96" w:rsidP="00E13E96">
      <w:pPr>
        <w:rPr>
          <w:i/>
          <w:lang w:val="fr-CA"/>
        </w:rPr>
      </w:pPr>
    </w:p>
    <w:p w:rsidR="00E13E96" w:rsidRPr="00113168" w:rsidRDefault="00E13E96" w:rsidP="00E13E96">
      <w:pPr>
        <w:tabs>
          <w:tab w:val="left" w:pos="1170"/>
        </w:tabs>
        <w:rPr>
          <w:i/>
          <w:lang w:val="fr-CA"/>
        </w:rPr>
      </w:pPr>
      <w:r>
        <w:rPr>
          <w:i/>
          <w:lang w:val="fr-CA"/>
        </w:rPr>
        <w:tab/>
        <w:t xml:space="preserve">Procureurs de l’intimé : </w:t>
      </w:r>
      <w:proofErr w:type="spellStart"/>
      <w:r>
        <w:rPr>
          <w:i/>
          <w:lang w:val="fr-CA"/>
        </w:rPr>
        <w:t>Swadron</w:t>
      </w:r>
      <w:proofErr w:type="spellEnd"/>
      <w:r>
        <w:rPr>
          <w:i/>
          <w:lang w:val="fr-CA"/>
        </w:rPr>
        <w:t xml:space="preserve"> Associates, Toronto.</w:t>
      </w:r>
    </w:p>
    <w:p w:rsidR="007E1F98" w:rsidRPr="00862E8B" w:rsidRDefault="007E1F98" w:rsidP="00E13E96">
      <w:pPr>
        <w:pStyle w:val="SCCLsocLastPartyInRole"/>
        <w:rPr>
          <w:lang w:val="fr-CA"/>
        </w:rPr>
      </w:pPr>
    </w:p>
    <w:sectPr w:rsidR="007E1F98" w:rsidRPr="00862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89" w:rsidRDefault="00614F89" w:rsidP="00DE54DD">
      <w:r>
        <w:separator/>
      </w:r>
    </w:p>
  </w:endnote>
  <w:endnote w:type="continuationSeparator" w:id="0">
    <w:p w:rsidR="00614F89" w:rsidRDefault="00614F89" w:rsidP="00DE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DD" w:rsidRDefault="00DE5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DD" w:rsidRDefault="00DE5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DD" w:rsidRDefault="00DE5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89" w:rsidRDefault="00614F89" w:rsidP="00DE54DD">
      <w:r>
        <w:separator/>
      </w:r>
    </w:p>
  </w:footnote>
  <w:footnote w:type="continuationSeparator" w:id="0">
    <w:p w:rsidR="00614F89" w:rsidRDefault="00614F89" w:rsidP="00DE5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DD" w:rsidRDefault="00DE5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DD" w:rsidRDefault="00DE5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DD" w:rsidRDefault="00DE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8B"/>
    <w:rsid w:val="000220F0"/>
    <w:rsid w:val="0012303E"/>
    <w:rsid w:val="00125B1A"/>
    <w:rsid w:val="00272587"/>
    <w:rsid w:val="002D1793"/>
    <w:rsid w:val="002F635B"/>
    <w:rsid w:val="00411EB2"/>
    <w:rsid w:val="00426112"/>
    <w:rsid w:val="00503181"/>
    <w:rsid w:val="00614F89"/>
    <w:rsid w:val="00666685"/>
    <w:rsid w:val="007D47CC"/>
    <w:rsid w:val="007E1F98"/>
    <w:rsid w:val="00862E8B"/>
    <w:rsid w:val="00910EF0"/>
    <w:rsid w:val="00940632"/>
    <w:rsid w:val="009C230B"/>
    <w:rsid w:val="009C34B2"/>
    <w:rsid w:val="009C73E2"/>
    <w:rsid w:val="00A208F5"/>
    <w:rsid w:val="00B352C8"/>
    <w:rsid w:val="00B376D9"/>
    <w:rsid w:val="00CC281F"/>
    <w:rsid w:val="00D6346E"/>
    <w:rsid w:val="00D776EF"/>
    <w:rsid w:val="00DC7B4A"/>
    <w:rsid w:val="00DE54DD"/>
    <w:rsid w:val="00E04AAA"/>
    <w:rsid w:val="00E13E96"/>
    <w:rsid w:val="00E15D7C"/>
    <w:rsid w:val="00E82E13"/>
    <w:rsid w:val="00F4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4482223-E05A-4039-A287-0D3A3E4F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NormalDoubleSpacing">
    <w:name w:val="SCC.Normal.DoubleSpacing"/>
    <w:basedOn w:val="Normal"/>
    <w:link w:val="SCCNormalDoubleSpacingChar"/>
    <w:rsid w:val="00862E8B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862E8B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SCCLsocVersus">
    <w:name w:val="SCC.Lsoc.Versus"/>
    <w:basedOn w:val="Normal"/>
    <w:next w:val="Normal"/>
    <w:link w:val="SCCLsocVersusChar"/>
    <w:rsid w:val="00862E8B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862E8B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862E8B"/>
    <w:rPr>
      <w:rFonts w:ascii="Times New Roman" w:eastAsia="Times New Roman" w:hAnsi="Times New Roman" w:cs="Times New Roman"/>
      <w:b/>
      <w:i/>
      <w:sz w:val="24"/>
      <w:szCs w:val="20"/>
      <w:lang w:val="en-CA" w:eastAsia="en-CA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862E8B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862E8B"/>
    <w:rPr>
      <w:rFonts w:ascii="Times New Roman" w:eastAsia="Times New Roman" w:hAnsi="Times New Roman" w:cs="Times New Roman"/>
      <w:smallCaps/>
      <w:sz w:val="24"/>
      <w:szCs w:val="20"/>
      <w:lang w:val="en-CA" w:eastAsia="en-CA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862E8B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862E8B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862E8B"/>
    <w:rPr>
      <w:b/>
    </w:rPr>
  </w:style>
  <w:style w:type="character" w:customStyle="1" w:styleId="SCCSystemYearChar">
    <w:name w:val="SCC.SystemYear Char"/>
    <w:basedOn w:val="DefaultParagraphFont"/>
    <w:link w:val="SCCSystemYear"/>
    <w:rsid w:val="00862E8B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862E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DefaultParagraphFont"/>
    <w:link w:val="SCCLsocLastPartyInRole"/>
    <w:rsid w:val="00862E8B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862E8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862E8B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862E8B"/>
  </w:style>
  <w:style w:type="character" w:customStyle="1" w:styleId="SCCCounselPartyRoleChar">
    <w:name w:val="SCC.CounselPartyRole Char"/>
    <w:basedOn w:val="SCCNormalDoubleSpacingChar"/>
    <w:link w:val="SCCCounselPartyRole"/>
    <w:rsid w:val="00862E8B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862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DD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E5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DD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DD"/>
    <w:rPr>
      <w:rFonts w:ascii="Segoe UI" w:eastAsia="Times New Roman" w:hAnsi="Segoe UI" w:cs="Segoe UI"/>
      <w:sz w:val="18"/>
      <w:szCs w:val="18"/>
      <w:lang w:val="en-CA" w:eastAsia="en-CA"/>
    </w:rPr>
  </w:style>
  <w:style w:type="table" w:styleId="TableGrid">
    <w:name w:val="Table Grid"/>
    <w:basedOn w:val="TableNormal"/>
    <w:uiPriority w:val="59"/>
    <w:rsid w:val="002F635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CLsocParty">
    <w:name w:val="SCC.Lsoc.Party"/>
    <w:basedOn w:val="Normal"/>
    <w:next w:val="Normal"/>
    <w:link w:val="SCCLsocPartyChar"/>
    <w:rsid w:val="002F635B"/>
    <w:pPr>
      <w:jc w:val="center"/>
    </w:pPr>
    <w:rPr>
      <w:rFonts w:eastAsiaTheme="minorHAnsi" w:cstheme="minorBidi"/>
      <w:b/>
      <w:szCs w:val="24"/>
      <w:lang w:val="fr-CA" w:eastAsia="en-US"/>
    </w:rPr>
  </w:style>
  <w:style w:type="character" w:customStyle="1" w:styleId="SCCLsocPartyChar">
    <w:name w:val="SCC.Lsoc.Party Char"/>
    <w:basedOn w:val="DefaultParagraphFont"/>
    <w:link w:val="SCCLsocParty"/>
    <w:rsid w:val="002F635B"/>
    <w:rPr>
      <w:rFonts w:ascii="Times New Roman" w:hAnsi="Times New Roman"/>
      <w:b/>
      <w:sz w:val="24"/>
      <w:szCs w:val="24"/>
      <w:lang w:val="fr-CA"/>
    </w:rPr>
  </w:style>
  <w:style w:type="character" w:customStyle="1" w:styleId="SCCLsocPartyRoleChar">
    <w:name w:val="SCC.Lsoc.PartyRole Char"/>
    <w:basedOn w:val="DefaultParagraphFont"/>
    <w:rsid w:val="002F635B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2F635B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2F635B"/>
    <w:rPr>
      <w:rFonts w:ascii="Times New Roman" w:hAnsi="Times New Roman"/>
      <w:b/>
      <w:smallCaps/>
      <w:sz w:val="24"/>
      <w:szCs w:val="24"/>
      <w:lang w:val="fr-CA"/>
    </w:rPr>
  </w:style>
  <w:style w:type="table" w:customStyle="1" w:styleId="TableGrid1">
    <w:name w:val="Table Grid1"/>
    <w:basedOn w:val="TableNormal"/>
    <w:uiPriority w:val="59"/>
    <w:rsid w:val="00666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4261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5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560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Ampleman Sandrine</dc:creator>
  <cp:keywords/>
  <dc:description/>
  <cp:lastModifiedBy>Lafontaine-Després Charlotte</cp:lastModifiedBy>
  <cp:revision>11</cp:revision>
  <cp:lastPrinted>2022-01-21T14:20:00Z</cp:lastPrinted>
  <dcterms:created xsi:type="dcterms:W3CDTF">2021-11-10T19:28:00Z</dcterms:created>
  <dcterms:modified xsi:type="dcterms:W3CDTF">2022-01-21T14:34:00Z</dcterms:modified>
</cp:coreProperties>
</file>