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964B58" w:rsidTr="00964B58">
        <w:trPr>
          <w:trHeight w:val="1786"/>
        </w:trPr>
        <w:tc>
          <w:tcPr>
            <w:tcW w:w="5000" w:type="pct"/>
          </w:tcPr>
          <w:p w:rsidR="00964B58" w:rsidRDefault="00964B58" w:rsidP="003F556D">
            <w:pPr>
              <w:jc w:val="center"/>
            </w:pPr>
            <w:r w:rsidRPr="00C22905">
              <w:rPr>
                <w:rFonts w:eastAsia="Calibri"/>
                <w:szCs w:val="24"/>
                <w:lang w:eastAsia="en-US"/>
              </w:rPr>
              <w:object w:dxaOrig="1365" w:dyaOrig="1440">
                <v:shape id="_x0000_i1035" type="#_x0000_t75" style="width:62.4pt;height:64.8pt" o:ole="">
                  <v:imagedata r:id="rId8" o:title=""/>
                </v:shape>
                <o:OLEObject Type="Embed" ProgID="Presentations.Drawing.15" ShapeID="_x0000_i1035" DrawAspect="Content" ObjectID="_1705754107" r:id="rId9"/>
              </w:object>
            </w:r>
          </w:p>
          <w:p w:rsidR="00964B58" w:rsidRDefault="00964B58" w:rsidP="003F556D">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
        <w:tblW w:w="56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60"/>
        <w:gridCol w:w="1350"/>
        <w:gridCol w:w="4028"/>
      </w:tblGrid>
      <w:tr w:rsidR="00964B58" w:rsidRPr="005539EF" w:rsidTr="00964B58">
        <w:tc>
          <w:tcPr>
            <w:tcW w:w="2120" w:type="pct"/>
            <w:tcMar>
              <w:top w:w="284" w:type="dxa"/>
            </w:tcMar>
          </w:tcPr>
          <w:p w:rsidR="00964B58" w:rsidRPr="005539EF" w:rsidRDefault="00964B58" w:rsidP="003F556D">
            <w:pPr>
              <w:spacing w:before="100" w:beforeAutospacing="1"/>
              <w:rPr>
                <w:rFonts w:eastAsia="Calibri"/>
                <w:lang w:val="fr-CA"/>
              </w:rPr>
            </w:pPr>
            <w:r w:rsidRPr="00CB5B04">
              <w:rPr>
                <w:b/>
                <w:smallCaps/>
                <w:lang w:val="fr-CA"/>
              </w:rPr>
              <w:t>Référence :</w:t>
            </w:r>
            <w:r w:rsidRPr="00CB5B04">
              <w:rPr>
                <w:lang w:val="fr-CA"/>
              </w:rPr>
              <w:t xml:space="preserve"> </w:t>
            </w:r>
            <w:r w:rsidRPr="00964B58">
              <w:rPr>
                <w:rFonts w:eastAsiaTheme="minorHAnsi" w:cstheme="minorBidi"/>
                <w:lang w:val="fr-CA" w:eastAsia="en-US"/>
              </w:rPr>
              <w:t xml:space="preserve">R. </w:t>
            </w:r>
            <w:r w:rsidRPr="00964B58">
              <w:rPr>
                <w:rFonts w:eastAsiaTheme="minorHAnsi" w:cstheme="minorBidi"/>
                <w:i/>
                <w:lang w:val="fr-CA" w:eastAsia="en-US"/>
              </w:rPr>
              <w:t xml:space="preserve">c. </w:t>
            </w:r>
            <w:r w:rsidRPr="00964B58">
              <w:rPr>
                <w:rFonts w:eastAsiaTheme="minorHAnsi" w:cstheme="minorBidi"/>
                <w:lang w:val="fr-CA" w:eastAsia="en-US"/>
              </w:rPr>
              <w:t>Penunsi, 2019 CSC 39</w:t>
            </w:r>
            <w:r>
              <w:rPr>
                <w:lang w:val="fr-CA"/>
              </w:rPr>
              <w:t>, [2019] 3 R.C.S. 91</w:t>
            </w:r>
          </w:p>
        </w:tc>
        <w:tc>
          <w:tcPr>
            <w:tcW w:w="723" w:type="pct"/>
          </w:tcPr>
          <w:p w:rsidR="00964B58" w:rsidRPr="00CB5B04" w:rsidRDefault="00964B58" w:rsidP="003F556D">
            <w:pPr>
              <w:rPr>
                <w:b/>
                <w:smallCaps/>
                <w:lang w:val="fr-CA"/>
              </w:rPr>
            </w:pPr>
          </w:p>
        </w:tc>
        <w:tc>
          <w:tcPr>
            <w:tcW w:w="2157" w:type="pct"/>
            <w:tcMar>
              <w:top w:w="284" w:type="dxa"/>
            </w:tcMar>
          </w:tcPr>
          <w:p w:rsidR="00964B58" w:rsidRPr="00CB5B04" w:rsidRDefault="00964B58" w:rsidP="003F556D">
            <w:pPr>
              <w:rPr>
                <w:lang w:val="fr-CA"/>
              </w:rPr>
            </w:pPr>
            <w:r w:rsidRPr="00CB5B04">
              <w:rPr>
                <w:b/>
                <w:smallCaps/>
                <w:lang w:val="fr-CA"/>
              </w:rPr>
              <w:t>Appel entendu :</w:t>
            </w:r>
            <w:r w:rsidRPr="00CB5B04">
              <w:rPr>
                <w:lang w:val="fr-CA"/>
              </w:rPr>
              <w:t xml:space="preserve"> </w:t>
            </w:r>
            <w:r w:rsidRPr="00964B58">
              <w:rPr>
                <w:rFonts w:eastAsiaTheme="minorHAnsi" w:cstheme="minorBidi"/>
                <w:lang w:val="fr-CA" w:eastAsia="en-US"/>
              </w:rPr>
              <w:t>21 février 2019</w:t>
            </w:r>
          </w:p>
          <w:p w:rsidR="00964B58" w:rsidRPr="004A4030" w:rsidRDefault="00964B58" w:rsidP="003F556D">
            <w:pPr>
              <w:rPr>
                <w:smallCaps/>
                <w:lang w:val="fr-CA"/>
              </w:rPr>
            </w:pPr>
            <w:r>
              <w:rPr>
                <w:b/>
                <w:smallCaps/>
                <w:lang w:val="fr-CA"/>
              </w:rPr>
              <w:t xml:space="preserve">Jugement rendu : </w:t>
            </w:r>
            <w:r w:rsidRPr="00964B58">
              <w:rPr>
                <w:rFonts w:eastAsiaTheme="minorHAnsi" w:cstheme="minorBidi"/>
                <w:lang w:val="fr-CA" w:eastAsia="en-US"/>
              </w:rPr>
              <w:t>5 juillet 2019</w:t>
            </w:r>
          </w:p>
          <w:p w:rsidR="00964B58" w:rsidRPr="00A9085B" w:rsidRDefault="00964B58" w:rsidP="003F556D">
            <w:pPr>
              <w:rPr>
                <w:rFonts w:eastAsia="Calibri"/>
                <w:lang w:val="fr-CA"/>
              </w:rPr>
            </w:pPr>
            <w:r w:rsidRPr="00A9085B">
              <w:rPr>
                <w:b/>
                <w:smallCaps/>
                <w:lang w:val="fr-CA"/>
              </w:rPr>
              <w:t>Dossier :</w:t>
            </w:r>
            <w:r w:rsidRPr="00A9085B">
              <w:rPr>
                <w:lang w:val="fr-CA"/>
              </w:rPr>
              <w:t xml:space="preserve"> </w:t>
            </w:r>
            <w:r w:rsidRPr="00964B58">
              <w:rPr>
                <w:rFonts w:eastAsiaTheme="minorHAnsi" w:cstheme="minorBidi"/>
                <w:lang w:val="fr-CA" w:eastAsia="en-US"/>
              </w:rPr>
              <w:t>38004</w:t>
            </w:r>
          </w:p>
        </w:tc>
      </w:tr>
    </w:tbl>
    <w:tbl>
      <w:tblPr>
        <w:tblStyle w:val="TableGrid5"/>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964B58" w:rsidRPr="00761321" w:rsidTr="00964B58">
        <w:tc>
          <w:tcPr>
            <w:tcW w:w="5000" w:type="pct"/>
          </w:tcPr>
          <w:p w:rsidR="00964B58" w:rsidRPr="00964B58" w:rsidRDefault="00964B58" w:rsidP="003F556D">
            <w:pPr>
              <w:rPr>
                <w:rFonts w:eastAsiaTheme="minorHAnsi" w:cstheme="minorBidi"/>
                <w:szCs w:val="24"/>
                <w:lang w:val="fr-CA" w:eastAsia="en-US"/>
              </w:rPr>
            </w:pPr>
          </w:p>
          <w:p w:rsidR="00964B58" w:rsidRDefault="00964B58" w:rsidP="003F556D">
            <w:pPr>
              <w:rPr>
                <w:rFonts w:eastAsiaTheme="minorHAnsi" w:cstheme="minorBidi"/>
                <w:b/>
                <w:smallCaps/>
                <w:szCs w:val="24"/>
                <w:lang w:val="fr-CA" w:eastAsia="en-US"/>
              </w:rPr>
            </w:pPr>
            <w:r>
              <w:rPr>
                <w:rFonts w:eastAsiaTheme="minorHAnsi" w:cstheme="minorBidi"/>
                <w:b/>
                <w:smallCaps/>
                <w:szCs w:val="24"/>
                <w:lang w:val="fr-CA" w:eastAsia="en-US"/>
              </w:rPr>
              <w:t>Entre </w:t>
            </w:r>
            <w:r w:rsidRPr="00964B58">
              <w:rPr>
                <w:rFonts w:eastAsiaTheme="minorHAnsi" w:cstheme="minorBidi"/>
                <w:b/>
                <w:smallCaps/>
                <w:szCs w:val="24"/>
                <w:lang w:val="fr-CA" w:eastAsia="en-US"/>
              </w:rPr>
              <w:t>:</w:t>
            </w:r>
          </w:p>
          <w:p w:rsidR="00964B58" w:rsidRPr="00964B58" w:rsidRDefault="00964B58" w:rsidP="003F556D">
            <w:pPr>
              <w:rPr>
                <w:rFonts w:eastAsiaTheme="minorHAnsi" w:cstheme="minorBidi"/>
                <w:b/>
                <w:smallCaps/>
                <w:szCs w:val="24"/>
                <w:lang w:val="fr-CA" w:eastAsia="en-US"/>
              </w:rPr>
            </w:pPr>
          </w:p>
          <w:p w:rsidR="00964B58" w:rsidRPr="00964B58" w:rsidRDefault="00964B58" w:rsidP="003F556D">
            <w:pPr>
              <w:jc w:val="center"/>
              <w:rPr>
                <w:rFonts w:eastAsiaTheme="minorHAnsi" w:cstheme="minorBidi"/>
                <w:b/>
                <w:szCs w:val="24"/>
                <w:lang w:val="fr-CA" w:eastAsia="en-US"/>
              </w:rPr>
            </w:pPr>
            <w:r w:rsidRPr="00964B58">
              <w:rPr>
                <w:rFonts w:eastAsiaTheme="minorHAnsi" w:cstheme="minorBidi"/>
                <w:b/>
                <w:szCs w:val="24"/>
                <w:lang w:val="fr-CA" w:eastAsia="en-US"/>
              </w:rPr>
              <w:t>Sa Majesté la Reine</w:t>
            </w:r>
          </w:p>
          <w:p w:rsidR="00964B58" w:rsidRPr="00964B58" w:rsidRDefault="00964B58" w:rsidP="003F556D">
            <w:pPr>
              <w:jc w:val="center"/>
              <w:rPr>
                <w:rFonts w:eastAsiaTheme="minorHAnsi" w:cstheme="minorBidi"/>
                <w:szCs w:val="24"/>
                <w:lang w:val="fr-CA" w:eastAsia="en-US"/>
              </w:rPr>
            </w:pPr>
            <w:r w:rsidRPr="00964B58">
              <w:rPr>
                <w:rFonts w:eastAsiaTheme="minorHAnsi" w:cstheme="minorBidi"/>
                <w:szCs w:val="24"/>
                <w:lang w:val="fr-CA" w:eastAsia="en-US"/>
              </w:rPr>
              <w:t>Appelante</w:t>
            </w:r>
          </w:p>
          <w:p w:rsidR="00964B58" w:rsidRPr="00964B58" w:rsidRDefault="00964B58" w:rsidP="003F556D">
            <w:pPr>
              <w:rPr>
                <w:rFonts w:eastAsiaTheme="minorHAnsi" w:cstheme="minorBidi"/>
                <w:szCs w:val="24"/>
                <w:lang w:val="fr-CA" w:eastAsia="en-US"/>
              </w:rPr>
            </w:pPr>
          </w:p>
          <w:p w:rsidR="00964B58" w:rsidRPr="00964B58" w:rsidRDefault="00964B58" w:rsidP="003F556D">
            <w:pPr>
              <w:jc w:val="center"/>
              <w:rPr>
                <w:rFonts w:eastAsiaTheme="minorHAnsi" w:cstheme="minorBidi"/>
                <w:szCs w:val="24"/>
                <w:lang w:val="fr-CA" w:eastAsia="en-US"/>
              </w:rPr>
            </w:pPr>
            <w:r w:rsidRPr="00964B58">
              <w:rPr>
                <w:rFonts w:eastAsiaTheme="minorHAnsi" w:cstheme="minorBidi"/>
                <w:szCs w:val="24"/>
                <w:lang w:val="fr-CA" w:eastAsia="en-US"/>
              </w:rPr>
              <w:t>et</w:t>
            </w:r>
          </w:p>
          <w:p w:rsidR="00964B58" w:rsidRPr="00964B58" w:rsidRDefault="00964B58" w:rsidP="003F556D">
            <w:pPr>
              <w:rPr>
                <w:rFonts w:eastAsiaTheme="minorHAnsi" w:cstheme="minorBidi"/>
                <w:szCs w:val="24"/>
                <w:lang w:val="fr-CA" w:eastAsia="en-US"/>
              </w:rPr>
            </w:pPr>
          </w:p>
          <w:p w:rsidR="00964B58" w:rsidRPr="00964B58" w:rsidRDefault="00964B58" w:rsidP="003F556D">
            <w:pPr>
              <w:jc w:val="center"/>
              <w:rPr>
                <w:rFonts w:eastAsiaTheme="minorHAnsi" w:cstheme="minorBidi"/>
                <w:b/>
                <w:szCs w:val="24"/>
                <w:lang w:val="fr-CA" w:eastAsia="en-US"/>
              </w:rPr>
            </w:pPr>
            <w:r w:rsidRPr="00964B58">
              <w:rPr>
                <w:rFonts w:eastAsiaTheme="minorHAnsi" w:cstheme="minorBidi"/>
                <w:b/>
                <w:szCs w:val="24"/>
                <w:lang w:val="fr-CA" w:eastAsia="en-US"/>
              </w:rPr>
              <w:t>Albert Penunsi</w:t>
            </w:r>
          </w:p>
          <w:p w:rsidR="00964B58" w:rsidRPr="00964B58" w:rsidRDefault="00964B58" w:rsidP="003F556D">
            <w:pPr>
              <w:jc w:val="center"/>
              <w:rPr>
                <w:rFonts w:eastAsiaTheme="minorHAnsi" w:cstheme="minorBidi"/>
                <w:szCs w:val="24"/>
                <w:lang w:val="fr-CA" w:eastAsia="en-US"/>
              </w:rPr>
            </w:pPr>
            <w:r w:rsidRPr="00964B58">
              <w:rPr>
                <w:rFonts w:eastAsiaTheme="minorHAnsi" w:cstheme="minorBidi"/>
                <w:szCs w:val="24"/>
                <w:lang w:val="fr-CA" w:eastAsia="en-US"/>
              </w:rPr>
              <w:t>Intimé</w:t>
            </w:r>
          </w:p>
          <w:p w:rsidR="00964B58" w:rsidRPr="00964B58" w:rsidRDefault="00964B58" w:rsidP="003F556D">
            <w:pPr>
              <w:rPr>
                <w:rFonts w:eastAsiaTheme="minorHAnsi" w:cstheme="minorBidi"/>
                <w:szCs w:val="24"/>
                <w:lang w:val="fr-CA" w:eastAsia="en-US"/>
              </w:rPr>
            </w:pPr>
          </w:p>
          <w:p w:rsidR="00964B58" w:rsidRPr="00964B58" w:rsidRDefault="00964B58" w:rsidP="003F556D">
            <w:pPr>
              <w:jc w:val="center"/>
              <w:rPr>
                <w:rFonts w:eastAsiaTheme="minorHAnsi" w:cstheme="minorBidi"/>
                <w:szCs w:val="24"/>
                <w:lang w:val="fr-CA" w:eastAsia="en-US"/>
              </w:rPr>
            </w:pPr>
            <w:r w:rsidRPr="00964B58">
              <w:rPr>
                <w:rFonts w:eastAsiaTheme="minorHAnsi" w:cstheme="minorBidi"/>
                <w:szCs w:val="24"/>
                <w:lang w:val="fr-CA" w:eastAsia="en-US"/>
              </w:rPr>
              <w:t>- et -</w:t>
            </w:r>
          </w:p>
          <w:p w:rsidR="00964B58" w:rsidRPr="00964B58" w:rsidRDefault="00964B58" w:rsidP="003F556D">
            <w:pPr>
              <w:jc w:val="center"/>
              <w:rPr>
                <w:rFonts w:eastAsiaTheme="minorHAnsi" w:cstheme="minorBidi"/>
                <w:b/>
                <w:szCs w:val="24"/>
                <w:lang w:val="fr-CA" w:eastAsia="en-US"/>
              </w:rPr>
            </w:pPr>
          </w:p>
          <w:p w:rsidR="00964B58" w:rsidRPr="00964B58" w:rsidRDefault="00964B58" w:rsidP="003F556D">
            <w:pPr>
              <w:jc w:val="center"/>
              <w:rPr>
                <w:rFonts w:eastAsiaTheme="minorHAnsi" w:cstheme="minorBidi"/>
                <w:b/>
                <w:szCs w:val="24"/>
                <w:lang w:val="fr-CA" w:eastAsia="en-US"/>
              </w:rPr>
            </w:pPr>
            <w:r w:rsidRPr="00964B58">
              <w:rPr>
                <w:rFonts w:eastAsiaTheme="minorHAnsi" w:cstheme="minorBidi"/>
                <w:b/>
                <w:szCs w:val="24"/>
                <w:lang w:val="fr-CA" w:eastAsia="en-US"/>
              </w:rPr>
              <w:t>Directrice des poursuites pénales, procureure générale de l’Ontario, Société d’aide juridique du Yukon, Association canadienne des libertés civiles, Société Radio-Canada et Canadian Association for Progress in Justice</w:t>
            </w:r>
          </w:p>
          <w:p w:rsidR="00964B58" w:rsidRPr="00964B58" w:rsidRDefault="00964B58" w:rsidP="003F556D">
            <w:pPr>
              <w:jc w:val="center"/>
              <w:rPr>
                <w:rFonts w:eastAsiaTheme="minorHAnsi" w:cstheme="minorBidi"/>
                <w:szCs w:val="24"/>
                <w:lang w:val="fr-CA" w:eastAsia="en-US"/>
              </w:rPr>
            </w:pPr>
            <w:r w:rsidRPr="00964B58">
              <w:rPr>
                <w:rFonts w:eastAsiaTheme="minorHAnsi" w:cstheme="minorBidi"/>
                <w:szCs w:val="24"/>
                <w:lang w:val="fr-CA" w:eastAsia="en-US"/>
              </w:rPr>
              <w:t>Intervenantes</w:t>
            </w:r>
          </w:p>
          <w:p w:rsidR="00964B58" w:rsidRPr="00964B58" w:rsidRDefault="00964B58" w:rsidP="003F556D">
            <w:pPr>
              <w:rPr>
                <w:rFonts w:eastAsiaTheme="minorHAnsi" w:cstheme="minorBidi"/>
                <w:szCs w:val="24"/>
                <w:lang w:val="fr-CA" w:eastAsia="en-US"/>
              </w:rPr>
            </w:pPr>
          </w:p>
          <w:p w:rsidR="00964B58" w:rsidRPr="00964B58" w:rsidRDefault="00964B58" w:rsidP="003F556D">
            <w:pPr>
              <w:rPr>
                <w:rFonts w:eastAsiaTheme="minorHAnsi" w:cstheme="minorBidi"/>
                <w:szCs w:val="24"/>
                <w:lang w:val="fr-CA" w:eastAsia="en-US"/>
              </w:rPr>
            </w:pPr>
          </w:p>
          <w:p w:rsidR="00964B58" w:rsidRPr="00964B58" w:rsidRDefault="00964B58" w:rsidP="003F556D">
            <w:pPr>
              <w:jc w:val="center"/>
              <w:rPr>
                <w:rFonts w:eastAsiaTheme="minorHAnsi" w:cstheme="minorBidi"/>
                <w:b/>
                <w:smallCaps/>
                <w:szCs w:val="24"/>
                <w:lang w:val="fr-CA" w:eastAsia="en-US"/>
              </w:rPr>
            </w:pPr>
            <w:r w:rsidRPr="00964B58">
              <w:rPr>
                <w:rFonts w:eastAsiaTheme="minorHAnsi" w:cstheme="minorBidi"/>
                <w:b/>
                <w:smallCaps/>
                <w:szCs w:val="24"/>
                <w:lang w:val="fr-CA" w:eastAsia="en-US"/>
              </w:rPr>
              <w:t>Traduction française officielle</w:t>
            </w:r>
          </w:p>
          <w:p w:rsidR="00964B58" w:rsidRPr="00964B58" w:rsidRDefault="00964B58" w:rsidP="003F556D">
            <w:pPr>
              <w:rPr>
                <w:rFonts w:eastAsiaTheme="minorHAnsi" w:cstheme="minorBidi"/>
                <w:szCs w:val="24"/>
                <w:lang w:val="fr-CA" w:eastAsia="en-US"/>
              </w:rPr>
            </w:pPr>
          </w:p>
          <w:p w:rsidR="00964B58" w:rsidRPr="00964B58" w:rsidRDefault="00964B58" w:rsidP="003F556D">
            <w:pPr>
              <w:rPr>
                <w:rFonts w:eastAsiaTheme="minorHAnsi" w:cstheme="minorBidi"/>
                <w:szCs w:val="24"/>
                <w:lang w:val="fr-CA" w:eastAsia="en-US"/>
              </w:rPr>
            </w:pPr>
            <w:r w:rsidRPr="00964B58">
              <w:rPr>
                <w:rFonts w:eastAsiaTheme="minorHAnsi" w:cstheme="minorBidi"/>
                <w:b/>
                <w:smallCaps/>
                <w:szCs w:val="24"/>
                <w:lang w:val="fr-CA" w:eastAsia="en-US"/>
              </w:rPr>
              <w:t>Coram :</w:t>
            </w:r>
            <w:r w:rsidRPr="00964B58">
              <w:rPr>
                <w:rFonts w:eastAsiaTheme="minorHAnsi" w:cstheme="minorBidi"/>
                <w:szCs w:val="24"/>
                <w:lang w:val="fr-CA" w:eastAsia="en-US"/>
              </w:rPr>
              <w:t xml:space="preserve"> Le juge en chef Wagner et les juges Abella, Moldaver, Karakatsanis, Gascon, Côté, Brown, Rowe et Martin</w:t>
            </w:r>
          </w:p>
          <w:p w:rsidR="00964B58" w:rsidRPr="004A4030" w:rsidRDefault="00964B58" w:rsidP="003F556D">
            <w:pPr>
              <w:rPr>
                <w:b/>
                <w:smallCaps/>
                <w:lang w:val="fr-CA"/>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40"/>
        <w:gridCol w:w="6120"/>
      </w:tblGrid>
      <w:tr w:rsidR="00964B58" w:rsidRPr="00964B58" w:rsidTr="00964B58">
        <w:trPr>
          <w:cantSplit/>
        </w:trPr>
        <w:tc>
          <w:tcPr>
            <w:tcW w:w="3240" w:type="dxa"/>
          </w:tcPr>
          <w:p w:rsidR="00964B58" w:rsidRPr="00964B58" w:rsidRDefault="00964B58" w:rsidP="00964B58">
            <w:pPr>
              <w:rPr>
                <w:b/>
                <w:smallCaps/>
                <w:lang w:val="fr-CA"/>
              </w:rPr>
            </w:pPr>
            <w:r w:rsidRPr="00964B58">
              <w:rPr>
                <w:b/>
                <w:smallCaps/>
                <w:lang w:val="fr-CA"/>
              </w:rPr>
              <w:t>Motifs de jugement :</w:t>
            </w:r>
          </w:p>
          <w:p w:rsidR="00964B58" w:rsidRPr="00964B58" w:rsidRDefault="00964B58" w:rsidP="00964B58">
            <w:pPr>
              <w:rPr>
                <w:lang w:val="fr-CA"/>
              </w:rPr>
            </w:pPr>
            <w:r w:rsidRPr="00964B58">
              <w:rPr>
                <w:lang w:val="fr-CA"/>
              </w:rPr>
              <w:t>(par. 1 à 86)</w:t>
            </w:r>
          </w:p>
        </w:tc>
        <w:tc>
          <w:tcPr>
            <w:tcW w:w="6120" w:type="dxa"/>
          </w:tcPr>
          <w:p w:rsidR="00964B58" w:rsidRPr="00964B58" w:rsidRDefault="00964B58" w:rsidP="00964B58">
            <w:pPr>
              <w:rPr>
                <w:lang w:val="fr-CA"/>
              </w:rPr>
            </w:pPr>
            <w:r w:rsidRPr="00964B58">
              <w:rPr>
                <w:lang w:val="fr-CA"/>
              </w:rPr>
              <w:t>Le juge Rowe (avec l’accord du juge en chef Wagner et des juges Abella, Moldaver, Karakatsanis, Gascon, Côté, Brown et Martin)</w:t>
            </w:r>
          </w:p>
        </w:tc>
      </w:tr>
    </w:tbl>
    <w:p w:rsidR="00964B58" w:rsidRPr="00964B58" w:rsidRDefault="00964B58" w:rsidP="00964B58">
      <w:pPr>
        <w:rPr>
          <w:rFonts w:eastAsiaTheme="minorHAnsi" w:cstheme="minorBidi"/>
          <w:szCs w:val="24"/>
          <w:lang w:val="fr-CA"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871"/>
        <w:gridCol w:w="2699"/>
      </w:tblGrid>
      <w:tr w:rsidR="00964B58" w:rsidRPr="001A07BA" w:rsidTr="00964B58">
        <w:tc>
          <w:tcPr>
            <w:tcW w:w="1490" w:type="pct"/>
            <w:tcMar>
              <w:top w:w="284" w:type="dxa"/>
            </w:tcMar>
          </w:tcPr>
          <w:p w:rsidR="00964B58" w:rsidRPr="00A9085B" w:rsidRDefault="00964B58" w:rsidP="003F556D">
            <w:pPr>
              <w:rPr>
                <w:rFonts w:eastAsia="Calibri"/>
                <w:lang w:val="fr-CA" w:eastAsia="en-US"/>
              </w:rPr>
            </w:pPr>
          </w:p>
        </w:tc>
        <w:tc>
          <w:tcPr>
            <w:tcW w:w="2068" w:type="pct"/>
            <w:tcBorders>
              <w:bottom w:val="single" w:sz="4" w:space="0" w:color="auto"/>
            </w:tcBorders>
            <w:tcMar>
              <w:top w:w="284" w:type="dxa"/>
            </w:tcMar>
          </w:tcPr>
          <w:p w:rsidR="00964B58" w:rsidRPr="00A9085B" w:rsidRDefault="00964B58" w:rsidP="003F556D">
            <w:pPr>
              <w:rPr>
                <w:rFonts w:eastAsia="Calibri"/>
                <w:lang w:val="fr-CA" w:eastAsia="en-US"/>
              </w:rPr>
            </w:pPr>
          </w:p>
        </w:tc>
        <w:tc>
          <w:tcPr>
            <w:tcW w:w="1442" w:type="pct"/>
            <w:tcMar>
              <w:top w:w="284" w:type="dxa"/>
            </w:tcMar>
          </w:tcPr>
          <w:p w:rsidR="00964B58" w:rsidRPr="00A9085B" w:rsidRDefault="00964B58" w:rsidP="003F556D">
            <w:pPr>
              <w:rPr>
                <w:rFonts w:eastAsia="Calibri"/>
                <w:lang w:val="fr-CA" w:eastAsia="en-US"/>
              </w:rPr>
            </w:pPr>
          </w:p>
        </w:tc>
      </w:tr>
    </w:tbl>
    <w:p w:rsidR="00964B58" w:rsidRDefault="00964B58" w:rsidP="00DB6365">
      <w:pPr>
        <w:spacing w:after="720"/>
        <w:jc w:val="both"/>
        <w:rPr>
          <w:rStyle w:val="SCCAppellantForRunningHeadChar"/>
          <w:smallCaps w:val="0"/>
          <w:lang w:val="fr-CA"/>
        </w:rPr>
      </w:pPr>
      <w:bookmarkStart w:id="0" w:name="_GoBack"/>
      <w:bookmarkEnd w:id="0"/>
    </w:p>
    <w:p w:rsidR="004D7D95" w:rsidRPr="008F1EFE" w:rsidRDefault="00AC128D" w:rsidP="00DB6365">
      <w:pPr>
        <w:spacing w:after="720"/>
        <w:jc w:val="both"/>
        <w:rPr>
          <w:lang w:val="fr-CA"/>
        </w:rPr>
      </w:pPr>
      <w:r>
        <w:rPr>
          <w:rStyle w:val="SCCAppellantForRunningHeadChar"/>
          <w:smallCaps w:val="0"/>
          <w:lang w:val="fr-CA"/>
        </w:rPr>
        <w:t>R</w:t>
      </w:r>
      <w:r w:rsidR="00FB4A02" w:rsidRPr="00AC128D">
        <w:rPr>
          <w:rStyle w:val="SCCAppellantForRunningHeadChar"/>
          <w:smallCaps w:val="0"/>
          <w:lang w:val="fr-CA"/>
        </w:rPr>
        <w:t>.</w:t>
      </w:r>
      <w:r w:rsidR="00FB4A02" w:rsidRPr="008F1EFE">
        <w:rPr>
          <w:lang w:val="fr-CA"/>
        </w:rPr>
        <w:t xml:space="preserve"> </w:t>
      </w:r>
      <w:r w:rsidR="00FB4A02" w:rsidRPr="008F1EFE">
        <w:rPr>
          <w:i/>
          <w:lang w:val="fr-CA"/>
        </w:rPr>
        <w:t>c.</w:t>
      </w:r>
      <w:r w:rsidR="00FB4A02" w:rsidRPr="008F1EFE">
        <w:rPr>
          <w:lang w:val="fr-CA"/>
        </w:rPr>
        <w:t xml:space="preserve"> </w:t>
      </w:r>
      <w:r>
        <w:rPr>
          <w:rStyle w:val="SCCRespondentForRunningHeadChar"/>
          <w:smallCaps w:val="0"/>
          <w:lang w:val="fr-CA"/>
        </w:rPr>
        <w:t>P</w:t>
      </w:r>
      <w:r w:rsidR="00FB4A02" w:rsidRPr="00AC128D">
        <w:rPr>
          <w:rStyle w:val="SCCRespondentForRunningHeadChar"/>
          <w:smallCaps w:val="0"/>
          <w:lang w:val="fr-CA"/>
        </w:rPr>
        <w:t>enunsi</w:t>
      </w:r>
      <w:r>
        <w:rPr>
          <w:rStyle w:val="SCCRespondentForRunningHeadChar"/>
          <w:smallCaps w:val="0"/>
          <w:lang w:val="fr-CA"/>
        </w:rPr>
        <w:t xml:space="preserve">, </w:t>
      </w:r>
      <w:r w:rsidRPr="008F1EFE">
        <w:rPr>
          <w:lang w:val="fr-CA"/>
        </w:rPr>
        <w:t>2019 CSC </w:t>
      </w:r>
      <w:r>
        <w:rPr>
          <w:lang w:val="fr-CA"/>
        </w:rPr>
        <w:t>39</w:t>
      </w:r>
      <w:r>
        <w:rPr>
          <w:lang w:val="fr-CA"/>
        </w:rPr>
        <w:t>, [2019] 3 R.C.S. 91</w:t>
      </w:r>
    </w:p>
    <w:p w:rsidR="006054E2" w:rsidRPr="008F1EFE" w:rsidRDefault="006C5E28" w:rsidP="00DB6365">
      <w:pPr>
        <w:pStyle w:val="SCCLsocLastPartyInRole"/>
        <w:rPr>
          <w:lang w:val="fr-CA"/>
        </w:rPr>
      </w:pPr>
      <w:r w:rsidRPr="008F1EFE">
        <w:rPr>
          <w:lang w:val="fr-CA"/>
        </w:rPr>
        <w:lastRenderedPageBreak/>
        <w:t>Sa Majesté l</w:t>
      </w:r>
      <w:r w:rsidR="00DA14D1" w:rsidRPr="008F1EFE">
        <w:rPr>
          <w:lang w:val="fr-CA"/>
        </w:rPr>
        <w:t>a Reine</w:t>
      </w:r>
      <w:r w:rsidR="00EB1565" w:rsidRPr="008F1EFE">
        <w:rPr>
          <w:rStyle w:val="SCCLsocPartyRole"/>
          <w:lang w:val="fr-CA"/>
        </w:rPr>
        <w:tab/>
        <w:t>Appelante</w:t>
      </w:r>
    </w:p>
    <w:p w:rsidR="006054E2" w:rsidRPr="008F1EFE" w:rsidRDefault="00DA14D1" w:rsidP="00DB6365">
      <w:pPr>
        <w:pStyle w:val="SCCLsocVersus"/>
        <w:rPr>
          <w:lang w:val="fr-CA"/>
        </w:rPr>
      </w:pPr>
      <w:r w:rsidRPr="008F1EFE">
        <w:rPr>
          <w:lang w:val="fr-CA"/>
        </w:rPr>
        <w:t>c.</w:t>
      </w:r>
    </w:p>
    <w:p w:rsidR="006054E2" w:rsidRPr="008F1EFE" w:rsidRDefault="00DA14D1" w:rsidP="00DB6365">
      <w:pPr>
        <w:pStyle w:val="SCCLsocLastPartyInRole"/>
        <w:rPr>
          <w:lang w:val="fr-CA"/>
        </w:rPr>
      </w:pPr>
      <w:r w:rsidRPr="008F1EFE">
        <w:rPr>
          <w:lang w:val="fr-CA"/>
        </w:rPr>
        <w:t>Albert Penunsi</w:t>
      </w:r>
      <w:r w:rsidR="00EB1565" w:rsidRPr="008F1EFE">
        <w:rPr>
          <w:rStyle w:val="SCCLsocPartyRole"/>
          <w:lang w:val="fr-CA"/>
        </w:rPr>
        <w:tab/>
        <w:t>Intimé</w:t>
      </w:r>
    </w:p>
    <w:p w:rsidR="006054E2" w:rsidRPr="008F1EFE" w:rsidRDefault="00DA14D1" w:rsidP="00DB6365">
      <w:pPr>
        <w:pStyle w:val="SCCLsocOtherPartySeparator"/>
        <w:rPr>
          <w:lang w:val="fr-CA"/>
        </w:rPr>
      </w:pPr>
      <w:r w:rsidRPr="008F1EFE">
        <w:rPr>
          <w:lang w:val="fr-CA"/>
        </w:rPr>
        <w:t>et</w:t>
      </w:r>
    </w:p>
    <w:p w:rsidR="007F259F" w:rsidRPr="008F1EFE" w:rsidRDefault="007F259F" w:rsidP="007F259F">
      <w:pPr>
        <w:pStyle w:val="SCCLsocParty"/>
        <w:rPr>
          <w:lang w:val="fr-CA"/>
        </w:rPr>
      </w:pPr>
      <w:r w:rsidRPr="008F1EFE">
        <w:rPr>
          <w:lang w:val="fr-CA"/>
        </w:rPr>
        <w:t>Directrice des poursuites pénales,</w:t>
      </w:r>
    </w:p>
    <w:p w:rsidR="00FB4A02" w:rsidRPr="005244C7" w:rsidRDefault="00CB72A3" w:rsidP="00FB4A02">
      <w:pPr>
        <w:pStyle w:val="SCCLsocParty"/>
        <w:rPr>
          <w:lang w:val="fr-CA"/>
        </w:rPr>
      </w:pPr>
      <w:r>
        <w:rPr>
          <w:lang w:val="fr-CA"/>
        </w:rPr>
        <w:t>p</w:t>
      </w:r>
      <w:r w:rsidR="006E0EC6" w:rsidRPr="005244C7">
        <w:rPr>
          <w:lang w:val="fr-CA"/>
        </w:rPr>
        <w:t>rocureure</w:t>
      </w:r>
      <w:r w:rsidR="00FB4A02" w:rsidRPr="005244C7">
        <w:rPr>
          <w:lang w:val="fr-CA"/>
        </w:rPr>
        <w:t xml:space="preserve"> générale de l</w:t>
      </w:r>
      <w:r w:rsidR="002638F6" w:rsidRPr="005244C7">
        <w:rPr>
          <w:lang w:val="fr-CA"/>
        </w:rPr>
        <w:t>’</w:t>
      </w:r>
      <w:r w:rsidR="00FB4A02" w:rsidRPr="005244C7">
        <w:rPr>
          <w:lang w:val="fr-CA"/>
        </w:rPr>
        <w:t>Ontario,</w:t>
      </w:r>
    </w:p>
    <w:p w:rsidR="006054E2" w:rsidRPr="005244C7" w:rsidRDefault="00DA14D1">
      <w:pPr>
        <w:pStyle w:val="SCCLsocParty"/>
        <w:rPr>
          <w:lang w:val="fr-CA"/>
        </w:rPr>
      </w:pPr>
      <w:r w:rsidRPr="005244C7">
        <w:rPr>
          <w:lang w:val="fr-CA"/>
        </w:rPr>
        <w:t>Société d</w:t>
      </w:r>
      <w:r w:rsidR="002638F6" w:rsidRPr="005244C7">
        <w:rPr>
          <w:lang w:val="fr-CA"/>
        </w:rPr>
        <w:t>’</w:t>
      </w:r>
      <w:r w:rsidRPr="005244C7">
        <w:rPr>
          <w:lang w:val="fr-CA"/>
        </w:rPr>
        <w:t>aide juridique du Yukon,</w:t>
      </w:r>
    </w:p>
    <w:p w:rsidR="006054E2" w:rsidRPr="005244C7" w:rsidRDefault="003747D5">
      <w:pPr>
        <w:pStyle w:val="SCCLsocParty"/>
        <w:rPr>
          <w:lang w:val="fr-CA"/>
        </w:rPr>
      </w:pPr>
      <w:r w:rsidRPr="005244C7">
        <w:rPr>
          <w:lang w:val="fr-CA"/>
        </w:rPr>
        <w:t>Association canadienne des libertés c</w:t>
      </w:r>
      <w:r w:rsidR="00DA14D1" w:rsidRPr="005244C7">
        <w:rPr>
          <w:lang w:val="fr-CA"/>
        </w:rPr>
        <w:t>iviles,</w:t>
      </w:r>
    </w:p>
    <w:p w:rsidR="006054E2" w:rsidRPr="005244C7" w:rsidRDefault="006C5E28">
      <w:pPr>
        <w:pStyle w:val="SCCLsocParty"/>
        <w:rPr>
          <w:lang w:val="fr-CA"/>
        </w:rPr>
      </w:pPr>
      <w:r w:rsidRPr="005244C7">
        <w:rPr>
          <w:lang w:val="fr-CA"/>
        </w:rPr>
        <w:t>Société Radio</w:t>
      </w:r>
      <w:r w:rsidR="00DB6365" w:rsidRPr="005244C7">
        <w:rPr>
          <w:lang w:val="fr-CA"/>
        </w:rPr>
        <w:noBreakHyphen/>
      </w:r>
      <w:r w:rsidRPr="005244C7">
        <w:rPr>
          <w:lang w:val="fr-CA"/>
        </w:rPr>
        <w:t>Canada</w:t>
      </w:r>
      <w:r w:rsidR="006F0178" w:rsidRPr="005244C7">
        <w:rPr>
          <w:lang w:val="fr-CA"/>
        </w:rPr>
        <w:t xml:space="preserve"> et</w:t>
      </w:r>
    </w:p>
    <w:p w:rsidR="006054E2" w:rsidRPr="00E94769" w:rsidRDefault="00DA14D1" w:rsidP="00DB6365">
      <w:pPr>
        <w:pStyle w:val="SCCLsocLastPartyInRole"/>
        <w:rPr>
          <w:lang w:val="fr-CA"/>
        </w:rPr>
      </w:pPr>
      <w:r w:rsidRPr="00E94769">
        <w:rPr>
          <w:lang w:val="fr-CA"/>
        </w:rPr>
        <w:t>Canadian Association for Progress in Justice</w:t>
      </w:r>
      <w:r w:rsidR="004750DC" w:rsidRPr="00E94769">
        <w:rPr>
          <w:rStyle w:val="SCCLsocPartyRole"/>
          <w:lang w:val="fr-CA"/>
        </w:rPr>
        <w:tab/>
        <w:t>Intervenant</w:t>
      </w:r>
      <w:r w:rsidR="006C5E28" w:rsidRPr="00E94769">
        <w:rPr>
          <w:rStyle w:val="SCCLsocPartyRole"/>
          <w:lang w:val="fr-CA"/>
        </w:rPr>
        <w:t>e</w:t>
      </w:r>
      <w:r w:rsidRPr="00E94769">
        <w:rPr>
          <w:rStyle w:val="SCCLsocPartyRole"/>
          <w:lang w:val="fr-CA"/>
        </w:rPr>
        <w:t>s</w:t>
      </w:r>
    </w:p>
    <w:p w:rsidR="004D7D95" w:rsidRPr="008F1EFE" w:rsidRDefault="00DA14D1" w:rsidP="00DB6365">
      <w:pPr>
        <w:spacing w:after="720"/>
        <w:jc w:val="both"/>
        <w:rPr>
          <w:b/>
          <w:lang w:val="fr-CA"/>
        </w:rPr>
      </w:pPr>
      <w:r w:rsidRPr="008F1EFE">
        <w:rPr>
          <w:b/>
          <w:lang w:val="fr-CA"/>
        </w:rPr>
        <w:t>Répertorié</w:t>
      </w:r>
      <w:r w:rsidR="00DB6365" w:rsidRPr="008F1EFE">
        <w:rPr>
          <w:b/>
          <w:lang w:val="fr-CA"/>
        </w:rPr>
        <w:t> :</w:t>
      </w:r>
      <w:r w:rsidRPr="008F1EFE">
        <w:rPr>
          <w:b/>
          <w:lang w:val="fr-CA"/>
        </w:rPr>
        <w:t> </w:t>
      </w:r>
      <w:r w:rsidR="004D7D95" w:rsidRPr="008F1EFE">
        <w:rPr>
          <w:rStyle w:val="SCCAppellantForIndexChar"/>
          <w:lang w:val="fr-CA"/>
        </w:rPr>
        <w:t>R.</w:t>
      </w:r>
      <w:r w:rsidR="004D7D95" w:rsidRPr="008F1EFE">
        <w:rPr>
          <w:b/>
          <w:lang w:val="fr-CA"/>
        </w:rPr>
        <w:t xml:space="preserve"> </w:t>
      </w:r>
      <w:r w:rsidR="004D7D95" w:rsidRPr="008F1EFE">
        <w:rPr>
          <w:b/>
          <w:i/>
          <w:lang w:val="fr-CA"/>
        </w:rPr>
        <w:t>c.</w:t>
      </w:r>
      <w:r w:rsidR="004D7D95" w:rsidRPr="008F1EFE">
        <w:rPr>
          <w:b/>
          <w:lang w:val="fr-CA"/>
        </w:rPr>
        <w:t xml:space="preserve"> </w:t>
      </w:r>
      <w:r w:rsidR="004D7D95" w:rsidRPr="008F1EFE">
        <w:rPr>
          <w:rStyle w:val="SCCRespondentForIndexChar"/>
          <w:lang w:val="fr-CA"/>
        </w:rPr>
        <w:t>Penunsi</w:t>
      </w:r>
    </w:p>
    <w:p w:rsidR="004D7D95" w:rsidRPr="008F1EFE" w:rsidRDefault="00D17B0E" w:rsidP="00DB6365">
      <w:pPr>
        <w:pStyle w:val="SCCSystemYear"/>
        <w:spacing w:after="720"/>
        <w:jc w:val="both"/>
        <w:rPr>
          <w:lang w:val="fr-CA"/>
        </w:rPr>
      </w:pPr>
      <w:r w:rsidRPr="008F1EFE">
        <w:rPr>
          <w:lang w:val="fr-CA"/>
        </w:rPr>
        <w:t>2019</w:t>
      </w:r>
      <w:r w:rsidR="004D7D95" w:rsidRPr="008F1EFE">
        <w:rPr>
          <w:lang w:val="fr-CA"/>
        </w:rPr>
        <w:t xml:space="preserve"> CSC </w:t>
      </w:r>
      <w:r w:rsidR="00E30676">
        <w:rPr>
          <w:lang w:val="fr-CA"/>
        </w:rPr>
        <w:t>39</w:t>
      </w:r>
    </w:p>
    <w:p w:rsidR="004D7D95" w:rsidRPr="008F1EFE" w:rsidRDefault="004D7D95" w:rsidP="00DB6365">
      <w:pPr>
        <w:spacing w:after="720"/>
        <w:jc w:val="both"/>
        <w:rPr>
          <w:lang w:val="fr-CA"/>
        </w:rPr>
      </w:pPr>
      <w:r w:rsidRPr="008F1EFE">
        <w:rPr>
          <w:lang w:val="fr-CA"/>
        </w:rPr>
        <w:t>N</w:t>
      </w:r>
      <w:r w:rsidRPr="008F1EFE">
        <w:rPr>
          <w:vertAlign w:val="superscript"/>
          <w:lang w:val="fr-CA"/>
        </w:rPr>
        <w:t>o</w:t>
      </w:r>
      <w:r w:rsidRPr="008F1EFE">
        <w:rPr>
          <w:lang w:val="fr-CA"/>
        </w:rPr>
        <w:t xml:space="preserve"> du greffe</w:t>
      </w:r>
      <w:r w:rsidR="00DB6365" w:rsidRPr="008F1EFE">
        <w:rPr>
          <w:lang w:val="fr-CA"/>
        </w:rPr>
        <w:t> :</w:t>
      </w:r>
      <w:r w:rsidRPr="008F1EFE">
        <w:rPr>
          <w:lang w:val="fr-CA"/>
        </w:rPr>
        <w:t> 38004.</w:t>
      </w:r>
    </w:p>
    <w:p w:rsidR="004D7D95" w:rsidRPr="008F1EFE" w:rsidRDefault="00D17B0E" w:rsidP="00DB6365">
      <w:pPr>
        <w:spacing w:after="720"/>
        <w:jc w:val="both"/>
        <w:rPr>
          <w:lang w:val="fr-CA"/>
        </w:rPr>
      </w:pPr>
      <w:r w:rsidRPr="008F1EFE">
        <w:rPr>
          <w:lang w:val="fr-CA"/>
        </w:rPr>
        <w:t>2019</w:t>
      </w:r>
      <w:r w:rsidR="00DB6365" w:rsidRPr="008F1EFE">
        <w:rPr>
          <w:lang w:val="fr-CA"/>
        </w:rPr>
        <w:t> : 21 </w:t>
      </w:r>
      <w:r w:rsidRPr="008F1EFE">
        <w:rPr>
          <w:lang w:val="fr-CA"/>
        </w:rPr>
        <w:t>février</w:t>
      </w:r>
      <w:r w:rsidR="004D7D95" w:rsidRPr="008F1EFE">
        <w:rPr>
          <w:lang w:val="fr-CA"/>
        </w:rPr>
        <w:t xml:space="preserve">; </w:t>
      </w:r>
      <w:r w:rsidR="008607B7" w:rsidRPr="008F1EFE">
        <w:rPr>
          <w:lang w:val="fr-CA"/>
        </w:rPr>
        <w:t>2019 : 5 juillet</w:t>
      </w:r>
      <w:r w:rsidR="004D7D95" w:rsidRPr="008F1EFE">
        <w:rPr>
          <w:lang w:val="fr-CA"/>
        </w:rPr>
        <w:t>.</w:t>
      </w:r>
    </w:p>
    <w:p w:rsidR="004D7D95" w:rsidRPr="008F1EFE" w:rsidRDefault="004D7D95" w:rsidP="00DB6365">
      <w:pPr>
        <w:spacing w:after="720"/>
        <w:jc w:val="both"/>
        <w:rPr>
          <w:lang w:val="fr-CA"/>
        </w:rPr>
      </w:pPr>
      <w:r w:rsidRPr="008F1EFE">
        <w:rPr>
          <w:lang w:val="fr-CA"/>
        </w:rPr>
        <w:t>Présents</w:t>
      </w:r>
      <w:r w:rsidR="00DB6365" w:rsidRPr="008F1EFE">
        <w:rPr>
          <w:lang w:val="fr-CA"/>
        </w:rPr>
        <w:t> :</w:t>
      </w:r>
      <w:r w:rsidRPr="008F1EFE">
        <w:rPr>
          <w:lang w:val="fr-CA"/>
        </w:rPr>
        <w:t> Le juge en chef Wagner et les juges Abella, Moldaver, Karakatsanis, Gascon, Côté, Brown, Rowe et Martin.</w:t>
      </w:r>
    </w:p>
    <w:p w:rsidR="004D7D95" w:rsidRPr="008F1EFE" w:rsidRDefault="00536B1D" w:rsidP="00DB6365">
      <w:pPr>
        <w:pStyle w:val="SCCLowerCourtNameLowercase"/>
        <w:spacing w:after="720" w:line="240" w:lineRule="auto"/>
        <w:rPr>
          <w:lang w:val="fr-CA"/>
        </w:rPr>
      </w:pPr>
      <w:r w:rsidRPr="008F1EFE">
        <w:rPr>
          <w:lang w:val="fr-CA"/>
        </w:rPr>
        <w:t>en appel de la cour d</w:t>
      </w:r>
      <w:r w:rsidR="002638F6" w:rsidRPr="008F1EFE">
        <w:rPr>
          <w:lang w:val="fr-CA"/>
        </w:rPr>
        <w:t>’</w:t>
      </w:r>
      <w:r w:rsidR="005D58F3">
        <w:rPr>
          <w:lang w:val="fr-CA"/>
        </w:rPr>
        <w:t>appel de terre</w:t>
      </w:r>
      <w:r w:rsidR="005D58F3">
        <w:rPr>
          <w:lang w:val="fr-CA"/>
        </w:rPr>
        <w:noBreakHyphen/>
        <w:t>neuve</w:t>
      </w:r>
      <w:r w:rsidR="005D58F3">
        <w:rPr>
          <w:lang w:val="fr-CA"/>
        </w:rPr>
        <w:noBreakHyphen/>
        <w:t>et</w:t>
      </w:r>
      <w:r w:rsidR="005D58F3">
        <w:rPr>
          <w:lang w:val="fr-CA"/>
        </w:rPr>
        <w:noBreakHyphen/>
      </w:r>
      <w:r w:rsidRPr="008F1EFE">
        <w:rPr>
          <w:lang w:val="fr-CA"/>
        </w:rPr>
        <w:t>labrador</w:t>
      </w:r>
    </w:p>
    <w:p w:rsidR="008479B2" w:rsidRPr="00DF2235" w:rsidRDefault="008479B2" w:rsidP="00FD7C6B">
      <w:pPr>
        <w:pStyle w:val="SCCNormalDoubleSpacing"/>
        <w:spacing w:after="480"/>
        <w:rPr>
          <w:i/>
          <w:lang w:val="fr-CA"/>
        </w:rPr>
      </w:pPr>
      <w:r w:rsidRPr="008479B2">
        <w:rPr>
          <w:lang w:val="fr-CA"/>
        </w:rPr>
        <w:tab/>
      </w:r>
      <w:r w:rsidR="0083184C" w:rsidRPr="0083184C">
        <w:rPr>
          <w:i/>
          <w:lang w:val="fr-CA"/>
        </w:rPr>
        <w:t>Droit criminel</w:t>
      </w:r>
      <w:r w:rsidRPr="0083184C">
        <w:rPr>
          <w:i/>
          <w:lang w:val="fr-CA"/>
        </w:rPr>
        <w:t xml:space="preserve"> — </w:t>
      </w:r>
      <w:r w:rsidR="0083184C" w:rsidRPr="0083184C">
        <w:rPr>
          <w:i/>
          <w:lang w:val="fr-CA"/>
        </w:rPr>
        <w:t>Engagement</w:t>
      </w:r>
      <w:r w:rsidR="002A3EDA">
        <w:rPr>
          <w:i/>
          <w:lang w:val="fr-CA"/>
        </w:rPr>
        <w:t>s</w:t>
      </w:r>
      <w:r w:rsidR="0083184C" w:rsidRPr="0083184C">
        <w:rPr>
          <w:i/>
          <w:lang w:val="fr-CA"/>
        </w:rPr>
        <w:t xml:space="preserve"> de ne pas troubler l’ordre public</w:t>
      </w:r>
      <w:r w:rsidRPr="0083184C">
        <w:rPr>
          <w:i/>
          <w:lang w:val="fr-CA"/>
        </w:rPr>
        <w:t xml:space="preserve"> — </w:t>
      </w:r>
      <w:r w:rsidR="0083184C" w:rsidRPr="0083184C">
        <w:rPr>
          <w:i/>
          <w:lang w:val="fr-CA"/>
        </w:rPr>
        <w:t xml:space="preserve">Application des dispositions relatives à l’arrestation et à la mise en liberté provisoire </w:t>
      </w:r>
      <w:r w:rsidR="0083184C" w:rsidRPr="0083184C">
        <w:rPr>
          <w:i/>
          <w:lang w:val="fr-CA"/>
        </w:rPr>
        <w:lastRenderedPageBreak/>
        <w:t xml:space="preserve">par voie judiciaire </w:t>
      </w:r>
      <w:r w:rsidRPr="0083184C">
        <w:rPr>
          <w:i/>
          <w:lang w:val="fr-CA"/>
        </w:rPr>
        <w:t>—</w:t>
      </w:r>
      <w:r w:rsidR="0083184C" w:rsidRPr="0083184C">
        <w:rPr>
          <w:i/>
          <w:lang w:val="fr-CA"/>
        </w:rPr>
        <w:t xml:space="preserve"> Dépôt d’une dénonciation contre le défendeur en vertu des dispositions du Code </w:t>
      </w:r>
      <w:r w:rsidR="0083184C">
        <w:rPr>
          <w:i/>
          <w:lang w:val="fr-CA"/>
        </w:rPr>
        <w:t>criminel</w:t>
      </w:r>
      <w:r w:rsidR="00B7568B">
        <w:rPr>
          <w:i/>
          <w:lang w:val="fr-CA"/>
        </w:rPr>
        <w:t xml:space="preserve"> relatives aux engagements de ne pas troubler l’ordre public</w:t>
      </w:r>
      <w:r w:rsidR="0083184C" w:rsidRPr="0083184C">
        <w:rPr>
          <w:i/>
          <w:lang w:val="fr-CA"/>
        </w:rPr>
        <w:t xml:space="preserve"> sur le fondement de motifs raisonnables de </w:t>
      </w:r>
      <w:r w:rsidR="0083184C">
        <w:rPr>
          <w:i/>
          <w:lang w:val="fr-CA"/>
        </w:rPr>
        <w:t xml:space="preserve">craindre que ce dernier </w:t>
      </w:r>
      <w:r w:rsidR="002A3EDA">
        <w:rPr>
          <w:i/>
          <w:lang w:val="fr-CA"/>
        </w:rPr>
        <w:t>inflige</w:t>
      </w:r>
      <w:r w:rsidR="0083184C">
        <w:rPr>
          <w:i/>
          <w:lang w:val="fr-CA"/>
        </w:rPr>
        <w:t xml:space="preserve"> des sévices graves à </w:t>
      </w:r>
      <w:r w:rsidR="002A3EDA">
        <w:rPr>
          <w:i/>
          <w:lang w:val="fr-CA"/>
        </w:rPr>
        <w:t>autrui</w:t>
      </w:r>
      <w:r w:rsidR="0083184C">
        <w:rPr>
          <w:i/>
          <w:lang w:val="fr-CA"/>
        </w:rPr>
        <w:t xml:space="preserve"> </w:t>
      </w:r>
      <w:r w:rsidRPr="0083184C">
        <w:rPr>
          <w:i/>
          <w:lang w:val="fr-CA"/>
        </w:rPr>
        <w:t xml:space="preserve">— </w:t>
      </w:r>
      <w:r w:rsidR="00B7568B">
        <w:rPr>
          <w:i/>
          <w:lang w:val="fr-CA"/>
        </w:rPr>
        <w:t>D</w:t>
      </w:r>
      <w:r w:rsidR="003F7022">
        <w:rPr>
          <w:i/>
          <w:lang w:val="fr-CA"/>
        </w:rPr>
        <w:t xml:space="preserve">emande </w:t>
      </w:r>
      <w:r w:rsidR="00B7568B">
        <w:rPr>
          <w:i/>
          <w:lang w:val="fr-CA"/>
        </w:rPr>
        <w:t xml:space="preserve">du </w:t>
      </w:r>
      <w:r w:rsidR="003F7022">
        <w:rPr>
          <w:i/>
          <w:lang w:val="fr-CA"/>
        </w:rPr>
        <w:t>ministère publi</w:t>
      </w:r>
      <w:r w:rsidR="00B7568B">
        <w:rPr>
          <w:i/>
          <w:lang w:val="fr-CA"/>
        </w:rPr>
        <w:t>c</w:t>
      </w:r>
      <w:r w:rsidR="003F7022">
        <w:rPr>
          <w:i/>
          <w:lang w:val="fr-CA"/>
        </w:rPr>
        <w:t xml:space="preserve"> </w:t>
      </w:r>
      <w:r w:rsidR="00B7568B">
        <w:rPr>
          <w:i/>
          <w:lang w:val="fr-CA"/>
        </w:rPr>
        <w:t>visant à</w:t>
      </w:r>
      <w:r w:rsidR="003F7022">
        <w:rPr>
          <w:i/>
          <w:lang w:val="fr-CA"/>
        </w:rPr>
        <w:t xml:space="preserve"> justifier </w:t>
      </w:r>
      <w:r w:rsidR="00B7568B">
        <w:rPr>
          <w:i/>
          <w:lang w:val="fr-CA"/>
        </w:rPr>
        <w:t xml:space="preserve">que le défendeur devait être détenu ou contraint de respecter certaines </w:t>
      </w:r>
      <w:r w:rsidR="003F7022">
        <w:rPr>
          <w:i/>
          <w:lang w:val="fr-CA"/>
        </w:rPr>
        <w:t xml:space="preserve">conditions en attendant la tenue de l’audience relative à la </w:t>
      </w:r>
      <w:r w:rsidR="00B7568B">
        <w:rPr>
          <w:i/>
          <w:lang w:val="fr-CA"/>
        </w:rPr>
        <w:t>dénonciation</w:t>
      </w:r>
      <w:r w:rsidR="00DF2235">
        <w:rPr>
          <w:i/>
          <w:lang w:val="fr-CA"/>
        </w:rPr>
        <w:t xml:space="preserve"> </w:t>
      </w:r>
      <w:r w:rsidR="00B7568B">
        <w:rPr>
          <w:i/>
          <w:lang w:val="fr-CA"/>
        </w:rPr>
        <w:t xml:space="preserve">refusée par un juge de la cour provinciale </w:t>
      </w:r>
      <w:r w:rsidRPr="00DF2235">
        <w:rPr>
          <w:i/>
          <w:lang w:val="fr-CA"/>
        </w:rPr>
        <w:t xml:space="preserve">— </w:t>
      </w:r>
      <w:r w:rsidR="00FD7C6B">
        <w:rPr>
          <w:i/>
          <w:lang w:val="fr-CA"/>
        </w:rPr>
        <w:t>Un juge peut</w:t>
      </w:r>
      <w:r w:rsidR="00FD7C6B">
        <w:rPr>
          <w:i/>
          <w:lang w:val="fr-CA"/>
        </w:rPr>
        <w:noBreakHyphen/>
      </w:r>
      <w:r w:rsidR="00DF2235">
        <w:rPr>
          <w:i/>
          <w:lang w:val="fr-CA"/>
        </w:rPr>
        <w:t xml:space="preserve">il contraindre le défendeur à une dénonciation à comparaître? </w:t>
      </w:r>
      <w:r w:rsidRPr="00DF2235">
        <w:rPr>
          <w:i/>
          <w:lang w:val="fr-CA"/>
        </w:rPr>
        <w:t xml:space="preserve">— </w:t>
      </w:r>
      <w:r w:rsidR="00DF2235">
        <w:rPr>
          <w:i/>
          <w:lang w:val="fr-CA"/>
        </w:rPr>
        <w:t>Les dispositions du Code criminel relatives à l’arrestation et à la mise en liberté provisoire par voie judiciaire s’appliquent-elle</w:t>
      </w:r>
      <w:r w:rsidR="00057D51">
        <w:rPr>
          <w:i/>
          <w:lang w:val="fr-CA"/>
        </w:rPr>
        <w:t>s</w:t>
      </w:r>
      <w:r w:rsidR="00DF2235">
        <w:rPr>
          <w:i/>
          <w:lang w:val="fr-CA"/>
        </w:rPr>
        <w:t xml:space="preserve"> aux procédures d’engagement de ne pas troubler l’ordre public? </w:t>
      </w:r>
      <w:r w:rsidRPr="00DF2235">
        <w:rPr>
          <w:i/>
          <w:lang w:val="fr-CA"/>
        </w:rPr>
        <w:t xml:space="preserve">— </w:t>
      </w:r>
      <w:r w:rsidR="00DF2235">
        <w:rPr>
          <w:i/>
          <w:lang w:val="fr-CA"/>
        </w:rPr>
        <w:t>Code criminel</w:t>
      </w:r>
      <w:r w:rsidRPr="00DF2235">
        <w:rPr>
          <w:i/>
          <w:lang w:val="fr-CA"/>
        </w:rPr>
        <w:t xml:space="preserve">, </w:t>
      </w:r>
      <w:r w:rsidR="00DF2235">
        <w:rPr>
          <w:i/>
          <w:lang w:val="fr-CA"/>
        </w:rPr>
        <w:t>L.R</w:t>
      </w:r>
      <w:r w:rsidR="00FD7C6B">
        <w:rPr>
          <w:i/>
          <w:lang w:val="fr-CA"/>
        </w:rPr>
        <w:t>.C. 1985, c. C</w:t>
      </w:r>
      <w:r w:rsidR="00FD7C6B">
        <w:rPr>
          <w:i/>
          <w:lang w:val="fr-CA"/>
        </w:rPr>
        <w:noBreakHyphen/>
      </w:r>
      <w:r w:rsidRPr="00DF2235">
        <w:rPr>
          <w:i/>
          <w:lang w:val="fr-CA"/>
        </w:rPr>
        <w:t xml:space="preserve">46, </w:t>
      </w:r>
      <w:r w:rsidR="00DF2235">
        <w:rPr>
          <w:i/>
          <w:lang w:val="fr-CA"/>
        </w:rPr>
        <w:t>art.</w:t>
      </w:r>
      <w:r w:rsidR="00F96D19">
        <w:rPr>
          <w:i/>
          <w:lang w:val="fr-CA"/>
        </w:rPr>
        <w:t> </w:t>
      </w:r>
      <w:r w:rsidRPr="00DF2235">
        <w:rPr>
          <w:i/>
          <w:lang w:val="fr-CA"/>
        </w:rPr>
        <w:t>810.2.</w:t>
      </w:r>
    </w:p>
    <w:p w:rsidR="00E72C42" w:rsidRPr="008F1EFE" w:rsidRDefault="004D7D95" w:rsidP="00FD7C6B">
      <w:pPr>
        <w:pStyle w:val="SCCNormalDoubleSpacing"/>
        <w:spacing w:after="480"/>
        <w:rPr>
          <w:lang w:val="fr-CA"/>
        </w:rPr>
      </w:pPr>
      <w:r w:rsidRPr="00DF2235">
        <w:rPr>
          <w:lang w:val="fr-CA"/>
        </w:rPr>
        <w:tab/>
      </w:r>
      <w:r w:rsidR="00E72C42" w:rsidRPr="008F1EFE">
        <w:rPr>
          <w:lang w:val="fr-CA"/>
        </w:rPr>
        <w:t xml:space="preserve">P </w:t>
      </w:r>
      <w:r w:rsidR="00E72C42" w:rsidRPr="008F1EFE">
        <w:rPr>
          <w:szCs w:val="24"/>
          <w:lang w:val="fr-CA"/>
        </w:rPr>
        <w:t>était sur le point de finir de purger sa peine d’emprisonnement lorsqu’un agent de la GRC a dép</w:t>
      </w:r>
      <w:r w:rsidR="006E7C72">
        <w:rPr>
          <w:szCs w:val="24"/>
          <w:lang w:val="fr-CA"/>
        </w:rPr>
        <w:t>osé contre lui une dénonciation</w:t>
      </w:r>
      <w:r w:rsidR="00E72C42" w:rsidRPr="008F1EFE">
        <w:rPr>
          <w:szCs w:val="24"/>
          <w:lang w:val="fr-CA"/>
        </w:rPr>
        <w:t xml:space="preserve"> en vertu de l’art. 810.2 du </w:t>
      </w:r>
      <w:r w:rsidR="00E72C42" w:rsidRPr="008F1EFE">
        <w:rPr>
          <w:i/>
          <w:szCs w:val="24"/>
          <w:lang w:val="fr-CA"/>
        </w:rPr>
        <w:t>Code criminel</w:t>
      </w:r>
      <w:r w:rsidR="00E72C42" w:rsidRPr="008F1EFE">
        <w:rPr>
          <w:lang w:val="fr-CA"/>
        </w:rPr>
        <w:t>. L’</w:t>
      </w:r>
      <w:r w:rsidR="00E72C42" w:rsidRPr="008F1EFE">
        <w:rPr>
          <w:szCs w:val="24"/>
          <w:lang w:val="fr-CA"/>
        </w:rPr>
        <w:t>agent a déclaré sous serment qu’il avait des moti</w:t>
      </w:r>
      <w:r w:rsidR="00FD7C6B">
        <w:rPr>
          <w:szCs w:val="24"/>
          <w:lang w:val="fr-CA"/>
        </w:rPr>
        <w:t xml:space="preserve">fs raisonnables de craindre que </w:t>
      </w:r>
      <w:r w:rsidR="00E72C42" w:rsidRPr="008F1EFE">
        <w:rPr>
          <w:szCs w:val="24"/>
          <w:lang w:val="fr-CA"/>
        </w:rPr>
        <w:t>P inflige des sévices graves à autrui à sa sortie de prison.</w:t>
      </w:r>
      <w:r w:rsidR="00E72C42" w:rsidRPr="008F1EFE">
        <w:rPr>
          <w:lang w:val="fr-CA"/>
        </w:rPr>
        <w:t xml:space="preserve"> </w:t>
      </w:r>
      <w:r w:rsidR="00E72C42" w:rsidRPr="008F1EFE">
        <w:rPr>
          <w:szCs w:val="24"/>
          <w:lang w:val="fr-CA"/>
        </w:rPr>
        <w:t xml:space="preserve">Quelques jours avant la fin de sa peine d’emprisonnement, </w:t>
      </w:r>
      <w:r w:rsidR="00E72C42">
        <w:rPr>
          <w:szCs w:val="24"/>
          <w:lang w:val="fr-CA"/>
        </w:rPr>
        <w:t>P</w:t>
      </w:r>
      <w:r w:rsidR="00E72C42" w:rsidRPr="008F1EFE">
        <w:rPr>
          <w:szCs w:val="24"/>
          <w:lang w:val="fr-CA"/>
        </w:rPr>
        <w:t xml:space="preserve"> a été conduit devant le tribunal pour répondre à la dénonciation. Une date d’audience a alors été fixée </w:t>
      </w:r>
      <w:r w:rsidR="00E72C42" w:rsidRPr="008F1EFE">
        <w:rPr>
          <w:lang w:val="fr-CA"/>
        </w:rPr>
        <w:t>en vue de décider si la crainte attestée dans la dénonciation</w:t>
      </w:r>
      <w:r w:rsidR="00E72C42">
        <w:rPr>
          <w:lang w:val="fr-CA"/>
        </w:rPr>
        <w:t xml:space="preserve"> était raisonnablement fondée. </w:t>
      </w:r>
      <w:r w:rsidR="00E72C42" w:rsidRPr="008F1EFE">
        <w:rPr>
          <w:lang w:val="fr-CA"/>
        </w:rPr>
        <w:t>L</w:t>
      </w:r>
      <w:r w:rsidR="00E72C42" w:rsidRPr="008F1EFE">
        <w:rPr>
          <w:szCs w:val="24"/>
          <w:lang w:val="fr-CA"/>
        </w:rPr>
        <w:t xml:space="preserve">’audience ne devait toutefois avoir lieu qu’après la sortie de prison de </w:t>
      </w:r>
      <w:r w:rsidR="00E72C42">
        <w:rPr>
          <w:szCs w:val="24"/>
          <w:lang w:val="fr-CA"/>
        </w:rPr>
        <w:t>P</w:t>
      </w:r>
      <w:r w:rsidR="00E72C42" w:rsidRPr="008F1EFE">
        <w:rPr>
          <w:szCs w:val="24"/>
          <w:lang w:val="fr-CA"/>
        </w:rPr>
        <w:t>.</w:t>
      </w:r>
      <w:r w:rsidR="00E72C42" w:rsidRPr="008F1EFE">
        <w:rPr>
          <w:lang w:val="fr-CA"/>
        </w:rPr>
        <w:t xml:space="preserve"> Souhaitant éviter la libération inconditionnelle de </w:t>
      </w:r>
      <w:r w:rsidR="00E72C42">
        <w:rPr>
          <w:lang w:val="fr-CA"/>
        </w:rPr>
        <w:t>P</w:t>
      </w:r>
      <w:r w:rsidR="00E72C42" w:rsidRPr="008F1EFE">
        <w:rPr>
          <w:lang w:val="fr-CA"/>
        </w:rPr>
        <w:t xml:space="preserve"> dans l’intervalle, le ministère public a tenté de justifier que</w:t>
      </w:r>
      <w:r w:rsidR="00E72C42" w:rsidRPr="008F1EFE">
        <w:rPr>
          <w:szCs w:val="24"/>
          <w:lang w:val="fr-CA"/>
        </w:rPr>
        <w:t xml:space="preserve"> </w:t>
      </w:r>
      <w:r w:rsidR="00E72C42">
        <w:rPr>
          <w:szCs w:val="24"/>
          <w:lang w:val="fr-CA"/>
        </w:rPr>
        <w:t>P</w:t>
      </w:r>
      <w:r w:rsidR="00E72C42" w:rsidRPr="008F1EFE">
        <w:rPr>
          <w:szCs w:val="24"/>
          <w:lang w:val="fr-CA"/>
        </w:rPr>
        <w:t xml:space="preserve"> devait être détenu ou contraint de respecter certaines conditions en attendant la tenue de l’audience. Pour justifier son refus de la demande du ministère public, le juge de la cour provinciale a expliqué qu’il n’avait pas compétence pour assujettir </w:t>
      </w:r>
      <w:r w:rsidR="00E72C42">
        <w:rPr>
          <w:szCs w:val="24"/>
          <w:lang w:val="fr-CA"/>
        </w:rPr>
        <w:t>P</w:t>
      </w:r>
      <w:r w:rsidR="00E72C42" w:rsidRPr="008F1EFE">
        <w:rPr>
          <w:szCs w:val="24"/>
          <w:lang w:val="fr-CA"/>
        </w:rPr>
        <w:t xml:space="preserve"> à une audience de justification, au motif que les dispositions du </w:t>
      </w:r>
      <w:r w:rsidR="00E72C42" w:rsidRPr="008F1EFE">
        <w:rPr>
          <w:i/>
          <w:szCs w:val="24"/>
          <w:lang w:val="fr-CA"/>
        </w:rPr>
        <w:t>C</w:t>
      </w:r>
      <w:r w:rsidR="00057D51">
        <w:rPr>
          <w:i/>
          <w:szCs w:val="24"/>
          <w:lang w:val="fr-CA"/>
        </w:rPr>
        <w:t>ode c</w:t>
      </w:r>
      <w:r w:rsidR="00E72C42" w:rsidRPr="008F1EFE">
        <w:rPr>
          <w:i/>
          <w:szCs w:val="24"/>
          <w:lang w:val="fr-CA"/>
        </w:rPr>
        <w:t>riminel</w:t>
      </w:r>
      <w:r w:rsidR="00E72C42" w:rsidRPr="008F1EFE">
        <w:rPr>
          <w:szCs w:val="24"/>
          <w:lang w:val="fr-CA"/>
        </w:rPr>
        <w:t xml:space="preserve"> relatives à la </w:t>
      </w:r>
      <w:r w:rsidR="00E72C42" w:rsidRPr="008F1EFE">
        <w:rPr>
          <w:szCs w:val="24"/>
          <w:lang w:val="fr-CA"/>
        </w:rPr>
        <w:lastRenderedPageBreak/>
        <w:t>mise en liberté provisoire par voie judiciaire ne s’appliquaient pas aux procédures d’engagement de ne pas troubler l’ordre public.</w:t>
      </w:r>
    </w:p>
    <w:p w:rsidR="00E72C42" w:rsidRPr="008F1EFE" w:rsidRDefault="00E72C42" w:rsidP="00FD7C6B">
      <w:pPr>
        <w:pStyle w:val="SCCNormalDoubleSpacing"/>
        <w:spacing w:after="480"/>
        <w:rPr>
          <w:iCs/>
          <w:lang w:val="fr-CA"/>
        </w:rPr>
      </w:pPr>
      <w:r w:rsidRPr="008F1EFE">
        <w:rPr>
          <w:lang w:val="fr-CA"/>
        </w:rPr>
        <w:tab/>
      </w:r>
      <w:r w:rsidRPr="008F1EFE">
        <w:rPr>
          <w:szCs w:val="24"/>
          <w:lang w:val="fr-CA"/>
        </w:rPr>
        <w:t>Le ministère public a demandé le contrôle judiciaire de la décision du juge de la cour provinciale</w:t>
      </w:r>
      <w:r w:rsidRPr="008F1EFE">
        <w:rPr>
          <w:lang w:val="fr-CA"/>
        </w:rPr>
        <w:t xml:space="preserve">. </w:t>
      </w:r>
      <w:r w:rsidRPr="008F1EFE">
        <w:rPr>
          <w:szCs w:val="24"/>
          <w:lang w:val="fr-CA"/>
        </w:rPr>
        <w:t>Avant que la demande ne soit entendue, P a contracté de son plein gré un engagement assorti de conditions lors de l’audience sur le fond portant sur son engagement de ne pas troubler l’ordre public</w:t>
      </w:r>
      <w:r w:rsidRPr="008F1EFE">
        <w:rPr>
          <w:lang w:val="fr-CA"/>
        </w:rPr>
        <w:t xml:space="preserve">. </w:t>
      </w:r>
      <w:r w:rsidRPr="008F1EFE">
        <w:rPr>
          <w:szCs w:val="24"/>
          <w:lang w:val="fr-CA"/>
        </w:rPr>
        <w:t>Même si la question était théorique, la Cour suprême de Terre</w:t>
      </w:r>
      <w:r w:rsidRPr="008F1EFE">
        <w:rPr>
          <w:szCs w:val="24"/>
          <w:lang w:val="fr-CA"/>
        </w:rPr>
        <w:noBreakHyphen/>
        <w:t>Neuve</w:t>
      </w:r>
      <w:r w:rsidRPr="008F1EFE">
        <w:rPr>
          <w:szCs w:val="24"/>
          <w:lang w:val="fr-CA"/>
        </w:rPr>
        <w:noBreakHyphen/>
        <w:t>et</w:t>
      </w:r>
      <w:r w:rsidRPr="008F1EFE">
        <w:rPr>
          <w:szCs w:val="24"/>
          <w:lang w:val="fr-CA"/>
        </w:rPr>
        <w:noBreakHyphen/>
        <w:t>Labrador a rendu un jugement déclaratoire, dans lequel elle admettait qu’un juge pouvait, au moyen d’un mandat d’arrestation, exiger la comparution initiale du défendeur et que, par conséquent, les dispositions relatives à la mise en liberté provisoire par voie judiciaire devaient s’appliquer de manière à prévoir une procédure permettant de libérer par la suite le défendeur.</w:t>
      </w:r>
      <w:r w:rsidR="002A211B">
        <w:rPr>
          <w:lang w:val="fr-CA"/>
        </w:rPr>
        <w:t xml:space="preserve"> </w:t>
      </w:r>
      <w:r w:rsidRPr="008F1EFE">
        <w:rPr>
          <w:lang w:val="fr-CA"/>
        </w:rPr>
        <w:t xml:space="preserve">La </w:t>
      </w:r>
      <w:bookmarkStart w:id="1" w:name="_Hlk7193638"/>
      <w:r w:rsidRPr="008F1EFE">
        <w:rPr>
          <w:lang w:val="fr-CA"/>
        </w:rPr>
        <w:t>Cour d’appel de Terre</w:t>
      </w:r>
      <w:r w:rsidRPr="008F1EFE">
        <w:rPr>
          <w:lang w:val="fr-CA"/>
        </w:rPr>
        <w:noBreakHyphen/>
        <w:t>Neuve</w:t>
      </w:r>
      <w:r w:rsidRPr="008F1EFE">
        <w:rPr>
          <w:lang w:val="fr-CA"/>
        </w:rPr>
        <w:noBreakHyphen/>
        <w:t>et</w:t>
      </w:r>
      <w:r w:rsidRPr="008F1EFE">
        <w:rPr>
          <w:lang w:val="fr-CA"/>
        </w:rPr>
        <w:noBreakHyphen/>
        <w:t xml:space="preserve">Labrador </w:t>
      </w:r>
      <w:bookmarkEnd w:id="1"/>
      <w:r w:rsidRPr="008F1EFE">
        <w:rPr>
          <w:lang w:val="fr-CA"/>
        </w:rPr>
        <w:t>a accueilli l’appel de P et rétabli la décision</w:t>
      </w:r>
      <w:r w:rsidR="002A211B">
        <w:rPr>
          <w:lang w:val="fr-CA"/>
        </w:rPr>
        <w:t xml:space="preserve"> du juge de la cour provinciale.</w:t>
      </w:r>
    </w:p>
    <w:p w:rsidR="00E72C42" w:rsidRPr="008F1EFE" w:rsidRDefault="00E72C42" w:rsidP="00FD7C6B">
      <w:pPr>
        <w:pStyle w:val="SCCNormalDoubleSpacing"/>
        <w:spacing w:after="720" w:line="240" w:lineRule="auto"/>
        <w:rPr>
          <w:lang w:val="fr-CA"/>
        </w:rPr>
      </w:pPr>
      <w:r w:rsidRPr="008F1EFE">
        <w:rPr>
          <w:i/>
          <w:iCs/>
          <w:lang w:val="fr-CA"/>
        </w:rPr>
        <w:tab/>
        <w:t xml:space="preserve">Arrêt </w:t>
      </w:r>
      <w:r w:rsidRPr="009E7248">
        <w:rPr>
          <w:iCs/>
          <w:lang w:val="fr-CA"/>
        </w:rPr>
        <w:t>:</w:t>
      </w:r>
      <w:r w:rsidRPr="008F1EFE">
        <w:rPr>
          <w:lang w:val="fr-CA"/>
        </w:rPr>
        <w:t xml:space="preserve"> Le pourvoi </w:t>
      </w:r>
      <w:r w:rsidR="00B7568B">
        <w:rPr>
          <w:lang w:val="fr-CA"/>
        </w:rPr>
        <w:t xml:space="preserve">est </w:t>
      </w:r>
      <w:r w:rsidRPr="008F1EFE">
        <w:rPr>
          <w:lang w:val="fr-CA"/>
        </w:rPr>
        <w:t xml:space="preserve">accueilli et l’ordonnance de la Cour d’appel </w:t>
      </w:r>
      <w:r w:rsidR="009E7248">
        <w:rPr>
          <w:lang w:val="fr-CA"/>
        </w:rPr>
        <w:t xml:space="preserve">est </w:t>
      </w:r>
      <w:r w:rsidRPr="008F1EFE">
        <w:rPr>
          <w:lang w:val="fr-CA"/>
        </w:rPr>
        <w:t>annulée.</w:t>
      </w:r>
    </w:p>
    <w:p w:rsidR="00E72C42" w:rsidRPr="008F1EFE" w:rsidRDefault="00FD7C6B" w:rsidP="00E72C42">
      <w:pPr>
        <w:pStyle w:val="SCCNormalDoubleSpacing"/>
        <w:spacing w:after="480"/>
        <w:rPr>
          <w:lang w:val="fr-CA"/>
        </w:rPr>
      </w:pPr>
      <w:r>
        <w:rPr>
          <w:lang w:val="fr-CA"/>
        </w:rPr>
        <w:tab/>
      </w:r>
      <w:r w:rsidR="00E72C42" w:rsidRPr="00E72C42">
        <w:rPr>
          <w:lang w:val="fr-CA"/>
        </w:rPr>
        <w:t xml:space="preserve">Les dispositions du </w:t>
      </w:r>
      <w:r w:rsidR="00E72C42" w:rsidRPr="00E72C42">
        <w:rPr>
          <w:i/>
          <w:lang w:val="fr-CA"/>
        </w:rPr>
        <w:t>Code criminel</w:t>
      </w:r>
      <w:r w:rsidR="00E72C42" w:rsidRPr="00E72C42">
        <w:rPr>
          <w:lang w:val="fr-CA"/>
        </w:rPr>
        <w:t xml:space="preserve"> relatives à l’arrestation et à la mise en liberté provisoire par voie judiciaire s’appliquent, avec les adaptations nécessaires, aux procédures d’engagement de ne pas troubler l’ordre public prévues à l’art</w:t>
      </w:r>
      <w:r w:rsidR="002A3EDA">
        <w:rPr>
          <w:lang w:val="fr-CA"/>
        </w:rPr>
        <w:t>. </w:t>
      </w:r>
      <w:r w:rsidR="00E72C42" w:rsidRPr="00E72C42">
        <w:rPr>
          <w:lang w:val="fr-CA"/>
        </w:rPr>
        <w:t xml:space="preserve">810.2 du </w:t>
      </w:r>
      <w:r w:rsidR="00E72C42" w:rsidRPr="00E72C42">
        <w:rPr>
          <w:i/>
          <w:lang w:val="fr-CA"/>
        </w:rPr>
        <w:t>Code</w:t>
      </w:r>
      <w:r w:rsidR="00E72C42" w:rsidRPr="00E72C42">
        <w:rPr>
          <w:lang w:val="fr-CA"/>
        </w:rPr>
        <w:t xml:space="preserve"> </w:t>
      </w:r>
      <w:r w:rsidR="00EA4056" w:rsidRPr="00EA4056">
        <w:rPr>
          <w:i/>
          <w:lang w:val="fr-CA"/>
        </w:rPr>
        <w:t>criminel</w:t>
      </w:r>
      <w:r w:rsidR="00EA4056">
        <w:rPr>
          <w:lang w:val="fr-CA"/>
        </w:rPr>
        <w:t xml:space="preserve"> </w:t>
      </w:r>
      <w:r w:rsidR="00E72C42" w:rsidRPr="00E72C42">
        <w:rPr>
          <w:lang w:val="fr-CA"/>
        </w:rPr>
        <w:t xml:space="preserve">ainsi qu’à toutes les autres procédures d’engagement de ne pas troubler l’ordre public. Le défendeur nommé dans une dénonciation visant à obtenir un engagement de ne pas troubler l’ordre public peut être contraint à comparaître devant le tribunal au moyen d’une sommation ou d’un mandat d’arrestation. Le juge ou le juge de paix a également compétence pour assujettir </w:t>
      </w:r>
      <w:r w:rsidR="00623D1C">
        <w:rPr>
          <w:lang w:val="fr-CA"/>
        </w:rPr>
        <w:t xml:space="preserve">une personne </w:t>
      </w:r>
      <w:r w:rsidR="00E72C42" w:rsidRPr="00E72C42">
        <w:rPr>
          <w:lang w:val="fr-CA"/>
        </w:rPr>
        <w:t xml:space="preserve">à une audience de </w:t>
      </w:r>
      <w:r w:rsidR="00E72C42" w:rsidRPr="00E72C42">
        <w:rPr>
          <w:lang w:val="fr-CA"/>
        </w:rPr>
        <w:lastRenderedPageBreak/>
        <w:t>justification lorsqu</w:t>
      </w:r>
      <w:r w:rsidR="00623D1C">
        <w:rPr>
          <w:lang w:val="fr-CA"/>
        </w:rPr>
        <w:t xml:space="preserve">’elle a </w:t>
      </w:r>
      <w:r w:rsidR="00E72C42" w:rsidRPr="00E72C42">
        <w:rPr>
          <w:lang w:val="fr-CA"/>
        </w:rPr>
        <w:t>été arrêté</w:t>
      </w:r>
      <w:r w:rsidR="00623D1C">
        <w:rPr>
          <w:lang w:val="fr-CA"/>
        </w:rPr>
        <w:t>e</w:t>
      </w:r>
      <w:r w:rsidR="00E72C42" w:rsidRPr="00E72C42">
        <w:rPr>
          <w:lang w:val="fr-CA"/>
        </w:rPr>
        <w:t xml:space="preserve"> </w:t>
      </w:r>
      <w:r w:rsidR="00623D1C">
        <w:rPr>
          <w:lang w:val="fr-CA"/>
        </w:rPr>
        <w:t xml:space="preserve">relativement </w:t>
      </w:r>
      <w:r w:rsidR="00E72C42" w:rsidRPr="008F1EFE">
        <w:rPr>
          <w:lang w:val="fr-CA"/>
        </w:rPr>
        <w:t xml:space="preserve">à </w:t>
      </w:r>
      <w:r w:rsidR="00623D1C">
        <w:rPr>
          <w:lang w:val="fr-CA"/>
        </w:rPr>
        <w:t xml:space="preserve">une </w:t>
      </w:r>
      <w:r w:rsidR="00E72C42" w:rsidRPr="008F1EFE">
        <w:rPr>
          <w:lang w:val="fr-CA"/>
        </w:rPr>
        <w:t xml:space="preserve">dénonciation visant à obtenir un engagement de </w:t>
      </w:r>
      <w:r>
        <w:rPr>
          <w:lang w:val="fr-CA"/>
        </w:rPr>
        <w:t>ne pas troubler l’ordre public</w:t>
      </w:r>
      <w:r w:rsidR="00623D1C">
        <w:rPr>
          <w:lang w:val="fr-CA"/>
        </w:rPr>
        <w:t xml:space="preserve"> et qu’elle a été conduite devant le tribunal</w:t>
      </w:r>
      <w:r>
        <w:rPr>
          <w:lang w:val="fr-CA"/>
        </w:rPr>
        <w:t>.</w:t>
      </w:r>
    </w:p>
    <w:p w:rsidR="00E72C42" w:rsidRPr="008F1EFE" w:rsidRDefault="00E72C42" w:rsidP="00E72C42">
      <w:pPr>
        <w:pStyle w:val="SCCNormalDoubleSpacing"/>
        <w:spacing w:after="480"/>
        <w:rPr>
          <w:lang w:val="fr-CA"/>
        </w:rPr>
      </w:pPr>
      <w:r w:rsidRPr="008F1EFE">
        <w:rPr>
          <w:lang w:val="fr-CA"/>
        </w:rPr>
        <w:tab/>
      </w:r>
      <w:r w:rsidR="00AF26AC">
        <w:rPr>
          <w:lang w:val="fr-CA"/>
        </w:rPr>
        <w:t>Le paragraphe</w:t>
      </w:r>
      <w:r w:rsidRPr="008F1EFE">
        <w:rPr>
          <w:lang w:val="fr-CA"/>
        </w:rPr>
        <w:t xml:space="preserve"> 810.2(2) porte que le juge d’une cour provincial</w:t>
      </w:r>
      <w:r>
        <w:rPr>
          <w:lang w:val="fr-CA"/>
        </w:rPr>
        <w:t>e</w:t>
      </w:r>
      <w:r w:rsidRPr="008F1EFE">
        <w:rPr>
          <w:lang w:val="fr-CA"/>
        </w:rPr>
        <w:t xml:space="preserve"> qui reç</w:t>
      </w:r>
      <w:r w:rsidR="00BC09D4">
        <w:rPr>
          <w:lang w:val="fr-CA"/>
        </w:rPr>
        <w:t>oit une dénonciation en vertu du par</w:t>
      </w:r>
      <w:r w:rsidRPr="008F1EFE">
        <w:rPr>
          <w:lang w:val="fr-CA"/>
        </w:rPr>
        <w:t>.</w:t>
      </w:r>
      <w:r w:rsidR="00BC09D4">
        <w:rPr>
          <w:lang w:val="fr-CA"/>
        </w:rPr>
        <w:t> </w:t>
      </w:r>
      <w:r w:rsidRPr="008F1EFE">
        <w:rPr>
          <w:lang w:val="fr-CA"/>
        </w:rPr>
        <w:t xml:space="preserve">810.2(1) </w:t>
      </w:r>
      <w:r>
        <w:rPr>
          <w:lang w:val="fr-CA"/>
        </w:rPr>
        <w:t>« </w:t>
      </w:r>
      <w:r w:rsidRPr="008F1EFE">
        <w:rPr>
          <w:lang w:val="fr-CA" w:eastAsia="fr-CA"/>
        </w:rPr>
        <w:t>peut faire comparaître les parties devant un juge de la cour provinciale</w:t>
      </w:r>
      <w:r>
        <w:rPr>
          <w:lang w:val="fr-CA" w:eastAsia="fr-CA"/>
        </w:rPr>
        <w:t> ».</w:t>
      </w:r>
      <w:r w:rsidRPr="008F1EFE">
        <w:rPr>
          <w:lang w:val="fr-CA"/>
        </w:rPr>
        <w:t xml:space="preserve"> </w:t>
      </w:r>
      <w:r>
        <w:rPr>
          <w:lang w:val="fr-CA"/>
        </w:rPr>
        <w:t>Toutefois, le législateur n’a prévu à l’art</w:t>
      </w:r>
      <w:r w:rsidR="00BF6FA0">
        <w:rPr>
          <w:lang w:val="fr-CA"/>
        </w:rPr>
        <w:t>. </w:t>
      </w:r>
      <w:r>
        <w:rPr>
          <w:lang w:val="fr-CA"/>
        </w:rPr>
        <w:t xml:space="preserve">810.2 </w:t>
      </w:r>
      <w:r w:rsidRPr="004610C5">
        <w:rPr>
          <w:lang w:val="fr-CA"/>
        </w:rPr>
        <w:t>aucun mécanisme interne permettant au juge d’obliger l’une ou l’autre partie à comparaître</w:t>
      </w:r>
      <w:r>
        <w:rPr>
          <w:lang w:val="fr-CA"/>
        </w:rPr>
        <w:t>.</w:t>
      </w:r>
      <w:r w:rsidR="002A211B">
        <w:rPr>
          <w:lang w:val="fr-CA"/>
        </w:rPr>
        <w:t xml:space="preserve"> </w:t>
      </w:r>
      <w:r w:rsidRPr="004610C5">
        <w:rPr>
          <w:lang w:val="fr-CA"/>
        </w:rPr>
        <w:t xml:space="preserve">Les </w:t>
      </w:r>
      <w:r w:rsidRPr="004610C5">
        <w:rPr>
          <w:szCs w:val="24"/>
          <w:lang w:val="fr-CA"/>
        </w:rPr>
        <w:t>moyens de contraindre quelqu’un à comparaître</w:t>
      </w:r>
      <w:r w:rsidRPr="004610C5">
        <w:rPr>
          <w:lang w:val="fr-CA"/>
        </w:rPr>
        <w:t xml:space="preserve"> figurent </w:t>
      </w:r>
      <w:r>
        <w:rPr>
          <w:lang w:val="fr-CA"/>
        </w:rPr>
        <w:t xml:space="preserve">plutôt </w:t>
      </w:r>
      <w:r w:rsidRPr="004610C5">
        <w:rPr>
          <w:lang w:val="fr-CA"/>
        </w:rPr>
        <w:t xml:space="preserve">à la partie XVI du </w:t>
      </w:r>
      <w:r w:rsidRPr="004610C5">
        <w:rPr>
          <w:i/>
          <w:lang w:val="fr-CA"/>
        </w:rPr>
        <w:t>Code criminel</w:t>
      </w:r>
      <w:r>
        <w:rPr>
          <w:lang w:val="fr-CA"/>
        </w:rPr>
        <w:t xml:space="preserve"> (« </w:t>
      </w:r>
      <w:r w:rsidRPr="00E72C42">
        <w:rPr>
          <w:lang w:val="fr-CA"/>
        </w:rPr>
        <w:t xml:space="preserve">Mesures concernant la comparution d’un prévenu devant un juge de paix et la mise en liberté provisoire »). </w:t>
      </w:r>
      <w:r w:rsidRPr="00E72C42">
        <w:rPr>
          <w:szCs w:val="24"/>
          <w:lang w:val="fr-CA"/>
        </w:rPr>
        <w:t xml:space="preserve">Au lieu </w:t>
      </w:r>
      <w:r w:rsidRPr="00CF1F87">
        <w:rPr>
          <w:szCs w:val="24"/>
          <w:lang w:val="fr-CA"/>
        </w:rPr>
        <w:t>de</w:t>
      </w:r>
      <w:r w:rsidRPr="00E72C42">
        <w:rPr>
          <w:szCs w:val="24"/>
          <w:lang w:val="fr-CA"/>
        </w:rPr>
        <w:t xml:space="preserve"> reproduire ces procédures dans les dispositions relatives </w:t>
      </w:r>
      <w:r w:rsidR="00BC09D4">
        <w:rPr>
          <w:szCs w:val="24"/>
          <w:lang w:val="fr-CA"/>
        </w:rPr>
        <w:t>à l’</w:t>
      </w:r>
      <w:r w:rsidRPr="00091B28">
        <w:rPr>
          <w:szCs w:val="24"/>
          <w:lang w:val="fr-CA"/>
        </w:rPr>
        <w:t xml:space="preserve">engagement de ne pas troubler </w:t>
      </w:r>
      <w:r w:rsidR="00BC09D4">
        <w:rPr>
          <w:szCs w:val="24"/>
          <w:lang w:val="fr-CA"/>
        </w:rPr>
        <w:t>l’ordre public</w:t>
      </w:r>
      <w:r w:rsidRPr="004610C5">
        <w:rPr>
          <w:szCs w:val="24"/>
          <w:lang w:val="fr-CA"/>
        </w:rPr>
        <w:t xml:space="preserve">, le législateur a choisi </w:t>
      </w:r>
      <w:r w:rsidR="00AD3279">
        <w:rPr>
          <w:szCs w:val="24"/>
          <w:lang w:val="fr-CA"/>
        </w:rPr>
        <w:t>d’</w:t>
      </w:r>
      <w:r w:rsidRPr="004610C5">
        <w:rPr>
          <w:szCs w:val="24"/>
          <w:lang w:val="fr-CA"/>
        </w:rPr>
        <w:t xml:space="preserve">appliquer </w:t>
      </w:r>
      <w:r w:rsidR="00AD3279" w:rsidRPr="004610C5">
        <w:rPr>
          <w:szCs w:val="24"/>
          <w:lang w:val="fr-CA"/>
        </w:rPr>
        <w:t>au régime des engagements de ne pas troubler l’ordre public</w:t>
      </w:r>
      <w:r w:rsidR="00AD3279">
        <w:rPr>
          <w:szCs w:val="24"/>
          <w:lang w:val="fr-CA"/>
        </w:rPr>
        <w:t xml:space="preserve"> les dispositions pertinentes de la partie XVI </w:t>
      </w:r>
      <w:r w:rsidRPr="004610C5">
        <w:rPr>
          <w:szCs w:val="24"/>
          <w:lang w:val="fr-CA"/>
        </w:rPr>
        <w:t xml:space="preserve">en recourant à une série de dispositions </w:t>
      </w:r>
      <w:r w:rsidRPr="00275C3D">
        <w:rPr>
          <w:szCs w:val="24"/>
          <w:lang w:val="fr-CA"/>
        </w:rPr>
        <w:t>d’incorporation</w:t>
      </w:r>
      <w:r w:rsidRPr="004610C5">
        <w:rPr>
          <w:szCs w:val="24"/>
          <w:lang w:val="fr-CA"/>
        </w:rPr>
        <w:t xml:space="preserve"> par renvoi</w:t>
      </w:r>
      <w:r>
        <w:rPr>
          <w:szCs w:val="24"/>
          <w:lang w:val="fr-CA"/>
        </w:rPr>
        <w:t>.</w:t>
      </w:r>
      <w:r w:rsidRPr="008F1EFE">
        <w:rPr>
          <w:lang w:val="fr-CA"/>
        </w:rPr>
        <w:t xml:space="preserve"> </w:t>
      </w:r>
      <w:r>
        <w:rPr>
          <w:lang w:val="fr-CA"/>
        </w:rPr>
        <w:t>D’abord,</w:t>
      </w:r>
      <w:r w:rsidRPr="008F1EFE">
        <w:rPr>
          <w:lang w:val="fr-CA"/>
        </w:rPr>
        <w:t xml:space="preserve"> </w:t>
      </w:r>
      <w:r>
        <w:rPr>
          <w:lang w:val="fr-CA"/>
        </w:rPr>
        <w:t>l</w:t>
      </w:r>
      <w:r w:rsidRPr="004610C5">
        <w:rPr>
          <w:lang w:val="fr-CA"/>
        </w:rPr>
        <w:t xml:space="preserve">e </w:t>
      </w:r>
      <w:r w:rsidR="00AD3279">
        <w:rPr>
          <w:lang w:val="fr-CA"/>
        </w:rPr>
        <w:t>par. </w:t>
      </w:r>
      <w:r w:rsidRPr="004610C5">
        <w:rPr>
          <w:szCs w:val="24"/>
          <w:lang w:val="fr-CA"/>
        </w:rPr>
        <w:t xml:space="preserve">810(5) est explicitement incorporé par renvoi à chacune des dispositions relatives à l’engagement de ne pas troubler l’ordre public, à l’exception </w:t>
      </w:r>
      <w:r>
        <w:rPr>
          <w:lang w:val="fr-CA"/>
        </w:rPr>
        <w:t xml:space="preserve">de </w:t>
      </w:r>
      <w:r w:rsidR="00AD3279">
        <w:rPr>
          <w:lang w:val="fr-CA"/>
        </w:rPr>
        <w:t>l’art. </w:t>
      </w:r>
      <w:r w:rsidRPr="008F1EFE">
        <w:rPr>
          <w:lang w:val="fr-CA"/>
        </w:rPr>
        <w:t xml:space="preserve">810.02. </w:t>
      </w:r>
      <w:r>
        <w:rPr>
          <w:lang w:val="fr-CA"/>
        </w:rPr>
        <w:t>Ensuite,</w:t>
      </w:r>
      <w:r w:rsidRPr="008F1EFE">
        <w:rPr>
          <w:lang w:val="fr-CA"/>
        </w:rPr>
        <w:t xml:space="preserve"> </w:t>
      </w:r>
      <w:r>
        <w:rPr>
          <w:lang w:val="fr-CA"/>
        </w:rPr>
        <w:t>l</w:t>
      </w:r>
      <w:r w:rsidRPr="004610C5">
        <w:rPr>
          <w:szCs w:val="24"/>
          <w:lang w:val="fr-CA"/>
        </w:rPr>
        <w:t>e par</w:t>
      </w:r>
      <w:r>
        <w:rPr>
          <w:szCs w:val="24"/>
          <w:lang w:val="fr-CA"/>
        </w:rPr>
        <w:t>. </w:t>
      </w:r>
      <w:r w:rsidRPr="004610C5">
        <w:rPr>
          <w:szCs w:val="24"/>
          <w:lang w:val="fr-CA"/>
        </w:rPr>
        <w:t>810(5) incorpore toutes les dispositions de la partie XXVII</w:t>
      </w:r>
      <w:r>
        <w:rPr>
          <w:szCs w:val="24"/>
          <w:lang w:val="fr-CA"/>
        </w:rPr>
        <w:t xml:space="preserve"> (« Déclarations de culpabilité par procédure sommaire »)</w:t>
      </w:r>
      <w:r w:rsidRPr="004610C5">
        <w:rPr>
          <w:szCs w:val="24"/>
          <w:lang w:val="fr-CA"/>
        </w:rPr>
        <w:t>, y compris l’art. 795, aux procédures d’engagement de ne pas troubler l’ordre public</w:t>
      </w:r>
      <w:r>
        <w:rPr>
          <w:szCs w:val="24"/>
          <w:lang w:val="fr-CA"/>
        </w:rPr>
        <w:t>.</w:t>
      </w:r>
      <w:r w:rsidRPr="008F1EFE">
        <w:rPr>
          <w:lang w:val="fr-CA"/>
        </w:rPr>
        <w:t xml:space="preserve"> </w:t>
      </w:r>
      <w:r>
        <w:rPr>
          <w:lang w:val="fr-CA"/>
        </w:rPr>
        <w:t xml:space="preserve">L’article </w:t>
      </w:r>
      <w:r w:rsidRPr="008F1EFE">
        <w:rPr>
          <w:lang w:val="fr-CA"/>
        </w:rPr>
        <w:t xml:space="preserve">795, </w:t>
      </w:r>
      <w:r>
        <w:rPr>
          <w:lang w:val="fr-CA"/>
        </w:rPr>
        <w:t xml:space="preserve">à son </w:t>
      </w:r>
      <w:r w:rsidRPr="00E72C42">
        <w:rPr>
          <w:lang w:val="fr-CA"/>
        </w:rPr>
        <w:t xml:space="preserve">tour, </w:t>
      </w:r>
      <w:r w:rsidRPr="00E72C42">
        <w:rPr>
          <w:szCs w:val="24"/>
          <w:lang w:val="fr-CA"/>
        </w:rPr>
        <w:t>incorpore des dispositions de la partie XVI</w:t>
      </w:r>
      <w:r w:rsidRPr="00E72C42">
        <w:rPr>
          <w:lang w:val="fr-CA"/>
        </w:rPr>
        <w:t xml:space="preserve"> à la partie XXVII. Ainsi, </w:t>
      </w:r>
      <w:r w:rsidRPr="00E72C42">
        <w:rPr>
          <w:szCs w:val="24"/>
          <w:lang w:val="fr-CA"/>
        </w:rPr>
        <w:t>les par. 810.2(8) et 810(5) et l’art. 795 ont ensemble pour effet d’incorporer les dispositions de</w:t>
      </w:r>
      <w:r>
        <w:rPr>
          <w:szCs w:val="24"/>
          <w:lang w:val="fr-CA"/>
        </w:rPr>
        <w:t xml:space="preserve"> </w:t>
      </w:r>
      <w:r w:rsidRPr="004610C5">
        <w:rPr>
          <w:szCs w:val="24"/>
          <w:lang w:val="fr-CA"/>
        </w:rPr>
        <w:t>la partie XVI (où figurent les dispositions relatives aux sommations, à l’arrestation et à la mise en liberté provisoire par voie judiciaire) à la partie XXVII</w:t>
      </w:r>
      <w:r>
        <w:rPr>
          <w:szCs w:val="24"/>
          <w:lang w:val="fr-CA"/>
        </w:rPr>
        <w:t>,</w:t>
      </w:r>
      <w:r w:rsidRPr="004610C5">
        <w:rPr>
          <w:szCs w:val="24"/>
          <w:lang w:val="fr-CA"/>
        </w:rPr>
        <w:t xml:space="preserve"> </w:t>
      </w:r>
      <w:r>
        <w:rPr>
          <w:szCs w:val="24"/>
          <w:lang w:val="fr-CA"/>
        </w:rPr>
        <w:t xml:space="preserve">qui </w:t>
      </w:r>
      <w:r w:rsidRPr="004610C5">
        <w:rPr>
          <w:szCs w:val="24"/>
          <w:lang w:val="fr-CA"/>
        </w:rPr>
        <w:t>renferme les dispositions relatives à l’engagement de ne pas troubler l’ordre public</w:t>
      </w:r>
      <w:r>
        <w:rPr>
          <w:szCs w:val="24"/>
          <w:lang w:val="fr-CA"/>
        </w:rPr>
        <w:t>.</w:t>
      </w:r>
    </w:p>
    <w:p w:rsidR="00E72C42" w:rsidRPr="008F1EFE" w:rsidRDefault="00E72C42" w:rsidP="00E72C42">
      <w:pPr>
        <w:pStyle w:val="SCCNormalDoubleSpacing"/>
        <w:spacing w:after="480"/>
        <w:rPr>
          <w:lang w:val="fr-CA"/>
        </w:rPr>
      </w:pPr>
      <w:r w:rsidRPr="008F1EFE">
        <w:rPr>
          <w:lang w:val="fr-CA"/>
        </w:rPr>
        <w:lastRenderedPageBreak/>
        <w:tab/>
      </w:r>
      <w:r>
        <w:rPr>
          <w:lang w:val="fr-CA"/>
        </w:rPr>
        <w:t>Cependant, l’art</w:t>
      </w:r>
      <w:r w:rsidR="00FD7C6B">
        <w:rPr>
          <w:lang w:val="fr-CA"/>
        </w:rPr>
        <w:t>. </w:t>
      </w:r>
      <w:r w:rsidRPr="008F1EFE">
        <w:rPr>
          <w:lang w:val="fr-CA"/>
        </w:rPr>
        <w:t xml:space="preserve">795 </w:t>
      </w:r>
      <w:r w:rsidRPr="004610C5">
        <w:rPr>
          <w:szCs w:val="24"/>
          <w:lang w:val="fr-CA"/>
        </w:rPr>
        <w:t>n’intègre pas intégralement la partie XVI</w:t>
      </w:r>
      <w:r>
        <w:rPr>
          <w:szCs w:val="24"/>
          <w:lang w:val="fr-CA"/>
        </w:rPr>
        <w:t xml:space="preserve"> à la partie XXVII</w:t>
      </w:r>
      <w:r w:rsidRPr="004610C5">
        <w:rPr>
          <w:szCs w:val="24"/>
          <w:lang w:val="fr-CA"/>
        </w:rPr>
        <w:t>, mais en limite plutôt le champ d’application</w:t>
      </w:r>
      <w:r w:rsidRPr="008F1EFE">
        <w:rPr>
          <w:lang w:val="fr-CA"/>
        </w:rPr>
        <w:t xml:space="preserve"> </w:t>
      </w:r>
      <w:r>
        <w:rPr>
          <w:lang w:val="fr-CA"/>
        </w:rPr>
        <w:t xml:space="preserve">de par son libellé </w:t>
      </w:r>
      <w:r w:rsidRPr="008F1EFE">
        <w:rPr>
          <w:lang w:val="fr-CA"/>
        </w:rPr>
        <w:t xml:space="preserve">: </w:t>
      </w:r>
      <w:r w:rsidR="0059641D">
        <w:rPr>
          <w:lang w:val="fr-CA"/>
        </w:rPr>
        <w:t>l</w:t>
      </w:r>
      <w:r>
        <w:rPr>
          <w:lang w:val="fr-CA"/>
        </w:rPr>
        <w:t xml:space="preserve">es dispositions de la partie </w:t>
      </w:r>
      <w:r w:rsidRPr="008F1EFE">
        <w:rPr>
          <w:lang w:val="fr-CA"/>
        </w:rPr>
        <w:t xml:space="preserve">XVI </w:t>
      </w:r>
      <w:r>
        <w:rPr>
          <w:lang w:val="fr-CA"/>
        </w:rPr>
        <w:t>s’appliquent</w:t>
      </w:r>
      <w:r w:rsidRPr="008F1EFE">
        <w:rPr>
          <w:lang w:val="fr-CA"/>
        </w:rPr>
        <w:t xml:space="preserve"> </w:t>
      </w:r>
      <w:r>
        <w:rPr>
          <w:lang w:val="fr-CA"/>
        </w:rPr>
        <w:t>« </w:t>
      </w:r>
      <w:r w:rsidRPr="004610C5">
        <w:rPr>
          <w:lang w:val="fr-CA"/>
        </w:rPr>
        <w:t>dans la mesure où elles ne sont pas incompatibles</w:t>
      </w:r>
      <w:r>
        <w:rPr>
          <w:lang w:val="fr-CA"/>
        </w:rPr>
        <w:t> »</w:t>
      </w:r>
      <w:r w:rsidRPr="004610C5">
        <w:rPr>
          <w:lang w:val="fr-CA"/>
        </w:rPr>
        <w:t xml:space="preserve"> avec la partie </w:t>
      </w:r>
      <w:r w:rsidRPr="008F1EFE">
        <w:rPr>
          <w:lang w:val="fr-CA"/>
        </w:rPr>
        <w:t>XXVII</w:t>
      </w:r>
      <w:r w:rsidRPr="004610C5">
        <w:rPr>
          <w:lang w:val="fr-CA"/>
        </w:rPr>
        <w:t xml:space="preserve"> et</w:t>
      </w:r>
      <w:r w:rsidR="00FD7C6B">
        <w:rPr>
          <w:szCs w:val="24"/>
          <w:lang w:val="fr-CA"/>
        </w:rPr>
        <w:t xml:space="preserve"> </w:t>
      </w:r>
      <w:r w:rsidRPr="004610C5">
        <w:rPr>
          <w:szCs w:val="24"/>
          <w:lang w:val="fr-CA"/>
        </w:rPr>
        <w:t>« </w:t>
      </w:r>
      <w:r w:rsidRPr="004610C5">
        <w:rPr>
          <w:szCs w:val="24"/>
          <w:lang w:val="fr-CA" w:bidi="en-US"/>
        </w:rPr>
        <w:t>avec les adaptations nécessaires</w:t>
      </w:r>
      <w:r>
        <w:rPr>
          <w:szCs w:val="24"/>
          <w:lang w:val="fr-CA" w:bidi="en-US"/>
        </w:rPr>
        <w:t> »</w:t>
      </w:r>
      <w:r w:rsidRPr="008F1EFE">
        <w:rPr>
          <w:lang w:val="fr-CA"/>
        </w:rPr>
        <w:t xml:space="preserve">. </w:t>
      </w:r>
      <w:r w:rsidRPr="004610C5">
        <w:rPr>
          <w:szCs w:val="24"/>
          <w:lang w:val="fr-CA"/>
        </w:rPr>
        <w:t xml:space="preserve">Par conséquent, la </w:t>
      </w:r>
      <w:r w:rsidRPr="00E72C42">
        <w:rPr>
          <w:szCs w:val="24"/>
          <w:lang w:val="fr-CA"/>
        </w:rPr>
        <w:t>réponse à la question de savoir si la partie XVI s’applique aux procédures d’engagement de ne pas troubler l’ordre public dépend de l’interprétation q</w:t>
      </w:r>
      <w:r w:rsidRPr="0059641D">
        <w:rPr>
          <w:szCs w:val="24"/>
          <w:lang w:val="fr-CA"/>
        </w:rPr>
        <w:t>u’il convient de donner au libellé de l’art. 795</w:t>
      </w:r>
      <w:r w:rsidRPr="0059641D">
        <w:rPr>
          <w:lang w:val="fr-CA"/>
        </w:rPr>
        <w:t>. Or, il ressort clairement d</w:t>
      </w:r>
      <w:r w:rsidR="00B249D9">
        <w:rPr>
          <w:lang w:val="fr-CA"/>
        </w:rPr>
        <w:t>e ce</w:t>
      </w:r>
      <w:r w:rsidRPr="0059641D">
        <w:rPr>
          <w:lang w:val="fr-CA"/>
        </w:rPr>
        <w:t xml:space="preserve"> libellé</w:t>
      </w:r>
      <w:r w:rsidR="0059641D">
        <w:rPr>
          <w:lang w:val="fr-CA"/>
        </w:rPr>
        <w:t xml:space="preserve"> </w:t>
      </w:r>
      <w:r w:rsidR="00441096">
        <w:rPr>
          <w:lang w:val="fr-CA"/>
        </w:rPr>
        <w:t>correctement interprété</w:t>
      </w:r>
      <w:r>
        <w:rPr>
          <w:lang w:val="fr-CA"/>
        </w:rPr>
        <w:t xml:space="preserve"> que </w:t>
      </w:r>
      <w:r w:rsidRPr="004610C5">
        <w:rPr>
          <w:szCs w:val="24"/>
          <w:lang w:val="fr-CA"/>
        </w:rPr>
        <w:t>le législateur voulait que les dispositions de la partie XVI relatives à l’arrestation et à la mise en liberté provisoire par voie judiciaire s’appliquent aux procédures d’engagement de ne pas troubler l’ordre public</w:t>
      </w:r>
      <w:r w:rsidRPr="008F1EFE">
        <w:rPr>
          <w:lang w:val="fr-CA"/>
        </w:rPr>
        <w:t xml:space="preserve">. </w:t>
      </w:r>
      <w:r w:rsidRPr="004610C5">
        <w:rPr>
          <w:szCs w:val="24"/>
          <w:lang w:val="fr-CA"/>
        </w:rPr>
        <w:t xml:space="preserve">Les dispositions de la partie XVI concernant les moyens de contraindre un prévenu à comparaître ne sont pas incompatibles avec les dispositions relatives à l’engagement de ne pas troubler l’ordre public. Au contraire, elles sont nécessaires au bon fonctionnement du régime. </w:t>
      </w:r>
      <w:r>
        <w:rPr>
          <w:szCs w:val="24"/>
          <w:lang w:val="fr-CA"/>
        </w:rPr>
        <w:t>L</w:t>
      </w:r>
      <w:r w:rsidRPr="004610C5">
        <w:rPr>
          <w:szCs w:val="24"/>
          <w:lang w:val="fr-CA"/>
        </w:rPr>
        <w:t>e législateur n’aurait pas cherché à créer un régime permettant au juge de tenir une audience pour établir s’il y a lieu d’ordonner à un défendeur de contracter un engagement de ne pas troubler l’ordre public sans prévoir par ailleurs une disposition permettant au juge d’assurer également la présence du défendeur à l’audience.</w:t>
      </w:r>
      <w:r w:rsidR="00441096">
        <w:rPr>
          <w:lang w:val="fr-CA"/>
        </w:rPr>
        <w:t xml:space="preserve"> </w:t>
      </w:r>
      <w:r w:rsidRPr="004610C5">
        <w:rPr>
          <w:szCs w:val="24"/>
          <w:lang w:val="fr-CA"/>
        </w:rPr>
        <w:t>L’application des dispositions relatives à la mise en liberté provisoire par voie judiciaire découle du pouvoir d’arrestation prévu à l’art. 507</w:t>
      </w:r>
      <w:r>
        <w:rPr>
          <w:szCs w:val="24"/>
          <w:lang w:val="fr-CA"/>
        </w:rPr>
        <w:t xml:space="preserve"> du </w:t>
      </w:r>
      <w:r w:rsidRPr="00D77247">
        <w:rPr>
          <w:i/>
          <w:szCs w:val="24"/>
          <w:lang w:val="fr-CA"/>
        </w:rPr>
        <w:t>Code criminel</w:t>
      </w:r>
      <w:r w:rsidRPr="004610C5">
        <w:rPr>
          <w:szCs w:val="24"/>
          <w:lang w:val="fr-CA"/>
        </w:rPr>
        <w:t xml:space="preserve">. Dès lors qu’un défendeur est arrêté et détenu, il s’ensuit que le régime de mise en liberté provisoire par voie judiciaire s’applique pour permettre sa mise en liberté. Lorsqu’elles sont appliquées en tenant compte du contexte et de l’objet du régime des engagements de ne pas troubler l’ordre public, les dispositions relatives à l’arrestation et à la mise en liberté provisoire par voie judiciaire constituent une mesure provisoire cohérente et appropriée, nécessaire au bon fonctionnement et à l’intégrité des procédures </w:t>
      </w:r>
      <w:r w:rsidRPr="004610C5">
        <w:rPr>
          <w:szCs w:val="24"/>
          <w:lang w:val="fr-CA"/>
        </w:rPr>
        <w:lastRenderedPageBreak/>
        <w:t>d’engagement de ne pas troubler l’ordre public</w:t>
      </w:r>
      <w:r>
        <w:rPr>
          <w:szCs w:val="24"/>
          <w:lang w:val="fr-CA"/>
        </w:rPr>
        <w:t>.</w:t>
      </w:r>
      <w:r w:rsidRPr="008F1EFE">
        <w:rPr>
          <w:lang w:val="fr-CA"/>
        </w:rPr>
        <w:t xml:space="preserve"> </w:t>
      </w:r>
      <w:r>
        <w:rPr>
          <w:lang w:val="fr-CA"/>
        </w:rPr>
        <w:t xml:space="preserve">De plus, </w:t>
      </w:r>
      <w:r w:rsidRPr="004610C5">
        <w:rPr>
          <w:lang w:val="fr-CA"/>
        </w:rPr>
        <w:t>les dispositions relatives à l’arrestation et à la mise en liberté provisoire par voie judiciaire s’appliquent aux procédures d’engagement de ne pas troubler l’ordre public</w:t>
      </w:r>
      <w:r>
        <w:rPr>
          <w:lang w:val="fr-CA"/>
        </w:rPr>
        <w:t xml:space="preserve"> au moyen de simples </w:t>
      </w:r>
      <w:r w:rsidRPr="008F1EFE">
        <w:rPr>
          <w:lang w:val="fr-CA"/>
        </w:rPr>
        <w:t xml:space="preserve">modifications </w:t>
      </w:r>
      <w:r>
        <w:rPr>
          <w:lang w:val="fr-CA"/>
        </w:rPr>
        <w:t xml:space="preserve">qui </w:t>
      </w:r>
      <w:r w:rsidRPr="004610C5">
        <w:rPr>
          <w:szCs w:val="24"/>
          <w:lang w:val="fr-CA"/>
        </w:rPr>
        <w:t>n’emportent pas de changements de fond quant au droit</w:t>
      </w:r>
      <w:r w:rsidRPr="008F1EFE">
        <w:rPr>
          <w:lang w:val="fr-CA"/>
        </w:rPr>
        <w:t xml:space="preserve">. </w:t>
      </w:r>
      <w:r>
        <w:rPr>
          <w:lang w:val="fr-CA"/>
        </w:rPr>
        <w:t>Par conséquent</w:t>
      </w:r>
      <w:r w:rsidRPr="008F1EFE">
        <w:rPr>
          <w:lang w:val="fr-CA"/>
        </w:rPr>
        <w:t xml:space="preserve">, </w:t>
      </w:r>
      <w:r w:rsidRPr="004610C5">
        <w:rPr>
          <w:szCs w:val="24"/>
          <w:lang w:val="fr-CA"/>
        </w:rPr>
        <w:t>le législateur voulait que les dispositions de la partie XVI relatives à l’arrestation et à la mise en liberté provisoire par voie judiciaire s’appliquent aux procédures d’engagement de ne pas troubler l’ordre public</w:t>
      </w:r>
      <w:r w:rsidRPr="008F1EFE">
        <w:rPr>
          <w:lang w:val="fr-CA"/>
        </w:rPr>
        <w:t>.</w:t>
      </w:r>
    </w:p>
    <w:p w:rsidR="00E72C42" w:rsidRPr="008F1EFE" w:rsidRDefault="00E72C42" w:rsidP="00E72C42">
      <w:pPr>
        <w:pStyle w:val="SCCNormalDoubleSpacing"/>
        <w:spacing w:after="480"/>
        <w:rPr>
          <w:lang w:val="fr-CA"/>
        </w:rPr>
      </w:pPr>
      <w:r w:rsidRPr="008F1EFE">
        <w:rPr>
          <w:lang w:val="fr-CA"/>
        </w:rPr>
        <w:tab/>
      </w:r>
      <w:r>
        <w:rPr>
          <w:lang w:val="fr-CA"/>
        </w:rPr>
        <w:t>L’</w:t>
      </w:r>
      <w:r w:rsidRPr="004610C5">
        <w:rPr>
          <w:lang w:val="fr-CA"/>
        </w:rPr>
        <w:t xml:space="preserve">application </w:t>
      </w:r>
      <w:r>
        <w:rPr>
          <w:lang w:val="fr-CA"/>
        </w:rPr>
        <w:t xml:space="preserve">judicieuse </w:t>
      </w:r>
      <w:r w:rsidRPr="004610C5">
        <w:rPr>
          <w:lang w:val="fr-CA"/>
        </w:rPr>
        <w:t xml:space="preserve">des dispositions relatives à l’arrestation et à la mise en liberté provisoire par voie judiciaire </w:t>
      </w:r>
      <w:r>
        <w:rPr>
          <w:lang w:val="fr-CA"/>
        </w:rPr>
        <w:t xml:space="preserve">dans le contexte des </w:t>
      </w:r>
      <w:r w:rsidRPr="004610C5">
        <w:rPr>
          <w:szCs w:val="24"/>
          <w:lang w:val="fr-CA"/>
        </w:rPr>
        <w:t>procédures d’engagement de ne pas troubler l’ordre public</w:t>
      </w:r>
      <w:r w:rsidRPr="004610C5">
        <w:rPr>
          <w:lang w:val="fr-CA"/>
        </w:rPr>
        <w:t xml:space="preserve"> doit être guidée par les objectifs de principe que constituent une justice rapide et efficace et une atteinte minimale à la liberté</w:t>
      </w:r>
      <w:r w:rsidRPr="008F1EFE">
        <w:rPr>
          <w:lang w:val="fr-CA"/>
        </w:rPr>
        <w:t xml:space="preserve">. </w:t>
      </w:r>
      <w:r>
        <w:rPr>
          <w:lang w:val="fr-CA"/>
        </w:rPr>
        <w:t>En premier lieu</w:t>
      </w:r>
      <w:r w:rsidRPr="008F1EFE">
        <w:rPr>
          <w:lang w:val="fr-CA"/>
        </w:rPr>
        <w:t xml:space="preserve">, </w:t>
      </w:r>
      <w:r>
        <w:rPr>
          <w:lang w:val="fr-CA"/>
        </w:rPr>
        <w:t>l</w:t>
      </w:r>
      <w:r w:rsidRPr="004610C5">
        <w:rPr>
          <w:lang w:val="fr-CA"/>
        </w:rPr>
        <w:t>orsqu’il exerce son pouvoir discrétionnaire afin de décider de l’opportunité de tenir ou non une audience, le juge doit se demander si la crainte attestée dans la dénonciation est raisonnablement fondée</w:t>
      </w:r>
      <w:r>
        <w:rPr>
          <w:lang w:val="fr-CA"/>
        </w:rPr>
        <w:t>.</w:t>
      </w:r>
      <w:r w:rsidRPr="008F1EFE">
        <w:rPr>
          <w:lang w:val="fr-CA"/>
        </w:rPr>
        <w:t xml:space="preserve"> </w:t>
      </w:r>
      <w:r w:rsidRPr="004610C5">
        <w:rPr>
          <w:lang w:val="fr-CA"/>
        </w:rPr>
        <w:t xml:space="preserve">Entreprendre une procédure d’engagement de ne pas troubler l’ordre public </w:t>
      </w:r>
      <w:r w:rsidRPr="0042425E">
        <w:rPr>
          <w:lang w:val="fr-CA"/>
        </w:rPr>
        <w:t>en vertu de l’art. 810.2</w:t>
      </w:r>
      <w:r w:rsidRPr="004610C5">
        <w:rPr>
          <w:lang w:val="fr-CA"/>
        </w:rPr>
        <w:t xml:space="preserve"> dès qu’une personne est libérée de prison risque d’entraîner une privation de liberté qui s’ajouterait au fait d’avoir purgé une peine déjà considérée comme proportionnée</w:t>
      </w:r>
      <w:r>
        <w:rPr>
          <w:lang w:val="fr-CA"/>
        </w:rPr>
        <w:t>.</w:t>
      </w:r>
      <w:r w:rsidRPr="008F1EFE">
        <w:rPr>
          <w:lang w:val="fr-CA"/>
        </w:rPr>
        <w:t xml:space="preserve"> </w:t>
      </w:r>
      <w:r w:rsidRPr="004610C5">
        <w:rPr>
          <w:lang w:val="fr-CA"/>
        </w:rPr>
        <w:t xml:space="preserve">Si aucune autre </w:t>
      </w:r>
      <w:r w:rsidRPr="00E72C42">
        <w:rPr>
          <w:lang w:val="fr-CA"/>
        </w:rPr>
        <w:t>preuve ne permet de conclure que la</w:t>
      </w:r>
      <w:r w:rsidRPr="004610C5">
        <w:rPr>
          <w:lang w:val="fr-CA"/>
        </w:rPr>
        <w:t xml:space="preserve"> crainte se concrétisera, une crainte fondée uniquement sur l’infraction pour laquelle le défendeur purge sa peine ne sera pas suffisante</w:t>
      </w:r>
      <w:r w:rsidRPr="008F1EFE">
        <w:rPr>
          <w:lang w:val="fr-CA"/>
        </w:rPr>
        <w:t xml:space="preserve">. </w:t>
      </w:r>
      <w:r w:rsidRPr="004610C5">
        <w:rPr>
          <w:szCs w:val="24"/>
          <w:lang w:val="fr-CA"/>
        </w:rPr>
        <w:t xml:space="preserve">Après avoir exercé son pouvoir discrétionnaire pour faire comparaître les parties, le juge de paix passe à la partie XVI du </w:t>
      </w:r>
      <w:r w:rsidRPr="004610C5">
        <w:rPr>
          <w:i/>
          <w:szCs w:val="24"/>
          <w:lang w:val="fr-CA"/>
        </w:rPr>
        <w:t>Code criminel</w:t>
      </w:r>
      <w:r>
        <w:rPr>
          <w:szCs w:val="24"/>
          <w:lang w:val="fr-CA"/>
        </w:rPr>
        <w:t xml:space="preserve">, qui </w:t>
      </w:r>
      <w:r w:rsidRPr="004610C5">
        <w:rPr>
          <w:szCs w:val="24"/>
          <w:lang w:val="fr-CA"/>
        </w:rPr>
        <w:t>crée une échelle de mesures de plus en plus coercitives pour contraindre un défendeur à comparaître devant le tribunal</w:t>
      </w:r>
      <w:r>
        <w:rPr>
          <w:szCs w:val="24"/>
          <w:lang w:val="fr-CA"/>
        </w:rPr>
        <w:t>.</w:t>
      </w:r>
      <w:r w:rsidRPr="008F1EFE">
        <w:rPr>
          <w:lang w:val="fr-CA"/>
        </w:rPr>
        <w:t xml:space="preserve"> </w:t>
      </w:r>
      <w:r w:rsidRPr="004610C5">
        <w:rPr>
          <w:szCs w:val="24"/>
          <w:lang w:val="fr-CA"/>
        </w:rPr>
        <w:t>À l’échelon le plus bas, on trouve une sommation ou une citation à comparaître délivrée par un agent de la paix</w:t>
      </w:r>
      <w:r>
        <w:rPr>
          <w:szCs w:val="24"/>
          <w:lang w:val="fr-CA"/>
        </w:rPr>
        <w:t>,</w:t>
      </w:r>
      <w:r w:rsidRPr="004610C5">
        <w:rPr>
          <w:szCs w:val="24"/>
          <w:lang w:val="fr-CA"/>
        </w:rPr>
        <w:t xml:space="preserve"> </w:t>
      </w:r>
      <w:r>
        <w:rPr>
          <w:lang w:val="fr-CA"/>
        </w:rPr>
        <w:t xml:space="preserve">qui est la procédure par défaut pour </w:t>
      </w:r>
      <w:r w:rsidRPr="004610C5">
        <w:rPr>
          <w:lang w:val="fr-CA"/>
        </w:rPr>
        <w:lastRenderedPageBreak/>
        <w:t>contraindre une personne à comparaître</w:t>
      </w:r>
      <w:r w:rsidRPr="008F1EFE">
        <w:rPr>
          <w:lang w:val="fr-CA"/>
        </w:rPr>
        <w:t xml:space="preserve">. </w:t>
      </w:r>
      <w:r w:rsidRPr="004610C5">
        <w:rPr>
          <w:szCs w:val="24"/>
          <w:lang w:val="fr-CA"/>
        </w:rPr>
        <w:t xml:space="preserve">Lorsqu’un défendeur comparaît devant le juge de paix conformément à une sommation et que l’audience est </w:t>
      </w:r>
      <w:r w:rsidRPr="00E72C42">
        <w:rPr>
          <w:szCs w:val="24"/>
          <w:lang w:val="fr-CA"/>
        </w:rPr>
        <w:t>reportée, le juge de paix</w:t>
      </w:r>
      <w:r>
        <w:rPr>
          <w:szCs w:val="24"/>
          <w:lang w:val="fr-CA"/>
        </w:rPr>
        <w:t xml:space="preserve"> </w:t>
      </w:r>
      <w:r w:rsidRPr="004610C5">
        <w:rPr>
          <w:szCs w:val="24"/>
          <w:lang w:val="fr-CA"/>
        </w:rPr>
        <w:t>n’a pas compétence pour imposer des conditions provisoires en attendant l’audience sur le fond</w:t>
      </w:r>
      <w:r w:rsidRPr="008F1EFE">
        <w:rPr>
          <w:lang w:val="fr-CA"/>
        </w:rPr>
        <w:t xml:space="preserve">. </w:t>
      </w:r>
      <w:r w:rsidRPr="004610C5">
        <w:rPr>
          <w:szCs w:val="24"/>
          <w:lang w:val="fr-CA"/>
        </w:rPr>
        <w:t>Si l’on découvre des faits nouveaux après que la sommation a été décernée, notamment au cours de l’audience initiale, et que ces faits soulèvent des préoccupations au sujet du risque que le défendeur présente pour le public ou des doutes quant à sa présence à l’audience, un mandat d’arrestation peut alors être demandé</w:t>
      </w:r>
      <w:r w:rsidR="00FD7C6B">
        <w:rPr>
          <w:lang w:val="fr-CA"/>
        </w:rPr>
        <w:t>.</w:t>
      </w:r>
    </w:p>
    <w:p w:rsidR="00E72C42" w:rsidRPr="008F1EFE" w:rsidRDefault="00441096" w:rsidP="00FD7C6B">
      <w:pPr>
        <w:pStyle w:val="SCCNormalDoubleSpacing"/>
        <w:spacing w:after="480"/>
        <w:rPr>
          <w:lang w:val="fr-CA"/>
        </w:rPr>
      </w:pPr>
      <w:r>
        <w:rPr>
          <w:lang w:val="fr-CA"/>
        </w:rPr>
        <w:tab/>
      </w:r>
      <w:r w:rsidR="00E72C42" w:rsidRPr="004610C5">
        <w:rPr>
          <w:szCs w:val="24"/>
          <w:lang w:val="fr-CA"/>
        </w:rPr>
        <w:t xml:space="preserve">À l’échelon suivant se trouvent l’arrestation </w:t>
      </w:r>
      <w:r w:rsidR="00E72C42" w:rsidRPr="00E72C42">
        <w:rPr>
          <w:szCs w:val="24"/>
          <w:lang w:val="fr-CA"/>
        </w:rPr>
        <w:t>et la mise en liberté par un fonctionnaire responsable sur promesse de comparaître ou engagement</w:t>
      </w:r>
      <w:r w:rsidR="00E72C42" w:rsidRPr="00E72C42">
        <w:rPr>
          <w:lang w:val="fr-CA"/>
        </w:rPr>
        <w:t xml:space="preserve">. </w:t>
      </w:r>
      <w:r w:rsidR="00E72C42" w:rsidRPr="00E72C42">
        <w:rPr>
          <w:szCs w:val="24"/>
          <w:lang w:val="fr-CA"/>
        </w:rPr>
        <w:t>Le juge de paix saisi d’une dénonciation peut décerner un mandat</w:t>
      </w:r>
      <w:r w:rsidR="00E72C42" w:rsidRPr="004610C5">
        <w:rPr>
          <w:szCs w:val="24"/>
          <w:lang w:val="fr-CA"/>
        </w:rPr>
        <w:t xml:space="preserve"> pour l’arrestation du défendeur s’il estime qu’il existe « des motifs raisonnables de croire qu’il est nécessaire, dans l’intérêt public », de le faire. Cette expression doit être interprétée à la lumière du contexte (où l’intéressé n’est pas soupçonné d’avoir commis une infraction criminelle) et de l’objet (faire comparaître l’intéressé à une audience) de la disposition applicable dans le cadre du régime des engagements de ne pas troubler l’ordre public</w:t>
      </w:r>
      <w:r w:rsidR="00E72C42" w:rsidRPr="008F1EFE">
        <w:rPr>
          <w:lang w:val="fr-CA"/>
        </w:rPr>
        <w:t xml:space="preserve">. </w:t>
      </w:r>
      <w:r w:rsidR="00E72C42">
        <w:rPr>
          <w:lang w:val="fr-CA"/>
        </w:rPr>
        <w:t xml:space="preserve">Par conséquent, il ne sera </w:t>
      </w:r>
      <w:r w:rsidR="00E72C42" w:rsidRPr="004610C5">
        <w:rPr>
          <w:lang w:val="fr-CA"/>
        </w:rPr>
        <w:t>nécessaire</w:t>
      </w:r>
      <w:r w:rsidR="00E72C42">
        <w:rPr>
          <w:lang w:val="fr-CA"/>
        </w:rPr>
        <w:t>,</w:t>
      </w:r>
      <w:r w:rsidR="00E72C42" w:rsidRPr="004610C5">
        <w:rPr>
          <w:lang w:val="fr-CA"/>
        </w:rPr>
        <w:t xml:space="preserve"> dans l’intérêt public</w:t>
      </w:r>
      <w:r w:rsidR="00E72C42">
        <w:rPr>
          <w:lang w:val="fr-CA"/>
        </w:rPr>
        <w:t>,</w:t>
      </w:r>
      <w:r w:rsidR="00FD7C6B">
        <w:rPr>
          <w:lang w:val="fr-CA"/>
        </w:rPr>
        <w:t xml:space="preserve"> </w:t>
      </w:r>
      <w:r w:rsidR="00E72C42" w:rsidRPr="004610C5">
        <w:rPr>
          <w:lang w:val="fr-CA"/>
        </w:rPr>
        <w:t xml:space="preserve">de décerner un mandat d’arrestation </w:t>
      </w:r>
      <w:r w:rsidR="00E72C42">
        <w:rPr>
          <w:lang w:val="fr-CA"/>
        </w:rPr>
        <w:t xml:space="preserve">que dans les cas où il a été établi que le défendeur </w:t>
      </w:r>
      <w:r w:rsidR="00E72C42" w:rsidRPr="00950A45">
        <w:rPr>
          <w:lang w:val="fr-CA"/>
        </w:rPr>
        <w:t>ne comparaîtra pas devant le tribunal si cette mesure n’est pas prise ou qu’il présente un risque imminent</w:t>
      </w:r>
      <w:r w:rsidR="00E72C42">
        <w:rPr>
          <w:lang w:val="fr-CA"/>
        </w:rPr>
        <w:t xml:space="preserve"> </w:t>
      </w:r>
      <w:r w:rsidR="00E72C42" w:rsidRPr="00441D33">
        <w:rPr>
          <w:lang w:val="fr-CA"/>
        </w:rPr>
        <w:t>pour le public</w:t>
      </w:r>
      <w:r w:rsidR="00E72C42">
        <w:rPr>
          <w:lang w:val="fr-CA"/>
        </w:rPr>
        <w:t>.</w:t>
      </w:r>
      <w:r w:rsidR="00E72C42" w:rsidRPr="008F1EFE">
        <w:rPr>
          <w:lang w:val="fr-CA"/>
        </w:rPr>
        <w:t xml:space="preserve"> </w:t>
      </w:r>
      <w:r w:rsidR="00E72C42" w:rsidRPr="00283ED7">
        <w:rPr>
          <w:szCs w:val="24"/>
          <w:lang w:val="fr-CA"/>
        </w:rPr>
        <w:t xml:space="preserve">Bien que </w:t>
      </w:r>
      <w:r w:rsidR="00E72C42" w:rsidRPr="004610C5">
        <w:rPr>
          <w:szCs w:val="24"/>
          <w:lang w:val="fr-CA"/>
        </w:rPr>
        <w:t>l’arrestation d’une personne porte foncièrement atteinte à sa liberté, cette atteinte devrait être minimisée le plus possible</w:t>
      </w:r>
      <w:r w:rsidR="00E72C42" w:rsidRPr="008F1EFE">
        <w:rPr>
          <w:lang w:val="fr-CA"/>
        </w:rPr>
        <w:t>.</w:t>
      </w:r>
    </w:p>
    <w:p w:rsidR="00E72C42" w:rsidRDefault="00E72C42" w:rsidP="00FD7C6B">
      <w:pPr>
        <w:pStyle w:val="SCCNormalDoubleSpacing"/>
        <w:spacing w:after="480"/>
        <w:rPr>
          <w:lang w:val="fr-CA"/>
        </w:rPr>
      </w:pPr>
      <w:r w:rsidRPr="008F1EFE">
        <w:rPr>
          <w:lang w:val="fr-CA"/>
        </w:rPr>
        <w:tab/>
      </w:r>
      <w:r w:rsidRPr="004610C5">
        <w:rPr>
          <w:szCs w:val="24"/>
          <w:lang w:val="fr-CA"/>
        </w:rPr>
        <w:t xml:space="preserve">À l’échelon supérieur </w:t>
      </w:r>
      <w:r>
        <w:rPr>
          <w:szCs w:val="24"/>
          <w:lang w:val="fr-CA"/>
        </w:rPr>
        <w:t xml:space="preserve">de gradation </w:t>
      </w:r>
      <w:r w:rsidRPr="004610C5">
        <w:rPr>
          <w:szCs w:val="24"/>
          <w:lang w:val="fr-CA"/>
        </w:rPr>
        <w:t>se trouvent la détention et la mise en liberté provisoire par voie judiciaire</w:t>
      </w:r>
      <w:r w:rsidRPr="008F1EFE">
        <w:rPr>
          <w:lang w:val="fr-CA"/>
        </w:rPr>
        <w:t xml:space="preserve">. </w:t>
      </w:r>
      <w:r w:rsidRPr="004610C5">
        <w:rPr>
          <w:szCs w:val="24"/>
          <w:lang w:val="fr-CA"/>
        </w:rPr>
        <w:t xml:space="preserve">Dans les rares cas où un défendeur à une procédure d’engagement de ne pas troubler l’ordre public est arrêté et détenu en vue </w:t>
      </w:r>
      <w:r w:rsidRPr="004610C5">
        <w:rPr>
          <w:szCs w:val="24"/>
          <w:lang w:val="fr-CA"/>
        </w:rPr>
        <w:lastRenderedPageBreak/>
        <w:t xml:space="preserve">d’une enquête sur sa mise en liberté </w:t>
      </w:r>
      <w:r w:rsidRPr="00E72C42">
        <w:rPr>
          <w:szCs w:val="24"/>
          <w:lang w:val="fr-CA"/>
        </w:rPr>
        <w:t>sous caution, les dispositions relatives à la mise en liberté provisoire par voie judiciaire visées à l’art. 515 mettent en place le mécanisme permettant de libérer le défendeur. Lorsqu’on applique</w:t>
      </w:r>
      <w:r w:rsidRPr="004610C5">
        <w:rPr>
          <w:szCs w:val="24"/>
          <w:lang w:val="fr-CA"/>
        </w:rPr>
        <w:t xml:space="preserve"> ces dispositions, on doit tenir dûment compte de la nécessité d’assurer la présence du prévenu à l’audience relative à la demande d’engagement de ne pas troubler l’ordre public, tout en veillant au respect du but ultime du r</w:t>
      </w:r>
      <w:r w:rsidR="00FD7C6B">
        <w:rPr>
          <w:szCs w:val="24"/>
          <w:lang w:val="fr-CA"/>
        </w:rPr>
        <w:t>égime qui s’applique à celui</w:t>
      </w:r>
      <w:r w:rsidR="00FD7C6B">
        <w:rPr>
          <w:szCs w:val="24"/>
          <w:lang w:val="fr-CA"/>
        </w:rPr>
        <w:noBreakHyphen/>
        <w:t>ci </w:t>
      </w:r>
      <w:r w:rsidRPr="004610C5">
        <w:rPr>
          <w:szCs w:val="24"/>
          <w:lang w:val="fr-CA"/>
        </w:rPr>
        <w:t xml:space="preserve">: assujettir le défendeur à un engagement lorsque le dénonciateur a </w:t>
      </w:r>
      <w:r w:rsidR="00BF6FA0">
        <w:rPr>
          <w:szCs w:val="24"/>
          <w:lang w:val="fr-CA"/>
        </w:rPr>
        <w:t>une crainte raisonnablement fondée</w:t>
      </w:r>
      <w:r w:rsidRPr="004610C5">
        <w:rPr>
          <w:szCs w:val="24"/>
          <w:lang w:val="fr-CA"/>
        </w:rPr>
        <w:t xml:space="preserve"> que le défendeur cause certains préjudices.</w:t>
      </w:r>
      <w:r w:rsidRPr="008F1EFE">
        <w:rPr>
          <w:lang w:val="fr-CA"/>
        </w:rPr>
        <w:t xml:space="preserve"> </w:t>
      </w:r>
      <w:r w:rsidRPr="004610C5">
        <w:rPr>
          <w:szCs w:val="24"/>
          <w:lang w:val="fr-CA"/>
        </w:rPr>
        <w:t>Le fait d’imposer à un défendeur, afin de protéger le public contre un risque donné, des conditions plus restrictives que celles qui pourraient lui être imposées à l’issue de l’audition au fond de la demande d’engagement de ne pas troubler l’ordre public irait à l’encontre des dispositions relatives à ce régime</w:t>
      </w:r>
      <w:r w:rsidRPr="008F1EFE">
        <w:rPr>
          <w:lang w:val="fr-CA"/>
        </w:rPr>
        <w:t xml:space="preserve">. </w:t>
      </w:r>
      <w:r w:rsidRPr="00057D51">
        <w:rPr>
          <w:szCs w:val="24"/>
          <w:lang w:val="fr-CA"/>
        </w:rPr>
        <w:t>La solution par défaut consiste à accorder la mise en liberté sur</w:t>
      </w:r>
      <w:r w:rsidR="002A3EDA" w:rsidRPr="00057D51">
        <w:rPr>
          <w:szCs w:val="24"/>
          <w:lang w:val="fr-CA"/>
        </w:rPr>
        <w:t xml:space="preserve"> remise d’une</w:t>
      </w:r>
      <w:r w:rsidRPr="00057D51">
        <w:rPr>
          <w:szCs w:val="24"/>
          <w:lang w:val="fr-CA"/>
        </w:rPr>
        <w:t xml:space="preserve"> </w:t>
      </w:r>
      <w:r w:rsidR="002A3EDA" w:rsidRPr="00057D51">
        <w:rPr>
          <w:szCs w:val="24"/>
          <w:lang w:val="fr-CA"/>
        </w:rPr>
        <w:t>promesse sans condition</w:t>
      </w:r>
      <w:r w:rsidRPr="004610C5">
        <w:rPr>
          <w:szCs w:val="24"/>
          <w:lang w:val="fr-CA"/>
        </w:rPr>
        <w:t>, à moins que le poursuivant (ou le dénonciateur</w:t>
      </w:r>
      <w:r>
        <w:rPr>
          <w:szCs w:val="24"/>
          <w:lang w:val="fr-CA"/>
        </w:rPr>
        <w:t>)</w:t>
      </w:r>
      <w:r w:rsidRPr="004610C5">
        <w:rPr>
          <w:szCs w:val="24"/>
          <w:lang w:val="fr-CA"/>
        </w:rPr>
        <w:t xml:space="preserve"> ne puisse justifier qu’une ordonnance assortie de conditions plus sévères devrait être rendue</w:t>
      </w:r>
      <w:r w:rsidRPr="008F1EFE">
        <w:rPr>
          <w:lang w:val="fr-CA"/>
        </w:rPr>
        <w:t xml:space="preserve">. </w:t>
      </w:r>
      <w:r w:rsidRPr="004610C5">
        <w:rPr>
          <w:szCs w:val="24"/>
          <w:lang w:val="fr-CA"/>
        </w:rPr>
        <w:t>Pour qu’une condition soit considérée comme raisonnable, il faut qu’il existe un lien entre la condition en question et le fait d’assurer la présence du défendeur devant le tribunal ou la conduite redoutée attestée dans la dénonciation.</w:t>
      </w:r>
      <w:r w:rsidRPr="008F1EFE">
        <w:rPr>
          <w:lang w:val="fr-CA"/>
        </w:rPr>
        <w:t xml:space="preserve"> </w:t>
      </w:r>
      <w:r w:rsidRPr="004610C5">
        <w:rPr>
          <w:szCs w:val="24"/>
          <w:lang w:val="fr-CA"/>
        </w:rPr>
        <w:t>Dans la plupart des cas, le dernier échelon de gradation serait un engagement sans caution assorti de conditions raisonnables dans les circonstances</w:t>
      </w:r>
      <w:r w:rsidR="00441096">
        <w:rPr>
          <w:szCs w:val="24"/>
          <w:lang w:val="fr-CA"/>
        </w:rPr>
        <w:t>.</w:t>
      </w:r>
      <w:r w:rsidRPr="008F1EFE">
        <w:rPr>
          <w:lang w:val="fr-CA"/>
        </w:rPr>
        <w:t xml:space="preserve"> </w:t>
      </w:r>
      <w:r w:rsidRPr="004610C5">
        <w:rPr>
          <w:szCs w:val="24"/>
          <w:lang w:val="fr-CA"/>
        </w:rPr>
        <w:t>Les circonstances dans lesquelles la détention est justifiée dans le contexte de l’engagement de ne pas troubler l’ordre public doivent par ailleurs refléter les diverses issues envisagées par les dispositions relatives à ces engagements. Le juge ne peut ordonner la détention au terme de l’audience portant sur la demande d’engagement de ne pas troubler l’ordre public que lorsque le défendeur omet ou refuse de contracter l’engagement de ne pas troubler l’ordre public et d’avoir une bonne conduite</w:t>
      </w:r>
      <w:r w:rsidR="00FD7C6B">
        <w:rPr>
          <w:szCs w:val="24"/>
          <w:lang w:val="fr-CA"/>
        </w:rPr>
        <w:t xml:space="preserve">. En conséquence, les rares cas </w:t>
      </w:r>
      <w:r w:rsidRPr="004610C5">
        <w:rPr>
          <w:szCs w:val="24"/>
          <w:lang w:val="fr-CA"/>
        </w:rPr>
        <w:t xml:space="preserve">où la détention pourrait être justifiée </w:t>
      </w:r>
      <w:r w:rsidRPr="004610C5">
        <w:rPr>
          <w:szCs w:val="24"/>
          <w:lang w:val="fr-CA"/>
        </w:rPr>
        <w:lastRenderedPageBreak/>
        <w:t>ne se produisent vraisemblablement que lorsque le défendeur refuse de signer l’engagement et, par le fait même, d’être lié par des conditions ayant trait à la nécessité d’assurer sa présence à l’audience portant sur la demande d’engagement de ne pas troubler l’ordre public, ou de dissiper, dans l’intervalle, la crainte attestée dans la dénonciation</w:t>
      </w:r>
      <w:r w:rsidRPr="008F1EFE">
        <w:rPr>
          <w:lang w:val="fr-CA"/>
        </w:rPr>
        <w:t>.</w:t>
      </w:r>
    </w:p>
    <w:p w:rsidR="004D7D95" w:rsidRPr="008F1EFE" w:rsidRDefault="004D7D95" w:rsidP="00DB6365">
      <w:pPr>
        <w:pStyle w:val="SCCNormalDoubleSpacing"/>
        <w:spacing w:after="720" w:line="240" w:lineRule="auto"/>
        <w:rPr>
          <w:b/>
          <w:lang w:val="fr-CA"/>
        </w:rPr>
      </w:pPr>
      <w:r w:rsidRPr="008F1EFE">
        <w:rPr>
          <w:b/>
          <w:lang w:val="fr-CA"/>
        </w:rPr>
        <w:t>Jurisprudence</w:t>
      </w:r>
    </w:p>
    <w:p w:rsidR="00664483" w:rsidRPr="002A3EDA" w:rsidRDefault="004D7D95" w:rsidP="00DB6365">
      <w:pPr>
        <w:pStyle w:val="SCCNormalDoubleSpacing"/>
        <w:spacing w:after="480"/>
      </w:pPr>
      <w:r w:rsidRPr="008F1EFE">
        <w:rPr>
          <w:lang w:val="fr-CA"/>
        </w:rPr>
        <w:tab/>
      </w:r>
      <w:r w:rsidR="00CC4EDA">
        <w:rPr>
          <w:b/>
          <w:lang w:val="fr-CA"/>
        </w:rPr>
        <w:t>Arrêt</w:t>
      </w:r>
      <w:r w:rsidRPr="008F1EFE">
        <w:rPr>
          <w:b/>
          <w:lang w:val="fr-CA"/>
        </w:rPr>
        <w:t xml:space="preserve"> </w:t>
      </w:r>
      <w:r w:rsidR="00CC4EDA">
        <w:rPr>
          <w:b/>
          <w:lang w:val="fr-CA"/>
        </w:rPr>
        <w:t>rejeté</w:t>
      </w:r>
      <w:r w:rsidR="00DB6365" w:rsidRPr="008F1EFE">
        <w:rPr>
          <w:b/>
          <w:lang w:val="fr-CA"/>
        </w:rPr>
        <w:t> :</w:t>
      </w:r>
      <w:r w:rsidRPr="008F1EFE">
        <w:rPr>
          <w:lang w:val="fr-CA"/>
        </w:rPr>
        <w:t xml:space="preserve"> </w:t>
      </w:r>
      <w:r w:rsidR="00664483" w:rsidRPr="008F1EFE">
        <w:rPr>
          <w:i/>
          <w:lang w:val="fr-CA"/>
        </w:rPr>
        <w:t>MacAusland c. Pyke</w:t>
      </w:r>
      <w:r w:rsidR="00664483" w:rsidRPr="008F1EFE">
        <w:rPr>
          <w:lang w:val="fr-CA" w:bidi="en-US"/>
        </w:rPr>
        <w:t xml:space="preserve"> (1995), 139 N.S.R.</w:t>
      </w:r>
      <w:r w:rsidR="00D36BCE" w:rsidRPr="008F1EFE">
        <w:rPr>
          <w:lang w:val="fr-CA" w:bidi="en-US"/>
        </w:rPr>
        <w:t xml:space="preserve"> </w:t>
      </w:r>
      <w:r w:rsidR="00664483" w:rsidRPr="008F1EFE">
        <w:rPr>
          <w:lang w:val="fr-CA" w:bidi="en-US"/>
        </w:rPr>
        <w:t xml:space="preserve">(2d) 142; </w:t>
      </w:r>
      <w:r w:rsidR="00CC4EDA">
        <w:rPr>
          <w:b/>
          <w:lang w:val="fr-CA" w:bidi="en-US"/>
        </w:rPr>
        <w:t xml:space="preserve">arrêts approuvés : </w:t>
      </w:r>
      <w:r w:rsidR="00CC4EDA" w:rsidRPr="008F1EFE">
        <w:rPr>
          <w:i/>
          <w:lang w:val="fr-CA"/>
        </w:rPr>
        <w:t xml:space="preserve">R. c. Budreo </w:t>
      </w:r>
      <w:r w:rsidR="00CC4EDA" w:rsidRPr="008F1EFE">
        <w:rPr>
          <w:lang w:val="fr-CA"/>
        </w:rPr>
        <w:t>(1996),</w:t>
      </w:r>
      <w:r w:rsidR="00CC4EDA" w:rsidRPr="008F1EFE">
        <w:rPr>
          <w:i/>
          <w:lang w:val="fr-CA"/>
        </w:rPr>
        <w:t xml:space="preserve"> </w:t>
      </w:r>
      <w:r w:rsidR="00CC4EDA" w:rsidRPr="008F1EFE">
        <w:rPr>
          <w:lang w:val="fr-CA"/>
        </w:rPr>
        <w:t xml:space="preserve">27 O.R. (3d) 347, </w:t>
      </w:r>
      <w:r w:rsidR="00680517" w:rsidRPr="00680517">
        <w:rPr>
          <w:lang w:val="fr-FR"/>
        </w:rPr>
        <w:t>conf. par</w:t>
      </w:r>
      <w:r w:rsidR="00680517">
        <w:rPr>
          <w:lang w:val="fr-FR"/>
        </w:rPr>
        <w:t xml:space="preserve"> </w:t>
      </w:r>
      <w:r w:rsidR="00680517">
        <w:rPr>
          <w:lang w:val="fr-CA"/>
        </w:rPr>
        <w:t>(2000), 46 O.R. (3d) 481,</w:t>
      </w:r>
      <w:r w:rsidR="00CC4EDA" w:rsidRPr="008F1EFE">
        <w:rPr>
          <w:lang w:val="fr-CA"/>
        </w:rPr>
        <w:t xml:space="preserve"> </w:t>
      </w:r>
      <w:r w:rsidR="00CC4EDA" w:rsidRPr="008F1EFE">
        <w:rPr>
          <w:rFonts w:eastAsiaTheme="minorEastAsia"/>
          <w:szCs w:val="22"/>
          <w:lang w:val="fr-CA" w:eastAsia="en-US"/>
        </w:rPr>
        <w:t xml:space="preserve">demande d’autorisation d’appel rejetée, [2001] 1 R.C.S. vii; </w:t>
      </w:r>
      <w:r w:rsidR="00CC4EDA" w:rsidRPr="008F1EFE">
        <w:rPr>
          <w:rFonts w:ascii="TmsRmn 12pt" w:hAnsi="TmsRmn 12pt"/>
          <w:i/>
          <w:spacing w:val="-3"/>
          <w:lang w:val="fr-CA"/>
        </w:rPr>
        <w:t>R. c. Cachine</w:t>
      </w:r>
      <w:r w:rsidR="00CC4EDA" w:rsidRPr="008F1EFE">
        <w:rPr>
          <w:rFonts w:ascii="TmsRmn 12pt" w:hAnsi="TmsRmn 12pt"/>
          <w:spacing w:val="-3"/>
          <w:lang w:val="fr-CA"/>
        </w:rPr>
        <w:t>,</w:t>
      </w:r>
      <w:r w:rsidR="00CC4EDA" w:rsidRPr="008F1EFE">
        <w:rPr>
          <w:rFonts w:ascii="TmsRmn 12pt" w:hAnsi="TmsRmn 12pt"/>
          <w:i/>
          <w:spacing w:val="-3"/>
          <w:lang w:val="fr-CA"/>
        </w:rPr>
        <w:t xml:space="preserve"> </w:t>
      </w:r>
      <w:r w:rsidR="00CC4EDA" w:rsidRPr="008F1EFE">
        <w:rPr>
          <w:rFonts w:ascii="TmsRmn 12pt" w:hAnsi="TmsRmn 12pt"/>
          <w:spacing w:val="-3"/>
          <w:lang w:val="fr-CA"/>
        </w:rPr>
        <w:t xml:space="preserve">2001 BCCA 295, 154 C.C.C. (3d) 376; </w:t>
      </w:r>
      <w:r w:rsidR="00CC4EDA" w:rsidRPr="008F1EFE">
        <w:rPr>
          <w:i/>
          <w:lang w:val="fr-CA"/>
        </w:rPr>
        <w:t>R. c. Allen</w:t>
      </w:r>
      <w:r w:rsidR="00CC4EDA" w:rsidRPr="008F1EFE">
        <w:rPr>
          <w:lang w:val="fr-CA"/>
        </w:rPr>
        <w:t xml:space="preserve"> (1985), 18 C.C.C. (3d) 155; </w:t>
      </w:r>
      <w:r w:rsidR="00CC4EDA" w:rsidRPr="008F1EFE">
        <w:rPr>
          <w:i/>
          <w:lang w:val="fr-CA"/>
        </w:rPr>
        <w:t xml:space="preserve">R. c. Wakelin </w:t>
      </w:r>
      <w:r w:rsidR="00CC4EDA" w:rsidRPr="008F1EFE">
        <w:rPr>
          <w:lang w:val="fr-CA"/>
        </w:rPr>
        <w:t xml:space="preserve">(1991), 71 C.C.C. (3d) 115; </w:t>
      </w:r>
      <w:r w:rsidR="00CC4EDA" w:rsidRPr="008F1EFE">
        <w:rPr>
          <w:i/>
          <w:lang w:val="fr-CA"/>
        </w:rPr>
        <w:t>R. c. Nowazek</w:t>
      </w:r>
      <w:r w:rsidR="00CC4EDA" w:rsidRPr="008F1EFE">
        <w:rPr>
          <w:lang w:val="fr-CA"/>
        </w:rPr>
        <w:t xml:space="preserve">, 2018 YKCA 12, 366 C.C.C. (3d) 389; </w:t>
      </w:r>
      <w:r w:rsidR="00CC4EDA">
        <w:rPr>
          <w:b/>
          <w:lang w:val="fr-CA" w:bidi="en-US"/>
        </w:rPr>
        <w:t xml:space="preserve">arrêts mentionnés : </w:t>
      </w:r>
      <w:r w:rsidR="009B7827" w:rsidRPr="008F1EFE">
        <w:rPr>
          <w:i/>
          <w:szCs w:val="24"/>
          <w:lang w:val="fr-CA"/>
        </w:rPr>
        <w:t>Doucet</w:t>
      </w:r>
      <w:r w:rsidR="00DB6365" w:rsidRPr="008F1EFE">
        <w:rPr>
          <w:i/>
          <w:szCs w:val="24"/>
          <w:lang w:val="fr-CA"/>
        </w:rPr>
        <w:noBreakHyphen/>
      </w:r>
      <w:r w:rsidR="009B7827" w:rsidRPr="008F1EFE">
        <w:rPr>
          <w:i/>
          <w:szCs w:val="24"/>
          <w:lang w:val="fr-CA"/>
        </w:rPr>
        <w:t xml:space="preserve">Boudreau </w:t>
      </w:r>
      <w:r w:rsidR="009B7827" w:rsidRPr="008F1EFE">
        <w:rPr>
          <w:i/>
          <w:iCs/>
          <w:szCs w:val="24"/>
          <w:lang w:val="fr-CA"/>
        </w:rPr>
        <w:t>c.</w:t>
      </w:r>
      <w:r w:rsidR="009B7827" w:rsidRPr="008F1EFE">
        <w:rPr>
          <w:i/>
          <w:szCs w:val="24"/>
          <w:lang w:val="fr-CA"/>
        </w:rPr>
        <w:t xml:space="preserve"> Nouvelle</w:t>
      </w:r>
      <w:r w:rsidR="00DB6365" w:rsidRPr="008F1EFE">
        <w:rPr>
          <w:i/>
          <w:szCs w:val="24"/>
          <w:lang w:val="fr-CA"/>
        </w:rPr>
        <w:noBreakHyphen/>
      </w:r>
      <w:r w:rsidR="009B7827" w:rsidRPr="008F1EFE">
        <w:rPr>
          <w:i/>
          <w:szCs w:val="24"/>
          <w:lang w:val="fr-CA"/>
        </w:rPr>
        <w:t>Écosse (Ministre de l</w:t>
      </w:r>
      <w:r w:rsidR="002638F6" w:rsidRPr="008F1EFE">
        <w:rPr>
          <w:i/>
          <w:szCs w:val="24"/>
          <w:lang w:val="fr-CA"/>
        </w:rPr>
        <w:t>’</w:t>
      </w:r>
      <w:r w:rsidR="009B7827" w:rsidRPr="008F1EFE">
        <w:rPr>
          <w:i/>
          <w:szCs w:val="24"/>
          <w:lang w:val="fr-CA"/>
        </w:rPr>
        <w:t>Éducation)</w:t>
      </w:r>
      <w:r w:rsidR="009B7827" w:rsidRPr="008F1EFE">
        <w:rPr>
          <w:szCs w:val="24"/>
          <w:lang w:val="fr-CA"/>
        </w:rPr>
        <w:t xml:space="preserve">, </w:t>
      </w:r>
      <w:r w:rsidR="00664483" w:rsidRPr="008F1EFE">
        <w:rPr>
          <w:szCs w:val="24"/>
          <w:lang w:val="fr-CA"/>
        </w:rPr>
        <w:t xml:space="preserve">2003 </w:t>
      </w:r>
      <w:r w:rsidR="009B7827" w:rsidRPr="008F1EFE">
        <w:rPr>
          <w:szCs w:val="24"/>
          <w:lang w:val="fr-CA"/>
        </w:rPr>
        <w:t>CSC</w:t>
      </w:r>
      <w:r w:rsidR="00664483" w:rsidRPr="008F1EFE">
        <w:rPr>
          <w:szCs w:val="24"/>
          <w:lang w:val="fr-CA"/>
        </w:rPr>
        <w:t xml:space="preserve"> 62, [2003] 3 </w:t>
      </w:r>
      <w:r w:rsidR="009B7827" w:rsidRPr="008F1EFE">
        <w:rPr>
          <w:szCs w:val="24"/>
          <w:lang w:val="fr-CA"/>
        </w:rPr>
        <w:t xml:space="preserve">R.C.S. </w:t>
      </w:r>
      <w:r w:rsidR="00664483" w:rsidRPr="008F1EFE">
        <w:rPr>
          <w:szCs w:val="24"/>
          <w:lang w:val="fr-CA"/>
        </w:rPr>
        <w:t xml:space="preserve">3; </w:t>
      </w:r>
      <w:r w:rsidR="00664483" w:rsidRPr="008F1EFE">
        <w:rPr>
          <w:i/>
          <w:iCs/>
          <w:szCs w:val="24"/>
          <w:lang w:val="fr-CA"/>
        </w:rPr>
        <w:t xml:space="preserve">Borowski </w:t>
      </w:r>
      <w:r w:rsidR="009B7827" w:rsidRPr="008F1EFE">
        <w:rPr>
          <w:i/>
          <w:iCs/>
          <w:szCs w:val="24"/>
          <w:lang w:val="fr-CA"/>
        </w:rPr>
        <w:t>c</w:t>
      </w:r>
      <w:r w:rsidR="00664483" w:rsidRPr="008F1EFE">
        <w:rPr>
          <w:i/>
          <w:iCs/>
          <w:szCs w:val="24"/>
          <w:lang w:val="fr-CA"/>
        </w:rPr>
        <w:t>. Canada (</w:t>
      </w:r>
      <w:r w:rsidR="009B7827" w:rsidRPr="008F1EFE">
        <w:rPr>
          <w:i/>
          <w:iCs/>
          <w:szCs w:val="24"/>
          <w:lang w:val="fr-CA"/>
        </w:rPr>
        <w:t>Procureur général</w:t>
      </w:r>
      <w:r w:rsidR="00664483" w:rsidRPr="008F1EFE">
        <w:rPr>
          <w:i/>
          <w:iCs/>
          <w:szCs w:val="24"/>
          <w:lang w:val="fr-CA"/>
        </w:rPr>
        <w:t>)</w:t>
      </w:r>
      <w:r w:rsidR="00664483" w:rsidRPr="008F1EFE">
        <w:rPr>
          <w:szCs w:val="24"/>
          <w:lang w:val="fr-CA"/>
        </w:rPr>
        <w:t xml:space="preserve">, </w:t>
      </w:r>
      <w:r w:rsidR="00664483" w:rsidRPr="008F1EFE">
        <w:rPr>
          <w:rStyle w:val="reflex3-alt"/>
          <w:szCs w:val="24"/>
          <w:lang w:val="fr-CA"/>
        </w:rPr>
        <w:t xml:space="preserve">[1989] 1 </w:t>
      </w:r>
      <w:r w:rsidR="009B7827" w:rsidRPr="008F1EFE">
        <w:rPr>
          <w:rStyle w:val="reflex3-alt"/>
          <w:szCs w:val="24"/>
          <w:lang w:val="fr-CA"/>
        </w:rPr>
        <w:t>R</w:t>
      </w:r>
      <w:r w:rsidR="00664483" w:rsidRPr="008F1EFE">
        <w:rPr>
          <w:rStyle w:val="reflex3-alt"/>
          <w:szCs w:val="24"/>
          <w:lang w:val="fr-CA"/>
        </w:rPr>
        <w:t>.</w:t>
      </w:r>
      <w:r w:rsidR="009B7827" w:rsidRPr="008F1EFE">
        <w:rPr>
          <w:rStyle w:val="reflex3-alt"/>
          <w:szCs w:val="24"/>
          <w:lang w:val="fr-CA"/>
        </w:rPr>
        <w:t>C.S.</w:t>
      </w:r>
      <w:r w:rsidR="00664483" w:rsidRPr="008F1EFE">
        <w:rPr>
          <w:rStyle w:val="reflex3-alt"/>
          <w:szCs w:val="24"/>
          <w:lang w:val="fr-CA"/>
        </w:rPr>
        <w:t xml:space="preserve"> 342; </w:t>
      </w:r>
      <w:r w:rsidR="00664483" w:rsidRPr="008F1EFE">
        <w:rPr>
          <w:i/>
          <w:iCs/>
          <w:szCs w:val="24"/>
          <w:lang w:val="fr-CA"/>
        </w:rPr>
        <w:t xml:space="preserve">International Brotherhood of Electrical Workers, Local Union 2085 </w:t>
      </w:r>
      <w:r w:rsidR="0086514F" w:rsidRPr="008F1EFE">
        <w:rPr>
          <w:i/>
          <w:iCs/>
          <w:szCs w:val="24"/>
          <w:lang w:val="fr-CA"/>
        </w:rPr>
        <w:t>c</w:t>
      </w:r>
      <w:r w:rsidR="00664483" w:rsidRPr="008F1EFE">
        <w:rPr>
          <w:i/>
          <w:iCs/>
          <w:szCs w:val="24"/>
          <w:lang w:val="fr-CA"/>
        </w:rPr>
        <w:t>. Winnipeg Builders</w:t>
      </w:r>
      <w:r w:rsidR="002638F6" w:rsidRPr="008F1EFE">
        <w:rPr>
          <w:i/>
          <w:iCs/>
          <w:szCs w:val="24"/>
          <w:lang w:val="fr-CA"/>
        </w:rPr>
        <w:t>’</w:t>
      </w:r>
      <w:r w:rsidR="00664483" w:rsidRPr="008F1EFE">
        <w:rPr>
          <w:i/>
          <w:iCs/>
          <w:szCs w:val="24"/>
          <w:lang w:val="fr-CA"/>
        </w:rPr>
        <w:t xml:space="preserve"> Exchange</w:t>
      </w:r>
      <w:r w:rsidR="00664483" w:rsidRPr="008F1EFE">
        <w:rPr>
          <w:rStyle w:val="reflex3-block"/>
          <w:szCs w:val="24"/>
          <w:lang w:val="fr-CA"/>
        </w:rPr>
        <w:t xml:space="preserve">, </w:t>
      </w:r>
      <w:r w:rsidR="00664483" w:rsidRPr="008F1EFE">
        <w:rPr>
          <w:rStyle w:val="reflex3-alt"/>
          <w:szCs w:val="24"/>
          <w:lang w:val="fr-CA"/>
        </w:rPr>
        <w:t xml:space="preserve">[1967] </w:t>
      </w:r>
      <w:r w:rsidR="0086514F" w:rsidRPr="008F1EFE">
        <w:rPr>
          <w:rStyle w:val="reflex3-alt"/>
          <w:szCs w:val="24"/>
          <w:lang w:val="fr-CA"/>
        </w:rPr>
        <w:t>R.C.S.</w:t>
      </w:r>
      <w:r w:rsidR="00664483" w:rsidRPr="008F1EFE">
        <w:rPr>
          <w:rStyle w:val="reflex3-alt"/>
          <w:szCs w:val="24"/>
          <w:lang w:val="fr-CA"/>
        </w:rPr>
        <w:t xml:space="preserve"> 628; </w:t>
      </w:r>
      <w:r w:rsidR="00FD7C6B">
        <w:rPr>
          <w:i/>
          <w:szCs w:val="24"/>
          <w:lang w:val="fr-CA"/>
        </w:rPr>
        <w:t>Nouveau</w:t>
      </w:r>
      <w:r w:rsidR="00FD7C6B">
        <w:rPr>
          <w:i/>
          <w:szCs w:val="24"/>
          <w:lang w:val="fr-CA"/>
        </w:rPr>
        <w:noBreakHyphen/>
      </w:r>
      <w:r w:rsidR="009E23D3" w:rsidRPr="008F1EFE">
        <w:rPr>
          <w:i/>
          <w:szCs w:val="24"/>
          <w:lang w:val="fr-CA"/>
        </w:rPr>
        <w:t>Brunswick (Ministre de la Santé et des Services communautaires)</w:t>
      </w:r>
      <w:r w:rsidR="003065B0">
        <w:rPr>
          <w:i/>
          <w:szCs w:val="24"/>
          <w:lang w:val="fr-CA"/>
        </w:rPr>
        <w:t xml:space="preserve"> c. </w:t>
      </w:r>
      <w:r w:rsidR="003065B0" w:rsidRPr="003065B0">
        <w:rPr>
          <w:i/>
          <w:lang w:val="fr-CA"/>
        </w:rPr>
        <w:t>G. (J.)</w:t>
      </w:r>
      <w:r w:rsidR="008673E3" w:rsidRPr="008F1EFE">
        <w:rPr>
          <w:rStyle w:val="reflex3-alt"/>
          <w:szCs w:val="24"/>
          <w:lang w:val="fr-CA"/>
        </w:rPr>
        <w:t xml:space="preserve">, [1999] 3 R.C.S. 46; </w:t>
      </w:r>
      <w:r w:rsidR="00664483" w:rsidRPr="008F1EFE">
        <w:rPr>
          <w:rStyle w:val="reflex3-alt"/>
          <w:i/>
          <w:szCs w:val="24"/>
          <w:lang w:val="fr-CA"/>
        </w:rPr>
        <w:t>R. c. Myers</w:t>
      </w:r>
      <w:r w:rsidR="00664483" w:rsidRPr="008F1EFE">
        <w:rPr>
          <w:rStyle w:val="reflex3-alt"/>
          <w:szCs w:val="24"/>
          <w:lang w:val="fr-CA"/>
        </w:rPr>
        <w:t>, 2019 CSC 18</w:t>
      </w:r>
      <w:r w:rsidR="002755C8">
        <w:rPr>
          <w:rStyle w:val="reflex3-alt"/>
          <w:szCs w:val="24"/>
          <w:lang w:val="fr-CA"/>
        </w:rPr>
        <w:t xml:space="preserve">, </w:t>
      </w:r>
      <w:r w:rsidR="002755C8" w:rsidRPr="002755C8">
        <w:rPr>
          <w:szCs w:val="24"/>
          <w:lang w:val="fr-CA"/>
        </w:rPr>
        <w:t xml:space="preserve">[2019] </w:t>
      </w:r>
      <w:r w:rsidR="00E508E4">
        <w:rPr>
          <w:smallCaps/>
          <w:szCs w:val="24"/>
          <w:lang w:val="fr-CA"/>
        </w:rPr>
        <w:t>2</w:t>
      </w:r>
      <w:r w:rsidR="002755C8" w:rsidRPr="002755C8">
        <w:rPr>
          <w:szCs w:val="24"/>
          <w:lang w:val="fr-CA"/>
        </w:rPr>
        <w:t xml:space="preserve"> R.</w:t>
      </w:r>
      <w:r w:rsidR="002755C8">
        <w:rPr>
          <w:szCs w:val="24"/>
          <w:lang w:val="fr-CA"/>
        </w:rPr>
        <w:t xml:space="preserve">C.S. </w:t>
      </w:r>
      <w:r w:rsidR="00E508E4">
        <w:rPr>
          <w:smallCaps/>
          <w:szCs w:val="24"/>
          <w:lang w:val="fr-CA"/>
        </w:rPr>
        <w:t>105</w:t>
      </w:r>
      <w:r w:rsidR="00664483" w:rsidRPr="008F1EFE">
        <w:rPr>
          <w:rStyle w:val="reflex3-alt"/>
          <w:szCs w:val="24"/>
          <w:lang w:val="fr-CA"/>
        </w:rPr>
        <w:t xml:space="preserve">; </w:t>
      </w:r>
      <w:r w:rsidR="00664483" w:rsidRPr="008F1EFE">
        <w:rPr>
          <w:i/>
          <w:iCs/>
          <w:szCs w:val="24"/>
          <w:lang w:val="fr-CA"/>
        </w:rPr>
        <w:t>R. c. Oland</w:t>
      </w:r>
      <w:r w:rsidR="00664483" w:rsidRPr="008F1EFE">
        <w:rPr>
          <w:iCs/>
          <w:szCs w:val="24"/>
          <w:lang w:val="fr-CA"/>
        </w:rPr>
        <w:t>,</w:t>
      </w:r>
      <w:r w:rsidR="00664483" w:rsidRPr="008F1EFE">
        <w:rPr>
          <w:i/>
          <w:iCs/>
          <w:szCs w:val="24"/>
          <w:lang w:val="fr-CA"/>
        </w:rPr>
        <w:t xml:space="preserve"> </w:t>
      </w:r>
      <w:r w:rsidR="00A14AB5">
        <w:rPr>
          <w:iCs/>
          <w:szCs w:val="24"/>
          <w:lang w:val="fr-CA"/>
        </w:rPr>
        <w:t>2017 CSC 17, [2017] 1</w:t>
      </w:r>
      <w:r w:rsidR="00664483" w:rsidRPr="008F1EFE">
        <w:rPr>
          <w:iCs/>
          <w:szCs w:val="24"/>
          <w:lang w:val="fr-CA"/>
        </w:rPr>
        <w:t xml:space="preserve"> </w:t>
      </w:r>
      <w:r w:rsidR="00664483" w:rsidRPr="00245E5C">
        <w:rPr>
          <w:iCs/>
          <w:szCs w:val="24"/>
          <w:lang w:val="fr-CA"/>
        </w:rPr>
        <w:t xml:space="preserve">R.C.S. 250; </w:t>
      </w:r>
      <w:r w:rsidR="00664483" w:rsidRPr="00245E5C">
        <w:rPr>
          <w:i/>
          <w:szCs w:val="24"/>
          <w:lang w:val="fr-CA"/>
        </w:rPr>
        <w:t>R. c. Smith</w:t>
      </w:r>
      <w:r w:rsidR="00664483" w:rsidRPr="00245E5C">
        <w:rPr>
          <w:szCs w:val="24"/>
          <w:lang w:val="fr-CA"/>
        </w:rPr>
        <w:t>,</w:t>
      </w:r>
      <w:r w:rsidR="00664483" w:rsidRPr="00245E5C">
        <w:rPr>
          <w:i/>
          <w:szCs w:val="24"/>
          <w:lang w:val="fr-CA"/>
        </w:rPr>
        <w:t xml:space="preserve"> </w:t>
      </w:r>
      <w:r w:rsidR="00664483" w:rsidRPr="00245E5C">
        <w:rPr>
          <w:szCs w:val="24"/>
          <w:lang w:val="fr-CA"/>
        </w:rPr>
        <w:t>2004 CSC 14, [20</w:t>
      </w:r>
      <w:r w:rsidR="00DC4DEB" w:rsidRPr="00245E5C">
        <w:rPr>
          <w:szCs w:val="24"/>
          <w:lang w:val="fr-CA"/>
        </w:rPr>
        <w:t>0</w:t>
      </w:r>
      <w:r w:rsidR="00664483" w:rsidRPr="00245E5C">
        <w:rPr>
          <w:szCs w:val="24"/>
          <w:lang w:val="fr-CA"/>
        </w:rPr>
        <w:t xml:space="preserve">4] 1 R.C.S. 385; </w:t>
      </w:r>
      <w:r w:rsidR="00664483" w:rsidRPr="00245E5C">
        <w:rPr>
          <w:i/>
          <w:iCs/>
          <w:szCs w:val="24"/>
          <w:lang w:val="fr-CA"/>
        </w:rPr>
        <w:t xml:space="preserve">Goodyear Tire &amp; Rubber Co. of Canada c. </w:t>
      </w:r>
      <w:r w:rsidR="00B50468" w:rsidRPr="00245E5C">
        <w:rPr>
          <w:i/>
          <w:iCs/>
          <w:szCs w:val="24"/>
          <w:lang w:val="fr-CA"/>
        </w:rPr>
        <w:t>The Queen</w:t>
      </w:r>
      <w:r w:rsidR="00664483" w:rsidRPr="00245E5C">
        <w:rPr>
          <w:szCs w:val="24"/>
          <w:lang w:val="fr-CA"/>
        </w:rPr>
        <w:t xml:space="preserve">, [1956] R.C.S. 303; </w:t>
      </w:r>
      <w:r w:rsidR="00664483" w:rsidRPr="00245E5C">
        <w:rPr>
          <w:i/>
          <w:szCs w:val="24"/>
          <w:lang w:val="fr-CA"/>
        </w:rPr>
        <w:t>R. c. S. (S.)</w:t>
      </w:r>
      <w:r w:rsidR="00664483" w:rsidRPr="00245E5C">
        <w:rPr>
          <w:szCs w:val="24"/>
          <w:lang w:val="fr-CA"/>
        </w:rPr>
        <w:t xml:space="preserve">, [1990] 2 R.C.S. 254; </w:t>
      </w:r>
      <w:r w:rsidR="00664483" w:rsidRPr="00245E5C">
        <w:rPr>
          <w:bCs/>
          <w:i/>
          <w:iCs/>
          <w:szCs w:val="24"/>
          <w:lang w:val="fr-CA"/>
        </w:rPr>
        <w:t>Mackenzie c. Martin</w:t>
      </w:r>
      <w:r w:rsidR="00664483" w:rsidRPr="00245E5C">
        <w:rPr>
          <w:szCs w:val="24"/>
          <w:lang w:val="fr-CA"/>
        </w:rPr>
        <w:t xml:space="preserve">, [1954] R.C.S. 361; </w:t>
      </w:r>
      <w:r w:rsidR="00664483" w:rsidRPr="00245E5C">
        <w:rPr>
          <w:i/>
          <w:szCs w:val="24"/>
          <w:lang w:val="fr-CA"/>
        </w:rPr>
        <w:t>R. c. Parks</w:t>
      </w:r>
      <w:r w:rsidR="00664483" w:rsidRPr="00245E5C">
        <w:rPr>
          <w:szCs w:val="24"/>
          <w:lang w:val="fr-CA"/>
        </w:rPr>
        <w:t>,</w:t>
      </w:r>
      <w:r w:rsidR="00664483" w:rsidRPr="00245E5C">
        <w:rPr>
          <w:i/>
          <w:szCs w:val="24"/>
          <w:lang w:val="fr-CA"/>
        </w:rPr>
        <w:t xml:space="preserve"> </w:t>
      </w:r>
      <w:r w:rsidR="00664483" w:rsidRPr="00245E5C">
        <w:rPr>
          <w:szCs w:val="24"/>
          <w:lang w:val="fr-CA"/>
        </w:rPr>
        <w:t xml:space="preserve">[1992] 2 R.C.S. 871; </w:t>
      </w:r>
      <w:r w:rsidR="00664483" w:rsidRPr="00245E5C">
        <w:rPr>
          <w:rFonts w:ascii="TmsRmn 12pt" w:hAnsi="TmsRmn 12pt"/>
          <w:i/>
          <w:iCs/>
          <w:spacing w:val="-3"/>
          <w:lang w:val="fr-CA"/>
        </w:rPr>
        <w:t xml:space="preserve">R. c. Woking Justices, Ex </w:t>
      </w:r>
      <w:r w:rsidR="00DB6365" w:rsidRPr="00245E5C">
        <w:rPr>
          <w:rFonts w:ascii="TmsRmn 12pt" w:hAnsi="TmsRmn 12pt"/>
          <w:i/>
          <w:iCs/>
          <w:spacing w:val="-3"/>
          <w:lang w:val="fr-CA"/>
        </w:rPr>
        <w:t>p. </w:t>
      </w:r>
      <w:r w:rsidR="00664483" w:rsidRPr="00245E5C">
        <w:rPr>
          <w:rFonts w:ascii="TmsRmn 12pt" w:hAnsi="TmsRmn 12pt"/>
          <w:i/>
          <w:iCs/>
          <w:spacing w:val="-3"/>
          <w:lang w:val="fr-CA"/>
        </w:rPr>
        <w:t>Gossage</w:t>
      </w:r>
      <w:r w:rsidR="00664483" w:rsidRPr="00245E5C">
        <w:rPr>
          <w:rFonts w:ascii="TmsRmn 12pt" w:hAnsi="TmsRmn 12pt"/>
          <w:spacing w:val="-3"/>
          <w:lang w:val="fr-CA"/>
        </w:rPr>
        <w:t xml:space="preserve">, [1973] 2 All ER 621; </w:t>
      </w:r>
      <w:r w:rsidR="008673E3" w:rsidRPr="00245E5C">
        <w:rPr>
          <w:i/>
          <w:lang w:val="fr-CA"/>
        </w:rPr>
        <w:t>R. c.</w:t>
      </w:r>
      <w:r w:rsidR="008673E3" w:rsidRPr="00245E5C">
        <w:rPr>
          <w:lang w:val="fr-CA"/>
        </w:rPr>
        <w:t xml:space="preserve"> </w:t>
      </w:r>
      <w:r w:rsidR="008673E3" w:rsidRPr="00245E5C">
        <w:rPr>
          <w:i/>
          <w:lang w:val="fr-CA"/>
        </w:rPr>
        <w:t xml:space="preserve">Forrest </w:t>
      </w:r>
      <w:r w:rsidR="008673E3" w:rsidRPr="00245E5C">
        <w:rPr>
          <w:lang w:val="fr-CA"/>
        </w:rPr>
        <w:t xml:space="preserve">(1983), 8 C.C.C. (3d) 444; </w:t>
      </w:r>
      <w:r w:rsidR="00664483" w:rsidRPr="00245E5C">
        <w:rPr>
          <w:i/>
          <w:szCs w:val="24"/>
          <w:lang w:val="fr-CA"/>
        </w:rPr>
        <w:t xml:space="preserve">Rizzo &amp; Rizzo Shoes Ltd. </w:t>
      </w:r>
      <w:r w:rsidR="00664483" w:rsidRPr="002A3EDA">
        <w:rPr>
          <w:i/>
          <w:szCs w:val="24"/>
        </w:rPr>
        <w:t>(Re)</w:t>
      </w:r>
      <w:r w:rsidR="00664483" w:rsidRPr="002A3EDA">
        <w:rPr>
          <w:szCs w:val="24"/>
        </w:rPr>
        <w:t>,</w:t>
      </w:r>
      <w:r w:rsidR="00664483" w:rsidRPr="002A3EDA">
        <w:rPr>
          <w:i/>
          <w:szCs w:val="24"/>
        </w:rPr>
        <w:t xml:space="preserve"> </w:t>
      </w:r>
      <w:r w:rsidR="00664483" w:rsidRPr="002A3EDA">
        <w:rPr>
          <w:szCs w:val="24"/>
        </w:rPr>
        <w:t xml:space="preserve">[1998] 1 </w:t>
      </w:r>
      <w:r w:rsidR="0086514F" w:rsidRPr="002A3EDA">
        <w:rPr>
          <w:szCs w:val="24"/>
        </w:rPr>
        <w:t>R.C.S.</w:t>
      </w:r>
      <w:r w:rsidR="00664483" w:rsidRPr="002A3EDA">
        <w:rPr>
          <w:szCs w:val="24"/>
        </w:rPr>
        <w:t xml:space="preserve"> 27; </w:t>
      </w:r>
      <w:r w:rsidR="00664483" w:rsidRPr="002A3EDA">
        <w:rPr>
          <w:i/>
          <w:iCs/>
          <w:szCs w:val="24"/>
        </w:rPr>
        <w:t>Bell ExpressVu L</w:t>
      </w:r>
      <w:r w:rsidR="0086514F" w:rsidRPr="002A3EDA">
        <w:rPr>
          <w:i/>
          <w:iCs/>
          <w:szCs w:val="24"/>
        </w:rPr>
        <w:t>imi</w:t>
      </w:r>
      <w:r w:rsidR="00664483" w:rsidRPr="002A3EDA">
        <w:rPr>
          <w:i/>
          <w:iCs/>
          <w:szCs w:val="24"/>
        </w:rPr>
        <w:t>t</w:t>
      </w:r>
      <w:r w:rsidR="0086514F" w:rsidRPr="002A3EDA">
        <w:rPr>
          <w:i/>
          <w:iCs/>
          <w:szCs w:val="24"/>
        </w:rPr>
        <w:t>ed</w:t>
      </w:r>
      <w:r w:rsidR="00664483" w:rsidRPr="002A3EDA">
        <w:rPr>
          <w:i/>
          <w:iCs/>
          <w:szCs w:val="24"/>
        </w:rPr>
        <w:t xml:space="preserve"> Partnership</w:t>
      </w:r>
      <w:r w:rsidR="0086514F" w:rsidRPr="002A3EDA">
        <w:rPr>
          <w:i/>
          <w:iCs/>
          <w:szCs w:val="24"/>
        </w:rPr>
        <w:t xml:space="preserve"> c</w:t>
      </w:r>
      <w:r w:rsidR="00664483" w:rsidRPr="002A3EDA">
        <w:rPr>
          <w:i/>
          <w:iCs/>
          <w:szCs w:val="24"/>
        </w:rPr>
        <w:t>. Rex</w:t>
      </w:r>
      <w:r w:rsidR="00664483" w:rsidRPr="002A3EDA">
        <w:rPr>
          <w:szCs w:val="24"/>
        </w:rPr>
        <w:t xml:space="preserve">, 2002 </w:t>
      </w:r>
      <w:r w:rsidR="0086514F" w:rsidRPr="002A3EDA">
        <w:rPr>
          <w:szCs w:val="24"/>
        </w:rPr>
        <w:t>CSC</w:t>
      </w:r>
      <w:r w:rsidR="00664483" w:rsidRPr="002A3EDA">
        <w:rPr>
          <w:szCs w:val="24"/>
        </w:rPr>
        <w:t xml:space="preserve"> 42, [2002] 2 </w:t>
      </w:r>
      <w:r w:rsidR="0086514F" w:rsidRPr="002A3EDA">
        <w:rPr>
          <w:szCs w:val="24"/>
        </w:rPr>
        <w:t>R.C.S.</w:t>
      </w:r>
      <w:r w:rsidR="00664483" w:rsidRPr="002A3EDA">
        <w:rPr>
          <w:szCs w:val="24"/>
        </w:rPr>
        <w:t xml:space="preserve"> 559; </w:t>
      </w:r>
      <w:r w:rsidR="000C01C4" w:rsidRPr="002A3EDA">
        <w:rPr>
          <w:i/>
        </w:rPr>
        <w:t>Nowegijick c. La Reine</w:t>
      </w:r>
      <w:r w:rsidR="000C01C4" w:rsidRPr="002A3EDA">
        <w:t>,</w:t>
      </w:r>
      <w:r w:rsidR="000C01C4" w:rsidRPr="002A3EDA">
        <w:rPr>
          <w:i/>
        </w:rPr>
        <w:t xml:space="preserve"> </w:t>
      </w:r>
      <w:r w:rsidR="000C01C4" w:rsidRPr="002A3EDA">
        <w:t xml:space="preserve">[1983] 1 R.C.S. 29; </w:t>
      </w:r>
      <w:r w:rsidR="002A27BC" w:rsidRPr="00C76E05">
        <w:rPr>
          <w:i/>
          <w:szCs w:val="24"/>
        </w:rPr>
        <w:t xml:space="preserve">Parrill v. </w:t>
      </w:r>
      <w:r w:rsidR="002A27BC" w:rsidRPr="00C76E05">
        <w:rPr>
          <w:i/>
          <w:szCs w:val="24"/>
        </w:rPr>
        <w:lastRenderedPageBreak/>
        <w:t>Genge</w:t>
      </w:r>
      <w:r w:rsidR="002A27BC">
        <w:rPr>
          <w:szCs w:val="24"/>
        </w:rPr>
        <w:t xml:space="preserve"> (1997), 148 Nfld. &amp; P.E.I.R. 91; </w:t>
      </w:r>
      <w:r w:rsidR="00DC4DEB" w:rsidRPr="002A3EDA">
        <w:rPr>
          <w:i/>
        </w:rPr>
        <w:t>Bessette c. C</w:t>
      </w:r>
      <w:r w:rsidR="00FD7C6B">
        <w:rPr>
          <w:i/>
        </w:rPr>
        <w:t>olombie</w:t>
      </w:r>
      <w:r w:rsidR="00FD7C6B">
        <w:rPr>
          <w:i/>
        </w:rPr>
        <w:noBreakHyphen/>
      </w:r>
      <w:r w:rsidR="00DC4DEB" w:rsidRPr="002A3EDA">
        <w:rPr>
          <w:i/>
        </w:rPr>
        <w:t xml:space="preserve">Britannique </w:t>
      </w:r>
      <w:r w:rsidR="00DC4DEB" w:rsidRPr="002A3EDA">
        <w:t>(</w:t>
      </w:r>
      <w:r w:rsidR="00DC4DEB" w:rsidRPr="002A3EDA">
        <w:rPr>
          <w:i/>
        </w:rPr>
        <w:t>Procureur général</w:t>
      </w:r>
      <w:r w:rsidR="00DC4DEB" w:rsidRPr="002A3EDA">
        <w:t>),</w:t>
      </w:r>
      <w:r w:rsidR="00DC4DEB" w:rsidRPr="002A3EDA">
        <w:rPr>
          <w:i/>
        </w:rPr>
        <w:t xml:space="preserve"> </w:t>
      </w:r>
      <w:r w:rsidR="00DC4DEB" w:rsidRPr="002A3EDA">
        <w:t>2019 CSC 3</w:t>
      </w:r>
      <w:r w:rsidR="002755C8">
        <w:t xml:space="preserve">1, </w:t>
      </w:r>
      <w:r w:rsidR="002755C8" w:rsidRPr="00CC4EDA">
        <w:rPr>
          <w:szCs w:val="24"/>
        </w:rPr>
        <w:t>[20</w:t>
      </w:r>
      <w:r w:rsidR="002755C8">
        <w:rPr>
          <w:szCs w:val="24"/>
        </w:rPr>
        <w:t xml:space="preserve">19] </w:t>
      </w:r>
      <w:r w:rsidR="00E508E4">
        <w:rPr>
          <w:smallCaps/>
          <w:szCs w:val="24"/>
        </w:rPr>
        <w:t>2</w:t>
      </w:r>
      <w:r w:rsidR="002755C8">
        <w:rPr>
          <w:szCs w:val="24"/>
        </w:rPr>
        <w:t xml:space="preserve"> R.C.S</w:t>
      </w:r>
      <w:r w:rsidR="008E1439">
        <w:rPr>
          <w:szCs w:val="24"/>
        </w:rPr>
        <w:t>.</w:t>
      </w:r>
      <w:r w:rsidR="002755C8">
        <w:rPr>
          <w:szCs w:val="24"/>
        </w:rPr>
        <w:t xml:space="preserve"> </w:t>
      </w:r>
      <w:r w:rsidR="00E508E4">
        <w:rPr>
          <w:smallCaps/>
          <w:szCs w:val="24"/>
        </w:rPr>
        <w:t>535</w:t>
      </w:r>
      <w:r w:rsidR="00DC4DEB" w:rsidRPr="002A3EDA">
        <w:t xml:space="preserve">; </w:t>
      </w:r>
      <w:r w:rsidR="00664483" w:rsidRPr="002A3EDA">
        <w:rPr>
          <w:i/>
          <w:szCs w:val="24"/>
        </w:rPr>
        <w:t>2747</w:t>
      </w:r>
      <w:r w:rsidR="00DB6365" w:rsidRPr="002A3EDA">
        <w:rPr>
          <w:i/>
          <w:szCs w:val="24"/>
        </w:rPr>
        <w:noBreakHyphen/>
      </w:r>
      <w:r w:rsidR="00664483" w:rsidRPr="002A3EDA">
        <w:rPr>
          <w:i/>
          <w:szCs w:val="24"/>
        </w:rPr>
        <w:t>3174</w:t>
      </w:r>
      <w:r w:rsidR="00664483" w:rsidRPr="002A3EDA">
        <w:rPr>
          <w:szCs w:val="24"/>
        </w:rPr>
        <w:t xml:space="preserve"> </w:t>
      </w:r>
      <w:r w:rsidR="00664483" w:rsidRPr="002A3EDA">
        <w:rPr>
          <w:i/>
          <w:szCs w:val="24"/>
        </w:rPr>
        <w:t>Québec Inc. c. Québec (Régie des permis d</w:t>
      </w:r>
      <w:r w:rsidR="002638F6" w:rsidRPr="002A3EDA">
        <w:rPr>
          <w:i/>
          <w:szCs w:val="24"/>
        </w:rPr>
        <w:t>’</w:t>
      </w:r>
      <w:r w:rsidR="00664483" w:rsidRPr="002A3EDA">
        <w:rPr>
          <w:i/>
          <w:szCs w:val="24"/>
        </w:rPr>
        <w:t>alcool)</w:t>
      </w:r>
      <w:r w:rsidR="00664483" w:rsidRPr="002A3EDA">
        <w:rPr>
          <w:szCs w:val="24"/>
        </w:rPr>
        <w:t>,</w:t>
      </w:r>
      <w:r w:rsidR="00664483" w:rsidRPr="002A3EDA">
        <w:rPr>
          <w:i/>
          <w:szCs w:val="24"/>
        </w:rPr>
        <w:t xml:space="preserve"> </w:t>
      </w:r>
      <w:r w:rsidR="00664483" w:rsidRPr="002A3EDA">
        <w:rPr>
          <w:szCs w:val="24"/>
        </w:rPr>
        <w:t xml:space="preserve">[1996] 3 R.C.S. 919; </w:t>
      </w:r>
      <w:r w:rsidR="00174613" w:rsidRPr="002A3EDA">
        <w:rPr>
          <w:i/>
          <w:szCs w:val="24"/>
        </w:rPr>
        <w:t>R. c. Gill</w:t>
      </w:r>
      <w:r w:rsidR="00174613" w:rsidRPr="002A3EDA">
        <w:rPr>
          <w:szCs w:val="24"/>
        </w:rPr>
        <w:t>, [1991] B.C.J. No. 3255</w:t>
      </w:r>
      <w:r w:rsidR="00E508E4">
        <w:rPr>
          <w:szCs w:val="24"/>
        </w:rPr>
        <w:t xml:space="preserve"> (QL)</w:t>
      </w:r>
      <w:r w:rsidR="00174613" w:rsidRPr="002A3EDA">
        <w:rPr>
          <w:szCs w:val="24"/>
        </w:rPr>
        <w:t xml:space="preserve">; </w:t>
      </w:r>
      <w:r w:rsidR="00174613" w:rsidRPr="002A3EDA">
        <w:rPr>
          <w:i/>
          <w:iCs/>
        </w:rPr>
        <w:t>R. c. Schafer</w:t>
      </w:r>
      <w:r w:rsidR="00174613" w:rsidRPr="002A3EDA">
        <w:rPr>
          <w:iCs/>
        </w:rPr>
        <w:t>,</w:t>
      </w:r>
      <w:r w:rsidR="00174613" w:rsidRPr="002A3EDA">
        <w:rPr>
          <w:i/>
          <w:iCs/>
        </w:rPr>
        <w:t xml:space="preserve"> </w:t>
      </w:r>
      <w:r w:rsidR="00174613" w:rsidRPr="002A3EDA">
        <w:t>2018 YKTC 12;</w:t>
      </w:r>
      <w:r w:rsidR="0028431C" w:rsidRPr="002A3EDA">
        <w:t xml:space="preserve"> </w:t>
      </w:r>
      <w:r w:rsidR="0028431C" w:rsidRPr="002A3EDA">
        <w:rPr>
          <w:i/>
          <w:szCs w:val="24"/>
        </w:rPr>
        <w:t>R. c. Antic</w:t>
      </w:r>
      <w:r w:rsidR="0028431C" w:rsidRPr="002A3EDA">
        <w:rPr>
          <w:szCs w:val="24"/>
        </w:rPr>
        <w:t>, 2017 CSC 27, [2017] 1 R.C.S. 509;</w:t>
      </w:r>
      <w:r w:rsidR="00174613" w:rsidRPr="002A3EDA">
        <w:t xml:space="preserve"> </w:t>
      </w:r>
      <w:r w:rsidR="00664483" w:rsidRPr="002A3EDA">
        <w:rPr>
          <w:i/>
        </w:rPr>
        <w:t>R. c. Goikhberg</w:t>
      </w:r>
      <w:r w:rsidR="00664483" w:rsidRPr="002A3EDA">
        <w:t>,</w:t>
      </w:r>
      <w:r w:rsidR="00664483" w:rsidRPr="002A3EDA">
        <w:rPr>
          <w:i/>
        </w:rPr>
        <w:t xml:space="preserve"> </w:t>
      </w:r>
      <w:r w:rsidR="00664483" w:rsidRPr="002A3EDA">
        <w:t xml:space="preserve">2014 QCCS 3891; </w:t>
      </w:r>
      <w:r w:rsidR="00664483" w:rsidRPr="002A3EDA">
        <w:rPr>
          <w:i/>
        </w:rPr>
        <w:t xml:space="preserve">R. c. Hebert </w:t>
      </w:r>
      <w:r w:rsidR="00664483" w:rsidRPr="002A3EDA">
        <w:t xml:space="preserve">(1984), 54 </w:t>
      </w:r>
      <w:r w:rsidR="0086514F" w:rsidRPr="002A3EDA">
        <w:t>R</w:t>
      </w:r>
      <w:r w:rsidR="00664483" w:rsidRPr="002A3EDA">
        <w:t>.</w:t>
      </w:r>
      <w:r w:rsidR="0086514F" w:rsidRPr="002A3EDA">
        <w:t>N.</w:t>
      </w:r>
      <w:r w:rsidR="00DB6365" w:rsidRPr="002A3EDA">
        <w:noBreakHyphen/>
      </w:r>
      <w:r w:rsidR="0086514F" w:rsidRPr="002A3EDA">
        <w:t>B. (2</w:t>
      </w:r>
      <w:r w:rsidR="0086514F" w:rsidRPr="00007704">
        <w:rPr>
          <w:vertAlign w:val="superscript"/>
        </w:rPr>
        <w:t>e</w:t>
      </w:r>
      <w:r w:rsidR="00664483" w:rsidRPr="002A3EDA">
        <w:t xml:space="preserve">) 251; </w:t>
      </w:r>
      <w:r w:rsidR="00664483" w:rsidRPr="002A3EDA">
        <w:rPr>
          <w:i/>
        </w:rPr>
        <w:t>R. c. Hall</w:t>
      </w:r>
      <w:r w:rsidR="00664483" w:rsidRPr="002A3EDA">
        <w:t>,</w:t>
      </w:r>
      <w:r w:rsidR="00664483" w:rsidRPr="002A3EDA">
        <w:rPr>
          <w:i/>
        </w:rPr>
        <w:t xml:space="preserve"> </w:t>
      </w:r>
      <w:r w:rsidR="00664483" w:rsidRPr="002A3EDA">
        <w:t xml:space="preserve">2002 CSC 64, [2002] 3 R.C.S. 309; </w:t>
      </w:r>
      <w:r w:rsidR="0028431C" w:rsidRPr="002A3EDA">
        <w:rPr>
          <w:i/>
          <w:szCs w:val="24"/>
        </w:rPr>
        <w:t>R. c. Hall</w:t>
      </w:r>
      <w:r w:rsidR="0028431C" w:rsidRPr="002A3EDA">
        <w:rPr>
          <w:szCs w:val="24"/>
        </w:rPr>
        <w:t xml:space="preserve"> (1996),</w:t>
      </w:r>
      <w:r w:rsidR="0028431C" w:rsidRPr="002A3EDA">
        <w:rPr>
          <w:i/>
          <w:szCs w:val="24"/>
        </w:rPr>
        <w:t xml:space="preserve"> </w:t>
      </w:r>
      <w:r w:rsidR="0028431C" w:rsidRPr="002A3EDA">
        <w:rPr>
          <w:szCs w:val="24"/>
        </w:rPr>
        <w:t xml:space="preserve">138 Nfld. &amp; P.E.I.R. 80; </w:t>
      </w:r>
      <w:r w:rsidR="0028431C" w:rsidRPr="002A3EDA">
        <w:rPr>
          <w:i/>
          <w:szCs w:val="24"/>
        </w:rPr>
        <w:t>R. c. Walsh</w:t>
      </w:r>
      <w:r w:rsidR="0028431C" w:rsidRPr="002A3EDA">
        <w:rPr>
          <w:szCs w:val="24"/>
        </w:rPr>
        <w:t xml:space="preserve">, 2015 ABCA 385; </w:t>
      </w:r>
      <w:r w:rsidR="00B528D3" w:rsidRPr="002A3EDA">
        <w:rPr>
          <w:i/>
          <w:szCs w:val="24"/>
        </w:rPr>
        <w:t>Smith c. Jones</w:t>
      </w:r>
      <w:r w:rsidR="00B528D3" w:rsidRPr="002A3EDA">
        <w:rPr>
          <w:szCs w:val="24"/>
        </w:rPr>
        <w:t>,</w:t>
      </w:r>
      <w:r w:rsidR="00B528D3" w:rsidRPr="002A3EDA">
        <w:rPr>
          <w:i/>
          <w:szCs w:val="24"/>
        </w:rPr>
        <w:t xml:space="preserve"> </w:t>
      </w:r>
      <w:r w:rsidR="00B528D3" w:rsidRPr="002A3EDA">
        <w:rPr>
          <w:szCs w:val="24"/>
        </w:rPr>
        <w:t xml:space="preserve">[1999] 1 R.C.S. 455; </w:t>
      </w:r>
      <w:r w:rsidR="00664483" w:rsidRPr="002A3EDA">
        <w:rPr>
          <w:i/>
          <w:szCs w:val="24"/>
        </w:rPr>
        <w:t>R. c. Morales</w:t>
      </w:r>
      <w:r w:rsidR="00664483" w:rsidRPr="002A3EDA">
        <w:rPr>
          <w:szCs w:val="24"/>
        </w:rPr>
        <w:t>, [1992] 3 R.C.S. 711.</w:t>
      </w:r>
    </w:p>
    <w:p w:rsidR="004D7D95" w:rsidRPr="008F1EFE" w:rsidRDefault="004D7D95" w:rsidP="00DB6365">
      <w:pPr>
        <w:pStyle w:val="SCCNormalDoubleSpacing"/>
        <w:spacing w:after="720" w:line="240" w:lineRule="auto"/>
        <w:rPr>
          <w:b/>
          <w:lang w:val="fr-CA"/>
        </w:rPr>
      </w:pPr>
      <w:r w:rsidRPr="008F1EFE">
        <w:rPr>
          <w:b/>
          <w:lang w:val="fr-CA"/>
        </w:rPr>
        <w:t>Lois et règlements cités</w:t>
      </w:r>
    </w:p>
    <w:p w:rsidR="005E434E" w:rsidRPr="008F1EFE" w:rsidRDefault="005E434E" w:rsidP="00FD7C6B">
      <w:pPr>
        <w:pStyle w:val="SCCNormalDoubleSpacing"/>
        <w:spacing w:after="240" w:line="240" w:lineRule="auto"/>
        <w:ind w:left="547" w:hanging="547"/>
        <w:rPr>
          <w:lang w:val="fr-CA"/>
        </w:rPr>
      </w:pPr>
      <w:r w:rsidRPr="008F1EFE">
        <w:rPr>
          <w:i/>
          <w:lang w:val="fr-CA"/>
        </w:rPr>
        <w:t>Code criminel</w:t>
      </w:r>
      <w:r w:rsidR="00FD7C6B">
        <w:rPr>
          <w:lang w:val="fr-CA"/>
        </w:rPr>
        <w:t>, L.R.C. 1985, c. C</w:t>
      </w:r>
      <w:r w:rsidR="00FD7C6B">
        <w:rPr>
          <w:lang w:val="fr-CA"/>
        </w:rPr>
        <w:noBreakHyphen/>
        <w:t>46, art. </w:t>
      </w:r>
      <w:r w:rsidRPr="008F1EFE">
        <w:rPr>
          <w:lang w:val="fr-CA"/>
        </w:rPr>
        <w:t>83.29(4), 83.3, partie XVI, 493, formule 9, 499, 503, 504, 507, 507.1, 515, partie XVIII, 715.37(4), partie XXVII, 788, 795, 810, 810.01, 810.</w:t>
      </w:r>
      <w:r w:rsidR="00FD7C6B">
        <w:rPr>
          <w:lang w:val="fr-CA"/>
        </w:rPr>
        <w:t>011, 810.02, 810.1, 810.2, 811.</w:t>
      </w:r>
    </w:p>
    <w:p w:rsidR="0086514F" w:rsidRPr="008F1EFE" w:rsidRDefault="0086514F" w:rsidP="00FD7C6B">
      <w:pPr>
        <w:pStyle w:val="SCCNormalDoubleSpacing"/>
        <w:spacing w:after="240" w:line="240" w:lineRule="auto"/>
        <w:ind w:left="547" w:hanging="547"/>
        <w:rPr>
          <w:lang w:val="fr-CA"/>
        </w:rPr>
      </w:pPr>
      <w:r w:rsidRPr="008F1EFE">
        <w:rPr>
          <w:i/>
          <w:iCs/>
          <w:lang w:val="fr-CA"/>
        </w:rPr>
        <w:t>Code</w:t>
      </w:r>
      <w:r w:rsidR="005D4EBE" w:rsidRPr="008F1EFE">
        <w:rPr>
          <w:i/>
          <w:iCs/>
          <w:lang w:val="fr-CA"/>
        </w:rPr>
        <w:t xml:space="preserve"> criminel</w:t>
      </w:r>
      <w:r w:rsidR="005D4EBE" w:rsidRPr="008F1EFE">
        <w:rPr>
          <w:lang w:val="fr-CA"/>
        </w:rPr>
        <w:t xml:space="preserve">, </w:t>
      </w:r>
      <w:r w:rsidR="00573979" w:rsidRPr="008F1EFE">
        <w:rPr>
          <w:lang w:val="fr-CA"/>
        </w:rPr>
        <w:t>S</w:t>
      </w:r>
      <w:r w:rsidRPr="008F1EFE">
        <w:rPr>
          <w:lang w:val="fr-CA"/>
        </w:rPr>
        <w:t>.C. 1953</w:t>
      </w:r>
      <w:r w:rsidR="00DB6365" w:rsidRPr="008F1EFE">
        <w:rPr>
          <w:lang w:val="fr-CA"/>
        </w:rPr>
        <w:noBreakHyphen/>
      </w:r>
      <w:r w:rsidRPr="008F1EFE">
        <w:rPr>
          <w:lang w:val="fr-CA"/>
        </w:rPr>
        <w:t>54, c. 51,</w:t>
      </w:r>
      <w:r w:rsidR="005D4EBE" w:rsidRPr="008F1EFE">
        <w:rPr>
          <w:lang w:val="fr-CA"/>
        </w:rPr>
        <w:t xml:space="preserve"> </w:t>
      </w:r>
      <w:r w:rsidR="00DB6365" w:rsidRPr="008F1EFE">
        <w:rPr>
          <w:lang w:val="fr-CA"/>
        </w:rPr>
        <w:t>art. </w:t>
      </w:r>
      <w:r w:rsidR="008673E3" w:rsidRPr="008F1EFE">
        <w:rPr>
          <w:lang w:val="fr-CA"/>
        </w:rPr>
        <w:t>717</w:t>
      </w:r>
      <w:r w:rsidRPr="008F1EFE">
        <w:rPr>
          <w:lang w:val="fr-CA"/>
        </w:rPr>
        <w:t>.</w:t>
      </w:r>
    </w:p>
    <w:p w:rsidR="005D4EBE" w:rsidRPr="008F1EFE" w:rsidRDefault="005E434E" w:rsidP="00FD7C6B">
      <w:pPr>
        <w:pStyle w:val="SCCNormalDoubleSpacing"/>
        <w:spacing w:after="240" w:line="240" w:lineRule="auto"/>
        <w:ind w:left="547" w:hanging="547"/>
        <w:rPr>
          <w:lang w:val="fr-CA"/>
        </w:rPr>
      </w:pPr>
      <w:r w:rsidRPr="008F1EFE">
        <w:rPr>
          <w:i/>
          <w:lang w:val="fr-CA"/>
        </w:rPr>
        <w:t>Code criminel</w:t>
      </w:r>
      <w:r w:rsidR="005D4EBE" w:rsidRPr="008F1EFE">
        <w:rPr>
          <w:lang w:val="fr-CA"/>
        </w:rPr>
        <w:t xml:space="preserve">, </w:t>
      </w:r>
      <w:r w:rsidR="005D4EBE" w:rsidRPr="008F1EFE">
        <w:rPr>
          <w:i/>
          <w:lang w:val="fr-CA"/>
        </w:rPr>
        <w:t>1892</w:t>
      </w:r>
      <w:r w:rsidR="005D4EBE" w:rsidRPr="008F1EFE">
        <w:rPr>
          <w:lang w:val="fr-CA"/>
        </w:rPr>
        <w:t>,</w:t>
      </w:r>
      <w:r w:rsidR="00F306F1" w:rsidRPr="008F1EFE">
        <w:rPr>
          <w:lang w:val="fr-CA"/>
        </w:rPr>
        <w:t xml:space="preserve"> S.C. 1892</w:t>
      </w:r>
      <w:r w:rsidR="005D4EBE" w:rsidRPr="008F1EFE">
        <w:rPr>
          <w:lang w:val="fr-CA"/>
        </w:rPr>
        <w:t>, c.</w:t>
      </w:r>
      <w:r w:rsidR="00DB6365" w:rsidRPr="008F1EFE">
        <w:rPr>
          <w:lang w:val="fr-CA"/>
        </w:rPr>
        <w:t> </w:t>
      </w:r>
      <w:r w:rsidR="005D4EBE" w:rsidRPr="008F1EFE">
        <w:rPr>
          <w:lang w:val="fr-CA"/>
        </w:rPr>
        <w:t xml:space="preserve">29, </w:t>
      </w:r>
      <w:r w:rsidR="00DB6365" w:rsidRPr="008F1EFE">
        <w:rPr>
          <w:lang w:val="fr-CA"/>
        </w:rPr>
        <w:t>art. </w:t>
      </w:r>
      <w:r w:rsidR="005D4EBE" w:rsidRPr="008F1EFE">
        <w:rPr>
          <w:lang w:val="fr-CA"/>
        </w:rPr>
        <w:t>959(2).</w:t>
      </w:r>
    </w:p>
    <w:p w:rsidR="00566C3B" w:rsidRPr="00E30676" w:rsidRDefault="0086514F" w:rsidP="00FD7C6B">
      <w:pPr>
        <w:pStyle w:val="SCCNormalDoubleSpacing"/>
        <w:spacing w:after="240" w:line="240" w:lineRule="auto"/>
        <w:ind w:left="547" w:hanging="547"/>
        <w:rPr>
          <w:i/>
        </w:rPr>
      </w:pPr>
      <w:r w:rsidRPr="00E30676">
        <w:rPr>
          <w:i/>
        </w:rPr>
        <w:t xml:space="preserve">Justices of the Peace Act </w:t>
      </w:r>
      <w:r w:rsidRPr="00D2555F">
        <w:rPr>
          <w:i/>
        </w:rPr>
        <w:t>1361</w:t>
      </w:r>
      <w:r w:rsidRPr="00E30676">
        <w:rPr>
          <w:i/>
        </w:rPr>
        <w:t xml:space="preserve"> </w:t>
      </w:r>
      <w:r w:rsidR="00E508E4">
        <w:t>(Angl</w:t>
      </w:r>
      <w:r w:rsidRPr="009E56AD">
        <w:t>.)</w:t>
      </w:r>
      <w:r w:rsidRPr="00E30676">
        <w:t>,</w:t>
      </w:r>
      <w:r w:rsidR="00D2555F">
        <w:t xml:space="preserve"> 1361,</w:t>
      </w:r>
      <w:r w:rsidRPr="00E30676">
        <w:t xml:space="preserve"> 34 Edw. 3, c. 1.</w:t>
      </w:r>
    </w:p>
    <w:p w:rsidR="00566C3B" w:rsidRPr="008F1EFE" w:rsidRDefault="00566C3B" w:rsidP="00FD7C6B">
      <w:pPr>
        <w:pStyle w:val="SCCNormalDoubleSpacing"/>
        <w:spacing w:after="720" w:line="240" w:lineRule="auto"/>
        <w:ind w:left="547" w:hanging="547"/>
        <w:rPr>
          <w:rFonts w:ascii="TmsRmn 12pt" w:hAnsi="TmsRmn 12pt"/>
          <w:spacing w:val="-3"/>
          <w:lang w:val="fr-CA"/>
        </w:rPr>
      </w:pPr>
      <w:r w:rsidRPr="008F1EFE">
        <w:rPr>
          <w:lang w:val="fr-CA"/>
        </w:rPr>
        <w:t>Projet de loi C</w:t>
      </w:r>
      <w:r w:rsidRPr="008F1EFE">
        <w:rPr>
          <w:lang w:val="fr-CA"/>
        </w:rPr>
        <w:noBreakHyphen/>
        <w:t>55,</w:t>
      </w:r>
      <w:r w:rsidRPr="008F1EFE">
        <w:rPr>
          <w:i/>
          <w:lang w:val="fr-CA"/>
        </w:rPr>
        <w:t xml:space="preserve"> Loi modifiant le Code criminel (délinquants présentant un risque élevé de récidive), la Loi sur le système correctionnel et la mise en liberté sous condition, la Loi sur le casier judiciaire, la Loi sur les prisons et les maisons de correction et la Loi sur le ministère du Solliciteur général</w:t>
      </w:r>
      <w:r w:rsidRPr="008F1EFE">
        <w:rPr>
          <w:lang w:val="fr-CA"/>
        </w:rPr>
        <w:t>, 2</w:t>
      </w:r>
      <w:r w:rsidRPr="00D2555F">
        <w:rPr>
          <w:vertAlign w:val="superscript"/>
          <w:lang w:val="fr-CA"/>
        </w:rPr>
        <w:t>e</w:t>
      </w:r>
      <w:r w:rsidRPr="008F1EFE">
        <w:rPr>
          <w:lang w:val="fr-CA"/>
        </w:rPr>
        <w:t xml:space="preserve"> sess., 35</w:t>
      </w:r>
      <w:r w:rsidRPr="00D2555F">
        <w:rPr>
          <w:vertAlign w:val="superscript"/>
          <w:lang w:val="fr-CA"/>
        </w:rPr>
        <w:t>e</w:t>
      </w:r>
      <w:r w:rsidRPr="008F1EFE">
        <w:rPr>
          <w:lang w:val="fr-CA"/>
        </w:rPr>
        <w:t xml:space="preserve"> lég., 1996</w:t>
      </w:r>
      <w:r w:rsidRPr="008F1EFE">
        <w:rPr>
          <w:szCs w:val="24"/>
          <w:lang w:val="fr-CA"/>
        </w:rPr>
        <w:noBreakHyphen/>
        <w:t>1997.</w:t>
      </w:r>
    </w:p>
    <w:p w:rsidR="004D7D95" w:rsidRPr="008F1EFE" w:rsidRDefault="004D7D95" w:rsidP="00DB6365">
      <w:pPr>
        <w:pStyle w:val="SCCNormalDoubleSpacing"/>
        <w:spacing w:after="720" w:line="240" w:lineRule="auto"/>
        <w:rPr>
          <w:b/>
          <w:lang w:val="fr-CA"/>
        </w:rPr>
      </w:pPr>
      <w:r w:rsidRPr="008F1EFE">
        <w:rPr>
          <w:b/>
          <w:lang w:val="fr-CA"/>
        </w:rPr>
        <w:t>Doctrine et autres documents cités</w:t>
      </w:r>
    </w:p>
    <w:p w:rsidR="007C579F" w:rsidRPr="008F1EFE" w:rsidRDefault="007C579F" w:rsidP="00FD7C6B">
      <w:pPr>
        <w:pStyle w:val="SCCNormalDoubleSpacing"/>
        <w:spacing w:after="240" w:line="240" w:lineRule="auto"/>
        <w:ind w:left="547" w:hanging="547"/>
        <w:rPr>
          <w:sz w:val="28"/>
          <w:lang w:val="fr-CA"/>
        </w:rPr>
      </w:pPr>
      <w:r w:rsidRPr="008F1EFE">
        <w:rPr>
          <w:szCs w:val="22"/>
          <w:lang w:val="fr-CA"/>
        </w:rPr>
        <w:t xml:space="preserve">Canada. </w:t>
      </w:r>
      <w:r w:rsidR="00770D4D" w:rsidRPr="008F1EFE">
        <w:rPr>
          <w:szCs w:val="22"/>
          <w:lang w:val="fr-CA"/>
        </w:rPr>
        <w:t>Chambre des communes</w:t>
      </w:r>
      <w:r w:rsidRPr="008F1EFE">
        <w:rPr>
          <w:szCs w:val="22"/>
          <w:lang w:val="fr-CA"/>
        </w:rPr>
        <w:t xml:space="preserve">. </w:t>
      </w:r>
      <w:r w:rsidR="00770D4D" w:rsidRPr="008F1EFE">
        <w:rPr>
          <w:szCs w:val="22"/>
          <w:lang w:val="fr-CA"/>
        </w:rPr>
        <w:t>Comité</w:t>
      </w:r>
      <w:r w:rsidR="00D2555F">
        <w:rPr>
          <w:szCs w:val="22"/>
          <w:lang w:val="fr-CA"/>
        </w:rPr>
        <w:t xml:space="preserve"> permanent de la justice et </w:t>
      </w:r>
      <w:r w:rsidR="00770D4D" w:rsidRPr="008F1EFE">
        <w:rPr>
          <w:szCs w:val="22"/>
          <w:lang w:val="fr-CA"/>
        </w:rPr>
        <w:t>questions juridiques</w:t>
      </w:r>
      <w:r w:rsidRPr="008F1EFE">
        <w:rPr>
          <w:szCs w:val="22"/>
          <w:lang w:val="fr-CA"/>
        </w:rPr>
        <w:t xml:space="preserve">, </w:t>
      </w:r>
      <w:r w:rsidR="00770D4D" w:rsidRPr="008F1EFE">
        <w:rPr>
          <w:i/>
          <w:iCs/>
          <w:szCs w:val="22"/>
          <w:lang w:val="fr-CA"/>
        </w:rPr>
        <w:t>Témoignages</w:t>
      </w:r>
      <w:r w:rsidRPr="008F1EFE">
        <w:rPr>
          <w:szCs w:val="22"/>
          <w:lang w:val="fr-CA"/>
        </w:rPr>
        <w:t xml:space="preserve">, </w:t>
      </w:r>
      <w:r w:rsidR="00770D4D" w:rsidRPr="008F1EFE">
        <w:rPr>
          <w:szCs w:val="22"/>
          <w:lang w:val="fr-CA"/>
        </w:rPr>
        <w:t>n</w:t>
      </w:r>
      <w:r w:rsidR="00770D4D" w:rsidRPr="008F1EFE">
        <w:rPr>
          <w:szCs w:val="22"/>
          <w:vertAlign w:val="superscript"/>
          <w:lang w:val="fr-CA"/>
        </w:rPr>
        <w:t>o</w:t>
      </w:r>
      <w:r w:rsidR="00DB6365" w:rsidRPr="008F1EFE">
        <w:rPr>
          <w:szCs w:val="22"/>
          <w:lang w:val="fr-CA"/>
        </w:rPr>
        <w:t> </w:t>
      </w:r>
      <w:r w:rsidRPr="008F1EFE">
        <w:rPr>
          <w:szCs w:val="22"/>
          <w:lang w:val="fr-CA"/>
        </w:rPr>
        <w:t xml:space="preserve">88, </w:t>
      </w:r>
      <w:r w:rsidR="00770D4D" w:rsidRPr="008F1EFE">
        <w:rPr>
          <w:szCs w:val="22"/>
          <w:lang w:val="fr-CA"/>
        </w:rPr>
        <w:t>2</w:t>
      </w:r>
      <w:r w:rsidR="00770D4D" w:rsidRPr="008F1EFE">
        <w:rPr>
          <w:szCs w:val="22"/>
          <w:vertAlign w:val="superscript"/>
          <w:lang w:val="fr-CA"/>
        </w:rPr>
        <w:t>e</w:t>
      </w:r>
      <w:r w:rsidR="00770D4D" w:rsidRPr="008F1EFE">
        <w:rPr>
          <w:szCs w:val="22"/>
          <w:lang w:val="fr-CA"/>
        </w:rPr>
        <w:t xml:space="preserve"> sess., 35</w:t>
      </w:r>
      <w:r w:rsidR="00770D4D" w:rsidRPr="008F1EFE">
        <w:rPr>
          <w:szCs w:val="22"/>
          <w:vertAlign w:val="superscript"/>
          <w:lang w:val="fr-CA"/>
        </w:rPr>
        <w:t>e</w:t>
      </w:r>
      <w:r w:rsidR="00770D4D" w:rsidRPr="008F1EFE">
        <w:rPr>
          <w:szCs w:val="22"/>
          <w:lang w:val="fr-CA"/>
        </w:rPr>
        <w:t xml:space="preserve"> lég</w:t>
      </w:r>
      <w:r w:rsidRPr="008F1EFE">
        <w:rPr>
          <w:szCs w:val="22"/>
          <w:lang w:val="fr-CA"/>
        </w:rPr>
        <w:t xml:space="preserve">., </w:t>
      </w:r>
      <w:r w:rsidR="00FD7C6B">
        <w:rPr>
          <w:szCs w:val="22"/>
          <w:lang w:val="fr-CA"/>
        </w:rPr>
        <w:t>3 </w:t>
      </w:r>
      <w:r w:rsidR="00770D4D" w:rsidRPr="008F1EFE">
        <w:rPr>
          <w:szCs w:val="22"/>
          <w:lang w:val="fr-CA"/>
        </w:rPr>
        <w:t>décembre</w:t>
      </w:r>
      <w:r w:rsidRPr="008F1EFE">
        <w:rPr>
          <w:szCs w:val="22"/>
          <w:lang w:val="fr-CA"/>
        </w:rPr>
        <w:t xml:space="preserve"> 1996, </w:t>
      </w:r>
      <w:r w:rsidR="00DB6365" w:rsidRPr="008F1EFE">
        <w:rPr>
          <w:szCs w:val="22"/>
          <w:lang w:val="fr-CA"/>
        </w:rPr>
        <w:t>p. </w:t>
      </w:r>
      <w:r w:rsidR="00FD7C6B">
        <w:rPr>
          <w:szCs w:val="22"/>
          <w:lang w:val="fr-CA"/>
        </w:rPr>
        <w:t>88:4.</w:t>
      </w:r>
    </w:p>
    <w:p w:rsidR="008607B7" w:rsidRPr="008F1EFE" w:rsidRDefault="00573979" w:rsidP="008A25B2">
      <w:pPr>
        <w:pStyle w:val="SCCNormalDoubleSpacing"/>
        <w:spacing w:after="240" w:line="240" w:lineRule="auto"/>
        <w:ind w:left="547" w:hanging="547"/>
        <w:rPr>
          <w:lang w:val="fr-CA"/>
        </w:rPr>
      </w:pPr>
      <w:r w:rsidRPr="008F1EFE">
        <w:rPr>
          <w:szCs w:val="24"/>
          <w:lang w:val="fr-CA"/>
        </w:rPr>
        <w:t xml:space="preserve">Canada. </w:t>
      </w:r>
      <w:r w:rsidR="00EE636B" w:rsidRPr="008F1EFE">
        <w:rPr>
          <w:szCs w:val="24"/>
          <w:lang w:val="fr-CA"/>
        </w:rPr>
        <w:t>Service des poursuites pénales</w:t>
      </w:r>
      <w:r w:rsidRPr="008F1EFE">
        <w:rPr>
          <w:szCs w:val="24"/>
          <w:lang w:val="fr-CA"/>
        </w:rPr>
        <w:t xml:space="preserve">. </w:t>
      </w:r>
      <w:r w:rsidR="00EE636B" w:rsidRPr="008F1EFE">
        <w:rPr>
          <w:i/>
          <w:szCs w:val="24"/>
          <w:lang w:val="fr-CA"/>
        </w:rPr>
        <w:t>Guide du Service des poursuites pénales du Canada</w:t>
      </w:r>
      <w:r w:rsidRPr="008F1EFE">
        <w:rPr>
          <w:szCs w:val="24"/>
          <w:lang w:val="fr-CA"/>
        </w:rPr>
        <w:t xml:space="preserve">, </w:t>
      </w:r>
      <w:r w:rsidR="00EE636B" w:rsidRPr="008F1EFE">
        <w:rPr>
          <w:szCs w:val="24"/>
          <w:lang w:val="fr-CA"/>
        </w:rPr>
        <w:t>p</w:t>
      </w:r>
      <w:r w:rsidRPr="008F1EFE">
        <w:rPr>
          <w:szCs w:val="24"/>
          <w:lang w:val="fr-CA"/>
        </w:rPr>
        <w:t>art</w:t>
      </w:r>
      <w:r w:rsidR="00EE636B" w:rsidRPr="008F1EFE">
        <w:rPr>
          <w:szCs w:val="24"/>
          <w:lang w:val="fr-CA"/>
        </w:rPr>
        <w:t>ie</w:t>
      </w:r>
      <w:r w:rsidR="00FD7C6B">
        <w:rPr>
          <w:szCs w:val="24"/>
          <w:lang w:val="fr-CA"/>
        </w:rPr>
        <w:t> </w:t>
      </w:r>
      <w:r w:rsidRPr="008F1EFE">
        <w:rPr>
          <w:szCs w:val="24"/>
          <w:lang w:val="fr-CA"/>
        </w:rPr>
        <w:t>III, c.</w:t>
      </w:r>
      <w:r w:rsidR="00DB6365" w:rsidRPr="008F1EFE">
        <w:rPr>
          <w:szCs w:val="24"/>
          <w:lang w:val="fr-CA"/>
        </w:rPr>
        <w:t> </w:t>
      </w:r>
      <w:r w:rsidRPr="008F1EFE">
        <w:rPr>
          <w:szCs w:val="24"/>
          <w:lang w:val="fr-CA"/>
        </w:rPr>
        <w:t xml:space="preserve">19, </w:t>
      </w:r>
      <w:r w:rsidR="00EE11A8" w:rsidRPr="00EE11A8">
        <w:rPr>
          <w:lang w:val="fr-CA"/>
        </w:rPr>
        <w:t>« </w:t>
      </w:r>
      <w:r w:rsidR="00EE636B" w:rsidRPr="008F1EFE">
        <w:rPr>
          <w:szCs w:val="24"/>
          <w:lang w:val="fr-CA"/>
        </w:rPr>
        <w:t>Conditions de libération provisoire visant les surdoses d</w:t>
      </w:r>
      <w:r w:rsidR="002638F6" w:rsidRPr="008F1EFE">
        <w:rPr>
          <w:szCs w:val="24"/>
          <w:lang w:val="fr-CA"/>
        </w:rPr>
        <w:t>’</w:t>
      </w:r>
      <w:r w:rsidR="00EE636B" w:rsidRPr="008F1EFE">
        <w:rPr>
          <w:szCs w:val="24"/>
          <w:lang w:val="fr-CA"/>
        </w:rPr>
        <w:t>opioïde</w:t>
      </w:r>
      <w:r w:rsidR="00791EDE">
        <w:rPr>
          <w:szCs w:val="24"/>
          <w:lang w:val="fr-CA"/>
        </w:rPr>
        <w:t>s</w:t>
      </w:r>
      <w:r w:rsidR="00EE11A8" w:rsidRPr="00E907CE">
        <w:rPr>
          <w:lang w:val="fr-CA"/>
        </w:rPr>
        <w:t> »</w:t>
      </w:r>
      <w:r w:rsidR="00EE11A8">
        <w:rPr>
          <w:szCs w:val="24"/>
          <w:lang w:val="fr-CA"/>
        </w:rPr>
        <w:t xml:space="preserve"> </w:t>
      </w:r>
      <w:r w:rsidR="00EE636B" w:rsidRPr="008F1EFE">
        <w:rPr>
          <w:szCs w:val="24"/>
          <w:lang w:val="fr-CA"/>
        </w:rPr>
        <w:t>(mis à jour 1</w:t>
      </w:r>
      <w:r w:rsidR="00EE636B" w:rsidRPr="008F1EFE">
        <w:rPr>
          <w:szCs w:val="24"/>
          <w:vertAlign w:val="superscript"/>
          <w:lang w:val="fr-CA"/>
        </w:rPr>
        <w:t>er</w:t>
      </w:r>
      <w:r w:rsidR="00EE636B" w:rsidRPr="008F1EFE">
        <w:rPr>
          <w:szCs w:val="24"/>
          <w:lang w:val="fr-CA"/>
        </w:rPr>
        <w:t xml:space="preserve"> avril 2019)</w:t>
      </w:r>
      <w:r w:rsidR="008607B7" w:rsidRPr="008F1EFE">
        <w:rPr>
          <w:szCs w:val="24"/>
          <w:lang w:val="fr-CA"/>
        </w:rPr>
        <w:t xml:space="preserve"> (en ligne : </w:t>
      </w:r>
      <w:r w:rsidR="008607B7" w:rsidRPr="008F1EFE">
        <w:rPr>
          <w:iCs/>
          <w:szCs w:val="27"/>
          <w:lang w:val="fr-CA"/>
        </w:rPr>
        <w:t>https://www.ppsc-sppc.gc.ca/fra/pub/sfpg-fpsd/sfp-fps/tpd/d-g-fra.pdf</w:t>
      </w:r>
      <w:r w:rsidR="008607B7" w:rsidRPr="008F1EFE">
        <w:rPr>
          <w:szCs w:val="24"/>
          <w:lang w:val="fr-CA"/>
        </w:rPr>
        <w:t>; version archivée </w:t>
      </w:r>
      <w:r w:rsidR="008607B7" w:rsidRPr="008F1EFE">
        <w:rPr>
          <w:lang w:val="fr-CA"/>
        </w:rPr>
        <w:t xml:space="preserve">: </w:t>
      </w:r>
      <w:hyperlink r:id="rId10" w:history="1">
        <w:r w:rsidR="008607B7" w:rsidRPr="00D2555F">
          <w:rPr>
            <w:rStyle w:val="Hyperlink"/>
            <w:color w:val="auto"/>
            <w:u w:val="none"/>
            <w:lang w:val="fr-CA"/>
          </w:rPr>
          <w:t>https://www.scc-csc.ca/cso-dce/2019SCC-CSC39_1_fra.pdf</w:t>
        </w:r>
      </w:hyperlink>
      <w:r w:rsidR="008607B7" w:rsidRPr="008F1EFE">
        <w:rPr>
          <w:lang w:val="fr-CA"/>
        </w:rPr>
        <w:t>).</w:t>
      </w:r>
    </w:p>
    <w:p w:rsidR="00573979" w:rsidRPr="00E30676" w:rsidRDefault="00573979" w:rsidP="00FD7C6B">
      <w:pPr>
        <w:pStyle w:val="SCCNormalDoubleSpacing"/>
        <w:spacing w:after="240" w:line="240" w:lineRule="auto"/>
        <w:ind w:left="547" w:hanging="547"/>
      </w:pPr>
      <w:r w:rsidRPr="00E30676">
        <w:lastRenderedPageBreak/>
        <w:t>Canadian Civil Liberties Association and Education Trust. </w:t>
      </w:r>
      <w:r w:rsidRPr="00E30676">
        <w:rPr>
          <w:i/>
        </w:rPr>
        <w:t>Set Up to Fail</w:t>
      </w:r>
      <w:r w:rsidR="00DB6365" w:rsidRPr="00E30676">
        <w:rPr>
          <w:i/>
        </w:rPr>
        <w:t> :</w:t>
      </w:r>
      <w:r w:rsidRPr="00E30676">
        <w:rPr>
          <w:i/>
        </w:rPr>
        <w:t xml:space="preserve"> Bail and the Revolving Door of Pre</w:t>
      </w:r>
      <w:r w:rsidR="00DB6365" w:rsidRPr="00E30676">
        <w:rPr>
          <w:i/>
        </w:rPr>
        <w:noBreakHyphen/>
      </w:r>
      <w:r w:rsidRPr="00E30676">
        <w:rPr>
          <w:i/>
        </w:rPr>
        <w:t>trial Detention</w:t>
      </w:r>
      <w:r w:rsidRPr="00E30676">
        <w:t>, by Abby Deshman and Nicole Myers, 2014 (en ligne</w:t>
      </w:r>
      <w:r w:rsidR="00DB6365" w:rsidRPr="00E30676">
        <w:t> :</w:t>
      </w:r>
      <w:r w:rsidRPr="00E30676">
        <w:t xml:space="preserve"> https://ccla.org/dev/v5/_doc/CCLA_set_up_to_fail.pdf; version archivée</w:t>
      </w:r>
      <w:r w:rsidR="00DB6365" w:rsidRPr="00E30676">
        <w:t> :</w:t>
      </w:r>
      <w:r w:rsidRPr="00E30676">
        <w:t> </w:t>
      </w:r>
      <w:hyperlink r:id="rId11" w:history="1">
        <w:r w:rsidR="00DA0C3E" w:rsidRPr="00D2555F">
          <w:rPr>
            <w:rStyle w:val="Hyperlink"/>
            <w:color w:val="auto"/>
            <w:u w:val="none"/>
          </w:rPr>
          <w:t>https://www.scc-csc.ca/cso-dce/2019SCC-CSC39_2_eng.pdf</w:t>
        </w:r>
      </w:hyperlink>
      <w:r w:rsidRPr="00D2555F">
        <w:t>)</w:t>
      </w:r>
    </w:p>
    <w:p w:rsidR="00573979" w:rsidRPr="00E30676" w:rsidRDefault="00573979" w:rsidP="00FD7C6B">
      <w:pPr>
        <w:pStyle w:val="SCCNormalDoubleSpacing"/>
        <w:spacing w:after="240" w:line="240" w:lineRule="auto"/>
        <w:ind w:left="547" w:hanging="547"/>
      </w:pPr>
      <w:r w:rsidRPr="00E30676">
        <w:t xml:space="preserve">Chewter, Cynthia L. </w:t>
      </w:r>
      <w:r w:rsidR="00DB6365" w:rsidRPr="00E30676">
        <w:t>« </w:t>
      </w:r>
      <w:r w:rsidRPr="00E30676">
        <w:t>Violence Against Women and Children</w:t>
      </w:r>
      <w:r w:rsidR="00DB6365" w:rsidRPr="00E30676">
        <w:t> :</w:t>
      </w:r>
      <w:r w:rsidR="00FD7C6B">
        <w:t xml:space="preserve"> Some Legal Issues </w:t>
      </w:r>
      <w:r w:rsidRPr="00E30676">
        <w:t xml:space="preserve">» (2003), 20 </w:t>
      </w:r>
      <w:r w:rsidRPr="00E30676">
        <w:rPr>
          <w:i/>
        </w:rPr>
        <w:t>Rev. can. d. fam.</w:t>
      </w:r>
      <w:r w:rsidR="00FD7C6B">
        <w:t xml:space="preserve"> 99.</w:t>
      </w:r>
    </w:p>
    <w:p w:rsidR="00573979" w:rsidRPr="00E30676" w:rsidRDefault="00DB6365" w:rsidP="00FD7C6B">
      <w:pPr>
        <w:pStyle w:val="SCCNormalDoubleSpacing"/>
        <w:spacing w:after="240" w:line="240" w:lineRule="auto"/>
        <w:ind w:left="547" w:hanging="547"/>
        <w:rPr>
          <w:szCs w:val="24"/>
        </w:rPr>
      </w:pPr>
      <w:r w:rsidRPr="008F1EFE">
        <w:rPr>
          <w:szCs w:val="24"/>
          <w:lang w:val="fr-CA"/>
        </w:rPr>
        <w:t>Gauthier, Sonia. « </w:t>
      </w:r>
      <w:r w:rsidR="00573979" w:rsidRPr="008F1EFE">
        <w:rPr>
          <w:szCs w:val="24"/>
          <w:lang w:val="fr-CA"/>
        </w:rPr>
        <w:t>L</w:t>
      </w:r>
      <w:r w:rsidR="002638F6" w:rsidRPr="008F1EFE">
        <w:rPr>
          <w:szCs w:val="24"/>
          <w:lang w:val="fr-CA"/>
        </w:rPr>
        <w:t>’</w:t>
      </w:r>
      <w:r w:rsidR="00573979" w:rsidRPr="008F1EFE">
        <w:rPr>
          <w:szCs w:val="24"/>
          <w:lang w:val="fr-CA"/>
        </w:rPr>
        <w:t>engagement de ne pas troubler l</w:t>
      </w:r>
      <w:r w:rsidR="002638F6" w:rsidRPr="008F1EFE">
        <w:rPr>
          <w:szCs w:val="24"/>
          <w:lang w:val="fr-CA"/>
        </w:rPr>
        <w:t>’</w:t>
      </w:r>
      <w:r w:rsidR="00573979" w:rsidRPr="008F1EFE">
        <w:rPr>
          <w:szCs w:val="24"/>
          <w:lang w:val="fr-CA"/>
        </w:rPr>
        <w:t>ordre public dans les causes de violence conjugale ayant fait l</w:t>
      </w:r>
      <w:r w:rsidR="002638F6" w:rsidRPr="008F1EFE">
        <w:rPr>
          <w:szCs w:val="24"/>
          <w:lang w:val="fr-CA"/>
        </w:rPr>
        <w:t>’</w:t>
      </w:r>
      <w:r w:rsidR="00573979" w:rsidRPr="008F1EFE">
        <w:rPr>
          <w:szCs w:val="24"/>
          <w:lang w:val="fr-CA"/>
        </w:rPr>
        <w:t>objet d</w:t>
      </w:r>
      <w:r w:rsidR="002638F6" w:rsidRPr="008F1EFE">
        <w:rPr>
          <w:szCs w:val="24"/>
          <w:lang w:val="fr-CA"/>
        </w:rPr>
        <w:t>’</w:t>
      </w:r>
      <w:r w:rsidR="00573979" w:rsidRPr="008F1EFE">
        <w:rPr>
          <w:szCs w:val="24"/>
          <w:lang w:val="fr-CA"/>
        </w:rPr>
        <w:t>un abandon des poursuites judiciaires criminelles (</w:t>
      </w:r>
      <w:r w:rsidRPr="008F1EFE">
        <w:rPr>
          <w:szCs w:val="24"/>
          <w:lang w:val="fr-CA"/>
        </w:rPr>
        <w:t>art. 810 C.CR.) </w:t>
      </w:r>
      <w:r w:rsidR="00573979" w:rsidRPr="00E30676">
        <w:rPr>
          <w:szCs w:val="24"/>
        </w:rPr>
        <w:t xml:space="preserve">» (2011), 23 </w:t>
      </w:r>
      <w:r w:rsidR="00573979" w:rsidRPr="00E30676">
        <w:rPr>
          <w:i/>
          <w:szCs w:val="24"/>
        </w:rPr>
        <w:t>R.F.D.</w:t>
      </w:r>
      <w:r w:rsidR="00573979" w:rsidRPr="00E30676">
        <w:rPr>
          <w:szCs w:val="24"/>
        </w:rPr>
        <w:t xml:space="preserve"> 548.</w:t>
      </w:r>
    </w:p>
    <w:p w:rsidR="00573979" w:rsidRPr="00E30676" w:rsidRDefault="00DB6365" w:rsidP="00DB6365">
      <w:pPr>
        <w:pStyle w:val="SCCNormalDoubleSpacing"/>
        <w:spacing w:after="240" w:line="240" w:lineRule="auto"/>
        <w:ind w:left="540" w:hanging="540"/>
        <w:rPr>
          <w:szCs w:val="24"/>
        </w:rPr>
      </w:pPr>
      <w:r w:rsidRPr="00E30676">
        <w:rPr>
          <w:szCs w:val="24"/>
        </w:rPr>
        <w:t>Neumann, Peter </w:t>
      </w:r>
      <w:r w:rsidR="00FD7C6B">
        <w:rPr>
          <w:szCs w:val="24"/>
        </w:rPr>
        <w:t>M. « </w:t>
      </w:r>
      <w:r w:rsidR="00573979" w:rsidRPr="00E30676">
        <w:rPr>
          <w:szCs w:val="24"/>
        </w:rPr>
        <w:t>Pe</w:t>
      </w:r>
      <w:r w:rsidR="005764F1" w:rsidRPr="00E30676">
        <w:rPr>
          <w:szCs w:val="24"/>
        </w:rPr>
        <w:t>ace Bonds</w:t>
      </w:r>
      <w:r w:rsidR="00465A6D" w:rsidRPr="00E30676">
        <w:rPr>
          <w:szCs w:val="24"/>
        </w:rPr>
        <w:t xml:space="preserve"> </w:t>
      </w:r>
      <w:r w:rsidR="005764F1" w:rsidRPr="00E30676">
        <w:rPr>
          <w:szCs w:val="24"/>
        </w:rPr>
        <w:t>: Preventive Justice? O</w:t>
      </w:r>
      <w:r w:rsidR="00FD7C6B">
        <w:rPr>
          <w:szCs w:val="24"/>
        </w:rPr>
        <w:t>r Preventing Justice? </w:t>
      </w:r>
      <w:r w:rsidR="00573979" w:rsidRPr="00E30676">
        <w:rPr>
          <w:szCs w:val="24"/>
        </w:rPr>
        <w:t xml:space="preserve">» (1994), 3 </w:t>
      </w:r>
      <w:r w:rsidR="00573979" w:rsidRPr="00E30676">
        <w:rPr>
          <w:i/>
          <w:szCs w:val="24"/>
        </w:rPr>
        <w:t>D</w:t>
      </w:r>
      <w:r w:rsidRPr="00E30676">
        <w:rPr>
          <w:i/>
          <w:szCs w:val="24"/>
        </w:rPr>
        <w:t>al. </w:t>
      </w:r>
      <w:r w:rsidR="00573979" w:rsidRPr="00E30676">
        <w:rPr>
          <w:i/>
          <w:szCs w:val="24"/>
        </w:rPr>
        <w:t>J. Leg. Stud.</w:t>
      </w:r>
      <w:r w:rsidR="00573979" w:rsidRPr="00E30676">
        <w:rPr>
          <w:szCs w:val="24"/>
        </w:rPr>
        <w:t xml:space="preserve"> 171.</w:t>
      </w:r>
    </w:p>
    <w:p w:rsidR="00573979" w:rsidRPr="00E30676" w:rsidRDefault="00573979" w:rsidP="00DB6365">
      <w:pPr>
        <w:pStyle w:val="SCCNormalDoubleSpacing"/>
        <w:spacing w:after="240" w:line="240" w:lineRule="auto"/>
        <w:ind w:left="540" w:hanging="540"/>
        <w:rPr>
          <w:szCs w:val="24"/>
        </w:rPr>
      </w:pPr>
      <w:r w:rsidRPr="00E30676">
        <w:rPr>
          <w:szCs w:val="24"/>
        </w:rPr>
        <w:t xml:space="preserve">Orr, David. </w:t>
      </w:r>
      <w:r w:rsidR="00DB6365" w:rsidRPr="00E30676">
        <w:t>« </w:t>
      </w:r>
      <w:r w:rsidRPr="00E30676">
        <w:rPr>
          <w:szCs w:val="24"/>
        </w:rPr>
        <w:t>Section 810 Peace Bond Applications in Newfoundland</w:t>
      </w:r>
      <w:r w:rsidR="00FD7C6B">
        <w:t> </w:t>
      </w:r>
      <w:r w:rsidRPr="00E30676">
        <w:t xml:space="preserve">» </w:t>
      </w:r>
      <w:r w:rsidRPr="00E30676">
        <w:rPr>
          <w:szCs w:val="24"/>
        </w:rPr>
        <w:t>(2002),</w:t>
      </w:r>
      <w:r w:rsidRPr="00E30676">
        <w:rPr>
          <w:i/>
          <w:szCs w:val="24"/>
        </w:rPr>
        <w:t xml:space="preserve"> </w:t>
      </w:r>
      <w:r w:rsidRPr="00E30676">
        <w:rPr>
          <w:szCs w:val="24"/>
        </w:rPr>
        <w:t xml:space="preserve">46 </w:t>
      </w:r>
      <w:r w:rsidRPr="00E30676">
        <w:rPr>
          <w:i/>
          <w:szCs w:val="24"/>
        </w:rPr>
        <w:t>Crim. L.Q.</w:t>
      </w:r>
      <w:r w:rsidRPr="00E30676">
        <w:rPr>
          <w:szCs w:val="24"/>
        </w:rPr>
        <w:t xml:space="preserve"> 391.</w:t>
      </w:r>
    </w:p>
    <w:p w:rsidR="00573979" w:rsidRPr="00E30676" w:rsidRDefault="00573979" w:rsidP="00DB6365">
      <w:pPr>
        <w:pStyle w:val="SCCNormalDoubleSpacing"/>
        <w:spacing w:after="240" w:line="240" w:lineRule="auto"/>
        <w:ind w:left="540" w:hanging="540"/>
        <w:rPr>
          <w:szCs w:val="24"/>
        </w:rPr>
      </w:pPr>
      <w:r w:rsidRPr="00E30676">
        <w:rPr>
          <w:szCs w:val="24"/>
        </w:rPr>
        <w:t xml:space="preserve">Sullivan, Ruth. </w:t>
      </w:r>
      <w:r w:rsidRPr="00E30676">
        <w:rPr>
          <w:i/>
          <w:szCs w:val="24"/>
        </w:rPr>
        <w:t>Sullivan on the Construction of Statutes</w:t>
      </w:r>
      <w:r w:rsidRPr="00E30676">
        <w:rPr>
          <w:szCs w:val="24"/>
        </w:rPr>
        <w:t>,</w:t>
      </w:r>
      <w:r w:rsidRPr="00E30676">
        <w:rPr>
          <w:i/>
          <w:szCs w:val="24"/>
        </w:rPr>
        <w:t xml:space="preserve"> </w:t>
      </w:r>
      <w:r w:rsidRPr="00E30676">
        <w:t>6th ed., Markham (Ont.), LexisNexis, 2014.</w:t>
      </w:r>
    </w:p>
    <w:p w:rsidR="00573979" w:rsidRPr="00E30676" w:rsidRDefault="00573979" w:rsidP="00FD7C6B">
      <w:pPr>
        <w:pStyle w:val="SCCNormalDoubleSpacing"/>
        <w:spacing w:after="720" w:line="240" w:lineRule="auto"/>
        <w:ind w:left="547" w:hanging="547"/>
        <w:rPr>
          <w:szCs w:val="24"/>
        </w:rPr>
      </w:pPr>
      <w:r w:rsidRPr="00E30676">
        <w:t>Tutty,</w:t>
      </w:r>
      <w:r w:rsidR="00DB6365" w:rsidRPr="00E30676">
        <w:t xml:space="preserve"> Leslie </w:t>
      </w:r>
      <w:r w:rsidR="00D2555F">
        <w:t>M. and Jennifer Koshan.</w:t>
      </w:r>
      <w:r w:rsidR="00FD7C6B">
        <w:t xml:space="preserve"> « </w:t>
      </w:r>
      <w:r w:rsidRPr="00E30676">
        <w:t>Calgary</w:t>
      </w:r>
      <w:r w:rsidR="002638F6" w:rsidRPr="00E30676">
        <w:t>’</w:t>
      </w:r>
      <w:r w:rsidRPr="00E30676">
        <w:t>s Specialized Domestic Violence Court</w:t>
      </w:r>
      <w:r w:rsidR="00DB6365" w:rsidRPr="00E30676">
        <w:t> :</w:t>
      </w:r>
      <w:r w:rsidRPr="00E30676">
        <w:t xml:space="preserve"> </w:t>
      </w:r>
      <w:r w:rsidR="00FD7C6B">
        <w:t>An Evaluation of a Unique Model </w:t>
      </w:r>
      <w:r w:rsidRPr="00E30676">
        <w:t>» (2013)</w:t>
      </w:r>
      <w:r w:rsidR="00D2555F" w:rsidRPr="00E30676">
        <w:t>,</w:t>
      </w:r>
      <w:r w:rsidRPr="00E30676">
        <w:t xml:space="preserve"> 50 </w:t>
      </w:r>
      <w:r w:rsidRPr="00E30676">
        <w:rPr>
          <w:i/>
        </w:rPr>
        <w:t xml:space="preserve">Alta. L. Rev. </w:t>
      </w:r>
      <w:r w:rsidRPr="00E30676">
        <w:t>731.</w:t>
      </w:r>
    </w:p>
    <w:p w:rsidR="004D7D95" w:rsidRPr="008F1EFE" w:rsidRDefault="004D7D95" w:rsidP="00DB6365">
      <w:pPr>
        <w:pStyle w:val="SCCNormalDoubleSpacing"/>
        <w:spacing w:after="480"/>
        <w:rPr>
          <w:lang w:val="fr-CA"/>
        </w:rPr>
      </w:pPr>
      <w:r w:rsidRPr="00E30676">
        <w:tab/>
      </w:r>
      <w:r w:rsidRPr="008F1EFE">
        <w:rPr>
          <w:lang w:val="fr-CA"/>
        </w:rPr>
        <w:t xml:space="preserve">POURVOI contre un arrêt de la </w:t>
      </w:r>
      <w:r w:rsidR="00CD2914" w:rsidRPr="008F1EFE">
        <w:rPr>
          <w:lang w:val="fr-CA"/>
        </w:rPr>
        <w:t>Cour d</w:t>
      </w:r>
      <w:r w:rsidR="002638F6" w:rsidRPr="008F1EFE">
        <w:rPr>
          <w:lang w:val="fr-CA"/>
        </w:rPr>
        <w:t>’</w:t>
      </w:r>
      <w:r w:rsidR="003A1AA7" w:rsidRPr="008F1EFE">
        <w:rPr>
          <w:lang w:val="fr-CA"/>
        </w:rPr>
        <w:t xml:space="preserve">appel </w:t>
      </w:r>
      <w:r w:rsidR="00CD2914" w:rsidRPr="008F1EFE">
        <w:rPr>
          <w:lang w:val="fr-CA"/>
        </w:rPr>
        <w:t>d</w:t>
      </w:r>
      <w:r w:rsidR="00B40BE7">
        <w:rPr>
          <w:lang w:val="fr-CA"/>
        </w:rPr>
        <w:t>e Terre</w:t>
      </w:r>
      <w:r w:rsidR="00B40BE7">
        <w:rPr>
          <w:lang w:val="fr-CA"/>
        </w:rPr>
        <w:noBreakHyphen/>
        <w:t>Neuve</w:t>
      </w:r>
      <w:r w:rsidR="00B40BE7">
        <w:rPr>
          <w:lang w:val="fr-CA"/>
        </w:rPr>
        <w:noBreakHyphen/>
      </w:r>
      <w:r w:rsidR="00B62D18" w:rsidRPr="008F1EFE">
        <w:rPr>
          <w:lang w:val="fr-CA"/>
        </w:rPr>
        <w:t>e</w:t>
      </w:r>
      <w:r w:rsidR="00B40BE7">
        <w:rPr>
          <w:lang w:val="fr-CA"/>
        </w:rPr>
        <w:t>t</w:t>
      </w:r>
      <w:r w:rsidR="00B40BE7">
        <w:rPr>
          <w:lang w:val="fr-CA"/>
        </w:rPr>
        <w:noBreakHyphen/>
      </w:r>
      <w:r w:rsidR="003A1AA7" w:rsidRPr="008F1EFE">
        <w:rPr>
          <w:lang w:val="fr-CA"/>
        </w:rPr>
        <w:t xml:space="preserve">Labrador </w:t>
      </w:r>
      <w:r w:rsidR="00747E01" w:rsidRPr="008F1EFE">
        <w:rPr>
          <w:lang w:val="fr-CA"/>
        </w:rPr>
        <w:t>(les juges Green, White et Hoegg)</w:t>
      </w:r>
      <w:r w:rsidR="00E508E4">
        <w:rPr>
          <w:lang w:val="fr-CA"/>
        </w:rPr>
        <w:t>,</w:t>
      </w:r>
      <w:r w:rsidR="00747E01" w:rsidRPr="008F1EFE">
        <w:rPr>
          <w:lang w:val="fr-CA"/>
        </w:rPr>
        <w:t xml:space="preserve"> 2018 NCLA</w:t>
      </w:r>
      <w:r w:rsidR="006773A1" w:rsidRPr="008F1EFE">
        <w:rPr>
          <w:lang w:val="fr-CA"/>
        </w:rPr>
        <w:t xml:space="preserve"> 4,</w:t>
      </w:r>
      <w:r w:rsidR="004A0556" w:rsidRPr="008F1EFE">
        <w:rPr>
          <w:lang w:val="fr-CA"/>
        </w:rPr>
        <w:t xml:space="preserve"> 357 C.C.C. (3d) 539</w:t>
      </w:r>
      <w:r w:rsidR="00B62D18" w:rsidRPr="008F1EFE">
        <w:rPr>
          <w:lang w:val="fr-CA"/>
        </w:rPr>
        <w:t>,</w:t>
      </w:r>
      <w:r w:rsidR="000F2C52" w:rsidRPr="008F1EFE">
        <w:rPr>
          <w:lang w:val="fr-CA"/>
        </w:rPr>
        <w:t xml:space="preserve"> [2018</w:t>
      </w:r>
      <w:r w:rsidR="00747E01" w:rsidRPr="008F1EFE">
        <w:rPr>
          <w:lang w:val="fr-CA"/>
        </w:rPr>
        <w:t xml:space="preserve">] </w:t>
      </w:r>
      <w:r w:rsidR="000F2C52" w:rsidRPr="008F1EFE">
        <w:rPr>
          <w:lang w:val="fr-CA"/>
        </w:rPr>
        <w:t>N.J.</w:t>
      </w:r>
      <w:r w:rsidR="00747E01" w:rsidRPr="008F1EFE">
        <w:rPr>
          <w:lang w:val="fr-CA"/>
        </w:rPr>
        <w:t xml:space="preserve"> </w:t>
      </w:r>
      <w:r w:rsidR="00B62D18" w:rsidRPr="008F1EFE">
        <w:rPr>
          <w:lang w:val="fr-CA"/>
        </w:rPr>
        <w:t>N</w:t>
      </w:r>
      <w:r w:rsidR="00747E01" w:rsidRPr="008F1EFE">
        <w:rPr>
          <w:lang w:val="fr-CA"/>
        </w:rPr>
        <w:t>o</w:t>
      </w:r>
      <w:r w:rsidR="00100C55">
        <w:rPr>
          <w:lang w:val="fr-CA"/>
        </w:rPr>
        <w:t>.</w:t>
      </w:r>
      <w:r w:rsidR="000F2C52" w:rsidRPr="008F1EFE">
        <w:rPr>
          <w:lang w:val="fr-CA"/>
        </w:rPr>
        <w:t xml:space="preserve"> 13 (QL), 2018 CarswellNfld</w:t>
      </w:r>
      <w:r w:rsidR="00747E01" w:rsidRPr="008F1EFE">
        <w:rPr>
          <w:lang w:val="fr-CA"/>
        </w:rPr>
        <w:t xml:space="preserve"> </w:t>
      </w:r>
      <w:r w:rsidR="000F2C52" w:rsidRPr="008F1EFE">
        <w:rPr>
          <w:lang w:val="fr-CA"/>
        </w:rPr>
        <w:t>12</w:t>
      </w:r>
      <w:r w:rsidR="00747E01" w:rsidRPr="008F1EFE">
        <w:rPr>
          <w:lang w:val="fr-CA"/>
        </w:rPr>
        <w:t xml:space="preserve"> (WL Can.),</w:t>
      </w:r>
      <w:r w:rsidR="00DB3546" w:rsidRPr="008F1EFE">
        <w:rPr>
          <w:lang w:val="fr-CA"/>
        </w:rPr>
        <w:t xml:space="preserve"> </w:t>
      </w:r>
      <w:r w:rsidR="00747E01" w:rsidRPr="008F1EFE">
        <w:rPr>
          <w:lang w:val="fr-CA"/>
        </w:rPr>
        <w:t>qui a infi</w:t>
      </w:r>
      <w:r w:rsidR="000F2C52" w:rsidRPr="008F1EFE">
        <w:rPr>
          <w:lang w:val="fr-CA"/>
        </w:rPr>
        <w:t>rmé une décision du juge Goodridge, 2015 NLTD(G)</w:t>
      </w:r>
      <w:r w:rsidR="00747E01" w:rsidRPr="008F1EFE">
        <w:rPr>
          <w:lang w:val="fr-CA"/>
        </w:rPr>
        <w:t xml:space="preserve"> </w:t>
      </w:r>
      <w:r w:rsidR="000F2C52" w:rsidRPr="008F1EFE">
        <w:rPr>
          <w:lang w:val="fr-CA"/>
        </w:rPr>
        <w:t>141,</w:t>
      </w:r>
      <w:r w:rsidR="004A0556" w:rsidRPr="008F1EFE">
        <w:rPr>
          <w:lang w:val="fr-CA"/>
        </w:rPr>
        <w:t xml:space="preserve"> 373 Nfld. </w:t>
      </w:r>
      <w:r w:rsidR="004A0556" w:rsidRPr="00E30676">
        <w:t>&amp; P.E.I.R. 170,</w:t>
      </w:r>
      <w:r w:rsidR="00B62D18" w:rsidRPr="00E30676">
        <w:t xml:space="preserve"> [2015] N.J. N</w:t>
      </w:r>
      <w:r w:rsidR="000F2C52" w:rsidRPr="00E30676">
        <w:t>o</w:t>
      </w:r>
      <w:r w:rsidR="00100C55">
        <w:t>.</w:t>
      </w:r>
      <w:r w:rsidR="00747E01" w:rsidRPr="00E30676">
        <w:t xml:space="preserve"> </w:t>
      </w:r>
      <w:r w:rsidR="000F2C52" w:rsidRPr="00E30676">
        <w:t>337</w:t>
      </w:r>
      <w:r w:rsidR="00747E01" w:rsidRPr="00E30676">
        <w:t xml:space="preserve"> (QL), </w:t>
      </w:r>
      <w:r w:rsidR="000F2C52" w:rsidRPr="00E30676">
        <w:t xml:space="preserve">2015 CarswellNfld 385 </w:t>
      </w:r>
      <w:r w:rsidR="00747E01" w:rsidRPr="00E30676">
        <w:t xml:space="preserve">(WL Can.). </w:t>
      </w:r>
      <w:r w:rsidR="00747E01" w:rsidRPr="008F1EFE">
        <w:rPr>
          <w:lang w:val="fr-CA"/>
        </w:rPr>
        <w:t>Pourvoi</w:t>
      </w:r>
      <w:r w:rsidR="00B528D3" w:rsidRPr="008F1EFE">
        <w:rPr>
          <w:lang w:val="fr-CA"/>
        </w:rPr>
        <w:t xml:space="preserve"> accueilli.</w:t>
      </w:r>
    </w:p>
    <w:p w:rsidR="006054E2" w:rsidRPr="008F1EFE" w:rsidRDefault="00791C73" w:rsidP="00DB6365">
      <w:pPr>
        <w:pStyle w:val="SCCNormalDoubleSpacing"/>
        <w:spacing w:after="480"/>
        <w:rPr>
          <w:lang w:val="fr-CA"/>
        </w:rPr>
      </w:pPr>
      <w:r w:rsidRPr="008F1EFE">
        <w:rPr>
          <w:rStyle w:val="SCCCounselNameChar"/>
          <w:lang w:val="fr-CA"/>
        </w:rPr>
        <w:tab/>
        <w:t>Lisa </w:t>
      </w:r>
      <w:r w:rsidR="00DA14D1" w:rsidRPr="008F1EFE">
        <w:rPr>
          <w:rStyle w:val="SCCCounselNameChar"/>
          <w:lang w:val="fr-CA"/>
        </w:rPr>
        <w:t>M. Stead</w:t>
      </w:r>
      <w:r w:rsidR="00DA14D1" w:rsidRPr="008F1EFE">
        <w:rPr>
          <w:rStyle w:val="SCCCounselPartyRoleChar"/>
          <w:lang w:val="fr-CA"/>
        </w:rPr>
        <w:t>, pour l</w:t>
      </w:r>
      <w:r w:rsidR="002638F6" w:rsidRPr="008F1EFE">
        <w:rPr>
          <w:rStyle w:val="SCCCounselPartyRoleChar"/>
          <w:lang w:val="fr-CA"/>
        </w:rPr>
        <w:t>’</w:t>
      </w:r>
      <w:r w:rsidR="00064CD1" w:rsidRPr="008F1EFE">
        <w:rPr>
          <w:rStyle w:val="SCCCounselPartyRoleChar"/>
          <w:lang w:val="fr-CA"/>
        </w:rPr>
        <w:t>appelante</w:t>
      </w:r>
      <w:r w:rsidR="00DA14D1" w:rsidRPr="008F1EFE">
        <w:rPr>
          <w:rStyle w:val="SCCCounselPartyRoleChar"/>
          <w:lang w:val="fr-CA"/>
        </w:rPr>
        <w:t>.</w:t>
      </w:r>
    </w:p>
    <w:p w:rsidR="0019247D" w:rsidRPr="008F1EFE" w:rsidRDefault="00DA14D1" w:rsidP="00DB6365">
      <w:pPr>
        <w:pStyle w:val="SCCNormalDoubleSpacing"/>
        <w:spacing w:after="480"/>
        <w:rPr>
          <w:rStyle w:val="SCCCounselPartyRoleChar"/>
          <w:lang w:val="fr-CA"/>
        </w:rPr>
      </w:pPr>
      <w:r w:rsidRPr="008F1EFE">
        <w:rPr>
          <w:rStyle w:val="SCCCounselNameChar"/>
          <w:lang w:val="fr-CA"/>
        </w:rPr>
        <w:tab/>
        <w:t>Jessica Tellez</w:t>
      </w:r>
      <w:r w:rsidRPr="008F1EFE">
        <w:rPr>
          <w:rStyle w:val="SCCCounselPartyRoleChar"/>
          <w:lang w:val="fr-CA"/>
        </w:rPr>
        <w:t>, pour l</w:t>
      </w:r>
      <w:r w:rsidR="002638F6" w:rsidRPr="008F1EFE">
        <w:rPr>
          <w:rStyle w:val="SCCCounselPartyRoleChar"/>
          <w:lang w:val="fr-CA"/>
        </w:rPr>
        <w:t>’</w:t>
      </w:r>
      <w:r w:rsidR="00064CD1" w:rsidRPr="008F1EFE">
        <w:rPr>
          <w:rStyle w:val="SCCCounselPartyRoleChar"/>
          <w:lang w:val="fr-CA"/>
        </w:rPr>
        <w:t>intimé</w:t>
      </w:r>
      <w:r w:rsidRPr="008F1EFE">
        <w:rPr>
          <w:rStyle w:val="SCCCounselPartyRoleChar"/>
          <w:lang w:val="fr-CA"/>
        </w:rPr>
        <w:t>.</w:t>
      </w:r>
    </w:p>
    <w:p w:rsidR="006054E2" w:rsidRPr="008F1EFE" w:rsidRDefault="0019247D" w:rsidP="00DB6365">
      <w:pPr>
        <w:pStyle w:val="SCCNormalDoubleSpacing"/>
        <w:spacing w:after="480"/>
        <w:rPr>
          <w:rStyle w:val="SCCCounselPartyRoleChar"/>
          <w:lang w:val="fr-CA"/>
        </w:rPr>
      </w:pPr>
      <w:r w:rsidRPr="008F1EFE">
        <w:rPr>
          <w:rStyle w:val="SCCCounselPartyRoleChar"/>
          <w:lang w:val="fr-CA"/>
        </w:rPr>
        <w:tab/>
      </w:r>
      <w:r w:rsidR="00DB6365" w:rsidRPr="008F1EFE">
        <w:rPr>
          <w:rStyle w:val="SCCCounselNameChar"/>
          <w:lang w:val="fr-CA"/>
        </w:rPr>
        <w:t>David </w:t>
      </w:r>
      <w:r w:rsidR="00DA14D1" w:rsidRPr="008F1EFE">
        <w:rPr>
          <w:rStyle w:val="SCCCounselNameChar"/>
          <w:lang w:val="fr-CA"/>
        </w:rPr>
        <w:t>W. Schermbrucker</w:t>
      </w:r>
      <w:r w:rsidR="00DA14D1" w:rsidRPr="008F1EFE">
        <w:rPr>
          <w:rStyle w:val="SCCCounselSeparatorChar"/>
          <w:lang w:val="fr-CA"/>
        </w:rPr>
        <w:t xml:space="preserve"> et </w:t>
      </w:r>
      <w:r w:rsidR="00DA14D1" w:rsidRPr="008F1EFE">
        <w:rPr>
          <w:rStyle w:val="SCCCounselNameChar"/>
          <w:lang w:val="fr-CA"/>
        </w:rPr>
        <w:t>Elaine Reid</w:t>
      </w:r>
      <w:r w:rsidR="00DA14D1" w:rsidRPr="008F1EFE">
        <w:rPr>
          <w:rStyle w:val="SCCCounselPartyRoleChar"/>
          <w:lang w:val="fr-CA"/>
        </w:rPr>
        <w:t>, pour l</w:t>
      </w:r>
      <w:r w:rsidR="002638F6" w:rsidRPr="008F1EFE">
        <w:rPr>
          <w:rStyle w:val="SCCCounselPartyRoleChar"/>
          <w:lang w:val="fr-CA"/>
        </w:rPr>
        <w:t>’</w:t>
      </w:r>
      <w:r w:rsidR="00064CD1" w:rsidRPr="008F1EFE">
        <w:rPr>
          <w:rStyle w:val="SCCCounselPartyRoleChar"/>
          <w:lang w:val="fr-CA"/>
        </w:rPr>
        <w:t>intervenante</w:t>
      </w:r>
      <w:r w:rsidR="00B62D18" w:rsidRPr="008F1EFE">
        <w:rPr>
          <w:rStyle w:val="SCCCounselPartyRoleChar"/>
          <w:lang w:val="fr-CA"/>
        </w:rPr>
        <w:t xml:space="preserve"> la</w:t>
      </w:r>
      <w:r w:rsidR="008D442A" w:rsidRPr="008F1EFE">
        <w:rPr>
          <w:rStyle w:val="SCCCounselPartyRoleChar"/>
          <w:lang w:val="fr-CA"/>
        </w:rPr>
        <w:t xml:space="preserve"> d</w:t>
      </w:r>
      <w:r w:rsidR="00DA14D1" w:rsidRPr="008F1EFE">
        <w:rPr>
          <w:rStyle w:val="SCCCounselPartyRoleChar"/>
          <w:lang w:val="fr-CA"/>
        </w:rPr>
        <w:t>irectrice des poursuites pénales.</w:t>
      </w:r>
    </w:p>
    <w:p w:rsidR="00CE5961" w:rsidRPr="008F1EFE" w:rsidRDefault="000F1D42" w:rsidP="00CE5961">
      <w:pPr>
        <w:pStyle w:val="SCCNormalDoubleSpacing"/>
        <w:spacing w:after="480"/>
        <w:rPr>
          <w:lang w:val="fr-CA"/>
        </w:rPr>
      </w:pPr>
      <w:r w:rsidRPr="008F1EFE">
        <w:rPr>
          <w:rStyle w:val="SCCCounselPartyRoleChar"/>
          <w:lang w:val="fr-CA"/>
        </w:rPr>
        <w:lastRenderedPageBreak/>
        <w:tab/>
      </w:r>
      <w:r w:rsidR="00CE5961" w:rsidRPr="008F1EFE">
        <w:rPr>
          <w:lang w:val="fr-CA"/>
        </w:rPr>
        <w:t xml:space="preserve">Argumentation écrite seulement par </w:t>
      </w:r>
      <w:r w:rsidRPr="008F1EFE">
        <w:rPr>
          <w:i/>
          <w:lang w:val="fr-CA"/>
        </w:rPr>
        <w:t>Gregory J. Tweney</w:t>
      </w:r>
      <w:r w:rsidRPr="008F1EFE">
        <w:rPr>
          <w:lang w:val="fr-CA"/>
        </w:rPr>
        <w:t xml:space="preserve"> </w:t>
      </w:r>
      <w:r w:rsidR="00E907CE">
        <w:rPr>
          <w:lang w:val="fr-CA"/>
        </w:rPr>
        <w:t>et</w:t>
      </w:r>
      <w:r w:rsidRPr="008F1EFE">
        <w:rPr>
          <w:lang w:val="fr-CA"/>
        </w:rPr>
        <w:t xml:space="preserve"> </w:t>
      </w:r>
      <w:r w:rsidR="00CE5961" w:rsidRPr="008F1EFE">
        <w:rPr>
          <w:i/>
          <w:lang w:val="fr-CA"/>
        </w:rPr>
        <w:t xml:space="preserve">Stacey D. </w:t>
      </w:r>
      <w:r w:rsidR="00CE5961" w:rsidRPr="005244C7">
        <w:rPr>
          <w:i/>
          <w:lang w:val="fr-CA"/>
        </w:rPr>
        <w:t>Young</w:t>
      </w:r>
      <w:r w:rsidRPr="005244C7">
        <w:rPr>
          <w:lang w:val="fr-CA"/>
        </w:rPr>
        <w:t xml:space="preserve">, </w:t>
      </w:r>
      <w:r w:rsidR="00CE5961" w:rsidRPr="005244C7">
        <w:rPr>
          <w:lang w:val="fr-CA"/>
        </w:rPr>
        <w:t>pour l’intervenante la procureure générale de l’Ontario</w:t>
      </w:r>
      <w:r w:rsidR="00CE5961" w:rsidRPr="008F1EFE">
        <w:rPr>
          <w:lang w:val="fr-CA"/>
        </w:rPr>
        <w:t>.</w:t>
      </w:r>
    </w:p>
    <w:p w:rsidR="006054E2" w:rsidRPr="008F1EFE" w:rsidRDefault="00DA14D1" w:rsidP="00DB6365">
      <w:pPr>
        <w:pStyle w:val="SCCNormalDoubleSpacing"/>
        <w:spacing w:after="480"/>
        <w:rPr>
          <w:lang w:val="fr-CA"/>
        </w:rPr>
      </w:pPr>
      <w:r w:rsidRPr="008F1EFE">
        <w:rPr>
          <w:rStyle w:val="SCCCounselNameChar"/>
          <w:lang w:val="fr-CA"/>
        </w:rPr>
        <w:tab/>
        <w:t>Vincent Larochelle</w:t>
      </w:r>
      <w:r w:rsidRPr="008F1EFE">
        <w:rPr>
          <w:rStyle w:val="SCCCounselSeparatorChar"/>
          <w:lang w:val="fr-CA"/>
        </w:rPr>
        <w:t xml:space="preserve"> et </w:t>
      </w:r>
      <w:r w:rsidRPr="008F1EFE">
        <w:rPr>
          <w:rStyle w:val="SCCCounselNameChar"/>
          <w:lang w:val="fr-CA"/>
        </w:rPr>
        <w:t>Greg Johannson</w:t>
      </w:r>
      <w:r w:rsidRPr="008F1EFE">
        <w:rPr>
          <w:rStyle w:val="SCCCounselPartyRoleChar"/>
          <w:lang w:val="fr-CA"/>
        </w:rPr>
        <w:t>, pour l</w:t>
      </w:r>
      <w:r w:rsidR="002638F6" w:rsidRPr="008F1EFE">
        <w:rPr>
          <w:rStyle w:val="SCCCounselPartyRoleChar"/>
          <w:lang w:val="fr-CA"/>
        </w:rPr>
        <w:t>’</w:t>
      </w:r>
      <w:r w:rsidR="00064CD1" w:rsidRPr="008F1EFE">
        <w:rPr>
          <w:rStyle w:val="SCCCounselPartyRoleChar"/>
          <w:lang w:val="fr-CA"/>
        </w:rPr>
        <w:t>intervenante la</w:t>
      </w:r>
      <w:r w:rsidRPr="008F1EFE">
        <w:rPr>
          <w:rStyle w:val="SCCCounselPartyRoleChar"/>
          <w:lang w:val="fr-CA"/>
        </w:rPr>
        <w:t xml:space="preserve"> Société d</w:t>
      </w:r>
      <w:r w:rsidR="002638F6" w:rsidRPr="008F1EFE">
        <w:rPr>
          <w:rStyle w:val="SCCCounselPartyRoleChar"/>
          <w:lang w:val="fr-CA"/>
        </w:rPr>
        <w:t>’</w:t>
      </w:r>
      <w:r w:rsidRPr="008F1EFE">
        <w:rPr>
          <w:rStyle w:val="SCCCounselPartyRoleChar"/>
          <w:lang w:val="fr-CA"/>
        </w:rPr>
        <w:t>aide juridique du Yukon.</w:t>
      </w:r>
    </w:p>
    <w:p w:rsidR="006054E2" w:rsidRPr="008F1EFE" w:rsidRDefault="00DA14D1" w:rsidP="00DB6365">
      <w:pPr>
        <w:pStyle w:val="SCCNormalDoubleSpacing"/>
        <w:spacing w:after="480"/>
        <w:rPr>
          <w:lang w:val="fr-CA"/>
        </w:rPr>
      </w:pPr>
      <w:r w:rsidRPr="008F1EFE">
        <w:rPr>
          <w:rStyle w:val="SCCCounselNameChar"/>
          <w:lang w:val="fr-CA"/>
        </w:rPr>
        <w:tab/>
        <w:t>Scott Bergman</w:t>
      </w:r>
      <w:r w:rsidRPr="008F1EFE">
        <w:rPr>
          <w:rStyle w:val="SCCCounselPartyRoleChar"/>
          <w:lang w:val="fr-CA"/>
        </w:rPr>
        <w:t>, pour l</w:t>
      </w:r>
      <w:r w:rsidR="002638F6" w:rsidRPr="008F1EFE">
        <w:rPr>
          <w:rStyle w:val="SCCCounselPartyRoleChar"/>
          <w:lang w:val="fr-CA"/>
        </w:rPr>
        <w:t>’</w:t>
      </w:r>
      <w:r w:rsidR="00064CD1" w:rsidRPr="008F1EFE">
        <w:rPr>
          <w:rStyle w:val="SCCCounselPartyRoleChar"/>
          <w:lang w:val="fr-CA"/>
        </w:rPr>
        <w:t>intervenante</w:t>
      </w:r>
      <w:r w:rsidRPr="008F1EFE">
        <w:rPr>
          <w:rStyle w:val="SCCCounselPartyRoleChar"/>
          <w:lang w:val="fr-CA"/>
        </w:rPr>
        <w:t xml:space="preserve"> </w:t>
      </w:r>
      <w:r w:rsidR="00064CD1" w:rsidRPr="008F1EFE">
        <w:rPr>
          <w:rStyle w:val="SCCCounselPartyRoleChar"/>
          <w:lang w:val="fr-CA"/>
        </w:rPr>
        <w:t>l</w:t>
      </w:r>
      <w:r w:rsidR="002638F6" w:rsidRPr="008F1EFE">
        <w:rPr>
          <w:rStyle w:val="SCCCounselPartyRoleChar"/>
          <w:lang w:val="fr-CA"/>
        </w:rPr>
        <w:t>’</w:t>
      </w:r>
      <w:r w:rsidR="008D442A" w:rsidRPr="008F1EFE">
        <w:rPr>
          <w:rStyle w:val="SCCCounselPartyRoleChar"/>
          <w:lang w:val="fr-CA"/>
        </w:rPr>
        <w:t>Association canadienne des libertés c</w:t>
      </w:r>
      <w:r w:rsidRPr="008F1EFE">
        <w:rPr>
          <w:rStyle w:val="SCCCounselPartyRoleChar"/>
          <w:lang w:val="fr-CA"/>
        </w:rPr>
        <w:t>iviles.</w:t>
      </w:r>
    </w:p>
    <w:p w:rsidR="006054E2" w:rsidRPr="008F1EFE" w:rsidRDefault="00DB6365" w:rsidP="00DB6365">
      <w:pPr>
        <w:pStyle w:val="SCCNormalDoubleSpacing"/>
        <w:spacing w:after="480"/>
        <w:rPr>
          <w:lang w:val="fr-CA"/>
        </w:rPr>
      </w:pPr>
      <w:r w:rsidRPr="008F1EFE">
        <w:rPr>
          <w:rStyle w:val="SCCCounselNameChar"/>
          <w:lang w:val="fr-CA"/>
        </w:rPr>
        <w:tab/>
        <w:t>Sean </w:t>
      </w:r>
      <w:r w:rsidR="00DA14D1" w:rsidRPr="008F1EFE">
        <w:rPr>
          <w:rStyle w:val="SCCCounselNameChar"/>
          <w:lang w:val="fr-CA"/>
        </w:rPr>
        <w:t>A. Moreman</w:t>
      </w:r>
      <w:r w:rsidR="00DA14D1" w:rsidRPr="008F1EFE">
        <w:rPr>
          <w:rStyle w:val="SCCCounselSeparatorChar"/>
          <w:lang w:val="fr-CA"/>
        </w:rPr>
        <w:t xml:space="preserve"> </w:t>
      </w:r>
      <w:r w:rsidR="00DC4DEB" w:rsidRPr="008F1EFE">
        <w:rPr>
          <w:rStyle w:val="SCCCounselSeparatorChar"/>
          <w:lang w:val="fr-CA"/>
        </w:rPr>
        <w:t>et</w:t>
      </w:r>
      <w:r w:rsidR="00DC4DEB" w:rsidRPr="008F1EFE">
        <w:rPr>
          <w:rStyle w:val="SCCCounselNameChar"/>
          <w:lang w:val="fr-CA"/>
        </w:rPr>
        <w:t xml:space="preserve"> </w:t>
      </w:r>
      <w:r w:rsidR="00DA14D1" w:rsidRPr="008F1EFE">
        <w:rPr>
          <w:rStyle w:val="SCCCounselNameChar"/>
          <w:lang w:val="fr-CA"/>
        </w:rPr>
        <w:t>Farid Muttalib</w:t>
      </w:r>
      <w:r w:rsidR="00DA14D1" w:rsidRPr="008F1EFE">
        <w:rPr>
          <w:rStyle w:val="SCCCounselPartyRoleChar"/>
          <w:lang w:val="fr-CA"/>
        </w:rPr>
        <w:t>, pour l</w:t>
      </w:r>
      <w:r w:rsidR="002638F6" w:rsidRPr="008F1EFE">
        <w:rPr>
          <w:rStyle w:val="SCCCounselPartyRoleChar"/>
          <w:lang w:val="fr-CA"/>
        </w:rPr>
        <w:t>’</w:t>
      </w:r>
      <w:r w:rsidR="00772332" w:rsidRPr="008F1EFE">
        <w:rPr>
          <w:rStyle w:val="SCCCounselPartyRoleChar"/>
          <w:lang w:val="fr-CA"/>
        </w:rPr>
        <w:t>intervenante</w:t>
      </w:r>
      <w:r w:rsidR="00DA14D1" w:rsidRPr="008F1EFE">
        <w:rPr>
          <w:rStyle w:val="SCCCounselPartyRoleChar"/>
          <w:lang w:val="fr-CA"/>
        </w:rPr>
        <w:t xml:space="preserve"> </w:t>
      </w:r>
      <w:r w:rsidR="00A61410" w:rsidRPr="008F1EFE">
        <w:rPr>
          <w:rStyle w:val="SCCCounselPartyRoleChar"/>
          <w:lang w:val="fr-CA"/>
        </w:rPr>
        <w:t xml:space="preserve">la </w:t>
      </w:r>
      <w:r w:rsidR="00DA14D1" w:rsidRPr="008F1EFE">
        <w:rPr>
          <w:rStyle w:val="SCCCounselPartyRoleChar"/>
          <w:lang w:val="fr-CA"/>
        </w:rPr>
        <w:t>Société Radio</w:t>
      </w:r>
      <w:r w:rsidRPr="008F1EFE">
        <w:rPr>
          <w:rStyle w:val="SCCCounselPartyRoleChar"/>
          <w:lang w:val="fr-CA"/>
        </w:rPr>
        <w:noBreakHyphen/>
      </w:r>
      <w:r w:rsidR="00DA14D1" w:rsidRPr="008F1EFE">
        <w:rPr>
          <w:rStyle w:val="SCCCounselPartyRoleChar"/>
          <w:lang w:val="fr-CA"/>
        </w:rPr>
        <w:t>Canada.</w:t>
      </w:r>
    </w:p>
    <w:p w:rsidR="006054E2" w:rsidRDefault="00DB6365" w:rsidP="004965B0">
      <w:pPr>
        <w:pStyle w:val="SCCNormalDoubleSpacing"/>
        <w:spacing w:after="480"/>
        <w:rPr>
          <w:rStyle w:val="SCCCounselPartyRoleChar"/>
          <w:lang w:val="fr-CA"/>
        </w:rPr>
      </w:pPr>
      <w:r w:rsidRPr="008F1EFE">
        <w:rPr>
          <w:rStyle w:val="SCCCounselNameChar"/>
          <w:lang w:val="fr-CA"/>
        </w:rPr>
        <w:tab/>
        <w:t>Ryan </w:t>
      </w:r>
      <w:r w:rsidR="00DA14D1" w:rsidRPr="008F1EFE">
        <w:rPr>
          <w:rStyle w:val="SCCCounselNameChar"/>
          <w:lang w:val="fr-CA"/>
        </w:rPr>
        <w:t>D.W. Dalziel</w:t>
      </w:r>
      <w:r w:rsidR="00DA14D1" w:rsidRPr="008F1EFE">
        <w:rPr>
          <w:rStyle w:val="SCCCounselSeparatorChar"/>
          <w:lang w:val="fr-CA"/>
        </w:rPr>
        <w:t xml:space="preserve"> et </w:t>
      </w:r>
      <w:r w:rsidR="00DA14D1" w:rsidRPr="008F1EFE">
        <w:rPr>
          <w:rStyle w:val="SCCCounselNameChar"/>
          <w:lang w:val="fr-CA"/>
        </w:rPr>
        <w:t>Joseph</w:t>
      </w:r>
      <w:r w:rsidRPr="008F1EFE">
        <w:rPr>
          <w:rStyle w:val="SCCCounselNameChar"/>
          <w:lang w:val="fr-CA"/>
        </w:rPr>
        <w:t> </w:t>
      </w:r>
      <w:r w:rsidR="00DA14D1" w:rsidRPr="008F1EFE">
        <w:rPr>
          <w:rStyle w:val="SCCCounselNameChar"/>
          <w:lang w:val="fr-CA"/>
        </w:rPr>
        <w:t>J. Saulnier</w:t>
      </w:r>
      <w:r w:rsidR="00DA14D1" w:rsidRPr="008F1EFE">
        <w:rPr>
          <w:rStyle w:val="SCCCounselPartyRoleChar"/>
          <w:lang w:val="fr-CA"/>
        </w:rPr>
        <w:t>, pour l</w:t>
      </w:r>
      <w:r w:rsidR="002638F6" w:rsidRPr="008F1EFE">
        <w:rPr>
          <w:rStyle w:val="SCCCounselPartyRoleChar"/>
          <w:lang w:val="fr-CA"/>
        </w:rPr>
        <w:t>’</w:t>
      </w:r>
      <w:r w:rsidR="00772332" w:rsidRPr="008F1EFE">
        <w:rPr>
          <w:rStyle w:val="SCCCounselPartyRoleChar"/>
          <w:lang w:val="fr-CA"/>
        </w:rPr>
        <w:t>intervenante</w:t>
      </w:r>
      <w:r w:rsidR="00DA14D1" w:rsidRPr="008F1EFE">
        <w:rPr>
          <w:rStyle w:val="SCCCounselPartyRoleChar"/>
          <w:lang w:val="fr-CA"/>
        </w:rPr>
        <w:t xml:space="preserve"> Canadian Association for Progress in Justice.</w:t>
      </w:r>
    </w:p>
    <w:p w:rsidR="004965B0" w:rsidRDefault="004965B0" w:rsidP="004965B0">
      <w:pPr>
        <w:pStyle w:val="SCCNormalDoubleSpacing"/>
        <w:spacing w:after="480"/>
        <w:rPr>
          <w:rStyle w:val="SCCCounselPartyRoleChar"/>
          <w:lang w:val="fr-CA"/>
        </w:rPr>
      </w:pPr>
    </w:p>
    <w:p w:rsidR="004965B0" w:rsidRDefault="004965B0" w:rsidP="00D2555F">
      <w:pPr>
        <w:ind w:firstLine="1170"/>
        <w:rPr>
          <w:lang w:val="fr-CA"/>
        </w:rPr>
      </w:pPr>
      <w:r w:rsidRPr="00423F9E">
        <w:rPr>
          <w:lang w:val="fr-CA"/>
        </w:rPr>
        <w:t>Version française du jugement de la Cour rendu</w:t>
      </w:r>
      <w:r w:rsidRPr="00173A02">
        <w:rPr>
          <w:lang w:val="fr-CA"/>
        </w:rPr>
        <w:t xml:space="preserve"> par</w:t>
      </w:r>
    </w:p>
    <w:p w:rsidR="004965B0" w:rsidRPr="00423F9E" w:rsidRDefault="004965B0" w:rsidP="004965B0">
      <w:pPr>
        <w:rPr>
          <w:lang w:val="fr-CA"/>
        </w:rPr>
      </w:pPr>
    </w:p>
    <w:p w:rsidR="004965B0" w:rsidRPr="00EF0F72" w:rsidRDefault="004965B0" w:rsidP="004965B0">
      <w:pPr>
        <w:pStyle w:val="JudgeJuge"/>
        <w:spacing w:before="720" w:after="720" w:line="240" w:lineRule="auto"/>
        <w:ind w:left="1170"/>
        <w:rPr>
          <w:lang w:val="fr-CA"/>
        </w:rPr>
      </w:pPr>
      <w:r w:rsidRPr="00EF0F72">
        <w:rPr>
          <w:lang w:val="fr-CA"/>
        </w:rPr>
        <w:t xml:space="preserve">Le juge Rowe — </w:t>
      </w:r>
    </w:p>
    <w:p w:rsidR="004965B0" w:rsidRPr="00EF0F72" w:rsidRDefault="004965B0" w:rsidP="004965B0">
      <w:pPr>
        <w:pStyle w:val="Title1LevelTitre1Niveau-AltL"/>
        <w:spacing w:before="0"/>
        <w:rPr>
          <w:rFonts w:cs="Times New Roman"/>
          <w:lang w:val="fr-CA"/>
        </w:rPr>
      </w:pPr>
      <w:bookmarkStart w:id="2" w:name="_Toc5970135"/>
      <w:r w:rsidRPr="00EF0F72">
        <w:rPr>
          <w:rFonts w:cs="Times New Roman"/>
          <w:lang w:val="fr-CA"/>
        </w:rPr>
        <w:t>Contexte</w:t>
      </w:r>
      <w:bookmarkEnd w:id="2"/>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Le présent pourvoi soulève la question de savoir si les dispositions relatives à la mise en liberté provisoire par voie judiciaire — et, par déduction nécessaire, le pouvoir d’arrestation —, édictées à la partie XVI du </w:t>
      </w:r>
      <w:r w:rsidRPr="00EF0F72">
        <w:rPr>
          <w:rFonts w:cs="Times New Roman"/>
          <w:i/>
          <w:szCs w:val="24"/>
          <w:lang w:val="fr-CA"/>
        </w:rPr>
        <w:t>Code criminel</w:t>
      </w:r>
      <w:r w:rsidRPr="00EF0F72">
        <w:rPr>
          <w:rFonts w:cs="Times New Roman"/>
          <w:szCs w:val="24"/>
          <w:lang w:val="fr-CA"/>
        </w:rPr>
        <w:t xml:space="preserve">, L.R.C. 1985, </w:t>
      </w:r>
      <w:r w:rsidRPr="00EF0F72">
        <w:rPr>
          <w:rFonts w:cs="Times New Roman"/>
          <w:szCs w:val="24"/>
          <w:lang w:val="fr-CA"/>
        </w:rPr>
        <w:lastRenderedPageBreak/>
        <w:t>c. C</w:t>
      </w:r>
      <w:r w:rsidRPr="00EF0F72">
        <w:rPr>
          <w:rFonts w:cs="Times New Roman"/>
          <w:szCs w:val="24"/>
          <w:lang w:val="fr-CA"/>
        </w:rPr>
        <w:noBreakHyphen/>
        <w:t xml:space="preserve">46, s’appliquent aux dispositions figurant sous l’intertitre « Engagement de ne pas troubler l’ordre public », à la partie XXVII du </w:t>
      </w:r>
      <w:r w:rsidRPr="00EF0F72">
        <w:rPr>
          <w:rFonts w:cs="Times New Roman"/>
          <w:i/>
          <w:szCs w:val="24"/>
          <w:lang w:val="fr-CA"/>
        </w:rPr>
        <w:t>Code criminel</w:t>
      </w:r>
      <w:r w:rsidRPr="00EF0F72">
        <w:rPr>
          <w:rFonts w:cs="Times New Roman"/>
          <w:szCs w:val="24"/>
          <w:lang w:val="fr-CA"/>
        </w:rPr>
        <w:t xml:space="preserve"> (« dispositions relatives à l’engagement de ne pas troubler l’ordre public »). </w:t>
      </w:r>
      <w:r w:rsidRPr="00EF0F72">
        <w:rPr>
          <w:rFonts w:cs="Times New Roman"/>
          <w:lang w:val="fr-CA"/>
        </w:rPr>
        <w:t xml:space="preserve">Les dispositions relatives à la mise en liberté provisoire par voie judiciaire </w:t>
      </w:r>
      <w:r w:rsidRPr="00EF0F72">
        <w:rPr>
          <w:rFonts w:cs="Times New Roman"/>
          <w:szCs w:val="24"/>
          <w:lang w:val="fr-CA"/>
        </w:rPr>
        <w:t>(communément appelées dispositions relatives à la mise en liberté sous caution</w:t>
      </w:r>
      <w:r w:rsidRPr="00EF0F72">
        <w:rPr>
          <w:rFonts w:cs="Times New Roman"/>
          <w:lang w:val="fr-CA"/>
        </w:rPr>
        <w:t xml:space="preserve">) obligent le juge à mettre le prévenu en liberté sans condition en attendant son procès, sauf si le ministère public réussit à démontrer en quoi une mesure plus restrictive est nécessaire (par exemple, une ordonnance enjoignant au prévenu de respecter certaines conditions provisoires ou une détention avant le procès). Un engagement de ne pas troubler l’ordre public est une ordonnance par laquelle un juge enjoint à un individu de ne pas troubler l’ordre public, d’avoir une bonne conduite et de respecter certaines conditions. Le juge peut ordonner à un individu de contracter tel engagement s’il est convaincu, d’après la preuve, que le dénonciateur a des motifs raisonnables de craindre que le défendeur ne cause un préjudice à autrui. L’engagement de ne pas troubler l’ordre public n’est pas une « infraction » pour l’application du </w:t>
      </w:r>
      <w:r w:rsidRPr="00EF0F72">
        <w:rPr>
          <w:rFonts w:cs="Times New Roman"/>
          <w:i/>
          <w:lang w:val="fr-CA"/>
        </w:rPr>
        <w:t>Code criminel</w:t>
      </w:r>
      <w:r w:rsidRPr="00EF0F72">
        <w:rPr>
          <w:rFonts w:cs="Times New Roman"/>
          <w:lang w:val="fr-CA"/>
        </w:rPr>
        <w:t>. Pour les motifs qui suivent, j’arrive à la conclusion que les dispositions relatives à l’arrestation et à la mise en liberté provisoire par voie judiciaire s’appliquent, avec les adaptations nécessaires, aux procédures d’engagement de ne pas troubler l’ordre public.</w:t>
      </w:r>
      <w:r w:rsidRPr="00EF0F72">
        <w:rPr>
          <w:rFonts w:cs="Times New Roman"/>
          <w:szCs w:val="24"/>
          <w:lang w:val="fr-CA"/>
        </w:rPr>
        <w:t xml:space="preserve"> La disposition relative à l’engagement de ne pas troubler l’ordre public en cause dans le présent pourvoi est l’art. 810.2. Toutefois, sauf indication contraire, les présents motifs s’appliquent à toutes les dispositions relatives aux engagements de ne pas troubler l’ordre public.</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Monsieur Penunsi était sur le point de finir de purger sa peine d’emprisonnement lorsqu’un agent de la Gendarmerie royale du Canada (« GRC ») a déposé contre lui une dénonciation, en vertu de l’art. 810.2 du </w:t>
      </w:r>
      <w:r w:rsidRPr="00EF0F72">
        <w:rPr>
          <w:rFonts w:cs="Times New Roman"/>
          <w:i/>
          <w:szCs w:val="24"/>
          <w:lang w:val="fr-CA"/>
        </w:rPr>
        <w:t>Code criminel</w:t>
      </w:r>
      <w:r w:rsidRPr="00EF0F72">
        <w:rPr>
          <w:rFonts w:cs="Times New Roman"/>
          <w:szCs w:val="24"/>
          <w:lang w:val="fr-CA"/>
        </w:rPr>
        <w:t xml:space="preserve">, en vue </w:t>
      </w:r>
      <w:r w:rsidRPr="00EF0F72">
        <w:rPr>
          <w:rFonts w:cs="Times New Roman"/>
          <w:szCs w:val="24"/>
          <w:lang w:val="fr-CA"/>
        </w:rPr>
        <w:lastRenderedPageBreak/>
        <w:t>d’obtenir qu’il contracte un engagement de ne pas troubler l’ordre public. Dans sa dénonciation, l’agent déclarait sous serment qu’il avait des motifs raisonnables de craindre que M. Penunsi inflige des sévices graves à autrui à sa sortie de prison. La peine que M. Penunsi purgeait alors concernait le non</w:t>
      </w:r>
      <w:r w:rsidRPr="00EF0F72">
        <w:rPr>
          <w:rFonts w:cs="Times New Roman"/>
          <w:szCs w:val="24"/>
          <w:lang w:val="fr-CA"/>
        </w:rPr>
        <w:noBreakHyphen/>
        <w:t xml:space="preserve">respect d’un engagement de ne pas troubler l’ordre public qu’il avait antérieurement contracté conformément à l’art. 810.2. </w:t>
      </w:r>
      <w:r>
        <w:rPr>
          <w:rFonts w:cs="Times New Roman"/>
          <w:szCs w:val="24"/>
          <w:lang w:val="fr-CA"/>
        </w:rPr>
        <w:t>Un juge a</w:t>
      </w:r>
      <w:r w:rsidRPr="00EF0F72">
        <w:rPr>
          <w:rFonts w:cs="Times New Roman"/>
          <w:szCs w:val="24"/>
          <w:lang w:val="fr-CA"/>
        </w:rPr>
        <w:t xml:space="preserve"> décerné un mandat pour l’arrestation de M. Penunsi, mais ce mandat n’</w:t>
      </w:r>
      <w:r>
        <w:rPr>
          <w:rFonts w:cs="Times New Roman"/>
          <w:szCs w:val="24"/>
          <w:lang w:val="fr-CA"/>
        </w:rPr>
        <w:t xml:space="preserve">a </w:t>
      </w:r>
      <w:r w:rsidRPr="00EF0F72">
        <w:rPr>
          <w:rFonts w:cs="Times New Roman"/>
          <w:szCs w:val="24"/>
          <w:lang w:val="fr-CA"/>
        </w:rPr>
        <w:t>jamais été exécuté, puisque M. Penunsi était déjà en détention.</w:t>
      </w:r>
    </w:p>
    <w:p w:rsidR="004965B0" w:rsidRPr="00EF0F72" w:rsidRDefault="004965B0" w:rsidP="004965B0">
      <w:pPr>
        <w:pStyle w:val="Title1LevelTitre1Niveau-AltL"/>
        <w:spacing w:before="0"/>
        <w:rPr>
          <w:rFonts w:cs="Times New Roman"/>
          <w:lang w:val="fr-CA"/>
        </w:rPr>
      </w:pPr>
      <w:r w:rsidRPr="00EF0F72">
        <w:rPr>
          <w:rFonts w:cs="Times New Roman"/>
          <w:lang w:val="fr-CA"/>
        </w:rPr>
        <w:t>Historique judiciaire</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Quelques jours avant la fin de sa peine d’emprisonnement, M. Penunsi a été escorté par la GRC jusqu’au tribunal pour répondre à la dénonciation. Une date d’audience a alors été fixée </w:t>
      </w:r>
      <w:r w:rsidRPr="00EF0F72">
        <w:rPr>
          <w:rFonts w:cs="Times New Roman"/>
          <w:lang w:val="fr-CA"/>
        </w:rPr>
        <w:t>en vue de décider si la crainte attestée dans la dénonciation était raisonnablement fondée. L</w:t>
      </w:r>
      <w:r w:rsidRPr="00EF0F72">
        <w:rPr>
          <w:rFonts w:cs="Times New Roman"/>
          <w:szCs w:val="24"/>
          <w:lang w:val="fr-CA"/>
        </w:rPr>
        <w:t xml:space="preserve">’audience ne devait toutefois avoir lieu qu’après la sortie de prison de M. Penunsi. </w:t>
      </w:r>
      <w:r w:rsidRPr="00EF0F72">
        <w:rPr>
          <w:rFonts w:cs="Times New Roman"/>
          <w:lang w:val="fr-CA"/>
        </w:rPr>
        <w:t>Souhaitant éviter la libération inconditionnelle de M. Penunsi dans l’intervalle, le ministère public a tenté de justifier que</w:t>
      </w:r>
      <w:r w:rsidRPr="00EF0F72">
        <w:rPr>
          <w:rFonts w:cs="Times New Roman"/>
          <w:szCs w:val="24"/>
          <w:lang w:val="fr-CA"/>
        </w:rPr>
        <w:t xml:space="preserve"> M. Penunsi devait être détenu ou contraint de respecter certaines conditions en attendant la tenue de l’audience. Pour justifier son refus de la demande du ministère public, le juge de la cour provinciale a expliqué qu’il n’avait pas compétence pour assujettir M. Penunsi à une audience de justification, au motif que les dispositions relatives à la mise en liberté provisoire par voie judiciaire ne s’appliquaient pas aux procédures d’engagement de ne pas troubler l’ordre public. Le juge a ajouté que, même s’il avait compétence, il refuserait de l’exercer.</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Le ministère public a demandé le contrôle judiciaire de la décision du juge de la cour provinciale, en réclamant un bref de </w:t>
      </w:r>
      <w:r w:rsidRPr="00EF0F72">
        <w:rPr>
          <w:rFonts w:cs="Times New Roman"/>
          <w:i/>
          <w:szCs w:val="24"/>
          <w:lang w:val="fr-CA"/>
        </w:rPr>
        <w:t xml:space="preserve">certiorari </w:t>
      </w:r>
      <w:r w:rsidRPr="00EF0F72">
        <w:rPr>
          <w:rFonts w:cs="Times New Roman"/>
          <w:szCs w:val="24"/>
          <w:lang w:val="fr-CA"/>
        </w:rPr>
        <w:t xml:space="preserve">et un jugement déclaratoire </w:t>
      </w:r>
      <w:r w:rsidRPr="00EF0F72">
        <w:rPr>
          <w:rFonts w:cs="Times New Roman"/>
          <w:szCs w:val="24"/>
          <w:lang w:val="fr-CA"/>
        </w:rPr>
        <w:lastRenderedPageBreak/>
        <w:t xml:space="preserve">portant que les dispositions relatives à la mise en liberté provisoire par voie judiciaire s’appliquaient aux procédures prévues à l’art. 810.2 et que le juge avait l’obligation légale de tenir une audience de justification à la demande du ministère public. Avant que la demande de bref de </w:t>
      </w:r>
      <w:r w:rsidRPr="00EF0F72">
        <w:rPr>
          <w:rFonts w:cs="Times New Roman"/>
          <w:i/>
          <w:szCs w:val="24"/>
          <w:lang w:val="fr-CA"/>
        </w:rPr>
        <w:t xml:space="preserve">certiorari </w:t>
      </w:r>
      <w:r w:rsidRPr="00EF0F72">
        <w:rPr>
          <w:rFonts w:cs="Times New Roman"/>
          <w:szCs w:val="24"/>
          <w:lang w:val="fr-CA"/>
        </w:rPr>
        <w:t>ne soit entendue, M. Penunsi a contracté de son plein gré un engagement assorti de conditions lors de l’audience sur le fond portant sur son engagement de ne pas troubler l’ordre public.</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Même si la question était théorique, la Cour suprême de Terre</w:t>
      </w:r>
      <w:r w:rsidRPr="00EF0F72">
        <w:rPr>
          <w:rFonts w:cs="Times New Roman"/>
          <w:szCs w:val="24"/>
          <w:lang w:val="fr-CA"/>
        </w:rPr>
        <w:noBreakHyphen/>
        <w:t>Neuve</w:t>
      </w:r>
      <w:r w:rsidRPr="00EF0F72">
        <w:rPr>
          <w:rFonts w:cs="Times New Roman"/>
          <w:szCs w:val="24"/>
          <w:lang w:val="fr-CA"/>
        </w:rPr>
        <w:noBreakHyphen/>
        <w:t>et</w:t>
      </w:r>
      <w:r w:rsidRPr="00EF0F72">
        <w:rPr>
          <w:rFonts w:cs="Times New Roman"/>
          <w:szCs w:val="24"/>
          <w:lang w:val="fr-CA"/>
        </w:rPr>
        <w:noBreakHyphen/>
        <w:t xml:space="preserve">Labrador a rendu un jugement déclaratoire (2015 NLTD(G) 141, 373 Nfld. &amp; P.E.I.R. 170). La </w:t>
      </w:r>
      <w:r>
        <w:rPr>
          <w:rFonts w:cs="Times New Roman"/>
          <w:szCs w:val="24"/>
          <w:lang w:val="fr-CA"/>
        </w:rPr>
        <w:t>c</w:t>
      </w:r>
      <w:r w:rsidRPr="00EF0F72">
        <w:rPr>
          <w:rFonts w:cs="Times New Roman"/>
          <w:szCs w:val="24"/>
          <w:lang w:val="fr-CA"/>
        </w:rPr>
        <w:t>our a admis qu’un juge pouvait, au moyen d’un mandat d’arrestation, exiger la comparution initiale du défendeur pour répondre à une dénonciation faite en vertu de l’art. 810.2. Par conséquent, les dispositions relatives à la mise en liberté provisoire par voie judiciaire devaient s’appliquer de manière à prévoir une procédure permettant de libérer par la suite le défendeur. Monsieur Penunsi a interjeté appel.</w:t>
      </w:r>
    </w:p>
    <w:p w:rsidR="004965B0" w:rsidRPr="00EF0F72" w:rsidRDefault="004965B0" w:rsidP="004965B0">
      <w:pPr>
        <w:pStyle w:val="ParaNoNdepar-AltN"/>
        <w:spacing w:before="0"/>
        <w:rPr>
          <w:rFonts w:cs="Times New Roman"/>
          <w:lang w:val="fr-CA"/>
        </w:rPr>
      </w:pPr>
      <w:r w:rsidRPr="00EF0F72">
        <w:rPr>
          <w:rFonts w:cs="Times New Roman"/>
          <w:lang w:val="fr-CA"/>
        </w:rPr>
        <w:t>La Cour d’appel de Terre</w:t>
      </w:r>
      <w:r w:rsidRPr="00EF0F72">
        <w:rPr>
          <w:rFonts w:cs="Times New Roman"/>
          <w:lang w:val="fr-CA"/>
        </w:rPr>
        <w:noBreakHyphen/>
        <w:t>Neuve</w:t>
      </w:r>
      <w:r w:rsidRPr="00EF0F72">
        <w:rPr>
          <w:rFonts w:cs="Times New Roman"/>
          <w:lang w:val="fr-CA"/>
        </w:rPr>
        <w:noBreakHyphen/>
        <w:t>et</w:t>
      </w:r>
      <w:r w:rsidRPr="00EF0F72">
        <w:rPr>
          <w:rFonts w:cs="Times New Roman"/>
          <w:lang w:val="fr-CA"/>
        </w:rPr>
        <w:noBreakHyphen/>
        <w:t xml:space="preserve">Labrador a rétabli la décision du juge de la cour provinciale. La cour a conclu que les dispositions de la partie XVI du </w:t>
      </w:r>
      <w:r w:rsidRPr="00EF0F72">
        <w:rPr>
          <w:rFonts w:cs="Times New Roman"/>
          <w:i/>
          <w:lang w:val="fr-CA"/>
        </w:rPr>
        <w:t xml:space="preserve">Code criminel </w:t>
      </w:r>
      <w:r w:rsidRPr="00EF0F72">
        <w:rPr>
          <w:rFonts w:cs="Times New Roman"/>
          <w:lang w:val="fr-CA"/>
        </w:rPr>
        <w:t>(« </w:t>
      </w:r>
      <w:r w:rsidRPr="00EF0F72">
        <w:rPr>
          <w:rFonts w:cs="Times New Roman"/>
          <w:szCs w:val="24"/>
          <w:lang w:val="fr-CA"/>
        </w:rPr>
        <w:t>Mesures concernant la comparution d’un prévenu devant un juge de paix et la mise en liberté provisoire »</w:t>
      </w:r>
      <w:r w:rsidRPr="00EF0F72">
        <w:rPr>
          <w:rFonts w:cs="Times New Roman"/>
          <w:lang w:val="fr-CA"/>
        </w:rPr>
        <w:t xml:space="preserve">) étaient incompatibles avec le régime des engagements de ne pas troubler l’ordre public et ne s’y appliquaient donc pas. La cour a estimé qu’il serait illogique de détenir un individu dans le cadre d’une instance qui ne permettrait pas d’infliger une peine d’incarcération. Elle a jugé que les modifications qu’il faudrait apporter au libellé de la loi pour permettre au juge de soumettre le défendeur nommé dans une dénonciation visant à obtenir un engagement de ne pas </w:t>
      </w:r>
      <w:r w:rsidRPr="00EF0F72">
        <w:rPr>
          <w:rFonts w:cs="Times New Roman"/>
          <w:lang w:val="fr-CA"/>
        </w:rPr>
        <w:lastRenderedPageBreak/>
        <w:t>troubler l’ordre public à une audience de justification [</w:t>
      </w:r>
      <w:r w:rsidRPr="00EF0F72">
        <w:rPr>
          <w:rFonts w:cs="Times New Roman"/>
          <w:smallCaps/>
          <w:lang w:val="fr-CA"/>
        </w:rPr>
        <w:t>traduction</w:t>
      </w:r>
      <w:r w:rsidRPr="00EF0F72">
        <w:rPr>
          <w:rFonts w:cs="Times New Roman"/>
          <w:lang w:val="fr-CA"/>
        </w:rPr>
        <w:t>] « seraient telles — par leur nature et leur caractère — qu’elles auraient pour effet de modifier les règles de droit concernant le pouvoir d’arrestation » (2018 NLCA 4, 357 C.C.C. (3d) 539, par. 78).</w:t>
      </w:r>
    </w:p>
    <w:p w:rsidR="004965B0" w:rsidRPr="00EF0F72" w:rsidRDefault="004965B0" w:rsidP="004965B0">
      <w:pPr>
        <w:pStyle w:val="Title1LevelTitre1Niveau-AltL"/>
        <w:spacing w:before="0"/>
        <w:rPr>
          <w:rFonts w:cs="Times New Roman"/>
          <w:lang w:val="fr-CA"/>
        </w:rPr>
      </w:pPr>
      <w:r w:rsidRPr="00EF0F72">
        <w:rPr>
          <w:rFonts w:cs="Times New Roman"/>
          <w:lang w:val="fr-CA"/>
        </w:rPr>
        <w:t>Prétentions des parties</w:t>
      </w:r>
    </w:p>
    <w:p w:rsidR="004965B0" w:rsidRPr="00EF0F72" w:rsidRDefault="004965B0" w:rsidP="004965B0">
      <w:pPr>
        <w:pStyle w:val="ParaNoNdepar-AltN"/>
        <w:spacing w:before="0"/>
        <w:rPr>
          <w:rFonts w:cs="Times New Roman"/>
          <w:lang w:val="fr-CA"/>
        </w:rPr>
      </w:pPr>
      <w:r w:rsidRPr="00EF0F72">
        <w:rPr>
          <w:rFonts w:cs="Times New Roman"/>
          <w:lang w:val="fr-CA"/>
        </w:rPr>
        <w:t>Les deux parties exhortent la Cour à trancher la question malgré son caractère théorique.</w:t>
      </w:r>
    </w:p>
    <w:p w:rsidR="004965B0" w:rsidRPr="00EF0F72" w:rsidRDefault="004965B0" w:rsidP="004965B0">
      <w:pPr>
        <w:pStyle w:val="ParaNoNdepar-AltN"/>
        <w:spacing w:before="0"/>
        <w:rPr>
          <w:rFonts w:cs="Times New Roman"/>
          <w:lang w:val="fr-CA"/>
        </w:rPr>
      </w:pPr>
      <w:r w:rsidRPr="00EF0F72">
        <w:rPr>
          <w:rFonts w:cs="Times New Roman"/>
          <w:lang w:val="fr-CA"/>
        </w:rPr>
        <w:t xml:space="preserve">Le ministère public appelant affirme que la </w:t>
      </w:r>
      <w:bookmarkStart w:id="3" w:name="_Hlk7197255"/>
      <w:r w:rsidRPr="00EF0F72">
        <w:rPr>
          <w:rFonts w:cs="Times New Roman"/>
          <w:szCs w:val="24"/>
          <w:lang w:val="fr-CA"/>
        </w:rPr>
        <w:t>Cour d’appel de Terre</w:t>
      </w:r>
      <w:r w:rsidRPr="00EF0F72">
        <w:rPr>
          <w:rFonts w:cs="Times New Roman"/>
          <w:szCs w:val="24"/>
          <w:lang w:val="fr-CA"/>
        </w:rPr>
        <w:noBreakHyphen/>
        <w:t>Neuve</w:t>
      </w:r>
      <w:r w:rsidRPr="00EF0F72">
        <w:rPr>
          <w:rFonts w:cs="Times New Roman"/>
          <w:szCs w:val="24"/>
          <w:lang w:val="fr-CA"/>
        </w:rPr>
        <w:noBreakHyphen/>
        <w:t>et</w:t>
      </w:r>
      <w:r w:rsidRPr="00EF0F72">
        <w:rPr>
          <w:rFonts w:cs="Times New Roman"/>
          <w:szCs w:val="24"/>
          <w:lang w:val="fr-CA"/>
        </w:rPr>
        <w:noBreakHyphen/>
        <w:t>Labrador</w:t>
      </w:r>
      <w:r w:rsidRPr="00EF0F72">
        <w:rPr>
          <w:rFonts w:cs="Times New Roman"/>
          <w:lang w:val="fr-CA"/>
        </w:rPr>
        <w:t xml:space="preserve"> </w:t>
      </w:r>
      <w:bookmarkEnd w:id="3"/>
      <w:r w:rsidRPr="00EF0F72">
        <w:rPr>
          <w:rFonts w:cs="Times New Roman"/>
          <w:lang w:val="fr-CA"/>
        </w:rPr>
        <w:t xml:space="preserve">a commis une erreur en concluant que la partie XVI du </w:t>
      </w:r>
      <w:r w:rsidRPr="00EF0F72">
        <w:rPr>
          <w:rFonts w:cs="Times New Roman"/>
          <w:i/>
          <w:lang w:val="fr-CA"/>
        </w:rPr>
        <w:t xml:space="preserve">Code criminel </w:t>
      </w:r>
      <w:r w:rsidRPr="00EF0F72">
        <w:rPr>
          <w:rFonts w:cs="Times New Roman"/>
          <w:lang w:val="fr-CA"/>
        </w:rPr>
        <w:t xml:space="preserve">ne s’appliquait pas aux procédures d’engagement de ne pas troubler l’ordre public. À son avis, le par. 810.2(2) prévoit qu’un juge peut « faire comparaître les parties » pour qu’elles répondent à une dénonciation faite sous serment en vue d’obtenir un engagement de ne pas troubler l’ordre public et que ce paragraphe autorise donc le juge à recourir à la procédure prévue à la partie XVI pour amener devant le tribunal les personnes nécessaires pour la tenue de l’audience au moyen d’une sommation ou d’un mandat d’arrestation. Il n’est pas nécessaire d’apporter des modifications majeures au libellé de la loi pour appliquer les dispositions pertinentes de la partie XVI aux dispositions relatives à l’engagement de ne pas troubler l’ordre public. Le ministère public cite plusieurs arrêts de juridictions d’appel à l’appui de sa thèse. Il demande à notre Cour de se rallier à la jurisprudence dominante et de répondre par l’affirmative à la question de savoir si </w:t>
      </w:r>
      <w:bookmarkStart w:id="4" w:name="_Hlk8231896"/>
      <w:r w:rsidRPr="00EF0F72">
        <w:rPr>
          <w:rFonts w:cs="Times New Roman"/>
          <w:lang w:val="fr-CA"/>
        </w:rPr>
        <w:t>les dispositions relatives à l’arrestation et à la mise en liberté provisoire par voie judiciaire s’appliquent aux procédures d’engagement de ne pas troubler l’ordre public</w:t>
      </w:r>
      <w:bookmarkEnd w:id="4"/>
      <w:r w:rsidRPr="00EF0F72">
        <w:rPr>
          <w:rFonts w:cs="Times New Roman"/>
          <w:lang w:val="fr-CA"/>
        </w:rPr>
        <w:t>.</w:t>
      </w:r>
    </w:p>
    <w:p w:rsidR="004965B0" w:rsidRPr="00EF0F72" w:rsidRDefault="004965B0" w:rsidP="004965B0">
      <w:pPr>
        <w:pStyle w:val="ParaNoNdepar-AltN"/>
        <w:tabs>
          <w:tab w:val="clear" w:pos="1152"/>
          <w:tab w:val="left" w:pos="1166"/>
        </w:tabs>
        <w:spacing w:before="0"/>
        <w:rPr>
          <w:rFonts w:cs="Times New Roman"/>
          <w:lang w:val="fr-CA"/>
        </w:rPr>
      </w:pPr>
      <w:r w:rsidRPr="00EF0F72">
        <w:rPr>
          <w:rFonts w:cs="Times New Roman"/>
          <w:lang w:val="fr-CA"/>
        </w:rPr>
        <w:lastRenderedPageBreak/>
        <w:t xml:space="preserve">L’intimé, M. Penunsi, s’en tient à une analyse textuelle du libellé de la loi. Il affirme que les dispositions du </w:t>
      </w:r>
      <w:r w:rsidRPr="00EF0F72">
        <w:rPr>
          <w:rFonts w:cs="Times New Roman"/>
          <w:i/>
          <w:lang w:val="fr-CA"/>
        </w:rPr>
        <w:t>Code criminel</w:t>
      </w:r>
      <w:r w:rsidRPr="00EF0F72">
        <w:rPr>
          <w:rFonts w:cs="Times New Roman"/>
          <w:lang w:val="fr-CA"/>
        </w:rPr>
        <w:t xml:space="preserve"> relatives à l’arrestation et à la mise en liberté provisoire par voie judiciaire permettent l’exercice des pouvoirs en question uniquement à l’égard d’un « prévenu » au sens de l’art. 493 (à la partie XVI). L’article 493 définit notamment le « prévenu » comme a) une personne à laquelle un agent de la paix a délivré une citation à comparaître (plutôt que de l’arrêter) et b) une personne arrêtée pour infraction criminelle. Selon l’intimé, le terme « prévenu » ne saurait viser le défendeur à une procédure d’engagement de ne pas troubler l’ordre public, parce qu’un tel défendeur n’est pas inculpé d’avoir commis une infraction criminelle. L’intimé fait valoir que les modifications nécessaires pour que les dispositions relatives à la mise en liberté provisoire par voie judiciaire s’appliquent au régime des engagements de ne pas troubler l’ordre public ne se résument pas à une application </w:t>
      </w:r>
      <w:r w:rsidRPr="00EF0F72">
        <w:rPr>
          <w:rFonts w:cs="Times New Roman"/>
          <w:i/>
          <w:lang w:val="fr-CA"/>
        </w:rPr>
        <w:t>mutatis mutandis</w:t>
      </w:r>
      <w:r w:rsidRPr="00EF0F72">
        <w:rPr>
          <w:rFonts w:cs="Times New Roman"/>
          <w:lang w:val="fr-CA"/>
        </w:rPr>
        <w:t xml:space="preserve">. Il invoque à ce propos le jugement </w:t>
      </w:r>
      <w:r w:rsidRPr="00EF0F72">
        <w:rPr>
          <w:rFonts w:cs="Times New Roman"/>
          <w:i/>
          <w:lang w:val="fr-CA"/>
        </w:rPr>
        <w:t>MacAusland c. Pyke</w:t>
      </w:r>
      <w:r w:rsidRPr="00EF0F72">
        <w:rPr>
          <w:rFonts w:cs="Times New Roman"/>
          <w:lang w:val="fr-CA" w:bidi="en-US"/>
        </w:rPr>
        <w:t xml:space="preserve"> (1995), 139 N.S.R. (2d) 142 (C.S.), dans lequel le tribunal a statué que </w:t>
      </w:r>
      <w:r w:rsidRPr="00EF0F72">
        <w:rPr>
          <w:rFonts w:cs="Times New Roman"/>
          <w:lang w:val="fr-CA"/>
        </w:rPr>
        <w:t>l’application des dispositions relatives à la mise en liberté provisoire par voie judiciaire aux procédures d’engagement de ne pas troubler l’ordre public était susceptible d’exposer dans l’intervalle le défendeur à une atteinte à sa liberté plus grande que celle qu’il pourrait subir au terme de l’audience sur le fond de la demande d’engagement de ne pas troubler l’ordre public (par. 31). Comme la Cour d’appel l’a expliqué et comme le rappelle l’intimé, un tel résultat serait [</w:t>
      </w:r>
      <w:r w:rsidRPr="00EF0F72">
        <w:rPr>
          <w:rFonts w:cs="Times New Roman"/>
          <w:smallCaps/>
          <w:lang w:val="fr-CA"/>
        </w:rPr>
        <w:t>traduction</w:t>
      </w:r>
      <w:r w:rsidRPr="00EF0F72">
        <w:rPr>
          <w:rFonts w:cs="Times New Roman"/>
          <w:lang w:val="fr-CA"/>
        </w:rPr>
        <w:t>] « illogique et absurde » (par. 58, cité dans le m.i., par. 77).</w:t>
      </w:r>
    </w:p>
    <w:p w:rsidR="004965B0" w:rsidRPr="00EF0F72" w:rsidRDefault="004965B0" w:rsidP="004965B0">
      <w:pPr>
        <w:pStyle w:val="Title1LevelTitre1Niveau-AltL"/>
        <w:spacing w:before="0"/>
        <w:rPr>
          <w:rFonts w:cs="Times New Roman"/>
          <w:lang w:val="fr-CA"/>
        </w:rPr>
      </w:pPr>
      <w:bookmarkStart w:id="5" w:name="_Toc5970137"/>
      <w:r w:rsidRPr="00EF0F72">
        <w:rPr>
          <w:rFonts w:cs="Times New Roman"/>
          <w:lang w:val="fr-CA"/>
        </w:rPr>
        <w:t>Analyse</w:t>
      </w:r>
      <w:bookmarkEnd w:id="5"/>
    </w:p>
    <w:p w:rsidR="004965B0" w:rsidRPr="00EF0F72" w:rsidRDefault="004965B0" w:rsidP="004965B0">
      <w:pPr>
        <w:pStyle w:val="Title2LevelTitre2Niveau"/>
        <w:spacing w:before="0"/>
        <w:rPr>
          <w:rFonts w:cs="Times New Roman"/>
          <w:lang w:val="fr-CA"/>
        </w:rPr>
      </w:pPr>
      <w:bookmarkStart w:id="6" w:name="_Toc5970138"/>
      <w:r w:rsidRPr="00EF0F72">
        <w:rPr>
          <w:rFonts w:cs="Times New Roman"/>
          <w:lang w:val="fr-CA"/>
        </w:rPr>
        <w:t>Caractère théorique</w:t>
      </w:r>
      <w:bookmarkEnd w:id="6"/>
    </w:p>
    <w:p w:rsidR="004965B0" w:rsidRPr="00EF0F72" w:rsidRDefault="004965B0" w:rsidP="004965B0">
      <w:pPr>
        <w:pStyle w:val="ParaNoNdepar-AltN"/>
        <w:numPr>
          <w:ilvl w:val="0"/>
          <w:numId w:val="28"/>
        </w:numPr>
        <w:spacing w:before="0"/>
        <w:rPr>
          <w:rFonts w:cs="Times New Roman"/>
          <w:b/>
          <w:iCs/>
          <w:szCs w:val="24"/>
          <w:lang w:val="fr-CA"/>
        </w:rPr>
      </w:pPr>
      <w:r w:rsidRPr="00EF0F72">
        <w:rPr>
          <w:rFonts w:cs="Times New Roman"/>
          <w:szCs w:val="24"/>
          <w:lang w:val="fr-CA"/>
        </w:rPr>
        <w:lastRenderedPageBreak/>
        <w:t>« </w:t>
      </w:r>
      <w:r w:rsidRPr="00EF0F72">
        <w:rPr>
          <w:rFonts w:cs="Times New Roman"/>
          <w:lang w:val="fr-CA"/>
        </w:rPr>
        <w:t>La règle du caractère théorique procède du principe voulant que les tribunaux n’instruisent que des affaires présentant un litige actuel à résoudre, où leur décision aura ou pourra avoir des conséquences sur les droits des parties, sauf s’ils décident, dans l’exercice de leur pouvoir discrétionnaire, qu’il est néanmoins dans l’intérêt de la justice d’entendre un appel »</w:t>
      </w:r>
      <w:r w:rsidRPr="00EF0F72">
        <w:rPr>
          <w:rFonts w:cs="Times New Roman"/>
          <w:szCs w:val="24"/>
          <w:lang w:val="fr-CA"/>
        </w:rPr>
        <w:t xml:space="preserve"> (</w:t>
      </w:r>
      <w:r w:rsidRPr="00EF0F72">
        <w:rPr>
          <w:rFonts w:cs="Times New Roman"/>
          <w:i/>
          <w:szCs w:val="24"/>
          <w:lang w:val="fr-CA"/>
        </w:rPr>
        <w:t>Doucet</w:t>
      </w:r>
      <w:r w:rsidRPr="00EF0F72">
        <w:rPr>
          <w:rFonts w:cs="Times New Roman"/>
          <w:i/>
          <w:szCs w:val="24"/>
          <w:lang w:val="fr-CA"/>
        </w:rPr>
        <w:noBreakHyphen/>
        <w:t>Boudreau c. Nouvelle</w:t>
      </w:r>
      <w:r w:rsidRPr="00EF0F72">
        <w:rPr>
          <w:rFonts w:cs="Times New Roman"/>
          <w:i/>
          <w:szCs w:val="24"/>
          <w:lang w:val="fr-CA"/>
        </w:rPr>
        <w:noBreakHyphen/>
        <w:t>Écosse (Ministre de l’Éducation)</w:t>
      </w:r>
      <w:r w:rsidRPr="00EF0F72">
        <w:rPr>
          <w:rFonts w:cs="Times New Roman"/>
          <w:szCs w:val="24"/>
          <w:lang w:val="fr-CA"/>
        </w:rPr>
        <w:t xml:space="preserve">, 2003 CSC 62, [2003] 3 R.C.S. 3, par. 17). L’affectation de ressources judiciaires à l’égard d’enjeux théoriques est justifiée dans les affaires qui soulèvent des questions importantes qui risquent d’échapper à l’examen judiciaire (voir, p. ex., </w:t>
      </w:r>
      <w:r w:rsidRPr="00EF0F72">
        <w:rPr>
          <w:rFonts w:cs="Times New Roman"/>
          <w:i/>
          <w:szCs w:val="24"/>
          <w:lang w:val="fr-CA"/>
        </w:rPr>
        <w:t>Doucet</w:t>
      </w:r>
      <w:r w:rsidRPr="00EF0F72">
        <w:rPr>
          <w:rFonts w:cs="Times New Roman"/>
          <w:i/>
          <w:szCs w:val="24"/>
          <w:lang w:val="fr-CA"/>
        </w:rPr>
        <w:noBreakHyphen/>
        <w:t>Boudreau</w:t>
      </w:r>
      <w:r w:rsidRPr="00EF0F72">
        <w:rPr>
          <w:rFonts w:cs="Times New Roman"/>
          <w:szCs w:val="24"/>
          <w:lang w:val="fr-CA"/>
        </w:rPr>
        <w:t xml:space="preserve">, par. 22; </w:t>
      </w:r>
      <w:r w:rsidRPr="00EF0F72">
        <w:rPr>
          <w:rFonts w:cs="Times New Roman"/>
          <w:i/>
          <w:iCs/>
          <w:szCs w:val="24"/>
          <w:lang w:val="fr-CA"/>
        </w:rPr>
        <w:t>Borowski c. Canada (procureur général)</w:t>
      </w:r>
      <w:r w:rsidRPr="00EF0F72">
        <w:rPr>
          <w:rFonts w:cs="Times New Roman"/>
          <w:szCs w:val="24"/>
          <w:lang w:val="fr-CA"/>
        </w:rPr>
        <w:t xml:space="preserve">, </w:t>
      </w:r>
      <w:r w:rsidRPr="00EF0F72">
        <w:rPr>
          <w:rStyle w:val="reflex3-alt"/>
          <w:rFonts w:cs="Times New Roman"/>
          <w:szCs w:val="24"/>
          <w:lang w:val="fr-CA"/>
        </w:rPr>
        <w:t xml:space="preserve">[1989] 1 R.C.S. 342, </w:t>
      </w:r>
      <w:r w:rsidRPr="00EF0F72">
        <w:rPr>
          <w:rFonts w:cs="Times New Roman"/>
          <w:szCs w:val="24"/>
          <w:lang w:val="fr-CA"/>
        </w:rPr>
        <w:t xml:space="preserve">p. 360; </w:t>
      </w:r>
      <w:r w:rsidRPr="00EF0F72">
        <w:rPr>
          <w:rFonts w:cs="Times New Roman"/>
          <w:i/>
          <w:iCs/>
          <w:szCs w:val="24"/>
          <w:lang w:val="fr-CA"/>
        </w:rPr>
        <w:t>International Brotherhood of Electrical Workers, Local Union 2085 c. Winnipeg Builders’ Exchange</w:t>
      </w:r>
      <w:r w:rsidRPr="00EF0F72">
        <w:rPr>
          <w:rStyle w:val="reflex3-block"/>
          <w:rFonts w:cs="Times New Roman"/>
          <w:szCs w:val="24"/>
          <w:lang w:val="fr-CA"/>
        </w:rPr>
        <w:t xml:space="preserve">, </w:t>
      </w:r>
      <w:r w:rsidRPr="00EF0F72">
        <w:rPr>
          <w:rStyle w:val="reflex3-alt"/>
          <w:rFonts w:cs="Times New Roman"/>
          <w:szCs w:val="24"/>
          <w:lang w:val="fr-CA"/>
        </w:rPr>
        <w:t>[1967] R.C.S. 628</w:t>
      </w:r>
      <w:r w:rsidRPr="00EF0F72">
        <w:rPr>
          <w:rFonts w:cs="Times New Roman"/>
          <w:szCs w:val="24"/>
          <w:lang w:val="fr-CA"/>
        </w:rPr>
        <w:t xml:space="preserve">; </w:t>
      </w:r>
      <w:r w:rsidRPr="00EF0F72">
        <w:rPr>
          <w:rFonts w:cs="Times New Roman"/>
          <w:i/>
          <w:lang w:val="fr-CA"/>
        </w:rPr>
        <w:t>Nouveau</w:t>
      </w:r>
      <w:r w:rsidRPr="00EF0F72">
        <w:rPr>
          <w:rFonts w:cs="Times New Roman"/>
          <w:i/>
          <w:lang w:val="fr-CA"/>
        </w:rPr>
        <w:noBreakHyphen/>
        <w:t xml:space="preserve">Brunswick (Ministre de la Santé et des Services communautaires) </w:t>
      </w:r>
      <w:r w:rsidRPr="00EF0F72">
        <w:rPr>
          <w:rFonts w:cs="Times New Roman"/>
          <w:i/>
          <w:iCs/>
          <w:lang w:val="fr-CA"/>
        </w:rPr>
        <w:t>c</w:t>
      </w:r>
      <w:r w:rsidRPr="00EF0F72">
        <w:rPr>
          <w:rFonts w:cs="Times New Roman"/>
          <w:lang w:val="fr-CA"/>
        </w:rPr>
        <w:t xml:space="preserve">. </w:t>
      </w:r>
      <w:r w:rsidRPr="00EF0F72">
        <w:rPr>
          <w:rFonts w:cs="Times New Roman"/>
          <w:i/>
          <w:lang w:val="fr-CA"/>
        </w:rPr>
        <w:t>G. (J.)</w:t>
      </w:r>
      <w:r w:rsidRPr="00EF0F72">
        <w:rPr>
          <w:rFonts w:cs="Times New Roman"/>
          <w:lang w:val="fr-CA"/>
        </w:rPr>
        <w:t>, [1999] 3 R.C.S. 46</w:t>
      </w:r>
      <w:r w:rsidRPr="00EF0F72">
        <w:rPr>
          <w:rStyle w:val="reflex3-alt"/>
          <w:rFonts w:cs="Times New Roman"/>
          <w:szCs w:val="24"/>
          <w:lang w:val="fr-CA"/>
        </w:rPr>
        <w:t>)</w:t>
      </w:r>
      <w:r w:rsidRPr="00EF0F72">
        <w:rPr>
          <w:rFonts w:cs="Times New Roman"/>
          <w:szCs w:val="24"/>
          <w:lang w:val="fr-CA"/>
        </w:rPr>
        <w:t>.</w:t>
      </w:r>
    </w:p>
    <w:p w:rsidR="004965B0" w:rsidRPr="00EF0F72" w:rsidRDefault="004965B0" w:rsidP="00212CEF">
      <w:pPr>
        <w:pStyle w:val="ParaNoNdepar-AltN"/>
        <w:rPr>
          <w:b/>
          <w:lang w:val="fr-CA"/>
        </w:rPr>
      </w:pPr>
      <w:r w:rsidRPr="00EF0F72">
        <w:rPr>
          <w:lang w:val="fr-CA"/>
        </w:rPr>
        <w:t xml:space="preserve">La Cour a récemment statué, dans les arrêts </w:t>
      </w:r>
      <w:r w:rsidRPr="00EF0F72">
        <w:rPr>
          <w:i/>
          <w:lang w:val="fr-CA"/>
        </w:rPr>
        <w:t>R. c. Myers</w:t>
      </w:r>
      <w:r w:rsidRPr="00EF0F72">
        <w:rPr>
          <w:lang w:val="fr-CA"/>
        </w:rPr>
        <w:t>, 2019 CSC 18</w:t>
      </w:r>
      <w:r w:rsidR="00212CEF">
        <w:rPr>
          <w:lang w:val="fr-CA"/>
        </w:rPr>
        <w:t>,</w:t>
      </w:r>
      <w:r w:rsidR="00212CEF" w:rsidRPr="00212CEF">
        <w:rPr>
          <w:lang w:val="fr-CA"/>
        </w:rPr>
        <w:t xml:space="preserve"> </w:t>
      </w:r>
      <w:r w:rsidR="00212CEF">
        <w:rPr>
          <w:rFonts w:cs="Times New Roman"/>
          <w:iCs/>
          <w:szCs w:val="24"/>
          <w:lang w:val="fr-CA"/>
        </w:rPr>
        <w:t>[2019</w:t>
      </w:r>
      <w:r w:rsidR="00212CEF" w:rsidRPr="00212CEF">
        <w:rPr>
          <w:rFonts w:cs="Times New Roman"/>
          <w:iCs/>
          <w:szCs w:val="24"/>
          <w:lang w:val="fr-CA"/>
        </w:rPr>
        <w:t xml:space="preserve">] </w:t>
      </w:r>
      <w:r w:rsidR="00E508E4">
        <w:rPr>
          <w:rFonts w:cs="Times New Roman"/>
          <w:iCs/>
          <w:smallCaps/>
          <w:szCs w:val="24"/>
          <w:lang w:val="fr-CA"/>
        </w:rPr>
        <w:t>2</w:t>
      </w:r>
      <w:r w:rsidR="00212CEF">
        <w:rPr>
          <w:rFonts w:cs="Times New Roman"/>
          <w:iCs/>
          <w:szCs w:val="24"/>
          <w:lang w:val="fr-CA"/>
        </w:rPr>
        <w:t xml:space="preserve"> R.C.S. </w:t>
      </w:r>
      <w:r w:rsidR="00E508E4">
        <w:rPr>
          <w:rFonts w:cs="Times New Roman"/>
          <w:iCs/>
          <w:smallCaps/>
          <w:szCs w:val="24"/>
          <w:lang w:val="fr-CA"/>
        </w:rPr>
        <w:t>105</w:t>
      </w:r>
      <w:r w:rsidRPr="00EF0F72">
        <w:rPr>
          <w:lang w:val="fr-CA"/>
        </w:rPr>
        <w:t xml:space="preserve">, et </w:t>
      </w:r>
      <w:r w:rsidRPr="00EF0F72">
        <w:rPr>
          <w:i/>
          <w:lang w:val="fr-CA"/>
        </w:rPr>
        <w:t>R. c. Oland</w:t>
      </w:r>
      <w:r w:rsidRPr="00EF0F72">
        <w:rPr>
          <w:lang w:val="fr-CA"/>
        </w:rPr>
        <w:t>,</w:t>
      </w:r>
      <w:r w:rsidRPr="00EF0F72">
        <w:rPr>
          <w:i/>
          <w:lang w:val="fr-CA"/>
        </w:rPr>
        <w:t xml:space="preserve"> </w:t>
      </w:r>
      <w:r w:rsidRPr="00EF0F72">
        <w:rPr>
          <w:lang w:val="fr-CA"/>
        </w:rPr>
        <w:t>2017 CSC 17, [2017] 1 R.C.S. 250, que les questions de mise en liberté provisoire par voie judiciaire peuvent échapper à l’examen judiciaire en raison de leur nature temporaire. L’appelant et l’intimé exhortent tous les deux la Cour à concilier les divergences de la jurisprudence sur la question au cœur du présent pourvoi malgré le fait que la décision rendue n’aura aucune incidence immédiate sur M. Penunsi. Je conviens avec les parties qu’il s’agit d’une situation où l’importance de la question en litige et l’incohérence constatée dans la jurisprudence des juridictions d’appel justifient l’affectation de ressources judiciaires pour trancher une question théorique (</w:t>
      </w:r>
      <w:r w:rsidRPr="00EF0F72">
        <w:rPr>
          <w:i/>
          <w:lang w:val="fr-CA"/>
        </w:rPr>
        <w:t>R. c. Smith</w:t>
      </w:r>
      <w:r w:rsidRPr="00EF0F72">
        <w:rPr>
          <w:lang w:val="fr-CA"/>
        </w:rPr>
        <w:t>,</w:t>
      </w:r>
      <w:r w:rsidRPr="00EF0F72">
        <w:rPr>
          <w:i/>
          <w:lang w:val="fr-CA"/>
        </w:rPr>
        <w:t xml:space="preserve"> </w:t>
      </w:r>
      <w:r w:rsidRPr="00EF0F72">
        <w:rPr>
          <w:lang w:val="fr-CA"/>
        </w:rPr>
        <w:t xml:space="preserve">2004 CSC 14, [2004] 1 R.C.S. 385, par. 50; </w:t>
      </w:r>
      <w:r w:rsidRPr="00EF0F72">
        <w:rPr>
          <w:i/>
          <w:lang w:val="fr-CA"/>
        </w:rPr>
        <w:t>Borowski</w:t>
      </w:r>
      <w:r w:rsidRPr="00EF0F72">
        <w:rPr>
          <w:rStyle w:val="reflex3-alt"/>
          <w:rFonts w:cs="Times New Roman"/>
          <w:szCs w:val="24"/>
          <w:lang w:val="fr-CA"/>
        </w:rPr>
        <w:t>)</w:t>
      </w:r>
      <w:r w:rsidRPr="00EF0F72">
        <w:rPr>
          <w:lang w:val="fr-CA"/>
        </w:rPr>
        <w:t>.</w:t>
      </w:r>
    </w:p>
    <w:p w:rsidR="004965B0" w:rsidRPr="00EF0F72" w:rsidRDefault="004965B0" w:rsidP="004965B0">
      <w:pPr>
        <w:pStyle w:val="Title2LevelTitre2Niveau"/>
        <w:spacing w:before="0"/>
        <w:rPr>
          <w:rFonts w:cs="Times New Roman"/>
          <w:lang w:val="fr-CA"/>
        </w:rPr>
      </w:pPr>
      <w:bookmarkStart w:id="7" w:name="_Toc5970139"/>
      <w:r w:rsidRPr="00EF0F72">
        <w:rPr>
          <w:rFonts w:cs="Times New Roman"/>
          <w:lang w:val="fr-CA"/>
        </w:rPr>
        <w:lastRenderedPageBreak/>
        <w:t>L’engagement de ne pas troubler l’ordre public et le pouvoir de légiférer en matière criminel</w:t>
      </w:r>
      <w:bookmarkEnd w:id="7"/>
      <w:r w:rsidRPr="00EF0F72">
        <w:rPr>
          <w:rFonts w:cs="Times New Roman"/>
          <w:lang w:val="fr-CA"/>
        </w:rPr>
        <w:t>le</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L’engagement de ne pas troubler l’ordre public est un outil de justice préventive. La prévention du crime est un objectif bien connu en droit criminel. Ainsi que le juge Locke l’expliquait dans l’arrêt </w:t>
      </w:r>
      <w:r w:rsidRPr="00EF0F72">
        <w:rPr>
          <w:rFonts w:cs="Times New Roman"/>
          <w:i/>
          <w:iCs/>
          <w:szCs w:val="24"/>
          <w:lang w:val="fr-CA"/>
        </w:rPr>
        <w:t>Goodyear Tire &amp; Rubber Co. of Canada c. The Queen</w:t>
      </w:r>
      <w:r w:rsidRPr="00D260AB">
        <w:rPr>
          <w:rFonts w:cs="Times New Roman"/>
          <w:szCs w:val="24"/>
          <w:lang w:val="fr-CA"/>
        </w:rPr>
        <w:t>,</w:t>
      </w:r>
      <w:r w:rsidRPr="00EF0F72">
        <w:rPr>
          <w:rFonts w:cs="Times New Roman"/>
          <w:szCs w:val="24"/>
          <w:lang w:val="fr-CA"/>
        </w:rPr>
        <w:t xml:space="preserve"> [1956] R.C.S. 303 : [</w:t>
      </w:r>
      <w:r w:rsidRPr="00EF0F72">
        <w:rPr>
          <w:rFonts w:cs="Times New Roman"/>
          <w:smallCaps/>
          <w:szCs w:val="24"/>
          <w:lang w:val="fr-CA"/>
        </w:rPr>
        <w:t>traduction</w:t>
      </w:r>
      <w:r w:rsidR="00E508E4">
        <w:rPr>
          <w:rFonts w:cs="Times New Roman"/>
          <w:szCs w:val="24"/>
          <w:lang w:val="fr-CA"/>
        </w:rPr>
        <w:t>] « L</w:t>
      </w:r>
      <w:r w:rsidRPr="00EF0F72">
        <w:rPr>
          <w:rFonts w:cs="Times New Roman"/>
          <w:lang w:val="fr-CA"/>
        </w:rPr>
        <w:t>e pouvoir de légiférer relativement au droit criminel n’est pas restreint, à mon avis, à la définition des infractions et à l’imposition de peines en sanctionnant la contravention. Le pouvoir du Parlement s’étend aussi bien à la prévention du crime qu’à son châtiment </w:t>
      </w:r>
      <w:r w:rsidRPr="00EF0F72">
        <w:rPr>
          <w:rFonts w:cs="Times New Roman"/>
          <w:sz w:val="20"/>
          <w:szCs w:val="20"/>
          <w:lang w:val="fr-CA"/>
        </w:rPr>
        <w:t xml:space="preserve">» </w:t>
      </w:r>
      <w:r w:rsidRPr="00EF0F72">
        <w:rPr>
          <w:rFonts w:cs="Times New Roman"/>
          <w:szCs w:val="24"/>
          <w:lang w:val="fr-CA"/>
        </w:rPr>
        <w:t xml:space="preserve">(p. 308; voir également </w:t>
      </w:r>
      <w:r w:rsidRPr="00EF0F72">
        <w:rPr>
          <w:rFonts w:cs="Times New Roman"/>
          <w:i/>
          <w:szCs w:val="24"/>
          <w:lang w:val="fr-CA"/>
        </w:rPr>
        <w:t>R. c. S. (S.)</w:t>
      </w:r>
      <w:r w:rsidRPr="00EF0F72">
        <w:rPr>
          <w:rFonts w:cs="Times New Roman"/>
          <w:szCs w:val="24"/>
          <w:lang w:val="fr-CA"/>
        </w:rPr>
        <w:t>, [1990] 2 R.C.S. 254, p. 282).</w:t>
      </w:r>
    </w:p>
    <w:p w:rsidR="004965B0" w:rsidRPr="00EF0F72" w:rsidRDefault="004965B0" w:rsidP="004965B0">
      <w:pPr>
        <w:pStyle w:val="ParaNoNdepar-AltN"/>
        <w:spacing w:before="0"/>
        <w:rPr>
          <w:rFonts w:cs="Times New Roman"/>
          <w:lang w:val="fr-CA"/>
        </w:rPr>
      </w:pPr>
      <w:r w:rsidRPr="00EF0F72">
        <w:rPr>
          <w:rFonts w:cs="Times New Roman"/>
          <w:lang w:val="fr-CA"/>
        </w:rPr>
        <w:t xml:space="preserve">Dans l’arrêt </w:t>
      </w:r>
      <w:r w:rsidRPr="00EF0F72">
        <w:rPr>
          <w:rFonts w:cs="Times New Roman"/>
          <w:bCs/>
          <w:i/>
          <w:iCs/>
          <w:lang w:val="fr-CA"/>
        </w:rPr>
        <w:t>Mackenzie c. Martin</w:t>
      </w:r>
      <w:r w:rsidRPr="00EF0F72">
        <w:rPr>
          <w:rFonts w:cs="Times New Roman"/>
          <w:lang w:val="fr-CA"/>
        </w:rPr>
        <w:t>, [1954] R.C.S. 361, le juge Kerwin (plus tard juge en chef) écrivait que l’engagement de ne pas troubler l’ordre public représente une forme de justice préventive qui [</w:t>
      </w:r>
      <w:r w:rsidRPr="00EF0F72">
        <w:rPr>
          <w:rFonts w:cs="Times New Roman"/>
          <w:smallCaps/>
          <w:lang w:val="fr-CA"/>
        </w:rPr>
        <w:t>traduction</w:t>
      </w:r>
      <w:r w:rsidRPr="00EF0F72">
        <w:rPr>
          <w:rFonts w:cs="Times New Roman"/>
          <w:lang w:val="fr-CA"/>
        </w:rPr>
        <w:t xml:space="preserve">] « consiste à obliger ceux dont, pour des motifs vraisemblables, on suspecte une mauvaise conduite ultérieure, à contracter un engagement envers le public qu’une telle infraction, que l’on redoute, ne se produira pas, en fournissant des gages ou des cautions garantissant qu’ils ne troubleront pas l’ordre public ou qu’ils adopteront une bonne conduite » (p. 368, citant W. Blackstone, </w:t>
      </w:r>
      <w:r w:rsidRPr="00EF0F72">
        <w:rPr>
          <w:rFonts w:cs="Times New Roman"/>
          <w:i/>
          <w:szCs w:val="24"/>
          <w:lang w:val="fr-CA"/>
        </w:rPr>
        <w:t>Commentaries on the Laws of England</w:t>
      </w:r>
      <w:r w:rsidRPr="00EF0F72">
        <w:rPr>
          <w:rFonts w:cs="Times New Roman"/>
          <w:szCs w:val="24"/>
          <w:lang w:val="fr-CA"/>
        </w:rPr>
        <w:t xml:space="preserve"> (16</w:t>
      </w:r>
      <w:r w:rsidRPr="00EF0F72">
        <w:rPr>
          <w:rFonts w:cs="Times New Roman"/>
          <w:szCs w:val="24"/>
          <w:vertAlign w:val="superscript"/>
          <w:lang w:val="fr-CA"/>
        </w:rPr>
        <w:t>e</w:t>
      </w:r>
      <w:r w:rsidRPr="00EF0F72">
        <w:rPr>
          <w:rFonts w:cs="Times New Roman"/>
          <w:szCs w:val="24"/>
          <w:lang w:val="fr-CA"/>
        </w:rPr>
        <w:t> éd. 1825)</w:t>
      </w:r>
      <w:r w:rsidR="00E508E4">
        <w:rPr>
          <w:rFonts w:cs="Times New Roman"/>
          <w:szCs w:val="24"/>
          <w:lang w:val="fr-CA"/>
        </w:rPr>
        <w:t>,</w:t>
      </w:r>
      <w:r w:rsidR="00E24D2B">
        <w:rPr>
          <w:rFonts w:cs="Times New Roman"/>
          <w:szCs w:val="24"/>
          <w:lang w:val="fr-CA"/>
        </w:rPr>
        <w:t xml:space="preserve"> p. 251</w:t>
      </w:r>
      <w:r w:rsidRPr="00EF0F72">
        <w:rPr>
          <w:rFonts w:cs="Times New Roman"/>
          <w:szCs w:val="24"/>
          <w:lang w:val="fr-CA"/>
        </w:rPr>
        <w:t xml:space="preserve">, </w:t>
      </w:r>
      <w:r w:rsidRPr="00EF0F72">
        <w:rPr>
          <w:rFonts w:cs="Times New Roman"/>
          <w:lang w:val="fr-CA"/>
        </w:rPr>
        <w:t xml:space="preserve">cité dans l’arrêt </w:t>
      </w:r>
      <w:r w:rsidRPr="00EF0F72">
        <w:rPr>
          <w:rFonts w:cs="Times New Roman"/>
          <w:i/>
          <w:lang w:val="fr-CA"/>
        </w:rPr>
        <w:t>R. c. Parks</w:t>
      </w:r>
      <w:r w:rsidRPr="00EF0F72">
        <w:rPr>
          <w:rFonts w:cs="Times New Roman"/>
          <w:lang w:val="fr-CA"/>
        </w:rPr>
        <w:t>,</w:t>
      </w:r>
      <w:r w:rsidRPr="00EF0F72">
        <w:rPr>
          <w:rFonts w:cs="Times New Roman"/>
          <w:i/>
          <w:lang w:val="fr-CA"/>
        </w:rPr>
        <w:t xml:space="preserve"> </w:t>
      </w:r>
      <w:r w:rsidRPr="00EF0F72">
        <w:rPr>
          <w:rFonts w:cs="Times New Roman"/>
          <w:lang w:val="fr-CA"/>
        </w:rPr>
        <w:t>[1992] 2 R.C.S. 871, p. 911, le juge Sopinka).</w:t>
      </w:r>
    </w:p>
    <w:p w:rsidR="004965B0" w:rsidRPr="00EF0F72" w:rsidRDefault="004965B0" w:rsidP="004965B0">
      <w:pPr>
        <w:pStyle w:val="ParaNoNdepar-AltN"/>
        <w:spacing w:before="0"/>
        <w:rPr>
          <w:rFonts w:cs="Times New Roman"/>
          <w:lang w:val="fr-CA"/>
        </w:rPr>
      </w:pPr>
      <w:r w:rsidRPr="00EF0F72">
        <w:rPr>
          <w:rFonts w:cs="Times New Roman"/>
          <w:lang w:val="fr-CA"/>
        </w:rPr>
        <w:t xml:space="preserve">L’affaire </w:t>
      </w:r>
      <w:r w:rsidRPr="00EF0F72">
        <w:rPr>
          <w:rFonts w:cs="Times New Roman"/>
          <w:i/>
          <w:lang w:val="fr-CA"/>
        </w:rPr>
        <w:t>R. c. Budreo</w:t>
      </w:r>
      <w:r w:rsidRPr="00EF0F72">
        <w:rPr>
          <w:rFonts w:cs="Times New Roman"/>
          <w:lang w:val="fr-CA"/>
        </w:rPr>
        <w:t xml:space="preserve"> (1996), 27 O.R. (3d) 347 (C. Ont. Div. gén.) (« </w:t>
      </w:r>
      <w:r w:rsidRPr="00EF0F72">
        <w:rPr>
          <w:rFonts w:cs="Times New Roman"/>
          <w:i/>
          <w:lang w:val="fr-CA"/>
        </w:rPr>
        <w:t>Budreo C.S.</w:t>
      </w:r>
      <w:r w:rsidRPr="00EF0F72">
        <w:rPr>
          <w:rFonts w:cs="Times New Roman"/>
          <w:lang w:val="fr-CA"/>
        </w:rPr>
        <w:t xml:space="preserve"> ») portait sur une contestation constitutionnelle de l’engagement de ne pas troubler l’ordre public prévu à l’art. 810.1 du </w:t>
      </w:r>
      <w:r w:rsidRPr="00EF0F72">
        <w:rPr>
          <w:rFonts w:cs="Times New Roman"/>
          <w:i/>
          <w:lang w:val="fr-CA"/>
        </w:rPr>
        <w:t xml:space="preserve">Code criminel. </w:t>
      </w:r>
      <w:r w:rsidRPr="00EF0F72">
        <w:rPr>
          <w:rFonts w:cs="Times New Roman"/>
          <w:lang w:val="fr-CA"/>
        </w:rPr>
        <w:t xml:space="preserve">Le juge Then écrivait </w:t>
      </w:r>
      <w:r w:rsidRPr="00EF0F72">
        <w:rPr>
          <w:rFonts w:cs="Times New Roman"/>
          <w:lang w:val="fr-CA"/>
        </w:rPr>
        <w:lastRenderedPageBreak/>
        <w:t xml:space="preserve">ce qui suit au sujet du </w:t>
      </w:r>
      <w:r w:rsidRPr="00EF0F72">
        <w:rPr>
          <w:rFonts w:cs="Times New Roman"/>
          <w:szCs w:val="24"/>
          <w:lang w:val="fr-CA"/>
        </w:rPr>
        <w:t>caractère préventif de l’engagement de ne pas troubler l’ordre public :</w:t>
      </w:r>
    </w:p>
    <w:p w:rsidR="004965B0" w:rsidRPr="00EF0F72" w:rsidRDefault="004965B0" w:rsidP="004965B0">
      <w:pPr>
        <w:pStyle w:val="Citation-AltC"/>
        <w:tabs>
          <w:tab w:val="left" w:pos="1170"/>
        </w:tabs>
        <w:ind w:hanging="446"/>
        <w:contextualSpacing w:val="0"/>
        <w:rPr>
          <w:lang w:val="fr-CA"/>
        </w:rPr>
      </w:pPr>
      <w:r w:rsidRPr="00EF0F72">
        <w:rPr>
          <w:lang w:val="fr-CA"/>
        </w:rPr>
        <w:tab/>
        <w:t>[</w:t>
      </w:r>
      <w:r w:rsidRPr="00EF0F72">
        <w:rPr>
          <w:smallCaps/>
          <w:lang w:val="fr-CA"/>
        </w:rPr>
        <w:t>traduction</w:t>
      </w:r>
      <w:r w:rsidRPr="00EF0F72">
        <w:rPr>
          <w:lang w:val="fr-CA"/>
        </w:rPr>
        <w:t>] Pour tenter de définir ce en quoi consiste la notion de justice fondamentale dans une société libérale, le tribunal doit tenir compte de l’évolution du pouvoir en cause, ainsi que des considérations de principe qui le sous</w:t>
      </w:r>
      <w:r w:rsidRPr="00EF0F72">
        <w:rPr>
          <w:lang w:val="fr-CA"/>
        </w:rPr>
        <w:noBreakHyphen/>
        <w:t>tendent. La justice préventive est l’exercice du pouvoir judiciaire non pas pour sanctionner une conduite passée, mais pour prévenir des comportements répréhensibles et des préjudices à venir. L’exercice de ce pouvoir est justifié par le risque de préjudice ou par la dangerosité que p</w:t>
      </w:r>
      <w:r w:rsidR="00D260AB">
        <w:rPr>
          <w:lang w:val="fr-CA"/>
        </w:rPr>
        <w:t>osent certains individus . . </w:t>
      </w:r>
      <w:r w:rsidRPr="00EF0F72">
        <w:rPr>
          <w:lang w:val="fr-CA"/>
        </w:rPr>
        <w:t>. [p. 368</w:t>
      </w:r>
      <w:r w:rsidRPr="00EF0F72">
        <w:rPr>
          <w:lang w:val="fr-CA"/>
        </w:rPr>
        <w:noBreakHyphen/>
        <w:t>369]</w:t>
      </w:r>
    </w:p>
    <w:p w:rsidR="004965B0" w:rsidRPr="00EF0F72" w:rsidRDefault="004965B0" w:rsidP="004965B0">
      <w:pPr>
        <w:pStyle w:val="ContinueParaSuitedupar-AltP"/>
        <w:spacing w:before="0"/>
        <w:rPr>
          <w:rFonts w:cs="Times New Roman"/>
          <w:lang w:val="fr-CA"/>
        </w:rPr>
      </w:pPr>
      <w:r w:rsidRPr="00EF0F72">
        <w:rPr>
          <w:rFonts w:eastAsia="Times New Roman" w:cs="Times New Roman"/>
          <w:szCs w:val="24"/>
          <w:lang w:val="fr-CA" w:eastAsia="en-CA"/>
        </w:rPr>
        <w:t>L</w:t>
      </w:r>
      <w:r w:rsidRPr="00EF0F72">
        <w:rPr>
          <w:rFonts w:cs="Times New Roman"/>
          <w:lang w:val="fr-CA"/>
        </w:rPr>
        <w:t>e juge Laskin a repris à son compte ces propos dans la décision par laquelle il a confirmé les motifs du juge Then (</w:t>
      </w:r>
      <w:r w:rsidRPr="00EF0F72">
        <w:rPr>
          <w:rFonts w:cs="Times New Roman"/>
          <w:i/>
          <w:lang w:val="fr-CA"/>
        </w:rPr>
        <w:t>R. c. Budreo</w:t>
      </w:r>
      <w:r w:rsidRPr="00EF0F72">
        <w:rPr>
          <w:rFonts w:cs="Times New Roman"/>
          <w:lang w:val="fr-CA"/>
        </w:rPr>
        <w:t xml:space="preserve"> (2000), 46 O.R. (3d) 481 (C.A.) (« </w:t>
      </w:r>
      <w:r w:rsidRPr="00EF0F72">
        <w:rPr>
          <w:rFonts w:cs="Times New Roman"/>
          <w:i/>
          <w:lang w:val="fr-CA"/>
        </w:rPr>
        <w:t>Budreo C.A.</w:t>
      </w:r>
      <w:r w:rsidRPr="00EF0F72">
        <w:rPr>
          <w:rFonts w:cs="Times New Roman"/>
          <w:lang w:val="fr-CA"/>
        </w:rPr>
        <w:t> »), autorisation de pourvoi refusée, [2001] 1 R.C.S. vii</w:t>
      </w:r>
      <w:r>
        <w:rPr>
          <w:rFonts w:cs="Times New Roman"/>
          <w:lang w:val="fr-CA"/>
        </w:rPr>
        <w:t>)</w:t>
      </w:r>
      <w:r w:rsidRPr="00EF0F72">
        <w:rPr>
          <w:rFonts w:cs="Times New Roman"/>
          <w:lang w:val="fr-CA"/>
        </w:rPr>
        <w:t> :</w:t>
      </w:r>
    </w:p>
    <w:p w:rsidR="004965B0" w:rsidRPr="00EF0F72" w:rsidRDefault="004965B0" w:rsidP="004965B0">
      <w:pPr>
        <w:pStyle w:val="Citation-AltC"/>
        <w:tabs>
          <w:tab w:val="left" w:pos="1440"/>
        </w:tabs>
        <w:contextualSpacing w:val="0"/>
        <w:rPr>
          <w:lang w:val="fr-CA"/>
        </w:rPr>
      </w:pPr>
      <w:r w:rsidRPr="00EF0F72">
        <w:rPr>
          <w:lang w:val="fr-CA"/>
        </w:rPr>
        <w:tab/>
        <w:t>[</w:t>
      </w:r>
      <w:r w:rsidRPr="00EF0F72">
        <w:rPr>
          <w:smallCaps/>
          <w:lang w:val="fr-CA"/>
        </w:rPr>
        <w:t>traduction</w:t>
      </w:r>
      <w:r w:rsidRPr="00EF0F72">
        <w:rPr>
          <w:lang w:val="fr-CA"/>
        </w:rPr>
        <w:t xml:space="preserve">] Le système de justice criminelle a deux grands objectifs : punir les auteurs d’actes répréhensibles et empêcher les préjudices futurs. Une loi visant la prévention du crime constitue un exercice tout aussi valable du pouvoir fédéral de légiférer en matière criminelle que confère le par. 91(27) de la </w:t>
      </w:r>
      <w:r w:rsidRPr="00EF0F72">
        <w:rPr>
          <w:i/>
          <w:lang w:val="fr-CA"/>
        </w:rPr>
        <w:t>Loi constitutionnelle de 1867</w:t>
      </w:r>
      <w:r w:rsidRPr="00EF0F72">
        <w:rPr>
          <w:lang w:val="fr-CA"/>
        </w:rPr>
        <w:t xml:space="preserve"> qu’une loi visant à punir le crime. [Note en bas de page omise; par. 27]</w:t>
      </w:r>
    </w:p>
    <w:p w:rsidR="004965B0" w:rsidRPr="00EF0F72" w:rsidRDefault="004965B0" w:rsidP="004965B0">
      <w:pPr>
        <w:pStyle w:val="ParaNoNdepar-AltN"/>
        <w:spacing w:before="0"/>
        <w:rPr>
          <w:rFonts w:cs="Times New Roman"/>
          <w:lang w:val="fr-CA"/>
        </w:rPr>
      </w:pPr>
      <w:r w:rsidRPr="00EF0F72">
        <w:rPr>
          <w:rFonts w:cs="Times New Roman"/>
          <w:szCs w:val="24"/>
          <w:lang w:val="fr-CA"/>
        </w:rPr>
        <w:t xml:space="preserve">L’engagement moderne de ne pas troubler l’ordre public remonte aux années 1300, à la pratique courante en common law de « l’imposition de conditions à la libération », soit le pouvoir des tribunaux de rendre des ordonnances sur une base préventive afin de maintenir l’ordre social malgré l’absence d’accusation criminelle spécifique, dans le but d’empêcher la perpétration d’un large éventail d’actes indésirables. La première mention de cette pratique remonte à la </w:t>
      </w:r>
      <w:r w:rsidRPr="00EF0F72">
        <w:rPr>
          <w:rFonts w:cs="Times New Roman"/>
          <w:i/>
          <w:szCs w:val="24"/>
          <w:lang w:val="fr-CA"/>
        </w:rPr>
        <w:t>Justices of the Peace Act 1361</w:t>
      </w:r>
      <w:r w:rsidRPr="00EF0F72">
        <w:rPr>
          <w:rFonts w:cs="Times New Roman"/>
          <w:szCs w:val="24"/>
          <w:lang w:val="fr-CA"/>
        </w:rPr>
        <w:t xml:space="preserve"> (Ang</w:t>
      </w:r>
      <w:r w:rsidR="00D260AB">
        <w:rPr>
          <w:rFonts w:cs="Times New Roman"/>
          <w:szCs w:val="24"/>
          <w:lang w:val="fr-CA"/>
        </w:rPr>
        <w:t>l</w:t>
      </w:r>
      <w:r w:rsidRPr="00EF0F72">
        <w:rPr>
          <w:rFonts w:cs="Times New Roman"/>
          <w:szCs w:val="24"/>
          <w:lang w:val="fr-CA"/>
        </w:rPr>
        <w:t>.),</w:t>
      </w:r>
      <w:r w:rsidR="00D260AB">
        <w:rPr>
          <w:rFonts w:cs="Times New Roman"/>
          <w:szCs w:val="24"/>
          <w:lang w:val="fr-CA"/>
        </w:rPr>
        <w:t xml:space="preserve"> 1361,</w:t>
      </w:r>
      <w:r w:rsidRPr="00EF0F72">
        <w:rPr>
          <w:rFonts w:cs="Times New Roman"/>
          <w:szCs w:val="24"/>
          <w:lang w:val="fr-CA"/>
        </w:rPr>
        <w:t xml:space="preserve"> 34 Edw. 3, c.1, qui conférait aux juges de paix le pouvoir [</w:t>
      </w:r>
      <w:r w:rsidRPr="00EF0F72">
        <w:rPr>
          <w:rFonts w:cs="Times New Roman"/>
          <w:smallCaps/>
          <w:szCs w:val="24"/>
          <w:lang w:val="fr-CA"/>
        </w:rPr>
        <w:t>traduction</w:t>
      </w:r>
      <w:r w:rsidRPr="00EF0F72">
        <w:rPr>
          <w:rFonts w:cs="Times New Roman"/>
          <w:szCs w:val="24"/>
          <w:lang w:val="fr-CA"/>
        </w:rPr>
        <w:t>] « d’obtenir de la part des personnes qui se présentent devant eux un engagement suffisant d’avoir une bonne conduite à l’égard du roi et d</w:t>
      </w:r>
      <w:r w:rsidR="00D260AB">
        <w:rPr>
          <w:rFonts w:cs="Times New Roman"/>
          <w:szCs w:val="24"/>
          <w:lang w:val="fr-CA"/>
        </w:rPr>
        <w:t xml:space="preserve">e son peuple » </w:t>
      </w:r>
      <w:r w:rsidR="00D260AB">
        <w:rPr>
          <w:rFonts w:cs="Times New Roman"/>
          <w:szCs w:val="24"/>
          <w:lang w:val="fr-CA"/>
        </w:rPr>
        <w:lastRenderedPageBreak/>
        <w:t>(Law Commission N</w:t>
      </w:r>
      <w:r w:rsidRPr="00EF0F72">
        <w:rPr>
          <w:rFonts w:cs="Times New Roman"/>
          <w:szCs w:val="24"/>
          <w:lang w:val="fr-CA"/>
        </w:rPr>
        <w:t xml:space="preserve">o. 222, </w:t>
      </w:r>
      <w:r w:rsidRPr="00EF0F72">
        <w:rPr>
          <w:rFonts w:cs="Times New Roman"/>
          <w:i/>
          <w:szCs w:val="24"/>
          <w:lang w:val="fr-CA"/>
        </w:rPr>
        <w:t xml:space="preserve">Binding Over: Report on Reference under Section 3(1)(e) of the Law Commissions Act 1965 </w:t>
      </w:r>
      <w:r w:rsidRPr="00EF0F72">
        <w:rPr>
          <w:rFonts w:cs="Times New Roman"/>
          <w:szCs w:val="24"/>
          <w:lang w:val="fr-CA"/>
        </w:rPr>
        <w:t>(1994), cité dans D. Orr, « Section 810 Peace Bond Applications in Newfoundland » (2002),</w:t>
      </w:r>
      <w:r w:rsidRPr="00EF0F72">
        <w:rPr>
          <w:rFonts w:cs="Times New Roman"/>
          <w:i/>
          <w:szCs w:val="24"/>
          <w:lang w:val="fr-CA"/>
        </w:rPr>
        <w:t xml:space="preserve"> </w:t>
      </w:r>
      <w:r w:rsidRPr="00EF0F72">
        <w:rPr>
          <w:rFonts w:cs="Times New Roman"/>
          <w:szCs w:val="24"/>
          <w:lang w:val="fr-CA"/>
        </w:rPr>
        <w:t>46 </w:t>
      </w:r>
      <w:r w:rsidRPr="00EF0F72">
        <w:rPr>
          <w:rFonts w:cs="Times New Roman"/>
          <w:i/>
          <w:szCs w:val="24"/>
          <w:lang w:val="fr-CA"/>
        </w:rPr>
        <w:t>Crim. L.Q.</w:t>
      </w:r>
      <w:r w:rsidRPr="00EF0F72">
        <w:rPr>
          <w:rFonts w:cs="Times New Roman"/>
          <w:szCs w:val="24"/>
          <w:lang w:val="fr-CA"/>
        </w:rPr>
        <w:t> 391, p. 391).</w:t>
      </w:r>
    </w:p>
    <w:p w:rsidR="004965B0" w:rsidRPr="00EF0F72" w:rsidRDefault="004965B0" w:rsidP="004965B0">
      <w:pPr>
        <w:pStyle w:val="ParaNoNdepar-AltN"/>
        <w:spacing w:before="0"/>
        <w:rPr>
          <w:rFonts w:cs="Times New Roman"/>
          <w:lang w:val="fr-CA"/>
        </w:rPr>
      </w:pPr>
      <w:r w:rsidRPr="00EF0F72">
        <w:rPr>
          <w:rFonts w:cs="Times New Roman"/>
          <w:szCs w:val="24"/>
          <w:lang w:val="fr-CA"/>
        </w:rPr>
        <w:t xml:space="preserve">En 1892, les règles de droit anglais en vigueur ont été codifiées dans le </w:t>
      </w:r>
      <w:r w:rsidRPr="00EF0F72">
        <w:rPr>
          <w:rFonts w:cs="Times New Roman"/>
          <w:i/>
          <w:szCs w:val="24"/>
          <w:lang w:val="fr-CA"/>
        </w:rPr>
        <w:t>Code criminel</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 xml:space="preserve">y compris celles relatives à l’engagement de ne pas troubler l’ordre public reconnues en common law. Le paragraphe 959(2) du </w:t>
      </w:r>
      <w:r w:rsidRPr="00EF0F72">
        <w:rPr>
          <w:rFonts w:cs="Times New Roman"/>
          <w:i/>
          <w:szCs w:val="24"/>
          <w:lang w:val="fr-CA"/>
        </w:rPr>
        <w:t>Code criminel, 1892</w:t>
      </w:r>
      <w:r w:rsidRPr="00EF0F72">
        <w:rPr>
          <w:rFonts w:cs="Times New Roman"/>
          <w:szCs w:val="24"/>
          <w:lang w:val="fr-CA"/>
        </w:rPr>
        <w:t>, S.C. 1892, c. 29, disposait :</w:t>
      </w:r>
    </w:p>
    <w:p w:rsidR="004965B0" w:rsidRPr="00EF0F72" w:rsidRDefault="004965B0" w:rsidP="004965B0">
      <w:pPr>
        <w:pStyle w:val="Citation-AltC"/>
        <w:tabs>
          <w:tab w:val="left" w:pos="1440"/>
        </w:tabs>
        <w:contextualSpacing w:val="0"/>
        <w:rPr>
          <w:lang w:val="fr-CA"/>
        </w:rPr>
      </w:pPr>
      <w:r w:rsidRPr="00EF0F72">
        <w:rPr>
          <w:lang w:val="fr-CA"/>
        </w:rPr>
        <w:tab/>
        <w:t xml:space="preserve">2. Sur plainte portée par toute personne ou au nom de </w:t>
      </w:r>
      <w:r w:rsidRPr="00EF0F72">
        <w:rPr>
          <w:lang w:val="fr-CA" w:eastAsia="fr-CA"/>
        </w:rPr>
        <w:t>toute personne que, par suite de menaces faites par quelque autre personne ou pour toute autre raison, le plaignant craint</w:t>
      </w:r>
      <w:r w:rsidRPr="00EF0F72">
        <w:rPr>
          <w:lang w:val="fr-CA"/>
        </w:rPr>
        <w:t xml:space="preserve"> </w:t>
      </w:r>
      <w:r w:rsidRPr="00EF0F72">
        <w:rPr>
          <w:lang w:val="fr-CA" w:eastAsia="fr-CA"/>
        </w:rPr>
        <w:t>que cette autre personne lui fasse à lui</w:t>
      </w:r>
      <w:r w:rsidRPr="00EF0F72">
        <w:rPr>
          <w:lang w:val="fr-CA" w:eastAsia="fr-CA"/>
        </w:rPr>
        <w:noBreakHyphen/>
        <w:t>même, à sa femme</w:t>
      </w:r>
      <w:r w:rsidRPr="00EF0F72">
        <w:rPr>
          <w:lang w:val="fr-CA"/>
        </w:rPr>
        <w:t xml:space="preserve"> </w:t>
      </w:r>
      <w:r w:rsidRPr="00EF0F72">
        <w:rPr>
          <w:lang w:val="fr-CA" w:eastAsia="fr-CA"/>
        </w:rPr>
        <w:t>ou à son enfant, quelque lésion personnelle, ou qu’il ne brûle</w:t>
      </w:r>
      <w:r w:rsidRPr="00EF0F72">
        <w:rPr>
          <w:lang w:val="fr-CA"/>
        </w:rPr>
        <w:t xml:space="preserve"> sa </w:t>
      </w:r>
      <w:r w:rsidRPr="00EF0F72">
        <w:rPr>
          <w:lang w:val="fr-CA" w:eastAsia="fr-CA"/>
        </w:rPr>
        <w:t>propriété o</w:t>
      </w:r>
      <w:r w:rsidR="00D260AB">
        <w:rPr>
          <w:lang w:val="fr-CA"/>
        </w:rPr>
        <w:t xml:space="preserve">u </w:t>
      </w:r>
      <w:r w:rsidRPr="00EF0F72">
        <w:rPr>
          <w:lang w:val="fr-CA" w:eastAsia="fr-CA"/>
        </w:rPr>
        <w:t>y mette le feu, le juge de paix devant</w:t>
      </w:r>
      <w:r w:rsidRPr="00EF0F72">
        <w:rPr>
          <w:lang w:val="fr-CA"/>
        </w:rPr>
        <w:t xml:space="preserve"> </w:t>
      </w:r>
      <w:r w:rsidRPr="00EF0F72">
        <w:rPr>
          <w:lang w:val="fr-CA" w:eastAsia="fr-CA"/>
        </w:rPr>
        <w:t>qui cette plainte est portée peut, s’il est convaincu que la</w:t>
      </w:r>
      <w:r w:rsidRPr="00EF0F72">
        <w:rPr>
          <w:lang w:val="fr-CA"/>
        </w:rPr>
        <w:t xml:space="preserve"> </w:t>
      </w:r>
      <w:r w:rsidRPr="00EF0F72">
        <w:rPr>
          <w:lang w:val="fr-CA" w:eastAsia="fr-CA"/>
        </w:rPr>
        <w:t>crainte du plaignant est fondée sur des motifs raisonnables</w:t>
      </w:r>
      <w:r w:rsidRPr="00EF0F72">
        <w:rPr>
          <w:lang w:val="fr-CA"/>
        </w:rPr>
        <w:t xml:space="preserve"> </w:t>
      </w:r>
      <w:r w:rsidRPr="00EF0F72">
        <w:rPr>
          <w:lang w:val="fr-CA" w:eastAsia="fr-CA"/>
        </w:rPr>
        <w:t>exiger que cette autre personne souscrive une</w:t>
      </w:r>
      <w:r w:rsidRPr="00EF0F72">
        <w:rPr>
          <w:lang w:val="fr-CA"/>
        </w:rPr>
        <w:t xml:space="preserve"> </w:t>
      </w:r>
      <w:r w:rsidRPr="00EF0F72">
        <w:rPr>
          <w:lang w:val="fr-CA" w:eastAsia="fr-CA"/>
        </w:rPr>
        <w:t>obligation</w:t>
      </w:r>
      <w:r w:rsidRPr="00EF0F72">
        <w:rPr>
          <w:lang w:val="fr-CA"/>
        </w:rPr>
        <w:t xml:space="preserve"> </w:t>
      </w:r>
      <w:r w:rsidRPr="00EF0F72">
        <w:rPr>
          <w:lang w:val="fr-CA" w:eastAsia="fr-CA"/>
        </w:rPr>
        <w:t>personnelle ou fournisse caution qu’elle gardera la paix et</w:t>
      </w:r>
      <w:r w:rsidRPr="00EF0F72">
        <w:rPr>
          <w:lang w:val="fr-CA"/>
        </w:rPr>
        <w:t xml:space="preserve"> </w:t>
      </w:r>
      <w:r w:rsidRPr="00EF0F72">
        <w:rPr>
          <w:lang w:val="fr-CA" w:eastAsia="fr-CA"/>
        </w:rPr>
        <w:t>tiendra une bonne conduite pendant tout espace de temps n’excédant pas douze mois.</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Les dispositions de 1892 sur l’engagement de ne pas troubler l’ordre public offrent beaucoup de similitudes avec les dispositions actuelles en la matière, mais comme dans le cas de l’engagement de ne pas troubler l’ordre public reconnu en common law, la tenue d’une audience n’était pas obligatoire. Lorsqu’il était convaincu que le « plaignant » avait une crainte qui était raisonnablement fondée, le juge de paix pouvait exiger que « l’autre personne » contracte un engagement de ne pas troubler l’ordre public et d’avoir une bonne conduite pour une période maximale de douze mois.</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lastRenderedPageBreak/>
        <w:t xml:space="preserve">En ce qui concerne les exigences procédurales des engagements de ne pas troubler l’ordre public reconnus en common law, le juge en chef Lamer, dissident dans l’arrêt </w:t>
      </w:r>
      <w:r w:rsidRPr="00EF0F72">
        <w:rPr>
          <w:rFonts w:cs="Times New Roman"/>
          <w:i/>
          <w:szCs w:val="24"/>
          <w:lang w:val="fr-CA"/>
        </w:rPr>
        <w:t>Parks</w:t>
      </w:r>
      <w:r w:rsidRPr="00EF0F72">
        <w:rPr>
          <w:rFonts w:cs="Times New Roman"/>
          <w:szCs w:val="24"/>
          <w:lang w:val="fr-CA"/>
        </w:rPr>
        <w:t>, citait l’extrait suivant d’un arrêt de la Cour d’appel de l’Angleterre :</w:t>
      </w:r>
    </w:p>
    <w:p w:rsidR="004965B0" w:rsidRPr="00EF0F72" w:rsidRDefault="004965B0" w:rsidP="004965B0">
      <w:pPr>
        <w:tabs>
          <w:tab w:val="left" w:pos="1170"/>
        </w:tabs>
        <w:spacing w:after="720"/>
        <w:ind w:left="1166" w:hanging="446"/>
        <w:jc w:val="both"/>
        <w:rPr>
          <w:lang w:val="fr-CA"/>
        </w:rPr>
      </w:pPr>
      <w:r w:rsidRPr="00EF0F72">
        <w:rPr>
          <w:lang w:val="fr-CA"/>
        </w:rPr>
        <w:tab/>
        <w:t>[</w:t>
      </w:r>
      <w:r w:rsidRPr="00EF0F72">
        <w:rPr>
          <w:smallCaps/>
          <w:lang w:val="fr-CA"/>
        </w:rPr>
        <w:t>traduction</w:t>
      </w:r>
      <w:r w:rsidRPr="00EF0F72">
        <w:rPr>
          <w:lang w:val="fr-CA"/>
        </w:rPr>
        <w:t>] Cela ne veut pas dire qu’il ne serait pas sage, et en fait courtois, dans ces affaires</w:t>
      </w:r>
      <w:r w:rsidRPr="00EF0F72">
        <w:rPr>
          <w:lang w:val="fr-CA"/>
        </w:rPr>
        <w:noBreakHyphen/>
        <w:t>là que les juges donnent un tel avertissement; il n’y aurait certes eu absolument aucun mal dans une affaire telle que l’espèce à ce que les juges, en retournant devant le tribunal, aient annoncé qu’ils étaient sur le point de prononcer l’acquittement, et aient ajouté immédiatement : « Nous envisageons cependant l’imposition de conditions à la libération, qu’en pensez</w:t>
      </w:r>
      <w:r w:rsidRPr="00EF0F72">
        <w:rPr>
          <w:lang w:val="fr-CA"/>
        </w:rPr>
        <w:noBreakHyphen/>
        <w:t xml:space="preserve">vous? » </w:t>
      </w:r>
      <w:r w:rsidRPr="00EF0F72">
        <w:rPr>
          <w:u w:val="single"/>
          <w:lang w:val="fr-CA"/>
        </w:rPr>
        <w:t>Je crois qu’il serait au moins courtois et peut</w:t>
      </w:r>
      <w:r w:rsidRPr="00EF0F72">
        <w:rPr>
          <w:u w:val="single"/>
          <w:lang w:val="fr-CA"/>
        </w:rPr>
        <w:noBreakHyphen/>
        <w:t>être sage de le faire, mais je ne puis pousser le principe jusqu’à dire que le défaut de donner un tel avertissement constitue un manquement aux règles de la justice naturelle.</w:t>
      </w:r>
      <w:r w:rsidRPr="00EF0F72">
        <w:rPr>
          <w:lang w:val="fr-CA"/>
        </w:rPr>
        <w:t xml:space="preserve"> [Soulignement dans l’original; p. 893</w:t>
      </w:r>
      <w:r w:rsidRPr="00EF0F72">
        <w:rPr>
          <w:lang w:val="fr-CA"/>
        </w:rPr>
        <w:noBreakHyphen/>
        <w:t xml:space="preserve">894, citant </w:t>
      </w:r>
      <w:r w:rsidRPr="00EF0F72">
        <w:rPr>
          <w:i/>
          <w:lang w:val="fr-CA"/>
        </w:rPr>
        <w:t>R. c. Woking Justices, Ex p. Gossage</w:t>
      </w:r>
      <w:r w:rsidRPr="00EF0F72">
        <w:rPr>
          <w:lang w:val="fr-CA"/>
        </w:rPr>
        <w:t>, [1973] 2 All E</w:t>
      </w:r>
      <w:r w:rsidR="00E508E4">
        <w:rPr>
          <w:lang w:val="fr-CA"/>
        </w:rPr>
        <w:t>.</w:t>
      </w:r>
      <w:r w:rsidRPr="00EF0F72">
        <w:rPr>
          <w:lang w:val="fr-CA"/>
        </w:rPr>
        <w:t>R</w:t>
      </w:r>
      <w:r w:rsidR="00E508E4">
        <w:rPr>
          <w:lang w:val="fr-CA"/>
        </w:rPr>
        <w:t>.</w:t>
      </w:r>
      <w:r w:rsidRPr="00EF0F72">
        <w:rPr>
          <w:lang w:val="fr-CA"/>
        </w:rPr>
        <w:t xml:space="preserve"> 621</w:t>
      </w:r>
      <w:r w:rsidR="00E508E4">
        <w:rPr>
          <w:lang w:val="fr-CA"/>
        </w:rPr>
        <w:t xml:space="preserve"> </w:t>
      </w:r>
      <w:r w:rsidR="00E508E4" w:rsidRPr="00E508E4">
        <w:rPr>
          <w:lang w:val="fr-CA"/>
        </w:rPr>
        <w:t>(C.A. Angl.)</w:t>
      </w:r>
      <w:r w:rsidRPr="00EF0F72">
        <w:rPr>
          <w:lang w:val="fr-CA"/>
        </w:rPr>
        <w:t>, p. 623.]</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Lors des modifications apportées en 1954 au </w:t>
      </w:r>
      <w:r w:rsidRPr="00EF0F72">
        <w:rPr>
          <w:rFonts w:cs="Times New Roman"/>
          <w:i/>
          <w:szCs w:val="24"/>
          <w:lang w:val="fr-CA"/>
        </w:rPr>
        <w:t>Code criminel</w:t>
      </w:r>
      <w:r w:rsidRPr="00EF0F72">
        <w:rPr>
          <w:rFonts w:cs="Times New Roman"/>
          <w:szCs w:val="24"/>
          <w:lang w:val="fr-CA"/>
        </w:rPr>
        <w:t>, S.C. 1953</w:t>
      </w:r>
      <w:r w:rsidRPr="00EF0F72">
        <w:rPr>
          <w:rFonts w:cs="Times New Roman"/>
          <w:szCs w:val="24"/>
          <w:lang w:val="fr-CA"/>
        </w:rPr>
        <w:noBreakHyphen/>
        <w:t xml:space="preserve">54, c. 51, les expressions « faire comparaître les parties », « preuve apportée » et la mention </w:t>
      </w:r>
      <w:r>
        <w:rPr>
          <w:rFonts w:cs="Times New Roman"/>
          <w:szCs w:val="24"/>
          <w:lang w:val="fr-CA"/>
        </w:rPr>
        <w:t>de la c</w:t>
      </w:r>
      <w:r w:rsidRPr="00EF0F72">
        <w:rPr>
          <w:rFonts w:cs="Times New Roman"/>
          <w:szCs w:val="24"/>
          <w:lang w:val="fr-CA"/>
        </w:rPr>
        <w:t>our « devant laquelle les parties comparaissent » ont été ajoutées à l’art. 717 (prédécesseur de l’art. 810). Ces modifications ont mis en place un régime en matière d’engagements de ne pas troubler l’ordre public plus solide sur le plan procédural, qui exigeait la tenue d’une audience, donnant ainsi au défendeur la possibilité de répondre à la crainte alléguée et de contester l’engagement. Comme je l’explique plus loin, avec égards, je ne puis souscrire à la conclusion de la Cour d’appel suivant laquelle l’édiction de dispositions où figure l’expression « fait comparaître les parties » ou « faire comparaître les parties » (p. ex., par. 810(2) et 810.2(2)) donne lieu à des [</w:t>
      </w:r>
      <w:r w:rsidRPr="00EF0F72">
        <w:rPr>
          <w:rFonts w:cs="Times New Roman"/>
          <w:smallCaps/>
          <w:szCs w:val="24"/>
          <w:lang w:val="fr-CA"/>
        </w:rPr>
        <w:t>traduction</w:t>
      </w:r>
      <w:r w:rsidRPr="00EF0F72">
        <w:rPr>
          <w:rFonts w:cs="Times New Roman"/>
          <w:szCs w:val="24"/>
          <w:lang w:val="fr-CA"/>
        </w:rPr>
        <w:t xml:space="preserve">] « dispositions particulières permettant de contraindre les parties à comparaître » ou que leur édiction a eu pour effet de créer un « mécanisme [unique] pour le traitement des dénonciations visant à obtenir un engagement de ne pas troubler l’ordre public » (par. 50) qui permet de contraindre le défendeur à comparaître à </w:t>
      </w:r>
      <w:r w:rsidRPr="00EF0F72">
        <w:rPr>
          <w:rFonts w:cs="Times New Roman"/>
          <w:szCs w:val="24"/>
          <w:lang w:val="fr-CA"/>
        </w:rPr>
        <w:lastRenderedPageBreak/>
        <w:t>l’audience. J’estime plutôt que l’ajout de ces termes visait fort vraisemblablement à traduire l’idée qu’avant d’ordonner au défendeur de contracter un engagement, le juge doit tenir une audience pour décider si la crainte du dénonciateur est raisonnablement fondée.</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Outre l’engagement général de ne pas troubler l’ordre public fondé sur la crainte de lésions personnelles ou de dommages à la propriété (art. 810), le législateur a, depuis le début des années 1990, ajouté un certain nombre d’engagements de ne pas troubler l’ordre public plus spécialisés concernant la crainte d’une infraction d’organisation criminelle, y compris l’intimidation d’une personne associée</w:t>
      </w:r>
      <w:r>
        <w:rPr>
          <w:rFonts w:cs="Times New Roman"/>
          <w:szCs w:val="24"/>
          <w:lang w:val="fr-CA"/>
        </w:rPr>
        <w:t xml:space="preserve"> </w:t>
      </w:r>
      <w:r w:rsidRPr="00EF0F72">
        <w:rPr>
          <w:rFonts w:cs="Times New Roman"/>
          <w:szCs w:val="24"/>
          <w:lang w:val="fr-CA"/>
        </w:rPr>
        <w:t>au système judiciaire ou d’un journaliste (art. 810.01), la crainte d’une infraction de terrorisme (art. 810.011 et art. 83.3)</w:t>
      </w:r>
      <w:r w:rsidRPr="00F73DAE">
        <w:rPr>
          <w:rStyle w:val="Hyperlink"/>
          <w:u w:val="none"/>
          <w:vertAlign w:val="superscript"/>
        </w:rPr>
        <w:footnoteReference w:id="1"/>
      </w:r>
      <w:r w:rsidRPr="00EF0F72">
        <w:rPr>
          <w:rFonts w:cs="Times New Roman"/>
          <w:szCs w:val="24"/>
          <w:lang w:val="fr-CA"/>
        </w:rPr>
        <w:t>, la crainte d’une infraction liée à un mariage forcé ou au mariage avec un enfant (art. 810.02), la crainte d’une infraction d’ordre sexuel commise contre un mineur (art. 810.1) et la crainte de sévices graves à la personne (art. 810.2).</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Les différents types d’engagement de ne pas troubler l’ordre public présentent tous les caractéristiques communes suivantes.</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Premièrement, toute personne (le dénonciateur) peut déposer une dénonciation dès lors qu’elle a des motifs raisonnables de craindre qu’une autre personne (le défendeur) cause certains types de sévices ou de dommages matériels ou </w:t>
      </w:r>
      <w:r w:rsidRPr="00EF0F72">
        <w:rPr>
          <w:rFonts w:cs="Times New Roman"/>
          <w:szCs w:val="24"/>
          <w:lang w:val="fr-CA"/>
        </w:rPr>
        <w:lastRenderedPageBreak/>
        <w:t>commette certains types d’infractions. Comme je l’explique plus loin, dans certains cas, le consentement du procureur général est requis pour déposer la dénonciation (p. ex., par. 810.2(1)).</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Deuxièmement, le juge (ou le juge de paix dans le cas d’un engagement de ne pas troubler l’ordre public visé à l’art. 810) qui reçoit la dénonciation peut « faire comparaître les parties » et tenir une audience sur le fond de la demande (p. ex., par. 810.2(2))</w:t>
      </w:r>
      <w:r w:rsidRPr="006E09F0">
        <w:rPr>
          <w:rStyle w:val="Hyperlink"/>
          <w:u w:val="none"/>
          <w:vertAlign w:val="superscript"/>
        </w:rPr>
        <w:footnoteReference w:id="2"/>
      </w:r>
      <w:r w:rsidRPr="00EF0F72">
        <w:rPr>
          <w:rFonts w:cs="Times New Roman"/>
          <w:szCs w:val="24"/>
          <w:lang w:val="fr-CA"/>
        </w:rPr>
        <w:t>. S’il est convaincu par la preuve présentée à l’audience que les craintes du dénonciateur sont fondées sur des motifs raisonnables, le juge peut ordonner au défendeur de contracter un engagement de ne pas troubler l’ordre public et d’avoir une bonne conduite pour une période maximale de douze mois (p. ex., par. 810.2(3))</w:t>
      </w:r>
      <w:r w:rsidRPr="006E09F0">
        <w:rPr>
          <w:rStyle w:val="Hyperlink"/>
          <w:u w:val="none"/>
          <w:vertAlign w:val="superscript"/>
        </w:rPr>
        <w:footnoteReference w:id="3"/>
      </w:r>
      <w:r w:rsidRPr="00EF0F72">
        <w:rPr>
          <w:rFonts w:cs="Times New Roman"/>
          <w:szCs w:val="24"/>
          <w:lang w:val="fr-CA"/>
        </w:rPr>
        <w:t>, et imposer des conditions supplémentaires au défendeur en vertu de la loi (p. ex., par. 810.2(4.1)).</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Troisièmement, le juge peut infliger au défendeur qui omet ou refuse de contracter l’engagement une peine de pr</w:t>
      </w:r>
      <w:r w:rsidR="00D260AB">
        <w:rPr>
          <w:rFonts w:cs="Times New Roman"/>
          <w:szCs w:val="24"/>
          <w:lang w:val="fr-CA"/>
        </w:rPr>
        <w:t>ison maximale de douze mois (p.</w:t>
      </w:r>
      <w:r w:rsidRPr="00EF0F72">
        <w:rPr>
          <w:rFonts w:cs="Times New Roman"/>
          <w:szCs w:val="24"/>
          <w:lang w:val="fr-CA"/>
        </w:rPr>
        <w:t> ex., par. 810.2(4)).</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Quatrièmement, aux termes de l’art. 811, quiconque viole un engagement de ne pas troubler l’ordre public s’expose à un emprisonnement maximal de quatre ans, </w:t>
      </w:r>
      <w:r w:rsidRPr="00EF0F72">
        <w:rPr>
          <w:rFonts w:cs="Times New Roman"/>
          <w:szCs w:val="24"/>
          <w:lang w:val="fr-CA"/>
        </w:rPr>
        <w:lastRenderedPageBreak/>
        <w:t>lorsque l’accusation est portée par voie d’acte d’accusation, ou d’une peine d’emprisonnement maximale de 18 mois, si l’accusation est portée par voie sommaire.</w:t>
      </w:r>
    </w:p>
    <w:p w:rsidR="004965B0" w:rsidRPr="00EF0F72" w:rsidRDefault="004965B0" w:rsidP="004965B0">
      <w:pPr>
        <w:pStyle w:val="Title2LevelTitre2Niveau"/>
        <w:spacing w:before="0"/>
        <w:rPr>
          <w:rFonts w:cs="Times New Roman"/>
          <w:lang w:val="fr-CA"/>
        </w:rPr>
      </w:pPr>
      <w:bookmarkStart w:id="8" w:name="_Toc5970140"/>
      <w:r w:rsidRPr="00EF0F72">
        <w:rPr>
          <w:rFonts w:cs="Times New Roman"/>
          <w:lang w:val="fr-CA"/>
        </w:rPr>
        <w:t>Régime législatif</w:t>
      </w:r>
      <w:bookmarkEnd w:id="8"/>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L’agent qui a signé la dénonciation sous serment déposée contre M. Penunsi l’a fait en vertu de l’art. 810.2, qui est ainsi libellé :</w:t>
      </w:r>
    </w:p>
    <w:p w:rsidR="004965B0" w:rsidRPr="00EF0F72" w:rsidRDefault="004965B0" w:rsidP="004965B0">
      <w:pPr>
        <w:pStyle w:val="marginalnote"/>
        <w:spacing w:before="0" w:after="240"/>
        <w:ind w:left="1170" w:hanging="450"/>
        <w:jc w:val="both"/>
        <w:rPr>
          <w:sz w:val="24"/>
          <w:szCs w:val="24"/>
          <w:lang w:val="fr-CA"/>
        </w:rPr>
      </w:pPr>
      <w:r w:rsidRPr="00EF0F72">
        <w:rPr>
          <w:sz w:val="24"/>
          <w:szCs w:val="24"/>
          <w:lang w:val="fr-CA"/>
        </w:rPr>
        <w:tab/>
        <w:t>En cas de crainte de sévices graves à la personne</w:t>
      </w:r>
    </w:p>
    <w:p w:rsidR="004965B0" w:rsidRPr="00EF0F72" w:rsidRDefault="004965B0" w:rsidP="004965B0">
      <w:pPr>
        <w:pStyle w:val="subsection"/>
        <w:spacing w:before="0" w:after="240"/>
        <w:ind w:left="1170" w:hanging="450"/>
        <w:jc w:val="both"/>
        <w:rPr>
          <w:lang w:val="fr-CA"/>
        </w:rPr>
      </w:pPr>
      <w:r w:rsidRPr="00EF0F72">
        <w:rPr>
          <w:rStyle w:val="sectionlabel"/>
          <w:rFonts w:eastAsiaTheme="majorEastAsia"/>
          <w:color w:val="auto"/>
          <w:lang w:val="fr-CA"/>
        </w:rPr>
        <w:tab/>
        <w:t>810.2</w:t>
      </w:r>
      <w:r w:rsidRPr="00EF0F72">
        <w:rPr>
          <w:lang w:val="fr-CA"/>
        </w:rPr>
        <w:t> </w:t>
      </w:r>
      <w:r w:rsidRPr="00EF0F72">
        <w:rPr>
          <w:rStyle w:val="lawlabel2"/>
          <w:lang w:val="fr-CA"/>
        </w:rPr>
        <w:t>(1)</w:t>
      </w:r>
      <w:r w:rsidRPr="00EF0F72">
        <w:rPr>
          <w:lang w:val="fr-CA"/>
        </w:rPr>
        <w:t> Quiconque a des motifs raisonnables de craindre que des personnes seront victimes de sévices graves à la personne au sens de l’article 752 peut, avec le consentement du procureur général, déposer une dénonciation devant un juge d’une cour provinciale, même si les personnes en question n’y sont pas nommées.</w:t>
      </w:r>
    </w:p>
    <w:p w:rsidR="004965B0" w:rsidRPr="00EF0F72" w:rsidRDefault="004965B0" w:rsidP="004965B0">
      <w:pPr>
        <w:spacing w:after="240"/>
        <w:ind w:left="1170" w:hanging="450"/>
        <w:jc w:val="both"/>
        <w:rPr>
          <w:b/>
          <w:bCs/>
          <w:lang w:val="fr-CA" w:eastAsia="fr-CA"/>
        </w:rPr>
      </w:pPr>
      <w:r w:rsidRPr="00EF0F72">
        <w:rPr>
          <w:b/>
          <w:bCs/>
          <w:lang w:val="fr-CA" w:eastAsia="fr-CA"/>
        </w:rPr>
        <w:tab/>
        <w:t>Comparution des parties</w:t>
      </w:r>
    </w:p>
    <w:p w:rsidR="004965B0" w:rsidRPr="00EF0F72" w:rsidRDefault="004965B0" w:rsidP="004965B0">
      <w:pPr>
        <w:spacing w:after="240"/>
        <w:ind w:left="1170" w:hanging="450"/>
        <w:jc w:val="both"/>
        <w:rPr>
          <w:lang w:val="fr-CA" w:eastAsia="fr-CA"/>
        </w:rPr>
      </w:pPr>
      <w:r w:rsidRPr="00EF0F72">
        <w:rPr>
          <w:b/>
          <w:bCs/>
          <w:lang w:val="fr-CA" w:eastAsia="fr-CA"/>
        </w:rPr>
        <w:tab/>
        <w:t>(2)</w:t>
      </w:r>
      <w:r w:rsidRPr="00EF0F72">
        <w:rPr>
          <w:lang w:val="fr-CA" w:eastAsia="fr-CA"/>
        </w:rPr>
        <w:t> Le juge qui reçoit la dénonciation peut faire comparaître les parties devant un juge de la cour provinciale.</w:t>
      </w:r>
    </w:p>
    <w:p w:rsidR="004965B0" w:rsidRPr="00EF0F72" w:rsidRDefault="004965B0" w:rsidP="004965B0">
      <w:pPr>
        <w:spacing w:after="240"/>
        <w:ind w:left="1170" w:hanging="450"/>
        <w:jc w:val="both"/>
        <w:rPr>
          <w:b/>
          <w:bCs/>
          <w:lang w:val="fr-CA" w:eastAsia="fr-CA"/>
        </w:rPr>
      </w:pPr>
      <w:r w:rsidRPr="00EF0F72">
        <w:rPr>
          <w:b/>
          <w:bCs/>
          <w:lang w:val="fr-CA" w:eastAsia="fr-CA"/>
        </w:rPr>
        <w:tab/>
        <w:t>Décision</w:t>
      </w:r>
    </w:p>
    <w:p w:rsidR="004965B0" w:rsidRPr="00EF0F72" w:rsidRDefault="004965B0" w:rsidP="004965B0">
      <w:pPr>
        <w:spacing w:after="240"/>
        <w:ind w:left="1170" w:hanging="450"/>
        <w:jc w:val="both"/>
        <w:rPr>
          <w:lang w:val="fr-CA" w:eastAsia="fr-CA"/>
        </w:rPr>
      </w:pPr>
      <w:r w:rsidRPr="00EF0F72">
        <w:rPr>
          <w:b/>
          <w:bCs/>
          <w:lang w:val="fr-CA" w:eastAsia="fr-CA"/>
        </w:rPr>
        <w:tab/>
        <w:t>(3)</w:t>
      </w:r>
      <w:r w:rsidRPr="00EF0F72">
        <w:rPr>
          <w:lang w:val="fr-CA" w:eastAsia="fr-CA"/>
        </w:rPr>
        <w:t> Le juge devant lequel les parties comparaissent peut, s’il est convaincu par la preuve apportée que les craintes du dénonciateur sont fondées sur des motifs raisonnables, ordonner que le défendeur contracte l’engagement de ne pas troubler l’ordre public et d’avoir une bonne conduite pour une période maximale de douze mois.</w:t>
      </w:r>
    </w:p>
    <w:p w:rsidR="004965B0" w:rsidRPr="00EF0F72" w:rsidRDefault="004965B0" w:rsidP="004965B0">
      <w:pPr>
        <w:spacing w:after="240"/>
        <w:ind w:left="1170" w:hanging="450"/>
        <w:jc w:val="both"/>
        <w:rPr>
          <w:b/>
          <w:bCs/>
          <w:lang w:val="fr-CA" w:eastAsia="fr-CA"/>
        </w:rPr>
      </w:pPr>
      <w:r w:rsidRPr="00EF0F72">
        <w:rPr>
          <w:b/>
          <w:bCs/>
          <w:lang w:val="fr-CA" w:eastAsia="fr-CA"/>
        </w:rPr>
        <w:tab/>
        <w:t>Prolongation</w:t>
      </w:r>
    </w:p>
    <w:p w:rsidR="004965B0" w:rsidRPr="00EF0F72" w:rsidRDefault="004965B0" w:rsidP="004965B0">
      <w:pPr>
        <w:spacing w:after="240"/>
        <w:ind w:left="1170" w:hanging="450"/>
        <w:jc w:val="both"/>
        <w:rPr>
          <w:lang w:val="fr-CA" w:eastAsia="fr-CA"/>
        </w:rPr>
      </w:pPr>
      <w:r w:rsidRPr="00EF0F72">
        <w:rPr>
          <w:b/>
          <w:bCs/>
          <w:lang w:val="fr-CA" w:eastAsia="fr-CA"/>
        </w:rPr>
        <w:tab/>
        <w:t>(3.1)</w:t>
      </w:r>
      <w:r w:rsidRPr="00EF0F72">
        <w:rPr>
          <w:lang w:val="fr-CA" w:eastAsia="fr-CA"/>
        </w:rPr>
        <w:t> Toutefois, s’il est convaincu en outre que le défendeur a déjà été reconnu coupable d’une infraction visée au paragraphe (1), le juge peut lui ordonner de contracter l’engagement pour une période maximale de deux ans.</w:t>
      </w:r>
    </w:p>
    <w:p w:rsidR="004965B0" w:rsidRPr="00EF0F72" w:rsidRDefault="004965B0" w:rsidP="004965B0">
      <w:pPr>
        <w:spacing w:after="240"/>
        <w:ind w:left="1170" w:hanging="450"/>
        <w:jc w:val="both"/>
        <w:rPr>
          <w:b/>
          <w:bCs/>
          <w:lang w:val="fr-CA" w:eastAsia="fr-CA"/>
        </w:rPr>
      </w:pPr>
      <w:r w:rsidRPr="00EF0F72">
        <w:rPr>
          <w:b/>
          <w:bCs/>
          <w:lang w:val="fr-CA" w:eastAsia="fr-CA"/>
        </w:rPr>
        <w:tab/>
        <w:t>Refus de contracter un engagement</w:t>
      </w:r>
    </w:p>
    <w:p w:rsidR="004965B0" w:rsidRPr="00EF0F72" w:rsidRDefault="004965B0" w:rsidP="004965B0">
      <w:pPr>
        <w:spacing w:after="240"/>
        <w:ind w:left="1170" w:hanging="450"/>
        <w:jc w:val="both"/>
        <w:rPr>
          <w:lang w:val="fr-CA" w:eastAsia="fr-CA"/>
        </w:rPr>
      </w:pPr>
      <w:r w:rsidRPr="00EF0F72">
        <w:rPr>
          <w:b/>
          <w:bCs/>
          <w:lang w:val="fr-CA" w:eastAsia="fr-CA"/>
        </w:rPr>
        <w:tab/>
        <w:t>(4)</w:t>
      </w:r>
      <w:r w:rsidRPr="00EF0F72">
        <w:rPr>
          <w:lang w:val="fr-CA" w:eastAsia="fr-CA"/>
        </w:rPr>
        <w:t> Le juge peut infliger au défendeur qui omet ou refuse de contracter l’engagement une peine de prison maximale de douze mois.</w:t>
      </w:r>
    </w:p>
    <w:p w:rsidR="004965B0" w:rsidRPr="00EF0F72" w:rsidRDefault="004965B0" w:rsidP="004965B0">
      <w:pPr>
        <w:spacing w:after="240"/>
        <w:ind w:left="1170" w:hanging="450"/>
        <w:jc w:val="both"/>
        <w:rPr>
          <w:b/>
          <w:bCs/>
          <w:lang w:val="fr-CA" w:eastAsia="fr-CA"/>
        </w:rPr>
      </w:pPr>
      <w:r w:rsidRPr="00EF0F72">
        <w:rPr>
          <w:b/>
          <w:bCs/>
          <w:lang w:val="fr-CA" w:eastAsia="fr-CA"/>
        </w:rPr>
        <w:tab/>
        <w:t>Conditions de l’engagement</w:t>
      </w:r>
    </w:p>
    <w:p w:rsidR="004965B0" w:rsidRPr="00EF0F72" w:rsidRDefault="004965B0" w:rsidP="004965B0">
      <w:pPr>
        <w:spacing w:after="240"/>
        <w:ind w:left="1170" w:hanging="450"/>
        <w:jc w:val="both"/>
        <w:rPr>
          <w:lang w:val="fr-CA" w:eastAsia="fr-CA"/>
        </w:rPr>
      </w:pPr>
      <w:r w:rsidRPr="00EF0F72">
        <w:rPr>
          <w:b/>
          <w:bCs/>
          <w:lang w:val="fr-CA" w:eastAsia="fr-CA"/>
        </w:rPr>
        <w:lastRenderedPageBreak/>
        <w:tab/>
        <w:t>(4.1)</w:t>
      </w:r>
      <w:r w:rsidRPr="00EF0F72">
        <w:rPr>
          <w:lang w:val="fr-CA" w:eastAsia="fr-CA"/>
        </w:rPr>
        <w:t> Le juge peut assortir l’engagement des conditions raisonnables qu’il estime souhaitables pour garantir la bonne conduite du défendeur, notamment celles lui intimant :</w:t>
      </w:r>
    </w:p>
    <w:p w:rsidR="004965B0" w:rsidRPr="00EF0F72" w:rsidRDefault="004965B0" w:rsidP="004965B0">
      <w:pPr>
        <w:spacing w:after="240"/>
        <w:ind w:left="1440" w:hanging="360"/>
        <w:jc w:val="both"/>
        <w:rPr>
          <w:lang w:val="fr-CA" w:eastAsia="fr-CA"/>
        </w:rPr>
      </w:pPr>
      <w:r w:rsidRPr="00EF0F72">
        <w:rPr>
          <w:b/>
          <w:bCs/>
          <w:lang w:val="fr-CA" w:eastAsia="fr-CA"/>
        </w:rPr>
        <w:tab/>
        <w:t>a)</w:t>
      </w:r>
      <w:r w:rsidRPr="00EF0F72">
        <w:rPr>
          <w:lang w:val="fr-CA" w:eastAsia="fr-CA"/>
        </w:rPr>
        <w:t> de participer à un programme de traitement;</w:t>
      </w:r>
    </w:p>
    <w:p w:rsidR="004965B0" w:rsidRPr="00EF0F72" w:rsidRDefault="004965B0" w:rsidP="004965B0">
      <w:pPr>
        <w:spacing w:after="240"/>
        <w:ind w:left="1440" w:hanging="360"/>
        <w:jc w:val="both"/>
        <w:rPr>
          <w:lang w:val="fr-CA" w:eastAsia="fr-CA"/>
        </w:rPr>
      </w:pPr>
      <w:r w:rsidRPr="00EF0F72">
        <w:rPr>
          <w:b/>
          <w:bCs/>
          <w:lang w:val="fr-CA" w:eastAsia="fr-CA"/>
        </w:rPr>
        <w:tab/>
        <w:t>b)</w:t>
      </w:r>
      <w:r w:rsidRPr="00EF0F72">
        <w:rPr>
          <w:lang w:val="fr-CA" w:eastAsia="fr-CA"/>
        </w:rPr>
        <w:t> de porter un dispositif de surveillance à distance, si le procureur général demande l’ajout de cette condition;</w:t>
      </w:r>
    </w:p>
    <w:p w:rsidR="004965B0" w:rsidRPr="00EF0F72" w:rsidRDefault="004965B0" w:rsidP="004965B0">
      <w:pPr>
        <w:spacing w:after="240"/>
        <w:ind w:left="1440" w:hanging="360"/>
        <w:jc w:val="both"/>
        <w:rPr>
          <w:lang w:val="fr-CA" w:eastAsia="fr-CA"/>
        </w:rPr>
      </w:pPr>
      <w:r w:rsidRPr="00EF0F72">
        <w:rPr>
          <w:b/>
          <w:bCs/>
          <w:lang w:val="fr-CA" w:eastAsia="fr-CA"/>
        </w:rPr>
        <w:tab/>
        <w:t>c)</w:t>
      </w:r>
      <w:r w:rsidRPr="00EF0F72">
        <w:rPr>
          <w:lang w:val="fr-CA" w:eastAsia="fr-CA"/>
        </w:rPr>
        <w:t> de rester dans une région désignée, sauf permission écrite donnée par le juge;</w:t>
      </w:r>
    </w:p>
    <w:p w:rsidR="004965B0" w:rsidRPr="00EF0F72" w:rsidRDefault="004965B0" w:rsidP="004965B0">
      <w:pPr>
        <w:spacing w:after="240"/>
        <w:ind w:left="1440" w:hanging="360"/>
        <w:jc w:val="both"/>
        <w:rPr>
          <w:lang w:val="fr-CA" w:eastAsia="fr-CA"/>
        </w:rPr>
      </w:pPr>
      <w:r w:rsidRPr="00EF0F72">
        <w:rPr>
          <w:b/>
          <w:bCs/>
          <w:lang w:val="fr-CA" w:eastAsia="fr-CA"/>
        </w:rPr>
        <w:tab/>
        <w:t>d)</w:t>
      </w:r>
      <w:r w:rsidRPr="00EF0F72">
        <w:rPr>
          <w:lang w:val="fr-CA" w:eastAsia="fr-CA"/>
        </w:rPr>
        <w:t> de regagner sa résidence et d’y rester aux moments précisés dans l’engagement;</w:t>
      </w:r>
    </w:p>
    <w:p w:rsidR="004965B0" w:rsidRPr="00EF0F72" w:rsidRDefault="004965B0" w:rsidP="004965B0">
      <w:pPr>
        <w:spacing w:after="240"/>
        <w:ind w:left="1440" w:hanging="360"/>
        <w:jc w:val="both"/>
        <w:rPr>
          <w:lang w:val="fr-CA" w:eastAsia="fr-CA"/>
        </w:rPr>
      </w:pPr>
      <w:r w:rsidRPr="00EF0F72">
        <w:rPr>
          <w:b/>
          <w:bCs/>
          <w:lang w:val="fr-CA" w:eastAsia="fr-CA"/>
        </w:rPr>
        <w:tab/>
        <w:t>e)</w:t>
      </w:r>
      <w:r w:rsidRPr="00EF0F72">
        <w:rPr>
          <w:lang w:val="fr-CA" w:eastAsia="fr-CA"/>
        </w:rPr>
        <w:t> de s’abstenir de consommer des drogues — sauf sur ordonnance médicale —, de l’alcool ou d’autres substances intoxicantes;</w:t>
      </w:r>
    </w:p>
    <w:p w:rsidR="004965B0" w:rsidRPr="00EF0F72" w:rsidRDefault="004965B0" w:rsidP="004965B0">
      <w:pPr>
        <w:spacing w:after="240"/>
        <w:ind w:left="1440" w:hanging="360"/>
        <w:jc w:val="both"/>
        <w:rPr>
          <w:lang w:val="fr-CA" w:eastAsia="fr-CA"/>
        </w:rPr>
      </w:pPr>
      <w:r w:rsidRPr="00EF0F72">
        <w:rPr>
          <w:b/>
          <w:bCs/>
          <w:lang w:val="fr-CA" w:eastAsia="fr-CA"/>
        </w:rPr>
        <w:tab/>
        <w:t>f)</w:t>
      </w:r>
      <w:r w:rsidRPr="00EF0F72">
        <w:rPr>
          <w:lang w:val="fr-CA" w:eastAsia="fr-CA"/>
        </w:rPr>
        <w:t> de fournir à des fins d’analyse un échantillon d’une substance corporelle désignée par règlement, à la demande d’un agent de la paix, d’un agent de probation ou d’une personne désignée en vertu de l’alinéa 810.3(2)a) pour faire la demande, aux date, heure et lieu précisés par l’agent ou la personne désignée, si celui</w:t>
      </w:r>
      <w:r w:rsidRPr="00EF0F72">
        <w:rPr>
          <w:lang w:val="fr-CA" w:eastAsia="fr-CA"/>
        </w:rPr>
        <w:noBreakHyphen/>
        <w:t>ci a des motifs raisonnables de croire que le défendeur a enfreint une condition de l’engagement lui intimant de s’abstenir de consommer des drogues, de l’alcool ou d’autres substances intoxicantes;</w:t>
      </w:r>
    </w:p>
    <w:p w:rsidR="004965B0" w:rsidRPr="00EF0F72" w:rsidRDefault="004965B0" w:rsidP="004965B0">
      <w:pPr>
        <w:spacing w:after="240"/>
        <w:ind w:left="1440" w:hanging="360"/>
        <w:jc w:val="both"/>
        <w:rPr>
          <w:lang w:val="fr-CA" w:eastAsia="fr-CA"/>
        </w:rPr>
      </w:pPr>
      <w:r w:rsidRPr="00EF0F72">
        <w:rPr>
          <w:b/>
          <w:bCs/>
          <w:lang w:val="fr-CA" w:eastAsia="fr-CA"/>
        </w:rPr>
        <w:tab/>
        <w:t>g)</w:t>
      </w:r>
      <w:r w:rsidRPr="00EF0F72">
        <w:rPr>
          <w:lang w:val="fr-CA" w:eastAsia="fr-CA"/>
        </w:rPr>
        <w:t xml:space="preserve"> de fournir à des fins d’analyse un échantillon d’une substance corporelle désignée par règlement, à intervalles réguliers précisés, dans </w:t>
      </w:r>
      <w:r w:rsidRPr="00EF0F72">
        <w:rPr>
          <w:lang w:val="fr-CA"/>
        </w:rPr>
        <w:t>un avis rédigé selon la formule 51 qui est signifié au défendeur, par un agent de probation ou par une personne désignée en vertu de l’alinéa 810.3(2)b) pour préciser ceux</w:t>
      </w:r>
      <w:r w:rsidRPr="00EF0F72">
        <w:rPr>
          <w:lang w:val="fr-CA"/>
        </w:rPr>
        <w:noBreakHyphen/>
        <w:t>ci, si l’engagement est assorti d’une condition lui intimant de s’abstenir de consommer des drogues, de l’alcool ou d’autres substances intoxicantes.</w:t>
      </w:r>
    </w:p>
    <w:p w:rsidR="004965B0" w:rsidRPr="00EF0F72" w:rsidRDefault="004965B0" w:rsidP="004965B0">
      <w:pPr>
        <w:spacing w:after="240"/>
        <w:ind w:left="1170" w:hanging="450"/>
        <w:jc w:val="both"/>
        <w:rPr>
          <w:b/>
          <w:bCs/>
          <w:lang w:val="fr-CA" w:eastAsia="fr-CA"/>
        </w:rPr>
      </w:pPr>
      <w:r w:rsidRPr="00EF0F72">
        <w:rPr>
          <w:b/>
          <w:bCs/>
          <w:lang w:val="fr-CA" w:eastAsia="fr-CA"/>
        </w:rPr>
        <w:tab/>
        <w:t>Conditions — armes à feu</w:t>
      </w:r>
    </w:p>
    <w:p w:rsidR="004965B0" w:rsidRPr="00EF0F72" w:rsidRDefault="004965B0" w:rsidP="004965B0">
      <w:pPr>
        <w:spacing w:after="240"/>
        <w:ind w:left="1170" w:hanging="450"/>
        <w:jc w:val="both"/>
        <w:rPr>
          <w:lang w:val="fr-CA" w:eastAsia="fr-CA"/>
        </w:rPr>
      </w:pPr>
      <w:r w:rsidRPr="00EF0F72">
        <w:rPr>
          <w:b/>
          <w:bCs/>
          <w:lang w:val="fr-CA" w:eastAsia="fr-CA"/>
        </w:rPr>
        <w:tab/>
        <w:t>(5)</w:t>
      </w:r>
      <w:r w:rsidRPr="00EF0F72">
        <w:rPr>
          <w:lang w:val="fr-CA" w:eastAsia="fr-CA"/>
        </w:rPr>
        <w:t> Le juge doit décider s’il est souhaitable pour la sécurité du défendeur, ou pour celle d’autrui, de lui interdire d’avoir en sa possession des armes à feu, arbalètes, armes prohibées, armes à autorisation restreinte, dispositifs prohibés, munitions, munitions prohibées et substances explosives, ou l’un ou plusieurs de ces objets, et, dans l’affirmative, il doit assortir l’engagement d’une condition à cet effet et y prévoir la période d’application de celle</w:t>
      </w:r>
      <w:r w:rsidRPr="00EF0F72">
        <w:rPr>
          <w:lang w:val="fr-CA" w:eastAsia="fr-CA"/>
        </w:rPr>
        <w:noBreakHyphen/>
        <w:t>ci.</w:t>
      </w:r>
    </w:p>
    <w:p w:rsidR="004965B0" w:rsidRPr="00EF0F72" w:rsidRDefault="004965B0" w:rsidP="004965B0">
      <w:pPr>
        <w:spacing w:after="240"/>
        <w:ind w:left="1170" w:hanging="450"/>
        <w:jc w:val="both"/>
        <w:rPr>
          <w:b/>
          <w:bCs/>
          <w:lang w:val="fr-CA" w:eastAsia="fr-CA"/>
        </w:rPr>
      </w:pPr>
      <w:r w:rsidRPr="00EF0F72">
        <w:rPr>
          <w:b/>
          <w:bCs/>
          <w:lang w:val="fr-CA" w:eastAsia="fr-CA"/>
        </w:rPr>
        <w:tab/>
        <w:t>Remise</w:t>
      </w:r>
    </w:p>
    <w:p w:rsidR="004965B0" w:rsidRPr="00EF0F72" w:rsidRDefault="004965B0" w:rsidP="004965B0">
      <w:pPr>
        <w:spacing w:after="240"/>
        <w:ind w:left="1170" w:hanging="450"/>
        <w:jc w:val="both"/>
        <w:rPr>
          <w:lang w:val="fr-CA" w:eastAsia="fr-CA"/>
        </w:rPr>
      </w:pPr>
      <w:r w:rsidRPr="00EF0F72">
        <w:rPr>
          <w:b/>
          <w:bCs/>
          <w:lang w:val="fr-CA" w:eastAsia="fr-CA"/>
        </w:rPr>
        <w:tab/>
        <w:t>(5.1)</w:t>
      </w:r>
      <w:r w:rsidRPr="00EF0F72">
        <w:rPr>
          <w:lang w:val="fr-CA" w:eastAsia="fr-CA"/>
        </w:rPr>
        <w:t> Le cas échéant, l’engagement prévoit la façon de remettre, de détenir ou d’entreposer les objets visés au paragraphe (5) qui sont en la possession du défendeur, ou d’en disposer, et de remettre les autorisations, permis et certificats d’enregistrement dont celui</w:t>
      </w:r>
      <w:r w:rsidRPr="00EF0F72">
        <w:rPr>
          <w:lang w:val="fr-CA" w:eastAsia="fr-CA"/>
        </w:rPr>
        <w:noBreakHyphen/>
        <w:t>ci est titulaire.</w:t>
      </w:r>
    </w:p>
    <w:p w:rsidR="004965B0" w:rsidRPr="00EF0F72" w:rsidRDefault="004965B0" w:rsidP="004965B0">
      <w:pPr>
        <w:spacing w:after="240"/>
        <w:ind w:left="1170" w:hanging="450"/>
        <w:jc w:val="both"/>
        <w:rPr>
          <w:b/>
          <w:bCs/>
          <w:lang w:val="fr-CA" w:eastAsia="fr-CA"/>
        </w:rPr>
      </w:pPr>
      <w:r w:rsidRPr="00EF0F72">
        <w:rPr>
          <w:b/>
          <w:bCs/>
          <w:lang w:val="fr-CA" w:eastAsia="fr-CA"/>
        </w:rPr>
        <w:lastRenderedPageBreak/>
        <w:tab/>
        <w:t>Motifs</w:t>
      </w:r>
    </w:p>
    <w:p w:rsidR="004965B0" w:rsidRPr="00EF0F72" w:rsidRDefault="004965B0" w:rsidP="004965B0">
      <w:pPr>
        <w:spacing w:after="240"/>
        <w:ind w:left="1170" w:hanging="450"/>
        <w:jc w:val="both"/>
        <w:rPr>
          <w:lang w:val="fr-CA" w:eastAsia="fr-CA"/>
        </w:rPr>
      </w:pPr>
      <w:r w:rsidRPr="00EF0F72">
        <w:rPr>
          <w:b/>
          <w:bCs/>
          <w:lang w:val="fr-CA" w:eastAsia="fr-CA"/>
        </w:rPr>
        <w:tab/>
        <w:t>(5.2)</w:t>
      </w:r>
      <w:r w:rsidRPr="00EF0F72">
        <w:rPr>
          <w:lang w:val="fr-CA" w:eastAsia="fr-CA"/>
        </w:rPr>
        <w:t> Le juge qui n’assortit pas l’engagement de la condition prévue au paragraphe (5) est tenu de donner ses motifs, qui sont consignés au dossier de l’instance.</w:t>
      </w:r>
    </w:p>
    <w:p w:rsidR="004965B0" w:rsidRPr="00EF0F72" w:rsidRDefault="004965B0" w:rsidP="004965B0">
      <w:pPr>
        <w:spacing w:after="240"/>
        <w:ind w:left="1170" w:hanging="450"/>
        <w:jc w:val="both"/>
        <w:rPr>
          <w:b/>
          <w:bCs/>
          <w:lang w:val="fr-CA" w:eastAsia="fr-CA"/>
        </w:rPr>
      </w:pPr>
      <w:r w:rsidRPr="00EF0F72">
        <w:rPr>
          <w:b/>
          <w:bCs/>
          <w:lang w:val="fr-CA" w:eastAsia="fr-CA"/>
        </w:rPr>
        <w:tab/>
        <w:t>Condition — présentation devant une autorité</w:t>
      </w:r>
    </w:p>
    <w:p w:rsidR="004965B0" w:rsidRPr="00EF0F72" w:rsidRDefault="004965B0" w:rsidP="004965B0">
      <w:pPr>
        <w:spacing w:after="240"/>
        <w:ind w:left="1170" w:hanging="450"/>
        <w:jc w:val="both"/>
        <w:rPr>
          <w:lang w:val="fr-CA" w:eastAsia="fr-CA"/>
        </w:rPr>
      </w:pPr>
      <w:r w:rsidRPr="00EF0F72">
        <w:rPr>
          <w:b/>
          <w:bCs/>
          <w:lang w:val="fr-CA" w:eastAsia="fr-CA"/>
        </w:rPr>
        <w:tab/>
        <w:t>(6)</w:t>
      </w:r>
      <w:r w:rsidRPr="00EF0F72">
        <w:rPr>
          <w:lang w:val="fr-CA" w:eastAsia="fr-CA"/>
        </w:rPr>
        <w:t> Le juge doit décider s’il est souhaitable que le défendeur se présente devant les autorités correctionnelles de la province ou les autorités policières compétentes et, dans l’affirmative, il doit assortir l’engagement d’une condition à cet effet.</w:t>
      </w:r>
    </w:p>
    <w:p w:rsidR="004965B0" w:rsidRPr="00EF0F72" w:rsidRDefault="004965B0" w:rsidP="004965B0">
      <w:pPr>
        <w:spacing w:after="240"/>
        <w:ind w:left="1170" w:hanging="450"/>
        <w:jc w:val="both"/>
        <w:rPr>
          <w:b/>
          <w:bCs/>
          <w:lang w:val="fr-CA" w:eastAsia="fr-CA"/>
        </w:rPr>
      </w:pPr>
      <w:r w:rsidRPr="00EF0F72">
        <w:rPr>
          <w:b/>
          <w:bCs/>
          <w:lang w:val="fr-CA" w:eastAsia="fr-CA"/>
        </w:rPr>
        <w:tab/>
        <w:t>Modification des conditions</w:t>
      </w:r>
    </w:p>
    <w:p w:rsidR="004965B0" w:rsidRPr="00EF0F72" w:rsidRDefault="004965B0" w:rsidP="004965B0">
      <w:pPr>
        <w:spacing w:after="240"/>
        <w:ind w:left="1170" w:hanging="450"/>
        <w:jc w:val="both"/>
        <w:rPr>
          <w:lang w:val="fr-CA" w:eastAsia="fr-CA"/>
        </w:rPr>
      </w:pPr>
      <w:r w:rsidRPr="00EF0F72">
        <w:rPr>
          <w:b/>
          <w:bCs/>
          <w:lang w:val="fr-CA" w:eastAsia="fr-CA"/>
        </w:rPr>
        <w:tab/>
        <w:t>(7)</w:t>
      </w:r>
      <w:r w:rsidRPr="00EF0F72">
        <w:rPr>
          <w:lang w:val="fr-CA" w:eastAsia="fr-CA"/>
        </w:rPr>
        <w:t> Tout juge de la cour provinciale peut, sur demande du dénonciateur, du procureur général ou du défendeur, modifier les conditions fixées dans l’engagement.</w:t>
      </w:r>
    </w:p>
    <w:p w:rsidR="004965B0" w:rsidRPr="00EF0F72" w:rsidRDefault="004965B0" w:rsidP="004965B0">
      <w:pPr>
        <w:spacing w:after="240"/>
        <w:ind w:left="1166" w:hanging="446"/>
        <w:jc w:val="both"/>
        <w:rPr>
          <w:b/>
          <w:bCs/>
          <w:lang w:val="fr-CA" w:eastAsia="fr-CA"/>
        </w:rPr>
      </w:pPr>
      <w:r w:rsidRPr="00EF0F72">
        <w:rPr>
          <w:b/>
          <w:bCs/>
          <w:lang w:val="fr-CA" w:eastAsia="fr-CA"/>
        </w:rPr>
        <w:tab/>
        <w:t>Autres dispositions applicables</w:t>
      </w:r>
    </w:p>
    <w:p w:rsidR="004965B0" w:rsidRPr="00EF0F72" w:rsidRDefault="004965B0" w:rsidP="004965B0">
      <w:pPr>
        <w:spacing w:after="720"/>
        <w:ind w:left="1166" w:hanging="446"/>
        <w:jc w:val="both"/>
        <w:rPr>
          <w:lang w:val="fr-CA" w:eastAsia="fr-CA"/>
        </w:rPr>
      </w:pPr>
      <w:r w:rsidRPr="00EF0F72">
        <w:rPr>
          <w:b/>
          <w:bCs/>
          <w:lang w:val="fr-CA" w:eastAsia="fr-CA"/>
        </w:rPr>
        <w:tab/>
        <w:t>(8)</w:t>
      </w:r>
      <w:r w:rsidRPr="00EF0F72">
        <w:rPr>
          <w:lang w:val="fr-CA" w:eastAsia="fr-CA"/>
        </w:rPr>
        <w:t> Les paragraphes 810(4) et (5) s’appliquent, avec les adaptations nécessaires, aux engagements contractés en vertu du présent article.</w:t>
      </w:r>
    </w:p>
    <w:p w:rsidR="004965B0" w:rsidRPr="00EF0F72" w:rsidRDefault="004965B0" w:rsidP="004965B0">
      <w:pPr>
        <w:pStyle w:val="ContinueParaSuitedupar-AltP"/>
        <w:spacing w:before="0"/>
        <w:rPr>
          <w:rFonts w:cs="Times New Roman"/>
          <w:lang w:val="fr-CA"/>
        </w:rPr>
      </w:pPr>
      <w:r w:rsidRPr="00EF0F72">
        <w:rPr>
          <w:rFonts w:cs="Times New Roman"/>
          <w:lang w:val="fr-CA"/>
        </w:rPr>
        <w:t>Bien que le par. (2) prévoie qu’un juge de la cour provinciale « </w:t>
      </w:r>
      <w:r w:rsidRPr="00EF0F72">
        <w:rPr>
          <w:rFonts w:cs="Times New Roman"/>
          <w:szCs w:val="24"/>
          <w:lang w:val="fr-CA" w:eastAsia="fr-CA"/>
        </w:rPr>
        <w:t>peut faire comparaître les parties </w:t>
      </w:r>
      <w:r w:rsidRPr="00EF0F72">
        <w:rPr>
          <w:rFonts w:cs="Times New Roman"/>
          <w:lang w:val="fr-CA"/>
        </w:rPr>
        <w:t xml:space="preserve">», le législateur n’a prévu aucun mécanisme interne permettant au juge d’obliger l’une ou l’autre partie à comparaître. Les </w:t>
      </w:r>
      <w:r w:rsidRPr="00EF0F72">
        <w:rPr>
          <w:rFonts w:cs="Times New Roman"/>
          <w:szCs w:val="24"/>
          <w:lang w:val="fr-CA"/>
        </w:rPr>
        <w:t>moyens de contraindre quelqu’un à comparaître</w:t>
      </w:r>
      <w:r w:rsidRPr="00EF0F72">
        <w:rPr>
          <w:rFonts w:cs="Times New Roman"/>
          <w:lang w:val="fr-CA"/>
        </w:rPr>
        <w:t xml:space="preserve"> figurent à la partie XVI du </w:t>
      </w:r>
      <w:r w:rsidRPr="00EF0F72">
        <w:rPr>
          <w:rFonts w:cs="Times New Roman"/>
          <w:i/>
          <w:lang w:val="fr-CA"/>
        </w:rPr>
        <w:t>Code criminel</w:t>
      </w:r>
      <w:r w:rsidRPr="00EF0F72">
        <w:rPr>
          <w:rFonts w:cs="Times New Roman"/>
          <w:lang w:val="fr-CA"/>
        </w:rPr>
        <w:t>.</w:t>
      </w:r>
    </w:p>
    <w:p w:rsidR="004965B0" w:rsidRPr="00EF0F72" w:rsidRDefault="004965B0" w:rsidP="004965B0">
      <w:pPr>
        <w:pStyle w:val="ParaNoNdepar-AltN"/>
        <w:spacing w:before="0"/>
        <w:rPr>
          <w:rFonts w:cs="Times New Roman"/>
          <w:i/>
          <w:szCs w:val="24"/>
          <w:lang w:val="fr-CA"/>
        </w:rPr>
      </w:pPr>
      <w:r w:rsidRPr="00EF0F72">
        <w:rPr>
          <w:rFonts w:cs="Times New Roman"/>
          <w:szCs w:val="24"/>
          <w:lang w:val="fr-CA"/>
        </w:rPr>
        <w:t>Au lieu de reproduire la procédure prévue à la partie XVI dans les dispositions relatives à l’engagement de ne pas troubler l’ordre public, le législateur a choisi d’appliquer les dispositions pertinentes concernant les moyens de contraindre une personne à comparaître au régime des engagements de ne pas troubler l’ordre public en recourant à une série de dispositions d’incorporation par renvoi. Cette méthode de rédaction fondée sur l’incorporation par renvoi est [</w:t>
      </w:r>
      <w:r w:rsidRPr="00EF0F72">
        <w:rPr>
          <w:rFonts w:cs="Times New Roman"/>
          <w:smallCaps/>
          <w:szCs w:val="24"/>
          <w:lang w:val="fr-CA"/>
        </w:rPr>
        <w:t>traduction</w:t>
      </w:r>
      <w:r w:rsidRPr="00EF0F72">
        <w:rPr>
          <w:rFonts w:cs="Times New Roman"/>
          <w:szCs w:val="24"/>
          <w:lang w:val="fr-CA"/>
        </w:rPr>
        <w:t>] « une façon économique pour le Parlement de légiférer » (</w:t>
      </w:r>
      <w:r w:rsidRPr="00EF0F72">
        <w:rPr>
          <w:rFonts w:cs="Times New Roman"/>
          <w:i/>
          <w:szCs w:val="24"/>
          <w:lang w:val="fr-CA"/>
        </w:rPr>
        <w:t>R. c. Cachine</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2001 BCCA 295, 154 C.C.C. (3d) 376, par. 28).</w:t>
      </w:r>
    </w:p>
    <w:p w:rsidR="004965B0" w:rsidRPr="00EF0F72" w:rsidRDefault="004965B0" w:rsidP="004965B0">
      <w:pPr>
        <w:pStyle w:val="ParaNoNdepar-AltN"/>
        <w:spacing w:before="0"/>
        <w:rPr>
          <w:rFonts w:cs="Times New Roman"/>
          <w:i/>
          <w:szCs w:val="24"/>
          <w:lang w:val="fr-CA"/>
        </w:rPr>
      </w:pPr>
      <w:r w:rsidRPr="00EF0F72">
        <w:rPr>
          <w:rFonts w:cs="Times New Roman"/>
          <w:szCs w:val="24"/>
          <w:lang w:val="fr-CA"/>
        </w:rPr>
        <w:lastRenderedPageBreak/>
        <w:t xml:space="preserve">Le législateur a adopté un parcours plutôt sinueux pour incorporer les dispositions nécessaires afin de faire comparaître les parties. </w:t>
      </w:r>
      <w:r w:rsidRPr="00EF0F72">
        <w:rPr>
          <w:rFonts w:cs="Times New Roman"/>
          <w:lang w:val="fr-CA"/>
        </w:rPr>
        <w:t>Le paragraphe </w:t>
      </w:r>
      <w:r w:rsidRPr="00EF0F72">
        <w:rPr>
          <w:rFonts w:cs="Times New Roman"/>
          <w:szCs w:val="24"/>
          <w:lang w:val="fr-CA"/>
        </w:rPr>
        <w:t>810(5) est explicitement incorporé par renvoi à chacune des dispositions relatives à l’engagement de ne pas troubler l’ordre public, à l’exception d’une seule</w:t>
      </w:r>
      <w:r w:rsidRPr="003B256A">
        <w:rPr>
          <w:rStyle w:val="Hyperlink"/>
          <w:u w:val="none"/>
          <w:vertAlign w:val="superscript"/>
        </w:rPr>
        <w:footnoteReference w:id="4"/>
      </w:r>
      <w:r w:rsidRPr="003B256A">
        <w:rPr>
          <w:rFonts w:cs="Times New Roman"/>
          <w:szCs w:val="24"/>
          <w:lang w:val="fr-CA"/>
        </w:rPr>
        <w:t>.</w:t>
      </w:r>
      <w:r w:rsidRPr="00EF0F72">
        <w:rPr>
          <w:rFonts w:cs="Times New Roman"/>
          <w:szCs w:val="24"/>
          <w:lang w:val="fr-CA"/>
        </w:rPr>
        <w:t xml:space="preserve"> Par exemple, le par. 810.2(8) dispose :</w:t>
      </w:r>
    </w:p>
    <w:p w:rsidR="004965B0" w:rsidRPr="00EF0F72" w:rsidRDefault="004965B0" w:rsidP="004965B0">
      <w:pPr>
        <w:spacing w:after="240"/>
        <w:ind w:left="1166" w:hanging="446"/>
        <w:rPr>
          <w:b/>
          <w:lang w:val="fr-CA"/>
        </w:rPr>
      </w:pPr>
      <w:r w:rsidRPr="00EF0F72">
        <w:rPr>
          <w:b/>
          <w:lang w:val="fr-CA"/>
        </w:rPr>
        <w:tab/>
        <w:t>Autres dispositions applicables</w:t>
      </w:r>
    </w:p>
    <w:p w:rsidR="004965B0" w:rsidRPr="00EF0F72" w:rsidRDefault="004965B0" w:rsidP="004965B0">
      <w:pPr>
        <w:spacing w:after="720"/>
        <w:ind w:left="1166" w:hanging="446"/>
        <w:rPr>
          <w:rFonts w:eastAsiaTheme="minorHAnsi"/>
          <w:lang w:val="fr-CA"/>
        </w:rPr>
      </w:pPr>
      <w:r w:rsidRPr="00EF0F72">
        <w:rPr>
          <w:b/>
          <w:lang w:val="fr-CA"/>
        </w:rPr>
        <w:tab/>
        <w:t>(8)</w:t>
      </w:r>
      <w:r w:rsidRPr="00EF0F72">
        <w:rPr>
          <w:lang w:val="fr-CA"/>
        </w:rPr>
        <w:t xml:space="preserve"> </w:t>
      </w:r>
      <w:r w:rsidRPr="00EF0F72">
        <w:rPr>
          <w:rFonts w:eastAsiaTheme="minorHAnsi"/>
          <w:lang w:val="fr-CA"/>
        </w:rPr>
        <w:t>Les paragraphes 810(4) et (5) s’appliquent, avec les adaptations nécessaires, aux engagements contractés en vertu du présent article.</w:t>
      </w:r>
    </w:p>
    <w:p w:rsidR="004965B0" w:rsidRPr="00EF0F72" w:rsidRDefault="004965B0" w:rsidP="004965B0">
      <w:pPr>
        <w:pStyle w:val="ContinueParaSuitedupar-AltP"/>
        <w:spacing w:before="0"/>
        <w:rPr>
          <w:rFonts w:cs="Times New Roman"/>
          <w:lang w:val="fr-CA"/>
        </w:rPr>
      </w:pPr>
      <w:r w:rsidRPr="00EF0F72">
        <w:rPr>
          <w:rFonts w:cs="Times New Roman"/>
          <w:lang w:val="fr-CA"/>
        </w:rPr>
        <w:t>Le paragraphe 810(5) est ainsi libellé :</w:t>
      </w:r>
    </w:p>
    <w:p w:rsidR="004965B0" w:rsidRPr="00EF0F72" w:rsidRDefault="004965B0" w:rsidP="004965B0">
      <w:pPr>
        <w:spacing w:after="240"/>
        <w:ind w:left="1166" w:hanging="446"/>
        <w:rPr>
          <w:b/>
          <w:lang w:val="fr-CA"/>
        </w:rPr>
      </w:pPr>
      <w:r w:rsidRPr="00EF0F72">
        <w:rPr>
          <w:b/>
          <w:lang w:val="fr-CA"/>
        </w:rPr>
        <w:tab/>
        <w:t>Procédure</w:t>
      </w:r>
    </w:p>
    <w:p w:rsidR="004965B0" w:rsidRPr="00EF0F72" w:rsidRDefault="004965B0" w:rsidP="004965B0">
      <w:pPr>
        <w:spacing w:after="720"/>
        <w:ind w:left="1166" w:hanging="446"/>
        <w:rPr>
          <w:rFonts w:eastAsiaTheme="minorHAnsi"/>
          <w:lang w:val="fr-CA"/>
        </w:rPr>
      </w:pPr>
      <w:r w:rsidRPr="00EF0F72">
        <w:rPr>
          <w:b/>
          <w:lang w:val="fr-CA"/>
        </w:rPr>
        <w:tab/>
        <w:t>(5)</w:t>
      </w:r>
      <w:r w:rsidRPr="00EF0F72">
        <w:rPr>
          <w:lang w:val="fr-CA"/>
        </w:rPr>
        <w:t xml:space="preserve"> </w:t>
      </w:r>
      <w:r w:rsidRPr="00EF0F72">
        <w:rPr>
          <w:rFonts w:eastAsiaTheme="minorHAnsi"/>
          <w:lang w:val="fr-CA"/>
        </w:rPr>
        <w:t>La présente partie s’applique, compte tenu des adaptations de circonstance, aux procédures relevant du présent article.</w:t>
      </w:r>
    </w:p>
    <w:p w:rsidR="004965B0" w:rsidRPr="00EF0F72" w:rsidRDefault="004965B0" w:rsidP="004965B0">
      <w:pPr>
        <w:pStyle w:val="ParaNoNdepar-AltN"/>
        <w:numPr>
          <w:ilvl w:val="0"/>
          <w:numId w:val="0"/>
        </w:numPr>
        <w:spacing w:before="0"/>
        <w:rPr>
          <w:rFonts w:cs="Times New Roman"/>
          <w:szCs w:val="24"/>
          <w:lang w:val="fr-CA"/>
        </w:rPr>
      </w:pPr>
      <w:r w:rsidRPr="00EF0F72">
        <w:rPr>
          <w:rFonts w:cs="Times New Roman"/>
          <w:szCs w:val="24"/>
          <w:lang w:val="fr-CA"/>
        </w:rPr>
        <w:t>Le paragraphe 810(5) incorpore toutes les dispositions de la partie XXVII, y compris l’art. 795, aux procédures d’engagement de ne pas troubler l’ordre public. L’article 795 incorpore des dispositions de la partie XVI (« </w:t>
      </w:r>
      <w:r w:rsidRPr="00EF0F72">
        <w:rPr>
          <w:rFonts w:cs="Times New Roman"/>
          <w:lang w:val="fr-CA"/>
        </w:rPr>
        <w:t>Mesures concernant la comparution d’un prévenu devant un juge de paix et la mise en liberté provisoire »</w:t>
      </w:r>
      <w:r w:rsidRPr="00EF0F72">
        <w:rPr>
          <w:rFonts w:cs="Times New Roman"/>
          <w:szCs w:val="24"/>
          <w:lang w:val="fr-CA"/>
        </w:rPr>
        <w:t>) à la partie XXVII (« Déclarations de culpabilité par procédure sommaire ») :</w:t>
      </w:r>
    </w:p>
    <w:p w:rsidR="004965B0" w:rsidRPr="00EF0F72" w:rsidRDefault="004965B0" w:rsidP="004965B0">
      <w:pPr>
        <w:autoSpaceDE w:val="0"/>
        <w:autoSpaceDN w:val="0"/>
        <w:adjustRightInd w:val="0"/>
        <w:spacing w:after="720"/>
        <w:ind w:left="1134" w:hanging="414"/>
        <w:jc w:val="both"/>
        <w:rPr>
          <w:lang w:val="fr-CA" w:bidi="en-US"/>
        </w:rPr>
      </w:pPr>
      <w:r w:rsidRPr="00EF0F72">
        <w:rPr>
          <w:b/>
          <w:lang w:val="fr-CA"/>
        </w:rPr>
        <w:tab/>
        <w:t>795.</w:t>
      </w:r>
      <w:r w:rsidRPr="00EF0F72">
        <w:rPr>
          <w:lang w:val="fr-CA"/>
        </w:rPr>
        <w:t xml:space="preserve"> </w:t>
      </w:r>
      <w:r w:rsidRPr="00EF0F72">
        <w:rPr>
          <w:rFonts w:eastAsiaTheme="minorHAnsi"/>
          <w:lang w:val="fr-CA"/>
        </w:rPr>
        <w:t>Les dispositions des parties XVI et XVIII concernant les moyens de contraindre un prévenu à comparaître devant un juge de paix [. . .], dans la mesure où elles ne sont pas incompa</w:t>
      </w:r>
      <w:r>
        <w:rPr>
          <w:rFonts w:eastAsiaTheme="minorHAnsi"/>
          <w:lang w:val="fr-CA"/>
        </w:rPr>
        <w:t xml:space="preserve">tibles avec la présente partie, </w:t>
      </w:r>
      <w:r w:rsidRPr="00EF0F72">
        <w:rPr>
          <w:rFonts w:eastAsiaTheme="minorHAnsi"/>
          <w:lang w:val="fr-CA"/>
        </w:rPr>
        <w:lastRenderedPageBreak/>
        <w:t>s’appliquent, avec les adaptations nécessaires, aux procédures prévues par la présente partie</w:t>
      </w:r>
      <w:r w:rsidRPr="00EF0F72">
        <w:rPr>
          <w:rFonts w:eastAsiaTheme="minorHAnsi"/>
          <w:sz w:val="19"/>
          <w:szCs w:val="19"/>
          <w:lang w:val="fr-CA" w:eastAsia="en-US"/>
        </w:rPr>
        <w:t>.</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Ensemble, les par. 810.2(8) et 810(5) et l’art. 795 incorporent « [l]</w:t>
      </w:r>
      <w:r w:rsidRPr="00EF0F72">
        <w:rPr>
          <w:rFonts w:cs="Times New Roman"/>
          <w:lang w:val="fr-CA"/>
        </w:rPr>
        <w:t xml:space="preserve">es dispositions [de la] parti[e] XVI [. . .] concernant les moyens de contraindre un prévenu à comparaître devant un juge de paix [. . .], dans la mesure où elles ne sont pas incompatibles avec la présente partie [. . .], avec les adaptations nécessaires, aux procédures prévues par la présente partie ». Nous examinerons plus loin les dispositions pertinentes de la </w:t>
      </w:r>
      <w:r w:rsidRPr="00EF0F72">
        <w:rPr>
          <w:rFonts w:cs="Times New Roman"/>
          <w:szCs w:val="24"/>
          <w:lang w:val="fr-CA"/>
        </w:rPr>
        <w:t>partie XVI (« </w:t>
      </w:r>
      <w:r w:rsidRPr="00EF0F72">
        <w:rPr>
          <w:rFonts w:cs="Times New Roman"/>
          <w:lang w:val="fr-CA"/>
        </w:rPr>
        <w:t xml:space="preserve">Mesures </w:t>
      </w:r>
      <w:bookmarkStart w:id="9" w:name="_Hlk7274157"/>
      <w:r w:rsidRPr="00EF0F72">
        <w:rPr>
          <w:rFonts w:cs="Times New Roman"/>
          <w:lang w:val="fr-CA"/>
        </w:rPr>
        <w:t xml:space="preserve">concernant la comparution d’un prévenu devant un juge de paix </w:t>
      </w:r>
      <w:bookmarkEnd w:id="9"/>
      <w:r w:rsidRPr="00EF0F72">
        <w:rPr>
          <w:rFonts w:cs="Times New Roman"/>
          <w:lang w:val="fr-CA"/>
        </w:rPr>
        <w:t>et la mise en liberté provisoire »</w:t>
      </w:r>
      <w:r w:rsidRPr="00EF0F72">
        <w:rPr>
          <w:rFonts w:cs="Times New Roman"/>
          <w:szCs w:val="24"/>
          <w:lang w:val="fr-CA"/>
        </w:rPr>
        <w:t>).</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La réponse à la question de savoir si les dispositions relatives à l’arrestation et à la mise en liberté provisoire par voie judiciaire s’appliquent aux procédures d’engagement de ne pas troubler l’ordre public dépend de l’interprétation appropriée des termes d’incorporation par renvoi que l’on trouve à l’art. 795 : « </w:t>
      </w:r>
      <w:r w:rsidRPr="00EF0F72">
        <w:rPr>
          <w:rFonts w:cs="Times New Roman"/>
          <w:lang w:val="fr-CA"/>
        </w:rPr>
        <w:t>dans la mesure où elles ne sont pas incompatibles avec la présente partie » et</w:t>
      </w:r>
      <w:r w:rsidRPr="00EF0F72">
        <w:rPr>
          <w:rFonts w:cs="Times New Roman"/>
          <w:szCs w:val="24"/>
          <w:lang w:val="fr-CA"/>
        </w:rPr>
        <w:t xml:space="preserve"> « </w:t>
      </w:r>
      <w:r w:rsidRPr="00EF0F72">
        <w:rPr>
          <w:rFonts w:cs="Times New Roman"/>
          <w:szCs w:val="24"/>
          <w:lang w:val="fr-CA" w:bidi="en-US"/>
        </w:rPr>
        <w:t>avec les adaptations nécessaires » et à l’expression similaire « </w:t>
      </w:r>
      <w:r w:rsidRPr="00EF0F72">
        <w:rPr>
          <w:rFonts w:eastAsiaTheme="minorHAnsi" w:cs="Times New Roman"/>
          <w:lang w:val="fr-CA"/>
        </w:rPr>
        <w:t>compte tenu des adaptations de circonstance »</w:t>
      </w:r>
      <w:r w:rsidRPr="00EF0F72">
        <w:rPr>
          <w:rFonts w:cs="Times New Roman"/>
          <w:szCs w:val="24"/>
          <w:lang w:val="fr-CA" w:bidi="en-US"/>
        </w:rPr>
        <w:t xml:space="preserve"> au par. </w:t>
      </w:r>
      <w:r w:rsidRPr="00EF0F72">
        <w:rPr>
          <w:rFonts w:cs="Times New Roman"/>
          <w:szCs w:val="24"/>
          <w:lang w:val="fr-CA"/>
        </w:rPr>
        <w:t xml:space="preserve">810(5). Il y a eu un débat dans la jurisprudence sur la question de savoir si les </w:t>
      </w:r>
      <w:r w:rsidRPr="00EF0F72">
        <w:rPr>
          <w:rFonts w:cs="Times New Roman"/>
          <w:lang w:val="fr-CA"/>
        </w:rPr>
        <w:t xml:space="preserve">modifications nécessaires pour que </w:t>
      </w:r>
      <w:r w:rsidRPr="00EF0F72">
        <w:rPr>
          <w:rFonts w:cs="Times New Roman"/>
          <w:szCs w:val="24"/>
          <w:lang w:val="fr-CA"/>
        </w:rPr>
        <w:t xml:space="preserve">la partie XVI s’applique </w:t>
      </w:r>
      <w:r w:rsidRPr="00EF0F72">
        <w:rPr>
          <w:rFonts w:cs="Times New Roman"/>
          <w:lang w:val="fr-CA"/>
        </w:rPr>
        <w:t xml:space="preserve">dans le cadre du régime des engagements de ne pas troubler l’ordre public correspondent aux types de modifications auxquelles songeait le </w:t>
      </w:r>
      <w:r w:rsidRPr="00EF0F72">
        <w:rPr>
          <w:rFonts w:cs="Times New Roman"/>
          <w:szCs w:val="24"/>
          <w:lang w:val="fr-CA"/>
        </w:rPr>
        <w:t>législateur.</w:t>
      </w:r>
    </w:p>
    <w:p w:rsidR="004965B0" w:rsidRPr="00EF0F72" w:rsidRDefault="004965B0" w:rsidP="004965B0">
      <w:pPr>
        <w:pStyle w:val="Title2LevelTitre2Niveau"/>
        <w:spacing w:before="0"/>
        <w:rPr>
          <w:rFonts w:cs="Times New Roman"/>
          <w:lang w:val="fr-CA"/>
        </w:rPr>
      </w:pPr>
      <w:bookmarkStart w:id="10" w:name="_Toc5970141"/>
      <w:r w:rsidRPr="00EF0F72">
        <w:rPr>
          <w:rFonts w:cs="Times New Roman"/>
          <w:lang w:val="fr-CA"/>
        </w:rPr>
        <w:t>Deux courants jurisprudentiels</w:t>
      </w:r>
      <w:bookmarkEnd w:id="10"/>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Il y a deux courants jurisprudentiels opposés sur la question. Le premier courant jurisprudentiel est fondé sur deux arrêts de la Cour d’appel de l’Ontario (</w:t>
      </w:r>
      <w:r w:rsidRPr="00EF0F72">
        <w:rPr>
          <w:rFonts w:cs="Times New Roman"/>
          <w:i/>
          <w:lang w:val="fr-CA"/>
        </w:rPr>
        <w:t xml:space="preserve">R. c. </w:t>
      </w:r>
      <w:r w:rsidRPr="00EF0F72">
        <w:rPr>
          <w:rFonts w:cs="Times New Roman"/>
          <w:i/>
          <w:lang w:val="fr-CA"/>
        </w:rPr>
        <w:lastRenderedPageBreak/>
        <w:t>Allen</w:t>
      </w:r>
      <w:r w:rsidRPr="00EF0F72">
        <w:rPr>
          <w:rFonts w:cs="Times New Roman"/>
          <w:lang w:val="fr-CA"/>
        </w:rPr>
        <w:t xml:space="preserve"> (1985), 18 C.C.C. (3d) 155; </w:t>
      </w:r>
      <w:r w:rsidRPr="00EF0F72">
        <w:rPr>
          <w:rFonts w:cs="Times New Roman"/>
          <w:i/>
          <w:lang w:val="fr-CA"/>
        </w:rPr>
        <w:t>Budreo C.A</w:t>
      </w:r>
      <w:r w:rsidRPr="00EF0F72">
        <w:rPr>
          <w:rFonts w:cs="Times New Roman"/>
          <w:lang w:val="fr-CA"/>
        </w:rPr>
        <w:t xml:space="preserve">.). Selon la position adoptée dans les arrêts </w:t>
      </w:r>
      <w:r w:rsidRPr="00EF0F72">
        <w:rPr>
          <w:rFonts w:cs="Times New Roman"/>
          <w:i/>
          <w:szCs w:val="24"/>
          <w:lang w:val="fr-CA"/>
        </w:rPr>
        <w:t xml:space="preserve">Allen </w:t>
      </w:r>
      <w:r w:rsidRPr="00EF0F72">
        <w:rPr>
          <w:rFonts w:cs="Times New Roman"/>
          <w:szCs w:val="24"/>
          <w:lang w:val="fr-CA"/>
        </w:rPr>
        <w:t xml:space="preserve">et </w:t>
      </w:r>
      <w:r w:rsidRPr="00EF0F72">
        <w:rPr>
          <w:rFonts w:cs="Times New Roman"/>
          <w:i/>
          <w:szCs w:val="24"/>
          <w:lang w:val="fr-CA"/>
        </w:rPr>
        <w:t>Budreo C.A.</w:t>
      </w:r>
      <w:r w:rsidRPr="00EF0F72">
        <w:rPr>
          <w:rFonts w:cs="Times New Roman"/>
          <w:szCs w:val="24"/>
          <w:lang w:val="fr-CA"/>
        </w:rPr>
        <w:t xml:space="preserve">, les dispositions relatives à l’arrestation et à la mise en liberté provisoire par voie judiciaire de la partie XVI s’appliquent aux procédures d’engagement de ne pas troubler l’ordre public. Dans l’affaire </w:t>
      </w:r>
      <w:r w:rsidRPr="00EF0F72">
        <w:rPr>
          <w:rFonts w:cs="Times New Roman"/>
          <w:i/>
          <w:lang w:val="fr-CA"/>
        </w:rPr>
        <w:t>Allen</w:t>
      </w:r>
      <w:r w:rsidRPr="00EF0F72">
        <w:rPr>
          <w:rFonts w:cs="Times New Roman"/>
          <w:lang w:val="fr-CA"/>
        </w:rPr>
        <w:t xml:space="preserve">, la cour a examiné la </w:t>
      </w:r>
      <w:r w:rsidRPr="00EF0F72">
        <w:rPr>
          <w:rFonts w:cs="Times New Roman"/>
          <w:szCs w:val="24"/>
          <w:lang w:val="fr-CA"/>
        </w:rPr>
        <w:t>disposition d’incorporation par renvoi (l’art. </w:t>
      </w:r>
      <w:r w:rsidRPr="00EF0F72">
        <w:rPr>
          <w:rFonts w:cs="Times New Roman"/>
          <w:lang w:val="fr-CA"/>
        </w:rPr>
        <w:t xml:space="preserve">795 actuel) et jugé que la disposition relative à l’arrestation (l’art. 507 actuel) s’appliquait </w:t>
      </w:r>
      <w:r w:rsidRPr="00EF0F72">
        <w:rPr>
          <w:rFonts w:cs="Times New Roman"/>
          <w:i/>
          <w:lang w:val="fr-CA"/>
        </w:rPr>
        <w:t>mutatis mutandis</w:t>
      </w:r>
      <w:r w:rsidRPr="00EF0F72">
        <w:rPr>
          <w:rFonts w:cs="Times New Roman"/>
          <w:lang w:val="fr-CA"/>
        </w:rPr>
        <w:t xml:space="preserve"> aux </w:t>
      </w:r>
      <w:r w:rsidRPr="00EF0F72">
        <w:rPr>
          <w:rFonts w:cs="Times New Roman"/>
          <w:szCs w:val="24"/>
          <w:lang w:val="fr-CA"/>
        </w:rPr>
        <w:t>procédures d’engagement de ne pas troubler l’ordre public</w:t>
      </w:r>
      <w:r w:rsidRPr="00EF0F72">
        <w:rPr>
          <w:rFonts w:cs="Times New Roman"/>
          <w:lang w:val="fr-CA"/>
        </w:rPr>
        <w:t xml:space="preserve">. Dans l’arrêt </w:t>
      </w:r>
      <w:r w:rsidRPr="00EF0F72">
        <w:rPr>
          <w:rFonts w:cs="Times New Roman"/>
          <w:i/>
          <w:lang w:val="fr-CA"/>
        </w:rPr>
        <w:t xml:space="preserve">R. c. Wakelin </w:t>
      </w:r>
      <w:r w:rsidRPr="00EF0F72">
        <w:rPr>
          <w:rStyle w:val="reflex3-block"/>
          <w:rFonts w:cs="Times New Roman"/>
          <w:lang w:val="fr-CA"/>
        </w:rPr>
        <w:t xml:space="preserve">(1991), </w:t>
      </w:r>
      <w:r w:rsidRPr="00EF0F72">
        <w:rPr>
          <w:rStyle w:val="reflex3-alt"/>
          <w:rFonts w:cs="Times New Roman"/>
          <w:lang w:val="fr-CA"/>
        </w:rPr>
        <w:t>71 C.C.C. (3d) 115</w:t>
      </w:r>
      <w:r w:rsidRPr="00EF0F72">
        <w:rPr>
          <w:rFonts w:cs="Times New Roman"/>
          <w:lang w:val="fr-CA"/>
        </w:rPr>
        <w:t xml:space="preserve">, la Cour d’appel de la Saskatchewan a appliqué le raisonnement de l’arrêt </w:t>
      </w:r>
      <w:r w:rsidRPr="00EF0F72">
        <w:rPr>
          <w:rFonts w:cs="Times New Roman"/>
          <w:i/>
          <w:lang w:val="fr-CA"/>
        </w:rPr>
        <w:t xml:space="preserve">Allen </w:t>
      </w:r>
      <w:r w:rsidRPr="00EF0F72">
        <w:rPr>
          <w:rFonts w:cs="Times New Roman"/>
          <w:lang w:val="fr-CA"/>
        </w:rPr>
        <w:t>et conclu que, si le pouvoir d’arrestation s’appliquait, [</w:t>
      </w:r>
      <w:r w:rsidRPr="00EF0F72">
        <w:rPr>
          <w:rFonts w:cs="Times New Roman"/>
          <w:smallCaps/>
          <w:lang w:val="fr-CA"/>
        </w:rPr>
        <w:t>traduction</w:t>
      </w:r>
      <w:r w:rsidRPr="00EF0F72">
        <w:rPr>
          <w:rFonts w:cs="Times New Roman"/>
          <w:lang w:val="fr-CA"/>
        </w:rPr>
        <w:t xml:space="preserve">] « il ne serait pas normal que les dispositions relatives à la </w:t>
      </w:r>
      <w:r w:rsidRPr="00EF0F72">
        <w:rPr>
          <w:rFonts w:cs="Times New Roman"/>
          <w:szCs w:val="24"/>
          <w:lang w:val="fr-CA"/>
        </w:rPr>
        <w:t xml:space="preserve">mise en liberté provisoire par voie judiciaire ne s’appliquent pas aussi » aux procédures d’engagement de ne pas troubler l’ordre public </w:t>
      </w:r>
      <w:r w:rsidRPr="00EF0F72">
        <w:rPr>
          <w:rFonts w:cs="Times New Roman"/>
          <w:lang w:val="fr-CA"/>
        </w:rPr>
        <w:t xml:space="preserve">(par. 16). Ce courant jurisprudentiel a débouché sur l’arrêt </w:t>
      </w:r>
      <w:r w:rsidRPr="00EF0F72">
        <w:rPr>
          <w:rFonts w:cs="Times New Roman"/>
          <w:i/>
          <w:lang w:val="fr-CA"/>
        </w:rPr>
        <w:t>Budreo C.A.</w:t>
      </w:r>
      <w:r w:rsidRPr="00EF0F72">
        <w:rPr>
          <w:rFonts w:cs="Times New Roman"/>
          <w:lang w:val="fr-CA"/>
        </w:rPr>
        <w:t xml:space="preserve">, qui a confirmé la constitutionnalité des </w:t>
      </w:r>
      <w:r w:rsidRPr="00EF0F72">
        <w:rPr>
          <w:rFonts w:cs="Times New Roman"/>
          <w:szCs w:val="24"/>
          <w:lang w:val="fr-CA"/>
        </w:rPr>
        <w:t>engagements de ne pas troubler l’ordre public</w:t>
      </w:r>
      <w:r w:rsidRPr="00EF0F72">
        <w:rPr>
          <w:rFonts w:cs="Times New Roman"/>
          <w:lang w:val="fr-CA"/>
        </w:rPr>
        <w:t xml:space="preserve"> prévus à l’art. 810.1. </w:t>
      </w:r>
      <w:r w:rsidRPr="00EF0F72">
        <w:rPr>
          <w:rFonts w:cs="Times New Roman"/>
          <w:szCs w:val="24"/>
          <w:lang w:val="fr-CA"/>
        </w:rPr>
        <w:t>Le courant jurisprudentiel d</w:t>
      </w:r>
      <w:r w:rsidRPr="00EF0F72">
        <w:rPr>
          <w:rFonts w:cs="Times New Roman"/>
          <w:lang w:val="fr-CA"/>
        </w:rPr>
        <w:t xml:space="preserve">es arrêts </w:t>
      </w:r>
      <w:r w:rsidRPr="00EF0F72">
        <w:rPr>
          <w:rFonts w:cs="Times New Roman"/>
          <w:i/>
          <w:szCs w:val="24"/>
          <w:lang w:val="fr-CA"/>
        </w:rPr>
        <w:t xml:space="preserve">Allen </w:t>
      </w:r>
      <w:r w:rsidRPr="00EF0F72">
        <w:rPr>
          <w:rFonts w:cs="Times New Roman"/>
          <w:szCs w:val="24"/>
          <w:lang w:val="fr-CA"/>
        </w:rPr>
        <w:t xml:space="preserve">et </w:t>
      </w:r>
      <w:r w:rsidRPr="00EF0F72">
        <w:rPr>
          <w:rFonts w:cs="Times New Roman"/>
          <w:i/>
          <w:szCs w:val="24"/>
          <w:lang w:val="fr-CA"/>
        </w:rPr>
        <w:t>Budreo C.A.</w:t>
      </w:r>
      <w:r w:rsidRPr="00EF0F72">
        <w:rPr>
          <w:rFonts w:cs="Times New Roman"/>
          <w:szCs w:val="24"/>
          <w:lang w:val="fr-CA"/>
        </w:rPr>
        <w:t xml:space="preserve"> a récemment été appliqué par la Cour d’appel du Yukon dans l’arrêt </w:t>
      </w:r>
      <w:r w:rsidRPr="00EF0F72">
        <w:rPr>
          <w:rFonts w:cs="Times New Roman"/>
          <w:i/>
          <w:szCs w:val="24"/>
          <w:lang w:val="fr-CA"/>
        </w:rPr>
        <w:t>R. c. Nowazek</w:t>
      </w:r>
      <w:r w:rsidRPr="00EF0F72">
        <w:rPr>
          <w:rFonts w:cs="Times New Roman"/>
          <w:szCs w:val="24"/>
          <w:lang w:val="fr-CA"/>
        </w:rPr>
        <w:t xml:space="preserve">, 2018 YKCA 12, 366 C.C.C. (3d) 389. Je cite le résumé que le juge Fitch a fait dans la décision </w:t>
      </w:r>
      <w:r w:rsidRPr="00EF0F72">
        <w:rPr>
          <w:rFonts w:cs="Times New Roman"/>
          <w:i/>
          <w:szCs w:val="24"/>
          <w:lang w:val="fr-CA"/>
        </w:rPr>
        <w:t>Nowazek </w:t>
      </w:r>
      <w:r w:rsidRPr="00EF0F72">
        <w:rPr>
          <w:rFonts w:cs="Times New Roman"/>
          <w:szCs w:val="24"/>
          <w:lang w:val="fr-CA"/>
        </w:rPr>
        <w:t xml:space="preserve">des motifs de la Cour d’appel de l’Ontario dans l’arrêt </w:t>
      </w:r>
      <w:r w:rsidRPr="00EF0F72">
        <w:rPr>
          <w:rFonts w:cs="Times New Roman"/>
          <w:i/>
          <w:lang w:val="fr-CA"/>
        </w:rPr>
        <w:t>Budreo C.A.</w:t>
      </w:r>
      <w:r w:rsidRPr="00EF0F72">
        <w:rPr>
          <w:rFonts w:cs="Times New Roman"/>
          <w:lang w:val="fr-CA"/>
        </w:rPr>
        <w:t> :</w:t>
      </w:r>
    </w:p>
    <w:p w:rsidR="004965B0" w:rsidRPr="00EF0F72" w:rsidRDefault="004965B0" w:rsidP="004965B0">
      <w:pPr>
        <w:pStyle w:val="Citation-AltC"/>
        <w:tabs>
          <w:tab w:val="left" w:pos="1440"/>
        </w:tabs>
        <w:spacing w:after="240"/>
        <w:contextualSpacing w:val="0"/>
        <w:rPr>
          <w:lang w:val="fr-CA"/>
        </w:rPr>
      </w:pPr>
      <w:r w:rsidRPr="00EF0F72">
        <w:rPr>
          <w:lang w:val="fr-CA"/>
        </w:rPr>
        <w:tab/>
        <w:t>[</w:t>
      </w:r>
      <w:r w:rsidRPr="00EF0F72">
        <w:rPr>
          <w:smallCaps/>
          <w:lang w:val="fr-CA"/>
        </w:rPr>
        <w:t>traduction</w:t>
      </w:r>
      <w:r w:rsidRPr="00EF0F72">
        <w:rPr>
          <w:lang w:val="fr-CA"/>
        </w:rPr>
        <w:t xml:space="preserve">] Dans l’affaire </w:t>
      </w:r>
      <w:r w:rsidRPr="00EF0F72">
        <w:rPr>
          <w:i/>
          <w:iCs/>
          <w:lang w:val="fr-CA"/>
        </w:rPr>
        <w:t>Budreo</w:t>
      </w:r>
      <w:r w:rsidRPr="00EF0F72">
        <w:rPr>
          <w:lang w:val="fr-CA"/>
        </w:rPr>
        <w:t xml:space="preserve"> [le] défendeur était un pédophile diagnostiqué qui venait tout juste d’être libéré de prison après avoir purgé des peines pour des infractions sexuelles commises contre des enfants. Il avait refusé de contracter l’engagement prévu à l’art. 810.1. Le défendeur s’était présenté de son plein gré devant le tribunal sur les instructions de la police. Le même jour, une policière avait fait sous serment, en vertu de l’art. 810.1, une dénonciation selon laquelle elle avait des motifs raisonnables de craindre que l’appelant commette des infractions sexuelles contre des enfants. Le juge a décidé de délivrer un mandat et conclu qu’il était nécessaire de contraindre le défendeur à comparaître devant le tribunal pour répondre à la demande en lançant contre lui un mandat d’arrestation [malgré le fait qu’il se trouvait déjà devant le tribunal de son plein gré]. Le </w:t>
      </w:r>
      <w:r w:rsidRPr="00EF0F72">
        <w:rPr>
          <w:lang w:val="fr-CA"/>
        </w:rPr>
        <w:lastRenderedPageBreak/>
        <w:t>défendeur a été arrêté à l’extérieur de la salle d’audience en vertu d’un mandat délivré en vertu du par. </w:t>
      </w:r>
      <w:r w:rsidRPr="0061512C">
        <w:rPr>
          <w:rStyle w:val="Hyperlink"/>
          <w:color w:val="auto"/>
          <w:u w:val="none"/>
          <w:lang w:val="fr-CA"/>
        </w:rPr>
        <w:t>507(4)</w:t>
      </w:r>
      <w:r w:rsidRPr="0061512C">
        <w:rPr>
          <w:lang w:val="fr-CA"/>
        </w:rPr>
        <w:t xml:space="preserve"> du </w:t>
      </w:r>
      <w:r w:rsidRPr="0061512C">
        <w:rPr>
          <w:rStyle w:val="Hyperlink"/>
          <w:i/>
          <w:iCs/>
          <w:color w:val="auto"/>
          <w:u w:val="none"/>
          <w:lang w:val="fr-CA"/>
        </w:rPr>
        <w:t>Code</w:t>
      </w:r>
      <w:r w:rsidRPr="00EF0F72">
        <w:rPr>
          <w:i/>
          <w:iCs/>
          <w:lang w:val="fr-CA"/>
        </w:rPr>
        <w:t>.</w:t>
      </w:r>
      <w:r w:rsidRPr="00EF0F72">
        <w:rPr>
          <w:lang w:val="fr-CA"/>
        </w:rPr>
        <w:t xml:space="preserve"> Désormais détenu, le défendeur a été conduit devant le juge pour une audience de justification en vue de déterminer s’il devait être libéré sous caution en attendant le sort de la demande fondée sur l’art. </w:t>
      </w:r>
      <w:r w:rsidRPr="0061512C">
        <w:rPr>
          <w:rStyle w:val="Hyperlink"/>
          <w:color w:val="auto"/>
          <w:u w:val="none"/>
          <w:lang w:val="fr-CA"/>
        </w:rPr>
        <w:t>810.1</w:t>
      </w:r>
      <w:r w:rsidRPr="00EF0F72">
        <w:rPr>
          <w:lang w:val="fr-CA"/>
        </w:rPr>
        <w:t>. Le défendeur a finalement accepté les conditions de sa mise en liberté réclamées par le ministère public, et l’audience relative à la demande présentée en vertu de l’art. </w:t>
      </w:r>
      <w:r w:rsidRPr="0061512C">
        <w:rPr>
          <w:rStyle w:val="Hyperlink"/>
          <w:color w:val="auto"/>
          <w:u w:val="none"/>
          <w:lang w:val="fr-CA"/>
        </w:rPr>
        <w:t>810.1</w:t>
      </w:r>
      <w:r w:rsidRPr="00EF0F72">
        <w:rPr>
          <w:lang w:val="fr-CA"/>
        </w:rPr>
        <w:t xml:space="preserve"> a été reportée d’une semaine. Le défendeur a ensuite sollicité un jugement déclaratoire portant que l’art. 810.1 et le par. </w:t>
      </w:r>
      <w:r w:rsidRPr="0061512C">
        <w:rPr>
          <w:rStyle w:val="Hyperlink"/>
          <w:color w:val="auto"/>
          <w:u w:val="none"/>
          <w:lang w:val="fr-CA"/>
        </w:rPr>
        <w:t>507(4)</w:t>
      </w:r>
      <w:r w:rsidRPr="00EF0F72">
        <w:rPr>
          <w:lang w:val="fr-CA"/>
        </w:rPr>
        <w:t xml:space="preserve"> violaient la </w:t>
      </w:r>
      <w:r w:rsidRPr="00EF0F72">
        <w:rPr>
          <w:i/>
          <w:lang w:val="fr-CA"/>
        </w:rPr>
        <w:t>Charte</w:t>
      </w:r>
      <w:r w:rsidRPr="00EF0F72">
        <w:rPr>
          <w:lang w:val="fr-CA"/>
        </w:rPr>
        <w:t>.</w:t>
      </w:r>
    </w:p>
    <w:p w:rsidR="004965B0" w:rsidRPr="00EF0F72" w:rsidRDefault="004965B0" w:rsidP="004965B0">
      <w:pPr>
        <w:pStyle w:val="Citation-AltC"/>
        <w:tabs>
          <w:tab w:val="left" w:pos="1440"/>
        </w:tabs>
        <w:spacing w:after="240"/>
        <w:contextualSpacing w:val="0"/>
        <w:rPr>
          <w:lang w:val="fr-CA"/>
        </w:rPr>
      </w:pPr>
      <w:r w:rsidRPr="00EF0F72">
        <w:rPr>
          <w:lang w:val="fr-CA"/>
        </w:rPr>
        <w:tab/>
        <w:t xml:space="preserve">La Cour [. . .] a conclu </w:t>
      </w:r>
      <w:r w:rsidRPr="00EF0F72">
        <w:rPr>
          <w:iCs/>
          <w:lang w:val="fr-CA"/>
        </w:rPr>
        <w:t>que l’art. </w:t>
      </w:r>
      <w:r w:rsidRPr="0061512C">
        <w:rPr>
          <w:rStyle w:val="Hyperlink"/>
          <w:color w:val="auto"/>
          <w:u w:val="none"/>
          <w:lang w:val="fr-CA"/>
        </w:rPr>
        <w:t>795</w:t>
      </w:r>
      <w:r w:rsidRPr="00EF0F72">
        <w:rPr>
          <w:lang w:val="fr-CA"/>
        </w:rPr>
        <w:t xml:space="preserve"> envisageait la modification des art. 507 et 515 de façon à ce que ceux-ci s’appliquent aux instances introduites par le dépôt d’une dénonciation en vertu de l’art. 810.1, même si, dans le cas d’une dénonciation déposée en vertu de l’art. 810.1, le défendeur n’était pas un « prévenu inculpé d’une infraction » : par. 59</w:t>
      </w:r>
      <w:r w:rsidRPr="00EF0F72">
        <w:rPr>
          <w:lang w:val="fr-CA"/>
        </w:rPr>
        <w:noBreakHyphen/>
        <w:t>62.</w:t>
      </w:r>
    </w:p>
    <w:p w:rsidR="004965B0" w:rsidRPr="00EF0F72" w:rsidRDefault="004965B0" w:rsidP="004965B0">
      <w:pPr>
        <w:pStyle w:val="Citation-AltC"/>
        <w:tabs>
          <w:tab w:val="left" w:pos="1440"/>
        </w:tabs>
        <w:spacing w:after="240"/>
        <w:contextualSpacing w:val="0"/>
        <w:rPr>
          <w:lang w:val="fr-CA"/>
        </w:rPr>
      </w:pPr>
      <w:r w:rsidRPr="00EF0F72">
        <w:rPr>
          <w:lang w:val="fr-CA"/>
        </w:rPr>
        <w:tab/>
        <w:t>La Cour a souligné que le par. 507(4) exigeait du juge de paix qu’il délivre une sommation chaque fois que cela était possible. Le juge ne peut délivrer un mandat d’arrestation que lorsque l’intérêt public l’exige, ce qui signifie, dans le contexte de l’art. 810.1, que le défendeur ne se présentera pas devant le tribunal ou qu’il représente un risque imminent pour la sécurité des enfants : par. 66. La Cour a également fait remarquer que, si un mandat d’arrestation est décerné et que le prévenu est traduit devant un juge de paix, l’art. 515 exige sa mise en liberté sans condition, à moins que le ministère public ne soit en mesure de justifier le prononcé d’une ordonnance plus restrictive. Le juge de paix doit exercer son pouvoir discrétionnaire en vertu de l’art. 515 « de façon judiciaire et en tenant compte des conditions limitées qui peuvent être imposées lorsque la demande fondée sur l’art. 810.1 est accueillie » : par. 67.</w:t>
      </w:r>
    </w:p>
    <w:p w:rsidR="004965B0" w:rsidRPr="00EF0F72" w:rsidRDefault="004965B0" w:rsidP="004965B0">
      <w:pPr>
        <w:pStyle w:val="Citation-AltC"/>
        <w:tabs>
          <w:tab w:val="left" w:pos="1440"/>
        </w:tabs>
        <w:spacing w:after="240"/>
        <w:contextualSpacing w:val="0"/>
        <w:rPr>
          <w:lang w:val="fr-CA"/>
        </w:rPr>
      </w:pPr>
      <w:r w:rsidRPr="00EF0F72">
        <w:rPr>
          <w:lang w:val="fr-CA"/>
        </w:rPr>
        <w:tab/>
        <w:t>La Cour a conclu que la possibilité de détenir le prévenu avant la tenue de l’audience prévue à l’art. 515 ne conférait pas une portée trop large à l’art. 810.1, malgré le fait que la détention constituait une mesure plus sé</w:t>
      </w:r>
      <w:r>
        <w:rPr>
          <w:lang w:val="fr-CA"/>
        </w:rPr>
        <w:t>vère que toute sanction que la c</w:t>
      </w:r>
      <w:r w:rsidRPr="00EF0F72">
        <w:rPr>
          <w:lang w:val="fr-CA"/>
        </w:rPr>
        <w:t>our pourrait infliger après avoir fait droit à la demande fondée sur l’art. 810.1 (sauf si le défendeur refusait de contracter l’engagement) :</w:t>
      </w:r>
    </w:p>
    <w:p w:rsidR="004965B0" w:rsidRPr="00EF0F72" w:rsidRDefault="004965B0" w:rsidP="004965B0">
      <w:pPr>
        <w:pStyle w:val="Citation-AltC"/>
        <w:tabs>
          <w:tab w:val="left" w:pos="1980"/>
          <w:tab w:val="left" w:pos="2340"/>
        </w:tabs>
        <w:spacing w:after="240"/>
        <w:ind w:left="1987"/>
        <w:contextualSpacing w:val="0"/>
        <w:rPr>
          <w:lang w:val="fr-CA"/>
        </w:rPr>
      </w:pPr>
      <w:r w:rsidRPr="00EF0F72">
        <w:rPr>
          <w:lang w:val="fr-CA"/>
        </w:rPr>
        <w:t>. . . L’arrestation du défendeur avant le procès ou même sa détention avant l’audience peut être nécessaire pour assurer sa présence à l’audience ou pour empêcher que les enfants subissent un préjudice en attendant la tenue de l’audience parce que le défendeur ne veut pas se conformer à des conditions raisonnables de sa mise en liberté. Bref, comme je l’ai déjà dit, l’arrestation et la détention avant le procès peuvent s’avérer nécessaires dans certains cas pour assurer l’intégrité et la viabilité des procédures prévues à l’art. 810.1 elles</w:t>
      </w:r>
      <w:r w:rsidRPr="00EF0F72">
        <w:rPr>
          <w:lang w:val="fr-CA"/>
        </w:rPr>
        <w:noBreakHyphen/>
        <w:t>mêmes.</w:t>
      </w:r>
    </w:p>
    <w:p w:rsidR="004965B0" w:rsidRPr="00EF0F72" w:rsidRDefault="004965B0" w:rsidP="004965B0">
      <w:pPr>
        <w:pStyle w:val="Citation-AltC"/>
        <w:tabs>
          <w:tab w:val="left" w:pos="1440"/>
        </w:tabs>
        <w:contextualSpacing w:val="0"/>
        <w:rPr>
          <w:lang w:val="fr-CA"/>
        </w:rPr>
      </w:pPr>
      <w:r w:rsidRPr="00EF0F72">
        <w:rPr>
          <w:lang w:val="fr-CA"/>
        </w:rPr>
        <w:tab/>
        <w:t xml:space="preserve">La Cour a souligné que la détention avant l’audience ne sera justifiée que dans des situations exceptionnelles dans le cadre des procédures prévues à l’art. 810.1. Elle a également mentionné le par. 515(10), qui </w:t>
      </w:r>
      <w:r w:rsidRPr="00EF0F72">
        <w:rPr>
          <w:lang w:val="fr-CA"/>
        </w:rPr>
        <w:lastRenderedPageBreak/>
        <w:t>limite le pouvoir discrétionnaire dont dispose le juge pour ordonner la détention avant l’audience en précisant les circonstances dans lesquelles la détention est justifiée.</w:t>
      </w:r>
    </w:p>
    <w:p w:rsidR="004965B0" w:rsidRPr="00EF0F72" w:rsidRDefault="004965B0" w:rsidP="004965B0">
      <w:pPr>
        <w:pStyle w:val="ContinueParaSuitedupar-AltP"/>
        <w:spacing w:before="0"/>
        <w:rPr>
          <w:rFonts w:cs="Times New Roman"/>
          <w:lang w:val="fr-CA"/>
        </w:rPr>
      </w:pPr>
      <w:r w:rsidRPr="00EF0F72">
        <w:rPr>
          <w:rFonts w:cs="Times New Roman"/>
          <w:lang w:val="fr-CA"/>
        </w:rPr>
        <w:t>La Cour d’appel de la Colombie</w:t>
      </w:r>
      <w:r w:rsidRPr="00EF0F72">
        <w:rPr>
          <w:rFonts w:cs="Times New Roman"/>
          <w:lang w:val="fr-CA"/>
        </w:rPr>
        <w:noBreakHyphen/>
        <w:t xml:space="preserve">Britannique a, dans l’arrêt </w:t>
      </w:r>
      <w:r w:rsidRPr="00EF0F72">
        <w:rPr>
          <w:rFonts w:cs="Times New Roman"/>
          <w:i/>
          <w:lang w:val="fr-CA"/>
        </w:rPr>
        <w:t>Cachine</w:t>
      </w:r>
      <w:r w:rsidRPr="00EF0F72">
        <w:rPr>
          <w:rFonts w:cs="Times New Roman"/>
          <w:lang w:val="fr-CA"/>
        </w:rPr>
        <w:t xml:space="preserve">, suivi le courant jurisprudentiel des arrêts </w:t>
      </w:r>
      <w:r w:rsidRPr="00EF0F72">
        <w:rPr>
          <w:rFonts w:cs="Times New Roman"/>
          <w:i/>
          <w:szCs w:val="24"/>
          <w:lang w:val="fr-CA"/>
        </w:rPr>
        <w:t xml:space="preserve">Allen </w:t>
      </w:r>
      <w:r w:rsidRPr="00EF0F72">
        <w:rPr>
          <w:rFonts w:cs="Times New Roman"/>
          <w:szCs w:val="24"/>
          <w:lang w:val="fr-CA"/>
        </w:rPr>
        <w:t xml:space="preserve">et </w:t>
      </w:r>
      <w:r w:rsidRPr="00EF0F72">
        <w:rPr>
          <w:rFonts w:cs="Times New Roman"/>
          <w:i/>
          <w:szCs w:val="24"/>
          <w:lang w:val="fr-CA"/>
        </w:rPr>
        <w:t xml:space="preserve">Budreo C.A. </w:t>
      </w:r>
      <w:r w:rsidRPr="00EF0F72">
        <w:rPr>
          <w:rFonts w:cs="Times New Roman"/>
          <w:lang w:val="fr-CA"/>
        </w:rPr>
        <w:t>et statué que des conditions provisoires peuvent être imposées au défendeur à une procédure d’engagement de ne pas troubler l’ordre public qui a été arrêté et conduit devant le tribunal.</w:t>
      </w:r>
    </w:p>
    <w:p w:rsidR="004965B0" w:rsidRPr="00EF0F72" w:rsidRDefault="004965B0" w:rsidP="004965B0">
      <w:pPr>
        <w:pStyle w:val="ParaNoNdepar-AltN"/>
        <w:spacing w:before="0"/>
        <w:rPr>
          <w:rFonts w:cs="Times New Roman"/>
          <w:lang w:val="fr-CA"/>
        </w:rPr>
      </w:pPr>
      <w:r w:rsidRPr="00EF0F72">
        <w:rPr>
          <w:rFonts w:cs="Times New Roman"/>
          <w:szCs w:val="24"/>
          <w:lang w:val="fr-CA"/>
        </w:rPr>
        <w:t xml:space="preserve">Le second courant jurisprudentiel fait suite aux décisions </w:t>
      </w:r>
      <w:r w:rsidRPr="00EF0F72">
        <w:rPr>
          <w:rFonts w:cs="Times New Roman"/>
          <w:i/>
          <w:lang w:val="fr-CA"/>
        </w:rPr>
        <w:t xml:space="preserve">R. c. Forrest </w:t>
      </w:r>
      <w:r w:rsidRPr="00EF0F72">
        <w:rPr>
          <w:rFonts w:cs="Times New Roman"/>
          <w:lang w:val="fr-CA"/>
        </w:rPr>
        <w:t>(1983), 8 C.C.C. (3d) 444 (C.S.C.</w:t>
      </w:r>
      <w:r w:rsidRPr="00EF0F72">
        <w:rPr>
          <w:rFonts w:cs="Times New Roman"/>
          <w:lang w:val="fr-CA"/>
        </w:rPr>
        <w:noBreakHyphen/>
        <w:t xml:space="preserve">B.) et </w:t>
      </w:r>
      <w:r w:rsidRPr="00EF0F72">
        <w:rPr>
          <w:rFonts w:cs="Times New Roman"/>
          <w:i/>
          <w:lang w:val="fr-CA"/>
        </w:rPr>
        <w:t>MacAusland</w:t>
      </w:r>
      <w:r w:rsidRPr="00EF0F72">
        <w:rPr>
          <w:rFonts w:cs="Times New Roman"/>
          <w:lang w:val="fr-CA"/>
        </w:rPr>
        <w:t xml:space="preserve">. Selon la position adoptée dans les décisions </w:t>
      </w:r>
      <w:r w:rsidRPr="00EF0F72">
        <w:rPr>
          <w:rFonts w:cs="Times New Roman"/>
          <w:i/>
          <w:szCs w:val="24"/>
          <w:lang w:val="fr-CA"/>
        </w:rPr>
        <w:t xml:space="preserve">Forrest </w:t>
      </w:r>
      <w:r w:rsidRPr="00EF0F72">
        <w:rPr>
          <w:rFonts w:cs="Times New Roman"/>
          <w:szCs w:val="24"/>
          <w:lang w:val="fr-CA"/>
        </w:rPr>
        <w:t>et</w:t>
      </w:r>
      <w:r w:rsidRPr="00EF0F72">
        <w:rPr>
          <w:rFonts w:cs="Times New Roman"/>
          <w:i/>
          <w:szCs w:val="24"/>
          <w:lang w:val="fr-CA"/>
        </w:rPr>
        <w:t xml:space="preserve"> MacAusland</w:t>
      </w:r>
      <w:r w:rsidRPr="00EF0F72">
        <w:rPr>
          <w:rFonts w:cs="Times New Roman"/>
          <w:szCs w:val="24"/>
          <w:lang w:val="fr-CA"/>
        </w:rPr>
        <w:t>, les dispositions relatives à la mise en liberté provisoire par voie judiciaire ne s’appliquent pas aux défendeurs à une procédure d’</w:t>
      </w:r>
      <w:r w:rsidRPr="00EF0F72">
        <w:rPr>
          <w:rFonts w:cs="Times New Roman"/>
          <w:lang w:val="fr-CA"/>
        </w:rPr>
        <w:t>engagement de ne pas troubler l’ordre public</w:t>
      </w:r>
      <w:r w:rsidRPr="00EF0F72">
        <w:rPr>
          <w:rFonts w:cs="Times New Roman"/>
          <w:szCs w:val="24"/>
          <w:lang w:val="fr-CA"/>
        </w:rPr>
        <w:t xml:space="preserve">; c’est cette interprétation que la Cour d’appel a préférée en l’espèce. </w:t>
      </w:r>
      <w:r w:rsidRPr="00EF0F72">
        <w:rPr>
          <w:rFonts w:cs="Times New Roman"/>
          <w:lang w:val="fr-CA"/>
        </w:rPr>
        <w:t xml:space="preserve">Dans la décision </w:t>
      </w:r>
      <w:r w:rsidRPr="00EF0F72">
        <w:rPr>
          <w:rFonts w:cs="Times New Roman"/>
          <w:i/>
          <w:lang w:val="fr-CA"/>
        </w:rPr>
        <w:t>Forrest</w:t>
      </w:r>
      <w:r w:rsidRPr="00EF0F72">
        <w:rPr>
          <w:rFonts w:cs="Times New Roman"/>
          <w:lang w:val="fr-CA"/>
        </w:rPr>
        <w:t>,</w:t>
      </w:r>
      <w:r w:rsidRPr="00EF0F72">
        <w:rPr>
          <w:rFonts w:cs="Times New Roman"/>
          <w:i/>
          <w:lang w:val="fr-CA"/>
        </w:rPr>
        <w:t xml:space="preserve"> </w:t>
      </w:r>
      <w:r w:rsidRPr="00EF0F72">
        <w:rPr>
          <w:rFonts w:cs="Times New Roman"/>
          <w:lang w:val="fr-CA"/>
        </w:rPr>
        <w:t>la cour a conclu que les mots « </w:t>
      </w:r>
      <w:r w:rsidRPr="00EF0F72">
        <w:rPr>
          <w:rFonts w:cs="Times New Roman"/>
          <w:i/>
          <w:lang w:val="fr-CA"/>
        </w:rPr>
        <w:t>mutatis mutandis</w:t>
      </w:r>
      <w:r w:rsidRPr="00EF0F72">
        <w:rPr>
          <w:rFonts w:cs="Times New Roman"/>
          <w:lang w:val="fr-CA"/>
        </w:rPr>
        <w:t> » dans la disposition d’incorporation par renvoi (mots qui ont depuis été remplacés par l’expression « avec les adaptations nécessaires ») ne pouvaient être invoqués pour transformer le défendeur à une procédure d’engagement de ne pas troubler l’ordre public en prévenu inculpé d’une infraction. Selon la cour, il s’agissait d’une [</w:t>
      </w:r>
      <w:r w:rsidRPr="00EF0F72">
        <w:rPr>
          <w:rFonts w:cs="Times New Roman"/>
          <w:smallCaps/>
          <w:lang w:val="fr-CA"/>
        </w:rPr>
        <w:t>traduction</w:t>
      </w:r>
      <w:r w:rsidRPr="00EF0F72">
        <w:rPr>
          <w:rFonts w:cs="Times New Roman"/>
          <w:lang w:val="fr-CA"/>
        </w:rPr>
        <w:t xml:space="preserve">] « modification de fond » et non d’un « changement portant sur des détails » (p. 448). Toutefois, le jugement </w:t>
      </w:r>
      <w:r w:rsidRPr="00EF0F72">
        <w:rPr>
          <w:rFonts w:cs="Times New Roman"/>
          <w:i/>
          <w:lang w:val="fr-CA"/>
        </w:rPr>
        <w:t xml:space="preserve">Forrest </w:t>
      </w:r>
      <w:r w:rsidRPr="00EF0F72">
        <w:rPr>
          <w:rFonts w:cs="Times New Roman"/>
          <w:lang w:val="fr-CA"/>
        </w:rPr>
        <w:t>a par la suite été infirmé par la Cour d’appel de la Colombie</w:t>
      </w:r>
      <w:r w:rsidRPr="00EF0F72">
        <w:rPr>
          <w:rFonts w:cs="Times New Roman"/>
          <w:lang w:val="fr-CA"/>
        </w:rPr>
        <w:noBreakHyphen/>
        <w:t>Britannique et les tribunaux de cette province ne sont plus tenus de le suivre (</w:t>
      </w:r>
      <w:r w:rsidRPr="00EF0F72">
        <w:rPr>
          <w:rFonts w:cs="Times New Roman"/>
          <w:i/>
          <w:lang w:val="fr-CA"/>
        </w:rPr>
        <w:t>Cachine</w:t>
      </w:r>
      <w:r w:rsidRPr="00EF0F72">
        <w:rPr>
          <w:rFonts w:cs="Times New Roman"/>
          <w:lang w:val="fr-CA"/>
        </w:rPr>
        <w:t>, par. 23</w:t>
      </w:r>
      <w:r w:rsidRPr="00EF0F72">
        <w:rPr>
          <w:rFonts w:cs="Times New Roman"/>
          <w:lang w:val="fr-CA"/>
        </w:rPr>
        <w:noBreakHyphen/>
        <w:t>24).</w:t>
      </w:r>
    </w:p>
    <w:p w:rsidR="004965B0" w:rsidRPr="00EF0F72" w:rsidRDefault="004965B0" w:rsidP="004965B0">
      <w:pPr>
        <w:pStyle w:val="ParaNoNdepar-AltN"/>
        <w:spacing w:before="0"/>
        <w:rPr>
          <w:rFonts w:cs="Times New Roman"/>
          <w:lang w:val="fr-CA"/>
        </w:rPr>
      </w:pPr>
      <w:r w:rsidRPr="00EF0F72">
        <w:rPr>
          <w:rFonts w:cs="Times New Roman"/>
          <w:szCs w:val="24"/>
          <w:lang w:val="fr-CA"/>
        </w:rPr>
        <w:t>À l’exception de l’arrêt rendu par la Cour d’appel de Terre</w:t>
      </w:r>
      <w:r w:rsidRPr="00EF0F72">
        <w:rPr>
          <w:rFonts w:cs="Times New Roman"/>
          <w:szCs w:val="24"/>
          <w:lang w:val="fr-CA"/>
        </w:rPr>
        <w:noBreakHyphen/>
        <w:t>Neuve</w:t>
      </w:r>
      <w:r w:rsidRPr="00EF0F72">
        <w:rPr>
          <w:rFonts w:cs="Times New Roman"/>
          <w:szCs w:val="24"/>
          <w:lang w:val="fr-CA"/>
        </w:rPr>
        <w:noBreakHyphen/>
        <w:t>et</w:t>
      </w:r>
      <w:r w:rsidRPr="00EF0F72">
        <w:rPr>
          <w:rFonts w:cs="Times New Roman"/>
          <w:szCs w:val="24"/>
          <w:lang w:val="fr-CA"/>
        </w:rPr>
        <w:noBreakHyphen/>
        <w:t>Labrador</w:t>
      </w:r>
      <w:r w:rsidRPr="00EF0F72">
        <w:rPr>
          <w:rFonts w:cs="Times New Roman"/>
          <w:lang w:val="fr-CA"/>
        </w:rPr>
        <w:t xml:space="preserve"> dans le cas qui nous occupe, le jugement </w:t>
      </w:r>
      <w:r w:rsidRPr="00EF0F72">
        <w:rPr>
          <w:rFonts w:cs="Times New Roman"/>
          <w:i/>
          <w:szCs w:val="24"/>
          <w:lang w:val="fr-CA"/>
        </w:rPr>
        <w:t xml:space="preserve">MacAusland </w:t>
      </w:r>
      <w:r w:rsidRPr="00EF0F72">
        <w:rPr>
          <w:rFonts w:cs="Times New Roman"/>
          <w:szCs w:val="24"/>
          <w:lang w:val="fr-CA"/>
        </w:rPr>
        <w:t xml:space="preserve">semble constituer la seule décision émanant d’une cour supérieure ou d’une juridiction d’appel </w:t>
      </w:r>
      <w:r w:rsidRPr="00EF0F72">
        <w:rPr>
          <w:rFonts w:cs="Times New Roman"/>
          <w:szCs w:val="24"/>
          <w:lang w:val="fr-CA"/>
        </w:rPr>
        <w:lastRenderedPageBreak/>
        <w:t xml:space="preserve">qui fait encore jurisprudence et selon laquelle les dispositions relatives à la mise en liberté provisoire par voie judiciaire ne peuvent s’appliquer au défendeur à une procédure d’engagement de ne pas troubler l’ordre public. Dans le jugement </w:t>
      </w:r>
      <w:r w:rsidRPr="00EF0F72">
        <w:rPr>
          <w:rFonts w:cs="Times New Roman"/>
          <w:i/>
          <w:szCs w:val="24"/>
          <w:lang w:val="fr-CA"/>
        </w:rPr>
        <w:t>MacAusland</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le juge Kelly a conclu que, comme l’art. 810 ne créait pas d’infractions, les modifications nécessaires pour pouvoir appliquer les dispositions relatives à la mise en liberté provisoire par voie judiciaire à l’art. 810 n’étaient pas simplement techniques, mais opéraient en réalité [</w:t>
      </w:r>
      <w:r w:rsidRPr="00EF0F72">
        <w:rPr>
          <w:rFonts w:cs="Times New Roman"/>
          <w:smallCaps/>
          <w:szCs w:val="24"/>
          <w:lang w:val="fr-CA"/>
        </w:rPr>
        <w:t>traduction</w:t>
      </w:r>
      <w:r w:rsidRPr="00EF0F72">
        <w:rPr>
          <w:rFonts w:cs="Times New Roman"/>
          <w:szCs w:val="24"/>
          <w:lang w:val="fr-CA"/>
        </w:rPr>
        <w:t>] « un changement dans la nature même de l’art. 810</w:t>
      </w:r>
      <w:r w:rsidR="003B256A">
        <w:rPr>
          <w:rFonts w:cs="Times New Roman"/>
          <w:szCs w:val="24"/>
          <w:lang w:val="fr-CA"/>
        </w:rPr>
        <w:t xml:space="preserve"> ou de l’art. 515 » (par. 27-</w:t>
      </w:r>
      <w:r w:rsidRPr="00EF0F72">
        <w:rPr>
          <w:rFonts w:cs="Times New Roman"/>
          <w:szCs w:val="24"/>
          <w:lang w:val="fr-CA"/>
        </w:rPr>
        <w:t>28). Le juge Kelly a également signalé un « risque d’abus de la part de dénonciateurs animés de motifs illégitimes » (par. 30), dans des situations où le défendeur est susceptible d’être assujetti à des conditions avant que les motifs raisonnables de crainte ou d’appréhension ne soient prouvés. Enfin, le juge Kelly est arrivé à la conclusion suivante :</w:t>
      </w:r>
    </w:p>
    <w:p w:rsidR="004965B0" w:rsidRPr="00EF0F72" w:rsidRDefault="004965B0" w:rsidP="004965B0">
      <w:pPr>
        <w:pStyle w:val="Citation-AltC"/>
        <w:ind w:hanging="446"/>
        <w:contextualSpacing w:val="0"/>
        <w:rPr>
          <w:lang w:val="fr-CA"/>
        </w:rPr>
      </w:pPr>
      <w:r w:rsidRPr="00EF0F72">
        <w:rPr>
          <w:lang w:val="fr-CA"/>
        </w:rPr>
        <w:tab/>
        <w:t>[</w:t>
      </w:r>
      <w:r w:rsidRPr="00EF0F72">
        <w:rPr>
          <w:smallCaps/>
          <w:lang w:val="fr-CA"/>
        </w:rPr>
        <w:t>traduction</w:t>
      </w:r>
      <w:r w:rsidRPr="00EF0F72">
        <w:rPr>
          <w:lang w:val="fr-CA"/>
        </w:rPr>
        <w:t>] Un régime qui permet, avant que la demande ne soit tranchée au fond, d’infliger à quelqu’un une peine plus sévère que celle dont il pourrait écoper après que cette décision a effectivement été rendue crée, à mon avis, une incohérence sur les plans logique et juridique. [par. 33]</w:t>
      </w:r>
    </w:p>
    <w:p w:rsidR="004965B0" w:rsidRPr="00EF0F72" w:rsidRDefault="004965B0" w:rsidP="004965B0">
      <w:pPr>
        <w:pStyle w:val="ContinueParaSuitedupar-AltP"/>
        <w:spacing w:before="0"/>
        <w:rPr>
          <w:rFonts w:cs="Times New Roman"/>
          <w:lang w:val="fr-CA"/>
        </w:rPr>
      </w:pPr>
      <w:r w:rsidRPr="00EF0F72">
        <w:rPr>
          <w:rFonts w:cs="Times New Roman"/>
          <w:lang w:val="fr-CA"/>
        </w:rPr>
        <w:t>Ce passage a été repris et approuvé en l’espèce par la Cour d’appel (par. 58).</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Pour les motifs que je vais exposer, je suis d’accord avec les cours d’appel ayant rendu les arrêts </w:t>
      </w:r>
      <w:r w:rsidRPr="00EF0F72">
        <w:rPr>
          <w:rFonts w:cs="Times New Roman"/>
          <w:i/>
          <w:szCs w:val="24"/>
          <w:lang w:val="fr-CA"/>
        </w:rPr>
        <w:t>Allen</w:t>
      </w:r>
      <w:r w:rsidRPr="00EF0F72">
        <w:rPr>
          <w:rFonts w:cs="Times New Roman"/>
          <w:szCs w:val="24"/>
          <w:lang w:val="fr-CA"/>
        </w:rPr>
        <w:t>,</w:t>
      </w:r>
      <w:r w:rsidRPr="00EF0F72">
        <w:rPr>
          <w:rFonts w:cs="Times New Roman"/>
          <w:i/>
          <w:szCs w:val="24"/>
          <w:lang w:val="fr-CA"/>
        </w:rPr>
        <w:t xml:space="preserve"> Wakelin</w:t>
      </w:r>
      <w:r w:rsidRPr="00EF0F72">
        <w:rPr>
          <w:rFonts w:cs="Times New Roman"/>
          <w:szCs w:val="24"/>
          <w:lang w:val="fr-CA"/>
        </w:rPr>
        <w:t xml:space="preserve">, </w:t>
      </w:r>
      <w:r w:rsidRPr="00EF0F72">
        <w:rPr>
          <w:rFonts w:cs="Times New Roman"/>
          <w:i/>
          <w:szCs w:val="24"/>
          <w:lang w:val="fr-CA"/>
        </w:rPr>
        <w:t>Budreo C.A.</w:t>
      </w:r>
      <w:r w:rsidRPr="00EF0F72">
        <w:rPr>
          <w:rFonts w:cs="Times New Roman"/>
          <w:szCs w:val="24"/>
          <w:lang w:val="fr-CA"/>
        </w:rPr>
        <w:t>,</w:t>
      </w:r>
      <w:r w:rsidRPr="00EF0F72">
        <w:rPr>
          <w:rFonts w:cs="Times New Roman"/>
          <w:i/>
          <w:szCs w:val="24"/>
          <w:lang w:val="fr-CA"/>
        </w:rPr>
        <w:t xml:space="preserve"> Cachine</w:t>
      </w:r>
      <w:r w:rsidRPr="00EF0F72">
        <w:rPr>
          <w:rFonts w:cs="Times New Roman"/>
          <w:szCs w:val="24"/>
          <w:lang w:val="fr-CA"/>
        </w:rPr>
        <w:t xml:space="preserve"> et </w:t>
      </w:r>
      <w:r w:rsidRPr="00EF0F72">
        <w:rPr>
          <w:rFonts w:cs="Times New Roman"/>
          <w:i/>
          <w:szCs w:val="24"/>
          <w:lang w:val="fr-CA"/>
        </w:rPr>
        <w:t>Nowazek</w:t>
      </w:r>
      <w:r w:rsidRPr="00EF0F72">
        <w:rPr>
          <w:rFonts w:cs="Times New Roman"/>
          <w:szCs w:val="24"/>
          <w:lang w:val="fr-CA"/>
        </w:rPr>
        <w:t xml:space="preserve"> dans la mesure où elles ont conclu que les dispositions relatives à l’arrestation et à la mise en liberté provisoire par voie judiciaire s’appliquent aux procédures d’engagement de ne pas troubler l’ordre public. Cela étant, toute mesure provisoire ne devrait pas être plus sévère que celles découlant d’une décision définitive, sauf lorsque cela est nécessaire pour protéger l’intégrité des procédures.</w:t>
      </w:r>
    </w:p>
    <w:p w:rsidR="004965B0" w:rsidRPr="00EF0F72" w:rsidRDefault="004965B0" w:rsidP="004965B0">
      <w:pPr>
        <w:pStyle w:val="Title2LevelTitre2Niveau"/>
        <w:spacing w:before="0"/>
        <w:rPr>
          <w:rFonts w:cs="Times New Roman"/>
          <w:lang w:val="fr-CA"/>
        </w:rPr>
      </w:pPr>
      <w:bookmarkStart w:id="11" w:name="_Toc5970142"/>
      <w:r w:rsidRPr="00EF0F72">
        <w:rPr>
          <w:rFonts w:cs="Times New Roman"/>
          <w:lang w:val="fr-CA"/>
        </w:rPr>
        <w:lastRenderedPageBreak/>
        <w:t>La partie XVI s’applique aux procédures d’engagement de ne pas troubler l’ordre public</w:t>
      </w:r>
      <w:bookmarkEnd w:id="11"/>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Comme je l’ai déjà mentionné, les par. 810.2(8) et 810(5) et l’art. 795 ont ensemble pour effet d’incorporer les dispositions de la partie XVI (où figurent notamment les dispositions relatives aux sommations, à l’arrestation et à la mise en liberté provisoire par voie judiciaire) à la partie XXVII (« Déclarations de culpabilité par procédure sommaire »), laquelle partie renferme notamment les dispositions relatives à l’engagement de ne pas troubler l’ordre public. La disposition d’incorporation par renvoi (l’art. 795) n’intègre pas intégralement la partie XVI, mais en limite plutôt le champ d’application :</w:t>
      </w:r>
    </w:p>
    <w:p w:rsidR="004965B0" w:rsidRPr="00EF0F72" w:rsidRDefault="004965B0" w:rsidP="004965B0">
      <w:pPr>
        <w:pStyle w:val="Citation-AltC"/>
        <w:ind w:hanging="446"/>
        <w:contextualSpacing w:val="0"/>
        <w:rPr>
          <w:lang w:val="fr-CA"/>
        </w:rPr>
      </w:pPr>
      <w:r w:rsidRPr="00EF0F72">
        <w:rPr>
          <w:b/>
          <w:lang w:val="fr-CA"/>
        </w:rPr>
        <w:tab/>
        <w:t>795.</w:t>
      </w:r>
      <w:r w:rsidRPr="00EF0F72">
        <w:rPr>
          <w:lang w:val="fr-CA"/>
        </w:rPr>
        <w:t xml:space="preserve"> Les dispositions des parties XVI [« Mesures concernant la comparution d’un prévenu devant un juge de paix et la mise en liberté provisoire »] et XVIII [« Procédure à l’enquête préliminaire »] concernant les moyens de contraindre un prévenu à comparaître devant un juge de paix, et celles des parties XVIII.1, XX et XX.1, </w:t>
      </w:r>
      <w:r w:rsidRPr="00EF0F72">
        <w:rPr>
          <w:u w:val="single"/>
          <w:lang w:val="fr-CA"/>
        </w:rPr>
        <w:t>dans la mesure où elles ne sont pas incompatibles avec la présente partie, s’appliquent, avec les adaptations nécessaires, aux procédures prévues par la présente partie</w:t>
      </w:r>
      <w:r w:rsidRPr="003E2804">
        <w:rPr>
          <w:lang w:val="fr-CA"/>
        </w:rPr>
        <w:t>.</w:t>
      </w:r>
    </w:p>
    <w:p w:rsidR="004965B0" w:rsidRPr="00EF0F72" w:rsidRDefault="004965B0" w:rsidP="004965B0">
      <w:pPr>
        <w:pStyle w:val="ParaNoNdepar-AltN"/>
        <w:spacing w:before="0"/>
        <w:rPr>
          <w:rFonts w:cs="Times New Roman"/>
          <w:szCs w:val="24"/>
          <w:lang w:val="en-US"/>
        </w:rPr>
      </w:pPr>
      <w:r w:rsidRPr="00EF0F72">
        <w:rPr>
          <w:rFonts w:cs="Times New Roman"/>
          <w:szCs w:val="24"/>
          <w:lang w:val="fr-CA"/>
        </w:rPr>
        <w:t>Par conséquent, la réponse à la question de savoir si la partie XVI s’applique aux procédures d’engagement de ne pas troubler l’ordre public dépend de l’interprétation qu’il convient de donner au libellé de la disposition d’incorporation par renvoi, l’art. 795. Cette interprétation doit être fondée sur le principe moderne applicable en matière d’interprétation des lois, en l’occurrence : « </w:t>
      </w:r>
      <w:r w:rsidR="008E1439">
        <w:rPr>
          <w:rFonts w:cs="Times New Roman"/>
          <w:szCs w:val="24"/>
          <w:lang w:val="fr-CA"/>
        </w:rPr>
        <w:t xml:space="preserve">. . . </w:t>
      </w:r>
      <w:r w:rsidRPr="00EF0F72">
        <w:rPr>
          <w:rFonts w:cs="Times New Roman"/>
          <w:szCs w:val="24"/>
          <w:lang w:val="fr-CA"/>
        </w:rPr>
        <w:t xml:space="preserve">il </w:t>
      </w:r>
      <w:r w:rsidRPr="00EF0F72">
        <w:rPr>
          <w:rFonts w:cs="Times New Roman"/>
          <w:lang w:val="fr-CA"/>
        </w:rPr>
        <w:t>faut lire les termes d’une loi dans leur contexte global en suivant le sens ordinaire et grammatical qui s’harmonise avec [l’économie] de la loi, l’objet de la loi et l’intention du législateur</w:t>
      </w:r>
      <w:r w:rsidRPr="00EF0F72">
        <w:rPr>
          <w:rFonts w:cs="Times New Roman"/>
          <w:szCs w:val="24"/>
          <w:lang w:val="fr-CA"/>
        </w:rPr>
        <w:t> » (</w:t>
      </w:r>
      <w:r w:rsidRPr="00EF0F72">
        <w:rPr>
          <w:rFonts w:cs="Times New Roman"/>
          <w:i/>
          <w:szCs w:val="24"/>
          <w:lang w:val="fr-CA"/>
        </w:rPr>
        <w:t xml:space="preserve">Rizzo &amp; Rizzo Shoes Ltd. </w:t>
      </w:r>
      <w:r w:rsidRPr="00EF0F72">
        <w:rPr>
          <w:rFonts w:cs="Times New Roman"/>
          <w:i/>
          <w:szCs w:val="24"/>
        </w:rPr>
        <w:t>(Re)</w:t>
      </w:r>
      <w:r w:rsidRPr="00EF0F72">
        <w:rPr>
          <w:rFonts w:cs="Times New Roman"/>
          <w:szCs w:val="24"/>
        </w:rPr>
        <w:t>,</w:t>
      </w:r>
      <w:r w:rsidRPr="00EF0F72">
        <w:rPr>
          <w:rFonts w:cs="Times New Roman"/>
          <w:i/>
          <w:szCs w:val="24"/>
        </w:rPr>
        <w:t xml:space="preserve"> </w:t>
      </w:r>
      <w:r w:rsidRPr="00EF0F72">
        <w:rPr>
          <w:rFonts w:cs="Times New Roman"/>
          <w:szCs w:val="24"/>
        </w:rPr>
        <w:t xml:space="preserve">[1998] </w:t>
      </w:r>
      <w:r w:rsidR="00752D85">
        <w:rPr>
          <w:rFonts w:cs="Times New Roman"/>
          <w:szCs w:val="24"/>
        </w:rPr>
        <w:t xml:space="preserve">1 R.C.S. 27, par. 21, citant E. A. </w:t>
      </w:r>
      <w:r w:rsidRPr="00EF0F72">
        <w:rPr>
          <w:rFonts w:cs="Times New Roman"/>
          <w:szCs w:val="24"/>
        </w:rPr>
        <w:lastRenderedPageBreak/>
        <w:t xml:space="preserve">Driedger, </w:t>
      </w:r>
      <w:r w:rsidRPr="00EF0F72">
        <w:rPr>
          <w:rFonts w:cs="Times New Roman"/>
          <w:i/>
          <w:iCs/>
          <w:szCs w:val="24"/>
        </w:rPr>
        <w:t>Construction of Statutes</w:t>
      </w:r>
      <w:r w:rsidRPr="00EF0F72">
        <w:rPr>
          <w:rFonts w:cs="Times New Roman"/>
          <w:szCs w:val="24"/>
        </w:rPr>
        <w:t> (2</w:t>
      </w:r>
      <w:r w:rsidRPr="00EF0F72">
        <w:rPr>
          <w:rFonts w:cs="Times New Roman"/>
          <w:szCs w:val="24"/>
          <w:vertAlign w:val="superscript"/>
        </w:rPr>
        <w:t>e</w:t>
      </w:r>
      <w:r w:rsidRPr="00EF0F72">
        <w:rPr>
          <w:rFonts w:cs="Times New Roman"/>
          <w:szCs w:val="24"/>
        </w:rPr>
        <w:t xml:space="preserve"> éd. 1983), p. 87; </w:t>
      </w:r>
      <w:r w:rsidRPr="00EF0F72">
        <w:rPr>
          <w:rFonts w:cs="Times New Roman"/>
          <w:i/>
          <w:iCs/>
          <w:szCs w:val="24"/>
        </w:rPr>
        <w:t>Bell ExpressVu Limited Partnership c. Rex</w:t>
      </w:r>
      <w:r w:rsidRPr="00EF0F72">
        <w:rPr>
          <w:rFonts w:cs="Times New Roman"/>
          <w:szCs w:val="24"/>
        </w:rPr>
        <w:t>, 2002 CSC 42, [2002] 2 R.C.S. 59, par. 26).</w:t>
      </w:r>
    </w:p>
    <w:p w:rsidR="004965B0" w:rsidRPr="00D260AB" w:rsidRDefault="004965B0" w:rsidP="004965B0">
      <w:pPr>
        <w:pStyle w:val="ParaNoNdepar-AltN"/>
        <w:spacing w:before="0"/>
        <w:rPr>
          <w:rFonts w:cs="Times New Roman"/>
          <w:szCs w:val="24"/>
          <w:lang w:val="en-US"/>
        </w:rPr>
      </w:pPr>
      <w:r w:rsidRPr="00EF0F72">
        <w:rPr>
          <w:rFonts w:cs="Times New Roman"/>
          <w:szCs w:val="24"/>
          <w:lang w:val="fr-CA"/>
        </w:rPr>
        <w:t>La disposition relative aux engagements de ne pas troubler l’ordre public en cause dans le présent pourvoi a été adoptée par le législateur dans le cadre d’un projet de loi omnibus (</w:t>
      </w:r>
      <w:r w:rsidRPr="00EF0F72">
        <w:rPr>
          <w:rFonts w:cs="Times New Roman"/>
          <w:lang w:val="fr-CA"/>
        </w:rPr>
        <w:t>Projet de loi C</w:t>
      </w:r>
      <w:r w:rsidRPr="00EF0F72">
        <w:rPr>
          <w:rFonts w:cs="Times New Roman"/>
          <w:lang w:val="fr-CA"/>
        </w:rPr>
        <w:noBreakHyphen/>
        <w:t>55,</w:t>
      </w:r>
      <w:r w:rsidRPr="00EF0F72">
        <w:rPr>
          <w:rFonts w:cs="Times New Roman"/>
          <w:i/>
          <w:lang w:val="fr-CA"/>
        </w:rPr>
        <w:t xml:space="preserve"> Loi modifiant le Code criminel (délinquants présentant un risque élevé de récidive), la Loi sur le système correctionnel et la mise en liberté sous condition, la Loi sur le casier judiciaire, la Loi sur les prisons et les maisons de correction et la Loi sur le ministère du Solliciteur général</w:t>
      </w:r>
      <w:r w:rsidRPr="00EF0F72">
        <w:rPr>
          <w:rFonts w:cs="Times New Roman"/>
          <w:lang w:val="fr-CA"/>
        </w:rPr>
        <w:t>, 2</w:t>
      </w:r>
      <w:r w:rsidRPr="00EF0F72">
        <w:rPr>
          <w:rFonts w:cs="Times New Roman"/>
          <w:vertAlign w:val="superscript"/>
          <w:lang w:val="fr-CA"/>
        </w:rPr>
        <w:t>e</w:t>
      </w:r>
      <w:r w:rsidRPr="00EF0F72">
        <w:rPr>
          <w:rFonts w:cs="Times New Roman"/>
          <w:lang w:val="fr-CA"/>
        </w:rPr>
        <w:t xml:space="preserve"> sess., 35</w:t>
      </w:r>
      <w:r w:rsidRPr="00EF0F72">
        <w:rPr>
          <w:rFonts w:cs="Times New Roman"/>
          <w:vertAlign w:val="superscript"/>
          <w:lang w:val="fr-CA"/>
        </w:rPr>
        <w:t>e</w:t>
      </w:r>
      <w:r w:rsidRPr="00EF0F72">
        <w:rPr>
          <w:rFonts w:cs="Times New Roman"/>
          <w:lang w:val="fr-CA"/>
        </w:rPr>
        <w:t xml:space="preserve"> lég., 1996</w:t>
      </w:r>
      <w:r w:rsidRPr="00EF0F72">
        <w:rPr>
          <w:rFonts w:cs="Times New Roman"/>
          <w:lang w:val="fr-CA"/>
        </w:rPr>
        <w:noBreakHyphen/>
        <w:t>1997</w:t>
      </w:r>
      <w:r w:rsidRPr="00EF0F72">
        <w:rPr>
          <w:rFonts w:cs="Times New Roman"/>
          <w:sz w:val="21"/>
          <w:szCs w:val="21"/>
          <w:lang w:val="fr-CA"/>
        </w:rPr>
        <w:t xml:space="preserve">) </w:t>
      </w:r>
      <w:r w:rsidRPr="00EF0F72">
        <w:rPr>
          <w:rFonts w:cs="Times New Roman"/>
          <w:szCs w:val="24"/>
          <w:lang w:val="fr-CA"/>
        </w:rPr>
        <w:t xml:space="preserve">visant à protéger la société des individus considérés à « risque élevé » de récidiver. Dans le même projet de loi, des modifications ont été apportées aux critères d’admissibilité à la libération conditionnelle des délinquants dangereux, et une surveillance accrue a été prévue dans le cas des délinquants à contrôler. Plusieurs autres dispositions relatives à l’engagement de ne pas troubler l’ordre public visent à protéger les groupes vulnérables, notamment les enfants susceptibles d’être victimes d’une infraction d’ordre sexuel (art. 810.1), ainsi que les enfants susceptibles de faire l’objet d’un mariage forcé ou d’être retirés du pays (art. 810.02). L’engagement général de ne pas troubler l’ordre public (art. 810) est un outil important utilisé pour protéger des femmes qui mettent fin à une relation marquée par la violence (voir, p. ex., </w:t>
      </w:r>
      <w:r w:rsidRPr="00EF0F72">
        <w:rPr>
          <w:rFonts w:cs="Times New Roman"/>
          <w:lang w:val="fr-CA"/>
        </w:rPr>
        <w:t>P. M. Neumann, « Peace Bonds</w:t>
      </w:r>
      <w:r w:rsidR="0061512C">
        <w:rPr>
          <w:rFonts w:cs="Times New Roman"/>
          <w:lang w:val="fr-CA"/>
        </w:rPr>
        <w:t> </w:t>
      </w:r>
      <w:r w:rsidRPr="00EF0F72">
        <w:rPr>
          <w:rFonts w:cs="Times New Roman"/>
          <w:lang w:val="fr-CA"/>
        </w:rPr>
        <w:t xml:space="preserve">: Preventive Justice? Or Preventing Justice? » (1994), 3 </w:t>
      </w:r>
      <w:r w:rsidRPr="00EF0F72">
        <w:rPr>
          <w:rFonts w:cs="Times New Roman"/>
          <w:i/>
          <w:lang w:val="fr-CA"/>
        </w:rPr>
        <w:t>Dal. J. Leg. Stud.</w:t>
      </w:r>
      <w:r w:rsidRPr="00EF0F72">
        <w:rPr>
          <w:rFonts w:cs="Times New Roman"/>
          <w:lang w:val="fr-CA"/>
        </w:rPr>
        <w:t xml:space="preserve"> 171; </w:t>
      </w:r>
      <w:r w:rsidRPr="00EF0F72">
        <w:rPr>
          <w:rFonts w:cs="Times New Roman"/>
          <w:szCs w:val="24"/>
          <w:lang w:val="fr-CA"/>
        </w:rPr>
        <w:t>S. Gauthier, « L’engagement de ne pas troubler l’ordre public dans les causes de violence conjugale ayant fait l’objet d’un abandon des poursuites judiciaires criminelles (art. 810 C.CR.) </w:t>
      </w:r>
      <w:r w:rsidRPr="00D260AB">
        <w:rPr>
          <w:rFonts w:cs="Times New Roman"/>
          <w:szCs w:val="24"/>
          <w:lang w:val="en-US"/>
        </w:rPr>
        <w:t xml:space="preserve">» (2011), 23 </w:t>
      </w:r>
      <w:r w:rsidRPr="00D260AB">
        <w:rPr>
          <w:rFonts w:cs="Times New Roman"/>
          <w:i/>
          <w:szCs w:val="24"/>
          <w:lang w:val="en-US"/>
        </w:rPr>
        <w:t>R.F.D.</w:t>
      </w:r>
      <w:r w:rsidRPr="00D260AB">
        <w:rPr>
          <w:rFonts w:cs="Times New Roman"/>
          <w:szCs w:val="24"/>
          <w:lang w:val="en-US"/>
        </w:rPr>
        <w:t xml:space="preserve"> 548, p. 548</w:t>
      </w:r>
      <w:r w:rsidRPr="00D260AB">
        <w:rPr>
          <w:rFonts w:cs="Times New Roman"/>
          <w:szCs w:val="24"/>
          <w:lang w:val="en-US"/>
        </w:rPr>
        <w:noBreakHyphen/>
        <w:t xml:space="preserve">578; </w:t>
      </w:r>
      <w:r w:rsidRPr="00D260AB">
        <w:rPr>
          <w:rFonts w:cs="Times New Roman"/>
          <w:lang w:val="en-US"/>
        </w:rPr>
        <w:t xml:space="preserve">L. M. Tutty et J. Koshan, </w:t>
      </w:r>
      <w:r w:rsidRPr="00D260AB">
        <w:rPr>
          <w:rFonts w:cs="Times New Roman"/>
          <w:szCs w:val="24"/>
          <w:lang w:val="en-US"/>
        </w:rPr>
        <w:t>« </w:t>
      </w:r>
      <w:r w:rsidRPr="00D260AB">
        <w:rPr>
          <w:rFonts w:cs="Times New Roman"/>
          <w:lang w:val="en-US"/>
        </w:rPr>
        <w:t>Calgary’s Specialized Domestic Violence Court</w:t>
      </w:r>
      <w:r w:rsidR="008E1439">
        <w:rPr>
          <w:rFonts w:cs="Times New Roman"/>
          <w:lang w:val="en-US"/>
        </w:rPr>
        <w:t> </w:t>
      </w:r>
      <w:r w:rsidRPr="00D260AB">
        <w:rPr>
          <w:rFonts w:cs="Times New Roman"/>
          <w:lang w:val="en-US"/>
        </w:rPr>
        <w:t>: An Evaluation of a Unique Model</w:t>
      </w:r>
      <w:r w:rsidRPr="00D260AB">
        <w:rPr>
          <w:rFonts w:cs="Times New Roman"/>
          <w:szCs w:val="24"/>
          <w:lang w:val="en-US"/>
        </w:rPr>
        <w:t> »</w:t>
      </w:r>
      <w:r w:rsidRPr="00D260AB">
        <w:rPr>
          <w:rFonts w:cs="Times New Roman"/>
          <w:lang w:val="en-US"/>
        </w:rPr>
        <w:t xml:space="preserve"> (2013), 50 </w:t>
      </w:r>
      <w:r w:rsidRPr="00D260AB">
        <w:rPr>
          <w:rFonts w:cs="Times New Roman"/>
          <w:i/>
          <w:lang w:val="en-US"/>
        </w:rPr>
        <w:t>Alta. L. Rev.</w:t>
      </w:r>
      <w:r w:rsidRPr="00D260AB">
        <w:rPr>
          <w:rFonts w:cs="Times New Roman"/>
          <w:lang w:val="en-US"/>
        </w:rPr>
        <w:t xml:space="preserve"> 731; C. L. Chewter, </w:t>
      </w:r>
      <w:r w:rsidRPr="00D260AB">
        <w:rPr>
          <w:rFonts w:cs="Times New Roman"/>
          <w:szCs w:val="24"/>
          <w:lang w:val="en-US"/>
        </w:rPr>
        <w:lastRenderedPageBreak/>
        <w:t>« </w:t>
      </w:r>
      <w:r w:rsidRPr="00D260AB">
        <w:rPr>
          <w:rFonts w:cs="Times New Roman"/>
          <w:lang w:val="en-US"/>
        </w:rPr>
        <w:t>Violence Against Women and Children</w:t>
      </w:r>
      <w:r w:rsidR="008E1439">
        <w:rPr>
          <w:rFonts w:cs="Times New Roman"/>
          <w:lang w:val="en-US"/>
        </w:rPr>
        <w:t> </w:t>
      </w:r>
      <w:r w:rsidRPr="00D260AB">
        <w:rPr>
          <w:rFonts w:cs="Times New Roman"/>
          <w:lang w:val="en-US"/>
        </w:rPr>
        <w:t>: Some Legal Issues</w:t>
      </w:r>
      <w:r w:rsidRPr="00D260AB">
        <w:rPr>
          <w:rFonts w:cs="Times New Roman"/>
          <w:szCs w:val="24"/>
          <w:lang w:val="en-US"/>
        </w:rPr>
        <w:t> »</w:t>
      </w:r>
      <w:r w:rsidR="00D260AB" w:rsidRPr="00D260AB">
        <w:rPr>
          <w:rFonts w:cs="Times New Roman"/>
          <w:lang w:val="en-US"/>
        </w:rPr>
        <w:t xml:space="preserve"> (2003), 20 </w:t>
      </w:r>
      <w:r w:rsidR="00D260AB" w:rsidRPr="00D260AB">
        <w:rPr>
          <w:rFonts w:cs="Times New Roman"/>
          <w:i/>
          <w:lang w:val="en-US"/>
        </w:rPr>
        <w:t>Rev. can. d. fam</w:t>
      </w:r>
      <w:r w:rsidRPr="00D260AB">
        <w:rPr>
          <w:rFonts w:cs="Times New Roman"/>
          <w:i/>
          <w:lang w:val="en-US"/>
        </w:rPr>
        <w:t>.</w:t>
      </w:r>
      <w:r w:rsidRPr="00D260AB">
        <w:rPr>
          <w:rFonts w:cs="Times New Roman"/>
          <w:lang w:val="en-US"/>
        </w:rPr>
        <w:t xml:space="preserve"> 99).</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 xml:space="preserve">Le juge Then a évoqué dans la décision </w:t>
      </w:r>
      <w:r w:rsidRPr="00EF0F72">
        <w:rPr>
          <w:rFonts w:cs="Times New Roman"/>
          <w:i/>
          <w:szCs w:val="24"/>
          <w:lang w:val="fr-CA"/>
        </w:rPr>
        <w:t>Budreo C.S.</w:t>
      </w:r>
      <w:r w:rsidRPr="00EF0F72">
        <w:rPr>
          <w:rFonts w:cs="Times New Roman"/>
          <w:szCs w:val="24"/>
          <w:lang w:val="fr-CA"/>
        </w:rPr>
        <w:t xml:space="preserve"> les </w:t>
      </w:r>
      <w:r w:rsidRPr="00EF0F72">
        <w:rPr>
          <w:rFonts w:cs="Times New Roman"/>
          <w:lang w:val="fr-CA"/>
        </w:rPr>
        <w:t>considérations de principe qui sous</w:t>
      </w:r>
      <w:r w:rsidRPr="00EF0F72">
        <w:rPr>
          <w:rFonts w:cs="Times New Roman"/>
          <w:lang w:val="fr-CA"/>
        </w:rPr>
        <w:noBreakHyphen/>
        <w:t xml:space="preserve">tendent </w:t>
      </w:r>
      <w:r w:rsidRPr="00EF0F72">
        <w:rPr>
          <w:rFonts w:cs="Times New Roman"/>
          <w:szCs w:val="24"/>
          <w:lang w:val="fr-CA"/>
        </w:rPr>
        <w:t>l’engagement de ne pas troubler l’ordre public :</w:t>
      </w:r>
    </w:p>
    <w:p w:rsidR="004965B0" w:rsidRPr="00EF0F72" w:rsidRDefault="004965B0" w:rsidP="004965B0">
      <w:pPr>
        <w:pStyle w:val="Citation-AltC"/>
        <w:tabs>
          <w:tab w:val="left" w:pos="1170"/>
        </w:tabs>
        <w:ind w:hanging="446"/>
        <w:contextualSpacing w:val="0"/>
        <w:rPr>
          <w:lang w:val="fr-CA"/>
        </w:rPr>
      </w:pPr>
      <w:r w:rsidRPr="00EF0F72">
        <w:rPr>
          <w:smallCaps/>
          <w:lang w:val="fr-CA"/>
        </w:rPr>
        <w:tab/>
        <w:t xml:space="preserve">[traduction] </w:t>
      </w:r>
      <w:r w:rsidR="00CB33A0">
        <w:rPr>
          <w:lang w:val="fr-CA"/>
        </w:rPr>
        <w:t>. . .</w:t>
      </w:r>
      <w:r w:rsidRPr="00EF0F72">
        <w:rPr>
          <w:lang w:val="fr-CA"/>
        </w:rPr>
        <w:t xml:space="preserve"> lorsque la perpétration raisonnablement certaine d’une infraction peut</w:t>
      </w:r>
      <w:r w:rsidRPr="00EF0F72">
        <w:rPr>
          <w:lang w:val="fr-CA"/>
        </w:rPr>
        <w:noBreakHyphen/>
        <w:t>être empêchée, il peut être dans l’intérêt du délinquant probable, de sa victime potentielle et de la société de prévenir l’infraction. Cela est particulièrement vrai lorsque les mesures préventives employées sont moins astreignantes que la peine qui pourrait être prononcée à la suite d’une condamnation. [p. 372]</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C’est dans le contexte de ces considérations de principe critiques — la protection des personnes vulnérables et la prévention des crimes violents — que j’entreprends maintenant l’exercice consistant à interpréter les dispositions pertinentes.</w:t>
      </w:r>
    </w:p>
    <w:p w:rsidR="004965B0" w:rsidRPr="00EF0F72" w:rsidRDefault="008E1439" w:rsidP="004965B0">
      <w:pPr>
        <w:pStyle w:val="Title3LevelTitre3Niveau"/>
        <w:spacing w:before="0"/>
        <w:rPr>
          <w:rFonts w:cs="Times New Roman"/>
          <w:lang w:val="fr-CA"/>
        </w:rPr>
      </w:pPr>
      <w:bookmarkStart w:id="12" w:name="_Toc5970143"/>
      <w:r>
        <w:rPr>
          <w:rFonts w:cs="Times New Roman"/>
          <w:lang w:val="fr-CA"/>
        </w:rPr>
        <w:t>« </w:t>
      </w:r>
      <w:r w:rsidR="004965B0" w:rsidRPr="00EF0F72">
        <w:rPr>
          <w:rFonts w:cs="Times New Roman"/>
          <w:lang w:val="fr-CA"/>
        </w:rPr>
        <w:t>concernant les moyens de contraindre un prévenu à comp</w:t>
      </w:r>
      <w:r w:rsidR="00D260AB">
        <w:rPr>
          <w:rFonts w:cs="Times New Roman"/>
          <w:lang w:val="fr-CA"/>
        </w:rPr>
        <w:t>araî</w:t>
      </w:r>
      <w:r>
        <w:rPr>
          <w:rFonts w:cs="Times New Roman"/>
          <w:lang w:val="fr-CA"/>
        </w:rPr>
        <w:t>tre devant un juge de paix</w:t>
      </w:r>
      <w:r w:rsidR="004965B0" w:rsidRPr="00EF0F72">
        <w:rPr>
          <w:rFonts w:cs="Times New Roman"/>
          <w:lang w:val="fr-CA"/>
        </w:rPr>
        <w:t> »</w:t>
      </w:r>
    </w:p>
    <w:p w:rsidR="004965B0" w:rsidRPr="00EF0F72" w:rsidRDefault="004965B0" w:rsidP="004965B0">
      <w:pPr>
        <w:pStyle w:val="ParaNoNdepar-AltN"/>
        <w:tabs>
          <w:tab w:val="clear" w:pos="1152"/>
          <w:tab w:val="left" w:pos="1166"/>
        </w:tabs>
        <w:spacing w:before="0"/>
        <w:rPr>
          <w:rFonts w:cs="Times New Roman"/>
          <w:lang w:val="fr-CA"/>
        </w:rPr>
      </w:pPr>
      <w:r w:rsidRPr="00EF0F72">
        <w:rPr>
          <w:rFonts w:cs="Times New Roman"/>
          <w:lang w:val="fr-CA"/>
        </w:rPr>
        <w:t xml:space="preserve">La </w:t>
      </w:r>
      <w:r w:rsidRPr="00EF0F72">
        <w:rPr>
          <w:rFonts w:cs="Times New Roman"/>
          <w:szCs w:val="24"/>
          <w:lang w:val="fr-CA"/>
        </w:rPr>
        <w:t xml:space="preserve">partie XVI du </w:t>
      </w:r>
      <w:r w:rsidRPr="00EF0F72">
        <w:rPr>
          <w:rFonts w:cs="Times New Roman"/>
          <w:i/>
          <w:szCs w:val="24"/>
          <w:lang w:val="fr-CA"/>
        </w:rPr>
        <w:t xml:space="preserve">Code criminel </w:t>
      </w:r>
      <w:r w:rsidRPr="00EF0F72">
        <w:rPr>
          <w:rFonts w:cs="Times New Roman"/>
          <w:szCs w:val="24"/>
          <w:lang w:val="fr-CA"/>
        </w:rPr>
        <w:t xml:space="preserve">s’intitule « Mesures concernant la comparution d’un prévenu devant un juge de paix et la mise en liberté provisoire ». Dans le jugement </w:t>
      </w:r>
      <w:r w:rsidRPr="00EF0F72">
        <w:rPr>
          <w:rFonts w:cs="Times New Roman"/>
          <w:i/>
          <w:lang w:val="fr-CA"/>
        </w:rPr>
        <w:t>Forrest</w:t>
      </w:r>
      <w:r w:rsidRPr="00EF0F72">
        <w:rPr>
          <w:rFonts w:cs="Times New Roman"/>
          <w:lang w:val="fr-CA"/>
        </w:rPr>
        <w:t>, la Cour suprême de la Colombie</w:t>
      </w:r>
      <w:r w:rsidRPr="00EF0F72">
        <w:rPr>
          <w:rFonts w:cs="Times New Roman"/>
          <w:lang w:val="fr-CA"/>
        </w:rPr>
        <w:noBreakHyphen/>
        <w:t xml:space="preserve">Britannique a expliqué que les </w:t>
      </w:r>
      <w:r w:rsidRPr="00EF0F72">
        <w:rPr>
          <w:rFonts w:cs="Times New Roman"/>
          <w:szCs w:val="24"/>
          <w:lang w:val="fr-CA"/>
        </w:rPr>
        <w:t>dispositions relatives à la mise en liberté provisoire par voie judiciaire maintenant visées à l’art. </w:t>
      </w:r>
      <w:r w:rsidRPr="00EF0F72">
        <w:rPr>
          <w:rFonts w:cs="Times New Roman"/>
          <w:lang w:val="fr-CA"/>
        </w:rPr>
        <w:t xml:space="preserve">515 étaient exclues du champ d’application de la disposition qu’a remplacé l’art. 795 parce que, même si ce dernier article mentionne les dispositions des parties XVI et XVIII concernant les moyens de contraindre un prévenu à comparaître devant un juge de paix, il ne renvoie pas aux dispositions de la partie XVI portant sur </w:t>
      </w:r>
      <w:r w:rsidRPr="00EF0F72">
        <w:rPr>
          <w:rFonts w:cs="Times New Roman"/>
          <w:i/>
          <w:lang w:val="fr-CA"/>
        </w:rPr>
        <w:t>la mise en liberté provisoire par voie judiciaire</w:t>
      </w:r>
      <w:r w:rsidRPr="00EF0F72">
        <w:rPr>
          <w:rFonts w:cs="Times New Roman"/>
          <w:lang w:val="fr-CA"/>
        </w:rPr>
        <w:t xml:space="preserve">. L’intimé s’appuie sur l’interprétation </w:t>
      </w:r>
      <w:r w:rsidRPr="00EF0F72">
        <w:rPr>
          <w:rFonts w:cs="Times New Roman"/>
          <w:lang w:val="fr-CA"/>
        </w:rPr>
        <w:lastRenderedPageBreak/>
        <w:t xml:space="preserve">de l’art. 795 de la décision </w:t>
      </w:r>
      <w:r w:rsidRPr="00EF0F72">
        <w:rPr>
          <w:rFonts w:cs="Times New Roman"/>
          <w:i/>
          <w:lang w:val="fr-CA"/>
        </w:rPr>
        <w:t xml:space="preserve">Forrest </w:t>
      </w:r>
      <w:r w:rsidRPr="00EF0F72">
        <w:rPr>
          <w:rFonts w:cs="Times New Roman"/>
          <w:lang w:val="fr-CA"/>
        </w:rPr>
        <w:t xml:space="preserve">pour étayer son argument selon lequel le législateur n’avait pas l’intention que les dispositions </w:t>
      </w:r>
      <w:r w:rsidRPr="00EF0F72">
        <w:rPr>
          <w:rFonts w:cs="Times New Roman"/>
          <w:szCs w:val="24"/>
          <w:lang w:val="fr-CA"/>
        </w:rPr>
        <w:t xml:space="preserve">relatives à la mise en liberté provisoire par voie judiciaire </w:t>
      </w:r>
      <w:r w:rsidRPr="00EF0F72">
        <w:rPr>
          <w:rFonts w:cs="Times New Roman"/>
          <w:lang w:val="fr-CA"/>
        </w:rPr>
        <w:t>s’appliquent aux procédures d’engagement de ne pas troubler l’ordre public.</w:t>
      </w:r>
    </w:p>
    <w:p w:rsidR="004965B0" w:rsidRPr="00EF0F72" w:rsidRDefault="004965B0" w:rsidP="008E1439">
      <w:pPr>
        <w:pStyle w:val="ParaNoNdepar-AltN"/>
        <w:rPr>
          <w:lang w:val="fr-CA" w:bidi="en-US"/>
        </w:rPr>
      </w:pPr>
      <w:r w:rsidRPr="00EF0F72">
        <w:rPr>
          <w:lang w:val="fr-CA"/>
        </w:rPr>
        <w:t>Le juge Dickson (plus tard juge en chef) a affirmé que les mots « </w:t>
      </w:r>
      <w:r w:rsidR="008E1439" w:rsidRPr="008E1439">
        <w:rPr>
          <w:rFonts w:cs="Times New Roman"/>
          <w:lang w:val="fr-CA"/>
        </w:rPr>
        <w:t>“</w:t>
      </w:r>
      <w:r w:rsidRPr="00EF0F72">
        <w:rPr>
          <w:lang w:val="fr-CA"/>
        </w:rPr>
        <w:t>quant à</w:t>
      </w:r>
      <w:r w:rsidR="008E1439" w:rsidRPr="008E1439">
        <w:rPr>
          <w:lang w:val="fr-CA"/>
        </w:rPr>
        <w:t>”</w:t>
      </w:r>
      <w:r w:rsidRPr="00EF0F72">
        <w:rPr>
          <w:lang w:val="fr-CA"/>
        </w:rPr>
        <w:t> [. . .] ont la portée la plus large possible » et qu’ils signifient « concernant », soit le mot employé à l’art. 795 (</w:t>
      </w:r>
      <w:r w:rsidRPr="00EF0F72">
        <w:rPr>
          <w:i/>
          <w:lang w:val="fr-CA"/>
        </w:rPr>
        <w:t>Nowegijick c. La Reine</w:t>
      </w:r>
      <w:r w:rsidRPr="00EF0F72">
        <w:rPr>
          <w:lang w:val="fr-CA"/>
        </w:rPr>
        <w:t>,</w:t>
      </w:r>
      <w:r w:rsidRPr="00EF0F72">
        <w:rPr>
          <w:i/>
          <w:lang w:val="fr-CA"/>
        </w:rPr>
        <w:t xml:space="preserve"> </w:t>
      </w:r>
      <w:r w:rsidRPr="00EF0F72">
        <w:rPr>
          <w:lang w:val="fr-CA"/>
        </w:rPr>
        <w:t xml:space="preserve">[1983] 1 R.C.S. 29, p. 39). Le mot « concernant » de l’art. 795 a donc une portée tout aussi large et peut être interprété comme englobant les dispositions </w:t>
      </w:r>
      <w:r w:rsidRPr="00EF0F72">
        <w:rPr>
          <w:szCs w:val="24"/>
          <w:lang w:val="fr-CA"/>
        </w:rPr>
        <w:t xml:space="preserve">relatives à la mise en liberté provisoire par voie judiciaire prévues à </w:t>
      </w:r>
      <w:r w:rsidRPr="00EF0F72">
        <w:rPr>
          <w:lang w:val="fr-CA"/>
        </w:rPr>
        <w:t>l’art. 515, même si ces dispositions n’autorisent pas expressément la prise de « </w:t>
      </w:r>
      <w:r w:rsidRPr="00EF0F72">
        <w:rPr>
          <w:rFonts w:eastAsiaTheme="minorHAnsi"/>
          <w:lang w:val="fr-CA"/>
        </w:rPr>
        <w:t xml:space="preserve">moyens de contraindre un prévenu à comparaître devant un juge de paix ». </w:t>
      </w:r>
      <w:r w:rsidRPr="00EF0F72">
        <w:rPr>
          <w:lang w:val="fr-CA"/>
        </w:rPr>
        <w:t xml:space="preserve">Bien que les moyens de contraindre quelqu’un à comparaître et </w:t>
      </w:r>
      <w:r w:rsidRPr="00EF0F72">
        <w:rPr>
          <w:szCs w:val="24"/>
          <w:lang w:val="fr-CA"/>
        </w:rPr>
        <w:t>la mise en liberté provisoire par voie judiciaire</w:t>
      </w:r>
      <w:r w:rsidRPr="00EF0F72">
        <w:rPr>
          <w:lang w:val="fr-CA"/>
        </w:rPr>
        <w:t xml:space="preserve"> soient des concepts distincts, on ne peut les dissocier sur le plan procédural. Si l’on pouvait arrêter un défendeur nommé dans une dénonciation visant à obtenir un engagement de ne pas troubler l’ordre public sans pouvoir pour autant le mettre en liberté, on créerait des problèmes insurmontables. Les tribunaux, qui appliquent des principes bien établis en matière d’interprétation des lois, favorisent une </w:t>
      </w:r>
      <w:r w:rsidRPr="00EF0F72">
        <w:rPr>
          <w:lang w:val="fr-CA" w:bidi="en-US"/>
        </w:rPr>
        <w:t xml:space="preserve">interprétation de la loi qui évite les résultats absurdes. L’arrestation et la mise en liberté provisoire par voie judiciaire sont indissociables en tant qu’éléments constitutifs de l’économie générale de la partie XVI. Par conséquent, </w:t>
      </w:r>
      <w:r w:rsidRPr="00EF0F72">
        <w:rPr>
          <w:lang w:val="fr-CA"/>
        </w:rPr>
        <w:t xml:space="preserve">les dispositions </w:t>
      </w:r>
      <w:r w:rsidRPr="00EF0F72">
        <w:rPr>
          <w:szCs w:val="24"/>
          <w:lang w:val="fr-CA"/>
        </w:rPr>
        <w:t xml:space="preserve">relatives à la mise en liberté provisoire par voie judiciaire prévues à </w:t>
      </w:r>
      <w:r w:rsidRPr="00EF0F72">
        <w:rPr>
          <w:lang w:val="fr-CA"/>
        </w:rPr>
        <w:t>l’art. 515 tombent sous le coup de l’art. 795 en tant que dispositions « concernant » les moyens de contraindre le défendeur à comparaître.</w:t>
      </w:r>
    </w:p>
    <w:p w:rsidR="004965B0" w:rsidRPr="00EF0F72" w:rsidRDefault="00D260AB" w:rsidP="004965B0">
      <w:pPr>
        <w:pStyle w:val="Title3LevelTitre3Niveau"/>
        <w:spacing w:before="0"/>
        <w:rPr>
          <w:rFonts w:cs="Times New Roman"/>
          <w:lang w:val="fr-CA"/>
        </w:rPr>
      </w:pPr>
      <w:r>
        <w:rPr>
          <w:rFonts w:cs="Times New Roman"/>
          <w:lang w:val="fr-CA"/>
        </w:rPr>
        <w:lastRenderedPageBreak/>
        <w:t>«</w:t>
      </w:r>
      <w:r w:rsidR="008E1439">
        <w:rPr>
          <w:rFonts w:cs="Times New Roman"/>
          <w:lang w:val="fr-CA"/>
        </w:rPr>
        <w:t> </w:t>
      </w:r>
      <w:r w:rsidR="004965B0" w:rsidRPr="00EF0F72">
        <w:rPr>
          <w:rFonts w:cs="Times New Roman"/>
          <w:lang w:val="fr-CA"/>
        </w:rPr>
        <w:t>dans la mesure où elles ne sont pas incompa</w:t>
      </w:r>
      <w:r>
        <w:rPr>
          <w:rFonts w:cs="Times New Roman"/>
          <w:lang w:val="fr-CA"/>
        </w:rPr>
        <w:t>tibles avec la présente partie</w:t>
      </w:r>
      <w:bookmarkEnd w:id="12"/>
      <w:r w:rsidR="004965B0" w:rsidRPr="00EF0F72">
        <w:rPr>
          <w:rFonts w:cs="Times New Roman"/>
          <w:lang w:val="fr-CA"/>
        </w:rPr>
        <w:t> »</w:t>
      </w:r>
    </w:p>
    <w:p w:rsidR="004965B0" w:rsidRPr="00EF0F72" w:rsidRDefault="004965B0" w:rsidP="004965B0">
      <w:pPr>
        <w:pStyle w:val="Title4LevelTitre4Niveau"/>
        <w:numPr>
          <w:ilvl w:val="0"/>
          <w:numId w:val="0"/>
        </w:numPr>
        <w:spacing w:before="0"/>
        <w:ind w:left="1152" w:hanging="432"/>
        <w:rPr>
          <w:rFonts w:cs="Times New Roman"/>
          <w:lang w:val="fr-CA"/>
        </w:rPr>
      </w:pPr>
      <w:bookmarkStart w:id="13" w:name="_Toc5970144"/>
      <w:r w:rsidRPr="00EF0F72">
        <w:rPr>
          <w:rFonts w:cs="Times New Roman"/>
          <w:lang w:val="fr-CA"/>
        </w:rPr>
        <w:tab/>
        <w:t>Il n’existe pas à la partie XXVII de mécanisme permettant de contraindre quelqu’un à comparaître</w:t>
      </w:r>
      <w:bookmarkEnd w:id="13"/>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La Cour d’appel a conclu que la partie XVI était incompatible avec les procédures d’engagement de ne pas troubler l’ordre public parce qu’en insérant les mots « faire comparaître les parties » au par. 810.2(2), le législateur a créé un régime unique pour contraindre un défendeur à comparaître :</w:t>
      </w:r>
    </w:p>
    <w:p w:rsidR="004965B0" w:rsidRPr="00EF0F72" w:rsidRDefault="004965B0" w:rsidP="004965B0">
      <w:pPr>
        <w:pStyle w:val="Citation-AltC"/>
        <w:tabs>
          <w:tab w:val="left" w:pos="1440"/>
        </w:tabs>
        <w:contextualSpacing w:val="0"/>
        <w:rPr>
          <w:lang w:val="fr-CA"/>
        </w:rPr>
      </w:pPr>
      <w:r w:rsidRPr="00EF0F72">
        <w:rPr>
          <w:lang w:val="fr-CA"/>
        </w:rPr>
        <w:tab/>
        <w:t>[</w:t>
      </w:r>
      <w:r w:rsidRPr="00EF0F72">
        <w:rPr>
          <w:smallCaps/>
          <w:lang w:val="fr-CA"/>
        </w:rPr>
        <w:t>traduction</w:t>
      </w:r>
      <w:r w:rsidRPr="00EF0F72">
        <w:rPr>
          <w:lang w:val="fr-CA"/>
        </w:rPr>
        <w:t xml:space="preserve">] Plus important encore, l’adoption par le législateur de dispositions particulières pour contraindre le prévenu faisant l’objet d’une dénonciation visant à obtenir un engagement de ne pas troubler l’ordre public à comparaître — les par. 810.2(2), 810(2) et 810.1(2) — démontrent que le régime créé par le législateur pour traiter les dénonciations visant à obtenir un engagement de ne pas troubler l’ordre public est différent de celui qu’il a prévu pour les dénonciations dans lesquelles un prévenu est visé par une allégation d’infraction criminelle. La procédure à suivre pour contraindre les prévenus et des défendeurs à comparaître pour répondre à des accusations criminelles est énoncée dans les dispositions générales de la partie XVI du </w:t>
      </w:r>
      <w:r w:rsidRPr="00EF0F72">
        <w:rPr>
          <w:i/>
          <w:iCs/>
          <w:lang w:val="fr-CA"/>
        </w:rPr>
        <w:t>Code</w:t>
      </w:r>
      <w:r w:rsidRPr="00EF0F72">
        <w:rPr>
          <w:lang w:val="fr-CA"/>
        </w:rPr>
        <w:t xml:space="preserve">. Le libellé employé dans les articles relatifs aux engagements de ne pas troubler l’ordre public est non seulement différent, mais unique : il n’apparaît dans aucune autre partie du </w:t>
      </w:r>
      <w:r w:rsidRPr="00EF0F72">
        <w:rPr>
          <w:i/>
          <w:iCs/>
          <w:lang w:val="fr-CA"/>
        </w:rPr>
        <w:t>Code</w:t>
      </w:r>
      <w:r w:rsidRPr="00EF0F72">
        <w:rPr>
          <w:lang w:val="fr-CA"/>
        </w:rPr>
        <w:t>. En termes simples, le législateur a adopté des dispositions spéciales et différentes, en l’occurrence le par. 810.2(2), afin d’habiliter les juges à contraindre les parties à comparaître devant eux pour répondre à une dénonciation visant à obtenir un engagement de ne pas troubler l’ordre public. Il n’aurait pas été nécessaire que le législateur le fasse si la partie XVI s’appliquait par l’effet de l’art. 795, comme le soutient le ministère public. Ces dispositions particulières démontrent que le législateur reconnaissait que le défendeur à une dénonciation visant à obtenir un engagement de ne pas troubler l’ordre public est différent par définition du défendeur à une accusation criminelle. La partie XVI s’applique à la partie XXVII uniquement dans la mesure où elle n’est pas incompatible avec cette dernière. Les différentes dispositions relatives aux moyens de contraindre un prévenu à comparaître dans le cadre des procédures d’engagement de ne pas troubler l’ordre public sont manifestement incompatibles avec les dispositions de la partie XVI concernant les moyens de contraindre les prévenus et les défendeurs à comparaître. [par. 50]</w:t>
      </w:r>
    </w:p>
    <w:p w:rsidR="004965B0" w:rsidRPr="00EF0F72" w:rsidRDefault="004965B0" w:rsidP="004965B0">
      <w:pPr>
        <w:pStyle w:val="Citation-AltC"/>
        <w:spacing w:after="480" w:line="480" w:lineRule="auto"/>
        <w:ind w:left="0"/>
        <w:contextualSpacing w:val="0"/>
        <w:rPr>
          <w:lang w:val="fr-CA"/>
        </w:rPr>
      </w:pPr>
      <w:r w:rsidRPr="00EF0F72">
        <w:rPr>
          <w:lang w:val="fr-CA"/>
        </w:rPr>
        <w:lastRenderedPageBreak/>
        <w:t>En toute déférence, je ne suis pas d’accord pour dire que les dispositions citées créent un [</w:t>
      </w:r>
      <w:r w:rsidRPr="00EF0F72">
        <w:rPr>
          <w:smallCaps/>
          <w:lang w:val="fr-CA"/>
        </w:rPr>
        <w:t>traduction</w:t>
      </w:r>
      <w:r w:rsidRPr="00EF0F72">
        <w:rPr>
          <w:lang w:val="fr-CA"/>
        </w:rPr>
        <w:t>] « régime [. . .] pour traiter les dénonciations visant à obtenir un engagement de ne pas troubler l’ordre public ». Nulle part dans les dispositions relatives à l’engagement de ne pas troubler l’ordre public ni ailleurs à la partie XXVII la loi ne prévoit de mécanisme permettant de « faire comparaître les parties ». En concluant que la partie XVI ne s’appliquait pas aux procédures d’engagement de ne pas troubler l’ordre public, la Cour d’appel n’a pas expliqué comment un juge de la cour provinciale pouvait faire comparaître le défendeur.</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La Cour d’appel a écrit : [</w:t>
      </w:r>
      <w:r w:rsidRPr="00EF0F72">
        <w:rPr>
          <w:rFonts w:cs="Times New Roman"/>
          <w:smallCaps/>
          <w:szCs w:val="24"/>
          <w:lang w:val="fr-CA"/>
        </w:rPr>
        <w:t>traduction</w:t>
      </w:r>
      <w:r w:rsidRPr="00EF0F72">
        <w:rPr>
          <w:rFonts w:cs="Times New Roman"/>
          <w:szCs w:val="24"/>
          <w:lang w:val="fr-CA"/>
        </w:rPr>
        <w:t>] « </w:t>
      </w:r>
      <w:r w:rsidR="008E1439">
        <w:rPr>
          <w:rFonts w:cs="Times New Roman"/>
          <w:szCs w:val="24"/>
          <w:lang w:val="fr-CA"/>
        </w:rPr>
        <w:t xml:space="preserve">. . . </w:t>
      </w:r>
      <w:r w:rsidRPr="00EF0F72">
        <w:rPr>
          <w:rFonts w:cs="Times New Roman"/>
          <w:szCs w:val="24"/>
          <w:lang w:val="fr-CA"/>
        </w:rPr>
        <w:t xml:space="preserve">le but, en pratique, est de permettre au juge de faire comparaître en même temps le dénonciateur et le défendeur en les assignant à la même date pour faciliter le déroulement de l’instance » (par. 49). La Cour d’appel n’a pas signalé une autre disposition de la partie XXVII du </w:t>
      </w:r>
      <w:r w:rsidRPr="00EF0F72">
        <w:rPr>
          <w:rFonts w:cs="Times New Roman"/>
          <w:i/>
          <w:szCs w:val="24"/>
          <w:lang w:val="fr-CA"/>
        </w:rPr>
        <w:t>Code criminel</w:t>
      </w:r>
      <w:r w:rsidRPr="00EF0F72">
        <w:rPr>
          <w:rFonts w:cs="Times New Roman"/>
          <w:szCs w:val="24"/>
          <w:lang w:val="fr-CA"/>
        </w:rPr>
        <w:t xml:space="preserve"> qui permettrait à un juge de délivrer une sommation et elle n’a pas expliqué comment un juge pourrait autrement assigner légalement les parties. Comme le juge Fitch l’a expliqué dans l’arrêt </w:t>
      </w:r>
      <w:r w:rsidRPr="00EF0F72">
        <w:rPr>
          <w:rFonts w:cs="Times New Roman"/>
          <w:i/>
          <w:szCs w:val="24"/>
          <w:lang w:val="fr-CA"/>
        </w:rPr>
        <w:t>Nowazek</w:t>
      </w:r>
      <w:r w:rsidRPr="00EF0F72">
        <w:rPr>
          <w:rFonts w:cs="Times New Roman"/>
          <w:szCs w:val="24"/>
          <w:lang w:val="fr-CA"/>
        </w:rPr>
        <w:t>, les dispositions relatives à l’engagement de ne pas troubler l’ordre public sont [</w:t>
      </w:r>
      <w:r w:rsidRPr="00EF0F72">
        <w:rPr>
          <w:rFonts w:cs="Times New Roman"/>
          <w:smallCaps/>
          <w:szCs w:val="24"/>
          <w:lang w:val="fr-CA"/>
        </w:rPr>
        <w:t>traduction</w:t>
      </w:r>
      <w:r w:rsidRPr="00EF0F72">
        <w:rPr>
          <w:rFonts w:cs="Times New Roman"/>
          <w:szCs w:val="24"/>
          <w:lang w:val="fr-CA"/>
        </w:rPr>
        <w:t>] « muettes sur le mécanisme par lequel on peut faire comparaître les parties » (par. 84).</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On a prétendu devant nous que l’art. 788, qui figure à la partie XXVII, prévoit une procédure par laquelle un juge peut délivrer une sommation. L’article 788 dispose :</w:t>
      </w:r>
    </w:p>
    <w:p w:rsidR="004965B0" w:rsidRPr="00DD2A25" w:rsidRDefault="004965B0" w:rsidP="004965B0">
      <w:pPr>
        <w:pStyle w:val="Citation-AltC"/>
        <w:spacing w:after="240"/>
        <w:ind w:left="1170" w:hanging="450"/>
        <w:contextualSpacing w:val="0"/>
        <w:rPr>
          <w:b/>
          <w:lang w:val="fr-CA"/>
        </w:rPr>
      </w:pPr>
      <w:r w:rsidRPr="00EF0F72">
        <w:rPr>
          <w:rStyle w:val="htitletext2"/>
          <w:b/>
          <w:lang w:val="fr-CA"/>
          <w:specVanish w:val="0"/>
        </w:rPr>
        <w:tab/>
      </w:r>
      <w:r w:rsidRPr="00DD2A25">
        <w:rPr>
          <w:rStyle w:val="htitletext2"/>
          <w:b/>
          <w:sz w:val="24"/>
          <w:szCs w:val="24"/>
          <w:lang w:val="fr-CA"/>
          <w:specVanish w:val="0"/>
        </w:rPr>
        <w:t>Dénonciation</w:t>
      </w:r>
    </w:p>
    <w:p w:rsidR="004965B0" w:rsidRPr="00EF0F72" w:rsidRDefault="004965B0" w:rsidP="004965B0">
      <w:pPr>
        <w:pStyle w:val="Citation-AltC"/>
        <w:spacing w:after="240"/>
        <w:ind w:left="1170" w:hanging="450"/>
        <w:contextualSpacing w:val="0"/>
        <w:rPr>
          <w:b/>
          <w:lang w:val="fr-CA"/>
        </w:rPr>
      </w:pPr>
      <w:r w:rsidRPr="00EF0F72">
        <w:rPr>
          <w:b/>
          <w:lang w:val="fr-CA"/>
        </w:rPr>
        <w:tab/>
        <w:t>Commencement des procédures</w:t>
      </w:r>
    </w:p>
    <w:p w:rsidR="004965B0" w:rsidRPr="00CF1F87" w:rsidRDefault="004965B0" w:rsidP="004965B0">
      <w:pPr>
        <w:pStyle w:val="Citation-AltC"/>
        <w:spacing w:after="240"/>
        <w:ind w:left="1170" w:hanging="450"/>
        <w:contextualSpacing w:val="0"/>
        <w:rPr>
          <w:b/>
          <w:lang w:val="fr-CA"/>
        </w:rPr>
      </w:pPr>
      <w:r w:rsidRPr="00EF0F72">
        <w:rPr>
          <w:rStyle w:val="lawlabel2"/>
          <w:lang w:val="fr-CA"/>
        </w:rPr>
        <w:lastRenderedPageBreak/>
        <w:tab/>
        <w:t>788 (1)</w:t>
      </w:r>
      <w:r w:rsidRPr="00EF0F72">
        <w:rPr>
          <w:lang w:val="fr-CA"/>
        </w:rPr>
        <w:t xml:space="preserve"> Les procédures prévues à la présente partie </w:t>
      </w:r>
      <w:r w:rsidRPr="00CF1F87">
        <w:rPr>
          <w:lang w:val="fr-CA"/>
        </w:rPr>
        <w:t xml:space="preserve">débutent </w:t>
      </w:r>
      <w:r w:rsidRPr="00EF0F72">
        <w:rPr>
          <w:lang w:val="fr-CA"/>
        </w:rPr>
        <w:t>par le dépôt d’une dénonciation rédigée selon la formule 2.</w:t>
      </w:r>
    </w:p>
    <w:p w:rsidR="004965B0" w:rsidRPr="00EF0F72" w:rsidRDefault="004965B0" w:rsidP="004965B0">
      <w:pPr>
        <w:pStyle w:val="Citation-AltC"/>
        <w:spacing w:after="240"/>
        <w:ind w:left="1170" w:hanging="450"/>
        <w:contextualSpacing w:val="0"/>
        <w:rPr>
          <w:b/>
          <w:lang w:val="fr-CA"/>
        </w:rPr>
      </w:pPr>
      <w:r w:rsidRPr="00EF0F72">
        <w:rPr>
          <w:lang w:val="fr-CA"/>
        </w:rPr>
        <w:tab/>
      </w:r>
      <w:r w:rsidRPr="00EF0F72">
        <w:rPr>
          <w:b/>
          <w:u w:val="single"/>
          <w:lang w:val="fr-CA"/>
        </w:rPr>
        <w:t>Un seul juge de paix peut agir</w:t>
      </w:r>
      <w:r w:rsidRPr="00EF0F72">
        <w:rPr>
          <w:b/>
          <w:lang w:val="fr-CA"/>
        </w:rPr>
        <w:t xml:space="preserve"> avant le procès</w:t>
      </w:r>
    </w:p>
    <w:p w:rsidR="004965B0" w:rsidRPr="00EF0F72" w:rsidRDefault="004965B0" w:rsidP="004965B0">
      <w:pPr>
        <w:pStyle w:val="subsection"/>
        <w:spacing w:before="0" w:after="240"/>
        <w:ind w:left="1170" w:hanging="450"/>
        <w:rPr>
          <w:lang w:val="fr-CA"/>
        </w:rPr>
      </w:pPr>
      <w:r w:rsidRPr="00EF0F72">
        <w:rPr>
          <w:rStyle w:val="lawlabel2"/>
          <w:lang w:val="fr-CA"/>
        </w:rPr>
        <w:tab/>
        <w:t>(2)</w:t>
      </w:r>
      <w:r w:rsidRPr="00EF0F72">
        <w:rPr>
          <w:lang w:val="fr-CA"/>
        </w:rPr>
        <w:t xml:space="preserve"> Nonobstant toute autre loi exigeant qu’une dénonciation soit faite devant </w:t>
      </w:r>
      <w:r w:rsidRPr="00EF0F72">
        <w:rPr>
          <w:u w:val="single"/>
          <w:lang w:val="fr-CA"/>
        </w:rPr>
        <w:t>deux ou plusieurs juges de paix</w:t>
      </w:r>
      <w:r w:rsidRPr="00EF0F72">
        <w:rPr>
          <w:lang w:val="fr-CA"/>
        </w:rPr>
        <w:t xml:space="preserve"> ou jugée par eux, </w:t>
      </w:r>
      <w:r w:rsidRPr="00EF0F72">
        <w:rPr>
          <w:u w:val="single"/>
          <w:lang w:val="fr-CA"/>
        </w:rPr>
        <w:t>un juge de paix peut</w:t>
      </w:r>
      <w:r w:rsidRPr="00EF0F72">
        <w:rPr>
          <w:lang w:val="fr-CA"/>
        </w:rPr>
        <w:t> :</w:t>
      </w:r>
    </w:p>
    <w:p w:rsidR="004965B0" w:rsidRPr="00EF0F72" w:rsidRDefault="004965B0" w:rsidP="004965B0">
      <w:pPr>
        <w:pStyle w:val="paragraph"/>
        <w:spacing w:before="0" w:after="240"/>
        <w:ind w:left="1440" w:hanging="360"/>
        <w:rPr>
          <w:lang w:val="fr-CA"/>
        </w:rPr>
      </w:pPr>
      <w:r w:rsidRPr="00EF0F72">
        <w:rPr>
          <w:rStyle w:val="lawlabel2"/>
          <w:lang w:val="fr-CA"/>
        </w:rPr>
        <w:tab/>
        <w:t>a)</w:t>
      </w:r>
      <w:r w:rsidRPr="00EF0F72">
        <w:rPr>
          <w:lang w:val="fr-CA"/>
        </w:rPr>
        <w:t> recevoir la dénonciation;</w:t>
      </w:r>
    </w:p>
    <w:p w:rsidR="004965B0" w:rsidRPr="00EF0F72" w:rsidRDefault="004965B0" w:rsidP="004965B0">
      <w:pPr>
        <w:pStyle w:val="paragraph"/>
        <w:spacing w:before="0" w:after="240"/>
        <w:ind w:left="1440" w:hanging="360"/>
        <w:rPr>
          <w:lang w:val="fr-CA"/>
        </w:rPr>
      </w:pPr>
      <w:r w:rsidRPr="00EF0F72">
        <w:rPr>
          <w:rStyle w:val="lawlabel2"/>
          <w:lang w:val="fr-CA"/>
        </w:rPr>
        <w:tab/>
        <w:t>b)</w:t>
      </w:r>
      <w:r w:rsidRPr="00EF0F72">
        <w:rPr>
          <w:lang w:val="fr-CA"/>
        </w:rPr>
        <w:t> émettre une sommation ou un mandat à l’égard de la dénonciation;</w:t>
      </w:r>
    </w:p>
    <w:p w:rsidR="004965B0" w:rsidRPr="00EF0F72" w:rsidRDefault="004965B0" w:rsidP="004965B0">
      <w:pPr>
        <w:pStyle w:val="paragraph"/>
        <w:spacing w:before="0" w:after="720"/>
        <w:ind w:left="1440" w:hanging="360"/>
        <w:rPr>
          <w:lang w:val="fr-CA"/>
        </w:rPr>
      </w:pPr>
      <w:r w:rsidRPr="00EF0F72">
        <w:rPr>
          <w:rStyle w:val="lawlabel2"/>
          <w:lang w:val="fr-CA"/>
        </w:rPr>
        <w:tab/>
        <w:t>c)</w:t>
      </w:r>
      <w:r w:rsidRPr="00EF0F72">
        <w:rPr>
          <w:lang w:val="fr-CA"/>
        </w:rPr>
        <w:t> accomplir toutes autres choses préliminaires au procès.</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Soit dit en tout respect, je ne vois pas comment cette disposition permet d’affirmer que la partie XVI ne s’applique pas aux procédures d’engagement de ne pas troubler l’ordre public. Le paragraphe </w:t>
      </w:r>
      <w:r>
        <w:rPr>
          <w:rFonts w:cs="Times New Roman"/>
          <w:szCs w:val="24"/>
          <w:lang w:val="fr-CA"/>
        </w:rPr>
        <w:t>788</w:t>
      </w:r>
      <w:r w:rsidRPr="00EF0F72">
        <w:rPr>
          <w:rFonts w:cs="Times New Roman"/>
          <w:szCs w:val="24"/>
          <w:lang w:val="fr-CA"/>
        </w:rPr>
        <w:t xml:space="preserve"> (1) prescrit le formulaire à utiliser pour déposer une dénonciation sous le régime de la partie XXVII. À mon avis, le par. </w:t>
      </w:r>
      <w:r>
        <w:rPr>
          <w:rFonts w:cs="Times New Roman"/>
          <w:szCs w:val="24"/>
          <w:lang w:val="fr-CA"/>
        </w:rPr>
        <w:t>78</w:t>
      </w:r>
      <w:r w:rsidRPr="00EF0F72">
        <w:rPr>
          <w:rFonts w:cs="Times New Roman"/>
          <w:szCs w:val="24"/>
          <w:lang w:val="fr-CA"/>
        </w:rPr>
        <w:t xml:space="preserve">8(2) et les paragraphes suivants n’autorisent pas un juge à délivrer une sommation ou un mandat à l’égard d’une procédure d’engagement de ne pas troubler l’ordre public. Le paragraphe 788(2) précise simplement que, lorsque deux ou plusieurs juges de paix sont par ailleurs légalement tenus de recevoir une dénonciation, de délivrer une sommation ou un mandat ou d’« accomplir toutes autres choses préliminaires au procès », </w:t>
      </w:r>
      <w:r w:rsidRPr="00EF0F72">
        <w:rPr>
          <w:rFonts w:cs="Times New Roman"/>
          <w:i/>
          <w:szCs w:val="24"/>
          <w:lang w:val="fr-CA"/>
        </w:rPr>
        <w:t>l’un ou l’autre</w:t>
      </w:r>
      <w:r w:rsidRPr="00EF0F72">
        <w:rPr>
          <w:rFonts w:cs="Times New Roman"/>
          <w:szCs w:val="24"/>
          <w:lang w:val="fr-CA"/>
        </w:rPr>
        <w:t xml:space="preserve"> peut agir relativement aux procédures prévues à la partie XXVII.</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Si le par. 788(2) créait un pouvoir distinct de délivrer une sommation ou un mandat, il serait alors superflu, compte tenu de l’art. 795, qui incorpore expressément à la partie XXVII les dispositions de la partie XVI relatives aux mesures visant à contraindre une partie à comparaître. Or, non seulement l’art. 788 ne prévoit</w:t>
      </w:r>
      <w:r w:rsidRPr="00EF0F72">
        <w:rPr>
          <w:rFonts w:cs="Times New Roman"/>
          <w:szCs w:val="24"/>
          <w:lang w:val="fr-CA"/>
        </w:rPr>
        <w:noBreakHyphen/>
        <w:t xml:space="preserve">il pas de mécanisme permettant de faire comparaître les parties, il confirme que le </w:t>
      </w:r>
      <w:r w:rsidRPr="00EF0F72">
        <w:rPr>
          <w:rFonts w:cs="Times New Roman"/>
          <w:szCs w:val="24"/>
          <w:lang w:val="fr-CA"/>
        </w:rPr>
        <w:lastRenderedPageBreak/>
        <w:t>pouvoir d’assigner des parties et celui de délivrer un mandat d’arrestation, qui figurent tous les deux à l’art. 507 de la partie XVI, sont censés s’appliquer à la partie XXVII.</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Même si je devais accepter que les dispositions relatives à l’arrestation et à la mise en liberté provisoire par voie judiciaire ne s’appliquent pas aux procédures d’engagement de ne pas troubler l’ordre public, il faudrait quand même que le juge ait recours à la partie XVI pour délivrer une sommation (en vertu du par. 507(4)). Nulle part la partie XXVII ne confère au juge le pouvoir de délivrer une sommation pour faire comparaître un défendeur.</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Les dispositions de la partie XVI concernant les moyens de contraindre un prévenu à comparaître ne sont pas incompatibles avec les dispositions relatives à l’engagement de ne pas troubler l’ordre public. Au contraire, elles sont nécessaires au bon fonctionnement du régime. Au risque de créer une situation absurde, le législateur n’aurait pas cherché à créer un régime permettant au juge de tenir une audience pour établir s’il y a lieu d’ordonner à un défendeur de contracter un engagement de ne pas troubler l’ordre public sans prévoir par ailleurs une disposition permettant au juge d’assurer également la présence du défendeur à l’audience. L’application des dispositions relatives à la mise en liberté provisoire par voie judiciaire découle du pouvoir d’arrestation prévu à l’art. 507. Dès lors qu’un défendeur est arrêté et détenu, il s’ensuit que le régime de mise en liberté provisoire par voie judiciaire s’applique pour permettre sa mise en liberté. Lorsqu’elles sont appliquées en tenant compte du contexte et de l’objet du régime des engagements de ne pas troubler l’ordre public, les dispositions relatives à l’arrestation et à la mise en liberté provisoire par voie judiciaire constituent une mesure provisoire cohérente et appropriée, nécessaire au bon </w:t>
      </w:r>
      <w:r w:rsidRPr="00EF0F72">
        <w:rPr>
          <w:rFonts w:cs="Times New Roman"/>
          <w:szCs w:val="24"/>
          <w:lang w:val="fr-CA"/>
        </w:rPr>
        <w:lastRenderedPageBreak/>
        <w:t>fonctionnement et à l’intégrité des procédures d’engagement de ne pas troubler l’ordre public (</w:t>
      </w:r>
      <w:r w:rsidRPr="00EF0F72">
        <w:rPr>
          <w:rFonts w:cs="Times New Roman"/>
          <w:i/>
          <w:szCs w:val="24"/>
          <w:lang w:val="fr-CA"/>
        </w:rPr>
        <w:t>Budreo C.A.</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par. 46).</w:t>
      </w:r>
    </w:p>
    <w:p w:rsidR="004965B0" w:rsidRPr="00EF0F72" w:rsidRDefault="008E1439" w:rsidP="004965B0">
      <w:pPr>
        <w:pStyle w:val="Title3LevelTitre3Niveau"/>
        <w:spacing w:before="0"/>
        <w:rPr>
          <w:rFonts w:cs="Times New Roman"/>
          <w:lang w:val="fr-CA"/>
        </w:rPr>
      </w:pPr>
      <w:bookmarkStart w:id="14" w:name="_Toc5970145"/>
      <w:r>
        <w:rPr>
          <w:rFonts w:cs="Times New Roman"/>
          <w:lang w:val="fr-CA"/>
        </w:rPr>
        <w:t>« </w:t>
      </w:r>
      <w:r w:rsidR="004965B0" w:rsidRPr="00EF0F72">
        <w:rPr>
          <w:rFonts w:cs="Times New Roman"/>
          <w:lang w:val="fr-CA"/>
        </w:rPr>
        <w:t>avec les a</w:t>
      </w:r>
      <w:r>
        <w:rPr>
          <w:rFonts w:cs="Times New Roman"/>
          <w:lang w:val="fr-CA"/>
        </w:rPr>
        <w:t>daptations nécessaires</w:t>
      </w:r>
      <w:r w:rsidR="004965B0" w:rsidRPr="00EF0F72">
        <w:rPr>
          <w:rFonts w:cs="Times New Roman"/>
          <w:lang w:val="fr-CA"/>
        </w:rPr>
        <w:t> »</w:t>
      </w:r>
      <w:bookmarkEnd w:id="14"/>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Avant 1985, les dispositions qui ont précédé l’art. 795 et le par. 810(5) employaient l’expression « </w:t>
      </w:r>
      <w:r w:rsidRPr="00EF0F72">
        <w:rPr>
          <w:rFonts w:cs="Times New Roman"/>
          <w:i/>
          <w:szCs w:val="24"/>
          <w:lang w:val="fr-CA"/>
        </w:rPr>
        <w:t>mutatis mutandis</w:t>
      </w:r>
      <w:r w:rsidRPr="00EF0F72">
        <w:rPr>
          <w:rFonts w:cs="Times New Roman"/>
          <w:szCs w:val="24"/>
          <w:lang w:val="fr-CA"/>
        </w:rPr>
        <w:t> »</w:t>
      </w:r>
      <w:r w:rsidRPr="00EF0F72">
        <w:rPr>
          <w:rFonts w:cs="Times New Roman"/>
          <w:i/>
          <w:szCs w:val="24"/>
          <w:lang w:val="fr-CA"/>
        </w:rPr>
        <w:t>.</w:t>
      </w:r>
      <w:r w:rsidRPr="00EF0F72">
        <w:rPr>
          <w:rFonts w:cs="Times New Roman"/>
          <w:szCs w:val="24"/>
          <w:lang w:val="fr-CA"/>
        </w:rPr>
        <w:t xml:space="preserve"> À la suite de la révision et de la refonte des lois de 1985, cette expression a été remplacée par « </w:t>
      </w:r>
      <w:r w:rsidRPr="00EF0F72">
        <w:rPr>
          <w:rFonts w:cs="Times New Roman"/>
          <w:i/>
          <w:szCs w:val="24"/>
          <w:lang w:val="fr-CA"/>
        </w:rPr>
        <w:t>with such modifications as the circumstances require</w:t>
      </w:r>
      <w:r w:rsidRPr="00EF0F72">
        <w:rPr>
          <w:rFonts w:cs="Times New Roman"/>
          <w:szCs w:val="24"/>
          <w:lang w:val="fr-CA"/>
        </w:rPr>
        <w:t> » dans la version anglaise de ces deux dispositions (en français, l’expression à l’art. 795 a été changée pour « compte tenu des adaptations de circonstance » et, plus tard, pour « avec les adaptations nécessaires », tandis que l’expression au par. 810(5) a été remplacée par « compte tenu des adaptations de circonstance »). Comme l’explique la professeure Sullivan, il existe une forte présomption suivant laquelle la loi n’a pas été modifiée à la suite d’une révision [</w:t>
      </w:r>
      <w:r w:rsidRPr="00EF0F72">
        <w:rPr>
          <w:rFonts w:cs="Times New Roman"/>
          <w:smallCaps/>
          <w:szCs w:val="24"/>
          <w:lang w:val="fr-CA"/>
        </w:rPr>
        <w:t>traduction</w:t>
      </w:r>
      <w:r w:rsidRPr="00EF0F72">
        <w:rPr>
          <w:rFonts w:cs="Times New Roman"/>
          <w:szCs w:val="24"/>
          <w:lang w:val="fr-CA"/>
        </w:rPr>
        <w:t>] « parce que le but d’une révision est de reformuler la loi et non de la modifier » (</w:t>
      </w:r>
      <w:r w:rsidRPr="00EF0F72">
        <w:rPr>
          <w:rFonts w:cs="Times New Roman"/>
          <w:i/>
          <w:szCs w:val="24"/>
          <w:lang w:val="fr-CA"/>
        </w:rPr>
        <w:t xml:space="preserve">Sullivan on the Construction of Statutes </w:t>
      </w:r>
      <w:r w:rsidRPr="00EF0F72">
        <w:rPr>
          <w:rFonts w:cs="Times New Roman"/>
          <w:szCs w:val="24"/>
          <w:lang w:val="fr-CA"/>
        </w:rPr>
        <w:t>(6</w:t>
      </w:r>
      <w:r w:rsidRPr="00EF0F72">
        <w:rPr>
          <w:rFonts w:cs="Times New Roman"/>
          <w:szCs w:val="24"/>
          <w:vertAlign w:val="superscript"/>
          <w:lang w:val="fr-CA"/>
        </w:rPr>
        <w:t>e</w:t>
      </w:r>
      <w:r w:rsidRPr="00EF0F72">
        <w:rPr>
          <w:rFonts w:cs="Times New Roman"/>
          <w:szCs w:val="24"/>
          <w:lang w:val="fr-CA"/>
        </w:rPr>
        <w:t xml:space="preserve"> éd. 2014), p. 741, citant </w:t>
      </w:r>
      <w:r w:rsidRPr="00EF0F72">
        <w:rPr>
          <w:rFonts w:cs="Times New Roman"/>
          <w:i/>
          <w:szCs w:val="24"/>
          <w:lang w:val="fr-CA"/>
        </w:rPr>
        <w:t xml:space="preserve">Parrill c. Genge </w:t>
      </w:r>
      <w:r w:rsidRPr="00EF0F72">
        <w:rPr>
          <w:rFonts w:cs="Times New Roman"/>
          <w:szCs w:val="24"/>
          <w:lang w:val="fr-CA"/>
        </w:rPr>
        <w:t>(1997),</w:t>
      </w:r>
      <w:r w:rsidRPr="00EF0F72">
        <w:rPr>
          <w:rFonts w:cs="Times New Roman"/>
          <w:i/>
          <w:szCs w:val="24"/>
          <w:lang w:val="fr-CA"/>
        </w:rPr>
        <w:t xml:space="preserve"> </w:t>
      </w:r>
      <w:r w:rsidRPr="00EF0F72">
        <w:rPr>
          <w:rFonts w:cs="Times New Roman"/>
          <w:szCs w:val="24"/>
          <w:lang w:val="fr-CA"/>
        </w:rPr>
        <w:t>148 Nfld. &amp; P.E.I.R. 91 (C.A.), par. 40-42). En 2011, le passage « </w:t>
      </w:r>
      <w:r w:rsidRPr="00EF0F72">
        <w:rPr>
          <w:rFonts w:cs="Times New Roman"/>
          <w:i/>
          <w:szCs w:val="24"/>
          <w:lang w:val="fr-CA"/>
        </w:rPr>
        <w:t>with such modifications as the circumstances require</w:t>
      </w:r>
      <w:r w:rsidRPr="00EF0F72">
        <w:rPr>
          <w:rFonts w:cs="Times New Roman"/>
          <w:szCs w:val="24"/>
          <w:lang w:val="fr-CA"/>
        </w:rPr>
        <w:t> » figurant à la version anglaise de l’art. 795 a été remplacé par « </w:t>
      </w:r>
      <w:r w:rsidRPr="00EF0F72">
        <w:rPr>
          <w:rFonts w:cs="Times New Roman"/>
          <w:i/>
          <w:szCs w:val="24"/>
          <w:lang w:val="fr-CA"/>
        </w:rPr>
        <w:t>with any necessary modifications</w:t>
      </w:r>
      <w:r w:rsidRPr="00EF0F72">
        <w:rPr>
          <w:rFonts w:cs="Times New Roman"/>
          <w:szCs w:val="24"/>
          <w:lang w:val="fr-CA"/>
        </w:rPr>
        <w:t> » (ce passage n’a pas été modifié à ce moment dans la version française). Au cours des dernières années, le législateur a préféré la plus concise de ces versions, qui ont toutes deux le même sens (p. ex., la même modification a été apportée à la version anglaise du par. 83.3(14) en 2013; voir également </w:t>
      </w:r>
      <w:r w:rsidRPr="00EF0F72">
        <w:rPr>
          <w:rFonts w:cs="Times New Roman"/>
          <w:i/>
          <w:szCs w:val="24"/>
          <w:lang w:val="fr-CA"/>
        </w:rPr>
        <w:t>Code criminel</w:t>
      </w:r>
      <w:r w:rsidRPr="00EF0F72">
        <w:rPr>
          <w:rFonts w:cs="Times New Roman"/>
          <w:szCs w:val="24"/>
          <w:lang w:val="fr-CA"/>
        </w:rPr>
        <w:t xml:space="preserve">, par. 83.29(4) et 715.37(4)). Par conséquent, l’interprétation traditionnelle de l’expression </w:t>
      </w:r>
      <w:r w:rsidRPr="00EF0F72">
        <w:rPr>
          <w:rFonts w:cs="Times New Roman"/>
          <w:i/>
          <w:szCs w:val="24"/>
          <w:lang w:val="fr-CA"/>
        </w:rPr>
        <w:t xml:space="preserve">mutatis mutandis </w:t>
      </w:r>
      <w:r w:rsidRPr="00EF0F72">
        <w:rPr>
          <w:rFonts w:cs="Times New Roman"/>
          <w:szCs w:val="24"/>
          <w:lang w:val="fr-CA"/>
        </w:rPr>
        <w:t>devrait nous guider pour interpréter l’expression « avec les adaptations nécessaires ».</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lastRenderedPageBreak/>
        <w:t xml:space="preserve">La Cour a récemment expliqué le sens à donner à l’expression </w:t>
      </w:r>
      <w:r w:rsidRPr="00EF0F72">
        <w:rPr>
          <w:rFonts w:cs="Times New Roman"/>
          <w:i/>
          <w:szCs w:val="24"/>
          <w:lang w:val="fr-CA"/>
        </w:rPr>
        <w:t>mutatis mutandis</w:t>
      </w:r>
      <w:r w:rsidRPr="00EF0F72">
        <w:rPr>
          <w:rFonts w:cs="Times New Roman"/>
          <w:szCs w:val="24"/>
          <w:lang w:val="fr-CA"/>
        </w:rPr>
        <w:t xml:space="preserve"> </w:t>
      </w:r>
      <w:r w:rsidRPr="00EF0F72">
        <w:rPr>
          <w:rFonts w:cs="Times New Roman"/>
          <w:lang w:val="fr-CA"/>
        </w:rPr>
        <w:t xml:space="preserve">dans l’arrêt </w:t>
      </w:r>
      <w:r w:rsidRPr="00EF0F72">
        <w:rPr>
          <w:rFonts w:cs="Times New Roman"/>
          <w:i/>
          <w:lang w:val="fr-CA"/>
        </w:rPr>
        <w:t>Bessette c. Colombie</w:t>
      </w:r>
      <w:r w:rsidRPr="00EF0F72">
        <w:rPr>
          <w:rFonts w:cs="Times New Roman"/>
          <w:i/>
          <w:lang w:val="fr-CA"/>
        </w:rPr>
        <w:noBreakHyphen/>
        <w:t>Britannique (Procureur général)</w:t>
      </w:r>
      <w:r w:rsidRPr="00EF0F72">
        <w:rPr>
          <w:rFonts w:cs="Times New Roman"/>
          <w:lang w:val="fr-CA"/>
        </w:rPr>
        <w:t>, 2019 CSC 31</w:t>
      </w:r>
      <w:r w:rsidR="00B43C83">
        <w:rPr>
          <w:rFonts w:cs="Times New Roman"/>
          <w:lang w:val="fr-CA"/>
        </w:rPr>
        <w:t xml:space="preserve">, </w:t>
      </w:r>
      <w:r w:rsidR="00B43C83" w:rsidRPr="00B43C83">
        <w:rPr>
          <w:szCs w:val="24"/>
          <w:lang w:val="fr-CA"/>
        </w:rPr>
        <w:t xml:space="preserve">[2019] </w:t>
      </w:r>
      <w:r w:rsidR="008E1439">
        <w:rPr>
          <w:smallCaps/>
          <w:szCs w:val="24"/>
          <w:lang w:val="fr-CA"/>
        </w:rPr>
        <w:t>2</w:t>
      </w:r>
      <w:r w:rsidR="00B43C83" w:rsidRPr="00B43C83">
        <w:rPr>
          <w:szCs w:val="24"/>
          <w:lang w:val="fr-CA"/>
        </w:rPr>
        <w:t xml:space="preserve"> </w:t>
      </w:r>
      <w:r w:rsidR="00B43C83">
        <w:rPr>
          <w:szCs w:val="24"/>
          <w:lang w:val="fr-CA"/>
        </w:rPr>
        <w:t xml:space="preserve">R.C.S. </w:t>
      </w:r>
      <w:r w:rsidR="008E1439">
        <w:rPr>
          <w:smallCaps/>
          <w:szCs w:val="24"/>
          <w:lang w:val="fr-CA"/>
        </w:rPr>
        <w:t>535</w:t>
      </w:r>
      <w:r w:rsidRPr="00EF0F72">
        <w:rPr>
          <w:rFonts w:cs="Times New Roman"/>
          <w:i/>
          <w:szCs w:val="24"/>
          <w:lang w:val="fr-CA"/>
        </w:rPr>
        <w:t> </w:t>
      </w:r>
      <w:r w:rsidRPr="00EF0F72">
        <w:rPr>
          <w:rFonts w:cs="Times New Roman"/>
          <w:szCs w:val="24"/>
          <w:lang w:val="fr-CA"/>
        </w:rPr>
        <w:t>:</w:t>
      </w:r>
    </w:p>
    <w:p w:rsidR="004965B0" w:rsidRPr="00EF0F72" w:rsidRDefault="00550A07" w:rsidP="004965B0">
      <w:pPr>
        <w:pStyle w:val="ParaNoNdepar-AltN"/>
        <w:numPr>
          <w:ilvl w:val="0"/>
          <w:numId w:val="0"/>
        </w:numPr>
        <w:tabs>
          <w:tab w:val="left" w:pos="1440"/>
        </w:tabs>
        <w:spacing w:before="0" w:after="720" w:line="240" w:lineRule="auto"/>
        <w:ind w:left="1166"/>
        <w:rPr>
          <w:rFonts w:cs="Times New Roman"/>
          <w:lang w:val="fr-CA"/>
        </w:rPr>
      </w:pPr>
      <w:r>
        <w:rPr>
          <w:rFonts w:cs="Times New Roman"/>
          <w:lang w:val="fr-CA"/>
        </w:rPr>
        <w:t>. . .</w:t>
      </w:r>
      <w:r w:rsidR="004965B0" w:rsidRPr="00EF0F72">
        <w:rPr>
          <w:rFonts w:cs="Times New Roman"/>
          <w:lang w:val="fr-CA"/>
        </w:rPr>
        <w:t xml:space="preserve"> </w:t>
      </w:r>
      <w:r w:rsidR="004965B0" w:rsidRPr="00EF0F72">
        <w:rPr>
          <w:rFonts w:cs="Times New Roman"/>
          <w:lang w:val="fr-FR"/>
        </w:rPr>
        <w:t>Cette locution latine signifie</w:t>
      </w:r>
      <w:r w:rsidR="004965B0" w:rsidRPr="00EF0F72">
        <w:rPr>
          <w:rFonts w:cs="Times New Roman"/>
          <w:lang w:val="fr-CA"/>
        </w:rPr>
        <w:t> </w:t>
      </w:r>
      <w:r w:rsidR="004965B0" w:rsidRPr="00EF0F72">
        <w:rPr>
          <w:rFonts w:cs="Times New Roman"/>
          <w:lang w:val="fr-FR"/>
        </w:rPr>
        <w:t>« en changeant ce qui doit être changé, [et est] utilisée lorsqu’on veut appliquer une règle à un cas analogue, à la condition toutefois d’effectuer les adaptations qui s’imposent » (</w:t>
      </w:r>
      <w:r w:rsidR="004965B0" w:rsidRPr="00EF0F72">
        <w:rPr>
          <w:rFonts w:cs="Times New Roman"/>
          <w:i/>
          <w:iCs/>
          <w:lang w:val="fr-FR"/>
        </w:rPr>
        <w:t>Dictionnaire de droit québécois et canadien</w:t>
      </w:r>
      <w:r w:rsidR="004965B0" w:rsidRPr="00EF0F72">
        <w:rPr>
          <w:rFonts w:cs="Times New Roman"/>
          <w:lang w:val="fr-FR"/>
        </w:rPr>
        <w:t xml:space="preserve"> (3</w:t>
      </w:r>
      <w:r w:rsidR="004965B0" w:rsidRPr="00EF0F72">
        <w:rPr>
          <w:rFonts w:cs="Times New Roman"/>
          <w:vertAlign w:val="superscript"/>
          <w:lang w:val="fr-FR"/>
        </w:rPr>
        <w:t>e</w:t>
      </w:r>
      <w:r w:rsidR="00B43C83">
        <w:rPr>
          <w:rFonts w:cs="Times New Roman"/>
          <w:lang w:val="fr-FR"/>
        </w:rPr>
        <w:t xml:space="preserve"> éd.</w:t>
      </w:r>
      <w:r w:rsidR="004965B0" w:rsidRPr="00EF0F72">
        <w:rPr>
          <w:rFonts w:cs="Times New Roman"/>
          <w:lang w:val="fr-FR"/>
        </w:rPr>
        <w:t xml:space="preserve"> 2004), p. 387</w:t>
      </w:r>
      <w:r w:rsidR="004965B0" w:rsidRPr="00EF0F72">
        <w:rPr>
          <w:rFonts w:cs="Times New Roman"/>
          <w:lang w:val="fr-CA"/>
        </w:rPr>
        <w:t xml:space="preserve">; voir aussi la </w:t>
      </w:r>
      <w:r w:rsidR="004965B0" w:rsidRPr="00EF0F72">
        <w:rPr>
          <w:rFonts w:cs="Times New Roman"/>
          <w:i/>
          <w:lang w:val="fr-CA"/>
        </w:rPr>
        <w:t>Interpretation Act</w:t>
      </w:r>
      <w:r w:rsidR="004965B0" w:rsidRPr="00EF0F72">
        <w:rPr>
          <w:rFonts w:cs="Times New Roman"/>
          <w:lang w:val="fr-CA"/>
        </w:rPr>
        <w:t>,</w:t>
      </w:r>
      <w:r w:rsidR="004965B0" w:rsidRPr="00EF0F72">
        <w:rPr>
          <w:rFonts w:cs="Times New Roman"/>
          <w:i/>
          <w:lang w:val="fr-CA"/>
        </w:rPr>
        <w:t xml:space="preserve"> </w:t>
      </w:r>
      <w:r w:rsidR="004965B0" w:rsidRPr="00EF0F72">
        <w:rPr>
          <w:rFonts w:cs="Times New Roman"/>
          <w:lang w:val="fr-CA"/>
        </w:rPr>
        <w:t>art. 44 de la Colombie</w:t>
      </w:r>
      <w:r w:rsidR="004965B0" w:rsidRPr="00EF0F72">
        <w:rPr>
          <w:rFonts w:cs="Times New Roman"/>
          <w:lang w:val="fr-CA"/>
        </w:rPr>
        <w:noBreakHyphen/>
        <w:t xml:space="preserve">Britannique (« mutatis mutandis ») et l’arrêt </w:t>
      </w:r>
      <w:r w:rsidR="004965B0" w:rsidRPr="00EF0F72">
        <w:rPr>
          <w:rFonts w:cs="Times New Roman"/>
          <w:i/>
          <w:lang w:val="fr-CA"/>
        </w:rPr>
        <w:t xml:space="preserve">Samograd c. Collison </w:t>
      </w:r>
      <w:r w:rsidR="004965B0" w:rsidRPr="00EF0F72">
        <w:rPr>
          <w:rFonts w:cs="Times New Roman"/>
          <w:lang w:val="fr-CA"/>
        </w:rPr>
        <w:t xml:space="preserve">(1995), 17 B.C.L.R. (3d) 51 (C.A.)). On ne saurait donc élargir le sens de « avec les adaptations nécessaires et dans la mesure où elles sont applicables » pour que cette expression signifie « dans la mesure où une autre source de droit ne contredit pas le </w:t>
      </w:r>
      <w:r w:rsidR="004965B0" w:rsidRPr="00EF0F72">
        <w:rPr>
          <w:rFonts w:cs="Times New Roman"/>
          <w:i/>
          <w:lang w:val="fr-CA"/>
        </w:rPr>
        <w:t>Code criminel </w:t>
      </w:r>
      <w:r w:rsidR="004965B0" w:rsidRPr="00EF0F72">
        <w:rPr>
          <w:rFonts w:cs="Times New Roman"/>
          <w:lang w:val="fr-CA"/>
        </w:rPr>
        <w:t>». [par. 69.]</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La Cour d’appel a jugé que les modifications qu’il fallait apporter au libellé de la loi pour que les dispositions relatives à la mise en liberté provisoire par voie judiciaire puissent s’appliquer aux procédures d’engagement de ne pas troubler l’ordre public allaient au</w:t>
      </w:r>
      <w:r w:rsidRPr="00EF0F72">
        <w:rPr>
          <w:rFonts w:cs="Times New Roman"/>
          <w:szCs w:val="24"/>
          <w:lang w:val="fr-CA"/>
        </w:rPr>
        <w:noBreakHyphen/>
        <w:t xml:space="preserve">delà de ce que l’on entendait par </w:t>
      </w:r>
      <w:r w:rsidRPr="00EF0F72">
        <w:rPr>
          <w:rFonts w:cs="Times New Roman"/>
          <w:lang w:val="fr-CA"/>
        </w:rPr>
        <w:t xml:space="preserve">une application </w:t>
      </w:r>
      <w:r w:rsidRPr="00EF0F72">
        <w:rPr>
          <w:rFonts w:cs="Times New Roman"/>
          <w:i/>
          <w:lang w:val="fr-CA"/>
        </w:rPr>
        <w:t>mutatis mutandis</w:t>
      </w:r>
      <w:r w:rsidRPr="00EF0F72">
        <w:rPr>
          <w:rFonts w:cs="Times New Roman"/>
          <w:szCs w:val="24"/>
          <w:lang w:val="fr-CA"/>
        </w:rPr>
        <w:t xml:space="preserve"> et qu’elles entraîneraient des modifications de fond qui [</w:t>
      </w:r>
      <w:r w:rsidRPr="00EF0F72">
        <w:rPr>
          <w:rFonts w:cs="Times New Roman"/>
          <w:smallCaps/>
          <w:szCs w:val="24"/>
          <w:lang w:val="fr-CA"/>
        </w:rPr>
        <w:t>traduction</w:t>
      </w:r>
      <w:r w:rsidRPr="00EF0F72">
        <w:rPr>
          <w:rFonts w:cs="Times New Roman"/>
          <w:szCs w:val="24"/>
          <w:lang w:val="fr-CA"/>
        </w:rPr>
        <w:t>] « élargiraient le pouvoir d’arrestation dans une mesure jusque</w:t>
      </w:r>
      <w:r w:rsidRPr="00EF0F72">
        <w:rPr>
          <w:rFonts w:cs="Times New Roman"/>
          <w:szCs w:val="24"/>
          <w:lang w:val="fr-CA"/>
        </w:rPr>
        <w:noBreakHyphen/>
        <w:t xml:space="preserve">là inacceptable dans notre droit » (par. 56), citant les propos suivants tenus par le juge Hinds dans la décision </w:t>
      </w:r>
      <w:r w:rsidRPr="00EF0F72">
        <w:rPr>
          <w:rFonts w:cs="Times New Roman"/>
          <w:i/>
          <w:szCs w:val="24"/>
          <w:lang w:val="fr-CA"/>
        </w:rPr>
        <w:t>Forrest</w:t>
      </w:r>
      <w:r w:rsidRPr="00EF0F72">
        <w:rPr>
          <w:rFonts w:cs="Times New Roman"/>
          <w:szCs w:val="24"/>
          <w:lang w:val="fr-CA"/>
        </w:rPr>
        <w:t> :</w:t>
      </w:r>
    </w:p>
    <w:p w:rsidR="004965B0" w:rsidRPr="00EF0F72" w:rsidRDefault="004965B0" w:rsidP="004965B0">
      <w:pPr>
        <w:pStyle w:val="Citation-AltC"/>
        <w:tabs>
          <w:tab w:val="left" w:pos="1440"/>
        </w:tabs>
        <w:contextualSpacing w:val="0"/>
        <w:rPr>
          <w:shd w:val="clear" w:color="auto" w:fill="FFFFFF"/>
          <w:lang w:val="fr-CA"/>
        </w:rPr>
      </w:pPr>
      <w:r w:rsidRPr="00EF0F72">
        <w:rPr>
          <w:shd w:val="clear" w:color="auto" w:fill="FFFFFF"/>
          <w:lang w:val="fr-CA"/>
        </w:rPr>
        <w:tab/>
        <w:t>[</w:t>
      </w:r>
      <w:r w:rsidRPr="00EF0F72">
        <w:rPr>
          <w:smallCaps/>
          <w:shd w:val="clear" w:color="auto" w:fill="FFFFFF"/>
          <w:lang w:val="fr-CA"/>
        </w:rPr>
        <w:t>traduction</w:t>
      </w:r>
      <w:r w:rsidRPr="00EF0F72">
        <w:rPr>
          <w:shd w:val="clear" w:color="auto" w:fill="FFFFFF"/>
          <w:lang w:val="fr-CA"/>
        </w:rPr>
        <w:t xml:space="preserve">] Dans le cas qui nous occupe, le ministère public soutient que les dispositions de l’art. 457 [l’art. 515 actuel] peuvent être appliquées par l’emploi de l’expression </w:t>
      </w:r>
      <w:r w:rsidRPr="00EF0F72">
        <w:rPr>
          <w:i/>
          <w:shd w:val="clear" w:color="auto" w:fill="FFFFFF"/>
          <w:lang w:val="fr-CA"/>
        </w:rPr>
        <w:t>mutatis mutandis</w:t>
      </w:r>
      <w:r w:rsidRPr="00EF0F72">
        <w:rPr>
          <w:i/>
          <w:iCs/>
          <w:shd w:val="clear" w:color="auto" w:fill="FFFFFF"/>
          <w:lang w:val="fr-CA"/>
        </w:rPr>
        <w:t xml:space="preserve"> </w:t>
      </w:r>
      <w:r w:rsidRPr="00EF0F72">
        <w:rPr>
          <w:iCs/>
          <w:shd w:val="clear" w:color="auto" w:fill="FFFFFF"/>
          <w:lang w:val="fr-CA"/>
        </w:rPr>
        <w:t>pour transformer une personne qui n’est inculpée de rien — simplement une personne contre qui une instance a été introduite en vertu de l’art. </w:t>
      </w:r>
      <w:r w:rsidRPr="00EF0F72">
        <w:rPr>
          <w:shd w:val="clear" w:color="auto" w:fill="FFFFFF"/>
          <w:lang w:val="fr-CA"/>
        </w:rPr>
        <w:t>745</w:t>
      </w:r>
      <w:r w:rsidRPr="00EF0F72">
        <w:rPr>
          <w:iCs/>
          <w:shd w:val="clear" w:color="auto" w:fill="FFFFFF"/>
          <w:lang w:val="fr-CA"/>
        </w:rPr>
        <w:t> [les art. 810 à 810.2 actuels] — </w:t>
      </w:r>
      <w:r w:rsidRPr="00EF0F72">
        <w:rPr>
          <w:shd w:val="clear" w:color="auto" w:fill="FFFFFF"/>
          <w:lang w:val="fr-CA"/>
        </w:rPr>
        <w:t xml:space="preserve">en un « prévenu inculpé d’une infraction ». Il s’agit d’une modification de fond et non d’un « changement portant sur des détails ». À mon avis, l’interprétation de l’expression </w:t>
      </w:r>
      <w:r w:rsidRPr="00EF0F72">
        <w:rPr>
          <w:i/>
          <w:shd w:val="clear" w:color="auto" w:fill="FFFFFF"/>
          <w:lang w:val="fr-CA"/>
        </w:rPr>
        <w:t xml:space="preserve">mutatis mutandis </w:t>
      </w:r>
      <w:r w:rsidRPr="00EF0F72">
        <w:rPr>
          <w:iCs/>
          <w:shd w:val="clear" w:color="auto" w:fill="FFFFFF"/>
          <w:lang w:val="fr-CA"/>
        </w:rPr>
        <w:t xml:space="preserve">ne peut être élargie pour englober un changement de fond de l’ampleur envisagée dans la présente instance. [par. 57, citant </w:t>
      </w:r>
      <w:r w:rsidRPr="00EF0F72">
        <w:rPr>
          <w:i/>
          <w:iCs/>
          <w:shd w:val="clear" w:color="auto" w:fill="FFFFFF"/>
          <w:lang w:val="fr-CA"/>
        </w:rPr>
        <w:t>Forrest</w:t>
      </w:r>
      <w:r w:rsidRPr="00EF0F72">
        <w:rPr>
          <w:iCs/>
          <w:shd w:val="clear" w:color="auto" w:fill="FFFFFF"/>
          <w:lang w:val="fr-CA"/>
        </w:rPr>
        <w:t>, par. 17]</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lastRenderedPageBreak/>
        <w:t>En toute déférence, je ne suis pas de cet avis. Les modifications nécessaires n’ont pas pour effet de mettre un défendeur à une procédure d’</w:t>
      </w:r>
      <w:r w:rsidRPr="00EF0F72">
        <w:rPr>
          <w:rFonts w:cs="Times New Roman"/>
          <w:lang w:val="fr-CA"/>
        </w:rPr>
        <w:t>engagement de ne pas troubler l’ordre public à la place d’un prévenu</w:t>
      </w:r>
      <w:r w:rsidRPr="00EF0F72">
        <w:rPr>
          <w:rFonts w:cs="Times New Roman"/>
          <w:szCs w:val="24"/>
          <w:lang w:val="fr-CA"/>
        </w:rPr>
        <w:t xml:space="preserve">. Elles adaptent plutôt </w:t>
      </w:r>
      <w:r w:rsidRPr="00EF0F72">
        <w:rPr>
          <w:rFonts w:cs="Times New Roman"/>
          <w:lang w:val="fr-CA"/>
        </w:rPr>
        <w:t xml:space="preserve">les </w:t>
      </w:r>
      <w:r w:rsidRPr="00EF0F72">
        <w:rPr>
          <w:rFonts w:cs="Times New Roman"/>
          <w:szCs w:val="24"/>
          <w:lang w:val="fr-CA"/>
        </w:rPr>
        <w:t xml:space="preserve">moyens de contraindre quelqu’un à comparaître au contexte de la justice préventive. Même si nous allons analyser </w:t>
      </w:r>
      <w:r>
        <w:rPr>
          <w:rFonts w:cs="Times New Roman"/>
          <w:szCs w:val="24"/>
          <w:lang w:val="fr-CA"/>
        </w:rPr>
        <w:t xml:space="preserve">cette question en </w:t>
      </w:r>
      <w:r w:rsidRPr="00EF0F72">
        <w:rPr>
          <w:rFonts w:cs="Times New Roman"/>
          <w:szCs w:val="24"/>
          <w:lang w:val="fr-CA"/>
        </w:rPr>
        <w:t xml:space="preserve">détail </w:t>
      </w:r>
      <w:r>
        <w:rPr>
          <w:rFonts w:cs="Times New Roman"/>
          <w:szCs w:val="24"/>
          <w:lang w:val="fr-CA"/>
        </w:rPr>
        <w:t xml:space="preserve">plus </w:t>
      </w:r>
      <w:r w:rsidRPr="00EF0F72">
        <w:rPr>
          <w:rFonts w:cs="Times New Roman"/>
          <w:szCs w:val="24"/>
          <w:lang w:val="fr-CA"/>
        </w:rPr>
        <w:t>loin, je m’arrête un instant pour souligner que les pouvoirs d’arrestation et de mise en liberté provisoire par voie judiciaire constituent des mesures de dernier recours et qu’ils ne peuvent être exercés que si l’on démontre, avec motifs raisonnables à l’appui, que l’intérêt public commande la délivrance d’un mandat. La procédure applicable par défaut réside dans la délivrance d’une sommation (par. 507(4)).</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À mon avis, les modifications nécessaires pour pouvoir appliquer la partie XVI aux procédures d’engagement de ne pas troubler l’ordre public ne feraient que substituer la version modifiée qui convient de l’expression « défendeur nommé dans une dénonciation visant à obtenir un engagement de ne pas troubler l’ordre public » à toute variante des mots « prévenu inculpé d’une infraction », compte tenu de la grammaire de la disposition applicable. Pour ce faire, il n’est pas nécessaire de modifier la définition du terme « prévenu » à l’art. 493. Je c</w:t>
      </w:r>
      <w:r w:rsidR="00881081">
        <w:rPr>
          <w:rFonts w:cs="Times New Roman"/>
          <w:szCs w:val="24"/>
          <w:lang w:val="fr-CA"/>
        </w:rPr>
        <w:t xml:space="preserve">onviens avec la Cour d’appel </w:t>
      </w:r>
      <w:r w:rsidRPr="00EF0F72">
        <w:rPr>
          <w:rFonts w:cs="Times New Roman"/>
          <w:szCs w:val="24"/>
          <w:lang w:val="fr-CA"/>
        </w:rPr>
        <w:t>[</w:t>
      </w:r>
      <w:r w:rsidRPr="00EF0F72">
        <w:rPr>
          <w:rFonts w:cs="Times New Roman"/>
          <w:smallCaps/>
          <w:szCs w:val="24"/>
          <w:lang w:val="fr-CA"/>
        </w:rPr>
        <w:t>traduction</w:t>
      </w:r>
      <w:r w:rsidRPr="00EF0F72">
        <w:rPr>
          <w:rFonts w:cs="Times New Roman"/>
          <w:szCs w:val="24"/>
          <w:lang w:val="fr-CA"/>
        </w:rPr>
        <w:t>] « </w:t>
      </w:r>
      <w:r w:rsidR="00881081" w:rsidRPr="00EF0F72">
        <w:rPr>
          <w:rFonts w:cs="Times New Roman"/>
          <w:szCs w:val="24"/>
          <w:lang w:val="fr-CA"/>
        </w:rPr>
        <w:t>[</w:t>
      </w:r>
      <w:r w:rsidR="00881081">
        <w:rPr>
          <w:rFonts w:cs="Times New Roman"/>
          <w:szCs w:val="24"/>
          <w:lang w:val="fr-CA"/>
        </w:rPr>
        <w:t>qu’</w:t>
      </w:r>
      <w:r w:rsidR="00881081" w:rsidRPr="00EF0F72">
        <w:rPr>
          <w:rFonts w:cs="Times New Roman"/>
          <w:szCs w:val="24"/>
          <w:lang w:val="fr-CA"/>
        </w:rPr>
        <w:t>]</w:t>
      </w:r>
      <w:r w:rsidR="00881081">
        <w:rPr>
          <w:rFonts w:cs="Times New Roman"/>
          <w:szCs w:val="24"/>
          <w:lang w:val="fr-CA"/>
        </w:rPr>
        <w:t xml:space="preserve"> </w:t>
      </w:r>
      <w:r w:rsidRPr="00EF0F72">
        <w:rPr>
          <w:rFonts w:cs="Times New Roman"/>
          <w:szCs w:val="24"/>
          <w:lang w:val="fr-CA"/>
        </w:rPr>
        <w:t xml:space="preserve">un </w:t>
      </w:r>
      <w:r w:rsidRPr="00EF0F72">
        <w:rPr>
          <w:rFonts w:cs="Times New Roman"/>
          <w:lang w:val="fr-CA"/>
        </w:rPr>
        <w:t>défendeur à une procédure d’engagement de ne pas troubler l’ordre public</w:t>
      </w:r>
      <w:r w:rsidRPr="00EF0F72">
        <w:rPr>
          <w:rFonts w:cs="Times New Roman"/>
          <w:szCs w:val="24"/>
          <w:lang w:val="fr-CA"/>
        </w:rPr>
        <w:t xml:space="preserve"> est radicalement différent du défendeur qui doit répondre à une accusation criminelle » (par. 56). Au lieu de modifier la définition du terme « prévenu », il suffit de modifier le libellé des dispositions pertinentes dans la mesure nécessaire pour le faire concorder avec le contexte et l’objet du régime des engagements de ne pas troubler l’ordre public. Ces substitutions ainsi que d’autres petits réaménagements sont nécessaires pour que les dispositions relatives à </w:t>
      </w:r>
      <w:r w:rsidRPr="00EF0F72">
        <w:rPr>
          <w:rFonts w:cs="Times New Roman"/>
          <w:szCs w:val="24"/>
          <w:lang w:val="fr-CA"/>
        </w:rPr>
        <w:lastRenderedPageBreak/>
        <w:t>l’arrestation et à la mise en liberté provisoire par voie judiciaire s’appliquent de façon harmonieuse dans le cadre du régime des engagements de ne pas troubler l’ordre public. Par exemple, la disposition en vertu de laquelle une dénonciation visant à obtenir un engagement de ne pas troubler l’ordre public est déposée doit remplacer la dénonciation déposée en vertu de l’art. 504 (l’acte introductif d’une instance criminelle) pour que s’appliquent les pouvoirs de sommation et d’arrestation prévus à l’art. 507 dans le cadre d’une procédure d’engagement de ne pas troubler l’ordre public.</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Pour illustrer mon propos, j’ai indiqué entre crochets d’autres modifications nécessaires au libellé de l’art. 507 et de l’art. 515.</w:t>
      </w:r>
    </w:p>
    <w:p w:rsidR="004965B0" w:rsidRPr="00EF0F72" w:rsidRDefault="004965B0" w:rsidP="004965B0">
      <w:pPr>
        <w:pStyle w:val="Citation-AltC"/>
        <w:spacing w:after="240"/>
        <w:ind w:left="1170" w:hanging="450"/>
        <w:contextualSpacing w:val="0"/>
        <w:rPr>
          <w:b/>
          <w:lang w:val="fr-CA"/>
        </w:rPr>
      </w:pPr>
      <w:r w:rsidRPr="00EF0F72">
        <w:rPr>
          <w:b/>
          <w:lang w:val="fr-CA"/>
        </w:rPr>
        <w:tab/>
        <w:t>Le juge de paix entend le dénonciateur et les témoins — poursuites par le procureur général</w:t>
      </w:r>
    </w:p>
    <w:p w:rsidR="004965B0" w:rsidRPr="00EF0F72" w:rsidRDefault="004965B0" w:rsidP="004965B0">
      <w:pPr>
        <w:pStyle w:val="Citation-AltC"/>
        <w:spacing w:after="240"/>
        <w:ind w:left="1170" w:hanging="450"/>
        <w:contextualSpacing w:val="0"/>
        <w:rPr>
          <w:lang w:val="fr-CA"/>
        </w:rPr>
      </w:pPr>
      <w:r w:rsidRPr="00EF0F72">
        <w:rPr>
          <w:b/>
          <w:lang w:val="fr-CA"/>
        </w:rPr>
        <w:tab/>
        <w:t>507(1)</w:t>
      </w:r>
      <w:r w:rsidRPr="00EF0F72">
        <w:rPr>
          <w:lang w:val="fr-CA"/>
        </w:rPr>
        <w:t xml:space="preserve"> Sous réserve du paragraphe 523(1.1), le juge de paix qui reçoit une dénonciation faite en vertu [</w:t>
      </w:r>
      <w:r w:rsidRPr="00EF0F72">
        <w:rPr>
          <w:u w:val="single"/>
          <w:lang w:val="fr-CA"/>
        </w:rPr>
        <w:t>des dispositions applicables en matière d’engagements de ne pas troubler l’ordre public</w:t>
      </w:r>
      <w:r w:rsidRPr="00EF0F72">
        <w:rPr>
          <w:lang w:val="fr-CA"/>
        </w:rPr>
        <w:t>] par un agent de la paix, un fonctionnaire public ou le procureur général ou son représentant, autre qu’une dénonciation faite devant lui en application de l’article 505, doit, sauf lorsqu’un [</w:t>
      </w:r>
      <w:r w:rsidRPr="00EF0F72">
        <w:rPr>
          <w:u w:val="single"/>
          <w:lang w:val="fr-CA"/>
        </w:rPr>
        <w:t>défendeur nommé dans une dénonciation visant à obtenir un engagement de ne pas troubler l’ordre public</w:t>
      </w:r>
      <w:r w:rsidRPr="00EF0F72">
        <w:rPr>
          <w:lang w:val="fr-CA"/>
        </w:rPr>
        <w:t>] a déjà été arrêté avec ou sans mandat :</w:t>
      </w:r>
    </w:p>
    <w:p w:rsidR="004965B0" w:rsidRPr="00EF0F72" w:rsidRDefault="004965B0" w:rsidP="004965B0">
      <w:pPr>
        <w:spacing w:after="240"/>
        <w:ind w:left="1440" w:hanging="360"/>
        <w:rPr>
          <w:i/>
          <w:lang w:val="fr-CA" w:eastAsia="fr-CA"/>
        </w:rPr>
      </w:pPr>
      <w:r w:rsidRPr="00EF0F72">
        <w:rPr>
          <w:b/>
          <w:bCs/>
          <w:lang w:val="fr-CA" w:eastAsia="fr-CA"/>
        </w:rPr>
        <w:tab/>
        <w:t>a)</w:t>
      </w:r>
      <w:r w:rsidRPr="00EF0F72">
        <w:rPr>
          <w:lang w:val="fr-CA" w:eastAsia="fr-CA"/>
        </w:rPr>
        <w:t xml:space="preserve"> entendre et examiner, </w:t>
      </w:r>
      <w:r w:rsidRPr="00EF0F72">
        <w:rPr>
          <w:i/>
          <w:lang w:val="fr-CA" w:eastAsia="fr-CA"/>
        </w:rPr>
        <w:t>ex parte </w:t>
      </w:r>
      <w:r w:rsidRPr="008E1439">
        <w:rPr>
          <w:lang w:val="fr-CA" w:eastAsia="fr-CA"/>
        </w:rPr>
        <w:t>:</w:t>
      </w:r>
    </w:p>
    <w:p w:rsidR="004965B0" w:rsidRPr="00EF0F72" w:rsidRDefault="004965B0" w:rsidP="004965B0">
      <w:pPr>
        <w:spacing w:after="240"/>
        <w:ind w:left="2160" w:hanging="360"/>
        <w:rPr>
          <w:lang w:val="fr-CA" w:eastAsia="fr-CA"/>
        </w:rPr>
      </w:pPr>
      <w:r w:rsidRPr="00EF0F72">
        <w:rPr>
          <w:b/>
          <w:bCs/>
          <w:lang w:val="fr-CA" w:eastAsia="fr-CA"/>
        </w:rPr>
        <w:tab/>
        <w:t>(i)</w:t>
      </w:r>
      <w:r w:rsidRPr="00EF0F72">
        <w:rPr>
          <w:lang w:val="fr-CA" w:eastAsia="fr-CA"/>
        </w:rPr>
        <w:t> les allégations du dénonciateur,</w:t>
      </w:r>
    </w:p>
    <w:p w:rsidR="004965B0" w:rsidRPr="00EF0F72" w:rsidRDefault="004965B0" w:rsidP="004965B0">
      <w:pPr>
        <w:spacing w:after="240"/>
        <w:ind w:left="2160" w:hanging="360"/>
        <w:rPr>
          <w:lang w:val="fr-CA" w:eastAsia="fr-CA"/>
        </w:rPr>
      </w:pPr>
      <w:r w:rsidRPr="00EF0F72">
        <w:rPr>
          <w:b/>
          <w:bCs/>
          <w:lang w:val="fr-CA" w:eastAsia="fr-CA"/>
        </w:rPr>
        <w:tab/>
        <w:t>(ii)</w:t>
      </w:r>
      <w:r w:rsidRPr="00EF0F72">
        <w:rPr>
          <w:lang w:val="fr-CA" w:eastAsia="fr-CA"/>
        </w:rPr>
        <w:t> les dépositions des témoins, s’il l’estime utile;</w:t>
      </w:r>
    </w:p>
    <w:p w:rsidR="004965B0" w:rsidRPr="00EF0F72" w:rsidRDefault="004965B0" w:rsidP="004965B0">
      <w:pPr>
        <w:spacing w:after="240"/>
        <w:ind w:left="1440" w:hanging="360"/>
        <w:rPr>
          <w:lang w:val="fr-CA" w:eastAsia="fr-CA"/>
        </w:rPr>
      </w:pPr>
      <w:r w:rsidRPr="00EF0F72">
        <w:rPr>
          <w:b/>
          <w:bCs/>
          <w:lang w:val="fr-CA" w:eastAsia="fr-CA"/>
        </w:rPr>
        <w:tab/>
        <w:t>b)</w:t>
      </w:r>
      <w:r w:rsidRPr="00EF0F72">
        <w:rPr>
          <w:lang w:val="fr-CA" w:eastAsia="fr-CA"/>
        </w:rPr>
        <w:t> lorsqu’il estime qu’on a démontré qu’il est justifié de le faire, décerner, conformément au présent article, une sommation ou un mandat d’arrestation pour obliger [</w:t>
      </w:r>
      <w:r w:rsidRPr="00EF0F72">
        <w:rPr>
          <w:u w:val="single"/>
          <w:lang w:val="fr-CA"/>
        </w:rPr>
        <w:t>le défendeur nommé dans une dénonciation visant à obtenir un engagement de ne pas troubler l’ordre public</w:t>
      </w:r>
      <w:r w:rsidRPr="00EF0F72">
        <w:rPr>
          <w:lang w:val="fr-CA"/>
        </w:rPr>
        <w:t xml:space="preserve">] </w:t>
      </w:r>
      <w:r w:rsidRPr="00EF0F72">
        <w:rPr>
          <w:lang w:val="fr-CA" w:eastAsia="fr-CA"/>
        </w:rPr>
        <w:t>à comparaître devant lui ou un autre juge de la même circonscription territoriale pour répondre à [</w:t>
      </w:r>
      <w:r w:rsidRPr="00EF0F72">
        <w:rPr>
          <w:u w:val="single"/>
          <w:lang w:val="fr-CA" w:eastAsia="fr-CA"/>
        </w:rPr>
        <w:t>la dénonciation</w:t>
      </w:r>
      <w:r w:rsidRPr="00EF0F72">
        <w:rPr>
          <w:lang w:val="fr-CA" w:eastAsia="fr-CA"/>
        </w:rPr>
        <w:t>].</w:t>
      </w:r>
    </w:p>
    <w:p w:rsidR="004965B0" w:rsidRPr="00EF0F72" w:rsidRDefault="008E1439" w:rsidP="004965B0">
      <w:pPr>
        <w:pStyle w:val="Citation-AltC"/>
        <w:tabs>
          <w:tab w:val="left" w:pos="4320"/>
        </w:tabs>
        <w:spacing w:after="240"/>
        <w:ind w:left="720" w:hanging="270"/>
        <w:contextualSpacing w:val="0"/>
        <w:jc w:val="center"/>
        <w:rPr>
          <w:lang w:val="fr-CA"/>
        </w:rPr>
      </w:pPr>
      <w:r>
        <w:rPr>
          <w:lang w:val="fr-CA"/>
        </w:rPr>
        <w:tab/>
        <w:t>. . .</w:t>
      </w:r>
    </w:p>
    <w:p w:rsidR="004965B0" w:rsidRPr="00EF0F72" w:rsidRDefault="004965B0" w:rsidP="004965B0">
      <w:pPr>
        <w:pStyle w:val="Citation-AltC"/>
        <w:spacing w:after="240"/>
        <w:ind w:left="1170" w:hanging="450"/>
        <w:contextualSpacing w:val="0"/>
        <w:rPr>
          <w:b/>
          <w:lang w:val="fr-CA"/>
        </w:rPr>
      </w:pPr>
      <w:r w:rsidRPr="00EF0F72">
        <w:rPr>
          <w:b/>
          <w:lang w:val="fr-CA"/>
        </w:rPr>
        <w:tab/>
        <w:t>Une sommation est décernée sauf dans certains cas</w:t>
      </w:r>
    </w:p>
    <w:p w:rsidR="004965B0" w:rsidRPr="00EF0F72" w:rsidRDefault="004965B0" w:rsidP="004965B0">
      <w:pPr>
        <w:pStyle w:val="Citation-AltC"/>
        <w:spacing w:after="240"/>
        <w:ind w:left="1170" w:hanging="450"/>
        <w:contextualSpacing w:val="0"/>
        <w:rPr>
          <w:lang w:val="fr-CA"/>
        </w:rPr>
      </w:pPr>
      <w:r w:rsidRPr="00EF0F72">
        <w:rPr>
          <w:b/>
          <w:lang w:val="fr-CA"/>
        </w:rPr>
        <w:lastRenderedPageBreak/>
        <w:tab/>
        <w:t>(4)</w:t>
      </w:r>
      <w:r w:rsidRPr="00EF0F72">
        <w:rPr>
          <w:lang w:val="fr-CA"/>
        </w:rPr>
        <w:t xml:space="preserve"> Lorsque le juge de paix estime qu’on a démontré qu’il est justifié de contraindre [</w:t>
      </w:r>
      <w:r w:rsidRPr="00EF0F72">
        <w:rPr>
          <w:u w:val="single"/>
          <w:lang w:val="fr-CA"/>
        </w:rPr>
        <w:t>le défendeur</w:t>
      </w:r>
      <w:r w:rsidRPr="00EF0F72">
        <w:rPr>
          <w:lang w:val="fr-CA"/>
        </w:rPr>
        <w:t>] à être présent devant lui pour répondre à [</w:t>
      </w:r>
      <w:r w:rsidRPr="00EF0F72">
        <w:rPr>
          <w:u w:val="single"/>
          <w:lang w:val="fr-CA"/>
        </w:rPr>
        <w:t>la dénonciation</w:t>
      </w:r>
      <w:r w:rsidRPr="00EF0F72">
        <w:rPr>
          <w:lang w:val="fr-CA"/>
        </w:rPr>
        <w:t>], il décerne une sommation contre [</w:t>
      </w:r>
      <w:r w:rsidRPr="00EF0F72">
        <w:rPr>
          <w:u w:val="single"/>
          <w:lang w:val="fr-CA"/>
        </w:rPr>
        <w:t>le défendeur</w:t>
      </w:r>
      <w:r w:rsidRPr="00EF0F72">
        <w:rPr>
          <w:lang w:val="fr-CA"/>
        </w:rPr>
        <w:t>], à moins que les allégations du dénonciateur ou les dépositions d’un ou des témoins recueillies en conformité avec le paragraphe (3) ne révèlent des motifs raisonnables de croire qu’il est nécessaire, dans l’intérêt public, de décerner un mandat pour l’arrestation du [</w:t>
      </w:r>
      <w:r w:rsidRPr="00EF0F72">
        <w:rPr>
          <w:u w:val="single"/>
          <w:lang w:val="fr-CA"/>
        </w:rPr>
        <w:t>défendeur</w:t>
      </w:r>
      <w:r w:rsidRPr="00EF0F72">
        <w:rPr>
          <w:lang w:val="fr-CA"/>
        </w:rPr>
        <w:t>].</w:t>
      </w:r>
    </w:p>
    <w:p w:rsidR="004965B0" w:rsidRPr="00EF0F72" w:rsidRDefault="008E1439" w:rsidP="004965B0">
      <w:pPr>
        <w:pStyle w:val="Citation-AltC"/>
        <w:tabs>
          <w:tab w:val="left" w:pos="4320"/>
        </w:tabs>
        <w:spacing w:after="240"/>
        <w:ind w:left="720" w:hanging="270"/>
        <w:contextualSpacing w:val="0"/>
        <w:jc w:val="center"/>
        <w:rPr>
          <w:lang w:val="fr-CA"/>
        </w:rPr>
      </w:pPr>
      <w:r>
        <w:rPr>
          <w:lang w:val="fr-CA"/>
        </w:rPr>
        <w:tab/>
        <w:t>. . .</w:t>
      </w:r>
    </w:p>
    <w:p w:rsidR="004965B0" w:rsidRPr="00EF0F72" w:rsidRDefault="004965B0" w:rsidP="004965B0">
      <w:pPr>
        <w:pStyle w:val="Citation-AltC"/>
        <w:spacing w:after="240"/>
        <w:ind w:left="1170" w:hanging="450"/>
        <w:contextualSpacing w:val="0"/>
        <w:rPr>
          <w:b/>
          <w:shd w:val="clear" w:color="auto" w:fill="FFFFFF"/>
          <w:lang w:val="fr-CA"/>
        </w:rPr>
      </w:pPr>
      <w:r w:rsidRPr="00EF0F72">
        <w:rPr>
          <w:b/>
          <w:shd w:val="clear" w:color="auto" w:fill="FFFFFF"/>
          <w:lang w:val="fr-CA"/>
        </w:rPr>
        <w:tab/>
        <w:t>Mise en liberté sur remise d’une promesse</w:t>
      </w:r>
    </w:p>
    <w:p w:rsidR="004965B0" w:rsidRPr="00EF0F72" w:rsidRDefault="004965B0" w:rsidP="004965B0">
      <w:pPr>
        <w:pStyle w:val="Citation-AltC"/>
        <w:ind w:left="1170" w:hanging="450"/>
        <w:contextualSpacing w:val="0"/>
        <w:rPr>
          <w:lang w:val="fr-CA"/>
        </w:rPr>
      </w:pPr>
      <w:r w:rsidRPr="00EF0F72">
        <w:rPr>
          <w:b/>
          <w:shd w:val="clear" w:color="auto" w:fill="FFFFFF"/>
          <w:lang w:val="fr-CA"/>
        </w:rPr>
        <w:tab/>
        <w:t>515(1)</w:t>
      </w:r>
      <w:r w:rsidRPr="00EF0F72">
        <w:rPr>
          <w:shd w:val="clear" w:color="auto" w:fill="FFFFFF"/>
          <w:lang w:val="fr-CA"/>
        </w:rPr>
        <w:t> </w:t>
      </w:r>
      <w:r w:rsidRPr="00EF0F72">
        <w:rPr>
          <w:lang w:val="fr-CA"/>
        </w:rPr>
        <w:t>Sous réserve des autres dispositions du présent article, lorsqu’un [</w:t>
      </w:r>
      <w:r w:rsidRPr="00EF0F72">
        <w:rPr>
          <w:u w:val="single"/>
          <w:lang w:val="fr-CA"/>
        </w:rPr>
        <w:t>défendeur</w:t>
      </w:r>
      <w:r w:rsidRPr="00EF0F72">
        <w:rPr>
          <w:lang w:val="fr-CA"/>
        </w:rPr>
        <w:t>] qui est [</w:t>
      </w:r>
      <w:r w:rsidRPr="00EF0F72">
        <w:rPr>
          <w:u w:val="single"/>
          <w:lang w:val="fr-CA"/>
        </w:rPr>
        <w:t xml:space="preserve">nommé dans une dénonciation visant à obtenir </w:t>
      </w:r>
      <w:r w:rsidRPr="00EF0F72">
        <w:rPr>
          <w:lang w:val="fr-CA"/>
        </w:rPr>
        <w:t xml:space="preserve">un </w:t>
      </w:r>
      <w:r w:rsidRPr="00EF0F72">
        <w:rPr>
          <w:u w:val="single"/>
          <w:lang w:val="fr-CA"/>
        </w:rPr>
        <w:t>engagement de ne pas troubler l’ordre public</w:t>
      </w:r>
      <w:r w:rsidRPr="00EF0F72">
        <w:rPr>
          <w:lang w:val="fr-CA"/>
        </w:rPr>
        <w:t>] est conduit devant un juge de paix, celui</w:t>
      </w:r>
      <w:r w:rsidRPr="00EF0F72">
        <w:rPr>
          <w:lang w:val="fr-CA"/>
        </w:rPr>
        <w:noBreakHyphen/>
        <w:t>ci doit [. . .] ordonner que le [</w:t>
      </w:r>
      <w:r w:rsidRPr="00EF0F72">
        <w:rPr>
          <w:u w:val="single"/>
          <w:lang w:val="fr-CA"/>
        </w:rPr>
        <w:t>défendeur</w:t>
      </w:r>
      <w:r w:rsidRPr="00EF0F72">
        <w:rPr>
          <w:lang w:val="fr-CA"/>
        </w:rPr>
        <w:t>] soit mis en liberté à l’égard de cette [</w:t>
      </w:r>
      <w:r w:rsidRPr="00EF0F72">
        <w:rPr>
          <w:u w:val="single"/>
          <w:lang w:val="fr-CA"/>
        </w:rPr>
        <w:t>dénonciation</w:t>
      </w:r>
      <w:r w:rsidRPr="00EF0F72">
        <w:rPr>
          <w:lang w:val="fr-CA"/>
        </w:rPr>
        <w:t>], pourvu qu’il remette une promesse sans condition, à moins que le poursuivant [</w:t>
      </w:r>
      <w:r w:rsidRPr="00EF0F72">
        <w:rPr>
          <w:u w:val="single"/>
          <w:lang w:val="fr-CA"/>
        </w:rPr>
        <w:t>ou le dénonciateur</w:t>
      </w:r>
      <w:r w:rsidRPr="00EF0F72">
        <w:rPr>
          <w:lang w:val="fr-CA"/>
        </w:rPr>
        <w:t>], ayant eu la possibilité de le faire, ne fasse valoir à l’égard de cette [</w:t>
      </w:r>
      <w:r w:rsidRPr="00EF0F72">
        <w:rPr>
          <w:u w:val="single"/>
          <w:lang w:val="fr-CA"/>
        </w:rPr>
        <w:t>dénonciation visant à obtenir un engagement de ne pas troubler l’ordre public</w:t>
      </w:r>
      <w:r w:rsidRPr="00EF0F72">
        <w:rPr>
          <w:lang w:val="fr-CA"/>
        </w:rPr>
        <w:t>] des motifs justifiant la détention du [</w:t>
      </w:r>
      <w:r w:rsidRPr="00EF0F72">
        <w:rPr>
          <w:u w:val="single"/>
          <w:lang w:val="fr-CA"/>
        </w:rPr>
        <w:t>défendeur</w:t>
      </w:r>
      <w:r w:rsidRPr="00EF0F72">
        <w:rPr>
          <w:lang w:val="fr-CA"/>
        </w:rPr>
        <w:t>] sous garde ou des motifs justifiant de rendre une ordonnance aux termes de toute autre disposition du présent article et lorsque le juge de paix rend une ordonnance en vertu d’une autre disposition du présent article, l’ordonnance ne peut se rapporter qu’à [</w:t>
      </w:r>
      <w:r w:rsidRPr="00EF0F72">
        <w:rPr>
          <w:u w:val="single"/>
          <w:lang w:val="fr-CA"/>
        </w:rPr>
        <w:t>la dénonciation</w:t>
      </w:r>
      <w:r w:rsidRPr="00EF0F72">
        <w:rPr>
          <w:lang w:val="fr-CA"/>
        </w:rPr>
        <w:t>] au sujet de laquelle le [</w:t>
      </w:r>
      <w:r w:rsidRPr="00EF0F72">
        <w:rPr>
          <w:u w:val="single"/>
          <w:lang w:val="fr-CA"/>
        </w:rPr>
        <w:t>défendeur</w:t>
      </w:r>
      <w:r w:rsidRPr="00EF0F72">
        <w:rPr>
          <w:lang w:val="fr-CA"/>
        </w:rPr>
        <w:t>] a été conduit devant le juge de paix.</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Dans l’arrêt </w:t>
      </w:r>
      <w:r w:rsidRPr="00EF0F72">
        <w:rPr>
          <w:rFonts w:cs="Times New Roman"/>
          <w:i/>
          <w:szCs w:val="24"/>
          <w:lang w:val="fr-CA"/>
        </w:rPr>
        <w:t>Budreo C.A</w:t>
      </w:r>
      <w:r w:rsidRPr="00EF0F72">
        <w:rPr>
          <w:rFonts w:cs="Times New Roman"/>
          <w:szCs w:val="24"/>
          <w:lang w:val="fr-CA"/>
        </w:rPr>
        <w:t>, la Cour d’appel de l’Ontario a également conclu que l’application des dispositions relatives aux accusations portées contre un prévenu (art. 507 et 515) à une instance introduite au moyen du dépôt d’une dénonciation (dans cette affaire, l’art. 810.1) constituait une [</w:t>
      </w:r>
      <w:r w:rsidRPr="00EF0F72">
        <w:rPr>
          <w:rFonts w:cs="Times New Roman"/>
          <w:smallCaps/>
          <w:szCs w:val="24"/>
          <w:lang w:val="fr-CA"/>
        </w:rPr>
        <w:t>traduction</w:t>
      </w:r>
      <w:r w:rsidRPr="00EF0F72">
        <w:rPr>
          <w:rFonts w:cs="Times New Roman"/>
          <w:szCs w:val="24"/>
          <w:lang w:val="fr-CA"/>
        </w:rPr>
        <w:t xml:space="preserve">] « modification envisagée par l’art. 795 du </w:t>
      </w:r>
      <w:r w:rsidRPr="00EF0F72">
        <w:rPr>
          <w:rFonts w:cs="Times New Roman"/>
          <w:i/>
          <w:szCs w:val="24"/>
          <w:lang w:val="fr-CA"/>
        </w:rPr>
        <w:t>Code </w:t>
      </w:r>
      <w:r w:rsidRPr="00EF0F72">
        <w:rPr>
          <w:rFonts w:cs="Times New Roman"/>
          <w:szCs w:val="24"/>
          <w:lang w:val="fr-CA"/>
        </w:rPr>
        <w:t xml:space="preserve">» (par. 62). Voir également </w:t>
      </w:r>
      <w:r w:rsidRPr="00EF0F72">
        <w:rPr>
          <w:rFonts w:cs="Times New Roman"/>
          <w:i/>
          <w:szCs w:val="24"/>
          <w:lang w:val="fr-CA"/>
        </w:rPr>
        <w:t>Cachine</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par. 23</w:t>
      </w:r>
      <w:r w:rsidRPr="00EF0F72">
        <w:rPr>
          <w:rFonts w:cs="Times New Roman"/>
          <w:szCs w:val="24"/>
          <w:lang w:val="fr-CA"/>
        </w:rPr>
        <w:noBreakHyphen/>
        <w:t xml:space="preserve">24; </w:t>
      </w:r>
      <w:r w:rsidRPr="00EF0F72">
        <w:rPr>
          <w:rFonts w:cs="Times New Roman"/>
          <w:i/>
          <w:szCs w:val="24"/>
          <w:lang w:val="fr-CA"/>
        </w:rPr>
        <w:t>Wakelin</w:t>
      </w:r>
      <w:r w:rsidRPr="00EF0F72">
        <w:rPr>
          <w:rFonts w:cs="Times New Roman"/>
          <w:szCs w:val="24"/>
          <w:lang w:val="fr-CA"/>
        </w:rPr>
        <w:t>, p. 121</w:t>
      </w:r>
      <w:r w:rsidRPr="00EF0F72">
        <w:rPr>
          <w:rFonts w:cs="Times New Roman"/>
          <w:szCs w:val="24"/>
          <w:lang w:val="fr-CA"/>
        </w:rPr>
        <w:noBreakHyphen/>
        <w:t>122.</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Je fais mienne l’opinion des cours d’appel dans les arrêts </w:t>
      </w:r>
      <w:r w:rsidRPr="00EF0F72">
        <w:rPr>
          <w:rFonts w:cs="Times New Roman"/>
          <w:i/>
          <w:szCs w:val="24"/>
          <w:lang w:val="fr-CA"/>
        </w:rPr>
        <w:t>Wakelin</w:t>
      </w:r>
      <w:r w:rsidRPr="00EF0F72">
        <w:rPr>
          <w:rFonts w:cs="Times New Roman"/>
          <w:szCs w:val="24"/>
          <w:lang w:val="fr-CA"/>
        </w:rPr>
        <w:t xml:space="preserve">, </w:t>
      </w:r>
      <w:r w:rsidRPr="00EF0F72">
        <w:rPr>
          <w:rFonts w:cs="Times New Roman"/>
          <w:i/>
          <w:szCs w:val="24"/>
          <w:lang w:val="fr-CA"/>
        </w:rPr>
        <w:t>Budreo C.A</w:t>
      </w:r>
      <w:r>
        <w:rPr>
          <w:rFonts w:cs="Times New Roman"/>
          <w:i/>
          <w:szCs w:val="24"/>
          <w:lang w:val="fr-CA"/>
        </w:rPr>
        <w:t>.</w:t>
      </w:r>
      <w:r w:rsidRPr="00EF0F72">
        <w:rPr>
          <w:rFonts w:cs="Times New Roman"/>
          <w:i/>
          <w:szCs w:val="24"/>
          <w:lang w:val="fr-CA"/>
        </w:rPr>
        <w:t xml:space="preserve"> </w:t>
      </w:r>
      <w:r w:rsidRPr="00EF0F72">
        <w:rPr>
          <w:rFonts w:cs="Times New Roman"/>
          <w:szCs w:val="24"/>
          <w:lang w:val="fr-CA"/>
        </w:rPr>
        <w:t xml:space="preserve">et </w:t>
      </w:r>
      <w:r w:rsidRPr="00EF0F72">
        <w:rPr>
          <w:rFonts w:cs="Times New Roman"/>
          <w:i/>
          <w:szCs w:val="24"/>
          <w:lang w:val="fr-CA"/>
        </w:rPr>
        <w:t xml:space="preserve">Cachine </w:t>
      </w:r>
      <w:r w:rsidRPr="00EF0F72">
        <w:rPr>
          <w:rFonts w:cs="Times New Roman"/>
          <w:szCs w:val="24"/>
          <w:lang w:val="fr-CA"/>
        </w:rPr>
        <w:t xml:space="preserve">selon laquelle les modifications requises ne portent que sur des détails, qu’elles sont envisagées par l’art. 795 du </w:t>
      </w:r>
      <w:r w:rsidRPr="00EF0F72">
        <w:rPr>
          <w:rFonts w:cs="Times New Roman"/>
          <w:i/>
          <w:szCs w:val="24"/>
          <w:lang w:val="fr-CA"/>
        </w:rPr>
        <w:t>Code criminel</w:t>
      </w:r>
      <w:r w:rsidRPr="00EF0F72">
        <w:rPr>
          <w:rFonts w:cs="Times New Roman"/>
          <w:szCs w:val="24"/>
          <w:lang w:val="fr-CA"/>
        </w:rPr>
        <w:t xml:space="preserve"> et qu’elles n’emportent pas des changements de fond quant au droit. Les modifications nécessaires créent une </w:t>
      </w:r>
      <w:r w:rsidRPr="00EF0F72">
        <w:rPr>
          <w:rFonts w:cs="Times New Roman"/>
          <w:szCs w:val="24"/>
          <w:lang w:val="fr-CA"/>
        </w:rPr>
        <w:lastRenderedPageBreak/>
        <w:t>procédure pour donner effet à l’expression « faire comparaître les parties » au par. 810.2(2).</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En l’espèce, la Cour d’appel s’est également tournée vers le par. 507.1(9) pour justifier sa conclusion que la partie XVI n’était pas censée s’appliquer aux procédures d’engagement de ne pas troubler l’ordre public. L’article 507.1 prévoit des démarches supplémentaires à accomplir avant qu’une sommation ou un mandat puissent être délivrés lorsque la dénonciation est déposée par un simple citoyen (c.</w:t>
      </w:r>
      <w:r w:rsidRPr="00EF0F72">
        <w:rPr>
          <w:rFonts w:cs="Times New Roman"/>
          <w:szCs w:val="24"/>
          <w:lang w:val="fr-CA"/>
        </w:rPr>
        <w:noBreakHyphen/>
        <w:t>à</w:t>
      </w:r>
      <w:r w:rsidRPr="00EF0F72">
        <w:rPr>
          <w:rFonts w:cs="Times New Roman"/>
          <w:szCs w:val="24"/>
          <w:lang w:val="fr-CA"/>
        </w:rPr>
        <w:noBreakHyphen/>
        <w:t>d. dans le cas d’une poursuite privée). Le paragraphe 507.1(9) prévoit que ces procédures « ne s’appliquent pas à la dénonciation déposée au titre des articles 810 ou 810.1 ». Lorsqu’</w:t>
      </w:r>
      <w:r>
        <w:rPr>
          <w:rFonts w:cs="Times New Roman"/>
          <w:szCs w:val="24"/>
          <w:lang w:val="fr-CA"/>
        </w:rPr>
        <w:t>on le re</w:t>
      </w:r>
      <w:r w:rsidRPr="00EF0F72">
        <w:rPr>
          <w:rFonts w:cs="Times New Roman"/>
          <w:szCs w:val="24"/>
          <w:lang w:val="fr-CA"/>
        </w:rPr>
        <w:t>place dans son contexte, le par. 507</w:t>
      </w:r>
      <w:r>
        <w:rPr>
          <w:rFonts w:cs="Times New Roman"/>
          <w:szCs w:val="24"/>
          <w:lang w:val="fr-CA"/>
        </w:rPr>
        <w:t>.1</w:t>
      </w:r>
      <w:r w:rsidRPr="00EF0F72">
        <w:rPr>
          <w:rFonts w:cs="Times New Roman"/>
          <w:szCs w:val="24"/>
          <w:lang w:val="fr-CA"/>
        </w:rPr>
        <w:t xml:space="preserve">(9) exprime simplement la volonté que le mécanisme de contrôle plus onéreux prévu à l’art. 507.1 ne s’applique pas aux art. 810 et 810.1 lorsqu’une dénonciation est déposée par un simple citoyen. Je souscris à l’opinion formulée par le juge Fitch dans l’arrêt </w:t>
      </w:r>
      <w:r w:rsidRPr="00EF0F72">
        <w:rPr>
          <w:rFonts w:cs="Times New Roman"/>
          <w:i/>
          <w:szCs w:val="24"/>
          <w:lang w:val="fr-CA"/>
        </w:rPr>
        <w:t>Nowazek</w:t>
      </w:r>
      <w:r w:rsidRPr="00EF0F72">
        <w:rPr>
          <w:rFonts w:cs="Times New Roman"/>
          <w:szCs w:val="24"/>
          <w:lang w:val="fr-CA"/>
        </w:rPr>
        <w:t> : l’exclusion de certaines dispositions relatives à l’engagement de ne pas troubler l’ordre public des formalités supplémentaires prévues à l’art. 507</w:t>
      </w:r>
      <w:r>
        <w:rPr>
          <w:rFonts w:cs="Times New Roman"/>
          <w:szCs w:val="24"/>
          <w:lang w:val="fr-CA"/>
        </w:rPr>
        <w:t>.1</w:t>
      </w:r>
      <w:r w:rsidRPr="00EF0F72">
        <w:rPr>
          <w:rFonts w:cs="Times New Roman"/>
          <w:szCs w:val="24"/>
          <w:lang w:val="fr-CA"/>
        </w:rPr>
        <w:t xml:space="preserve"> n’a aucune incidence sur l’application des dispositions relatives à l’arrestation et à la mise en liberté provisoire par voie judiciaire au régime des engagements de ne pas troubler l’ordre public dans son ensemble. Voici ce que le juge Fitch écrit à ce propos :</w:t>
      </w:r>
    </w:p>
    <w:p w:rsidR="004965B0" w:rsidRPr="00EF0F72" w:rsidRDefault="004965B0" w:rsidP="004965B0">
      <w:pPr>
        <w:pStyle w:val="Citation-AltC"/>
        <w:tabs>
          <w:tab w:val="left" w:pos="1440"/>
        </w:tabs>
        <w:spacing w:after="240"/>
        <w:contextualSpacing w:val="0"/>
        <w:rPr>
          <w:lang w:val="fr-CA"/>
        </w:rPr>
      </w:pPr>
      <w:r w:rsidRPr="00EF0F72">
        <w:rPr>
          <w:lang w:val="fr-CA"/>
        </w:rPr>
        <w:tab/>
        <w:t>[</w:t>
      </w:r>
      <w:r w:rsidRPr="00EF0F72">
        <w:rPr>
          <w:smallCaps/>
          <w:lang w:val="fr-CA"/>
        </w:rPr>
        <w:t>traduction</w:t>
      </w:r>
      <w:r w:rsidRPr="00EF0F72">
        <w:rPr>
          <w:lang w:val="fr-CA"/>
        </w:rPr>
        <w:t xml:space="preserve">] L’édiction du par. 507.1(9) n’enlève rien, à mon avis, à l’autorité des arrêts </w:t>
      </w:r>
      <w:r w:rsidRPr="00EF0F72">
        <w:rPr>
          <w:i/>
          <w:iCs/>
          <w:lang w:val="fr-CA"/>
        </w:rPr>
        <w:t>Allen</w:t>
      </w:r>
      <w:r w:rsidRPr="00EF0F72">
        <w:rPr>
          <w:lang w:val="fr-CA"/>
        </w:rPr>
        <w:t xml:space="preserve">, </w:t>
      </w:r>
      <w:r w:rsidRPr="00EF0F72">
        <w:rPr>
          <w:i/>
          <w:iCs/>
          <w:lang w:val="fr-CA"/>
        </w:rPr>
        <w:t>Wakelin</w:t>
      </w:r>
      <w:r w:rsidRPr="00EF0F72">
        <w:rPr>
          <w:lang w:val="fr-CA"/>
        </w:rPr>
        <w:t xml:space="preserve"> et </w:t>
      </w:r>
      <w:r w:rsidRPr="00EF0F72">
        <w:rPr>
          <w:i/>
          <w:iCs/>
          <w:lang w:val="fr-CA"/>
        </w:rPr>
        <w:t>Budreo</w:t>
      </w:r>
      <w:r w:rsidRPr="00EF0F72">
        <w:rPr>
          <w:lang w:val="fr-CA"/>
        </w:rPr>
        <w:t xml:space="preserve">. Il semble que le par. 507.1(9) soustrait simplement les procédures intentées au titre des art. 810 et 810.1 aux garanties supplémentaires dont bénéficient les poursuites privées visées à l’art. 507.1, même lorsque la dénonciation visée à l’art. 810 et 810.1 est déposée par un simple citoyen. Le juge Trotter (plus tard juge à la Cour d’appel) est parvenu au même résultat dans le jugement </w:t>
      </w:r>
      <w:r w:rsidRPr="00EF0F72">
        <w:rPr>
          <w:i/>
          <w:iCs/>
          <w:lang w:val="fr-CA"/>
        </w:rPr>
        <w:t>R. c. Konjarski</w:t>
      </w:r>
      <w:r w:rsidRPr="00EF0F72">
        <w:rPr>
          <w:lang w:val="fr-CA"/>
        </w:rPr>
        <w:t xml:space="preserve">, </w:t>
      </w:r>
      <w:r w:rsidRPr="00DD2A25">
        <w:rPr>
          <w:rStyle w:val="Hyperlink"/>
          <w:color w:val="auto"/>
          <w:u w:val="none"/>
          <w:lang w:val="fr-CA"/>
        </w:rPr>
        <w:t>2015 ONSC 3999 (C.S.J. Ont.),</w:t>
      </w:r>
      <w:r w:rsidRPr="00EF0F72">
        <w:rPr>
          <w:rStyle w:val="reflex3-block"/>
          <w:lang w:val="fr-CA"/>
        </w:rPr>
        <w:t xml:space="preserve"> au par. 6 :</w:t>
      </w:r>
    </w:p>
    <w:p w:rsidR="004965B0" w:rsidRPr="00EF0F72" w:rsidRDefault="004965B0" w:rsidP="004965B0">
      <w:pPr>
        <w:pStyle w:val="Citation-AltC"/>
        <w:spacing w:after="240"/>
        <w:ind w:left="1440" w:hanging="360"/>
        <w:contextualSpacing w:val="0"/>
        <w:rPr>
          <w:lang w:val="fr-CA"/>
        </w:rPr>
      </w:pPr>
      <w:r w:rsidRPr="00EF0F72">
        <w:rPr>
          <w:lang w:val="fr-CA"/>
        </w:rPr>
        <w:lastRenderedPageBreak/>
        <w:tab/>
        <w:t>Les procédures visées par l’art. 810 sont différentes de la procédure plus complexe prévue à l’art. 507.1 [. . .] L’article 507.1 prévoit la tenue d’une audience préalable à l’enquête avant qu’une sommation ou un mandat puisse être délivré [. . .] Toutefois, cette procédure ne s’applique pas aux procédures visées par l’art. 810 (voir par. 507.1(9)).</w:t>
      </w:r>
    </w:p>
    <w:p w:rsidR="004965B0" w:rsidRPr="00EF0F72" w:rsidRDefault="004965B0" w:rsidP="004965B0">
      <w:pPr>
        <w:pStyle w:val="Citation-AltC"/>
        <w:ind w:hanging="446"/>
        <w:contextualSpacing w:val="0"/>
        <w:rPr>
          <w:lang w:val="fr-CA"/>
        </w:rPr>
      </w:pPr>
      <w:r w:rsidRPr="00EF0F72">
        <w:rPr>
          <w:lang w:val="fr-CA"/>
        </w:rPr>
        <w:tab/>
        <w:t>À mon avis, l’édiction du par. 507.1(9) n’a pas modifié les règles de droit en ce qui a trait aux moyens de contraindre un défendeur à comparaître dans le cadre des procédures introduites en vertu de l’art. 810.1. [par. 83]</w:t>
      </w:r>
    </w:p>
    <w:p w:rsidR="004965B0" w:rsidRPr="00EF0F72" w:rsidRDefault="004965B0" w:rsidP="004965B0">
      <w:pPr>
        <w:pStyle w:val="ContinueParaSuitedupar-AltP"/>
        <w:spacing w:before="0"/>
        <w:rPr>
          <w:rFonts w:cs="Times New Roman"/>
          <w:szCs w:val="24"/>
          <w:lang w:val="fr-CA"/>
        </w:rPr>
      </w:pPr>
      <w:r w:rsidRPr="00EF0F72">
        <w:rPr>
          <w:rFonts w:cs="Times New Roman"/>
          <w:szCs w:val="24"/>
          <w:lang w:val="fr-CA"/>
        </w:rPr>
        <w:t xml:space="preserve">Sans trancher la question, l’exclusion des art. 810 et 810.1 des procédures prévues à l’art. 507.1 donne à penser que les dénonciations déposées à titre privé en vertu de ces dispositions sont examinées sous le régime de l’art. 507. En tout état de cause, le législateur a envisagé et expressément écarté l’application de certaines des procédures de la </w:t>
      </w:r>
      <w:r w:rsidRPr="00EF0F72">
        <w:rPr>
          <w:rFonts w:cs="Times New Roman"/>
          <w:lang w:val="fr-CA"/>
        </w:rPr>
        <w:t>partie XVI dans le cas de deux engagements de ne pas troubler l’ordre public précis. Cette exclusion signifie donc que le législateur voulait que la partie XVI s’applique par ailleurs aux procédures d’engagement de ne pas troubler l’ordre public. Si le législateur voulait que la partie XVI ne s’applique pas au régime des engagements de ne pas troubler l’ordre public, le par. 507.1(9) serait inutile.</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Lorsque l’hon. Allan Rock, ministre de la Justice et procureur général, a présenté au Comité permanent de la justice et des questions juridiques le projet de loi qui renfermait la disposition sur l’engagement de ne pas troubler l’ordre public qui nous intéresse en l’espèce, il a expressément mentionné la décision rendue par la Cour supérieure de justice dans l’affaire </w:t>
      </w:r>
      <w:r w:rsidRPr="00EF0F72">
        <w:rPr>
          <w:rFonts w:cs="Times New Roman"/>
          <w:i/>
          <w:szCs w:val="24"/>
          <w:lang w:val="fr-CA"/>
        </w:rPr>
        <w:t>Budreo C.S.</w:t>
      </w:r>
      <w:r w:rsidRPr="00EF0F72">
        <w:rPr>
          <w:rFonts w:cs="Times New Roman"/>
          <w:szCs w:val="24"/>
          <w:lang w:val="fr-CA"/>
        </w:rPr>
        <w:t>, dans laquelle le juge Then avait déclaré que les dispositions relatives à la mise en liberté provisoire par voie judiciaire s’appliquaient aux procédures d’engagement de ne pas troubler l’ordre public :</w:t>
      </w:r>
    </w:p>
    <w:p w:rsidR="004965B0" w:rsidRPr="00EF0F72" w:rsidRDefault="004965B0" w:rsidP="004965B0">
      <w:pPr>
        <w:pStyle w:val="ParaNoNdepar-AltN"/>
        <w:numPr>
          <w:ilvl w:val="0"/>
          <w:numId w:val="0"/>
        </w:numPr>
        <w:tabs>
          <w:tab w:val="left" w:pos="1440"/>
        </w:tabs>
        <w:spacing w:before="0" w:after="240" w:line="240" w:lineRule="auto"/>
        <w:ind w:left="1170"/>
        <w:rPr>
          <w:rFonts w:cs="Times New Roman"/>
          <w:lang w:val="fr-CA"/>
        </w:rPr>
      </w:pPr>
      <w:r w:rsidRPr="00EF0F72">
        <w:rPr>
          <w:rFonts w:cs="Times New Roman"/>
          <w:lang w:val="fr-CA"/>
        </w:rPr>
        <w:tab/>
        <w:t>Après sa promulgation, le paragraphe 810.1 a été invoqué dans l’affaire d’un dénommé Wray Boudreo [</w:t>
      </w:r>
      <w:r w:rsidRPr="00EF0F72">
        <w:rPr>
          <w:rFonts w:cs="Times New Roman"/>
          <w:i/>
          <w:lang w:val="fr-CA"/>
        </w:rPr>
        <w:t>sic</w:t>
      </w:r>
      <w:r w:rsidR="008E1439">
        <w:rPr>
          <w:rFonts w:cs="Times New Roman"/>
          <w:lang w:val="fr-CA"/>
        </w:rPr>
        <w:t>]</w:t>
      </w:r>
      <w:r w:rsidRPr="00EF0F72">
        <w:rPr>
          <w:rFonts w:cs="Times New Roman"/>
          <w:lang w:val="fr-CA"/>
        </w:rPr>
        <w:t>.</w:t>
      </w:r>
    </w:p>
    <w:p w:rsidR="004965B0" w:rsidRPr="00EF0F72" w:rsidRDefault="004965B0" w:rsidP="004965B0">
      <w:pPr>
        <w:pStyle w:val="ParaNoNdepar-AltN"/>
        <w:numPr>
          <w:ilvl w:val="0"/>
          <w:numId w:val="0"/>
        </w:numPr>
        <w:tabs>
          <w:tab w:val="left" w:pos="1440"/>
        </w:tabs>
        <w:spacing w:before="0" w:after="240" w:line="240" w:lineRule="auto"/>
        <w:ind w:left="1170"/>
        <w:rPr>
          <w:rFonts w:cs="Times New Roman"/>
          <w:lang w:val="fr-CA"/>
        </w:rPr>
      </w:pPr>
      <w:r w:rsidRPr="00EF0F72">
        <w:rPr>
          <w:rFonts w:cs="Times New Roman"/>
          <w:lang w:val="fr-CA"/>
        </w:rPr>
        <w:lastRenderedPageBreak/>
        <w:tab/>
        <w:t>Le jugement de cette affaire a été rendu en janvier de cette année et nous en avons tenu compte dans les dispositions du paragraphe 810.2 du projet de loi C</w:t>
      </w:r>
      <w:r w:rsidRPr="00EF0F72">
        <w:rPr>
          <w:rFonts w:cs="Times New Roman"/>
          <w:lang w:val="fr-CA"/>
        </w:rPr>
        <w:noBreakHyphen/>
        <w:t>55.</w:t>
      </w:r>
    </w:p>
    <w:p w:rsidR="004965B0" w:rsidRPr="00EF0F72" w:rsidRDefault="004965B0" w:rsidP="00746D72">
      <w:pPr>
        <w:pStyle w:val="ParaNoNdepar-AltN"/>
        <w:numPr>
          <w:ilvl w:val="0"/>
          <w:numId w:val="0"/>
        </w:numPr>
        <w:spacing w:before="0" w:after="720" w:line="240" w:lineRule="auto"/>
        <w:rPr>
          <w:rFonts w:cs="Times New Roman"/>
          <w:lang w:val="fr-CA"/>
        </w:rPr>
      </w:pPr>
      <w:r w:rsidRPr="00EF0F72">
        <w:rPr>
          <w:rFonts w:cs="Times New Roman"/>
          <w:lang w:val="fr-CA"/>
        </w:rPr>
        <w:t>Chambre des communes, Comit</w:t>
      </w:r>
      <w:r w:rsidR="00746D72">
        <w:rPr>
          <w:rFonts w:cs="Times New Roman"/>
          <w:lang w:val="fr-CA"/>
        </w:rPr>
        <w:t>é permanent de la justice et</w:t>
      </w:r>
      <w:r w:rsidRPr="00EF0F72">
        <w:rPr>
          <w:rFonts w:cs="Times New Roman"/>
          <w:lang w:val="fr-CA"/>
        </w:rPr>
        <w:t xml:space="preserve"> questions juridiques, </w:t>
      </w:r>
      <w:r w:rsidRPr="00EF0F72">
        <w:rPr>
          <w:rFonts w:cs="Times New Roman"/>
          <w:i/>
          <w:iCs/>
          <w:lang w:val="fr-CA"/>
        </w:rPr>
        <w:t>Témoignages</w:t>
      </w:r>
      <w:r w:rsidRPr="00EF0F72">
        <w:rPr>
          <w:rFonts w:cs="Times New Roman"/>
          <w:iCs/>
          <w:lang w:val="fr-CA"/>
        </w:rPr>
        <w:t>,</w:t>
      </w:r>
      <w:r w:rsidRPr="00EF0F72">
        <w:rPr>
          <w:rFonts w:cs="Times New Roman"/>
          <w:lang w:val="fr-CA"/>
        </w:rPr>
        <w:t xml:space="preserve"> n</w:t>
      </w:r>
      <w:r w:rsidRPr="00EF0F72">
        <w:rPr>
          <w:rFonts w:cs="Times New Roman"/>
          <w:vertAlign w:val="superscript"/>
          <w:lang w:val="fr-CA"/>
        </w:rPr>
        <w:t>o</w:t>
      </w:r>
      <w:r w:rsidRPr="00EF0F72">
        <w:rPr>
          <w:rFonts w:cs="Times New Roman"/>
          <w:lang w:val="fr-CA"/>
        </w:rPr>
        <w:t> 88, 2</w:t>
      </w:r>
      <w:r w:rsidRPr="00EF0F72">
        <w:rPr>
          <w:rFonts w:cs="Times New Roman"/>
          <w:vertAlign w:val="superscript"/>
          <w:lang w:val="fr-CA"/>
        </w:rPr>
        <w:t>e </w:t>
      </w:r>
      <w:r w:rsidRPr="00EF0F72">
        <w:rPr>
          <w:rFonts w:cs="Times New Roman"/>
          <w:lang w:val="fr-CA"/>
        </w:rPr>
        <w:t>sess., 35</w:t>
      </w:r>
      <w:r w:rsidRPr="00EF0F72">
        <w:rPr>
          <w:rFonts w:cs="Times New Roman"/>
          <w:vertAlign w:val="superscript"/>
          <w:lang w:val="fr-CA"/>
        </w:rPr>
        <w:t>e</w:t>
      </w:r>
      <w:r w:rsidRPr="00EF0F72">
        <w:rPr>
          <w:rFonts w:cs="Times New Roman"/>
          <w:lang w:val="fr-CA"/>
        </w:rPr>
        <w:t> lég., 3 décembre 1996, p. 88:4 (l’hon. Allan Rock)</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Le législateur est présumé avoir connaissance de l’ensemble du droit pertinent (</w:t>
      </w:r>
      <w:r w:rsidRPr="00EF0F72">
        <w:rPr>
          <w:rFonts w:cs="Times New Roman"/>
          <w:i/>
          <w:szCs w:val="24"/>
          <w:lang w:val="fr-CA"/>
        </w:rPr>
        <w:t>2747</w:t>
      </w:r>
      <w:r w:rsidRPr="00EF0F72">
        <w:rPr>
          <w:rFonts w:cs="Times New Roman"/>
          <w:i/>
          <w:szCs w:val="24"/>
          <w:lang w:val="fr-CA"/>
        </w:rPr>
        <w:noBreakHyphen/>
        <w:t>3174</w:t>
      </w:r>
      <w:r w:rsidRPr="00EF0F72">
        <w:rPr>
          <w:rFonts w:cs="Times New Roman"/>
          <w:szCs w:val="24"/>
          <w:lang w:val="fr-CA"/>
        </w:rPr>
        <w:t xml:space="preserve"> </w:t>
      </w:r>
      <w:r w:rsidRPr="00EF0F72">
        <w:rPr>
          <w:rFonts w:cs="Times New Roman"/>
          <w:i/>
          <w:szCs w:val="24"/>
          <w:lang w:val="fr-CA"/>
        </w:rPr>
        <w:t>Québec Inc. c. Québec (Régie des permis d’alcool)</w:t>
      </w:r>
      <w:r w:rsidRPr="00EF0F72">
        <w:rPr>
          <w:rFonts w:cs="Times New Roman"/>
          <w:szCs w:val="24"/>
          <w:lang w:val="fr-CA"/>
        </w:rPr>
        <w:t xml:space="preserve">, [1996] 3 R.C.S. 919, par. 238). Dans le cas qui nous occupe, le fait que le procureur général a expressément mentionné et approuvé le jugement étoffé rendu par le juge Then dans l’affaire </w:t>
      </w:r>
      <w:r w:rsidRPr="00EF0F72">
        <w:rPr>
          <w:rFonts w:cs="Times New Roman"/>
          <w:i/>
          <w:szCs w:val="24"/>
          <w:lang w:val="fr-CA"/>
        </w:rPr>
        <w:t>Budreo C.S.</w:t>
      </w:r>
      <w:r w:rsidRPr="00EF0F72">
        <w:rPr>
          <w:rFonts w:cs="Times New Roman"/>
          <w:szCs w:val="24"/>
          <w:lang w:val="fr-CA"/>
        </w:rPr>
        <w:t xml:space="preserve"> confirme à mon avis que le législateur voulait que les dispositions de la partie XVI relatives à l’arrestation et à la mise en liberté provisoire par voie judiciaire s’appliquent aux procédures d’engagement de ne pas troubler l’ordre public.</w:t>
      </w:r>
    </w:p>
    <w:p w:rsidR="004965B0" w:rsidRPr="00EF0F72" w:rsidRDefault="004965B0" w:rsidP="004965B0">
      <w:pPr>
        <w:pStyle w:val="Title2LevelTitre2Niveau"/>
        <w:spacing w:before="0"/>
        <w:rPr>
          <w:rFonts w:cs="Times New Roman"/>
          <w:lang w:val="fr-CA"/>
        </w:rPr>
      </w:pPr>
      <w:bookmarkStart w:id="15" w:name="_Toc5970146"/>
      <w:r w:rsidRPr="00EF0F72">
        <w:rPr>
          <w:rFonts w:cs="Times New Roman"/>
          <w:lang w:val="fr-CA"/>
        </w:rPr>
        <w:t xml:space="preserve">Application adéquate de la partie XVI aux </w:t>
      </w:r>
      <w:r w:rsidRPr="00EF0F72">
        <w:rPr>
          <w:rFonts w:cs="Times New Roman"/>
          <w:szCs w:val="24"/>
          <w:lang w:val="fr-CA"/>
        </w:rPr>
        <w:t>procédures d’engagement de ne pas troubler l’ordre public</w:t>
      </w:r>
      <w:bookmarkEnd w:id="15"/>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Ayant conclu que, par le truchement des dispositions d’incorporation par renvoi que sont le par. 810(5) et l’art. 795, les dispositions de la partie XVI relatives à l’arrestation et à la mise en liberté provisoire par voie judiciaire s’appliquent aux procédures d’engagement de ne pas troubler l’ordre public, je passe maintenant à l’interprétation qu’il convient de donner à ces dispositions dans le contexte de telles procédures. Cette interprétation tient compte du contexte et de l’objet des engagements de ne pas troubler l’ordre public, ainsi que des intérêts contradictoires consistant, d’une part, à protéger le public et, d’autre part, à préserver la liberté du défendeur, qui n’est inculpé d’aucune infraction criminelle.</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lastRenderedPageBreak/>
        <w:t>Comme je l’ai déjà expliqué, l’engagement de ne pas troubler l’ordre public est un instrument de justice préventive fondé sur la crainte raisonnable du dénonciateur plutôt que sur la culpabilité du défendeur. Je suis d’accord avec l’intimé pour dire que, même s’il s’agit d’une expression valide du pouvoir de légiférer en matière de droit criminel, l’engagement de ne pas troubler l’ordre public s’apparente jusqu’à un certain point à une injonction civile (m.i., par. 8). Comme le</w:t>
      </w:r>
      <w:r>
        <w:rPr>
          <w:rFonts w:cs="Times New Roman"/>
          <w:szCs w:val="24"/>
          <w:lang w:val="fr-CA"/>
        </w:rPr>
        <w:t xml:space="preserve"> fait remarquer le juge </w:t>
      </w:r>
      <w:r w:rsidRPr="00EF0F72">
        <w:rPr>
          <w:rFonts w:cs="Times New Roman"/>
          <w:szCs w:val="24"/>
          <w:lang w:val="fr-CA"/>
        </w:rPr>
        <w:t xml:space="preserve">de la Cour provinciale de Villiers dans le jugement </w:t>
      </w:r>
      <w:r w:rsidRPr="00EF0F72">
        <w:rPr>
          <w:rFonts w:cs="Times New Roman"/>
          <w:i/>
          <w:szCs w:val="24"/>
          <w:lang w:val="fr-CA"/>
        </w:rPr>
        <w:t>R. c. Gill</w:t>
      </w:r>
      <w:r w:rsidRPr="00EF0F72">
        <w:rPr>
          <w:rFonts w:cs="Times New Roman"/>
          <w:szCs w:val="24"/>
          <w:lang w:val="fr-CA"/>
        </w:rPr>
        <w:t>, [1991] B.C.J. No. 3255 (QL) :</w:t>
      </w:r>
    </w:p>
    <w:p w:rsidR="004965B0" w:rsidRPr="00EF0F72" w:rsidRDefault="004965B0" w:rsidP="004965B0">
      <w:pPr>
        <w:pStyle w:val="Citation-AltC"/>
        <w:ind w:hanging="446"/>
        <w:contextualSpacing w:val="0"/>
        <w:rPr>
          <w:lang w:val="fr-CA"/>
        </w:rPr>
      </w:pPr>
      <w:r w:rsidRPr="00EF0F72">
        <w:rPr>
          <w:lang w:val="fr-CA"/>
        </w:rPr>
        <w:tab/>
        <w:t>[</w:t>
      </w:r>
      <w:r w:rsidRPr="00EF0F72">
        <w:rPr>
          <w:smallCaps/>
          <w:lang w:val="fr-CA"/>
        </w:rPr>
        <w:t>traduction</w:t>
      </w:r>
      <w:r w:rsidRPr="00EF0F72">
        <w:rPr>
          <w:lang w:val="fr-CA"/>
        </w:rPr>
        <w:t>] Il est vrai que cet engagement a pour effet de restreindre quelque peu la liberté du défendeur, mais, tout comme dans le cas d’une injonction civile qui empêche le défendeur de commettre un délit civil qui peut aussi être un crime, cet engagement ne constitue pas en soi une restriction à une activité licite. [p. 6]</w:t>
      </w:r>
    </w:p>
    <w:p w:rsidR="004965B0" w:rsidRPr="00EF0F72" w:rsidRDefault="004965B0" w:rsidP="004965B0">
      <w:pPr>
        <w:pStyle w:val="ContinueParaSuitedupar-AltP"/>
        <w:spacing w:before="0"/>
        <w:rPr>
          <w:rFonts w:cs="Times New Roman"/>
          <w:lang w:val="fr-CA"/>
        </w:rPr>
      </w:pPr>
      <w:r w:rsidRPr="00EF0F72">
        <w:rPr>
          <w:rFonts w:cs="Times New Roman"/>
          <w:lang w:val="fr-CA"/>
        </w:rPr>
        <w:t xml:space="preserve">Comme dans le cas d’une injonction civile, il y a souvent un sentiment d’urgence à faire instruire l’affaire et, lorsque la crainte est raisonnablement fondée, à imposer au défendeur des conditions au moyen d’un engagement dans le but de protéger le public. Lorsque l’audience sur le fond est reportée parce que le défendeur demande un ajournement pour pouvoir retenir les services d’un avocat ou lorsqu’il y a un retard inévitable, la crainte même visée par la dénonciation visant à obtenir un engagement de ne pas troubler l’ordre public risque d’être occultée dans l’intervalle. L’ajournement est susceptible d’aller à l’encontre de l’objet même de la demande (voir Neumann, p. 184). En fin de compte, il faut trouver un équilibre entre le droit à la liberté du défendeur qui fait l’objet d’une dénonciation visant à obtenir un engagement de ne pas troubler l’ordre public et les craintes relatives à la protection du public qui sont à l’origine de cette procédure. Par conséquent, l’application des dispositions relatives à l’arrestation et à la mise en liberté provisoire par voie judiciaire doit être guidée par les </w:t>
      </w:r>
      <w:r w:rsidRPr="00EF0F72">
        <w:rPr>
          <w:rFonts w:cs="Times New Roman"/>
          <w:lang w:val="fr-CA"/>
        </w:rPr>
        <w:lastRenderedPageBreak/>
        <w:t>objectifs de principe que constituent une justice rapide et efficace et une atteinte minimale à la liberté.</w:t>
      </w:r>
    </w:p>
    <w:p w:rsidR="004965B0" w:rsidRPr="00EF0F72" w:rsidRDefault="004965B0" w:rsidP="004965B0">
      <w:pPr>
        <w:pStyle w:val="Title3LevelTitre3Niveau"/>
        <w:spacing w:before="0"/>
        <w:rPr>
          <w:rFonts w:cs="Times New Roman"/>
          <w:lang w:val="fr-CA"/>
        </w:rPr>
      </w:pPr>
      <w:bookmarkStart w:id="16" w:name="_Toc5970148"/>
      <w:bookmarkStart w:id="17" w:name="_Toc5970147"/>
      <w:r w:rsidRPr="00EF0F72">
        <w:rPr>
          <w:rFonts w:cs="Times New Roman"/>
          <w:lang w:val="fr-CA"/>
        </w:rPr>
        <w:t>Un juge de paix peut faire comparaître les parties</w:t>
      </w:r>
      <w:bookmarkEnd w:id="16"/>
    </w:p>
    <w:bookmarkEnd w:id="17"/>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L’acte introductif d’instance d’une demande d’engagement de ne pas troubler l’ordre public est une dénonciation faite sous serment devant un juge de la cour provinciale (ou devant un juge de paix dans le cas d’un engagement visé à l’art. 810) par un dénonciateur qui a des motifs raisonnables de craindre la perpétration de certaines infractions (voir, p. ex., par. 810.2(1)). Trois des dispositions relatives à l’engagement de ne pas troubler l’ordre public exigent le consentement du procureur général (ou de son délégué) pour qu’une dénonciation puisse être déposée. Lorsque le procureur général estime que la plainte n’est pas fondée, il peut refuser d’exercer son pouvoir discrétionnaire, et le dossier est alors clos. Lorsque le procureur général donne son consentement — ou lorsque son consentement n’est pas requis —, le juge de paix qui reçoit la dénonciation peut faire comparaître les parties.</w:t>
      </w:r>
    </w:p>
    <w:p w:rsidR="004965B0" w:rsidRPr="00EF0F72" w:rsidRDefault="004965B0" w:rsidP="004965B0">
      <w:pPr>
        <w:pStyle w:val="ParaNoNdepar-AltN"/>
        <w:spacing w:before="0"/>
        <w:rPr>
          <w:rFonts w:cs="Times New Roman"/>
          <w:szCs w:val="24"/>
          <w:lang w:val="fr-CA"/>
        </w:rPr>
      </w:pPr>
      <w:r w:rsidRPr="00EF0F72">
        <w:rPr>
          <w:rFonts w:cs="Times New Roman"/>
          <w:lang w:val="fr-CA"/>
        </w:rPr>
        <w:t>Lorsqu’il exerce son pouvoir discrétionnaire afin de décider de l’opportunité de tenir ou non une audience, le juge de paix doit se demander si la crainte attestée dans la dénonciation est raisonnablement fondée.</w:t>
      </w:r>
      <w:r w:rsidRPr="00EF0F72">
        <w:rPr>
          <w:rFonts w:cs="Times New Roman"/>
          <w:szCs w:val="24"/>
          <w:lang w:val="fr-CA"/>
        </w:rPr>
        <w:t xml:space="preserve"> I</w:t>
      </w:r>
      <w:r w:rsidRPr="00EF0F72">
        <w:rPr>
          <w:rFonts w:cs="Times New Roman"/>
          <w:lang w:val="fr-CA"/>
        </w:rPr>
        <w:t>l a été porté à l’attention de la Cour que l’engagement de ne pas troubler l’ordre public prévu à l’art. 810.2 est un [</w:t>
      </w:r>
      <w:r w:rsidRPr="00EF0F72">
        <w:rPr>
          <w:rFonts w:cs="Times New Roman"/>
          <w:smallCaps/>
          <w:lang w:val="fr-CA"/>
        </w:rPr>
        <w:t>traduction</w:t>
      </w:r>
      <w:r w:rsidRPr="00EF0F72">
        <w:rPr>
          <w:rFonts w:cs="Times New Roman"/>
          <w:lang w:val="fr-CA"/>
        </w:rPr>
        <w:t xml:space="preserve">] « outil [. . .] souvent utilisé lorsque l’expiration du mandat d’un contrevenant approche » ou peu de temps après qu’une personne a terminé de purger sa peine d’emprisonnement, comme c’était le cas de M. Penunsi (m.i., procureure générale de l’Ontario, par. 13; voir également </w:t>
      </w:r>
      <w:r w:rsidRPr="00EF0F72">
        <w:rPr>
          <w:rFonts w:cs="Times New Roman"/>
          <w:i/>
          <w:iCs/>
          <w:lang w:val="fr-CA"/>
        </w:rPr>
        <w:t>R. c. Schafer</w:t>
      </w:r>
      <w:r w:rsidRPr="00EF0F72">
        <w:rPr>
          <w:rFonts w:cs="Times New Roman"/>
          <w:iCs/>
          <w:lang w:val="fr-CA"/>
        </w:rPr>
        <w:t xml:space="preserve">, </w:t>
      </w:r>
      <w:r w:rsidRPr="00EF0F72">
        <w:rPr>
          <w:rFonts w:cs="Times New Roman"/>
          <w:lang w:val="fr-CA"/>
        </w:rPr>
        <w:t>2018 YKTC 12, par. 38</w:t>
      </w:r>
      <w:r w:rsidRPr="00EF0F72">
        <w:rPr>
          <w:rFonts w:cs="Times New Roman"/>
          <w:lang w:val="fr-CA"/>
        </w:rPr>
        <w:noBreakHyphen/>
        <w:t xml:space="preserve">39). Entreprendre une procédure d’engagement de ne pas troubler l’ordre public </w:t>
      </w:r>
      <w:r w:rsidRPr="00EF0F72">
        <w:rPr>
          <w:rFonts w:cs="Times New Roman"/>
          <w:lang w:val="fr-CA"/>
        </w:rPr>
        <w:lastRenderedPageBreak/>
        <w:t xml:space="preserve">en vertu de l’art. 810.2 dès qu’une personne est libérée de prison risque d’entraîner une privation de liberté qui s’ajouterait au fait d’avoir purgé une peine déjà considérée comme proportionnée. Si aucune autre preuve ne permet de conclure que la crainte se concrétisera (par exemple, le fait pour le défendeur d’avoir proféré des menaces ou adopté un comportement violent pendant sa détention), une crainte fondée uniquement sur l’infraction pour laquelle le défendeur purge sa peine ne sera pas suffisante. Il ne serait pas approprié d’ordonner un engagement de ne pas troubler l’ordre public au titre de l’art. 810.2 sur cette base. L’engagement ferait alors office d’ordonnance de probation </w:t>
      </w:r>
      <w:r w:rsidRPr="00EF0F72">
        <w:rPr>
          <w:rFonts w:cs="Times New Roman"/>
          <w:i/>
          <w:lang w:val="fr-CA"/>
        </w:rPr>
        <w:t>de facto</w:t>
      </w:r>
      <w:r w:rsidRPr="00EF0F72">
        <w:rPr>
          <w:rFonts w:cs="Times New Roman"/>
          <w:lang w:val="fr-CA"/>
        </w:rPr>
        <w:t xml:space="preserve"> et non d’outil prospectif visant à favoriser la justice préventive.</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Après avoir exercé son pouvoir discrétionnaire pour faire comparaître les parties, le juge de paix passe à la partie XVI du </w:t>
      </w:r>
      <w:r w:rsidRPr="00EF0F72">
        <w:rPr>
          <w:rFonts w:cs="Times New Roman"/>
          <w:i/>
          <w:szCs w:val="24"/>
          <w:lang w:val="fr-CA"/>
        </w:rPr>
        <w:t>Code criminel</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La partie XVI [</w:t>
      </w:r>
      <w:r w:rsidRPr="00EF0F72">
        <w:rPr>
          <w:rFonts w:cs="Times New Roman"/>
          <w:smallCaps/>
          <w:szCs w:val="24"/>
          <w:lang w:val="fr-CA"/>
        </w:rPr>
        <w:t>traduction</w:t>
      </w:r>
      <w:r w:rsidRPr="00EF0F72">
        <w:rPr>
          <w:rFonts w:cs="Times New Roman"/>
          <w:szCs w:val="24"/>
          <w:lang w:val="fr-CA"/>
        </w:rPr>
        <w:t>] « crée une échelle de mesures de plus en plus coercitives » pour contraindre un défendeur à comparaître devant le tribunal (</w:t>
      </w:r>
      <w:r w:rsidRPr="00EF0F72">
        <w:rPr>
          <w:rFonts w:cs="Times New Roman"/>
          <w:i/>
          <w:szCs w:val="24"/>
          <w:lang w:val="fr-CA"/>
        </w:rPr>
        <w:t>Nowazek</w:t>
      </w:r>
      <w:r w:rsidRPr="00EF0F72">
        <w:rPr>
          <w:rFonts w:cs="Times New Roman"/>
          <w:szCs w:val="24"/>
          <w:lang w:val="fr-CA"/>
        </w:rPr>
        <w:t xml:space="preserve">, par. 58). À l’échelon le plus bas, on trouve une sommation ou une citation à comparaître délivrée par un agent de la paix (Formule 9 du </w:t>
      </w:r>
      <w:r w:rsidRPr="00EF0F72">
        <w:rPr>
          <w:rFonts w:cs="Times New Roman"/>
          <w:i/>
          <w:szCs w:val="24"/>
          <w:lang w:val="fr-CA"/>
        </w:rPr>
        <w:t>Code criminel</w:t>
      </w:r>
      <w:r w:rsidRPr="00EF0F72">
        <w:rPr>
          <w:rFonts w:cs="Times New Roman"/>
          <w:szCs w:val="24"/>
          <w:lang w:val="fr-CA"/>
        </w:rPr>
        <w:t xml:space="preserve">). À l’échelon suivant se trouvent l’arrestation et la mise en liberté par un fonctionnaire responsable sur promesse de comparaître ou engagement (art. 499). À l’échelon supérieur se trouvent la détention et la mise en liberté provisoire par voie judiciaire qui, comme je l’explique plus loin, doivent tenir compte de l’arrêt rendu par la Cour dans l’affaire </w:t>
      </w:r>
      <w:r w:rsidRPr="00EF0F72">
        <w:rPr>
          <w:rFonts w:cs="Times New Roman"/>
          <w:i/>
          <w:szCs w:val="24"/>
          <w:lang w:val="fr-CA"/>
        </w:rPr>
        <w:t>R. c. Antic</w:t>
      </w:r>
      <w:r w:rsidRPr="00EF0F72">
        <w:rPr>
          <w:rFonts w:cs="Times New Roman"/>
          <w:szCs w:val="24"/>
          <w:lang w:val="fr-CA"/>
        </w:rPr>
        <w:t>, 2017 CSC 27, [2017] 1 R.C.S. 509 (art. 515). Les paragraphes ci</w:t>
      </w:r>
      <w:r w:rsidRPr="00EF0F72">
        <w:rPr>
          <w:rFonts w:cs="Times New Roman"/>
          <w:szCs w:val="24"/>
          <w:lang w:val="fr-CA"/>
        </w:rPr>
        <w:noBreakHyphen/>
        <w:t>après constituent un guide pratique pour savoir comment et quand ces divers moyens devraient s’appliquer à l’égard du défendeur nommé dans une dénonciation visant à obtenir un engagement de ne pas troubler l’ordre public.</w:t>
      </w:r>
    </w:p>
    <w:p w:rsidR="004965B0" w:rsidRPr="00EF0F72" w:rsidRDefault="004965B0" w:rsidP="004965B0">
      <w:pPr>
        <w:pStyle w:val="Title4LevelTitre4Niveau"/>
        <w:spacing w:before="0"/>
        <w:rPr>
          <w:rFonts w:cs="Times New Roman"/>
          <w:lang w:val="fr-CA"/>
        </w:rPr>
      </w:pPr>
      <w:r w:rsidRPr="00EF0F72">
        <w:rPr>
          <w:rFonts w:cs="Times New Roman"/>
          <w:lang w:val="fr-CA"/>
        </w:rPr>
        <w:lastRenderedPageBreak/>
        <w:t>La sommation</w:t>
      </w:r>
    </w:p>
    <w:p w:rsidR="004965B0" w:rsidRPr="00EF0F72" w:rsidRDefault="004965B0" w:rsidP="004965B0">
      <w:pPr>
        <w:pStyle w:val="ParaNoNdepar-AltN"/>
        <w:spacing w:before="0"/>
        <w:rPr>
          <w:rFonts w:cs="Times New Roman"/>
          <w:lang w:val="fr-CA"/>
        </w:rPr>
      </w:pPr>
      <w:r w:rsidRPr="00EF0F72">
        <w:rPr>
          <w:rFonts w:cs="Times New Roman"/>
          <w:lang w:val="fr-CA"/>
        </w:rPr>
        <w:t>La procédure applicable par défaut pour contraindre une personne à comparaître réside dans la délivrance d’une sommation. Le paragraphe 507(4) dispose (avec les modifications nécessaires) que, à moins d’être convaincu, à la lumière des allégations ou des dépositions du dénonciateur, qu’il existe des motifs raisonnables de croire qu’il est nécessaire, dans l’intérêt public, de décerner un mandat pour l’arrestation du défendeur, le juge de paix</w:t>
      </w:r>
      <w:r w:rsidRPr="00EF0F72">
        <w:rPr>
          <w:rFonts w:cs="Times New Roman"/>
          <w:i/>
          <w:lang w:val="fr-CA"/>
        </w:rPr>
        <w:t xml:space="preserve"> décerne</w:t>
      </w:r>
      <w:r w:rsidRPr="00EF0F72">
        <w:rPr>
          <w:rFonts w:cs="Times New Roman"/>
          <w:lang w:val="fr-CA"/>
        </w:rPr>
        <w:t xml:space="preserve"> une sommation. Lorsqu’un mandat d’arrestation est décerné et exécuté, l’intéressé est, selon l’art. 503, conduit « devant un juge de paix pour </w:t>
      </w:r>
      <w:r w:rsidRPr="00EF0F72">
        <w:rPr>
          <w:rFonts w:cs="Times New Roman"/>
          <w:lang w:val="fr-CA"/>
        </w:rPr>
        <w:sym w:font="Symbol" w:char="F05B"/>
      </w:r>
      <w:r w:rsidRPr="00EF0F72">
        <w:rPr>
          <w:rFonts w:cs="Times New Roman"/>
          <w:lang w:val="fr-CA"/>
        </w:rPr>
        <w:t>être</w:t>
      </w:r>
      <w:r w:rsidRPr="00EF0F72">
        <w:rPr>
          <w:rFonts w:cs="Times New Roman"/>
          <w:lang w:val="fr-CA"/>
        </w:rPr>
        <w:sym w:font="Symbol" w:char="F05D"/>
      </w:r>
      <w:r w:rsidRPr="00EF0F72">
        <w:rPr>
          <w:rFonts w:cs="Times New Roman"/>
          <w:lang w:val="fr-CA"/>
        </w:rPr>
        <w:t xml:space="preserve"> trait[é] selon la loi ». Comme il est expliqué plus loin, une fois que la personne est « conduite devant un juge de paix », l’art. 515 s’applique (</w:t>
      </w:r>
      <w:r w:rsidRPr="00EF0F72">
        <w:rPr>
          <w:rFonts w:cs="Times New Roman"/>
          <w:i/>
          <w:lang w:val="fr-CA"/>
        </w:rPr>
        <w:t>Nowazek</w:t>
      </w:r>
      <w:r w:rsidRPr="00EF0F72">
        <w:rPr>
          <w:rFonts w:cs="Times New Roman"/>
          <w:lang w:val="fr-CA"/>
        </w:rPr>
        <w:t>,</w:t>
      </w:r>
      <w:r w:rsidRPr="00EF0F72">
        <w:rPr>
          <w:rFonts w:cs="Times New Roman"/>
          <w:i/>
          <w:lang w:val="fr-CA"/>
        </w:rPr>
        <w:t xml:space="preserve"> </w:t>
      </w:r>
      <w:r w:rsidRPr="00EF0F72">
        <w:rPr>
          <w:rFonts w:cs="Times New Roman"/>
          <w:lang w:val="fr-CA"/>
        </w:rPr>
        <w:t>par. 61).</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Lorsqu’un défendeur comparaît devant le juge de paix conformément à une sommation et que l’audience est reportée, le juge de paix n’a pas compétence pour imposer des conditions provisoires en attendant l’audience sur le fond. Je suis d’accord avec le juge Fitch lorsqu’il affirme ce qui suit :</w:t>
      </w:r>
    </w:p>
    <w:p w:rsidR="004965B0" w:rsidRPr="00EF0F72" w:rsidRDefault="004965B0" w:rsidP="004965B0">
      <w:pPr>
        <w:pStyle w:val="Citation-AltC"/>
        <w:spacing w:after="240"/>
        <w:ind w:hanging="446"/>
        <w:contextualSpacing w:val="0"/>
        <w:rPr>
          <w:lang w:val="fr-CA"/>
        </w:rPr>
      </w:pPr>
      <w:r w:rsidRPr="00EF0F72">
        <w:rPr>
          <w:lang w:val="fr-CA"/>
        </w:rPr>
        <w:tab/>
      </w:r>
      <w:r w:rsidRPr="00EF0F72">
        <w:rPr>
          <w:lang w:val="fr-CA"/>
        </w:rPr>
        <w:sym w:font="Symbol" w:char="F05B"/>
      </w:r>
      <w:r w:rsidRPr="00EF0F72">
        <w:rPr>
          <w:smallCaps/>
          <w:lang w:val="fr-CA"/>
        </w:rPr>
        <w:t>traduction</w:t>
      </w:r>
      <w:r w:rsidRPr="00EF0F72">
        <w:rPr>
          <w:lang w:val="fr-CA"/>
        </w:rPr>
        <w:sym w:font="Symbol" w:char="F05D"/>
      </w:r>
      <w:r w:rsidRPr="00EF0F72">
        <w:rPr>
          <w:lang w:val="fr-CA"/>
        </w:rPr>
        <w:t xml:space="preserve"> Le défendeur visé par une sommation n’est ni détenu ni « conduit devant un juge de paix ». En revanche, dans les affaires </w:t>
      </w:r>
      <w:r w:rsidRPr="00EF0F72">
        <w:rPr>
          <w:i/>
          <w:iCs/>
          <w:lang w:val="fr-CA"/>
        </w:rPr>
        <w:t>Allen</w:t>
      </w:r>
      <w:r w:rsidRPr="00EF0F72">
        <w:rPr>
          <w:iCs/>
          <w:lang w:val="fr-CA"/>
        </w:rPr>
        <w:t xml:space="preserve">, </w:t>
      </w:r>
      <w:r w:rsidRPr="00EF0F72">
        <w:rPr>
          <w:i/>
          <w:iCs/>
          <w:lang w:val="fr-CA"/>
        </w:rPr>
        <w:t>Wakelin</w:t>
      </w:r>
      <w:r w:rsidRPr="00EF0F72">
        <w:rPr>
          <w:iCs/>
          <w:lang w:val="fr-CA"/>
        </w:rPr>
        <w:t>,</w:t>
      </w:r>
      <w:r w:rsidRPr="00EF0F72">
        <w:rPr>
          <w:i/>
          <w:iCs/>
          <w:lang w:val="fr-CA"/>
        </w:rPr>
        <w:t xml:space="preserve"> Budreo</w:t>
      </w:r>
      <w:r w:rsidRPr="00EF0F72">
        <w:rPr>
          <w:lang w:val="fr-CA"/>
        </w:rPr>
        <w:t xml:space="preserve"> et </w:t>
      </w:r>
      <w:r w:rsidRPr="00EF0F72">
        <w:rPr>
          <w:i/>
          <w:iCs/>
          <w:lang w:val="fr-CA"/>
        </w:rPr>
        <w:t>Cachine</w:t>
      </w:r>
      <w:r w:rsidRPr="00EF0F72">
        <w:rPr>
          <w:iCs/>
          <w:lang w:val="fr-CA"/>
        </w:rPr>
        <w:t>,</w:t>
      </w:r>
      <w:r w:rsidRPr="00EF0F72">
        <w:rPr>
          <w:i/>
          <w:iCs/>
          <w:lang w:val="fr-CA"/>
        </w:rPr>
        <w:t xml:space="preserve"> </w:t>
      </w:r>
      <w:r w:rsidRPr="00EF0F72">
        <w:rPr>
          <w:lang w:val="fr-CA"/>
        </w:rPr>
        <w:t>les défendeurs avaient été arrêtés et, une fois qu’ils avaient été conduits devant un juge de paix, l’art. 515 régissait leur mise en liberté jusqu’à l’audition de la demande présentée par le ministère public en vue d’obtenir un engagement de ne pas troubler l’ordre public.</w:t>
      </w:r>
    </w:p>
    <w:p w:rsidR="004965B0" w:rsidRPr="00EF0F72" w:rsidRDefault="004965B0" w:rsidP="004075FD">
      <w:pPr>
        <w:pStyle w:val="Citation-AltC"/>
        <w:ind w:left="0"/>
        <w:contextualSpacing w:val="0"/>
        <w:rPr>
          <w:lang w:val="fr-CA"/>
        </w:rPr>
      </w:pPr>
      <w:r w:rsidRPr="00EF0F72">
        <w:rPr>
          <w:lang w:val="fr-CA"/>
        </w:rPr>
        <w:t>(</w:t>
      </w:r>
      <w:r w:rsidRPr="00EF0F72">
        <w:rPr>
          <w:i/>
          <w:lang w:val="fr-CA"/>
        </w:rPr>
        <w:t>Nowazek</w:t>
      </w:r>
      <w:r w:rsidRPr="00EF0F72">
        <w:rPr>
          <w:lang w:val="fr-CA"/>
        </w:rPr>
        <w:t>,</w:t>
      </w:r>
      <w:r w:rsidRPr="00EF0F72">
        <w:rPr>
          <w:i/>
          <w:lang w:val="fr-CA"/>
        </w:rPr>
        <w:t xml:space="preserve"> </w:t>
      </w:r>
      <w:r w:rsidRPr="00EF0F72">
        <w:rPr>
          <w:lang w:val="fr-CA"/>
        </w:rPr>
        <w:t xml:space="preserve">par. 88; voir également </w:t>
      </w:r>
      <w:r w:rsidRPr="00EF0F72">
        <w:rPr>
          <w:i/>
          <w:lang w:val="fr-CA"/>
        </w:rPr>
        <w:t>R. c. Goikhberg</w:t>
      </w:r>
      <w:r w:rsidRPr="00EF0F72">
        <w:rPr>
          <w:lang w:val="fr-CA"/>
        </w:rPr>
        <w:t>,</w:t>
      </w:r>
      <w:r w:rsidRPr="00EF0F72">
        <w:rPr>
          <w:i/>
          <w:lang w:val="fr-CA"/>
        </w:rPr>
        <w:t xml:space="preserve"> </w:t>
      </w:r>
      <w:r w:rsidRPr="00EF0F72">
        <w:rPr>
          <w:lang w:val="fr-CA"/>
        </w:rPr>
        <w:t xml:space="preserve">2014 QCCS 3891, par. 85 (CanLII); </w:t>
      </w:r>
      <w:r w:rsidRPr="00EF0F72">
        <w:rPr>
          <w:i/>
          <w:lang w:val="fr-CA"/>
        </w:rPr>
        <w:t xml:space="preserve">R. c. Hebert </w:t>
      </w:r>
      <w:r w:rsidRPr="00EF0F72">
        <w:rPr>
          <w:lang w:val="fr-CA"/>
        </w:rPr>
        <w:t>(1984), 54 R. N.</w:t>
      </w:r>
      <w:r w:rsidRPr="00EF0F72">
        <w:rPr>
          <w:lang w:val="fr-CA"/>
        </w:rPr>
        <w:noBreakHyphen/>
      </w:r>
      <w:r>
        <w:rPr>
          <w:lang w:val="fr-CA"/>
        </w:rPr>
        <w:t>B. (2e</w:t>
      </w:r>
      <w:r w:rsidRPr="00EF0F72">
        <w:rPr>
          <w:lang w:val="fr-CA"/>
        </w:rPr>
        <w:t>) 251 (C.A.).)</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Si l’on découvre des faits nouveaux après que la sommation a été décernée, notamment au cours de l’audience initiale, et que ces faits soulèvent des préoccupations </w:t>
      </w:r>
      <w:r w:rsidRPr="00EF0F72">
        <w:rPr>
          <w:rFonts w:cs="Times New Roman"/>
          <w:szCs w:val="24"/>
          <w:lang w:val="fr-CA"/>
        </w:rPr>
        <w:lastRenderedPageBreak/>
        <w:t xml:space="preserve">au sujet du risque que le défendeur présente pour le public ou des doutes quant à sa présence à l’audience, un mandat d’arrestation peut alors être demandé. Une fois que le défendeur a été </w:t>
      </w:r>
      <w:r>
        <w:rPr>
          <w:rFonts w:cs="Times New Roman"/>
          <w:szCs w:val="24"/>
          <w:lang w:val="fr-CA"/>
        </w:rPr>
        <w:t>arrêté, la c</w:t>
      </w:r>
      <w:r w:rsidRPr="00EF0F72">
        <w:rPr>
          <w:rFonts w:cs="Times New Roman"/>
          <w:szCs w:val="24"/>
          <w:lang w:val="fr-CA"/>
        </w:rPr>
        <w:t xml:space="preserve">our a compétence pour appliquer les dispositions relatives à la mise en liberté provisoire par voie judiciaire (voir, p. ex., </w:t>
      </w:r>
      <w:r w:rsidRPr="00EF0F72">
        <w:rPr>
          <w:rFonts w:cs="Times New Roman"/>
          <w:i/>
          <w:szCs w:val="24"/>
          <w:lang w:val="fr-CA"/>
        </w:rPr>
        <w:t>Budreo C.A.</w:t>
      </w:r>
      <w:r w:rsidRPr="00EF0F72">
        <w:rPr>
          <w:rFonts w:cs="Times New Roman"/>
          <w:szCs w:val="24"/>
          <w:lang w:val="fr-CA"/>
        </w:rPr>
        <w:t>). Cependant, la nécessité de l’arrestation doit être démontrée par la survenance d’un changement important; le simple fait qu’il y a report de l’audience ne suffira pas pour justifier la délivrance d’un mandat d’arrestation. Il faut encore satisfaire au test relatif à la délivrance d’un mandat au titre du par. 507(4), interprété en fonction de la situation unique du défendeur à une procédure d’engagement de ne pas troubler l’ordre public.</w:t>
      </w:r>
    </w:p>
    <w:p w:rsidR="004965B0" w:rsidRPr="00EF0F72" w:rsidRDefault="004965B0" w:rsidP="004965B0">
      <w:pPr>
        <w:pStyle w:val="Title4LevelTitre4Niveau"/>
        <w:spacing w:before="0"/>
        <w:rPr>
          <w:rFonts w:cs="Times New Roman"/>
          <w:lang w:val="fr-CA"/>
        </w:rPr>
      </w:pPr>
      <w:r w:rsidRPr="00EF0F72">
        <w:rPr>
          <w:rFonts w:cs="Times New Roman"/>
          <w:lang w:val="fr-CA"/>
        </w:rPr>
        <w:t>Le mandat d’arrestation</w:t>
      </w:r>
    </w:p>
    <w:p w:rsidR="004965B0" w:rsidRPr="00EF0F72" w:rsidRDefault="004965B0" w:rsidP="004965B0">
      <w:pPr>
        <w:pStyle w:val="ParaNoNdepar-AltN"/>
        <w:spacing w:before="0"/>
        <w:rPr>
          <w:rFonts w:cs="Times New Roman"/>
          <w:lang w:val="fr-CA"/>
        </w:rPr>
      </w:pPr>
      <w:r w:rsidRPr="00EF0F72">
        <w:rPr>
          <w:rFonts w:cs="Times New Roman"/>
          <w:lang w:val="fr-CA"/>
        </w:rPr>
        <w:t>Compte tenu de la situation unique du défendeur à une procédure d’engagement de ne pas troubler l’ordre public en tant que personne inculpée d’aucun crime, il incombe à toute personne associée au système judiciaire de veiller à ce que le défendeur ne soit pas privé de liberté, sauf en cas d’absolue nécessité. Ainsi que l’a expliqué le juge Iacobucci, dissident :</w:t>
      </w:r>
    </w:p>
    <w:p w:rsidR="004965B0" w:rsidRPr="00EF0F72" w:rsidRDefault="004965B0" w:rsidP="004965B0">
      <w:pPr>
        <w:pStyle w:val="Citation-AltC"/>
        <w:spacing w:after="240"/>
        <w:ind w:hanging="446"/>
        <w:contextualSpacing w:val="0"/>
        <w:rPr>
          <w:lang w:val="fr-CA"/>
        </w:rPr>
      </w:pPr>
      <w:r w:rsidRPr="00EF0F72">
        <w:rPr>
          <w:lang w:val="fr-CA"/>
        </w:rPr>
        <w:tab/>
        <w:t>La liberté du citoyen est au cœur d’une société libre et démocratique. La liberté perdue est perdue à jamais et le préjudice qui résulte de cette perte ne peut jamais être entièrement réparé. Par conséquent, dès qu’il existe un risque de perte de liberté, ne serait</w:t>
      </w:r>
      <w:r w:rsidRPr="00EF0F72">
        <w:rPr>
          <w:lang w:val="fr-CA"/>
        </w:rPr>
        <w:noBreakHyphen/>
        <w:t>ce que pour une seule journée, il nous incombe, en tant que membres d’une société libre et démocratique, de tout faire pour que notre système de justice réduise au minimum le risque de privation injustifiée de liberté.</w:t>
      </w:r>
    </w:p>
    <w:p w:rsidR="004965B0" w:rsidRPr="00EF0F72" w:rsidRDefault="004965B0" w:rsidP="0042518A">
      <w:pPr>
        <w:pStyle w:val="Citation-AltC"/>
        <w:ind w:left="0"/>
        <w:contextualSpacing w:val="0"/>
        <w:rPr>
          <w:lang w:val="en-US"/>
        </w:rPr>
      </w:pPr>
      <w:r w:rsidRPr="00EF0F72">
        <w:rPr>
          <w:lang w:val="en-US"/>
        </w:rPr>
        <w:t>(</w:t>
      </w:r>
      <w:r w:rsidRPr="00EF0F72">
        <w:rPr>
          <w:i/>
          <w:lang w:val="en-US"/>
        </w:rPr>
        <w:t>R. c. Hall</w:t>
      </w:r>
      <w:r w:rsidRPr="00EF0F72">
        <w:rPr>
          <w:lang w:val="en-US"/>
        </w:rPr>
        <w:t>,</w:t>
      </w:r>
      <w:r w:rsidRPr="00EF0F72">
        <w:rPr>
          <w:i/>
          <w:lang w:val="en-US"/>
        </w:rPr>
        <w:t xml:space="preserve"> </w:t>
      </w:r>
      <w:r w:rsidRPr="00EF0F72">
        <w:rPr>
          <w:lang w:val="en-US"/>
        </w:rPr>
        <w:t>2002 CSC 64, [2002] 3 R.C.S. 309, par. 47)</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Le juge de paix saisi d’une dénonciation peut décerner un mandat pour l’arrestation du défendeur s’il estime qu’il existe « des motifs raisonnables de croire </w:t>
      </w:r>
      <w:r w:rsidRPr="00EF0F72">
        <w:rPr>
          <w:rFonts w:cs="Times New Roman"/>
          <w:szCs w:val="24"/>
          <w:lang w:val="fr-CA"/>
        </w:rPr>
        <w:lastRenderedPageBreak/>
        <w:t xml:space="preserve">qu’il est nécessaire, dans l’intérêt public », de le faire. Cette expression doit être interprétée à la lumière du contexte (où l’intéressé n’est pas soupçonné d’avoir commis une infraction criminelle) et de l’objet (faire comparaître l’intéressé à une audience) de la disposition applicable dans le cadre du régime des engagements de ne pas troubler l’ordre public. Je suis d’accord avec les cours d’appel qui ont rendu les arrêts </w:t>
      </w:r>
      <w:r w:rsidRPr="00EF0F72">
        <w:rPr>
          <w:rFonts w:cs="Times New Roman"/>
          <w:i/>
          <w:szCs w:val="24"/>
          <w:lang w:val="fr-CA"/>
        </w:rPr>
        <w:t xml:space="preserve">Budreo C.A. </w:t>
      </w:r>
      <w:r w:rsidRPr="00EF0F72">
        <w:rPr>
          <w:rFonts w:cs="Times New Roman"/>
          <w:szCs w:val="24"/>
          <w:lang w:val="fr-CA"/>
        </w:rPr>
        <w:t xml:space="preserve">et </w:t>
      </w:r>
      <w:r w:rsidRPr="00EF0F72">
        <w:rPr>
          <w:rFonts w:cs="Times New Roman"/>
          <w:i/>
          <w:szCs w:val="24"/>
          <w:lang w:val="fr-CA"/>
        </w:rPr>
        <w:t>Nowazek</w:t>
      </w:r>
      <w:r w:rsidR="00245E5C">
        <w:rPr>
          <w:rFonts w:cs="Times New Roman"/>
          <w:szCs w:val="24"/>
          <w:lang w:val="fr-CA"/>
        </w:rPr>
        <w:t xml:space="preserve"> lorsqu’elles affirment que</w:t>
      </w:r>
    </w:p>
    <w:p w:rsidR="004965B0" w:rsidRPr="00EF0F72" w:rsidRDefault="004965B0" w:rsidP="004965B0">
      <w:pPr>
        <w:pStyle w:val="Citation-AltC"/>
        <w:spacing w:after="240"/>
        <w:ind w:hanging="446"/>
        <w:contextualSpacing w:val="0"/>
        <w:rPr>
          <w:lang w:val="fr-CA"/>
        </w:rPr>
      </w:pPr>
      <w:r w:rsidRPr="00EF0F72">
        <w:rPr>
          <w:lang w:val="fr-CA"/>
        </w:rPr>
        <w:tab/>
      </w:r>
      <w:r w:rsidRPr="00EF0F72">
        <w:rPr>
          <w:lang w:val="fr-CA"/>
        </w:rPr>
        <w:sym w:font="Symbol" w:char="F05B"/>
      </w:r>
      <w:r w:rsidRPr="00EF0F72">
        <w:rPr>
          <w:smallCaps/>
          <w:lang w:val="fr-CA"/>
        </w:rPr>
        <w:t>traduction</w:t>
      </w:r>
      <w:r w:rsidRPr="00EF0F72">
        <w:rPr>
          <w:lang w:val="fr-CA"/>
        </w:rPr>
        <w:sym w:font="Symbol" w:char="F05D"/>
      </w:r>
      <w:r w:rsidR="00245E5C">
        <w:rPr>
          <w:lang w:val="fr-CA"/>
        </w:rPr>
        <w:t xml:space="preserve"> </w:t>
      </w:r>
      <w:r w:rsidR="008E1439">
        <w:rPr>
          <w:lang w:val="fr-CA"/>
        </w:rPr>
        <w:t>« [l</w:t>
      </w:r>
      <w:r w:rsidRPr="00EF0F72">
        <w:rPr>
          <w:lang w:val="fr-CA"/>
        </w:rPr>
        <w:t xml:space="preserve">es situations dans lesquelles il sera] nécessaire, dans l’intérêt public » de décerner un mandat d’arrestation se limiteront aux cas où cette mesure s’impose pour préserver l’intégrité de l’instance [relative à l’engagement de ne pas troubler l’ordre public]. </w:t>
      </w:r>
      <w:r w:rsidRPr="00EF0F72">
        <w:rPr>
          <w:u w:val="single"/>
          <w:lang w:val="fr-CA"/>
        </w:rPr>
        <w:t>Il en sera ainsi uniquement lorsque le dénonciateur a établi que le défendeur ne comparaîtra pas devant le tribunal si cette mesure n’est pas prise ou qu’il présente un risque imminent</w:t>
      </w:r>
      <w:r w:rsidRPr="00EF0F72">
        <w:rPr>
          <w:lang w:val="fr-CA"/>
        </w:rPr>
        <w:t xml:space="preserve"> </w:t>
      </w:r>
      <w:r w:rsidR="00FE01B3">
        <w:rPr>
          <w:lang w:val="fr-CA"/>
        </w:rPr>
        <w:t>. . </w:t>
      </w:r>
      <w:r w:rsidRPr="00EF0F72">
        <w:rPr>
          <w:lang w:val="fr-CA"/>
        </w:rPr>
        <w:t>.</w:t>
      </w:r>
    </w:p>
    <w:p w:rsidR="004965B0" w:rsidRPr="00EF0F72" w:rsidRDefault="004965B0" w:rsidP="00CE7772">
      <w:pPr>
        <w:pStyle w:val="Citation-AltC"/>
        <w:ind w:left="0"/>
        <w:contextualSpacing w:val="0"/>
        <w:rPr>
          <w:lang w:val="fr-CA"/>
        </w:rPr>
      </w:pPr>
      <w:r w:rsidRPr="00EF0F72">
        <w:rPr>
          <w:lang w:val="fr-CA"/>
        </w:rPr>
        <w:t>(</w:t>
      </w:r>
      <w:r w:rsidRPr="00EF0F72">
        <w:rPr>
          <w:i/>
          <w:lang w:val="fr-CA"/>
        </w:rPr>
        <w:t>Nowazek</w:t>
      </w:r>
      <w:r w:rsidRPr="00EF0F72">
        <w:rPr>
          <w:lang w:val="fr-CA"/>
        </w:rPr>
        <w:t xml:space="preserve">, par. 82 (je souligne), citant </w:t>
      </w:r>
      <w:r w:rsidRPr="00EF0F72">
        <w:rPr>
          <w:i/>
          <w:lang w:val="fr-CA"/>
        </w:rPr>
        <w:t>Budreo</w:t>
      </w:r>
      <w:r w:rsidRPr="00EF0F72">
        <w:rPr>
          <w:lang w:val="fr-CA"/>
        </w:rPr>
        <w:t xml:space="preserve"> </w:t>
      </w:r>
      <w:r w:rsidRPr="00EF0F72">
        <w:rPr>
          <w:i/>
          <w:lang w:val="fr-CA"/>
        </w:rPr>
        <w:t>C.A.</w:t>
      </w:r>
      <w:r w:rsidRPr="00EF0F72">
        <w:rPr>
          <w:lang w:val="fr-CA"/>
        </w:rPr>
        <w:t xml:space="preserve">, par. 66. Voir également </w:t>
      </w:r>
      <w:r w:rsidRPr="00EF0F72">
        <w:rPr>
          <w:i/>
          <w:lang w:val="fr-CA"/>
        </w:rPr>
        <w:t>Cachine</w:t>
      </w:r>
      <w:r w:rsidRPr="00EF0F72">
        <w:rPr>
          <w:lang w:val="fr-CA"/>
        </w:rPr>
        <w:t>, par. 26.)</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Pour établir s’il existe un risque que le défendeur ne se conforme pas à une sommation, il est utile de s’inspirer des facteurs habituels dont on tient compte pour établir le motif principal justifiant la détention avant le procès. Si le défendeur n’a pas tissé de liens avec la collectivité ou si son casier judiciaire révèle qu’il a, par le passé, omis de se présenter devant le tribunal, il s’agirait là d’éléments qui militent fortement en faveur de la délivrance d’un mandat d’arrestation contre lui (voir, p. ex., </w:t>
      </w:r>
      <w:r w:rsidRPr="00EF0F72">
        <w:rPr>
          <w:rFonts w:cs="Times New Roman"/>
          <w:i/>
          <w:szCs w:val="24"/>
          <w:lang w:val="fr-CA"/>
        </w:rPr>
        <w:t>R. c. Hall</w:t>
      </w:r>
      <w:r w:rsidRPr="00EF0F72">
        <w:rPr>
          <w:rFonts w:cs="Times New Roman"/>
          <w:szCs w:val="24"/>
          <w:lang w:val="fr-CA"/>
        </w:rPr>
        <w:t xml:space="preserve"> (1996), 138 Nfld. &amp; P.E.I.R. 80 (C.A.); </w:t>
      </w:r>
      <w:r w:rsidRPr="00EF0F72">
        <w:rPr>
          <w:rFonts w:cs="Times New Roman"/>
          <w:i/>
          <w:szCs w:val="24"/>
          <w:lang w:val="fr-CA"/>
        </w:rPr>
        <w:t>R. c. Walsh</w:t>
      </w:r>
      <w:r w:rsidRPr="00EF0F72">
        <w:rPr>
          <w:rFonts w:cs="Times New Roman"/>
          <w:szCs w:val="24"/>
          <w:lang w:val="fr-CA"/>
        </w:rPr>
        <w:t>, 2015 ABCA 385, par. 6 (CanLII)).</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 xml:space="preserve">Lorsque rien n’indique que le défendeur ne se conformera pas à une sommation l’obligeant à comparaître devant le tribunal, le juge de paix doit être convaincu de l’existence d’un risque imminent que soit causé le préjudice envisagé par la disposition pertinente concernant l’engagement de ne pas troubler l’ordre public </w:t>
      </w:r>
      <w:r w:rsidRPr="00EF0F72">
        <w:rPr>
          <w:rFonts w:cs="Times New Roman"/>
          <w:szCs w:val="24"/>
          <w:lang w:val="fr-CA"/>
        </w:rPr>
        <w:lastRenderedPageBreak/>
        <w:t xml:space="preserve">avant de décerner un mandat d’arrestation. Par exemple, lorsqu’une dénonciation est déposée en vertu du par. 810.2(1), il doit y avoir un risque imminent que des sévices graves soient causés à autrui avant qu’un mandat d’arrestation puisse être décerné. Afin que le juge de paix soit convaincu que le défendeur présente un risque imminent, le dénonciateur ou le poursuivant doit pouvoir établir avec suffisamment de précision les caractéristiques spécifiques du risque en question. Un risque imminent n’est pas un risque généralisé fondé sur les antécédents du défendeur. Un risque imminent est un risque urgent ou immédiat. Même si les dispositions relatives aux engagements de ne pas troubler l’ordre public n’exigent pas toutes que le dénonciateur précise l’identité de la victime de la violence redoutée, il est difficile d’imaginer une situation dans laquelle il serait possible d’établir l’existence d’un risque imminent sans faire mention, aux fins de la délivrance d’un mandat d’arrestation, d’une personne ou d’un groupe de personnes identifiables qui sont exposées au risque de subir des sévices (voir </w:t>
      </w:r>
      <w:r w:rsidRPr="00EF0F72">
        <w:rPr>
          <w:rFonts w:cs="Times New Roman"/>
          <w:i/>
          <w:szCs w:val="24"/>
          <w:lang w:val="fr-CA"/>
        </w:rPr>
        <w:t>Smith c. Jones</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[1999] 1 R.C.S. 455, par. 84, au sujet de ce qui constitue un risque imminent dans le contexte de l’exception relative à la sécurité publique au privilège du secret professionnel de l’avocat).</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Lorsque l’un ou l’autre de ces éléments est établi selon la prépondérance des probabilités, le juge peut décerner un mandat d’arrestation contre le défendeur.</w:t>
      </w:r>
    </w:p>
    <w:p w:rsidR="004965B0" w:rsidRPr="00EF0F72" w:rsidRDefault="004965B0" w:rsidP="004965B0">
      <w:pPr>
        <w:pStyle w:val="Title5LevelTitre5Niveau"/>
        <w:numPr>
          <w:ilvl w:val="0"/>
          <w:numId w:val="0"/>
        </w:numPr>
        <w:ind w:left="1728" w:hanging="288"/>
        <w:rPr>
          <w:rFonts w:cs="Times New Roman"/>
          <w:lang w:val="fr-CA"/>
        </w:rPr>
      </w:pPr>
      <w:r w:rsidRPr="00EF0F72">
        <w:rPr>
          <w:rFonts w:cs="Times New Roman"/>
          <w:u w:val="none"/>
          <w:lang w:val="fr-CA"/>
        </w:rPr>
        <w:tab/>
      </w:r>
      <w:r w:rsidRPr="00EF0F72">
        <w:rPr>
          <w:rFonts w:cs="Times New Roman"/>
          <w:lang w:val="fr-CA"/>
        </w:rPr>
        <w:t>Mise en liberté par un agent de la paix</w:t>
      </w:r>
    </w:p>
    <w:p w:rsidR="004965B0" w:rsidRPr="00EF0F72" w:rsidRDefault="004965B0" w:rsidP="004965B0">
      <w:pPr>
        <w:pStyle w:val="ParaNoNdepar-AltN"/>
        <w:spacing w:before="0"/>
        <w:rPr>
          <w:rFonts w:cs="Times New Roman"/>
          <w:szCs w:val="24"/>
          <w:lang w:val="fr-CA"/>
        </w:rPr>
      </w:pPr>
      <w:r w:rsidRPr="00EF0F72">
        <w:rPr>
          <w:rFonts w:cs="Times New Roman"/>
          <w:szCs w:val="24"/>
          <w:lang w:val="fr-CA"/>
        </w:rPr>
        <w:t>Bien que l’arrestation d’une personne porte foncièrement atteinte à sa liberté, cette atteinte devrait être minimisée le plus possible. Selon le par. 507(6), le juge de paix qui décerne un mandat d’arrestation peut revêtir celui</w:t>
      </w:r>
      <w:r w:rsidRPr="00EF0F72">
        <w:rPr>
          <w:rFonts w:cs="Times New Roman"/>
          <w:szCs w:val="24"/>
          <w:lang w:val="fr-CA"/>
        </w:rPr>
        <w:noBreakHyphen/>
        <w:t xml:space="preserve">ci d’un visa autorisant un agent de la paix à mettre en liberté le défendeur sous réserve de certaines </w:t>
      </w:r>
      <w:r w:rsidRPr="00EF0F72">
        <w:rPr>
          <w:rFonts w:cs="Times New Roman"/>
          <w:szCs w:val="24"/>
          <w:lang w:val="fr-CA"/>
        </w:rPr>
        <w:lastRenderedPageBreak/>
        <w:t>conditions ou sur remise d’une promesse (par. 507(6) et art. 499). L’engagement contracté devant « un fonctionnaire responsable » au titre de l’art. 499 est un mécanisme auquel il est possible de recourir pour réaliser l’objet de l’engagement de ne pas troubler l’ordre public (en assujettissant le défendeur à des conditions provisoires jusqu’à l’audience sur le fond), tout en minimisant l’atteinte à la liberté du défendeur.</w:t>
      </w:r>
    </w:p>
    <w:p w:rsidR="004965B0" w:rsidRPr="00EF0F72" w:rsidRDefault="004965B0" w:rsidP="004965B0">
      <w:pPr>
        <w:pStyle w:val="ParaNoNdepar-AltN"/>
        <w:rPr>
          <w:rFonts w:cs="Times New Roman"/>
          <w:szCs w:val="24"/>
          <w:lang w:val="fr-CA"/>
        </w:rPr>
      </w:pPr>
      <w:r w:rsidRPr="00EF0F72">
        <w:rPr>
          <w:rFonts w:cs="Times New Roman"/>
          <w:szCs w:val="24"/>
          <w:lang w:val="fr-CA"/>
        </w:rPr>
        <w:t>Les conditions qu’impose l’agent de la paix au défendeur devraient être fondées sur les principes ci</w:t>
      </w:r>
      <w:r w:rsidRPr="00EF0F72">
        <w:rPr>
          <w:rFonts w:cs="Times New Roman"/>
          <w:szCs w:val="24"/>
          <w:lang w:val="fr-CA"/>
        </w:rPr>
        <w:noBreakHyphen/>
        <w:t xml:space="preserve">après exposés à l’égard de la mise en liberté provisoire par voie judiciaire. Lorsque le défendeur est insatisfait des conditions d’une promesse imposées par un agent de la paix, il peut, aux termes du par. 515(1), demander à un juge de paix d’y substituer d’autres conditions (par. 499(3)). </w:t>
      </w:r>
    </w:p>
    <w:p w:rsidR="004965B0" w:rsidRPr="00EF0F72" w:rsidRDefault="004965B0" w:rsidP="004965B0">
      <w:pPr>
        <w:pStyle w:val="Title4LevelTitre4Niveau"/>
        <w:spacing w:before="0"/>
        <w:rPr>
          <w:rFonts w:cs="Times New Roman"/>
          <w:lang w:val="fr-CA"/>
        </w:rPr>
      </w:pPr>
      <w:r w:rsidRPr="00EF0F72">
        <w:rPr>
          <w:rFonts w:cs="Times New Roman"/>
          <w:szCs w:val="24"/>
          <w:lang w:val="fr-CA"/>
        </w:rPr>
        <w:t>La mise en liberté provisoire par voie judiciaire</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Dans les rares cas où un défendeur à une procédure d’engagement de ne pas troubler l’ordre public est arrêté et détenu en vue d’une enquête sur sa mise en liberté sous caution, les dispositions relatives à la mise en liberté provisoire par voie judiciaire visées à l’art. 515 mettent en place le mécanisme permettant de libérer le défendeur. Lorsqu’on applique ces dispositions, on doit tenir dûment compte de la nécessité d’assurer la présence du prévenu à l’audience relative à la demande d’engagement de ne pas troubler l’ordre public, tout en veillant au respect du but ultime du régime qui s’applique à celui</w:t>
      </w:r>
      <w:r w:rsidRPr="00EF0F72">
        <w:rPr>
          <w:rFonts w:cs="Times New Roman"/>
          <w:szCs w:val="24"/>
          <w:lang w:val="fr-CA"/>
        </w:rPr>
        <w:noBreakHyphen/>
        <w:t>ci : assujettir le défendeur à un engagement lorsque le dénonciateur a des motifs raisonnables de craindre que le défendeur cause certains préjudices.</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lastRenderedPageBreak/>
        <w:t xml:space="preserve">À l’instar de la juridiction inférieure, je conviens </w:t>
      </w:r>
      <w:r w:rsidRPr="00EF0F72">
        <w:rPr>
          <w:rFonts w:cs="Times New Roman"/>
          <w:szCs w:val="24"/>
          <w:lang w:val="fr-CA"/>
        </w:rPr>
        <w:sym w:font="Symbol" w:char="F05B"/>
      </w:r>
      <w:r w:rsidRPr="00EF0F72">
        <w:rPr>
          <w:rFonts w:cs="Times New Roman"/>
          <w:smallCaps/>
          <w:szCs w:val="24"/>
          <w:lang w:val="fr-CA"/>
        </w:rPr>
        <w:t>traduction</w:t>
      </w:r>
      <w:r w:rsidRPr="00EF0F72">
        <w:rPr>
          <w:rFonts w:cs="Times New Roman"/>
          <w:szCs w:val="24"/>
          <w:lang w:val="fr-CA"/>
        </w:rPr>
        <w:sym w:font="Symbol" w:char="F05D"/>
      </w:r>
      <w:r w:rsidRPr="00EF0F72">
        <w:rPr>
          <w:rFonts w:cs="Times New Roman"/>
          <w:szCs w:val="24"/>
          <w:lang w:val="fr-CA"/>
        </w:rPr>
        <w:t xml:space="preserve"> « </w:t>
      </w:r>
      <w:r w:rsidR="00FE01B3" w:rsidRPr="00EF0F72">
        <w:rPr>
          <w:rFonts w:cs="Times New Roman"/>
          <w:szCs w:val="24"/>
          <w:lang w:val="fr-CA"/>
        </w:rPr>
        <w:sym w:font="Symbol" w:char="F05B"/>
      </w:r>
      <w:r w:rsidR="00FE01B3" w:rsidRPr="00EF0F72">
        <w:rPr>
          <w:rFonts w:cs="Times New Roman"/>
          <w:szCs w:val="24"/>
          <w:lang w:val="fr-CA"/>
        </w:rPr>
        <w:t>qu’</w:t>
      </w:r>
      <w:r w:rsidR="00FE01B3" w:rsidRPr="00EF0F72">
        <w:rPr>
          <w:rFonts w:cs="Times New Roman"/>
          <w:szCs w:val="24"/>
          <w:lang w:val="fr-CA"/>
        </w:rPr>
        <w:sym w:font="Symbol" w:char="F05D"/>
      </w:r>
      <w:r w:rsidR="00FE01B3">
        <w:rPr>
          <w:rFonts w:cs="Times New Roman"/>
          <w:szCs w:val="24"/>
          <w:lang w:val="fr-CA"/>
        </w:rPr>
        <w:t xml:space="preserve"> </w:t>
      </w:r>
      <w:r w:rsidRPr="00EF0F72">
        <w:rPr>
          <w:rFonts w:cs="Times New Roman"/>
          <w:szCs w:val="24"/>
          <w:lang w:val="fr-CA"/>
        </w:rPr>
        <w:t xml:space="preserve">un processus qui a pour effet de restreindre la liberté d’un défendeur davantage avant qu’après l’audience est à la fois absurde et illogique » (par. 58, citant </w:t>
      </w:r>
      <w:r w:rsidRPr="00EF0F72">
        <w:rPr>
          <w:rFonts w:cs="Times New Roman"/>
          <w:i/>
          <w:szCs w:val="24"/>
          <w:lang w:val="fr-CA"/>
        </w:rPr>
        <w:t>MacAusland</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par. 33). Étant donné que les dispositions de la partie XVI s’appliquent « dans la mesure où elles ne sont pas incompatibles » avec le régime des engagements de ne pas troubler l’ordre public, les conditions provisoires pouvant être imposées au titre de l’art. 515 sont forcément restreintes. Le fait d’imposer à un défendeur, afin de protéger le public contre un risque donné, des conditions plus restrictives que celles qui pourraient lui être imposées à l’issue de l’audition au fond de la demande d’engagement de ne pas troubler l’ordre public irait à l’encontre des dispositions relatives à ce régime.</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 xml:space="preserve">Les directives que la Cour a données dans l’arrêt </w:t>
      </w:r>
      <w:r w:rsidRPr="00EF0F72">
        <w:rPr>
          <w:rFonts w:cs="Times New Roman"/>
          <w:i/>
          <w:szCs w:val="24"/>
          <w:lang w:val="fr-CA"/>
        </w:rPr>
        <w:t xml:space="preserve">Antic </w:t>
      </w:r>
      <w:r w:rsidRPr="00EF0F72">
        <w:rPr>
          <w:rFonts w:cs="Times New Roman"/>
          <w:szCs w:val="24"/>
          <w:lang w:val="fr-CA"/>
        </w:rPr>
        <w:t>doivent également s’appliquer dans le contexte des engagements de ne pas troubler l’ordre public, en ce sens qu’il faut tenir compte du « principe de l’échelle » codifié au par. 515(3). La solution par défaut consiste à accorder la mise en liberté sur remise d’une promesse sans condition, à moins que le poursuivant (ou le dénonciateur, lorsque le procureur général ne s’est pas chargé de l’affaire) ne puisse justifier qu’une ordonnance assortie de conditions plus sévères devrait être rendue (</w:t>
      </w:r>
      <w:r w:rsidRPr="00EF0F72">
        <w:rPr>
          <w:rFonts w:cs="Times New Roman"/>
          <w:i/>
          <w:szCs w:val="24"/>
          <w:lang w:val="fr-CA"/>
        </w:rPr>
        <w:t>Antic</w:t>
      </w:r>
      <w:r w:rsidRPr="00EF0F72">
        <w:rPr>
          <w:rFonts w:cs="Times New Roman"/>
          <w:szCs w:val="24"/>
          <w:lang w:val="fr-CA"/>
        </w:rPr>
        <w:t>, par. 29).</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 xml:space="preserve">Pour qu’une condition soit considérée comme raisonnable, il faut qu’il existe un lien entre la condition en question et le fait d’assurer la présence du défendeur devant le tribunal ou la conduite redoutée attestée dans la dénonciation. Lorsque le ministère public ou le dénonciateur a établi qu’il est nécessaire d’imposer des conditions au défendeur afin d’assurer sa présence devant le tribunal, les principes </w:t>
      </w:r>
      <w:r w:rsidRPr="00EF0F72">
        <w:rPr>
          <w:rFonts w:cs="Times New Roman"/>
          <w:szCs w:val="24"/>
          <w:lang w:val="fr-CA"/>
        </w:rPr>
        <w:lastRenderedPageBreak/>
        <w:t xml:space="preserve">énoncés dans l’arrêt </w:t>
      </w:r>
      <w:r w:rsidRPr="00EF0F72">
        <w:rPr>
          <w:rFonts w:cs="Times New Roman"/>
          <w:i/>
          <w:szCs w:val="24"/>
          <w:lang w:val="fr-CA"/>
        </w:rPr>
        <w:t xml:space="preserve">Antic </w:t>
      </w:r>
      <w:r w:rsidRPr="00EF0F72">
        <w:rPr>
          <w:rFonts w:cs="Times New Roman"/>
          <w:szCs w:val="24"/>
          <w:lang w:val="fr-CA"/>
        </w:rPr>
        <w:t>devraient en guider l’imposition, à la lumière du « motif principal » justifiant la détention prévu à l’al. 515(10)a).</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Les conditions provisoires imposées au défendeur en lien avec la crainte attestée dans la dénonciation ne devraient pas être plus sévères que celles prévues par la disposition relative à l’engagement de ne pas troubler l’ordre public en vertu de laquelle la dénonciation a été faite et, dans la plupart des cas, elles devraient être moins sévères. Selon l’art. 515, les conditions dont est assortie la mise en liberté provisoire par voie judiciaire ne doivent pas « être plus sévère</w:t>
      </w:r>
      <w:r w:rsidRPr="00EF0F72">
        <w:rPr>
          <w:rFonts w:cs="Times New Roman"/>
          <w:szCs w:val="24"/>
          <w:lang w:val="fr-CA"/>
        </w:rPr>
        <w:sym w:font="Symbol" w:char="F05B"/>
      </w:r>
      <w:r w:rsidRPr="00EF0F72">
        <w:rPr>
          <w:rFonts w:cs="Times New Roman"/>
          <w:szCs w:val="24"/>
          <w:lang w:val="fr-CA"/>
        </w:rPr>
        <w:t>s</w:t>
      </w:r>
      <w:r w:rsidRPr="00EF0F72">
        <w:rPr>
          <w:rFonts w:cs="Times New Roman"/>
          <w:szCs w:val="24"/>
          <w:lang w:val="fr-CA"/>
        </w:rPr>
        <w:sym w:font="Symbol" w:char="F05D"/>
      </w:r>
      <w:r w:rsidRPr="00EF0F72">
        <w:rPr>
          <w:rFonts w:cs="Times New Roman"/>
          <w:szCs w:val="24"/>
          <w:lang w:val="fr-CA"/>
        </w:rPr>
        <w:t xml:space="preserve"> que ce qui est nécessaire » </w:t>
      </w:r>
      <w:r w:rsidRPr="00EF0F72">
        <w:rPr>
          <w:rFonts w:cs="Times New Roman"/>
          <w:lang w:val="fr-CA"/>
        </w:rPr>
        <w:t>(</w:t>
      </w:r>
      <w:r w:rsidRPr="00EF0F72">
        <w:rPr>
          <w:rFonts w:cs="Times New Roman"/>
          <w:i/>
          <w:lang w:val="fr-CA"/>
        </w:rPr>
        <w:t>Antic</w:t>
      </w:r>
      <w:r w:rsidRPr="00EF0F72">
        <w:rPr>
          <w:rFonts w:cs="Times New Roman"/>
          <w:lang w:val="fr-CA"/>
        </w:rPr>
        <w:t xml:space="preserve">, par. 44), tandis que le juge peut assortir l’engagement visé à l’art. 810 des « conditions raisonnables [qui sont] souhaitables pour garantir la bonne conduite du défendeur » </w:t>
      </w:r>
      <w:r w:rsidRPr="00EF0F72">
        <w:rPr>
          <w:rFonts w:cs="Times New Roman"/>
          <w:szCs w:val="24"/>
          <w:lang w:val="fr-CA"/>
        </w:rPr>
        <w:t xml:space="preserve">(par. 810(3.02); voir également m.i., Canadian Association for Progress in Justice, par. 36). Ainsi que l’a expliqué le juge Laskin dans l’arrêt </w:t>
      </w:r>
      <w:r w:rsidRPr="00EF0F72">
        <w:rPr>
          <w:rFonts w:cs="Times New Roman"/>
          <w:i/>
          <w:szCs w:val="24"/>
          <w:lang w:val="fr-CA"/>
        </w:rPr>
        <w:t>Budreo C.A.</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 xml:space="preserve">le juge de paix devrait exercer son pouvoir discrétionnaire </w:t>
      </w:r>
      <w:r w:rsidRPr="00EF0F72">
        <w:rPr>
          <w:rFonts w:cs="Times New Roman"/>
          <w:szCs w:val="24"/>
          <w:lang w:val="fr-CA"/>
        </w:rPr>
        <w:sym w:font="Symbol" w:char="F05B"/>
      </w:r>
      <w:r w:rsidRPr="00EF0F72">
        <w:rPr>
          <w:rFonts w:cs="Times New Roman"/>
          <w:smallCaps/>
          <w:szCs w:val="24"/>
          <w:lang w:val="fr-CA"/>
        </w:rPr>
        <w:t>traduction</w:t>
      </w:r>
      <w:r w:rsidRPr="00EF0F72">
        <w:rPr>
          <w:rFonts w:cs="Times New Roman"/>
          <w:szCs w:val="24"/>
          <w:lang w:val="fr-CA"/>
        </w:rPr>
        <w:sym w:font="Symbol" w:char="F05D"/>
      </w:r>
      <w:r w:rsidRPr="00EF0F72">
        <w:rPr>
          <w:rFonts w:cs="Times New Roman"/>
          <w:szCs w:val="24"/>
          <w:lang w:val="fr-CA"/>
        </w:rPr>
        <w:t xml:space="preserve"> « de façon judiciaire et en tenant compte des conditions limitées qui peuvent être imposées lorsque la demande fondée sur l’art. 810.1 est accueillie » (par. 67). Dans la plupart des cas, le dernier échelon de gradation serait un engagement sans caution contracté au titre de l’al. 515(2)b) et assorti de conditions raisonnables dans les circonstances.</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 xml:space="preserve">En pratique, les conditions provisoires liées à la sécurité du public qui sont imposées à un défendeur seront vraisemblablement reprises dans l’engagement que contractera le défendeur si la demande visant à obtenir un engagement de ne pas troubler l’ordre public est jugée bien fondée. Ces conditions portent, notamment, sur les préoccupations liées à la sécurité de la personne que cet engagement vise à protéger. Les juges devraient se rappeler qu’en cas de manquement à une condition provisoire, </w:t>
      </w:r>
      <w:r w:rsidRPr="00EF0F72">
        <w:rPr>
          <w:rFonts w:cs="Times New Roman"/>
          <w:szCs w:val="24"/>
          <w:lang w:val="fr-CA"/>
        </w:rPr>
        <w:lastRenderedPageBreak/>
        <w:t xml:space="preserve">le défendeur à une procédure d’engagement de ne pas troubler l’ordre public — qui n’est inculpé d’aucun crime — pourrait faire l’objet d’une accusation criminelle. Il convient de répéter qu’il doit exister un lien entre toute condition relative à la sécurité du public et la crainte particulière attestée dans la dénonciation. Je souligne cette nécessité en ce qui concerne l’imposition de conditions interdisant la consommation de drogues et d’alcool. Lorsqu’elle n’est pas manifestement rattachée à la crainte alléguée, la condition risque davantage d’amener le défendeur à ne pas la respecter, surtout s’il est aux prises avec un problème de toxicomanie et que ce fait est connu </w:t>
      </w:r>
      <w:r w:rsidRPr="00EF0F72">
        <w:rPr>
          <w:rStyle w:val="reflex3-block"/>
          <w:rFonts w:cs="Times New Roman"/>
          <w:szCs w:val="24"/>
          <w:shd w:val="clear" w:color="auto" w:fill="FFFFFF"/>
          <w:lang w:val="fr-CA"/>
        </w:rPr>
        <w:t xml:space="preserve">(m.i., Société d’aide juridique du Yukon; voir également Service des poursuites pénales du Canada, </w:t>
      </w:r>
      <w:r w:rsidRPr="00EF0F72">
        <w:rPr>
          <w:rStyle w:val="reflex3-block"/>
          <w:rFonts w:cs="Times New Roman"/>
          <w:i/>
          <w:szCs w:val="24"/>
          <w:shd w:val="clear" w:color="auto" w:fill="FFFFFF"/>
          <w:lang w:val="fr-CA"/>
        </w:rPr>
        <w:t>Guide du Service des poursuites pénales du Canada</w:t>
      </w:r>
      <w:r w:rsidRPr="00EF0F72">
        <w:rPr>
          <w:rStyle w:val="reflex3-block"/>
          <w:rFonts w:cs="Times New Roman"/>
          <w:szCs w:val="24"/>
          <w:shd w:val="clear" w:color="auto" w:fill="FFFFFF"/>
          <w:lang w:val="fr-CA"/>
        </w:rPr>
        <w:t>,</w:t>
      </w:r>
      <w:r w:rsidRPr="00EF0F72">
        <w:rPr>
          <w:rStyle w:val="reflex3-block"/>
          <w:rFonts w:cs="Times New Roman"/>
          <w:i/>
          <w:szCs w:val="24"/>
          <w:shd w:val="clear" w:color="auto" w:fill="FFFFFF"/>
          <w:lang w:val="fr-CA"/>
        </w:rPr>
        <w:t xml:space="preserve"> </w:t>
      </w:r>
      <w:r w:rsidRPr="00EF0F72">
        <w:rPr>
          <w:rStyle w:val="reflex3-block"/>
          <w:rFonts w:cs="Times New Roman"/>
          <w:szCs w:val="24"/>
          <w:shd w:val="clear" w:color="auto" w:fill="FFFFFF"/>
          <w:lang w:val="fr-CA"/>
        </w:rPr>
        <w:t>partie III, c. 19, « Conditions de libération provisoire visant les surdoses d’opioïdes » (mis à jour le 1</w:t>
      </w:r>
      <w:r w:rsidRPr="00EF0F72">
        <w:rPr>
          <w:rStyle w:val="reflex3-block"/>
          <w:rFonts w:cs="Times New Roman"/>
          <w:szCs w:val="24"/>
          <w:shd w:val="clear" w:color="auto" w:fill="FFFFFF"/>
          <w:vertAlign w:val="superscript"/>
          <w:lang w:val="fr-CA"/>
        </w:rPr>
        <w:t>er</w:t>
      </w:r>
      <w:r w:rsidRPr="00EF0F72">
        <w:rPr>
          <w:rStyle w:val="reflex3-block"/>
          <w:rFonts w:cs="Times New Roman"/>
          <w:szCs w:val="24"/>
          <w:shd w:val="clear" w:color="auto" w:fill="FFFFFF"/>
          <w:lang w:val="fr-CA"/>
        </w:rPr>
        <w:t> avril 2019)</w:t>
      </w:r>
      <w:r w:rsidRPr="00EF0F72">
        <w:rPr>
          <w:rStyle w:val="reflex3-block"/>
          <w:rFonts w:cs="Times New Roman"/>
          <w:i/>
          <w:szCs w:val="24"/>
          <w:shd w:val="clear" w:color="auto" w:fill="FFFFFF"/>
          <w:lang w:val="fr-CA"/>
        </w:rPr>
        <w:t xml:space="preserve"> </w:t>
      </w:r>
      <w:r w:rsidRPr="00EF0F72">
        <w:rPr>
          <w:rStyle w:val="reflex3-block"/>
          <w:rFonts w:cs="Times New Roman"/>
          <w:szCs w:val="24"/>
          <w:shd w:val="clear" w:color="auto" w:fill="FFFFFF"/>
          <w:lang w:val="fr-CA"/>
        </w:rPr>
        <w:t>(en ligne)</w:t>
      </w:r>
      <w:r w:rsidRPr="00EF0F72">
        <w:rPr>
          <w:rFonts w:cs="Times New Roman"/>
          <w:shd w:val="clear" w:color="auto" w:fill="FFFFFF"/>
          <w:lang w:val="fr-CA"/>
        </w:rPr>
        <w:t xml:space="preserve"> (en ce qui concerne les conditions de mise en liberté sous caution pour les infractions liées aux drogues poursuivies sous le régime d’une loi fédérale)).</w:t>
      </w:r>
      <w:r w:rsidRPr="00EF0F72">
        <w:rPr>
          <w:rStyle w:val="reflex3-block"/>
          <w:rFonts w:cs="Times New Roman"/>
          <w:szCs w:val="24"/>
          <w:shd w:val="clear" w:color="auto" w:fill="FFFFFF"/>
          <w:lang w:val="fr-CA"/>
        </w:rPr>
        <w:t xml:space="preserve"> </w:t>
      </w:r>
      <w:r w:rsidRPr="00EF0F72">
        <w:rPr>
          <w:rFonts w:cs="Times New Roman"/>
          <w:szCs w:val="24"/>
          <w:lang w:val="fr-CA"/>
        </w:rPr>
        <w:t xml:space="preserve">Aucune condition ne devait être sévère au point de constituer dans les faits une ordonnance de détention en vouant le défendeur à l’échec </w:t>
      </w:r>
      <w:r w:rsidRPr="00EF0F72">
        <w:rPr>
          <w:rFonts w:cs="Times New Roman"/>
          <w:szCs w:val="24"/>
          <w:shd w:val="clear" w:color="auto" w:fill="FFFFFF"/>
          <w:lang w:val="fr-CA"/>
        </w:rPr>
        <w:t>(</w:t>
      </w:r>
      <w:r w:rsidRPr="00EF0F72">
        <w:rPr>
          <w:rFonts w:cs="Times New Roman"/>
          <w:i/>
          <w:szCs w:val="24"/>
          <w:shd w:val="clear" w:color="auto" w:fill="FFFFFF"/>
          <w:lang w:val="fr-CA"/>
        </w:rPr>
        <w:t>Antic</w:t>
      </w:r>
      <w:r w:rsidRPr="00EF0F72">
        <w:rPr>
          <w:rFonts w:cs="Times New Roman"/>
          <w:szCs w:val="24"/>
          <w:shd w:val="clear" w:color="auto" w:fill="FFFFFF"/>
          <w:lang w:val="fr-CA"/>
        </w:rPr>
        <w:t>, par. 56; voir également</w:t>
      </w:r>
      <w:r w:rsidRPr="00EF0F72">
        <w:rPr>
          <w:rFonts w:cs="Times New Roman"/>
          <w:i/>
          <w:szCs w:val="24"/>
          <w:shd w:val="clear" w:color="auto" w:fill="FFFFFF"/>
          <w:lang w:val="fr-CA"/>
        </w:rPr>
        <w:t xml:space="preserve"> </w:t>
      </w:r>
      <w:r w:rsidRPr="00EF0F72">
        <w:rPr>
          <w:rFonts w:cs="Times New Roman"/>
          <w:szCs w:val="24"/>
          <w:shd w:val="clear" w:color="auto" w:fill="FFFFFF"/>
          <w:lang w:val="fr-CA"/>
        </w:rPr>
        <w:t>Association canadienne des libertés civiles et Fidéicommis canadien d’éducation en libertés civiles,</w:t>
      </w:r>
      <w:r w:rsidRPr="00EF0F72">
        <w:rPr>
          <w:rFonts w:cs="Times New Roman"/>
          <w:i/>
          <w:szCs w:val="24"/>
          <w:shd w:val="clear" w:color="auto" w:fill="FFFFFF"/>
          <w:lang w:val="fr-CA"/>
        </w:rPr>
        <w:t xml:space="preserve"> Set up to Fail: Bail and the Revolving Door of Pre</w:t>
      </w:r>
      <w:r w:rsidRPr="00EF0F72">
        <w:rPr>
          <w:rFonts w:cs="Times New Roman"/>
          <w:i/>
          <w:szCs w:val="24"/>
          <w:shd w:val="clear" w:color="auto" w:fill="FFFFFF"/>
          <w:lang w:val="fr-CA"/>
        </w:rPr>
        <w:noBreakHyphen/>
        <w:t>trial Detention</w:t>
      </w:r>
      <w:r w:rsidR="00FE01B3">
        <w:rPr>
          <w:rFonts w:cs="Times New Roman"/>
          <w:szCs w:val="24"/>
          <w:shd w:val="clear" w:color="auto" w:fill="FFFFFF"/>
          <w:lang w:val="fr-CA"/>
        </w:rPr>
        <w:t>,</w:t>
      </w:r>
      <w:r w:rsidRPr="00EF0F72">
        <w:rPr>
          <w:rFonts w:cs="Times New Roman"/>
          <w:i/>
          <w:szCs w:val="24"/>
          <w:shd w:val="clear" w:color="auto" w:fill="FFFFFF"/>
          <w:lang w:val="fr-CA"/>
        </w:rPr>
        <w:t xml:space="preserve"> </w:t>
      </w:r>
      <w:r w:rsidRPr="00EF0F72">
        <w:rPr>
          <w:rFonts w:cs="Times New Roman"/>
          <w:szCs w:val="24"/>
          <w:shd w:val="clear" w:color="auto" w:fill="FFFFFF"/>
          <w:lang w:val="fr-CA"/>
        </w:rPr>
        <w:t>par A. Deshman et N</w:t>
      </w:r>
      <w:r w:rsidR="008E1439">
        <w:rPr>
          <w:rFonts w:cs="Times New Roman"/>
          <w:szCs w:val="24"/>
          <w:shd w:val="clear" w:color="auto" w:fill="FFFFFF"/>
          <w:lang w:val="fr-CA"/>
        </w:rPr>
        <w:t xml:space="preserve">. Myers (2014) (en ligne), p. 1, </w:t>
      </w:r>
      <w:r w:rsidRPr="00EF0F72">
        <w:rPr>
          <w:rFonts w:cs="Times New Roman"/>
          <w:szCs w:val="24"/>
          <w:shd w:val="clear" w:color="auto" w:fill="FFFFFF"/>
          <w:lang w:val="fr-CA"/>
        </w:rPr>
        <w:t>2 et 4</w:t>
      </w:r>
      <w:r w:rsidRPr="00EF0F72">
        <w:rPr>
          <w:rStyle w:val="reflex3-block"/>
          <w:rFonts w:cs="Times New Roman"/>
          <w:szCs w:val="24"/>
          <w:shd w:val="clear" w:color="auto" w:fill="FFFFFF"/>
          <w:lang w:val="fr-CA"/>
        </w:rPr>
        <w:t>).</w:t>
      </w:r>
    </w:p>
    <w:p w:rsidR="004965B0" w:rsidRPr="00EF0F72" w:rsidRDefault="004965B0" w:rsidP="004965B0">
      <w:pPr>
        <w:pStyle w:val="Title5LevelTitre5Niveau"/>
        <w:numPr>
          <w:ilvl w:val="0"/>
          <w:numId w:val="0"/>
        </w:numPr>
        <w:spacing w:before="0"/>
        <w:ind w:left="1728" w:hanging="288"/>
        <w:rPr>
          <w:rFonts w:cs="Times New Roman"/>
          <w:lang w:val="fr-CA"/>
        </w:rPr>
      </w:pPr>
      <w:r w:rsidRPr="00EF0F72">
        <w:rPr>
          <w:rFonts w:cs="Times New Roman"/>
          <w:u w:val="none"/>
          <w:lang w:val="fr-CA"/>
        </w:rPr>
        <w:tab/>
      </w:r>
      <w:r w:rsidRPr="00EF0F72">
        <w:rPr>
          <w:rFonts w:cs="Times New Roman"/>
          <w:lang w:val="fr-CA"/>
        </w:rPr>
        <w:t>Les cas dans lesquels la détention avant l’audience pourrait être justifiée</w:t>
      </w:r>
    </w:p>
    <w:p w:rsidR="004965B0" w:rsidRPr="00EF0F72" w:rsidRDefault="004965B0" w:rsidP="004965B0">
      <w:pPr>
        <w:pStyle w:val="ParaNoNdepar-AltN"/>
        <w:spacing w:before="0"/>
        <w:rPr>
          <w:rFonts w:cs="Times New Roman"/>
          <w:lang w:val="fr-CA"/>
        </w:rPr>
      </w:pPr>
      <w:r w:rsidRPr="00EF0F72">
        <w:rPr>
          <w:rFonts w:cs="Times New Roman"/>
          <w:szCs w:val="24"/>
          <w:lang w:val="fr-CA"/>
        </w:rPr>
        <w:t>Comme l’a expliqué le juge en chef Lamer dans le contexte de la détention avant le procès, « </w:t>
      </w:r>
      <w:r w:rsidRPr="00EF0F72">
        <w:rPr>
          <w:rFonts w:cs="Times New Roman"/>
          <w:lang w:val="fr-CA"/>
        </w:rPr>
        <w:t xml:space="preserve">[e]n général, notre société n’admet pas la détention préventive de personnes simplement parce qu’elles ont une propension au crime » </w:t>
      </w:r>
      <w:r w:rsidRPr="00EF0F72">
        <w:rPr>
          <w:rFonts w:cs="Times New Roman"/>
          <w:szCs w:val="24"/>
          <w:lang w:val="fr-CA"/>
        </w:rPr>
        <w:t>(</w:t>
      </w:r>
      <w:r w:rsidRPr="00EF0F72">
        <w:rPr>
          <w:rFonts w:cs="Times New Roman"/>
          <w:i/>
          <w:szCs w:val="24"/>
          <w:lang w:val="fr-CA"/>
        </w:rPr>
        <w:t>R. c. Morales</w:t>
      </w:r>
      <w:r w:rsidRPr="00EF0F72">
        <w:rPr>
          <w:rFonts w:cs="Times New Roman"/>
          <w:szCs w:val="24"/>
          <w:lang w:val="fr-CA"/>
        </w:rPr>
        <w:t>,</w:t>
      </w:r>
      <w:r w:rsidRPr="00EF0F72">
        <w:rPr>
          <w:rFonts w:cs="Times New Roman"/>
          <w:i/>
          <w:szCs w:val="24"/>
          <w:lang w:val="fr-CA"/>
        </w:rPr>
        <w:t xml:space="preserve"> </w:t>
      </w:r>
      <w:r w:rsidRPr="00EF0F72">
        <w:rPr>
          <w:rFonts w:cs="Times New Roman"/>
          <w:szCs w:val="24"/>
          <w:lang w:val="fr-CA"/>
        </w:rPr>
        <w:t xml:space="preserve">[1992] 3 R.C.S. 711, p. 736). Selon un passage d’un article de doctrine que le juge Then </w:t>
      </w:r>
      <w:r w:rsidRPr="00EF0F72">
        <w:rPr>
          <w:rFonts w:cs="Times New Roman"/>
          <w:szCs w:val="24"/>
          <w:lang w:val="fr-CA"/>
        </w:rPr>
        <w:lastRenderedPageBreak/>
        <w:t xml:space="preserve">a cité (bien qu’il n’ait pas réaffirmé ces principes en définitive) dans la décision </w:t>
      </w:r>
      <w:r w:rsidRPr="00EF0F72">
        <w:rPr>
          <w:rFonts w:cs="Times New Roman"/>
          <w:i/>
          <w:szCs w:val="24"/>
          <w:lang w:val="fr-CA"/>
        </w:rPr>
        <w:t>Budreo C.S.</w:t>
      </w:r>
      <w:r w:rsidRPr="00EF0F72">
        <w:rPr>
          <w:rFonts w:cs="Times New Roman"/>
          <w:szCs w:val="24"/>
          <w:lang w:val="fr-CA"/>
        </w:rPr>
        <w:t> :</w:t>
      </w:r>
    </w:p>
    <w:p w:rsidR="004965B0" w:rsidRPr="00EF0F72" w:rsidRDefault="004965B0" w:rsidP="004965B0">
      <w:pPr>
        <w:pStyle w:val="Citation-AltC"/>
        <w:spacing w:after="240"/>
        <w:ind w:hanging="446"/>
        <w:contextualSpacing w:val="0"/>
        <w:rPr>
          <w:lang w:val="fr-CA"/>
        </w:rPr>
      </w:pPr>
      <w:r w:rsidRPr="00EF0F72">
        <w:rPr>
          <w:lang w:val="fr-CA"/>
        </w:rPr>
        <w:tab/>
      </w:r>
      <w:r w:rsidRPr="00EF0F72">
        <w:rPr>
          <w:lang w:val="fr-CA"/>
        </w:rPr>
        <w:sym w:font="Symbol" w:char="F05B"/>
      </w:r>
      <w:r w:rsidRPr="00EF0F72">
        <w:rPr>
          <w:smallCaps/>
          <w:lang w:val="fr-CA"/>
        </w:rPr>
        <w:t>traduction</w:t>
      </w:r>
      <w:r w:rsidRPr="00EF0F72">
        <w:rPr>
          <w:lang w:val="fr-CA"/>
        </w:rPr>
        <w:sym w:font="Symbol" w:char="F05D"/>
      </w:r>
      <w:r w:rsidRPr="00EF0F72">
        <w:rPr>
          <w:lang w:val="fr-CA"/>
        </w:rPr>
        <w:t xml:space="preserve"> La détention préventive est donc considérée comme une mesure injustifiable dans une société libérale, parce qu’elle témoigne d’un manque de respect à l’endroit du contrevenant en tant que personne douée de discernement moral. Elle revient à punir cette personne en raison de ce qu’elle est, élément sur lequel elle n’exerce pour ainsi dire aucun contrôle, plutôt qu’en raison de ses gestes volontaires, dont elle est moralement responsable suivant les règles d’une société libérale.</w:t>
      </w:r>
    </w:p>
    <w:p w:rsidR="004965B0" w:rsidRPr="00EF0F72" w:rsidRDefault="004965B0" w:rsidP="00FE01B3">
      <w:pPr>
        <w:pStyle w:val="Citation-AltC"/>
        <w:ind w:left="720"/>
        <w:contextualSpacing w:val="0"/>
        <w:rPr>
          <w:lang w:val="en-US"/>
        </w:rPr>
      </w:pPr>
      <w:r w:rsidRPr="00EF0F72">
        <w:rPr>
          <w:lang w:val="en-US"/>
        </w:rPr>
        <w:t xml:space="preserve">(p. 368, citant N. Lacey dans « Dangerousness and Criminal Justice: The Justification of </w:t>
      </w:r>
      <w:r w:rsidR="00DA1F8A">
        <w:rPr>
          <w:lang w:val="en-US"/>
        </w:rPr>
        <w:t>Preventative Detention » (1983), 36</w:t>
      </w:r>
      <w:r w:rsidRPr="00EF0F72">
        <w:rPr>
          <w:lang w:val="en-US"/>
        </w:rPr>
        <w:t xml:space="preserve"> </w:t>
      </w:r>
      <w:r w:rsidR="008E1439">
        <w:rPr>
          <w:i/>
          <w:lang w:val="en-US"/>
        </w:rPr>
        <w:t>Curr.</w:t>
      </w:r>
      <w:r w:rsidR="00F449DE">
        <w:rPr>
          <w:i/>
          <w:lang w:val="en-US"/>
        </w:rPr>
        <w:t xml:space="preserve"> Legal Prob</w:t>
      </w:r>
      <w:r w:rsidRPr="00EF0F72">
        <w:rPr>
          <w:i/>
          <w:lang w:val="en-US"/>
        </w:rPr>
        <w:t>s</w:t>
      </w:r>
      <w:r w:rsidR="00F449DE">
        <w:rPr>
          <w:i/>
          <w:lang w:val="en-US"/>
        </w:rPr>
        <w:t>.</w:t>
      </w:r>
      <w:r w:rsidRPr="00EF0F72">
        <w:rPr>
          <w:i/>
          <w:lang w:val="en-US"/>
        </w:rPr>
        <w:t xml:space="preserve"> </w:t>
      </w:r>
      <w:r w:rsidRPr="00EF0F72">
        <w:rPr>
          <w:lang w:val="en-US"/>
        </w:rPr>
        <w:t>31, p. 34.)</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 xml:space="preserve">Je souscris aux propos suivants tenus par le juge Laskin dans l’arrêt </w:t>
      </w:r>
      <w:r w:rsidRPr="00EF0F72">
        <w:rPr>
          <w:rFonts w:cs="Times New Roman"/>
          <w:i/>
          <w:szCs w:val="24"/>
          <w:lang w:val="fr-CA"/>
        </w:rPr>
        <w:t>Budreo</w:t>
      </w:r>
      <w:r w:rsidRPr="00EF0F72">
        <w:rPr>
          <w:rFonts w:cs="Times New Roman"/>
          <w:szCs w:val="24"/>
          <w:lang w:val="fr-CA"/>
        </w:rPr>
        <w:t xml:space="preserve"> </w:t>
      </w:r>
      <w:r w:rsidRPr="00EF0F72">
        <w:rPr>
          <w:rFonts w:cs="Times New Roman"/>
          <w:i/>
          <w:lang w:val="fr-CA"/>
        </w:rPr>
        <w:t>C.A</w:t>
      </w:r>
      <w:r w:rsidRPr="00EF0F72">
        <w:rPr>
          <w:rFonts w:cs="Times New Roman"/>
          <w:lang w:val="fr-CA"/>
        </w:rPr>
        <w:t>. :</w:t>
      </w:r>
    </w:p>
    <w:p w:rsidR="004965B0" w:rsidRPr="00EF0F72" w:rsidRDefault="004965B0" w:rsidP="004965B0">
      <w:pPr>
        <w:pStyle w:val="Citation-AltC"/>
        <w:tabs>
          <w:tab w:val="left" w:pos="1440"/>
        </w:tabs>
        <w:contextualSpacing w:val="0"/>
        <w:rPr>
          <w:lang w:val="fr-CA"/>
        </w:rPr>
      </w:pPr>
      <w:r w:rsidRPr="00EF0F72">
        <w:rPr>
          <w:lang w:val="fr-CA"/>
        </w:rPr>
        <w:sym w:font="Symbol" w:char="F05B"/>
      </w:r>
      <w:r w:rsidRPr="00EF0F72">
        <w:rPr>
          <w:smallCaps/>
          <w:lang w:val="fr-CA"/>
        </w:rPr>
        <w:t>traduction</w:t>
      </w:r>
      <w:r w:rsidRPr="00EF0F72">
        <w:rPr>
          <w:lang w:val="fr-CA"/>
        </w:rPr>
        <w:sym w:font="Symbol" w:char="F05D"/>
      </w:r>
      <w:r w:rsidRPr="00EF0F72">
        <w:rPr>
          <w:lang w:val="fr-CA"/>
        </w:rPr>
        <w:t xml:space="preserve"> . . . il arrive rarement que le fait de détenir un défendeur qui n’est pas inculpé d’avoir commis le moindre crime et qui peut simplement être tenu de contracter un engagement à l’issue de l’instance permette de rehausser la confiance envers l’administration de la justice. [par. 68]</w:t>
      </w:r>
    </w:p>
    <w:p w:rsidR="004965B0" w:rsidRPr="00EF0F72" w:rsidRDefault="004965B0" w:rsidP="004965B0">
      <w:pPr>
        <w:pStyle w:val="ParaNoNdepar-AltN"/>
        <w:tabs>
          <w:tab w:val="clear" w:pos="1152"/>
          <w:tab w:val="left" w:pos="1166"/>
        </w:tabs>
        <w:spacing w:before="0"/>
        <w:rPr>
          <w:rFonts w:cs="Times New Roman"/>
          <w:szCs w:val="24"/>
          <w:lang w:val="fr-CA"/>
        </w:rPr>
      </w:pPr>
      <w:r w:rsidRPr="00EF0F72">
        <w:rPr>
          <w:rFonts w:cs="Times New Roman"/>
          <w:szCs w:val="24"/>
          <w:lang w:val="fr-CA"/>
        </w:rPr>
        <w:t xml:space="preserve">Les circonstances dans lesquelles la détention est justifiée dans le contexte de l’engagement de ne pas troubler l’ordre public doivent par ailleurs refléter les diverses issues envisagées par les dispositions relatives à ces engagements. Le juge ne peut ordonner la détention au terme de l’audience portant sur la demande d’engagement de ne pas troubler l’ordre public que lorsque le défendeur omet ou refuse de contracter l’engagement de ne pas troubler l’ordre public et d’avoir une bonne conduite (p. ex., par. 810.2(4)). En conséquence, les « rares cas » où la détention pourrait être justifiée ne se produisent vraisemblablement que lorsque le défendeur refuse de signer l’engagement prévu à l’art. 515 et, par le fait même, d’être lié par des conditions ayant </w:t>
      </w:r>
      <w:r w:rsidRPr="00EF0F72">
        <w:rPr>
          <w:rFonts w:cs="Times New Roman"/>
          <w:szCs w:val="24"/>
          <w:lang w:val="fr-CA"/>
        </w:rPr>
        <w:lastRenderedPageBreak/>
        <w:t xml:space="preserve">trait à la nécessité d’assurer sa présence à l’audience portant sur la demande d’engagement de ne pas troubler l’ordre public, ou de dissiper, dans l’intervalle, la crainte attestée dans la dénonciation. Rappelant la décision rendue dans l’arrêt </w:t>
      </w:r>
      <w:r w:rsidRPr="00EF0F72">
        <w:rPr>
          <w:rFonts w:cs="Times New Roman"/>
          <w:i/>
          <w:szCs w:val="24"/>
          <w:lang w:val="fr-CA"/>
        </w:rPr>
        <w:t>Antic</w:t>
      </w:r>
      <w:r w:rsidRPr="00EF0F72">
        <w:rPr>
          <w:rFonts w:cs="Times New Roman"/>
          <w:szCs w:val="24"/>
          <w:lang w:val="fr-CA"/>
        </w:rPr>
        <w:t>, dans le contexte d’une personne inculpée d’avoir commis un acte criminel, notre Cour a récemment souligné que « nous ne devons pas perdre de vue que la détention avant le procès est une mesure de dernier recours » (</w:t>
      </w:r>
      <w:r w:rsidRPr="00EF0F72">
        <w:rPr>
          <w:rFonts w:cs="Times New Roman"/>
          <w:i/>
          <w:szCs w:val="24"/>
          <w:lang w:val="fr-CA"/>
        </w:rPr>
        <w:t>Myers</w:t>
      </w:r>
      <w:r w:rsidRPr="00EF0F72">
        <w:rPr>
          <w:rFonts w:cs="Times New Roman"/>
          <w:szCs w:val="24"/>
          <w:lang w:val="fr-CA"/>
        </w:rPr>
        <w:t xml:space="preserve">, par. 67). Dans le cas du </w:t>
      </w:r>
      <w:r w:rsidRPr="00EF0F72">
        <w:rPr>
          <w:rFonts w:cs="Times New Roman"/>
          <w:lang w:val="fr-CA"/>
        </w:rPr>
        <w:t>défendeur à une procédure d’engagement de ne pas troubler l’ordre public</w:t>
      </w:r>
      <w:r w:rsidRPr="00EF0F72">
        <w:rPr>
          <w:rFonts w:cs="Times New Roman"/>
          <w:szCs w:val="24"/>
          <w:lang w:val="fr-CA"/>
        </w:rPr>
        <w:t>, l’absence d’allégation d’infraction renforce cette affirmation.</w:t>
      </w:r>
    </w:p>
    <w:p w:rsidR="004965B0" w:rsidRPr="00EF0F72" w:rsidRDefault="004965B0" w:rsidP="004965B0">
      <w:pPr>
        <w:pStyle w:val="Title2LevelTitre2Niveau"/>
        <w:spacing w:before="0"/>
        <w:rPr>
          <w:rFonts w:cs="Times New Roman"/>
          <w:lang w:val="fr-CA"/>
        </w:rPr>
      </w:pPr>
      <w:r w:rsidRPr="00EF0F72">
        <w:rPr>
          <w:rFonts w:cs="Times New Roman"/>
          <w:lang w:val="fr-CA"/>
        </w:rPr>
        <w:t>Application</w:t>
      </w:r>
    </w:p>
    <w:p w:rsidR="004965B0" w:rsidRPr="00EF0F72" w:rsidRDefault="004965B0" w:rsidP="004965B0">
      <w:pPr>
        <w:pStyle w:val="ParaNoNdepar-AltN"/>
        <w:tabs>
          <w:tab w:val="clear" w:pos="1152"/>
          <w:tab w:val="left" w:pos="1166"/>
        </w:tabs>
        <w:spacing w:before="0"/>
        <w:rPr>
          <w:rFonts w:cs="Times New Roman"/>
          <w:lang w:val="fr-CA"/>
        </w:rPr>
      </w:pPr>
      <w:r w:rsidRPr="00EF0F72">
        <w:rPr>
          <w:rFonts w:cs="Times New Roman"/>
          <w:lang w:val="fr-CA"/>
        </w:rPr>
        <w:t xml:space="preserve">Dans le cas qui nous occupe, un policier a déposé en vertu du par. 810.2(1) une dénonciation contre M. Penunsi, alors que ce dernier était sur le point de finir de purger sa peine d’emprisonnement. L’agent a déclaré sous serment craindre que M. Penunsi ne commette une grave infraction, soit des sévices graves à la personne, à sa sortie de prison. Bien que la validité du mandat d’arrestation n’ait pas été contestée, je ne vois pas comment un détenu fédéral pourrait représenter un risque imminent pour la sécurité d’autrui, de telle sorte que son arrestation constituerait une mesure appropriée, ou être considéré comme une personne susceptible de ne pas comparaître à une audience relative à une demande d’engagement </w:t>
      </w:r>
      <w:r w:rsidRPr="00EF0F72">
        <w:rPr>
          <w:rFonts w:cs="Times New Roman"/>
          <w:szCs w:val="24"/>
          <w:lang w:val="fr-CA"/>
        </w:rPr>
        <w:t>de ne pas troubler l’ordre public alors qu’il est encore détenu.</w:t>
      </w:r>
    </w:p>
    <w:p w:rsidR="004965B0" w:rsidRPr="00EF0F72" w:rsidRDefault="004965B0" w:rsidP="004965B0">
      <w:pPr>
        <w:pStyle w:val="ParaNoNdepar-AltN"/>
        <w:tabs>
          <w:tab w:val="clear" w:pos="1152"/>
          <w:tab w:val="left" w:pos="1166"/>
        </w:tabs>
        <w:spacing w:before="0"/>
        <w:rPr>
          <w:rFonts w:cs="Times New Roman"/>
          <w:lang w:val="fr-CA"/>
        </w:rPr>
      </w:pPr>
      <w:r w:rsidRPr="00EF0F72">
        <w:rPr>
          <w:rFonts w:cs="Times New Roman"/>
          <w:lang w:val="fr-CA"/>
        </w:rPr>
        <w:t xml:space="preserve">Le dossier ne permet pas de savoir comment M. Penunsi s’est retrouvé devant le tribunal alors qu’il était encore détenu, ou encore quel avis il a reçu au sujet de sa comparution. La preuve montre toutefois clairement qu’un mandat d’arrestation a été décerné contre M. Penunsi, mais n’a jamais été exécuté. Dès lors que les mesures </w:t>
      </w:r>
      <w:r w:rsidRPr="00EF0F72">
        <w:rPr>
          <w:rFonts w:cs="Times New Roman"/>
          <w:lang w:val="fr-CA"/>
        </w:rPr>
        <w:lastRenderedPageBreak/>
        <w:t>de protection procédurale que sont tenus de prendre les agents de police au cours de l’exécution d’un mandat d’arrestation n’ont pas été prises — notamment le droit de l’intéressé de recevoir un avis et le droit de se faire assister par un avocat —, on ne peut affirmer que l’intéressé a été « conduit devant un juge de paix » aux termes des art. 503 et 515. En conséquence, le juge de la cour provinciale n’a pas commis d’erreur en concluant qu’il n’avait pas compétence pour assujettir M. Penunsi à une enquête sur mise en liberté sous caution — non pas parce que le régime de la mise en liberté provisoire par voie judiciaire ne s’applique pas aux procédures d’engagement de ne pas troubler l’ordre public, mais parce que M. Penunsi n’avait jamais été arrêté relativement à cette affaire. La mise en liberté provisoire par voie judiciaire ne s’appliquait pas à son cas.</w:t>
      </w:r>
    </w:p>
    <w:p w:rsidR="004965B0" w:rsidRPr="00EF0F72" w:rsidRDefault="004965B0" w:rsidP="004965B0">
      <w:pPr>
        <w:pStyle w:val="Title1LevelTitre1Niveau-AltL"/>
        <w:spacing w:before="0"/>
        <w:rPr>
          <w:rFonts w:cs="Times New Roman"/>
          <w:lang w:val="fr-CA"/>
        </w:rPr>
      </w:pPr>
      <w:r w:rsidRPr="00EF0F72">
        <w:rPr>
          <w:rFonts w:cs="Times New Roman"/>
          <w:lang w:val="fr-CA"/>
        </w:rPr>
        <w:t>Dispositif</w:t>
      </w:r>
    </w:p>
    <w:p w:rsidR="004965B0" w:rsidRPr="00EF0F72" w:rsidRDefault="004965B0" w:rsidP="004965B0">
      <w:pPr>
        <w:pStyle w:val="ParaNoNdepar-AltN"/>
        <w:tabs>
          <w:tab w:val="clear" w:pos="1152"/>
          <w:tab w:val="left" w:pos="1166"/>
        </w:tabs>
        <w:spacing w:before="0"/>
        <w:rPr>
          <w:rFonts w:cs="Times New Roman"/>
          <w:lang w:val="fr-CA"/>
        </w:rPr>
      </w:pPr>
      <w:r w:rsidRPr="00EF0F72">
        <w:rPr>
          <w:rFonts w:cs="Times New Roman"/>
          <w:lang w:val="fr-CA"/>
        </w:rPr>
        <w:t xml:space="preserve">En conséquence, je suis d’avis d’accueillir le pourvoi. L’ordonnance de la Cour d’appel est annulée. Le défendeur nommé dans une dénonciation visant à obtenir un engagement de ne pas troubler l’ordre public peut être contraint à comparaître devant le tribunal au moyen d’une sommation ou d’un mandat d’arrestation. Le juge ou le juge de paix a compétence pour assujettir </w:t>
      </w:r>
      <w:r w:rsidR="00623D1C">
        <w:rPr>
          <w:rFonts w:cs="Times New Roman"/>
          <w:lang w:val="fr-CA"/>
        </w:rPr>
        <w:t xml:space="preserve">une personne </w:t>
      </w:r>
      <w:r w:rsidRPr="00EF0F72">
        <w:rPr>
          <w:rFonts w:cs="Times New Roman"/>
          <w:lang w:val="fr-CA"/>
        </w:rPr>
        <w:t>à une audience de justification lorsqu</w:t>
      </w:r>
      <w:r w:rsidR="00623D1C">
        <w:rPr>
          <w:rFonts w:cs="Times New Roman"/>
          <w:lang w:val="fr-CA"/>
        </w:rPr>
        <w:t xml:space="preserve">’elle </w:t>
      </w:r>
      <w:r w:rsidRPr="00EF0F72">
        <w:rPr>
          <w:rFonts w:cs="Times New Roman"/>
          <w:lang w:val="fr-CA"/>
        </w:rPr>
        <w:t>a été arrêté</w:t>
      </w:r>
      <w:r w:rsidR="00623D1C">
        <w:rPr>
          <w:rFonts w:cs="Times New Roman"/>
          <w:lang w:val="fr-CA"/>
        </w:rPr>
        <w:t xml:space="preserve">e relativement </w:t>
      </w:r>
      <w:r w:rsidRPr="00EF0F72">
        <w:rPr>
          <w:rFonts w:cs="Times New Roman"/>
          <w:lang w:val="fr-CA"/>
        </w:rPr>
        <w:t xml:space="preserve">à </w:t>
      </w:r>
      <w:r w:rsidR="00623D1C">
        <w:rPr>
          <w:rFonts w:cs="Times New Roman"/>
          <w:lang w:val="fr-CA"/>
        </w:rPr>
        <w:t xml:space="preserve">une </w:t>
      </w:r>
      <w:r w:rsidRPr="00EF0F72">
        <w:rPr>
          <w:rFonts w:cs="Times New Roman"/>
          <w:lang w:val="fr-CA"/>
        </w:rPr>
        <w:t>dénonciation visant à obtenir un engagement de ne pas troubler l’ordre public</w:t>
      </w:r>
      <w:r w:rsidR="00623D1C">
        <w:rPr>
          <w:rFonts w:cs="Times New Roman"/>
          <w:lang w:val="fr-CA"/>
        </w:rPr>
        <w:t xml:space="preserve"> et qu’elle a été conduite devant le tribunal</w:t>
      </w:r>
      <w:r w:rsidRPr="00EF0F72">
        <w:rPr>
          <w:rFonts w:cs="Times New Roman"/>
          <w:lang w:val="fr-CA"/>
        </w:rPr>
        <w:t>. Aucune autre ordonnance n’est nécessaire, car la question est théorique en ce qui concerne M. Penunsi.</w:t>
      </w:r>
    </w:p>
    <w:p w:rsidR="004965B0" w:rsidRPr="008F1EFE" w:rsidRDefault="004965B0" w:rsidP="004965B0">
      <w:pPr>
        <w:pStyle w:val="SCCNormalDoubleSpacing"/>
        <w:spacing w:after="480"/>
        <w:rPr>
          <w:lang w:val="fr-CA"/>
        </w:rPr>
      </w:pPr>
    </w:p>
    <w:p w:rsidR="004D7D95" w:rsidRPr="008F1EFE" w:rsidRDefault="004D7D95" w:rsidP="00DB6365">
      <w:pPr>
        <w:pStyle w:val="SCCNormalDoubleSpacing"/>
        <w:spacing w:after="480"/>
        <w:rPr>
          <w:i/>
          <w:lang w:val="fr-CA"/>
        </w:rPr>
      </w:pPr>
      <w:r w:rsidRPr="008F1EFE">
        <w:rPr>
          <w:lang w:val="fr-CA"/>
        </w:rPr>
        <w:lastRenderedPageBreak/>
        <w:tab/>
      </w:r>
      <w:r w:rsidR="00DF531F" w:rsidRPr="008F1EFE">
        <w:rPr>
          <w:i/>
          <w:lang w:val="fr-CA"/>
        </w:rPr>
        <w:t>Pourvoi</w:t>
      </w:r>
      <w:r w:rsidR="00B528D3" w:rsidRPr="008F1EFE">
        <w:rPr>
          <w:i/>
          <w:lang w:val="fr-CA"/>
        </w:rPr>
        <w:t xml:space="preserve"> accueilli.</w:t>
      </w:r>
    </w:p>
    <w:p w:rsidR="006054E2" w:rsidRPr="008F1EFE" w:rsidRDefault="00DA14D1" w:rsidP="00DB6365">
      <w:pPr>
        <w:pStyle w:val="SCCLawFirm"/>
        <w:spacing w:after="480"/>
        <w:rPr>
          <w:lang w:val="fr-CA"/>
        </w:rPr>
      </w:pPr>
      <w:r w:rsidRPr="008F1EFE">
        <w:rPr>
          <w:lang w:val="fr-CA"/>
        </w:rPr>
        <w:tab/>
      </w:r>
      <w:r w:rsidR="00772332" w:rsidRPr="008F1EFE">
        <w:rPr>
          <w:lang w:val="fr-CA"/>
        </w:rPr>
        <w:t>Procureur</w:t>
      </w:r>
      <w:r w:rsidRPr="008F1EFE">
        <w:rPr>
          <w:lang w:val="fr-CA"/>
        </w:rPr>
        <w:t xml:space="preserve"> de l</w:t>
      </w:r>
      <w:r w:rsidR="002638F6" w:rsidRPr="008F1EFE">
        <w:rPr>
          <w:lang w:val="fr-CA"/>
        </w:rPr>
        <w:t>’</w:t>
      </w:r>
      <w:r w:rsidR="00772332" w:rsidRPr="008F1EFE">
        <w:rPr>
          <w:lang w:val="fr-CA"/>
        </w:rPr>
        <w:t>appelant</w:t>
      </w:r>
      <w:r w:rsidR="00B62D18" w:rsidRPr="008F1EFE">
        <w:rPr>
          <w:lang w:val="fr-CA"/>
        </w:rPr>
        <w:t>e</w:t>
      </w:r>
      <w:r w:rsidR="00DB6365" w:rsidRPr="008F1EFE">
        <w:rPr>
          <w:lang w:val="fr-CA"/>
        </w:rPr>
        <w:t> :</w:t>
      </w:r>
      <w:r w:rsidR="00791C73" w:rsidRPr="008F1EFE">
        <w:rPr>
          <w:lang w:val="fr-CA"/>
        </w:rPr>
        <w:t> </w:t>
      </w:r>
      <w:r w:rsidRPr="008F1EFE">
        <w:rPr>
          <w:lang w:val="fr-CA"/>
        </w:rPr>
        <w:t>Special Prosecutions Office, St. John</w:t>
      </w:r>
      <w:r w:rsidR="002638F6" w:rsidRPr="008F1EFE">
        <w:rPr>
          <w:lang w:val="fr-CA"/>
        </w:rPr>
        <w:t>’</w:t>
      </w:r>
      <w:r w:rsidRPr="008F1EFE">
        <w:rPr>
          <w:lang w:val="fr-CA"/>
        </w:rPr>
        <w:t>s.</w:t>
      </w:r>
    </w:p>
    <w:p w:rsidR="006054E2" w:rsidRPr="00E94769" w:rsidRDefault="00DA14D1" w:rsidP="00DB6365">
      <w:pPr>
        <w:pStyle w:val="SCCLawFirm"/>
        <w:spacing w:after="480"/>
        <w:rPr>
          <w:lang w:val="en-US"/>
        </w:rPr>
      </w:pPr>
      <w:r w:rsidRPr="008F1EFE">
        <w:rPr>
          <w:lang w:val="fr-CA"/>
        </w:rPr>
        <w:tab/>
      </w:r>
      <w:r w:rsidR="00772332" w:rsidRPr="00E94769">
        <w:rPr>
          <w:lang w:val="en-US"/>
        </w:rPr>
        <w:t>Procureur</w:t>
      </w:r>
      <w:r w:rsidRPr="00E94769">
        <w:rPr>
          <w:lang w:val="en-US"/>
        </w:rPr>
        <w:t xml:space="preserve"> de l</w:t>
      </w:r>
      <w:r w:rsidR="002638F6" w:rsidRPr="00E94769">
        <w:rPr>
          <w:lang w:val="en-US"/>
        </w:rPr>
        <w:t>’</w:t>
      </w:r>
      <w:r w:rsidR="00772332" w:rsidRPr="00E94769">
        <w:rPr>
          <w:lang w:val="en-US"/>
        </w:rPr>
        <w:t>intimé</w:t>
      </w:r>
      <w:r w:rsidR="00DB6365" w:rsidRPr="00E94769">
        <w:rPr>
          <w:lang w:val="en-US"/>
        </w:rPr>
        <w:t> :</w:t>
      </w:r>
      <w:r w:rsidR="00791C73" w:rsidRPr="00E94769">
        <w:rPr>
          <w:lang w:val="en-US"/>
        </w:rPr>
        <w:t> </w:t>
      </w:r>
      <w:r w:rsidRPr="00E94769">
        <w:rPr>
          <w:lang w:val="en-US"/>
        </w:rPr>
        <w:t>NL Legal Aid Commission, Happy Valley</w:t>
      </w:r>
      <w:r w:rsidR="00DB6365" w:rsidRPr="00E94769">
        <w:rPr>
          <w:lang w:val="en-US"/>
        </w:rPr>
        <w:noBreakHyphen/>
      </w:r>
      <w:r w:rsidRPr="00E94769">
        <w:rPr>
          <w:lang w:val="en-US"/>
        </w:rPr>
        <w:t>Goose Bay.</w:t>
      </w:r>
    </w:p>
    <w:p w:rsidR="006054E2" w:rsidRPr="008F1EFE" w:rsidRDefault="00B62D18" w:rsidP="00E94769">
      <w:pPr>
        <w:pStyle w:val="SCCLawFirm"/>
        <w:spacing w:after="480"/>
        <w:rPr>
          <w:lang w:val="fr-CA"/>
        </w:rPr>
      </w:pPr>
      <w:r w:rsidRPr="00E94769">
        <w:rPr>
          <w:lang w:val="en-US"/>
        </w:rPr>
        <w:tab/>
      </w:r>
      <w:r w:rsidR="00772332" w:rsidRPr="008F1EFE">
        <w:rPr>
          <w:lang w:val="fr-CA"/>
        </w:rPr>
        <w:t>Procureur</w:t>
      </w:r>
      <w:r w:rsidR="00DA14D1" w:rsidRPr="008F1EFE">
        <w:rPr>
          <w:lang w:val="fr-CA"/>
        </w:rPr>
        <w:t xml:space="preserve"> de l</w:t>
      </w:r>
      <w:r w:rsidR="002638F6" w:rsidRPr="008F1EFE">
        <w:rPr>
          <w:lang w:val="fr-CA"/>
        </w:rPr>
        <w:t>’</w:t>
      </w:r>
      <w:r w:rsidR="00772332" w:rsidRPr="008F1EFE">
        <w:rPr>
          <w:lang w:val="fr-CA"/>
        </w:rPr>
        <w:t>intervenante</w:t>
      </w:r>
      <w:r w:rsidR="00DA14D1" w:rsidRPr="008F1EFE">
        <w:rPr>
          <w:lang w:val="fr-CA"/>
        </w:rPr>
        <w:t xml:space="preserve"> </w:t>
      </w:r>
      <w:r w:rsidR="00F929C6" w:rsidRPr="008F1EFE">
        <w:rPr>
          <w:lang w:val="fr-CA"/>
        </w:rPr>
        <w:t xml:space="preserve">la </w:t>
      </w:r>
      <w:r w:rsidR="009A2AE6" w:rsidRPr="008F1EFE">
        <w:rPr>
          <w:lang w:val="fr-CA"/>
        </w:rPr>
        <w:t>d</w:t>
      </w:r>
      <w:r w:rsidR="00DA14D1" w:rsidRPr="008F1EFE">
        <w:rPr>
          <w:lang w:val="fr-CA"/>
        </w:rPr>
        <w:t>irectrice des poursuites pénales</w:t>
      </w:r>
      <w:r w:rsidR="00DB6365" w:rsidRPr="008F1EFE">
        <w:rPr>
          <w:lang w:val="fr-CA"/>
        </w:rPr>
        <w:t> :</w:t>
      </w:r>
      <w:r w:rsidR="00791C73" w:rsidRPr="008F1EFE">
        <w:rPr>
          <w:lang w:val="fr-CA"/>
        </w:rPr>
        <w:t> </w:t>
      </w:r>
      <w:r w:rsidR="008F050D" w:rsidRPr="008F050D">
        <w:rPr>
          <w:lang w:val="fr-FR"/>
        </w:rPr>
        <w:t>Service des poursuites pénales du Canada</w:t>
      </w:r>
      <w:r w:rsidR="00DA14D1" w:rsidRPr="008F1EFE">
        <w:rPr>
          <w:lang w:val="fr-CA"/>
        </w:rPr>
        <w:t>, Halifax.</w:t>
      </w:r>
    </w:p>
    <w:p w:rsidR="006054E2" w:rsidRPr="008F1EFE" w:rsidRDefault="005B5BBE" w:rsidP="00DB6365">
      <w:pPr>
        <w:pStyle w:val="SCCLawFirm"/>
        <w:spacing w:after="480"/>
        <w:rPr>
          <w:lang w:val="fr-CA"/>
        </w:rPr>
      </w:pPr>
      <w:r w:rsidRPr="008F1EFE">
        <w:rPr>
          <w:lang w:val="fr-CA"/>
        </w:rPr>
        <w:tab/>
        <w:t>Procureurs</w:t>
      </w:r>
      <w:r w:rsidR="00DA14D1" w:rsidRPr="008F1EFE">
        <w:rPr>
          <w:lang w:val="fr-CA"/>
        </w:rPr>
        <w:t xml:space="preserve"> de l</w:t>
      </w:r>
      <w:r w:rsidR="002638F6" w:rsidRPr="008F1EFE">
        <w:rPr>
          <w:lang w:val="fr-CA"/>
        </w:rPr>
        <w:t>’</w:t>
      </w:r>
      <w:r w:rsidRPr="008F1EFE">
        <w:rPr>
          <w:lang w:val="fr-CA"/>
        </w:rPr>
        <w:t>intervenante</w:t>
      </w:r>
      <w:r w:rsidR="00DA14D1" w:rsidRPr="008F1EFE">
        <w:rPr>
          <w:lang w:val="fr-CA"/>
        </w:rPr>
        <w:t xml:space="preserve"> </w:t>
      </w:r>
      <w:r w:rsidRPr="008F1EFE">
        <w:rPr>
          <w:lang w:val="fr-CA"/>
        </w:rPr>
        <w:t xml:space="preserve">la </w:t>
      </w:r>
      <w:r w:rsidR="00DA14D1" w:rsidRPr="008F1EFE">
        <w:rPr>
          <w:lang w:val="fr-CA"/>
        </w:rPr>
        <w:t>Société d</w:t>
      </w:r>
      <w:r w:rsidR="002638F6" w:rsidRPr="008F1EFE">
        <w:rPr>
          <w:lang w:val="fr-CA"/>
        </w:rPr>
        <w:t>’</w:t>
      </w:r>
      <w:r w:rsidR="00DA14D1" w:rsidRPr="008F1EFE">
        <w:rPr>
          <w:lang w:val="fr-CA"/>
        </w:rPr>
        <w:t>aide juridique du Yukon</w:t>
      </w:r>
      <w:r w:rsidR="00DB6365" w:rsidRPr="008F1EFE">
        <w:rPr>
          <w:lang w:val="fr-CA"/>
        </w:rPr>
        <w:t> :</w:t>
      </w:r>
      <w:r w:rsidR="00791C73" w:rsidRPr="008F1EFE">
        <w:rPr>
          <w:lang w:val="fr-CA"/>
        </w:rPr>
        <w:t> </w:t>
      </w:r>
      <w:r w:rsidR="00DA14D1" w:rsidRPr="008F1EFE">
        <w:rPr>
          <w:lang w:val="fr-CA"/>
        </w:rPr>
        <w:t>Tutshi Law Centre, Whitehorse.</w:t>
      </w:r>
    </w:p>
    <w:p w:rsidR="006054E2" w:rsidRPr="008F1EFE" w:rsidRDefault="005B5BBE" w:rsidP="00DB6365">
      <w:pPr>
        <w:pStyle w:val="SCCLawFirm"/>
        <w:spacing w:after="480"/>
        <w:rPr>
          <w:lang w:val="fr-CA"/>
        </w:rPr>
      </w:pPr>
      <w:r w:rsidRPr="008F1EFE">
        <w:rPr>
          <w:lang w:val="fr-CA"/>
        </w:rPr>
        <w:tab/>
        <w:t>Procureurs</w:t>
      </w:r>
      <w:r w:rsidR="00DA14D1" w:rsidRPr="008F1EFE">
        <w:rPr>
          <w:lang w:val="fr-CA"/>
        </w:rPr>
        <w:t xml:space="preserve"> de l</w:t>
      </w:r>
      <w:r w:rsidR="002638F6" w:rsidRPr="008F1EFE">
        <w:rPr>
          <w:lang w:val="fr-CA"/>
        </w:rPr>
        <w:t>’</w:t>
      </w:r>
      <w:r w:rsidRPr="008F1EFE">
        <w:rPr>
          <w:lang w:val="fr-CA"/>
        </w:rPr>
        <w:t>intervenante</w:t>
      </w:r>
      <w:r w:rsidR="00DA14D1" w:rsidRPr="008F1EFE">
        <w:rPr>
          <w:lang w:val="fr-CA"/>
        </w:rPr>
        <w:t xml:space="preserve"> </w:t>
      </w:r>
      <w:r w:rsidRPr="008F1EFE">
        <w:rPr>
          <w:lang w:val="fr-CA"/>
        </w:rPr>
        <w:t>l</w:t>
      </w:r>
      <w:r w:rsidR="002638F6" w:rsidRPr="008F1EFE">
        <w:rPr>
          <w:lang w:val="fr-CA"/>
        </w:rPr>
        <w:t>’</w:t>
      </w:r>
      <w:r w:rsidR="00DA14D1" w:rsidRPr="008F1EFE">
        <w:rPr>
          <w:lang w:val="fr-CA"/>
        </w:rPr>
        <w:t xml:space="preserve">Association </w:t>
      </w:r>
      <w:r w:rsidR="00C0292B" w:rsidRPr="008F1EFE">
        <w:rPr>
          <w:lang w:val="fr-CA"/>
        </w:rPr>
        <w:t>c</w:t>
      </w:r>
      <w:r w:rsidR="00DA14D1" w:rsidRPr="008F1EFE">
        <w:rPr>
          <w:lang w:val="fr-CA"/>
        </w:rPr>
        <w:t xml:space="preserve">anadienne des </w:t>
      </w:r>
      <w:r w:rsidR="00C0292B" w:rsidRPr="008F1EFE">
        <w:rPr>
          <w:lang w:val="fr-CA"/>
        </w:rPr>
        <w:t>l</w:t>
      </w:r>
      <w:r w:rsidR="00DA14D1" w:rsidRPr="008F1EFE">
        <w:rPr>
          <w:lang w:val="fr-CA"/>
        </w:rPr>
        <w:t xml:space="preserve">ibertés </w:t>
      </w:r>
      <w:r w:rsidR="00C0292B" w:rsidRPr="008F1EFE">
        <w:rPr>
          <w:lang w:val="fr-CA"/>
        </w:rPr>
        <w:t>c</w:t>
      </w:r>
      <w:r w:rsidR="00DA14D1" w:rsidRPr="008F1EFE">
        <w:rPr>
          <w:lang w:val="fr-CA"/>
        </w:rPr>
        <w:t>iviles</w:t>
      </w:r>
      <w:r w:rsidR="00DB6365" w:rsidRPr="008F1EFE">
        <w:rPr>
          <w:lang w:val="fr-CA"/>
        </w:rPr>
        <w:t> :</w:t>
      </w:r>
      <w:r w:rsidR="00791C73" w:rsidRPr="008F1EFE">
        <w:rPr>
          <w:lang w:val="fr-CA"/>
        </w:rPr>
        <w:t> </w:t>
      </w:r>
      <w:r w:rsidR="00DA14D1" w:rsidRPr="008F1EFE">
        <w:rPr>
          <w:lang w:val="fr-CA"/>
        </w:rPr>
        <w:t>Cooper, Sandler, Shime &amp; Bergman, Toronto.</w:t>
      </w:r>
    </w:p>
    <w:p w:rsidR="006054E2" w:rsidRPr="008F1EFE" w:rsidRDefault="005B5BBE" w:rsidP="00DB6365">
      <w:pPr>
        <w:pStyle w:val="SCCLawFirm"/>
        <w:spacing w:after="480"/>
        <w:rPr>
          <w:lang w:val="fr-CA"/>
        </w:rPr>
      </w:pPr>
      <w:r w:rsidRPr="008F1EFE">
        <w:rPr>
          <w:lang w:val="fr-CA"/>
        </w:rPr>
        <w:tab/>
        <w:t>Procure</w:t>
      </w:r>
      <w:r w:rsidRPr="008F050D">
        <w:rPr>
          <w:lang w:val="fr-CA"/>
        </w:rPr>
        <w:t>ur</w:t>
      </w:r>
      <w:r w:rsidR="00DA14D1" w:rsidRPr="008F050D">
        <w:rPr>
          <w:lang w:val="fr-CA"/>
        </w:rPr>
        <w:t xml:space="preserve"> de l</w:t>
      </w:r>
      <w:r w:rsidR="002638F6" w:rsidRPr="008F050D">
        <w:rPr>
          <w:lang w:val="fr-CA"/>
        </w:rPr>
        <w:t>’</w:t>
      </w:r>
      <w:r w:rsidRPr="008F050D">
        <w:rPr>
          <w:lang w:val="fr-CA"/>
        </w:rPr>
        <w:t>intervenante</w:t>
      </w:r>
      <w:r w:rsidR="00DA14D1" w:rsidRPr="008F050D">
        <w:rPr>
          <w:lang w:val="fr-CA"/>
        </w:rPr>
        <w:t xml:space="preserve"> </w:t>
      </w:r>
      <w:r w:rsidRPr="008F050D">
        <w:rPr>
          <w:lang w:val="fr-CA"/>
        </w:rPr>
        <w:t xml:space="preserve">la </w:t>
      </w:r>
      <w:r w:rsidR="00DA14D1" w:rsidRPr="008F050D">
        <w:rPr>
          <w:lang w:val="fr-CA"/>
        </w:rPr>
        <w:t>Société Radio</w:t>
      </w:r>
      <w:r w:rsidR="00DB6365" w:rsidRPr="008F050D">
        <w:rPr>
          <w:lang w:val="fr-CA"/>
        </w:rPr>
        <w:noBreakHyphen/>
      </w:r>
      <w:r w:rsidR="00DA14D1" w:rsidRPr="008F050D">
        <w:rPr>
          <w:lang w:val="fr-CA"/>
        </w:rPr>
        <w:t>Canada</w:t>
      </w:r>
      <w:r w:rsidR="00DB6365" w:rsidRPr="008F050D">
        <w:rPr>
          <w:lang w:val="fr-CA"/>
        </w:rPr>
        <w:t> :</w:t>
      </w:r>
      <w:r w:rsidR="00791C73" w:rsidRPr="008F050D">
        <w:rPr>
          <w:lang w:val="fr-CA"/>
        </w:rPr>
        <w:t> </w:t>
      </w:r>
      <w:r w:rsidR="00C0292B" w:rsidRPr="008F050D">
        <w:rPr>
          <w:lang w:val="fr-CA"/>
        </w:rPr>
        <w:t>Société Radio</w:t>
      </w:r>
      <w:r w:rsidR="00C0292B" w:rsidRPr="008F050D">
        <w:rPr>
          <w:lang w:val="fr-CA"/>
        </w:rPr>
        <w:noBreakHyphen/>
        <w:t>Canada</w:t>
      </w:r>
      <w:r w:rsidR="00DA14D1" w:rsidRPr="008F050D">
        <w:rPr>
          <w:lang w:val="fr-CA"/>
        </w:rPr>
        <w:t>, Toronto</w:t>
      </w:r>
      <w:r w:rsidR="00DA14D1" w:rsidRPr="008F1EFE">
        <w:rPr>
          <w:lang w:val="fr-CA"/>
        </w:rPr>
        <w:t>.</w:t>
      </w:r>
    </w:p>
    <w:p w:rsidR="009B57B3" w:rsidRPr="008F1EFE" w:rsidRDefault="005B5BBE" w:rsidP="00772332">
      <w:pPr>
        <w:pStyle w:val="SCCLawFirm"/>
        <w:rPr>
          <w:lang w:val="fr-CA"/>
        </w:rPr>
      </w:pPr>
      <w:r w:rsidRPr="008F1EFE">
        <w:rPr>
          <w:lang w:val="fr-CA"/>
        </w:rPr>
        <w:tab/>
        <w:t>Procureurs</w:t>
      </w:r>
      <w:r w:rsidR="00DA14D1" w:rsidRPr="008F1EFE">
        <w:rPr>
          <w:lang w:val="fr-CA"/>
        </w:rPr>
        <w:t xml:space="preserve"> de l</w:t>
      </w:r>
      <w:r w:rsidR="002638F6" w:rsidRPr="008F1EFE">
        <w:rPr>
          <w:lang w:val="fr-CA"/>
        </w:rPr>
        <w:t>’</w:t>
      </w:r>
      <w:r w:rsidRPr="008F1EFE">
        <w:rPr>
          <w:lang w:val="fr-CA"/>
        </w:rPr>
        <w:t>intervenante</w:t>
      </w:r>
      <w:r w:rsidR="00DA14D1" w:rsidRPr="008F1EFE">
        <w:rPr>
          <w:lang w:val="fr-CA"/>
        </w:rPr>
        <w:t xml:space="preserve"> Canadian Association for Progress in Justice</w:t>
      </w:r>
      <w:r w:rsidR="00DB6365" w:rsidRPr="008F1EFE">
        <w:rPr>
          <w:lang w:val="fr-CA"/>
        </w:rPr>
        <w:t> :</w:t>
      </w:r>
      <w:r w:rsidR="00791C73" w:rsidRPr="008F1EFE">
        <w:rPr>
          <w:lang w:val="fr-CA"/>
        </w:rPr>
        <w:t> </w:t>
      </w:r>
      <w:r w:rsidRPr="008F1EFE">
        <w:rPr>
          <w:lang w:val="fr-CA"/>
        </w:rPr>
        <w:t>Norton Rose Fulbright Canada</w:t>
      </w:r>
      <w:r w:rsidR="00DA14D1" w:rsidRPr="008F1EFE">
        <w:rPr>
          <w:lang w:val="fr-CA"/>
        </w:rPr>
        <w:t>, Vancouver.</w:t>
      </w:r>
    </w:p>
    <w:sectPr w:rsidR="009B57B3" w:rsidRPr="008F1EF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msRmn 12p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4965B0" w:rsidRPr="00EF0F72" w:rsidRDefault="004965B0" w:rsidP="004965B0">
      <w:pPr>
        <w:ind w:left="142" w:hanging="142"/>
        <w:jc w:val="both"/>
        <w:rPr>
          <w:sz w:val="20"/>
          <w:lang w:val="fr-CA"/>
        </w:rPr>
      </w:pPr>
      <w:r w:rsidRPr="00C2408D">
        <w:rPr>
          <w:rStyle w:val="FootnoteReference"/>
          <w:sz w:val="20"/>
        </w:rPr>
        <w:footnoteRef/>
      </w:r>
      <w:r w:rsidRPr="003955D8">
        <w:rPr>
          <w:sz w:val="20"/>
          <w:lang w:val="fr-CA"/>
        </w:rPr>
        <w:t xml:space="preserve"> </w:t>
      </w:r>
      <w:r>
        <w:rPr>
          <w:sz w:val="20"/>
          <w:lang w:val="fr-CA"/>
        </w:rPr>
        <w:t>L’</w:t>
      </w:r>
      <w:r w:rsidRPr="009B67FC">
        <w:rPr>
          <w:sz w:val="20"/>
          <w:lang w:val="fr-CA"/>
        </w:rPr>
        <w:t>article 83.3 prévoit un engagement de ne pas troubler l</w:t>
      </w:r>
      <w:r>
        <w:rPr>
          <w:sz w:val="20"/>
          <w:lang w:val="fr-CA"/>
        </w:rPr>
        <w:t>’</w:t>
      </w:r>
      <w:r w:rsidRPr="009B67FC">
        <w:rPr>
          <w:sz w:val="20"/>
          <w:lang w:val="fr-CA"/>
        </w:rPr>
        <w:t>ordre public spéciali</w:t>
      </w:r>
      <w:r>
        <w:rPr>
          <w:sz w:val="20"/>
          <w:lang w:val="fr-CA"/>
        </w:rPr>
        <w:t>sé visant à réduire le risque d’</w:t>
      </w:r>
      <w:r w:rsidRPr="009B67FC">
        <w:rPr>
          <w:sz w:val="20"/>
          <w:lang w:val="fr-CA"/>
        </w:rPr>
        <w:t xml:space="preserve">activité terroriste. Contrairement aux dispositions </w:t>
      </w:r>
      <w:r>
        <w:rPr>
          <w:sz w:val="20"/>
          <w:lang w:val="fr-CA"/>
        </w:rPr>
        <w:t xml:space="preserve">relatives aux </w:t>
      </w:r>
      <w:r w:rsidRPr="009B67FC">
        <w:rPr>
          <w:sz w:val="20"/>
          <w:lang w:val="fr-CA"/>
        </w:rPr>
        <w:t>e</w:t>
      </w:r>
      <w:r>
        <w:rPr>
          <w:sz w:val="20"/>
          <w:lang w:val="fr-CA"/>
        </w:rPr>
        <w:t>ngagements de ne pas troubler l’</w:t>
      </w:r>
      <w:r w:rsidRPr="009B67FC">
        <w:rPr>
          <w:sz w:val="20"/>
          <w:lang w:val="fr-CA"/>
        </w:rPr>
        <w:t>ordre public dont il est question dans les présents motifs, l</w:t>
      </w:r>
      <w:r>
        <w:rPr>
          <w:sz w:val="20"/>
          <w:lang w:val="fr-CA"/>
        </w:rPr>
        <w:t>’</w:t>
      </w:r>
      <w:r w:rsidRPr="009B67FC">
        <w:rPr>
          <w:sz w:val="20"/>
          <w:lang w:val="fr-CA"/>
        </w:rPr>
        <w:t>art</w:t>
      </w:r>
      <w:r>
        <w:rPr>
          <w:sz w:val="20"/>
          <w:lang w:val="fr-CA"/>
        </w:rPr>
        <w:t>. </w:t>
      </w:r>
      <w:r w:rsidRPr="009B67FC">
        <w:rPr>
          <w:sz w:val="20"/>
          <w:lang w:val="fr-CA"/>
        </w:rPr>
        <w:t xml:space="preserve">83.3 se trouve dans une autre partie du </w:t>
      </w:r>
      <w:r w:rsidRPr="009B67FC">
        <w:rPr>
          <w:i/>
          <w:sz w:val="20"/>
          <w:lang w:val="fr-CA"/>
        </w:rPr>
        <w:t>Code</w:t>
      </w:r>
      <w:r>
        <w:rPr>
          <w:i/>
          <w:sz w:val="20"/>
          <w:lang w:val="fr-CA"/>
        </w:rPr>
        <w:t xml:space="preserve"> criminel</w:t>
      </w:r>
      <w:r w:rsidRPr="009B67FC">
        <w:rPr>
          <w:i/>
          <w:sz w:val="20"/>
          <w:lang w:val="fr-CA"/>
        </w:rPr>
        <w:t xml:space="preserve"> </w:t>
      </w:r>
      <w:r w:rsidRPr="009B67FC">
        <w:rPr>
          <w:sz w:val="20"/>
          <w:lang w:val="fr-CA"/>
        </w:rPr>
        <w:t xml:space="preserve">et comprend </w:t>
      </w:r>
      <w:r>
        <w:rPr>
          <w:sz w:val="20"/>
          <w:lang w:val="fr-CA"/>
        </w:rPr>
        <w:t>des pouvoirs internes d’</w:t>
      </w:r>
      <w:r w:rsidRPr="009B67FC">
        <w:rPr>
          <w:sz w:val="20"/>
          <w:lang w:val="fr-CA"/>
        </w:rPr>
        <w:t xml:space="preserve">arrestation, de détention préventive et de mise en liberté provisoire </w:t>
      </w:r>
      <w:r>
        <w:rPr>
          <w:sz w:val="20"/>
          <w:lang w:val="fr-CA"/>
        </w:rPr>
        <w:t xml:space="preserve">par voie </w:t>
      </w:r>
      <w:r w:rsidRPr="009B67FC">
        <w:rPr>
          <w:sz w:val="20"/>
          <w:lang w:val="fr-CA"/>
        </w:rPr>
        <w:t>judiciaire qui s</w:t>
      </w:r>
      <w:r>
        <w:rPr>
          <w:sz w:val="20"/>
          <w:lang w:val="fr-CA"/>
        </w:rPr>
        <w:t xml:space="preserve">e retrouvent </w:t>
      </w:r>
      <w:r w:rsidRPr="009B67FC">
        <w:rPr>
          <w:sz w:val="20"/>
          <w:lang w:val="fr-CA"/>
        </w:rPr>
        <w:t>exclusi</w:t>
      </w:r>
      <w:r>
        <w:rPr>
          <w:sz w:val="20"/>
          <w:lang w:val="fr-CA"/>
        </w:rPr>
        <w:t xml:space="preserve">vement à cet </w:t>
      </w:r>
      <w:r w:rsidRPr="009B67FC">
        <w:rPr>
          <w:sz w:val="20"/>
          <w:lang w:val="fr-CA"/>
        </w:rPr>
        <w:t xml:space="preserve">article. </w:t>
      </w:r>
      <w:r>
        <w:rPr>
          <w:sz w:val="20"/>
          <w:lang w:val="fr-CA"/>
        </w:rPr>
        <w:t xml:space="preserve">Vu son caractère </w:t>
      </w:r>
      <w:r w:rsidRPr="009B67FC">
        <w:rPr>
          <w:sz w:val="20"/>
          <w:lang w:val="fr-CA"/>
        </w:rPr>
        <w:t>unique</w:t>
      </w:r>
      <w:r>
        <w:rPr>
          <w:sz w:val="20"/>
          <w:lang w:val="fr-CA"/>
        </w:rPr>
        <w:t xml:space="preserve">, il ne sera pas tenu compte de </w:t>
      </w:r>
      <w:r w:rsidRPr="009B67FC">
        <w:rPr>
          <w:sz w:val="20"/>
          <w:lang w:val="fr-CA"/>
        </w:rPr>
        <w:t>cette disposition</w:t>
      </w:r>
      <w:r>
        <w:rPr>
          <w:sz w:val="20"/>
          <w:lang w:val="fr-CA"/>
        </w:rPr>
        <w:t xml:space="preserve"> </w:t>
      </w:r>
      <w:r w:rsidRPr="009B67FC">
        <w:rPr>
          <w:sz w:val="20"/>
          <w:lang w:val="fr-CA"/>
        </w:rPr>
        <w:t xml:space="preserve">dans </w:t>
      </w:r>
      <w:r>
        <w:rPr>
          <w:sz w:val="20"/>
          <w:lang w:val="fr-CA"/>
        </w:rPr>
        <w:t xml:space="preserve">les présents </w:t>
      </w:r>
      <w:r w:rsidRPr="009B67FC">
        <w:rPr>
          <w:sz w:val="20"/>
          <w:lang w:val="fr-CA"/>
        </w:rPr>
        <w:t>motifs</w:t>
      </w:r>
      <w:r w:rsidRPr="003955D8">
        <w:rPr>
          <w:sz w:val="20"/>
          <w:lang w:val="fr-CA"/>
        </w:rPr>
        <w:t>.</w:t>
      </w:r>
    </w:p>
  </w:footnote>
  <w:footnote w:id="2">
    <w:p w:rsidR="004965B0" w:rsidRPr="003955D8" w:rsidRDefault="004965B0" w:rsidP="00AB4E62">
      <w:pPr>
        <w:pStyle w:val="FootnoteText"/>
        <w:tabs>
          <w:tab w:val="clear" w:pos="180"/>
        </w:tabs>
        <w:ind w:left="0" w:firstLine="0"/>
        <w:rPr>
          <w:lang w:val="fr-CA"/>
        </w:rPr>
      </w:pPr>
      <w:r>
        <w:rPr>
          <w:rStyle w:val="FootnoteReference"/>
        </w:rPr>
        <w:footnoteRef/>
      </w:r>
      <w:r>
        <w:rPr>
          <w:lang w:val="fr-CA"/>
        </w:rPr>
        <w:t xml:space="preserve"> </w:t>
      </w:r>
      <w:r w:rsidRPr="001862B7">
        <w:rPr>
          <w:lang w:val="fr-CA"/>
        </w:rPr>
        <w:t xml:space="preserve">Chacune des dispositions </w:t>
      </w:r>
      <w:r>
        <w:rPr>
          <w:lang w:val="fr-CA"/>
        </w:rPr>
        <w:t xml:space="preserve">relatives aux </w:t>
      </w:r>
      <w:r w:rsidRPr="001862B7">
        <w:rPr>
          <w:lang w:val="fr-CA"/>
        </w:rPr>
        <w:t>engagement</w:t>
      </w:r>
      <w:r>
        <w:rPr>
          <w:lang w:val="fr-CA"/>
        </w:rPr>
        <w:t>s</w:t>
      </w:r>
      <w:r w:rsidRPr="001862B7">
        <w:rPr>
          <w:lang w:val="fr-CA"/>
        </w:rPr>
        <w:t xml:space="preserve"> de ne pas troubler l</w:t>
      </w:r>
      <w:r>
        <w:rPr>
          <w:lang w:val="fr-CA"/>
        </w:rPr>
        <w:t>’</w:t>
      </w:r>
      <w:r w:rsidRPr="001862B7">
        <w:rPr>
          <w:lang w:val="fr-CA"/>
        </w:rPr>
        <w:t xml:space="preserve">ordre public </w:t>
      </w:r>
      <w:r>
        <w:rPr>
          <w:lang w:val="fr-CA"/>
        </w:rPr>
        <w:t xml:space="preserve">confère au juge un </w:t>
      </w:r>
      <w:r w:rsidRPr="001862B7">
        <w:rPr>
          <w:lang w:val="fr-CA"/>
        </w:rPr>
        <w:t xml:space="preserve">pouvoir discrétionnaire quant à </w:t>
      </w:r>
      <w:r>
        <w:rPr>
          <w:lang w:val="fr-CA"/>
        </w:rPr>
        <w:t xml:space="preserve">l’opportunité de tenir </w:t>
      </w:r>
      <w:r w:rsidRPr="001862B7">
        <w:rPr>
          <w:lang w:val="fr-CA"/>
        </w:rPr>
        <w:t>ou non une audience, à l</w:t>
      </w:r>
      <w:r>
        <w:rPr>
          <w:lang w:val="fr-CA"/>
        </w:rPr>
        <w:t>’</w:t>
      </w:r>
      <w:r w:rsidRPr="001862B7">
        <w:rPr>
          <w:lang w:val="fr-CA"/>
        </w:rPr>
        <w:t>exception du pa</w:t>
      </w:r>
      <w:r>
        <w:rPr>
          <w:lang w:val="fr-CA"/>
        </w:rPr>
        <w:t>r. </w:t>
      </w:r>
      <w:r w:rsidRPr="001862B7">
        <w:rPr>
          <w:lang w:val="fr-CA"/>
        </w:rPr>
        <w:t>810(2)</w:t>
      </w:r>
      <w:r>
        <w:rPr>
          <w:lang w:val="fr-CA"/>
        </w:rPr>
        <w:t>,</w:t>
      </w:r>
      <w:r w:rsidRPr="001862B7">
        <w:rPr>
          <w:lang w:val="fr-CA"/>
        </w:rPr>
        <w:t xml:space="preserve"> qui prévoit qu</w:t>
      </w:r>
      <w:r>
        <w:rPr>
          <w:lang w:val="fr-CA"/>
        </w:rPr>
        <w:t xml:space="preserve">e le </w:t>
      </w:r>
      <w:r w:rsidRPr="001862B7">
        <w:rPr>
          <w:lang w:val="fr-CA"/>
        </w:rPr>
        <w:t xml:space="preserve">juge </w:t>
      </w:r>
      <w:r>
        <w:rPr>
          <w:lang w:val="fr-CA"/>
        </w:rPr>
        <w:t xml:space="preserve">de paix </w:t>
      </w:r>
      <w:r w:rsidRPr="001862B7">
        <w:rPr>
          <w:lang w:val="fr-CA"/>
        </w:rPr>
        <w:t xml:space="preserve">qui reçoit </w:t>
      </w:r>
      <w:r>
        <w:rPr>
          <w:lang w:val="fr-CA"/>
        </w:rPr>
        <w:t xml:space="preserve">une </w:t>
      </w:r>
      <w:r w:rsidRPr="001862B7">
        <w:rPr>
          <w:lang w:val="fr-CA"/>
        </w:rPr>
        <w:t xml:space="preserve">dénonciation </w:t>
      </w:r>
      <w:r>
        <w:rPr>
          <w:lang w:val="fr-CA"/>
        </w:rPr>
        <w:t>en vertu du par. </w:t>
      </w:r>
      <w:r w:rsidRPr="001862B7">
        <w:rPr>
          <w:lang w:val="fr-CA"/>
        </w:rPr>
        <w:t xml:space="preserve">810(1) </w:t>
      </w:r>
      <w:r>
        <w:rPr>
          <w:lang w:val="fr-CA"/>
        </w:rPr>
        <w:t>« </w:t>
      </w:r>
      <w:r w:rsidRPr="001862B7">
        <w:rPr>
          <w:lang w:val="fr-CA"/>
        </w:rPr>
        <w:t>fai</w:t>
      </w:r>
      <w:r>
        <w:rPr>
          <w:lang w:val="fr-CA"/>
        </w:rPr>
        <w:t>t </w:t>
      </w:r>
      <w:r w:rsidRPr="001862B7">
        <w:rPr>
          <w:lang w:val="fr-CA"/>
        </w:rPr>
        <w:t>comparaître les parties</w:t>
      </w:r>
      <w:r>
        <w:rPr>
          <w:lang w:val="fr-CA"/>
        </w:rPr>
        <w:t> ».</w:t>
      </w:r>
      <w:r w:rsidRPr="00EF0F72">
        <w:rPr>
          <w:lang w:val="fr-CA"/>
        </w:rPr>
        <w:t xml:space="preserve"> </w:t>
      </w:r>
    </w:p>
  </w:footnote>
  <w:footnote w:id="3">
    <w:p w:rsidR="004965B0" w:rsidRPr="00CB3B29" w:rsidRDefault="004965B0" w:rsidP="00AB4E62">
      <w:pPr>
        <w:pStyle w:val="FootnoteText"/>
        <w:tabs>
          <w:tab w:val="clear" w:pos="180"/>
          <w:tab w:val="left" w:pos="0"/>
        </w:tabs>
        <w:ind w:left="0" w:firstLine="0"/>
        <w:rPr>
          <w:lang w:val="fr-CA"/>
        </w:rPr>
      </w:pPr>
      <w:r>
        <w:rPr>
          <w:rStyle w:val="FootnoteReference"/>
        </w:rPr>
        <w:footnoteRef/>
      </w:r>
      <w:r w:rsidRPr="00CB3B29">
        <w:rPr>
          <w:lang w:val="fr-CA"/>
        </w:rPr>
        <w:t xml:space="preserve"> </w:t>
      </w:r>
      <w:r>
        <w:rPr>
          <w:lang w:val="fr-CA"/>
        </w:rPr>
        <w:t xml:space="preserve">Certaines dispositions relatives à l’engagement de ne pas troubler l’ordre public prévoient que la durée de l’engagement peut être prolongée jusqu’à deux ans </w:t>
      </w:r>
      <w:r w:rsidRPr="007B7848">
        <w:rPr>
          <w:szCs w:val="24"/>
          <w:lang w:val="fr-CA"/>
        </w:rPr>
        <w:t>si le défendeur a déjà été reconnu coupable d’une infraction visée à la disposition relative à l’engagement de ne pas troubler l’ordre public</w:t>
      </w:r>
      <w:r w:rsidRPr="007B7848">
        <w:rPr>
          <w:lang w:val="fr-CA"/>
        </w:rPr>
        <w:t xml:space="preserve"> applicable </w:t>
      </w:r>
      <w:r w:rsidRPr="007B7848">
        <w:rPr>
          <w:szCs w:val="24"/>
          <w:lang w:val="fr-CA"/>
        </w:rPr>
        <w:t>(p. ex., par. 810.2(3.1))</w:t>
      </w:r>
      <w:r>
        <w:rPr>
          <w:szCs w:val="24"/>
          <w:lang w:val="fr-CA"/>
        </w:rPr>
        <w:t>.</w:t>
      </w:r>
    </w:p>
  </w:footnote>
  <w:footnote w:id="4">
    <w:p w:rsidR="004965B0" w:rsidRPr="005230B9" w:rsidRDefault="004965B0" w:rsidP="004965B0">
      <w:pPr>
        <w:pStyle w:val="FootnoteText"/>
        <w:tabs>
          <w:tab w:val="clear" w:pos="180"/>
          <w:tab w:val="left" w:pos="0"/>
        </w:tabs>
        <w:ind w:left="0" w:firstLine="0"/>
        <w:rPr>
          <w:lang w:val="fr-CA"/>
        </w:rPr>
      </w:pPr>
      <w:r>
        <w:rPr>
          <w:rStyle w:val="FootnoteReference"/>
        </w:rPr>
        <w:footnoteRef/>
      </w:r>
      <w:r>
        <w:rPr>
          <w:lang w:val="fr-CA"/>
        </w:rPr>
        <w:t xml:space="preserve"> Il s’agit de l’art. </w:t>
      </w:r>
      <w:r w:rsidRPr="005230B9">
        <w:rPr>
          <w:lang w:val="fr-CA"/>
        </w:rPr>
        <w:t>810.02 (</w:t>
      </w:r>
      <w:r>
        <w:rPr>
          <w:lang w:val="fr-CA"/>
        </w:rPr>
        <w:t>c</w:t>
      </w:r>
      <w:r w:rsidRPr="005230B9">
        <w:rPr>
          <w:lang w:val="fr-CA"/>
        </w:rPr>
        <w:t xml:space="preserve">rainte de mariage forcé ou de </w:t>
      </w:r>
      <w:r w:rsidRPr="00D52C7F">
        <w:rPr>
          <w:lang w:val="fr-CA"/>
        </w:rPr>
        <w:t>mariage de personnes de moins de seize ans), qui ne mentionne pas expressément le par. 810(5). Je ne me prono</w:t>
      </w:r>
      <w:r>
        <w:rPr>
          <w:lang w:val="fr-CA"/>
        </w:rPr>
        <w:t>nce pas quant à savoir si la partie </w:t>
      </w:r>
      <w:r w:rsidRPr="005230B9">
        <w:rPr>
          <w:lang w:val="fr-CA"/>
        </w:rPr>
        <w:t xml:space="preserve">XVI </w:t>
      </w:r>
      <w:r>
        <w:rPr>
          <w:lang w:val="fr-CA"/>
        </w:rPr>
        <w:t>s’applique à cet engagement de ne pas troubler l’ordre public par l’effet des autres dispositions d’incorporation par renvoi.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FFFFFF7C"/>
    <w:multiLevelType w:val="singleLevel"/>
    <w:tmpl w:val="05AA88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549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DAE4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1C89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7283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4BC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EB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4F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CC5D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923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255"/>
    <w:multiLevelType w:val="multilevel"/>
    <w:tmpl w:val="9A0AF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4A77E6"/>
    <w:multiLevelType w:val="hybridMultilevel"/>
    <w:tmpl w:val="0E60F12C"/>
    <w:lvl w:ilvl="0" w:tplc="8ADA5EEC">
      <w:start w:val="18"/>
      <w:numFmt w:val="bullet"/>
      <w:lvlText w:val=""/>
      <w:lvlJc w:val="left"/>
      <w:pPr>
        <w:ind w:left="936" w:hanging="360"/>
      </w:pPr>
      <w:rPr>
        <w:rFonts w:ascii="Symbol" w:eastAsiaTheme="minorHAnsi" w:hAnsi="Symbol" w:cstheme="minorBidi"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2" w15:restartNumberingAfterBreak="0">
    <w:nsid w:val="0342294B"/>
    <w:multiLevelType w:val="multilevel"/>
    <w:tmpl w:val="DC84311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417630"/>
    <w:multiLevelType w:val="hybridMultilevel"/>
    <w:tmpl w:val="B00E9F90"/>
    <w:lvl w:ilvl="0" w:tplc="0A943452">
      <w:start w:val="788"/>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CC4716"/>
    <w:multiLevelType w:val="hybridMultilevel"/>
    <w:tmpl w:val="E75E8FF6"/>
    <w:lvl w:ilvl="0" w:tplc="610C98D0">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FDD0649"/>
    <w:multiLevelType w:val="multilevel"/>
    <w:tmpl w:val="A6B4EE1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E81592"/>
    <w:multiLevelType w:val="multilevel"/>
    <w:tmpl w:val="4D1A556E"/>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12312A"/>
    <w:multiLevelType w:val="multilevel"/>
    <w:tmpl w:val="894E14E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B9193A"/>
    <w:multiLevelType w:val="hybridMultilevel"/>
    <w:tmpl w:val="D35C150E"/>
    <w:lvl w:ilvl="0" w:tplc="F85C8F38">
      <w:start w:val="788"/>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2" w15:restartNumberingAfterBreak="0">
    <w:nsid w:val="27187CB7"/>
    <w:multiLevelType w:val="multilevel"/>
    <w:tmpl w:val="B60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E4221B"/>
    <w:multiLevelType w:val="multilevel"/>
    <w:tmpl w:val="47B6976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F6F8B"/>
    <w:multiLevelType w:val="multilevel"/>
    <w:tmpl w:val="FFF278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CC42AC"/>
    <w:multiLevelType w:val="hybridMultilevel"/>
    <w:tmpl w:val="C80E5610"/>
    <w:lvl w:ilvl="0" w:tplc="A3C07DA6">
      <w:start w:val="3"/>
      <w:numFmt w:val="bullet"/>
      <w:lvlText w:val=""/>
      <w:lvlJc w:val="left"/>
      <w:pPr>
        <w:ind w:left="1526" w:hanging="360"/>
      </w:pPr>
      <w:rPr>
        <w:rFonts w:ascii="Symbol" w:eastAsia="Times New Roman" w:hAnsi="Symbol"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4603130A"/>
    <w:multiLevelType w:val="multilevel"/>
    <w:tmpl w:val="66FA0DA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7" w15:restartNumberingAfterBreak="0">
    <w:nsid w:val="478C160C"/>
    <w:multiLevelType w:val="multilevel"/>
    <w:tmpl w:val="175A41BA"/>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283EE8"/>
    <w:multiLevelType w:val="multilevel"/>
    <w:tmpl w:val="2CF04B00"/>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9C1AB7"/>
    <w:multiLevelType w:val="hybridMultilevel"/>
    <w:tmpl w:val="45ECE714"/>
    <w:lvl w:ilvl="0" w:tplc="8ADA5EEC">
      <w:start w:val="18"/>
      <w:numFmt w:val="bullet"/>
      <w:lvlText w:val=""/>
      <w:lvlJc w:val="left"/>
      <w:pPr>
        <w:ind w:left="936"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D38C6"/>
    <w:multiLevelType w:val="multilevel"/>
    <w:tmpl w:val="AB70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F806D0"/>
    <w:multiLevelType w:val="multilevel"/>
    <w:tmpl w:val="EF94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C39A0"/>
    <w:multiLevelType w:val="multilevel"/>
    <w:tmpl w:val="DC5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14"/>
  </w:num>
  <w:num w:numId="4">
    <w:abstractNumId w:val="28"/>
  </w:num>
  <w:num w:numId="5">
    <w:abstractNumId w:val="29"/>
  </w:num>
  <w:num w:numId="6">
    <w:abstractNumId w:val="30"/>
  </w:num>
  <w:num w:numId="7">
    <w:abstractNumId w:val="26"/>
  </w:num>
  <w:num w:numId="8">
    <w:abstractNumId w:val="2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1"/>
  </w:num>
  <w:num w:numId="13">
    <w:abstractNumId w:val="24"/>
  </w:num>
  <w:num w:numId="14">
    <w:abstractNumId w:val="25"/>
  </w:num>
  <w:num w:numId="15">
    <w:abstractNumId w:val="35"/>
  </w:num>
  <w:num w:numId="16">
    <w:abstractNumId w:val="22"/>
  </w:num>
  <w:num w:numId="17">
    <w:abstractNumId w:val="32"/>
  </w:num>
  <w:num w:numId="18">
    <w:abstractNumId w:val="34"/>
  </w:num>
  <w:num w:numId="19">
    <w:abstractNumId w:val="16"/>
  </w:num>
  <w:num w:numId="20">
    <w:abstractNumId w:val="10"/>
  </w:num>
  <w:num w:numId="21">
    <w:abstractNumId w:val="18"/>
  </w:num>
  <w:num w:numId="22">
    <w:abstractNumId w:val="23"/>
  </w:num>
  <w:num w:numId="23">
    <w:abstractNumId w:val="20"/>
  </w:num>
  <w:num w:numId="24">
    <w:abstractNumId w:val="12"/>
  </w:num>
  <w:num w:numId="25">
    <w:abstractNumId w:val="27"/>
  </w:num>
  <w:num w:numId="26">
    <w:abstractNumId w:val="13"/>
  </w:num>
  <w:num w:numId="27">
    <w:abstractNumId w:val="19"/>
  </w:num>
  <w:num w:numId="28">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704"/>
    <w:rsid w:val="000160DF"/>
    <w:rsid w:val="000237E2"/>
    <w:rsid w:val="00023FC7"/>
    <w:rsid w:val="00025198"/>
    <w:rsid w:val="000418B8"/>
    <w:rsid w:val="0005379E"/>
    <w:rsid w:val="000578A3"/>
    <w:rsid w:val="00057D51"/>
    <w:rsid w:val="000615A7"/>
    <w:rsid w:val="000648CC"/>
    <w:rsid w:val="00064CD1"/>
    <w:rsid w:val="00075BD8"/>
    <w:rsid w:val="000840DC"/>
    <w:rsid w:val="000910ED"/>
    <w:rsid w:val="00091B28"/>
    <w:rsid w:val="0009338F"/>
    <w:rsid w:val="000B4276"/>
    <w:rsid w:val="000C01C4"/>
    <w:rsid w:val="000C4CE6"/>
    <w:rsid w:val="000C59B8"/>
    <w:rsid w:val="000C6AF0"/>
    <w:rsid w:val="000D0A77"/>
    <w:rsid w:val="000F1D42"/>
    <w:rsid w:val="000F2C52"/>
    <w:rsid w:val="000F72CD"/>
    <w:rsid w:val="000F7993"/>
    <w:rsid w:val="00100C55"/>
    <w:rsid w:val="00104F33"/>
    <w:rsid w:val="00106684"/>
    <w:rsid w:val="00111DE2"/>
    <w:rsid w:val="00116537"/>
    <w:rsid w:val="00116B38"/>
    <w:rsid w:val="00135406"/>
    <w:rsid w:val="00135972"/>
    <w:rsid w:val="001426A9"/>
    <w:rsid w:val="00154D7C"/>
    <w:rsid w:val="001570B0"/>
    <w:rsid w:val="0015752C"/>
    <w:rsid w:val="00157737"/>
    <w:rsid w:val="00165277"/>
    <w:rsid w:val="00170592"/>
    <w:rsid w:val="00171571"/>
    <w:rsid w:val="001720F7"/>
    <w:rsid w:val="00174613"/>
    <w:rsid w:val="001762DE"/>
    <w:rsid w:val="0019247D"/>
    <w:rsid w:val="00195D83"/>
    <w:rsid w:val="001A00C1"/>
    <w:rsid w:val="001B1CD0"/>
    <w:rsid w:val="001B33E0"/>
    <w:rsid w:val="001B4573"/>
    <w:rsid w:val="001C779F"/>
    <w:rsid w:val="001D2AC1"/>
    <w:rsid w:val="001D4E88"/>
    <w:rsid w:val="00202470"/>
    <w:rsid w:val="002109B2"/>
    <w:rsid w:val="00212CEF"/>
    <w:rsid w:val="00213F61"/>
    <w:rsid w:val="00220FC2"/>
    <w:rsid w:val="002222F4"/>
    <w:rsid w:val="00224FC0"/>
    <w:rsid w:val="00225EA4"/>
    <w:rsid w:val="00226EAF"/>
    <w:rsid w:val="00231F3A"/>
    <w:rsid w:val="002406EE"/>
    <w:rsid w:val="0024167A"/>
    <w:rsid w:val="00243EC8"/>
    <w:rsid w:val="00245E5C"/>
    <w:rsid w:val="0026134A"/>
    <w:rsid w:val="002638F6"/>
    <w:rsid w:val="00270D93"/>
    <w:rsid w:val="002745CC"/>
    <w:rsid w:val="002755C8"/>
    <w:rsid w:val="0028431C"/>
    <w:rsid w:val="002A211B"/>
    <w:rsid w:val="002A27BC"/>
    <w:rsid w:val="002A3EDA"/>
    <w:rsid w:val="002B6FBE"/>
    <w:rsid w:val="002B7924"/>
    <w:rsid w:val="002C10A6"/>
    <w:rsid w:val="002C7D07"/>
    <w:rsid w:val="002D28C3"/>
    <w:rsid w:val="002D39A4"/>
    <w:rsid w:val="002E6705"/>
    <w:rsid w:val="002F00C7"/>
    <w:rsid w:val="002F4FD2"/>
    <w:rsid w:val="003013FD"/>
    <w:rsid w:val="0030329A"/>
    <w:rsid w:val="003065B0"/>
    <w:rsid w:val="0031086F"/>
    <w:rsid w:val="0031414C"/>
    <w:rsid w:val="00314E01"/>
    <w:rsid w:val="0032089D"/>
    <w:rsid w:val="003310DE"/>
    <w:rsid w:val="003323B0"/>
    <w:rsid w:val="00340A49"/>
    <w:rsid w:val="0035169A"/>
    <w:rsid w:val="0035259D"/>
    <w:rsid w:val="00364B18"/>
    <w:rsid w:val="003747D5"/>
    <w:rsid w:val="003A125D"/>
    <w:rsid w:val="003A1AA7"/>
    <w:rsid w:val="003A4C70"/>
    <w:rsid w:val="003B215F"/>
    <w:rsid w:val="003B256A"/>
    <w:rsid w:val="003C799C"/>
    <w:rsid w:val="003D0399"/>
    <w:rsid w:val="003E1C71"/>
    <w:rsid w:val="003E2804"/>
    <w:rsid w:val="003F327B"/>
    <w:rsid w:val="003F7022"/>
    <w:rsid w:val="00406166"/>
    <w:rsid w:val="0040704B"/>
    <w:rsid w:val="004075FD"/>
    <w:rsid w:val="00410A55"/>
    <w:rsid w:val="00411300"/>
    <w:rsid w:val="00413F17"/>
    <w:rsid w:val="00415417"/>
    <w:rsid w:val="0042518A"/>
    <w:rsid w:val="00426659"/>
    <w:rsid w:val="00441096"/>
    <w:rsid w:val="00450352"/>
    <w:rsid w:val="00454BDB"/>
    <w:rsid w:val="00465132"/>
    <w:rsid w:val="00465A6D"/>
    <w:rsid w:val="004750DC"/>
    <w:rsid w:val="00480C90"/>
    <w:rsid w:val="00482E64"/>
    <w:rsid w:val="0048396F"/>
    <w:rsid w:val="00493C18"/>
    <w:rsid w:val="004965B0"/>
    <w:rsid w:val="004A0556"/>
    <w:rsid w:val="004A600C"/>
    <w:rsid w:val="004A6118"/>
    <w:rsid w:val="004C361A"/>
    <w:rsid w:val="004C478D"/>
    <w:rsid w:val="004D7D95"/>
    <w:rsid w:val="004E2C26"/>
    <w:rsid w:val="00505550"/>
    <w:rsid w:val="005125A8"/>
    <w:rsid w:val="00517549"/>
    <w:rsid w:val="00520ABC"/>
    <w:rsid w:val="00521AE8"/>
    <w:rsid w:val="005244C7"/>
    <w:rsid w:val="00527180"/>
    <w:rsid w:val="00536B1D"/>
    <w:rsid w:val="00550A07"/>
    <w:rsid w:val="00555291"/>
    <w:rsid w:val="0056596A"/>
    <w:rsid w:val="00566AD1"/>
    <w:rsid w:val="00566C3B"/>
    <w:rsid w:val="00573979"/>
    <w:rsid w:val="005764F1"/>
    <w:rsid w:val="00583EDE"/>
    <w:rsid w:val="0059641D"/>
    <w:rsid w:val="005A6079"/>
    <w:rsid w:val="005B05E6"/>
    <w:rsid w:val="005B56E0"/>
    <w:rsid w:val="005B5BBE"/>
    <w:rsid w:val="005D14A8"/>
    <w:rsid w:val="005D4EBE"/>
    <w:rsid w:val="005D58F3"/>
    <w:rsid w:val="005E434E"/>
    <w:rsid w:val="005E4698"/>
    <w:rsid w:val="005F4197"/>
    <w:rsid w:val="00603924"/>
    <w:rsid w:val="006054E2"/>
    <w:rsid w:val="00610539"/>
    <w:rsid w:val="00613969"/>
    <w:rsid w:val="0061512C"/>
    <w:rsid w:val="00623D1C"/>
    <w:rsid w:val="00625C35"/>
    <w:rsid w:val="00635917"/>
    <w:rsid w:val="00647E49"/>
    <w:rsid w:val="00656313"/>
    <w:rsid w:val="006565F4"/>
    <w:rsid w:val="00664483"/>
    <w:rsid w:val="006731BB"/>
    <w:rsid w:val="006773A1"/>
    <w:rsid w:val="00680517"/>
    <w:rsid w:val="00682ADF"/>
    <w:rsid w:val="00684EEA"/>
    <w:rsid w:val="0069347A"/>
    <w:rsid w:val="0069689B"/>
    <w:rsid w:val="006A29A6"/>
    <w:rsid w:val="006A6B7E"/>
    <w:rsid w:val="006B49E0"/>
    <w:rsid w:val="006B5FF5"/>
    <w:rsid w:val="006C5E28"/>
    <w:rsid w:val="006D0DA9"/>
    <w:rsid w:val="006E09F0"/>
    <w:rsid w:val="006E0EC6"/>
    <w:rsid w:val="006E7C72"/>
    <w:rsid w:val="006F0178"/>
    <w:rsid w:val="006F30AF"/>
    <w:rsid w:val="00701759"/>
    <w:rsid w:val="00705C15"/>
    <w:rsid w:val="007110F6"/>
    <w:rsid w:val="007208D1"/>
    <w:rsid w:val="00720F00"/>
    <w:rsid w:val="00744518"/>
    <w:rsid w:val="00746D72"/>
    <w:rsid w:val="00747288"/>
    <w:rsid w:val="00747DD3"/>
    <w:rsid w:val="00747E01"/>
    <w:rsid w:val="00752D85"/>
    <w:rsid w:val="007549C8"/>
    <w:rsid w:val="00754FFB"/>
    <w:rsid w:val="00766D14"/>
    <w:rsid w:val="00767A0F"/>
    <w:rsid w:val="00770D4D"/>
    <w:rsid w:val="00772332"/>
    <w:rsid w:val="0077385A"/>
    <w:rsid w:val="00791272"/>
    <w:rsid w:val="00791C73"/>
    <w:rsid w:val="00791EDE"/>
    <w:rsid w:val="00792313"/>
    <w:rsid w:val="007A05F6"/>
    <w:rsid w:val="007A47C9"/>
    <w:rsid w:val="007B6F4A"/>
    <w:rsid w:val="007C579F"/>
    <w:rsid w:val="007E1C47"/>
    <w:rsid w:val="007E337A"/>
    <w:rsid w:val="007E3E3D"/>
    <w:rsid w:val="007E5C70"/>
    <w:rsid w:val="007F259F"/>
    <w:rsid w:val="007F2FF5"/>
    <w:rsid w:val="007F3F08"/>
    <w:rsid w:val="007F3F97"/>
    <w:rsid w:val="00804CC6"/>
    <w:rsid w:val="00817190"/>
    <w:rsid w:val="008260E2"/>
    <w:rsid w:val="00826204"/>
    <w:rsid w:val="0083184C"/>
    <w:rsid w:val="008322BD"/>
    <w:rsid w:val="00834F73"/>
    <w:rsid w:val="00834FBF"/>
    <w:rsid w:val="00847341"/>
    <w:rsid w:val="008479B2"/>
    <w:rsid w:val="00847A0B"/>
    <w:rsid w:val="008607B7"/>
    <w:rsid w:val="00864C8A"/>
    <w:rsid w:val="00864CF8"/>
    <w:rsid w:val="0086514F"/>
    <w:rsid w:val="008673E3"/>
    <w:rsid w:val="00874833"/>
    <w:rsid w:val="00874914"/>
    <w:rsid w:val="00881081"/>
    <w:rsid w:val="0088781D"/>
    <w:rsid w:val="00891422"/>
    <w:rsid w:val="00892E1A"/>
    <w:rsid w:val="008A25B2"/>
    <w:rsid w:val="008B660A"/>
    <w:rsid w:val="008C01DA"/>
    <w:rsid w:val="008D442A"/>
    <w:rsid w:val="008D6D76"/>
    <w:rsid w:val="008E1439"/>
    <w:rsid w:val="008E4251"/>
    <w:rsid w:val="008F050D"/>
    <w:rsid w:val="008F1EFE"/>
    <w:rsid w:val="008F2674"/>
    <w:rsid w:val="008F78E9"/>
    <w:rsid w:val="009179F9"/>
    <w:rsid w:val="00917C7A"/>
    <w:rsid w:val="009219E4"/>
    <w:rsid w:val="00933E5E"/>
    <w:rsid w:val="00935218"/>
    <w:rsid w:val="00935A1B"/>
    <w:rsid w:val="00937C52"/>
    <w:rsid w:val="009403F3"/>
    <w:rsid w:val="0094667D"/>
    <w:rsid w:val="009555B7"/>
    <w:rsid w:val="009567AA"/>
    <w:rsid w:val="009602C9"/>
    <w:rsid w:val="00960D7F"/>
    <w:rsid w:val="00964B58"/>
    <w:rsid w:val="00967374"/>
    <w:rsid w:val="00977E52"/>
    <w:rsid w:val="00987A24"/>
    <w:rsid w:val="009947F9"/>
    <w:rsid w:val="009A2AE6"/>
    <w:rsid w:val="009A343A"/>
    <w:rsid w:val="009A72C6"/>
    <w:rsid w:val="009B2F23"/>
    <w:rsid w:val="009B57B3"/>
    <w:rsid w:val="009B7827"/>
    <w:rsid w:val="009C7FE7"/>
    <w:rsid w:val="009D2920"/>
    <w:rsid w:val="009D5AEB"/>
    <w:rsid w:val="009E23D3"/>
    <w:rsid w:val="009E56AD"/>
    <w:rsid w:val="009E7248"/>
    <w:rsid w:val="009F0E33"/>
    <w:rsid w:val="00A00711"/>
    <w:rsid w:val="00A149DF"/>
    <w:rsid w:val="00A14AB5"/>
    <w:rsid w:val="00A1755C"/>
    <w:rsid w:val="00A21B90"/>
    <w:rsid w:val="00A22AAC"/>
    <w:rsid w:val="00A41805"/>
    <w:rsid w:val="00A4788A"/>
    <w:rsid w:val="00A51882"/>
    <w:rsid w:val="00A52AFB"/>
    <w:rsid w:val="00A52BD6"/>
    <w:rsid w:val="00A548CB"/>
    <w:rsid w:val="00A5521C"/>
    <w:rsid w:val="00A61410"/>
    <w:rsid w:val="00A643E7"/>
    <w:rsid w:val="00A73C38"/>
    <w:rsid w:val="00A921A7"/>
    <w:rsid w:val="00AB4E62"/>
    <w:rsid w:val="00AB670D"/>
    <w:rsid w:val="00AC128D"/>
    <w:rsid w:val="00AD3279"/>
    <w:rsid w:val="00AD4BB4"/>
    <w:rsid w:val="00AD68D5"/>
    <w:rsid w:val="00AF03C5"/>
    <w:rsid w:val="00AF26AC"/>
    <w:rsid w:val="00B000D8"/>
    <w:rsid w:val="00B00F75"/>
    <w:rsid w:val="00B071FF"/>
    <w:rsid w:val="00B145B6"/>
    <w:rsid w:val="00B249D9"/>
    <w:rsid w:val="00B279EB"/>
    <w:rsid w:val="00B3040B"/>
    <w:rsid w:val="00B40B4B"/>
    <w:rsid w:val="00B40BE7"/>
    <w:rsid w:val="00B42045"/>
    <w:rsid w:val="00B43C83"/>
    <w:rsid w:val="00B50468"/>
    <w:rsid w:val="00B50C81"/>
    <w:rsid w:val="00B528D3"/>
    <w:rsid w:val="00B557F8"/>
    <w:rsid w:val="00B62D18"/>
    <w:rsid w:val="00B668DA"/>
    <w:rsid w:val="00B7568B"/>
    <w:rsid w:val="00B8035A"/>
    <w:rsid w:val="00B815FC"/>
    <w:rsid w:val="00B93FBC"/>
    <w:rsid w:val="00BA7DA0"/>
    <w:rsid w:val="00BB2EE4"/>
    <w:rsid w:val="00BB4C92"/>
    <w:rsid w:val="00BC09D4"/>
    <w:rsid w:val="00BC2108"/>
    <w:rsid w:val="00BD0E9E"/>
    <w:rsid w:val="00BD1BEC"/>
    <w:rsid w:val="00BD32FF"/>
    <w:rsid w:val="00BD655E"/>
    <w:rsid w:val="00BF6FA0"/>
    <w:rsid w:val="00BF6FE9"/>
    <w:rsid w:val="00C02092"/>
    <w:rsid w:val="00C0292B"/>
    <w:rsid w:val="00C11365"/>
    <w:rsid w:val="00C24D91"/>
    <w:rsid w:val="00C26DB2"/>
    <w:rsid w:val="00C3305E"/>
    <w:rsid w:val="00C53F14"/>
    <w:rsid w:val="00C600CF"/>
    <w:rsid w:val="00C6084F"/>
    <w:rsid w:val="00C62A66"/>
    <w:rsid w:val="00C66359"/>
    <w:rsid w:val="00C6725C"/>
    <w:rsid w:val="00C71458"/>
    <w:rsid w:val="00C77613"/>
    <w:rsid w:val="00C828E7"/>
    <w:rsid w:val="00C844F7"/>
    <w:rsid w:val="00C86719"/>
    <w:rsid w:val="00C921DD"/>
    <w:rsid w:val="00C970D6"/>
    <w:rsid w:val="00CA45CC"/>
    <w:rsid w:val="00CA6391"/>
    <w:rsid w:val="00CB33A0"/>
    <w:rsid w:val="00CB72A3"/>
    <w:rsid w:val="00CC4EDA"/>
    <w:rsid w:val="00CD16A3"/>
    <w:rsid w:val="00CD2914"/>
    <w:rsid w:val="00CE036E"/>
    <w:rsid w:val="00CE3171"/>
    <w:rsid w:val="00CE5961"/>
    <w:rsid w:val="00CE7772"/>
    <w:rsid w:val="00CF1601"/>
    <w:rsid w:val="00CF1F87"/>
    <w:rsid w:val="00D0172F"/>
    <w:rsid w:val="00D01E33"/>
    <w:rsid w:val="00D068A7"/>
    <w:rsid w:val="00D13259"/>
    <w:rsid w:val="00D1651E"/>
    <w:rsid w:val="00D17476"/>
    <w:rsid w:val="00D17B0E"/>
    <w:rsid w:val="00D20ECC"/>
    <w:rsid w:val="00D2555F"/>
    <w:rsid w:val="00D260AB"/>
    <w:rsid w:val="00D32086"/>
    <w:rsid w:val="00D36BCE"/>
    <w:rsid w:val="00D37A3F"/>
    <w:rsid w:val="00D4431D"/>
    <w:rsid w:val="00D4667A"/>
    <w:rsid w:val="00D63A1C"/>
    <w:rsid w:val="00D7516C"/>
    <w:rsid w:val="00D7516F"/>
    <w:rsid w:val="00D77247"/>
    <w:rsid w:val="00D847F9"/>
    <w:rsid w:val="00D86984"/>
    <w:rsid w:val="00D95F8E"/>
    <w:rsid w:val="00DA0590"/>
    <w:rsid w:val="00DA0C3E"/>
    <w:rsid w:val="00DA14D1"/>
    <w:rsid w:val="00DA1F8A"/>
    <w:rsid w:val="00DA57EB"/>
    <w:rsid w:val="00DB3546"/>
    <w:rsid w:val="00DB6365"/>
    <w:rsid w:val="00DC1739"/>
    <w:rsid w:val="00DC1788"/>
    <w:rsid w:val="00DC4DEB"/>
    <w:rsid w:val="00DD2A25"/>
    <w:rsid w:val="00DE22D2"/>
    <w:rsid w:val="00DE319C"/>
    <w:rsid w:val="00DE4FE1"/>
    <w:rsid w:val="00DF0CA8"/>
    <w:rsid w:val="00DF2235"/>
    <w:rsid w:val="00DF2B48"/>
    <w:rsid w:val="00DF49A7"/>
    <w:rsid w:val="00DF531F"/>
    <w:rsid w:val="00E07EE2"/>
    <w:rsid w:val="00E07FD1"/>
    <w:rsid w:val="00E24573"/>
    <w:rsid w:val="00E24D2B"/>
    <w:rsid w:val="00E25E1E"/>
    <w:rsid w:val="00E27EE7"/>
    <w:rsid w:val="00E30676"/>
    <w:rsid w:val="00E35404"/>
    <w:rsid w:val="00E45109"/>
    <w:rsid w:val="00E47B7A"/>
    <w:rsid w:val="00E508E4"/>
    <w:rsid w:val="00E56A44"/>
    <w:rsid w:val="00E60269"/>
    <w:rsid w:val="00E709CE"/>
    <w:rsid w:val="00E72C42"/>
    <w:rsid w:val="00E74712"/>
    <w:rsid w:val="00E87CC4"/>
    <w:rsid w:val="00E907CE"/>
    <w:rsid w:val="00E94769"/>
    <w:rsid w:val="00E97830"/>
    <w:rsid w:val="00EA14B7"/>
    <w:rsid w:val="00EA4056"/>
    <w:rsid w:val="00EA4240"/>
    <w:rsid w:val="00EB1565"/>
    <w:rsid w:val="00EB1F9E"/>
    <w:rsid w:val="00EE0830"/>
    <w:rsid w:val="00EE11A8"/>
    <w:rsid w:val="00EE636B"/>
    <w:rsid w:val="00EE6CB8"/>
    <w:rsid w:val="00EF0683"/>
    <w:rsid w:val="00F0070C"/>
    <w:rsid w:val="00F00EB7"/>
    <w:rsid w:val="00F12CA9"/>
    <w:rsid w:val="00F306F1"/>
    <w:rsid w:val="00F36AB6"/>
    <w:rsid w:val="00F37A09"/>
    <w:rsid w:val="00F409CE"/>
    <w:rsid w:val="00F4379D"/>
    <w:rsid w:val="00F449DE"/>
    <w:rsid w:val="00F50D2D"/>
    <w:rsid w:val="00F56C8B"/>
    <w:rsid w:val="00F62639"/>
    <w:rsid w:val="00F66810"/>
    <w:rsid w:val="00F73DAE"/>
    <w:rsid w:val="00F84DF4"/>
    <w:rsid w:val="00F85C97"/>
    <w:rsid w:val="00F929C6"/>
    <w:rsid w:val="00F96D19"/>
    <w:rsid w:val="00FB1133"/>
    <w:rsid w:val="00FB37D2"/>
    <w:rsid w:val="00FB4A02"/>
    <w:rsid w:val="00FC4EFB"/>
    <w:rsid w:val="00FD068D"/>
    <w:rsid w:val="00FD4F28"/>
    <w:rsid w:val="00FD7C6B"/>
    <w:rsid w:val="00FE01B3"/>
    <w:rsid w:val="00FE6784"/>
    <w:rsid w:val="00FE7A8B"/>
    <w:rsid w:val="00FF3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7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65B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664483"/>
  </w:style>
  <w:style w:type="character" w:customStyle="1" w:styleId="reflex3-block">
    <w:name w:val="reflex3-block"/>
    <w:basedOn w:val="DefaultParagraphFont"/>
    <w:rsid w:val="00664483"/>
  </w:style>
  <w:style w:type="character" w:customStyle="1" w:styleId="solexhl">
    <w:name w:val="solexhl"/>
    <w:basedOn w:val="DefaultParagraphFont"/>
    <w:rsid w:val="0086514F"/>
  </w:style>
  <w:style w:type="character" w:styleId="HTMLCite">
    <w:name w:val="HTML Cite"/>
    <w:basedOn w:val="DefaultParagraphFont"/>
    <w:uiPriority w:val="99"/>
    <w:semiHidden/>
    <w:unhideWhenUsed/>
    <w:rsid w:val="008607B7"/>
    <w:rPr>
      <w:i/>
      <w:iCs/>
    </w:rPr>
  </w:style>
  <w:style w:type="character" w:styleId="Hyperlink">
    <w:name w:val="Hyperlink"/>
    <w:basedOn w:val="DefaultParagraphFont"/>
    <w:uiPriority w:val="99"/>
    <w:unhideWhenUsed/>
    <w:rsid w:val="008607B7"/>
    <w:rPr>
      <w:color w:val="0000FF" w:themeColor="hyperlink"/>
      <w:u w:val="single"/>
    </w:rPr>
  </w:style>
  <w:style w:type="character" w:customStyle="1" w:styleId="Heading3Char">
    <w:name w:val="Heading 3 Char"/>
    <w:basedOn w:val="DefaultParagraphFont"/>
    <w:link w:val="Heading3"/>
    <w:uiPriority w:val="9"/>
    <w:semiHidden/>
    <w:rsid w:val="004965B0"/>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4965B0"/>
    <w:pPr>
      <w:spacing w:after="480"/>
    </w:pPr>
    <w:rPr>
      <w:rFonts w:eastAsiaTheme="minorHAnsi" w:cstheme="minorBidi"/>
      <w:szCs w:val="22"/>
      <w:lang w:eastAsia="en-US"/>
    </w:rPr>
  </w:style>
  <w:style w:type="paragraph" w:customStyle="1" w:styleId="SCCCoram">
    <w:name w:val="SCC.Coram"/>
    <w:basedOn w:val="Normal"/>
    <w:next w:val="Normal"/>
    <w:link w:val="SCCCoramChar"/>
    <w:rsid w:val="004965B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965B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965B0"/>
    <w:rPr>
      <w:rFonts w:eastAsiaTheme="minorHAnsi" w:cstheme="minorBidi"/>
      <w:sz w:val="24"/>
      <w:szCs w:val="22"/>
      <w:lang w:eastAsia="en-US"/>
    </w:rPr>
  </w:style>
  <w:style w:type="character" w:customStyle="1" w:styleId="SCCBanSummaryChar">
    <w:name w:val="SCC.BanSummary Char"/>
    <w:basedOn w:val="DefaultParagraphFont"/>
    <w:link w:val="SCCBanSummary"/>
    <w:rsid w:val="004965B0"/>
    <w:rPr>
      <w:b/>
      <w:sz w:val="24"/>
    </w:rPr>
  </w:style>
  <w:style w:type="table" w:styleId="TableGrid">
    <w:name w:val="Table Grid"/>
    <w:basedOn w:val="TableNormal"/>
    <w:uiPriority w:val="59"/>
    <w:rsid w:val="004965B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965B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965B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965B0"/>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4965B0"/>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965B0"/>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965B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965B0"/>
    <w:pPr>
      <w:numPr>
        <w:ilvl w:val="2"/>
      </w:numPr>
      <w:outlineLvl w:val="2"/>
    </w:pPr>
  </w:style>
  <w:style w:type="paragraph" w:customStyle="1" w:styleId="Title4LevelTitre4Niveau">
    <w:name w:val="Title 4 Level / Titre 4 Niveau"/>
    <w:basedOn w:val="Title3LevelTitre3Niveau"/>
    <w:next w:val="ParaNoNdepar-AltN"/>
    <w:uiPriority w:val="4"/>
    <w:qFormat/>
    <w:rsid w:val="004965B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965B0"/>
    <w:pPr>
      <w:numPr>
        <w:ilvl w:val="4"/>
      </w:numPr>
      <w:outlineLvl w:val="4"/>
    </w:pPr>
  </w:style>
  <w:style w:type="paragraph" w:styleId="TOC1">
    <w:name w:val="toc 1"/>
    <w:basedOn w:val="Normal"/>
    <w:next w:val="Normal"/>
    <w:autoRedefine/>
    <w:uiPriority w:val="39"/>
    <w:unhideWhenUsed/>
    <w:rsid w:val="004965B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965B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965B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965B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965B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965B0"/>
    <w:pPr>
      <w:tabs>
        <w:tab w:val="left" w:pos="2160"/>
        <w:tab w:val="right" w:leader="dot" w:pos="8270"/>
      </w:tabs>
      <w:spacing w:after="100"/>
      <w:ind w:left="1800"/>
    </w:pPr>
    <w:rPr>
      <w:noProof/>
    </w:rPr>
  </w:style>
  <w:style w:type="table" w:customStyle="1" w:styleId="TableGrid1">
    <w:name w:val="Table Grid1"/>
    <w:basedOn w:val="TableNormal"/>
    <w:uiPriority w:val="59"/>
    <w:rsid w:val="004965B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965B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965B0"/>
    <w:pPr>
      <w:numPr>
        <w:ilvl w:val="5"/>
      </w:numPr>
      <w:outlineLvl w:val="5"/>
    </w:pPr>
    <w:rPr>
      <w:i/>
      <w:u w:val="none"/>
    </w:rPr>
  </w:style>
  <w:style w:type="paragraph" w:styleId="FootnoteText">
    <w:name w:val="footnote text"/>
    <w:basedOn w:val="Normal"/>
    <w:link w:val="FootnoteTextChar"/>
    <w:uiPriority w:val="99"/>
    <w:unhideWhenUsed/>
    <w:rsid w:val="004965B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965B0"/>
  </w:style>
  <w:style w:type="character" w:styleId="FootnoteReference">
    <w:name w:val="footnote reference"/>
    <w:basedOn w:val="DefaultParagraphFont"/>
    <w:uiPriority w:val="99"/>
    <w:semiHidden/>
    <w:unhideWhenUsed/>
    <w:qFormat/>
    <w:rsid w:val="004965B0"/>
    <w:rPr>
      <w:vertAlign w:val="superscript"/>
    </w:rPr>
  </w:style>
  <w:style w:type="paragraph" w:styleId="ListParagraph">
    <w:name w:val="List Paragraph"/>
    <w:basedOn w:val="Normal"/>
    <w:uiPriority w:val="1"/>
    <w:qFormat/>
    <w:rsid w:val="004965B0"/>
    <w:pPr>
      <w:ind w:left="720"/>
      <w:contextualSpacing/>
    </w:pPr>
    <w:rPr>
      <w:rFonts w:eastAsiaTheme="minorHAnsi" w:cstheme="minorBidi"/>
      <w:szCs w:val="22"/>
      <w:lang w:val="en-US" w:eastAsia="en-US" w:bidi="en-US"/>
    </w:rPr>
  </w:style>
  <w:style w:type="paragraph" w:customStyle="1" w:styleId="scjnumber">
    <w:name w:val="scjnumber"/>
    <w:basedOn w:val="Normal"/>
    <w:rsid w:val="004965B0"/>
    <w:pPr>
      <w:spacing w:before="100" w:beforeAutospacing="1" w:after="100" w:afterAutospacing="1"/>
    </w:pPr>
    <w:rPr>
      <w:szCs w:val="24"/>
      <w:lang w:val="en-US" w:eastAsia="en-US"/>
    </w:rPr>
  </w:style>
  <w:style w:type="paragraph" w:customStyle="1" w:styleId="CITATION">
    <w:name w:val="CITATION"/>
    <w:basedOn w:val="Normal"/>
    <w:next w:val="Normal"/>
    <w:rsid w:val="004965B0"/>
    <w:pPr>
      <w:ind w:left="720" w:right="720"/>
      <w:jc w:val="both"/>
    </w:pPr>
  </w:style>
  <w:style w:type="character" w:customStyle="1" w:styleId="ParaNoNdepar-AltNChar">
    <w:name w:val="Para. No. / Nº de par. - Alt N Char"/>
    <w:basedOn w:val="DefaultParagraphFont"/>
    <w:link w:val="ParaNoNdepar-AltN"/>
    <w:locked/>
    <w:rsid w:val="004965B0"/>
    <w:rPr>
      <w:rFonts w:eastAsiaTheme="minorEastAsia" w:cstheme="minorBidi"/>
      <w:sz w:val="24"/>
      <w:szCs w:val="22"/>
      <w:lang w:eastAsia="en-US"/>
    </w:rPr>
  </w:style>
  <w:style w:type="character" w:styleId="Emphasis">
    <w:name w:val="Emphasis"/>
    <w:basedOn w:val="DefaultParagraphFont"/>
    <w:uiPriority w:val="20"/>
    <w:qFormat/>
    <w:rsid w:val="004965B0"/>
    <w:rPr>
      <w:i/>
      <w:iCs/>
    </w:rPr>
  </w:style>
  <w:style w:type="paragraph" w:customStyle="1" w:styleId="subsection">
    <w:name w:val="subsection"/>
    <w:basedOn w:val="Normal"/>
    <w:rsid w:val="004965B0"/>
    <w:pPr>
      <w:spacing w:before="168" w:after="120"/>
    </w:pPr>
    <w:rPr>
      <w:szCs w:val="24"/>
      <w:lang w:val="en-US" w:eastAsia="en-US"/>
    </w:rPr>
  </w:style>
  <w:style w:type="paragraph" w:customStyle="1" w:styleId="marginalnote">
    <w:name w:val="marginalnote"/>
    <w:basedOn w:val="Normal"/>
    <w:rsid w:val="004965B0"/>
    <w:pPr>
      <w:spacing w:before="288" w:after="168"/>
    </w:pPr>
    <w:rPr>
      <w:b/>
      <w:bCs/>
      <w:sz w:val="22"/>
      <w:szCs w:val="22"/>
      <w:lang w:val="en-US" w:eastAsia="en-US"/>
    </w:rPr>
  </w:style>
  <w:style w:type="paragraph" w:customStyle="1" w:styleId="paragraph">
    <w:name w:val="paragraph"/>
    <w:basedOn w:val="Normal"/>
    <w:rsid w:val="004965B0"/>
    <w:pPr>
      <w:spacing w:before="168" w:after="120"/>
      <w:ind w:left="360"/>
    </w:pPr>
    <w:rPr>
      <w:szCs w:val="24"/>
      <w:lang w:val="en-US" w:eastAsia="en-US"/>
    </w:rPr>
  </w:style>
  <w:style w:type="character" w:customStyle="1" w:styleId="htitletext2">
    <w:name w:val="htitletext2"/>
    <w:basedOn w:val="DefaultParagraphFont"/>
    <w:rsid w:val="004965B0"/>
    <w:rPr>
      <w:b w:val="0"/>
      <w:bCs w:val="0"/>
      <w:vanish w:val="0"/>
      <w:webHidden w:val="0"/>
      <w:sz w:val="36"/>
      <w:szCs w:val="36"/>
      <w:specVanish w:val="0"/>
    </w:rPr>
  </w:style>
  <w:style w:type="character" w:customStyle="1" w:styleId="sectionlabel">
    <w:name w:val="sectionlabel"/>
    <w:basedOn w:val="DefaultParagraphFont"/>
    <w:rsid w:val="004965B0"/>
    <w:rPr>
      <w:b/>
      <w:bCs/>
      <w:color w:val="000000"/>
    </w:rPr>
  </w:style>
  <w:style w:type="character" w:customStyle="1" w:styleId="lawlabel2">
    <w:name w:val="lawlabel2"/>
    <w:basedOn w:val="DefaultParagraphFont"/>
    <w:rsid w:val="004965B0"/>
    <w:rPr>
      <w:b/>
      <w:bCs/>
      <w:color w:val="000000"/>
    </w:rPr>
  </w:style>
  <w:style w:type="character" w:customStyle="1" w:styleId="wb-invisible">
    <w:name w:val="wb-invisible"/>
    <w:basedOn w:val="DefaultParagraphFont"/>
    <w:rsid w:val="004965B0"/>
  </w:style>
  <w:style w:type="paragraph" w:customStyle="1" w:styleId="definition">
    <w:name w:val="definition"/>
    <w:basedOn w:val="Normal"/>
    <w:rsid w:val="004965B0"/>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4965B0"/>
    <w:rPr>
      <w:i/>
      <w:iCs/>
    </w:rPr>
  </w:style>
  <w:style w:type="character" w:customStyle="1" w:styleId="lawlabel">
    <w:name w:val="lawlabel"/>
    <w:basedOn w:val="DefaultParagraphFont"/>
    <w:rsid w:val="004965B0"/>
  </w:style>
  <w:style w:type="character" w:customStyle="1" w:styleId="definedtermlink">
    <w:name w:val="definedtermlink"/>
    <w:basedOn w:val="DefaultParagraphFont"/>
    <w:rsid w:val="004965B0"/>
  </w:style>
  <w:style w:type="paragraph" w:customStyle="1" w:styleId="level2">
    <w:name w:val="level2"/>
    <w:basedOn w:val="Normal"/>
    <w:rsid w:val="004965B0"/>
    <w:pPr>
      <w:spacing w:before="100" w:beforeAutospacing="1" w:after="100" w:afterAutospacing="1"/>
    </w:pPr>
    <w:rPr>
      <w:szCs w:val="24"/>
      <w:lang w:val="en-US" w:eastAsia="en-US"/>
    </w:rPr>
  </w:style>
  <w:style w:type="paragraph" w:customStyle="1" w:styleId="loose">
    <w:name w:val="loose"/>
    <w:basedOn w:val="Normal"/>
    <w:rsid w:val="004965B0"/>
    <w:pPr>
      <w:spacing w:before="100" w:beforeAutospacing="1" w:after="100" w:afterAutospacing="1"/>
    </w:pPr>
    <w:rPr>
      <w:szCs w:val="24"/>
      <w:lang w:val="en-US" w:eastAsia="en-US"/>
    </w:rPr>
  </w:style>
  <w:style w:type="character" w:customStyle="1" w:styleId="bold1">
    <w:name w:val="bold1"/>
    <w:basedOn w:val="DefaultParagraphFont"/>
    <w:rsid w:val="004965B0"/>
  </w:style>
  <w:style w:type="character" w:customStyle="1" w:styleId="italic1">
    <w:name w:val="italic1"/>
    <w:basedOn w:val="DefaultParagraphFont"/>
    <w:rsid w:val="004965B0"/>
  </w:style>
  <w:style w:type="paragraph" w:styleId="TOCHeading">
    <w:name w:val="TOC Heading"/>
    <w:basedOn w:val="Heading1"/>
    <w:next w:val="Normal"/>
    <w:uiPriority w:val="39"/>
    <w:unhideWhenUsed/>
    <w:qFormat/>
    <w:rsid w:val="004965B0"/>
    <w:pPr>
      <w:spacing w:before="240" w:after="0"/>
      <w:ind w:left="0" w:firstLine="0"/>
      <w:outlineLvl w:val="9"/>
    </w:pPr>
    <w:rPr>
      <w:b w:val="0"/>
      <w:bCs w:val="0"/>
      <w:sz w:val="32"/>
      <w:szCs w:val="32"/>
    </w:rPr>
  </w:style>
  <w:style w:type="character" w:customStyle="1" w:styleId="nowrap">
    <w:name w:val="nowrap"/>
    <w:basedOn w:val="DefaultParagraphFont"/>
    <w:rsid w:val="004965B0"/>
  </w:style>
  <w:style w:type="character" w:styleId="CommentReference">
    <w:name w:val="annotation reference"/>
    <w:basedOn w:val="DefaultParagraphFont"/>
    <w:uiPriority w:val="99"/>
    <w:semiHidden/>
    <w:unhideWhenUsed/>
    <w:rsid w:val="004965B0"/>
    <w:rPr>
      <w:sz w:val="16"/>
      <w:szCs w:val="16"/>
    </w:rPr>
  </w:style>
  <w:style w:type="paragraph" w:styleId="CommentText">
    <w:name w:val="annotation text"/>
    <w:basedOn w:val="Normal"/>
    <w:link w:val="CommentTextChar"/>
    <w:uiPriority w:val="99"/>
    <w:semiHidden/>
    <w:unhideWhenUsed/>
    <w:rsid w:val="004965B0"/>
    <w:rPr>
      <w:sz w:val="20"/>
    </w:rPr>
  </w:style>
  <w:style w:type="character" w:customStyle="1" w:styleId="CommentTextChar">
    <w:name w:val="Comment Text Char"/>
    <w:basedOn w:val="DefaultParagraphFont"/>
    <w:link w:val="CommentText"/>
    <w:uiPriority w:val="99"/>
    <w:semiHidden/>
    <w:rsid w:val="004965B0"/>
  </w:style>
  <w:style w:type="paragraph" w:styleId="CommentSubject">
    <w:name w:val="annotation subject"/>
    <w:basedOn w:val="CommentText"/>
    <w:next w:val="CommentText"/>
    <w:link w:val="CommentSubjectChar"/>
    <w:uiPriority w:val="99"/>
    <w:semiHidden/>
    <w:unhideWhenUsed/>
    <w:rsid w:val="004965B0"/>
    <w:rPr>
      <w:b/>
      <w:bCs/>
    </w:rPr>
  </w:style>
  <w:style w:type="character" w:customStyle="1" w:styleId="CommentSubjectChar">
    <w:name w:val="Comment Subject Char"/>
    <w:basedOn w:val="CommentTextChar"/>
    <w:link w:val="CommentSubject"/>
    <w:uiPriority w:val="99"/>
    <w:semiHidden/>
    <w:rsid w:val="004965B0"/>
    <w:rPr>
      <w:b/>
      <w:bCs/>
    </w:rPr>
  </w:style>
  <w:style w:type="character" w:customStyle="1" w:styleId="htitletext1">
    <w:name w:val="htitletext1"/>
    <w:basedOn w:val="DefaultParagraphFont"/>
    <w:rsid w:val="004965B0"/>
    <w:rPr>
      <w:b/>
      <w:bCs/>
      <w:vanish w:val="0"/>
      <w:webHidden w:val="0"/>
      <w:sz w:val="40"/>
      <w:szCs w:val="40"/>
      <w:specVanish w:val="0"/>
    </w:rPr>
  </w:style>
  <w:style w:type="paragraph" w:customStyle="1" w:styleId="subparagraph">
    <w:name w:val="subparagraph"/>
    <w:basedOn w:val="Normal"/>
    <w:rsid w:val="004965B0"/>
    <w:pPr>
      <w:spacing w:before="168" w:after="120"/>
      <w:ind w:left="720"/>
    </w:pPr>
    <w:rPr>
      <w:szCs w:val="24"/>
      <w:lang w:val="fr-CA" w:eastAsia="fr-CA"/>
    </w:rPr>
  </w:style>
  <w:style w:type="character" w:customStyle="1" w:styleId="otherlang">
    <w:name w:val="otherlang"/>
    <w:basedOn w:val="DefaultParagraphFont"/>
    <w:rsid w:val="004965B0"/>
  </w:style>
  <w:style w:type="paragraph" w:styleId="HTMLPreformatted">
    <w:name w:val="HTML Preformatted"/>
    <w:basedOn w:val="Normal"/>
    <w:link w:val="HTMLPreformattedChar"/>
    <w:uiPriority w:val="99"/>
    <w:unhideWhenUsed/>
    <w:rsid w:val="004965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lang w:val="fr-CA" w:eastAsia="fr-CA"/>
    </w:rPr>
  </w:style>
  <w:style w:type="character" w:customStyle="1" w:styleId="HTMLPreformattedChar">
    <w:name w:val="HTML Preformatted Char"/>
    <w:basedOn w:val="DefaultParagraphFont"/>
    <w:link w:val="HTMLPreformatted"/>
    <w:uiPriority w:val="99"/>
    <w:rsid w:val="004965B0"/>
    <w:rPr>
      <w:rFonts w:ascii="Consolas" w:hAnsi="Consolas" w:cs="Courier New"/>
      <w:color w:val="333333"/>
      <w:shd w:val="clear" w:color="auto" w:fill="F5F5F5"/>
      <w:lang w:val="fr-CA" w:eastAsia="fr-CA"/>
    </w:rPr>
  </w:style>
  <w:style w:type="character" w:customStyle="1" w:styleId="highlight">
    <w:name w:val="highlight"/>
    <w:basedOn w:val="DefaultParagraphFont"/>
    <w:rsid w:val="004965B0"/>
  </w:style>
  <w:style w:type="table" w:customStyle="1" w:styleId="TableGrid2">
    <w:name w:val="Table Grid2"/>
    <w:basedOn w:val="TableNormal"/>
    <w:next w:val="TableGrid"/>
    <w:uiPriority w:val="59"/>
    <w:rsid w:val="004965B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64B5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964B5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64B5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6663">
      <w:bodyDiv w:val="1"/>
      <w:marLeft w:val="0"/>
      <w:marRight w:val="0"/>
      <w:marTop w:val="0"/>
      <w:marBottom w:val="0"/>
      <w:divBdr>
        <w:top w:val="none" w:sz="0" w:space="0" w:color="auto"/>
        <w:left w:val="none" w:sz="0" w:space="0" w:color="auto"/>
        <w:bottom w:val="none" w:sz="0" w:space="0" w:color="auto"/>
        <w:right w:val="none" w:sz="0" w:space="0" w:color="auto"/>
      </w:divBdr>
      <w:divsChild>
        <w:div w:id="1811053575">
          <w:marLeft w:val="0"/>
          <w:marRight w:val="0"/>
          <w:marTop w:val="0"/>
          <w:marBottom w:val="0"/>
          <w:divBdr>
            <w:top w:val="none" w:sz="0" w:space="0" w:color="auto"/>
            <w:left w:val="none" w:sz="0" w:space="0" w:color="auto"/>
            <w:bottom w:val="none" w:sz="0" w:space="0" w:color="auto"/>
            <w:right w:val="none" w:sz="0" w:space="0" w:color="auto"/>
          </w:divBdr>
          <w:divsChild>
            <w:div w:id="1881479569">
              <w:marLeft w:val="0"/>
              <w:marRight w:val="0"/>
              <w:marTop w:val="0"/>
              <w:marBottom w:val="0"/>
              <w:divBdr>
                <w:top w:val="none" w:sz="0" w:space="0" w:color="auto"/>
                <w:left w:val="none" w:sz="0" w:space="0" w:color="auto"/>
                <w:bottom w:val="none" w:sz="0" w:space="0" w:color="auto"/>
                <w:right w:val="none" w:sz="0" w:space="0" w:color="auto"/>
              </w:divBdr>
              <w:divsChild>
                <w:div w:id="1744065952">
                  <w:marLeft w:val="0"/>
                  <w:marRight w:val="0"/>
                  <w:marTop w:val="0"/>
                  <w:marBottom w:val="0"/>
                  <w:divBdr>
                    <w:top w:val="none" w:sz="0" w:space="0" w:color="auto"/>
                    <w:left w:val="none" w:sz="0" w:space="0" w:color="auto"/>
                    <w:bottom w:val="none" w:sz="0" w:space="0" w:color="auto"/>
                    <w:right w:val="none" w:sz="0" w:space="0" w:color="auto"/>
                  </w:divBdr>
                  <w:divsChild>
                    <w:div w:id="1294477925">
                      <w:marLeft w:val="0"/>
                      <w:marRight w:val="0"/>
                      <w:marTop w:val="0"/>
                      <w:marBottom w:val="0"/>
                      <w:divBdr>
                        <w:top w:val="none" w:sz="0" w:space="0" w:color="auto"/>
                        <w:left w:val="none" w:sz="0" w:space="0" w:color="auto"/>
                        <w:bottom w:val="none" w:sz="0" w:space="0" w:color="auto"/>
                        <w:right w:val="none" w:sz="0" w:space="0" w:color="auto"/>
                      </w:divBdr>
                      <w:divsChild>
                        <w:div w:id="862593662">
                          <w:marLeft w:val="0"/>
                          <w:marRight w:val="0"/>
                          <w:marTop w:val="0"/>
                          <w:marBottom w:val="0"/>
                          <w:divBdr>
                            <w:top w:val="none" w:sz="0" w:space="0" w:color="auto"/>
                            <w:left w:val="none" w:sz="0" w:space="0" w:color="auto"/>
                            <w:bottom w:val="none" w:sz="0" w:space="0" w:color="auto"/>
                            <w:right w:val="none" w:sz="0" w:space="0" w:color="auto"/>
                          </w:divBdr>
                          <w:divsChild>
                            <w:div w:id="1370688184">
                              <w:marLeft w:val="2070"/>
                              <w:marRight w:val="3960"/>
                              <w:marTop w:val="0"/>
                              <w:marBottom w:val="0"/>
                              <w:divBdr>
                                <w:top w:val="none" w:sz="0" w:space="0" w:color="auto"/>
                                <w:left w:val="none" w:sz="0" w:space="0" w:color="auto"/>
                                <w:bottom w:val="none" w:sz="0" w:space="0" w:color="auto"/>
                                <w:right w:val="none" w:sz="0" w:space="0" w:color="auto"/>
                              </w:divBdr>
                              <w:divsChild>
                                <w:div w:id="1878665281">
                                  <w:marLeft w:val="0"/>
                                  <w:marRight w:val="0"/>
                                  <w:marTop w:val="0"/>
                                  <w:marBottom w:val="0"/>
                                  <w:divBdr>
                                    <w:top w:val="none" w:sz="0" w:space="0" w:color="auto"/>
                                    <w:left w:val="none" w:sz="0" w:space="0" w:color="auto"/>
                                    <w:bottom w:val="none" w:sz="0" w:space="0" w:color="auto"/>
                                    <w:right w:val="none" w:sz="0" w:space="0" w:color="auto"/>
                                  </w:divBdr>
                                  <w:divsChild>
                                    <w:div w:id="1851408284">
                                      <w:marLeft w:val="0"/>
                                      <w:marRight w:val="0"/>
                                      <w:marTop w:val="0"/>
                                      <w:marBottom w:val="0"/>
                                      <w:divBdr>
                                        <w:top w:val="none" w:sz="0" w:space="0" w:color="auto"/>
                                        <w:left w:val="none" w:sz="0" w:space="0" w:color="auto"/>
                                        <w:bottom w:val="none" w:sz="0" w:space="0" w:color="auto"/>
                                        <w:right w:val="none" w:sz="0" w:space="0" w:color="auto"/>
                                      </w:divBdr>
                                      <w:divsChild>
                                        <w:div w:id="1646616956">
                                          <w:marLeft w:val="0"/>
                                          <w:marRight w:val="0"/>
                                          <w:marTop w:val="0"/>
                                          <w:marBottom w:val="0"/>
                                          <w:divBdr>
                                            <w:top w:val="none" w:sz="0" w:space="0" w:color="auto"/>
                                            <w:left w:val="none" w:sz="0" w:space="0" w:color="auto"/>
                                            <w:bottom w:val="none" w:sz="0" w:space="0" w:color="auto"/>
                                            <w:right w:val="none" w:sz="0" w:space="0" w:color="auto"/>
                                          </w:divBdr>
                                          <w:divsChild>
                                            <w:div w:id="305471423">
                                              <w:marLeft w:val="0"/>
                                              <w:marRight w:val="0"/>
                                              <w:marTop w:val="90"/>
                                              <w:marBottom w:val="0"/>
                                              <w:divBdr>
                                                <w:top w:val="none" w:sz="0" w:space="0" w:color="auto"/>
                                                <w:left w:val="none" w:sz="0" w:space="0" w:color="auto"/>
                                                <w:bottom w:val="none" w:sz="0" w:space="0" w:color="auto"/>
                                                <w:right w:val="none" w:sz="0" w:space="0" w:color="auto"/>
                                              </w:divBdr>
                                              <w:divsChild>
                                                <w:div w:id="1155948688">
                                                  <w:marLeft w:val="0"/>
                                                  <w:marRight w:val="0"/>
                                                  <w:marTop w:val="0"/>
                                                  <w:marBottom w:val="0"/>
                                                  <w:divBdr>
                                                    <w:top w:val="none" w:sz="0" w:space="0" w:color="auto"/>
                                                    <w:left w:val="none" w:sz="0" w:space="0" w:color="auto"/>
                                                    <w:bottom w:val="none" w:sz="0" w:space="0" w:color="auto"/>
                                                    <w:right w:val="none" w:sz="0" w:space="0" w:color="auto"/>
                                                  </w:divBdr>
                                                  <w:divsChild>
                                                    <w:div w:id="1981380792">
                                                      <w:marLeft w:val="0"/>
                                                      <w:marRight w:val="0"/>
                                                      <w:marTop w:val="0"/>
                                                      <w:marBottom w:val="0"/>
                                                      <w:divBdr>
                                                        <w:top w:val="none" w:sz="0" w:space="0" w:color="auto"/>
                                                        <w:left w:val="none" w:sz="0" w:space="0" w:color="auto"/>
                                                        <w:bottom w:val="none" w:sz="0" w:space="0" w:color="auto"/>
                                                        <w:right w:val="none" w:sz="0" w:space="0" w:color="auto"/>
                                                      </w:divBdr>
                                                      <w:divsChild>
                                                        <w:div w:id="1854604975">
                                                          <w:marLeft w:val="0"/>
                                                          <w:marRight w:val="0"/>
                                                          <w:marTop w:val="0"/>
                                                          <w:marBottom w:val="0"/>
                                                          <w:divBdr>
                                                            <w:top w:val="none" w:sz="0" w:space="0" w:color="auto"/>
                                                            <w:left w:val="none" w:sz="0" w:space="0" w:color="auto"/>
                                                            <w:bottom w:val="none" w:sz="0" w:space="0" w:color="auto"/>
                                                            <w:right w:val="none" w:sz="0" w:space="0" w:color="auto"/>
                                                          </w:divBdr>
                                                          <w:divsChild>
                                                            <w:div w:id="1758138899">
                                                              <w:marLeft w:val="0"/>
                                                              <w:marRight w:val="0"/>
                                                              <w:marTop w:val="0"/>
                                                              <w:marBottom w:val="405"/>
                                                              <w:divBdr>
                                                                <w:top w:val="none" w:sz="0" w:space="0" w:color="auto"/>
                                                                <w:left w:val="none" w:sz="0" w:space="0" w:color="auto"/>
                                                                <w:bottom w:val="none" w:sz="0" w:space="0" w:color="auto"/>
                                                                <w:right w:val="none" w:sz="0" w:space="0" w:color="auto"/>
                                                              </w:divBdr>
                                                              <w:divsChild>
                                                                <w:div w:id="1926839513">
                                                                  <w:marLeft w:val="0"/>
                                                                  <w:marRight w:val="0"/>
                                                                  <w:marTop w:val="0"/>
                                                                  <w:marBottom w:val="0"/>
                                                                  <w:divBdr>
                                                                    <w:top w:val="none" w:sz="0" w:space="0" w:color="auto"/>
                                                                    <w:left w:val="none" w:sz="0" w:space="0" w:color="auto"/>
                                                                    <w:bottom w:val="none" w:sz="0" w:space="0" w:color="auto"/>
                                                                    <w:right w:val="none" w:sz="0" w:space="0" w:color="auto"/>
                                                                  </w:divBdr>
                                                                  <w:divsChild>
                                                                    <w:div w:id="765002585">
                                                                      <w:marLeft w:val="0"/>
                                                                      <w:marRight w:val="0"/>
                                                                      <w:marTop w:val="0"/>
                                                                      <w:marBottom w:val="0"/>
                                                                      <w:divBdr>
                                                                        <w:top w:val="none" w:sz="0" w:space="0" w:color="auto"/>
                                                                        <w:left w:val="none" w:sz="0" w:space="0" w:color="auto"/>
                                                                        <w:bottom w:val="none" w:sz="0" w:space="0" w:color="auto"/>
                                                                        <w:right w:val="none" w:sz="0" w:space="0" w:color="auto"/>
                                                                      </w:divBdr>
                                                                      <w:divsChild>
                                                                        <w:div w:id="19666420">
                                                                          <w:marLeft w:val="0"/>
                                                                          <w:marRight w:val="0"/>
                                                                          <w:marTop w:val="0"/>
                                                                          <w:marBottom w:val="0"/>
                                                                          <w:divBdr>
                                                                            <w:top w:val="none" w:sz="0" w:space="0" w:color="auto"/>
                                                                            <w:left w:val="none" w:sz="0" w:space="0" w:color="auto"/>
                                                                            <w:bottom w:val="none" w:sz="0" w:space="0" w:color="auto"/>
                                                                            <w:right w:val="none" w:sz="0" w:space="0" w:color="auto"/>
                                                                          </w:divBdr>
                                                                          <w:divsChild>
                                                                            <w:div w:id="139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50121">
      <w:bodyDiv w:val="1"/>
      <w:marLeft w:val="0"/>
      <w:marRight w:val="0"/>
      <w:marTop w:val="0"/>
      <w:marBottom w:val="0"/>
      <w:divBdr>
        <w:top w:val="none" w:sz="0" w:space="0" w:color="auto"/>
        <w:left w:val="none" w:sz="0" w:space="0" w:color="auto"/>
        <w:bottom w:val="none" w:sz="0" w:space="0" w:color="auto"/>
        <w:right w:val="none" w:sz="0" w:space="0" w:color="auto"/>
      </w:divBdr>
    </w:div>
    <w:div w:id="1663510327">
      <w:bodyDiv w:val="1"/>
      <w:marLeft w:val="0"/>
      <w:marRight w:val="0"/>
      <w:marTop w:val="0"/>
      <w:marBottom w:val="0"/>
      <w:divBdr>
        <w:top w:val="none" w:sz="0" w:space="0" w:color="auto"/>
        <w:left w:val="none" w:sz="0" w:space="0" w:color="auto"/>
        <w:bottom w:val="none" w:sz="0" w:space="0" w:color="auto"/>
        <w:right w:val="none" w:sz="0" w:space="0" w:color="auto"/>
      </w:divBdr>
      <w:divsChild>
        <w:div w:id="956107769">
          <w:marLeft w:val="0"/>
          <w:marRight w:val="0"/>
          <w:marTop w:val="0"/>
          <w:marBottom w:val="0"/>
          <w:divBdr>
            <w:top w:val="none" w:sz="0" w:space="0" w:color="auto"/>
            <w:left w:val="none" w:sz="0" w:space="0" w:color="auto"/>
            <w:bottom w:val="none" w:sz="0" w:space="0" w:color="auto"/>
            <w:right w:val="none" w:sz="0" w:space="0" w:color="auto"/>
          </w:divBdr>
          <w:divsChild>
            <w:div w:id="1458377604">
              <w:marLeft w:val="0"/>
              <w:marRight w:val="0"/>
              <w:marTop w:val="0"/>
              <w:marBottom w:val="0"/>
              <w:divBdr>
                <w:top w:val="none" w:sz="0" w:space="0" w:color="auto"/>
                <w:left w:val="none" w:sz="0" w:space="0" w:color="auto"/>
                <w:bottom w:val="none" w:sz="0" w:space="0" w:color="auto"/>
                <w:right w:val="none" w:sz="0" w:space="0" w:color="auto"/>
              </w:divBdr>
              <w:divsChild>
                <w:div w:id="1084184955">
                  <w:marLeft w:val="0"/>
                  <w:marRight w:val="0"/>
                  <w:marTop w:val="0"/>
                  <w:marBottom w:val="0"/>
                  <w:divBdr>
                    <w:top w:val="none" w:sz="0" w:space="0" w:color="auto"/>
                    <w:left w:val="none" w:sz="0" w:space="0" w:color="auto"/>
                    <w:bottom w:val="none" w:sz="0" w:space="0" w:color="auto"/>
                    <w:right w:val="none" w:sz="0" w:space="0" w:color="auto"/>
                  </w:divBdr>
                  <w:divsChild>
                    <w:div w:id="25639495">
                      <w:marLeft w:val="0"/>
                      <w:marRight w:val="0"/>
                      <w:marTop w:val="0"/>
                      <w:marBottom w:val="0"/>
                      <w:divBdr>
                        <w:top w:val="none" w:sz="0" w:space="0" w:color="auto"/>
                        <w:left w:val="none" w:sz="0" w:space="0" w:color="auto"/>
                        <w:bottom w:val="none" w:sz="0" w:space="0" w:color="auto"/>
                        <w:right w:val="none" w:sz="0" w:space="0" w:color="auto"/>
                      </w:divBdr>
                      <w:divsChild>
                        <w:div w:id="1845514949">
                          <w:marLeft w:val="0"/>
                          <w:marRight w:val="0"/>
                          <w:marTop w:val="0"/>
                          <w:marBottom w:val="0"/>
                          <w:divBdr>
                            <w:top w:val="none" w:sz="0" w:space="0" w:color="auto"/>
                            <w:left w:val="none" w:sz="0" w:space="0" w:color="auto"/>
                            <w:bottom w:val="none" w:sz="0" w:space="0" w:color="auto"/>
                            <w:right w:val="none" w:sz="0" w:space="0" w:color="auto"/>
                          </w:divBdr>
                          <w:divsChild>
                            <w:div w:id="302584626">
                              <w:marLeft w:val="2070"/>
                              <w:marRight w:val="3960"/>
                              <w:marTop w:val="0"/>
                              <w:marBottom w:val="0"/>
                              <w:divBdr>
                                <w:top w:val="none" w:sz="0" w:space="0" w:color="auto"/>
                                <w:left w:val="none" w:sz="0" w:space="0" w:color="auto"/>
                                <w:bottom w:val="none" w:sz="0" w:space="0" w:color="auto"/>
                                <w:right w:val="none" w:sz="0" w:space="0" w:color="auto"/>
                              </w:divBdr>
                              <w:divsChild>
                                <w:div w:id="1188593346">
                                  <w:marLeft w:val="0"/>
                                  <w:marRight w:val="0"/>
                                  <w:marTop w:val="0"/>
                                  <w:marBottom w:val="0"/>
                                  <w:divBdr>
                                    <w:top w:val="none" w:sz="0" w:space="0" w:color="auto"/>
                                    <w:left w:val="none" w:sz="0" w:space="0" w:color="auto"/>
                                    <w:bottom w:val="none" w:sz="0" w:space="0" w:color="auto"/>
                                    <w:right w:val="none" w:sz="0" w:space="0" w:color="auto"/>
                                  </w:divBdr>
                                  <w:divsChild>
                                    <w:div w:id="706223558">
                                      <w:marLeft w:val="0"/>
                                      <w:marRight w:val="0"/>
                                      <w:marTop w:val="0"/>
                                      <w:marBottom w:val="0"/>
                                      <w:divBdr>
                                        <w:top w:val="none" w:sz="0" w:space="0" w:color="auto"/>
                                        <w:left w:val="none" w:sz="0" w:space="0" w:color="auto"/>
                                        <w:bottom w:val="none" w:sz="0" w:space="0" w:color="auto"/>
                                        <w:right w:val="none" w:sz="0" w:space="0" w:color="auto"/>
                                      </w:divBdr>
                                      <w:divsChild>
                                        <w:div w:id="969824987">
                                          <w:marLeft w:val="0"/>
                                          <w:marRight w:val="0"/>
                                          <w:marTop w:val="0"/>
                                          <w:marBottom w:val="0"/>
                                          <w:divBdr>
                                            <w:top w:val="none" w:sz="0" w:space="0" w:color="auto"/>
                                            <w:left w:val="none" w:sz="0" w:space="0" w:color="auto"/>
                                            <w:bottom w:val="none" w:sz="0" w:space="0" w:color="auto"/>
                                            <w:right w:val="none" w:sz="0" w:space="0" w:color="auto"/>
                                          </w:divBdr>
                                          <w:divsChild>
                                            <w:div w:id="552084410">
                                              <w:marLeft w:val="0"/>
                                              <w:marRight w:val="0"/>
                                              <w:marTop w:val="90"/>
                                              <w:marBottom w:val="0"/>
                                              <w:divBdr>
                                                <w:top w:val="none" w:sz="0" w:space="0" w:color="auto"/>
                                                <w:left w:val="none" w:sz="0" w:space="0" w:color="auto"/>
                                                <w:bottom w:val="none" w:sz="0" w:space="0" w:color="auto"/>
                                                <w:right w:val="none" w:sz="0" w:space="0" w:color="auto"/>
                                              </w:divBdr>
                                              <w:divsChild>
                                                <w:div w:id="206141229">
                                                  <w:marLeft w:val="0"/>
                                                  <w:marRight w:val="0"/>
                                                  <w:marTop w:val="0"/>
                                                  <w:marBottom w:val="0"/>
                                                  <w:divBdr>
                                                    <w:top w:val="none" w:sz="0" w:space="0" w:color="auto"/>
                                                    <w:left w:val="none" w:sz="0" w:space="0" w:color="auto"/>
                                                    <w:bottom w:val="none" w:sz="0" w:space="0" w:color="auto"/>
                                                    <w:right w:val="none" w:sz="0" w:space="0" w:color="auto"/>
                                                  </w:divBdr>
                                                  <w:divsChild>
                                                    <w:div w:id="972753094">
                                                      <w:marLeft w:val="0"/>
                                                      <w:marRight w:val="0"/>
                                                      <w:marTop w:val="0"/>
                                                      <w:marBottom w:val="0"/>
                                                      <w:divBdr>
                                                        <w:top w:val="none" w:sz="0" w:space="0" w:color="auto"/>
                                                        <w:left w:val="none" w:sz="0" w:space="0" w:color="auto"/>
                                                        <w:bottom w:val="none" w:sz="0" w:space="0" w:color="auto"/>
                                                        <w:right w:val="none" w:sz="0" w:space="0" w:color="auto"/>
                                                      </w:divBdr>
                                                      <w:divsChild>
                                                        <w:div w:id="103548219">
                                                          <w:marLeft w:val="0"/>
                                                          <w:marRight w:val="0"/>
                                                          <w:marTop w:val="0"/>
                                                          <w:marBottom w:val="0"/>
                                                          <w:divBdr>
                                                            <w:top w:val="none" w:sz="0" w:space="0" w:color="auto"/>
                                                            <w:left w:val="none" w:sz="0" w:space="0" w:color="auto"/>
                                                            <w:bottom w:val="none" w:sz="0" w:space="0" w:color="auto"/>
                                                            <w:right w:val="none" w:sz="0" w:space="0" w:color="auto"/>
                                                          </w:divBdr>
                                                          <w:divsChild>
                                                            <w:div w:id="876504545">
                                                              <w:marLeft w:val="0"/>
                                                              <w:marRight w:val="0"/>
                                                              <w:marTop w:val="0"/>
                                                              <w:marBottom w:val="405"/>
                                                              <w:divBdr>
                                                                <w:top w:val="none" w:sz="0" w:space="0" w:color="auto"/>
                                                                <w:left w:val="none" w:sz="0" w:space="0" w:color="auto"/>
                                                                <w:bottom w:val="none" w:sz="0" w:space="0" w:color="auto"/>
                                                                <w:right w:val="none" w:sz="0" w:space="0" w:color="auto"/>
                                                              </w:divBdr>
                                                              <w:divsChild>
                                                                <w:div w:id="1146976296">
                                                                  <w:marLeft w:val="0"/>
                                                                  <w:marRight w:val="0"/>
                                                                  <w:marTop w:val="0"/>
                                                                  <w:marBottom w:val="0"/>
                                                                  <w:divBdr>
                                                                    <w:top w:val="none" w:sz="0" w:space="0" w:color="auto"/>
                                                                    <w:left w:val="none" w:sz="0" w:space="0" w:color="auto"/>
                                                                    <w:bottom w:val="none" w:sz="0" w:space="0" w:color="auto"/>
                                                                    <w:right w:val="none" w:sz="0" w:space="0" w:color="auto"/>
                                                                  </w:divBdr>
                                                                  <w:divsChild>
                                                                    <w:div w:id="1450582560">
                                                                      <w:marLeft w:val="0"/>
                                                                      <w:marRight w:val="0"/>
                                                                      <w:marTop w:val="0"/>
                                                                      <w:marBottom w:val="0"/>
                                                                      <w:divBdr>
                                                                        <w:top w:val="none" w:sz="0" w:space="0" w:color="auto"/>
                                                                        <w:left w:val="none" w:sz="0" w:space="0" w:color="auto"/>
                                                                        <w:bottom w:val="none" w:sz="0" w:space="0" w:color="auto"/>
                                                                        <w:right w:val="none" w:sz="0" w:space="0" w:color="auto"/>
                                                                      </w:divBdr>
                                                                      <w:divsChild>
                                                                        <w:div w:id="1478380828">
                                                                          <w:marLeft w:val="0"/>
                                                                          <w:marRight w:val="0"/>
                                                                          <w:marTop w:val="0"/>
                                                                          <w:marBottom w:val="0"/>
                                                                          <w:divBdr>
                                                                            <w:top w:val="none" w:sz="0" w:space="0" w:color="auto"/>
                                                                            <w:left w:val="none" w:sz="0" w:space="0" w:color="auto"/>
                                                                            <w:bottom w:val="none" w:sz="0" w:space="0" w:color="auto"/>
                                                                            <w:right w:val="none" w:sz="0" w:space="0" w:color="auto"/>
                                                                          </w:divBdr>
                                                                          <w:divsChild>
                                                                            <w:div w:id="16149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389675">
      <w:bodyDiv w:val="1"/>
      <w:marLeft w:val="0"/>
      <w:marRight w:val="0"/>
      <w:marTop w:val="0"/>
      <w:marBottom w:val="0"/>
      <w:divBdr>
        <w:top w:val="none" w:sz="0" w:space="0" w:color="auto"/>
        <w:left w:val="none" w:sz="0" w:space="0" w:color="auto"/>
        <w:bottom w:val="none" w:sz="0" w:space="0" w:color="auto"/>
        <w:right w:val="none" w:sz="0" w:space="0" w:color="auto"/>
      </w:divBdr>
      <w:divsChild>
        <w:div w:id="674308508">
          <w:marLeft w:val="0"/>
          <w:marRight w:val="0"/>
          <w:marTop w:val="0"/>
          <w:marBottom w:val="0"/>
          <w:divBdr>
            <w:top w:val="none" w:sz="0" w:space="0" w:color="auto"/>
            <w:left w:val="none" w:sz="0" w:space="0" w:color="auto"/>
            <w:bottom w:val="none" w:sz="0" w:space="0" w:color="auto"/>
            <w:right w:val="none" w:sz="0" w:space="0" w:color="auto"/>
          </w:divBdr>
          <w:divsChild>
            <w:div w:id="606735308">
              <w:marLeft w:val="0"/>
              <w:marRight w:val="0"/>
              <w:marTop w:val="0"/>
              <w:marBottom w:val="0"/>
              <w:divBdr>
                <w:top w:val="none" w:sz="0" w:space="0" w:color="auto"/>
                <w:left w:val="none" w:sz="0" w:space="0" w:color="auto"/>
                <w:bottom w:val="none" w:sz="0" w:space="0" w:color="auto"/>
                <w:right w:val="none" w:sz="0" w:space="0" w:color="auto"/>
              </w:divBdr>
              <w:divsChild>
                <w:div w:id="2040624714">
                  <w:marLeft w:val="0"/>
                  <w:marRight w:val="0"/>
                  <w:marTop w:val="0"/>
                  <w:marBottom w:val="0"/>
                  <w:divBdr>
                    <w:top w:val="none" w:sz="0" w:space="0" w:color="auto"/>
                    <w:left w:val="none" w:sz="0" w:space="0" w:color="auto"/>
                    <w:bottom w:val="none" w:sz="0" w:space="0" w:color="auto"/>
                    <w:right w:val="none" w:sz="0" w:space="0" w:color="auto"/>
                  </w:divBdr>
                  <w:divsChild>
                    <w:div w:id="1796169661">
                      <w:marLeft w:val="0"/>
                      <w:marRight w:val="0"/>
                      <w:marTop w:val="0"/>
                      <w:marBottom w:val="0"/>
                      <w:divBdr>
                        <w:top w:val="none" w:sz="0" w:space="0" w:color="auto"/>
                        <w:left w:val="none" w:sz="0" w:space="0" w:color="auto"/>
                        <w:bottom w:val="none" w:sz="0" w:space="0" w:color="auto"/>
                        <w:right w:val="none" w:sz="0" w:space="0" w:color="auto"/>
                      </w:divBdr>
                      <w:divsChild>
                        <w:div w:id="193078657">
                          <w:marLeft w:val="0"/>
                          <w:marRight w:val="0"/>
                          <w:marTop w:val="0"/>
                          <w:marBottom w:val="0"/>
                          <w:divBdr>
                            <w:top w:val="none" w:sz="0" w:space="0" w:color="auto"/>
                            <w:left w:val="none" w:sz="0" w:space="0" w:color="auto"/>
                            <w:bottom w:val="none" w:sz="0" w:space="0" w:color="auto"/>
                            <w:right w:val="none" w:sz="0" w:space="0" w:color="auto"/>
                          </w:divBdr>
                          <w:divsChild>
                            <w:div w:id="1133593645">
                              <w:marLeft w:val="2070"/>
                              <w:marRight w:val="3960"/>
                              <w:marTop w:val="0"/>
                              <w:marBottom w:val="0"/>
                              <w:divBdr>
                                <w:top w:val="none" w:sz="0" w:space="0" w:color="auto"/>
                                <w:left w:val="none" w:sz="0" w:space="0" w:color="auto"/>
                                <w:bottom w:val="none" w:sz="0" w:space="0" w:color="auto"/>
                                <w:right w:val="none" w:sz="0" w:space="0" w:color="auto"/>
                              </w:divBdr>
                              <w:divsChild>
                                <w:div w:id="1858276001">
                                  <w:marLeft w:val="0"/>
                                  <w:marRight w:val="0"/>
                                  <w:marTop w:val="0"/>
                                  <w:marBottom w:val="0"/>
                                  <w:divBdr>
                                    <w:top w:val="none" w:sz="0" w:space="0" w:color="auto"/>
                                    <w:left w:val="none" w:sz="0" w:space="0" w:color="auto"/>
                                    <w:bottom w:val="none" w:sz="0" w:space="0" w:color="auto"/>
                                    <w:right w:val="none" w:sz="0" w:space="0" w:color="auto"/>
                                  </w:divBdr>
                                  <w:divsChild>
                                    <w:div w:id="1696033335">
                                      <w:marLeft w:val="0"/>
                                      <w:marRight w:val="0"/>
                                      <w:marTop w:val="0"/>
                                      <w:marBottom w:val="0"/>
                                      <w:divBdr>
                                        <w:top w:val="none" w:sz="0" w:space="0" w:color="auto"/>
                                        <w:left w:val="none" w:sz="0" w:space="0" w:color="auto"/>
                                        <w:bottom w:val="none" w:sz="0" w:space="0" w:color="auto"/>
                                        <w:right w:val="none" w:sz="0" w:space="0" w:color="auto"/>
                                      </w:divBdr>
                                      <w:divsChild>
                                        <w:div w:id="1428384728">
                                          <w:marLeft w:val="0"/>
                                          <w:marRight w:val="0"/>
                                          <w:marTop w:val="0"/>
                                          <w:marBottom w:val="0"/>
                                          <w:divBdr>
                                            <w:top w:val="none" w:sz="0" w:space="0" w:color="auto"/>
                                            <w:left w:val="none" w:sz="0" w:space="0" w:color="auto"/>
                                            <w:bottom w:val="none" w:sz="0" w:space="0" w:color="auto"/>
                                            <w:right w:val="none" w:sz="0" w:space="0" w:color="auto"/>
                                          </w:divBdr>
                                          <w:divsChild>
                                            <w:div w:id="1083255967">
                                              <w:marLeft w:val="0"/>
                                              <w:marRight w:val="0"/>
                                              <w:marTop w:val="90"/>
                                              <w:marBottom w:val="0"/>
                                              <w:divBdr>
                                                <w:top w:val="none" w:sz="0" w:space="0" w:color="auto"/>
                                                <w:left w:val="none" w:sz="0" w:space="0" w:color="auto"/>
                                                <w:bottom w:val="none" w:sz="0" w:space="0" w:color="auto"/>
                                                <w:right w:val="none" w:sz="0" w:space="0" w:color="auto"/>
                                              </w:divBdr>
                                              <w:divsChild>
                                                <w:div w:id="1462770028">
                                                  <w:marLeft w:val="0"/>
                                                  <w:marRight w:val="0"/>
                                                  <w:marTop w:val="0"/>
                                                  <w:marBottom w:val="0"/>
                                                  <w:divBdr>
                                                    <w:top w:val="none" w:sz="0" w:space="0" w:color="auto"/>
                                                    <w:left w:val="none" w:sz="0" w:space="0" w:color="auto"/>
                                                    <w:bottom w:val="none" w:sz="0" w:space="0" w:color="auto"/>
                                                    <w:right w:val="none" w:sz="0" w:space="0" w:color="auto"/>
                                                  </w:divBdr>
                                                  <w:divsChild>
                                                    <w:div w:id="355430854">
                                                      <w:marLeft w:val="0"/>
                                                      <w:marRight w:val="0"/>
                                                      <w:marTop w:val="0"/>
                                                      <w:marBottom w:val="0"/>
                                                      <w:divBdr>
                                                        <w:top w:val="none" w:sz="0" w:space="0" w:color="auto"/>
                                                        <w:left w:val="none" w:sz="0" w:space="0" w:color="auto"/>
                                                        <w:bottom w:val="none" w:sz="0" w:space="0" w:color="auto"/>
                                                        <w:right w:val="none" w:sz="0" w:space="0" w:color="auto"/>
                                                      </w:divBdr>
                                                      <w:divsChild>
                                                        <w:div w:id="1197620255">
                                                          <w:marLeft w:val="0"/>
                                                          <w:marRight w:val="0"/>
                                                          <w:marTop w:val="0"/>
                                                          <w:marBottom w:val="0"/>
                                                          <w:divBdr>
                                                            <w:top w:val="none" w:sz="0" w:space="0" w:color="auto"/>
                                                            <w:left w:val="none" w:sz="0" w:space="0" w:color="auto"/>
                                                            <w:bottom w:val="none" w:sz="0" w:space="0" w:color="auto"/>
                                                            <w:right w:val="none" w:sz="0" w:space="0" w:color="auto"/>
                                                          </w:divBdr>
                                                          <w:divsChild>
                                                            <w:div w:id="1575319339">
                                                              <w:marLeft w:val="0"/>
                                                              <w:marRight w:val="0"/>
                                                              <w:marTop w:val="0"/>
                                                              <w:marBottom w:val="405"/>
                                                              <w:divBdr>
                                                                <w:top w:val="none" w:sz="0" w:space="0" w:color="auto"/>
                                                                <w:left w:val="none" w:sz="0" w:space="0" w:color="auto"/>
                                                                <w:bottom w:val="none" w:sz="0" w:space="0" w:color="auto"/>
                                                                <w:right w:val="none" w:sz="0" w:space="0" w:color="auto"/>
                                                              </w:divBdr>
                                                              <w:divsChild>
                                                                <w:div w:id="264273070">
                                                                  <w:marLeft w:val="0"/>
                                                                  <w:marRight w:val="0"/>
                                                                  <w:marTop w:val="0"/>
                                                                  <w:marBottom w:val="0"/>
                                                                  <w:divBdr>
                                                                    <w:top w:val="none" w:sz="0" w:space="0" w:color="auto"/>
                                                                    <w:left w:val="none" w:sz="0" w:space="0" w:color="auto"/>
                                                                    <w:bottom w:val="none" w:sz="0" w:space="0" w:color="auto"/>
                                                                    <w:right w:val="none" w:sz="0" w:space="0" w:color="auto"/>
                                                                  </w:divBdr>
                                                                  <w:divsChild>
                                                                    <w:div w:id="460614881">
                                                                      <w:marLeft w:val="0"/>
                                                                      <w:marRight w:val="0"/>
                                                                      <w:marTop w:val="0"/>
                                                                      <w:marBottom w:val="0"/>
                                                                      <w:divBdr>
                                                                        <w:top w:val="none" w:sz="0" w:space="0" w:color="auto"/>
                                                                        <w:left w:val="none" w:sz="0" w:space="0" w:color="auto"/>
                                                                        <w:bottom w:val="none" w:sz="0" w:space="0" w:color="auto"/>
                                                                        <w:right w:val="none" w:sz="0" w:space="0" w:color="auto"/>
                                                                      </w:divBdr>
                                                                      <w:divsChild>
                                                                        <w:div w:id="1217736581">
                                                                          <w:marLeft w:val="0"/>
                                                                          <w:marRight w:val="0"/>
                                                                          <w:marTop w:val="0"/>
                                                                          <w:marBottom w:val="0"/>
                                                                          <w:divBdr>
                                                                            <w:top w:val="none" w:sz="0" w:space="0" w:color="auto"/>
                                                                            <w:left w:val="none" w:sz="0" w:space="0" w:color="auto"/>
                                                                            <w:bottom w:val="none" w:sz="0" w:space="0" w:color="auto"/>
                                                                            <w:right w:val="none" w:sz="0" w:space="0" w:color="auto"/>
                                                                          </w:divBdr>
                                                                          <w:divsChild>
                                                                            <w:div w:id="3393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39_2_eng.pdf" TargetMode="External"/><Relationship Id="rId5" Type="http://schemas.openxmlformats.org/officeDocument/2006/relationships/webSettings" Target="webSettings.xml"/><Relationship Id="rId10" Type="http://schemas.openxmlformats.org/officeDocument/2006/relationships/hyperlink" Target="https://www.scc-csc.ca/cso-dce/2019SCC-CSC39_1_fra.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EBAB-8249-42C2-8957-AAEEF153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18970</Words>
  <Characters>99656</Characters>
  <Application>Microsoft Office Word</Application>
  <DocSecurity>0</DocSecurity>
  <Lines>830</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2019-08-02T11:08:00Z</dcterms:created>
  <dcterms:modified xsi:type="dcterms:W3CDTF">2022-02-07T20:48:00Z</dcterms:modified>
</cp:coreProperties>
</file>