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7E3EB1" w:rsidTr="0049785F">
        <w:trPr>
          <w:trHeight w:val="1786"/>
        </w:trPr>
        <w:tc>
          <w:tcPr>
            <w:tcW w:w="5000" w:type="pct"/>
          </w:tcPr>
          <w:p w:rsidR="007E3EB1" w:rsidRDefault="007E3EB1" w:rsidP="0049785F">
            <w:pPr>
              <w:jc w:val="center"/>
            </w:pPr>
            <w:r w:rsidRPr="00C22905">
              <w:rPr>
                <w:rFonts w:eastAsia="Calibri" w:cstheme="minorBid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pt;height:65.3pt" o:ole="">
                  <v:imagedata r:id="rId7" o:title=""/>
                </v:shape>
                <o:OLEObject Type="Embed" ProgID="Presentations.Drawing.15" ShapeID="_x0000_i1025" DrawAspect="Content" ObjectID="_1708616260" r:id="rId8"/>
              </w:object>
            </w:r>
          </w:p>
          <w:p w:rsidR="007E3EB1" w:rsidRDefault="007E3EB1" w:rsidP="0049785F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COUR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SUPRÊME DU</w:t>
            </w:r>
            <w:r w:rsidRPr="00C22905">
              <w:rPr>
                <w:rFonts w:eastAsia="Calibri"/>
                <w:b/>
                <w:szCs w:val="24"/>
                <w:lang w:eastAsia="en-US"/>
              </w:rPr>
              <w:t xml:space="preserve"> CANADA</w:t>
            </w: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2502"/>
        <w:gridCol w:w="3240"/>
      </w:tblGrid>
      <w:tr w:rsidR="007E3EB1" w:rsidRPr="001E12E2" w:rsidTr="007E3EB1">
        <w:trPr>
          <w:cantSplit/>
        </w:trPr>
        <w:tc>
          <w:tcPr>
            <w:tcW w:w="6120" w:type="dxa"/>
            <w:gridSpan w:val="2"/>
          </w:tcPr>
          <w:p w:rsidR="007E3EB1" w:rsidRDefault="007E3EB1" w:rsidP="0049785F">
            <w:pPr>
              <w:ind w:firstLine="32"/>
            </w:pPr>
            <w:r>
              <w:rPr>
                <w:b/>
                <w:smallCaps/>
              </w:rPr>
              <w:t>Référence :</w:t>
            </w:r>
            <w:r w:rsidRPr="001E12E2">
              <w:t xml:space="preserve"> </w:t>
            </w:r>
            <w:r>
              <w:t xml:space="preserve">R. </w:t>
            </w:r>
            <w:r w:rsidRPr="009E7010">
              <w:rPr>
                <w:i/>
              </w:rPr>
              <w:t>c</w:t>
            </w:r>
            <w:r>
              <w:t>. James, 2019 CSC 52</w:t>
            </w:r>
            <w:r>
              <w:t>,</w:t>
            </w:r>
          </w:p>
          <w:p w:rsidR="007E3EB1" w:rsidRPr="001E12E2" w:rsidRDefault="007E3EB1" w:rsidP="0049785F">
            <w:pPr>
              <w:ind w:firstLine="32"/>
            </w:pPr>
            <w:r>
              <w:t>[2019] 3 R.C.S. 918</w:t>
            </w:r>
          </w:p>
        </w:tc>
        <w:tc>
          <w:tcPr>
            <w:tcW w:w="3240" w:type="dxa"/>
          </w:tcPr>
          <w:p w:rsidR="007E3EB1" w:rsidRDefault="007E3EB1" w:rsidP="0049785F">
            <w:r>
              <w:rPr>
                <w:b/>
                <w:smallCaps/>
              </w:rPr>
              <w:t>Appel entendu :</w:t>
            </w:r>
            <w:r w:rsidRPr="001E12E2">
              <w:t xml:space="preserve"> </w:t>
            </w:r>
            <w:r>
              <w:t>8 novembre 2019</w:t>
            </w:r>
          </w:p>
          <w:p w:rsidR="007E3EB1" w:rsidRDefault="007E3EB1" w:rsidP="0049785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Jugement rendu :</w:t>
            </w:r>
            <w:r>
              <w:t xml:space="preserve"> 8 novembre 2019</w:t>
            </w:r>
          </w:p>
          <w:p w:rsidR="007E3EB1" w:rsidRPr="001E12E2" w:rsidRDefault="007E3EB1" w:rsidP="0049785F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38616</w:t>
            </w:r>
          </w:p>
        </w:tc>
      </w:tr>
      <w:tr w:rsidR="007E3EB1" w:rsidTr="0049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B1" w:rsidRPr="001E12E2" w:rsidRDefault="007E3EB1" w:rsidP="0049785F"/>
          <w:p w:rsidR="007E3EB1" w:rsidRDefault="007E3EB1" w:rsidP="0049785F">
            <w:pPr>
              <w:pStyle w:val="SCCLsocPrefix"/>
            </w:pPr>
            <w:r>
              <w:t>Entre :</w:t>
            </w:r>
          </w:p>
          <w:p w:rsidR="007E3EB1" w:rsidRDefault="007E3EB1" w:rsidP="0049785F">
            <w:pPr>
              <w:pStyle w:val="SCCLsocParty"/>
            </w:pPr>
            <w:r>
              <w:t>Sa Majesté la Reine</w:t>
            </w:r>
          </w:p>
          <w:p w:rsidR="007E3EB1" w:rsidRDefault="007E3EB1" w:rsidP="0049785F">
            <w:pPr>
              <w:pStyle w:val="SCCLsocPartyRole"/>
            </w:pPr>
            <w:r>
              <w:t>Appelante</w:t>
            </w:r>
          </w:p>
          <w:p w:rsidR="007E3EB1" w:rsidRPr="009E7010" w:rsidRDefault="007E3EB1" w:rsidP="0049785F"/>
          <w:p w:rsidR="007E3EB1" w:rsidRDefault="007E3EB1" w:rsidP="0049785F">
            <w:pPr>
              <w:pStyle w:val="SCCLsocVersus"/>
            </w:pPr>
            <w:r>
              <w:t>et</w:t>
            </w:r>
          </w:p>
          <w:p w:rsidR="007E3EB1" w:rsidRDefault="007E3EB1" w:rsidP="0049785F">
            <w:pPr>
              <w:pStyle w:val="SCCLsocVersus"/>
            </w:pPr>
          </w:p>
          <w:p w:rsidR="007E3EB1" w:rsidRDefault="007E3EB1" w:rsidP="0049785F">
            <w:pPr>
              <w:pStyle w:val="SCCLsocParty"/>
            </w:pPr>
            <w:r>
              <w:t>Justin James</w:t>
            </w:r>
          </w:p>
          <w:p w:rsidR="007E3EB1" w:rsidRDefault="007E3EB1" w:rsidP="0049785F">
            <w:pPr>
              <w:pStyle w:val="SCCLsocPartyRole"/>
            </w:pPr>
            <w:r>
              <w:t>Intimé</w:t>
            </w:r>
          </w:p>
          <w:p w:rsidR="007E3EB1" w:rsidRDefault="007E3EB1" w:rsidP="0049785F"/>
          <w:p w:rsidR="007E3EB1" w:rsidRPr="001E12E2" w:rsidRDefault="007E3EB1" w:rsidP="0049785F"/>
          <w:p w:rsidR="007E3EB1" w:rsidRPr="001E12E2" w:rsidRDefault="007E3EB1" w:rsidP="0049785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Traduction française o</w:t>
            </w:r>
            <w:r w:rsidRPr="001E12E2">
              <w:rPr>
                <w:b/>
                <w:smallCaps/>
              </w:rPr>
              <w:t>ffici</w:t>
            </w:r>
            <w:r>
              <w:rPr>
                <w:b/>
                <w:smallCaps/>
              </w:rPr>
              <w:t>elle</w:t>
            </w:r>
          </w:p>
          <w:p w:rsidR="007E3EB1" w:rsidRDefault="007E3EB1" w:rsidP="0049785F"/>
        </w:tc>
      </w:tr>
      <w:tr w:rsidR="007E3EB1" w:rsidTr="004978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60" w:type="dxa"/>
            <w:gridSpan w:val="3"/>
          </w:tcPr>
          <w:p w:rsidR="007E3EB1" w:rsidRPr="001E12E2" w:rsidRDefault="007E3EB1" w:rsidP="0049785F"/>
          <w:p w:rsidR="007E3EB1" w:rsidRPr="001E12E2" w:rsidRDefault="007E3EB1" w:rsidP="0049785F">
            <w:r w:rsidRPr="001E12E2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Le juge en chef Wagner et les juges Abella, Moldaver, Karakatsanis, Côté, Brown, Rowe, Martin et Kasirer</w:t>
            </w:r>
          </w:p>
          <w:p w:rsidR="007E3EB1" w:rsidRDefault="007E3EB1" w:rsidP="0049785F"/>
        </w:tc>
      </w:tr>
      <w:tr w:rsidR="007E3EB1" w:rsidRPr="001E12E2" w:rsidTr="0049785F">
        <w:trPr>
          <w:cantSplit/>
        </w:trPr>
        <w:tc>
          <w:tcPr>
            <w:tcW w:w="3618" w:type="dxa"/>
          </w:tcPr>
          <w:p w:rsidR="007E3EB1" w:rsidRDefault="007E3EB1" w:rsidP="0049785F">
            <w:pPr>
              <w:ind w:left="-58" w:firstLine="90"/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>
              <w:rPr>
                <w:b/>
                <w:smallCaps/>
              </w:rPr>
              <w:t> :</w:t>
            </w:r>
          </w:p>
          <w:p w:rsidR="007E3EB1" w:rsidRPr="009E7010" w:rsidRDefault="007E3EB1" w:rsidP="0049785F">
            <w:pPr>
              <w:ind w:left="-58" w:firstLine="90"/>
            </w:pPr>
            <w:r w:rsidRPr="004F664A">
              <w:t>(par. 1</w:t>
            </w:r>
            <w:r>
              <w:t xml:space="preserve"> à 2</w:t>
            </w:r>
            <w:r w:rsidRPr="004F664A">
              <w:t>)</w:t>
            </w:r>
          </w:p>
        </w:tc>
        <w:tc>
          <w:tcPr>
            <w:tcW w:w="5742" w:type="dxa"/>
            <w:gridSpan w:val="2"/>
          </w:tcPr>
          <w:p w:rsidR="007E3EB1" w:rsidRPr="001E12E2" w:rsidRDefault="007E3EB1" w:rsidP="0049785F">
            <w:r w:rsidRPr="004F664A">
              <w:t>Le juge en chef Wagner (avec l’accord des juges Abella, Moldaver, Karakatsanis, Côté, Brown, Rowe, Martin et Kasirer)</w:t>
            </w:r>
          </w:p>
        </w:tc>
      </w:tr>
    </w:tbl>
    <w:p w:rsidR="007E3EB1" w:rsidRPr="009F2A38" w:rsidRDefault="007E3EB1" w:rsidP="007E3EB1">
      <w:pPr>
        <w:rPr>
          <w:b/>
          <w:smallCap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E3EB1" w:rsidRPr="00C7392B" w:rsidTr="0049785F">
        <w:tc>
          <w:tcPr>
            <w:tcW w:w="1500" w:type="pct"/>
            <w:tcMar>
              <w:top w:w="284" w:type="dxa"/>
            </w:tcMar>
          </w:tcPr>
          <w:p w:rsidR="007E3EB1" w:rsidRPr="009D6DBE" w:rsidRDefault="007E3EB1" w:rsidP="0049785F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E3EB1" w:rsidRPr="009D6DBE" w:rsidRDefault="007E3EB1" w:rsidP="0049785F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E3EB1" w:rsidRPr="009D6DBE" w:rsidRDefault="007E3EB1" w:rsidP="0049785F">
            <w:pPr>
              <w:rPr>
                <w:rFonts w:eastAsia="Calibri"/>
              </w:rPr>
            </w:pPr>
          </w:p>
        </w:tc>
      </w:tr>
    </w:tbl>
    <w:p w:rsidR="007E3EB1" w:rsidRDefault="007E3EB1" w:rsidP="00884A51">
      <w:pPr>
        <w:spacing w:line="480" w:lineRule="auto"/>
        <w:jc w:val="both"/>
      </w:pPr>
    </w:p>
    <w:p w:rsidR="00884A51" w:rsidRPr="00CF663A" w:rsidRDefault="00884A51" w:rsidP="00884A51">
      <w:pPr>
        <w:spacing w:line="480" w:lineRule="auto"/>
        <w:jc w:val="both"/>
      </w:pPr>
      <w:bookmarkStart w:id="0" w:name="_GoBack"/>
      <w:bookmarkEnd w:id="0"/>
      <w:r w:rsidRPr="002506B7">
        <w:rPr>
          <w:smallCaps/>
        </w:rPr>
        <w:t>r</w:t>
      </w:r>
      <w:r w:rsidRPr="00DF4DC6">
        <w:rPr>
          <w:rStyle w:val="SCCAppellantForRunningHeadChar"/>
          <w:rFonts w:eastAsiaTheme="minorHAnsi"/>
          <w:lang w:val="fr-CA"/>
        </w:rPr>
        <w:t>.</w:t>
      </w:r>
      <w:r w:rsidRPr="00CF663A">
        <w:t xml:space="preserve"> </w:t>
      </w:r>
      <w:r w:rsidRPr="00CF663A">
        <w:rPr>
          <w:i/>
        </w:rPr>
        <w:t>c.</w:t>
      </w:r>
      <w:r w:rsidRPr="00CF663A">
        <w:t xml:space="preserve"> </w:t>
      </w:r>
      <w:r w:rsidRPr="00DF4DC6">
        <w:rPr>
          <w:rStyle w:val="SCCRespondentForRunningHeadChar"/>
          <w:rFonts w:eastAsiaTheme="minorHAnsi"/>
          <w:lang w:val="fr-CA"/>
        </w:rPr>
        <w:t>james</w:t>
      </w: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pStyle w:val="SCCLsocLastPartyInRole"/>
        <w:rPr>
          <w:lang w:val="fr-CA"/>
        </w:rPr>
      </w:pPr>
      <w:r w:rsidRPr="00CF663A">
        <w:rPr>
          <w:lang w:val="fr-CA"/>
        </w:rPr>
        <w:t>Sa Majesté la Reine</w:t>
      </w:r>
      <w:r w:rsidRPr="00CF663A">
        <w:rPr>
          <w:lang w:val="fr-CA"/>
        </w:rPr>
        <w:tab/>
      </w:r>
      <w:r w:rsidRPr="00DF4DC6">
        <w:rPr>
          <w:b w:val="0"/>
          <w:i/>
          <w:lang w:val="fr-CA"/>
        </w:rPr>
        <w:t>Appelante</w:t>
      </w:r>
    </w:p>
    <w:p w:rsidR="00884A51" w:rsidRPr="00A22D70" w:rsidRDefault="00884A51" w:rsidP="00884A51">
      <w:pPr>
        <w:pStyle w:val="SCCLsocLastPartyInRole"/>
        <w:rPr>
          <w:b w:val="0"/>
          <w:lang w:val="fr-CA"/>
        </w:rPr>
      </w:pPr>
      <w:r w:rsidRPr="00A22D70">
        <w:rPr>
          <w:b w:val="0"/>
          <w:i/>
          <w:lang w:val="fr-CA"/>
        </w:rPr>
        <w:lastRenderedPageBreak/>
        <w:t>c.</w:t>
      </w:r>
    </w:p>
    <w:p w:rsidR="00884A51" w:rsidRPr="00CF663A" w:rsidRDefault="00884A51" w:rsidP="00884A51">
      <w:pPr>
        <w:pStyle w:val="SCCLsocLastPartyInRole"/>
        <w:rPr>
          <w:lang w:val="fr-CA"/>
        </w:rPr>
      </w:pPr>
      <w:r w:rsidRPr="00CF663A">
        <w:rPr>
          <w:lang w:val="fr-CA"/>
        </w:rPr>
        <w:t>Justin James</w:t>
      </w:r>
      <w:r w:rsidRPr="00CF663A">
        <w:rPr>
          <w:lang w:val="fr-CA"/>
        </w:rPr>
        <w:tab/>
      </w:r>
      <w:r w:rsidRPr="00DF4DC6">
        <w:rPr>
          <w:b w:val="0"/>
          <w:i/>
          <w:lang w:val="fr-CA"/>
        </w:rPr>
        <w:t>Intimé</w:t>
      </w: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  <w:rPr>
          <w:b/>
        </w:rPr>
      </w:pPr>
      <w:r>
        <w:rPr>
          <w:b/>
        </w:rPr>
        <w:t>Répertorié : </w:t>
      </w:r>
      <w:r w:rsidRPr="00DF4DC6">
        <w:rPr>
          <w:rStyle w:val="SCCAppellantForIndexChar"/>
          <w:rFonts w:eastAsiaTheme="minorHAnsi"/>
          <w:lang w:val="fr-CA"/>
        </w:rPr>
        <w:t>R.</w:t>
      </w:r>
      <w:r w:rsidRPr="00BB4C92">
        <w:rPr>
          <w:b/>
        </w:rPr>
        <w:t xml:space="preserve"> </w:t>
      </w:r>
      <w:r w:rsidRPr="00BB4C92">
        <w:rPr>
          <w:b/>
          <w:i/>
        </w:rPr>
        <w:t>c.</w:t>
      </w:r>
      <w:r w:rsidRPr="00BB4C92">
        <w:rPr>
          <w:b/>
        </w:rPr>
        <w:t xml:space="preserve"> </w:t>
      </w:r>
      <w:r w:rsidRPr="00884A51">
        <w:rPr>
          <w:rStyle w:val="SCCRespondentForIndexChar"/>
          <w:rFonts w:eastAsiaTheme="minorHAnsi"/>
          <w:lang w:val="fr-CA"/>
        </w:rPr>
        <w:t>James</w:t>
      </w: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pStyle w:val="SCCSystemYear"/>
        <w:jc w:val="both"/>
        <w:rPr>
          <w:lang w:val="fr-CA"/>
        </w:rPr>
      </w:pPr>
      <w:r w:rsidRPr="00CF663A">
        <w:rPr>
          <w:lang w:val="fr-CA"/>
        </w:rPr>
        <w:t>20</w:t>
      </w:r>
      <w:r>
        <w:rPr>
          <w:lang w:val="fr-CA"/>
        </w:rPr>
        <w:t>19 CSC 52</w:t>
      </w: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  <w:r w:rsidRPr="00CF663A">
        <w:t>N</w:t>
      </w:r>
      <w:r w:rsidRPr="00CF663A">
        <w:rPr>
          <w:vertAlign w:val="superscript"/>
        </w:rPr>
        <w:t>o</w:t>
      </w:r>
      <w:r w:rsidRPr="00CF663A">
        <w:t xml:space="preserve"> du greffe : 38616.</w:t>
      </w: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  <w:r w:rsidRPr="00CF663A">
        <w:t>2019</w:t>
      </w:r>
      <w:r>
        <w:t> </w:t>
      </w:r>
      <w:r w:rsidRPr="00CF663A">
        <w:t>: 8 novembre</w:t>
      </w:r>
      <w:r>
        <w:t>.</w:t>
      </w: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  <w:r w:rsidRPr="00CF663A">
        <w:t>Présents : Le juge en chef Wagner et les juges Abella, Moldaver, Karakatsanis, Côté, Brown, Rowe, Martin et Kasirer.</w:t>
      </w: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>
      <w:pPr>
        <w:jc w:val="both"/>
      </w:pPr>
    </w:p>
    <w:p w:rsidR="00884A51" w:rsidRPr="00CF663A" w:rsidRDefault="00884A51" w:rsidP="00884A51"/>
    <w:p w:rsidR="00884A51" w:rsidRPr="000616C4" w:rsidRDefault="00884A51" w:rsidP="00884A51">
      <w:pPr>
        <w:jc w:val="both"/>
        <w:rPr>
          <w:smallCaps/>
        </w:rPr>
      </w:pPr>
      <w:r w:rsidRPr="000616C4">
        <w:rPr>
          <w:smallCaps/>
        </w:rPr>
        <w:t>en appel de la cour d’appel de l’ontario</w:t>
      </w:r>
    </w:p>
    <w:p w:rsidR="00884A51" w:rsidRPr="00BB4C92" w:rsidRDefault="00884A51" w:rsidP="00884A51">
      <w:pPr>
        <w:pStyle w:val="SCCNormalDoubleSpacing"/>
        <w:rPr>
          <w:lang w:val="fr-CA"/>
        </w:rPr>
      </w:pPr>
    </w:p>
    <w:p w:rsidR="00884A51" w:rsidRDefault="00884A51" w:rsidP="00884A51">
      <w:pPr>
        <w:pStyle w:val="SCCNormalDoubleSpacing"/>
        <w:rPr>
          <w:lang w:val="fr-CA"/>
        </w:rPr>
      </w:pPr>
    </w:p>
    <w:p w:rsidR="00884A51" w:rsidRPr="00C27F0A" w:rsidRDefault="00884A51" w:rsidP="00884A51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Pr="00C27F0A">
        <w:rPr>
          <w:i/>
          <w:lang w:val="fr-CA"/>
        </w:rPr>
        <w:t xml:space="preserve">Droit constitutionnel — Charte des droits — Fouilles, perquisitions et saisies — Décision du juge du procès concluant que les policiers ont violé le droit </w:t>
      </w:r>
      <w:r>
        <w:rPr>
          <w:i/>
          <w:lang w:val="fr-CA"/>
        </w:rPr>
        <w:t xml:space="preserve">constitutionnel </w:t>
      </w:r>
      <w:r w:rsidRPr="00C27F0A">
        <w:rPr>
          <w:i/>
          <w:lang w:val="fr-CA"/>
        </w:rPr>
        <w:t xml:space="preserve">de l’accusé à la protection contre les fouilles, les </w:t>
      </w:r>
      <w:r w:rsidRPr="007336C0">
        <w:rPr>
          <w:i/>
          <w:lang w:val="fr-CA"/>
        </w:rPr>
        <w:t>perquisitions ou les saisies abusives lorsqu’ils ont obtenu un mandat de perquisition sur la base de renseignements insuffisants</w:t>
      </w:r>
      <w:r w:rsidRPr="00C27F0A">
        <w:rPr>
          <w:i/>
          <w:lang w:val="fr-CA"/>
        </w:rPr>
        <w:t xml:space="preserve"> — Exclusion par le juge du procès de la preuve recueillie et inscription par celui-ci d’un verdict d’acquittement en faveur de </w:t>
      </w:r>
      <w:r w:rsidRPr="00C27F0A">
        <w:rPr>
          <w:i/>
          <w:lang w:val="fr-CA"/>
        </w:rPr>
        <w:lastRenderedPageBreak/>
        <w:t>l’accusé à l’égard d</w:t>
      </w:r>
      <w:r>
        <w:rPr>
          <w:i/>
          <w:lang w:val="fr-CA"/>
        </w:rPr>
        <w:t>’</w:t>
      </w:r>
      <w:r w:rsidRPr="00C27F0A">
        <w:rPr>
          <w:i/>
          <w:lang w:val="fr-CA"/>
        </w:rPr>
        <w:t xml:space="preserve">accusations </w:t>
      </w:r>
      <w:r>
        <w:rPr>
          <w:i/>
          <w:lang w:val="fr-CA"/>
        </w:rPr>
        <w:t xml:space="preserve">portant sur des infractions </w:t>
      </w:r>
      <w:r w:rsidRPr="00C27F0A">
        <w:rPr>
          <w:i/>
          <w:lang w:val="fr-CA"/>
        </w:rPr>
        <w:t>liées aux drogues et aux armes à feu — Appel du ministère public rejeté à la majorité par la Cour d’appel — Décision du juge dissident concluant à l’absence de violation du droit garanti à l’accusé par l’art. 8 de la Charte — Nouveau procès ordonné.</w:t>
      </w:r>
    </w:p>
    <w:p w:rsidR="00884A51" w:rsidRPr="004D7D95" w:rsidRDefault="00884A51" w:rsidP="00884A51">
      <w:pPr>
        <w:pStyle w:val="SCCNormalDoubleSpacing"/>
        <w:rPr>
          <w:lang w:val="fr-CA"/>
        </w:rPr>
      </w:pPr>
    </w:p>
    <w:p w:rsidR="00884A51" w:rsidRDefault="00884A51" w:rsidP="00884A51">
      <w:pPr>
        <w:pStyle w:val="SCCNormalDoubleSpacing"/>
        <w:spacing w:line="240" w:lineRule="auto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884A51" w:rsidRPr="00600279" w:rsidRDefault="00884A51" w:rsidP="00884A51">
      <w:pPr>
        <w:pStyle w:val="SCCNormalDoubleSpacing"/>
        <w:rPr>
          <w:b/>
          <w:lang w:val="fr-CA"/>
        </w:rPr>
      </w:pPr>
    </w:p>
    <w:p w:rsidR="00884A51" w:rsidRPr="004D7D95" w:rsidRDefault="00884A51" w:rsidP="00884A51">
      <w:pPr>
        <w:pStyle w:val="SCCNormalDoubleSpacing"/>
        <w:spacing w:line="240" w:lineRule="auto"/>
        <w:ind w:left="540" w:hanging="540"/>
        <w:rPr>
          <w:lang w:val="fr-CA"/>
        </w:rPr>
      </w:pPr>
      <w:r w:rsidRPr="00A000DE">
        <w:rPr>
          <w:i/>
          <w:lang w:val="fr-CA"/>
        </w:rPr>
        <w:t>Charte canadienne des droits et libertés</w:t>
      </w:r>
      <w:r w:rsidRPr="002506B7">
        <w:rPr>
          <w:lang w:val="fr-CA"/>
        </w:rPr>
        <w:t>, art. 8.</w:t>
      </w:r>
    </w:p>
    <w:p w:rsidR="00884A51" w:rsidRPr="004D7D95" w:rsidRDefault="00884A51" w:rsidP="00884A51">
      <w:pPr>
        <w:pStyle w:val="SCCNormalDoubleSpacing"/>
        <w:spacing w:after="480"/>
        <w:rPr>
          <w:lang w:val="fr-CA"/>
        </w:rPr>
      </w:pPr>
    </w:p>
    <w:p w:rsidR="00884A51" w:rsidRPr="00AD645D" w:rsidRDefault="00884A51" w:rsidP="00884A51">
      <w:pPr>
        <w:pStyle w:val="SCCNormalDoubleSpacing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CF663A">
        <w:rPr>
          <w:lang w:val="fr-CA"/>
        </w:rPr>
        <w:t>Cour d’appel de l’Ontario</w:t>
      </w:r>
      <w:r>
        <w:rPr>
          <w:lang w:val="fr-CA"/>
        </w:rPr>
        <w:t xml:space="preserve"> (les juges Pardu, Nordheimer et Harvison Young), 2019 ONCA 288, 145 O.R. (3d) 321, </w:t>
      </w:r>
      <w:r w:rsidRPr="008C4634">
        <w:rPr>
          <w:lang w:val="fr-CA"/>
        </w:rPr>
        <w:t>440 D.L.R. (4th) 582, 373 C.C.C. (3d) 364, 432 C.R.R. (2d) 74,</w:t>
      </w:r>
      <w:r>
        <w:rPr>
          <w:lang w:val="fr-CA"/>
        </w:rPr>
        <w:t xml:space="preserve"> [2019] O.J. No. 1827 (QL), 2019 CarswellOnt 5350 (WL Can.), </w:t>
      </w:r>
      <w:r w:rsidRPr="00D00316">
        <w:rPr>
          <w:lang w:val="fr-CA"/>
        </w:rPr>
        <w:t>qui a confirmé les acquittements prononcés en faveur de l’accusé. Pourvoi</w:t>
      </w:r>
      <w:r>
        <w:rPr>
          <w:lang w:val="fr-CA"/>
        </w:rPr>
        <w:t xml:space="preserve"> accueilli, les</w:t>
      </w:r>
      <w:r w:rsidRPr="00D00316">
        <w:rPr>
          <w:lang w:val="fr-CA"/>
        </w:rPr>
        <w:t xml:space="preserve"> juges</w:t>
      </w:r>
      <w:r w:rsidRPr="00D00316">
        <w:rPr>
          <w:smallCaps/>
          <w:lang w:val="fr-CA"/>
        </w:rPr>
        <w:t xml:space="preserve"> </w:t>
      </w:r>
      <w:r w:rsidRPr="00D00316">
        <w:rPr>
          <w:lang w:val="fr-CA"/>
        </w:rPr>
        <w:t>Abella, Karakatsanis, Brown et Martin sont dissidents.</w:t>
      </w:r>
    </w:p>
    <w:p w:rsidR="00884A51" w:rsidRPr="004D7D95" w:rsidRDefault="00884A51" w:rsidP="00884A51">
      <w:pPr>
        <w:pStyle w:val="SCCNormalDoubleSpacing"/>
        <w:rPr>
          <w:lang w:val="fr-CA"/>
        </w:rPr>
      </w:pPr>
    </w:p>
    <w:p w:rsidR="00884A51" w:rsidRPr="00CF663A" w:rsidRDefault="00884A51" w:rsidP="00884A51">
      <w:pPr>
        <w:pStyle w:val="SCCNormalDoubleSpacing"/>
        <w:rPr>
          <w:lang w:val="fr-CA"/>
        </w:rPr>
      </w:pPr>
      <w:r w:rsidRPr="00CF663A">
        <w:rPr>
          <w:rStyle w:val="SCCCounselNameChar"/>
          <w:lang w:val="fr-CA"/>
        </w:rPr>
        <w:tab/>
        <w:t>Jennifer Epstein</w:t>
      </w:r>
      <w:r>
        <w:rPr>
          <w:rStyle w:val="SCCCounselSeparatorChar"/>
          <w:lang w:val="fr-CA"/>
        </w:rPr>
        <w:t xml:space="preserve">, </w:t>
      </w:r>
      <w:r w:rsidRPr="00CF663A">
        <w:rPr>
          <w:rStyle w:val="SCCCounselNameChar"/>
          <w:lang w:val="fr-CA"/>
        </w:rPr>
        <w:t>Matthew Asma</w:t>
      </w:r>
      <w:r>
        <w:rPr>
          <w:rStyle w:val="SCCCounselPartyRoleChar"/>
          <w:lang w:val="fr-CA"/>
        </w:rPr>
        <w:t xml:space="preserve"> et </w:t>
      </w:r>
      <w:r w:rsidRPr="00F27CDC">
        <w:rPr>
          <w:rStyle w:val="SCCCounselPartyRoleChar"/>
          <w:i/>
          <w:lang w:val="fr-CA"/>
        </w:rPr>
        <w:t>Joseph Hanna</w:t>
      </w:r>
      <w:r>
        <w:rPr>
          <w:rStyle w:val="SCCCounselPartyRoleChar"/>
          <w:lang w:val="fr-CA"/>
        </w:rPr>
        <w:t>, pour l’appelante</w:t>
      </w:r>
      <w:r w:rsidRPr="00CF663A">
        <w:rPr>
          <w:rStyle w:val="SCCCounselPartyRoleChar"/>
          <w:lang w:val="fr-CA"/>
        </w:rPr>
        <w:t>.</w:t>
      </w:r>
    </w:p>
    <w:p w:rsidR="00884A51" w:rsidRPr="00CF663A" w:rsidRDefault="00884A51" w:rsidP="00884A51">
      <w:pPr>
        <w:pStyle w:val="SCCNormalDoubleSpacing"/>
        <w:rPr>
          <w:lang w:val="fr-CA"/>
        </w:rPr>
      </w:pPr>
    </w:p>
    <w:p w:rsidR="00884A51" w:rsidRDefault="00884A51" w:rsidP="00884A51">
      <w:pPr>
        <w:pStyle w:val="SCCNormalDoubleSpacing"/>
        <w:rPr>
          <w:lang w:val="fr-CA"/>
        </w:rPr>
      </w:pPr>
      <w:r w:rsidRPr="00CF663A">
        <w:rPr>
          <w:rStyle w:val="SCCCounselNameChar"/>
          <w:lang w:val="fr-CA"/>
        </w:rPr>
        <w:tab/>
        <w:t>Scott C. Hutchison</w:t>
      </w:r>
      <w:r>
        <w:rPr>
          <w:rStyle w:val="SCCCounselPartyRoleChar"/>
          <w:lang w:val="fr-CA"/>
        </w:rPr>
        <w:t xml:space="preserve"> et </w:t>
      </w:r>
      <w:r w:rsidRPr="00F27CDC">
        <w:rPr>
          <w:rStyle w:val="SCCCounselPartyRoleChar"/>
          <w:i/>
          <w:lang w:val="fr-CA"/>
        </w:rPr>
        <w:t>Kelsey Flanagan</w:t>
      </w:r>
      <w:r>
        <w:rPr>
          <w:rStyle w:val="SCCCounselPartyRoleChar"/>
          <w:lang w:val="fr-CA"/>
        </w:rPr>
        <w:t>, pour l’intimé</w:t>
      </w:r>
      <w:r w:rsidRPr="00CF663A">
        <w:rPr>
          <w:rStyle w:val="SCCCounselPartyRoleChar"/>
          <w:lang w:val="fr-CA"/>
        </w:rPr>
        <w:t>.</w:t>
      </w:r>
    </w:p>
    <w:p w:rsidR="00884A51" w:rsidRDefault="00884A51" w:rsidP="00884A51">
      <w:pPr>
        <w:pStyle w:val="SCCNormalDoubleSpacing"/>
        <w:spacing w:before="480" w:after="480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884A51" w:rsidRPr="002506B7" w:rsidRDefault="00884A51" w:rsidP="00884A51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191D1B">
        <w:rPr>
          <w:smallCaps/>
          <w:lang w:val="fr-CA"/>
        </w:rPr>
        <w:t>Le juge en chef</w:t>
      </w:r>
      <w:r w:rsidRPr="00191D1B">
        <w:rPr>
          <w:lang w:val="fr-CA"/>
        </w:rPr>
        <w:t xml:space="preserve"> —</w:t>
      </w:r>
      <w:r>
        <w:rPr>
          <w:lang w:val="fr-CA"/>
        </w:rPr>
        <w:t xml:space="preserve"> La </w:t>
      </w:r>
      <w:r w:rsidRPr="002506B7">
        <w:rPr>
          <w:lang w:val="fr-CA"/>
        </w:rPr>
        <w:t>Cour</w:t>
      </w:r>
      <w:r>
        <w:rPr>
          <w:lang w:val="fr-CA"/>
        </w:rPr>
        <w:t xml:space="preserve">, à la majorité, est d’avis d’accueillir l’appel et d’ordonner la tenue d’un nouveau procès, essentiellement pour les motifs exposés par le juge Nordheimer, </w:t>
      </w:r>
      <w:r>
        <w:rPr>
          <w:lang w:val="fr-CA"/>
        </w:rPr>
        <w:lastRenderedPageBreak/>
        <w:t xml:space="preserve">dans la mesure où ce dernier a conclu à l’absence de violation de l’art. 8 de la </w:t>
      </w:r>
      <w:r w:rsidRPr="00A000DE">
        <w:rPr>
          <w:i/>
          <w:lang w:val="fr-CA"/>
        </w:rPr>
        <w:t>Charte canadienne des droits et libertés</w:t>
      </w:r>
      <w:r>
        <w:rPr>
          <w:lang w:val="fr-CA"/>
        </w:rPr>
        <w:t>.</w:t>
      </w:r>
    </w:p>
    <w:p w:rsidR="00884A51" w:rsidRPr="00600279" w:rsidRDefault="00884A51" w:rsidP="00884A51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600279">
        <w:rPr>
          <w:lang w:val="fr-CA"/>
        </w:rPr>
        <w:t>Les</w:t>
      </w:r>
      <w:r>
        <w:rPr>
          <w:lang w:val="fr-CA"/>
        </w:rPr>
        <w:t xml:space="preserve"> juges</w:t>
      </w:r>
      <w:r w:rsidRPr="00600279">
        <w:rPr>
          <w:smallCaps/>
          <w:lang w:val="fr-CA"/>
        </w:rPr>
        <w:t xml:space="preserve"> </w:t>
      </w:r>
      <w:r>
        <w:rPr>
          <w:lang w:val="fr-CA"/>
        </w:rPr>
        <w:t>Abella, Karakatsanis, Brown et Martin auraient rejeté l’appel, principalement pour les motifs rédigés par la juge Pardu.</w:t>
      </w:r>
    </w:p>
    <w:p w:rsidR="00884A51" w:rsidRPr="009E06F7" w:rsidRDefault="00884A51" w:rsidP="00884A51">
      <w:pPr>
        <w:pStyle w:val="SCCNormalDoubleSpacing"/>
        <w:spacing w:before="480" w:after="480"/>
        <w:rPr>
          <w:i/>
          <w:lang w:val="fr-CA"/>
        </w:rPr>
      </w:pPr>
      <w:r w:rsidRPr="00CF663A">
        <w:rPr>
          <w:lang w:val="fr-CA"/>
        </w:rPr>
        <w:tab/>
      </w:r>
      <w:r w:rsidRPr="00ED7B0F">
        <w:rPr>
          <w:i/>
          <w:lang w:val="fr-CA"/>
        </w:rPr>
        <w:t>Jugement en conséquence.</w:t>
      </w:r>
    </w:p>
    <w:p w:rsidR="00884A51" w:rsidRPr="00CF663A" w:rsidRDefault="00884A51" w:rsidP="00884A51">
      <w:pPr>
        <w:pStyle w:val="SCCLawFirm"/>
        <w:spacing w:before="480" w:after="480"/>
        <w:rPr>
          <w:lang w:val="fr-CA"/>
        </w:rPr>
      </w:pPr>
      <w:r>
        <w:rPr>
          <w:lang w:val="fr-CA"/>
        </w:rPr>
        <w:tab/>
        <w:t>Procureur</w:t>
      </w:r>
      <w:r w:rsidRPr="00CF663A">
        <w:rPr>
          <w:lang w:val="fr-CA"/>
        </w:rPr>
        <w:t xml:space="preserve"> de </w:t>
      </w:r>
      <w:r>
        <w:rPr>
          <w:lang w:val="fr-CA"/>
        </w:rPr>
        <w:t>l’appelante</w:t>
      </w:r>
      <w:r w:rsidRPr="00CF663A">
        <w:rPr>
          <w:lang w:val="fr-CA"/>
        </w:rPr>
        <w:t xml:space="preserve"> : </w:t>
      </w:r>
      <w:r>
        <w:rPr>
          <w:lang w:val="fr-CA"/>
        </w:rPr>
        <w:t>Procureur général de l’</w:t>
      </w:r>
      <w:r w:rsidRPr="00CF663A">
        <w:rPr>
          <w:lang w:val="fr-CA"/>
        </w:rPr>
        <w:t>Ontario, Toronto.</w:t>
      </w:r>
    </w:p>
    <w:p w:rsidR="00884A51" w:rsidRPr="00DF4DC6" w:rsidRDefault="00884A51" w:rsidP="00884A51">
      <w:pPr>
        <w:tabs>
          <w:tab w:val="left" w:pos="1260"/>
        </w:tabs>
        <w:rPr>
          <w:i/>
        </w:rPr>
      </w:pPr>
      <w:r>
        <w:tab/>
      </w:r>
      <w:r w:rsidRPr="00DF4DC6">
        <w:rPr>
          <w:i/>
        </w:rPr>
        <w:t>Procureurs de l’intimé : Henein Hutchison, Toronto.</w:t>
      </w:r>
    </w:p>
    <w:p w:rsidR="00D503D0" w:rsidRPr="00884A51" w:rsidRDefault="00D503D0" w:rsidP="00884A51"/>
    <w:sectPr w:rsidR="00D503D0" w:rsidRPr="00884A51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C2" w:rsidRDefault="008234C2" w:rsidP="00F72014">
      <w:r>
        <w:separator/>
      </w:r>
    </w:p>
  </w:endnote>
  <w:endnote w:type="continuationSeparator" w:id="0">
    <w:p w:rsidR="008234C2" w:rsidRDefault="008234C2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C2" w:rsidRDefault="008234C2" w:rsidP="00F72014">
      <w:r>
        <w:separator/>
      </w:r>
    </w:p>
  </w:footnote>
  <w:footnote w:type="continuationSeparator" w:id="0">
    <w:p w:rsidR="008234C2" w:rsidRDefault="008234C2" w:rsidP="00F7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D7F19"/>
    <w:rsid w:val="000F4467"/>
    <w:rsid w:val="001311DA"/>
    <w:rsid w:val="00137DE1"/>
    <w:rsid w:val="00196882"/>
    <w:rsid w:val="001D6B8C"/>
    <w:rsid w:val="001E12E2"/>
    <w:rsid w:val="001E5B5A"/>
    <w:rsid w:val="001F1F83"/>
    <w:rsid w:val="00256B56"/>
    <w:rsid w:val="002839AE"/>
    <w:rsid w:val="0028675F"/>
    <w:rsid w:val="002F0B6C"/>
    <w:rsid w:val="00355967"/>
    <w:rsid w:val="0036772A"/>
    <w:rsid w:val="00376E65"/>
    <w:rsid w:val="00384384"/>
    <w:rsid w:val="003B2BE1"/>
    <w:rsid w:val="003B3C63"/>
    <w:rsid w:val="00460AFC"/>
    <w:rsid w:val="00466311"/>
    <w:rsid w:val="004777EE"/>
    <w:rsid w:val="004E69EC"/>
    <w:rsid w:val="004F090E"/>
    <w:rsid w:val="004F664A"/>
    <w:rsid w:val="00535189"/>
    <w:rsid w:val="00582136"/>
    <w:rsid w:val="0058383C"/>
    <w:rsid w:val="005C0397"/>
    <w:rsid w:val="006034F1"/>
    <w:rsid w:val="006936F1"/>
    <w:rsid w:val="006D697E"/>
    <w:rsid w:val="00701ABD"/>
    <w:rsid w:val="007021C8"/>
    <w:rsid w:val="007740CA"/>
    <w:rsid w:val="007E3EB1"/>
    <w:rsid w:val="00803557"/>
    <w:rsid w:val="008234C2"/>
    <w:rsid w:val="00842677"/>
    <w:rsid w:val="008714CB"/>
    <w:rsid w:val="00880B14"/>
    <w:rsid w:val="00884A51"/>
    <w:rsid w:val="008B5797"/>
    <w:rsid w:val="008C75A4"/>
    <w:rsid w:val="008F4691"/>
    <w:rsid w:val="00904937"/>
    <w:rsid w:val="00996510"/>
    <w:rsid w:val="009E49D6"/>
    <w:rsid w:val="009E7010"/>
    <w:rsid w:val="009F0F2D"/>
    <w:rsid w:val="009F2A38"/>
    <w:rsid w:val="00A22D70"/>
    <w:rsid w:val="00A51D10"/>
    <w:rsid w:val="00AB2201"/>
    <w:rsid w:val="00BD4217"/>
    <w:rsid w:val="00CA3730"/>
    <w:rsid w:val="00D030DA"/>
    <w:rsid w:val="00D503D0"/>
    <w:rsid w:val="00D751FC"/>
    <w:rsid w:val="00D76BDF"/>
    <w:rsid w:val="00E356C7"/>
    <w:rsid w:val="00E53ED9"/>
    <w:rsid w:val="00E64FA7"/>
    <w:rsid w:val="00E770CB"/>
    <w:rsid w:val="00F01FC5"/>
    <w:rsid w:val="00F25646"/>
    <w:rsid w:val="00F72014"/>
    <w:rsid w:val="00F9518C"/>
    <w:rsid w:val="00FA59EF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884A51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val="en-CA"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884A51"/>
    <w:rPr>
      <w:rFonts w:eastAsia="Times New Roman" w:cs="Times New Roman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884A51"/>
    <w:rPr>
      <w:rFonts w:eastAsia="Times New Roman" w:cs="Times New Roman"/>
      <w:smallCaps/>
      <w:szCs w:val="20"/>
      <w:lang w:val="en-CA" w:eastAsia="en-CA"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884A51"/>
    <w:rPr>
      <w:rFonts w:eastAsia="Times New Roman" w:cs="Times New Roman"/>
      <w:smallCaps/>
      <w:szCs w:val="20"/>
      <w:lang w:val="en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884A51"/>
    <w:rPr>
      <w:rFonts w:eastAsia="Times New Roman" w:cs="Times New Roman"/>
      <w:smallCaps/>
      <w:szCs w:val="20"/>
      <w:lang w:val="en-CA" w:eastAsia="en-CA"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884A51"/>
    <w:rPr>
      <w:rFonts w:eastAsia="Times New Roman" w:cs="Times New Roman"/>
      <w:smallCaps/>
      <w:szCs w:val="20"/>
      <w:lang w:val="en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884A51"/>
    <w:rPr>
      <w:rFonts w:eastAsia="Times New Roman" w:cs="Times New Roman"/>
      <w:b/>
      <w:szCs w:val="20"/>
      <w:lang w:val="en-CA" w:eastAsia="en-CA"/>
    </w:rPr>
  </w:style>
  <w:style w:type="character" w:customStyle="1" w:styleId="SCCAppellantForIndexChar">
    <w:name w:val="SCC.AppellantForIndex Char"/>
    <w:basedOn w:val="DefaultParagraphFont"/>
    <w:link w:val="SCCAppellantForIndex"/>
    <w:rsid w:val="00884A51"/>
    <w:rPr>
      <w:rFonts w:eastAsia="Times New Roman" w:cs="Times New Roman"/>
      <w:b/>
      <w:szCs w:val="20"/>
      <w:lang w:val="en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884A51"/>
    <w:rPr>
      <w:rFonts w:eastAsia="Times New Roman" w:cs="Times New Roman"/>
      <w:b/>
      <w:szCs w:val="20"/>
      <w:lang w:val="en-CA" w:eastAsia="en-CA"/>
    </w:rPr>
  </w:style>
  <w:style w:type="character" w:customStyle="1" w:styleId="SCCRespondentForIndexChar">
    <w:name w:val="SCC.RespondentForIndex Char"/>
    <w:basedOn w:val="DefaultParagraphFont"/>
    <w:link w:val="SCCRespondentForIndex"/>
    <w:rsid w:val="00884A51"/>
    <w:rPr>
      <w:rFonts w:eastAsia="Times New Roman" w:cs="Times New Roman"/>
      <w:b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884A51"/>
    <w:rPr>
      <w:rFonts w:eastAsia="Times New Roman" w:cs="Times New Roman"/>
      <w:b/>
      <w:szCs w:val="20"/>
      <w:lang w:val="en-CA" w:eastAsia="en-CA"/>
    </w:rPr>
  </w:style>
  <w:style w:type="character" w:customStyle="1" w:styleId="SCCSystemYearChar">
    <w:name w:val="SCC.SystemYear Char"/>
    <w:basedOn w:val="DefaultParagraphFont"/>
    <w:link w:val="SCCSystemYear"/>
    <w:rsid w:val="00884A51"/>
    <w:rPr>
      <w:rFonts w:eastAsia="Times New Roman" w:cs="Times New Roman"/>
      <w:b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884A51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884A51"/>
    <w:rPr>
      <w:rFonts w:eastAsia="Times New Roman" w:cs="Times New Roman"/>
      <w:i/>
      <w:szCs w:val="20"/>
      <w:lang w:val="en-CA" w:eastAsia="en-CA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84A51"/>
  </w:style>
  <w:style w:type="character" w:customStyle="1" w:styleId="SCCCounselSeparatorChar">
    <w:name w:val="SCC.CounselSeparator Char"/>
    <w:basedOn w:val="SCCNormalDoubleSpacingChar"/>
    <w:link w:val="SCCCounselSeparator"/>
    <w:rsid w:val="00884A51"/>
    <w:rPr>
      <w:rFonts w:eastAsia="Times New Roman" w:cs="Times New Roman"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884A51"/>
    <w:rPr>
      <w:i/>
    </w:rPr>
  </w:style>
  <w:style w:type="character" w:customStyle="1" w:styleId="SCCLawFirmChar">
    <w:name w:val="SCC.LawFirm Char"/>
    <w:basedOn w:val="SCCNormalDoubleSpacingChar"/>
    <w:link w:val="SCCLawFirm"/>
    <w:rsid w:val="00884A51"/>
    <w:rPr>
      <w:rFonts w:eastAsia="Times New Roman" w:cs="Times New Roman"/>
      <w:i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884A51"/>
  </w:style>
  <w:style w:type="character" w:customStyle="1" w:styleId="SCCCounselPartyRoleChar">
    <w:name w:val="SCC.CounselPartyRole Char"/>
    <w:basedOn w:val="SCCNormalDoubleSpacingChar"/>
    <w:link w:val="SCCCounselPartyRole"/>
    <w:rsid w:val="00884A51"/>
    <w:rPr>
      <w:rFonts w:eastAsia="Times New Roman" w:cs="Times New Roman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884A51"/>
    <w:pPr>
      <w:tabs>
        <w:tab w:val="right" w:pos="8222"/>
      </w:tabs>
      <w:spacing w:after="720"/>
    </w:pPr>
    <w:rPr>
      <w:rFonts w:eastAsia="Times New Roman" w:cs="Times New Roman"/>
      <w:b/>
      <w:szCs w:val="20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884A51"/>
    <w:rPr>
      <w:rFonts w:eastAsia="Times New Roman" w:cs="Times New Roman"/>
      <w:b/>
      <w:szCs w:val="20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7E3EB1"/>
    <w:rPr>
      <w:rFonts w:eastAsia="Times New Roman" w:cs="Times New Roman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2021-05-20T13:08:00Z</dcterms:created>
  <dcterms:modified xsi:type="dcterms:W3CDTF">2022-03-12T23:51:00Z</dcterms:modified>
</cp:coreProperties>
</file>