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A07" w:rsidRPr="00FB3A07" w:rsidRDefault="00FB3A07" w:rsidP="00FB3A07">
      <w:pPr>
        <w:tabs>
          <w:tab w:val="center" w:pos="4680"/>
          <w:tab w:val="right" w:pos="9360"/>
        </w:tabs>
        <w:rPr>
          <w:rFonts w:eastAsia="Calibri"/>
          <w:szCs w:val="24"/>
          <w:lang w:val="fr-CA" w:eastAsia="en-US"/>
        </w:rPr>
      </w:pPr>
      <w:r w:rsidRPr="00FB3A07">
        <w:rPr>
          <w:rFonts w:eastAsia="Calibri"/>
          <w:szCs w:val="24"/>
          <w:lang w:val="fr-CA" w:eastAsia="en-US"/>
        </w:rPr>
        <w:ptab w:relativeTo="margin" w:alignment="center" w:leader="none"/>
      </w:r>
      <w:r w:rsidRPr="00FB3A07">
        <w:rPr>
          <w:rFonts w:eastAsia="Calibri"/>
          <w:szCs w:val="24"/>
          <w:lang w:val="fr-CA" w:eastAsia="en-US"/>
        </w:rPr>
        <w:t xml:space="preserve"> </w:t>
      </w:r>
      <w:r w:rsidRPr="00FB3A07">
        <w:rPr>
          <w:rFonts w:eastAsia="Calibr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15pt;height:64.7pt" o:ole="">
            <v:imagedata r:id="rId8" o:title=""/>
          </v:shape>
          <o:OLEObject Type="Embed" ProgID="Presentations.Drawing.13" ShapeID="_x0000_i1025" DrawAspect="Content" ObjectID="_1709814360" r:id="rId9"/>
        </w:object>
      </w:r>
      <w:r w:rsidRPr="00FB3A07">
        <w:rPr>
          <w:rFonts w:eastAsia="Calibri"/>
          <w:szCs w:val="24"/>
          <w:lang w:val="fr-CA" w:eastAsia="en-US"/>
        </w:rPr>
        <w:t xml:space="preserve"> </w:t>
      </w:r>
      <w:r w:rsidRPr="00FB3A07">
        <w:rPr>
          <w:rFonts w:eastAsia="Calibri"/>
          <w:szCs w:val="24"/>
          <w:lang w:val="fr-CA" w:eastAsia="en-US"/>
        </w:rPr>
        <w:ptab w:relativeTo="margin" w:alignment="right" w:leader="none"/>
      </w:r>
    </w:p>
    <w:p w:rsidR="00FB3A07" w:rsidRPr="00FB3A07" w:rsidRDefault="00FB3A07" w:rsidP="00FB3A07">
      <w:pPr>
        <w:tabs>
          <w:tab w:val="center" w:pos="4680"/>
          <w:tab w:val="right" w:pos="9360"/>
        </w:tabs>
        <w:rPr>
          <w:rFonts w:eastAsia="Calibri"/>
          <w:szCs w:val="24"/>
          <w:lang w:val="fr-CA" w:eastAsia="en-US"/>
        </w:rPr>
      </w:pPr>
    </w:p>
    <w:p w:rsidR="00FB3A07" w:rsidRPr="00FB3A07" w:rsidRDefault="00FB3A07" w:rsidP="00FB3A07">
      <w:pPr>
        <w:jc w:val="center"/>
        <w:rPr>
          <w:rFonts w:eastAsia="Calibri"/>
          <w:b/>
          <w:szCs w:val="24"/>
          <w:lang w:val="fr-CA" w:eastAsia="en-US"/>
        </w:rPr>
      </w:pPr>
      <w:r w:rsidRPr="00FB3A07">
        <w:rPr>
          <w:rFonts w:eastAsia="Calibri"/>
          <w:b/>
          <w:szCs w:val="24"/>
          <w:lang w:val="fr-CA" w:eastAsia="en-US"/>
        </w:rPr>
        <w:t>COUR SUPRÊME DU CANADA</w:t>
      </w:r>
    </w:p>
    <w:p w:rsidR="00FB3A07" w:rsidRPr="00FB3A07" w:rsidRDefault="00FB3A07" w:rsidP="00FB3A07">
      <w:pPr>
        <w:rPr>
          <w:rFonts w:eastAsia="Calibri"/>
          <w:szCs w:val="24"/>
          <w:lang w:val="fr-CA" w:eastAsia="en-US"/>
        </w:rPr>
      </w:pPr>
    </w:p>
    <w:tbl>
      <w:tblPr>
        <w:tblStyle w:val="TableGrid2"/>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580"/>
        <w:gridCol w:w="4050"/>
      </w:tblGrid>
      <w:tr w:rsidR="00FB3A07" w:rsidRPr="00FB3A07" w:rsidTr="0033225A">
        <w:trPr>
          <w:cantSplit/>
        </w:trPr>
        <w:tc>
          <w:tcPr>
            <w:tcW w:w="5580" w:type="dxa"/>
          </w:tcPr>
          <w:p w:rsidR="00FB3A07" w:rsidRPr="00FB3A07" w:rsidRDefault="00FB3A07" w:rsidP="00FB3A07">
            <w:pPr>
              <w:rPr>
                <w:lang w:val="fr-CA"/>
              </w:rPr>
            </w:pPr>
            <w:r w:rsidRPr="00FB3A07">
              <w:rPr>
                <w:b/>
                <w:smallCaps/>
                <w:lang w:val="fr-CA"/>
              </w:rPr>
              <w:t>Référence :</w:t>
            </w:r>
            <w:r w:rsidRPr="00FB3A07">
              <w:rPr>
                <w:lang w:val="fr-CA"/>
              </w:rPr>
              <w:t xml:space="preserve"> Montréal (Ville)</w:t>
            </w:r>
            <w:r w:rsidRPr="00FB3A07">
              <w:rPr>
                <w:b/>
                <w:lang w:val="fr-CA"/>
              </w:rPr>
              <w:t xml:space="preserve"> </w:t>
            </w:r>
            <w:r w:rsidRPr="00FB3A07">
              <w:rPr>
                <w:i/>
                <w:lang w:val="fr-CA"/>
              </w:rPr>
              <w:t>c.</w:t>
            </w:r>
            <w:r w:rsidRPr="00FB3A07">
              <w:rPr>
                <w:lang w:val="fr-CA"/>
              </w:rPr>
              <w:t xml:space="preserve"> Octane Stratégie inc., 2019 CSC 57, [2019] 4 R.C.S. 138</w:t>
            </w:r>
          </w:p>
        </w:tc>
        <w:tc>
          <w:tcPr>
            <w:tcW w:w="4050" w:type="dxa"/>
          </w:tcPr>
          <w:p w:rsidR="00FB3A07" w:rsidRPr="00FB3A07" w:rsidRDefault="00FB3A07" w:rsidP="00FB3A07">
            <w:pPr>
              <w:rPr>
                <w:b/>
                <w:smallCaps/>
                <w:lang w:val="fr-CA"/>
              </w:rPr>
            </w:pPr>
            <w:r w:rsidRPr="00FB3A07">
              <w:rPr>
                <w:b/>
                <w:smallCaps/>
                <w:lang w:val="fr-CA"/>
              </w:rPr>
              <w:t xml:space="preserve">Appels entendus : </w:t>
            </w:r>
            <w:r w:rsidRPr="00FB3A07">
              <w:rPr>
                <w:lang w:val="fr-CA"/>
              </w:rPr>
              <w:t>20 février 2019</w:t>
            </w:r>
          </w:p>
          <w:p w:rsidR="00FB3A07" w:rsidRPr="00FB3A07" w:rsidRDefault="00FB3A07" w:rsidP="00FB3A07">
            <w:pPr>
              <w:rPr>
                <w:lang w:val="fr-CA"/>
              </w:rPr>
            </w:pPr>
            <w:r w:rsidRPr="00FB3A07">
              <w:rPr>
                <w:b/>
                <w:smallCaps/>
                <w:lang w:val="fr-CA"/>
              </w:rPr>
              <w:t>Jugement rendu :</w:t>
            </w:r>
            <w:r w:rsidRPr="00FB3A07">
              <w:rPr>
                <w:lang w:val="fr-CA"/>
              </w:rPr>
              <w:t xml:space="preserve"> 22 novembre 2019</w:t>
            </w:r>
          </w:p>
          <w:p w:rsidR="00FB3A07" w:rsidRPr="00FB3A07" w:rsidRDefault="00FB3A07" w:rsidP="00FB3A07">
            <w:pPr>
              <w:rPr>
                <w:lang w:val="fr-CA"/>
              </w:rPr>
            </w:pPr>
            <w:r w:rsidRPr="00FB3A07">
              <w:rPr>
                <w:b/>
                <w:smallCaps/>
                <w:lang w:val="fr-CA"/>
              </w:rPr>
              <w:t>Dossiers :</w:t>
            </w:r>
            <w:r w:rsidRPr="00FB3A07">
              <w:rPr>
                <w:lang w:val="fr-CA"/>
              </w:rPr>
              <w:t xml:space="preserve"> 38066, 38073</w:t>
            </w:r>
          </w:p>
        </w:tc>
      </w:tr>
    </w:tbl>
    <w:p w:rsidR="00FB3A07" w:rsidRPr="00FB3A07" w:rsidRDefault="00FB3A07" w:rsidP="00FB3A07">
      <w:pPr>
        <w:rPr>
          <w:rFonts w:eastAsia="Calibri"/>
          <w:szCs w:val="24"/>
          <w:lang w:val="fr-CA" w:eastAsia="en-US"/>
        </w:rPr>
      </w:pPr>
    </w:p>
    <w:p w:rsidR="00FB3A07" w:rsidRPr="00FB3A07" w:rsidRDefault="00FB3A07" w:rsidP="00FB3A07">
      <w:pPr>
        <w:rPr>
          <w:rFonts w:eastAsia="Calibri"/>
          <w:b/>
          <w:smallCaps/>
          <w:szCs w:val="24"/>
          <w:lang w:val="fr-CA" w:eastAsia="en-US"/>
        </w:rPr>
      </w:pPr>
      <w:r w:rsidRPr="00FB3A07">
        <w:rPr>
          <w:rFonts w:eastAsia="Calibri"/>
          <w:b/>
          <w:smallCaps/>
          <w:szCs w:val="24"/>
          <w:lang w:val="fr-CA" w:eastAsia="en-US"/>
        </w:rPr>
        <w:t>Entre :</w:t>
      </w:r>
    </w:p>
    <w:p w:rsidR="00FB3A07" w:rsidRPr="00FB3A07" w:rsidRDefault="00FB3A07" w:rsidP="00FB3A07">
      <w:pPr>
        <w:rPr>
          <w:rFonts w:eastAsia="Calibri"/>
          <w:szCs w:val="24"/>
          <w:lang w:val="fr-CA" w:eastAsia="en-US"/>
        </w:rPr>
      </w:pPr>
    </w:p>
    <w:p w:rsidR="00FB3A07" w:rsidRPr="00FB3A07" w:rsidRDefault="00FB3A07" w:rsidP="00FB3A07">
      <w:pPr>
        <w:jc w:val="center"/>
        <w:rPr>
          <w:rFonts w:eastAsia="Calibri"/>
          <w:b/>
          <w:szCs w:val="24"/>
          <w:lang w:val="fr-CA" w:eastAsia="en-US"/>
        </w:rPr>
      </w:pPr>
      <w:r w:rsidRPr="00FB3A07">
        <w:rPr>
          <w:rFonts w:eastAsia="Calibri"/>
          <w:b/>
          <w:szCs w:val="24"/>
          <w:lang w:val="fr-CA" w:eastAsia="en-US"/>
        </w:rPr>
        <w:t xml:space="preserve">Ville de Montréal </w:t>
      </w:r>
    </w:p>
    <w:p w:rsidR="00FB3A07" w:rsidRPr="00FB3A07" w:rsidRDefault="00FB3A07" w:rsidP="00FB3A07">
      <w:pPr>
        <w:jc w:val="center"/>
        <w:rPr>
          <w:rFonts w:eastAsia="Calibri"/>
          <w:szCs w:val="24"/>
          <w:lang w:val="fr-CA" w:eastAsia="en-US"/>
        </w:rPr>
      </w:pPr>
      <w:r w:rsidRPr="00FB3A07">
        <w:rPr>
          <w:rFonts w:eastAsia="Calibri"/>
          <w:szCs w:val="24"/>
          <w:lang w:val="fr-CA" w:eastAsia="en-US"/>
        </w:rPr>
        <w:t>Appelante</w:t>
      </w:r>
    </w:p>
    <w:p w:rsidR="00FB3A07" w:rsidRPr="00FB3A07" w:rsidRDefault="00FB3A07" w:rsidP="00FB3A07">
      <w:pPr>
        <w:rPr>
          <w:rFonts w:eastAsia="Calibri"/>
          <w:szCs w:val="24"/>
          <w:lang w:val="fr-CA" w:eastAsia="en-US"/>
        </w:rPr>
      </w:pPr>
    </w:p>
    <w:p w:rsidR="00FB3A07" w:rsidRPr="00FB3A07" w:rsidRDefault="00FB3A07" w:rsidP="00FB3A07">
      <w:pPr>
        <w:jc w:val="center"/>
        <w:rPr>
          <w:rFonts w:eastAsia="Calibri"/>
          <w:szCs w:val="24"/>
          <w:lang w:val="fr-CA" w:eastAsia="en-US"/>
        </w:rPr>
      </w:pPr>
      <w:r w:rsidRPr="00FB3A07">
        <w:rPr>
          <w:rFonts w:eastAsia="Calibri"/>
          <w:szCs w:val="24"/>
          <w:lang w:val="fr-CA" w:eastAsia="en-US"/>
        </w:rPr>
        <w:t>et</w:t>
      </w:r>
    </w:p>
    <w:p w:rsidR="00FB3A07" w:rsidRPr="00FB3A07" w:rsidRDefault="00FB3A07" w:rsidP="00FB3A07">
      <w:pPr>
        <w:rPr>
          <w:rFonts w:eastAsia="Calibri"/>
          <w:szCs w:val="24"/>
          <w:lang w:val="fr-CA" w:eastAsia="en-US"/>
        </w:rPr>
      </w:pPr>
    </w:p>
    <w:p w:rsidR="00FB3A07" w:rsidRPr="00FB3A07" w:rsidRDefault="00FB3A07" w:rsidP="00FB3A07">
      <w:pPr>
        <w:jc w:val="center"/>
        <w:rPr>
          <w:rFonts w:eastAsia="Calibri"/>
          <w:b/>
          <w:szCs w:val="24"/>
          <w:lang w:val="fr-CA" w:eastAsia="en-US"/>
        </w:rPr>
      </w:pPr>
      <w:r w:rsidRPr="00FB3A07">
        <w:rPr>
          <w:rFonts w:eastAsia="Calibri"/>
          <w:b/>
          <w:szCs w:val="24"/>
          <w:lang w:val="fr-CA" w:eastAsia="en-US"/>
        </w:rPr>
        <w:t>Octane Stratégie inc.</w:t>
      </w:r>
    </w:p>
    <w:p w:rsidR="00FB3A07" w:rsidRPr="00FB3A07" w:rsidRDefault="00FB3A07" w:rsidP="00FB3A07">
      <w:pPr>
        <w:jc w:val="center"/>
        <w:rPr>
          <w:rFonts w:eastAsia="Calibri"/>
          <w:szCs w:val="24"/>
          <w:lang w:val="fr-CA" w:eastAsia="en-US"/>
        </w:rPr>
      </w:pPr>
      <w:r w:rsidRPr="00FB3A07">
        <w:rPr>
          <w:rFonts w:eastAsia="Calibri"/>
          <w:szCs w:val="24"/>
          <w:lang w:val="fr-CA" w:eastAsia="en-US"/>
        </w:rPr>
        <w:t>Intimée</w:t>
      </w:r>
    </w:p>
    <w:p w:rsidR="00FB3A07" w:rsidRPr="00FB3A07" w:rsidRDefault="00FB3A07" w:rsidP="00FB3A07">
      <w:pPr>
        <w:rPr>
          <w:rFonts w:eastAsia="Calibri"/>
          <w:szCs w:val="24"/>
          <w:lang w:val="fr-CA" w:eastAsia="en-US"/>
        </w:rPr>
      </w:pPr>
    </w:p>
    <w:p w:rsidR="00FB3A07" w:rsidRPr="00FB3A07" w:rsidRDefault="00FB3A07" w:rsidP="00FB3A07">
      <w:pPr>
        <w:jc w:val="center"/>
        <w:rPr>
          <w:rFonts w:eastAsia="Calibri"/>
          <w:szCs w:val="24"/>
          <w:lang w:val="fr-CA" w:eastAsia="en-US"/>
        </w:rPr>
      </w:pPr>
      <w:r w:rsidRPr="00FB3A07">
        <w:rPr>
          <w:rFonts w:eastAsia="Calibri"/>
          <w:szCs w:val="24"/>
          <w:lang w:val="fr-CA" w:eastAsia="en-US"/>
        </w:rPr>
        <w:t>- et -</w:t>
      </w:r>
    </w:p>
    <w:p w:rsidR="00FB3A07" w:rsidRPr="00FB3A07" w:rsidRDefault="00FB3A07" w:rsidP="00FB3A07">
      <w:pPr>
        <w:jc w:val="center"/>
        <w:rPr>
          <w:rFonts w:eastAsia="Calibri"/>
          <w:szCs w:val="24"/>
          <w:lang w:val="fr-CA" w:eastAsia="en-US"/>
        </w:rPr>
      </w:pPr>
    </w:p>
    <w:p w:rsidR="00FB3A07" w:rsidRPr="00FB3A07" w:rsidRDefault="00FB3A07" w:rsidP="00FB3A07">
      <w:pPr>
        <w:jc w:val="center"/>
        <w:rPr>
          <w:rFonts w:eastAsia="Calibri"/>
          <w:b/>
          <w:szCs w:val="24"/>
          <w:lang w:val="fr-CA" w:eastAsia="en-US"/>
        </w:rPr>
      </w:pPr>
      <w:r w:rsidRPr="00FB3A07">
        <w:rPr>
          <w:rFonts w:eastAsia="Calibri"/>
          <w:b/>
          <w:szCs w:val="24"/>
          <w:lang w:val="fr-CA" w:eastAsia="en-US"/>
        </w:rPr>
        <w:t>Union des municipalités du Québec et</w:t>
      </w:r>
    </w:p>
    <w:p w:rsidR="00FB3A07" w:rsidRPr="00FB3A07" w:rsidRDefault="00FB3A07" w:rsidP="00FB3A07">
      <w:pPr>
        <w:tabs>
          <w:tab w:val="right" w:pos="8222"/>
        </w:tabs>
        <w:jc w:val="center"/>
        <w:rPr>
          <w:rFonts w:eastAsia="Times New Roman"/>
          <w:b/>
          <w:lang w:val="fr-CA"/>
        </w:rPr>
      </w:pPr>
      <w:r w:rsidRPr="00FB3A07">
        <w:rPr>
          <w:rFonts w:eastAsia="Times New Roman"/>
          <w:b/>
          <w:lang w:val="fr-CA"/>
        </w:rPr>
        <w:t>Ville de Laval</w:t>
      </w:r>
    </w:p>
    <w:p w:rsidR="00FB3A07" w:rsidRPr="00FB3A07" w:rsidRDefault="00FB3A07" w:rsidP="00FB3A07">
      <w:pPr>
        <w:jc w:val="center"/>
        <w:rPr>
          <w:rFonts w:eastAsia="Calibri"/>
          <w:szCs w:val="24"/>
          <w:lang w:val="fr-CA"/>
        </w:rPr>
      </w:pPr>
      <w:r w:rsidRPr="00FB3A07">
        <w:rPr>
          <w:rFonts w:eastAsia="Calibri"/>
          <w:szCs w:val="24"/>
          <w:lang w:val="fr-CA"/>
        </w:rPr>
        <w:t>Intervenantes</w:t>
      </w:r>
    </w:p>
    <w:p w:rsidR="00FB3A07" w:rsidRPr="00FB3A07" w:rsidRDefault="00FB3A07" w:rsidP="00FB3A07">
      <w:pPr>
        <w:rPr>
          <w:rFonts w:eastAsia="Calibri"/>
          <w:szCs w:val="24"/>
          <w:lang w:val="fr-CA" w:eastAsia="en-US"/>
        </w:rPr>
      </w:pPr>
    </w:p>
    <w:p w:rsidR="00FB3A07" w:rsidRPr="00FB3A07" w:rsidRDefault="00FB3A07" w:rsidP="00FB3A07">
      <w:pPr>
        <w:rPr>
          <w:rFonts w:eastAsia="Calibri"/>
          <w:szCs w:val="24"/>
          <w:lang w:val="fr-CA" w:eastAsia="en-US"/>
        </w:rPr>
      </w:pPr>
    </w:p>
    <w:p w:rsidR="00FB3A07" w:rsidRPr="00FB3A07" w:rsidRDefault="00FB3A07" w:rsidP="00FB3A07">
      <w:pPr>
        <w:rPr>
          <w:rFonts w:eastAsia="Calibri"/>
          <w:b/>
          <w:smallCaps/>
          <w:szCs w:val="24"/>
          <w:lang w:val="fr-CA" w:eastAsia="en-US"/>
        </w:rPr>
      </w:pPr>
      <w:r w:rsidRPr="00FB3A07">
        <w:rPr>
          <w:rFonts w:eastAsia="Calibri"/>
          <w:b/>
          <w:smallCaps/>
          <w:szCs w:val="24"/>
          <w:lang w:val="fr-CA" w:eastAsia="en-US"/>
        </w:rPr>
        <w:t>Et entre :</w:t>
      </w:r>
    </w:p>
    <w:p w:rsidR="00FB3A07" w:rsidRPr="00FB3A07" w:rsidRDefault="00FB3A07" w:rsidP="00FB3A07">
      <w:pPr>
        <w:rPr>
          <w:rFonts w:eastAsia="Calibri"/>
          <w:szCs w:val="24"/>
          <w:lang w:val="fr-CA" w:eastAsia="en-US"/>
        </w:rPr>
      </w:pPr>
    </w:p>
    <w:p w:rsidR="00FB3A07" w:rsidRPr="00FB3A07" w:rsidRDefault="00FB3A07" w:rsidP="00FB3A07">
      <w:pPr>
        <w:jc w:val="center"/>
        <w:rPr>
          <w:rFonts w:eastAsia="Calibri"/>
          <w:b/>
          <w:szCs w:val="24"/>
          <w:lang w:val="fr-CA" w:eastAsia="en-US"/>
        </w:rPr>
      </w:pPr>
      <w:r w:rsidRPr="00FB3A07">
        <w:rPr>
          <w:rFonts w:eastAsia="Calibri"/>
          <w:b/>
          <w:szCs w:val="24"/>
          <w:lang w:val="fr-CA" w:eastAsia="en-US"/>
        </w:rPr>
        <w:t>Octane Stratégie inc.</w:t>
      </w:r>
    </w:p>
    <w:p w:rsidR="00FB3A07" w:rsidRPr="00FB3A07" w:rsidRDefault="00FB3A07" w:rsidP="00FB3A07">
      <w:pPr>
        <w:jc w:val="center"/>
        <w:rPr>
          <w:rFonts w:eastAsia="Calibri"/>
          <w:szCs w:val="24"/>
          <w:lang w:val="fr-CA" w:eastAsia="en-US"/>
        </w:rPr>
      </w:pPr>
      <w:r w:rsidRPr="00FB3A07">
        <w:rPr>
          <w:rFonts w:eastAsia="Calibri"/>
          <w:szCs w:val="24"/>
          <w:lang w:val="fr-CA" w:eastAsia="en-US"/>
        </w:rPr>
        <w:t>Appelante</w:t>
      </w:r>
    </w:p>
    <w:p w:rsidR="00FB3A07" w:rsidRPr="00FB3A07" w:rsidRDefault="00FB3A07" w:rsidP="00FB3A07">
      <w:pPr>
        <w:rPr>
          <w:rFonts w:eastAsia="Calibri"/>
          <w:szCs w:val="24"/>
          <w:lang w:val="fr-CA" w:eastAsia="en-US"/>
        </w:rPr>
      </w:pPr>
    </w:p>
    <w:p w:rsidR="00FB3A07" w:rsidRPr="00FB3A07" w:rsidRDefault="00FB3A07" w:rsidP="00FB3A07">
      <w:pPr>
        <w:jc w:val="center"/>
        <w:rPr>
          <w:rFonts w:eastAsia="Calibri"/>
          <w:szCs w:val="24"/>
          <w:lang w:val="fr-CA" w:eastAsia="en-US"/>
        </w:rPr>
      </w:pPr>
      <w:r w:rsidRPr="00FB3A07">
        <w:rPr>
          <w:rFonts w:eastAsia="Calibri"/>
          <w:szCs w:val="24"/>
          <w:lang w:val="fr-CA" w:eastAsia="en-US"/>
        </w:rPr>
        <w:t>et</w:t>
      </w:r>
    </w:p>
    <w:p w:rsidR="00FB3A07" w:rsidRPr="00FB3A07" w:rsidRDefault="00FB3A07" w:rsidP="00FB3A07">
      <w:pPr>
        <w:rPr>
          <w:rFonts w:eastAsia="Calibri"/>
          <w:szCs w:val="24"/>
          <w:lang w:val="fr-CA" w:eastAsia="en-US"/>
        </w:rPr>
      </w:pPr>
    </w:p>
    <w:p w:rsidR="00FB3A07" w:rsidRPr="00FB3A07" w:rsidRDefault="00FB3A07" w:rsidP="00FB3A07">
      <w:pPr>
        <w:jc w:val="center"/>
        <w:rPr>
          <w:rFonts w:eastAsia="Calibri"/>
          <w:b/>
          <w:szCs w:val="24"/>
          <w:lang w:val="fr-CA" w:eastAsia="en-US"/>
        </w:rPr>
      </w:pPr>
      <w:r w:rsidRPr="00FB3A07">
        <w:rPr>
          <w:rFonts w:eastAsia="Calibri"/>
          <w:b/>
          <w:szCs w:val="24"/>
          <w:lang w:val="fr-CA" w:eastAsia="en-US"/>
        </w:rPr>
        <w:t>Richard Thériault et</w:t>
      </w:r>
    </w:p>
    <w:p w:rsidR="00FB3A07" w:rsidRPr="00FB3A07" w:rsidRDefault="00FB3A07" w:rsidP="00FB3A07">
      <w:pPr>
        <w:jc w:val="center"/>
        <w:rPr>
          <w:rFonts w:eastAsia="Calibri"/>
          <w:b/>
          <w:szCs w:val="24"/>
          <w:lang w:val="fr-CA" w:eastAsia="en-US"/>
        </w:rPr>
      </w:pPr>
      <w:r w:rsidRPr="00FB3A07">
        <w:rPr>
          <w:rFonts w:eastAsia="Calibri"/>
          <w:b/>
          <w:szCs w:val="24"/>
          <w:lang w:val="fr-CA" w:eastAsia="en-US"/>
        </w:rPr>
        <w:t xml:space="preserve">Ville de Montréal </w:t>
      </w:r>
    </w:p>
    <w:p w:rsidR="00FB3A07" w:rsidRPr="00FB3A07" w:rsidRDefault="00FB3A07" w:rsidP="00FB3A07">
      <w:pPr>
        <w:jc w:val="center"/>
        <w:rPr>
          <w:rFonts w:eastAsia="Calibri"/>
          <w:szCs w:val="24"/>
          <w:lang w:val="fr-CA" w:eastAsia="en-US"/>
        </w:rPr>
      </w:pPr>
      <w:r w:rsidRPr="00FB3A07">
        <w:rPr>
          <w:rFonts w:eastAsia="Calibri"/>
          <w:szCs w:val="24"/>
          <w:lang w:val="fr-CA" w:eastAsia="en-US"/>
        </w:rPr>
        <w:t>Intimés</w:t>
      </w:r>
    </w:p>
    <w:p w:rsidR="00FB3A07" w:rsidRPr="00FB3A07" w:rsidRDefault="00FB3A07" w:rsidP="00FB3A07">
      <w:pPr>
        <w:rPr>
          <w:rFonts w:eastAsia="Calibri"/>
          <w:szCs w:val="24"/>
          <w:lang w:val="fr-CA" w:eastAsia="en-US"/>
        </w:rPr>
      </w:pPr>
    </w:p>
    <w:p w:rsidR="00FB3A07" w:rsidRPr="00FB3A07" w:rsidRDefault="00FB3A07" w:rsidP="00FB3A07">
      <w:pPr>
        <w:jc w:val="center"/>
        <w:rPr>
          <w:rFonts w:eastAsia="Calibri"/>
          <w:b/>
          <w:szCs w:val="24"/>
          <w:lang w:val="fr-CA" w:eastAsia="en-US"/>
        </w:rPr>
      </w:pPr>
    </w:p>
    <w:p w:rsidR="00FB3A07" w:rsidRPr="00FB3A07" w:rsidRDefault="00FB3A07" w:rsidP="00FB3A07">
      <w:pPr>
        <w:rPr>
          <w:rFonts w:eastAsia="Calibri"/>
          <w:szCs w:val="24"/>
          <w:lang w:val="fr-CA" w:eastAsia="en-US"/>
        </w:rPr>
      </w:pPr>
      <w:r w:rsidRPr="00FB3A07">
        <w:rPr>
          <w:rFonts w:eastAsia="Calibri"/>
          <w:b/>
          <w:smallCaps/>
          <w:szCs w:val="24"/>
          <w:lang w:val="fr-CA" w:eastAsia="en-US"/>
        </w:rPr>
        <w:t>Coram :</w:t>
      </w:r>
      <w:r w:rsidRPr="00FB3A07">
        <w:rPr>
          <w:rFonts w:eastAsia="Calibri"/>
          <w:szCs w:val="24"/>
          <w:lang w:val="fr-CA" w:eastAsia="en-US"/>
        </w:rPr>
        <w:t xml:space="preserve"> Le juge en chef Wagner et les juges Abella, Moldaver, Karakatsanis, Gascon, Côté, Brown, Rowe et Martin </w:t>
      </w:r>
    </w:p>
    <w:p w:rsidR="00FB3A07" w:rsidRPr="00FB3A07" w:rsidRDefault="00FB3A07" w:rsidP="00FB3A07">
      <w:pPr>
        <w:rPr>
          <w:rFonts w:eastAsia="Calibri"/>
          <w:szCs w:val="24"/>
          <w:lang w:val="fr-CA" w:eastAsia="en-US"/>
        </w:rPr>
      </w:pPr>
    </w:p>
    <w:p w:rsidR="00FB3A07" w:rsidRPr="00FB3A07" w:rsidRDefault="00FB3A07" w:rsidP="00FB3A07">
      <w:pPr>
        <w:rPr>
          <w:rFonts w:eastAsia="Calibri"/>
          <w:szCs w:val="24"/>
          <w:lang w:val="fr-CA" w:eastAsia="en-US"/>
        </w:rPr>
      </w:pPr>
    </w:p>
    <w:tbl>
      <w:tblPr>
        <w:tblStyle w:val="TableGrid2"/>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780"/>
        <w:gridCol w:w="5958"/>
      </w:tblGrid>
      <w:tr w:rsidR="00FB3A07" w:rsidRPr="00FB3A07" w:rsidTr="0033225A">
        <w:trPr>
          <w:cantSplit/>
          <w:trHeight w:val="18"/>
        </w:trPr>
        <w:tc>
          <w:tcPr>
            <w:tcW w:w="3780" w:type="dxa"/>
          </w:tcPr>
          <w:p w:rsidR="00FB3A07" w:rsidRPr="00FB3A07" w:rsidRDefault="00FB3A07" w:rsidP="00FB3A07">
            <w:pPr>
              <w:rPr>
                <w:b/>
                <w:smallCaps/>
                <w:lang w:val="fr-CA"/>
              </w:rPr>
            </w:pPr>
            <w:r w:rsidRPr="00FB3A07">
              <w:rPr>
                <w:b/>
                <w:smallCaps/>
                <w:lang w:val="fr-CA"/>
              </w:rPr>
              <w:t>Motifs de jugement conjoints :</w:t>
            </w:r>
          </w:p>
          <w:p w:rsidR="00FB3A07" w:rsidRPr="00FB3A07" w:rsidRDefault="00FB3A07" w:rsidP="00FB3A07">
            <w:pPr>
              <w:rPr>
                <w:lang w:val="fr-CA"/>
              </w:rPr>
            </w:pPr>
            <w:r w:rsidRPr="00FB3A07">
              <w:rPr>
                <w:lang w:val="fr-CA"/>
              </w:rPr>
              <w:t>(par. 1 à 95)</w:t>
            </w:r>
          </w:p>
        </w:tc>
        <w:tc>
          <w:tcPr>
            <w:tcW w:w="5958" w:type="dxa"/>
          </w:tcPr>
          <w:p w:rsidR="00FB3A07" w:rsidRPr="00FB3A07" w:rsidRDefault="00FB3A07" w:rsidP="00FB3A07">
            <w:pPr>
              <w:ind w:left="-58"/>
              <w:rPr>
                <w:lang w:val="fr-CA"/>
              </w:rPr>
            </w:pPr>
            <w:r w:rsidRPr="00FB3A07">
              <w:rPr>
                <w:lang w:val="fr-CA"/>
              </w:rPr>
              <w:t>Le juge en chef Wagner et le juge Gascon (avec l’accord des juges Abella, Karakatsanis, Rowe et Martin)</w:t>
            </w:r>
          </w:p>
        </w:tc>
      </w:tr>
      <w:tr w:rsidR="00FB3A07" w:rsidRPr="00FB3A07" w:rsidTr="0033225A">
        <w:trPr>
          <w:cantSplit/>
          <w:trHeight w:val="18"/>
        </w:trPr>
        <w:tc>
          <w:tcPr>
            <w:tcW w:w="3780" w:type="dxa"/>
          </w:tcPr>
          <w:p w:rsidR="00FB3A07" w:rsidRPr="00FB3A07" w:rsidRDefault="00FB3A07" w:rsidP="00FB3A07">
            <w:pPr>
              <w:rPr>
                <w:b/>
                <w:bCs/>
                <w:smallCaps/>
                <w:lang w:val="fr-CA"/>
              </w:rPr>
            </w:pPr>
          </w:p>
          <w:p w:rsidR="00FB3A07" w:rsidRPr="00FB3A07" w:rsidRDefault="00FB3A07" w:rsidP="00FB3A07">
            <w:pPr>
              <w:rPr>
                <w:b/>
                <w:smallCaps/>
                <w:lang w:val="fr-CA"/>
              </w:rPr>
            </w:pPr>
            <w:r w:rsidRPr="00FB3A07">
              <w:rPr>
                <w:b/>
                <w:bCs/>
                <w:smallCaps/>
                <w:lang w:val="fr-CA"/>
              </w:rPr>
              <w:t>Motifs conjoints dissidents </w:t>
            </w:r>
            <w:r w:rsidRPr="00FB3A07">
              <w:rPr>
                <w:b/>
                <w:smallCaps/>
                <w:lang w:val="fr-CA"/>
              </w:rPr>
              <w:t>:</w:t>
            </w:r>
          </w:p>
          <w:p w:rsidR="00FB3A07" w:rsidRPr="00FB3A07" w:rsidRDefault="00FB3A07" w:rsidP="00FB3A07">
            <w:pPr>
              <w:rPr>
                <w:b/>
                <w:smallCaps/>
                <w:lang w:val="fr-CA"/>
              </w:rPr>
            </w:pPr>
            <w:r w:rsidRPr="00FB3A07">
              <w:rPr>
                <w:lang w:val="fr-CA"/>
              </w:rPr>
              <w:t>(par. 96 à 173)</w:t>
            </w:r>
          </w:p>
        </w:tc>
        <w:tc>
          <w:tcPr>
            <w:tcW w:w="5958" w:type="dxa"/>
          </w:tcPr>
          <w:p w:rsidR="00FB3A07" w:rsidRPr="00FB3A07" w:rsidRDefault="00FB3A07" w:rsidP="00FB3A07">
            <w:pPr>
              <w:ind w:left="-58"/>
              <w:rPr>
                <w:lang w:val="fr-CA"/>
              </w:rPr>
            </w:pPr>
          </w:p>
          <w:p w:rsidR="00FB3A07" w:rsidRPr="00FB3A07" w:rsidRDefault="00FB3A07" w:rsidP="00FB3A07">
            <w:pPr>
              <w:ind w:left="-58"/>
              <w:rPr>
                <w:lang w:val="fr-CA"/>
              </w:rPr>
            </w:pPr>
            <w:r w:rsidRPr="00FB3A07">
              <w:rPr>
                <w:lang w:val="fr-CA"/>
              </w:rPr>
              <w:t>Les juges Côté et Brown (avec l’accord du juge Moldaver)</w:t>
            </w:r>
          </w:p>
        </w:tc>
      </w:tr>
    </w:tbl>
    <w:p w:rsidR="00FB3A07" w:rsidRPr="00FB3A07" w:rsidRDefault="00FB3A07" w:rsidP="00FB3A07">
      <w:pPr>
        <w:rPr>
          <w:rFonts w:eastAsia="Calibri"/>
          <w:b/>
          <w:smallCaps/>
          <w:szCs w:val="24"/>
          <w:lang w:val="fr-CA" w:eastAsia="en-US"/>
        </w:rPr>
      </w:pPr>
    </w:p>
    <w:p w:rsidR="00FB3A07" w:rsidRPr="00FB3A07" w:rsidRDefault="00FB3A07" w:rsidP="00FB3A07">
      <w:pPr>
        <w:rPr>
          <w:rFonts w:eastAsia="Calibri"/>
          <w:szCs w:val="24"/>
          <w:lang w:val="fr-CA" w:eastAsia="en-US"/>
        </w:rPr>
      </w:pPr>
      <w:r w:rsidRPr="00FB3A07">
        <w:rPr>
          <w:rFonts w:eastAsia="Calibri"/>
          <w:noProof/>
          <w:szCs w:val="24"/>
          <w:lang w:val="en-US" w:eastAsia="en-US"/>
        </w:rPr>
        <mc:AlternateContent>
          <mc:Choice Requires="wps">
            <w:drawing>
              <wp:anchor distT="0" distB="0" distL="114300" distR="114300" simplePos="0" relativeHeight="251659264" behindDoc="0" locked="0" layoutInCell="1" allowOverlap="1" wp14:anchorId="123A8A87" wp14:editId="6AE126B2">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C70D58"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FB3A07" w:rsidRPr="00FB3A07" w:rsidRDefault="00FB3A07" w:rsidP="00FB3A07">
      <w:pPr>
        <w:rPr>
          <w:rFonts w:eastAsia="Calibri"/>
          <w:szCs w:val="24"/>
          <w:lang w:val="fr-CA" w:eastAsia="en-US"/>
        </w:rPr>
      </w:pPr>
    </w:p>
    <w:p w:rsidR="00FB3A07" w:rsidRDefault="00FB3A07">
      <w:pPr>
        <w:rPr>
          <w:rStyle w:val="SCCAppellantForRunningHeadChar"/>
          <w:lang w:val="fr-CA"/>
        </w:rPr>
      </w:pPr>
      <w:bookmarkStart w:id="0" w:name="_GoBack"/>
      <w:bookmarkEnd w:id="0"/>
    </w:p>
    <w:p w:rsidR="004D7D95" w:rsidRPr="005D439E" w:rsidRDefault="00E5093D" w:rsidP="00BD1DD7">
      <w:pPr>
        <w:spacing w:after="720"/>
        <w:jc w:val="both"/>
        <w:rPr>
          <w:lang w:val="fr-CA"/>
        </w:rPr>
      </w:pPr>
      <w:r w:rsidRPr="005D439E">
        <w:rPr>
          <w:rStyle w:val="SCCAppellantForRunningHeadChar"/>
          <w:lang w:val="fr-CA"/>
        </w:rPr>
        <w:t>m</w:t>
      </w:r>
      <w:r w:rsidR="004D7D95" w:rsidRPr="005D439E">
        <w:rPr>
          <w:rStyle w:val="SCCAppellantForRunningHeadChar"/>
          <w:lang w:val="fr-CA"/>
        </w:rPr>
        <w:t>ontréal</w:t>
      </w:r>
      <w:r w:rsidRPr="005D439E">
        <w:rPr>
          <w:rStyle w:val="SCCAppellantForRunningHeadChar"/>
          <w:lang w:val="fr-CA"/>
        </w:rPr>
        <w:t xml:space="preserve"> (ville)</w:t>
      </w:r>
      <w:r w:rsidR="004D7D95" w:rsidRPr="005D439E">
        <w:rPr>
          <w:lang w:val="fr-CA"/>
        </w:rPr>
        <w:t xml:space="preserve"> </w:t>
      </w:r>
      <w:r w:rsidR="004D7D95" w:rsidRPr="005D439E">
        <w:rPr>
          <w:i/>
          <w:lang w:val="fr-CA"/>
        </w:rPr>
        <w:t>c.</w:t>
      </w:r>
      <w:r w:rsidR="004D7D95" w:rsidRPr="005D439E">
        <w:rPr>
          <w:lang w:val="fr-CA"/>
        </w:rPr>
        <w:t xml:space="preserve"> </w:t>
      </w:r>
      <w:r w:rsidR="00840A8D">
        <w:rPr>
          <w:rStyle w:val="SCCRespondentForRunningHeadChar"/>
          <w:lang w:val="fr-CA"/>
        </w:rPr>
        <w:t>octane</w:t>
      </w:r>
    </w:p>
    <w:p w:rsidR="00D6192D" w:rsidRPr="005D439E" w:rsidRDefault="00E5093D" w:rsidP="00BD1DD7">
      <w:pPr>
        <w:pStyle w:val="SCCLsocLastPartyInRole"/>
        <w:rPr>
          <w:lang w:val="fr-CA"/>
        </w:rPr>
      </w:pPr>
      <w:r w:rsidRPr="005D439E">
        <w:rPr>
          <w:lang w:val="fr-CA"/>
        </w:rPr>
        <w:t>Ville de Montréal</w:t>
      </w:r>
      <w:r w:rsidRPr="005D439E">
        <w:rPr>
          <w:rStyle w:val="SCCLsocPartyRole"/>
          <w:lang w:val="fr-CA"/>
        </w:rPr>
        <w:tab/>
        <w:t>Appelante</w:t>
      </w:r>
    </w:p>
    <w:p w:rsidR="00D6192D" w:rsidRPr="005D439E" w:rsidRDefault="00E5093D" w:rsidP="00BD1DD7">
      <w:pPr>
        <w:pStyle w:val="SCCLsocVersus"/>
        <w:rPr>
          <w:lang w:val="fr-CA"/>
        </w:rPr>
      </w:pPr>
      <w:r w:rsidRPr="005D439E">
        <w:rPr>
          <w:lang w:val="fr-CA"/>
        </w:rPr>
        <w:t>c.</w:t>
      </w:r>
    </w:p>
    <w:p w:rsidR="00D6192D" w:rsidRPr="005D439E" w:rsidRDefault="00E5093D" w:rsidP="00BD1DD7">
      <w:pPr>
        <w:pStyle w:val="SCCLsocLastPartyInRole"/>
        <w:rPr>
          <w:lang w:val="fr-CA"/>
        </w:rPr>
      </w:pPr>
      <w:r w:rsidRPr="005D439E">
        <w:rPr>
          <w:lang w:val="fr-CA"/>
        </w:rPr>
        <w:t>Octane Stratégie inc.</w:t>
      </w:r>
      <w:r w:rsidRPr="005D439E">
        <w:rPr>
          <w:rStyle w:val="SCCLsocPartyRole"/>
          <w:lang w:val="fr-CA"/>
        </w:rPr>
        <w:tab/>
        <w:t>Intimée</w:t>
      </w:r>
    </w:p>
    <w:p w:rsidR="00D6192D" w:rsidRPr="005D439E" w:rsidRDefault="00E5093D" w:rsidP="00BD1DD7">
      <w:pPr>
        <w:pStyle w:val="SCCLsocOtherPartySeparator"/>
        <w:rPr>
          <w:lang w:val="fr-CA"/>
        </w:rPr>
      </w:pPr>
      <w:r w:rsidRPr="005D439E">
        <w:rPr>
          <w:lang w:val="fr-CA"/>
        </w:rPr>
        <w:t>et</w:t>
      </w:r>
    </w:p>
    <w:p w:rsidR="00D6192D" w:rsidRPr="005D439E" w:rsidRDefault="00E5093D">
      <w:pPr>
        <w:pStyle w:val="SCCLsocParty"/>
        <w:rPr>
          <w:lang w:val="fr-CA"/>
        </w:rPr>
      </w:pPr>
      <w:r w:rsidRPr="005D439E">
        <w:rPr>
          <w:lang w:val="fr-CA"/>
        </w:rPr>
        <w:t>Union des municipalités du Québec et</w:t>
      </w:r>
    </w:p>
    <w:p w:rsidR="00D6192D" w:rsidRPr="005D439E" w:rsidRDefault="00E5093D" w:rsidP="00BD1DD7">
      <w:pPr>
        <w:pStyle w:val="SCCLsocLastPartyInRole"/>
        <w:rPr>
          <w:lang w:val="fr-CA"/>
        </w:rPr>
      </w:pPr>
      <w:r w:rsidRPr="005D439E">
        <w:rPr>
          <w:lang w:val="fr-CA"/>
        </w:rPr>
        <w:t>Ville de Laval</w:t>
      </w:r>
      <w:r w:rsidRPr="005D439E">
        <w:rPr>
          <w:rStyle w:val="SCCLsocPartyRole"/>
          <w:lang w:val="fr-CA"/>
        </w:rPr>
        <w:tab/>
        <w:t>Intervenantes</w:t>
      </w:r>
    </w:p>
    <w:p w:rsidR="004D7D95" w:rsidRPr="005D439E" w:rsidRDefault="00BD1DD7" w:rsidP="00BD1DD7">
      <w:pPr>
        <w:spacing w:after="720"/>
        <w:jc w:val="both"/>
        <w:rPr>
          <w:lang w:val="fr-CA"/>
        </w:rPr>
      </w:pPr>
      <w:r w:rsidRPr="005D439E">
        <w:rPr>
          <w:lang w:val="fr-CA"/>
        </w:rPr>
        <w:noBreakHyphen/>
      </w:r>
      <w:r w:rsidR="00690039" w:rsidRPr="005D439E">
        <w:rPr>
          <w:lang w:val="fr-CA"/>
        </w:rPr>
        <w:t xml:space="preserve"> </w:t>
      </w:r>
      <w:r w:rsidR="007751C2" w:rsidRPr="005D439E">
        <w:rPr>
          <w:lang w:val="fr-CA"/>
        </w:rPr>
        <w:t>et</w:t>
      </w:r>
      <w:r w:rsidR="00690039" w:rsidRPr="005D439E">
        <w:rPr>
          <w:lang w:val="fr-CA"/>
        </w:rPr>
        <w:t xml:space="preserve"> </w:t>
      </w:r>
      <w:r w:rsidRPr="005D439E">
        <w:rPr>
          <w:lang w:val="fr-CA"/>
        </w:rPr>
        <w:noBreakHyphen/>
      </w:r>
    </w:p>
    <w:p w:rsidR="007751C2" w:rsidRPr="005D439E" w:rsidRDefault="007751C2" w:rsidP="00BD1DD7">
      <w:pPr>
        <w:pStyle w:val="SCCLsocLastPartyInRole"/>
        <w:rPr>
          <w:lang w:val="fr-CA"/>
        </w:rPr>
      </w:pPr>
      <w:r w:rsidRPr="005D439E">
        <w:rPr>
          <w:lang w:val="fr-CA"/>
        </w:rPr>
        <w:t>Octane Stratégie inc.</w:t>
      </w:r>
      <w:r w:rsidR="00563C8F" w:rsidRPr="005D439E">
        <w:rPr>
          <w:rStyle w:val="SCCLsocPartyRole"/>
          <w:lang w:val="fr-CA"/>
        </w:rPr>
        <w:tab/>
        <w:t>Appelante</w:t>
      </w:r>
    </w:p>
    <w:p w:rsidR="007751C2" w:rsidRPr="005D439E" w:rsidRDefault="007751C2" w:rsidP="00BD1DD7">
      <w:pPr>
        <w:pStyle w:val="SCCLsocVersus"/>
        <w:rPr>
          <w:lang w:val="fr-CA"/>
        </w:rPr>
      </w:pPr>
      <w:r w:rsidRPr="005D439E">
        <w:rPr>
          <w:lang w:val="fr-CA"/>
        </w:rPr>
        <w:t>c.</w:t>
      </w:r>
    </w:p>
    <w:p w:rsidR="007751C2" w:rsidRPr="005D439E" w:rsidRDefault="00563C8F" w:rsidP="007751C2">
      <w:pPr>
        <w:pStyle w:val="SCCLsocParty"/>
        <w:rPr>
          <w:lang w:val="fr-CA"/>
        </w:rPr>
      </w:pPr>
      <w:r w:rsidRPr="005D439E">
        <w:rPr>
          <w:lang w:val="fr-CA"/>
        </w:rPr>
        <w:t>Richard Thériault et</w:t>
      </w:r>
    </w:p>
    <w:p w:rsidR="007751C2" w:rsidRPr="005D439E" w:rsidRDefault="007751C2" w:rsidP="00BD1DD7">
      <w:pPr>
        <w:pStyle w:val="SCCLsocLastPartyInRole"/>
        <w:rPr>
          <w:lang w:val="fr-CA"/>
        </w:rPr>
      </w:pPr>
      <w:r w:rsidRPr="005D439E">
        <w:rPr>
          <w:lang w:val="fr-CA"/>
        </w:rPr>
        <w:t>Ville de Montréal</w:t>
      </w:r>
      <w:r w:rsidR="00563C8F" w:rsidRPr="005D439E">
        <w:rPr>
          <w:rStyle w:val="SCCLsocPartyRole"/>
          <w:lang w:val="fr-CA"/>
        </w:rPr>
        <w:tab/>
        <w:t>Intimé</w:t>
      </w:r>
      <w:r w:rsidRPr="005D439E">
        <w:rPr>
          <w:rStyle w:val="SCCLsocPartyRole"/>
          <w:lang w:val="fr-CA"/>
        </w:rPr>
        <w:t>s</w:t>
      </w:r>
    </w:p>
    <w:p w:rsidR="004D7D95" w:rsidRPr="005D439E" w:rsidRDefault="00E5093D" w:rsidP="00BD1DD7">
      <w:pPr>
        <w:spacing w:after="720"/>
        <w:jc w:val="both"/>
        <w:rPr>
          <w:b/>
          <w:lang w:val="fr-CA"/>
        </w:rPr>
      </w:pPr>
      <w:r w:rsidRPr="005D439E">
        <w:rPr>
          <w:b/>
          <w:lang w:val="fr-CA"/>
        </w:rPr>
        <w:t>Répertorié</w:t>
      </w:r>
      <w:r w:rsidR="00BD1DD7" w:rsidRPr="005D439E">
        <w:rPr>
          <w:b/>
          <w:lang w:val="fr-CA"/>
        </w:rPr>
        <w:t> :</w:t>
      </w:r>
      <w:r w:rsidRPr="005D439E">
        <w:rPr>
          <w:b/>
          <w:lang w:val="fr-CA"/>
        </w:rPr>
        <w:t> </w:t>
      </w:r>
      <w:r w:rsidR="004D7D95" w:rsidRPr="005D439E">
        <w:rPr>
          <w:rStyle w:val="SCCAppellantForIndexChar"/>
          <w:lang w:val="fr-CA"/>
        </w:rPr>
        <w:t>Montréal</w:t>
      </w:r>
      <w:r w:rsidRPr="005D439E">
        <w:rPr>
          <w:rStyle w:val="SCCAppellantForIndexChar"/>
          <w:lang w:val="fr-CA"/>
        </w:rPr>
        <w:t xml:space="preserve"> (Ville)</w:t>
      </w:r>
      <w:r w:rsidR="004D7D95" w:rsidRPr="005D439E">
        <w:rPr>
          <w:b/>
          <w:lang w:val="fr-CA"/>
        </w:rPr>
        <w:t xml:space="preserve"> </w:t>
      </w:r>
      <w:r w:rsidR="004D7D95" w:rsidRPr="005D439E">
        <w:rPr>
          <w:b/>
          <w:i/>
          <w:lang w:val="fr-CA"/>
        </w:rPr>
        <w:t>c.</w:t>
      </w:r>
      <w:r w:rsidR="004D7D95" w:rsidRPr="005D439E">
        <w:rPr>
          <w:b/>
          <w:lang w:val="fr-CA"/>
        </w:rPr>
        <w:t xml:space="preserve"> </w:t>
      </w:r>
      <w:r w:rsidR="004D7D95" w:rsidRPr="005D439E">
        <w:rPr>
          <w:rStyle w:val="SCCRespondentForIndexChar"/>
          <w:lang w:val="fr-CA"/>
        </w:rPr>
        <w:t>Octane Stratégie inc.</w:t>
      </w:r>
    </w:p>
    <w:p w:rsidR="004D7D95" w:rsidRPr="005D439E" w:rsidRDefault="00D17B0E" w:rsidP="00BD1DD7">
      <w:pPr>
        <w:pStyle w:val="SCCSystemYear"/>
        <w:spacing w:after="720"/>
        <w:jc w:val="both"/>
        <w:rPr>
          <w:lang w:val="fr-CA"/>
        </w:rPr>
      </w:pPr>
      <w:r w:rsidRPr="005D439E">
        <w:rPr>
          <w:lang w:val="fr-CA"/>
        </w:rPr>
        <w:t>2019</w:t>
      </w:r>
      <w:r w:rsidR="004D7D95" w:rsidRPr="005D439E">
        <w:rPr>
          <w:lang w:val="fr-CA"/>
        </w:rPr>
        <w:t xml:space="preserve"> CSC </w:t>
      </w:r>
      <w:r w:rsidR="00085137" w:rsidRPr="005D439E">
        <w:rPr>
          <w:lang w:val="fr-CA"/>
        </w:rPr>
        <w:t>57</w:t>
      </w:r>
    </w:p>
    <w:p w:rsidR="004D7D95" w:rsidRPr="005D439E" w:rsidRDefault="004D7D95" w:rsidP="00BD1DD7">
      <w:pPr>
        <w:spacing w:after="720"/>
        <w:jc w:val="both"/>
        <w:rPr>
          <w:lang w:val="fr-CA"/>
        </w:rPr>
      </w:pPr>
      <w:r w:rsidRPr="005D439E">
        <w:rPr>
          <w:lang w:val="fr-CA"/>
        </w:rPr>
        <w:lastRenderedPageBreak/>
        <w:t>N</w:t>
      </w:r>
      <w:r w:rsidRPr="005D439E">
        <w:rPr>
          <w:vertAlign w:val="superscript"/>
          <w:lang w:val="fr-CA"/>
        </w:rPr>
        <w:t>o</w:t>
      </w:r>
      <w:r w:rsidR="00563C8F" w:rsidRPr="005D439E">
        <w:rPr>
          <w:vertAlign w:val="superscript"/>
          <w:lang w:val="fr-CA"/>
        </w:rPr>
        <w:t>s</w:t>
      </w:r>
      <w:r w:rsidRPr="005D439E">
        <w:rPr>
          <w:lang w:val="fr-CA"/>
        </w:rPr>
        <w:t xml:space="preserve"> du greffe</w:t>
      </w:r>
      <w:r w:rsidR="00BD1DD7" w:rsidRPr="005D439E">
        <w:rPr>
          <w:lang w:val="fr-CA"/>
        </w:rPr>
        <w:t> :</w:t>
      </w:r>
      <w:r w:rsidRPr="005D439E">
        <w:rPr>
          <w:lang w:val="fr-CA"/>
        </w:rPr>
        <w:t> 38066</w:t>
      </w:r>
      <w:r w:rsidR="009E65FC">
        <w:rPr>
          <w:lang w:val="fr-CA"/>
        </w:rPr>
        <w:t>,</w:t>
      </w:r>
      <w:r w:rsidR="00563C8F" w:rsidRPr="005D439E">
        <w:rPr>
          <w:lang w:val="fr-CA"/>
        </w:rPr>
        <w:t xml:space="preserve"> 38073</w:t>
      </w:r>
      <w:r w:rsidRPr="005D439E">
        <w:rPr>
          <w:lang w:val="fr-CA"/>
        </w:rPr>
        <w:t>.</w:t>
      </w:r>
    </w:p>
    <w:p w:rsidR="004D7D95" w:rsidRPr="005D439E" w:rsidRDefault="00D17B0E" w:rsidP="00BD1DD7">
      <w:pPr>
        <w:spacing w:after="720"/>
        <w:jc w:val="both"/>
        <w:rPr>
          <w:lang w:val="fr-CA"/>
        </w:rPr>
      </w:pPr>
      <w:r w:rsidRPr="005D439E">
        <w:rPr>
          <w:lang w:val="fr-CA"/>
        </w:rPr>
        <w:t>2019</w:t>
      </w:r>
      <w:r w:rsidR="00BD1DD7" w:rsidRPr="005D439E">
        <w:rPr>
          <w:lang w:val="fr-CA"/>
        </w:rPr>
        <w:t> : 20 </w:t>
      </w:r>
      <w:r w:rsidRPr="005D439E">
        <w:rPr>
          <w:lang w:val="fr-CA"/>
        </w:rPr>
        <w:t>février</w:t>
      </w:r>
      <w:r w:rsidR="004D7D95" w:rsidRPr="005D439E">
        <w:rPr>
          <w:lang w:val="fr-CA"/>
        </w:rPr>
        <w:t xml:space="preserve">; </w:t>
      </w:r>
      <w:r w:rsidR="000C7A35" w:rsidRPr="005D439E">
        <w:rPr>
          <w:lang w:val="fr-CA"/>
        </w:rPr>
        <w:t>2019</w:t>
      </w:r>
      <w:r w:rsidR="00BD1DD7" w:rsidRPr="005D439E">
        <w:rPr>
          <w:lang w:val="fr-CA"/>
        </w:rPr>
        <w:t> : 22 </w:t>
      </w:r>
      <w:r w:rsidR="000C7A35" w:rsidRPr="005D439E">
        <w:rPr>
          <w:lang w:val="fr-CA"/>
        </w:rPr>
        <w:t>novembre.</w:t>
      </w:r>
    </w:p>
    <w:p w:rsidR="004D7D95" w:rsidRPr="005D439E" w:rsidRDefault="004D7D95" w:rsidP="00BD1DD7">
      <w:pPr>
        <w:spacing w:after="720"/>
        <w:jc w:val="both"/>
        <w:rPr>
          <w:lang w:val="fr-CA"/>
        </w:rPr>
      </w:pPr>
      <w:r w:rsidRPr="005D439E">
        <w:rPr>
          <w:lang w:val="fr-CA"/>
        </w:rPr>
        <w:t>Présents</w:t>
      </w:r>
      <w:r w:rsidR="00BD1DD7" w:rsidRPr="005D439E">
        <w:rPr>
          <w:lang w:val="fr-CA"/>
        </w:rPr>
        <w:t> :</w:t>
      </w:r>
      <w:r w:rsidRPr="005D439E">
        <w:rPr>
          <w:lang w:val="fr-CA"/>
        </w:rPr>
        <w:t> Le juge en chef Wagner et les juges Abella, Moldaver, Karakatsanis, Gascon, Côté, Brown, Rowe et Martin.</w:t>
      </w:r>
    </w:p>
    <w:p w:rsidR="004D7D95" w:rsidRPr="005D439E" w:rsidRDefault="004D7D95" w:rsidP="00BD1DD7">
      <w:pPr>
        <w:spacing w:after="720"/>
        <w:jc w:val="both"/>
        <w:rPr>
          <w:smallCaps/>
          <w:lang w:val="fr-CA"/>
        </w:rPr>
      </w:pPr>
      <w:r w:rsidRPr="005D439E">
        <w:rPr>
          <w:smallCaps/>
          <w:lang w:val="fr-CA"/>
        </w:rPr>
        <w:t>en appel de la c</w:t>
      </w:r>
      <w:r w:rsidR="00E5093D" w:rsidRPr="005D439E">
        <w:rPr>
          <w:smallCaps/>
          <w:lang w:val="fr-CA"/>
        </w:rPr>
        <w:t>our d</w:t>
      </w:r>
      <w:r w:rsidR="00AA02A6" w:rsidRPr="005D439E">
        <w:rPr>
          <w:smallCaps/>
          <w:lang w:val="fr-CA"/>
        </w:rPr>
        <w:t>’</w:t>
      </w:r>
      <w:r w:rsidR="005179D5" w:rsidRPr="005D439E">
        <w:rPr>
          <w:smallCaps/>
          <w:lang w:val="fr-CA"/>
        </w:rPr>
        <w:t>appel du québec</w:t>
      </w:r>
    </w:p>
    <w:p w:rsidR="004D7D95" w:rsidRPr="005D439E" w:rsidRDefault="004D7D95" w:rsidP="00BD1DD7">
      <w:pPr>
        <w:pStyle w:val="SCCNormalDoubleSpacing"/>
        <w:spacing w:after="480"/>
        <w:rPr>
          <w:lang w:val="fr-CA"/>
        </w:rPr>
      </w:pPr>
      <w:r w:rsidRPr="005D439E">
        <w:rPr>
          <w:lang w:val="fr-CA"/>
        </w:rPr>
        <w:tab/>
      </w:r>
      <w:r w:rsidR="00281EF5" w:rsidRPr="005D439E">
        <w:rPr>
          <w:i/>
          <w:lang w:val="fr-CA"/>
        </w:rPr>
        <w:t xml:space="preserve">Droit municipal — Contrats — Restitution des prestations — Réception de l’indu — Événement médiatique de grande envergure conçu et réalisé dans un bref laps de temps par une entreprise de relations publiques </w:t>
      </w:r>
      <w:r w:rsidR="005179D5" w:rsidRPr="005D439E">
        <w:rPr>
          <w:i/>
          <w:lang w:val="fr-CA"/>
        </w:rPr>
        <w:t>et de communication</w:t>
      </w:r>
      <w:r w:rsidR="009C1DC6">
        <w:rPr>
          <w:i/>
          <w:lang w:val="fr-CA"/>
        </w:rPr>
        <w:t>s</w:t>
      </w:r>
      <w:r w:rsidR="005179D5" w:rsidRPr="005D439E">
        <w:rPr>
          <w:i/>
          <w:lang w:val="fr-CA"/>
        </w:rPr>
        <w:t xml:space="preserve"> et son sous</w:t>
      </w:r>
      <w:r w:rsidR="005179D5" w:rsidRPr="005D439E">
        <w:rPr>
          <w:i/>
          <w:lang w:val="fr-CA"/>
        </w:rPr>
        <w:noBreakHyphen/>
      </w:r>
      <w:r w:rsidR="00281EF5" w:rsidRPr="005D439E">
        <w:rPr>
          <w:i/>
          <w:lang w:val="fr-CA"/>
        </w:rPr>
        <w:t>traitant à la demande d’une municipalité — Mandat octroyé à l’entreprise sans que les règles d’ordre public relatives à l’adjudication des contrats municipaux aient été respectées et sans que l’octroi du mandat ait été entériné par une résolution adoptée par le conseil municipal ou approuvé par un fonctionnaire habilité par délégation de pouvoirs valide — Refus de la municipalité de payer la facture de l’entreprise pou</w:t>
      </w:r>
      <w:r w:rsidR="005179D5" w:rsidRPr="005D439E">
        <w:rPr>
          <w:i/>
          <w:lang w:val="fr-CA"/>
        </w:rPr>
        <w:t>r les services du sous</w:t>
      </w:r>
      <w:r w:rsidR="005179D5" w:rsidRPr="005D439E">
        <w:rPr>
          <w:i/>
          <w:lang w:val="fr-CA"/>
        </w:rPr>
        <w:noBreakHyphen/>
        <w:t>traitant</w:t>
      </w:r>
      <w:r w:rsidR="00281EF5" w:rsidRPr="005D439E">
        <w:rPr>
          <w:i/>
          <w:lang w:val="fr-CA"/>
        </w:rPr>
        <w:t xml:space="preserve"> — Le régime de la restitution des prestations prévu</w:t>
      </w:r>
      <w:r w:rsidR="005179D5" w:rsidRPr="005D439E">
        <w:rPr>
          <w:i/>
          <w:lang w:val="fr-CA"/>
        </w:rPr>
        <w:t xml:space="preserve"> au Code civil du Québec trouve</w:t>
      </w:r>
      <w:r w:rsidR="005179D5" w:rsidRPr="005D439E">
        <w:rPr>
          <w:i/>
          <w:lang w:val="fr-CA"/>
        </w:rPr>
        <w:noBreakHyphen/>
        <w:t>t</w:t>
      </w:r>
      <w:r w:rsidR="005179D5" w:rsidRPr="005D439E">
        <w:rPr>
          <w:i/>
          <w:lang w:val="fr-CA"/>
        </w:rPr>
        <w:noBreakHyphen/>
      </w:r>
      <w:r w:rsidR="00281EF5" w:rsidRPr="005D439E">
        <w:rPr>
          <w:i/>
          <w:lang w:val="fr-CA"/>
        </w:rPr>
        <w:t>il applicati</w:t>
      </w:r>
      <w:r w:rsidR="005179D5" w:rsidRPr="005D439E">
        <w:rPr>
          <w:i/>
          <w:lang w:val="fr-CA"/>
        </w:rPr>
        <w:t>on en droit municipal? — Existe</w:t>
      </w:r>
      <w:r w:rsidR="005179D5" w:rsidRPr="005D439E">
        <w:rPr>
          <w:i/>
          <w:lang w:val="fr-CA"/>
        </w:rPr>
        <w:noBreakHyphen/>
        <w:t>t</w:t>
      </w:r>
      <w:r w:rsidR="005179D5" w:rsidRPr="005D439E">
        <w:rPr>
          <w:i/>
          <w:lang w:val="fr-CA"/>
        </w:rPr>
        <w:noBreakHyphen/>
      </w:r>
      <w:r w:rsidR="00281EF5" w:rsidRPr="005D439E">
        <w:rPr>
          <w:i/>
          <w:lang w:val="fr-CA"/>
        </w:rPr>
        <w:t>il un contrat entre la municipalité et l’entreprise? — La resti</w:t>
      </w:r>
      <w:r w:rsidR="005179D5" w:rsidRPr="005D439E">
        <w:rPr>
          <w:i/>
          <w:lang w:val="fr-CA"/>
        </w:rPr>
        <w:t>tution des prestations s’impose</w:t>
      </w:r>
      <w:r w:rsidR="005179D5" w:rsidRPr="005D439E">
        <w:rPr>
          <w:i/>
          <w:lang w:val="fr-CA"/>
        </w:rPr>
        <w:noBreakHyphen/>
        <w:t>t</w:t>
      </w:r>
      <w:r w:rsidR="005179D5" w:rsidRPr="005D439E">
        <w:rPr>
          <w:i/>
          <w:lang w:val="fr-CA"/>
        </w:rPr>
        <w:noBreakHyphen/>
      </w:r>
      <w:r w:rsidR="00281EF5" w:rsidRPr="005D439E">
        <w:rPr>
          <w:i/>
          <w:lang w:val="fr-CA"/>
        </w:rPr>
        <w:t xml:space="preserve">elle? — </w:t>
      </w:r>
      <w:r w:rsidR="005179D5" w:rsidRPr="005D439E">
        <w:rPr>
          <w:i/>
          <w:lang w:val="fr-CA"/>
        </w:rPr>
        <w:t>Code civil du Québec, art. </w:t>
      </w:r>
      <w:r w:rsidR="00281EF5" w:rsidRPr="005D439E">
        <w:rPr>
          <w:i/>
          <w:lang w:val="fr-CA"/>
        </w:rPr>
        <w:t>1491, 1699.</w:t>
      </w:r>
    </w:p>
    <w:p w:rsidR="00281EF5" w:rsidRPr="005D439E" w:rsidRDefault="00632EB1" w:rsidP="003A21F3">
      <w:pPr>
        <w:pStyle w:val="SCCNormalDoubleSpacing"/>
        <w:spacing w:after="480"/>
        <w:rPr>
          <w:lang w:val="fr-CA"/>
        </w:rPr>
      </w:pPr>
      <w:r w:rsidRPr="005D439E">
        <w:rPr>
          <w:lang w:val="fr-CA"/>
        </w:rPr>
        <w:tab/>
      </w:r>
      <w:r w:rsidR="00281EF5" w:rsidRPr="005D439E">
        <w:rPr>
          <w:lang w:val="fr-CA"/>
        </w:rPr>
        <w:t>En avril 2007, le directeur des transports de la Ville fait appel aux services d’Octane, une entreprise de relations publiques et de communication</w:t>
      </w:r>
      <w:r w:rsidR="009C1DC6">
        <w:rPr>
          <w:lang w:val="fr-CA"/>
        </w:rPr>
        <w:t>s</w:t>
      </w:r>
      <w:r w:rsidR="00281EF5" w:rsidRPr="005D439E">
        <w:rPr>
          <w:lang w:val="fr-CA"/>
        </w:rPr>
        <w:t xml:space="preserve">, pour la création d’un concept d’événement pour le lancement du plan de transport de la Ville qui doit avoir lieu </w:t>
      </w:r>
      <w:r w:rsidRPr="005D439E">
        <w:rPr>
          <w:lang w:val="fr-CA"/>
        </w:rPr>
        <w:t xml:space="preserve">le 17 mai 2007. </w:t>
      </w:r>
      <w:r w:rsidR="00281EF5" w:rsidRPr="005D439E">
        <w:rPr>
          <w:lang w:val="fr-CA"/>
        </w:rPr>
        <w:t xml:space="preserve">Le lancement se déroule à la date prévue et il est couronné de succès. À la suite de l’événement, Octane </w:t>
      </w:r>
      <w:r w:rsidRPr="005D439E">
        <w:rPr>
          <w:lang w:val="fr-CA"/>
        </w:rPr>
        <w:t>tente d’</w:t>
      </w:r>
      <w:r w:rsidR="00281EF5" w:rsidRPr="005D439E">
        <w:rPr>
          <w:lang w:val="fr-CA"/>
        </w:rPr>
        <w:t xml:space="preserve">obtenir le paiement des frais </w:t>
      </w:r>
      <w:r w:rsidR="00281EF5" w:rsidRPr="005D439E">
        <w:rPr>
          <w:lang w:val="fr-CA"/>
        </w:rPr>
        <w:lastRenderedPageBreak/>
        <w:t>enga</w:t>
      </w:r>
      <w:r w:rsidR="003A21F3" w:rsidRPr="005D439E">
        <w:rPr>
          <w:lang w:val="fr-CA"/>
        </w:rPr>
        <w:t>gés pour les services d’un sous</w:t>
      </w:r>
      <w:r w:rsidR="003A21F3" w:rsidRPr="005D439E">
        <w:rPr>
          <w:lang w:val="fr-CA"/>
        </w:rPr>
        <w:noBreakHyphen/>
      </w:r>
      <w:r w:rsidR="00281EF5" w:rsidRPr="005D439E">
        <w:rPr>
          <w:lang w:val="fr-CA"/>
        </w:rPr>
        <w:t>traitant pour la production et l’organisation de l’événement, mais la Ville tarde à payer</w:t>
      </w:r>
      <w:r w:rsidRPr="005D439E">
        <w:rPr>
          <w:lang w:val="fr-CA"/>
        </w:rPr>
        <w:t xml:space="preserve">. </w:t>
      </w:r>
      <w:r w:rsidR="00281EF5" w:rsidRPr="005D439E">
        <w:rPr>
          <w:lang w:val="fr-CA"/>
        </w:rPr>
        <w:t>En octobre 2009, devant l’inaction de la Ville, Octane lui transmet finalement une facture.</w:t>
      </w:r>
      <w:r w:rsidRPr="005D439E">
        <w:rPr>
          <w:lang w:val="fr-CA"/>
        </w:rPr>
        <w:t xml:space="preserve"> </w:t>
      </w:r>
      <w:r w:rsidR="00281EF5" w:rsidRPr="005D439E">
        <w:rPr>
          <w:lang w:val="fr-CA"/>
        </w:rPr>
        <w:t>En mai 2010, presque trois ans après la tenue du lancement, la facture n’a toujours pas été acquittée et Octane intente un recours contre la Ville. Cette dernière lui oppose qu’elle n’a en fait jamais autorisé ce mandat, qui n’a d’ailleurs pas été octroyé à la suite du processus d’appel d’offres exigé par la loi. Octane modifie alors sa procédure pour ajouter T, membre du personnel politique du cabinet du maire</w:t>
      </w:r>
      <w:r w:rsidRPr="005D439E">
        <w:rPr>
          <w:lang w:val="fr-CA"/>
        </w:rPr>
        <w:t>, comme défendeur, soutenant</w:t>
      </w:r>
      <w:r w:rsidR="00281EF5" w:rsidRPr="005D439E">
        <w:rPr>
          <w:lang w:val="fr-CA"/>
        </w:rPr>
        <w:t xml:space="preserve"> que ce dernier lui a confié le mandat de réaliser l’événement, en plus de l’avoir assurée à de nombreuses reprises que la Ville paierait pour les frais engagés.</w:t>
      </w:r>
    </w:p>
    <w:p w:rsidR="00281EF5" w:rsidRPr="005D439E" w:rsidRDefault="00632EB1" w:rsidP="003A21F3">
      <w:pPr>
        <w:pStyle w:val="SCCNormalDoubleSpacing"/>
        <w:spacing w:after="480"/>
        <w:rPr>
          <w:lang w:val="fr-CA"/>
        </w:rPr>
      </w:pPr>
      <w:r w:rsidRPr="005D439E">
        <w:rPr>
          <w:lang w:val="fr-CA"/>
        </w:rPr>
        <w:tab/>
      </w:r>
      <w:r w:rsidR="00281EF5" w:rsidRPr="005D439E">
        <w:rPr>
          <w:lang w:val="fr-CA"/>
        </w:rPr>
        <w:t>La Cour supérieure accueille le recours d’Octane contre la Ville</w:t>
      </w:r>
      <w:r w:rsidRPr="005D439E">
        <w:rPr>
          <w:lang w:val="fr-CA"/>
        </w:rPr>
        <w:t xml:space="preserve"> et </w:t>
      </w:r>
      <w:r w:rsidR="00281EF5" w:rsidRPr="005D439E">
        <w:rPr>
          <w:lang w:val="fr-CA"/>
        </w:rPr>
        <w:t>rejette le re</w:t>
      </w:r>
      <w:r w:rsidRPr="005D439E">
        <w:rPr>
          <w:lang w:val="fr-CA"/>
        </w:rPr>
        <w:t xml:space="preserve">cours subsidiaire contre T. </w:t>
      </w:r>
      <w:r w:rsidR="00281EF5" w:rsidRPr="005D439E">
        <w:rPr>
          <w:lang w:val="fr-CA"/>
        </w:rPr>
        <w:t>Elle est d’avis que T a bien confié un mandat à Octane, mais que le contrat est nul puisqu’octroyé en contravention des règles d’ordre public en matière d’adjudication de contrats municipaux</w:t>
      </w:r>
      <w:r w:rsidRPr="005D439E">
        <w:rPr>
          <w:lang w:val="fr-CA"/>
        </w:rPr>
        <w:t xml:space="preserve">. </w:t>
      </w:r>
      <w:r w:rsidR="00281EF5" w:rsidRPr="005D439E">
        <w:rPr>
          <w:lang w:val="fr-CA"/>
        </w:rPr>
        <w:t>Toutefois, elle conclut que le régime d</w:t>
      </w:r>
      <w:r w:rsidR="00D35631">
        <w:rPr>
          <w:lang w:val="fr-CA"/>
        </w:rPr>
        <w:t>e</w:t>
      </w:r>
      <w:r w:rsidRPr="005D439E">
        <w:rPr>
          <w:lang w:val="fr-CA"/>
        </w:rPr>
        <w:t xml:space="preserve"> restitution des prestations </w:t>
      </w:r>
      <w:r w:rsidR="00281EF5" w:rsidRPr="005D439E">
        <w:rPr>
          <w:lang w:val="fr-CA"/>
        </w:rPr>
        <w:t xml:space="preserve">prévu au </w:t>
      </w:r>
      <w:r w:rsidR="00281EF5" w:rsidRPr="005D439E">
        <w:rPr>
          <w:i/>
          <w:lang w:val="fr-CA"/>
        </w:rPr>
        <w:t>Code civil du Québec</w:t>
      </w:r>
      <w:r w:rsidR="00281EF5" w:rsidRPr="005D439E">
        <w:rPr>
          <w:lang w:val="fr-CA"/>
        </w:rPr>
        <w:t xml:space="preserve"> (« </w:t>
      </w:r>
      <w:r w:rsidR="00281EF5" w:rsidRPr="005D439E">
        <w:rPr>
          <w:i/>
          <w:lang w:val="fr-CA"/>
        </w:rPr>
        <w:t>C.c.Q.</w:t>
      </w:r>
      <w:r w:rsidR="00281EF5" w:rsidRPr="005D439E">
        <w:rPr>
          <w:lang w:val="fr-CA"/>
        </w:rPr>
        <w:t> ») s’applique en ma</w:t>
      </w:r>
      <w:r w:rsidRPr="005D439E">
        <w:rPr>
          <w:lang w:val="fr-CA"/>
        </w:rPr>
        <w:t xml:space="preserve">tière municipale, et elle </w:t>
      </w:r>
      <w:r w:rsidR="00281EF5" w:rsidRPr="005D439E">
        <w:rPr>
          <w:lang w:val="fr-CA"/>
        </w:rPr>
        <w:t>ordonne la restitution par équivalent des services rendus, soit 82 898,63 $.</w:t>
      </w:r>
      <w:r w:rsidRPr="005D439E">
        <w:rPr>
          <w:lang w:val="fr-CA"/>
        </w:rPr>
        <w:t xml:space="preserve"> </w:t>
      </w:r>
      <w:r w:rsidR="00281EF5" w:rsidRPr="005D439E">
        <w:rPr>
          <w:lang w:val="fr-CA"/>
        </w:rPr>
        <w:t xml:space="preserve">La Cour d’appel rejette l’appel de la Ville, de même que celui d’Octane déposé contre T </w:t>
      </w:r>
      <w:r w:rsidRPr="005D439E">
        <w:rPr>
          <w:lang w:val="fr-CA"/>
        </w:rPr>
        <w:t>qu’elle estime</w:t>
      </w:r>
      <w:r w:rsidR="00281EF5" w:rsidRPr="005D439E">
        <w:rPr>
          <w:lang w:val="fr-CA"/>
        </w:rPr>
        <w:t xml:space="preserve"> sans objet. Elle confirme</w:t>
      </w:r>
      <w:r w:rsidRPr="005D439E">
        <w:rPr>
          <w:lang w:val="fr-CA"/>
        </w:rPr>
        <w:t xml:space="preserve"> les conclusions de la Cour supérieure</w:t>
      </w:r>
      <w:r w:rsidR="00281EF5" w:rsidRPr="005D439E">
        <w:rPr>
          <w:lang w:val="fr-CA"/>
        </w:rPr>
        <w:t xml:space="preserve"> sur la question </w:t>
      </w:r>
      <w:r w:rsidR="005A2DC2" w:rsidRPr="005D439E">
        <w:rPr>
          <w:lang w:val="fr-CA"/>
        </w:rPr>
        <w:t xml:space="preserve">de la nullité du contrat entre Octane </w:t>
      </w:r>
      <w:r w:rsidR="00281EF5" w:rsidRPr="005D439E">
        <w:rPr>
          <w:lang w:val="fr-CA"/>
        </w:rPr>
        <w:t>et la Ville, ainsi que sur l’application du régime de restitution des pre</w:t>
      </w:r>
      <w:r w:rsidR="003A21F3" w:rsidRPr="005D439E">
        <w:rPr>
          <w:lang w:val="fr-CA"/>
        </w:rPr>
        <w:t>stations en matière municipale.</w:t>
      </w:r>
    </w:p>
    <w:p w:rsidR="00281EF5" w:rsidRPr="005D439E" w:rsidRDefault="004D7D95" w:rsidP="003A21F3">
      <w:pPr>
        <w:pStyle w:val="sccnormaldoublespacing1"/>
        <w:tabs>
          <w:tab w:val="left" w:pos="1170"/>
        </w:tabs>
        <w:spacing w:after="480"/>
        <w:rPr>
          <w:lang w:val="fr-FR"/>
        </w:rPr>
      </w:pPr>
      <w:r w:rsidRPr="005D439E">
        <w:tab/>
      </w:r>
      <w:r w:rsidR="00281EF5" w:rsidRPr="005D439E">
        <w:rPr>
          <w:i/>
          <w:iCs/>
          <w:lang w:val="fr-FR"/>
        </w:rPr>
        <w:t>Arrêt</w:t>
      </w:r>
      <w:r w:rsidR="00281EF5" w:rsidRPr="005D439E">
        <w:rPr>
          <w:lang w:val="fr-FR"/>
        </w:rPr>
        <w:t> </w:t>
      </w:r>
      <w:r w:rsidR="00281EF5" w:rsidRPr="005D439E">
        <w:rPr>
          <w:rStyle w:val="citationcar1"/>
          <w:i w:val="0"/>
          <w:iCs w:val="0"/>
          <w:color w:val="auto"/>
          <w:lang w:val="fr-FR"/>
        </w:rPr>
        <w:t>(les juges Moldaver, Côté et Brown sont dissidents)</w:t>
      </w:r>
      <w:r w:rsidR="0004329C">
        <w:rPr>
          <w:rStyle w:val="citationcar1"/>
          <w:i w:val="0"/>
          <w:iCs w:val="0"/>
          <w:color w:val="auto"/>
          <w:lang w:val="fr-FR"/>
        </w:rPr>
        <w:t> </w:t>
      </w:r>
      <w:r w:rsidR="00281EF5" w:rsidRPr="005D439E">
        <w:rPr>
          <w:lang w:val="fr-FR"/>
        </w:rPr>
        <w:t xml:space="preserve">: Le pourvoi formé par la Ville </w:t>
      </w:r>
      <w:r w:rsidR="00D35631">
        <w:rPr>
          <w:lang w:val="fr-FR"/>
        </w:rPr>
        <w:t>est rejeté et le pourvoi formé par Octane est sans objet.</w:t>
      </w:r>
    </w:p>
    <w:p w:rsidR="00281EF5" w:rsidRPr="005D439E" w:rsidRDefault="00632EB1" w:rsidP="005B2CE1">
      <w:pPr>
        <w:pStyle w:val="SCCNormalDoubleSpacing"/>
        <w:spacing w:after="480"/>
        <w:rPr>
          <w:lang w:val="fr-CA"/>
        </w:rPr>
      </w:pPr>
      <w:r w:rsidRPr="005D439E">
        <w:rPr>
          <w:lang w:val="fr-CA"/>
        </w:rPr>
        <w:lastRenderedPageBreak/>
        <w:tab/>
      </w:r>
      <w:r w:rsidR="00281EF5" w:rsidRPr="005D439E">
        <w:rPr>
          <w:i/>
          <w:iCs/>
          <w:lang w:val="fr-FR"/>
        </w:rPr>
        <w:t xml:space="preserve">Le </w:t>
      </w:r>
      <w:r w:rsidR="00281EF5" w:rsidRPr="005D439E">
        <w:rPr>
          <w:bCs/>
          <w:lang w:val="fr-FR"/>
        </w:rPr>
        <w:t>juge en chef</w:t>
      </w:r>
      <w:r w:rsidR="00281EF5" w:rsidRPr="005D439E">
        <w:rPr>
          <w:lang w:val="fr-FR"/>
        </w:rPr>
        <w:t xml:space="preserve"> </w:t>
      </w:r>
      <w:r w:rsidR="00281EF5" w:rsidRPr="00AB4E75">
        <w:rPr>
          <w:bCs/>
          <w:lang w:val="fr-FR"/>
        </w:rPr>
        <w:t xml:space="preserve">Wagner </w:t>
      </w:r>
      <w:r w:rsidR="00281EF5" w:rsidRPr="005D439E">
        <w:rPr>
          <w:lang w:val="fr-FR"/>
        </w:rPr>
        <w:t xml:space="preserve">et les juges Abella, Karakatsanis, </w:t>
      </w:r>
      <w:r w:rsidR="00281EF5" w:rsidRPr="00AB4E75">
        <w:rPr>
          <w:bCs/>
          <w:lang w:val="fr-FR"/>
        </w:rPr>
        <w:t>Gascon</w:t>
      </w:r>
      <w:r w:rsidR="00281EF5" w:rsidRPr="005D439E">
        <w:rPr>
          <w:lang w:val="fr-FR"/>
        </w:rPr>
        <w:t xml:space="preserve">, Rowe et Martin : </w:t>
      </w:r>
      <w:r w:rsidR="00281EF5" w:rsidRPr="005D439E">
        <w:rPr>
          <w:lang w:val="fr-CA"/>
        </w:rPr>
        <w:t>Le régime de l</w:t>
      </w:r>
      <w:r w:rsidRPr="005D439E">
        <w:rPr>
          <w:lang w:val="fr-CA"/>
        </w:rPr>
        <w:t>a restitution des prestations, prévu</w:t>
      </w:r>
      <w:r w:rsidR="00330A56" w:rsidRPr="005D439E">
        <w:rPr>
          <w:lang w:val="fr-CA"/>
        </w:rPr>
        <w:t xml:space="preserve"> aux art. </w:t>
      </w:r>
      <w:r w:rsidR="00281EF5" w:rsidRPr="005D439E">
        <w:rPr>
          <w:lang w:val="fr-CA"/>
        </w:rPr>
        <w:t xml:space="preserve">1699 à 1707 </w:t>
      </w:r>
      <w:r w:rsidR="00281EF5" w:rsidRPr="005D439E">
        <w:rPr>
          <w:i/>
          <w:lang w:val="fr-CA"/>
        </w:rPr>
        <w:t>C.c.Q.</w:t>
      </w:r>
      <w:r w:rsidR="00EA1AC7" w:rsidRPr="00EA1AC7">
        <w:rPr>
          <w:lang w:val="fr-CA"/>
        </w:rPr>
        <w:t>,</w:t>
      </w:r>
      <w:r w:rsidR="00281EF5" w:rsidRPr="00EA1AC7">
        <w:rPr>
          <w:lang w:val="fr-CA"/>
        </w:rPr>
        <w:t xml:space="preserve"> </w:t>
      </w:r>
      <w:r w:rsidR="00281EF5" w:rsidRPr="005D439E">
        <w:rPr>
          <w:lang w:val="fr-CA"/>
        </w:rPr>
        <w:t xml:space="preserve">s’applique en matière municipale. La disposition préliminaire du </w:t>
      </w:r>
      <w:r w:rsidR="00281EF5" w:rsidRPr="005D439E">
        <w:rPr>
          <w:i/>
          <w:lang w:val="fr-CA"/>
        </w:rPr>
        <w:t>C.c.Q.</w:t>
      </w:r>
      <w:r w:rsidR="00281EF5" w:rsidRPr="005D439E">
        <w:rPr>
          <w:lang w:val="fr-CA"/>
        </w:rPr>
        <w:t xml:space="preserve"> </w:t>
      </w:r>
      <w:r w:rsidR="00330A56" w:rsidRPr="005D439E">
        <w:rPr>
          <w:lang w:val="fr-CA"/>
        </w:rPr>
        <w:t>énonce que celui</w:t>
      </w:r>
      <w:r w:rsidR="00330A56" w:rsidRPr="005D439E">
        <w:rPr>
          <w:lang w:val="fr-CA"/>
        </w:rPr>
        <w:noBreakHyphen/>
      </w:r>
      <w:r w:rsidRPr="005D439E">
        <w:rPr>
          <w:lang w:val="fr-CA"/>
        </w:rPr>
        <w:t>ci</w:t>
      </w:r>
      <w:r w:rsidR="00281EF5" w:rsidRPr="005D439E">
        <w:rPr>
          <w:lang w:val="fr-CA"/>
        </w:rPr>
        <w:t xml:space="preserve"> constitue le fondement des autres lois qui mettent en œuvre ou s’appuient sur des notions de droit civil. </w:t>
      </w:r>
      <w:r w:rsidR="00330A56" w:rsidRPr="005D439E">
        <w:rPr>
          <w:lang w:val="fr-CA"/>
        </w:rPr>
        <w:t>Par l’effet des art. </w:t>
      </w:r>
      <w:r w:rsidR="00281EF5" w:rsidRPr="005D439E">
        <w:rPr>
          <w:lang w:val="fr-CA"/>
        </w:rPr>
        <w:t xml:space="preserve">300 et 1376 </w:t>
      </w:r>
      <w:r w:rsidR="00281EF5" w:rsidRPr="005D439E">
        <w:rPr>
          <w:i/>
          <w:lang w:val="fr-CA"/>
        </w:rPr>
        <w:t>C.c.Q.</w:t>
      </w:r>
      <w:r w:rsidR="00281EF5" w:rsidRPr="005D439E">
        <w:rPr>
          <w:lang w:val="fr-CA"/>
        </w:rPr>
        <w:t>, cela inclut les lois qui régissent les personnes morales de droit public telles que les municipalités. Comme le régime de la restitution des prestations fait partie du livre Des obligations, il s’applique aux municipalités à moins que d’autres règles particulières n’en écartent l’application. Le fait que les art</w:t>
      </w:r>
      <w:r w:rsidR="00EA1AC7">
        <w:rPr>
          <w:lang w:val="fr-CA"/>
        </w:rPr>
        <w:t xml:space="preserve">. </w:t>
      </w:r>
      <w:r w:rsidR="00281EF5" w:rsidRPr="005D439E">
        <w:rPr>
          <w:lang w:val="fr-CA"/>
        </w:rPr>
        <w:t xml:space="preserve">573 et suiv. de la </w:t>
      </w:r>
      <w:r w:rsidR="00281EF5" w:rsidRPr="005D439E">
        <w:rPr>
          <w:i/>
          <w:lang w:val="fr-CA"/>
        </w:rPr>
        <w:t>Loi sur les cités et villes</w:t>
      </w:r>
      <w:r w:rsidR="005B2CE1" w:rsidRPr="005D439E">
        <w:rPr>
          <w:lang w:val="fr-CA"/>
        </w:rPr>
        <w:t xml:space="preserve"> </w:t>
      </w:r>
      <w:r w:rsidR="00281EF5" w:rsidRPr="005D439E">
        <w:rPr>
          <w:lang w:val="fr-CA"/>
        </w:rPr>
        <w:t>(« </w:t>
      </w:r>
      <w:r w:rsidR="00281EF5" w:rsidRPr="005D439E">
        <w:rPr>
          <w:i/>
          <w:lang w:val="fr-CA"/>
        </w:rPr>
        <w:t>L.C.V.</w:t>
      </w:r>
      <w:r w:rsidR="00281EF5" w:rsidRPr="005D439E">
        <w:rPr>
          <w:lang w:val="fr-CA"/>
        </w:rPr>
        <w:t> »)</w:t>
      </w:r>
      <w:r w:rsidRPr="005D439E">
        <w:rPr>
          <w:lang w:val="fr-CA"/>
        </w:rPr>
        <w:t>, qui</w:t>
      </w:r>
      <w:r w:rsidR="00281EF5" w:rsidRPr="005D439E">
        <w:rPr>
          <w:lang w:val="fr-CA"/>
        </w:rPr>
        <w:t xml:space="preserve"> prévoient que l’octroi de contrats municipaux doit respecter certaines règles, soient d’ordre public et que leur violation soit sanctionnée par la nullité absolue du contrat ne constitue pas une dérogation, explicite ou même implicite, au régime de la restitution des prestations. À défaut d’indication législative claire et non équivoque en ce sens, l’importance des dispositions d’ordre public prévues à la </w:t>
      </w:r>
      <w:r w:rsidR="00281EF5" w:rsidRPr="005D439E">
        <w:rPr>
          <w:i/>
          <w:lang w:val="fr-CA"/>
        </w:rPr>
        <w:t>L.C.V.</w:t>
      </w:r>
      <w:r w:rsidR="00281EF5" w:rsidRPr="005D439E">
        <w:rPr>
          <w:lang w:val="fr-CA"/>
        </w:rPr>
        <w:t xml:space="preserve"> ne suffit pas pour écarter l’application du régime de droit commun. En l’absence d’une telle dérogation, le principe demeure celui de la remise en état des parties, qui doit s’effectuer chaque fois qu’un acte juridique est anéanti de façon rétroactive.</w:t>
      </w:r>
    </w:p>
    <w:p w:rsidR="00281EF5" w:rsidRPr="005D439E" w:rsidRDefault="00281EF5" w:rsidP="005B2CE1">
      <w:pPr>
        <w:pStyle w:val="SCCNormalDoubleSpacing"/>
        <w:spacing w:after="480"/>
        <w:rPr>
          <w:lang w:val="fr-CA"/>
        </w:rPr>
      </w:pPr>
      <w:r w:rsidRPr="005D439E">
        <w:rPr>
          <w:lang w:val="fr-CA"/>
        </w:rPr>
        <w:tab/>
        <w:t>La restitution des prestations en matière municipale ne crée pas une voie de contournement. Le régime de la restitution des prestations accorde au juge le pouvoir de déterminer de manière objective la juste valeur de la restitution afin de remettre les parties en état, sur la base de la preuve au dossier et des circonstances propres à chaque cas lorsqu’elle ne peut se faire en nature. L’article 1699</w:t>
      </w:r>
      <w:r w:rsidR="005B2CE1" w:rsidRPr="005D439E">
        <w:rPr>
          <w:lang w:val="fr-CA"/>
        </w:rPr>
        <w:t xml:space="preserve"> al. </w:t>
      </w:r>
      <w:r w:rsidRPr="005D439E">
        <w:rPr>
          <w:lang w:val="fr-CA"/>
        </w:rPr>
        <w:t xml:space="preserve">2 </w:t>
      </w:r>
      <w:r w:rsidRPr="005D439E">
        <w:rPr>
          <w:i/>
          <w:lang w:val="fr-CA"/>
        </w:rPr>
        <w:t>C.c.Q</w:t>
      </w:r>
      <w:r w:rsidRPr="005D439E">
        <w:rPr>
          <w:lang w:val="fr-CA"/>
        </w:rPr>
        <w:t xml:space="preserve">. permet exceptionnellement au tribunal de refuser ou de modifier l’étendue ou les modalités de la restitution des prestations si une partie en retire un avantage indu. </w:t>
      </w:r>
      <w:r w:rsidRPr="005D439E">
        <w:rPr>
          <w:shd w:val="clear" w:color="auto" w:fill="FFFFFF"/>
          <w:lang w:val="fr-CA"/>
        </w:rPr>
        <w:t xml:space="preserve">Le législateur </w:t>
      </w:r>
      <w:r w:rsidRPr="005D439E">
        <w:rPr>
          <w:shd w:val="clear" w:color="auto" w:fill="FFFFFF"/>
          <w:lang w:val="fr-CA"/>
        </w:rPr>
        <w:lastRenderedPageBreak/>
        <w:t>s’assure donc que la correction d’une première iniquité n’en crée pas une seconde. L</w:t>
      </w:r>
      <w:r w:rsidRPr="005D439E">
        <w:rPr>
          <w:lang w:val="fr-CA"/>
        </w:rPr>
        <w:t>’obtention d’un contrat municipal en violation des règles d’ordre public en matière d’adjudication ne constitue pas forcément un avantage indu et le tribunal saisi ne doit pas automatiquement refuser la restitution des prestations dans un tel cas.</w:t>
      </w:r>
      <w:r w:rsidRPr="005D439E">
        <w:rPr>
          <w:shd w:val="clear" w:color="auto" w:fill="FFFFFF"/>
          <w:lang w:val="fr-CA"/>
        </w:rPr>
        <w:t xml:space="preserve"> </w:t>
      </w:r>
      <w:r w:rsidRPr="005D439E">
        <w:rPr>
          <w:lang w:val="fr-CA"/>
        </w:rPr>
        <w:t xml:space="preserve">L’opportunité de recourir au tempérament de </w:t>
      </w:r>
      <w:r w:rsidR="005B2CE1" w:rsidRPr="005D439E">
        <w:rPr>
          <w:lang w:val="fr-CA"/>
        </w:rPr>
        <w:t>l’art. </w:t>
      </w:r>
      <w:r w:rsidRPr="005D439E">
        <w:rPr>
          <w:lang w:val="fr-CA"/>
        </w:rPr>
        <w:t xml:space="preserve">1699 </w:t>
      </w:r>
      <w:r w:rsidR="005B2CE1" w:rsidRPr="005D439E">
        <w:rPr>
          <w:lang w:val="fr-CA"/>
        </w:rPr>
        <w:t>al. </w:t>
      </w:r>
      <w:r w:rsidRPr="005D439E">
        <w:rPr>
          <w:lang w:val="fr-CA"/>
        </w:rPr>
        <w:t xml:space="preserve">2 </w:t>
      </w:r>
      <w:r w:rsidRPr="005D439E">
        <w:rPr>
          <w:i/>
          <w:lang w:val="fr-CA"/>
        </w:rPr>
        <w:t>C.c.Q.</w:t>
      </w:r>
      <w:r w:rsidRPr="005D439E">
        <w:rPr>
          <w:lang w:val="fr-CA"/>
        </w:rPr>
        <w:t xml:space="preserve"> doit être évaluée au cas par cas, et non sur la base d’automatismes ou de règles préétablies</w:t>
      </w:r>
      <w:r w:rsidR="005B2CE1" w:rsidRPr="005D439E">
        <w:rPr>
          <w:lang w:val="fr-CA"/>
        </w:rPr>
        <w:t>.</w:t>
      </w:r>
    </w:p>
    <w:p w:rsidR="00281EF5" w:rsidRPr="005D439E" w:rsidRDefault="00281EF5" w:rsidP="005B2CE1">
      <w:pPr>
        <w:pStyle w:val="SCCNormalDoubleSpacing"/>
        <w:spacing w:after="480"/>
        <w:rPr>
          <w:lang w:val="fr-CA"/>
        </w:rPr>
      </w:pPr>
      <w:r w:rsidRPr="005D439E">
        <w:rPr>
          <w:lang w:val="fr-CA"/>
        </w:rPr>
        <w:tab/>
      </w:r>
      <w:r w:rsidR="00632EB1" w:rsidRPr="005D439E">
        <w:rPr>
          <w:lang w:val="fr-CA"/>
        </w:rPr>
        <w:t>En l’espèce,</w:t>
      </w:r>
      <w:r w:rsidRPr="005D439E">
        <w:rPr>
          <w:lang w:val="fr-CA"/>
        </w:rPr>
        <w:t xml:space="preserve"> aucun contrat n’a pris naissance entre Octane et la Ville pour les services de production de l’événement. Le mandat sur lequel Octane fonde son recours n’a jamais été entériné par une résolution adoptée par le conseil municipal de la Ville. Il n’a pas non plus fait l’objet d’une approbation par un fonctionnaire habilité par délégation de pouvoirs valide.</w:t>
      </w:r>
      <w:r w:rsidRPr="005D439E">
        <w:rPr>
          <w:szCs w:val="24"/>
          <w:lang w:val="fr-CA"/>
        </w:rPr>
        <w:t xml:space="preserve"> L’apparence de consentement ne suffit pas; le silence de la municipalité ne permet pa</w:t>
      </w:r>
      <w:r w:rsidR="005B2CE1" w:rsidRPr="005D439E">
        <w:rPr>
          <w:szCs w:val="24"/>
          <w:lang w:val="fr-CA"/>
        </w:rPr>
        <w:t>s non plus de déduire que celle</w:t>
      </w:r>
      <w:r w:rsidR="005B2CE1" w:rsidRPr="005D439E">
        <w:rPr>
          <w:szCs w:val="24"/>
          <w:lang w:val="fr-CA"/>
        </w:rPr>
        <w:noBreakHyphen/>
      </w:r>
      <w:r w:rsidRPr="005D439E">
        <w:rPr>
          <w:szCs w:val="24"/>
          <w:lang w:val="fr-CA"/>
        </w:rPr>
        <w:t xml:space="preserve">ci a manifesté son accord. </w:t>
      </w:r>
      <w:r w:rsidRPr="005D439E">
        <w:rPr>
          <w:lang w:val="fr-CA"/>
        </w:rPr>
        <w:t>Les règles d’adjudication des contrats municipaux imposent certaines formalités qui doivent être respectées afin de protéger l’intérêt du public en favorisant la concurrence. Cependant, elles ne dispensent pas une municipalité d’adopter un règlement ou une résolution pour manifester sa volonté de contracter. En l’absence d’une telle expression de volonté, aucun contrat ne franchit le seuil de l’existence juridique et la restitution ne peut prendre sa source dans l’anéantissement rétroactif d’un acte juridique conformément à la théorie des nullités. Toutefois, en l’espèce, les conditions du régime de la réception de l’indu sont remplies de sorte que la remise en état des parties s’impose tou</w:t>
      </w:r>
      <w:r w:rsidR="005B2CE1" w:rsidRPr="005D439E">
        <w:rPr>
          <w:lang w:val="fr-CA"/>
        </w:rPr>
        <w:t>t de même conformément aux art. </w:t>
      </w:r>
      <w:r w:rsidRPr="005D439E">
        <w:rPr>
          <w:lang w:val="fr-CA"/>
        </w:rPr>
        <w:t xml:space="preserve">1491 et 1492 </w:t>
      </w:r>
      <w:r w:rsidRPr="005D439E">
        <w:rPr>
          <w:i/>
          <w:lang w:val="fr-CA"/>
        </w:rPr>
        <w:t>C.c.Q</w:t>
      </w:r>
      <w:r w:rsidRPr="005D439E">
        <w:rPr>
          <w:lang w:val="fr-CA"/>
        </w:rPr>
        <w:t>.</w:t>
      </w:r>
    </w:p>
    <w:p w:rsidR="00281EF5" w:rsidRPr="005D439E" w:rsidRDefault="00281EF5" w:rsidP="00E27232">
      <w:pPr>
        <w:pStyle w:val="SCCNormalDoubleSpacing"/>
        <w:spacing w:after="480"/>
        <w:rPr>
          <w:lang w:val="fr-CA"/>
        </w:rPr>
      </w:pPr>
      <w:r w:rsidRPr="005D439E">
        <w:rPr>
          <w:lang w:val="fr-CA"/>
        </w:rPr>
        <w:tab/>
        <w:t xml:space="preserve">Trois conditions sont requises pour donner ouverture à la répétition de </w:t>
      </w:r>
      <w:r w:rsidR="00E27232" w:rsidRPr="005D439E">
        <w:rPr>
          <w:lang w:val="fr-CA"/>
        </w:rPr>
        <w:t>l’indu sous le régime de l’art. </w:t>
      </w:r>
      <w:r w:rsidRPr="005D439E">
        <w:rPr>
          <w:lang w:val="fr-CA"/>
        </w:rPr>
        <w:t xml:space="preserve">1491 </w:t>
      </w:r>
      <w:r w:rsidRPr="005D439E">
        <w:rPr>
          <w:i/>
          <w:lang w:val="fr-CA"/>
        </w:rPr>
        <w:t>C.c.Q.</w:t>
      </w:r>
      <w:r w:rsidRPr="005D439E">
        <w:rPr>
          <w:lang w:val="fr-CA"/>
        </w:rPr>
        <w:t xml:space="preserve"> : </w:t>
      </w:r>
      <w:r w:rsidR="004154E1">
        <w:rPr>
          <w:lang w:val="fr-CA"/>
        </w:rPr>
        <w:t>(</w:t>
      </w:r>
      <w:r w:rsidRPr="005D439E">
        <w:rPr>
          <w:lang w:val="fr-CA"/>
        </w:rPr>
        <w:t xml:space="preserve">1) il doit y avoir un paiement, </w:t>
      </w:r>
      <w:r w:rsidR="004154E1">
        <w:rPr>
          <w:lang w:val="fr-CA"/>
        </w:rPr>
        <w:t>(</w:t>
      </w:r>
      <w:r w:rsidRPr="005D439E">
        <w:rPr>
          <w:lang w:val="fr-CA"/>
        </w:rPr>
        <w:t xml:space="preserve">2) ce </w:t>
      </w:r>
      <w:r w:rsidRPr="005D439E">
        <w:rPr>
          <w:lang w:val="fr-CA"/>
        </w:rPr>
        <w:lastRenderedPageBreak/>
        <w:t xml:space="preserve">paiement doit avoir été effectué en l’absence de dette entre les parties, et </w:t>
      </w:r>
      <w:r w:rsidR="004154E1">
        <w:rPr>
          <w:lang w:val="fr-CA"/>
        </w:rPr>
        <w:t>(</w:t>
      </w:r>
      <w:r w:rsidRPr="005D439E">
        <w:rPr>
          <w:lang w:val="fr-CA"/>
        </w:rPr>
        <w:t xml:space="preserve">3) il doit avoir été fait par erreur ou pour éviter un préjudice. Lorsque ces conditions sont remplies, </w:t>
      </w:r>
      <w:r w:rsidR="00632EB1" w:rsidRPr="005D439E">
        <w:rPr>
          <w:lang w:val="fr-CA"/>
        </w:rPr>
        <w:t>e</w:t>
      </w:r>
      <w:r w:rsidRPr="005D439E">
        <w:rPr>
          <w:lang w:val="fr-CA"/>
        </w:rPr>
        <w:t>t sous réserve</w:t>
      </w:r>
      <w:r w:rsidR="00E27232" w:rsidRPr="005D439E">
        <w:rPr>
          <w:lang w:val="fr-CA"/>
        </w:rPr>
        <w:t xml:space="preserve"> de l’exception prévue à l’art. 1491 al. </w:t>
      </w:r>
      <w:r w:rsidRPr="005D439E">
        <w:rPr>
          <w:lang w:val="fr-CA"/>
        </w:rPr>
        <w:t xml:space="preserve">2 </w:t>
      </w:r>
      <w:r w:rsidRPr="005D439E">
        <w:rPr>
          <w:i/>
          <w:lang w:val="fr-CA"/>
        </w:rPr>
        <w:t>C.c.Q.</w:t>
      </w:r>
      <w:r w:rsidR="00632EB1" w:rsidRPr="005D439E">
        <w:rPr>
          <w:lang w:val="fr-CA"/>
        </w:rPr>
        <w:t>,</w:t>
      </w:r>
      <w:r w:rsidRPr="005D439E">
        <w:rPr>
          <w:lang w:val="fr-CA"/>
        </w:rPr>
        <w:t xml:space="preserve"> la restitution de ce qui a été payé indûment se fait suivant les règles de la restitution des prestations pré</w:t>
      </w:r>
      <w:r w:rsidR="00E27232" w:rsidRPr="005D439E">
        <w:rPr>
          <w:lang w:val="fr-CA"/>
        </w:rPr>
        <w:t>vues aux art. </w:t>
      </w:r>
      <w:r w:rsidRPr="005D439E">
        <w:rPr>
          <w:lang w:val="fr-CA"/>
        </w:rPr>
        <w:t xml:space="preserve">1699 à 1707 </w:t>
      </w:r>
      <w:r w:rsidRPr="005D439E">
        <w:rPr>
          <w:i/>
          <w:lang w:val="fr-CA"/>
        </w:rPr>
        <w:t>C.c.Q.</w:t>
      </w:r>
      <w:r w:rsidRPr="005D439E">
        <w:rPr>
          <w:lang w:val="fr-CA"/>
        </w:rPr>
        <w:t xml:space="preserve"> C’est véritablement la réception d’une chose qui n’est pas due qui fonde l’obligation de remise en état. L’obligation de restitution ne prendra naissance que si le paiement a été effectué par erreur ou sous protêt. Si l’erreur explique généralement le paiement fait en l’absence de dette, on ne peut cependant écarter l’hypothèse d’un payeur qui a procédé en toute connaissance de cause. C’est sur celui qui invoque l’intention libérale que repose le fardeau de la prouver.</w:t>
      </w:r>
    </w:p>
    <w:p w:rsidR="00281EF5" w:rsidRPr="005D439E" w:rsidRDefault="00281EF5" w:rsidP="00E27232">
      <w:pPr>
        <w:pStyle w:val="SCCNormalDoubleSpacing"/>
        <w:spacing w:after="480"/>
        <w:rPr>
          <w:szCs w:val="24"/>
          <w:lang w:val="fr-CA"/>
        </w:rPr>
      </w:pPr>
      <w:r w:rsidRPr="005D439E">
        <w:rPr>
          <w:lang w:val="fr-CA"/>
        </w:rPr>
        <w:tab/>
        <w:t>Une prestation de services peut constitue</w:t>
      </w:r>
      <w:r w:rsidR="00E27232" w:rsidRPr="005D439E">
        <w:rPr>
          <w:lang w:val="fr-CA"/>
        </w:rPr>
        <w:t>r un paiement au sens de l’art. </w:t>
      </w:r>
      <w:r w:rsidRPr="005D439E">
        <w:rPr>
          <w:lang w:val="fr-CA"/>
        </w:rPr>
        <w:t xml:space="preserve">1553 </w:t>
      </w:r>
      <w:r w:rsidRPr="005D439E">
        <w:rPr>
          <w:i/>
          <w:lang w:val="fr-CA"/>
        </w:rPr>
        <w:t>C.c.Q.</w:t>
      </w:r>
      <w:r w:rsidRPr="005D439E">
        <w:rPr>
          <w:lang w:val="fr-CA"/>
        </w:rPr>
        <w:t xml:space="preserve"> </w:t>
      </w:r>
      <w:r w:rsidR="00632EB1" w:rsidRPr="005D439E">
        <w:rPr>
          <w:lang w:val="fr-CA"/>
        </w:rPr>
        <w:t>L</w:t>
      </w:r>
      <w:r w:rsidRPr="005D439E">
        <w:rPr>
          <w:lang w:val="fr-CA"/>
        </w:rPr>
        <w:t>e</w:t>
      </w:r>
      <w:r w:rsidR="00632EB1" w:rsidRPr="005D439E">
        <w:rPr>
          <w:lang w:val="fr-CA"/>
        </w:rPr>
        <w:t xml:space="preserve"> paiement d’une somme d’argent n’est pas seul à pouvoir</w:t>
      </w:r>
      <w:r w:rsidRPr="005D439E">
        <w:rPr>
          <w:lang w:val="fr-CA"/>
        </w:rPr>
        <w:t xml:space="preserve"> être qualifié d</w:t>
      </w:r>
      <w:r w:rsidR="004154E1">
        <w:rPr>
          <w:lang w:val="fr-CA"/>
        </w:rPr>
        <w:t>e</w:t>
      </w:r>
      <w:r w:rsidRPr="005D439E">
        <w:rPr>
          <w:lang w:val="fr-CA"/>
        </w:rPr>
        <w:t xml:space="preserve"> paiement en droit civil québécois : </w:t>
      </w:r>
      <w:r w:rsidR="00E27232" w:rsidRPr="005D439E">
        <w:rPr>
          <w:lang w:val="fr-CA"/>
        </w:rPr>
        <w:t>l’art. </w:t>
      </w:r>
      <w:r w:rsidRPr="005D439E">
        <w:rPr>
          <w:lang w:val="fr-CA"/>
        </w:rPr>
        <w:t xml:space="preserve">1553 </w:t>
      </w:r>
      <w:r w:rsidRPr="005D439E">
        <w:rPr>
          <w:i/>
          <w:iCs/>
          <w:lang w:val="fr-CA"/>
        </w:rPr>
        <w:t>C.c.Q.</w:t>
      </w:r>
      <w:r w:rsidRPr="005D439E">
        <w:rPr>
          <w:lang w:val="fr-CA"/>
        </w:rPr>
        <w:t xml:space="preserve"> prévoit expressément que le paiement s’entend également de l’exécution de ce qui est l’objet de l’obligation. Un paiement peut être valablement effectué par le représentant du débiteur de l’obligation, par exemple son mandataire ou son sous-traitant, sauf lorsqu’une telle délégation est incompatible avec la nature du contrat ou ses termes. En l’espèce, il est clair que </w:t>
      </w:r>
      <w:r w:rsidR="00E27232" w:rsidRPr="005D439E">
        <w:rPr>
          <w:lang w:val="fr-CA"/>
        </w:rPr>
        <w:t>le sous</w:t>
      </w:r>
      <w:r w:rsidR="00E27232" w:rsidRPr="005D439E">
        <w:rPr>
          <w:lang w:val="fr-CA"/>
        </w:rPr>
        <w:noBreakHyphen/>
      </w:r>
      <w:r w:rsidR="00632EB1" w:rsidRPr="005D439E">
        <w:rPr>
          <w:lang w:val="fr-CA"/>
        </w:rPr>
        <w:t>traitant</w:t>
      </w:r>
      <w:r w:rsidRPr="005D439E">
        <w:rPr>
          <w:lang w:val="fr-CA"/>
        </w:rPr>
        <w:t xml:space="preserve"> a agi pour le compte d’Octane en ce qui concerne la production de l’événement de la Ville et que cette dernière ne s’y est pas opposée. Ainsi, la prestation du service à la Ville, soit le paiement au sens juridique, émane d’Octane. </w:t>
      </w:r>
      <w:r w:rsidRPr="005D439E">
        <w:rPr>
          <w:szCs w:val="24"/>
          <w:lang w:val="fr-CA"/>
        </w:rPr>
        <w:t>Cette condition donnant ouverture à la répétition de l’indu est remplie.</w:t>
      </w:r>
    </w:p>
    <w:p w:rsidR="00281EF5" w:rsidRPr="005D439E" w:rsidRDefault="00281EF5" w:rsidP="00E27232">
      <w:pPr>
        <w:pStyle w:val="SCCNormalDoubleSpacing"/>
        <w:spacing w:after="480"/>
        <w:rPr>
          <w:lang w:val="fr-CA"/>
        </w:rPr>
      </w:pPr>
      <w:r w:rsidRPr="005D439E">
        <w:rPr>
          <w:szCs w:val="24"/>
          <w:lang w:val="fr-CA"/>
        </w:rPr>
        <w:tab/>
      </w:r>
      <w:r w:rsidRPr="005D439E">
        <w:rPr>
          <w:lang w:val="fr-CA"/>
        </w:rPr>
        <w:t xml:space="preserve">Il importe peu de savoir ce qu’aurait dû ou pu faire Octane afin d’éviter de commettre une erreur. </w:t>
      </w:r>
      <w:r w:rsidRPr="005D439E">
        <w:rPr>
          <w:lang w:val="fr-FR"/>
        </w:rPr>
        <w:t xml:space="preserve">La restitution ne vise pas à sanctionner la négligence ou la faute, </w:t>
      </w:r>
      <w:r w:rsidRPr="005D439E">
        <w:rPr>
          <w:lang w:val="fr-FR"/>
        </w:rPr>
        <w:lastRenderedPageBreak/>
        <w:t xml:space="preserve">mais bien à remettre les parties en état lorsqu’il est démontré que l’une d’entre elles a reçu une chose sans y avoir droit. Il s’agit seulement de déterminer </w:t>
      </w:r>
      <w:r w:rsidRPr="005D439E">
        <w:rPr>
          <w:lang w:val="fr-CA"/>
        </w:rPr>
        <w:t xml:space="preserve">si la prestation de services par Octane est le résultat d’une erreur, et non d’une intention libérale. </w:t>
      </w:r>
      <w:r w:rsidRPr="005D439E">
        <w:rPr>
          <w:szCs w:val="24"/>
          <w:lang w:val="fr-CA"/>
        </w:rPr>
        <w:t>Or, v</w:t>
      </w:r>
      <w:r w:rsidRPr="005D439E">
        <w:rPr>
          <w:lang w:val="fr-CA"/>
        </w:rPr>
        <w:t>u la teneur de la preuve au dossier, on ne peut conclure qu’Octane a eu une intention libérale de fournir des services à la Ville en l’absence d’une dette. Les témoignages des représentants d’Octane confirment qu’ils se croyaient bel et bien obligés de fournir les services pour la production de l’événement et qu’ils n’avaient aucunem</w:t>
      </w:r>
      <w:r w:rsidR="00E27232" w:rsidRPr="005D439E">
        <w:rPr>
          <w:lang w:val="fr-CA"/>
        </w:rPr>
        <w:t>ent l’intention de fournir ceux</w:t>
      </w:r>
      <w:r w:rsidR="00E27232" w:rsidRPr="005D439E">
        <w:rPr>
          <w:lang w:val="fr-CA"/>
        </w:rPr>
        <w:noBreakHyphen/>
      </w:r>
      <w:r w:rsidRPr="005D439E">
        <w:rPr>
          <w:lang w:val="fr-CA"/>
        </w:rPr>
        <w:t xml:space="preserve">ci gratuitement. </w:t>
      </w:r>
      <w:r w:rsidR="00632EB1" w:rsidRPr="005D439E">
        <w:rPr>
          <w:lang w:val="fr-CA"/>
        </w:rPr>
        <w:t>Octane n’aurait pas fourni</w:t>
      </w:r>
      <w:r w:rsidRPr="005D439E">
        <w:rPr>
          <w:lang w:val="fr-CA"/>
        </w:rPr>
        <w:t xml:space="preserve"> les services en cause si elle avait su que son obligation à l’égard de la Ville était inexistante en droit. En l’absence d’une intention libérale de la part d’Octane ou de toute autre cause qui puisse justifier qu’elle fournisse gratuitement </w:t>
      </w:r>
      <w:r w:rsidR="00632EB1" w:rsidRPr="005D439E">
        <w:rPr>
          <w:lang w:val="fr-CA"/>
        </w:rPr>
        <w:t>les</w:t>
      </w:r>
      <w:r w:rsidRPr="005D439E">
        <w:rPr>
          <w:lang w:val="fr-CA"/>
        </w:rPr>
        <w:t xml:space="preserve"> services à la Ville, il faut conclure que cette prestation de services est le résultat d’une erreur a</w:t>
      </w:r>
      <w:r w:rsidR="00E27232" w:rsidRPr="005D439E">
        <w:rPr>
          <w:lang w:val="fr-CA"/>
        </w:rPr>
        <w:t>ux termes de ce qu’exige l’art. </w:t>
      </w:r>
      <w:r w:rsidRPr="005D439E">
        <w:rPr>
          <w:lang w:val="fr-CA"/>
        </w:rPr>
        <w:t xml:space="preserve">1491 </w:t>
      </w:r>
      <w:r w:rsidRPr="005D439E">
        <w:rPr>
          <w:i/>
          <w:lang w:val="fr-CA"/>
        </w:rPr>
        <w:t>C.c.Q</w:t>
      </w:r>
      <w:r w:rsidR="00E27232" w:rsidRPr="005D439E">
        <w:rPr>
          <w:lang w:val="fr-CA"/>
        </w:rPr>
        <w:t>.</w:t>
      </w:r>
    </w:p>
    <w:p w:rsidR="00281EF5" w:rsidRPr="005D439E" w:rsidRDefault="00281EF5" w:rsidP="00E27232">
      <w:pPr>
        <w:pStyle w:val="SCCNormalDoubleSpacing"/>
        <w:spacing w:after="480"/>
        <w:rPr>
          <w:lang w:val="fr-CA"/>
        </w:rPr>
      </w:pPr>
      <w:r w:rsidRPr="005D439E">
        <w:rPr>
          <w:lang w:val="fr-CA"/>
        </w:rPr>
        <w:tab/>
        <w:t>La restitution des services fournis par Octane pour la production de l’événement de la Ville doit se faire par éq</w:t>
      </w:r>
      <w:r w:rsidR="00E27232" w:rsidRPr="005D439E">
        <w:rPr>
          <w:lang w:val="fr-CA"/>
        </w:rPr>
        <w:t>uivalent, conformément à l’art. </w:t>
      </w:r>
      <w:r w:rsidRPr="005D439E">
        <w:rPr>
          <w:lang w:val="fr-CA"/>
        </w:rPr>
        <w:t xml:space="preserve">1700 </w:t>
      </w:r>
      <w:r w:rsidRPr="005D439E">
        <w:rPr>
          <w:i/>
          <w:lang w:val="fr-CA"/>
        </w:rPr>
        <w:t>C.c.Q</w:t>
      </w:r>
      <w:r w:rsidRPr="005D439E">
        <w:rPr>
          <w:lang w:val="fr-CA"/>
        </w:rPr>
        <w:t>. Les conclusions du premier juge sur la bonne qualité des services rendus, leur juste valeur marchande, le bénéfice qu’en a tiré la Ville et la conformité de l’événement aux attentes n’ont pas été contestées par la Ville. Comme la Ville n’a pas fait la preuve qu’un avantage indu serait accordé à Octane en cas de restitution intégrale, la restitution par équivalent des services fournis correspond donc au coût de production de l’événement, soit 82 898,63 $.</w:t>
      </w:r>
    </w:p>
    <w:p w:rsidR="00281EF5" w:rsidRPr="005D439E" w:rsidRDefault="00281EF5" w:rsidP="00AC0952">
      <w:pPr>
        <w:pStyle w:val="sccnormaldoublespacing1"/>
        <w:tabs>
          <w:tab w:val="left" w:pos="1170"/>
        </w:tabs>
        <w:spacing w:after="480"/>
      </w:pPr>
      <w:r w:rsidRPr="005D439E">
        <w:tab/>
        <w:t>L’action d’Octane contre la V</w:t>
      </w:r>
      <w:r w:rsidR="00C72D1B">
        <w:t>ille n’est pas prescrite. L’article</w:t>
      </w:r>
      <w:r w:rsidR="00E27232" w:rsidRPr="005D439E">
        <w:t> </w:t>
      </w:r>
      <w:r w:rsidRPr="005D439E">
        <w:t xml:space="preserve">586 </w:t>
      </w:r>
      <w:r w:rsidRPr="005D439E">
        <w:rPr>
          <w:i/>
        </w:rPr>
        <w:t>L.C.V.</w:t>
      </w:r>
      <w:r w:rsidRPr="005D439E">
        <w:t xml:space="preserve"> ne s’applique pas dans le présent dossier. Suivant son libellé, le délai de prescription </w:t>
      </w:r>
      <w:r w:rsidRPr="005D439E">
        <w:lastRenderedPageBreak/>
        <w:t>de six mois ne s’applique qu’à toute action, poursui</w:t>
      </w:r>
      <w:r w:rsidR="00E27232" w:rsidRPr="005D439E">
        <w:t>te ou réclamation pour dommages</w:t>
      </w:r>
      <w:r w:rsidR="00E27232" w:rsidRPr="005D439E">
        <w:noBreakHyphen/>
      </w:r>
      <w:r w:rsidRPr="005D439E">
        <w:t>intérêts. Dans le cas de la répétition de l’indu, la restitution découle de l’absence d’obligation d’exécuter une prestation. La remise en état qu’elle entraîne</w:t>
      </w:r>
      <w:r w:rsidR="00E27232" w:rsidRPr="005D439E">
        <w:t xml:space="preserve"> ne se qualifie pas de dommages</w:t>
      </w:r>
      <w:r w:rsidR="00E27232" w:rsidRPr="005D439E">
        <w:noBreakHyphen/>
      </w:r>
      <w:r w:rsidRPr="005D439E">
        <w:t>intérêts. La doctrine et la jurisprudence reconnaissent que le recours en répétition de l’indu est assujetti au délai de droit com</w:t>
      </w:r>
      <w:r w:rsidR="00E27232" w:rsidRPr="005D439E">
        <w:t>mun de trois ans prévu à l’art. </w:t>
      </w:r>
      <w:r w:rsidRPr="005D439E">
        <w:t xml:space="preserve">2925 </w:t>
      </w:r>
      <w:r w:rsidRPr="005D439E">
        <w:rPr>
          <w:i/>
        </w:rPr>
        <w:t>C.c.Q.</w:t>
      </w:r>
    </w:p>
    <w:p w:rsidR="00281EF5" w:rsidRPr="005D439E" w:rsidRDefault="00281EF5" w:rsidP="00AC0952">
      <w:pPr>
        <w:pStyle w:val="sccnormaldoublespacing1"/>
        <w:tabs>
          <w:tab w:val="left" w:pos="1170"/>
        </w:tabs>
        <w:spacing w:after="480"/>
      </w:pPr>
      <w:r w:rsidRPr="005D439E">
        <w:tab/>
        <w:t xml:space="preserve">En ce qui a trait au pourvoi d’Octane contre T, puisque l’appel de la Ville est rejeté, il n’y a pas lieu de trancher la question soulevée par l’appel d’Octane sur la responsabilité personnelle de T. </w:t>
      </w:r>
      <w:r w:rsidR="00632EB1" w:rsidRPr="005D439E">
        <w:t>Cet appel est donc</w:t>
      </w:r>
      <w:r w:rsidRPr="005D439E">
        <w:t xml:space="preserve"> sans objet.</w:t>
      </w:r>
    </w:p>
    <w:p w:rsidR="006D6A24" w:rsidRPr="005D439E" w:rsidRDefault="006D6A24" w:rsidP="00E27232">
      <w:pPr>
        <w:pStyle w:val="SCCNormalDoubleSpacing"/>
        <w:spacing w:after="480"/>
        <w:rPr>
          <w:lang w:val="fr-CA"/>
        </w:rPr>
      </w:pPr>
      <w:r w:rsidRPr="005D439E">
        <w:rPr>
          <w:i/>
          <w:iCs/>
          <w:lang w:val="fr-FR"/>
        </w:rPr>
        <w:tab/>
        <w:t xml:space="preserve">Les </w:t>
      </w:r>
      <w:r w:rsidRPr="005D439E">
        <w:rPr>
          <w:lang w:val="fr-FR"/>
        </w:rPr>
        <w:t xml:space="preserve">juges Moldaver, </w:t>
      </w:r>
      <w:r w:rsidRPr="00020588">
        <w:rPr>
          <w:bCs/>
          <w:lang w:val="fr-FR"/>
        </w:rPr>
        <w:t>Côté</w:t>
      </w:r>
      <w:r w:rsidRPr="005D439E">
        <w:rPr>
          <w:b/>
          <w:bCs/>
          <w:lang w:val="fr-FR"/>
        </w:rPr>
        <w:t xml:space="preserve"> </w:t>
      </w:r>
      <w:r w:rsidRPr="005D439E">
        <w:rPr>
          <w:lang w:val="fr-FR"/>
        </w:rPr>
        <w:t xml:space="preserve">et </w:t>
      </w:r>
      <w:r w:rsidRPr="00020588">
        <w:rPr>
          <w:bCs/>
          <w:lang w:val="fr-FR"/>
        </w:rPr>
        <w:t>Brown</w:t>
      </w:r>
      <w:r w:rsidRPr="005D439E">
        <w:rPr>
          <w:lang w:val="fr-FR"/>
        </w:rPr>
        <w:t xml:space="preserve"> (dissidents) : </w:t>
      </w:r>
      <w:r w:rsidRPr="005D439E">
        <w:rPr>
          <w:lang w:val="fr-CA"/>
        </w:rPr>
        <w:t>L’appel de la Ville devrait être accueilli et l’appel d’Octane devrait être rejeté.</w:t>
      </w:r>
    </w:p>
    <w:p w:rsidR="006D6A24" w:rsidRPr="005D439E" w:rsidRDefault="006D6A24" w:rsidP="00E27232">
      <w:pPr>
        <w:pStyle w:val="SCCNormalDoubleSpacing"/>
        <w:spacing w:after="480"/>
        <w:rPr>
          <w:lang w:val="fr-CA"/>
        </w:rPr>
      </w:pPr>
      <w:r w:rsidRPr="005D439E">
        <w:rPr>
          <w:lang w:val="fr-CA"/>
        </w:rPr>
        <w:tab/>
        <w:t>L’article 1385 al. 1 </w:t>
      </w:r>
      <w:r w:rsidRPr="005D439E">
        <w:rPr>
          <w:i/>
          <w:lang w:val="fr-CA"/>
        </w:rPr>
        <w:t>C.c.Q.</w:t>
      </w:r>
      <w:r w:rsidRPr="005D439E">
        <w:rPr>
          <w:lang w:val="fr-CA"/>
        </w:rPr>
        <w:t xml:space="preserve"> prévoit que « [l]e contrat se forme par le seul échange de consentement entre des personnes capables de contracter, à moins que la loi n’exige, en outre, le respect d’une forme particulière comme condition nécessaire</w:t>
      </w:r>
      <w:r w:rsidR="00E27232" w:rsidRPr="005D439E">
        <w:rPr>
          <w:lang w:val="fr-CA"/>
        </w:rPr>
        <w:t xml:space="preserve"> à sa formation ». Les articles </w:t>
      </w:r>
      <w:r w:rsidRPr="005D439E">
        <w:rPr>
          <w:lang w:val="fr-CA"/>
        </w:rPr>
        <w:t xml:space="preserve">573 et suiv. de la </w:t>
      </w:r>
      <w:r w:rsidRPr="005D439E">
        <w:rPr>
          <w:i/>
          <w:lang w:val="fr-CA"/>
        </w:rPr>
        <w:t>L.C.V.</w:t>
      </w:r>
      <w:r w:rsidRPr="005D439E">
        <w:rPr>
          <w:lang w:val="fr-CA"/>
        </w:rPr>
        <w:t xml:space="preserve"> disposent à cet égard que l’adjudication des contrats municipaux doit respecter certaines formalités. Ces dispositions énoncent des normes impérat</w:t>
      </w:r>
      <w:r w:rsidR="00E27232" w:rsidRPr="005D439E">
        <w:rPr>
          <w:lang w:val="fr-CA"/>
        </w:rPr>
        <w:t>ives d’ordre public dont le non</w:t>
      </w:r>
      <w:r w:rsidR="00E27232" w:rsidRPr="005D439E">
        <w:rPr>
          <w:lang w:val="fr-CA"/>
        </w:rPr>
        <w:noBreakHyphen/>
      </w:r>
      <w:r w:rsidRPr="005D439E">
        <w:rPr>
          <w:lang w:val="fr-CA"/>
        </w:rPr>
        <w:t>respect est sanctionné par la nullité absolue. Un contrat de servic</w:t>
      </w:r>
      <w:r w:rsidR="00632EB1" w:rsidRPr="005D439E">
        <w:rPr>
          <w:lang w:val="fr-CA"/>
        </w:rPr>
        <w:t>e d’une valeur de 82 898,63 $ doit</w:t>
      </w:r>
      <w:r w:rsidRPr="005D439E">
        <w:rPr>
          <w:lang w:val="fr-CA"/>
        </w:rPr>
        <w:t xml:space="preserve"> être adjugé après une demande de soumissions faite par voie d’invitation écrite, conformément à la </w:t>
      </w:r>
      <w:r w:rsidRPr="005D439E">
        <w:rPr>
          <w:i/>
          <w:lang w:val="fr-CA"/>
        </w:rPr>
        <w:t>L.C.V.</w:t>
      </w:r>
      <w:r w:rsidR="00632EB1" w:rsidRPr="005D439E">
        <w:rPr>
          <w:lang w:val="fr-CA"/>
        </w:rPr>
        <w:t xml:space="preserve"> </w:t>
      </w:r>
      <w:r w:rsidRPr="005D439E">
        <w:rPr>
          <w:lang w:val="fr-CA"/>
        </w:rPr>
        <w:t>Le contrat conclu en violation de ces règles, s’il est</w:t>
      </w:r>
      <w:r w:rsidR="00B135A6">
        <w:rPr>
          <w:lang w:val="fr-CA"/>
        </w:rPr>
        <w:t xml:space="preserve"> effectivement formé, peut être</w:t>
      </w:r>
      <w:r w:rsidRPr="005D439E">
        <w:rPr>
          <w:lang w:val="fr-CA"/>
        </w:rPr>
        <w:t xml:space="preserve"> frappé de nullité absolue, en plus de donner ouverture aux sanctions prévues par la </w:t>
      </w:r>
      <w:r w:rsidRPr="005D439E">
        <w:rPr>
          <w:i/>
          <w:lang w:val="fr-CA"/>
        </w:rPr>
        <w:t xml:space="preserve">L.C.V. </w:t>
      </w:r>
      <w:r w:rsidRPr="005D439E">
        <w:rPr>
          <w:lang w:val="fr-CA"/>
        </w:rPr>
        <w:t xml:space="preserve">L’article 1422 </w:t>
      </w:r>
      <w:r w:rsidRPr="005D439E">
        <w:rPr>
          <w:i/>
          <w:lang w:val="fr-CA"/>
        </w:rPr>
        <w:t>C.c.Q.</w:t>
      </w:r>
      <w:r w:rsidRPr="005D439E">
        <w:rPr>
          <w:lang w:val="fr-CA"/>
        </w:rPr>
        <w:t xml:space="preserve">, lequel prévoit les effets de </w:t>
      </w:r>
      <w:r w:rsidRPr="005D439E">
        <w:rPr>
          <w:lang w:val="fr-CA"/>
        </w:rPr>
        <w:lastRenderedPageBreak/>
        <w:t xml:space="preserve">la nullité, crée expressément une obligation de restitution. </w:t>
      </w:r>
      <w:r w:rsidR="00632EB1" w:rsidRPr="005D439E">
        <w:rPr>
          <w:lang w:val="fr-CA"/>
        </w:rPr>
        <w:t>Selon</w:t>
      </w:r>
      <w:r w:rsidRPr="005D439E">
        <w:rPr>
          <w:lang w:val="fr-CA"/>
        </w:rPr>
        <w:t xml:space="preserve"> l’article 1699 al. 1 </w:t>
      </w:r>
      <w:r w:rsidRPr="005D439E">
        <w:rPr>
          <w:i/>
          <w:lang w:val="fr-CA"/>
        </w:rPr>
        <w:t>C.c.Q.</w:t>
      </w:r>
      <w:r w:rsidRPr="005D439E">
        <w:rPr>
          <w:lang w:val="fr-CA"/>
        </w:rPr>
        <w:t>, la restitution a lieu « chaque fois » qu’un acte juridique est rétroactivement anéanti. La jurisprudence récente de la Cour d’appel confirme la possibilité d’ordonner la restitution des prestations en cas d’annulation d’un contrat municipal.</w:t>
      </w:r>
    </w:p>
    <w:p w:rsidR="006D6A24" w:rsidRPr="005D439E" w:rsidRDefault="006D6A24" w:rsidP="009F01E7">
      <w:pPr>
        <w:pStyle w:val="SCCNormalDoubleSpacing"/>
        <w:spacing w:after="480"/>
        <w:rPr>
          <w:lang w:val="fr-CA"/>
        </w:rPr>
      </w:pPr>
      <w:r w:rsidRPr="005D439E">
        <w:rPr>
          <w:lang w:val="fr-CA"/>
        </w:rPr>
        <w:tab/>
        <w:t>Toutefois, l’annulation d’un contrat suppose</w:t>
      </w:r>
      <w:r w:rsidR="00E27232" w:rsidRPr="005D439E">
        <w:rPr>
          <w:lang w:val="fr-CA"/>
        </w:rPr>
        <w:t xml:space="preserve"> l’existence de celui</w:t>
      </w:r>
      <w:r w:rsidR="00E27232" w:rsidRPr="005D439E">
        <w:rPr>
          <w:lang w:val="fr-CA"/>
        </w:rPr>
        <w:noBreakHyphen/>
      </w:r>
      <w:r w:rsidR="00282096" w:rsidRPr="005D439E">
        <w:rPr>
          <w:lang w:val="fr-CA"/>
        </w:rPr>
        <w:t>ci.</w:t>
      </w:r>
      <w:r w:rsidR="00632EB1" w:rsidRPr="005D439E">
        <w:rPr>
          <w:lang w:val="fr-CA"/>
        </w:rPr>
        <w:t xml:space="preserve"> En l’espèce,</w:t>
      </w:r>
      <w:r w:rsidRPr="005D439E">
        <w:rPr>
          <w:lang w:val="fr-CA"/>
        </w:rPr>
        <w:t xml:space="preserve"> le contrat sur lequel s’appuie la réclamation d’Octane est tout simplement inexistant. En droit civil, l’existence d’un contrat est conditionnelle à la manifestation d’une volonté d’ê</w:t>
      </w:r>
      <w:r w:rsidR="009F01E7" w:rsidRPr="005D439E">
        <w:rPr>
          <w:lang w:val="fr-CA"/>
        </w:rPr>
        <w:t>tre lié contractuellement (art. </w:t>
      </w:r>
      <w:r w:rsidRPr="005D439E">
        <w:rPr>
          <w:lang w:val="fr-CA"/>
        </w:rPr>
        <w:t>1378 al. 1, 1385 al. 1 et 1386 </w:t>
      </w:r>
      <w:r w:rsidRPr="005D439E">
        <w:rPr>
          <w:i/>
          <w:lang w:val="fr-CA"/>
        </w:rPr>
        <w:t>C.c.Q.</w:t>
      </w:r>
      <w:r w:rsidRPr="005D439E">
        <w:rPr>
          <w:lang w:val="fr-CA"/>
        </w:rPr>
        <w:t>). Lorsqu’il y a absence objective de toute manifestation d’une telle volonté (absence d’une offre de contracter ou encore refus d’une telle offre ou absence d’acceptation), il n’y a pas de contrat. Le règlement et la résolution sont les véhicules juridiques par lesquels une municipalité manifeste sa volonté. Une municipalité peut, par règlement de son conse</w:t>
      </w:r>
      <w:r w:rsidR="00625DF7" w:rsidRPr="005D439E">
        <w:rPr>
          <w:lang w:val="fr-CA"/>
        </w:rPr>
        <w:t>il</w:t>
      </w:r>
      <w:r w:rsidRPr="005D439E">
        <w:rPr>
          <w:lang w:val="fr-CA"/>
        </w:rPr>
        <w:t>, déléguer à un fonctionnaire le pouvoir de contracter des obligations en son nom. Cependant, comme une seule entreprise de services professionnels avait été sollicitée, aucun fonctionnaire de la Ville ne jouissait d’une délégation de pouvoirs l’autorisant à conclure un contrat d’une valeur excédant 25 000 $. Ainsi, aucun fonctionnaire dûment autorisé n’a pu contracter une obligation de 82 898,63 $ au nom de la Ville.</w:t>
      </w:r>
    </w:p>
    <w:p w:rsidR="006D6A24" w:rsidRPr="005D439E" w:rsidRDefault="006D6A24" w:rsidP="009F01E7">
      <w:pPr>
        <w:pStyle w:val="SCCNormalDoubleSpacing"/>
        <w:spacing w:after="480"/>
        <w:rPr>
          <w:lang w:val="fr-CA"/>
        </w:rPr>
      </w:pPr>
      <w:r w:rsidRPr="005D439E">
        <w:rPr>
          <w:lang w:val="fr-CA"/>
        </w:rPr>
        <w:tab/>
        <w:t xml:space="preserve">T ne jouissait d’aucune délégation de pouvoirs l’autorisant à contracter au nom de la Ville, parce qu’il était un membre du personnel politique du cabinet du maire, et non un fonctionnaire </w:t>
      </w:r>
      <w:r w:rsidR="009F01E7" w:rsidRPr="005D439E">
        <w:rPr>
          <w:lang w:val="fr-CA"/>
        </w:rPr>
        <w:t>ou un employé municipal. La non</w:t>
      </w:r>
      <w:r w:rsidR="00BC1982">
        <w:rPr>
          <w:lang w:val="fr-CA"/>
        </w:rPr>
        <w:t>-</w:t>
      </w:r>
      <w:r w:rsidRPr="005D439E">
        <w:rPr>
          <w:lang w:val="fr-CA"/>
        </w:rPr>
        <w:t>application de la théorie du mandat apparent codifiée à l’art. 2163 </w:t>
      </w:r>
      <w:r w:rsidRPr="005D439E">
        <w:rPr>
          <w:i/>
          <w:lang w:val="fr-CA"/>
        </w:rPr>
        <w:t>C.c.Q</w:t>
      </w:r>
      <w:r w:rsidR="004154E1">
        <w:rPr>
          <w:i/>
          <w:lang w:val="fr-CA"/>
        </w:rPr>
        <w:t>.</w:t>
      </w:r>
      <w:r w:rsidRPr="005D439E">
        <w:rPr>
          <w:lang w:val="fr-CA"/>
        </w:rPr>
        <w:t xml:space="preserve"> en matière municipale est un principe général ou une règle de droit public primant l</w:t>
      </w:r>
      <w:r w:rsidR="00D4514E" w:rsidRPr="005D439E">
        <w:rPr>
          <w:lang w:val="fr-CA"/>
        </w:rPr>
        <w:t xml:space="preserve">es règles du droit civil, </w:t>
      </w:r>
      <w:r w:rsidRPr="005D439E">
        <w:rPr>
          <w:lang w:val="fr-CA"/>
        </w:rPr>
        <w:t>ce</w:t>
      </w:r>
      <w:r w:rsidR="00D4514E" w:rsidRPr="005D439E">
        <w:rPr>
          <w:lang w:val="fr-CA"/>
        </w:rPr>
        <w:t xml:space="preserve">s dernières </w:t>
      </w:r>
      <w:r w:rsidR="00D4514E" w:rsidRPr="005D439E">
        <w:rPr>
          <w:lang w:val="fr-CA"/>
        </w:rPr>
        <w:lastRenderedPageBreak/>
        <w:t>n’ayant</w:t>
      </w:r>
      <w:r w:rsidRPr="005D439E">
        <w:rPr>
          <w:lang w:val="fr-CA"/>
        </w:rPr>
        <w:t xml:space="preserve"> qu’un caractèr</w:t>
      </w:r>
      <w:r w:rsidR="009F01E7" w:rsidRPr="005D439E">
        <w:rPr>
          <w:lang w:val="fr-CA"/>
        </w:rPr>
        <w:t>e supplétif en ce domaine (art. </w:t>
      </w:r>
      <w:r w:rsidRPr="005D439E">
        <w:rPr>
          <w:lang w:val="fr-CA"/>
        </w:rPr>
        <w:t xml:space="preserve">300 </w:t>
      </w:r>
      <w:r w:rsidRPr="00B135A6">
        <w:rPr>
          <w:i/>
          <w:lang w:val="fr-CA"/>
        </w:rPr>
        <w:t>C.c.Q.</w:t>
      </w:r>
      <w:r w:rsidRPr="005D439E">
        <w:rPr>
          <w:lang w:val="fr-CA"/>
        </w:rPr>
        <w:t>). Il s’agit d’une mesure de contrôle édictée dans l’intérêt des citoyens à des fins de saine administration et de transparence. Il est très fermement établi qu’une personne qui souhaite contracter avec une municipalité doit à ses propres risques s’assurer que la personne avec qui il traite est</w:t>
      </w:r>
      <w:r w:rsidR="009F01E7" w:rsidRPr="005D439E">
        <w:rPr>
          <w:lang w:val="fr-CA"/>
        </w:rPr>
        <w:t xml:space="preserve"> nantie de l’autorité requise.</w:t>
      </w:r>
    </w:p>
    <w:p w:rsidR="006D6A24" w:rsidRPr="005D439E" w:rsidRDefault="006D6A24" w:rsidP="009F01E7">
      <w:pPr>
        <w:pStyle w:val="SCCNormalDoubleSpacing"/>
        <w:spacing w:after="480"/>
        <w:rPr>
          <w:lang w:val="fr-CA"/>
        </w:rPr>
      </w:pPr>
      <w:r w:rsidRPr="005D439E">
        <w:rPr>
          <w:lang w:val="fr-CA"/>
        </w:rPr>
        <w:tab/>
        <w:t>En cas d’inexistence d’un contrat, la restitution des prestations ne peut pas être la conséquence de l’annulation d’un contrat invalide (art. 1422 et 1699 </w:t>
      </w:r>
      <w:r w:rsidRPr="005D439E">
        <w:rPr>
          <w:i/>
          <w:lang w:val="fr-CA"/>
        </w:rPr>
        <w:t>C.c.Q.</w:t>
      </w:r>
      <w:r w:rsidRPr="005D439E">
        <w:rPr>
          <w:lang w:val="fr-CA"/>
        </w:rPr>
        <w:t xml:space="preserve">). </w:t>
      </w:r>
      <w:r w:rsidR="00D4514E" w:rsidRPr="005D439E">
        <w:rPr>
          <w:lang w:val="fr-CA"/>
        </w:rPr>
        <w:t>Il n’y a aucun acte juridique en l’espèce</w:t>
      </w:r>
      <w:r w:rsidR="009F01E7" w:rsidRPr="005D439E">
        <w:rPr>
          <w:lang w:val="fr-CA"/>
        </w:rPr>
        <w:t xml:space="preserve"> qui puisse être </w:t>
      </w:r>
      <w:r w:rsidRPr="005D439E">
        <w:rPr>
          <w:lang w:val="fr-CA"/>
        </w:rPr>
        <w:t xml:space="preserve">anéanti de façon rétroactive. Toute obligation de restitution devra plutôt se justifier sur la base d’un fondement différent. </w:t>
      </w:r>
      <w:r w:rsidRPr="005D439E">
        <w:rPr>
          <w:szCs w:val="24"/>
          <w:lang w:val="fr-CA"/>
        </w:rPr>
        <w:t xml:space="preserve">Si la jurisprudence récente de la Cour d’appel confirme la possibilité d’ordonner la restitution des prestations en cas d’annulation d’un contrat municipal, elle est toutefois silencieuse sur la possibilité d’ordonner la restitution des prestations sur le fondement de </w:t>
      </w:r>
      <w:r w:rsidR="00B135A6">
        <w:rPr>
          <w:szCs w:val="24"/>
          <w:lang w:val="fr-CA"/>
        </w:rPr>
        <w:t>la réception de l’indu</w:t>
      </w:r>
      <w:r w:rsidR="00625DF7" w:rsidRPr="005D439E">
        <w:rPr>
          <w:szCs w:val="24"/>
          <w:lang w:val="fr-CA"/>
        </w:rPr>
        <w:t xml:space="preserve"> lorsqu’une </w:t>
      </w:r>
      <w:r w:rsidRPr="005D439E">
        <w:rPr>
          <w:szCs w:val="24"/>
          <w:lang w:val="fr-CA"/>
        </w:rPr>
        <w:t>partie prétend avoir fourni des services à une municipalité sur la foi d’un contrat qu’elle croit avoir conclu, mais qu</w:t>
      </w:r>
      <w:r w:rsidR="009F01E7" w:rsidRPr="005D439E">
        <w:rPr>
          <w:szCs w:val="24"/>
          <w:lang w:val="fr-CA"/>
        </w:rPr>
        <w:t>i s’avère carrément inexistant.</w:t>
      </w:r>
    </w:p>
    <w:p w:rsidR="006D6A24" w:rsidRPr="005D439E" w:rsidRDefault="006D6A24" w:rsidP="009F01E7">
      <w:pPr>
        <w:pStyle w:val="SCCNormalDoubleSpacing"/>
        <w:spacing w:after="480"/>
        <w:rPr>
          <w:lang w:val="fr-CA"/>
        </w:rPr>
      </w:pPr>
      <w:r w:rsidRPr="005D439E">
        <w:rPr>
          <w:szCs w:val="24"/>
          <w:lang w:val="fr-CA"/>
        </w:rPr>
        <w:tab/>
      </w:r>
      <w:r w:rsidRPr="005D439E">
        <w:rPr>
          <w:lang w:val="fr-CA"/>
        </w:rPr>
        <w:t>En droit civil, les trois conditions d’ouverture d’une action en répétition de l’indu sont : (1) l’existence d’un paiement fait par le payeur au payé, (2) l’inexistence d’une dette entre les parties et (3) l’erreur du payeur. Ces trois conditions doivent être interprétées</w:t>
      </w:r>
      <w:r w:rsidR="009F01E7" w:rsidRPr="005D439E">
        <w:rPr>
          <w:lang w:val="fr-CA"/>
        </w:rPr>
        <w:t xml:space="preserve"> </w:t>
      </w:r>
      <w:r w:rsidRPr="005D439E">
        <w:rPr>
          <w:lang w:val="fr-CA"/>
        </w:rPr>
        <w:t>avec prudence, sinon restrictivement et, lorsqu’elles sont remplies, l’art. 1491 al. 1 </w:t>
      </w:r>
      <w:r w:rsidRPr="005D439E">
        <w:rPr>
          <w:i/>
          <w:lang w:val="fr-CA"/>
        </w:rPr>
        <w:t>C.c.Q.</w:t>
      </w:r>
      <w:r w:rsidRPr="005D439E">
        <w:rPr>
          <w:lang w:val="fr-CA"/>
        </w:rPr>
        <w:t xml:space="preserve"> crée expressément une obligation de restitution sous réserve de l’exception prévue à l’art. 1491 al. 2 </w:t>
      </w:r>
      <w:r w:rsidRPr="005D439E">
        <w:rPr>
          <w:i/>
          <w:lang w:val="fr-CA"/>
        </w:rPr>
        <w:t>C.c.Q</w:t>
      </w:r>
      <w:r w:rsidRPr="005D439E">
        <w:rPr>
          <w:lang w:val="fr-CA"/>
        </w:rPr>
        <w:t>. L’article 1492 </w:t>
      </w:r>
      <w:r w:rsidRPr="005D439E">
        <w:rPr>
          <w:i/>
          <w:lang w:val="fr-CA"/>
        </w:rPr>
        <w:t>C.c.Q.</w:t>
      </w:r>
      <w:r w:rsidRPr="005D439E">
        <w:rPr>
          <w:lang w:val="fr-CA"/>
        </w:rPr>
        <w:t xml:space="preserve"> prévoit alors que « [l]a restitution de ce qui a été payé indûment » se fait suivant le régime de la restitution des prestations codifié aux art. 1699 à 1707 </w:t>
      </w:r>
      <w:r w:rsidRPr="005D439E">
        <w:rPr>
          <w:i/>
          <w:lang w:val="fr-CA"/>
        </w:rPr>
        <w:t xml:space="preserve">C.c.Q. </w:t>
      </w:r>
      <w:r w:rsidRPr="005D439E">
        <w:rPr>
          <w:lang w:val="fr-CA"/>
        </w:rPr>
        <w:t xml:space="preserve">Le fardeau de démontrer </w:t>
      </w:r>
      <w:r w:rsidRPr="005D439E">
        <w:rPr>
          <w:lang w:val="fr-CA"/>
        </w:rPr>
        <w:lastRenderedPageBreak/>
        <w:t>l’existence des conditions d’ouverture d’une action en répétition de l’indu repose en principe sur le payeur qui doit d’abord prouver l’existence d’un paiement et l’inexistence d’une dette.</w:t>
      </w:r>
      <w:r w:rsidR="004931C9">
        <w:rPr>
          <w:lang w:val="fr-CA"/>
        </w:rPr>
        <w:t xml:space="preserve"> L’erreur du payeur est ensuite </w:t>
      </w:r>
      <w:r w:rsidRPr="005D439E">
        <w:rPr>
          <w:lang w:val="fr-CA"/>
        </w:rPr>
        <w:t>présumée comme l’explication la plus vraisemblable d’un paiement en soi inexplicable. C’est au payé qu’il revient alors de prouver l’absence d’erreur du payeur.</w:t>
      </w:r>
    </w:p>
    <w:p w:rsidR="006D6A24" w:rsidRPr="005D439E" w:rsidRDefault="006D6A24" w:rsidP="00AC0952">
      <w:pPr>
        <w:pStyle w:val="sccnormaldoublespacing1"/>
        <w:tabs>
          <w:tab w:val="left" w:pos="1170"/>
        </w:tabs>
        <w:spacing w:after="480"/>
      </w:pPr>
      <w:r w:rsidRPr="005D439E">
        <w:tab/>
        <w:t>En l’espèce, la Ville a reçu une prestation de services qui constitue un paiement au sens de l’art. 1553 </w:t>
      </w:r>
      <w:r w:rsidRPr="005D439E">
        <w:rPr>
          <w:i/>
        </w:rPr>
        <w:t>C.c.Q.</w:t>
      </w:r>
      <w:r w:rsidRPr="005D439E">
        <w:t xml:space="preserve"> Toutefois, il ne se dégage pas clairement de la preuve que les services reçus p</w:t>
      </w:r>
      <w:r w:rsidR="00D4514E" w:rsidRPr="005D439E">
        <w:t xml:space="preserve">ar la Ville ont été rendus par </w:t>
      </w:r>
      <w:r w:rsidR="009F01E7" w:rsidRPr="005D439E">
        <w:t>le sous</w:t>
      </w:r>
      <w:r w:rsidR="009F01E7" w:rsidRPr="005D439E">
        <w:noBreakHyphen/>
      </w:r>
      <w:r w:rsidR="00D4514E" w:rsidRPr="005D439E">
        <w:t>traitant</w:t>
      </w:r>
      <w:r w:rsidRPr="005D439E">
        <w:t xml:space="preserve"> au nom d’Octane. Toute ambiguïté non résolue sur ce point au procès est liée au fait qu’Octane n’a pas invoqué en première instance la réception de l’indu comme fondement de sa réclamation. Il n’est par conséquent pas prudent que la Cour dispose maintenant du pourvoi de la Ville sur</w:t>
      </w:r>
      <w:r w:rsidR="00D4514E" w:rsidRPr="005D439E">
        <w:t xml:space="preserve"> la base de ce mécanisme. Toutefois, puisque la</w:t>
      </w:r>
      <w:r w:rsidRPr="005D439E">
        <w:t xml:space="preserve"> réclamation d’Octane doit être rejetée de toute façon,</w:t>
      </w:r>
      <w:r w:rsidR="00D4514E" w:rsidRPr="005D439E">
        <w:t xml:space="preserve"> l’interprétation de la preuve qui lui est</w:t>
      </w:r>
      <w:r w:rsidRPr="005D439E">
        <w:t xml:space="preserve"> la plus favorable quant à la condition de l’existence d’un paiement sera adoptée. Quant à l’inexistence d’une dette entre les parties, elle résulte de l’inexistence d’un contrat entre Octane et la Ville à l</w:t>
      </w:r>
      <w:r w:rsidR="00D4514E" w:rsidRPr="005D439E">
        <w:t xml:space="preserve">’égard </w:t>
      </w:r>
      <w:r w:rsidR="009F01E7" w:rsidRPr="005D439E">
        <w:t>des services rendus par le sous</w:t>
      </w:r>
      <w:r w:rsidR="009F01E7" w:rsidRPr="005D439E">
        <w:noBreakHyphen/>
      </w:r>
      <w:r w:rsidR="00D4514E" w:rsidRPr="005D439E">
        <w:t>traitant</w:t>
      </w:r>
      <w:r w:rsidRPr="005D439E">
        <w:t>.</w:t>
      </w:r>
    </w:p>
    <w:p w:rsidR="006D6A24" w:rsidRPr="005D439E" w:rsidRDefault="006D6A24" w:rsidP="00AC0952">
      <w:pPr>
        <w:pStyle w:val="sccnormaldoublespacing1"/>
        <w:tabs>
          <w:tab w:val="left" w:pos="1170"/>
        </w:tabs>
        <w:spacing w:after="480"/>
      </w:pPr>
      <w:r w:rsidRPr="005D439E">
        <w:tab/>
        <w:t>L’erreur, qui peut être de fait ou de droit, est une condition essentielle de l’action</w:t>
      </w:r>
      <w:r w:rsidR="008F665B">
        <w:t xml:space="preserve"> en répétition de l’indu. L’article</w:t>
      </w:r>
      <w:r w:rsidRPr="005D439E">
        <w:t> 1554 al. 1 </w:t>
      </w:r>
      <w:r w:rsidRPr="005D439E">
        <w:rPr>
          <w:i/>
        </w:rPr>
        <w:t>C.c.Q.</w:t>
      </w:r>
      <w:r w:rsidRPr="005D439E">
        <w:t xml:space="preserve"> ne constitue pas une source distincte de l’obligation de restitution : cette disposition doit plutôt être lue en corrélation avec l’art. 1491 al. 1 </w:t>
      </w:r>
      <w:r w:rsidRPr="005D439E">
        <w:rPr>
          <w:i/>
        </w:rPr>
        <w:t>C.c.Q.</w:t>
      </w:r>
      <w:r w:rsidRPr="005D439E">
        <w:t xml:space="preserve"> En principe, le payé parvient à prouver l’absence d’erreur du payeur s’il prouve que ce dernier a effectué le paiement en sachant qu’il n’y était pas tenu. Dans ces circonstances, le paiement sera traité comme une libéralité et l’action en répétition de l’indu sera rejetée. Le payé parvient à prouver </w:t>
      </w:r>
      <w:r w:rsidRPr="005D439E">
        <w:lastRenderedPageBreak/>
        <w:t>l’absence d’erreur du payeur s’il prouve : (1) que le payeur a effectué le paiement en sacha</w:t>
      </w:r>
      <w:r w:rsidR="009F01E7" w:rsidRPr="005D439E">
        <w:t>nt qu’il n’y était pas tenu (c.</w:t>
      </w:r>
      <w:r w:rsidR="009F01E7" w:rsidRPr="005D439E">
        <w:noBreakHyphen/>
        <w:t>à</w:t>
      </w:r>
      <w:r w:rsidR="009F01E7" w:rsidRPr="005D439E">
        <w:noBreakHyphen/>
      </w:r>
      <w:r w:rsidRPr="005D439E">
        <w:t>d. l’absence d’erreur proprement dite), ou (2) que le payeur a effectué le paiement en ayant une intention véritable de procurer un avantage gratuit au payé ou d’effectuer une donation informelle à son profit ou encore qu’une autre cause excluant l’hypothèse de l’erreur justifie juridiquement le paiement. En l’espèce, la preuve démontre clairement qu’Octane n’a pas payé la Ville par erreur au moment du paiement, le 17 mai 2007, date à laquelle les servi</w:t>
      </w:r>
      <w:r w:rsidR="009F01E7" w:rsidRPr="005D439E">
        <w:t>ces ont été fournis à la Ville.</w:t>
      </w:r>
    </w:p>
    <w:p w:rsidR="006D6A24" w:rsidRPr="005D439E" w:rsidRDefault="006D6A24" w:rsidP="00AC0952">
      <w:pPr>
        <w:pStyle w:val="sccnormaldoublespacing1"/>
        <w:tabs>
          <w:tab w:val="left" w:pos="1170"/>
        </w:tabs>
        <w:spacing w:after="480"/>
      </w:pPr>
      <w:r w:rsidRPr="005D439E">
        <w:tab/>
        <w:t>Octane savait au moment du paiement qu’aucun contrat ne la liait à la Ville à l</w:t>
      </w:r>
      <w:r w:rsidR="00D4514E" w:rsidRPr="005D439E">
        <w:t xml:space="preserve">’égard des services rendus par </w:t>
      </w:r>
      <w:r w:rsidR="00625DF7" w:rsidRPr="005D439E">
        <w:t xml:space="preserve">le </w:t>
      </w:r>
      <w:r w:rsidR="009F01E7" w:rsidRPr="005D439E">
        <w:t>sous</w:t>
      </w:r>
      <w:r w:rsidR="009F01E7" w:rsidRPr="005D439E">
        <w:noBreakHyphen/>
      </w:r>
      <w:r w:rsidR="00D4514E" w:rsidRPr="005D439E">
        <w:t>traitant</w:t>
      </w:r>
      <w:r w:rsidRPr="005D439E">
        <w:t>. Le témoignage d’un associé principal chez Octane en 2007 démontre qu’il croyait que le mandat ne pourrait excéder la limite de gré à gré, soit 25 000 $, et qu’il savait que cette limite était pertinente, et ce, non seulement parce qu’il s’agit du seuil maximal en deçà duquel un contrat peut être adjugé sans demande de soumissions, mais aussi parce qu’il s’agit du seuil maximal en deçà duquel un fonctionnaire peut consentir un contrat au nom de la Ville. Octane savait au moment du lancement du Plan de transport qu’aucun fonctionnaire dûment autorisé n’avait pu légalement consentir un contrat d’une telle valeur au nom de la Ville, qu’aucune résolution du conseil municipal de la Ville ne lui octroyait de c</w:t>
      </w:r>
      <w:r w:rsidR="00D4514E" w:rsidRPr="005D439E">
        <w:t>ontrat concernant les services d</w:t>
      </w:r>
      <w:r w:rsidR="009F01E7" w:rsidRPr="005D439E">
        <w:t>e son sous</w:t>
      </w:r>
      <w:r w:rsidR="009F01E7" w:rsidRPr="005D439E">
        <w:noBreakHyphen/>
      </w:r>
      <w:r w:rsidR="00D4514E" w:rsidRPr="005D439E">
        <w:t>traitant</w:t>
      </w:r>
      <w:r w:rsidRPr="005D439E">
        <w:t xml:space="preserve"> et qu’aucun contrat-cadre entre Octane et la Ville n’était en vigueur. De plus, Octane savait au moment du paiement qu’aucun contrat valide ne pourrait lui être ultérieurement consenti par la Ville à l</w:t>
      </w:r>
      <w:r w:rsidR="00D4514E" w:rsidRPr="005D439E">
        <w:t>’égard des services rendus par le s</w:t>
      </w:r>
      <w:r w:rsidR="009F01E7" w:rsidRPr="005D439E">
        <w:t>ous</w:t>
      </w:r>
      <w:r w:rsidR="009F01E7" w:rsidRPr="005D439E">
        <w:noBreakHyphen/>
      </w:r>
      <w:r w:rsidR="00D4514E" w:rsidRPr="005D439E">
        <w:t>traitant</w:t>
      </w:r>
      <w:r w:rsidRPr="005D439E">
        <w:t xml:space="preserve">. Même si le comité exécutif de la Ville a effectivement le pouvoir de consentir un contrat jusqu’à une valeur de 100 000 $, il n’aurait pu s’agir d’un contrat valide, puisqu’il était trop tard pour procéder par appel </w:t>
      </w:r>
      <w:r w:rsidRPr="005D439E">
        <w:lastRenderedPageBreak/>
        <w:t>d’offres sur invitations ou par appel d’offres public, vu que l’événement avait déjà eu lieu.</w:t>
      </w:r>
    </w:p>
    <w:p w:rsidR="006D6A24" w:rsidRPr="005D439E" w:rsidRDefault="006D6A24" w:rsidP="00AC0952">
      <w:pPr>
        <w:pStyle w:val="sccnormaldoublespacing1"/>
        <w:tabs>
          <w:tab w:val="left" w:pos="1170"/>
        </w:tabs>
        <w:spacing w:after="480"/>
      </w:pPr>
      <w:r w:rsidRPr="005D439E">
        <w:tab/>
        <w:t xml:space="preserve">Bien qu’Octane n’a sans doute pas agi dans une intention libérale, puisqu’il y avait à tout le moins l’espoir d’une rétribution, l’absence d’une intention libérale ne signifie pas nécessairement que le paiement a été fait par erreur. Octane n’a pas payé par erreur, car elle savait, dans les faits, au moment du paiement, qu’aucun contrat ne s’était formé entre elle et la Ville à l’égard </w:t>
      </w:r>
      <w:r w:rsidR="009F01E7" w:rsidRPr="005D439E">
        <w:t>des services rendus par le sous</w:t>
      </w:r>
      <w:r w:rsidR="009F01E7" w:rsidRPr="005D439E">
        <w:noBreakHyphen/>
      </w:r>
      <w:r w:rsidRPr="005D439E">
        <w:t xml:space="preserve">traitant. L’absence d’erreur de la part d’Octane ne saurait être </w:t>
      </w:r>
      <w:r w:rsidR="009F01E7" w:rsidRPr="005D439E">
        <w:t xml:space="preserve">assimilée à une faute, laquelle </w:t>
      </w:r>
      <w:r w:rsidRPr="005D439E">
        <w:t>n’est pas pertinente pour les fins de la restitution. Les conditions d’ouverture d’une action en répétition de l’indu ne sont pas remplies. L’action en répétition de l’indu d’Octane doit donc être rejetée, et l’appel de la Ville, accueilli.</w:t>
      </w:r>
    </w:p>
    <w:p w:rsidR="006D6A24" w:rsidRPr="005D439E" w:rsidRDefault="006D6A24" w:rsidP="00A26352">
      <w:pPr>
        <w:pStyle w:val="SCCNormalDoubleSpacing"/>
        <w:spacing w:after="480"/>
        <w:rPr>
          <w:lang w:val="fr-CA"/>
        </w:rPr>
      </w:pPr>
      <w:r w:rsidRPr="005D439E">
        <w:rPr>
          <w:lang w:val="fr-CA"/>
        </w:rPr>
        <w:tab/>
        <w:t>L’appel d’Octane contre la Ville et T devrait être rejeté. L’article 2158 </w:t>
      </w:r>
      <w:r w:rsidRPr="005D439E">
        <w:rPr>
          <w:i/>
          <w:lang w:val="fr-CA"/>
        </w:rPr>
        <w:t>C.c.Q.</w:t>
      </w:r>
      <w:r w:rsidRPr="005D439E">
        <w:rPr>
          <w:lang w:val="fr-CA"/>
        </w:rPr>
        <w:t xml:space="preserve"> portant sur la responsabilité personnelle du mandataire outrepassant ses pouvoirs ne saurait s’appliquer dans les circonstances particulières de la présente affaire, parce qu’Octane avait le fardeau de s’assurer que le contrat serait conclu selon la procédure régulière à savoir : (1) que la personne avec laquelle Octane transigeait était autorisée à agir au nom de la municipalité, (2) que la Ville et ses préposés agissaient dans les limites de leurs pouvoirs, et (3) que toutes les conditions requises par la loi pour la formation ou l’adjudication du contrat étaient observées. Elle ne saurait déplacer sur les épaules de T le fardeau qui est le sien. Par ailleurs, même si T avait commis une faute engageant sa responsabilité extracontractuelle lorsqu’il a donné l’assurance à Octane qu’elle serait payée, il n’aurait pas causé le dommage subi par Octane. En effet, la causalité fait défaut puisqu’il semble qu’Octane (1) ait</w:t>
      </w:r>
      <w:r w:rsidR="00D4514E" w:rsidRPr="005D439E">
        <w:rPr>
          <w:lang w:val="fr-CA"/>
        </w:rPr>
        <w:t xml:space="preserve"> effect</w:t>
      </w:r>
      <w:r w:rsidR="00A26352" w:rsidRPr="005D439E">
        <w:rPr>
          <w:lang w:val="fr-CA"/>
        </w:rPr>
        <w:t xml:space="preserve">ué un </w:t>
      </w:r>
      <w:r w:rsidR="00A26352" w:rsidRPr="005D439E">
        <w:rPr>
          <w:lang w:val="fr-CA"/>
        </w:rPr>
        <w:lastRenderedPageBreak/>
        <w:t>premier versement au sous</w:t>
      </w:r>
      <w:r w:rsidR="00A26352" w:rsidRPr="005D439E">
        <w:rPr>
          <w:lang w:val="fr-CA"/>
        </w:rPr>
        <w:noBreakHyphen/>
      </w:r>
      <w:r w:rsidR="00D4514E" w:rsidRPr="005D439E">
        <w:rPr>
          <w:lang w:val="fr-CA"/>
        </w:rPr>
        <w:t>traitant</w:t>
      </w:r>
      <w:r w:rsidRPr="005D439E">
        <w:rPr>
          <w:lang w:val="fr-CA"/>
        </w:rPr>
        <w:t>, (2) ait contracté avec ce dernier et (3) ait fourni les services à la Ville avant que T ne lui ait donné</w:t>
      </w:r>
      <w:r w:rsidR="00A26352" w:rsidRPr="005D439E">
        <w:rPr>
          <w:lang w:val="fr-CA"/>
        </w:rPr>
        <w:t xml:space="preserve"> quelque assurance que ce soit.</w:t>
      </w:r>
    </w:p>
    <w:p w:rsidR="004D7D95" w:rsidRPr="005D439E" w:rsidRDefault="004D7D95" w:rsidP="00A26352">
      <w:pPr>
        <w:pStyle w:val="SCCNormalDoubleSpacing"/>
        <w:spacing w:after="720" w:line="240" w:lineRule="auto"/>
        <w:rPr>
          <w:b/>
          <w:lang w:val="fr-CA"/>
        </w:rPr>
      </w:pPr>
      <w:r w:rsidRPr="005D439E">
        <w:rPr>
          <w:b/>
          <w:lang w:val="fr-CA"/>
        </w:rPr>
        <w:t>Jurisprudence</w:t>
      </w:r>
    </w:p>
    <w:p w:rsidR="001A2191" w:rsidRPr="005D439E" w:rsidRDefault="001A2191" w:rsidP="00A26352">
      <w:pPr>
        <w:pStyle w:val="SCCNormalDoubleSpacing"/>
        <w:spacing w:after="720"/>
        <w:rPr>
          <w:rFonts w:eastAsia="Times New Roman"/>
          <w:lang w:val="fr-CA"/>
        </w:rPr>
      </w:pPr>
      <w:r w:rsidRPr="005D439E">
        <w:rPr>
          <w:lang w:val="fr-CA"/>
        </w:rPr>
        <w:t>Citée</w:t>
      </w:r>
      <w:r w:rsidRPr="005D439E">
        <w:rPr>
          <w:rFonts w:eastAsia="Times New Roman"/>
          <w:lang w:val="fr-CA"/>
        </w:rPr>
        <w:t xml:space="preserve"> par le juge en chef Wagner et le juge Gascon</w:t>
      </w:r>
    </w:p>
    <w:p w:rsidR="004D7D95" w:rsidRPr="005D439E" w:rsidRDefault="004D7D95" w:rsidP="00A26352">
      <w:pPr>
        <w:pStyle w:val="SCCNormalDoubleSpacing"/>
        <w:spacing w:after="480"/>
        <w:rPr>
          <w:lang w:val="fr-CA"/>
        </w:rPr>
      </w:pPr>
      <w:r w:rsidRPr="005D439E">
        <w:rPr>
          <w:lang w:val="fr-CA"/>
        </w:rPr>
        <w:tab/>
      </w:r>
      <w:r w:rsidRPr="005D439E">
        <w:rPr>
          <w:b/>
          <w:lang w:val="fr-CA"/>
        </w:rPr>
        <w:t>Arrêts mentionnés</w:t>
      </w:r>
      <w:r w:rsidR="00BD1DD7" w:rsidRPr="005D439E">
        <w:rPr>
          <w:b/>
          <w:lang w:val="fr-CA"/>
        </w:rPr>
        <w:t> :</w:t>
      </w:r>
      <w:r w:rsidRPr="005D439E">
        <w:rPr>
          <w:lang w:val="fr-CA"/>
        </w:rPr>
        <w:t xml:space="preserve"> </w:t>
      </w:r>
      <w:r w:rsidR="005C3FC4" w:rsidRPr="005D439E">
        <w:rPr>
          <w:i/>
          <w:lang w:val="fr-CA"/>
        </w:rPr>
        <w:t>Doré c. Verdun (Ville)</w:t>
      </w:r>
      <w:r w:rsidR="005C3FC4" w:rsidRPr="005D439E">
        <w:rPr>
          <w:lang w:val="fr-CA"/>
        </w:rPr>
        <w:t>, [1997] 2 R.C.S. 862</w:t>
      </w:r>
      <w:r w:rsidR="006045F8" w:rsidRPr="005D439E">
        <w:rPr>
          <w:lang w:val="fr-CA"/>
        </w:rPr>
        <w:t>;</w:t>
      </w:r>
      <w:r w:rsidR="005C3FC4" w:rsidRPr="005D439E">
        <w:rPr>
          <w:lang w:val="fr-CA"/>
        </w:rPr>
        <w:t xml:space="preserve"> </w:t>
      </w:r>
      <w:r w:rsidR="0011663F" w:rsidRPr="005D439E">
        <w:rPr>
          <w:i/>
          <w:lang w:val="fr-CA"/>
        </w:rPr>
        <w:t>Prud’homme c. Prud’homme</w:t>
      </w:r>
      <w:r w:rsidR="0011663F" w:rsidRPr="005D439E">
        <w:rPr>
          <w:lang w:val="fr-CA"/>
        </w:rPr>
        <w:t xml:space="preserve">, </w:t>
      </w:r>
      <w:r w:rsidR="005E0DE7" w:rsidRPr="005D439E">
        <w:rPr>
          <w:lang w:val="fr-CA"/>
        </w:rPr>
        <w:t xml:space="preserve">2002 CSC 85, </w:t>
      </w:r>
      <w:r w:rsidR="0011663F" w:rsidRPr="005D439E">
        <w:rPr>
          <w:lang w:val="fr-CA"/>
        </w:rPr>
        <w:t>[</w:t>
      </w:r>
      <w:r w:rsidR="005E0DE7" w:rsidRPr="005D439E">
        <w:rPr>
          <w:lang w:val="fr-CA"/>
        </w:rPr>
        <w:t>2002] 4 R.C.S. 663</w:t>
      </w:r>
      <w:r w:rsidR="0011663F" w:rsidRPr="005D439E">
        <w:rPr>
          <w:lang w:val="fr-CA"/>
        </w:rPr>
        <w:t xml:space="preserve">; </w:t>
      </w:r>
      <w:r w:rsidR="0011663F" w:rsidRPr="005D439E">
        <w:rPr>
          <w:i/>
          <w:lang w:val="fr-CA"/>
        </w:rPr>
        <w:t>Autobus Dufresne inc. c. Réseau de transport métropolitain,</w:t>
      </w:r>
      <w:r w:rsidR="000E1555" w:rsidRPr="005D439E">
        <w:rPr>
          <w:lang w:val="fr-CA"/>
        </w:rPr>
        <w:t xml:space="preserve"> 2017 QCCS 5812</w:t>
      </w:r>
      <w:r w:rsidR="0011663F" w:rsidRPr="005D439E">
        <w:rPr>
          <w:lang w:val="fr-CA"/>
        </w:rPr>
        <w:t xml:space="preserve">; </w:t>
      </w:r>
      <w:r w:rsidR="0011663F" w:rsidRPr="005D439E">
        <w:rPr>
          <w:i/>
          <w:lang w:val="fr-CA"/>
        </w:rPr>
        <w:t>Construction Irebec inc. c. Montréal (Ville de)</w:t>
      </w:r>
      <w:r w:rsidR="0011663F" w:rsidRPr="005D439E">
        <w:rPr>
          <w:lang w:val="fr-CA"/>
        </w:rPr>
        <w:t xml:space="preserve">, 2015 QCCS 4303; </w:t>
      </w:r>
      <w:r w:rsidR="0011663F" w:rsidRPr="005D439E">
        <w:rPr>
          <w:i/>
          <w:lang w:val="fr-CA"/>
        </w:rPr>
        <w:t>Centre de téléphone mobile (Québec) inc. c. Marieville (Ville</w:t>
      </w:r>
      <w:r w:rsidR="000E1555" w:rsidRPr="005D439E">
        <w:rPr>
          <w:i/>
          <w:lang w:val="fr-CA"/>
        </w:rPr>
        <w:t xml:space="preserve"> de</w:t>
      </w:r>
      <w:r w:rsidR="0011663F" w:rsidRPr="005D439E">
        <w:rPr>
          <w:i/>
          <w:lang w:val="fr-CA"/>
        </w:rPr>
        <w:t>)</w:t>
      </w:r>
      <w:r w:rsidR="000E1555" w:rsidRPr="005D439E">
        <w:rPr>
          <w:lang w:val="fr-CA"/>
        </w:rPr>
        <w:t>, 2006 QCCS 1179</w:t>
      </w:r>
      <w:r w:rsidR="005E0DE7" w:rsidRPr="005D439E">
        <w:rPr>
          <w:lang w:val="fr-CA"/>
        </w:rPr>
        <w:t xml:space="preserve">, </w:t>
      </w:r>
      <w:r w:rsidR="008B7D10">
        <w:rPr>
          <w:lang w:val="fr-CA"/>
        </w:rPr>
        <w:t xml:space="preserve">[2006] </w:t>
      </w:r>
      <w:r w:rsidR="00CF6522" w:rsidRPr="005D439E">
        <w:rPr>
          <w:lang w:val="fr-CA"/>
        </w:rPr>
        <w:t>AZ</w:t>
      </w:r>
      <w:r w:rsidR="00BD1DD7" w:rsidRPr="005D439E">
        <w:rPr>
          <w:lang w:val="fr-CA"/>
        </w:rPr>
        <w:noBreakHyphen/>
      </w:r>
      <w:r w:rsidR="00CF6522" w:rsidRPr="005D439E">
        <w:rPr>
          <w:lang w:val="fr-CA"/>
        </w:rPr>
        <w:t>50359395</w:t>
      </w:r>
      <w:r w:rsidR="0011663F" w:rsidRPr="005D439E">
        <w:rPr>
          <w:lang w:val="fr-CA"/>
        </w:rPr>
        <w:t xml:space="preserve">; </w:t>
      </w:r>
      <w:r w:rsidR="0011663F" w:rsidRPr="005D439E">
        <w:rPr>
          <w:i/>
          <w:lang w:val="fr-CA"/>
        </w:rPr>
        <w:t>Ville de Saguenay c. Construction Unibec inc.</w:t>
      </w:r>
      <w:r w:rsidR="000E1555" w:rsidRPr="005D439E">
        <w:rPr>
          <w:lang w:val="fr-CA"/>
        </w:rPr>
        <w:t>, 2019 QCCA 38</w:t>
      </w:r>
      <w:r w:rsidR="0011663F" w:rsidRPr="005D439E">
        <w:rPr>
          <w:lang w:val="fr-CA"/>
        </w:rPr>
        <w:t>;</w:t>
      </w:r>
      <w:r w:rsidR="0011663F" w:rsidRPr="005D439E">
        <w:rPr>
          <w:i/>
          <w:szCs w:val="24"/>
          <w:lang w:val="fr-CA"/>
        </w:rPr>
        <w:t xml:space="preserve"> Québec</w:t>
      </w:r>
      <w:r w:rsidR="000E1555" w:rsidRPr="005D439E">
        <w:rPr>
          <w:i/>
          <w:szCs w:val="24"/>
          <w:lang w:val="fr-CA"/>
        </w:rPr>
        <w:t xml:space="preserve"> (Ville)</w:t>
      </w:r>
      <w:r w:rsidR="0011663F" w:rsidRPr="005D439E">
        <w:rPr>
          <w:i/>
          <w:szCs w:val="24"/>
          <w:lang w:val="fr-CA"/>
        </w:rPr>
        <w:t xml:space="preserve"> c. GM Développement inc.</w:t>
      </w:r>
      <w:r w:rsidR="000E1555" w:rsidRPr="005D439E">
        <w:rPr>
          <w:szCs w:val="24"/>
          <w:lang w:val="fr-CA"/>
        </w:rPr>
        <w:t>, 2017 QCCA 385</w:t>
      </w:r>
      <w:r w:rsidR="00180C9F" w:rsidRPr="005D439E">
        <w:rPr>
          <w:szCs w:val="24"/>
          <w:lang w:val="fr-CA"/>
        </w:rPr>
        <w:t>, 72 M.P.L.R</w:t>
      </w:r>
      <w:r w:rsidR="000D535B">
        <w:rPr>
          <w:szCs w:val="24"/>
          <w:lang w:val="fr-CA"/>
        </w:rPr>
        <w:t>.</w:t>
      </w:r>
      <w:r w:rsidR="00180C9F" w:rsidRPr="005D439E">
        <w:rPr>
          <w:szCs w:val="24"/>
          <w:lang w:val="fr-CA"/>
        </w:rPr>
        <w:t xml:space="preserve"> (5th) 203</w:t>
      </w:r>
      <w:r w:rsidR="0011663F" w:rsidRPr="005D439E">
        <w:rPr>
          <w:szCs w:val="24"/>
          <w:lang w:val="fr-CA"/>
        </w:rPr>
        <w:t xml:space="preserve">; </w:t>
      </w:r>
      <w:r w:rsidR="0011663F" w:rsidRPr="005D439E">
        <w:rPr>
          <w:i/>
          <w:lang w:val="fr-CA"/>
        </w:rPr>
        <w:t>Lacroix &amp; Fils ltée</w:t>
      </w:r>
      <w:r w:rsidR="000463C6" w:rsidRPr="005D439E">
        <w:rPr>
          <w:i/>
          <w:lang w:val="fr-CA"/>
        </w:rPr>
        <w:t xml:space="preserve"> c. Carleton</w:t>
      </w:r>
      <w:r w:rsidR="00BD1DD7" w:rsidRPr="005D439E">
        <w:rPr>
          <w:i/>
          <w:lang w:val="fr-CA"/>
        </w:rPr>
        <w:noBreakHyphen/>
      </w:r>
      <w:r w:rsidR="000463C6" w:rsidRPr="005D439E">
        <w:rPr>
          <w:i/>
          <w:lang w:val="fr-CA"/>
        </w:rPr>
        <w:t>sur</w:t>
      </w:r>
      <w:r w:rsidR="00BD1DD7" w:rsidRPr="005D439E">
        <w:rPr>
          <w:i/>
          <w:lang w:val="fr-CA"/>
        </w:rPr>
        <w:noBreakHyphen/>
      </w:r>
      <w:r w:rsidR="000463C6" w:rsidRPr="005D439E">
        <w:rPr>
          <w:i/>
          <w:lang w:val="fr-CA"/>
        </w:rPr>
        <w:t>Mer (Ville)</w:t>
      </w:r>
      <w:r w:rsidR="0011663F" w:rsidRPr="005D439E">
        <w:rPr>
          <w:lang w:val="fr-CA"/>
        </w:rPr>
        <w:t>, 2014 QCCA 1345</w:t>
      </w:r>
      <w:r w:rsidR="000E1555" w:rsidRPr="005D439E">
        <w:rPr>
          <w:lang w:val="fr-CA"/>
        </w:rPr>
        <w:t>, 27 M.P.L.R. (5th) 10</w:t>
      </w:r>
      <w:r w:rsidR="0011663F" w:rsidRPr="005D439E">
        <w:rPr>
          <w:lang w:val="fr-CA"/>
        </w:rPr>
        <w:t xml:space="preserve">; </w:t>
      </w:r>
      <w:r w:rsidR="0011663F" w:rsidRPr="005D439E">
        <w:rPr>
          <w:i/>
          <w:lang w:val="fr-CA"/>
        </w:rPr>
        <w:t>Montréal (Ville</w:t>
      </w:r>
      <w:r w:rsidR="00F853B5" w:rsidRPr="005D439E">
        <w:rPr>
          <w:i/>
          <w:lang w:val="fr-CA"/>
        </w:rPr>
        <w:t xml:space="preserve"> de</w:t>
      </w:r>
      <w:r w:rsidR="0011663F" w:rsidRPr="005D439E">
        <w:rPr>
          <w:i/>
          <w:lang w:val="fr-CA"/>
        </w:rPr>
        <w:t>) c. St</w:t>
      </w:r>
      <w:r w:rsidR="00BD1DD7" w:rsidRPr="005D439E">
        <w:rPr>
          <w:i/>
          <w:lang w:val="fr-CA"/>
        </w:rPr>
        <w:noBreakHyphen/>
      </w:r>
      <w:r w:rsidR="0011663F" w:rsidRPr="005D439E">
        <w:rPr>
          <w:i/>
          <w:lang w:val="fr-CA"/>
        </w:rPr>
        <w:t>Pierre (Succession</w:t>
      </w:r>
      <w:r w:rsidR="00F853B5" w:rsidRPr="005D439E">
        <w:rPr>
          <w:i/>
          <w:lang w:val="fr-CA"/>
        </w:rPr>
        <w:t xml:space="preserve"> de</w:t>
      </w:r>
      <w:r w:rsidR="0011663F" w:rsidRPr="005D439E">
        <w:rPr>
          <w:i/>
          <w:lang w:val="fr-CA"/>
        </w:rPr>
        <w:t>)</w:t>
      </w:r>
      <w:r w:rsidR="0011663F" w:rsidRPr="005D439E">
        <w:rPr>
          <w:lang w:val="fr-CA"/>
        </w:rPr>
        <w:t>, 2008 QCCA 2329</w:t>
      </w:r>
      <w:r w:rsidR="000E1555" w:rsidRPr="005D439E">
        <w:rPr>
          <w:lang w:val="fr-CA"/>
        </w:rPr>
        <w:t xml:space="preserve">, </w:t>
      </w:r>
      <w:r w:rsidR="000E1555" w:rsidRPr="005D439E">
        <w:rPr>
          <w:lang w:val="fr-CA" w:eastAsia="ko-KR"/>
        </w:rPr>
        <w:t>[2009] R.J.Q. 54</w:t>
      </w:r>
      <w:r w:rsidR="0011663F" w:rsidRPr="005D439E">
        <w:rPr>
          <w:lang w:val="fr-CA"/>
        </w:rPr>
        <w:t xml:space="preserve">; </w:t>
      </w:r>
      <w:r w:rsidR="0011663F" w:rsidRPr="005D439E">
        <w:rPr>
          <w:i/>
          <w:lang w:val="fr-CA"/>
        </w:rPr>
        <w:t>Habitations de la Rive</w:t>
      </w:r>
      <w:r w:rsidR="00BD1DD7" w:rsidRPr="005D439E">
        <w:rPr>
          <w:i/>
          <w:lang w:val="fr-CA"/>
        </w:rPr>
        <w:noBreakHyphen/>
      </w:r>
      <w:r w:rsidR="0011663F" w:rsidRPr="005D439E">
        <w:rPr>
          <w:i/>
          <w:lang w:val="fr-CA"/>
        </w:rPr>
        <w:t>Nord inc. c. Repentigny (Ville)</w:t>
      </w:r>
      <w:r w:rsidR="000E1555" w:rsidRPr="005D439E">
        <w:rPr>
          <w:lang w:val="fr-CA"/>
        </w:rPr>
        <w:t>, 2001 CanLII 10048</w:t>
      </w:r>
      <w:r w:rsidR="0011663F" w:rsidRPr="005D439E">
        <w:rPr>
          <w:lang w:val="fr-CA"/>
        </w:rPr>
        <w:t xml:space="preserve">; </w:t>
      </w:r>
      <w:r w:rsidR="0011663F" w:rsidRPr="005D439E">
        <w:rPr>
          <w:i/>
          <w:shd w:val="clear" w:color="auto" w:fill="FFFFFF"/>
          <w:lang w:val="fr-CA"/>
        </w:rPr>
        <w:t>Rouleau c. Canada (P</w:t>
      </w:r>
      <w:r w:rsidR="000E1555" w:rsidRPr="005D439E">
        <w:rPr>
          <w:i/>
          <w:shd w:val="clear" w:color="auto" w:fill="FFFFFF"/>
          <w:lang w:val="fr-CA"/>
        </w:rPr>
        <w:t>rocureur général</w:t>
      </w:r>
      <w:r w:rsidR="0011663F" w:rsidRPr="005D439E">
        <w:rPr>
          <w:i/>
          <w:shd w:val="clear" w:color="auto" w:fill="FFFFFF"/>
          <w:lang w:val="fr-CA"/>
        </w:rPr>
        <w:t>)</w:t>
      </w:r>
      <w:r w:rsidR="0011663F" w:rsidRPr="005D439E">
        <w:rPr>
          <w:shd w:val="clear" w:color="auto" w:fill="FFFFFF"/>
          <w:lang w:val="fr-CA"/>
        </w:rPr>
        <w:t xml:space="preserve">, 2016 QCCS 4887; </w:t>
      </w:r>
      <w:r w:rsidR="0011663F" w:rsidRPr="005D439E">
        <w:rPr>
          <w:i/>
          <w:shd w:val="clear" w:color="auto" w:fill="FFFFFF"/>
          <w:lang w:val="fr-CA"/>
        </w:rPr>
        <w:t>Langevin c. Mercier</w:t>
      </w:r>
      <w:r w:rsidR="0011663F" w:rsidRPr="005D439E">
        <w:rPr>
          <w:shd w:val="clear" w:color="auto" w:fill="FFFFFF"/>
          <w:lang w:val="fr-CA"/>
        </w:rPr>
        <w:t xml:space="preserve">, 2010 QCCA 1763; </w:t>
      </w:r>
      <w:r w:rsidR="0011663F" w:rsidRPr="005D439E">
        <w:rPr>
          <w:i/>
          <w:shd w:val="clear" w:color="auto" w:fill="FFFFFF"/>
          <w:lang w:val="fr-CA"/>
        </w:rPr>
        <w:t>Boucher c. Développements Terriglobe inc.</w:t>
      </w:r>
      <w:r w:rsidR="0011663F" w:rsidRPr="005D439E">
        <w:rPr>
          <w:shd w:val="clear" w:color="auto" w:fill="FFFFFF"/>
          <w:lang w:val="fr-CA"/>
        </w:rPr>
        <w:t xml:space="preserve">, </w:t>
      </w:r>
      <w:r w:rsidR="000E1555" w:rsidRPr="005D439E">
        <w:rPr>
          <w:rFonts w:hint="eastAsia"/>
          <w:shd w:val="clear" w:color="auto" w:fill="FFFFFF"/>
          <w:lang w:val="fr-CA" w:eastAsia="ko-KR"/>
        </w:rPr>
        <w:t>[</w:t>
      </w:r>
      <w:r w:rsidR="0011663F" w:rsidRPr="005D439E">
        <w:rPr>
          <w:shd w:val="clear" w:color="auto" w:fill="FFFFFF"/>
          <w:lang w:val="fr-CA"/>
        </w:rPr>
        <w:t>2001</w:t>
      </w:r>
      <w:r w:rsidR="000E1555" w:rsidRPr="005D439E">
        <w:rPr>
          <w:shd w:val="clear" w:color="auto" w:fill="FFFFFF"/>
          <w:lang w:val="fr-CA"/>
        </w:rPr>
        <w:t>] R.D.I. 213;</w:t>
      </w:r>
      <w:r w:rsidR="0011663F" w:rsidRPr="005D439E">
        <w:rPr>
          <w:shd w:val="clear" w:color="auto" w:fill="FFFFFF"/>
          <w:lang w:val="fr-CA"/>
        </w:rPr>
        <w:t xml:space="preserve"> </w:t>
      </w:r>
      <w:r w:rsidR="0011663F" w:rsidRPr="005D439E">
        <w:rPr>
          <w:i/>
          <w:shd w:val="clear" w:color="auto" w:fill="FFFFFF"/>
          <w:lang w:val="fr-CA"/>
        </w:rPr>
        <w:t>Fortier c. Compagnie d’arrimage de Québec ltée</w:t>
      </w:r>
      <w:r w:rsidR="0011663F" w:rsidRPr="005D439E">
        <w:rPr>
          <w:shd w:val="clear" w:color="auto" w:fill="FFFFFF"/>
          <w:lang w:val="fr-CA"/>
        </w:rPr>
        <w:t>,</w:t>
      </w:r>
      <w:r w:rsidR="0011663F" w:rsidRPr="005D439E">
        <w:rPr>
          <w:i/>
          <w:shd w:val="clear" w:color="auto" w:fill="FFFFFF"/>
          <w:lang w:val="fr-CA"/>
        </w:rPr>
        <w:t xml:space="preserve"> </w:t>
      </w:r>
      <w:r w:rsidR="0011663F" w:rsidRPr="005D439E">
        <w:rPr>
          <w:shd w:val="clear" w:color="auto" w:fill="FFFFFF"/>
          <w:lang w:val="fr-CA"/>
        </w:rPr>
        <w:t xml:space="preserve">2014 QCCS 1984; </w:t>
      </w:r>
      <w:r w:rsidR="0011663F" w:rsidRPr="005D439E">
        <w:rPr>
          <w:i/>
          <w:shd w:val="clear" w:color="auto" w:fill="FFFFFF"/>
          <w:lang w:val="fr-CA"/>
        </w:rPr>
        <w:t>Hakim c. Guse</w:t>
      </w:r>
      <w:r w:rsidR="0011663F" w:rsidRPr="005D439E">
        <w:rPr>
          <w:shd w:val="clear" w:color="auto" w:fill="FFFFFF"/>
          <w:lang w:val="fr-CA"/>
        </w:rPr>
        <w:t xml:space="preserve">, 2013 QCCS 1020; </w:t>
      </w:r>
      <w:r w:rsidR="0011663F" w:rsidRPr="005D439E">
        <w:rPr>
          <w:i/>
          <w:shd w:val="clear" w:color="auto" w:fill="FFFFFF"/>
          <w:lang w:val="fr-CA"/>
        </w:rPr>
        <w:t>9112</w:t>
      </w:r>
      <w:r w:rsidR="00BD1DD7" w:rsidRPr="005D439E">
        <w:rPr>
          <w:i/>
          <w:shd w:val="clear" w:color="auto" w:fill="FFFFFF"/>
          <w:lang w:val="fr-CA"/>
        </w:rPr>
        <w:noBreakHyphen/>
      </w:r>
      <w:r w:rsidR="0011663F" w:rsidRPr="005D439E">
        <w:rPr>
          <w:i/>
          <w:shd w:val="clear" w:color="auto" w:fill="FFFFFF"/>
          <w:lang w:val="fr-CA"/>
        </w:rPr>
        <w:t>2648 Québec inc. c. Cauchon et associés inc.</w:t>
      </w:r>
      <w:r w:rsidR="0089213A" w:rsidRPr="005D439E">
        <w:rPr>
          <w:shd w:val="clear" w:color="auto" w:fill="FFFFFF"/>
          <w:lang w:val="fr-CA"/>
        </w:rPr>
        <w:t>, 2005 CanLII 44114</w:t>
      </w:r>
      <w:r w:rsidR="0011663F" w:rsidRPr="005D439E">
        <w:rPr>
          <w:shd w:val="clear" w:color="auto" w:fill="FFFFFF"/>
          <w:lang w:val="fr-CA"/>
        </w:rPr>
        <w:t xml:space="preserve">; </w:t>
      </w:r>
      <w:r w:rsidR="0011663F" w:rsidRPr="005D439E">
        <w:rPr>
          <w:i/>
          <w:shd w:val="clear" w:color="auto" w:fill="FFFFFF"/>
          <w:lang w:val="fr-CA"/>
        </w:rPr>
        <w:t>Marcotte c. Longueuil</w:t>
      </w:r>
      <w:r w:rsidR="00C50ECE" w:rsidRPr="005D439E">
        <w:rPr>
          <w:i/>
          <w:shd w:val="clear" w:color="auto" w:fill="FFFFFF"/>
          <w:lang w:val="fr-CA"/>
        </w:rPr>
        <w:t xml:space="preserve"> (Ville)</w:t>
      </w:r>
      <w:r w:rsidR="000E1555" w:rsidRPr="005D439E">
        <w:rPr>
          <w:shd w:val="clear" w:color="auto" w:fill="FFFFFF"/>
          <w:lang w:val="fr-CA"/>
        </w:rPr>
        <w:t>, 2009 CSC 43, [2009] 3 R.C.S. 65</w:t>
      </w:r>
      <w:r w:rsidR="0011663F" w:rsidRPr="005D439E">
        <w:rPr>
          <w:shd w:val="clear" w:color="auto" w:fill="FFFFFF"/>
          <w:lang w:val="fr-CA"/>
        </w:rPr>
        <w:t xml:space="preserve">; </w:t>
      </w:r>
      <w:r w:rsidR="006C51E6" w:rsidRPr="005D439E">
        <w:rPr>
          <w:i/>
          <w:shd w:val="clear" w:color="auto" w:fill="FFFFFF"/>
          <w:lang w:val="fr-CA"/>
        </w:rPr>
        <w:t>Banque Amex du Canada</w:t>
      </w:r>
      <w:r w:rsidR="00810257" w:rsidRPr="005D439E">
        <w:rPr>
          <w:i/>
          <w:lang w:val="fr-CA"/>
        </w:rPr>
        <w:t xml:space="preserve"> c. Adams</w:t>
      </w:r>
      <w:r w:rsidR="00810257" w:rsidRPr="005D439E">
        <w:rPr>
          <w:lang w:val="fr-CA"/>
        </w:rPr>
        <w:t>, 2014 CSC 56,</w:t>
      </w:r>
      <w:r w:rsidR="000E1555" w:rsidRPr="005D439E">
        <w:rPr>
          <w:lang w:val="fr-CA"/>
        </w:rPr>
        <w:t xml:space="preserve"> [2014] 2 R.C.S. 787</w:t>
      </w:r>
      <w:r w:rsidR="00810257" w:rsidRPr="005D439E">
        <w:rPr>
          <w:lang w:val="fr-CA"/>
        </w:rPr>
        <w:t xml:space="preserve">; </w:t>
      </w:r>
      <w:r w:rsidR="00810257" w:rsidRPr="005D439E">
        <w:rPr>
          <w:i/>
          <w:lang w:val="fr-CA"/>
        </w:rPr>
        <w:t>Fortin c. Chrétien</w:t>
      </w:r>
      <w:r w:rsidR="00810257" w:rsidRPr="005D439E">
        <w:rPr>
          <w:lang w:val="fr-CA"/>
        </w:rPr>
        <w:t>, 2001 CSC 45</w:t>
      </w:r>
      <w:r w:rsidR="008A3DE2" w:rsidRPr="005D439E">
        <w:rPr>
          <w:lang w:val="fr-CA"/>
        </w:rPr>
        <w:t>, [2001] 2 R.C.S. 500</w:t>
      </w:r>
      <w:r w:rsidR="00810257" w:rsidRPr="005D439E">
        <w:rPr>
          <w:lang w:val="fr-CA"/>
        </w:rPr>
        <w:t xml:space="preserve">; </w:t>
      </w:r>
      <w:r w:rsidR="001A4EA8" w:rsidRPr="005D439E">
        <w:rPr>
          <w:i/>
          <w:lang w:val="fr-CA"/>
        </w:rPr>
        <w:t>Air Canada c. Cité de Dorval</w:t>
      </w:r>
      <w:r w:rsidR="008A3DE2" w:rsidRPr="005D439E">
        <w:rPr>
          <w:lang w:val="fr-CA"/>
        </w:rPr>
        <w:t>, [1985] 1 R.C.S. 861</w:t>
      </w:r>
      <w:r w:rsidR="001A4EA8" w:rsidRPr="005D439E">
        <w:rPr>
          <w:lang w:val="fr-CA"/>
        </w:rPr>
        <w:t xml:space="preserve">; </w:t>
      </w:r>
      <w:r w:rsidR="001A4EA8" w:rsidRPr="005D439E">
        <w:rPr>
          <w:i/>
          <w:lang w:val="fr-CA"/>
        </w:rPr>
        <w:t>Silver’s Garage Ltd. c. Town of Bridgewater</w:t>
      </w:r>
      <w:r w:rsidR="001A4EA8" w:rsidRPr="005D439E">
        <w:rPr>
          <w:lang w:val="fr-CA"/>
        </w:rPr>
        <w:t xml:space="preserve">, [1971] R.C.S. 577; </w:t>
      </w:r>
      <w:r w:rsidR="001A4EA8" w:rsidRPr="005D439E">
        <w:rPr>
          <w:i/>
          <w:lang w:val="fr-CA"/>
        </w:rPr>
        <w:t>Poulin De Courval c. Poliquin</w:t>
      </w:r>
      <w:r w:rsidR="001A4EA8" w:rsidRPr="005D439E">
        <w:rPr>
          <w:lang w:val="fr-CA"/>
        </w:rPr>
        <w:t>,</w:t>
      </w:r>
      <w:r w:rsidR="001A4EA8" w:rsidRPr="005D439E">
        <w:rPr>
          <w:i/>
          <w:lang w:val="fr-CA"/>
        </w:rPr>
        <w:t xml:space="preserve"> </w:t>
      </w:r>
      <w:r w:rsidR="001A4EA8" w:rsidRPr="005D439E">
        <w:rPr>
          <w:lang w:val="fr-CA"/>
        </w:rPr>
        <w:t xml:space="preserve">2018 QCCA 1534; </w:t>
      </w:r>
      <w:r w:rsidR="008A3DE2" w:rsidRPr="005D439E">
        <w:rPr>
          <w:i/>
          <w:lang w:val="fr-CA"/>
        </w:rPr>
        <w:lastRenderedPageBreak/>
        <w:t>Amar</w:t>
      </w:r>
      <w:r w:rsidR="001A4EA8" w:rsidRPr="005D439E">
        <w:rPr>
          <w:i/>
          <w:lang w:val="fr-CA"/>
        </w:rPr>
        <w:t xml:space="preserve"> c. Dollard</w:t>
      </w:r>
      <w:r w:rsidR="00BD1DD7" w:rsidRPr="005D439E">
        <w:rPr>
          <w:i/>
          <w:lang w:val="fr-CA"/>
        </w:rPr>
        <w:noBreakHyphen/>
      </w:r>
      <w:r w:rsidR="001A4EA8" w:rsidRPr="005D439E">
        <w:rPr>
          <w:i/>
          <w:lang w:val="fr-CA"/>
        </w:rPr>
        <w:t>des</w:t>
      </w:r>
      <w:r w:rsidR="00BD1DD7" w:rsidRPr="005D439E">
        <w:rPr>
          <w:i/>
          <w:lang w:val="fr-CA"/>
        </w:rPr>
        <w:noBreakHyphen/>
      </w:r>
      <w:r w:rsidR="001A4EA8" w:rsidRPr="005D439E">
        <w:rPr>
          <w:i/>
          <w:lang w:val="fr-CA"/>
        </w:rPr>
        <w:t>Ormeaux (Ville)</w:t>
      </w:r>
      <w:r w:rsidR="001A4EA8" w:rsidRPr="005D439E">
        <w:rPr>
          <w:lang w:val="fr-CA"/>
        </w:rPr>
        <w:t>, 2014 QCCA 76,</w:t>
      </w:r>
      <w:r w:rsidR="008A3DE2" w:rsidRPr="005D439E">
        <w:rPr>
          <w:lang w:val="fr-CA"/>
        </w:rPr>
        <w:t xml:space="preserve"> 18 M.P.L.R. (5th) 277</w:t>
      </w:r>
      <w:r w:rsidR="001A4EA8" w:rsidRPr="005D439E">
        <w:rPr>
          <w:lang w:val="fr-CA"/>
        </w:rPr>
        <w:t xml:space="preserve">; </w:t>
      </w:r>
      <w:r w:rsidR="001A4EA8" w:rsidRPr="005D439E">
        <w:rPr>
          <w:i/>
          <w:lang w:val="fr-CA"/>
        </w:rPr>
        <w:t>Belœil (Ville de) c. Gestion Gabriel Borduas inc.</w:t>
      </w:r>
      <w:r w:rsidR="001A4EA8" w:rsidRPr="005D439E">
        <w:rPr>
          <w:lang w:val="fr-CA"/>
        </w:rPr>
        <w:t xml:space="preserve">, 2014 QCCA 238; </w:t>
      </w:r>
      <w:r w:rsidR="001A4EA8" w:rsidRPr="005D439E">
        <w:rPr>
          <w:i/>
          <w:lang w:val="fr-CA"/>
        </w:rPr>
        <w:t>9129</w:t>
      </w:r>
      <w:r w:rsidR="00BD1DD7" w:rsidRPr="005D439E">
        <w:rPr>
          <w:i/>
          <w:lang w:val="fr-CA"/>
        </w:rPr>
        <w:noBreakHyphen/>
      </w:r>
      <w:r w:rsidR="001A4EA8" w:rsidRPr="005D439E">
        <w:rPr>
          <w:i/>
          <w:lang w:val="fr-CA"/>
        </w:rPr>
        <w:t>6111 Qu</w:t>
      </w:r>
      <w:r w:rsidR="00161844" w:rsidRPr="005D439E">
        <w:rPr>
          <w:i/>
          <w:lang w:val="fr-CA"/>
        </w:rPr>
        <w:t>ébec inc. c. Longueuil (Ville</w:t>
      </w:r>
      <w:r w:rsidR="001A4EA8" w:rsidRPr="005D439E">
        <w:rPr>
          <w:i/>
          <w:lang w:val="fr-CA"/>
        </w:rPr>
        <w:t>)</w:t>
      </w:r>
      <w:r w:rsidR="00297517" w:rsidRPr="005D439E">
        <w:rPr>
          <w:lang w:val="fr-CA"/>
        </w:rPr>
        <w:t>, 2010 QCCA 2265, 21 Admin L.R. (5th) 320</w:t>
      </w:r>
      <w:r w:rsidR="001A4EA8" w:rsidRPr="005D439E">
        <w:rPr>
          <w:lang w:val="fr-CA"/>
        </w:rPr>
        <w:t xml:space="preserve">; </w:t>
      </w:r>
      <w:r w:rsidR="0015515B" w:rsidRPr="005D439E">
        <w:rPr>
          <w:i/>
          <w:lang w:val="fr-CA"/>
        </w:rPr>
        <w:t>Cité de St</w:t>
      </w:r>
      <w:r w:rsidR="00BD1DD7" w:rsidRPr="005D439E">
        <w:rPr>
          <w:i/>
          <w:lang w:val="fr-CA"/>
        </w:rPr>
        <w:noBreakHyphen/>
      </w:r>
      <w:r w:rsidR="0015515B" w:rsidRPr="005D439E">
        <w:rPr>
          <w:i/>
          <w:lang w:val="fr-CA"/>
        </w:rPr>
        <w:t>Romuald d’Etchemin</w:t>
      </w:r>
      <w:r w:rsidR="00297517" w:rsidRPr="005D439E">
        <w:rPr>
          <w:i/>
          <w:lang w:val="fr-CA"/>
        </w:rPr>
        <w:t xml:space="preserve"> </w:t>
      </w:r>
      <w:r w:rsidR="001A4EA8" w:rsidRPr="005D439E">
        <w:rPr>
          <w:i/>
          <w:lang w:val="fr-CA"/>
        </w:rPr>
        <w:t>c</w:t>
      </w:r>
      <w:r w:rsidR="00297517" w:rsidRPr="005D439E">
        <w:rPr>
          <w:i/>
          <w:lang w:val="fr-CA"/>
        </w:rPr>
        <w:t>. S.A.F. Construction i</w:t>
      </w:r>
      <w:r w:rsidR="001A4EA8" w:rsidRPr="005D439E">
        <w:rPr>
          <w:i/>
          <w:lang w:val="fr-CA"/>
        </w:rPr>
        <w:t>nc.</w:t>
      </w:r>
      <w:r w:rsidR="001A4EA8" w:rsidRPr="005D439E">
        <w:rPr>
          <w:lang w:val="fr-CA"/>
        </w:rPr>
        <w:t xml:space="preserve">, [1974] C.A. 411; </w:t>
      </w:r>
      <w:r w:rsidR="00126F7E" w:rsidRPr="005D439E">
        <w:rPr>
          <w:i/>
          <w:lang w:val="fr-CA"/>
        </w:rPr>
        <w:t>Bourque c. Hull (Cité</w:t>
      </w:r>
      <w:r w:rsidR="001A4EA8" w:rsidRPr="005D439E">
        <w:rPr>
          <w:i/>
          <w:lang w:val="fr-CA"/>
        </w:rPr>
        <w:t>)</w:t>
      </w:r>
      <w:r w:rsidR="001A4EA8" w:rsidRPr="005D439E">
        <w:rPr>
          <w:lang w:val="fr-CA"/>
        </w:rPr>
        <w:t xml:space="preserve"> (1920)</w:t>
      </w:r>
      <w:r w:rsidR="0006131C" w:rsidRPr="005D439E">
        <w:rPr>
          <w:lang w:val="fr-CA"/>
        </w:rPr>
        <w:t>,</w:t>
      </w:r>
      <w:r w:rsidR="001A4EA8" w:rsidRPr="005D439E">
        <w:rPr>
          <w:lang w:val="fr-CA"/>
        </w:rPr>
        <w:t xml:space="preserve"> 30 B.R. 221; </w:t>
      </w:r>
      <w:r w:rsidR="001A4EA8" w:rsidRPr="005D439E">
        <w:rPr>
          <w:i/>
          <w:iCs/>
          <w:szCs w:val="24"/>
          <w:lang w:val="fr-CA"/>
        </w:rPr>
        <w:t xml:space="preserve">Verreault </w:t>
      </w:r>
      <w:r w:rsidR="00702E67" w:rsidRPr="005D439E">
        <w:rPr>
          <w:i/>
          <w:iCs/>
          <w:szCs w:val="24"/>
          <w:lang w:val="fr-CA"/>
        </w:rPr>
        <w:t xml:space="preserve">(J.E.) </w:t>
      </w:r>
      <w:r w:rsidR="001A4EA8" w:rsidRPr="005D439E">
        <w:rPr>
          <w:i/>
          <w:iCs/>
          <w:szCs w:val="24"/>
          <w:lang w:val="fr-CA"/>
        </w:rPr>
        <w:t xml:space="preserve">&amp; Fils </w:t>
      </w:r>
      <w:r w:rsidR="00702E67" w:rsidRPr="005D439E">
        <w:rPr>
          <w:i/>
          <w:iCs/>
          <w:szCs w:val="24"/>
          <w:lang w:val="fr-CA"/>
        </w:rPr>
        <w:t xml:space="preserve">Ltée </w:t>
      </w:r>
      <w:r w:rsidR="001A4EA8" w:rsidRPr="005D439E">
        <w:rPr>
          <w:i/>
          <w:szCs w:val="24"/>
          <w:lang w:val="fr-CA"/>
        </w:rPr>
        <w:t>c.</w:t>
      </w:r>
      <w:r w:rsidR="001A4EA8" w:rsidRPr="005D439E">
        <w:rPr>
          <w:szCs w:val="24"/>
          <w:lang w:val="fr-CA"/>
        </w:rPr>
        <w:t xml:space="preserve"> </w:t>
      </w:r>
      <w:r w:rsidR="00702E67" w:rsidRPr="005D439E">
        <w:rPr>
          <w:i/>
          <w:szCs w:val="24"/>
          <w:lang w:val="fr-CA"/>
        </w:rPr>
        <w:t>Procureur général de la province de</w:t>
      </w:r>
      <w:r w:rsidR="001A4EA8" w:rsidRPr="005D439E">
        <w:rPr>
          <w:i/>
          <w:iCs/>
          <w:szCs w:val="24"/>
          <w:lang w:val="fr-CA"/>
        </w:rPr>
        <w:t xml:space="preserve"> Québec, </w:t>
      </w:r>
      <w:r w:rsidR="001A4EA8" w:rsidRPr="005D439E">
        <w:rPr>
          <w:szCs w:val="24"/>
          <w:lang w:val="fr-CA"/>
        </w:rPr>
        <w:t xml:space="preserve">[1977] 1 R.C.S. 41; </w:t>
      </w:r>
      <w:r w:rsidR="001A4EA8" w:rsidRPr="005D439E">
        <w:rPr>
          <w:i/>
          <w:iCs/>
          <w:lang w:val="fr-CA"/>
        </w:rPr>
        <w:t>Immeubles Beaurom ltée c. Montréal (Ville</w:t>
      </w:r>
      <w:r w:rsidR="00902AE8" w:rsidRPr="005D439E">
        <w:rPr>
          <w:i/>
          <w:iCs/>
          <w:lang w:val="fr-CA"/>
        </w:rPr>
        <w:t xml:space="preserve"> de</w:t>
      </w:r>
      <w:r w:rsidR="001A4EA8" w:rsidRPr="005D439E">
        <w:rPr>
          <w:i/>
          <w:iCs/>
          <w:lang w:val="fr-CA"/>
        </w:rPr>
        <w:t>)</w:t>
      </w:r>
      <w:r w:rsidR="001A4EA8" w:rsidRPr="005D439E">
        <w:rPr>
          <w:lang w:val="fr-CA"/>
        </w:rPr>
        <w:t>, 2007 QCCA 41,</w:t>
      </w:r>
      <w:r w:rsidR="00297517" w:rsidRPr="005D439E">
        <w:rPr>
          <w:lang w:val="fr-CA"/>
        </w:rPr>
        <w:t xml:space="preserve"> </w:t>
      </w:r>
      <w:r w:rsidR="00297517" w:rsidRPr="005D439E">
        <w:rPr>
          <w:rFonts w:hint="eastAsia"/>
          <w:lang w:val="fr-CA" w:eastAsia="ko-KR"/>
        </w:rPr>
        <w:t>[</w:t>
      </w:r>
      <w:r w:rsidR="00297517" w:rsidRPr="005D439E">
        <w:rPr>
          <w:lang w:val="fr-CA" w:eastAsia="ko-KR"/>
        </w:rPr>
        <w:t>2007</w:t>
      </w:r>
      <w:r w:rsidR="00297517" w:rsidRPr="005D439E">
        <w:rPr>
          <w:rFonts w:hint="eastAsia"/>
          <w:lang w:val="fr-CA" w:eastAsia="ko-KR"/>
        </w:rPr>
        <w:t>]</w:t>
      </w:r>
      <w:r w:rsidR="00297517" w:rsidRPr="005D439E">
        <w:rPr>
          <w:lang w:val="fr-CA" w:eastAsia="ko-KR"/>
        </w:rPr>
        <w:t xml:space="preserve"> R.D.I. 26</w:t>
      </w:r>
      <w:r w:rsidR="001A4EA8" w:rsidRPr="005D439E">
        <w:rPr>
          <w:lang w:val="fr-CA"/>
        </w:rPr>
        <w:t xml:space="preserve">; </w:t>
      </w:r>
      <w:r w:rsidR="00500E05" w:rsidRPr="005D439E">
        <w:rPr>
          <w:i/>
          <w:iCs/>
          <w:lang w:val="fr-CA"/>
        </w:rPr>
        <w:t>Aylmer (Ville) c. 174736 Canada inc.</w:t>
      </w:r>
      <w:r w:rsidR="00500E05" w:rsidRPr="005D439E">
        <w:rPr>
          <w:lang w:val="fr-CA"/>
        </w:rPr>
        <w:t>, 1997 CanLII 10176</w:t>
      </w:r>
      <w:r w:rsidR="001A4EA8" w:rsidRPr="005D439E">
        <w:rPr>
          <w:lang w:val="fr-CA"/>
        </w:rPr>
        <w:t xml:space="preserve">; </w:t>
      </w:r>
      <w:r w:rsidR="001A4EA8" w:rsidRPr="005D439E">
        <w:rPr>
          <w:i/>
          <w:iCs/>
          <w:lang w:val="fr-CA"/>
        </w:rPr>
        <w:t>Banque de Nouvelle</w:t>
      </w:r>
      <w:r w:rsidR="00BD1DD7" w:rsidRPr="005D439E">
        <w:rPr>
          <w:i/>
          <w:iCs/>
          <w:lang w:val="fr-CA"/>
        </w:rPr>
        <w:noBreakHyphen/>
      </w:r>
      <w:r w:rsidR="001A4EA8" w:rsidRPr="005D439E">
        <w:rPr>
          <w:i/>
          <w:iCs/>
          <w:lang w:val="fr-CA"/>
        </w:rPr>
        <w:t>Écosse (Banque Scotia) c. Ville de Drummondville</w:t>
      </w:r>
      <w:r w:rsidR="00C201DF" w:rsidRPr="005D439E">
        <w:rPr>
          <w:lang w:val="fr-CA"/>
        </w:rPr>
        <w:t>, 2018 QCCS 5053</w:t>
      </w:r>
      <w:r w:rsidR="001A4EA8" w:rsidRPr="005D439E">
        <w:rPr>
          <w:lang w:val="fr-CA"/>
        </w:rPr>
        <w:t xml:space="preserve">; </w:t>
      </w:r>
      <w:r w:rsidR="001A4EA8" w:rsidRPr="005D439E">
        <w:rPr>
          <w:i/>
          <w:lang w:val="fr-CA"/>
        </w:rPr>
        <w:t>Québec (Agence du revenu) c. Services Environnementaux AES inc.</w:t>
      </w:r>
      <w:r w:rsidR="001A4EA8" w:rsidRPr="005D439E">
        <w:rPr>
          <w:lang w:val="fr-CA"/>
        </w:rPr>
        <w:t xml:space="preserve">, 2013 CSC 65, [2013] 3 R.C.S. 838; </w:t>
      </w:r>
      <w:r w:rsidR="001A4EA8" w:rsidRPr="005D439E">
        <w:rPr>
          <w:i/>
          <w:lang w:val="fr-CA"/>
        </w:rPr>
        <w:t>2736</w:t>
      </w:r>
      <w:r w:rsidR="00BD1DD7" w:rsidRPr="005D439E">
        <w:rPr>
          <w:i/>
          <w:lang w:val="fr-CA"/>
        </w:rPr>
        <w:noBreakHyphen/>
      </w:r>
      <w:r w:rsidR="001A4EA8" w:rsidRPr="005D439E">
        <w:rPr>
          <w:i/>
          <w:lang w:val="fr-CA"/>
        </w:rPr>
        <w:t>4694 Québec inc. c. Carleton</w:t>
      </w:r>
      <w:r w:rsidR="008757FB" w:rsidRPr="005D439E">
        <w:rPr>
          <w:i/>
          <w:lang w:val="fr-CA"/>
        </w:rPr>
        <w:t xml:space="preserve"> </w:t>
      </w:r>
      <w:r w:rsidR="009852DA" w:rsidRPr="005D439E">
        <w:rPr>
          <w:i/>
          <w:lang w:val="fr-CA"/>
        </w:rPr>
        <w:t>—</w:t>
      </w:r>
      <w:r w:rsidR="008757FB" w:rsidRPr="005D439E">
        <w:rPr>
          <w:i/>
          <w:lang w:val="fr-CA"/>
        </w:rPr>
        <w:t xml:space="preserve"> </w:t>
      </w:r>
      <w:r w:rsidR="001A4EA8" w:rsidRPr="005D439E">
        <w:rPr>
          <w:i/>
          <w:lang w:val="fr-CA"/>
        </w:rPr>
        <w:t>St</w:t>
      </w:r>
      <w:r w:rsidR="00BD1DD7" w:rsidRPr="005D439E">
        <w:rPr>
          <w:i/>
          <w:lang w:val="fr-CA"/>
        </w:rPr>
        <w:noBreakHyphen/>
      </w:r>
      <w:r w:rsidR="001A4EA8" w:rsidRPr="005D439E">
        <w:rPr>
          <w:i/>
          <w:lang w:val="fr-CA"/>
        </w:rPr>
        <w:t>Omer</w:t>
      </w:r>
      <w:r w:rsidR="008757FB" w:rsidRPr="005D439E">
        <w:rPr>
          <w:i/>
          <w:lang w:val="fr-CA"/>
        </w:rPr>
        <w:t xml:space="preserve"> (Ville de)</w:t>
      </w:r>
      <w:r w:rsidR="001A4EA8" w:rsidRPr="005D439E">
        <w:rPr>
          <w:lang w:val="fr-CA"/>
        </w:rPr>
        <w:t xml:space="preserve">, 2006 QCCS 4726, conf. </w:t>
      </w:r>
      <w:r w:rsidR="00067080" w:rsidRPr="005D439E">
        <w:rPr>
          <w:lang w:val="fr-CA"/>
        </w:rPr>
        <w:t xml:space="preserve">par </w:t>
      </w:r>
      <w:r w:rsidR="001A4EA8" w:rsidRPr="005D439E">
        <w:rPr>
          <w:lang w:val="fr-CA"/>
        </w:rPr>
        <w:t xml:space="preserve">2007 QCCA 1789; </w:t>
      </w:r>
      <w:r w:rsidR="004551C9" w:rsidRPr="005D439E">
        <w:rPr>
          <w:i/>
          <w:lang w:val="fr-CA"/>
        </w:rPr>
        <w:t>Threlfall c. Carleton University</w:t>
      </w:r>
      <w:r w:rsidR="004551C9" w:rsidRPr="005D439E">
        <w:rPr>
          <w:lang w:val="fr-CA"/>
        </w:rPr>
        <w:t>, 2019 CSC 50</w:t>
      </w:r>
      <w:r w:rsidR="007D0A9A">
        <w:rPr>
          <w:lang w:val="fr-CA"/>
        </w:rPr>
        <w:t>, [2019] 3</w:t>
      </w:r>
      <w:r w:rsidR="00C06063">
        <w:rPr>
          <w:lang w:val="fr-CA"/>
        </w:rPr>
        <w:t xml:space="preserve"> R.C.S. xxx</w:t>
      </w:r>
      <w:r w:rsidR="004551C9" w:rsidRPr="005D439E">
        <w:rPr>
          <w:lang w:val="fr-CA"/>
        </w:rPr>
        <w:t xml:space="preserve">; </w:t>
      </w:r>
      <w:r w:rsidR="001A4EA8" w:rsidRPr="005D439E">
        <w:rPr>
          <w:i/>
          <w:lang w:val="fr-CA"/>
        </w:rPr>
        <w:t>Willmor</w:t>
      </w:r>
      <w:r w:rsidR="009852DA" w:rsidRPr="005D439E">
        <w:rPr>
          <w:i/>
          <w:lang w:val="fr-CA"/>
        </w:rPr>
        <w:t xml:space="preserve"> Discount Cor</w:t>
      </w:r>
      <w:r w:rsidR="00BD1DD7" w:rsidRPr="005D439E">
        <w:rPr>
          <w:i/>
          <w:lang w:val="fr-CA"/>
        </w:rPr>
        <w:t>p. </w:t>
      </w:r>
      <w:r w:rsidR="009852DA" w:rsidRPr="005D439E">
        <w:rPr>
          <w:i/>
          <w:lang w:val="fr-CA"/>
        </w:rPr>
        <w:t>c</w:t>
      </w:r>
      <w:r w:rsidR="001A4EA8" w:rsidRPr="005D439E">
        <w:rPr>
          <w:i/>
          <w:lang w:val="fr-CA"/>
        </w:rPr>
        <w:t>. Vaudreuil (Ville)</w:t>
      </w:r>
      <w:r w:rsidR="001A4EA8" w:rsidRPr="005D439E">
        <w:rPr>
          <w:lang w:val="fr-CA"/>
        </w:rPr>
        <w:t xml:space="preserve">, [1994] 2 R.C.S. 210; </w:t>
      </w:r>
      <w:r w:rsidR="001A4EA8" w:rsidRPr="005D439E">
        <w:rPr>
          <w:i/>
          <w:lang w:val="fr-CA"/>
        </w:rPr>
        <w:t>9112</w:t>
      </w:r>
      <w:r w:rsidR="00BD1DD7" w:rsidRPr="005D439E">
        <w:rPr>
          <w:i/>
          <w:lang w:val="fr-CA"/>
        </w:rPr>
        <w:noBreakHyphen/>
      </w:r>
      <w:r w:rsidR="001A4EA8" w:rsidRPr="005D439E">
        <w:rPr>
          <w:i/>
          <w:lang w:val="fr-CA"/>
        </w:rPr>
        <w:t>4511 Québec inc. c. Agence de développement de réseaux locaux de services de santé et de services sociaux de Laval</w:t>
      </w:r>
      <w:r w:rsidR="001A4EA8" w:rsidRPr="005D439E">
        <w:rPr>
          <w:lang w:val="fr-CA"/>
        </w:rPr>
        <w:t>, 2008 QCCA 848</w:t>
      </w:r>
      <w:r w:rsidR="009D61AC" w:rsidRPr="005D439E">
        <w:rPr>
          <w:lang w:val="fr-CA"/>
        </w:rPr>
        <w:t xml:space="preserve">; </w:t>
      </w:r>
      <w:r w:rsidR="007613B0" w:rsidRPr="005D439E">
        <w:rPr>
          <w:i/>
          <w:lang w:val="fr-CA"/>
        </w:rPr>
        <w:t>C.</w:t>
      </w:r>
      <w:r w:rsidR="008A079E" w:rsidRPr="005D439E">
        <w:rPr>
          <w:i/>
          <w:lang w:val="fr-CA"/>
        </w:rPr>
        <w:t>J.</w:t>
      </w:r>
      <w:r w:rsidR="009D61AC" w:rsidRPr="005D439E">
        <w:rPr>
          <w:i/>
          <w:lang w:val="fr-CA"/>
        </w:rPr>
        <w:t xml:space="preserve"> c. Parizeau Popovici</w:t>
      </w:r>
      <w:r w:rsidR="009D61AC" w:rsidRPr="005D439E">
        <w:rPr>
          <w:lang w:val="fr-CA"/>
        </w:rPr>
        <w:t xml:space="preserve">, 2011 QCCS 2005; </w:t>
      </w:r>
      <w:r w:rsidR="009D61AC" w:rsidRPr="005D439E">
        <w:rPr>
          <w:i/>
          <w:lang w:val="fr-CA"/>
        </w:rPr>
        <w:t xml:space="preserve">Pearl c. </w:t>
      </w:r>
      <w:r w:rsidR="008A079E" w:rsidRPr="005D439E">
        <w:rPr>
          <w:i/>
          <w:lang w:val="fr-CA"/>
        </w:rPr>
        <w:t>I</w:t>
      </w:r>
      <w:r w:rsidR="009D61AC" w:rsidRPr="005D439E">
        <w:rPr>
          <w:i/>
          <w:lang w:val="fr-CA"/>
        </w:rPr>
        <w:t>nvestissements Contempra Ltée</w:t>
      </w:r>
      <w:r w:rsidR="009D61AC" w:rsidRPr="005D439E">
        <w:rPr>
          <w:lang w:val="fr-CA"/>
        </w:rPr>
        <w:t xml:space="preserve">, [1995] R.J.Q. 2697; </w:t>
      </w:r>
      <w:r w:rsidR="009D61AC" w:rsidRPr="005D439E">
        <w:rPr>
          <w:i/>
          <w:lang w:val="fr-CA"/>
        </w:rPr>
        <w:t>Roux c. Cordeau</w:t>
      </w:r>
      <w:r w:rsidR="009D61AC" w:rsidRPr="005D439E">
        <w:rPr>
          <w:lang w:val="fr-CA"/>
        </w:rPr>
        <w:t>, [1981] R.</w:t>
      </w:r>
      <w:r w:rsidR="00BD1DD7" w:rsidRPr="005D439E">
        <w:rPr>
          <w:lang w:val="fr-CA"/>
        </w:rPr>
        <w:t>P. </w:t>
      </w:r>
      <w:r w:rsidR="009D61AC" w:rsidRPr="005D439E">
        <w:rPr>
          <w:lang w:val="fr-CA"/>
        </w:rPr>
        <w:t xml:space="preserve">29; </w:t>
      </w:r>
      <w:r w:rsidR="009D61AC" w:rsidRPr="005D439E">
        <w:rPr>
          <w:i/>
          <w:lang w:val="fr-CA"/>
        </w:rPr>
        <w:t>Garage W. Martin Ltée</w:t>
      </w:r>
      <w:r w:rsidR="009D61AC" w:rsidRPr="005D439E">
        <w:rPr>
          <w:lang w:val="fr-CA"/>
        </w:rPr>
        <w:t xml:space="preserve"> </w:t>
      </w:r>
      <w:r w:rsidR="009D61AC" w:rsidRPr="005D439E">
        <w:rPr>
          <w:i/>
          <w:lang w:val="fr-CA"/>
        </w:rPr>
        <w:t>c. Labrie</w:t>
      </w:r>
      <w:r w:rsidR="009D61AC" w:rsidRPr="005D439E">
        <w:rPr>
          <w:lang w:val="fr-CA"/>
        </w:rPr>
        <w:t xml:space="preserve">, [1957] C.S. 175; </w:t>
      </w:r>
      <w:r w:rsidR="004E5E84" w:rsidRPr="005D439E">
        <w:rPr>
          <w:i/>
          <w:lang w:val="fr-CA"/>
        </w:rPr>
        <w:t>Green Line Investor Services Inc. c. Quin</w:t>
      </w:r>
      <w:r w:rsidR="004E5E84" w:rsidRPr="005D439E">
        <w:rPr>
          <w:lang w:val="fr-CA"/>
        </w:rPr>
        <w:t xml:space="preserve">, </w:t>
      </w:r>
      <w:r w:rsidR="008A079E" w:rsidRPr="005D439E">
        <w:rPr>
          <w:lang w:val="fr-CA"/>
        </w:rPr>
        <w:t>1996 CanLII 5734;</w:t>
      </w:r>
      <w:r w:rsidR="004E5E84" w:rsidRPr="005D439E">
        <w:rPr>
          <w:lang w:val="fr-CA"/>
        </w:rPr>
        <w:t xml:space="preserve"> </w:t>
      </w:r>
      <w:r w:rsidR="004E5E84" w:rsidRPr="005D439E">
        <w:rPr>
          <w:i/>
          <w:lang w:val="fr-CA"/>
        </w:rPr>
        <w:t>Confédération</w:t>
      </w:r>
      <w:r w:rsidR="00F05729" w:rsidRPr="005D439E">
        <w:rPr>
          <w:i/>
          <w:lang w:val="fr-CA"/>
        </w:rPr>
        <w:t>, compagnie</w:t>
      </w:r>
      <w:r w:rsidR="008A079E" w:rsidRPr="005D439E">
        <w:rPr>
          <w:i/>
          <w:lang w:val="fr-CA"/>
        </w:rPr>
        <w:t xml:space="preserve"> </w:t>
      </w:r>
      <w:r w:rsidR="004E5E84" w:rsidRPr="005D439E">
        <w:rPr>
          <w:i/>
          <w:lang w:val="fr-CA"/>
        </w:rPr>
        <w:t>d’assurance</w:t>
      </w:r>
      <w:r w:rsidR="00BD1DD7" w:rsidRPr="005D439E">
        <w:rPr>
          <w:i/>
          <w:lang w:val="fr-CA"/>
        </w:rPr>
        <w:noBreakHyphen/>
      </w:r>
      <w:r w:rsidR="004E5E84" w:rsidRPr="005D439E">
        <w:rPr>
          <w:i/>
          <w:lang w:val="fr-CA"/>
        </w:rPr>
        <w:t>vie c. Lareau</w:t>
      </w:r>
      <w:r w:rsidR="00BD1DD7" w:rsidRPr="005D439E">
        <w:rPr>
          <w:i/>
          <w:lang w:val="fr-CA"/>
        </w:rPr>
        <w:noBreakHyphen/>
      </w:r>
      <w:r w:rsidR="004E5E84" w:rsidRPr="005D439E">
        <w:rPr>
          <w:i/>
          <w:lang w:val="fr-CA"/>
        </w:rPr>
        <w:t>Lacroix</w:t>
      </w:r>
      <w:r w:rsidR="004E5E84" w:rsidRPr="005D439E">
        <w:rPr>
          <w:lang w:val="fr-CA"/>
        </w:rPr>
        <w:t xml:space="preserve">, 1997 CanLII 10277; </w:t>
      </w:r>
      <w:r w:rsidR="004E5E84" w:rsidRPr="005D439E">
        <w:rPr>
          <w:i/>
          <w:lang w:val="fr-CA"/>
        </w:rPr>
        <w:t>Société canadienne de sel ltée c. Dubord</w:t>
      </w:r>
      <w:r w:rsidR="004E5E84" w:rsidRPr="005D439E">
        <w:rPr>
          <w:lang w:val="fr-CA"/>
        </w:rPr>
        <w:t xml:space="preserve">, 2012 QCCS 1994; </w:t>
      </w:r>
      <w:r w:rsidR="004E5E84" w:rsidRPr="005D439E">
        <w:rPr>
          <w:i/>
          <w:lang w:val="fr-CA"/>
        </w:rPr>
        <w:t xml:space="preserve">Beaudry c. </w:t>
      </w:r>
      <w:r w:rsidR="008A079E" w:rsidRPr="005D439E">
        <w:rPr>
          <w:i/>
          <w:lang w:val="fr-CA"/>
        </w:rPr>
        <w:t xml:space="preserve">Cité de </w:t>
      </w:r>
      <w:r w:rsidR="004E5E84" w:rsidRPr="005D439E">
        <w:rPr>
          <w:i/>
          <w:lang w:val="fr-CA"/>
        </w:rPr>
        <w:t>Beauharnois</w:t>
      </w:r>
      <w:r w:rsidR="004E5E84" w:rsidRPr="005D439E">
        <w:rPr>
          <w:lang w:val="fr-CA"/>
        </w:rPr>
        <w:t xml:space="preserve">, [1962] B.R. 738; </w:t>
      </w:r>
      <w:r w:rsidR="004E5E84" w:rsidRPr="005D439E">
        <w:rPr>
          <w:i/>
          <w:lang w:val="fr-CA"/>
        </w:rPr>
        <w:t>Pacific National Investments Ltd. c. Victoria (Ville)</w:t>
      </w:r>
      <w:r w:rsidR="008A079E" w:rsidRPr="005D439E">
        <w:rPr>
          <w:lang w:val="fr-CA"/>
        </w:rPr>
        <w:t xml:space="preserve">, </w:t>
      </w:r>
      <w:r w:rsidR="004E5E84" w:rsidRPr="005D439E">
        <w:rPr>
          <w:lang w:val="fr-CA"/>
        </w:rPr>
        <w:t>2000 CSC 64</w:t>
      </w:r>
      <w:r w:rsidR="008A079E" w:rsidRPr="005D439E">
        <w:rPr>
          <w:lang w:val="fr-CA"/>
        </w:rPr>
        <w:t>, [2000] 2 R.C.S. 919</w:t>
      </w:r>
      <w:r w:rsidR="004E5E84" w:rsidRPr="005D439E">
        <w:rPr>
          <w:lang w:val="fr-CA"/>
        </w:rPr>
        <w:t>;</w:t>
      </w:r>
      <w:r w:rsidR="004E5E84" w:rsidRPr="005D439E">
        <w:rPr>
          <w:lang w:val="fr-FR"/>
        </w:rPr>
        <w:t xml:space="preserve"> </w:t>
      </w:r>
      <w:r w:rsidR="004E5E84" w:rsidRPr="005D439E">
        <w:rPr>
          <w:i/>
          <w:lang w:val="fr-CA"/>
        </w:rPr>
        <w:t>Tremblay c. 2543</w:t>
      </w:r>
      <w:r w:rsidR="00BD1DD7" w:rsidRPr="005D439E">
        <w:rPr>
          <w:i/>
          <w:lang w:val="fr-CA"/>
        </w:rPr>
        <w:noBreakHyphen/>
      </w:r>
      <w:r w:rsidR="004E5E84" w:rsidRPr="005D439E">
        <w:rPr>
          <w:i/>
          <w:lang w:val="fr-CA"/>
        </w:rPr>
        <w:t>7443 Québec inc.</w:t>
      </w:r>
      <w:r w:rsidR="004E5E84" w:rsidRPr="005D439E">
        <w:rPr>
          <w:lang w:val="fr-CA"/>
        </w:rPr>
        <w:t xml:space="preserve">, </w:t>
      </w:r>
      <w:r w:rsidR="008A079E" w:rsidRPr="005D439E">
        <w:rPr>
          <w:lang w:val="fr-CA"/>
        </w:rPr>
        <w:t>1999 CanLII 11903</w:t>
      </w:r>
      <w:r w:rsidR="004E5E84" w:rsidRPr="005D439E">
        <w:rPr>
          <w:lang w:val="fr-CA"/>
        </w:rPr>
        <w:t xml:space="preserve">; </w:t>
      </w:r>
      <w:r w:rsidR="004E5E84" w:rsidRPr="005D439E">
        <w:rPr>
          <w:i/>
          <w:lang w:val="fr-CA"/>
        </w:rPr>
        <w:t>Steckmar Cor</w:t>
      </w:r>
      <w:r w:rsidR="00BD1DD7" w:rsidRPr="005D439E">
        <w:rPr>
          <w:i/>
          <w:lang w:val="fr-CA"/>
        </w:rPr>
        <w:t>p. </w:t>
      </w:r>
      <w:r w:rsidR="004E5E84" w:rsidRPr="005D439E">
        <w:rPr>
          <w:i/>
          <w:lang w:val="fr-CA"/>
        </w:rPr>
        <w:t>c. Consultants Zenda ltée</w:t>
      </w:r>
      <w:r w:rsidR="004E5E84" w:rsidRPr="005D439E">
        <w:rPr>
          <w:lang w:val="fr-CA"/>
        </w:rPr>
        <w:t>,</w:t>
      </w:r>
      <w:r w:rsidR="008A079E" w:rsidRPr="005D439E">
        <w:rPr>
          <w:lang w:val="fr-CA"/>
        </w:rPr>
        <w:t xml:space="preserve"> 2000 CanLII 18061</w:t>
      </w:r>
      <w:r w:rsidR="004E5E84" w:rsidRPr="005D439E">
        <w:rPr>
          <w:lang w:val="fr-CA"/>
        </w:rPr>
        <w:t xml:space="preserve">; </w:t>
      </w:r>
      <w:r w:rsidR="004E5E84" w:rsidRPr="005D439E">
        <w:rPr>
          <w:i/>
          <w:spacing w:val="-3"/>
          <w:shd w:val="clear" w:color="auto" w:fill="FFFFFF"/>
          <w:lang w:val="fr-CA"/>
        </w:rPr>
        <w:t>Young c. Young</w:t>
      </w:r>
      <w:r w:rsidR="004E5E84" w:rsidRPr="005D439E">
        <w:rPr>
          <w:spacing w:val="-3"/>
          <w:shd w:val="clear" w:color="auto" w:fill="FFFFFF"/>
          <w:lang w:val="fr-CA"/>
        </w:rPr>
        <w:t>, [1</w:t>
      </w:r>
      <w:r w:rsidR="000265DF" w:rsidRPr="005D439E">
        <w:rPr>
          <w:spacing w:val="-3"/>
          <w:shd w:val="clear" w:color="auto" w:fill="FFFFFF"/>
          <w:lang w:val="fr-CA"/>
        </w:rPr>
        <w:t>993] 4 R.C.S. 3</w:t>
      </w:r>
      <w:r w:rsidR="004E5E84" w:rsidRPr="005D439E">
        <w:rPr>
          <w:spacing w:val="-3"/>
          <w:shd w:val="clear" w:color="auto" w:fill="FFFFFF"/>
          <w:lang w:val="fr-CA"/>
        </w:rPr>
        <w:t xml:space="preserve">; </w:t>
      </w:r>
      <w:r w:rsidR="004E5E84" w:rsidRPr="005D439E">
        <w:rPr>
          <w:i/>
          <w:lang w:val="fr-CA"/>
        </w:rPr>
        <w:t>Mackin c. Nouveau</w:t>
      </w:r>
      <w:r w:rsidR="00BD1DD7" w:rsidRPr="005D439E">
        <w:rPr>
          <w:i/>
          <w:lang w:val="fr-CA"/>
        </w:rPr>
        <w:noBreakHyphen/>
      </w:r>
      <w:r w:rsidR="004E5E84" w:rsidRPr="005D439E">
        <w:rPr>
          <w:i/>
          <w:lang w:val="fr-CA"/>
        </w:rPr>
        <w:t>Brunswick (Ministre des Finances)</w:t>
      </w:r>
      <w:r w:rsidR="004E5E84" w:rsidRPr="005D439E">
        <w:rPr>
          <w:lang w:val="fr-CA"/>
        </w:rPr>
        <w:t xml:space="preserve">, </w:t>
      </w:r>
      <w:r w:rsidR="008A079E" w:rsidRPr="005D439E">
        <w:rPr>
          <w:lang w:val="fr-CA"/>
        </w:rPr>
        <w:t xml:space="preserve">2002 CSC 13, </w:t>
      </w:r>
      <w:r w:rsidR="004E5E84" w:rsidRPr="005D439E">
        <w:rPr>
          <w:lang w:val="fr-CA"/>
        </w:rPr>
        <w:t xml:space="preserve">[2002] 1 R.C.S. 405; </w:t>
      </w:r>
      <w:r w:rsidR="004E5E84" w:rsidRPr="005D439E">
        <w:rPr>
          <w:i/>
          <w:lang w:val="fr-CA"/>
        </w:rPr>
        <w:t>Colombie</w:t>
      </w:r>
      <w:r w:rsidR="00BD1DD7" w:rsidRPr="005D439E">
        <w:rPr>
          <w:i/>
          <w:lang w:val="fr-CA"/>
        </w:rPr>
        <w:noBreakHyphen/>
      </w:r>
      <w:r w:rsidR="004E5E84" w:rsidRPr="005D439E">
        <w:rPr>
          <w:i/>
          <w:lang w:val="fr-CA"/>
        </w:rPr>
        <w:t>Britannique (Ministre des Forêts) c. Bande indienne Okanagan</w:t>
      </w:r>
      <w:r w:rsidR="004E5E84" w:rsidRPr="005D439E">
        <w:rPr>
          <w:lang w:val="fr-CA"/>
        </w:rPr>
        <w:t>,</w:t>
      </w:r>
      <w:r w:rsidR="00135E7E" w:rsidRPr="005D439E">
        <w:rPr>
          <w:lang w:val="fr-CA"/>
        </w:rPr>
        <w:t xml:space="preserve"> 2003 CSC </w:t>
      </w:r>
      <w:r w:rsidR="008A079E" w:rsidRPr="005D439E">
        <w:rPr>
          <w:lang w:val="fr-CA"/>
        </w:rPr>
        <w:t>71,</w:t>
      </w:r>
      <w:r w:rsidR="004E5E84" w:rsidRPr="005D439E">
        <w:rPr>
          <w:lang w:val="fr-CA"/>
        </w:rPr>
        <w:t xml:space="preserve"> [2003] 3 R.C.S. 371; </w:t>
      </w:r>
      <w:r w:rsidR="004E5E84" w:rsidRPr="005D439E">
        <w:rPr>
          <w:i/>
          <w:lang w:val="fr-CA"/>
        </w:rPr>
        <w:t>Finney c. Barreau du Québec</w:t>
      </w:r>
      <w:r w:rsidR="004E5E84" w:rsidRPr="005D439E">
        <w:rPr>
          <w:lang w:val="fr-CA"/>
        </w:rPr>
        <w:t>,</w:t>
      </w:r>
      <w:r w:rsidR="008A079E" w:rsidRPr="005D439E">
        <w:rPr>
          <w:lang w:val="fr-CA"/>
        </w:rPr>
        <w:t xml:space="preserve"> </w:t>
      </w:r>
      <w:r w:rsidR="008A079E" w:rsidRPr="005D439E">
        <w:rPr>
          <w:lang w:val="fr-CA"/>
        </w:rPr>
        <w:lastRenderedPageBreak/>
        <w:t>2004 CSC 36,</w:t>
      </w:r>
      <w:r w:rsidR="004E5E84" w:rsidRPr="005D439E">
        <w:rPr>
          <w:lang w:val="fr-CA"/>
        </w:rPr>
        <w:t xml:space="preserve"> [2004] 2 R.C.S. 17; </w:t>
      </w:r>
      <w:r w:rsidR="004E5E84" w:rsidRPr="005D439E">
        <w:rPr>
          <w:i/>
          <w:lang w:val="fr-CA"/>
        </w:rPr>
        <w:t>Richard c. Time Inc.</w:t>
      </w:r>
      <w:r w:rsidR="004E5E84" w:rsidRPr="005D439E">
        <w:rPr>
          <w:lang w:val="fr-CA"/>
        </w:rPr>
        <w:t>,</w:t>
      </w:r>
      <w:r w:rsidR="008E1850" w:rsidRPr="005D439E">
        <w:rPr>
          <w:lang w:val="fr-CA"/>
        </w:rPr>
        <w:t xml:space="preserve"> 2012 CSC 8,</w:t>
      </w:r>
      <w:r w:rsidR="004E5E84" w:rsidRPr="005D439E">
        <w:rPr>
          <w:lang w:val="fr-CA"/>
        </w:rPr>
        <w:t xml:space="preserve"> [2012] 1 R.C.S. 265; </w:t>
      </w:r>
      <w:r w:rsidR="00602FAC" w:rsidRPr="005D439E">
        <w:rPr>
          <w:i/>
          <w:lang w:val="fr-CA"/>
        </w:rPr>
        <w:t>Schachter c</w:t>
      </w:r>
      <w:r w:rsidR="004E5E84" w:rsidRPr="005D439E">
        <w:rPr>
          <w:i/>
          <w:lang w:val="fr-CA"/>
        </w:rPr>
        <w:t>. Canada</w:t>
      </w:r>
      <w:r w:rsidR="004E5E84" w:rsidRPr="005D439E">
        <w:rPr>
          <w:lang w:val="fr-CA"/>
        </w:rPr>
        <w:t>, [1992] 2 R.C.S</w:t>
      </w:r>
      <w:r w:rsidR="00A26352" w:rsidRPr="005D439E">
        <w:rPr>
          <w:lang w:val="fr-CA"/>
        </w:rPr>
        <w:t>. 679.</w:t>
      </w:r>
    </w:p>
    <w:p w:rsidR="001A2191" w:rsidRPr="005D439E" w:rsidRDefault="009777D9" w:rsidP="00A26352">
      <w:pPr>
        <w:pStyle w:val="SCCNormalDoubleSpacing"/>
        <w:spacing w:after="720" w:line="240" w:lineRule="auto"/>
        <w:rPr>
          <w:rFonts w:eastAsia="Times New Roman"/>
          <w:lang w:val="fr-CA"/>
        </w:rPr>
      </w:pPr>
      <w:r w:rsidRPr="005D439E">
        <w:rPr>
          <w:lang w:val="fr-CA"/>
        </w:rPr>
        <w:t>Citée</w:t>
      </w:r>
      <w:r w:rsidRPr="005D439E">
        <w:rPr>
          <w:rFonts w:eastAsia="Times New Roman"/>
          <w:lang w:val="fr-CA"/>
        </w:rPr>
        <w:t xml:space="preserve"> par les juges Côté et Brown</w:t>
      </w:r>
      <w:r w:rsidR="00A91030" w:rsidRPr="005D439E">
        <w:rPr>
          <w:rFonts w:eastAsia="Times New Roman"/>
          <w:lang w:val="fr-CA"/>
        </w:rPr>
        <w:t xml:space="preserve"> (dissidents)</w:t>
      </w:r>
    </w:p>
    <w:p w:rsidR="001A2191" w:rsidRPr="005D439E" w:rsidRDefault="001A2191" w:rsidP="00AE6652">
      <w:pPr>
        <w:pStyle w:val="SCCNormalDoubleSpacing"/>
        <w:spacing w:after="480"/>
        <w:rPr>
          <w:b/>
          <w:lang w:val="fr-CA"/>
        </w:rPr>
      </w:pPr>
      <w:r w:rsidRPr="005D439E">
        <w:rPr>
          <w:b/>
          <w:lang w:val="fr-CA"/>
        </w:rPr>
        <w:tab/>
      </w:r>
      <w:r w:rsidR="00472AA3" w:rsidRPr="005D439E">
        <w:rPr>
          <w:i/>
          <w:lang w:val="fr-CA"/>
        </w:rPr>
        <w:t>Banque Amex du Canada c. Adams</w:t>
      </w:r>
      <w:r w:rsidR="00472AA3" w:rsidRPr="005D439E">
        <w:rPr>
          <w:lang w:val="fr-CA"/>
        </w:rPr>
        <w:t xml:space="preserve">, 2014 CSC 56, [2014] 2 R.C.S. 787; </w:t>
      </w:r>
      <w:r w:rsidR="00472AA3" w:rsidRPr="005D439E">
        <w:rPr>
          <w:i/>
          <w:lang w:val="fr-CA"/>
        </w:rPr>
        <w:t>Montréal (Ville de) c. St</w:t>
      </w:r>
      <w:r w:rsidR="00BD1DD7" w:rsidRPr="005D439E">
        <w:rPr>
          <w:i/>
          <w:lang w:val="fr-CA"/>
        </w:rPr>
        <w:noBreakHyphen/>
      </w:r>
      <w:r w:rsidR="00472AA3" w:rsidRPr="005D439E">
        <w:rPr>
          <w:i/>
          <w:lang w:val="fr-CA"/>
        </w:rPr>
        <w:t>Pierre (Succession de)</w:t>
      </w:r>
      <w:r w:rsidR="00472AA3" w:rsidRPr="005D439E">
        <w:rPr>
          <w:lang w:val="fr-CA"/>
        </w:rPr>
        <w:t>, 2008 QCCA 2329, [2009] R.J.Q. 54;</w:t>
      </w:r>
      <w:r w:rsidR="005E2D65" w:rsidRPr="005D439E">
        <w:rPr>
          <w:lang w:val="fr-CA"/>
        </w:rPr>
        <w:t xml:space="preserve"> </w:t>
      </w:r>
      <w:r w:rsidR="005E2D65" w:rsidRPr="005D439E">
        <w:rPr>
          <w:i/>
          <w:lang w:val="fr-CA"/>
        </w:rPr>
        <w:t>Community Enterprises Ltd. c. Acton Vale</w:t>
      </w:r>
      <w:r w:rsidR="00F65FF2" w:rsidRPr="005D439E">
        <w:rPr>
          <w:i/>
          <w:lang w:val="fr-CA"/>
        </w:rPr>
        <w:t xml:space="preserve"> (Ville)</w:t>
      </w:r>
      <w:r w:rsidR="005E2D65" w:rsidRPr="005D439E">
        <w:rPr>
          <w:lang w:val="fr-CA"/>
        </w:rPr>
        <w:t xml:space="preserve">, [1970] C.A. 747; </w:t>
      </w:r>
      <w:r w:rsidR="005E2D65" w:rsidRPr="005D439E">
        <w:rPr>
          <w:i/>
          <w:lang w:val="fr-CA"/>
        </w:rPr>
        <w:t>Construction Hydrex inc. c. Havre St</w:t>
      </w:r>
      <w:r w:rsidR="00BD1DD7" w:rsidRPr="005D439E">
        <w:rPr>
          <w:i/>
          <w:lang w:val="fr-CA"/>
        </w:rPr>
        <w:noBreakHyphen/>
      </w:r>
      <w:r w:rsidR="005E2D65" w:rsidRPr="005D439E">
        <w:rPr>
          <w:i/>
          <w:lang w:val="fr-CA"/>
        </w:rPr>
        <w:t>Pierre</w:t>
      </w:r>
      <w:r w:rsidR="00F65FF2" w:rsidRPr="005D439E">
        <w:rPr>
          <w:i/>
          <w:lang w:val="fr-CA"/>
        </w:rPr>
        <w:t xml:space="preserve"> (Corporation municipale de)</w:t>
      </w:r>
      <w:r w:rsidR="005E2D65" w:rsidRPr="005D439E">
        <w:rPr>
          <w:lang w:val="fr-CA"/>
        </w:rPr>
        <w:t xml:space="preserve">, [1980] C.S. 1038; </w:t>
      </w:r>
      <w:r w:rsidR="005E2D65" w:rsidRPr="005D439E">
        <w:rPr>
          <w:i/>
          <w:lang w:val="fr-CA"/>
        </w:rPr>
        <w:t>Jourdain c. Ville de Grand</w:t>
      </w:r>
      <w:r w:rsidR="00BD1DD7" w:rsidRPr="005D439E">
        <w:rPr>
          <w:i/>
          <w:lang w:val="fr-CA"/>
        </w:rPr>
        <w:noBreakHyphen/>
      </w:r>
      <w:r w:rsidR="005E2D65" w:rsidRPr="005D439E">
        <w:rPr>
          <w:i/>
          <w:lang w:val="fr-CA"/>
        </w:rPr>
        <w:t>Mère</w:t>
      </w:r>
      <w:r w:rsidR="005E2D65" w:rsidRPr="005D439E">
        <w:rPr>
          <w:lang w:val="fr-CA"/>
        </w:rPr>
        <w:t xml:space="preserve">, </w:t>
      </w:r>
      <w:r w:rsidR="00F65FF2" w:rsidRPr="005D439E">
        <w:rPr>
          <w:lang w:val="fr-CA"/>
        </w:rPr>
        <w:t>[1983] J.Q. n</w:t>
      </w:r>
      <w:r w:rsidR="00F65FF2" w:rsidRPr="005D439E">
        <w:rPr>
          <w:vertAlign w:val="superscript"/>
          <w:lang w:val="fr-CA"/>
        </w:rPr>
        <w:t>o</w:t>
      </w:r>
      <w:r w:rsidR="00F65FF2" w:rsidRPr="005D439E">
        <w:rPr>
          <w:lang w:val="fr-CA"/>
        </w:rPr>
        <w:t xml:space="preserve"> 360</w:t>
      </w:r>
      <w:r w:rsidR="005E2D65" w:rsidRPr="005D439E">
        <w:rPr>
          <w:lang w:val="fr-CA"/>
        </w:rPr>
        <w:t xml:space="preserve">; </w:t>
      </w:r>
      <w:r w:rsidR="005E2D65" w:rsidRPr="005D439E">
        <w:rPr>
          <w:i/>
          <w:lang w:val="fr-CA"/>
        </w:rPr>
        <w:t>Boisvert c. Baie</w:t>
      </w:r>
      <w:r w:rsidR="00BD1DD7" w:rsidRPr="005D439E">
        <w:rPr>
          <w:i/>
          <w:lang w:val="fr-CA"/>
        </w:rPr>
        <w:noBreakHyphen/>
      </w:r>
      <w:r w:rsidR="005E2D65" w:rsidRPr="005D439E">
        <w:rPr>
          <w:i/>
          <w:lang w:val="fr-CA"/>
        </w:rPr>
        <w:t>du</w:t>
      </w:r>
      <w:r w:rsidR="00BD1DD7" w:rsidRPr="005D439E">
        <w:rPr>
          <w:i/>
          <w:lang w:val="fr-CA"/>
        </w:rPr>
        <w:noBreakHyphen/>
      </w:r>
      <w:r w:rsidR="005E2D65" w:rsidRPr="005D439E">
        <w:rPr>
          <w:i/>
          <w:lang w:val="fr-CA"/>
        </w:rPr>
        <w:t>Febvre</w:t>
      </w:r>
      <w:r w:rsidR="00F65FF2" w:rsidRPr="005D439E">
        <w:rPr>
          <w:i/>
          <w:lang w:val="fr-CA"/>
        </w:rPr>
        <w:t xml:space="preserve"> (Municipalité de)</w:t>
      </w:r>
      <w:r w:rsidR="005E2D65" w:rsidRPr="005D439E">
        <w:rPr>
          <w:lang w:val="fr-CA"/>
        </w:rPr>
        <w:t xml:space="preserve">, </w:t>
      </w:r>
      <w:r w:rsidR="00F65FF2" w:rsidRPr="005D439E">
        <w:rPr>
          <w:lang w:val="fr-CA"/>
        </w:rPr>
        <w:t>[1992] J.Q. n</w:t>
      </w:r>
      <w:r w:rsidR="00F65FF2" w:rsidRPr="005D439E">
        <w:rPr>
          <w:vertAlign w:val="superscript"/>
          <w:lang w:val="fr-CA"/>
        </w:rPr>
        <w:t>o</w:t>
      </w:r>
      <w:r w:rsidR="00D129D6" w:rsidRPr="005D439E">
        <w:rPr>
          <w:lang w:val="fr-CA"/>
        </w:rPr>
        <w:t xml:space="preserve"> 2574</w:t>
      </w:r>
      <w:r w:rsidR="008A287E" w:rsidRPr="005D439E">
        <w:rPr>
          <w:lang w:val="fr-CA"/>
        </w:rPr>
        <w:t>;</w:t>
      </w:r>
      <w:r w:rsidR="00066933" w:rsidRPr="005D439E">
        <w:rPr>
          <w:lang w:val="fr-CA"/>
        </w:rPr>
        <w:t xml:space="preserve"> </w:t>
      </w:r>
      <w:r w:rsidR="00066933" w:rsidRPr="005D439E">
        <w:rPr>
          <w:i/>
          <w:lang w:val="fr-FR"/>
        </w:rPr>
        <w:t>Repentigny (Ville) c. Les Habitations de la Rive</w:t>
      </w:r>
      <w:r w:rsidR="00BD1DD7" w:rsidRPr="005D439E">
        <w:rPr>
          <w:i/>
          <w:lang w:val="fr-FR"/>
        </w:rPr>
        <w:noBreakHyphen/>
      </w:r>
      <w:r w:rsidR="00066933" w:rsidRPr="005D439E">
        <w:rPr>
          <w:i/>
          <w:lang w:val="fr-FR"/>
        </w:rPr>
        <w:t>Nord inc.</w:t>
      </w:r>
      <w:r w:rsidR="00066933" w:rsidRPr="005D439E">
        <w:rPr>
          <w:lang w:val="fr-FR"/>
        </w:rPr>
        <w:t xml:space="preserve">, 2001 CanLII 10048; </w:t>
      </w:r>
      <w:r w:rsidR="00066933" w:rsidRPr="005D439E">
        <w:rPr>
          <w:i/>
          <w:lang w:val="fr-CA"/>
        </w:rPr>
        <w:t>Lacroix &amp; Fils ltée c. Carleton</w:t>
      </w:r>
      <w:r w:rsidR="00BD1DD7" w:rsidRPr="005D439E">
        <w:rPr>
          <w:i/>
          <w:lang w:val="fr-CA"/>
        </w:rPr>
        <w:noBreakHyphen/>
      </w:r>
      <w:r w:rsidR="00066933" w:rsidRPr="005D439E">
        <w:rPr>
          <w:i/>
          <w:lang w:val="fr-CA"/>
        </w:rPr>
        <w:t>sur</w:t>
      </w:r>
      <w:r w:rsidR="00BD1DD7" w:rsidRPr="005D439E">
        <w:rPr>
          <w:i/>
          <w:lang w:val="fr-CA"/>
        </w:rPr>
        <w:noBreakHyphen/>
      </w:r>
      <w:r w:rsidR="00066933" w:rsidRPr="005D439E">
        <w:rPr>
          <w:i/>
          <w:lang w:val="fr-CA"/>
        </w:rPr>
        <w:t>Mer (Ville)</w:t>
      </w:r>
      <w:r w:rsidR="00066933" w:rsidRPr="005D439E">
        <w:rPr>
          <w:lang w:val="fr-CA"/>
        </w:rPr>
        <w:t>, 2014 QCCA 1345, 27 M.P.L.R. (5th) 10;</w:t>
      </w:r>
      <w:r w:rsidR="009B09B6" w:rsidRPr="005D439E">
        <w:rPr>
          <w:lang w:val="fr-CA"/>
        </w:rPr>
        <w:t xml:space="preserve"> </w:t>
      </w:r>
      <w:r w:rsidR="009B09B6" w:rsidRPr="005D439E">
        <w:rPr>
          <w:i/>
          <w:lang w:val="fr-CA"/>
        </w:rPr>
        <w:t>Pacific National Investments Ltd. c. Victoria (Ville)</w:t>
      </w:r>
      <w:r w:rsidR="009B09B6" w:rsidRPr="005D439E">
        <w:rPr>
          <w:lang w:val="fr-CA"/>
        </w:rPr>
        <w:t>, 2004 CSC 75, [2004] 3 R.C.S. 575;</w:t>
      </w:r>
      <w:r w:rsidR="008E0FA7" w:rsidRPr="005D439E">
        <w:rPr>
          <w:lang w:val="fr-CA"/>
        </w:rPr>
        <w:t xml:space="preserve"> </w:t>
      </w:r>
      <w:r w:rsidR="008E0FA7" w:rsidRPr="005D439E">
        <w:rPr>
          <w:i/>
          <w:szCs w:val="24"/>
          <w:lang w:val="fr-FR"/>
        </w:rPr>
        <w:t>Québec (Ville) c. GM Développement inc.</w:t>
      </w:r>
      <w:r w:rsidR="008E0FA7" w:rsidRPr="005D439E">
        <w:rPr>
          <w:szCs w:val="24"/>
          <w:lang w:val="fr-FR"/>
        </w:rPr>
        <w:t xml:space="preserve">, 2017 QCCA 385, 72 M.P.L.R. (5th) 203; </w:t>
      </w:r>
      <w:r w:rsidR="008E0FA7" w:rsidRPr="005D439E">
        <w:rPr>
          <w:i/>
          <w:lang w:val="fr-CA"/>
        </w:rPr>
        <w:t>Aliments Breton (Canada) inc. c. Oracle Corporation Canada inc.</w:t>
      </w:r>
      <w:r w:rsidR="008E0FA7" w:rsidRPr="005D439E">
        <w:rPr>
          <w:lang w:val="fr-CA"/>
        </w:rPr>
        <w:t>, 2015 QCCA 336;</w:t>
      </w:r>
      <w:r w:rsidR="00AF3DBD" w:rsidRPr="005D439E">
        <w:rPr>
          <w:lang w:val="fr-CA"/>
        </w:rPr>
        <w:t xml:space="preserve"> </w:t>
      </w:r>
      <w:r w:rsidR="00AF3DBD" w:rsidRPr="005D439E">
        <w:rPr>
          <w:i/>
          <w:lang w:val="fr-CA"/>
        </w:rPr>
        <w:t>Air Canada c. Cité de Dorval</w:t>
      </w:r>
      <w:r w:rsidR="00AF3DBD" w:rsidRPr="005D439E">
        <w:rPr>
          <w:lang w:val="fr-CA"/>
        </w:rPr>
        <w:t xml:space="preserve">, [1985] 1 R.C.S. 861; </w:t>
      </w:r>
      <w:r w:rsidR="00AF3DBD" w:rsidRPr="005D439E">
        <w:rPr>
          <w:i/>
          <w:szCs w:val="24"/>
          <w:lang w:val="fr-CA"/>
        </w:rPr>
        <w:t>Silver’s Garage Ltd. c. Town of Bridgewater</w:t>
      </w:r>
      <w:r w:rsidR="00AF3DBD" w:rsidRPr="005D439E">
        <w:rPr>
          <w:szCs w:val="24"/>
          <w:lang w:val="fr-CA"/>
        </w:rPr>
        <w:t xml:space="preserve">, [1971] R.C.S. 577; </w:t>
      </w:r>
      <w:r w:rsidR="00AF3DBD" w:rsidRPr="005D439E">
        <w:rPr>
          <w:i/>
          <w:lang w:val="fr-CA"/>
        </w:rPr>
        <w:t>Poulin De Courval c. Poliquin</w:t>
      </w:r>
      <w:r w:rsidR="003D2DD0" w:rsidRPr="005D439E">
        <w:rPr>
          <w:lang w:val="fr-CA"/>
        </w:rPr>
        <w:t>, 2018 QCCA 1534</w:t>
      </w:r>
      <w:r w:rsidR="00AF3DBD" w:rsidRPr="005D439E">
        <w:rPr>
          <w:lang w:val="fr-CA"/>
        </w:rPr>
        <w:t xml:space="preserve">; </w:t>
      </w:r>
      <w:r w:rsidR="00AF3DBD" w:rsidRPr="005D439E">
        <w:rPr>
          <w:i/>
          <w:lang w:val="fr-CA"/>
        </w:rPr>
        <w:t>Habitations Germat inc. c. Ville de Rosemère</w:t>
      </w:r>
      <w:r w:rsidR="00AF3DBD" w:rsidRPr="005D439E">
        <w:rPr>
          <w:lang w:val="fr-CA"/>
        </w:rPr>
        <w:t xml:space="preserve">, 2017 QCCA 1294; </w:t>
      </w:r>
      <w:r w:rsidR="003D2DD0" w:rsidRPr="005D439E">
        <w:rPr>
          <w:i/>
          <w:lang w:val="fr-CA"/>
        </w:rPr>
        <w:t>Amar c. Dollard</w:t>
      </w:r>
      <w:r w:rsidR="00BD1DD7" w:rsidRPr="005D439E">
        <w:rPr>
          <w:i/>
          <w:lang w:val="fr-CA"/>
        </w:rPr>
        <w:noBreakHyphen/>
      </w:r>
      <w:r w:rsidR="003D2DD0" w:rsidRPr="005D439E">
        <w:rPr>
          <w:i/>
          <w:lang w:val="fr-CA"/>
        </w:rPr>
        <w:t>des</w:t>
      </w:r>
      <w:r w:rsidR="00BD1DD7" w:rsidRPr="005D439E">
        <w:rPr>
          <w:i/>
          <w:lang w:val="fr-CA"/>
        </w:rPr>
        <w:noBreakHyphen/>
      </w:r>
      <w:r w:rsidR="003D2DD0" w:rsidRPr="005D439E">
        <w:rPr>
          <w:i/>
          <w:lang w:val="fr-CA"/>
        </w:rPr>
        <w:t>Ormeaux (Ville</w:t>
      </w:r>
      <w:r w:rsidR="00AF3DBD" w:rsidRPr="005D439E">
        <w:rPr>
          <w:i/>
          <w:lang w:val="fr-CA"/>
        </w:rPr>
        <w:t>)</w:t>
      </w:r>
      <w:r w:rsidR="00AF3DBD" w:rsidRPr="005D439E">
        <w:rPr>
          <w:lang w:val="fr-CA"/>
        </w:rPr>
        <w:t xml:space="preserve">, 2014 QCCA 76, </w:t>
      </w:r>
      <w:r w:rsidR="003D2DD0" w:rsidRPr="005D439E">
        <w:rPr>
          <w:lang w:val="fr-CA"/>
        </w:rPr>
        <w:t>1</w:t>
      </w:r>
      <w:r w:rsidR="00AF3DBD" w:rsidRPr="005D439E">
        <w:rPr>
          <w:lang w:val="fr-CA"/>
        </w:rPr>
        <w:t>8</w:t>
      </w:r>
      <w:r w:rsidR="003D2DD0" w:rsidRPr="005D439E">
        <w:rPr>
          <w:lang w:val="fr-CA"/>
        </w:rPr>
        <w:t xml:space="preserve"> M.P.L.R. (5th) 277</w:t>
      </w:r>
      <w:r w:rsidR="00AF3DBD" w:rsidRPr="005D439E">
        <w:rPr>
          <w:lang w:val="fr-CA"/>
        </w:rPr>
        <w:t xml:space="preserve">; </w:t>
      </w:r>
      <w:r w:rsidR="00AF3DBD" w:rsidRPr="005D439E">
        <w:rPr>
          <w:i/>
          <w:lang w:val="fr-CA"/>
        </w:rPr>
        <w:t>Beloeil (Ville de) c. Gestion Gabriel Borduas inc.</w:t>
      </w:r>
      <w:r w:rsidR="00AF3DBD" w:rsidRPr="005D439E">
        <w:rPr>
          <w:lang w:val="fr-CA"/>
        </w:rPr>
        <w:t xml:space="preserve">, 2014 QCCA 238; </w:t>
      </w:r>
      <w:r w:rsidR="00AF3DBD" w:rsidRPr="005D439E">
        <w:rPr>
          <w:i/>
          <w:lang w:val="fr-CA"/>
        </w:rPr>
        <w:t>9129</w:t>
      </w:r>
      <w:r w:rsidR="00BD1DD7" w:rsidRPr="005D439E">
        <w:rPr>
          <w:i/>
          <w:lang w:val="fr-CA"/>
        </w:rPr>
        <w:noBreakHyphen/>
      </w:r>
      <w:r w:rsidR="00AF3DBD" w:rsidRPr="005D439E">
        <w:rPr>
          <w:i/>
          <w:lang w:val="fr-CA"/>
        </w:rPr>
        <w:t>6111 Québec inc. c. Longueuil (Ville)</w:t>
      </w:r>
      <w:r w:rsidR="00AF3DBD" w:rsidRPr="005D439E">
        <w:rPr>
          <w:lang w:val="fr-CA"/>
        </w:rPr>
        <w:t xml:space="preserve">, 2010 QCCA 2265, </w:t>
      </w:r>
      <w:r w:rsidR="002B7254" w:rsidRPr="005D439E">
        <w:rPr>
          <w:lang w:val="fr-CA"/>
        </w:rPr>
        <w:t>21 Admin. L.R. (5th) 320</w:t>
      </w:r>
      <w:r w:rsidR="00AF3DBD" w:rsidRPr="005D439E">
        <w:rPr>
          <w:lang w:val="fr-CA"/>
        </w:rPr>
        <w:t xml:space="preserve">; </w:t>
      </w:r>
      <w:r w:rsidR="00AF3DBD" w:rsidRPr="005D439E">
        <w:rPr>
          <w:i/>
          <w:lang w:val="fr-CA"/>
        </w:rPr>
        <w:t>Lévesque c. Carignan (Cor</w:t>
      </w:r>
      <w:r w:rsidR="00BD1DD7" w:rsidRPr="005D439E">
        <w:rPr>
          <w:i/>
          <w:lang w:val="fr-CA"/>
        </w:rPr>
        <w:t>p. </w:t>
      </w:r>
      <w:r w:rsidR="00385E0D" w:rsidRPr="005D439E">
        <w:rPr>
          <w:i/>
          <w:lang w:val="fr-CA"/>
        </w:rPr>
        <w:t>d</w:t>
      </w:r>
      <w:r w:rsidR="00AF3DBD" w:rsidRPr="005D439E">
        <w:rPr>
          <w:i/>
          <w:lang w:val="fr-CA"/>
        </w:rPr>
        <w:t>e la ville de)</w:t>
      </w:r>
      <w:r w:rsidR="00AF3DBD" w:rsidRPr="005D439E">
        <w:rPr>
          <w:lang w:val="fr-CA"/>
        </w:rPr>
        <w:t>,</w:t>
      </w:r>
      <w:r w:rsidR="00F72E6F" w:rsidRPr="005D439E">
        <w:rPr>
          <w:lang w:val="fr-CA"/>
        </w:rPr>
        <w:t xml:space="preserve"> [1998]</w:t>
      </w:r>
      <w:r w:rsidR="00AF3DBD" w:rsidRPr="005D439E">
        <w:rPr>
          <w:lang w:val="fr-CA"/>
        </w:rPr>
        <w:t xml:space="preserve"> </w:t>
      </w:r>
      <w:r w:rsidR="00385E0D" w:rsidRPr="005D439E">
        <w:rPr>
          <w:lang w:val="fr-CA"/>
        </w:rPr>
        <w:t>AZ</w:t>
      </w:r>
      <w:r w:rsidR="00BD1DD7" w:rsidRPr="005D439E">
        <w:rPr>
          <w:lang w:val="fr-CA"/>
        </w:rPr>
        <w:noBreakHyphen/>
      </w:r>
      <w:r w:rsidR="00385E0D" w:rsidRPr="005D439E">
        <w:rPr>
          <w:lang w:val="fr-CA"/>
        </w:rPr>
        <w:t>98026278</w:t>
      </w:r>
      <w:r w:rsidR="00AF3DBD" w:rsidRPr="005D439E">
        <w:rPr>
          <w:lang w:val="fr-CA"/>
        </w:rPr>
        <w:t xml:space="preserve">; </w:t>
      </w:r>
      <w:r w:rsidR="00AF3DBD" w:rsidRPr="005D439E">
        <w:rPr>
          <w:i/>
          <w:lang w:val="fr-CA"/>
        </w:rPr>
        <w:t>Ville de Saguenay c. Construction Unibec inc.</w:t>
      </w:r>
      <w:r w:rsidR="003D2DD0" w:rsidRPr="005D439E">
        <w:rPr>
          <w:lang w:val="fr-CA"/>
        </w:rPr>
        <w:t>, 2019 QCCA 38;</w:t>
      </w:r>
      <w:r w:rsidR="005538CF" w:rsidRPr="005D439E">
        <w:rPr>
          <w:lang w:val="fr-CA"/>
        </w:rPr>
        <w:t xml:space="preserve"> </w:t>
      </w:r>
      <w:r w:rsidR="005538CF" w:rsidRPr="005D439E">
        <w:rPr>
          <w:i/>
          <w:lang w:val="fr-CA"/>
        </w:rPr>
        <w:t>Construction Irebec inc. c. Montréal (Ville de)</w:t>
      </w:r>
      <w:r w:rsidR="005538CF" w:rsidRPr="005D439E">
        <w:rPr>
          <w:lang w:val="fr-CA"/>
        </w:rPr>
        <w:t>, 2015 QCCS 4303;</w:t>
      </w:r>
      <w:r w:rsidR="0051102B" w:rsidRPr="005D439E">
        <w:rPr>
          <w:lang w:val="fr-CA"/>
        </w:rPr>
        <w:t xml:space="preserve"> </w:t>
      </w:r>
      <w:r w:rsidR="0051102B" w:rsidRPr="005D439E">
        <w:rPr>
          <w:i/>
          <w:lang w:val="fr-CA"/>
        </w:rPr>
        <w:t>J.E. Verreault &amp; Fils Ltée c. Procureur général (Québec)</w:t>
      </w:r>
      <w:r w:rsidR="0051102B" w:rsidRPr="005D439E">
        <w:rPr>
          <w:lang w:val="fr-CA"/>
        </w:rPr>
        <w:t xml:space="preserve">, [1977] 1 R.C.S. 41; </w:t>
      </w:r>
      <w:r w:rsidR="0051102B" w:rsidRPr="005D439E">
        <w:rPr>
          <w:i/>
          <w:lang w:val="fr-CA"/>
        </w:rPr>
        <w:t>Cité de St</w:t>
      </w:r>
      <w:r w:rsidR="00BD1DD7" w:rsidRPr="005D439E">
        <w:rPr>
          <w:i/>
          <w:lang w:val="fr-CA"/>
        </w:rPr>
        <w:noBreakHyphen/>
      </w:r>
      <w:r w:rsidR="0051102B" w:rsidRPr="005D439E">
        <w:rPr>
          <w:i/>
          <w:lang w:val="fr-CA"/>
        </w:rPr>
        <w:t>Laurent c. Boudrias</w:t>
      </w:r>
      <w:r w:rsidR="0051102B" w:rsidRPr="005D439E">
        <w:rPr>
          <w:lang w:val="fr-CA"/>
        </w:rPr>
        <w:t xml:space="preserve">, [1974] C.A. 473; </w:t>
      </w:r>
      <w:r w:rsidR="0051102B" w:rsidRPr="005D439E">
        <w:rPr>
          <w:i/>
          <w:lang w:val="fr-CA"/>
        </w:rPr>
        <w:t xml:space="preserve">Hinse </w:t>
      </w:r>
      <w:r w:rsidR="0051102B" w:rsidRPr="005D439E">
        <w:rPr>
          <w:i/>
          <w:lang w:val="fr-CA"/>
        </w:rPr>
        <w:lastRenderedPageBreak/>
        <w:t>c. Canada (Procureur général)</w:t>
      </w:r>
      <w:r w:rsidR="0051102B" w:rsidRPr="005D439E">
        <w:rPr>
          <w:lang w:val="fr-CA"/>
        </w:rPr>
        <w:t xml:space="preserve">, 2015 CSC 35, [2015] 2 R.C.S. 621; </w:t>
      </w:r>
      <w:r w:rsidR="0051102B" w:rsidRPr="005D439E">
        <w:rPr>
          <w:i/>
          <w:lang w:val="fr-CA"/>
        </w:rPr>
        <w:t>Finney c. Barreau du Québec</w:t>
      </w:r>
      <w:r w:rsidR="0051102B" w:rsidRPr="005D439E">
        <w:rPr>
          <w:lang w:val="fr-CA"/>
        </w:rPr>
        <w:t xml:space="preserve">, 2004 CSC 36, [2004] 2 R.C.S. 17; </w:t>
      </w:r>
      <w:r w:rsidR="0051102B" w:rsidRPr="005D439E">
        <w:rPr>
          <w:i/>
          <w:lang w:val="fr-CA"/>
        </w:rPr>
        <w:t>Prud’homme c. Prud’homme</w:t>
      </w:r>
      <w:r w:rsidR="0051102B" w:rsidRPr="005D439E">
        <w:rPr>
          <w:lang w:val="fr-CA"/>
        </w:rPr>
        <w:t>, 2</w:t>
      </w:r>
      <w:r w:rsidR="00EE1093" w:rsidRPr="005D439E">
        <w:rPr>
          <w:lang w:val="fr-CA"/>
        </w:rPr>
        <w:t>002 CSC 85, [2002] 4 R.C.S. 663</w:t>
      </w:r>
      <w:r w:rsidR="0051102B" w:rsidRPr="005D439E">
        <w:rPr>
          <w:lang w:val="fr-CA"/>
        </w:rPr>
        <w:t xml:space="preserve">; </w:t>
      </w:r>
      <w:r w:rsidR="0051102B" w:rsidRPr="005D439E">
        <w:rPr>
          <w:i/>
          <w:lang w:val="fr-CA"/>
        </w:rPr>
        <w:t>Agence canadienne d’inspection des aliments c. Institut professionnel de la fonction publique du Canada</w:t>
      </w:r>
      <w:r w:rsidR="0051102B" w:rsidRPr="005D439E">
        <w:rPr>
          <w:lang w:val="fr-CA"/>
        </w:rPr>
        <w:t>, 2010 CSC 66, [2010] 3 R.C.S. 657</w:t>
      </w:r>
      <w:r w:rsidR="00EE1093" w:rsidRPr="005D439E">
        <w:rPr>
          <w:lang w:val="fr-CA"/>
        </w:rPr>
        <w:t>;</w:t>
      </w:r>
      <w:r w:rsidR="00DA6A69" w:rsidRPr="005D439E">
        <w:rPr>
          <w:lang w:val="fr-CA"/>
        </w:rPr>
        <w:t xml:space="preserve"> </w:t>
      </w:r>
      <w:r w:rsidR="00DA6A69" w:rsidRPr="005D439E">
        <w:rPr>
          <w:i/>
          <w:lang w:val="fr-CA"/>
        </w:rPr>
        <w:t>Immeubles Beaurom ltée c. Montréal (Ville de)</w:t>
      </w:r>
      <w:r w:rsidR="00DA6A69" w:rsidRPr="005D439E">
        <w:rPr>
          <w:lang w:val="fr-CA"/>
        </w:rPr>
        <w:t>, 2007 QCCA 41, [2007] R.D.I. 26;</w:t>
      </w:r>
      <w:r w:rsidR="00FF203B" w:rsidRPr="005D439E">
        <w:rPr>
          <w:lang w:val="fr-CA"/>
        </w:rPr>
        <w:t xml:space="preserve"> </w:t>
      </w:r>
      <w:r w:rsidR="00FF203B" w:rsidRPr="005D439E">
        <w:rPr>
          <w:i/>
          <w:szCs w:val="24"/>
          <w:lang w:val="fr-CA"/>
        </w:rPr>
        <w:t>Pacific National Investments Ltd. c. Victoria (Ville)</w:t>
      </w:r>
      <w:r w:rsidR="00FF203B" w:rsidRPr="005D439E">
        <w:rPr>
          <w:szCs w:val="24"/>
          <w:lang w:val="fr-CA"/>
        </w:rPr>
        <w:t>, 2000 CSC 64, [2000] 2 R.C.S. 919;</w:t>
      </w:r>
      <w:r w:rsidR="006B48FC" w:rsidRPr="005D439E">
        <w:rPr>
          <w:szCs w:val="24"/>
          <w:lang w:val="fr-CA"/>
        </w:rPr>
        <w:t xml:space="preserve"> </w:t>
      </w:r>
      <w:r w:rsidR="006B48FC" w:rsidRPr="005D439E">
        <w:rPr>
          <w:i/>
          <w:szCs w:val="24"/>
          <w:lang w:val="fr-CA"/>
        </w:rPr>
        <w:t>Beaudry c. Cité de Beauharnois</w:t>
      </w:r>
      <w:r w:rsidR="006B48FC" w:rsidRPr="005D439E">
        <w:rPr>
          <w:szCs w:val="24"/>
          <w:lang w:val="fr-CA"/>
        </w:rPr>
        <w:t xml:space="preserve">, [1962] B.R. 738; </w:t>
      </w:r>
      <w:r w:rsidR="006B48FC" w:rsidRPr="005D439E">
        <w:rPr>
          <w:i/>
          <w:lang w:val="fr-CA"/>
        </w:rPr>
        <w:t>Lalonde c. Cité de Montréal</w:t>
      </w:r>
      <w:r w:rsidR="00BD1DD7" w:rsidRPr="005D439E">
        <w:rPr>
          <w:i/>
          <w:lang w:val="fr-CA"/>
        </w:rPr>
        <w:noBreakHyphen/>
      </w:r>
      <w:r w:rsidR="006B48FC" w:rsidRPr="005D439E">
        <w:rPr>
          <w:i/>
          <w:lang w:val="fr-CA"/>
        </w:rPr>
        <w:t>Nord</w:t>
      </w:r>
      <w:r w:rsidR="006B48FC" w:rsidRPr="005D439E">
        <w:rPr>
          <w:lang w:val="fr-CA"/>
        </w:rPr>
        <w:t xml:space="preserve">, [1978] 1 R.C.S. 672; </w:t>
      </w:r>
      <w:r w:rsidR="006B48FC" w:rsidRPr="005D439E">
        <w:rPr>
          <w:i/>
          <w:szCs w:val="24"/>
          <w:lang w:val="fr-CA"/>
        </w:rPr>
        <w:t>Olivier c. Corporation du Village de Wottonville</w:t>
      </w:r>
      <w:r w:rsidR="006B48FC" w:rsidRPr="005D439E">
        <w:rPr>
          <w:szCs w:val="24"/>
          <w:lang w:val="fr-CA"/>
        </w:rPr>
        <w:t xml:space="preserve">, [1943] R.C.S. 118; </w:t>
      </w:r>
      <w:r w:rsidR="006B48FC" w:rsidRPr="005D439E">
        <w:rPr>
          <w:i/>
          <w:szCs w:val="24"/>
          <w:lang w:val="fr-CA"/>
        </w:rPr>
        <w:t>Cité de St</w:t>
      </w:r>
      <w:r w:rsidR="00BD1DD7" w:rsidRPr="005D439E">
        <w:rPr>
          <w:i/>
          <w:szCs w:val="24"/>
          <w:lang w:val="fr-CA"/>
        </w:rPr>
        <w:noBreakHyphen/>
      </w:r>
      <w:r w:rsidR="006B48FC" w:rsidRPr="005D439E">
        <w:rPr>
          <w:i/>
          <w:szCs w:val="24"/>
          <w:lang w:val="fr-CA"/>
        </w:rPr>
        <w:t>Romuald d’Etchemin c. S.A.F. Construction inc.</w:t>
      </w:r>
      <w:r w:rsidR="006B48FC" w:rsidRPr="005D439E">
        <w:rPr>
          <w:szCs w:val="24"/>
          <w:lang w:val="fr-CA"/>
        </w:rPr>
        <w:t xml:space="preserve">, [1974] C.A. 411; </w:t>
      </w:r>
      <w:r w:rsidR="006B48FC" w:rsidRPr="005D439E">
        <w:rPr>
          <w:i/>
          <w:szCs w:val="24"/>
          <w:lang w:val="fr-CA"/>
        </w:rPr>
        <w:t>Corporation municipale de Havre St</w:t>
      </w:r>
      <w:r w:rsidR="00BD1DD7" w:rsidRPr="005D439E">
        <w:rPr>
          <w:i/>
          <w:szCs w:val="24"/>
          <w:lang w:val="fr-CA"/>
        </w:rPr>
        <w:noBreakHyphen/>
      </w:r>
      <w:r w:rsidR="006B48FC" w:rsidRPr="005D439E">
        <w:rPr>
          <w:i/>
          <w:szCs w:val="24"/>
          <w:lang w:val="fr-CA"/>
        </w:rPr>
        <w:t>Pierre c. Brochu</w:t>
      </w:r>
      <w:r w:rsidR="006B48FC" w:rsidRPr="005D439E">
        <w:rPr>
          <w:szCs w:val="24"/>
          <w:lang w:val="fr-CA"/>
        </w:rPr>
        <w:t xml:space="preserve">, [1973] C.A. 832; </w:t>
      </w:r>
      <w:r w:rsidR="006B48FC" w:rsidRPr="005D439E">
        <w:rPr>
          <w:i/>
          <w:szCs w:val="24"/>
          <w:lang w:val="fr-CA"/>
        </w:rPr>
        <w:t>Cité de Montréal c. Teodori</w:t>
      </w:r>
      <w:r w:rsidR="00141D3E" w:rsidRPr="005D439E">
        <w:rPr>
          <w:szCs w:val="24"/>
          <w:lang w:val="fr-CA"/>
        </w:rPr>
        <w:t>, [1970] C.A. 401;</w:t>
      </w:r>
      <w:r w:rsidR="006B48FC" w:rsidRPr="005D439E">
        <w:rPr>
          <w:szCs w:val="24"/>
          <w:lang w:val="fr-CA"/>
        </w:rPr>
        <w:t xml:space="preserve"> </w:t>
      </w:r>
      <w:r w:rsidR="006B48FC" w:rsidRPr="005D439E">
        <w:rPr>
          <w:i/>
          <w:szCs w:val="24"/>
          <w:lang w:val="fr-CA"/>
        </w:rPr>
        <w:t xml:space="preserve">Bourque c. </w:t>
      </w:r>
      <w:r w:rsidR="00141D3E" w:rsidRPr="005D439E">
        <w:rPr>
          <w:i/>
          <w:szCs w:val="24"/>
          <w:lang w:val="fr-CA"/>
        </w:rPr>
        <w:t xml:space="preserve">Cité de </w:t>
      </w:r>
      <w:r w:rsidR="006B48FC" w:rsidRPr="005D439E">
        <w:rPr>
          <w:i/>
          <w:szCs w:val="24"/>
          <w:lang w:val="fr-CA"/>
        </w:rPr>
        <w:t xml:space="preserve">Hull </w:t>
      </w:r>
      <w:r w:rsidR="006B48FC" w:rsidRPr="005D439E">
        <w:rPr>
          <w:szCs w:val="24"/>
          <w:lang w:val="fr-CA"/>
        </w:rPr>
        <w:t>(1920), 30 B.R. 221</w:t>
      </w:r>
      <w:r w:rsidR="00141D3E" w:rsidRPr="005D439E">
        <w:rPr>
          <w:szCs w:val="24"/>
          <w:lang w:val="fr-CA"/>
        </w:rPr>
        <w:t xml:space="preserve">; </w:t>
      </w:r>
      <w:r w:rsidR="00025307" w:rsidRPr="005D439E">
        <w:rPr>
          <w:i/>
          <w:lang w:val="fr-CA"/>
        </w:rPr>
        <w:t>Threlfall c. Carleton University</w:t>
      </w:r>
      <w:r w:rsidR="00025307" w:rsidRPr="005D439E">
        <w:rPr>
          <w:lang w:val="fr-CA"/>
        </w:rPr>
        <w:t>, 2019 CSC 50</w:t>
      </w:r>
      <w:r w:rsidR="001F0D2C">
        <w:rPr>
          <w:lang w:val="fr-CA"/>
        </w:rPr>
        <w:t>, [2019] 3 R.C.S. xxx</w:t>
      </w:r>
      <w:r w:rsidR="00025307" w:rsidRPr="005D439E">
        <w:rPr>
          <w:lang w:val="fr-CA"/>
        </w:rPr>
        <w:t xml:space="preserve">; </w:t>
      </w:r>
      <w:r w:rsidR="005051AB" w:rsidRPr="005D439E">
        <w:rPr>
          <w:i/>
          <w:lang w:val="fr-CA"/>
        </w:rPr>
        <w:t>Pearl c. Investissements Contempra Ltée</w:t>
      </w:r>
      <w:r w:rsidR="005051AB" w:rsidRPr="005D439E">
        <w:rPr>
          <w:lang w:val="fr-CA"/>
        </w:rPr>
        <w:t xml:space="preserve">, [1995] R.J.Q. 2697; </w:t>
      </w:r>
      <w:r w:rsidR="005051AB" w:rsidRPr="005D439E">
        <w:rPr>
          <w:i/>
          <w:lang w:val="fr-CA"/>
        </w:rPr>
        <w:t>Roux c. Cordeau</w:t>
      </w:r>
      <w:r w:rsidR="005051AB" w:rsidRPr="005D439E">
        <w:rPr>
          <w:lang w:val="fr-CA"/>
        </w:rPr>
        <w:t>, [1981] R.</w:t>
      </w:r>
      <w:r w:rsidR="00BD1DD7" w:rsidRPr="005D439E">
        <w:rPr>
          <w:lang w:val="fr-CA"/>
        </w:rPr>
        <w:t>P. </w:t>
      </w:r>
      <w:r w:rsidR="005051AB" w:rsidRPr="005D439E">
        <w:rPr>
          <w:lang w:val="fr-CA"/>
        </w:rPr>
        <w:t xml:space="preserve">29; </w:t>
      </w:r>
      <w:r w:rsidR="005051AB" w:rsidRPr="005D439E">
        <w:rPr>
          <w:i/>
          <w:lang w:val="fr-CA"/>
        </w:rPr>
        <w:t>Garage W. Martin Ltée c. Labrie</w:t>
      </w:r>
      <w:r w:rsidR="00562622" w:rsidRPr="005D439E">
        <w:rPr>
          <w:lang w:val="fr-CA"/>
        </w:rPr>
        <w:t>, [1957] C.S. 175;</w:t>
      </w:r>
      <w:r w:rsidR="006C4393" w:rsidRPr="005D439E">
        <w:rPr>
          <w:lang w:val="fr-CA"/>
        </w:rPr>
        <w:t xml:space="preserve"> </w:t>
      </w:r>
      <w:r w:rsidR="00997178" w:rsidRPr="005D439E">
        <w:rPr>
          <w:i/>
          <w:lang w:val="fr-CA"/>
        </w:rPr>
        <w:t xml:space="preserve">Sodexho Québec ltée c. </w:t>
      </w:r>
      <w:r w:rsidR="006C4393" w:rsidRPr="005D439E">
        <w:rPr>
          <w:i/>
          <w:lang w:val="fr-CA"/>
        </w:rPr>
        <w:t>Cie de chemin de fer du littoral no</w:t>
      </w:r>
      <w:r w:rsidR="00997178" w:rsidRPr="005D439E">
        <w:rPr>
          <w:i/>
          <w:lang w:val="fr-CA"/>
        </w:rPr>
        <w:t>rd de Québec &amp; du Labrador inc</w:t>
      </w:r>
      <w:r w:rsidR="006C4393" w:rsidRPr="005D439E">
        <w:rPr>
          <w:i/>
          <w:lang w:val="fr-CA"/>
        </w:rPr>
        <w:t>.</w:t>
      </w:r>
      <w:r w:rsidR="006C4393" w:rsidRPr="005D439E">
        <w:rPr>
          <w:lang w:val="fr-CA"/>
        </w:rPr>
        <w:t>, 2010 QCCA 2408</w:t>
      </w:r>
      <w:r w:rsidR="00997178" w:rsidRPr="005D439E">
        <w:rPr>
          <w:lang w:val="fr-CA"/>
        </w:rPr>
        <w:t xml:space="preserve">, 89 C.C.P.B. 203; </w:t>
      </w:r>
      <w:r w:rsidR="00997178" w:rsidRPr="005D439E">
        <w:rPr>
          <w:i/>
          <w:lang w:val="fr-CA"/>
        </w:rPr>
        <w:t>Agence de développement de réseaux locaux de services de santé et de services sociaux de Laval (Régie régionale de la santé et de services sociaux de Laval) c. 9112</w:t>
      </w:r>
      <w:r w:rsidR="00BD1DD7" w:rsidRPr="005D439E">
        <w:rPr>
          <w:i/>
          <w:lang w:val="fr-CA"/>
        </w:rPr>
        <w:noBreakHyphen/>
      </w:r>
      <w:r w:rsidR="00997178" w:rsidRPr="005D439E">
        <w:rPr>
          <w:i/>
          <w:lang w:val="fr-CA"/>
        </w:rPr>
        <w:t>4511 Québec inc.</w:t>
      </w:r>
      <w:r w:rsidR="00997178" w:rsidRPr="005D439E">
        <w:rPr>
          <w:lang w:val="fr-CA"/>
        </w:rPr>
        <w:t>, 2006 QCCS 5323, conf. par 2008 QCCA 848;</w:t>
      </w:r>
      <w:r w:rsidR="00C52689" w:rsidRPr="005D439E">
        <w:rPr>
          <w:lang w:val="fr-CA"/>
        </w:rPr>
        <w:t xml:space="preserve"> </w:t>
      </w:r>
      <w:r w:rsidR="00C52689" w:rsidRPr="005D439E">
        <w:rPr>
          <w:i/>
          <w:szCs w:val="24"/>
          <w:lang w:val="fr-CA"/>
        </w:rPr>
        <w:t>Canadian Imperial Bank of Commerce c. Perrault et Perrault Ltée</w:t>
      </w:r>
      <w:r w:rsidR="00C52689" w:rsidRPr="005D439E">
        <w:rPr>
          <w:szCs w:val="24"/>
          <w:lang w:val="fr-CA"/>
        </w:rPr>
        <w:t xml:space="preserve">, [1969] B.R. 958; </w:t>
      </w:r>
      <w:r w:rsidR="00C52689" w:rsidRPr="005D439E">
        <w:rPr>
          <w:i/>
          <w:szCs w:val="24"/>
          <w:lang w:val="fr-CA"/>
        </w:rPr>
        <w:t>Aussant c. Axa Assurances inc.</w:t>
      </w:r>
      <w:r w:rsidR="00C52689" w:rsidRPr="005D439E">
        <w:rPr>
          <w:szCs w:val="24"/>
          <w:lang w:val="fr-CA"/>
        </w:rPr>
        <w:t>, 2013 QCCQ 398</w:t>
      </w:r>
      <w:r w:rsidR="00383E89" w:rsidRPr="005D439E">
        <w:rPr>
          <w:szCs w:val="24"/>
          <w:lang w:val="fr-CA"/>
        </w:rPr>
        <w:t>, [2013] R.J.Q. 533</w:t>
      </w:r>
      <w:r w:rsidR="00C52689" w:rsidRPr="005D439E">
        <w:rPr>
          <w:szCs w:val="24"/>
          <w:lang w:val="fr-CA"/>
        </w:rPr>
        <w:t xml:space="preserve">; </w:t>
      </w:r>
      <w:r w:rsidR="00C52689" w:rsidRPr="005D439E">
        <w:rPr>
          <w:i/>
          <w:szCs w:val="24"/>
          <w:lang w:val="fr-CA"/>
        </w:rPr>
        <w:t>Société nationale de fiducie c. Robitaille</w:t>
      </w:r>
      <w:r w:rsidR="00C52689" w:rsidRPr="005D439E">
        <w:rPr>
          <w:szCs w:val="24"/>
          <w:lang w:val="fr-CA"/>
        </w:rPr>
        <w:t xml:space="preserve">, [1983] C.A. 521; </w:t>
      </w:r>
      <w:r w:rsidR="00C52689" w:rsidRPr="005D439E">
        <w:rPr>
          <w:i/>
          <w:szCs w:val="24"/>
          <w:lang w:val="fr-CA"/>
        </w:rPr>
        <w:t>Commission des écoles catholiques de Verdun c. Giroux</w:t>
      </w:r>
      <w:r w:rsidR="00C52689" w:rsidRPr="005D439E">
        <w:rPr>
          <w:szCs w:val="24"/>
          <w:lang w:val="fr-CA"/>
        </w:rPr>
        <w:t>, [1986] R.J.Q. 2970</w:t>
      </w:r>
      <w:r w:rsidR="000E080B" w:rsidRPr="005D439E">
        <w:rPr>
          <w:szCs w:val="24"/>
          <w:lang w:val="fr-CA"/>
        </w:rPr>
        <w:t xml:space="preserve">; </w:t>
      </w:r>
      <w:r w:rsidR="000E080B" w:rsidRPr="005D439E">
        <w:rPr>
          <w:i/>
          <w:lang w:val="fr-CA"/>
        </w:rPr>
        <w:t>Pelletier c. SSQ, société d’assurance</w:t>
      </w:r>
      <w:r w:rsidR="00BD1DD7" w:rsidRPr="005D439E">
        <w:rPr>
          <w:i/>
          <w:lang w:val="fr-CA"/>
        </w:rPr>
        <w:noBreakHyphen/>
      </w:r>
      <w:r w:rsidR="000E080B" w:rsidRPr="005D439E">
        <w:rPr>
          <w:i/>
          <w:lang w:val="fr-CA"/>
        </w:rPr>
        <w:t>vie inc.</w:t>
      </w:r>
      <w:r w:rsidR="000E080B" w:rsidRPr="005D439E">
        <w:rPr>
          <w:lang w:val="fr-CA"/>
        </w:rPr>
        <w:t xml:space="preserve">, 2015 QCCS 132; </w:t>
      </w:r>
      <w:r w:rsidR="000E080B" w:rsidRPr="005D439E">
        <w:rPr>
          <w:i/>
          <w:lang w:val="fr-CA"/>
        </w:rPr>
        <w:t>Faucher c. SSQ, société d’assurance</w:t>
      </w:r>
      <w:r w:rsidR="00BD1DD7" w:rsidRPr="005D439E">
        <w:rPr>
          <w:i/>
          <w:lang w:val="fr-CA"/>
        </w:rPr>
        <w:noBreakHyphen/>
      </w:r>
      <w:r w:rsidR="000E080B" w:rsidRPr="005D439E">
        <w:rPr>
          <w:i/>
          <w:lang w:val="fr-CA"/>
        </w:rPr>
        <w:t>vie inc.</w:t>
      </w:r>
      <w:r w:rsidR="000E080B" w:rsidRPr="005D439E">
        <w:rPr>
          <w:lang w:val="fr-CA"/>
        </w:rPr>
        <w:t xml:space="preserve">, 2010 QCCS 4072, [2010] R.R.A. </w:t>
      </w:r>
      <w:r w:rsidR="00DD6597" w:rsidRPr="005D439E">
        <w:rPr>
          <w:lang w:val="fr-CA"/>
        </w:rPr>
        <w:t>1111</w:t>
      </w:r>
      <w:r w:rsidR="000E080B" w:rsidRPr="005D439E">
        <w:rPr>
          <w:lang w:val="fr-CA"/>
        </w:rPr>
        <w:t xml:space="preserve">; </w:t>
      </w:r>
      <w:r w:rsidR="000E080B" w:rsidRPr="005D439E">
        <w:rPr>
          <w:i/>
          <w:lang w:val="fr-CA"/>
        </w:rPr>
        <w:t>Steckmar Cor</w:t>
      </w:r>
      <w:r w:rsidR="00BD1DD7" w:rsidRPr="005D439E">
        <w:rPr>
          <w:i/>
          <w:lang w:val="fr-CA"/>
        </w:rPr>
        <w:t>p. </w:t>
      </w:r>
      <w:r w:rsidR="000E080B" w:rsidRPr="005D439E">
        <w:rPr>
          <w:i/>
          <w:lang w:val="fr-CA"/>
        </w:rPr>
        <w:t xml:space="preserve">c. Consultants Zenda </w:t>
      </w:r>
      <w:r w:rsidR="00DD6597" w:rsidRPr="005D439E">
        <w:rPr>
          <w:i/>
          <w:lang w:val="fr-CA"/>
        </w:rPr>
        <w:t>l</w:t>
      </w:r>
      <w:r w:rsidR="000E080B" w:rsidRPr="005D439E">
        <w:rPr>
          <w:i/>
          <w:lang w:val="fr-CA"/>
        </w:rPr>
        <w:t>tée</w:t>
      </w:r>
      <w:r w:rsidR="000E080B" w:rsidRPr="005D439E">
        <w:rPr>
          <w:lang w:val="fr-CA"/>
        </w:rPr>
        <w:t xml:space="preserve">, </w:t>
      </w:r>
      <w:r w:rsidR="00DD6597" w:rsidRPr="005D439E">
        <w:rPr>
          <w:lang w:val="fr-CA"/>
        </w:rPr>
        <w:t>2000 CanLII 18061</w:t>
      </w:r>
      <w:r w:rsidR="000E080B" w:rsidRPr="005D439E">
        <w:rPr>
          <w:lang w:val="fr-CA"/>
        </w:rPr>
        <w:t xml:space="preserve">; </w:t>
      </w:r>
      <w:r w:rsidR="000E080B" w:rsidRPr="005D439E">
        <w:rPr>
          <w:i/>
          <w:lang w:val="fr-CA"/>
        </w:rPr>
        <w:t>London Life, cie d’assurance</w:t>
      </w:r>
      <w:r w:rsidR="00BD1DD7" w:rsidRPr="005D439E">
        <w:rPr>
          <w:i/>
          <w:lang w:val="fr-CA"/>
        </w:rPr>
        <w:noBreakHyphen/>
      </w:r>
      <w:r w:rsidR="000E080B" w:rsidRPr="005D439E">
        <w:rPr>
          <w:i/>
          <w:lang w:val="fr-CA"/>
        </w:rPr>
        <w:t>vie c. Leclerc</w:t>
      </w:r>
      <w:r w:rsidR="00571446" w:rsidRPr="005D439E">
        <w:rPr>
          <w:lang w:val="fr-CA"/>
        </w:rPr>
        <w:t xml:space="preserve">, 2002 CanLII 17098; </w:t>
      </w:r>
      <w:r w:rsidR="000E080B" w:rsidRPr="005D439E">
        <w:rPr>
          <w:i/>
          <w:lang w:val="fr-CA"/>
        </w:rPr>
        <w:t xml:space="preserve">L’Unique, assurances générales </w:t>
      </w:r>
      <w:r w:rsidR="00571446" w:rsidRPr="005D439E">
        <w:rPr>
          <w:i/>
          <w:lang w:val="fr-CA"/>
        </w:rPr>
        <w:t>i</w:t>
      </w:r>
      <w:r w:rsidR="000E080B" w:rsidRPr="005D439E">
        <w:rPr>
          <w:i/>
          <w:lang w:val="fr-CA"/>
        </w:rPr>
        <w:t xml:space="preserve">nc. </w:t>
      </w:r>
      <w:r w:rsidR="000E080B" w:rsidRPr="005D439E">
        <w:rPr>
          <w:i/>
          <w:lang w:val="fr-CA"/>
        </w:rPr>
        <w:lastRenderedPageBreak/>
        <w:t>c. Roy</w:t>
      </w:r>
      <w:r w:rsidR="000E080B" w:rsidRPr="005D439E">
        <w:rPr>
          <w:lang w:val="fr-CA"/>
        </w:rPr>
        <w:t xml:space="preserve">, 2017 QCCS 3971; </w:t>
      </w:r>
      <w:r w:rsidR="000E080B" w:rsidRPr="005D439E">
        <w:rPr>
          <w:i/>
          <w:lang w:val="fr-CA"/>
        </w:rPr>
        <w:t xml:space="preserve">Société canadienne de sel </w:t>
      </w:r>
      <w:r w:rsidR="00571446" w:rsidRPr="005D439E">
        <w:rPr>
          <w:i/>
          <w:lang w:val="fr-CA"/>
        </w:rPr>
        <w:t>l</w:t>
      </w:r>
      <w:r w:rsidR="000E080B" w:rsidRPr="005D439E">
        <w:rPr>
          <w:i/>
          <w:lang w:val="fr-CA"/>
        </w:rPr>
        <w:t>tée c. Dubord</w:t>
      </w:r>
      <w:r w:rsidR="000E080B" w:rsidRPr="005D439E">
        <w:rPr>
          <w:lang w:val="fr-CA"/>
        </w:rPr>
        <w:t>, 2012 QCCS 1994</w:t>
      </w:r>
      <w:r w:rsidR="00571446" w:rsidRPr="005D439E">
        <w:rPr>
          <w:lang w:val="fr-CA"/>
        </w:rPr>
        <w:t xml:space="preserve">; </w:t>
      </w:r>
      <w:r w:rsidR="00571446" w:rsidRPr="005D439E">
        <w:rPr>
          <w:i/>
          <w:lang w:val="fr-CA"/>
        </w:rPr>
        <w:t>Puits du Québec Inc. c. Lajoie</w:t>
      </w:r>
      <w:r w:rsidR="00571446" w:rsidRPr="005D439E">
        <w:rPr>
          <w:lang w:val="fr-CA"/>
        </w:rPr>
        <w:t>, [1986] J.Q. n</w:t>
      </w:r>
      <w:r w:rsidR="00571446" w:rsidRPr="005D439E">
        <w:rPr>
          <w:vertAlign w:val="superscript"/>
          <w:lang w:val="fr-CA"/>
        </w:rPr>
        <w:t>o</w:t>
      </w:r>
      <w:r w:rsidR="00571446" w:rsidRPr="005D439E">
        <w:rPr>
          <w:lang w:val="fr-CA"/>
        </w:rPr>
        <w:t xml:space="preserve"> 447; </w:t>
      </w:r>
      <w:r w:rsidR="00571446" w:rsidRPr="005D439E">
        <w:rPr>
          <w:i/>
          <w:lang w:val="fr-CA"/>
        </w:rPr>
        <w:t>Sotramex Inc. c. Ste</w:t>
      </w:r>
      <w:r w:rsidR="00BD1DD7" w:rsidRPr="005D439E">
        <w:rPr>
          <w:i/>
          <w:lang w:val="fr-CA"/>
        </w:rPr>
        <w:noBreakHyphen/>
      </w:r>
      <w:r w:rsidR="00571446" w:rsidRPr="005D439E">
        <w:rPr>
          <w:i/>
          <w:lang w:val="fr-CA"/>
        </w:rPr>
        <w:t>Marthe</w:t>
      </w:r>
      <w:r w:rsidR="00BD1DD7" w:rsidRPr="005D439E">
        <w:rPr>
          <w:i/>
          <w:lang w:val="fr-CA"/>
        </w:rPr>
        <w:noBreakHyphen/>
      </w:r>
      <w:r w:rsidR="00571446" w:rsidRPr="005D439E">
        <w:rPr>
          <w:i/>
          <w:lang w:val="fr-CA"/>
        </w:rPr>
        <w:t>sur</w:t>
      </w:r>
      <w:r w:rsidR="00BD1DD7" w:rsidRPr="005D439E">
        <w:rPr>
          <w:i/>
          <w:lang w:val="fr-CA"/>
        </w:rPr>
        <w:noBreakHyphen/>
      </w:r>
      <w:r w:rsidR="00571446" w:rsidRPr="005D439E">
        <w:rPr>
          <w:i/>
          <w:lang w:val="fr-CA"/>
        </w:rPr>
        <w:t>le</w:t>
      </w:r>
      <w:r w:rsidR="00BD1DD7" w:rsidRPr="005D439E">
        <w:rPr>
          <w:i/>
          <w:lang w:val="fr-CA"/>
        </w:rPr>
        <w:noBreakHyphen/>
      </w:r>
      <w:r w:rsidR="00571446" w:rsidRPr="005D439E">
        <w:rPr>
          <w:i/>
          <w:lang w:val="fr-CA"/>
        </w:rPr>
        <w:t>Lac (Ville de)</w:t>
      </w:r>
      <w:r w:rsidR="00571446" w:rsidRPr="005D439E">
        <w:rPr>
          <w:lang w:val="fr-CA"/>
        </w:rPr>
        <w:t xml:space="preserve">, </w:t>
      </w:r>
      <w:r w:rsidR="00D96F67" w:rsidRPr="005D439E">
        <w:rPr>
          <w:lang w:val="fr-CA"/>
        </w:rPr>
        <w:t>[1988] AZ</w:t>
      </w:r>
      <w:r w:rsidR="00BD1DD7" w:rsidRPr="005D439E">
        <w:rPr>
          <w:lang w:val="fr-CA"/>
        </w:rPr>
        <w:noBreakHyphen/>
      </w:r>
      <w:r w:rsidR="00D96F67" w:rsidRPr="005D439E">
        <w:rPr>
          <w:lang w:val="fr-CA"/>
        </w:rPr>
        <w:t>88021171</w:t>
      </w:r>
      <w:r w:rsidR="00571446" w:rsidRPr="005D439E">
        <w:rPr>
          <w:lang w:val="fr-CA"/>
        </w:rPr>
        <w:t xml:space="preserve">; </w:t>
      </w:r>
      <w:r w:rsidR="00A27DE1" w:rsidRPr="005D439E">
        <w:rPr>
          <w:i/>
          <w:lang w:val="fr-CA"/>
        </w:rPr>
        <w:t>Tableaux Indicateurs International inc. c. Cité de Beauharnois</w:t>
      </w:r>
      <w:r w:rsidR="00A27DE1" w:rsidRPr="005D439E">
        <w:rPr>
          <w:lang w:val="fr-CA"/>
        </w:rPr>
        <w:t xml:space="preserve">, C.S. Québec, n° 13617, 11 avril 1975; </w:t>
      </w:r>
      <w:r w:rsidR="00A27DE1" w:rsidRPr="005D439E">
        <w:rPr>
          <w:i/>
          <w:lang w:val="fr-CA"/>
        </w:rPr>
        <w:t>2736</w:t>
      </w:r>
      <w:r w:rsidR="00BD1DD7" w:rsidRPr="005D439E">
        <w:rPr>
          <w:i/>
          <w:lang w:val="fr-CA"/>
        </w:rPr>
        <w:noBreakHyphen/>
      </w:r>
      <w:r w:rsidR="00A27DE1" w:rsidRPr="005D439E">
        <w:rPr>
          <w:i/>
          <w:lang w:val="fr-CA"/>
        </w:rPr>
        <w:t>4694 Québec inc. c. Carleton</w:t>
      </w:r>
      <w:r w:rsidR="008A3EE9" w:rsidRPr="005D439E">
        <w:rPr>
          <w:i/>
          <w:lang w:val="fr-CA"/>
        </w:rPr>
        <w:t xml:space="preserve"> </w:t>
      </w:r>
      <w:r w:rsidR="00A27DE1" w:rsidRPr="005D439E">
        <w:rPr>
          <w:i/>
          <w:lang w:val="fr-CA"/>
        </w:rPr>
        <w:t>—</w:t>
      </w:r>
      <w:r w:rsidR="008A3EE9" w:rsidRPr="005D439E">
        <w:rPr>
          <w:i/>
          <w:lang w:val="fr-CA"/>
        </w:rPr>
        <w:t xml:space="preserve"> </w:t>
      </w:r>
      <w:r w:rsidR="00A27DE1" w:rsidRPr="005D439E">
        <w:rPr>
          <w:i/>
          <w:lang w:val="fr-CA"/>
        </w:rPr>
        <w:t>St</w:t>
      </w:r>
      <w:r w:rsidR="00BD1DD7" w:rsidRPr="005D439E">
        <w:rPr>
          <w:i/>
          <w:lang w:val="fr-CA"/>
        </w:rPr>
        <w:noBreakHyphen/>
      </w:r>
      <w:r w:rsidR="00A27DE1" w:rsidRPr="005D439E">
        <w:rPr>
          <w:i/>
          <w:lang w:val="fr-CA"/>
        </w:rPr>
        <w:t>Omer (Ville de)</w:t>
      </w:r>
      <w:r w:rsidR="00A27DE1" w:rsidRPr="005D439E">
        <w:rPr>
          <w:lang w:val="fr-CA"/>
        </w:rPr>
        <w:t>, 2006 QCCS 4726, conf. par 2007 QCCA 1789.</w:t>
      </w:r>
    </w:p>
    <w:p w:rsidR="004D7D95" w:rsidRPr="005D439E" w:rsidRDefault="004D7D95" w:rsidP="00AE6652">
      <w:pPr>
        <w:pStyle w:val="SCCNormalDoubleSpacing"/>
        <w:spacing w:after="720" w:line="240" w:lineRule="auto"/>
        <w:rPr>
          <w:b/>
          <w:lang w:val="fr-CA"/>
        </w:rPr>
      </w:pPr>
      <w:r w:rsidRPr="005D439E">
        <w:rPr>
          <w:b/>
          <w:lang w:val="fr-CA"/>
        </w:rPr>
        <w:t>Lois et règlements cités</w:t>
      </w:r>
    </w:p>
    <w:p w:rsidR="002C01BE" w:rsidRPr="005D439E" w:rsidRDefault="002C01BE" w:rsidP="00345090">
      <w:pPr>
        <w:pStyle w:val="SCCNormalDoubleSpacing"/>
        <w:spacing w:after="240" w:line="240" w:lineRule="auto"/>
        <w:ind w:left="540" w:hanging="540"/>
        <w:rPr>
          <w:lang w:val="fr-CA"/>
        </w:rPr>
      </w:pPr>
      <w:r w:rsidRPr="005D439E">
        <w:rPr>
          <w:i/>
          <w:lang w:val="fr-CA"/>
        </w:rPr>
        <w:t>Charte de la ville de Montréal, métropole du Québec</w:t>
      </w:r>
      <w:r w:rsidRPr="005D439E">
        <w:rPr>
          <w:lang w:val="fr-CA"/>
        </w:rPr>
        <w:t>, RLRQ, c. C</w:t>
      </w:r>
      <w:r w:rsidRPr="005D439E">
        <w:rPr>
          <w:lang w:val="fr-CA"/>
        </w:rPr>
        <w:noBreakHyphen/>
        <w:t>11.4, art. 33 al. 2.</w:t>
      </w:r>
    </w:p>
    <w:p w:rsidR="002C01BE" w:rsidRPr="005D439E" w:rsidRDefault="002C01BE" w:rsidP="00AE6652">
      <w:pPr>
        <w:pStyle w:val="SCCNormalDoubleSpacing"/>
        <w:spacing w:after="240" w:line="240" w:lineRule="auto"/>
        <w:ind w:left="547" w:hanging="547"/>
        <w:rPr>
          <w:i/>
          <w:iCs/>
          <w:lang w:val="fr-CA"/>
        </w:rPr>
      </w:pPr>
      <w:r w:rsidRPr="005D439E">
        <w:rPr>
          <w:rStyle w:val="solexhl"/>
          <w:i/>
          <w:iCs/>
          <w:lang w:val="fr-CA"/>
        </w:rPr>
        <w:t>Code civil du Bas</w:t>
      </w:r>
      <w:r w:rsidRPr="005D439E">
        <w:rPr>
          <w:i/>
          <w:iCs/>
          <w:lang w:val="fr-CA"/>
        </w:rPr>
        <w:noBreakHyphen/>
        <w:t>Canada.</w:t>
      </w:r>
    </w:p>
    <w:p w:rsidR="002C01BE" w:rsidRPr="005D439E" w:rsidRDefault="002C01BE" w:rsidP="00345090">
      <w:pPr>
        <w:pStyle w:val="SCCNormalDoubleSpacing"/>
        <w:spacing w:after="240" w:line="240" w:lineRule="auto"/>
        <w:ind w:left="540" w:hanging="540"/>
        <w:rPr>
          <w:lang w:val="fr-CA"/>
        </w:rPr>
      </w:pPr>
      <w:r w:rsidRPr="005D439E">
        <w:rPr>
          <w:i/>
          <w:lang w:val="fr-CA"/>
        </w:rPr>
        <w:t>Code civil du Québec</w:t>
      </w:r>
      <w:r w:rsidRPr="005D439E">
        <w:rPr>
          <w:lang w:val="fr-CA"/>
        </w:rPr>
        <w:t xml:space="preserve">, art. 298, 300, Livre cinquième, 1376, 1378 al. 1, 1385 à 1397, </w:t>
      </w:r>
      <w:r w:rsidR="00AB4E75">
        <w:rPr>
          <w:lang w:val="fr-CA"/>
        </w:rPr>
        <w:t xml:space="preserve">1416 à 1419, 1422, 1457, 1491, </w:t>
      </w:r>
      <w:r w:rsidRPr="005D439E">
        <w:rPr>
          <w:lang w:val="fr-CA"/>
        </w:rPr>
        <w:t>1492, 1553 à 1555, 1671, 1699</w:t>
      </w:r>
      <w:r w:rsidR="00193928" w:rsidRPr="005D439E">
        <w:rPr>
          <w:lang w:val="fr-CA"/>
        </w:rPr>
        <w:t xml:space="preserve"> à </w:t>
      </w:r>
      <w:r w:rsidRPr="005D439E">
        <w:rPr>
          <w:lang w:val="fr-CA"/>
        </w:rPr>
        <w:t>1707</w:t>
      </w:r>
      <w:r w:rsidR="00D731A2" w:rsidRPr="005D439E">
        <w:rPr>
          <w:lang w:val="fr-CA"/>
        </w:rPr>
        <w:t>,</w:t>
      </w:r>
      <w:r w:rsidRPr="005D439E">
        <w:rPr>
          <w:lang w:val="fr-CA"/>
        </w:rPr>
        <w:t xml:space="preserve"> 2101, 2158, 2163, 2803 al. 1,</w:t>
      </w:r>
      <w:r w:rsidR="00AE6652" w:rsidRPr="005D439E">
        <w:rPr>
          <w:lang w:val="fr-CA"/>
        </w:rPr>
        <w:t xml:space="preserve"> 2925.</w:t>
      </w:r>
    </w:p>
    <w:p w:rsidR="002C01BE" w:rsidRPr="005D439E" w:rsidRDefault="002C01BE" w:rsidP="00345090">
      <w:pPr>
        <w:pStyle w:val="SCCNormalDoubleSpacing"/>
        <w:spacing w:after="240" w:line="240" w:lineRule="auto"/>
        <w:ind w:left="540" w:hanging="540"/>
        <w:rPr>
          <w:szCs w:val="24"/>
          <w:lang w:val="fr-CA"/>
        </w:rPr>
      </w:pPr>
      <w:r w:rsidRPr="005D439E">
        <w:rPr>
          <w:i/>
          <w:szCs w:val="24"/>
          <w:lang w:val="fr-CA"/>
        </w:rPr>
        <w:t>Code municipal du Québec</w:t>
      </w:r>
      <w:r w:rsidRPr="005D439E">
        <w:rPr>
          <w:szCs w:val="24"/>
          <w:lang w:val="fr-CA"/>
        </w:rPr>
        <w:t>, RLRQ, c. C</w:t>
      </w:r>
      <w:r w:rsidRPr="005D439E">
        <w:rPr>
          <w:szCs w:val="24"/>
          <w:lang w:val="fr-CA"/>
        </w:rPr>
        <w:noBreakHyphen/>
        <w:t xml:space="preserve">27.1, </w:t>
      </w:r>
      <w:r w:rsidRPr="005D439E">
        <w:rPr>
          <w:lang w:val="fr-CA"/>
        </w:rPr>
        <w:t>art. </w:t>
      </w:r>
      <w:r w:rsidR="00AE6652" w:rsidRPr="005D439E">
        <w:rPr>
          <w:szCs w:val="24"/>
          <w:lang w:val="fr-CA"/>
        </w:rPr>
        <w:t>79, 438 al. </w:t>
      </w:r>
      <w:r w:rsidR="00B742E0" w:rsidRPr="005D439E">
        <w:rPr>
          <w:szCs w:val="24"/>
          <w:lang w:val="fr-CA"/>
        </w:rPr>
        <w:t>1</w:t>
      </w:r>
      <w:r w:rsidRPr="005D439E">
        <w:rPr>
          <w:szCs w:val="24"/>
          <w:lang w:val="fr-CA"/>
        </w:rPr>
        <w:t>.</w:t>
      </w:r>
    </w:p>
    <w:p w:rsidR="002C01BE" w:rsidRPr="005D439E" w:rsidRDefault="002C01BE" w:rsidP="00345090">
      <w:pPr>
        <w:pStyle w:val="SCCNormalDoubleSpacing"/>
        <w:spacing w:after="240" w:line="240" w:lineRule="auto"/>
        <w:ind w:left="540" w:hanging="540"/>
        <w:rPr>
          <w:lang w:val="fr-CA"/>
        </w:rPr>
      </w:pPr>
      <w:r w:rsidRPr="005D439E">
        <w:rPr>
          <w:i/>
          <w:lang w:val="fr-CA"/>
        </w:rPr>
        <w:t>Loi modifiant diverses dispositions législatives concernant le domaine municipal</w:t>
      </w:r>
      <w:r w:rsidRPr="005D439E">
        <w:rPr>
          <w:lang w:val="fr-CA"/>
        </w:rPr>
        <w:t>, L.Q. 2018, c. 8.</w:t>
      </w:r>
    </w:p>
    <w:p w:rsidR="002C01BE" w:rsidRPr="005D439E" w:rsidRDefault="002C01BE" w:rsidP="00345090">
      <w:pPr>
        <w:pStyle w:val="SCCNormalDoubleSpacing"/>
        <w:spacing w:after="240" w:line="240" w:lineRule="auto"/>
        <w:ind w:left="540" w:hanging="540"/>
        <w:rPr>
          <w:lang w:val="fr-CA"/>
        </w:rPr>
      </w:pPr>
      <w:r w:rsidRPr="005D439E">
        <w:rPr>
          <w:i/>
          <w:lang w:val="fr-CA"/>
        </w:rPr>
        <w:t>Loi modifiant diverses dispositions législatives en matière municipale</w:t>
      </w:r>
      <w:r w:rsidR="003941EB">
        <w:rPr>
          <w:i/>
          <w:lang w:val="fr-CA"/>
        </w:rPr>
        <w:t xml:space="preserve"> et </w:t>
      </w:r>
      <w:r w:rsidR="003941EB" w:rsidRPr="003941EB">
        <w:rPr>
          <w:i/>
          <w:lang w:val="fr-CA"/>
        </w:rPr>
        <w:t>la Société d’habitation du Québec</w:t>
      </w:r>
      <w:r w:rsidRPr="005D439E">
        <w:rPr>
          <w:lang w:val="fr-CA"/>
        </w:rPr>
        <w:t>, L.Q. 2001, c. 25, art. 34, 54, 512.</w:t>
      </w:r>
    </w:p>
    <w:p w:rsidR="002C01BE" w:rsidRPr="005D439E" w:rsidRDefault="002C01BE" w:rsidP="00345090">
      <w:pPr>
        <w:pStyle w:val="SCCNormalDoubleSpacing"/>
        <w:spacing w:after="240" w:line="240" w:lineRule="auto"/>
        <w:ind w:left="540" w:hanging="540"/>
        <w:rPr>
          <w:lang w:val="fr-CA"/>
        </w:rPr>
      </w:pPr>
      <w:r w:rsidRPr="005D439E">
        <w:rPr>
          <w:i/>
          <w:lang w:val="fr-CA"/>
        </w:rPr>
        <w:t>Loi sur les cités et villes</w:t>
      </w:r>
      <w:r w:rsidRPr="005D439E">
        <w:rPr>
          <w:lang w:val="fr-CA"/>
        </w:rPr>
        <w:t>, RLRQ, c. C</w:t>
      </w:r>
      <w:r w:rsidRPr="005D439E">
        <w:rPr>
          <w:lang w:val="fr-CA"/>
        </w:rPr>
        <w:noBreakHyphen/>
        <w:t>19, art. 47, 70.1 et suiv., 114.7, 114.10, 350, 477.2, 573 et suiv., 586, 604.6(2).</w:t>
      </w:r>
    </w:p>
    <w:p w:rsidR="002C01BE" w:rsidRPr="005D439E" w:rsidRDefault="002C01BE" w:rsidP="003E27EB">
      <w:pPr>
        <w:pStyle w:val="SCCNormalDoubleSpacing"/>
        <w:spacing w:after="720" w:line="240" w:lineRule="auto"/>
        <w:ind w:left="547" w:hanging="547"/>
        <w:rPr>
          <w:szCs w:val="24"/>
          <w:lang w:val="fr-CA"/>
        </w:rPr>
      </w:pPr>
      <w:r w:rsidRPr="005D439E">
        <w:rPr>
          <w:i/>
          <w:szCs w:val="24"/>
          <w:lang w:val="fr-CA"/>
        </w:rPr>
        <w:t>Règlement intérieur du comité exécutif sur la délégation de pouvoirs aux fonctionnaires et employés</w:t>
      </w:r>
      <w:r w:rsidRPr="005D439E">
        <w:rPr>
          <w:szCs w:val="24"/>
          <w:lang w:val="fr-CA"/>
        </w:rPr>
        <w:t>, 26 juin 2002, Ville de Montréal, Règl. 02</w:t>
      </w:r>
      <w:r w:rsidRPr="005D439E">
        <w:rPr>
          <w:szCs w:val="24"/>
          <w:lang w:val="fr-CA"/>
        </w:rPr>
        <w:noBreakHyphen/>
        <w:t>004, art. 22.</w:t>
      </w:r>
    </w:p>
    <w:p w:rsidR="004D7D95" w:rsidRPr="005D439E" w:rsidRDefault="004D7D95" w:rsidP="003E27EB">
      <w:pPr>
        <w:pStyle w:val="SCCNormalDoubleSpacing"/>
        <w:spacing w:after="720" w:line="240" w:lineRule="auto"/>
        <w:rPr>
          <w:b/>
          <w:lang w:val="fr-CA"/>
        </w:rPr>
      </w:pPr>
      <w:r w:rsidRPr="005D439E">
        <w:rPr>
          <w:b/>
          <w:lang w:val="fr-CA"/>
        </w:rPr>
        <w:t>Doctrine et autres documents cités</w:t>
      </w:r>
    </w:p>
    <w:p w:rsidR="00C20BF4" w:rsidRPr="005D439E" w:rsidRDefault="00276E5D" w:rsidP="00345090">
      <w:pPr>
        <w:pStyle w:val="SCCNormalDoubleSpacing"/>
        <w:spacing w:after="240" w:line="240" w:lineRule="auto"/>
        <w:ind w:left="540" w:hanging="540"/>
        <w:rPr>
          <w:lang w:val="fr-CA"/>
        </w:rPr>
      </w:pPr>
      <w:r w:rsidRPr="005D439E">
        <w:rPr>
          <w:lang w:val="fr-CA"/>
        </w:rPr>
        <w:t>Barré, Xavier.</w:t>
      </w:r>
      <w:r w:rsidR="00C20BF4" w:rsidRPr="005D439E">
        <w:rPr>
          <w:lang w:val="fr-CA"/>
        </w:rPr>
        <w:t xml:space="preserve"> « Nullité et inexistence ou les bégaiements de la technique juridique en France » (1992), 26 </w:t>
      </w:r>
      <w:r w:rsidR="00C20BF4" w:rsidRPr="005D439E">
        <w:rPr>
          <w:i/>
          <w:lang w:val="fr-CA"/>
        </w:rPr>
        <w:t>R.J.T.</w:t>
      </w:r>
      <w:r w:rsidR="00C20BF4" w:rsidRPr="005D439E">
        <w:rPr>
          <w:lang w:val="fr-CA"/>
        </w:rPr>
        <w:t xml:space="preserve"> 20.</w:t>
      </w:r>
    </w:p>
    <w:p w:rsidR="000265DF" w:rsidRPr="005D439E" w:rsidRDefault="003E27EB" w:rsidP="00345090">
      <w:pPr>
        <w:pStyle w:val="SCCNormalDoubleSpacing"/>
        <w:spacing w:after="240" w:line="240" w:lineRule="auto"/>
        <w:ind w:left="540" w:hanging="540"/>
        <w:rPr>
          <w:lang w:val="fr-CA"/>
        </w:rPr>
      </w:pPr>
      <w:r w:rsidRPr="005D439E">
        <w:rPr>
          <w:lang w:val="fr-CA"/>
        </w:rPr>
        <w:t>Baudouin, Jean</w:t>
      </w:r>
      <w:r w:rsidRPr="005D439E">
        <w:rPr>
          <w:lang w:val="fr-CA"/>
        </w:rPr>
        <w:noBreakHyphen/>
        <w:t>Louis, et Pierre</w:t>
      </w:r>
      <w:r w:rsidRPr="005D439E">
        <w:rPr>
          <w:lang w:val="fr-CA"/>
        </w:rPr>
        <w:noBreakHyphen/>
      </w:r>
      <w:r w:rsidR="000265DF" w:rsidRPr="005D439E">
        <w:rPr>
          <w:lang w:val="fr-CA"/>
        </w:rPr>
        <w:t xml:space="preserve">Gabriel Jobin. </w:t>
      </w:r>
      <w:r w:rsidR="000265DF" w:rsidRPr="005D439E">
        <w:rPr>
          <w:i/>
          <w:lang w:val="fr-CA"/>
        </w:rPr>
        <w:t>Les obligations</w:t>
      </w:r>
      <w:r w:rsidR="000265DF" w:rsidRPr="005D439E">
        <w:rPr>
          <w:lang w:val="fr-CA"/>
        </w:rPr>
        <w:t>, 7</w:t>
      </w:r>
      <w:r w:rsidR="000265DF" w:rsidRPr="005D439E">
        <w:rPr>
          <w:vertAlign w:val="superscript"/>
          <w:lang w:val="fr-CA"/>
        </w:rPr>
        <w:t>e</w:t>
      </w:r>
      <w:r w:rsidR="000265DF" w:rsidRPr="005D439E">
        <w:rPr>
          <w:lang w:val="fr-CA"/>
        </w:rPr>
        <w:t xml:space="preserve"> éd.</w:t>
      </w:r>
      <w:r w:rsidR="003D2551" w:rsidRPr="005D439E">
        <w:rPr>
          <w:lang w:val="fr-CA"/>
        </w:rPr>
        <w:t>,</w:t>
      </w:r>
      <w:r w:rsidRPr="005D439E">
        <w:rPr>
          <w:lang w:val="fr-CA"/>
        </w:rPr>
        <w:t xml:space="preserve"> par Pierre</w:t>
      </w:r>
      <w:r w:rsidRPr="005D439E">
        <w:rPr>
          <w:lang w:val="fr-CA"/>
        </w:rPr>
        <w:noBreakHyphen/>
      </w:r>
      <w:r w:rsidR="000265DF" w:rsidRPr="005D439E">
        <w:rPr>
          <w:lang w:val="fr-CA"/>
        </w:rPr>
        <w:t>Gabriel Jobin et Natha</w:t>
      </w:r>
      <w:r w:rsidR="00015327" w:rsidRPr="005D439E">
        <w:rPr>
          <w:lang w:val="fr-CA"/>
        </w:rPr>
        <w:t>lie Vézina,</w:t>
      </w:r>
      <w:r w:rsidR="000265DF" w:rsidRPr="005D439E">
        <w:rPr>
          <w:lang w:val="fr-CA"/>
        </w:rPr>
        <w:t xml:space="preserve"> Cowansville (Qc), Yvon Blais, 2013.</w:t>
      </w:r>
    </w:p>
    <w:p w:rsidR="00774C71" w:rsidRPr="005D439E" w:rsidRDefault="00774C71" w:rsidP="00345090">
      <w:pPr>
        <w:pStyle w:val="SCCNormalDoubleSpacing"/>
        <w:spacing w:after="240" w:line="240" w:lineRule="auto"/>
        <w:ind w:left="540" w:hanging="540"/>
        <w:rPr>
          <w:lang w:val="fr-CA"/>
        </w:rPr>
      </w:pPr>
      <w:r w:rsidRPr="005D439E">
        <w:rPr>
          <w:lang w:val="fr-CA"/>
        </w:rPr>
        <w:lastRenderedPageBreak/>
        <w:t xml:space="preserve">Carbonnier, Jean. </w:t>
      </w:r>
      <w:r w:rsidRPr="005D439E">
        <w:rPr>
          <w:i/>
          <w:lang w:val="fr-CA"/>
        </w:rPr>
        <w:t>Droit civil</w:t>
      </w:r>
      <w:r w:rsidRPr="005D439E">
        <w:rPr>
          <w:lang w:val="fr-CA"/>
        </w:rPr>
        <w:t xml:space="preserve">, </w:t>
      </w:r>
      <w:r w:rsidR="00BD1DD7" w:rsidRPr="005D439E">
        <w:rPr>
          <w:lang w:val="fr-CA"/>
        </w:rPr>
        <w:t>vol. </w:t>
      </w:r>
      <w:r w:rsidRPr="005D439E">
        <w:rPr>
          <w:lang w:val="fr-CA"/>
        </w:rPr>
        <w:t xml:space="preserve">II, </w:t>
      </w:r>
      <w:r w:rsidRPr="005D439E">
        <w:rPr>
          <w:shd w:val="clear" w:color="auto" w:fill="FFFFFF"/>
          <w:lang w:val="fr-CA"/>
        </w:rPr>
        <w:t>Paris, Quadrige/PUF, 2004.</w:t>
      </w:r>
    </w:p>
    <w:p w:rsidR="004D7D95" w:rsidRPr="005D439E" w:rsidRDefault="00BE2FFD" w:rsidP="00345090">
      <w:pPr>
        <w:pStyle w:val="SCCNormalDoubleSpacing"/>
        <w:spacing w:after="240" w:line="240" w:lineRule="auto"/>
        <w:ind w:left="540" w:hanging="540"/>
        <w:rPr>
          <w:lang w:val="fr-CA"/>
        </w:rPr>
      </w:pPr>
      <w:r w:rsidRPr="005D439E">
        <w:rPr>
          <w:lang w:val="fr-CA"/>
        </w:rPr>
        <w:t xml:space="preserve">Côté, </w:t>
      </w:r>
      <w:r w:rsidR="0011663F" w:rsidRPr="005D439E">
        <w:rPr>
          <w:lang w:val="fr-CA"/>
        </w:rPr>
        <w:t>P</w:t>
      </w:r>
      <w:r w:rsidRPr="005D439E">
        <w:rPr>
          <w:lang w:val="fr-CA"/>
        </w:rPr>
        <w:t>ierre</w:t>
      </w:r>
      <w:r w:rsidR="00BD1DD7" w:rsidRPr="005D439E">
        <w:rPr>
          <w:lang w:val="fr-CA"/>
        </w:rPr>
        <w:noBreakHyphen/>
      </w:r>
      <w:r w:rsidRPr="005D439E">
        <w:rPr>
          <w:lang w:val="fr-CA"/>
        </w:rPr>
        <w:t>André.</w:t>
      </w:r>
      <w:r w:rsidR="0011663F" w:rsidRPr="005D439E">
        <w:rPr>
          <w:lang w:val="fr-CA"/>
        </w:rPr>
        <w:t xml:space="preserve"> « La détermination du domaine du droit civil en matière</w:t>
      </w:r>
      <w:r w:rsidR="00A1501D" w:rsidRPr="005D439E">
        <w:rPr>
          <w:lang w:val="fr-CA"/>
        </w:rPr>
        <w:t xml:space="preserve"> de responsabilité civile de l’A</w:t>
      </w:r>
      <w:r w:rsidR="0011663F" w:rsidRPr="005D439E">
        <w:rPr>
          <w:lang w:val="fr-CA"/>
        </w:rPr>
        <w:t xml:space="preserve">dministration québécoise </w:t>
      </w:r>
      <w:r w:rsidR="009852DA" w:rsidRPr="005D439E">
        <w:rPr>
          <w:i/>
          <w:lang w:val="fr-CA"/>
        </w:rPr>
        <w:t>—</w:t>
      </w:r>
      <w:r w:rsidR="00A1501D" w:rsidRPr="005D439E">
        <w:rPr>
          <w:lang w:val="fr-CA"/>
        </w:rPr>
        <w:t xml:space="preserve"> C</w:t>
      </w:r>
      <w:r w:rsidR="0011663F" w:rsidRPr="005D439E">
        <w:rPr>
          <w:lang w:val="fr-CA"/>
        </w:rPr>
        <w:t xml:space="preserve">ommentaire de l’arrêt Laurentide Motels » (1994), 28 </w:t>
      </w:r>
      <w:r w:rsidR="0011663F" w:rsidRPr="005D439E">
        <w:rPr>
          <w:i/>
          <w:lang w:val="fr-CA"/>
        </w:rPr>
        <w:t xml:space="preserve">R.J.T. </w:t>
      </w:r>
      <w:r w:rsidR="0011663F" w:rsidRPr="005D439E">
        <w:rPr>
          <w:lang w:val="fr-CA"/>
        </w:rPr>
        <w:t>411.</w:t>
      </w:r>
    </w:p>
    <w:p w:rsidR="000265DF" w:rsidRPr="005D439E" w:rsidRDefault="000265DF" w:rsidP="00345090">
      <w:pPr>
        <w:pStyle w:val="SCCNormalDoubleSpacing"/>
        <w:spacing w:after="240" w:line="240" w:lineRule="auto"/>
        <w:ind w:left="540" w:hanging="540"/>
        <w:rPr>
          <w:lang w:val="fr-CA"/>
        </w:rPr>
      </w:pPr>
      <w:r w:rsidRPr="005D439E">
        <w:rPr>
          <w:lang w:val="fr-CA"/>
        </w:rPr>
        <w:t xml:space="preserve">Cumyn, Michelle. </w:t>
      </w:r>
      <w:r w:rsidRPr="005D439E">
        <w:rPr>
          <w:i/>
          <w:lang w:val="fr-CA"/>
        </w:rPr>
        <w:t>La validité du contrat suivant le droit strict ou l’équité</w:t>
      </w:r>
      <w:r w:rsidR="00BD1DD7" w:rsidRPr="005D439E">
        <w:rPr>
          <w:i/>
          <w:lang w:val="fr-CA"/>
        </w:rPr>
        <w:t> :</w:t>
      </w:r>
      <w:r w:rsidRPr="005D439E">
        <w:rPr>
          <w:i/>
          <w:lang w:val="fr-CA"/>
        </w:rPr>
        <w:t xml:space="preserve"> étude historique et comparée des nullités contractuelles</w:t>
      </w:r>
      <w:r w:rsidRPr="005D439E">
        <w:rPr>
          <w:lang w:val="fr-CA"/>
        </w:rPr>
        <w:t xml:space="preserve">, Cowansville (Qc), Yvon Blais, 2002. </w:t>
      </w:r>
    </w:p>
    <w:p w:rsidR="000265DF" w:rsidRPr="005D439E" w:rsidRDefault="000265DF" w:rsidP="00345090">
      <w:pPr>
        <w:pStyle w:val="SCCNormalDoubleSpacing"/>
        <w:spacing w:after="240" w:line="240" w:lineRule="auto"/>
        <w:ind w:left="540" w:hanging="540"/>
        <w:rPr>
          <w:shd w:val="clear" w:color="auto" w:fill="FFFFFF"/>
          <w:lang w:val="fr-CA" w:eastAsia="fr-CA"/>
        </w:rPr>
      </w:pPr>
      <w:r w:rsidRPr="005D439E">
        <w:rPr>
          <w:lang w:val="fr-CA"/>
        </w:rPr>
        <w:t>Desfossés</w:t>
      </w:r>
      <w:r w:rsidR="00345090" w:rsidRPr="005D439E">
        <w:rPr>
          <w:shd w:val="clear" w:color="auto" w:fill="FFFFFF"/>
          <w:lang w:val="fr-CA" w:eastAsia="fr-CA"/>
        </w:rPr>
        <w:t>, Katheryne </w:t>
      </w:r>
      <w:r w:rsidRPr="005D439E">
        <w:rPr>
          <w:shd w:val="clear" w:color="auto" w:fill="FFFFFF"/>
          <w:lang w:val="fr-CA" w:eastAsia="fr-CA"/>
        </w:rPr>
        <w:t xml:space="preserve">A. </w:t>
      </w:r>
      <w:r w:rsidR="00A46F2F" w:rsidRPr="005D439E">
        <w:rPr>
          <w:i/>
          <w:shd w:val="clear" w:color="auto" w:fill="FFFFFF"/>
          <w:lang w:val="fr-CA" w:eastAsia="fr-CA"/>
        </w:rPr>
        <w:t>L’extinction de l’obligation et la restitution des prestations (</w:t>
      </w:r>
      <w:r w:rsidR="00BD1DD7" w:rsidRPr="005D439E">
        <w:rPr>
          <w:i/>
          <w:shd w:val="clear" w:color="auto" w:fill="FFFFFF"/>
          <w:lang w:val="fr-CA" w:eastAsia="fr-CA"/>
        </w:rPr>
        <w:t>Art. </w:t>
      </w:r>
      <w:r w:rsidR="00A46F2F" w:rsidRPr="005D439E">
        <w:rPr>
          <w:i/>
          <w:shd w:val="clear" w:color="auto" w:fill="FFFFFF"/>
          <w:lang w:val="fr-CA" w:eastAsia="fr-CA"/>
        </w:rPr>
        <w:t>1671 à 1707 C.c.Q.)</w:t>
      </w:r>
      <w:r w:rsidR="00A46F2F" w:rsidRPr="005D439E">
        <w:rPr>
          <w:shd w:val="clear" w:color="auto" w:fill="FFFFFF"/>
          <w:lang w:val="fr-CA" w:eastAsia="fr-CA"/>
        </w:rPr>
        <w:t xml:space="preserve">, </w:t>
      </w:r>
      <w:r w:rsidRPr="005D439E">
        <w:rPr>
          <w:shd w:val="clear" w:color="auto" w:fill="FFFFFF"/>
          <w:lang w:val="fr-CA" w:eastAsia="fr-CA"/>
        </w:rPr>
        <w:t xml:space="preserve">dans </w:t>
      </w:r>
      <w:r w:rsidR="00A46F2F" w:rsidRPr="005D439E">
        <w:rPr>
          <w:shd w:val="clear" w:color="auto" w:fill="FFFFFF"/>
          <w:lang w:val="fr-CA" w:eastAsia="fr-CA"/>
        </w:rPr>
        <w:t xml:space="preserve">coll. </w:t>
      </w:r>
      <w:r w:rsidRPr="005D439E">
        <w:rPr>
          <w:shd w:val="clear" w:color="auto" w:fill="FFFFFF"/>
          <w:lang w:val="fr-CA" w:eastAsia="fr-CA"/>
        </w:rPr>
        <w:t>Commentaires sur le Code civil du Québec (DCQ)</w:t>
      </w:r>
      <w:r w:rsidR="00A46F2F" w:rsidRPr="005D439E">
        <w:rPr>
          <w:shd w:val="clear" w:color="auto" w:fill="FFFFFF"/>
          <w:lang w:val="fr-CA" w:eastAsia="fr-CA"/>
        </w:rPr>
        <w:t>, Montréal</w:t>
      </w:r>
      <w:r w:rsidRPr="005D439E">
        <w:rPr>
          <w:shd w:val="clear" w:color="auto" w:fill="FFFFFF"/>
          <w:lang w:val="fr-CA" w:eastAsia="fr-CA"/>
        </w:rPr>
        <w:t>, Yvon Blais, 2015.</w:t>
      </w:r>
    </w:p>
    <w:p w:rsidR="00DA4505" w:rsidRPr="005D439E" w:rsidRDefault="00DA4505" w:rsidP="00345090">
      <w:pPr>
        <w:pStyle w:val="SCCNormalDoubleSpacing"/>
        <w:spacing w:after="240" w:line="240" w:lineRule="auto"/>
        <w:ind w:left="540" w:hanging="540"/>
        <w:rPr>
          <w:lang w:val="fr-CA"/>
        </w:rPr>
      </w:pPr>
      <w:r w:rsidRPr="005D439E">
        <w:rPr>
          <w:lang w:val="fr-CA"/>
        </w:rPr>
        <w:t>Dussault, René, et</w:t>
      </w:r>
      <w:r w:rsidR="0023312B" w:rsidRPr="005D439E">
        <w:rPr>
          <w:lang w:val="fr-CA"/>
        </w:rPr>
        <w:t xml:space="preserve"> Louis Borgeat.</w:t>
      </w:r>
      <w:r w:rsidRPr="005D439E">
        <w:rPr>
          <w:lang w:val="fr-CA"/>
        </w:rPr>
        <w:t xml:space="preserve"> </w:t>
      </w:r>
      <w:r w:rsidRPr="005D439E">
        <w:rPr>
          <w:i/>
          <w:lang w:val="fr-CA"/>
        </w:rPr>
        <w:t>Traité de droit administratif</w:t>
      </w:r>
      <w:r w:rsidR="00345090" w:rsidRPr="005D439E">
        <w:rPr>
          <w:lang w:val="fr-CA"/>
        </w:rPr>
        <w:t>, t. </w:t>
      </w:r>
      <w:r w:rsidRPr="005D439E">
        <w:rPr>
          <w:lang w:val="fr-CA"/>
        </w:rPr>
        <w:t>I, 2</w:t>
      </w:r>
      <w:r w:rsidRPr="005D439E">
        <w:rPr>
          <w:vertAlign w:val="superscript"/>
          <w:lang w:val="fr-CA"/>
        </w:rPr>
        <w:t>e</w:t>
      </w:r>
      <w:r w:rsidRPr="005D439E">
        <w:rPr>
          <w:lang w:val="fr-CA"/>
        </w:rPr>
        <w:t xml:space="preserve"> éd., Québec, Presses de l’Université Laval, 1984.</w:t>
      </w:r>
    </w:p>
    <w:p w:rsidR="00B8319E" w:rsidRPr="005D439E" w:rsidRDefault="00B8319E" w:rsidP="00345090">
      <w:pPr>
        <w:pStyle w:val="SCCNormalDoubleSpacing"/>
        <w:spacing w:after="240" w:line="240" w:lineRule="auto"/>
        <w:ind w:left="540" w:hanging="540"/>
        <w:rPr>
          <w:lang w:val="fr-CA"/>
        </w:rPr>
      </w:pPr>
      <w:r w:rsidRPr="005D439E">
        <w:rPr>
          <w:lang w:val="fr-CA"/>
        </w:rPr>
        <w:t>Fabre</w:t>
      </w:r>
      <w:r w:rsidR="00BD1DD7" w:rsidRPr="005D439E">
        <w:rPr>
          <w:lang w:val="fr-CA"/>
        </w:rPr>
        <w:noBreakHyphen/>
      </w:r>
      <w:r w:rsidRPr="005D439E">
        <w:rPr>
          <w:lang w:val="fr-CA"/>
        </w:rPr>
        <w:t xml:space="preserve">Magnan, Muriel. </w:t>
      </w:r>
      <w:r w:rsidRPr="005D439E">
        <w:rPr>
          <w:i/>
          <w:lang w:val="fr-CA"/>
        </w:rPr>
        <w:t>Droit des obligations</w:t>
      </w:r>
      <w:r w:rsidRPr="005D439E">
        <w:rPr>
          <w:lang w:val="fr-CA"/>
        </w:rPr>
        <w:t xml:space="preserve">, </w:t>
      </w:r>
      <w:r w:rsidR="00BD1DD7" w:rsidRPr="005D439E">
        <w:rPr>
          <w:lang w:val="fr-CA"/>
        </w:rPr>
        <w:t>vol. </w:t>
      </w:r>
      <w:r w:rsidRPr="005D439E">
        <w:rPr>
          <w:lang w:val="fr-CA"/>
        </w:rPr>
        <w:t>2,</w:t>
      </w:r>
      <w:r w:rsidR="008B0A27" w:rsidRPr="005D439E">
        <w:rPr>
          <w:lang w:val="fr-CA"/>
        </w:rPr>
        <w:t xml:space="preserve"> 3</w:t>
      </w:r>
      <w:r w:rsidR="0056316A" w:rsidRPr="005D439E">
        <w:rPr>
          <w:vertAlign w:val="superscript"/>
          <w:lang w:val="fr-CA"/>
        </w:rPr>
        <w:t>e</w:t>
      </w:r>
      <w:r w:rsidR="0056316A" w:rsidRPr="005D439E">
        <w:rPr>
          <w:lang w:val="fr-CA"/>
        </w:rPr>
        <w:t xml:space="preserve"> éd.,</w:t>
      </w:r>
      <w:r w:rsidRPr="005D439E">
        <w:rPr>
          <w:lang w:val="fr-CA"/>
        </w:rPr>
        <w:t xml:space="preserve"> Paris, Presses Universitaires de France, </w:t>
      </w:r>
      <w:r w:rsidR="008B0A27" w:rsidRPr="005D439E">
        <w:rPr>
          <w:lang w:val="fr-CA"/>
        </w:rPr>
        <w:t>2013</w:t>
      </w:r>
      <w:r w:rsidRPr="005D439E">
        <w:rPr>
          <w:lang w:val="fr-CA"/>
        </w:rPr>
        <w:t>.</w:t>
      </w:r>
    </w:p>
    <w:p w:rsidR="000265DF" w:rsidRPr="005D439E" w:rsidRDefault="000265DF" w:rsidP="00345090">
      <w:pPr>
        <w:pStyle w:val="SCCNormalDoubleSpacing"/>
        <w:spacing w:after="240" w:line="240" w:lineRule="auto"/>
        <w:ind w:left="540" w:hanging="540"/>
        <w:rPr>
          <w:lang w:val="fr-CA"/>
        </w:rPr>
      </w:pPr>
      <w:r w:rsidRPr="005D439E">
        <w:rPr>
          <w:lang w:val="fr-CA"/>
        </w:rPr>
        <w:t>Fréchette, Pasc</w:t>
      </w:r>
      <w:r w:rsidR="00BD1DD7" w:rsidRPr="005D439E">
        <w:rPr>
          <w:lang w:val="fr-CA"/>
        </w:rPr>
        <w:t>al. </w:t>
      </w:r>
      <w:r w:rsidRPr="005D439E">
        <w:rPr>
          <w:i/>
          <w:lang w:val="fr-CA"/>
        </w:rPr>
        <w:t>La restitution des prestations</w:t>
      </w:r>
      <w:r w:rsidRPr="005D439E">
        <w:rPr>
          <w:lang w:val="fr-CA"/>
        </w:rPr>
        <w:t>, Montréal, Yvon Blais, 2018.</w:t>
      </w:r>
    </w:p>
    <w:p w:rsidR="00EE6FCD" w:rsidRDefault="00EE6FCD" w:rsidP="00EE6FCD">
      <w:pPr>
        <w:pStyle w:val="SCCNormalDoubleSpacing"/>
        <w:spacing w:after="240" w:line="240" w:lineRule="auto"/>
        <w:ind w:left="540" w:hanging="540"/>
        <w:rPr>
          <w:lang w:val="fr-CA"/>
        </w:rPr>
      </w:pPr>
      <w:r w:rsidRPr="005D439E">
        <w:rPr>
          <w:lang w:val="fr-CA"/>
        </w:rPr>
        <w:t xml:space="preserve">Garant, Patrice, avec la collaboration de Philippe Garant et Jérôme Garant. </w:t>
      </w:r>
      <w:r w:rsidRPr="005D439E">
        <w:rPr>
          <w:i/>
          <w:lang w:val="fr-CA"/>
        </w:rPr>
        <w:t>Droit administratif</w:t>
      </w:r>
      <w:r w:rsidRPr="005D439E">
        <w:rPr>
          <w:lang w:val="fr-CA"/>
        </w:rPr>
        <w:t>, 7</w:t>
      </w:r>
      <w:r w:rsidRPr="005D439E">
        <w:rPr>
          <w:vertAlign w:val="superscript"/>
          <w:lang w:val="fr-CA"/>
        </w:rPr>
        <w:t>e</w:t>
      </w:r>
      <w:r w:rsidRPr="005D439E">
        <w:rPr>
          <w:lang w:val="fr-CA"/>
        </w:rPr>
        <w:t xml:space="preserve"> éd., Montréal, Yvon Blais, 2017.</w:t>
      </w:r>
    </w:p>
    <w:p w:rsidR="00E33179" w:rsidRPr="005D439E" w:rsidRDefault="00E33179" w:rsidP="00EE6FCD">
      <w:pPr>
        <w:pStyle w:val="SCCNormalDoubleSpacing"/>
        <w:spacing w:after="240" w:line="240" w:lineRule="auto"/>
        <w:ind w:left="540" w:hanging="540"/>
        <w:rPr>
          <w:lang w:val="fr-CA"/>
        </w:rPr>
      </w:pPr>
      <w:r w:rsidRPr="005D439E">
        <w:rPr>
          <w:lang w:val="fr-CA"/>
        </w:rPr>
        <w:t xml:space="preserve">Garant, Patrice, Philippe Garant et Jérôme Garant. </w:t>
      </w:r>
      <w:r w:rsidRPr="005D439E">
        <w:rPr>
          <w:i/>
          <w:lang w:val="fr-CA"/>
        </w:rPr>
        <w:t>Précis de droit des administrations publiques</w:t>
      </w:r>
      <w:r w:rsidRPr="005D439E">
        <w:rPr>
          <w:lang w:val="fr-CA"/>
        </w:rPr>
        <w:t>,</w:t>
      </w:r>
      <w:r w:rsidR="0075321C" w:rsidRPr="005D439E">
        <w:rPr>
          <w:lang w:val="fr-CA"/>
        </w:rPr>
        <w:t xml:space="preserve"> 6</w:t>
      </w:r>
      <w:r w:rsidRPr="005D439E">
        <w:rPr>
          <w:vertAlign w:val="superscript"/>
          <w:lang w:val="fr-CA"/>
        </w:rPr>
        <w:t>e</w:t>
      </w:r>
      <w:r w:rsidRPr="005D439E">
        <w:rPr>
          <w:lang w:val="fr-CA"/>
        </w:rPr>
        <w:t xml:space="preserve"> éd., </w:t>
      </w:r>
      <w:r w:rsidR="0075321C" w:rsidRPr="005D439E">
        <w:rPr>
          <w:lang w:val="fr-CA"/>
        </w:rPr>
        <w:t>Montréal</w:t>
      </w:r>
      <w:r w:rsidRPr="005D439E">
        <w:rPr>
          <w:lang w:val="fr-CA"/>
        </w:rPr>
        <w:t xml:space="preserve">, Yvon Blais, </w:t>
      </w:r>
      <w:r w:rsidR="0075321C" w:rsidRPr="005D439E">
        <w:rPr>
          <w:lang w:val="fr-CA"/>
        </w:rPr>
        <w:t>2018</w:t>
      </w:r>
      <w:r w:rsidRPr="005D439E">
        <w:rPr>
          <w:lang w:val="fr-CA"/>
        </w:rPr>
        <w:t>.</w:t>
      </w:r>
    </w:p>
    <w:p w:rsidR="00EE6FCD" w:rsidRPr="00EE6FCD" w:rsidRDefault="00EE6FCD" w:rsidP="00EE6FCD">
      <w:pPr>
        <w:pStyle w:val="SCCNormalDoubleSpacing"/>
        <w:spacing w:after="240" w:line="240" w:lineRule="auto"/>
        <w:ind w:left="540" w:hanging="540"/>
        <w:rPr>
          <w:lang w:val="fr-CA"/>
        </w:rPr>
      </w:pPr>
      <w:r w:rsidRPr="005D439E">
        <w:rPr>
          <w:lang w:val="fr-CA"/>
        </w:rPr>
        <w:t xml:space="preserve">Gaudet, Serge. « Inexistence, nullité et annulabilité du contrat : essai de synthèse » (1995), 40 </w:t>
      </w:r>
      <w:r w:rsidRPr="005D439E">
        <w:rPr>
          <w:i/>
          <w:lang w:val="fr-CA"/>
        </w:rPr>
        <w:t>R.D. McGill</w:t>
      </w:r>
      <w:r w:rsidRPr="005D439E">
        <w:rPr>
          <w:lang w:val="fr-CA"/>
        </w:rPr>
        <w:t xml:space="preserve"> 291.</w:t>
      </w:r>
    </w:p>
    <w:p w:rsidR="00EE6FCD" w:rsidRPr="00EE6FCD" w:rsidRDefault="00EE6FCD" w:rsidP="00EE6FCD">
      <w:pPr>
        <w:pStyle w:val="SCCNormalDoubleSpacing"/>
        <w:spacing w:after="240" w:line="240" w:lineRule="auto"/>
        <w:ind w:left="540" w:hanging="540"/>
        <w:rPr>
          <w:szCs w:val="24"/>
          <w:lang w:val="fr-FR"/>
        </w:rPr>
      </w:pPr>
      <w:r w:rsidRPr="005D439E">
        <w:rPr>
          <w:szCs w:val="24"/>
          <w:lang w:val="fr-FR"/>
        </w:rPr>
        <w:t>Gaudet, Serge. « La restitution des prestations : premiers regards sur les articles</w:t>
      </w:r>
      <w:r w:rsidRPr="005D439E">
        <w:rPr>
          <w:lang w:val="fr-FR"/>
        </w:rPr>
        <w:t xml:space="preserve"> </w:t>
      </w:r>
      <w:r w:rsidRPr="005D439E">
        <w:rPr>
          <w:szCs w:val="24"/>
          <w:lang w:val="fr-FR"/>
        </w:rPr>
        <w:t xml:space="preserve">1699 à 1707 du Code civil du Québec », dans </w:t>
      </w:r>
      <w:r w:rsidRPr="005D439E">
        <w:rPr>
          <w:i/>
          <w:szCs w:val="24"/>
          <w:lang w:val="fr-FR"/>
        </w:rPr>
        <w:t>Les Obligations : quoi de neuf? — Reprenons par le commencement voulez</w:t>
      </w:r>
      <w:r w:rsidRPr="005D439E">
        <w:rPr>
          <w:i/>
          <w:szCs w:val="24"/>
          <w:lang w:val="fr-FR"/>
        </w:rPr>
        <w:noBreakHyphen/>
        <w:t>vous?</w:t>
      </w:r>
      <w:r w:rsidRPr="005D439E">
        <w:rPr>
          <w:szCs w:val="24"/>
          <w:lang w:val="fr-FR"/>
        </w:rPr>
        <w:t>, Montr</w:t>
      </w:r>
      <w:r w:rsidRPr="005D439E">
        <w:rPr>
          <w:szCs w:val="24"/>
          <w:lang w:val="fr-CA"/>
        </w:rPr>
        <w:t>éal,</w:t>
      </w:r>
      <w:r w:rsidRPr="005D439E">
        <w:rPr>
          <w:szCs w:val="24"/>
          <w:lang w:val="fr-FR"/>
        </w:rPr>
        <w:t xml:space="preserve"> Yvon Blais, 1995.</w:t>
      </w:r>
    </w:p>
    <w:p w:rsidR="000265DF" w:rsidRPr="005D439E" w:rsidRDefault="000265DF" w:rsidP="00345090">
      <w:pPr>
        <w:pStyle w:val="SCCNormalDoubleSpacing"/>
        <w:spacing w:after="240" w:line="240" w:lineRule="auto"/>
        <w:ind w:left="540" w:hanging="540"/>
        <w:rPr>
          <w:lang w:val="fr-CA"/>
        </w:rPr>
      </w:pPr>
      <w:r w:rsidRPr="005D439E">
        <w:rPr>
          <w:lang w:val="fr-CA"/>
        </w:rPr>
        <w:t xml:space="preserve">Gervais, Céline. </w:t>
      </w:r>
      <w:r w:rsidRPr="005D439E">
        <w:rPr>
          <w:i/>
          <w:lang w:val="fr-CA"/>
        </w:rPr>
        <w:t>La prescription</w:t>
      </w:r>
      <w:r w:rsidRPr="005D439E">
        <w:rPr>
          <w:lang w:val="fr-CA"/>
        </w:rPr>
        <w:t>, Cowansville (Qc), Yvon Blais, 2009.</w:t>
      </w:r>
    </w:p>
    <w:p w:rsidR="000265DF" w:rsidRPr="005D439E" w:rsidRDefault="000265DF" w:rsidP="00345090">
      <w:pPr>
        <w:pStyle w:val="SCCNormalDoubleSpacing"/>
        <w:spacing w:after="240" w:line="240" w:lineRule="auto"/>
        <w:ind w:left="540" w:hanging="540"/>
        <w:rPr>
          <w:lang w:val="fr-CA"/>
        </w:rPr>
      </w:pPr>
      <w:r w:rsidRPr="005D439E">
        <w:rPr>
          <w:lang w:val="fr-CA"/>
        </w:rPr>
        <w:t xml:space="preserve">Giroux, Pierre, et Denis Lemieux. </w:t>
      </w:r>
      <w:r w:rsidRPr="005D439E">
        <w:rPr>
          <w:i/>
          <w:lang w:val="fr-CA"/>
        </w:rPr>
        <w:t>Contrats des organismes publics québécois</w:t>
      </w:r>
      <w:r w:rsidRPr="005D439E">
        <w:rPr>
          <w:lang w:val="fr-CA"/>
        </w:rPr>
        <w:t xml:space="preserve">, </w:t>
      </w:r>
      <w:r w:rsidR="00CF400F" w:rsidRPr="005D439E">
        <w:rPr>
          <w:lang w:val="fr-CA"/>
        </w:rPr>
        <w:t>Brossard</w:t>
      </w:r>
      <w:r w:rsidRPr="005D439E">
        <w:rPr>
          <w:lang w:val="fr-CA"/>
        </w:rPr>
        <w:t xml:space="preserve"> (Qc), CCH, </w:t>
      </w:r>
      <w:r w:rsidR="00F16AB3" w:rsidRPr="005D439E">
        <w:rPr>
          <w:lang w:val="fr-CA"/>
        </w:rPr>
        <w:t>1988</w:t>
      </w:r>
      <w:r w:rsidR="00D772BF" w:rsidRPr="005D439E">
        <w:rPr>
          <w:lang w:val="fr-CA"/>
        </w:rPr>
        <w:t xml:space="preserve"> </w:t>
      </w:r>
      <w:r w:rsidR="00D772BF" w:rsidRPr="005D439E">
        <w:rPr>
          <w:szCs w:val="24"/>
          <w:lang w:val="fr-CA"/>
        </w:rPr>
        <w:t>(feuilles mobiles mises à jour juin 2019, envoi n</w:t>
      </w:r>
      <w:r w:rsidR="00D772BF" w:rsidRPr="005D439E">
        <w:rPr>
          <w:szCs w:val="24"/>
          <w:vertAlign w:val="superscript"/>
          <w:lang w:val="fr-CA"/>
        </w:rPr>
        <w:t>o</w:t>
      </w:r>
      <w:r w:rsidR="00D772BF" w:rsidRPr="005D439E">
        <w:rPr>
          <w:szCs w:val="24"/>
          <w:lang w:val="fr-CA"/>
        </w:rPr>
        <w:t> 142).</w:t>
      </w:r>
    </w:p>
    <w:p w:rsidR="002B72FB" w:rsidRPr="005D439E" w:rsidRDefault="002B72FB" w:rsidP="00345090">
      <w:pPr>
        <w:pStyle w:val="SCCNormalDoubleSpacing"/>
        <w:spacing w:after="240" w:line="240" w:lineRule="auto"/>
        <w:ind w:left="540" w:hanging="540"/>
        <w:rPr>
          <w:lang w:val="fr-CA"/>
        </w:rPr>
      </w:pPr>
      <w:r w:rsidRPr="005D439E">
        <w:rPr>
          <w:rStyle w:val="solexhl"/>
          <w:lang w:val="fr-CA"/>
        </w:rPr>
        <w:t>Hétu</w:t>
      </w:r>
      <w:r w:rsidRPr="005D439E">
        <w:rPr>
          <w:lang w:val="fr-CA"/>
        </w:rPr>
        <w:t>, Jean, et Yvon Duplessis, avec la collaboration de Lise Vézina. </w:t>
      </w:r>
      <w:r w:rsidRPr="005D439E">
        <w:rPr>
          <w:i/>
          <w:iCs/>
          <w:lang w:val="fr-CA"/>
        </w:rPr>
        <w:t>Droit municipal</w:t>
      </w:r>
      <w:r w:rsidR="00BD1DD7" w:rsidRPr="005D439E">
        <w:rPr>
          <w:i/>
          <w:iCs/>
          <w:lang w:val="fr-CA"/>
        </w:rPr>
        <w:t> :</w:t>
      </w:r>
      <w:r w:rsidRPr="005D439E">
        <w:rPr>
          <w:i/>
          <w:iCs/>
          <w:lang w:val="fr-CA"/>
        </w:rPr>
        <w:t> Principes généraux et contentieux</w:t>
      </w:r>
      <w:r w:rsidRPr="005D439E">
        <w:rPr>
          <w:lang w:val="fr-CA"/>
        </w:rPr>
        <w:t xml:space="preserve">, </w:t>
      </w:r>
      <w:r w:rsidR="00BD1DD7" w:rsidRPr="005D439E">
        <w:rPr>
          <w:lang w:val="fr-CA"/>
        </w:rPr>
        <w:t>vol. </w:t>
      </w:r>
      <w:r w:rsidRPr="005D439E">
        <w:rPr>
          <w:lang w:val="fr-CA"/>
        </w:rPr>
        <w:t>1, 2</w:t>
      </w:r>
      <w:r w:rsidRPr="005D439E">
        <w:rPr>
          <w:vertAlign w:val="superscript"/>
          <w:lang w:val="fr-CA"/>
        </w:rPr>
        <w:t>e</w:t>
      </w:r>
      <w:r w:rsidRPr="005D439E">
        <w:rPr>
          <w:lang w:val="fr-CA"/>
        </w:rPr>
        <w:t xml:space="preserve"> éd., Brossard (Qc), Wolters Kluwer, 2002 (feuilles mobiles mises à jour </w:t>
      </w:r>
      <w:r w:rsidR="00EA36A7" w:rsidRPr="005D439E">
        <w:rPr>
          <w:lang w:val="fr-CA"/>
        </w:rPr>
        <w:t>janvier 2019</w:t>
      </w:r>
      <w:r w:rsidRPr="005D439E">
        <w:rPr>
          <w:lang w:val="fr-CA"/>
        </w:rPr>
        <w:t>).</w:t>
      </w:r>
    </w:p>
    <w:p w:rsidR="0003341A" w:rsidRPr="005D439E" w:rsidRDefault="0003341A" w:rsidP="00345090">
      <w:pPr>
        <w:pStyle w:val="SCCNormalDoubleSpacing"/>
        <w:spacing w:after="240" w:line="240" w:lineRule="auto"/>
        <w:ind w:left="540" w:hanging="540"/>
        <w:rPr>
          <w:lang w:val="fr-CA"/>
        </w:rPr>
      </w:pPr>
      <w:r w:rsidRPr="005D439E">
        <w:rPr>
          <w:lang w:val="fr-CA"/>
        </w:rPr>
        <w:t>Jobin, P.</w:t>
      </w:r>
      <w:r w:rsidR="00BD1DD7" w:rsidRPr="005D439E">
        <w:rPr>
          <w:lang w:val="fr-CA"/>
        </w:rPr>
        <w:noBreakHyphen/>
      </w:r>
      <w:r w:rsidRPr="005D439E">
        <w:rPr>
          <w:lang w:val="fr-CA"/>
        </w:rPr>
        <w:t xml:space="preserve">G. « L’inexistence dans le droit commun des contrats » (1974), 15 </w:t>
      </w:r>
      <w:r w:rsidRPr="005D439E">
        <w:rPr>
          <w:i/>
          <w:lang w:val="fr-CA"/>
        </w:rPr>
        <w:t>C. de D.</w:t>
      </w:r>
      <w:r w:rsidRPr="005D439E">
        <w:rPr>
          <w:lang w:val="fr-CA"/>
        </w:rPr>
        <w:t xml:space="preserve"> 173.</w:t>
      </w:r>
    </w:p>
    <w:p w:rsidR="006B7EE4" w:rsidRPr="005D439E" w:rsidRDefault="006B7EE4" w:rsidP="00345090">
      <w:pPr>
        <w:pStyle w:val="SCCNormalDoubleSpacing"/>
        <w:spacing w:after="240" w:line="240" w:lineRule="auto"/>
        <w:ind w:left="540" w:hanging="540"/>
        <w:rPr>
          <w:szCs w:val="24"/>
          <w:lang w:val="fr-CA"/>
        </w:rPr>
      </w:pPr>
      <w:r w:rsidRPr="005D439E">
        <w:rPr>
          <w:szCs w:val="24"/>
          <w:lang w:val="fr-CA"/>
        </w:rPr>
        <w:t xml:space="preserve">Lanctôt, Sébastien. « Gestion d’affaires, réception de l’indu et enrichissement injustifié », dans </w:t>
      </w:r>
      <w:r w:rsidRPr="005D439E">
        <w:rPr>
          <w:i/>
          <w:szCs w:val="24"/>
          <w:lang w:val="fr-CA"/>
        </w:rPr>
        <w:t>JurisClasseur Québec — Collection droit civil — Obligations</w:t>
      </w:r>
      <w:r w:rsidR="00A42651" w:rsidRPr="005D439E">
        <w:rPr>
          <w:szCs w:val="24"/>
          <w:lang w:val="fr-CA"/>
        </w:rPr>
        <w:t>,</w:t>
      </w:r>
      <w:r w:rsidR="00A42651" w:rsidRPr="005D439E">
        <w:rPr>
          <w:lang w:val="fr-CA"/>
        </w:rPr>
        <w:t xml:space="preserve"> par Pierre</w:t>
      </w:r>
      <w:r w:rsidR="00BD1DD7" w:rsidRPr="005D439E">
        <w:rPr>
          <w:lang w:val="fr-CA"/>
        </w:rPr>
        <w:noBreakHyphen/>
      </w:r>
      <w:r w:rsidR="00A42651" w:rsidRPr="005D439E">
        <w:rPr>
          <w:lang w:val="fr-CA"/>
        </w:rPr>
        <w:t xml:space="preserve">Claude Lafond, dir., Montréal, LexisNexis, </w:t>
      </w:r>
      <w:r w:rsidR="008911AC" w:rsidRPr="005D439E">
        <w:rPr>
          <w:lang w:val="fr-CA"/>
        </w:rPr>
        <w:t>2008</w:t>
      </w:r>
      <w:r w:rsidR="00A42651" w:rsidRPr="005D439E">
        <w:rPr>
          <w:lang w:val="fr-CA"/>
        </w:rPr>
        <w:t>,</w:t>
      </w:r>
      <w:r w:rsidR="00A42651" w:rsidRPr="005D439E">
        <w:rPr>
          <w:szCs w:val="24"/>
          <w:lang w:val="fr-CA"/>
        </w:rPr>
        <w:t xml:space="preserve"> </w:t>
      </w:r>
      <w:r w:rsidRPr="005D439E">
        <w:rPr>
          <w:szCs w:val="24"/>
          <w:lang w:val="fr-CA"/>
        </w:rPr>
        <w:t xml:space="preserve">fascicule 8 (feuilles mobiles mises à jour </w:t>
      </w:r>
      <w:r w:rsidR="003C5A76" w:rsidRPr="005D439E">
        <w:rPr>
          <w:szCs w:val="24"/>
          <w:lang w:val="fr-CA"/>
        </w:rPr>
        <w:t>septembre 2019</w:t>
      </w:r>
      <w:r w:rsidRPr="005D439E">
        <w:rPr>
          <w:szCs w:val="24"/>
          <w:lang w:val="fr-CA"/>
        </w:rPr>
        <w:t xml:space="preserve">, envoi </w:t>
      </w:r>
      <w:r w:rsidR="003C5A76" w:rsidRPr="005D439E">
        <w:rPr>
          <w:szCs w:val="24"/>
          <w:lang w:val="fr-CA"/>
        </w:rPr>
        <w:t>21</w:t>
      </w:r>
      <w:r w:rsidRPr="005D439E">
        <w:rPr>
          <w:szCs w:val="24"/>
          <w:lang w:val="fr-CA"/>
        </w:rPr>
        <w:t>).</w:t>
      </w:r>
    </w:p>
    <w:p w:rsidR="00962A03" w:rsidRPr="005D439E" w:rsidRDefault="00962A03" w:rsidP="00345090">
      <w:pPr>
        <w:pStyle w:val="SCCNormalDoubleSpacing"/>
        <w:spacing w:after="240" w:line="240" w:lineRule="auto"/>
        <w:ind w:left="540" w:hanging="540"/>
        <w:rPr>
          <w:lang w:val="fr-CA"/>
        </w:rPr>
      </w:pPr>
      <w:r w:rsidRPr="005D439E">
        <w:rPr>
          <w:lang w:val="fr-CA"/>
        </w:rPr>
        <w:lastRenderedPageBreak/>
        <w:t xml:space="preserve">Langlois, André. </w:t>
      </w:r>
      <w:r w:rsidRPr="005D439E">
        <w:rPr>
          <w:i/>
          <w:lang w:val="fr-CA"/>
        </w:rPr>
        <w:t>Les contrats municipaux par demandes de soumissions</w:t>
      </w:r>
      <w:r w:rsidRPr="005D439E">
        <w:rPr>
          <w:lang w:val="fr-CA"/>
        </w:rPr>
        <w:t>, 3</w:t>
      </w:r>
      <w:r w:rsidRPr="005D439E">
        <w:rPr>
          <w:vertAlign w:val="superscript"/>
          <w:lang w:val="fr-CA"/>
        </w:rPr>
        <w:t>e</w:t>
      </w:r>
      <w:r w:rsidRPr="005D439E">
        <w:rPr>
          <w:lang w:val="fr-CA"/>
        </w:rPr>
        <w:t xml:space="preserve"> éd., Cowansville (Qc), Yvons Blais, 2005.</w:t>
      </w:r>
    </w:p>
    <w:p w:rsidR="006916C3" w:rsidRPr="005D439E" w:rsidRDefault="009A1E55" w:rsidP="00345090">
      <w:pPr>
        <w:pStyle w:val="SCCNormalDoubleSpacing"/>
        <w:spacing w:after="240" w:line="240" w:lineRule="auto"/>
        <w:ind w:left="540" w:hanging="540"/>
        <w:rPr>
          <w:lang w:val="fr-CA"/>
        </w:rPr>
      </w:pPr>
      <w:r w:rsidRPr="005D439E">
        <w:rPr>
          <w:lang w:val="fr-CA"/>
        </w:rPr>
        <w:t>Levesque, Frédéric.</w:t>
      </w:r>
      <w:r w:rsidR="006916C3" w:rsidRPr="005D439E">
        <w:rPr>
          <w:lang w:val="fr-CA"/>
        </w:rPr>
        <w:t xml:space="preserve"> </w:t>
      </w:r>
      <w:r w:rsidR="006916C3" w:rsidRPr="005D439E">
        <w:rPr>
          <w:i/>
          <w:lang w:val="fr-CA"/>
        </w:rPr>
        <w:t>Précis de droit québécois des obligations</w:t>
      </w:r>
      <w:r w:rsidR="006916C3" w:rsidRPr="005D439E">
        <w:rPr>
          <w:lang w:val="fr-CA"/>
        </w:rPr>
        <w:t xml:space="preserve">, </w:t>
      </w:r>
      <w:r w:rsidRPr="005D439E">
        <w:rPr>
          <w:lang w:val="fr-CA"/>
        </w:rPr>
        <w:t xml:space="preserve">Cowansville (Qc), Yvon Blais, </w:t>
      </w:r>
      <w:r w:rsidR="006916C3" w:rsidRPr="005D439E">
        <w:rPr>
          <w:lang w:val="fr-CA"/>
        </w:rPr>
        <w:t>2014.</w:t>
      </w:r>
    </w:p>
    <w:p w:rsidR="009449AA" w:rsidRPr="005D439E" w:rsidRDefault="009449AA" w:rsidP="00345090">
      <w:pPr>
        <w:pStyle w:val="SCCNormalDoubleSpacing"/>
        <w:spacing w:after="240" w:line="240" w:lineRule="auto"/>
        <w:ind w:left="540" w:hanging="540"/>
        <w:rPr>
          <w:rFonts w:eastAsia="Calibri"/>
          <w:szCs w:val="24"/>
          <w:lang w:val="fr-CA" w:eastAsia="en-US"/>
        </w:rPr>
      </w:pPr>
      <w:r w:rsidRPr="005D439E">
        <w:rPr>
          <w:rFonts w:eastAsia="Calibri"/>
          <w:szCs w:val="24"/>
          <w:lang w:val="fr-CA" w:eastAsia="en-US" w:bidi="en-US"/>
        </w:rPr>
        <w:t>Lluelles</w:t>
      </w:r>
      <w:r w:rsidRPr="005D439E">
        <w:rPr>
          <w:rFonts w:eastAsia="Calibri"/>
          <w:szCs w:val="24"/>
          <w:lang w:val="fr-CA" w:eastAsia="en-US"/>
        </w:rPr>
        <w:t xml:space="preserve">, Didier, et Benoît Moore. </w:t>
      </w:r>
      <w:r w:rsidRPr="005D439E">
        <w:rPr>
          <w:rFonts w:eastAsia="Calibri"/>
          <w:i/>
          <w:szCs w:val="24"/>
          <w:lang w:val="fr-CA" w:eastAsia="en-US"/>
        </w:rPr>
        <w:t>Droit des obligations</w:t>
      </w:r>
      <w:r w:rsidRPr="005D439E">
        <w:rPr>
          <w:rFonts w:eastAsia="Calibri"/>
          <w:szCs w:val="24"/>
          <w:lang w:val="fr-CA" w:eastAsia="en-US"/>
        </w:rPr>
        <w:t>, 3</w:t>
      </w:r>
      <w:r w:rsidRPr="005D439E">
        <w:rPr>
          <w:rFonts w:eastAsia="Calibri"/>
          <w:szCs w:val="24"/>
          <w:vertAlign w:val="superscript"/>
          <w:lang w:val="fr-CA" w:eastAsia="en-US"/>
        </w:rPr>
        <w:t>e</w:t>
      </w:r>
      <w:r w:rsidRPr="005D439E">
        <w:rPr>
          <w:rFonts w:eastAsia="Calibri"/>
          <w:szCs w:val="24"/>
          <w:lang w:val="fr-CA" w:eastAsia="en-US"/>
        </w:rPr>
        <w:t xml:space="preserve"> éd., Montréal, Thémis, 2018.</w:t>
      </w:r>
    </w:p>
    <w:p w:rsidR="00627609" w:rsidRPr="005D439E" w:rsidRDefault="00627609" w:rsidP="00345090">
      <w:pPr>
        <w:pStyle w:val="SCCNormalDoubleSpacing"/>
        <w:spacing w:after="240" w:line="240" w:lineRule="auto"/>
        <w:ind w:left="540" w:hanging="540"/>
        <w:rPr>
          <w:lang w:val="fr-CA"/>
        </w:rPr>
      </w:pPr>
      <w:r w:rsidRPr="005D439E">
        <w:rPr>
          <w:lang w:val="fr-CA"/>
        </w:rPr>
        <w:t>Malaurie, Philippe, Laurent Aynès et Philippe Stoffel</w:t>
      </w:r>
      <w:r w:rsidR="00BD1DD7" w:rsidRPr="005D439E">
        <w:rPr>
          <w:lang w:val="fr-CA"/>
        </w:rPr>
        <w:noBreakHyphen/>
      </w:r>
      <w:r w:rsidR="00020588">
        <w:rPr>
          <w:lang w:val="fr-CA"/>
        </w:rPr>
        <w:t>Munck.</w:t>
      </w:r>
      <w:r w:rsidRPr="005D439E">
        <w:rPr>
          <w:lang w:val="fr-CA"/>
        </w:rPr>
        <w:t xml:space="preserve"> </w:t>
      </w:r>
      <w:r w:rsidRPr="005D439E">
        <w:rPr>
          <w:i/>
          <w:lang w:val="fr-CA"/>
        </w:rPr>
        <w:t>Les obligations</w:t>
      </w:r>
      <w:r w:rsidR="006916C3" w:rsidRPr="005D439E">
        <w:rPr>
          <w:lang w:val="fr-CA"/>
        </w:rPr>
        <w:t xml:space="preserve">, </w:t>
      </w:r>
      <w:r w:rsidRPr="005D439E">
        <w:rPr>
          <w:lang w:val="fr-CA"/>
        </w:rPr>
        <w:t>5</w:t>
      </w:r>
      <w:r w:rsidRPr="005D439E">
        <w:rPr>
          <w:vertAlign w:val="superscript"/>
          <w:lang w:val="fr-CA"/>
        </w:rPr>
        <w:t>e</w:t>
      </w:r>
      <w:r w:rsidRPr="005D439E">
        <w:rPr>
          <w:lang w:val="fr-CA"/>
        </w:rPr>
        <w:t xml:space="preserve"> éd.</w:t>
      </w:r>
      <w:r w:rsidR="006916C3" w:rsidRPr="005D439E">
        <w:rPr>
          <w:lang w:val="fr-CA"/>
        </w:rPr>
        <w:t>, Paris, Defrénois, 2011.</w:t>
      </w:r>
    </w:p>
    <w:p w:rsidR="004912E1" w:rsidRPr="005D439E" w:rsidRDefault="004912E1" w:rsidP="00345090">
      <w:pPr>
        <w:pStyle w:val="SCCNormalDoubleSpacing"/>
        <w:spacing w:after="240" w:line="240" w:lineRule="auto"/>
        <w:ind w:left="540" w:hanging="540"/>
        <w:rPr>
          <w:lang w:val="fr-CA"/>
        </w:rPr>
      </w:pPr>
      <w:r w:rsidRPr="005D439E">
        <w:rPr>
          <w:lang w:val="fr-CA"/>
        </w:rPr>
        <w:t xml:space="preserve">Pépin, Gilles, et Yves Ouellette. </w:t>
      </w:r>
      <w:r w:rsidRPr="005D439E">
        <w:rPr>
          <w:i/>
          <w:lang w:val="fr-CA"/>
        </w:rPr>
        <w:t>Principes de contentieux administratif</w:t>
      </w:r>
      <w:r w:rsidRPr="005D439E">
        <w:rPr>
          <w:lang w:val="fr-CA"/>
        </w:rPr>
        <w:t>, 2</w:t>
      </w:r>
      <w:r w:rsidRPr="005D439E">
        <w:rPr>
          <w:vertAlign w:val="superscript"/>
          <w:lang w:val="fr-CA"/>
        </w:rPr>
        <w:t>e</w:t>
      </w:r>
      <w:r w:rsidRPr="005D439E">
        <w:rPr>
          <w:lang w:val="fr-CA"/>
        </w:rPr>
        <w:t xml:space="preserve"> éd.,</w:t>
      </w:r>
      <w:r w:rsidR="00771D7D" w:rsidRPr="005D439E">
        <w:rPr>
          <w:lang w:val="fr-CA"/>
        </w:rPr>
        <w:t xml:space="preserve"> Cowansville (Qc), Yvon Blais, 1982.</w:t>
      </w:r>
    </w:p>
    <w:p w:rsidR="000830B8" w:rsidRPr="005D439E" w:rsidRDefault="000830B8" w:rsidP="00345090">
      <w:pPr>
        <w:pStyle w:val="SCCNormalDoubleSpacing"/>
        <w:spacing w:after="240" w:line="240" w:lineRule="auto"/>
        <w:ind w:left="540" w:hanging="540"/>
        <w:rPr>
          <w:shd w:val="clear" w:color="auto" w:fill="FFFFFF"/>
          <w:lang w:val="fr-CA"/>
        </w:rPr>
      </w:pPr>
      <w:r w:rsidRPr="005D439E">
        <w:rPr>
          <w:lang w:val="fr-CA"/>
        </w:rPr>
        <w:t>Pineau, Jean, Danielle Burman et Serge Gaudet. </w:t>
      </w:r>
      <w:r w:rsidRPr="005D439E">
        <w:rPr>
          <w:rStyle w:val="solexhl"/>
          <w:i/>
          <w:iCs/>
          <w:lang w:val="fr-CA"/>
        </w:rPr>
        <w:t>Théorie des obligations</w:t>
      </w:r>
      <w:r w:rsidRPr="005D439E">
        <w:rPr>
          <w:lang w:val="fr-CA"/>
        </w:rPr>
        <w:t>, 4</w:t>
      </w:r>
      <w:r w:rsidRPr="005D439E">
        <w:rPr>
          <w:vertAlign w:val="superscript"/>
          <w:lang w:val="fr-CA"/>
        </w:rPr>
        <w:t>e</w:t>
      </w:r>
      <w:r w:rsidRPr="005D439E">
        <w:rPr>
          <w:lang w:val="fr-CA"/>
        </w:rPr>
        <w:t> éd.</w:t>
      </w:r>
      <w:r w:rsidR="004912E1" w:rsidRPr="005D439E">
        <w:rPr>
          <w:lang w:val="fr-CA"/>
        </w:rPr>
        <w:t>,</w:t>
      </w:r>
      <w:r w:rsidRPr="005D439E">
        <w:rPr>
          <w:lang w:val="fr-CA"/>
        </w:rPr>
        <w:t xml:space="preserve"> par Jean </w:t>
      </w:r>
      <w:r w:rsidRPr="005D439E">
        <w:rPr>
          <w:rStyle w:val="solexhl"/>
          <w:lang w:val="fr-CA"/>
        </w:rPr>
        <w:t>Pineau</w:t>
      </w:r>
      <w:r w:rsidRPr="005D439E">
        <w:rPr>
          <w:lang w:val="fr-CA"/>
        </w:rPr>
        <w:t> et Serge Gaudet, Montréal, Thémis, 2001.</w:t>
      </w:r>
    </w:p>
    <w:p w:rsidR="005B2FE0" w:rsidRPr="005D439E" w:rsidRDefault="005B2FE0" w:rsidP="00345090">
      <w:pPr>
        <w:pStyle w:val="SCCNormalDoubleSpacing"/>
        <w:spacing w:after="240" w:line="240" w:lineRule="auto"/>
        <w:ind w:left="540" w:hanging="540"/>
        <w:rPr>
          <w:lang w:val="fr-CA"/>
        </w:rPr>
      </w:pPr>
      <w:r w:rsidRPr="005D439E">
        <w:rPr>
          <w:lang w:val="fr-CA"/>
        </w:rPr>
        <w:t>Pla</w:t>
      </w:r>
      <w:r w:rsidR="00020588">
        <w:rPr>
          <w:lang w:val="fr-CA"/>
        </w:rPr>
        <w:t>niol, Marcel, et Georges Ripert.</w:t>
      </w:r>
      <w:r w:rsidRPr="005D439E">
        <w:rPr>
          <w:lang w:val="fr-CA"/>
        </w:rPr>
        <w:t xml:space="preserve"> </w:t>
      </w:r>
      <w:r w:rsidRPr="005D439E">
        <w:rPr>
          <w:i/>
          <w:lang w:val="fr-CA"/>
        </w:rPr>
        <w:t>Traité pratique de droit civil français</w:t>
      </w:r>
      <w:r w:rsidRPr="005D439E">
        <w:rPr>
          <w:lang w:val="fr-CA"/>
        </w:rPr>
        <w:t xml:space="preserve">, t. VII, </w:t>
      </w:r>
      <w:r w:rsidRPr="005D439E">
        <w:rPr>
          <w:i/>
          <w:lang w:val="fr-CA"/>
        </w:rPr>
        <w:t>Obligations</w:t>
      </w:r>
      <w:r w:rsidRPr="005D439E">
        <w:rPr>
          <w:lang w:val="fr-CA"/>
        </w:rPr>
        <w:t>, 2</w:t>
      </w:r>
      <w:r w:rsidRPr="005D439E">
        <w:rPr>
          <w:vertAlign w:val="superscript"/>
          <w:lang w:val="fr-CA"/>
        </w:rPr>
        <w:t>e</w:t>
      </w:r>
      <w:r w:rsidRPr="005D439E">
        <w:rPr>
          <w:lang w:val="fr-CA"/>
        </w:rPr>
        <w:t xml:space="preserve"> éd., Paris, Librairie générale de droit et de jurisprudence, 1954.</w:t>
      </w:r>
    </w:p>
    <w:p w:rsidR="00DC757A" w:rsidRPr="005D439E" w:rsidRDefault="0012014C" w:rsidP="00345090">
      <w:pPr>
        <w:pStyle w:val="SCCNormalDoubleSpacing"/>
        <w:spacing w:after="240" w:line="240" w:lineRule="auto"/>
        <w:ind w:left="540" w:hanging="540"/>
        <w:rPr>
          <w:lang w:val="fr-CA"/>
        </w:rPr>
      </w:pPr>
      <w:r w:rsidRPr="005D439E">
        <w:rPr>
          <w:lang w:val="fr-CA"/>
        </w:rPr>
        <w:t>Québec. Ministère de la Justice. </w:t>
      </w:r>
      <w:r w:rsidRPr="005D439E">
        <w:rPr>
          <w:rStyle w:val="solexhl"/>
          <w:i/>
          <w:iCs/>
          <w:lang w:val="fr-CA"/>
        </w:rPr>
        <w:t>Commentaires du ministre de la Justice</w:t>
      </w:r>
      <w:r w:rsidRPr="005D439E">
        <w:rPr>
          <w:lang w:val="fr-CA"/>
        </w:rPr>
        <w:t>, t. I,</w:t>
      </w:r>
      <w:r w:rsidRPr="005D439E">
        <w:rPr>
          <w:i/>
          <w:iCs/>
          <w:lang w:val="fr-CA"/>
        </w:rPr>
        <w:t> </w:t>
      </w:r>
      <w:r w:rsidRPr="005D439E">
        <w:rPr>
          <w:rStyle w:val="solexhl"/>
          <w:i/>
          <w:iCs/>
          <w:lang w:val="fr-CA"/>
        </w:rPr>
        <w:t>Le Code civil du Québec</w:t>
      </w:r>
      <w:r w:rsidR="00345090" w:rsidRPr="005D439E">
        <w:rPr>
          <w:rStyle w:val="solexhl"/>
          <w:i/>
          <w:iCs/>
          <w:lang w:val="fr-CA"/>
        </w:rPr>
        <w:t xml:space="preserve"> </w:t>
      </w:r>
      <w:r w:rsidRPr="005D439E">
        <w:rPr>
          <w:i/>
          <w:iCs/>
          <w:lang w:val="fr-CA"/>
        </w:rPr>
        <w:t>— Un mouvement de société</w:t>
      </w:r>
      <w:r w:rsidRPr="005D439E">
        <w:rPr>
          <w:lang w:val="fr-CA"/>
        </w:rPr>
        <w:t>, Québec, Publications du Québec, 1993.</w:t>
      </w:r>
    </w:p>
    <w:p w:rsidR="00BF06DF" w:rsidRPr="005D439E" w:rsidRDefault="00BF06DF" w:rsidP="00345090">
      <w:pPr>
        <w:pStyle w:val="SCCNormalDoubleSpacing"/>
        <w:spacing w:after="240" w:line="240" w:lineRule="auto"/>
        <w:ind w:left="540" w:hanging="540"/>
        <w:rPr>
          <w:lang w:val="fr-CA"/>
        </w:rPr>
      </w:pPr>
      <w:r w:rsidRPr="005D439E">
        <w:rPr>
          <w:lang w:val="fr-CA"/>
        </w:rPr>
        <w:t xml:space="preserve">Sériaux, Alain. </w:t>
      </w:r>
      <w:r w:rsidRPr="005D439E">
        <w:rPr>
          <w:i/>
          <w:lang w:val="fr-CA"/>
        </w:rPr>
        <w:t>Droit des obligations</w:t>
      </w:r>
      <w:r w:rsidRPr="005D439E">
        <w:rPr>
          <w:lang w:val="fr-CA"/>
        </w:rPr>
        <w:t>, Paris, Presses Universitaires de France, 1992.</w:t>
      </w:r>
    </w:p>
    <w:p w:rsidR="009449AA" w:rsidRPr="005D439E" w:rsidRDefault="009449AA" w:rsidP="00BD1DD7">
      <w:pPr>
        <w:pStyle w:val="SCCNormalDoubleSpacing"/>
        <w:spacing w:after="720" w:line="240" w:lineRule="auto"/>
        <w:ind w:left="540" w:hanging="540"/>
        <w:rPr>
          <w:rFonts w:eastAsia="Calibri"/>
          <w:szCs w:val="24"/>
          <w:lang w:val="fr-CA" w:eastAsia="en-US" w:bidi="en-US"/>
        </w:rPr>
      </w:pPr>
      <w:r w:rsidRPr="005D439E">
        <w:rPr>
          <w:rFonts w:eastAsia="Calibri"/>
          <w:szCs w:val="24"/>
          <w:lang w:val="fr-CA" w:eastAsia="en-US" w:bidi="en-US"/>
        </w:rPr>
        <w:t xml:space="preserve">Tancelin, Maurice. </w:t>
      </w:r>
      <w:r w:rsidRPr="005D439E">
        <w:rPr>
          <w:rFonts w:eastAsia="Calibri"/>
          <w:i/>
          <w:szCs w:val="24"/>
          <w:lang w:val="fr-CA" w:eastAsia="en-US" w:bidi="en-US"/>
        </w:rPr>
        <w:t>Des obligations en droit mixte du Québec</w:t>
      </w:r>
      <w:r w:rsidRPr="005D439E">
        <w:rPr>
          <w:rFonts w:eastAsia="Calibri"/>
          <w:szCs w:val="24"/>
          <w:lang w:val="fr-CA" w:eastAsia="en-US" w:bidi="en-US"/>
        </w:rPr>
        <w:t>, 7</w:t>
      </w:r>
      <w:r w:rsidRPr="005D439E">
        <w:rPr>
          <w:rFonts w:eastAsia="Calibri"/>
          <w:szCs w:val="24"/>
          <w:vertAlign w:val="superscript"/>
          <w:lang w:val="fr-CA" w:eastAsia="en-US" w:bidi="en-US"/>
        </w:rPr>
        <w:t>e</w:t>
      </w:r>
      <w:r w:rsidRPr="005D439E">
        <w:rPr>
          <w:rFonts w:eastAsia="Calibri"/>
          <w:szCs w:val="24"/>
          <w:lang w:val="fr-CA" w:eastAsia="en-US" w:bidi="en-US"/>
        </w:rPr>
        <w:t xml:space="preserve"> éd., Montréal, Wilson &amp; Lafleur, 2009.</w:t>
      </w:r>
    </w:p>
    <w:p w:rsidR="004D7D95" w:rsidRPr="005D439E" w:rsidRDefault="004D7D95" w:rsidP="00BD1DD7">
      <w:pPr>
        <w:pStyle w:val="SCCNormalDoubleSpacing"/>
        <w:spacing w:after="480"/>
        <w:rPr>
          <w:lang w:val="fr-CA"/>
        </w:rPr>
      </w:pPr>
      <w:r w:rsidRPr="005D439E">
        <w:rPr>
          <w:lang w:val="fr-CA"/>
        </w:rPr>
        <w:tab/>
        <w:t>POURVOI</w:t>
      </w:r>
      <w:r w:rsidR="00563C8F" w:rsidRPr="005D439E">
        <w:rPr>
          <w:lang w:val="fr-CA"/>
        </w:rPr>
        <w:t>S</w:t>
      </w:r>
      <w:r w:rsidRPr="005D439E">
        <w:rPr>
          <w:lang w:val="fr-CA"/>
        </w:rPr>
        <w:t xml:space="preserve"> contre un arrêt de la Cour d</w:t>
      </w:r>
      <w:r w:rsidR="00AA02A6" w:rsidRPr="005D439E">
        <w:rPr>
          <w:lang w:val="fr-CA"/>
        </w:rPr>
        <w:t>’</w:t>
      </w:r>
      <w:r w:rsidRPr="005D439E">
        <w:rPr>
          <w:lang w:val="fr-CA"/>
        </w:rPr>
        <w:t xml:space="preserve">appel du </w:t>
      </w:r>
      <w:r w:rsidR="00563C8F" w:rsidRPr="005D439E">
        <w:rPr>
          <w:lang w:val="fr-CA"/>
        </w:rPr>
        <w:t xml:space="preserve">Québec (les juges Schrager, Mainville et Hogue), 2018 QCCA 223, 81 M.P.L.R. (5th) 39, </w:t>
      </w:r>
      <w:r w:rsidR="002449D3" w:rsidRPr="005D439E">
        <w:rPr>
          <w:lang w:val="fr-CA"/>
        </w:rPr>
        <w:t>[2018</w:t>
      </w:r>
      <w:r w:rsidR="002449D3" w:rsidRPr="005D439E">
        <w:rPr>
          <w:szCs w:val="24"/>
          <w:lang w:val="fr-CA"/>
        </w:rPr>
        <w:t xml:space="preserve">] </w:t>
      </w:r>
      <w:r w:rsidR="003E27EB" w:rsidRPr="005D439E">
        <w:rPr>
          <w:szCs w:val="24"/>
          <w:shd w:val="clear" w:color="auto" w:fill="FFFFFF"/>
          <w:lang w:val="fr-CA"/>
        </w:rPr>
        <w:t>AZ</w:t>
      </w:r>
      <w:r w:rsidR="003E27EB" w:rsidRPr="005D439E">
        <w:rPr>
          <w:szCs w:val="24"/>
          <w:shd w:val="clear" w:color="auto" w:fill="FFFFFF"/>
          <w:lang w:val="fr-CA"/>
        </w:rPr>
        <w:noBreakHyphen/>
      </w:r>
      <w:r w:rsidR="002449D3" w:rsidRPr="005D439E">
        <w:rPr>
          <w:szCs w:val="24"/>
          <w:shd w:val="clear" w:color="auto" w:fill="FFFFFF"/>
          <w:lang w:val="fr-CA"/>
        </w:rPr>
        <w:t>51468022</w:t>
      </w:r>
      <w:r w:rsidR="002449D3" w:rsidRPr="005D439E">
        <w:rPr>
          <w:szCs w:val="24"/>
          <w:lang w:val="fr-CA"/>
        </w:rPr>
        <w:t xml:space="preserve">, </w:t>
      </w:r>
      <w:r w:rsidR="00563C8F" w:rsidRPr="005D439E">
        <w:rPr>
          <w:lang w:val="fr-CA"/>
        </w:rPr>
        <w:t>[2018] J.Q. n</w:t>
      </w:r>
      <w:r w:rsidR="00563C8F" w:rsidRPr="005D439E">
        <w:rPr>
          <w:vertAlign w:val="superscript"/>
          <w:lang w:val="fr-CA"/>
        </w:rPr>
        <w:t>o</w:t>
      </w:r>
      <w:r w:rsidR="00345090" w:rsidRPr="005D439E">
        <w:rPr>
          <w:lang w:val="fr-CA"/>
        </w:rPr>
        <w:t> </w:t>
      </w:r>
      <w:r w:rsidR="00563C8F" w:rsidRPr="005D439E">
        <w:rPr>
          <w:lang w:val="fr-CA"/>
        </w:rPr>
        <w:t xml:space="preserve">893 (QL), 2018 CarswellQue 742 (WL Can.), qui </w:t>
      </w:r>
      <w:r w:rsidR="00972DF6">
        <w:rPr>
          <w:lang w:val="fr-CA"/>
        </w:rPr>
        <w:t>a</w:t>
      </w:r>
      <w:r w:rsidR="00AA02A6" w:rsidRPr="005D439E">
        <w:rPr>
          <w:lang w:val="fr-CA"/>
        </w:rPr>
        <w:t xml:space="preserve"> confirmé une décision du juge Lefebvre, 2015 QCCS 5456, 46 M.P.L.R. (5th) 309, </w:t>
      </w:r>
      <w:r w:rsidR="003E27EB" w:rsidRPr="005D439E">
        <w:rPr>
          <w:lang w:val="fr-CA"/>
        </w:rPr>
        <w:t>[2015] AZ</w:t>
      </w:r>
      <w:r w:rsidR="003E27EB" w:rsidRPr="005D439E">
        <w:rPr>
          <w:lang w:val="fr-CA"/>
        </w:rPr>
        <w:noBreakHyphen/>
      </w:r>
      <w:r w:rsidR="002449D3" w:rsidRPr="005D439E">
        <w:rPr>
          <w:lang w:val="fr-CA"/>
        </w:rPr>
        <w:t xml:space="preserve">51233047, </w:t>
      </w:r>
      <w:r w:rsidR="00AA02A6" w:rsidRPr="005D439E">
        <w:rPr>
          <w:lang w:val="fr-CA"/>
        </w:rPr>
        <w:t>[2015] J.Q. n</w:t>
      </w:r>
      <w:r w:rsidR="00AA02A6" w:rsidRPr="005D439E">
        <w:rPr>
          <w:vertAlign w:val="superscript"/>
          <w:lang w:val="fr-CA"/>
        </w:rPr>
        <w:t>o</w:t>
      </w:r>
      <w:r w:rsidR="00345090" w:rsidRPr="005D439E">
        <w:rPr>
          <w:lang w:val="fr-CA"/>
        </w:rPr>
        <w:t> </w:t>
      </w:r>
      <w:r w:rsidR="00AA02A6" w:rsidRPr="005D439E">
        <w:rPr>
          <w:lang w:val="fr-CA"/>
        </w:rPr>
        <w:t xml:space="preserve">12811 (QL), 2015 CarswellQue 11236 (WL Can.). </w:t>
      </w:r>
      <w:r w:rsidR="001C2B15" w:rsidRPr="005D439E">
        <w:rPr>
          <w:lang w:val="fr-CA"/>
        </w:rPr>
        <w:t>Pourvoi</w:t>
      </w:r>
      <w:r w:rsidR="00AA02A6" w:rsidRPr="005D439E">
        <w:rPr>
          <w:lang w:val="fr-CA"/>
        </w:rPr>
        <w:t xml:space="preserve"> </w:t>
      </w:r>
      <w:r w:rsidR="00702B78" w:rsidRPr="005D439E">
        <w:rPr>
          <w:lang w:val="fr-CA"/>
        </w:rPr>
        <w:t>de la Ville de Montréal</w:t>
      </w:r>
      <w:r w:rsidR="001C2B15" w:rsidRPr="005D439E">
        <w:rPr>
          <w:lang w:val="fr-CA"/>
        </w:rPr>
        <w:t xml:space="preserve"> rejeté, pourvoi </w:t>
      </w:r>
      <w:r w:rsidR="00702B78" w:rsidRPr="005D439E">
        <w:rPr>
          <w:lang w:val="fr-CA"/>
        </w:rPr>
        <w:t>d’Octane Stratégie inc.</w:t>
      </w:r>
      <w:r w:rsidR="001C2B15" w:rsidRPr="005D439E">
        <w:rPr>
          <w:lang w:val="fr-CA"/>
        </w:rPr>
        <w:t xml:space="preserve"> sans objet</w:t>
      </w:r>
      <w:r w:rsidR="00CE7886" w:rsidRPr="005D439E">
        <w:rPr>
          <w:lang w:val="fr-CA"/>
        </w:rPr>
        <w:t xml:space="preserve">. </w:t>
      </w:r>
      <w:r w:rsidR="00CE7886" w:rsidRPr="005D439E">
        <w:rPr>
          <w:lang w:val="fr-FR"/>
        </w:rPr>
        <w:t>L</w:t>
      </w:r>
      <w:r w:rsidR="00CE7886" w:rsidRPr="005D439E">
        <w:rPr>
          <w:rStyle w:val="citationcar1"/>
          <w:i w:val="0"/>
          <w:iCs w:val="0"/>
          <w:color w:val="auto"/>
          <w:lang w:val="fr-FR"/>
        </w:rPr>
        <w:t>es juges Moldaver, Côté et Brown</w:t>
      </w:r>
      <w:r w:rsidR="00CE7886" w:rsidRPr="005D439E">
        <w:rPr>
          <w:rStyle w:val="citationcar1"/>
          <w:i w:val="0"/>
          <w:color w:val="auto"/>
          <w:lang w:val="fr-FR"/>
        </w:rPr>
        <w:t xml:space="preserve"> sont dissidents.</w:t>
      </w:r>
    </w:p>
    <w:p w:rsidR="00D6192D" w:rsidRPr="005D439E" w:rsidRDefault="00E5093D" w:rsidP="00BD1DD7">
      <w:pPr>
        <w:pStyle w:val="SCCNormalDoubleSpacing"/>
        <w:spacing w:after="480"/>
        <w:rPr>
          <w:lang w:val="fr-CA"/>
        </w:rPr>
      </w:pPr>
      <w:r w:rsidRPr="005D439E">
        <w:rPr>
          <w:rStyle w:val="SCCCounselNameChar"/>
          <w:lang w:val="fr-CA"/>
        </w:rPr>
        <w:lastRenderedPageBreak/>
        <w:tab/>
      </w:r>
      <w:r w:rsidR="004559BA" w:rsidRPr="005D439E">
        <w:rPr>
          <w:rStyle w:val="SCCCounselNameChar"/>
          <w:lang w:val="fr-CA"/>
        </w:rPr>
        <w:t>Olivier Nadon</w:t>
      </w:r>
      <w:r w:rsidR="004559BA" w:rsidRPr="005D439E">
        <w:rPr>
          <w:rStyle w:val="SCCCounselSeparatorChar"/>
          <w:lang w:val="fr-CA"/>
        </w:rPr>
        <w:t xml:space="preserve">, </w:t>
      </w:r>
      <w:r w:rsidR="004559BA" w:rsidRPr="005D439E">
        <w:rPr>
          <w:rStyle w:val="SCCCounselNameChar"/>
          <w:lang w:val="fr-CA"/>
        </w:rPr>
        <w:t>Pierre</w:t>
      </w:r>
      <w:r w:rsidR="00BD1DD7" w:rsidRPr="005D439E">
        <w:rPr>
          <w:rStyle w:val="SCCCounselNameChar"/>
          <w:lang w:val="fr-CA"/>
        </w:rPr>
        <w:noBreakHyphen/>
      </w:r>
      <w:r w:rsidR="004559BA" w:rsidRPr="005D439E">
        <w:rPr>
          <w:rStyle w:val="SCCCounselNameChar"/>
          <w:lang w:val="fr-CA"/>
        </w:rPr>
        <w:t xml:space="preserve">Yves Boisvert </w:t>
      </w:r>
      <w:r w:rsidR="004559BA" w:rsidRPr="005D439E">
        <w:rPr>
          <w:rStyle w:val="SCCCounselSeparatorChar"/>
          <w:lang w:val="fr-CA"/>
        </w:rPr>
        <w:t xml:space="preserve">et </w:t>
      </w:r>
      <w:r w:rsidR="004559BA" w:rsidRPr="005D439E">
        <w:rPr>
          <w:rStyle w:val="SCCCounselNameChar"/>
          <w:lang w:val="fr-CA"/>
        </w:rPr>
        <w:t>Steven Rousseau</w:t>
      </w:r>
      <w:r w:rsidRPr="005D439E">
        <w:rPr>
          <w:rStyle w:val="SCCCounselPartyRoleChar"/>
          <w:lang w:val="fr-CA"/>
        </w:rPr>
        <w:t>, pour l</w:t>
      </w:r>
      <w:r w:rsidR="00AA02A6" w:rsidRPr="005D439E">
        <w:rPr>
          <w:rStyle w:val="SCCCounselPartyRoleChar"/>
          <w:lang w:val="fr-CA"/>
        </w:rPr>
        <w:t>’</w:t>
      </w:r>
      <w:r w:rsidR="004559BA" w:rsidRPr="005D439E">
        <w:rPr>
          <w:rStyle w:val="SCCCounselPartyRoleChar"/>
          <w:lang w:val="fr-CA"/>
        </w:rPr>
        <w:t>appelante</w:t>
      </w:r>
      <w:r w:rsidR="00702B78" w:rsidRPr="005D439E">
        <w:rPr>
          <w:rStyle w:val="SCCCounselPartyRoleChar"/>
          <w:lang w:val="fr-CA"/>
        </w:rPr>
        <w:t xml:space="preserve"> Ville de Montréal</w:t>
      </w:r>
      <w:r w:rsidR="00631CEF" w:rsidRPr="005D439E">
        <w:rPr>
          <w:rStyle w:val="SCCCounselPartyRoleChar"/>
          <w:lang w:val="fr-CA"/>
        </w:rPr>
        <w:t xml:space="preserve"> (38066)</w:t>
      </w:r>
      <w:r w:rsidR="004559BA" w:rsidRPr="005D439E">
        <w:rPr>
          <w:rStyle w:val="SCCCounselPartyRoleChar"/>
          <w:lang w:val="fr-CA"/>
        </w:rPr>
        <w:t xml:space="preserve"> et </w:t>
      </w:r>
      <w:r w:rsidR="00631CEF" w:rsidRPr="005D439E">
        <w:rPr>
          <w:rStyle w:val="SCCCounselPartyRoleChar"/>
          <w:lang w:val="fr-CA"/>
        </w:rPr>
        <w:t xml:space="preserve">pour </w:t>
      </w:r>
      <w:r w:rsidR="004559BA" w:rsidRPr="005D439E">
        <w:rPr>
          <w:rStyle w:val="SCCCounselPartyRoleChar"/>
          <w:lang w:val="fr-CA"/>
        </w:rPr>
        <w:t xml:space="preserve">les intimés </w:t>
      </w:r>
      <w:r w:rsidR="00702B78" w:rsidRPr="005D439E">
        <w:rPr>
          <w:rStyle w:val="SCCCounselPartyRoleChar"/>
          <w:lang w:val="fr-CA"/>
        </w:rPr>
        <w:t xml:space="preserve">Richard Thériault et Ville de Montréal </w:t>
      </w:r>
      <w:r w:rsidR="004559BA" w:rsidRPr="005D439E">
        <w:rPr>
          <w:rStyle w:val="SCCCounselPartyRoleChar"/>
          <w:lang w:val="fr-CA"/>
        </w:rPr>
        <w:t>(38073)</w:t>
      </w:r>
      <w:r w:rsidRPr="005D439E">
        <w:rPr>
          <w:rStyle w:val="SCCCounselPartyRoleChar"/>
          <w:lang w:val="fr-CA"/>
        </w:rPr>
        <w:t>.</w:t>
      </w:r>
    </w:p>
    <w:p w:rsidR="00D6192D" w:rsidRPr="005D439E" w:rsidRDefault="00E5093D" w:rsidP="00BD1DD7">
      <w:pPr>
        <w:pStyle w:val="SCCNormalDoubleSpacing"/>
        <w:spacing w:after="480"/>
        <w:rPr>
          <w:lang w:val="fr-CA"/>
        </w:rPr>
      </w:pPr>
      <w:r w:rsidRPr="005D439E">
        <w:rPr>
          <w:rStyle w:val="SCCCounselNameChar"/>
          <w:lang w:val="fr-CA"/>
        </w:rPr>
        <w:tab/>
        <w:t>Sylvain Dorais</w:t>
      </w:r>
      <w:r w:rsidRPr="005D439E">
        <w:rPr>
          <w:rStyle w:val="SCCCounselSeparatorChar"/>
          <w:lang w:val="fr-CA"/>
        </w:rPr>
        <w:t xml:space="preserve"> et </w:t>
      </w:r>
      <w:r w:rsidRPr="005D439E">
        <w:rPr>
          <w:rStyle w:val="SCCCounselNameChar"/>
          <w:lang w:val="fr-CA"/>
        </w:rPr>
        <w:t>Jocelyn Ouellette</w:t>
      </w:r>
      <w:r w:rsidRPr="005D439E">
        <w:rPr>
          <w:rStyle w:val="SCCCounselPartyRoleChar"/>
          <w:lang w:val="fr-CA"/>
        </w:rPr>
        <w:t>, pour l</w:t>
      </w:r>
      <w:r w:rsidR="00AA02A6" w:rsidRPr="005D439E">
        <w:rPr>
          <w:rStyle w:val="SCCCounselPartyRoleChar"/>
          <w:lang w:val="fr-CA"/>
        </w:rPr>
        <w:t>’</w:t>
      </w:r>
      <w:r w:rsidRPr="005D439E">
        <w:rPr>
          <w:rStyle w:val="SCCCounselPartyRoleChar"/>
          <w:lang w:val="fr-CA"/>
        </w:rPr>
        <w:t>intimé</w:t>
      </w:r>
      <w:r w:rsidR="004559BA" w:rsidRPr="005D439E">
        <w:rPr>
          <w:rStyle w:val="SCCCounselPartyRoleChar"/>
          <w:lang w:val="fr-CA"/>
        </w:rPr>
        <w:t>e</w:t>
      </w:r>
      <w:r w:rsidR="003E27EB" w:rsidRPr="005D439E">
        <w:rPr>
          <w:rStyle w:val="SCCCounselPartyRoleChar"/>
          <w:lang w:val="fr-CA"/>
        </w:rPr>
        <w:t xml:space="preserve"> </w:t>
      </w:r>
      <w:r w:rsidR="00CE45B9" w:rsidRPr="005D439E">
        <w:rPr>
          <w:rStyle w:val="SCCCounselPartyRoleChar"/>
          <w:lang w:val="fr-CA"/>
        </w:rPr>
        <w:t>(38066)</w:t>
      </w:r>
      <w:r w:rsidR="004559BA" w:rsidRPr="005D439E">
        <w:rPr>
          <w:rStyle w:val="SCCCounselPartyRoleChar"/>
          <w:lang w:val="fr-CA"/>
        </w:rPr>
        <w:t>/</w:t>
      </w:r>
      <w:r w:rsidR="003E27EB" w:rsidRPr="005D439E">
        <w:rPr>
          <w:rStyle w:val="SCCCounselPartyRoleChar"/>
          <w:lang w:val="fr-CA"/>
        </w:rPr>
        <w:t xml:space="preserve">appelante </w:t>
      </w:r>
      <w:r w:rsidR="004559BA" w:rsidRPr="005D439E">
        <w:rPr>
          <w:rStyle w:val="SCCCounselPartyRoleChar"/>
          <w:lang w:val="fr-CA"/>
        </w:rPr>
        <w:t>(38073)</w:t>
      </w:r>
      <w:r w:rsidR="00702B78" w:rsidRPr="005D439E">
        <w:rPr>
          <w:rStyle w:val="SCCCounselPartyRoleChar"/>
          <w:lang w:val="fr-CA"/>
        </w:rPr>
        <w:t xml:space="preserve"> Octane Stratégie inc</w:t>
      </w:r>
      <w:r w:rsidRPr="005D439E">
        <w:rPr>
          <w:rStyle w:val="SCCCounselPartyRoleChar"/>
          <w:lang w:val="fr-CA"/>
        </w:rPr>
        <w:t>.</w:t>
      </w:r>
    </w:p>
    <w:p w:rsidR="00D6192D" w:rsidRPr="005D439E" w:rsidRDefault="00E5093D" w:rsidP="00BD1DD7">
      <w:pPr>
        <w:pStyle w:val="SCCNormalDoubleSpacing"/>
        <w:spacing w:after="480"/>
        <w:rPr>
          <w:lang w:val="fr-CA"/>
        </w:rPr>
      </w:pPr>
      <w:r w:rsidRPr="005D439E">
        <w:rPr>
          <w:rStyle w:val="SCCCounselNameChar"/>
          <w:lang w:val="fr-CA"/>
        </w:rPr>
        <w:tab/>
        <w:t>Sébastien Laprise</w:t>
      </w:r>
      <w:r w:rsidRPr="005D439E">
        <w:rPr>
          <w:rStyle w:val="SCCCounselSeparatorChar"/>
          <w:lang w:val="fr-CA"/>
        </w:rPr>
        <w:t xml:space="preserve"> et </w:t>
      </w:r>
      <w:r w:rsidRPr="005D439E">
        <w:rPr>
          <w:rStyle w:val="SCCCounselNameChar"/>
          <w:lang w:val="fr-CA"/>
        </w:rPr>
        <w:t>Jean</w:t>
      </w:r>
      <w:r w:rsidR="00BD1DD7" w:rsidRPr="005D439E">
        <w:rPr>
          <w:rStyle w:val="SCCCounselNameChar"/>
          <w:lang w:val="fr-CA"/>
        </w:rPr>
        <w:noBreakHyphen/>
      </w:r>
      <w:r w:rsidRPr="005D439E">
        <w:rPr>
          <w:rStyle w:val="SCCCounselNameChar"/>
          <w:lang w:val="fr-CA"/>
        </w:rPr>
        <w:t>Benoît Pouliot</w:t>
      </w:r>
      <w:r w:rsidRPr="005D439E">
        <w:rPr>
          <w:rStyle w:val="SCCCounselPartyRoleChar"/>
          <w:lang w:val="fr-CA"/>
        </w:rPr>
        <w:t>, pour l</w:t>
      </w:r>
      <w:r w:rsidR="00AA02A6" w:rsidRPr="005D439E">
        <w:rPr>
          <w:rStyle w:val="SCCCounselPartyRoleChar"/>
          <w:lang w:val="fr-CA"/>
        </w:rPr>
        <w:t>’</w:t>
      </w:r>
      <w:r w:rsidR="004559BA" w:rsidRPr="005D439E">
        <w:rPr>
          <w:rStyle w:val="SCCCounselPartyRoleChar"/>
          <w:lang w:val="fr-CA"/>
        </w:rPr>
        <w:t>intervenante</w:t>
      </w:r>
      <w:r w:rsidRPr="005D439E">
        <w:rPr>
          <w:rStyle w:val="SCCCounselPartyRoleChar"/>
          <w:lang w:val="fr-CA"/>
        </w:rPr>
        <w:t xml:space="preserve"> </w:t>
      </w:r>
      <w:r w:rsidR="004559BA" w:rsidRPr="005D439E">
        <w:rPr>
          <w:rStyle w:val="SCCCounselPartyRoleChar"/>
          <w:lang w:val="fr-CA"/>
        </w:rPr>
        <w:t>l’</w:t>
      </w:r>
      <w:r w:rsidRPr="005D439E">
        <w:rPr>
          <w:rStyle w:val="SCCCounselPartyRoleChar"/>
          <w:lang w:val="fr-CA"/>
        </w:rPr>
        <w:t>Union des municipalités du Québec</w:t>
      </w:r>
      <w:r w:rsidR="00FD4437" w:rsidRPr="005D439E">
        <w:rPr>
          <w:rStyle w:val="SCCCounselPartyRoleChar"/>
          <w:lang w:val="fr-CA"/>
        </w:rPr>
        <w:t xml:space="preserve"> (38066)</w:t>
      </w:r>
      <w:r w:rsidRPr="005D439E">
        <w:rPr>
          <w:rStyle w:val="SCCCounselPartyRoleChar"/>
          <w:lang w:val="fr-CA"/>
        </w:rPr>
        <w:t>.</w:t>
      </w:r>
    </w:p>
    <w:p w:rsidR="007A5985" w:rsidRDefault="00E5093D" w:rsidP="007A5985">
      <w:pPr>
        <w:pStyle w:val="SCCNormalDoubleSpacing"/>
        <w:spacing w:after="480"/>
        <w:rPr>
          <w:rStyle w:val="SCCCounselPartyRoleChar"/>
          <w:lang w:val="fr-CA"/>
        </w:rPr>
      </w:pPr>
      <w:r w:rsidRPr="005D439E">
        <w:rPr>
          <w:rStyle w:val="SCCCounselNameChar"/>
          <w:lang w:val="fr-CA"/>
        </w:rPr>
        <w:tab/>
        <w:t>Jean Prud</w:t>
      </w:r>
      <w:r w:rsidR="00AA02A6" w:rsidRPr="005D439E">
        <w:rPr>
          <w:rStyle w:val="SCCCounselNameChar"/>
          <w:lang w:val="fr-CA"/>
        </w:rPr>
        <w:t>’</w:t>
      </w:r>
      <w:r w:rsidRPr="005D439E">
        <w:rPr>
          <w:rStyle w:val="SCCCounselNameChar"/>
          <w:lang w:val="fr-CA"/>
        </w:rPr>
        <w:t>homme</w:t>
      </w:r>
      <w:r w:rsidRPr="005D439E">
        <w:rPr>
          <w:rStyle w:val="SCCCounselSeparatorChar"/>
          <w:lang w:val="fr-CA"/>
        </w:rPr>
        <w:t xml:space="preserve"> et </w:t>
      </w:r>
      <w:r w:rsidRPr="005D439E">
        <w:rPr>
          <w:rStyle w:val="SCCCounselNameChar"/>
          <w:lang w:val="fr-CA"/>
        </w:rPr>
        <w:t>Gabrielle Robert</w:t>
      </w:r>
      <w:r w:rsidRPr="005D439E">
        <w:rPr>
          <w:rStyle w:val="SCCCounselPartyRoleChar"/>
          <w:lang w:val="fr-CA"/>
        </w:rPr>
        <w:t>, pour l</w:t>
      </w:r>
      <w:r w:rsidR="00AA02A6" w:rsidRPr="005D439E">
        <w:rPr>
          <w:rStyle w:val="SCCCounselPartyRoleChar"/>
          <w:lang w:val="fr-CA"/>
        </w:rPr>
        <w:t>’</w:t>
      </w:r>
      <w:r w:rsidR="004559BA" w:rsidRPr="005D439E">
        <w:rPr>
          <w:rStyle w:val="SCCCounselPartyRoleChar"/>
          <w:lang w:val="fr-CA"/>
        </w:rPr>
        <w:t>intervenant</w:t>
      </w:r>
      <w:r w:rsidRPr="005D439E">
        <w:rPr>
          <w:rStyle w:val="SCCCounselPartyRoleChar"/>
          <w:lang w:val="fr-CA"/>
        </w:rPr>
        <w:t>e</w:t>
      </w:r>
      <w:r w:rsidR="004559BA" w:rsidRPr="005D439E">
        <w:rPr>
          <w:rStyle w:val="SCCCounselPartyRoleChar"/>
          <w:lang w:val="fr-CA"/>
        </w:rPr>
        <w:t xml:space="preserve"> la</w:t>
      </w:r>
      <w:r w:rsidRPr="005D439E">
        <w:rPr>
          <w:rStyle w:val="SCCCounselPartyRoleChar"/>
          <w:lang w:val="fr-CA"/>
        </w:rPr>
        <w:t xml:space="preserve"> Ville de Laval</w:t>
      </w:r>
      <w:r w:rsidR="00FD4437" w:rsidRPr="005D439E">
        <w:rPr>
          <w:rStyle w:val="SCCCounselPartyRoleChar"/>
          <w:lang w:val="fr-CA"/>
        </w:rPr>
        <w:t xml:space="preserve"> (38066)</w:t>
      </w:r>
      <w:r w:rsidRPr="005D439E">
        <w:rPr>
          <w:rStyle w:val="SCCCounselPartyRoleChar"/>
          <w:lang w:val="fr-CA"/>
        </w:rPr>
        <w:t>.</w:t>
      </w:r>
    </w:p>
    <w:p w:rsidR="007A5985" w:rsidRDefault="00EE6FCD" w:rsidP="00EE6FCD">
      <w:pPr>
        <w:pStyle w:val="SCCNormalDoubleSpacing"/>
        <w:spacing w:after="480"/>
        <w:rPr>
          <w:lang w:val="fr-CA"/>
        </w:rPr>
      </w:pPr>
      <w:r>
        <w:rPr>
          <w:lang w:val="fr-CA"/>
        </w:rPr>
        <w:tab/>
      </w:r>
      <w:r w:rsidR="007A5985">
        <w:rPr>
          <w:lang w:val="fr-CA"/>
        </w:rPr>
        <w:t xml:space="preserve">Le jugement du juge en chef Wagner et </w:t>
      </w:r>
      <w:r w:rsidR="007A5985" w:rsidRPr="00EE6FCD">
        <w:rPr>
          <w:rStyle w:val="SCCCounselPartyRoleChar"/>
          <w:lang w:val="fr-CA"/>
        </w:rPr>
        <w:t>des</w:t>
      </w:r>
      <w:r w:rsidR="007A5985" w:rsidRPr="00EA53E1">
        <w:rPr>
          <w:lang w:val="fr-CA"/>
        </w:rPr>
        <w:t xml:space="preserve"> juges </w:t>
      </w:r>
      <w:r w:rsidR="007A5985">
        <w:rPr>
          <w:lang w:val="fr-CA"/>
        </w:rPr>
        <w:t xml:space="preserve">Abella, </w:t>
      </w:r>
      <w:r w:rsidR="007A5985" w:rsidRPr="003620FF">
        <w:rPr>
          <w:lang w:val="fr-CA"/>
        </w:rPr>
        <w:t xml:space="preserve">Karakatsanis, </w:t>
      </w:r>
      <w:r w:rsidR="007A5985">
        <w:rPr>
          <w:lang w:val="fr-CA"/>
        </w:rPr>
        <w:t xml:space="preserve">Gascon, Rowe et Martin a été </w:t>
      </w:r>
      <w:r w:rsidR="007A5985" w:rsidRPr="00EA53E1">
        <w:rPr>
          <w:lang w:val="fr-CA"/>
        </w:rPr>
        <w:t xml:space="preserve">rendu par </w:t>
      </w:r>
    </w:p>
    <w:p w:rsidR="007A5985" w:rsidRPr="00AF53EC" w:rsidRDefault="007A5985" w:rsidP="007A5985">
      <w:pPr>
        <w:pStyle w:val="JudgeJuge"/>
      </w:pPr>
      <w:r w:rsidRPr="00AF53EC">
        <w:tab/>
        <w:t xml:space="preserve">Le juge en chef et le juge Gascon  — </w:t>
      </w:r>
    </w:p>
    <w:p w:rsidR="007A5985" w:rsidRPr="00AF53EC" w:rsidRDefault="007A5985" w:rsidP="007A5985">
      <w:pPr>
        <w:pStyle w:val="Title1LevelTitre1Niveau-AltL"/>
        <w:numPr>
          <w:ilvl w:val="0"/>
          <w:numId w:val="8"/>
        </w:numPr>
        <w:jc w:val="left"/>
        <w:rPr>
          <w:rFonts w:cs="Times New Roman"/>
          <w:lang w:val="fr-CA"/>
        </w:rPr>
      </w:pPr>
      <w:r w:rsidRPr="00AF53EC">
        <w:rPr>
          <w:rFonts w:cs="Times New Roman"/>
          <w:lang w:val="fr-CA"/>
        </w:rPr>
        <w:t>Aperçu</w:t>
      </w:r>
    </w:p>
    <w:p w:rsidR="007A5985" w:rsidRPr="00AF53EC" w:rsidRDefault="007A5985" w:rsidP="007A5985">
      <w:pPr>
        <w:pStyle w:val="ParaNoNdepar-AltN"/>
        <w:rPr>
          <w:rFonts w:cs="Times New Roman"/>
        </w:rPr>
      </w:pPr>
      <w:r w:rsidRPr="00AF53EC">
        <w:rPr>
          <w:rFonts w:cs="Times New Roman"/>
        </w:rPr>
        <w:t>Le présent pourvoi réunit deux dossiers qui concernent une facture impayée de 82 898,63</w:t>
      </w:r>
      <w:r>
        <w:rPr>
          <w:rFonts w:cs="Times New Roman"/>
        </w:rPr>
        <w:t xml:space="preserve"> </w:t>
      </w:r>
      <w:r w:rsidRPr="00AF53EC">
        <w:rPr>
          <w:rFonts w:cs="Times New Roman"/>
        </w:rPr>
        <w:t xml:space="preserve">$ pour la production d’un événement de lancement de l’appelante, la Ville de Montréal (« Ville »), survenu il y a plus de 10 ans. Les enjeux soulevés dans le cadre du pourvoi dépassent toutefois la seule question du paiement de cette facture. Notre Cour est en effet appelée à se prononcer sur l’application en droit </w:t>
      </w:r>
      <w:r w:rsidRPr="00AF53EC">
        <w:rPr>
          <w:rFonts w:cs="Times New Roman"/>
        </w:rPr>
        <w:lastRenderedPageBreak/>
        <w:t>municipal des principes du droit civil québécois en matière de formation des contrats et de restitution des prestations.</w:t>
      </w:r>
    </w:p>
    <w:p w:rsidR="007A5985" w:rsidRPr="00AF53EC" w:rsidRDefault="007A5985" w:rsidP="007A5985">
      <w:pPr>
        <w:pStyle w:val="ParaNoNdepar-AltN"/>
        <w:rPr>
          <w:rFonts w:cs="Times New Roman"/>
        </w:rPr>
      </w:pPr>
      <w:r w:rsidRPr="00AF53EC">
        <w:rPr>
          <w:rFonts w:cs="Times New Roman"/>
        </w:rPr>
        <w:t>L’intimée, Octane Stratég</w:t>
      </w:r>
      <w:r>
        <w:rPr>
          <w:rFonts w:cs="Times New Roman"/>
        </w:rPr>
        <w:t>ie i</w:t>
      </w:r>
      <w:r w:rsidRPr="00AF53EC">
        <w:rPr>
          <w:rFonts w:cs="Times New Roman"/>
        </w:rPr>
        <w:t>nc. (« Octane »), est une entreprise qui exerce ses activités dans le domaine des relations publiques et des communications. En avril 2007, le directeur des transports de la Ville fait appel à ses services pour la création d’un concept d’événement pour le lancement du plan de transport de la Ville qui doit avoir lieu le mois suivant. À la suite d’une réunion où plusieurs acteurs importants de l’administration municipale, dont l’intimé Richard Thériault (« M. Thériault »), exposent leurs attentes élevées pour ce projet, Octane élabore un concept</w:t>
      </w:r>
      <w:r w:rsidRPr="00AF53EC" w:rsidDel="001406EC">
        <w:rPr>
          <w:rFonts w:cs="Times New Roman"/>
        </w:rPr>
        <w:t xml:space="preserve"> </w:t>
      </w:r>
      <w:r w:rsidRPr="00AF53EC">
        <w:rPr>
          <w:rFonts w:cs="Times New Roman"/>
        </w:rPr>
        <w:t>avec l’aide d’une entreprise spécialisée dans le domaine, de qui elle retient les services pour la production de l’événement.</w:t>
      </w:r>
    </w:p>
    <w:p w:rsidR="007A5985" w:rsidRPr="00AF53EC" w:rsidRDefault="007A5985" w:rsidP="007A5985">
      <w:pPr>
        <w:pStyle w:val="ParaNoNdepar-AltN"/>
        <w:rPr>
          <w:rFonts w:cs="Times New Roman"/>
        </w:rPr>
      </w:pPr>
      <w:r w:rsidRPr="00AF53EC">
        <w:rPr>
          <w:rFonts w:cs="Times New Roman"/>
        </w:rPr>
        <w:t>Le lancement se déroule à la date prévue et il est couronné de succès. Malgré de nombreuses démarches d’Octane pour obtenir le paiement des frais engagés pour les services de son sous-traitant, la Ville tarde cependant à payer. En octobre 2009, devant l’inaction de la Ville, Octane lui transmet finalement une facture à cette fin. En mai 2010, presque trois ans après la tenue de l’événement, et vu que la facture n’</w:t>
      </w:r>
      <w:r>
        <w:rPr>
          <w:rFonts w:cs="Times New Roman"/>
        </w:rPr>
        <w:t>est</w:t>
      </w:r>
      <w:r w:rsidRPr="00AF53EC">
        <w:rPr>
          <w:rFonts w:cs="Times New Roman"/>
        </w:rPr>
        <w:t xml:space="preserve"> toujours pas acquittée, Octane intente un recours contre la Ville. Cette dernière lui oppose alors pour la première fois qu’elle n’a en fait jamais autorisé ce mandat, qui n’a d’ailleurs pas été octroyé à la suite du processus d’appel d’offres exigé par la loi. Octane modifie </w:t>
      </w:r>
      <w:r>
        <w:rPr>
          <w:rFonts w:cs="Times New Roman"/>
        </w:rPr>
        <w:t>en conséquence</w:t>
      </w:r>
      <w:r w:rsidRPr="00AF53EC">
        <w:rPr>
          <w:rFonts w:cs="Times New Roman"/>
        </w:rPr>
        <w:t xml:space="preserve"> sa procédure pour ajouter M. Thériault comme défendeur. Elle soutient que ce dernier lui a confié le mandat de réaliser cet événement pour la Ville lors de la réunion initiale, en plus de l’avoir assurée à de nombreuses reprises que celle-ci paierait pour les frais engagés.</w:t>
      </w:r>
    </w:p>
    <w:p w:rsidR="007A5985" w:rsidRPr="00AF53EC" w:rsidRDefault="007A5985" w:rsidP="007A5985">
      <w:pPr>
        <w:pStyle w:val="ParaNoNdepar-AltN"/>
        <w:rPr>
          <w:rFonts w:cs="Times New Roman"/>
        </w:rPr>
      </w:pPr>
      <w:r w:rsidRPr="00AF53EC">
        <w:rPr>
          <w:rFonts w:cs="Times New Roman"/>
        </w:rPr>
        <w:lastRenderedPageBreak/>
        <w:t xml:space="preserve">La Cour supérieure a accueilli le recours d’Octane contre la Ville. Le juge de première instance a conclu de la preuve que M. Thériault avait bien confié un mandat à Octane, mais que ce contrat était nul puisqu’octroyé en contravention des règles d’ordre public en matière d’adjudication de contrats municipaux. Il a par contre rejeté l’argument de la Ville selon lequel la restitution des prestations ne s’appliquait pas en matière municipale en raison des règles impératives posées par la </w:t>
      </w:r>
      <w:r w:rsidRPr="00AF53EC">
        <w:rPr>
          <w:rFonts w:cs="Times New Roman"/>
          <w:i/>
        </w:rPr>
        <w:t>Loi sur les cités et villes</w:t>
      </w:r>
      <w:r w:rsidRPr="00AF53EC">
        <w:rPr>
          <w:rFonts w:cs="Times New Roman"/>
        </w:rPr>
        <w:t>, RLRQ, c. C-19 (« </w:t>
      </w:r>
      <w:r w:rsidRPr="00AF53EC">
        <w:rPr>
          <w:rFonts w:cs="Times New Roman"/>
          <w:i/>
        </w:rPr>
        <w:t>L.C.V.</w:t>
      </w:r>
      <w:r w:rsidRPr="00AF53EC">
        <w:rPr>
          <w:rFonts w:cs="Times New Roman"/>
        </w:rPr>
        <w:t> »). Il a donc ordonné la restitution par équivalent des services rendus et établi leur juste valeur au coût de production de l’événement, soit à 82 898,63</w:t>
      </w:r>
      <w:r>
        <w:rPr>
          <w:rFonts w:cs="Times New Roman"/>
        </w:rPr>
        <w:t xml:space="preserve"> </w:t>
      </w:r>
      <w:r w:rsidRPr="00AF53EC">
        <w:rPr>
          <w:rFonts w:cs="Times New Roman"/>
        </w:rPr>
        <w:t xml:space="preserve">$. La Ville a interjeté appel de cette condamnation et Octane a déposé un appel contre M. Thériault. La Cour d’appel a rejeté l’appel de la Ville de même que celui d’Octane, dès lors sans objet. S’estimant liée par les conclusions du juge de première instance sur l’existence d’un mandat entre Octane et la Ville pour la production de l’événement de lancement, la cour a confirmé que la </w:t>
      </w:r>
      <w:r w:rsidRPr="00AF53EC">
        <w:rPr>
          <w:rFonts w:cs="Times New Roman"/>
          <w:i/>
        </w:rPr>
        <w:t>L.C.V.</w:t>
      </w:r>
      <w:r w:rsidRPr="00AF53EC">
        <w:rPr>
          <w:rFonts w:cs="Times New Roman"/>
        </w:rPr>
        <w:t xml:space="preserve"> ne dérogeait pas au régime de la restitution des prestations, et a souscrit au raisonnement du premier juge sur son application aux faits. Les juges majoritaires ont ajouté que, même si les parties n’étaient pas liées par un contrat, la remise en état s’imposait tout de même en application du régime de la réception de l’indu. Tant la Ville qu’Octane se pourvoient devant notre Cour.</w:t>
      </w:r>
    </w:p>
    <w:p w:rsidR="007A5985" w:rsidRPr="00AF53EC" w:rsidRDefault="007A5985" w:rsidP="007A5985">
      <w:pPr>
        <w:pStyle w:val="ParaNoNdepar-AltN"/>
        <w:rPr>
          <w:rFonts w:cs="Times New Roman"/>
        </w:rPr>
      </w:pPr>
      <w:r w:rsidRPr="00AF53EC">
        <w:rPr>
          <w:rFonts w:cs="Times New Roman"/>
        </w:rPr>
        <w:t xml:space="preserve">Nous sommes d’avis que l’appel de la Ville doit être rejeté. Ce faisant, il n’est pas nécessaire de se prononcer sur l’appel d’Octane. Bien que nous endossions les conclusions de la Cour d’appel sur l’application du régime de la restitution des prestations en matière municipale, nous estimons que cette cour a commis une erreur en faisant preuve de déférence à l’endroit des conclusions du juge de première instance sur l’existence d’un contrat entre la Ville et Octane. Le mandat confié à Octane n’a pas </w:t>
      </w:r>
      <w:r w:rsidRPr="00AF53EC">
        <w:rPr>
          <w:rFonts w:cs="Times New Roman"/>
        </w:rPr>
        <w:lastRenderedPageBreak/>
        <w:t xml:space="preserve">été autorisé par une résolution adoptée par le conseil municipal et n’a pas fait l’objet non plus d’une autorisation par un fonctionnaire jouissant d’une délégation de pouvoirs, si bien que la Ville n’a simplement jamais manifesté sa volonté d’être liée contractuellement à Octane. De ce constat en découle un autre : aucun contrat en lien avec la production de l’événement de lancement n’a pris naissance entre la Ville et Octane. Puisqu’on ne peut annuler un acte juridique qui n’est jamais né, le juge de première instance a commis une erreur en ordonnant la remise en état des parties sur cette base. </w:t>
      </w:r>
    </w:p>
    <w:p w:rsidR="007A5985" w:rsidRPr="00AF53EC" w:rsidRDefault="007A5985" w:rsidP="007A5985">
      <w:pPr>
        <w:pStyle w:val="ParaNoNdepar-AltN"/>
        <w:rPr>
          <w:rFonts w:cs="Times New Roman"/>
        </w:rPr>
      </w:pPr>
      <w:r w:rsidRPr="00AF53EC">
        <w:rPr>
          <w:rFonts w:cs="Times New Roman"/>
        </w:rPr>
        <w:t xml:space="preserve">Toutefois, à l’instar des juges majoritaires de la Cour d’appel, nous sommes d’avis que le régime de la réception de l’indu s’applique en l’espèce, de sorte que la restitution des prestations s’impose néanmoins. Octane a fourni à la Ville des services par le biais de son sous-traitant alors qu’aucun contrat ne la liait à cette dernière. La Ville a donc reçu et profité de services qui ne lui étaient pas dus. En l’absence d’une intention libérale de la part d’Octane, laquelle ne peut se présumer, ce paiement doit lui être restitué. Comme la Ville n’a pas démontré que le juge de première instance a commis une erreur dans son évaluation de la juste valeur des services rendus ou en n’exerçant pas le pouvoir discrétionnaire que lui confère l’al. 2 de l’art. 1699 du </w:t>
      </w:r>
      <w:r w:rsidRPr="00AF53EC">
        <w:rPr>
          <w:rFonts w:cs="Times New Roman"/>
          <w:i/>
        </w:rPr>
        <w:t>Code civil du Québec</w:t>
      </w:r>
      <w:r w:rsidRPr="00AF53EC">
        <w:rPr>
          <w:rFonts w:cs="Times New Roman"/>
        </w:rPr>
        <w:t xml:space="preserve"> (« </w:t>
      </w:r>
      <w:r w:rsidRPr="00AF53EC">
        <w:rPr>
          <w:rFonts w:cs="Times New Roman"/>
          <w:i/>
        </w:rPr>
        <w:t>C.c.Q.</w:t>
      </w:r>
      <w:r w:rsidRPr="00AF53EC">
        <w:rPr>
          <w:rFonts w:cs="Times New Roman"/>
        </w:rPr>
        <w:t> » ou « </w:t>
      </w:r>
      <w:r w:rsidRPr="00AF53EC">
        <w:rPr>
          <w:rFonts w:cs="Times New Roman"/>
          <w:i/>
        </w:rPr>
        <w:t>Code civil</w:t>
      </w:r>
      <w:r w:rsidRPr="00AF53EC">
        <w:rPr>
          <w:rFonts w:cs="Times New Roman"/>
        </w:rPr>
        <w:t xml:space="preserve"> ») de refuser ou de modifier l’étendue ou les modalités de cette restitution, il n’y a pas lieu de </w:t>
      </w:r>
      <w:r>
        <w:rPr>
          <w:rFonts w:cs="Times New Roman"/>
        </w:rPr>
        <w:t>réviser</w:t>
      </w:r>
      <w:r w:rsidRPr="00AF53EC">
        <w:rPr>
          <w:rFonts w:cs="Times New Roman"/>
        </w:rPr>
        <w:t xml:space="preserve"> sa conclusion à ce chapitre. La Ville doit restituer à Octane la somme de 82 898,63</w:t>
      </w:r>
      <w:r>
        <w:rPr>
          <w:rFonts w:cs="Times New Roman"/>
        </w:rPr>
        <w:t xml:space="preserve"> </w:t>
      </w:r>
      <w:r w:rsidRPr="00AF53EC">
        <w:rPr>
          <w:rFonts w:cs="Times New Roman"/>
        </w:rPr>
        <w:t>$.</w:t>
      </w:r>
    </w:p>
    <w:p w:rsidR="007A5985" w:rsidRPr="00AF53EC" w:rsidRDefault="007A5985" w:rsidP="007A5985">
      <w:pPr>
        <w:pStyle w:val="Title1LevelTitre1Niveau-AltL"/>
        <w:numPr>
          <w:ilvl w:val="0"/>
          <w:numId w:val="8"/>
        </w:numPr>
        <w:jc w:val="left"/>
        <w:rPr>
          <w:rFonts w:cs="Times New Roman"/>
          <w:lang w:val="fr-CA"/>
        </w:rPr>
      </w:pPr>
      <w:r w:rsidRPr="00AF53EC">
        <w:rPr>
          <w:rFonts w:cs="Times New Roman"/>
          <w:lang w:val="fr-CA"/>
        </w:rPr>
        <w:t>Contexte</w:t>
      </w:r>
    </w:p>
    <w:p w:rsidR="007A5985" w:rsidRPr="00AF53EC" w:rsidRDefault="007A5985" w:rsidP="007A5985">
      <w:pPr>
        <w:pStyle w:val="ParaNoNdepar-AltN"/>
        <w:rPr>
          <w:rFonts w:cs="Times New Roman"/>
        </w:rPr>
      </w:pPr>
      <w:r w:rsidRPr="00AF53EC">
        <w:rPr>
          <w:rFonts w:cs="Times New Roman"/>
        </w:rPr>
        <w:t xml:space="preserve">En juin 2002, lors du Sommet de Montréal, la Ville et ses différents partenaires soulignent la nécessité pour celle-ci de se doter d’un plan de transport. La </w:t>
      </w:r>
      <w:r w:rsidRPr="00AF53EC">
        <w:rPr>
          <w:rFonts w:cs="Times New Roman"/>
        </w:rPr>
        <w:lastRenderedPageBreak/>
        <w:t xml:space="preserve">Ville </w:t>
      </w:r>
      <w:r>
        <w:rPr>
          <w:rFonts w:cs="Times New Roman"/>
        </w:rPr>
        <w:t>expose</w:t>
      </w:r>
      <w:r w:rsidRPr="00AF53EC">
        <w:rPr>
          <w:rFonts w:cs="Times New Roman"/>
        </w:rPr>
        <w:t xml:space="preserve"> sa vision de ce plan en mars 2005, mais la version définitive n’est prête à être présentée au public qu’en 2007. Entre 2005 et 2007, la Ville recourt notamment à l’expertise d’Octane pour élaborer ce plan en collaboration avec ses préposés</w:t>
      </w:r>
      <w:r>
        <w:rPr>
          <w:rFonts w:cs="Times New Roman"/>
        </w:rPr>
        <w:t xml:space="preserve">. </w:t>
      </w:r>
      <w:r w:rsidRPr="00AF53EC">
        <w:rPr>
          <w:rFonts w:cs="Times New Roman"/>
        </w:rPr>
        <w:t>L’événement de lancement est prévu pour le 17 mai 2007, date symbolique puisqu’il s’agit de la date anniversaire de la fondation de la Ville.</w:t>
      </w:r>
    </w:p>
    <w:p w:rsidR="007A5985" w:rsidRPr="00AF53EC" w:rsidRDefault="007A5985" w:rsidP="007A5985">
      <w:pPr>
        <w:pStyle w:val="ParaNoNdepar-AltN"/>
        <w:rPr>
          <w:rFonts w:cs="Times New Roman"/>
        </w:rPr>
      </w:pPr>
      <w:r w:rsidRPr="00AF53EC">
        <w:rPr>
          <w:rFonts w:cs="Times New Roman"/>
        </w:rPr>
        <w:t>À l’origine, la préparation de l’événement doit être assumée à l’interne par la Direction des communications de la Ville. Cependant, moins d’un mois avant l’événement, le responsable du transport collectif au sein du comité exécutif de la Ville, M. André Lavallée, n’est pas satisfait du projet mis de l’avant. Le 20 avril, il communique avec M. Marc Blanchet, directeur des transports de la Ville, pour partager ses inquiétudes. Ce dernier contacte aussitôt M. Pierre Guillot-Hurtubise, associé chez Octane, pour obtenir de l’aide dans ce dossier. Il le convoque alors à une réunion à l’hôtel de ville le 23 avril, au cours de laquelle il lui demande de préparer un plan stratégique pour l’événement du 17 mai. Ce mandat implique quelques heures de travail liées à des conseils stratégiques; le budget convenu est de 10 000</w:t>
      </w:r>
      <w:r>
        <w:rPr>
          <w:rFonts w:cs="Times New Roman"/>
        </w:rPr>
        <w:t xml:space="preserve"> </w:t>
      </w:r>
      <w:r w:rsidRPr="00AF53EC">
        <w:rPr>
          <w:rFonts w:cs="Times New Roman"/>
        </w:rPr>
        <w:t>$.</w:t>
      </w:r>
    </w:p>
    <w:p w:rsidR="007A5985" w:rsidRPr="00AF53EC" w:rsidRDefault="007A5985" w:rsidP="007A5985">
      <w:pPr>
        <w:pStyle w:val="ParaNoNdepar-AltN"/>
        <w:rPr>
          <w:rFonts w:cs="Times New Roman"/>
        </w:rPr>
      </w:pPr>
      <w:r w:rsidRPr="00AF53EC">
        <w:rPr>
          <w:rFonts w:cs="Times New Roman"/>
        </w:rPr>
        <w:t xml:space="preserve">Le 27 avril, une seconde réunion a lieu à l’hôtel de ville pour discuter de l’organisation de l’événement. En plus de MM. Guillot-Hurtubise et Louis Aucoin — un autre associé chez Octane —, plusieurs membres de l’administration municipale et du cabinet du maire sont présents, notamment M. Lavallée et son attaché politique, M. Blanchet, M. Thériault, directeur des communications et de l’administration au sein du cabinet du maire à cette époque, ainsi que la coordonnatrice aux communications au cabinet du maire et du comité exécutif, la chargée des communications et responsable d’activités au sein de la Direction des communications et la chargée des </w:t>
      </w:r>
      <w:r w:rsidRPr="00AF53EC">
        <w:rPr>
          <w:rFonts w:cs="Times New Roman"/>
        </w:rPr>
        <w:lastRenderedPageBreak/>
        <w:t>communications pour le transport et pour le plan. À cette occasion, les représentants de la Ville partagent leur vision de l’événement et insistent sur le fait qu’il est important que le concept de lancement soit imaginatif et que l’événement soit « marquant », « fastueux » et « flamboyant ». On choisit les personnes qui seront responsables de faire le lien entre Octane et les différents acteurs municipaux appelés à jouer un rôle dans le projet. Selon la preuve retenue par le juge de première instance, M. Thériault, avec l’accord de toutes les personnes présentes, demande à Octane de préparer un concept à la hauteur de leurs attentes.</w:t>
      </w:r>
    </w:p>
    <w:p w:rsidR="007A5985" w:rsidRPr="00AF53EC" w:rsidRDefault="007A5985" w:rsidP="007A5985">
      <w:pPr>
        <w:pStyle w:val="ParaNoNdepar-AltN"/>
        <w:rPr>
          <w:rFonts w:cs="Times New Roman"/>
        </w:rPr>
      </w:pPr>
      <w:r w:rsidRPr="00AF53EC">
        <w:rPr>
          <w:rFonts w:cs="Times New Roman"/>
        </w:rPr>
        <w:t xml:space="preserve">Dans les jours qui suivent cette réunion, Octane s’affaire à élaborer un concept de lancement à cette fin. Elle communique notamment avec M. Gilles Blais, </w:t>
      </w:r>
      <w:r>
        <w:rPr>
          <w:rFonts w:cs="Times New Roman"/>
        </w:rPr>
        <w:t>président</w:t>
      </w:r>
      <w:r w:rsidRPr="00AF53EC">
        <w:rPr>
          <w:rFonts w:cs="Times New Roman"/>
        </w:rPr>
        <w:t xml:space="preserve"> de l’entreprise Productions Gilles Blais (« PGB »), spécialisée dans la production et l’organisation d’événements. Parallèlement, des représentants de la Ville demandent à Octane de s’occuper, en plus de son mandat initial, de la réalisation graphique et de la production de certains outils pour l’événement, dont les listes d’invités, les cartons d’invitation, les étiquettes et les CD-ROM.</w:t>
      </w:r>
    </w:p>
    <w:p w:rsidR="007A5985" w:rsidRPr="00AF53EC" w:rsidRDefault="007A5985" w:rsidP="007A5985">
      <w:pPr>
        <w:pStyle w:val="ParaNoNdepar-AltN"/>
        <w:rPr>
          <w:rFonts w:cs="Times New Roman"/>
        </w:rPr>
      </w:pPr>
      <w:r w:rsidRPr="00AF53EC">
        <w:rPr>
          <w:rFonts w:cs="Times New Roman"/>
        </w:rPr>
        <w:t>Entre le 30 avril et le 15 mai, Octane transmet à la Ville plusieurs scénarios pour le lancement, accompagnés de ses estimations budgétaires. Celles-ci passent successivement de 274 975 $ à 196 000 $, puis à 17</w:t>
      </w:r>
      <w:r>
        <w:rPr>
          <w:rFonts w:cs="Times New Roman"/>
        </w:rPr>
        <w:t>8</w:t>
      </w:r>
      <w:r w:rsidRPr="00AF53EC">
        <w:rPr>
          <w:rFonts w:cs="Times New Roman"/>
        </w:rPr>
        <w:t xml:space="preserve"> 000 $, et finalement à 123 470</w:t>
      </w:r>
      <w:r>
        <w:rPr>
          <w:rFonts w:cs="Times New Roman"/>
        </w:rPr>
        <w:t> </w:t>
      </w:r>
      <w:r w:rsidRPr="00AF53EC">
        <w:rPr>
          <w:rFonts w:cs="Times New Roman"/>
        </w:rPr>
        <w:t>$. Cette estimation finale, envoyée à la Ville le 15 mai, inclut les honoraires d’Octane pour ses services-conseils, les frais et débours</w:t>
      </w:r>
      <w:r>
        <w:rPr>
          <w:rFonts w:cs="Times New Roman"/>
        </w:rPr>
        <w:t>és</w:t>
      </w:r>
      <w:r w:rsidRPr="00AF53EC">
        <w:rPr>
          <w:rFonts w:cs="Times New Roman"/>
        </w:rPr>
        <w:t xml:space="preserve"> pour la préparation du matériel, ainsi que les frais de production et d’équipements scéniques et techniques de PGB, lesquels se chiffrent à 82 898,63</w:t>
      </w:r>
      <w:r>
        <w:rPr>
          <w:rFonts w:cs="Times New Roman"/>
        </w:rPr>
        <w:t xml:space="preserve"> </w:t>
      </w:r>
      <w:r w:rsidRPr="00AF53EC">
        <w:rPr>
          <w:rFonts w:cs="Times New Roman"/>
        </w:rPr>
        <w:t xml:space="preserve">$. Le même jour, Octane et PGB officialisent leur entente et signent un contrat de sous-traitance pour la production de l’événement. </w:t>
      </w:r>
    </w:p>
    <w:p w:rsidR="007A5985" w:rsidRPr="00AF53EC" w:rsidRDefault="007A5985" w:rsidP="007A5985">
      <w:pPr>
        <w:pStyle w:val="ParaNoNdepar-AltN"/>
        <w:rPr>
          <w:rFonts w:cs="Times New Roman"/>
        </w:rPr>
      </w:pPr>
      <w:r w:rsidRPr="00AF53EC">
        <w:rPr>
          <w:rFonts w:cs="Times New Roman"/>
        </w:rPr>
        <w:lastRenderedPageBreak/>
        <w:t>Il convient de noter qu’Octane paie la somme de 82 898,63</w:t>
      </w:r>
      <w:r>
        <w:rPr>
          <w:rFonts w:cs="Times New Roman"/>
        </w:rPr>
        <w:t xml:space="preserve"> </w:t>
      </w:r>
      <w:r w:rsidRPr="00AF53EC">
        <w:rPr>
          <w:rFonts w:cs="Times New Roman"/>
        </w:rPr>
        <w:t>$ à PGB en trois versements les 14 mai, 2</w:t>
      </w:r>
      <w:r>
        <w:rPr>
          <w:rFonts w:cs="Times New Roman"/>
        </w:rPr>
        <w:t>5</w:t>
      </w:r>
      <w:r w:rsidRPr="00AF53EC">
        <w:rPr>
          <w:rFonts w:cs="Times New Roman"/>
        </w:rPr>
        <w:t xml:space="preserve"> mai et 10 août 2007. Le 10 août 2007, les deux entreprises signent un document indiquant qu’Octane a versé à PGB cette somme « en avance à un contrat signé entre la </w:t>
      </w:r>
      <w:r w:rsidRPr="0025007C">
        <w:rPr>
          <w:rFonts w:cs="Times New Roman"/>
        </w:rPr>
        <w:t>[</w:t>
      </w:r>
      <w:r w:rsidRPr="00AF53EC">
        <w:rPr>
          <w:rFonts w:cs="Times New Roman"/>
        </w:rPr>
        <w:t>V</w:t>
      </w:r>
      <w:r>
        <w:rPr>
          <w:rFonts w:cs="Times New Roman"/>
        </w:rPr>
        <w:t>]</w:t>
      </w:r>
      <w:r w:rsidRPr="00AF53EC">
        <w:rPr>
          <w:rFonts w:cs="Times New Roman"/>
        </w:rPr>
        <w:t>ille de Montréal et M. Gilles Blais ». M. Blais dit s’engager à rembourser cette avance à Octane sur paiement de la Ville. Cinq jours plus tard, M. Blais précise cependant dans une lettre à Octane qu’aucun contrat n’a été signé avec la Ville, et que c’est bien avec Octane qu’une entente de sous-traitance a été « négociée, convenue et signée » le 15 mai 2007 pour « la conception, la production, la réalisation et la présentation publique et médiatique » du plan de transport de la Ville.</w:t>
      </w:r>
    </w:p>
    <w:p w:rsidR="007A5985" w:rsidRPr="00AF53EC" w:rsidRDefault="007A5985" w:rsidP="007A5985">
      <w:pPr>
        <w:pStyle w:val="ParaNoNdepar-AltN"/>
        <w:rPr>
          <w:rFonts w:cs="Times New Roman"/>
        </w:rPr>
      </w:pPr>
      <w:r w:rsidRPr="00AF53EC">
        <w:rPr>
          <w:rFonts w:cs="Times New Roman"/>
        </w:rPr>
        <w:t>L’événement a lieu à la date prévue, le 17 mai 2007. Le juge de première instance conclut de la preuve qu’il s’agit d’un grand succès : C</w:t>
      </w:r>
      <w:r>
        <w:rPr>
          <w:rFonts w:cs="Times New Roman"/>
        </w:rPr>
        <w:t>.</w:t>
      </w:r>
      <w:r w:rsidRPr="00AF53EC">
        <w:rPr>
          <w:rFonts w:cs="Times New Roman"/>
        </w:rPr>
        <w:t>S</w:t>
      </w:r>
      <w:r>
        <w:rPr>
          <w:rFonts w:cs="Times New Roman"/>
        </w:rPr>
        <w:t>.</w:t>
      </w:r>
      <w:r w:rsidRPr="00AF53EC">
        <w:rPr>
          <w:rFonts w:cs="Times New Roman"/>
        </w:rPr>
        <w:t xml:space="preserve">, par. 21. </w:t>
      </w:r>
    </w:p>
    <w:p w:rsidR="007A5985" w:rsidRPr="00AF53EC" w:rsidRDefault="007A5985" w:rsidP="007A5985">
      <w:pPr>
        <w:pStyle w:val="ParaNoNdepar-AltN"/>
        <w:rPr>
          <w:rFonts w:cs="Times New Roman"/>
        </w:rPr>
      </w:pPr>
      <w:r w:rsidRPr="00AF53EC">
        <w:rPr>
          <w:rFonts w:cs="Times New Roman"/>
        </w:rPr>
        <w:t>Le 4 juin, Octane transmet à la Ville trois factures relatives à ses services-conseils pour l’élaboration du concept de lancement, la réalisation graphique et la production du matériel pour l’événement. Ces factures, qui totalisent 52 20</w:t>
      </w:r>
      <w:r>
        <w:rPr>
          <w:rFonts w:cs="Times New Roman"/>
        </w:rPr>
        <w:t>3</w:t>
      </w:r>
      <w:r w:rsidRPr="00AF53EC">
        <w:rPr>
          <w:rFonts w:cs="Times New Roman"/>
        </w:rPr>
        <w:t>,34</w:t>
      </w:r>
      <w:r>
        <w:rPr>
          <w:rFonts w:cs="Times New Roman"/>
        </w:rPr>
        <w:t xml:space="preserve"> </w:t>
      </w:r>
      <w:r w:rsidRPr="00AF53EC">
        <w:rPr>
          <w:rFonts w:cs="Times New Roman"/>
        </w:rPr>
        <w:t xml:space="preserve">$, sont payées par la Ville en mars et avril 2008. Le conseil municipal de la Ville approuve les bons de commande de ces services le 27 octobre 2008. </w:t>
      </w:r>
    </w:p>
    <w:p w:rsidR="007A5985" w:rsidRPr="00AF53EC" w:rsidRDefault="007A5985" w:rsidP="007A5985">
      <w:pPr>
        <w:pStyle w:val="ParaNoNdepar-AltN"/>
        <w:rPr>
          <w:rFonts w:cs="Times New Roman"/>
        </w:rPr>
      </w:pPr>
      <w:r w:rsidRPr="00AF53EC">
        <w:rPr>
          <w:rFonts w:cs="Times New Roman"/>
        </w:rPr>
        <w:t xml:space="preserve">Par contre, il en va autrement du paiement des frais de production de l’événement de lancement. À plusieurs reprises, Octane discute de manière informelle du paiement des services de PGB, mais sans succès. La confusion règne au sein de la Ville à ce sujet : on ne sait pas qui, de la direction des transports ou de la direction des communications, est responsable du paiement de ces services. Le 27 octobre 2009, près de 30 mois après le lancement et toujours impayée pour les services de PGB, Octane </w:t>
      </w:r>
      <w:r w:rsidRPr="00AF53EC">
        <w:rPr>
          <w:rFonts w:cs="Times New Roman"/>
        </w:rPr>
        <w:lastRenderedPageBreak/>
        <w:t>transmet officiellement à la Ville sa quatrième facture, qui se chiffre à la somme de 82</w:t>
      </w:r>
      <w:r>
        <w:rPr>
          <w:rFonts w:cs="Times New Roman"/>
        </w:rPr>
        <w:t> </w:t>
      </w:r>
      <w:r w:rsidRPr="00AF53EC">
        <w:rPr>
          <w:rFonts w:cs="Times New Roman"/>
        </w:rPr>
        <w:t>898,63</w:t>
      </w:r>
      <w:r>
        <w:rPr>
          <w:rFonts w:cs="Times New Roman"/>
        </w:rPr>
        <w:t xml:space="preserve"> </w:t>
      </w:r>
      <w:r w:rsidRPr="00AF53EC">
        <w:rPr>
          <w:rFonts w:cs="Times New Roman"/>
        </w:rPr>
        <w:t xml:space="preserve">$ versée à PGB. </w:t>
      </w:r>
    </w:p>
    <w:p w:rsidR="007A5985" w:rsidRPr="00AF53EC" w:rsidRDefault="007A5985" w:rsidP="007A5985">
      <w:pPr>
        <w:pStyle w:val="ParaNoNdepar-AltN"/>
        <w:rPr>
          <w:rFonts w:cs="Times New Roman"/>
        </w:rPr>
      </w:pPr>
      <w:r w:rsidRPr="00AF53EC">
        <w:rPr>
          <w:rFonts w:cs="Times New Roman"/>
        </w:rPr>
        <w:t>Le 14 mai 2010, puisque cette facture reste impayée, Octane intente un recours contre la Ville. Le 21 octobre suivant, la Ville dénonce ses moyens de défense. Elle y indique pour la première fois n’avoir jamais autorisé ce contrat, lequel n’a</w:t>
      </w:r>
      <w:r>
        <w:rPr>
          <w:rFonts w:cs="Times New Roman"/>
        </w:rPr>
        <w:t>urait</w:t>
      </w:r>
      <w:r w:rsidRPr="00AF53EC">
        <w:rPr>
          <w:rFonts w:cs="Times New Roman"/>
        </w:rPr>
        <w:t xml:space="preserve"> d’ailleurs pas été octroyé conformément à la procédure d’appel d’offres prévue par la </w:t>
      </w:r>
      <w:r w:rsidRPr="00AF53EC">
        <w:rPr>
          <w:rFonts w:cs="Times New Roman"/>
          <w:i/>
        </w:rPr>
        <w:t>L.C.V</w:t>
      </w:r>
      <w:r w:rsidRPr="00EE6FCD">
        <w:rPr>
          <w:rFonts w:cs="Times New Roman"/>
          <w:i/>
        </w:rPr>
        <w:t>.</w:t>
      </w:r>
      <w:r w:rsidRPr="00AF53EC">
        <w:rPr>
          <w:rFonts w:cs="Times New Roman"/>
        </w:rPr>
        <w:t xml:space="preserve"> Le 22 novembre 2011, Octane modifie sa procédure afin d’y ajouter M. Thériault à titre de défendeur. Elle soutient que ce dernier lui a confié le mandat de réaliser cet événement pour le compte de la Ville lors de la réunion préparatoire du 27 avril 2007, en plus de l’avoir rassurée à de nombreuses reprises que la Ville paierait pour les services de PGB. Le 21 août 2015, la Ville modifie ses moyens de défense pour alléguer que le recours d’Octane est prescrit à l’égard des deux défendeurs.</w:t>
      </w:r>
    </w:p>
    <w:p w:rsidR="007A5985" w:rsidRPr="00AF53EC" w:rsidRDefault="007A5985" w:rsidP="007A5985">
      <w:pPr>
        <w:pStyle w:val="Title1LevelTitre1Niveau-AltL"/>
        <w:numPr>
          <w:ilvl w:val="0"/>
          <w:numId w:val="8"/>
        </w:numPr>
        <w:jc w:val="left"/>
        <w:rPr>
          <w:rFonts w:cs="Times New Roman"/>
          <w:lang w:val="fr-CA"/>
        </w:rPr>
      </w:pPr>
      <w:r w:rsidRPr="00AF53EC">
        <w:rPr>
          <w:rFonts w:cs="Times New Roman"/>
          <w:lang w:val="fr-CA"/>
        </w:rPr>
        <w:t>Historique judiciaire</w:t>
      </w:r>
    </w:p>
    <w:p w:rsidR="007A5985" w:rsidRPr="00AF53EC" w:rsidRDefault="007A5985" w:rsidP="007A5985">
      <w:pPr>
        <w:pStyle w:val="Title2LevelTitre2Niveau"/>
        <w:numPr>
          <w:ilvl w:val="1"/>
          <w:numId w:val="8"/>
        </w:numPr>
        <w:jc w:val="left"/>
        <w:rPr>
          <w:rFonts w:cs="Times New Roman"/>
          <w:lang w:val="fr-CA"/>
        </w:rPr>
      </w:pPr>
      <w:r w:rsidRPr="00AF53EC">
        <w:rPr>
          <w:rFonts w:cs="Times New Roman"/>
          <w:lang w:val="fr-CA"/>
        </w:rPr>
        <w:t>Cour supérieure du Québec (2015 QCCS 5456</w:t>
      </w:r>
      <w:r>
        <w:rPr>
          <w:rFonts w:cs="Times New Roman"/>
          <w:lang w:val="fr-CA"/>
        </w:rPr>
        <w:t>, 46 M.P.L.R. (5th) 309</w:t>
      </w:r>
      <w:r w:rsidRPr="00AF53EC">
        <w:rPr>
          <w:rFonts w:cs="Times New Roman"/>
          <w:lang w:val="fr-CA"/>
        </w:rPr>
        <w:t>)</w:t>
      </w:r>
    </w:p>
    <w:p w:rsidR="007A5985" w:rsidRPr="00AF53EC" w:rsidRDefault="007A5985" w:rsidP="007A5985">
      <w:pPr>
        <w:pStyle w:val="ParaNoNdepar-AltN"/>
        <w:rPr>
          <w:rFonts w:cs="Times New Roman"/>
        </w:rPr>
      </w:pPr>
      <w:r w:rsidRPr="00AF53EC">
        <w:rPr>
          <w:rFonts w:cs="Times New Roman"/>
        </w:rPr>
        <w:t>La Cour supérieure accueille la requête introductive d’instance d’Octane et condamne la Ville à lui payer la somme de 82 898,63</w:t>
      </w:r>
      <w:r>
        <w:rPr>
          <w:rFonts w:cs="Times New Roman"/>
        </w:rPr>
        <w:t xml:space="preserve"> </w:t>
      </w:r>
      <w:r w:rsidRPr="00AF53EC">
        <w:rPr>
          <w:rFonts w:cs="Times New Roman"/>
        </w:rPr>
        <w:t>$. Le recours subsidiaire d’Octane contre M. Thériault est rejeté, bien que le juge souligne qu’il l’aurait accueilli s’il avait rejeté le recours contre la Ville.</w:t>
      </w:r>
    </w:p>
    <w:p w:rsidR="007A5985" w:rsidRPr="00AF53EC" w:rsidRDefault="007A5985" w:rsidP="007A5985">
      <w:pPr>
        <w:pStyle w:val="ParaNoNdepar-AltN"/>
        <w:rPr>
          <w:rFonts w:cs="Times New Roman"/>
        </w:rPr>
      </w:pPr>
      <w:r w:rsidRPr="00AF53EC">
        <w:rPr>
          <w:rFonts w:cs="Times New Roman"/>
        </w:rPr>
        <w:t xml:space="preserve">Le juge de première instance conclut d’abord que ni le recours contre la Ville, ni celui contre M. Thériault n’est prescrit. Le délai de six mois prévu à l’art. 586 </w:t>
      </w:r>
      <w:r w:rsidRPr="00AF53EC">
        <w:rPr>
          <w:rFonts w:cs="Times New Roman"/>
          <w:i/>
        </w:rPr>
        <w:t>L.C.V.</w:t>
      </w:r>
      <w:r w:rsidRPr="00AF53EC">
        <w:rPr>
          <w:rFonts w:cs="Times New Roman"/>
        </w:rPr>
        <w:t xml:space="preserve"> ne s’applique pas en matière contractuelle. Or, en plaidant que les règles </w:t>
      </w:r>
      <w:r w:rsidRPr="00AF53EC">
        <w:rPr>
          <w:rFonts w:cs="Times New Roman"/>
        </w:rPr>
        <w:lastRenderedPageBreak/>
        <w:t>d’adjudication des contrats n’ont pas été respectées, la Ville admet que le recours possède un fondement contractuel. De plus, Octane ne pouvait ajouter M. Thériault à titre de défendeur avant d’être informée que la Ville entendait contester l’existence du contrat allégué. Ce n’est que le 21 octobre 201</w:t>
      </w:r>
      <w:r>
        <w:rPr>
          <w:rFonts w:cs="Times New Roman"/>
        </w:rPr>
        <w:t>0</w:t>
      </w:r>
      <w:r w:rsidRPr="00AF53EC">
        <w:rPr>
          <w:rFonts w:cs="Times New Roman"/>
        </w:rPr>
        <w:t>, date à laquelle la Ville a dénoncé ses moyens de défense, qu’Octane a pu entrevoir la possibilité d’exercer un recours subsidiaire en responsabilité personnelle contre M. Thériault. Comme Octane a modifié sa requête le 22 novembre 2011 pour exercer ce recours, le juge de première instance estime que celui-ci n’est pas prescrit.</w:t>
      </w:r>
    </w:p>
    <w:p w:rsidR="007A5985" w:rsidRPr="00AF53EC" w:rsidRDefault="007A5985" w:rsidP="007A5985">
      <w:pPr>
        <w:pStyle w:val="ParaNoNdepar-AltN"/>
        <w:rPr>
          <w:rFonts w:cs="Times New Roman"/>
        </w:rPr>
      </w:pPr>
      <w:r w:rsidRPr="00AF53EC">
        <w:rPr>
          <w:rFonts w:cs="Times New Roman"/>
        </w:rPr>
        <w:t>Le premier juge rejette ensuite les prétentions de la Ville selon lesquelles celle-ci n’a jamais autorisé de mandat en faveur d’Octane. En fait, la Ville a octroyé quatre mandats distincts à Octane dans le cadre du lancement du plan de transport. Le quatrième mandat porte plus particulièrement sur la production de l’événement, qu’Octane a choisi de sous-traiter à PGB et dont le coût s’élève à 82 898,63</w:t>
      </w:r>
      <w:r>
        <w:rPr>
          <w:rFonts w:cs="Times New Roman"/>
        </w:rPr>
        <w:t> </w:t>
      </w:r>
      <w:r w:rsidRPr="00AF53EC">
        <w:rPr>
          <w:rFonts w:cs="Times New Roman"/>
        </w:rPr>
        <w:t>$. Le juge écarte par ailleurs la prétention de la Ville selon laquelle Octane aurait sciemment scindé ses factures pour contourner l’exigence de tenir un appel d’offres public pour tout contrat supérieur à 100 000</w:t>
      </w:r>
      <w:r>
        <w:rPr>
          <w:rFonts w:cs="Times New Roman"/>
        </w:rPr>
        <w:t xml:space="preserve"> </w:t>
      </w:r>
      <w:r w:rsidRPr="00AF53EC">
        <w:rPr>
          <w:rFonts w:cs="Times New Roman"/>
        </w:rPr>
        <w:t>$.</w:t>
      </w:r>
    </w:p>
    <w:p w:rsidR="007A5985" w:rsidRPr="00AF53EC" w:rsidRDefault="007A5985" w:rsidP="007A5985">
      <w:pPr>
        <w:pStyle w:val="ParaNoNdepar-AltN"/>
        <w:rPr>
          <w:rFonts w:cs="Times New Roman"/>
        </w:rPr>
      </w:pPr>
      <w:r w:rsidRPr="00AF53EC">
        <w:rPr>
          <w:rFonts w:cs="Times New Roman"/>
        </w:rPr>
        <w:t>Le juge de première instance souligne que c’est M. Thériault qui a octroyé ce quatrième mandat : c’est lui qui a dirigé la réunion du 27 avril 2007 et qui a reçu toutes les propositions de scénarios ainsi que les estimations budgétaires pour le lancement du plan. Il conclut à la responsabilité personnelle de M. Thériault à l’égard du paiement de la facture de 82 898,63</w:t>
      </w:r>
      <w:r>
        <w:rPr>
          <w:rFonts w:cs="Times New Roman"/>
        </w:rPr>
        <w:t xml:space="preserve"> </w:t>
      </w:r>
      <w:r w:rsidRPr="00AF53EC">
        <w:rPr>
          <w:rFonts w:cs="Times New Roman"/>
        </w:rPr>
        <w:t xml:space="preserve">$ parce que non seulement il a donné le mandat à Octane, mais il l’a rassurée à plusieurs reprises que la Ville paierait pour les frais engagés. Le juge souligne en outre que M. Thériault n’a rien fait par la suite pour </w:t>
      </w:r>
      <w:r w:rsidRPr="00AF53EC">
        <w:rPr>
          <w:rFonts w:cs="Times New Roman"/>
        </w:rPr>
        <w:lastRenderedPageBreak/>
        <w:t xml:space="preserve">s’assurer qu’Octane soit payée, alors qu’il aurait pu recommander au comité exécutif de la Ville le paiement de cette facture. </w:t>
      </w:r>
    </w:p>
    <w:p w:rsidR="007A5985" w:rsidRPr="00AF53EC" w:rsidRDefault="007A5985" w:rsidP="007A5985">
      <w:pPr>
        <w:pStyle w:val="ParaNoNdepar-AltN"/>
        <w:rPr>
          <w:rFonts w:cs="Times New Roman"/>
        </w:rPr>
      </w:pPr>
      <w:r w:rsidRPr="00AF53EC">
        <w:rPr>
          <w:rFonts w:cs="Times New Roman"/>
        </w:rPr>
        <w:t>Cela dit, le juge de première instance reconnaît que la Ville aurait dû tenir un appel d’offres sur invitation puisque la valeur du contrat octroyé à Octane pour la production de l’événement était estimée à plus de 25 000</w:t>
      </w:r>
      <w:r>
        <w:rPr>
          <w:rFonts w:cs="Times New Roman"/>
        </w:rPr>
        <w:t xml:space="preserve"> </w:t>
      </w:r>
      <w:r w:rsidRPr="00AF53EC">
        <w:rPr>
          <w:rFonts w:cs="Times New Roman"/>
        </w:rPr>
        <w:t xml:space="preserve">$. Cependant, il souligne que personne à la Ville n’a évoqué la nécessité de respecter cette règle et que, par ailleurs, il est « impensable » que la Ville ait pu procéder à un appel d’offres entre la réunion du 27 avril et l’événement prévu pour le 17 mai. Le juge conclut néanmoins que, vu que ces règles d’ordre public n’ont pas été respectées, le contrat doit être annulé et les parties remises en état conformément à ce que prescrit l’art. 1699 </w:t>
      </w:r>
      <w:r w:rsidRPr="00AF53EC">
        <w:rPr>
          <w:rFonts w:cs="Times New Roman"/>
          <w:i/>
        </w:rPr>
        <w:t>C.c.Q.</w:t>
      </w:r>
      <w:r w:rsidRPr="00AF53EC">
        <w:rPr>
          <w:rFonts w:cs="Times New Roman"/>
        </w:rPr>
        <w:t xml:space="preserve"> Il écarte ainsi l’argument selon lequel les règles impératives de la </w:t>
      </w:r>
      <w:r w:rsidRPr="00AF53EC">
        <w:rPr>
          <w:rFonts w:cs="Times New Roman"/>
          <w:i/>
        </w:rPr>
        <w:t xml:space="preserve">L.C.V. </w:t>
      </w:r>
      <w:r w:rsidRPr="00AF53EC">
        <w:rPr>
          <w:rFonts w:cs="Times New Roman"/>
        </w:rPr>
        <w:t xml:space="preserve">feraient obstacle à la restitution des prestations en matière municipale. À son avis, si le législateur avait voulu faire exception à ce principe de droit commun dans le contexte municipal, il aurait pu le prévoir à la </w:t>
      </w:r>
      <w:r w:rsidRPr="00AF53EC">
        <w:rPr>
          <w:rFonts w:cs="Times New Roman"/>
          <w:i/>
        </w:rPr>
        <w:t>L.C.V.</w:t>
      </w:r>
      <w:r w:rsidRPr="00AF53EC">
        <w:rPr>
          <w:rFonts w:cs="Times New Roman"/>
        </w:rPr>
        <w:t xml:space="preserve"> ou au </w:t>
      </w:r>
      <w:r w:rsidRPr="00AF53EC">
        <w:rPr>
          <w:rFonts w:cs="Times New Roman"/>
          <w:i/>
        </w:rPr>
        <w:t>C.c.Q.</w:t>
      </w:r>
      <w:r w:rsidRPr="00AF53EC">
        <w:rPr>
          <w:rFonts w:cs="Times New Roman"/>
        </w:rPr>
        <w:t xml:space="preserve"> Il ne l’a toutefois pas fait. Le juge appuie sa conclusion sur la jurisprudence de la Cour d’appel qui confirme l’application de l’art. 1699 </w:t>
      </w:r>
      <w:r w:rsidRPr="00AF53EC">
        <w:rPr>
          <w:rFonts w:cs="Times New Roman"/>
          <w:i/>
        </w:rPr>
        <w:t>C.c.Q</w:t>
      </w:r>
      <w:r w:rsidRPr="00874090">
        <w:rPr>
          <w:rFonts w:cs="Times New Roman"/>
          <w:i/>
        </w:rPr>
        <w:t>.</w:t>
      </w:r>
      <w:r w:rsidRPr="00AF53EC">
        <w:rPr>
          <w:rFonts w:cs="Times New Roman"/>
        </w:rPr>
        <w:t xml:space="preserve"> en matière municipale.</w:t>
      </w:r>
    </w:p>
    <w:p w:rsidR="007A5985" w:rsidRPr="00AF53EC" w:rsidRDefault="007A5985" w:rsidP="007A5985">
      <w:pPr>
        <w:pStyle w:val="ParaNoNdepar-AltN"/>
        <w:rPr>
          <w:rFonts w:cs="Times New Roman"/>
        </w:rPr>
      </w:pPr>
      <w:r w:rsidRPr="00AF53EC">
        <w:rPr>
          <w:rFonts w:cs="Times New Roman"/>
        </w:rPr>
        <w:t xml:space="preserve">Finalement, comme les services ne peuvent être restitués en nature, le premier juge conclut que la restitution doit se faire par équivalent tel que le prévoit l’art. 1700 </w:t>
      </w:r>
      <w:r w:rsidRPr="00AF53EC">
        <w:rPr>
          <w:rFonts w:cs="Times New Roman"/>
          <w:i/>
        </w:rPr>
        <w:t>C.c.Q.</w:t>
      </w:r>
      <w:r w:rsidRPr="00AF53EC">
        <w:rPr>
          <w:rFonts w:cs="Times New Roman"/>
        </w:rPr>
        <w:t xml:space="preserve"> Il souligne que les services fournis par Octane l’ont été de bonne foi, qu’ils étaient de qualité et qu’ils ont profité à la Ville. Selon lui, le montant réclamé par Octane, soit 82 898,63</w:t>
      </w:r>
      <w:r>
        <w:rPr>
          <w:rFonts w:cs="Times New Roman"/>
        </w:rPr>
        <w:t xml:space="preserve"> </w:t>
      </w:r>
      <w:r w:rsidRPr="00AF53EC">
        <w:rPr>
          <w:rFonts w:cs="Times New Roman"/>
        </w:rPr>
        <w:t>$, équivaut à la juste valeur des services fournis en l’espèce.</w:t>
      </w:r>
    </w:p>
    <w:p w:rsidR="007A5985" w:rsidRPr="00AF53EC" w:rsidRDefault="007A5985" w:rsidP="007A5985">
      <w:pPr>
        <w:pStyle w:val="Title2LevelTitre2Niveau"/>
        <w:numPr>
          <w:ilvl w:val="1"/>
          <w:numId w:val="8"/>
        </w:numPr>
        <w:jc w:val="left"/>
        <w:rPr>
          <w:rFonts w:cs="Times New Roman"/>
          <w:lang w:val="fr-CA"/>
        </w:rPr>
      </w:pPr>
      <w:r w:rsidRPr="00AF53EC">
        <w:rPr>
          <w:rFonts w:cs="Times New Roman"/>
          <w:lang w:val="fr-CA"/>
        </w:rPr>
        <w:t>Cour d’appel du Québec (2018 QCCA 223</w:t>
      </w:r>
      <w:r>
        <w:rPr>
          <w:rFonts w:cs="Times New Roman"/>
          <w:lang w:val="fr-CA"/>
        </w:rPr>
        <w:t>, 81 M.P.L.R. (5th) 39</w:t>
      </w:r>
      <w:r w:rsidRPr="00AF53EC">
        <w:rPr>
          <w:rFonts w:cs="Times New Roman"/>
          <w:lang w:val="fr-CA"/>
        </w:rPr>
        <w:t>)</w:t>
      </w:r>
    </w:p>
    <w:p w:rsidR="007A5985" w:rsidRPr="00AF53EC" w:rsidRDefault="007A5985" w:rsidP="007A5985">
      <w:pPr>
        <w:pStyle w:val="ParaNoNdepar-AltN"/>
        <w:rPr>
          <w:rFonts w:cs="Times New Roman"/>
        </w:rPr>
      </w:pPr>
      <w:r w:rsidRPr="00AF53EC">
        <w:rPr>
          <w:rFonts w:cs="Times New Roman"/>
        </w:rPr>
        <w:lastRenderedPageBreak/>
        <w:t xml:space="preserve">La Ville se pourvoit en appel, tandis qu’Octane dépose un appel incident contre M. Thériault parce que le jugement de première instance ne contient aucune condamnation à l’endroit de celui-ci, malgré les conclusions du juge sur sa responsabilité. M. Thériault demande le rejet sommaire de cet appel au motif qu’il n’est pas une partie appelante dans le cadre de l’appel principal, de sorte qu’Octane ne peut déposer un appel incident contre lui. La Cour d’appel refuse cette requête, tout en autorisant Octane à produire une déclaration d’appel dans un dossier séparé. Au bout du compte, elle rejette l’appel de la Ville à l’unanimité, mais une juge rédige des motifs concordants. Compte tenu de ce résultat, l’appel d’Octane est déclaré sans objet. </w:t>
      </w:r>
    </w:p>
    <w:p w:rsidR="007A5985" w:rsidRPr="00AF53EC" w:rsidRDefault="007A5985" w:rsidP="007A5985">
      <w:pPr>
        <w:pStyle w:val="ParaNoNdepar-AltN"/>
        <w:rPr>
          <w:rFonts w:cs="Times New Roman"/>
        </w:rPr>
      </w:pPr>
      <w:r w:rsidRPr="00AF53EC">
        <w:rPr>
          <w:rFonts w:cs="Times New Roman"/>
        </w:rPr>
        <w:t>Sur la question de savoir si un contrat a été conclu entre Octane et la Ville, les juges majoritaires estiment que la Ville n’a pas relevé la présence d’une erreur manifeste et déterminante entachant les conclusions du juge de première instance sur ce point. Ils se disent donc liés par celles-ci. Ils confirment le raisonnement du juge de première instance sur l’application de l’art</w:t>
      </w:r>
      <w:r>
        <w:rPr>
          <w:rFonts w:cs="Times New Roman"/>
        </w:rPr>
        <w:t>.</w:t>
      </w:r>
      <w:r w:rsidRPr="00AF53EC">
        <w:rPr>
          <w:rFonts w:cs="Times New Roman"/>
        </w:rPr>
        <w:t xml:space="preserve"> 1699 </w:t>
      </w:r>
      <w:r w:rsidRPr="00AF53EC">
        <w:rPr>
          <w:rFonts w:cs="Times New Roman"/>
          <w:i/>
        </w:rPr>
        <w:t>C.c.Q.</w:t>
      </w:r>
      <w:r w:rsidRPr="00AF53EC">
        <w:rPr>
          <w:rFonts w:cs="Times New Roman"/>
        </w:rPr>
        <w:t xml:space="preserve"> en matière municipale, notamment dans le cas où des règles d’ordre public prévues à la </w:t>
      </w:r>
      <w:r w:rsidRPr="00AF53EC">
        <w:rPr>
          <w:rFonts w:cs="Times New Roman"/>
          <w:i/>
        </w:rPr>
        <w:t>L.C.V.</w:t>
      </w:r>
      <w:r w:rsidRPr="00AF53EC">
        <w:rPr>
          <w:rFonts w:cs="Times New Roman"/>
        </w:rPr>
        <w:t xml:space="preserve"> ont été enfreintes. Selon eux, c’est précisément lorsqu’un acte juridique est anéanti pour cause de non-respect d’une des conditions essentielles à sa validité que les parties doivent être remises en état. À cet égard, ils soulignent que l’art. 1699 </w:t>
      </w:r>
      <w:r w:rsidRPr="00AF53EC">
        <w:rPr>
          <w:rFonts w:cs="Times New Roman"/>
          <w:i/>
        </w:rPr>
        <w:t>C.c.Q.</w:t>
      </w:r>
      <w:r w:rsidRPr="00AF53EC">
        <w:rPr>
          <w:rFonts w:cs="Times New Roman"/>
        </w:rPr>
        <w:t xml:space="preserve"> constitue un changement d’orientation par rapport à la situation qui existait sous le régime du </w:t>
      </w:r>
      <w:r w:rsidRPr="00AF53EC">
        <w:rPr>
          <w:rFonts w:cs="Times New Roman"/>
          <w:i/>
        </w:rPr>
        <w:t>Code civil du Bas-Canada</w:t>
      </w:r>
      <w:r w:rsidRPr="00AF53EC">
        <w:rPr>
          <w:rFonts w:cs="Times New Roman"/>
        </w:rPr>
        <w:t>, et que de nombreux arrêts de la Cour d’appel ont depuis reconnu que la restitution des prestations s’applique dans le contexte municipal. Forts d’une revue jurisprudentielle sur la question, ils concluent que le juge de première instance a à bon droit ordonné la restitution des prestations.</w:t>
      </w:r>
    </w:p>
    <w:p w:rsidR="007A5985" w:rsidRPr="00AF53EC" w:rsidRDefault="007A5985" w:rsidP="007A5985">
      <w:pPr>
        <w:pStyle w:val="ParaNoNdepar-AltN"/>
        <w:rPr>
          <w:rFonts w:cs="Times New Roman"/>
        </w:rPr>
      </w:pPr>
      <w:r w:rsidRPr="00AF53EC">
        <w:rPr>
          <w:rFonts w:cs="Times New Roman"/>
        </w:rPr>
        <w:lastRenderedPageBreak/>
        <w:t xml:space="preserve">Les juges majoritaires ajoutent cependant que, même si aucun contrat n’était intervenu entre Octane et la Ville, la restitution des prestations aurait tout de même pu être ordonnée en vertu du régime de la réception de l’indu. Selon eux, les conditions donnant ouverture à l’application de ce régime sont remplies car Octane, par le biais de son sous-traitant PGB, </w:t>
      </w:r>
      <w:r>
        <w:rPr>
          <w:rFonts w:cs="Times New Roman"/>
        </w:rPr>
        <w:t xml:space="preserve">a </w:t>
      </w:r>
      <w:r w:rsidRPr="00AF53EC">
        <w:rPr>
          <w:rFonts w:cs="Times New Roman"/>
        </w:rPr>
        <w:t xml:space="preserve">réalisé l’événement de lancement en croyant erronément, mais de bonne foi, qu’elle était tenue de fournir ces services à la Ville. </w:t>
      </w:r>
    </w:p>
    <w:p w:rsidR="007A5985" w:rsidRPr="00AF53EC" w:rsidRDefault="007A5985" w:rsidP="007A5985">
      <w:pPr>
        <w:pStyle w:val="ParaNoNdepar-AltN"/>
        <w:rPr>
          <w:rFonts w:cs="Times New Roman"/>
        </w:rPr>
      </w:pPr>
      <w:r w:rsidRPr="00AF53EC">
        <w:rPr>
          <w:rFonts w:cs="Times New Roman"/>
        </w:rPr>
        <w:t xml:space="preserve">Enfin, les juges majoritaires soulignent que l’application du régime de la restitution des prestations dans le contexte municipal ne porte pas atteinte à l’intérêt public qui sous-tend les dispositions de la </w:t>
      </w:r>
      <w:r w:rsidRPr="00AF53EC">
        <w:rPr>
          <w:rFonts w:cs="Times New Roman"/>
          <w:i/>
        </w:rPr>
        <w:t>L.C.V.</w:t>
      </w:r>
      <w:r w:rsidRPr="00AF53EC">
        <w:rPr>
          <w:rFonts w:cs="Times New Roman"/>
        </w:rPr>
        <w:t>, p</w:t>
      </w:r>
      <w:r>
        <w:rPr>
          <w:rFonts w:cs="Times New Roman"/>
        </w:rPr>
        <w:t>uisqu</w:t>
      </w:r>
      <w:r w:rsidRPr="00AF53EC">
        <w:rPr>
          <w:rFonts w:cs="Times New Roman"/>
        </w:rPr>
        <w:t xml:space="preserve">’une municipalité ne doit alors remettre que la véritable valeur de ce qu’elle a reçu. Ainsi, une municipalité qui aurait trop payé pour des services reçus pourrait démontrer qu’elle est seulement tenue de restituer une valeur moindre, équivalente à la valeur réelle de ces services. Les juges majoritaires ajoutent qu’un manquement à la bonne foi pourrait mener un tribunal à exercer son pouvoir discrétionnaire de refuser la restitution des prestations lorsque les circonstances le justifient. En l’espèce, ils estiment que les conclusions factuelles du juge de première instance sur cette question trouvent appui dans la preuve, de sorte qu’il n’y a pas lieu de refuser ou de modifier l’étendue ou les modalités de la restitution en utilisant le pouvoir discrétionnaire conféré par l’al. 2 de l’art. 1699 </w:t>
      </w:r>
      <w:r>
        <w:rPr>
          <w:rFonts w:cs="Times New Roman"/>
          <w:i/>
        </w:rPr>
        <w:t>C.c.Q</w:t>
      </w:r>
      <w:r w:rsidRPr="00874090">
        <w:rPr>
          <w:rFonts w:cs="Times New Roman"/>
          <w:i/>
        </w:rPr>
        <w:t>.</w:t>
      </w:r>
    </w:p>
    <w:p w:rsidR="007A5985" w:rsidRPr="00AF53EC" w:rsidRDefault="007A5985" w:rsidP="007A5985">
      <w:pPr>
        <w:pStyle w:val="ParaNoNdepar-AltN"/>
        <w:rPr>
          <w:rFonts w:cs="Times New Roman"/>
        </w:rPr>
      </w:pPr>
      <w:r w:rsidRPr="00AF53EC">
        <w:rPr>
          <w:rFonts w:cs="Times New Roman"/>
        </w:rPr>
        <w:t xml:space="preserve">La juge ayant rédigé des motifs concordants se dit d’accord avec l’analyse des juges majoritaires sur l’application de la restitution des prestations dans le contexte municipal et sur le fait que la Ville doit restituer à Octane la prestation reçue en raison de la nullité du contrat. Elle estime toutefois qu’il n’est pas nécessaire de se prononcer sur la question de la réception de l’indu. Elle exprime des réserves sur l’application de </w:t>
      </w:r>
      <w:r w:rsidRPr="00AF53EC">
        <w:rPr>
          <w:rFonts w:cs="Times New Roman"/>
        </w:rPr>
        <w:lastRenderedPageBreak/>
        <w:t>ce régime dans la présente affaire, car c’est à son avis PGB, et non Octane, qui a rendu les services en cause, et il est douteux qu’Octane ait fait ici un paiement à la Ville.</w:t>
      </w:r>
    </w:p>
    <w:p w:rsidR="007A5985" w:rsidRPr="00AF53EC" w:rsidRDefault="007A5985" w:rsidP="007A5985">
      <w:pPr>
        <w:pStyle w:val="Title1LevelTitre1Niveau-AltL"/>
        <w:numPr>
          <w:ilvl w:val="0"/>
          <w:numId w:val="8"/>
        </w:numPr>
        <w:jc w:val="left"/>
        <w:rPr>
          <w:rFonts w:cs="Times New Roman"/>
          <w:lang w:val="fr-CA"/>
        </w:rPr>
      </w:pPr>
      <w:r w:rsidRPr="00AF53EC">
        <w:rPr>
          <w:rFonts w:cs="Times New Roman"/>
          <w:lang w:val="fr-CA"/>
        </w:rPr>
        <w:t>Questions en litige</w:t>
      </w:r>
    </w:p>
    <w:p w:rsidR="007A5985" w:rsidRPr="00AF53EC" w:rsidRDefault="007A5985" w:rsidP="007A5985">
      <w:pPr>
        <w:pStyle w:val="ParaNoNdepar-AltN"/>
        <w:rPr>
          <w:rFonts w:cs="Times New Roman"/>
        </w:rPr>
      </w:pPr>
      <w:r w:rsidRPr="00AF53EC">
        <w:rPr>
          <w:rFonts w:cs="Times New Roman"/>
        </w:rPr>
        <w:t xml:space="preserve">Deux commentaires préliminaires s’imposent avant de cerner les questions que soulève le pourvoi. </w:t>
      </w:r>
    </w:p>
    <w:p w:rsidR="007A5985" w:rsidRPr="00AF53EC" w:rsidRDefault="007A5985" w:rsidP="007A5985">
      <w:pPr>
        <w:pStyle w:val="ParaNoNdepar-AltN"/>
        <w:rPr>
          <w:rFonts w:cs="Times New Roman"/>
        </w:rPr>
      </w:pPr>
      <w:r w:rsidRPr="00AF53EC">
        <w:rPr>
          <w:rFonts w:cs="Times New Roman"/>
        </w:rPr>
        <w:t xml:space="preserve">Premièrement, bien que le pourvoi porte sur deux dossiers, l’appel d’Octane contre M. Thériault et la Ville de Montréal (38073) reste subsidiaire par rapport à celui formé par la Ville (38066). Octane interjette appel devant notre Cour pour la même raison que devant la Cour d’appel, soit pour obtenir une condamnation contre M. Thériault si la Ville devait avoir gain de cause dans l’appel principal. La Ville est par ailleurs intimée dans le dossier 38073 parce qu’elle est tenue d’assumer la défense de M. Thériault en vertu des art. 114.10 et 604.6(2) </w:t>
      </w:r>
      <w:r w:rsidRPr="00AF53EC">
        <w:rPr>
          <w:rFonts w:cs="Times New Roman"/>
          <w:i/>
        </w:rPr>
        <w:t>L.C.V.</w:t>
      </w:r>
    </w:p>
    <w:p w:rsidR="007A5985" w:rsidRPr="00AF53EC" w:rsidRDefault="007A5985" w:rsidP="007A5985">
      <w:pPr>
        <w:pStyle w:val="ParaNoNdepar-AltN"/>
        <w:rPr>
          <w:rFonts w:cs="Times New Roman"/>
        </w:rPr>
      </w:pPr>
      <w:r w:rsidRPr="00AF53EC">
        <w:rPr>
          <w:rFonts w:cs="Times New Roman"/>
        </w:rPr>
        <w:t>Deuxièmement, la réclamation d’Octane concerne uniquement les frais de production et de location d’équipements scéniques et techniques de PGB, lesquels s’élèvent à 82 898,63</w:t>
      </w:r>
      <w:r>
        <w:rPr>
          <w:rFonts w:cs="Times New Roman"/>
        </w:rPr>
        <w:t xml:space="preserve"> </w:t>
      </w:r>
      <w:r w:rsidRPr="00AF53EC">
        <w:rPr>
          <w:rFonts w:cs="Times New Roman"/>
        </w:rPr>
        <w:t xml:space="preserve">$. En mars et avril 2008, la Ville a acquitté les trois autres factures de services-conseils d’Octane pour l’élaboration du concept de lancement, la réalisation graphique et la production du matériel utilisé lors de l’événement. Il faut par contre retenir que la Ville a intenté devant la Cour du Québec une action en remboursement de ces sommes payées à Octane. Ce recours est actuellement suspendu. Devant nous, la Ville explique réclamer le remboursement de ces sommes parce qu’elles auraient été payées par erreur en raison de l’inexistence de tout contrat entre elle et Octane. De son </w:t>
      </w:r>
      <w:r w:rsidRPr="00AF53EC">
        <w:rPr>
          <w:rFonts w:cs="Times New Roman"/>
        </w:rPr>
        <w:lastRenderedPageBreak/>
        <w:t xml:space="preserve">propre aveu, elle y invoque ainsi à son bénéfice l’application du régime de la restitution des prestations sur la base de la réception de l’indu. </w:t>
      </w:r>
    </w:p>
    <w:p w:rsidR="007A5985" w:rsidRPr="00AF53EC" w:rsidRDefault="007A5985" w:rsidP="007A5985">
      <w:pPr>
        <w:pStyle w:val="ParaNoNdepar-AltN"/>
        <w:rPr>
          <w:rFonts w:cs="Times New Roman"/>
        </w:rPr>
      </w:pPr>
      <w:r w:rsidRPr="00AF53EC">
        <w:rPr>
          <w:rFonts w:cs="Times New Roman"/>
        </w:rPr>
        <w:t xml:space="preserve">Cela établi, les questions que notre Cour est appelée à trancher sont les suivantes : </w:t>
      </w:r>
    </w:p>
    <w:p w:rsidR="007A5985" w:rsidRPr="00AF53EC" w:rsidRDefault="007A5985" w:rsidP="00EE6FCD">
      <w:pPr>
        <w:pStyle w:val="Citation-AltC"/>
        <w:tabs>
          <w:tab w:val="left" w:pos="630"/>
        </w:tabs>
        <w:spacing w:line="480" w:lineRule="auto"/>
        <w:ind w:left="0"/>
      </w:pPr>
      <w:r w:rsidRPr="00AF53EC">
        <w:t>1.</w:t>
      </w:r>
      <w:r w:rsidRPr="00AF53EC">
        <w:tab/>
        <w:t>Le régime de la restitution des prestations s’applique-t-il en matière municipale?</w:t>
      </w:r>
    </w:p>
    <w:p w:rsidR="007A5985" w:rsidRPr="00AF53EC" w:rsidRDefault="007A5985" w:rsidP="007A5985">
      <w:pPr>
        <w:pStyle w:val="Citation-AltC"/>
      </w:pPr>
    </w:p>
    <w:p w:rsidR="007A5985" w:rsidRDefault="007A5985" w:rsidP="00EE6FCD">
      <w:pPr>
        <w:pStyle w:val="Citation-AltC"/>
        <w:tabs>
          <w:tab w:val="left" w:pos="630"/>
        </w:tabs>
        <w:spacing w:line="480" w:lineRule="auto"/>
        <w:ind w:left="0"/>
      </w:pPr>
      <w:r w:rsidRPr="00AF53EC">
        <w:t>2.</w:t>
      </w:r>
      <w:r w:rsidRPr="00AF53EC">
        <w:tab/>
        <w:t xml:space="preserve">La restitution des prestations s’impose-t-elle en l’espèce, et dans l’affirmative, sur quelle base? </w:t>
      </w:r>
    </w:p>
    <w:p w:rsidR="00EE6FCD" w:rsidRPr="00AF53EC" w:rsidRDefault="00EE6FCD" w:rsidP="00EE6FCD">
      <w:pPr>
        <w:pStyle w:val="Citation-AltC"/>
        <w:tabs>
          <w:tab w:val="left" w:pos="630"/>
        </w:tabs>
        <w:spacing w:line="480" w:lineRule="auto"/>
        <w:ind w:left="0"/>
      </w:pPr>
    </w:p>
    <w:p w:rsidR="007A5985" w:rsidRPr="00AF53EC" w:rsidRDefault="007A5985" w:rsidP="007A5985">
      <w:pPr>
        <w:pStyle w:val="Citation-AltC"/>
      </w:pPr>
    </w:p>
    <w:p w:rsidR="007A5985" w:rsidRPr="00AF53EC" w:rsidRDefault="007A5985" w:rsidP="00EE6FCD">
      <w:pPr>
        <w:pStyle w:val="Citation-AltC"/>
        <w:tabs>
          <w:tab w:val="left" w:pos="630"/>
        </w:tabs>
        <w:spacing w:line="480" w:lineRule="auto"/>
        <w:ind w:left="0"/>
      </w:pPr>
      <w:r w:rsidRPr="00AF53EC">
        <w:t xml:space="preserve">3. </w:t>
      </w:r>
      <w:r w:rsidR="00EE6FCD">
        <w:tab/>
      </w:r>
      <w:r w:rsidRPr="00AF53EC">
        <w:t xml:space="preserve">Y a-t-il lieu de condamner M. Thériault à titre personnel? </w:t>
      </w:r>
    </w:p>
    <w:p w:rsidR="007A5985" w:rsidRPr="00AF53EC" w:rsidRDefault="007A5985" w:rsidP="007A5985">
      <w:pPr>
        <w:pStyle w:val="ParaNoNdepar-AltN"/>
        <w:rPr>
          <w:rFonts w:cs="Times New Roman"/>
        </w:rPr>
      </w:pPr>
      <w:r w:rsidRPr="00AF53EC">
        <w:rPr>
          <w:rFonts w:cs="Times New Roman"/>
        </w:rPr>
        <w:t>À notre avis, le régime de la restitution des prestations s’applique en matière municipale. Bien qu’il soit vrai qu’aucun contrat n’est né entre la Ville et Octane pour la production de l’événement de lancement en raison de l’absence d’une résolution ou d’un règlement de la Ville l’autorisant, la restitution des prestations s’impose néanmoins en vertu du régime de la réception de l’indu. Cette restitution doit se faire par équivalent pour la somme de 82 898,63</w:t>
      </w:r>
      <w:r>
        <w:rPr>
          <w:rFonts w:cs="Times New Roman"/>
        </w:rPr>
        <w:t xml:space="preserve"> </w:t>
      </w:r>
      <w:r w:rsidRPr="00AF53EC">
        <w:rPr>
          <w:rFonts w:cs="Times New Roman"/>
        </w:rPr>
        <w:t>$ comme l’a conclu le juge</w:t>
      </w:r>
      <w:r>
        <w:rPr>
          <w:rFonts w:cs="Times New Roman"/>
        </w:rPr>
        <w:t xml:space="preserve"> de première instance</w:t>
      </w:r>
      <w:r w:rsidRPr="00AF53EC">
        <w:rPr>
          <w:rFonts w:cs="Times New Roman"/>
        </w:rPr>
        <w:t>, rien ne justifie de la refuser ou d’en modifier l’étendue ou les modalités de quelque manière, et le recours d’Octane à ce chapitre n’est pas prescrit. Il s’ensuit que l’appel interjeté par cette dernière contre M. Thériault personnellement est sans objet. Nous abordons chacune de ces questions à tour de rôle.</w:t>
      </w:r>
    </w:p>
    <w:p w:rsidR="007A5985" w:rsidRPr="00AF53EC" w:rsidRDefault="007A5985" w:rsidP="007A5985">
      <w:pPr>
        <w:pStyle w:val="Title1LevelTitre1Niveau-AltL"/>
        <w:numPr>
          <w:ilvl w:val="0"/>
          <w:numId w:val="8"/>
        </w:numPr>
        <w:jc w:val="left"/>
        <w:rPr>
          <w:rFonts w:cs="Times New Roman"/>
          <w:lang w:val="fr-CA"/>
        </w:rPr>
      </w:pPr>
      <w:r w:rsidRPr="00AF53EC">
        <w:rPr>
          <w:rFonts w:cs="Times New Roman"/>
          <w:lang w:val="fr-CA"/>
        </w:rPr>
        <w:t>Analyse</w:t>
      </w:r>
    </w:p>
    <w:p w:rsidR="007A5985" w:rsidRPr="00AF53EC" w:rsidRDefault="007A5985" w:rsidP="007A5985">
      <w:pPr>
        <w:pStyle w:val="Title2LevelTitre2Niveau"/>
        <w:numPr>
          <w:ilvl w:val="1"/>
          <w:numId w:val="8"/>
        </w:numPr>
        <w:jc w:val="left"/>
        <w:rPr>
          <w:rFonts w:cs="Times New Roman"/>
          <w:lang w:val="fr-CA"/>
        </w:rPr>
      </w:pPr>
      <w:r w:rsidRPr="00AF53EC">
        <w:rPr>
          <w:rFonts w:cs="Times New Roman"/>
          <w:lang w:val="fr-CA"/>
        </w:rPr>
        <w:lastRenderedPageBreak/>
        <w:t>La restitution des prestations en matière municipale</w:t>
      </w:r>
    </w:p>
    <w:p w:rsidR="007A5985" w:rsidRPr="00AF53EC" w:rsidRDefault="007A5985" w:rsidP="007A5985">
      <w:pPr>
        <w:pStyle w:val="ParaNoNdepar-AltN"/>
        <w:rPr>
          <w:rFonts w:cs="Times New Roman"/>
        </w:rPr>
      </w:pPr>
      <w:r w:rsidRPr="00AF53EC">
        <w:rPr>
          <w:rFonts w:cs="Times New Roman"/>
        </w:rPr>
        <w:t xml:space="preserve">La Ville soutient que les dispositions du </w:t>
      </w:r>
      <w:r w:rsidRPr="00AF53EC">
        <w:rPr>
          <w:rFonts w:cs="Times New Roman"/>
          <w:i/>
        </w:rPr>
        <w:t>Code civil</w:t>
      </w:r>
      <w:r w:rsidRPr="00AF53EC">
        <w:rPr>
          <w:rFonts w:cs="Times New Roman"/>
        </w:rPr>
        <w:t xml:space="preserve"> qui régissent la restitution des prestations aux art. 1699 à 1707 </w:t>
      </w:r>
      <w:r w:rsidRPr="00AF53EC">
        <w:rPr>
          <w:rFonts w:cs="Times New Roman"/>
          <w:i/>
        </w:rPr>
        <w:t>C.c.Q.</w:t>
      </w:r>
      <w:r w:rsidRPr="00AF53EC">
        <w:rPr>
          <w:rFonts w:cs="Times New Roman"/>
        </w:rPr>
        <w:t xml:space="preserve"> sont incompatibles avec les règles d’ordre public prévues à la </w:t>
      </w:r>
      <w:r>
        <w:rPr>
          <w:rFonts w:cs="Times New Roman"/>
          <w:i/>
        </w:rPr>
        <w:t>L.C.V</w:t>
      </w:r>
      <w:r w:rsidRPr="00874090">
        <w:rPr>
          <w:rFonts w:cs="Times New Roman"/>
          <w:i/>
        </w:rPr>
        <w:t xml:space="preserve">. </w:t>
      </w:r>
      <w:r w:rsidRPr="00AF53EC">
        <w:rPr>
          <w:rFonts w:cs="Times New Roman"/>
        </w:rPr>
        <w:t xml:space="preserve">Selon elle, l’application de ce régime en matière municipale crée une « voie de contournement » ou une « recette » pour éluder l’application de ces règles </w:t>
      </w:r>
      <w:r>
        <w:rPr>
          <w:rFonts w:cs="Times New Roman"/>
        </w:rPr>
        <w:t>(</w:t>
      </w:r>
      <w:r w:rsidRPr="00AF53EC">
        <w:rPr>
          <w:rFonts w:cs="Times New Roman"/>
        </w:rPr>
        <w:t xml:space="preserve">m. </w:t>
      </w:r>
      <w:r>
        <w:rPr>
          <w:rFonts w:cs="Times New Roman"/>
        </w:rPr>
        <w:t>a.,</w:t>
      </w:r>
      <w:r w:rsidRPr="00AF53EC">
        <w:rPr>
          <w:rFonts w:cs="Times New Roman"/>
        </w:rPr>
        <w:t xml:space="preserve"> par. </w:t>
      </w:r>
      <w:r>
        <w:rPr>
          <w:rFonts w:cs="Times New Roman"/>
        </w:rPr>
        <w:t xml:space="preserve">5 et </w:t>
      </w:r>
      <w:r w:rsidRPr="00AF53EC">
        <w:rPr>
          <w:rFonts w:cs="Times New Roman"/>
        </w:rPr>
        <w:t>36</w:t>
      </w:r>
      <w:r>
        <w:rPr>
          <w:rFonts w:cs="Times New Roman"/>
        </w:rPr>
        <w:t>)</w:t>
      </w:r>
      <w:r w:rsidRPr="00AF53EC">
        <w:rPr>
          <w:rFonts w:cs="Times New Roman"/>
        </w:rPr>
        <w:t xml:space="preserve">. À ses yeux, la restitution des prestations fait échec à l’application de la </w:t>
      </w:r>
      <w:r w:rsidRPr="00AF53EC">
        <w:rPr>
          <w:rFonts w:cs="Times New Roman"/>
          <w:i/>
        </w:rPr>
        <w:t>L.C.V.</w:t>
      </w:r>
      <w:r w:rsidRPr="00AF53EC">
        <w:rPr>
          <w:rFonts w:cs="Times New Roman"/>
        </w:rPr>
        <w:t xml:space="preserve"> en permettant au contrevenant d’être payé sur les fonds publics malgré la violation de règles visant à protéger l’intérêt des citoyens. Puisque la restitution est, à son avis, contraire à l’esprit et à la lettre des règles d’adjudication des contrats municipaux prévues aux art. 573 et s</w:t>
      </w:r>
      <w:r>
        <w:rPr>
          <w:rFonts w:cs="Times New Roman"/>
        </w:rPr>
        <w:t>uiv</w:t>
      </w:r>
      <w:r w:rsidRPr="00AF53EC">
        <w:rPr>
          <w:rFonts w:cs="Times New Roman"/>
        </w:rPr>
        <w:t xml:space="preserve">. </w:t>
      </w:r>
      <w:r w:rsidRPr="00AF53EC">
        <w:rPr>
          <w:rFonts w:cs="Times New Roman"/>
          <w:i/>
        </w:rPr>
        <w:t>L.C.V.</w:t>
      </w:r>
      <w:r w:rsidRPr="00AF53EC">
        <w:rPr>
          <w:rFonts w:cs="Times New Roman"/>
        </w:rPr>
        <w:t xml:space="preserve">, la Ville estime que le droit commun doit céder le pas aux lois particulières applicables aux personnes morales de droit public, comme le prévoit l’art. 1376 </w:t>
      </w:r>
      <w:r w:rsidRPr="00AF53EC">
        <w:rPr>
          <w:rFonts w:cs="Times New Roman"/>
          <w:i/>
        </w:rPr>
        <w:t>C.c.Q</w:t>
      </w:r>
      <w:r w:rsidRPr="00874090">
        <w:rPr>
          <w:rFonts w:cs="Times New Roman"/>
          <w:i/>
        </w:rPr>
        <w:t>.</w:t>
      </w:r>
      <w:r w:rsidRPr="00AF53EC">
        <w:rPr>
          <w:rFonts w:cs="Times New Roman"/>
        </w:rPr>
        <w:t xml:space="preserve"> Selon la Ville, la </w:t>
      </w:r>
      <w:r w:rsidRPr="00AF53EC">
        <w:rPr>
          <w:rFonts w:cs="Times New Roman"/>
          <w:i/>
        </w:rPr>
        <w:t>L.C.V.</w:t>
      </w:r>
      <w:r w:rsidRPr="00AF53EC">
        <w:rPr>
          <w:rFonts w:cs="Times New Roman"/>
        </w:rPr>
        <w:t xml:space="preserve"> déroge donc expressément au régime de la restitution des prestations, qui est dès lors inapplicable en droit municipal.</w:t>
      </w:r>
    </w:p>
    <w:p w:rsidR="007A5985" w:rsidRPr="00AF53EC" w:rsidRDefault="007A5985" w:rsidP="007A5985">
      <w:pPr>
        <w:pStyle w:val="ParaNoNdepar-AltN"/>
        <w:rPr>
          <w:rFonts w:cs="Times New Roman"/>
        </w:rPr>
      </w:pPr>
      <w:r w:rsidRPr="00AF53EC">
        <w:rPr>
          <w:rFonts w:cs="Times New Roman"/>
        </w:rPr>
        <w:t xml:space="preserve">À l’instar du juge de première instance et de la Cour d’appel, nous sommes d’avis que le régime de la restitution des prestations du </w:t>
      </w:r>
      <w:r w:rsidRPr="00AF53EC">
        <w:rPr>
          <w:rFonts w:cs="Times New Roman"/>
          <w:i/>
        </w:rPr>
        <w:t>C.c.Q.</w:t>
      </w:r>
      <w:r w:rsidRPr="00AF53EC">
        <w:rPr>
          <w:rFonts w:cs="Times New Roman"/>
        </w:rPr>
        <w:t xml:space="preserve"> s’applique en matière municipale. Les arguments que présente la Ville ne résistent pas à l’analyse. Le droit commun s’applique aux municipalités à moins que le législateur n’y déroge. Or, ni le </w:t>
      </w:r>
      <w:r w:rsidRPr="00AF53EC">
        <w:rPr>
          <w:rFonts w:cs="Times New Roman"/>
          <w:i/>
        </w:rPr>
        <w:t>C.c.Q.</w:t>
      </w:r>
      <w:r w:rsidRPr="00AF53EC">
        <w:rPr>
          <w:rFonts w:cs="Times New Roman"/>
        </w:rPr>
        <w:t xml:space="preserve"> ni la </w:t>
      </w:r>
      <w:r w:rsidRPr="00AF53EC">
        <w:rPr>
          <w:rFonts w:cs="Times New Roman"/>
          <w:i/>
        </w:rPr>
        <w:t>L.C.V.</w:t>
      </w:r>
      <w:r w:rsidRPr="00AF53EC">
        <w:rPr>
          <w:rFonts w:cs="Times New Roman"/>
        </w:rPr>
        <w:t xml:space="preserve"> ne prévoient une telle dérogation. Il est d’ailleurs plutôt paradoxal de constater que la Ville, qui conteste devant nous l’application du régime de la restitution des prestations en matière municipale, invoque elle-même ce régime devant la Cour du Québec afin d’obtenir la restitution du paiement des trois premières factures fait à Octane en 2008.</w:t>
      </w:r>
    </w:p>
    <w:p w:rsidR="007A5985" w:rsidRPr="00AF53EC" w:rsidRDefault="007A5985" w:rsidP="007A5985">
      <w:pPr>
        <w:pStyle w:val="ParaNoNdepar-AltN"/>
        <w:rPr>
          <w:rFonts w:cs="Times New Roman"/>
        </w:rPr>
      </w:pPr>
      <w:r w:rsidRPr="00AF53EC">
        <w:rPr>
          <w:rFonts w:cs="Times New Roman"/>
        </w:rPr>
        <w:lastRenderedPageBreak/>
        <w:t xml:space="preserve"> Pour ce qui est des craintes que soulèvent la Ville et les intervenantes à l’égard du danger de créer une « voie de contournement », elles sont largement tempérées par les mécanismes de contrôle qui caractérisent le régime de la restitution des prestations. Il s’agit d’un régime fondé sur l’équité, et les dispositions du </w:t>
      </w:r>
      <w:r w:rsidRPr="00AF53EC">
        <w:rPr>
          <w:rFonts w:cs="Times New Roman"/>
          <w:i/>
        </w:rPr>
        <w:t>Code civil</w:t>
      </w:r>
      <w:r w:rsidRPr="00AF53EC">
        <w:rPr>
          <w:rFonts w:cs="Times New Roman"/>
        </w:rPr>
        <w:t xml:space="preserve"> donnent au juge la souplesse nécessaire pour décider de l’opportunité d’ordonner la restitution des prestations et pour en déterminer, le cas échéant, les modalités et l’étendue eu égard aux circonstances de chaque cas. Ces mécanismes de contrôle robustes suffisent pour s’assurer que le régime de la restitution des prestations n’est pas utilisé de manière illégitime dans le contexte municipal. </w:t>
      </w:r>
    </w:p>
    <w:p w:rsidR="007A5985" w:rsidRPr="00AF53EC" w:rsidRDefault="007A5985" w:rsidP="007A5985">
      <w:pPr>
        <w:pStyle w:val="Title3LevelTitre3Niveau"/>
        <w:numPr>
          <w:ilvl w:val="2"/>
          <w:numId w:val="8"/>
        </w:numPr>
        <w:rPr>
          <w:rFonts w:cs="Times New Roman"/>
          <w:lang w:val="fr-CA"/>
        </w:rPr>
      </w:pPr>
      <w:r w:rsidRPr="00AF53EC">
        <w:rPr>
          <w:rFonts w:cs="Times New Roman"/>
          <w:lang w:val="fr-CA"/>
        </w:rPr>
        <w:t xml:space="preserve">L’application des principes généraux du </w:t>
      </w:r>
      <w:r w:rsidRPr="00AF53EC">
        <w:rPr>
          <w:rFonts w:cs="Times New Roman"/>
          <w:i/>
          <w:lang w:val="fr-CA"/>
        </w:rPr>
        <w:t>C.c.Q.</w:t>
      </w:r>
      <w:r w:rsidRPr="00AF53EC">
        <w:rPr>
          <w:rFonts w:cs="Times New Roman"/>
          <w:lang w:val="fr-CA"/>
        </w:rPr>
        <w:t xml:space="preserve"> aux municipalités </w:t>
      </w:r>
    </w:p>
    <w:p w:rsidR="007A5985" w:rsidRPr="00AF53EC" w:rsidRDefault="007A5985" w:rsidP="007A5985">
      <w:pPr>
        <w:pStyle w:val="ParaNoNdepar-AltN"/>
        <w:rPr>
          <w:rFonts w:cs="Times New Roman"/>
        </w:rPr>
      </w:pPr>
      <w:r w:rsidRPr="00AF53EC">
        <w:rPr>
          <w:rFonts w:cs="Times New Roman"/>
        </w:rPr>
        <w:t xml:space="preserve">Le </w:t>
      </w:r>
      <w:r w:rsidRPr="00AF53EC">
        <w:rPr>
          <w:rFonts w:cs="Times New Roman"/>
          <w:i/>
        </w:rPr>
        <w:t xml:space="preserve">Code civil </w:t>
      </w:r>
      <w:r w:rsidRPr="00AF53EC">
        <w:rPr>
          <w:rFonts w:cs="Times New Roman"/>
        </w:rPr>
        <w:t xml:space="preserve">énonce plusieurs principes directeurs du droit civil québécois. Sa disposition préliminaire signale qu’il constitue le fondement des autres lois qui mettent en œuvre ou s’appuient sur des notions de droit civil. Par l’effet des art. 300 et 1376 </w:t>
      </w:r>
      <w:r w:rsidRPr="00AF53EC">
        <w:rPr>
          <w:rFonts w:cs="Times New Roman"/>
          <w:i/>
        </w:rPr>
        <w:t>C.c.Q.</w:t>
      </w:r>
      <w:r w:rsidRPr="00AF53EC">
        <w:rPr>
          <w:rFonts w:cs="Times New Roman"/>
        </w:rPr>
        <w:t xml:space="preserve">, cela inclut les lois qui régissent les personnes morales de droit public telles que les municipalités (art. 298 </w:t>
      </w:r>
      <w:r w:rsidRPr="00AF53EC">
        <w:rPr>
          <w:rFonts w:cs="Times New Roman"/>
          <w:i/>
        </w:rPr>
        <w:t>C.c.Q</w:t>
      </w:r>
      <w:r w:rsidRPr="002C3EF6">
        <w:rPr>
          <w:rFonts w:cs="Times New Roman"/>
          <w:i/>
        </w:rPr>
        <w:t>.</w:t>
      </w:r>
      <w:r w:rsidRPr="00AF53EC">
        <w:rPr>
          <w:rFonts w:cs="Times New Roman"/>
        </w:rPr>
        <w:t>). L’a</w:t>
      </w:r>
      <w:r>
        <w:rPr>
          <w:rFonts w:cs="Times New Roman"/>
        </w:rPr>
        <w:t xml:space="preserve">rticle </w:t>
      </w:r>
      <w:r w:rsidRPr="00AF53EC">
        <w:rPr>
          <w:rFonts w:cs="Times New Roman"/>
        </w:rPr>
        <w:t>300</w:t>
      </w:r>
      <w:r>
        <w:rPr>
          <w:rFonts w:cs="Times New Roman"/>
        </w:rPr>
        <w:t xml:space="preserve"> al. </w:t>
      </w:r>
      <w:r w:rsidRPr="00AF53EC">
        <w:rPr>
          <w:rFonts w:cs="Times New Roman"/>
        </w:rPr>
        <w:t xml:space="preserve">1 </w:t>
      </w:r>
      <w:r w:rsidRPr="00AF53EC">
        <w:rPr>
          <w:rFonts w:cs="Times New Roman"/>
          <w:i/>
        </w:rPr>
        <w:t xml:space="preserve">C.c.Q. </w:t>
      </w:r>
      <w:r w:rsidRPr="00AF53EC">
        <w:rPr>
          <w:rFonts w:cs="Times New Roman"/>
        </w:rPr>
        <w:t xml:space="preserve">prévoit ainsi que les personnes morales de droit public sont régies au premier chef par les lois particulières qui les constituent et par celles qui leur sont applicables. L’alinéa 2 de cet article renvoie directement au caractère supplétif du </w:t>
      </w:r>
      <w:r w:rsidRPr="00AF53EC">
        <w:rPr>
          <w:rFonts w:cs="Times New Roman"/>
          <w:i/>
        </w:rPr>
        <w:t>Code civil</w:t>
      </w:r>
      <w:r w:rsidRPr="00AF53EC">
        <w:rPr>
          <w:rFonts w:cs="Times New Roman"/>
        </w:rPr>
        <w:t xml:space="preserve">; il énonce que les règles générales édictées par le </w:t>
      </w:r>
      <w:r w:rsidRPr="00AF53EC">
        <w:rPr>
          <w:rFonts w:cs="Times New Roman"/>
          <w:i/>
        </w:rPr>
        <w:t>C.c.Q</w:t>
      </w:r>
      <w:r w:rsidRPr="00AF53EC">
        <w:rPr>
          <w:rFonts w:cs="Times New Roman"/>
        </w:rPr>
        <w:t xml:space="preserve">. portant sur leur statut de personne morale, sur leurs biens ou encore sur leurs rapports avec les autres personnes, leur sont applicables. L’article 1376 </w:t>
      </w:r>
      <w:r w:rsidRPr="00AF53EC">
        <w:rPr>
          <w:rFonts w:cs="Times New Roman"/>
          <w:i/>
        </w:rPr>
        <w:t>C.c.Q</w:t>
      </w:r>
      <w:r w:rsidRPr="002C3EF6">
        <w:rPr>
          <w:rFonts w:cs="Times New Roman"/>
          <w:i/>
        </w:rPr>
        <w:t>.</w:t>
      </w:r>
      <w:r w:rsidRPr="00AF53EC">
        <w:rPr>
          <w:rFonts w:cs="Times New Roman"/>
        </w:rPr>
        <w:t xml:space="preserve"> prévoit par ailleurs que les règles du livre cinquième Des obligations « s’appliquent à l’État, ainsi qu’à ses organismes et à toute autre personne morale de droit public, sous réserve des autres règles de droit qui leur sont </w:t>
      </w:r>
      <w:r w:rsidRPr="00AF53EC">
        <w:rPr>
          <w:rFonts w:cs="Times New Roman"/>
        </w:rPr>
        <w:lastRenderedPageBreak/>
        <w:t xml:space="preserve">applicables ». Cette disposition nous indique que, dans le domaine des obligations, le </w:t>
      </w:r>
      <w:r w:rsidRPr="00AF53EC">
        <w:rPr>
          <w:rFonts w:cs="Times New Roman"/>
          <w:i/>
        </w:rPr>
        <w:t>C.c.Q</w:t>
      </w:r>
      <w:r w:rsidRPr="00AF53EC">
        <w:rPr>
          <w:rFonts w:cs="Times New Roman"/>
        </w:rPr>
        <w:t>.</w:t>
      </w:r>
      <w:r w:rsidRPr="00AF53EC">
        <w:rPr>
          <w:rFonts w:cs="Times New Roman"/>
          <w:i/>
        </w:rPr>
        <w:t xml:space="preserve"> </w:t>
      </w:r>
      <w:r w:rsidRPr="00AF53EC">
        <w:rPr>
          <w:rFonts w:cs="Times New Roman"/>
        </w:rPr>
        <w:t>représente le droit commun applicable aux personnes morales de droit public (</w:t>
      </w:r>
      <w:r w:rsidRPr="00AF53EC">
        <w:rPr>
          <w:rFonts w:cs="Times New Roman"/>
          <w:i/>
        </w:rPr>
        <w:t>Doré c. Verdun (Ville)</w:t>
      </w:r>
      <w:r w:rsidRPr="00AF53EC">
        <w:rPr>
          <w:rFonts w:cs="Times New Roman"/>
        </w:rPr>
        <w:t>, [1997] 2 R.C.S. 862, par. 25 et s</w:t>
      </w:r>
      <w:r>
        <w:rPr>
          <w:rFonts w:cs="Times New Roman"/>
        </w:rPr>
        <w:t>uiv</w:t>
      </w:r>
      <w:r w:rsidRPr="00AF53EC">
        <w:rPr>
          <w:rFonts w:cs="Times New Roman"/>
        </w:rPr>
        <w:t xml:space="preserve">.; </w:t>
      </w:r>
      <w:r w:rsidRPr="00AF53EC">
        <w:rPr>
          <w:rFonts w:cs="Times New Roman"/>
          <w:i/>
        </w:rPr>
        <w:t>Prud’homme c. Prud’homme</w:t>
      </w:r>
      <w:r w:rsidRPr="00AF53EC">
        <w:rPr>
          <w:rFonts w:cs="Times New Roman"/>
        </w:rPr>
        <w:t>, 2002 CSC 85</w:t>
      </w:r>
      <w:r>
        <w:rPr>
          <w:rFonts w:cs="Times New Roman"/>
        </w:rPr>
        <w:t xml:space="preserve">, </w:t>
      </w:r>
      <w:r w:rsidRPr="00AF53EC">
        <w:rPr>
          <w:rFonts w:cs="Times New Roman"/>
        </w:rPr>
        <w:t xml:space="preserve">[2002] 4 R.C.S. 663, </w:t>
      </w:r>
      <w:r>
        <w:rPr>
          <w:rFonts w:cs="Times New Roman"/>
        </w:rPr>
        <w:t>par. 27;</w:t>
      </w:r>
      <w:r w:rsidRPr="00AF53EC">
        <w:rPr>
          <w:rFonts w:cs="Times New Roman"/>
        </w:rPr>
        <w:t xml:space="preserve"> voir également P.-A. Côté, « La détermination du domaine du droit civil en matière</w:t>
      </w:r>
      <w:r>
        <w:rPr>
          <w:rFonts w:cs="Times New Roman"/>
        </w:rPr>
        <w:t xml:space="preserve"> de responsabilité civile de l’Administration québécoise — C</w:t>
      </w:r>
      <w:r w:rsidRPr="00AF53EC">
        <w:rPr>
          <w:rFonts w:cs="Times New Roman"/>
        </w:rPr>
        <w:t xml:space="preserve">ommentaire de l’arrêt </w:t>
      </w:r>
      <w:r w:rsidRPr="006C078B">
        <w:rPr>
          <w:rFonts w:cs="Times New Roman"/>
        </w:rPr>
        <w:t>Laurentide Motels</w:t>
      </w:r>
      <w:r w:rsidRPr="00AF53EC">
        <w:rPr>
          <w:rFonts w:cs="Times New Roman"/>
        </w:rPr>
        <w:t xml:space="preserve"> » (1994), 28 </w:t>
      </w:r>
      <w:r w:rsidRPr="00AF53EC">
        <w:rPr>
          <w:rFonts w:cs="Times New Roman"/>
          <w:i/>
        </w:rPr>
        <w:t xml:space="preserve">R.J.T. </w:t>
      </w:r>
      <w:r w:rsidRPr="00AF53EC">
        <w:rPr>
          <w:rFonts w:cs="Times New Roman"/>
        </w:rPr>
        <w:t>411, p. 423). Comme le régime de la restitution des prestations fait partie du livre Des obligations, il s’applique aux municipalités à moins que d’autres règles particulières n’en écartent l’application. Selon la Ville, c’est précisément l’effet des art.</w:t>
      </w:r>
      <w:r>
        <w:rPr>
          <w:rFonts w:cs="Times New Roman"/>
        </w:rPr>
        <w:t> </w:t>
      </w:r>
      <w:r w:rsidRPr="00AF53EC">
        <w:rPr>
          <w:rFonts w:cs="Times New Roman"/>
        </w:rPr>
        <w:t>573 et s</w:t>
      </w:r>
      <w:r>
        <w:rPr>
          <w:rFonts w:cs="Times New Roman"/>
        </w:rPr>
        <w:t>uiv</w:t>
      </w:r>
      <w:r w:rsidRPr="00AF53EC">
        <w:rPr>
          <w:rFonts w:cs="Times New Roman"/>
        </w:rPr>
        <w:t xml:space="preserve">. </w:t>
      </w:r>
      <w:r w:rsidRPr="00AF53EC">
        <w:rPr>
          <w:rFonts w:cs="Times New Roman"/>
          <w:i/>
        </w:rPr>
        <w:t>L.C.V.</w:t>
      </w:r>
      <w:r w:rsidRPr="00AF53EC">
        <w:rPr>
          <w:rFonts w:cs="Times New Roman"/>
        </w:rPr>
        <w:t xml:space="preserve"> qui régissent l’adjudication de contrats municipaux.</w:t>
      </w:r>
    </w:p>
    <w:p w:rsidR="007A5985" w:rsidRPr="00AF53EC" w:rsidRDefault="007A5985" w:rsidP="007A5985">
      <w:pPr>
        <w:pStyle w:val="ParaNoNdepar-AltN"/>
        <w:rPr>
          <w:rFonts w:cs="Times New Roman"/>
        </w:rPr>
      </w:pPr>
      <w:r w:rsidRPr="00AF53EC">
        <w:rPr>
          <w:rFonts w:cs="Times New Roman"/>
        </w:rPr>
        <w:t>Sur ce point, la Ville soutient que l’esprit et la lettre de ces dispositions visent à encadrer de manière stricte la formation d’un contrat municipal pour protéger les fonds publics. Dans ce contexte, l’application de la restitution des prestations en matière municipale en cas de violation de ces règles d’ordre public permettrait à un cocontractant d’invoquer après coup le bénéfice qu’a retiré une municipalité d’une prestation de services pour recevoir une « compensation » payée sur les fonds publics, et ce, ma</w:t>
      </w:r>
      <w:r>
        <w:rPr>
          <w:rFonts w:cs="Times New Roman"/>
        </w:rPr>
        <w:t>lgré l’illégalité du processus (</w:t>
      </w:r>
      <w:r w:rsidR="003941EB">
        <w:rPr>
          <w:rFonts w:cs="Times New Roman"/>
        </w:rPr>
        <w:t>m.</w:t>
      </w:r>
      <w:r>
        <w:rPr>
          <w:rFonts w:cs="Times New Roman"/>
        </w:rPr>
        <w:t>a.</w:t>
      </w:r>
      <w:r w:rsidRPr="00AF53EC">
        <w:rPr>
          <w:rFonts w:cs="Times New Roman"/>
        </w:rPr>
        <w:t xml:space="preserve">, par. </w:t>
      </w:r>
      <w:r>
        <w:rPr>
          <w:rFonts w:cs="Times New Roman"/>
        </w:rPr>
        <w:t>4)</w:t>
      </w:r>
      <w:r w:rsidRPr="00AF53EC">
        <w:rPr>
          <w:rFonts w:cs="Times New Roman"/>
        </w:rPr>
        <w:t xml:space="preserve">. Selon la Ville, ces dispositions de la </w:t>
      </w:r>
      <w:r w:rsidRPr="00AF53EC">
        <w:rPr>
          <w:rFonts w:cs="Times New Roman"/>
          <w:i/>
        </w:rPr>
        <w:t xml:space="preserve">L.C.V. </w:t>
      </w:r>
      <w:r w:rsidRPr="00AF53EC">
        <w:rPr>
          <w:rFonts w:cs="Times New Roman"/>
        </w:rPr>
        <w:t xml:space="preserve">dérogent en conséquence aux règles édictées par le </w:t>
      </w:r>
      <w:r w:rsidRPr="00AF53EC">
        <w:rPr>
          <w:rFonts w:cs="Times New Roman"/>
          <w:i/>
        </w:rPr>
        <w:t>C.c.Q.</w:t>
      </w:r>
      <w:r w:rsidRPr="00AF53EC">
        <w:rPr>
          <w:rFonts w:cs="Times New Roman"/>
        </w:rPr>
        <w:t xml:space="preserve"> en matière de restitution des prestations.</w:t>
      </w:r>
    </w:p>
    <w:p w:rsidR="007A5985" w:rsidRPr="00AF53EC" w:rsidRDefault="007A5985" w:rsidP="007A5985">
      <w:pPr>
        <w:pStyle w:val="ParaNoNdepar-AltN"/>
        <w:rPr>
          <w:rFonts w:cs="Times New Roman"/>
        </w:rPr>
      </w:pPr>
      <w:r w:rsidRPr="00AF53EC">
        <w:rPr>
          <w:rFonts w:cs="Times New Roman"/>
        </w:rPr>
        <w:t>Avant d’aborder cet argument, une précision d’ordre terminologique s’impose. Lorsqu’un acte juridique est subséquemment annulé de façon rétroactive, le principe est la remise en état des parties aux termes du régime de la restitution des prestations</w:t>
      </w:r>
      <w:r>
        <w:rPr>
          <w:rFonts w:cs="Times New Roman"/>
        </w:rPr>
        <w:t xml:space="preserve"> (art. 1422 et</w:t>
      </w:r>
      <w:r w:rsidRPr="00AF53EC">
        <w:rPr>
          <w:rFonts w:cs="Times New Roman"/>
        </w:rPr>
        <w:t xml:space="preserve"> 1699</w:t>
      </w:r>
      <w:r>
        <w:rPr>
          <w:rFonts w:cs="Times New Roman"/>
        </w:rPr>
        <w:t xml:space="preserve"> à </w:t>
      </w:r>
      <w:r w:rsidRPr="00AF53EC">
        <w:rPr>
          <w:rFonts w:cs="Times New Roman"/>
        </w:rPr>
        <w:t xml:space="preserve">1707 </w:t>
      </w:r>
      <w:r w:rsidRPr="00AF53EC">
        <w:rPr>
          <w:rFonts w:cs="Times New Roman"/>
          <w:i/>
        </w:rPr>
        <w:t>C.c.Q.</w:t>
      </w:r>
      <w:r w:rsidRPr="00AF53EC">
        <w:rPr>
          <w:rFonts w:cs="Times New Roman"/>
        </w:rPr>
        <w:t xml:space="preserve">). Contrairement à ce que prétend la Ville, </w:t>
      </w:r>
      <w:r w:rsidRPr="00AF53EC">
        <w:rPr>
          <w:rFonts w:cs="Times New Roman"/>
        </w:rPr>
        <w:lastRenderedPageBreak/>
        <w:t xml:space="preserve">il ne s’agit pas d’un « dédommagement », d’une « compensation », d’une « indemnisation » ou d’une « rétribution » pour le service obtenu. Un contrat qui est annulé ou résolu disparaît juridiquement; les effets qu’il a pu produire depuis sa formation doivent donc disparaître avec lui. Dans un tel cas, les parties ne sont pas seulement affranchies de leurs obligations respectives, mais elles doivent aussi être remises dans la situation juridique et économique où elles se trouvaient avant sa conclusion (J.-L. Baudouin et P.-G. Jobin, </w:t>
      </w:r>
      <w:r w:rsidRPr="00AF53EC">
        <w:rPr>
          <w:rFonts w:cs="Times New Roman"/>
          <w:i/>
        </w:rPr>
        <w:t xml:space="preserve">Les obligations </w:t>
      </w:r>
      <w:r w:rsidRPr="00AF53EC">
        <w:rPr>
          <w:rFonts w:cs="Times New Roman"/>
        </w:rPr>
        <w:t>(7</w:t>
      </w:r>
      <w:r w:rsidRPr="00AF53EC">
        <w:rPr>
          <w:rFonts w:cs="Times New Roman"/>
          <w:vertAlign w:val="superscript"/>
        </w:rPr>
        <w:t>e</w:t>
      </w:r>
      <w:r w:rsidRPr="00AF53EC">
        <w:rPr>
          <w:rFonts w:cs="Times New Roman"/>
        </w:rPr>
        <w:t xml:space="preserve"> éd. 2013), par P.-G. Jobin et N. Vézina, </w:t>
      </w:r>
      <w:r w:rsidR="00231FEF">
        <w:rPr>
          <w:rFonts w:cs="Times New Roman"/>
        </w:rPr>
        <w:t>n</w:t>
      </w:r>
      <w:r w:rsidRPr="00A964D5">
        <w:rPr>
          <w:rFonts w:cs="Times New Roman"/>
          <w:vertAlign w:val="superscript"/>
        </w:rPr>
        <w:t>os</w:t>
      </w:r>
      <w:r>
        <w:rPr>
          <w:rFonts w:cs="Times New Roman"/>
        </w:rPr>
        <w:t xml:space="preserve"> </w:t>
      </w:r>
      <w:r w:rsidRPr="00AF53EC">
        <w:rPr>
          <w:rFonts w:cs="Times New Roman"/>
        </w:rPr>
        <w:t xml:space="preserve">377 et 920; D. Lluelles et B. Moore, </w:t>
      </w:r>
      <w:r>
        <w:rPr>
          <w:rFonts w:cs="Times New Roman"/>
          <w:i/>
        </w:rPr>
        <w:t>Droit des obligations</w:t>
      </w:r>
      <w:r>
        <w:rPr>
          <w:rFonts w:cs="Times New Roman"/>
        </w:rPr>
        <w:t xml:space="preserve"> </w:t>
      </w:r>
      <w:r w:rsidRPr="00AF53EC">
        <w:rPr>
          <w:rFonts w:cs="Times New Roman"/>
        </w:rPr>
        <w:t>(</w:t>
      </w:r>
      <w:r>
        <w:rPr>
          <w:rFonts w:cs="Times New Roman"/>
        </w:rPr>
        <w:t>3</w:t>
      </w:r>
      <w:r w:rsidRPr="00AF53EC">
        <w:rPr>
          <w:rFonts w:cs="Times New Roman"/>
          <w:vertAlign w:val="superscript"/>
        </w:rPr>
        <w:t>e</w:t>
      </w:r>
      <w:r w:rsidRPr="00AF53EC">
        <w:rPr>
          <w:rFonts w:cs="Times New Roman"/>
        </w:rPr>
        <w:t xml:space="preserve"> éd. 201</w:t>
      </w:r>
      <w:r>
        <w:rPr>
          <w:rFonts w:cs="Times New Roman"/>
        </w:rPr>
        <w:t>8</w:t>
      </w:r>
      <w:r w:rsidR="001B3A6D">
        <w:rPr>
          <w:rFonts w:cs="Times New Roman"/>
        </w:rPr>
        <w:t>), n</w:t>
      </w:r>
      <w:r w:rsidR="001B3A6D" w:rsidRPr="001B3A6D">
        <w:rPr>
          <w:rFonts w:cs="Times New Roman"/>
          <w:vertAlign w:val="superscript"/>
        </w:rPr>
        <w:t>o</w:t>
      </w:r>
      <w:r>
        <w:rPr>
          <w:rFonts w:cs="Times New Roman"/>
        </w:rPr>
        <w:t> </w:t>
      </w:r>
      <w:r w:rsidRPr="00AF53EC">
        <w:rPr>
          <w:rFonts w:cs="Times New Roman"/>
        </w:rPr>
        <w:t>1223; J. Pineau, D. Burman et S. Gaudet,</w:t>
      </w:r>
      <w:r w:rsidRPr="00AF53EC">
        <w:rPr>
          <w:rFonts w:cs="Times New Roman"/>
          <w:i/>
        </w:rPr>
        <w:t xml:space="preserve"> Théorie des obligations</w:t>
      </w:r>
      <w:r w:rsidRPr="00AF53EC">
        <w:rPr>
          <w:rFonts w:cs="Times New Roman"/>
        </w:rPr>
        <w:t xml:space="preserve"> (4</w:t>
      </w:r>
      <w:r w:rsidRPr="00AF53EC">
        <w:rPr>
          <w:rFonts w:cs="Times New Roman"/>
          <w:vertAlign w:val="superscript"/>
        </w:rPr>
        <w:t>e</w:t>
      </w:r>
      <w:r w:rsidRPr="00AF53EC">
        <w:rPr>
          <w:rFonts w:cs="Times New Roman"/>
        </w:rPr>
        <w:t xml:space="preserve"> éd. 2001),</w:t>
      </w:r>
      <w:r>
        <w:rPr>
          <w:rFonts w:cs="Times New Roman"/>
        </w:rPr>
        <w:t xml:space="preserve"> par J. Pineau et S. Gaudet,</w:t>
      </w:r>
      <w:r w:rsidR="001B3A6D">
        <w:rPr>
          <w:rFonts w:cs="Times New Roman"/>
        </w:rPr>
        <w:t xml:space="preserve"> n</w:t>
      </w:r>
      <w:r w:rsidR="001B3A6D" w:rsidRPr="001B3A6D">
        <w:rPr>
          <w:rFonts w:cs="Times New Roman"/>
          <w:vertAlign w:val="superscript"/>
        </w:rPr>
        <w:t>o</w:t>
      </w:r>
      <w:r>
        <w:rPr>
          <w:rFonts w:cs="Times New Roman"/>
        </w:rPr>
        <w:t xml:space="preserve"> </w:t>
      </w:r>
      <w:r w:rsidRPr="00AF53EC">
        <w:rPr>
          <w:rFonts w:cs="Times New Roman"/>
        </w:rPr>
        <w:t xml:space="preserve">413). Que cette remise en état soit ordonnée en nature ou par équivalent n’y change rien. Suivant l’art. 1700 </w:t>
      </w:r>
      <w:r w:rsidRPr="00AF53EC">
        <w:rPr>
          <w:rFonts w:cs="Times New Roman"/>
          <w:i/>
        </w:rPr>
        <w:t>C.c.Q.</w:t>
      </w:r>
      <w:r w:rsidRPr="00AF53EC">
        <w:rPr>
          <w:rFonts w:cs="Times New Roman"/>
        </w:rPr>
        <w:t xml:space="preserve">, la restitution des prestations en nature est la règle, tandis que la restitution par équivalent est l’exception; dans les deux cas, la restitution découle toutefois du même principe de remise en état. </w:t>
      </w:r>
    </w:p>
    <w:p w:rsidR="007A5985" w:rsidRPr="00AF53EC" w:rsidRDefault="007A5985" w:rsidP="007A5985">
      <w:pPr>
        <w:pStyle w:val="ParaNoNdepar-AltN"/>
      </w:pPr>
      <w:r w:rsidRPr="00AF53EC">
        <w:t>Les articles  573 et s</w:t>
      </w:r>
      <w:r>
        <w:t>uiv</w:t>
      </w:r>
      <w:r w:rsidRPr="00AF53EC">
        <w:t xml:space="preserve">. </w:t>
      </w:r>
      <w:r w:rsidRPr="00AF53EC">
        <w:rPr>
          <w:i/>
        </w:rPr>
        <w:t>L.C.V.</w:t>
      </w:r>
      <w:r w:rsidRPr="00AF53EC">
        <w:t xml:space="preserve"> prévoient que l’octroi de contrats municipaux doit respecter certaines règles. Comme l’objectif visé par ces dispositions est la protection des fonds publics et l’intérêt des contribuables, la nullité absolue sanctionne le contrat conclu en vio</w:t>
      </w:r>
      <w:r>
        <w:t xml:space="preserve">lation de ces règles (art. 1416 à </w:t>
      </w:r>
      <w:r w:rsidRPr="00AF53EC">
        <w:t xml:space="preserve">1418 </w:t>
      </w:r>
      <w:r w:rsidRPr="00AF53EC">
        <w:rPr>
          <w:i/>
        </w:rPr>
        <w:t>C.c.Q.</w:t>
      </w:r>
      <w:r w:rsidRPr="00AF53EC">
        <w:t xml:space="preserve">; </w:t>
      </w:r>
      <w:r w:rsidRPr="00AF53EC">
        <w:rPr>
          <w:i/>
        </w:rPr>
        <w:t>Autobus Dufresne inc. c. Réseau de transport métropolitain,</w:t>
      </w:r>
      <w:r w:rsidRPr="00AF53EC">
        <w:t xml:space="preserve"> 2017 QCCS 5812, par.</w:t>
      </w:r>
      <w:r>
        <w:t> </w:t>
      </w:r>
      <w:r w:rsidRPr="00AF53EC">
        <w:t>41</w:t>
      </w:r>
      <w:r>
        <w:t xml:space="preserve"> (CanLII)</w:t>
      </w:r>
      <w:r w:rsidRPr="00AF53EC">
        <w:t xml:space="preserve">; </w:t>
      </w:r>
      <w:r w:rsidRPr="00AF53EC">
        <w:rPr>
          <w:i/>
        </w:rPr>
        <w:t>Construction Irebec inc. c. Montréal (Ville de)</w:t>
      </w:r>
      <w:r w:rsidRPr="00AF53EC">
        <w:t>, 2015 QCCS 4303, par.</w:t>
      </w:r>
      <w:r>
        <w:t> </w:t>
      </w:r>
      <w:r w:rsidRPr="00AF53EC">
        <w:t>104</w:t>
      </w:r>
      <w:r>
        <w:t xml:space="preserve"> </w:t>
      </w:r>
      <w:r w:rsidRPr="004305E4">
        <w:rPr>
          <w:rFonts w:cs="Times New Roman"/>
        </w:rPr>
        <w:t>(CanLII)</w:t>
      </w:r>
      <w:r w:rsidRPr="00AF53EC">
        <w:t xml:space="preserve">; </w:t>
      </w:r>
      <w:r w:rsidRPr="00AF53EC">
        <w:rPr>
          <w:i/>
        </w:rPr>
        <w:t>Centre de téléphone mobile (Québec) inc. c. Marieville (Ville</w:t>
      </w:r>
      <w:r>
        <w:rPr>
          <w:i/>
        </w:rPr>
        <w:t xml:space="preserve"> de</w:t>
      </w:r>
      <w:r w:rsidRPr="00AF53EC">
        <w:rPr>
          <w:i/>
        </w:rPr>
        <w:t>)</w:t>
      </w:r>
      <w:r w:rsidRPr="00AF53EC">
        <w:t xml:space="preserve">, 2006 QCCS 1179, </w:t>
      </w:r>
      <w:r w:rsidR="00EE6FCD">
        <w:t xml:space="preserve">[2006] </w:t>
      </w:r>
      <w:r>
        <w:t xml:space="preserve">AZ-50359395, </w:t>
      </w:r>
      <w:r w:rsidRPr="00AF53EC">
        <w:t>par. 32; P</w:t>
      </w:r>
      <w:r>
        <w:t>.</w:t>
      </w:r>
      <w:r w:rsidRPr="00AF53EC">
        <w:t xml:space="preserve"> Garant, </w:t>
      </w:r>
      <w:r w:rsidRPr="00AF53EC">
        <w:rPr>
          <w:i/>
        </w:rPr>
        <w:t>Droit administratif</w:t>
      </w:r>
      <w:r>
        <w:t xml:space="preserve"> (7</w:t>
      </w:r>
      <w:r w:rsidRPr="00D14F6B">
        <w:rPr>
          <w:vertAlign w:val="superscript"/>
        </w:rPr>
        <w:t>e</w:t>
      </w:r>
      <w:r>
        <w:t xml:space="preserve"> éd. </w:t>
      </w:r>
      <w:r w:rsidRPr="00AF53EC">
        <w:t>2017</w:t>
      </w:r>
      <w:r>
        <w:t>)</w:t>
      </w:r>
      <w:r w:rsidRPr="00AF53EC">
        <w:t>, p.</w:t>
      </w:r>
      <w:r>
        <w:t> </w:t>
      </w:r>
      <w:r w:rsidRPr="00AF53EC">
        <w:t xml:space="preserve">476; J. Hétu et Y. Duplessis, </w:t>
      </w:r>
      <w:r>
        <w:t xml:space="preserve">avec la collaboration de L. Vézina, </w:t>
      </w:r>
      <w:r w:rsidRPr="00AF53EC">
        <w:rPr>
          <w:i/>
        </w:rPr>
        <w:t>Droit municipal : Principes généraux et contentieux</w:t>
      </w:r>
      <w:r w:rsidRPr="00AF53EC">
        <w:t xml:space="preserve"> (</w:t>
      </w:r>
      <w:r>
        <w:t>2</w:t>
      </w:r>
      <w:r w:rsidRPr="00054F3A">
        <w:rPr>
          <w:vertAlign w:val="superscript"/>
        </w:rPr>
        <w:t>e</w:t>
      </w:r>
      <w:r>
        <w:t xml:space="preserve"> éd. (feuilles mobiles)</w:t>
      </w:r>
      <w:r w:rsidRPr="00AF53EC">
        <w:t>),</w:t>
      </w:r>
      <w:r>
        <w:t xml:space="preserve"> vol. 1,</w:t>
      </w:r>
      <w:r w:rsidRPr="00AF53EC">
        <w:t xml:space="preserve"> par. 9.73; P. Giroux et D.</w:t>
      </w:r>
      <w:r>
        <w:t> </w:t>
      </w:r>
      <w:r w:rsidRPr="00AF53EC">
        <w:t xml:space="preserve">Lemieux, </w:t>
      </w:r>
      <w:r w:rsidRPr="00AF53EC">
        <w:rPr>
          <w:i/>
        </w:rPr>
        <w:t>Contrats des organismes publics québécois</w:t>
      </w:r>
      <w:r w:rsidRPr="00AF53EC">
        <w:t xml:space="preserve"> (</w:t>
      </w:r>
      <w:r>
        <w:t xml:space="preserve">feuilles </w:t>
      </w:r>
      <w:r>
        <w:lastRenderedPageBreak/>
        <w:t>mobiles</w:t>
      </w:r>
      <w:r w:rsidRPr="00AF53EC">
        <w:t>), par.</w:t>
      </w:r>
      <w:r>
        <w:t> 5</w:t>
      </w:r>
      <w:r>
        <w:noBreakHyphen/>
      </w:r>
      <w:r w:rsidRPr="00AF53EC">
        <w:t xml:space="preserve">800; </w:t>
      </w:r>
      <w:r>
        <w:t>Baudouin et</w:t>
      </w:r>
      <w:r w:rsidRPr="00AF53EC">
        <w:t xml:space="preserve"> Jobin, nº</w:t>
      </w:r>
      <w:r>
        <w:t xml:space="preserve"> </w:t>
      </w:r>
      <w:r w:rsidRPr="00AF53EC">
        <w:t xml:space="preserve">372). Le fait que ces dispositions soient d’ordre public et que leur violation soit sanctionnée par la nullité absolue du contrat ne constitue pas une dérogation, explicite ou même implicite, au régime de la restitution des prestations. C’est précisément parce que le contrat est jugé nul, et partant réputé n’avoir jamais existé selon l’art. 1422 </w:t>
      </w:r>
      <w:r w:rsidRPr="00AF53EC">
        <w:rPr>
          <w:i/>
        </w:rPr>
        <w:t>C.c.Q</w:t>
      </w:r>
      <w:r w:rsidRPr="00682A87">
        <w:rPr>
          <w:i/>
        </w:rPr>
        <w:t>.</w:t>
      </w:r>
      <w:r w:rsidRPr="00AF53EC">
        <w:t>, qu’il importe de procéder à la restitution des prestations : celui qui a reçu en vertu d’un contrat nul a en effet reçu sans droit (Lluelles et Moore, nº</w:t>
      </w:r>
      <w:r>
        <w:t> </w:t>
      </w:r>
      <w:r w:rsidRPr="00AF53EC">
        <w:t>1224). Le fait que les art. 573 et s</w:t>
      </w:r>
      <w:r>
        <w:t>uiv</w:t>
      </w:r>
      <w:r w:rsidRPr="00AF53EC">
        <w:t xml:space="preserve">. </w:t>
      </w:r>
      <w:r w:rsidRPr="00AF53EC">
        <w:rPr>
          <w:i/>
        </w:rPr>
        <w:t>L.C.V.</w:t>
      </w:r>
      <w:r w:rsidRPr="00AF53EC">
        <w:t xml:space="preserve"> soient d’ordre public et que leur violation soit sanctionnée par la nullité absolue n’est pas en soi incompatible avec le principe de la restitution. De fait, ces dispositions rendent d’autant plus nécessaire la remise en état des parties. </w:t>
      </w:r>
    </w:p>
    <w:p w:rsidR="007A5985" w:rsidRPr="00AF53EC" w:rsidRDefault="007A5985" w:rsidP="007A5985">
      <w:pPr>
        <w:pStyle w:val="ParaNoNdepar-AltN"/>
      </w:pPr>
      <w:r w:rsidRPr="00AF53EC">
        <w:t xml:space="preserve">À défaut d’indication législative claire et non équivoque en ce sens, l’importance des dispositions d’ordre public prévues à la </w:t>
      </w:r>
      <w:r w:rsidRPr="00AF53EC">
        <w:rPr>
          <w:i/>
        </w:rPr>
        <w:t>L.C.V.</w:t>
      </w:r>
      <w:r w:rsidRPr="00AF53EC">
        <w:t xml:space="preserve"> ne suffit pas pour écarter l’application du régime de droit commun. Comme le souligne avec à-propos le juge de première instance, si le législateur avait voulu déroger au régime de la restitution des prestations en matière municipale, il l’aurait énoncé clairement, soit à la </w:t>
      </w:r>
      <w:r w:rsidRPr="00AF53EC">
        <w:rPr>
          <w:i/>
        </w:rPr>
        <w:t>L.C.V.</w:t>
      </w:r>
      <w:r w:rsidRPr="00AF53EC">
        <w:t xml:space="preserve">, soit au </w:t>
      </w:r>
      <w:r w:rsidRPr="00AF53EC">
        <w:rPr>
          <w:i/>
        </w:rPr>
        <w:t>C.c.Q.</w:t>
      </w:r>
      <w:r>
        <w:t> (</w:t>
      </w:r>
      <w:r w:rsidRPr="00AF53EC">
        <w:t>C</w:t>
      </w:r>
      <w:r>
        <w:t>.</w:t>
      </w:r>
      <w:r w:rsidRPr="00AF53EC">
        <w:t>S</w:t>
      </w:r>
      <w:r>
        <w:t>.</w:t>
      </w:r>
      <w:r w:rsidRPr="00AF53EC">
        <w:t>, par. 153</w:t>
      </w:r>
      <w:r>
        <w:t>)</w:t>
      </w:r>
      <w:r w:rsidRPr="00AF53EC">
        <w:t xml:space="preserve">. En l’absence d’une telle dérogation, le principe demeure celui de la remise en état des parties, qui doit s’effectuer « chaque fois » qu’un acte juridique est anéanti de façon rétroactive (art. 1699 </w:t>
      </w:r>
      <w:r w:rsidRPr="00AF53EC">
        <w:rPr>
          <w:i/>
        </w:rPr>
        <w:t>C.c.Q</w:t>
      </w:r>
      <w:r w:rsidRPr="00AF53EC">
        <w:t>.; Baudo</w:t>
      </w:r>
      <w:r>
        <w:t>u</w:t>
      </w:r>
      <w:r w:rsidRPr="00AF53EC">
        <w:t>in et Jobin, nº</w:t>
      </w:r>
      <w:r>
        <w:t> </w:t>
      </w:r>
      <w:r w:rsidRPr="00AF53EC">
        <w:t>920; Pineau, Burman et Gaudet, nº</w:t>
      </w:r>
      <w:r>
        <w:t xml:space="preserve"> </w:t>
      </w:r>
      <w:r w:rsidRPr="00AF53EC">
        <w:t>206; C</w:t>
      </w:r>
      <w:r>
        <w:t>.</w:t>
      </w:r>
      <w:r w:rsidRPr="00AF53EC">
        <w:t>A</w:t>
      </w:r>
      <w:r>
        <w:t>.</w:t>
      </w:r>
      <w:r w:rsidRPr="00AF53EC">
        <w:t xml:space="preserve">, par. 38). Il n’y a d’ailleurs aucun appui en jurisprudence ou en doctrine à la prétention de la Ville voulant que le régime de la restitution des prestations n’ait pas sa place en matière municipale. De fait, la jurisprudence de la Cour d’appel indique précisément le contraire : </w:t>
      </w:r>
      <w:r w:rsidRPr="00AF53EC">
        <w:rPr>
          <w:i/>
        </w:rPr>
        <w:t>Ville de Saguenay c. Construction Unibec inc.</w:t>
      </w:r>
      <w:r w:rsidRPr="00AF53EC">
        <w:t>, 2019 QCCA 38, par. 43-44</w:t>
      </w:r>
      <w:r>
        <w:t xml:space="preserve"> </w:t>
      </w:r>
      <w:r w:rsidRPr="00D80E70">
        <w:rPr>
          <w:rFonts w:cs="Times New Roman"/>
        </w:rPr>
        <w:t>(CanLII)</w:t>
      </w:r>
      <w:r w:rsidRPr="00AF53EC">
        <w:t xml:space="preserve">; </w:t>
      </w:r>
      <w:r w:rsidRPr="00AF53EC">
        <w:rPr>
          <w:i/>
          <w:szCs w:val="24"/>
        </w:rPr>
        <w:t>Québec</w:t>
      </w:r>
      <w:r>
        <w:rPr>
          <w:i/>
          <w:szCs w:val="24"/>
        </w:rPr>
        <w:t xml:space="preserve"> (Ville)</w:t>
      </w:r>
      <w:r w:rsidRPr="00AF53EC">
        <w:rPr>
          <w:i/>
          <w:szCs w:val="24"/>
        </w:rPr>
        <w:t xml:space="preserve"> c. GM Développement inc.</w:t>
      </w:r>
      <w:r w:rsidRPr="00AF53EC">
        <w:rPr>
          <w:szCs w:val="24"/>
        </w:rPr>
        <w:t>, 2017 QCCA 385</w:t>
      </w:r>
      <w:r>
        <w:rPr>
          <w:szCs w:val="24"/>
        </w:rPr>
        <w:t>, 72 M.P.L.R. (5th) 203</w:t>
      </w:r>
      <w:r w:rsidRPr="00AF53EC">
        <w:rPr>
          <w:szCs w:val="24"/>
        </w:rPr>
        <w:t xml:space="preserve">; </w:t>
      </w:r>
      <w:r w:rsidRPr="00AF53EC">
        <w:rPr>
          <w:i/>
        </w:rPr>
        <w:t>Lacroix &amp; Fils ltée</w:t>
      </w:r>
      <w:r w:rsidRPr="00D80E70">
        <w:rPr>
          <w:i/>
        </w:rPr>
        <w:t xml:space="preserve"> </w:t>
      </w:r>
      <w:r w:rsidRPr="00AF53EC">
        <w:rPr>
          <w:i/>
        </w:rPr>
        <w:lastRenderedPageBreak/>
        <w:t>c.</w:t>
      </w:r>
      <w:r>
        <w:rPr>
          <w:i/>
        </w:rPr>
        <w:t xml:space="preserve"> </w:t>
      </w:r>
      <w:r w:rsidRPr="00AF53EC">
        <w:rPr>
          <w:i/>
        </w:rPr>
        <w:t>Carleton-sur-Mer (Ville)</w:t>
      </w:r>
      <w:r>
        <w:t>, 2014 QCCA 1345, 27 M.P.L.R. (5th) 10</w:t>
      </w:r>
      <w:r w:rsidRPr="00AF53EC">
        <w:t xml:space="preserve">, par. 77-83; </w:t>
      </w:r>
      <w:r w:rsidRPr="00AF53EC">
        <w:rPr>
          <w:i/>
        </w:rPr>
        <w:t>Montréal (Ville de) c. St-Pierre (Succession de)</w:t>
      </w:r>
      <w:r w:rsidRPr="00AF53EC">
        <w:t>, 2008 QCCA 2329</w:t>
      </w:r>
      <w:r>
        <w:t>, [2009] R.J.Q. 54</w:t>
      </w:r>
      <w:r w:rsidRPr="00AF53EC">
        <w:t xml:space="preserve">; </w:t>
      </w:r>
      <w:r w:rsidRPr="00AF53EC">
        <w:rPr>
          <w:i/>
        </w:rPr>
        <w:t>Habitations de la Rive-Nord inc. c. Repentigny (Ville)</w:t>
      </w:r>
      <w:r w:rsidRPr="00AF53EC">
        <w:t>, 2001 CanLII 10048 (C</w:t>
      </w:r>
      <w:r>
        <w:t>.</w:t>
      </w:r>
      <w:r w:rsidRPr="00AF53EC">
        <w:t>A</w:t>
      </w:r>
      <w:r>
        <w:t>. Qc</w:t>
      </w:r>
      <w:r w:rsidRPr="00AF53EC">
        <w:t>).</w:t>
      </w:r>
    </w:p>
    <w:p w:rsidR="007A5985" w:rsidRPr="00AF53EC" w:rsidRDefault="007A5985" w:rsidP="007A5985">
      <w:pPr>
        <w:pStyle w:val="Title3LevelTitre3Niveau"/>
        <w:numPr>
          <w:ilvl w:val="2"/>
          <w:numId w:val="8"/>
        </w:numPr>
        <w:rPr>
          <w:rFonts w:cs="Times New Roman"/>
          <w:lang w:val="fr-CA"/>
        </w:rPr>
      </w:pPr>
      <w:r w:rsidRPr="00AF53EC">
        <w:rPr>
          <w:rFonts w:cs="Times New Roman"/>
          <w:lang w:val="fr-CA"/>
        </w:rPr>
        <w:t>La restitution des prestations en matière municipale ne crée pas une « voie de contournement »</w:t>
      </w:r>
    </w:p>
    <w:p w:rsidR="007A5985" w:rsidRPr="00AF53EC" w:rsidRDefault="007A5985" w:rsidP="007A5985">
      <w:pPr>
        <w:pStyle w:val="ParaNoNdepar-AltN"/>
        <w:rPr>
          <w:rFonts w:cs="Times New Roman"/>
        </w:rPr>
      </w:pPr>
      <w:r w:rsidRPr="00AF53EC">
        <w:rPr>
          <w:rFonts w:cs="Times New Roman"/>
        </w:rPr>
        <w:t xml:space="preserve">À ce chapitre, l’argument de la « voie de contournement » que soulève la Ville ne convainc pas. D’abord, le régime de la restitution des prestations accorde au juge le pouvoir de déterminer la juste valeur de la restitution. Lorsque cette dernière ne peut se faire en nature, elle se fait par équivalent (art. 1700 </w:t>
      </w:r>
      <w:r w:rsidRPr="00AF53EC">
        <w:rPr>
          <w:rFonts w:cs="Times New Roman"/>
          <w:i/>
        </w:rPr>
        <w:t>C.c.Q.</w:t>
      </w:r>
      <w:r w:rsidRPr="00AF53EC">
        <w:rPr>
          <w:rFonts w:cs="Times New Roman"/>
        </w:rPr>
        <w:t>). Il appartient au juge de déterminer de manière objective la valeur sujette à restitution afin de remettre les parties en état, sur la base de la preuve au dossier et des circonstances propres à chaque cas (Baudouin et Jobin, nº</w:t>
      </w:r>
      <w:r>
        <w:rPr>
          <w:rFonts w:cs="Times New Roman"/>
        </w:rPr>
        <w:t xml:space="preserve"> </w:t>
      </w:r>
      <w:r w:rsidRPr="00AF53EC">
        <w:rPr>
          <w:rFonts w:cs="Times New Roman"/>
        </w:rPr>
        <w:t>922; Pineau, Burman et Gaudet, nº</w:t>
      </w:r>
      <w:r>
        <w:rPr>
          <w:rFonts w:cs="Times New Roman"/>
        </w:rPr>
        <w:t xml:space="preserve"> </w:t>
      </w:r>
      <w:r w:rsidRPr="00AF53EC">
        <w:rPr>
          <w:rFonts w:cs="Times New Roman"/>
        </w:rPr>
        <w:t>210). Certes, la valeur attribuée à un service par les parties au terme de leur contrat correspondra souvent à sa valeur réelle, mais ce ne sera pas toujours le cas (Baudouin et Jobin, nº</w:t>
      </w:r>
      <w:r>
        <w:rPr>
          <w:rFonts w:cs="Times New Roman"/>
        </w:rPr>
        <w:t> </w:t>
      </w:r>
      <w:r w:rsidRPr="00AF53EC">
        <w:rPr>
          <w:rFonts w:cs="Times New Roman"/>
        </w:rPr>
        <w:t>25; Pineau, Burman et Gaudet, nº</w:t>
      </w:r>
      <w:r>
        <w:rPr>
          <w:rFonts w:cs="Times New Roman"/>
        </w:rPr>
        <w:t xml:space="preserve"> </w:t>
      </w:r>
      <w:r w:rsidRPr="00AF53EC">
        <w:rPr>
          <w:rFonts w:cs="Times New Roman"/>
        </w:rPr>
        <w:t>2</w:t>
      </w:r>
      <w:r>
        <w:rPr>
          <w:rFonts w:cs="Times New Roman"/>
        </w:rPr>
        <w:t>10</w:t>
      </w:r>
      <w:r w:rsidRPr="00AF53EC">
        <w:rPr>
          <w:rFonts w:cs="Times New Roman"/>
        </w:rPr>
        <w:t>). Ainsi, une municipalité ne sera pas nécessairement liée par le prix demandé ou même par les termes de l’entente dès qu’une prestation fournie dans le cadre d’un contrat de services déclaré nul est sujette à restitution. La Cour d’appel souligne avec raison qu’une municipalité qui s’est engagée à payer beaucoup trop cher des services parce qu’elle a omis de respecter la procédure de mise en concurrence pourra faire la preuve de la juste valeur des services rendus et n’être obligée qu’à cette valeur </w:t>
      </w:r>
      <w:r>
        <w:rPr>
          <w:rFonts w:cs="Times New Roman"/>
        </w:rPr>
        <w:t>(</w:t>
      </w:r>
      <w:r w:rsidRPr="00AF53EC">
        <w:rPr>
          <w:rFonts w:cs="Times New Roman"/>
        </w:rPr>
        <w:t>par. 62</w:t>
      </w:r>
      <w:r>
        <w:rPr>
          <w:rFonts w:cs="Times New Roman"/>
        </w:rPr>
        <w:t>)</w:t>
      </w:r>
      <w:r w:rsidRPr="00AF53EC">
        <w:rPr>
          <w:rFonts w:cs="Times New Roman"/>
        </w:rPr>
        <w:t xml:space="preserve">. </w:t>
      </w:r>
    </w:p>
    <w:p w:rsidR="007A5985" w:rsidRPr="00AF53EC" w:rsidRDefault="007A5985" w:rsidP="007A5985">
      <w:pPr>
        <w:pStyle w:val="ParaNoNdepar-AltN"/>
        <w:rPr>
          <w:rFonts w:cs="Times New Roman"/>
        </w:rPr>
      </w:pPr>
      <w:r w:rsidRPr="00AF53EC">
        <w:rPr>
          <w:rFonts w:cs="Times New Roman"/>
        </w:rPr>
        <w:t xml:space="preserve">Ensuite, l’al. 2 de l’art. 1699 </w:t>
      </w:r>
      <w:r w:rsidRPr="00AF53EC">
        <w:rPr>
          <w:rFonts w:cs="Times New Roman"/>
          <w:i/>
        </w:rPr>
        <w:t>C.c.Q</w:t>
      </w:r>
      <w:r w:rsidRPr="00682A87">
        <w:rPr>
          <w:rFonts w:cs="Times New Roman"/>
          <w:i/>
        </w:rPr>
        <w:t>.</w:t>
      </w:r>
      <w:r w:rsidRPr="00AF53EC">
        <w:rPr>
          <w:rFonts w:cs="Times New Roman"/>
        </w:rPr>
        <w:t xml:space="preserve"> permet exceptionnellement au tribunal de refuser ou de modifier l’étendue ou les modalités de la restitution des prestations si </w:t>
      </w:r>
      <w:r w:rsidRPr="00AF53EC">
        <w:rPr>
          <w:rFonts w:cs="Times New Roman"/>
        </w:rPr>
        <w:lastRenderedPageBreak/>
        <w:t>une partie en retire un avantage indu. La Cour supérieure précise dans une décision récente que « [</w:t>
      </w:r>
      <w:r w:rsidRPr="00AF53EC">
        <w:rPr>
          <w:rFonts w:cs="Times New Roman"/>
          <w:shd w:val="clear" w:color="auto" w:fill="FFFFFF"/>
        </w:rPr>
        <w:t>r]etirer un avantage indu, c’est recevoir un profit, obtenir un gain ou tirer un bénéfice qui apparaît injuste aux yeux d’une personne raisonnable, bref, qui choque la raison et l’équité » (</w:t>
      </w:r>
      <w:r w:rsidRPr="00AF53EC">
        <w:rPr>
          <w:rFonts w:cs="Times New Roman"/>
          <w:i/>
          <w:shd w:val="clear" w:color="auto" w:fill="FFFFFF"/>
        </w:rPr>
        <w:t>Rouleau c. Canada (P</w:t>
      </w:r>
      <w:r>
        <w:rPr>
          <w:rFonts w:cs="Times New Roman"/>
          <w:i/>
          <w:shd w:val="clear" w:color="auto" w:fill="FFFFFF"/>
        </w:rPr>
        <w:t>rocureur général</w:t>
      </w:r>
      <w:r w:rsidRPr="00AF53EC">
        <w:rPr>
          <w:rFonts w:cs="Times New Roman"/>
          <w:i/>
          <w:shd w:val="clear" w:color="auto" w:fill="FFFFFF"/>
        </w:rPr>
        <w:t>)</w:t>
      </w:r>
      <w:r w:rsidRPr="00AF53EC">
        <w:rPr>
          <w:rFonts w:cs="Times New Roman"/>
          <w:shd w:val="clear" w:color="auto" w:fill="FFFFFF"/>
        </w:rPr>
        <w:t>, 2016 QCCS 4887, par.</w:t>
      </w:r>
      <w:r>
        <w:rPr>
          <w:rFonts w:cs="Times New Roman"/>
          <w:shd w:val="clear" w:color="auto" w:fill="FFFFFF"/>
        </w:rPr>
        <w:t> </w:t>
      </w:r>
      <w:r w:rsidRPr="00AF53EC">
        <w:rPr>
          <w:rFonts w:cs="Times New Roman"/>
          <w:shd w:val="clear" w:color="auto" w:fill="FFFFFF"/>
        </w:rPr>
        <w:t>132</w:t>
      </w:r>
      <w:r>
        <w:rPr>
          <w:rFonts w:cs="Times New Roman"/>
          <w:shd w:val="clear" w:color="auto" w:fill="FFFFFF"/>
        </w:rPr>
        <w:t xml:space="preserve"> </w:t>
      </w:r>
      <w:r w:rsidRPr="00AF53EC">
        <w:rPr>
          <w:rFonts w:cs="Times New Roman"/>
          <w:szCs w:val="24"/>
        </w:rPr>
        <w:t>(CanLII)</w:t>
      </w:r>
      <w:r w:rsidRPr="00AF53EC">
        <w:rPr>
          <w:rFonts w:cs="Times New Roman"/>
          <w:shd w:val="clear" w:color="auto" w:fill="FFFFFF"/>
        </w:rPr>
        <w:t>). Ce pourrait notamment être le cas lorsque la restitution procure un gain à une partie ou cause une perte qui se traduit par un gain corrélatif de l’autre partie; en effet, la restitution vise à remettre les parties en état, et non à les enrichir (</w:t>
      </w:r>
      <w:r w:rsidRPr="00AF53EC">
        <w:rPr>
          <w:rFonts w:cs="Times New Roman"/>
          <w:i/>
          <w:shd w:val="clear" w:color="auto" w:fill="FFFFFF"/>
        </w:rPr>
        <w:t>Langevin c. Mercier</w:t>
      </w:r>
      <w:r w:rsidRPr="00AF53EC">
        <w:rPr>
          <w:rFonts w:cs="Times New Roman"/>
          <w:shd w:val="clear" w:color="auto" w:fill="FFFFFF"/>
        </w:rPr>
        <w:t>, 2010 QCCA 1763</w:t>
      </w:r>
      <w:r>
        <w:rPr>
          <w:rFonts w:cs="Times New Roman"/>
          <w:shd w:val="clear" w:color="auto" w:fill="FFFFFF"/>
        </w:rPr>
        <w:t xml:space="preserve">, par. 67-73 </w:t>
      </w:r>
      <w:r w:rsidRPr="00AF53EC">
        <w:rPr>
          <w:rFonts w:cs="Times New Roman"/>
          <w:szCs w:val="24"/>
        </w:rPr>
        <w:t>(CanLII)</w:t>
      </w:r>
      <w:r w:rsidRPr="00AF53EC">
        <w:rPr>
          <w:rFonts w:cs="Times New Roman"/>
          <w:shd w:val="clear" w:color="auto" w:fill="FFFFFF"/>
        </w:rPr>
        <w:t xml:space="preserve">; </w:t>
      </w:r>
      <w:r w:rsidRPr="00AF53EC">
        <w:rPr>
          <w:rFonts w:cs="Times New Roman"/>
          <w:i/>
          <w:shd w:val="clear" w:color="auto" w:fill="FFFFFF"/>
        </w:rPr>
        <w:t>Boucher c. Développements Terriglobe inc.</w:t>
      </w:r>
      <w:r w:rsidRPr="00AF53EC">
        <w:rPr>
          <w:rFonts w:cs="Times New Roman"/>
          <w:shd w:val="clear" w:color="auto" w:fill="FFFFFF"/>
        </w:rPr>
        <w:t xml:space="preserve">, </w:t>
      </w:r>
      <w:r w:rsidRPr="00FE1EF6">
        <w:rPr>
          <w:rFonts w:cs="Times New Roman"/>
          <w:shd w:val="clear" w:color="auto" w:fill="FFFFFF"/>
        </w:rPr>
        <w:t>[</w:t>
      </w:r>
      <w:r w:rsidRPr="00AF53EC">
        <w:rPr>
          <w:rFonts w:cs="Times New Roman"/>
          <w:shd w:val="clear" w:color="auto" w:fill="FFFFFF"/>
        </w:rPr>
        <w:t>2001</w:t>
      </w:r>
      <w:r>
        <w:rPr>
          <w:rFonts w:cs="Times New Roman"/>
          <w:shd w:val="clear" w:color="auto" w:fill="FFFFFF"/>
        </w:rPr>
        <w:t>]</w:t>
      </w:r>
      <w:r w:rsidRPr="00AF53EC">
        <w:rPr>
          <w:rFonts w:cs="Times New Roman"/>
          <w:shd w:val="clear" w:color="auto" w:fill="FFFFFF"/>
        </w:rPr>
        <w:t xml:space="preserve"> </w:t>
      </w:r>
      <w:r>
        <w:rPr>
          <w:rFonts w:cs="Times New Roman"/>
          <w:shd w:val="clear" w:color="auto" w:fill="FFFFFF"/>
        </w:rPr>
        <w:t>R.D.I. 2013 (C.A. Qc)</w:t>
      </w:r>
      <w:r w:rsidRPr="00AF53EC">
        <w:rPr>
          <w:rFonts w:cs="Times New Roman"/>
          <w:shd w:val="clear" w:color="auto" w:fill="FFFFFF"/>
        </w:rPr>
        <w:t xml:space="preserve">, par. 31; </w:t>
      </w:r>
      <w:r w:rsidRPr="00AF53EC">
        <w:rPr>
          <w:rFonts w:cs="Times New Roman"/>
          <w:i/>
          <w:shd w:val="clear" w:color="auto" w:fill="FFFFFF"/>
        </w:rPr>
        <w:t>Fortier c. Compagnie d’arrimage de Québec ltée</w:t>
      </w:r>
      <w:r w:rsidRPr="00AF53EC">
        <w:rPr>
          <w:rFonts w:cs="Times New Roman"/>
          <w:shd w:val="clear" w:color="auto" w:fill="FFFFFF"/>
        </w:rPr>
        <w:t>,</w:t>
      </w:r>
      <w:r w:rsidRPr="00AF53EC">
        <w:rPr>
          <w:rFonts w:cs="Times New Roman"/>
          <w:i/>
          <w:shd w:val="clear" w:color="auto" w:fill="FFFFFF"/>
        </w:rPr>
        <w:t xml:space="preserve"> </w:t>
      </w:r>
      <w:r w:rsidRPr="00AF53EC">
        <w:rPr>
          <w:rFonts w:cs="Times New Roman"/>
          <w:shd w:val="clear" w:color="auto" w:fill="FFFFFF"/>
        </w:rPr>
        <w:t>2014 QCCS 1984, par. 90-92</w:t>
      </w:r>
      <w:r>
        <w:rPr>
          <w:rFonts w:cs="Times New Roman"/>
          <w:shd w:val="clear" w:color="auto" w:fill="FFFFFF"/>
        </w:rPr>
        <w:t xml:space="preserve"> </w:t>
      </w:r>
      <w:r w:rsidRPr="00AF53EC">
        <w:rPr>
          <w:rFonts w:cs="Times New Roman"/>
          <w:szCs w:val="24"/>
        </w:rPr>
        <w:t>(CanLII)</w:t>
      </w:r>
      <w:r w:rsidRPr="00AF53EC">
        <w:rPr>
          <w:rFonts w:cs="Times New Roman"/>
          <w:shd w:val="clear" w:color="auto" w:fill="FFFFFF"/>
        </w:rPr>
        <w:t xml:space="preserve">; </w:t>
      </w:r>
      <w:r w:rsidRPr="00AF53EC">
        <w:rPr>
          <w:rFonts w:cs="Times New Roman"/>
          <w:i/>
          <w:shd w:val="clear" w:color="auto" w:fill="FFFFFF"/>
        </w:rPr>
        <w:t>Hakim c. Guse</w:t>
      </w:r>
      <w:r w:rsidRPr="00AF53EC">
        <w:rPr>
          <w:rFonts w:cs="Times New Roman"/>
          <w:shd w:val="clear" w:color="auto" w:fill="FFFFFF"/>
        </w:rPr>
        <w:t xml:space="preserve">, 2013 QCCS 1020; </w:t>
      </w:r>
      <w:r w:rsidRPr="00AF53EC">
        <w:rPr>
          <w:rFonts w:cs="Times New Roman"/>
          <w:i/>
          <w:shd w:val="clear" w:color="auto" w:fill="FFFFFF"/>
        </w:rPr>
        <w:t>9112-2648 Québec inc. c. Cauchon et associés inc.</w:t>
      </w:r>
      <w:r w:rsidRPr="00AF53EC">
        <w:rPr>
          <w:rFonts w:cs="Times New Roman"/>
          <w:shd w:val="clear" w:color="auto" w:fill="FFFFFF"/>
        </w:rPr>
        <w:t>, 2005 CanLII 44114 (C.S.</w:t>
      </w:r>
      <w:r>
        <w:rPr>
          <w:rFonts w:cs="Times New Roman"/>
          <w:shd w:val="clear" w:color="auto" w:fill="FFFFFF"/>
        </w:rPr>
        <w:t xml:space="preserve"> Qc</w:t>
      </w:r>
      <w:r w:rsidRPr="00AF53EC">
        <w:rPr>
          <w:rFonts w:cs="Times New Roman"/>
          <w:shd w:val="clear" w:color="auto" w:fill="FFFFFF"/>
        </w:rPr>
        <w:t xml:space="preserve">), par. 21-22; </w:t>
      </w:r>
      <w:r w:rsidRPr="00AF53EC">
        <w:rPr>
          <w:rFonts w:cs="Times New Roman"/>
          <w:i/>
          <w:shd w:val="clear" w:color="auto" w:fill="FFFFFF"/>
        </w:rPr>
        <w:t>Marcotte c. Longueuil</w:t>
      </w:r>
      <w:r>
        <w:rPr>
          <w:rFonts w:cs="Times New Roman"/>
          <w:i/>
          <w:shd w:val="clear" w:color="auto" w:fill="FFFFFF"/>
        </w:rPr>
        <w:t xml:space="preserve"> (Ville)</w:t>
      </w:r>
      <w:r w:rsidRPr="00AF53EC">
        <w:rPr>
          <w:rFonts w:cs="Times New Roman"/>
          <w:shd w:val="clear" w:color="auto" w:fill="FFFFFF"/>
        </w:rPr>
        <w:t xml:space="preserve">, </w:t>
      </w:r>
      <w:r>
        <w:rPr>
          <w:rFonts w:cs="Times New Roman"/>
          <w:shd w:val="clear" w:color="auto" w:fill="FFFFFF"/>
        </w:rPr>
        <w:t xml:space="preserve">2009 CSC 43, </w:t>
      </w:r>
      <w:r w:rsidRPr="00AF53EC">
        <w:rPr>
          <w:rFonts w:cs="Times New Roman"/>
          <w:shd w:val="clear" w:color="auto" w:fill="FFFFFF"/>
        </w:rPr>
        <w:t xml:space="preserve">[2009] 3 R.C.S. 65, par. 35-36). </w:t>
      </w:r>
    </w:p>
    <w:p w:rsidR="007A5985" w:rsidRPr="00AF53EC" w:rsidRDefault="007A5985" w:rsidP="007A5985">
      <w:pPr>
        <w:pStyle w:val="ParaNoNdepar-AltN"/>
        <w:rPr>
          <w:rFonts w:cs="Times New Roman"/>
        </w:rPr>
      </w:pPr>
      <w:r w:rsidRPr="00AF53EC">
        <w:rPr>
          <w:rFonts w:cs="Times New Roman"/>
          <w:shd w:val="clear" w:color="auto" w:fill="FFFFFF"/>
        </w:rPr>
        <w:t>Ce tempérament se comprend aisément : dans la mesure où l’objectif du régime est la remise en état des parties, il serait paradoxal que la restitution soit la so</w:t>
      </w:r>
      <w:r w:rsidR="004C0213">
        <w:rPr>
          <w:rFonts w:cs="Times New Roman"/>
          <w:shd w:val="clear" w:color="auto" w:fill="FFFFFF"/>
        </w:rPr>
        <w:t>urce d’un enrichissement indu (m</w:t>
      </w:r>
      <w:r w:rsidRPr="00AF53EC">
        <w:rPr>
          <w:rFonts w:cs="Times New Roman"/>
          <w:shd w:val="clear" w:color="auto" w:fill="FFFFFF"/>
        </w:rPr>
        <w:t xml:space="preserve">inistère de la Justice, </w:t>
      </w:r>
      <w:r w:rsidRPr="00AF53EC">
        <w:rPr>
          <w:rFonts w:cs="Times New Roman"/>
          <w:i/>
          <w:shd w:val="clear" w:color="auto" w:fill="FFFFFF"/>
        </w:rPr>
        <w:t>Commentaires du ministre de la Justice</w:t>
      </w:r>
      <w:r>
        <w:rPr>
          <w:rFonts w:cs="Times New Roman"/>
          <w:shd w:val="clear" w:color="auto" w:fill="FFFFFF"/>
        </w:rPr>
        <w:t>,</w:t>
      </w:r>
      <w:r w:rsidR="004C0213">
        <w:rPr>
          <w:rFonts w:cs="Times New Roman"/>
          <w:shd w:val="clear" w:color="auto" w:fill="FFFFFF"/>
        </w:rPr>
        <w:t xml:space="preserve"> t.</w:t>
      </w:r>
      <w:r w:rsidR="008D185F">
        <w:rPr>
          <w:rFonts w:cs="Times New Roman"/>
          <w:shd w:val="clear" w:color="auto" w:fill="FFFFFF"/>
        </w:rPr>
        <w:t xml:space="preserve"> </w:t>
      </w:r>
      <w:r w:rsidR="004C0213">
        <w:rPr>
          <w:rFonts w:cs="Times New Roman"/>
          <w:shd w:val="clear" w:color="auto" w:fill="FFFFFF"/>
        </w:rPr>
        <w:t>1,</w:t>
      </w:r>
      <w:r w:rsidRPr="00AF53EC">
        <w:rPr>
          <w:rFonts w:cs="Times New Roman"/>
          <w:i/>
          <w:shd w:val="clear" w:color="auto" w:fill="FFFFFF"/>
        </w:rPr>
        <w:t xml:space="preserve"> Le Code civil du Québec</w:t>
      </w:r>
      <w:r>
        <w:rPr>
          <w:rFonts w:cs="Times New Roman"/>
          <w:i/>
          <w:shd w:val="clear" w:color="auto" w:fill="FFFFFF"/>
        </w:rPr>
        <w:t xml:space="preserve"> — Un mouvement de société</w:t>
      </w:r>
      <w:r w:rsidRPr="00AF53EC">
        <w:rPr>
          <w:rFonts w:cs="Times New Roman"/>
          <w:shd w:val="clear" w:color="auto" w:fill="FFFFFF"/>
        </w:rPr>
        <w:t xml:space="preserve"> (1993), </w:t>
      </w:r>
      <w:r>
        <w:rPr>
          <w:rFonts w:cs="Times New Roman"/>
          <w:shd w:val="clear" w:color="auto" w:fill="FFFFFF"/>
        </w:rPr>
        <w:t>p. 1056-1057</w:t>
      </w:r>
      <w:r w:rsidRPr="00AF53EC">
        <w:rPr>
          <w:rFonts w:cs="Times New Roman"/>
          <w:shd w:val="clear" w:color="auto" w:fill="FFFFFF"/>
        </w:rPr>
        <w:t>; Lluelles et Moore, nº</w:t>
      </w:r>
      <w:r>
        <w:rPr>
          <w:rFonts w:cs="Times New Roman"/>
          <w:shd w:val="clear" w:color="auto" w:fill="FFFFFF"/>
        </w:rPr>
        <w:t xml:space="preserve"> </w:t>
      </w:r>
      <w:r w:rsidRPr="00AF53EC">
        <w:rPr>
          <w:rFonts w:cs="Times New Roman"/>
          <w:shd w:val="clear" w:color="auto" w:fill="FFFFFF"/>
        </w:rPr>
        <w:t>1237). En conférant au tribunal le pouvoir de refuser ou de modifier l’étendue ou les modalités de la restitution, le législateur s’assure que la correction d’une première iniquité n’en crée pas une seconde. Bien entendu, l’</w:t>
      </w:r>
      <w:r>
        <w:rPr>
          <w:rFonts w:cs="Times New Roman"/>
          <w:shd w:val="clear" w:color="auto" w:fill="FFFFFF"/>
        </w:rPr>
        <w:t xml:space="preserve">existence d’un </w:t>
      </w:r>
      <w:r w:rsidRPr="00AF53EC">
        <w:rPr>
          <w:rFonts w:cs="Times New Roman"/>
          <w:shd w:val="clear" w:color="auto" w:fill="FFFFFF"/>
        </w:rPr>
        <w:t xml:space="preserve">avantage indu ne se présume pas et </w:t>
      </w:r>
      <w:r w:rsidRPr="00AF53EC">
        <w:rPr>
          <w:rFonts w:cs="Times New Roman"/>
        </w:rPr>
        <w:t>il appartient au débiteur de la restitution de faire la preuve que le créancier de la restitution jouit d’un tel avantage dans chaque cas (</w:t>
      </w:r>
      <w:r>
        <w:rPr>
          <w:rFonts w:cs="Times New Roman"/>
          <w:i/>
        </w:rPr>
        <w:t xml:space="preserve">Banque </w:t>
      </w:r>
      <w:r w:rsidRPr="00AF53EC">
        <w:rPr>
          <w:rFonts w:cs="Times New Roman"/>
          <w:i/>
        </w:rPr>
        <w:t xml:space="preserve">Amex </w:t>
      </w:r>
      <w:r>
        <w:rPr>
          <w:rFonts w:cs="Times New Roman"/>
          <w:i/>
        </w:rPr>
        <w:t xml:space="preserve">du </w:t>
      </w:r>
      <w:r w:rsidRPr="00AF53EC">
        <w:rPr>
          <w:rFonts w:cs="Times New Roman"/>
          <w:i/>
        </w:rPr>
        <w:t>Canada c. Adams</w:t>
      </w:r>
      <w:r w:rsidRPr="00AF53EC">
        <w:rPr>
          <w:rFonts w:cs="Times New Roman"/>
        </w:rPr>
        <w:t>, 2014 CSC 56, [2014] 2 R.C.S. 787, par.</w:t>
      </w:r>
      <w:r>
        <w:rPr>
          <w:rFonts w:cs="Times New Roman"/>
        </w:rPr>
        <w:t> </w:t>
      </w:r>
      <w:r w:rsidRPr="00AF53EC">
        <w:rPr>
          <w:rFonts w:cs="Times New Roman"/>
        </w:rPr>
        <w:t xml:space="preserve">38; </w:t>
      </w:r>
      <w:r w:rsidRPr="00AF53EC">
        <w:rPr>
          <w:rFonts w:cs="Times New Roman"/>
          <w:shd w:val="clear" w:color="auto" w:fill="FFFFFF"/>
        </w:rPr>
        <w:t>Lluelles et Moore, nº</w:t>
      </w:r>
      <w:r>
        <w:rPr>
          <w:rFonts w:cs="Times New Roman"/>
          <w:shd w:val="clear" w:color="auto" w:fill="FFFFFF"/>
        </w:rPr>
        <w:t xml:space="preserve"> </w:t>
      </w:r>
      <w:r w:rsidRPr="00AF53EC">
        <w:rPr>
          <w:rFonts w:cs="Times New Roman"/>
          <w:shd w:val="clear" w:color="auto" w:fill="FFFFFF"/>
        </w:rPr>
        <w:t>1237; Baudouin et Jobin, nº</w:t>
      </w:r>
      <w:r>
        <w:rPr>
          <w:rFonts w:cs="Times New Roman"/>
          <w:shd w:val="clear" w:color="auto" w:fill="FFFFFF"/>
        </w:rPr>
        <w:t xml:space="preserve"> </w:t>
      </w:r>
      <w:r w:rsidRPr="00AF53EC">
        <w:rPr>
          <w:rFonts w:cs="Times New Roman"/>
          <w:shd w:val="clear" w:color="auto" w:fill="FFFFFF"/>
        </w:rPr>
        <w:t xml:space="preserve">921; </w:t>
      </w:r>
      <w:r w:rsidRPr="00AF53EC">
        <w:rPr>
          <w:rFonts w:cs="Times New Roman"/>
        </w:rPr>
        <w:t xml:space="preserve">Pineau, Burman et Gaudet, </w:t>
      </w:r>
      <w:r w:rsidRPr="00AF53EC">
        <w:rPr>
          <w:rFonts w:cs="Times New Roman"/>
          <w:shd w:val="clear" w:color="auto" w:fill="FFFFFF"/>
        </w:rPr>
        <w:lastRenderedPageBreak/>
        <w:t>nº</w:t>
      </w:r>
      <w:r>
        <w:rPr>
          <w:rFonts w:cs="Times New Roman"/>
          <w:shd w:val="clear" w:color="auto" w:fill="FFFFFF"/>
        </w:rPr>
        <w:t> </w:t>
      </w:r>
      <w:r w:rsidRPr="00AF53EC">
        <w:rPr>
          <w:rFonts w:cs="Times New Roman"/>
          <w:shd w:val="clear" w:color="auto" w:fill="FFFFFF"/>
        </w:rPr>
        <w:t>219</w:t>
      </w:r>
      <w:r w:rsidRPr="00AF53EC">
        <w:rPr>
          <w:rFonts w:cs="Times New Roman"/>
        </w:rPr>
        <w:t xml:space="preserve">; K. </w:t>
      </w:r>
      <w:r>
        <w:rPr>
          <w:rFonts w:cs="Times New Roman"/>
        </w:rPr>
        <w:t xml:space="preserve">A. </w:t>
      </w:r>
      <w:r w:rsidRPr="00AF53EC">
        <w:rPr>
          <w:rFonts w:cs="Times New Roman"/>
        </w:rPr>
        <w:t xml:space="preserve">Desfossés, </w:t>
      </w:r>
      <w:r>
        <w:rPr>
          <w:rFonts w:cs="Times New Roman"/>
          <w:i/>
        </w:rPr>
        <w:t>L’extinction de l’obligation et la restitution des prestations (Art. 1671 à 1707 C.c.Q.)</w:t>
      </w:r>
      <w:r>
        <w:rPr>
          <w:rFonts w:cs="Times New Roman"/>
          <w:shd w:val="clear" w:color="auto" w:fill="FFFFFF"/>
          <w:lang w:eastAsia="fr-CA"/>
        </w:rPr>
        <w:t xml:space="preserve"> (2015), par. 1699 </w:t>
      </w:r>
      <w:r w:rsidRPr="00AF53EC">
        <w:rPr>
          <w:rFonts w:cs="Times New Roman"/>
          <w:shd w:val="clear" w:color="auto" w:fill="FFFFFF"/>
          <w:lang w:eastAsia="fr-CA"/>
        </w:rPr>
        <w:t xml:space="preserve">560; S. </w:t>
      </w:r>
      <w:r w:rsidRPr="00AF53EC">
        <w:rPr>
          <w:rFonts w:cs="Times New Roman"/>
          <w:szCs w:val="24"/>
          <w:lang w:val="fr-FR"/>
        </w:rPr>
        <w:t>Gaudet, « La restitution des prestations : premiers regards sur les art</w:t>
      </w:r>
      <w:r>
        <w:rPr>
          <w:rFonts w:cs="Times New Roman"/>
          <w:szCs w:val="24"/>
          <w:lang w:val="fr-FR"/>
        </w:rPr>
        <w:t>icles</w:t>
      </w:r>
      <w:r w:rsidRPr="00AF53EC">
        <w:rPr>
          <w:rFonts w:cs="Times New Roman"/>
          <w:lang w:val="fr-FR"/>
        </w:rPr>
        <w:t xml:space="preserve"> </w:t>
      </w:r>
      <w:r w:rsidRPr="00AF53EC">
        <w:rPr>
          <w:rFonts w:cs="Times New Roman"/>
          <w:szCs w:val="24"/>
          <w:lang w:val="fr-FR"/>
        </w:rPr>
        <w:t>1699 à 1707 du Code civil du Québec »</w:t>
      </w:r>
      <w:r>
        <w:rPr>
          <w:rFonts w:cs="Times New Roman"/>
          <w:szCs w:val="24"/>
          <w:lang w:val="fr-FR"/>
        </w:rPr>
        <w:t>,</w:t>
      </w:r>
      <w:r w:rsidRPr="00AF53EC">
        <w:rPr>
          <w:rFonts w:cs="Times New Roman"/>
          <w:szCs w:val="24"/>
          <w:lang w:val="fr-FR"/>
        </w:rPr>
        <w:t xml:space="preserve"> dans </w:t>
      </w:r>
      <w:r w:rsidR="002F6676">
        <w:rPr>
          <w:rFonts w:cs="Times New Roman"/>
          <w:i/>
          <w:szCs w:val="24"/>
          <w:lang w:val="fr-FR"/>
        </w:rPr>
        <w:t>Les Obligations : quoi de neuf</w:t>
      </w:r>
      <w:r w:rsidRPr="00AF53EC">
        <w:rPr>
          <w:rFonts w:cs="Times New Roman"/>
          <w:i/>
          <w:szCs w:val="24"/>
          <w:lang w:val="fr-FR"/>
        </w:rPr>
        <w:t>?</w:t>
      </w:r>
      <w:r w:rsidRPr="00AF53EC">
        <w:rPr>
          <w:rFonts w:cs="Times New Roman"/>
          <w:szCs w:val="24"/>
          <w:lang w:val="fr-FR"/>
        </w:rPr>
        <w:t xml:space="preserve"> </w:t>
      </w:r>
      <w:r>
        <w:rPr>
          <w:rFonts w:cs="Times New Roman"/>
          <w:szCs w:val="24"/>
          <w:lang w:val="fr-FR"/>
        </w:rPr>
        <w:t xml:space="preserve">— </w:t>
      </w:r>
      <w:r>
        <w:rPr>
          <w:rFonts w:cs="Times New Roman"/>
          <w:i/>
          <w:szCs w:val="24"/>
          <w:lang w:val="fr-FR"/>
        </w:rPr>
        <w:t>Reprenons p</w:t>
      </w:r>
      <w:r w:rsidR="002F6676">
        <w:rPr>
          <w:rFonts w:cs="Times New Roman"/>
          <w:i/>
          <w:szCs w:val="24"/>
          <w:lang w:val="fr-FR"/>
        </w:rPr>
        <w:t>ar le commencement, voulez-vous</w:t>
      </w:r>
      <w:r>
        <w:rPr>
          <w:rFonts w:cs="Times New Roman"/>
          <w:i/>
          <w:szCs w:val="24"/>
          <w:lang w:val="fr-FR"/>
        </w:rPr>
        <w:t xml:space="preserve">? </w:t>
      </w:r>
      <w:r w:rsidRPr="00AF53EC">
        <w:rPr>
          <w:rFonts w:cs="Times New Roman"/>
          <w:szCs w:val="24"/>
          <w:lang w:val="fr-FR"/>
        </w:rPr>
        <w:t>(1995)</w:t>
      </w:r>
      <w:r w:rsidRPr="00AF53EC">
        <w:rPr>
          <w:rFonts w:cs="Times New Roman"/>
        </w:rPr>
        <w:t xml:space="preserve">). Cependant, dans la mesure où l’avantage indu tempère le caractère obligatoire de la remise en état et confère au tribunal la souplesse nécessaire pour apprécier les circonstances entourant la restitution, l’al. 2 de l’art. 1699 </w:t>
      </w:r>
      <w:r w:rsidRPr="00AF53EC">
        <w:rPr>
          <w:rFonts w:cs="Times New Roman"/>
          <w:i/>
        </w:rPr>
        <w:t>C.c.Q.</w:t>
      </w:r>
      <w:r w:rsidRPr="00AF53EC">
        <w:rPr>
          <w:rFonts w:cs="Times New Roman"/>
        </w:rPr>
        <w:t xml:space="preserve"> garantit que l’application du régime de la restitution en matière municipale n’incitera pas à contourner les règles d’ordre public.</w:t>
      </w:r>
    </w:p>
    <w:p w:rsidR="007A5985" w:rsidRPr="00AF53EC" w:rsidRDefault="007A5985" w:rsidP="007A5985">
      <w:pPr>
        <w:pStyle w:val="ParaNoNdepar-AltN"/>
        <w:rPr>
          <w:rFonts w:cs="Times New Roman"/>
        </w:rPr>
      </w:pPr>
      <w:r w:rsidRPr="00AF53EC">
        <w:rPr>
          <w:rFonts w:cs="Times New Roman"/>
        </w:rPr>
        <w:t xml:space="preserve">Nous précisons à cet égard que la juste valeur des services rendus et l’avantage indu que retirerait une partie de la restitution sont deux notions distinctes. Suivant le libellé de l’art. 1700 </w:t>
      </w:r>
      <w:r w:rsidRPr="00AF53EC">
        <w:rPr>
          <w:rFonts w:cs="Times New Roman"/>
          <w:i/>
        </w:rPr>
        <w:t>C.c.Q.</w:t>
      </w:r>
      <w:r w:rsidRPr="00AF53EC">
        <w:rPr>
          <w:rFonts w:cs="Times New Roman"/>
        </w:rPr>
        <w:t xml:space="preserve">, la restitution par équivalent constitue une exception à la restitution en nature. Le juge appelé à se prononcer sur la restitution par équivalent doit déterminer la juste valeur — ou la valeur objective — du bien ou du service rendu. Cette détermination est indépendante de la question de savoir si une partie retirerait un avantage indu d’une restitution intégrale, laquelle relève du pouvoir discrétionnaire exceptionnel que confère l’al. 2 de l’art. 1699 </w:t>
      </w:r>
      <w:r w:rsidRPr="00AF53EC">
        <w:rPr>
          <w:rFonts w:cs="Times New Roman"/>
          <w:i/>
        </w:rPr>
        <w:t>C.c.Q</w:t>
      </w:r>
      <w:r w:rsidRPr="00AF53EC">
        <w:rPr>
          <w:rFonts w:cs="Times New Roman"/>
        </w:rPr>
        <w:t>. au tribunal. Par exemple, la valeur d’une prestation n’exclut pas nécessairement le profit qu’aurait réalisé le cocontractant si le contrat n’avait pas été déclaré nul (Baudouin et Jobin, nº</w:t>
      </w:r>
      <w:r>
        <w:rPr>
          <w:rFonts w:cs="Times New Roman"/>
        </w:rPr>
        <w:t> </w:t>
      </w:r>
      <w:r w:rsidRPr="00AF53EC">
        <w:rPr>
          <w:rFonts w:cs="Times New Roman"/>
        </w:rPr>
        <w:t>925; Pineau, Burman et Gaudet, nº</w:t>
      </w:r>
      <w:r>
        <w:rPr>
          <w:rFonts w:cs="Times New Roman"/>
        </w:rPr>
        <w:t xml:space="preserve"> </w:t>
      </w:r>
      <w:r w:rsidRPr="00AF53EC">
        <w:rPr>
          <w:rFonts w:cs="Times New Roman"/>
        </w:rPr>
        <w:t xml:space="preserve">210). Mais, un juge pourrait conclure qu’accorder la restitution de services rendus en incluant les profits réalisés pourrait constituer un avantage indu en matière municipale. En d’autres termes, il faut « que l’avantage indu ne subsiste qu’après avoir appliqué les règles générales », notamment celles qui </w:t>
      </w:r>
      <w:r w:rsidRPr="00AF53EC">
        <w:rPr>
          <w:rFonts w:cs="Times New Roman"/>
        </w:rPr>
        <w:lastRenderedPageBreak/>
        <w:t xml:space="preserve">régissent l’appréciation par équivalent de la valeur des services rendus (P. Fréchette, </w:t>
      </w:r>
      <w:r w:rsidRPr="00AF53EC">
        <w:rPr>
          <w:rFonts w:cs="Times New Roman"/>
          <w:i/>
        </w:rPr>
        <w:t xml:space="preserve">La restitution des prestations </w:t>
      </w:r>
      <w:r>
        <w:rPr>
          <w:rFonts w:cs="Times New Roman"/>
        </w:rPr>
        <w:t>(2018</w:t>
      </w:r>
      <w:r w:rsidRPr="00AF53EC">
        <w:rPr>
          <w:rFonts w:cs="Times New Roman"/>
        </w:rPr>
        <w:t>), p. 4</w:t>
      </w:r>
      <w:r>
        <w:rPr>
          <w:rFonts w:cs="Times New Roman"/>
        </w:rPr>
        <w:t>26</w:t>
      </w:r>
      <w:r w:rsidRPr="00AF53EC">
        <w:rPr>
          <w:rFonts w:cs="Times New Roman"/>
        </w:rPr>
        <w:t>).</w:t>
      </w:r>
    </w:p>
    <w:p w:rsidR="007A5985" w:rsidRPr="00AF53EC" w:rsidRDefault="007A5985" w:rsidP="007A5985">
      <w:pPr>
        <w:pStyle w:val="ParaNoNdepar-AltN"/>
        <w:rPr>
          <w:rFonts w:cs="Times New Roman"/>
        </w:rPr>
      </w:pPr>
      <w:r w:rsidRPr="00AF53EC">
        <w:rPr>
          <w:rFonts w:cs="Times New Roman"/>
        </w:rPr>
        <w:t xml:space="preserve">La Ville, appuyée par les intervenantes, suggère que l’obtention d’un contrat municipal en violation des règles d’ordre public en matière d’adjudication constitue forcément un avantage indu et que le tribunal saisi devrait automatiquement refuser la restitution des prestations dans un tel cas. Nous ne pouvons souscrire à cet argument. Le pouvoir discrétionnaire de ne pas ordonner ou de modifier l’étendue ou les modalités de la restitution que confère l’al. 2 de l’art. 1699 </w:t>
      </w:r>
      <w:r w:rsidRPr="00AF53EC">
        <w:rPr>
          <w:rFonts w:cs="Times New Roman"/>
          <w:i/>
        </w:rPr>
        <w:t>C.c.Q</w:t>
      </w:r>
      <w:r w:rsidRPr="00AF53EC">
        <w:rPr>
          <w:rFonts w:cs="Times New Roman"/>
        </w:rPr>
        <w:t>. est d’application exceptionnelle (</w:t>
      </w:r>
      <w:r w:rsidRPr="00AF53EC">
        <w:rPr>
          <w:rFonts w:cs="Times New Roman"/>
          <w:i/>
        </w:rPr>
        <w:t>Amex</w:t>
      </w:r>
      <w:r w:rsidRPr="00AF53EC">
        <w:rPr>
          <w:rFonts w:cs="Times New Roman"/>
        </w:rPr>
        <w:t xml:space="preserve">, par. 38; </w:t>
      </w:r>
      <w:r w:rsidRPr="00AF53EC">
        <w:rPr>
          <w:rFonts w:cs="Times New Roman"/>
          <w:i/>
        </w:rPr>
        <w:t>St-Pierre (Succession de)</w:t>
      </w:r>
      <w:r w:rsidRPr="00AF53EC">
        <w:rPr>
          <w:rFonts w:cs="Times New Roman"/>
        </w:rPr>
        <w:t>; Lluelles et Moore, nº</w:t>
      </w:r>
      <w:r>
        <w:rPr>
          <w:rFonts w:cs="Times New Roman"/>
        </w:rPr>
        <w:t> </w:t>
      </w:r>
      <w:r w:rsidRPr="00AF53EC">
        <w:rPr>
          <w:rFonts w:cs="Times New Roman"/>
        </w:rPr>
        <w:t>1237; Baudouin et Jobin, nº</w:t>
      </w:r>
      <w:r>
        <w:rPr>
          <w:rFonts w:cs="Times New Roman"/>
        </w:rPr>
        <w:t xml:space="preserve"> </w:t>
      </w:r>
      <w:r w:rsidRPr="00AF53EC">
        <w:rPr>
          <w:rFonts w:cs="Times New Roman"/>
        </w:rPr>
        <w:t>921; Pineau, Burman et Gaudet, n</w:t>
      </w:r>
      <w:r w:rsidRPr="00A964D5">
        <w:rPr>
          <w:rFonts w:cs="Times New Roman"/>
          <w:vertAlign w:val="superscript"/>
        </w:rPr>
        <w:t>os</w:t>
      </w:r>
      <w:r>
        <w:rPr>
          <w:rFonts w:cs="Times New Roman"/>
          <w:shd w:val="clear" w:color="auto" w:fill="FFFFFF"/>
          <w:lang w:eastAsia="fr-CA"/>
        </w:rPr>
        <w:t xml:space="preserve"> </w:t>
      </w:r>
      <w:r w:rsidRPr="00AF53EC">
        <w:rPr>
          <w:rFonts w:cs="Times New Roman"/>
          <w:shd w:val="clear" w:color="auto" w:fill="FFFFFF"/>
          <w:lang w:eastAsia="fr-CA"/>
        </w:rPr>
        <w:t>395-</w:t>
      </w:r>
      <w:r>
        <w:rPr>
          <w:rFonts w:cs="Times New Roman"/>
          <w:shd w:val="clear" w:color="auto" w:fill="FFFFFF"/>
          <w:lang w:eastAsia="fr-CA"/>
        </w:rPr>
        <w:t>3</w:t>
      </w:r>
      <w:r w:rsidRPr="00AF53EC">
        <w:rPr>
          <w:rFonts w:cs="Times New Roman"/>
          <w:shd w:val="clear" w:color="auto" w:fill="FFFFFF"/>
          <w:lang w:eastAsia="fr-CA"/>
        </w:rPr>
        <w:t>96</w:t>
      </w:r>
      <w:r w:rsidRPr="00AF53EC">
        <w:rPr>
          <w:rFonts w:cs="Times New Roman"/>
        </w:rPr>
        <w:t xml:space="preserve">; Desfossés, </w:t>
      </w:r>
      <w:r w:rsidRPr="00AF53EC">
        <w:rPr>
          <w:rFonts w:cs="Times New Roman"/>
          <w:shd w:val="clear" w:color="auto" w:fill="FFFFFF"/>
          <w:lang w:eastAsia="fr-CA"/>
        </w:rPr>
        <w:t>par.</w:t>
      </w:r>
      <w:r>
        <w:rPr>
          <w:rFonts w:cs="Times New Roman"/>
          <w:shd w:val="clear" w:color="auto" w:fill="FFFFFF"/>
          <w:lang w:eastAsia="fr-CA"/>
        </w:rPr>
        <w:t> 1699 </w:t>
      </w:r>
      <w:r w:rsidRPr="00AF53EC">
        <w:rPr>
          <w:rFonts w:cs="Times New Roman"/>
          <w:shd w:val="clear" w:color="auto" w:fill="FFFFFF"/>
          <w:lang w:eastAsia="fr-CA"/>
        </w:rPr>
        <w:t>560</w:t>
      </w:r>
      <w:r w:rsidRPr="00AF53EC">
        <w:rPr>
          <w:rFonts w:cs="Times New Roman"/>
          <w:szCs w:val="24"/>
          <w:lang w:val="fr-FR"/>
        </w:rPr>
        <w:t>)</w:t>
      </w:r>
      <w:r w:rsidRPr="00AF53EC">
        <w:rPr>
          <w:rFonts w:cs="Times New Roman"/>
        </w:rPr>
        <w:t xml:space="preserve">. Soutenir que l’on doit refuser automatiquement la restitution en cas de non-respect de la loi va à l’encontre du libellé même de cette disposition. Pour </w:t>
      </w:r>
      <w:r>
        <w:rPr>
          <w:rFonts w:cs="Times New Roman"/>
        </w:rPr>
        <w:t>être en mesure d’</w:t>
      </w:r>
      <w:r w:rsidRPr="00AF53EC">
        <w:rPr>
          <w:rFonts w:cs="Times New Roman"/>
        </w:rPr>
        <w:t>exercer le pouvoir discrétionnaire de refuser ou de modifier l’étendue ou les modalités de la restitution, il faut au préalable qu’il ait été démontré que celle-ci procurerait un avantage indu. Or, la violation d’une règle d’ordre public ne mènera pas nécessairement à un tel avantage (Lluelles et Moore, nº</w:t>
      </w:r>
      <w:r>
        <w:rPr>
          <w:rFonts w:cs="Times New Roman"/>
        </w:rPr>
        <w:t xml:space="preserve"> </w:t>
      </w:r>
      <w:r w:rsidRPr="00AF53EC">
        <w:rPr>
          <w:rFonts w:cs="Times New Roman"/>
        </w:rPr>
        <w:t>1237). En outre, comme la restitution des prestations ne vise pas à punir un comportement négligent, mais simplement à remettre les parties en état à la suite de l’anéantissement du rapport d’obligation qui les unissait, il nous apparaît malavisé de cautionner une règle qui ferait automatiquement obstacle à toute restitution. Une approche aussi rigide serait incompatible avec l’objectif qui sous-tend la restitution des prestations. À cet égard, le pouvoir discrétionnaire conféré au tribunal est un pouvoir d’équité qui doit être exercé dans le but d’atteindre un équilibre entre les parties (</w:t>
      </w:r>
      <w:r w:rsidRPr="00AF53EC">
        <w:rPr>
          <w:rFonts w:cs="Times New Roman"/>
          <w:i/>
        </w:rPr>
        <w:t>Langevin</w:t>
      </w:r>
      <w:r w:rsidRPr="00AF53EC">
        <w:rPr>
          <w:rFonts w:cs="Times New Roman"/>
        </w:rPr>
        <w:t xml:space="preserve">, par. 71; Baudouin et Jobin, </w:t>
      </w:r>
      <w:r>
        <w:rPr>
          <w:rFonts w:cs="Times New Roman"/>
        </w:rPr>
        <w:t>n</w:t>
      </w:r>
      <w:r w:rsidRPr="005B4BC3">
        <w:rPr>
          <w:rFonts w:cs="Times New Roman"/>
          <w:vertAlign w:val="superscript"/>
        </w:rPr>
        <w:t>o</w:t>
      </w:r>
      <w:r>
        <w:rPr>
          <w:rFonts w:cs="Times New Roman"/>
          <w:vertAlign w:val="superscript"/>
        </w:rPr>
        <w:t> </w:t>
      </w:r>
      <w:r>
        <w:rPr>
          <w:rFonts w:cs="Times New Roman"/>
        </w:rPr>
        <w:t>921</w:t>
      </w:r>
      <w:r w:rsidRPr="00AF53EC">
        <w:rPr>
          <w:rFonts w:cs="Times New Roman"/>
        </w:rPr>
        <w:t xml:space="preserve">; Fréchette, p. </w:t>
      </w:r>
      <w:r>
        <w:rPr>
          <w:rFonts w:cs="Times New Roman"/>
        </w:rPr>
        <w:t>423-424</w:t>
      </w:r>
      <w:r w:rsidRPr="00AF53EC">
        <w:rPr>
          <w:rFonts w:cs="Times New Roman"/>
        </w:rPr>
        <w:t xml:space="preserve">). L’opportunité de recourir au tempérament de </w:t>
      </w:r>
      <w:r w:rsidRPr="00AF53EC">
        <w:rPr>
          <w:rFonts w:cs="Times New Roman"/>
        </w:rPr>
        <w:lastRenderedPageBreak/>
        <w:t>l’al.</w:t>
      </w:r>
      <w:r>
        <w:rPr>
          <w:rFonts w:cs="Times New Roman"/>
        </w:rPr>
        <w:t> </w:t>
      </w:r>
      <w:r w:rsidRPr="00AF53EC">
        <w:rPr>
          <w:rFonts w:cs="Times New Roman"/>
        </w:rPr>
        <w:t xml:space="preserve">2 de l’art. 1699 </w:t>
      </w:r>
      <w:r w:rsidRPr="00AF53EC">
        <w:rPr>
          <w:rFonts w:cs="Times New Roman"/>
          <w:i/>
        </w:rPr>
        <w:t>C.c.Q.</w:t>
      </w:r>
      <w:r w:rsidRPr="00AF53EC">
        <w:rPr>
          <w:rFonts w:cs="Times New Roman"/>
        </w:rPr>
        <w:t xml:space="preserve"> doit être évaluée au cas par cas, et non sur la base d’automatismes ou de règles préétablies comme le suggère la Ville.</w:t>
      </w:r>
    </w:p>
    <w:p w:rsidR="007A5985" w:rsidRPr="00AF53EC" w:rsidRDefault="007A5985" w:rsidP="007A5985">
      <w:pPr>
        <w:pStyle w:val="Title2LevelTitre2Niveau"/>
        <w:numPr>
          <w:ilvl w:val="1"/>
          <w:numId w:val="8"/>
        </w:numPr>
        <w:jc w:val="left"/>
        <w:rPr>
          <w:rFonts w:cs="Times New Roman"/>
          <w:lang w:val="fr-CA"/>
        </w:rPr>
      </w:pPr>
      <w:r w:rsidRPr="00AF53EC">
        <w:rPr>
          <w:rFonts w:cs="Times New Roman"/>
          <w:lang w:val="fr-CA"/>
        </w:rPr>
        <w:t>La restitution des prestations en l’espèce</w:t>
      </w:r>
    </w:p>
    <w:p w:rsidR="007A5985" w:rsidRPr="00AF53EC" w:rsidRDefault="007A5985" w:rsidP="007A5985">
      <w:pPr>
        <w:pStyle w:val="ParaNoNdepar-AltN"/>
        <w:rPr>
          <w:rFonts w:cs="Times New Roman"/>
        </w:rPr>
      </w:pPr>
      <w:r w:rsidRPr="00AF53EC">
        <w:rPr>
          <w:rFonts w:cs="Times New Roman"/>
        </w:rPr>
        <w:t xml:space="preserve">Le chapitre neuvième </w:t>
      </w:r>
      <w:r>
        <w:rPr>
          <w:rFonts w:cs="Times New Roman"/>
        </w:rPr>
        <w:t xml:space="preserve">du titre premier </w:t>
      </w:r>
      <w:r w:rsidRPr="00AF53EC">
        <w:rPr>
          <w:rFonts w:cs="Times New Roman"/>
        </w:rPr>
        <w:t>du livre Des obligations qui traite de la restitution des prestations ne crée pas le droit à la restitution. Ce chapitre expose plutôt le mécanisme de la remise en état</w:t>
      </w:r>
      <w:r>
        <w:rPr>
          <w:rFonts w:cs="Times New Roman"/>
        </w:rPr>
        <w:t xml:space="preserve">, à savoir </w:t>
      </w:r>
      <w:r w:rsidRPr="00AF53EC">
        <w:rPr>
          <w:rFonts w:cs="Times New Roman"/>
        </w:rPr>
        <w:t>ses modalités</w:t>
      </w:r>
      <w:r>
        <w:rPr>
          <w:rFonts w:cs="Times New Roman"/>
        </w:rPr>
        <w:t xml:space="preserve"> et les circonstances dans lequel il opère</w:t>
      </w:r>
      <w:r w:rsidRPr="00AF53EC">
        <w:rPr>
          <w:rFonts w:cs="Times New Roman"/>
        </w:rPr>
        <w:t xml:space="preserve">. La remise en état suppose l’existence d’une obligation qui donne ouverture à la restitution. </w:t>
      </w:r>
    </w:p>
    <w:p w:rsidR="007A5985" w:rsidRPr="00AF53EC" w:rsidRDefault="007A5985" w:rsidP="007A5985">
      <w:pPr>
        <w:pStyle w:val="ParaNoNdepar-AltN"/>
        <w:rPr>
          <w:rFonts w:cs="Times New Roman"/>
        </w:rPr>
      </w:pPr>
      <w:r w:rsidRPr="00AF53EC">
        <w:rPr>
          <w:rFonts w:cs="Times New Roman"/>
        </w:rPr>
        <w:t xml:space="preserve">Selon l’al. 1 de l’art. 1699 </w:t>
      </w:r>
      <w:r w:rsidRPr="00AF53EC">
        <w:rPr>
          <w:rFonts w:cs="Times New Roman"/>
          <w:i/>
        </w:rPr>
        <w:t>C.c.Q.</w:t>
      </w:r>
      <w:r w:rsidRPr="00AF53EC">
        <w:rPr>
          <w:rFonts w:cs="Times New Roman"/>
        </w:rPr>
        <w:t xml:space="preserve">, il existe une obligation de restitution chaque fois qu’une personne est tenue de rendre à une autre ce qu’elle a reçu sans droit, par erreur ou en vertu d’un acte juridique subséquemment anéanti de manière rétroactive. Cette dernière situation est prévue à l’art. 1422 </w:t>
      </w:r>
      <w:r w:rsidRPr="00AF53EC">
        <w:rPr>
          <w:rFonts w:cs="Times New Roman"/>
          <w:i/>
        </w:rPr>
        <w:t>C.c.Q</w:t>
      </w:r>
      <w:r w:rsidRPr="00682A87">
        <w:rPr>
          <w:rFonts w:cs="Times New Roman"/>
          <w:i/>
        </w:rPr>
        <w:t>.</w:t>
      </w:r>
      <w:r w:rsidRPr="00AF53EC">
        <w:rPr>
          <w:rFonts w:cs="Times New Roman"/>
        </w:rPr>
        <w:t xml:space="preserve">, qui dispose que le contrat frappé de nullité est réputé n’avoir jamais existé. Dans ce cas, les effets qu’il a entraînés dans le passé sont effacés et les parties sont replacées dans la situation juridique et économique où elles se trouvaient avant la conclusion de l’acte juridique (Desfossés, par. </w:t>
      </w:r>
      <w:r>
        <w:rPr>
          <w:rFonts w:cs="Times New Roman"/>
        </w:rPr>
        <w:t xml:space="preserve">1699 </w:t>
      </w:r>
      <w:r w:rsidRPr="00AF53EC">
        <w:rPr>
          <w:rFonts w:cs="Times New Roman"/>
        </w:rPr>
        <w:t>555; Lluelles et Moore, n</w:t>
      </w:r>
      <w:r w:rsidRPr="00A964D5">
        <w:rPr>
          <w:rFonts w:cs="Times New Roman"/>
          <w:vertAlign w:val="superscript"/>
        </w:rPr>
        <w:t>os</w:t>
      </w:r>
      <w:r>
        <w:rPr>
          <w:rFonts w:cs="Times New Roman"/>
        </w:rPr>
        <w:t xml:space="preserve"> </w:t>
      </w:r>
      <w:r w:rsidRPr="00AF53EC">
        <w:rPr>
          <w:rFonts w:cs="Times New Roman"/>
        </w:rPr>
        <w:t xml:space="preserve">1222-1223; </w:t>
      </w:r>
      <w:r w:rsidRPr="00AF53EC">
        <w:rPr>
          <w:rFonts w:cs="Times New Roman"/>
          <w:i/>
        </w:rPr>
        <w:t>Fortin c. Chrétien</w:t>
      </w:r>
      <w:r w:rsidRPr="00AF53EC">
        <w:rPr>
          <w:rFonts w:cs="Times New Roman"/>
        </w:rPr>
        <w:t>, 2001 CSC 45, [2001] 2 R.C.S. 500, par. 25). Le régime de la réception de l’indu visé aux art.</w:t>
      </w:r>
      <w:r>
        <w:rPr>
          <w:rFonts w:cs="Times New Roman"/>
        </w:rPr>
        <w:t> </w:t>
      </w:r>
      <w:r w:rsidRPr="00AF53EC">
        <w:rPr>
          <w:rFonts w:cs="Times New Roman"/>
        </w:rPr>
        <w:t xml:space="preserve">1491 et 1492 </w:t>
      </w:r>
      <w:r w:rsidRPr="00AF53EC">
        <w:rPr>
          <w:rFonts w:cs="Times New Roman"/>
          <w:i/>
        </w:rPr>
        <w:t xml:space="preserve">C.c.Q. </w:t>
      </w:r>
      <w:r w:rsidRPr="00AF53EC">
        <w:rPr>
          <w:rFonts w:cs="Times New Roman"/>
        </w:rPr>
        <w:t>constitue également une des sources de l’obligation de restitution (Lluelles et Moore, nº</w:t>
      </w:r>
      <w:r>
        <w:rPr>
          <w:rFonts w:cs="Times New Roman"/>
        </w:rPr>
        <w:t xml:space="preserve"> </w:t>
      </w:r>
      <w:r w:rsidRPr="00AF53EC">
        <w:rPr>
          <w:rFonts w:cs="Times New Roman"/>
        </w:rPr>
        <w:t>1362; Baudouin et Jobin, nº</w:t>
      </w:r>
      <w:r>
        <w:rPr>
          <w:rFonts w:cs="Times New Roman"/>
        </w:rPr>
        <w:t xml:space="preserve"> </w:t>
      </w:r>
      <w:r w:rsidRPr="00AF53EC">
        <w:rPr>
          <w:rFonts w:cs="Times New Roman"/>
        </w:rPr>
        <w:t>529; Pineau, Burman et Gaudet, nº</w:t>
      </w:r>
      <w:r>
        <w:rPr>
          <w:rFonts w:cs="Times New Roman"/>
        </w:rPr>
        <w:t> </w:t>
      </w:r>
      <w:r w:rsidRPr="00AF53EC">
        <w:rPr>
          <w:rFonts w:cs="Times New Roman"/>
        </w:rPr>
        <w:t>263; Desfossés, par. 1699</w:t>
      </w:r>
      <w:r>
        <w:rPr>
          <w:rFonts w:cs="Times New Roman"/>
        </w:rPr>
        <w:t xml:space="preserve"> </w:t>
      </w:r>
      <w:r w:rsidRPr="00AF53EC">
        <w:rPr>
          <w:rFonts w:cs="Times New Roman"/>
        </w:rPr>
        <w:t>555). Ainsi, le paiement fait par erreur, en l’absence d’un lien d’obligation, astreint celui qui l’a</w:t>
      </w:r>
      <w:r>
        <w:rPr>
          <w:rFonts w:cs="Times New Roman"/>
        </w:rPr>
        <w:t xml:space="preserve"> reçu à le restituer (art. 1554</w:t>
      </w:r>
      <w:r w:rsidRPr="00AF53EC">
        <w:rPr>
          <w:rFonts w:cs="Times New Roman"/>
        </w:rPr>
        <w:t xml:space="preserve"> </w:t>
      </w:r>
      <w:r w:rsidRPr="00AF53EC">
        <w:rPr>
          <w:rFonts w:cs="Times New Roman"/>
          <w:i/>
        </w:rPr>
        <w:t>C.c.Q.</w:t>
      </w:r>
      <w:r w:rsidRPr="00AF53EC">
        <w:rPr>
          <w:rFonts w:cs="Times New Roman"/>
        </w:rPr>
        <w:t xml:space="preserve">; </w:t>
      </w:r>
      <w:r w:rsidRPr="00AF53EC">
        <w:rPr>
          <w:rFonts w:cs="Times New Roman"/>
          <w:i/>
        </w:rPr>
        <w:t>Amex</w:t>
      </w:r>
      <w:r w:rsidRPr="00AF53EC">
        <w:rPr>
          <w:rFonts w:cs="Times New Roman"/>
        </w:rPr>
        <w:t>, par.</w:t>
      </w:r>
      <w:r>
        <w:rPr>
          <w:rFonts w:cs="Times New Roman"/>
        </w:rPr>
        <w:t> </w:t>
      </w:r>
      <w:r w:rsidRPr="00AF53EC">
        <w:rPr>
          <w:rFonts w:cs="Times New Roman"/>
        </w:rPr>
        <w:t xml:space="preserve">28-39). </w:t>
      </w:r>
    </w:p>
    <w:p w:rsidR="007A5985" w:rsidRPr="00AF53EC" w:rsidRDefault="007A5985" w:rsidP="007A5985">
      <w:pPr>
        <w:pStyle w:val="ParaNoNdepar-AltN"/>
        <w:rPr>
          <w:rFonts w:cs="Times New Roman"/>
        </w:rPr>
      </w:pPr>
      <w:r w:rsidRPr="00AF53EC">
        <w:rPr>
          <w:rFonts w:cs="Times New Roman"/>
        </w:rPr>
        <w:lastRenderedPageBreak/>
        <w:t>Ici, le juge de première instance a conclu que la Ville avait l’obligation de restituer à Octane les prestations reçues sur la base d’un contrat déclaré nul. Selon lui, un contrat est bel et bien intervenu entre la Ville et Octane pour la production de l’événement de lancement du 17 mai 2007, mais ce contrat doit être annulé parce qu’il a été conclu en violation des règles d’adjudication prévues aux art. 573 et s</w:t>
      </w:r>
      <w:r>
        <w:rPr>
          <w:rFonts w:cs="Times New Roman"/>
        </w:rPr>
        <w:t>uiv</w:t>
      </w:r>
      <w:r w:rsidRPr="00AF53EC">
        <w:rPr>
          <w:rFonts w:cs="Times New Roman"/>
        </w:rPr>
        <w:t xml:space="preserve">. </w:t>
      </w:r>
      <w:r>
        <w:rPr>
          <w:rFonts w:cs="Times New Roman"/>
          <w:i/>
        </w:rPr>
        <w:t>L.C.V</w:t>
      </w:r>
      <w:r w:rsidRPr="00682A87">
        <w:rPr>
          <w:rFonts w:cs="Times New Roman"/>
          <w:i/>
        </w:rPr>
        <w:t>.</w:t>
      </w:r>
      <w:r>
        <w:rPr>
          <w:rFonts w:cs="Times New Roman"/>
        </w:rPr>
        <w:t xml:space="preserve"> </w:t>
      </w:r>
      <w:r w:rsidRPr="00AF53EC">
        <w:rPr>
          <w:rFonts w:cs="Times New Roman"/>
        </w:rPr>
        <w:t xml:space="preserve">La Cour d’appel s’est estimée liée par cette conclusion et a confirmé le jugement de première instance. Les juges majoritaires ont ajouté que, même s’ils avaient conclu qu’aucun contrat n’était intervenu entre la Ville et Octane, ils auraient néanmoins ordonné la restitution des prestations en application du régime de la réception de l’indu. </w:t>
      </w:r>
    </w:p>
    <w:p w:rsidR="007A5985" w:rsidRPr="00AF53EC" w:rsidRDefault="007A5985" w:rsidP="007A5985">
      <w:pPr>
        <w:pStyle w:val="ParaNoNdepar-AltN"/>
        <w:rPr>
          <w:rFonts w:cs="Times New Roman"/>
        </w:rPr>
      </w:pPr>
      <w:r w:rsidRPr="00AF53EC">
        <w:rPr>
          <w:rFonts w:cs="Times New Roman"/>
        </w:rPr>
        <w:t>Devant nous, la Ville plaide que les tribunaux d</w:t>
      </w:r>
      <w:r>
        <w:rPr>
          <w:rFonts w:cs="Times New Roman"/>
        </w:rPr>
        <w:t>e juridiction</w:t>
      </w:r>
      <w:r w:rsidRPr="00AF53EC">
        <w:rPr>
          <w:rFonts w:cs="Times New Roman"/>
        </w:rPr>
        <w:t xml:space="preserve"> inférieure ont ordonné à tort la restitution. Elle soutient, d’une part, qu’aucun contrat n’est intervenu entre les parties, au motif qu’elle ne pouvait donner son accord à une entente en l’absence d’une résolution dûment adoptée par son conseil municipal, ou encore d’une autorisation par un fonctionnaire jouissant d’une délégation de pouvoirs l’habilitant à consentir en son nom. L’obligation de restitution ne peut donc, à son avis, prendre sa source dans un acte juridique subséquemment anéanti sur la base de l’art. 1422 </w:t>
      </w:r>
      <w:r w:rsidRPr="00AF53EC">
        <w:rPr>
          <w:rFonts w:cs="Times New Roman"/>
          <w:i/>
        </w:rPr>
        <w:t>C.c.Q</w:t>
      </w:r>
      <w:r w:rsidRPr="00AF53EC">
        <w:rPr>
          <w:rFonts w:cs="Times New Roman"/>
        </w:rPr>
        <w:t xml:space="preserve">., car un tel acte juridique n’a jamais existé. La Ville ajoute, d’autre part, que la réception de l’indu ne peut non plus fonder l’obligation de restitution parce que les conditions énoncées à l’art. 1491 </w:t>
      </w:r>
      <w:r w:rsidRPr="00AF53EC">
        <w:rPr>
          <w:rFonts w:cs="Times New Roman"/>
          <w:i/>
        </w:rPr>
        <w:t>C.c.Q.</w:t>
      </w:r>
      <w:r w:rsidRPr="00AF53EC">
        <w:rPr>
          <w:rFonts w:cs="Times New Roman"/>
        </w:rPr>
        <w:t xml:space="preserve"> ne sont pas remplies. Selon elle, c’est à PGB, et non à la Ville, qu’Octane a fait un paiement de 82 898,63</w:t>
      </w:r>
      <w:r>
        <w:rPr>
          <w:rFonts w:cs="Times New Roman"/>
        </w:rPr>
        <w:t xml:space="preserve"> </w:t>
      </w:r>
      <w:r w:rsidRPr="00AF53EC">
        <w:rPr>
          <w:rFonts w:cs="Times New Roman"/>
        </w:rPr>
        <w:t xml:space="preserve">$. Et, même s’il y a eu un paiement, celui-ci n’a pas été fait par erreur. </w:t>
      </w:r>
    </w:p>
    <w:p w:rsidR="007A5985" w:rsidRPr="00AF53EC" w:rsidRDefault="007A5985" w:rsidP="007A5985">
      <w:pPr>
        <w:pStyle w:val="ParaNoNdepar-AltN"/>
        <w:rPr>
          <w:rFonts w:cs="Times New Roman"/>
        </w:rPr>
      </w:pPr>
      <w:r w:rsidRPr="00AF53EC">
        <w:rPr>
          <w:rFonts w:cs="Times New Roman"/>
        </w:rPr>
        <w:t xml:space="preserve">Nous convenons avec la Ville qu’aucun contrat n’a pris naissance entre Octane et elle pour les services de production de l’événement et que la restitution ne </w:t>
      </w:r>
      <w:r w:rsidRPr="00AF53EC">
        <w:rPr>
          <w:rFonts w:cs="Times New Roman"/>
        </w:rPr>
        <w:lastRenderedPageBreak/>
        <w:t xml:space="preserve">peut donc prendre sa source dans l’anéantissement rétroactif d’un acte juridique conformément à la théorie des nullités. Néanmoins, nous sommes d’avis que les conditions du régime de la réception de l’indu sont remplies en l’espèce, de sorte que la remise en état s’impose tout de même conformément aux art. 1491 et 1492 </w:t>
      </w:r>
      <w:r w:rsidRPr="00AF53EC">
        <w:rPr>
          <w:rFonts w:cs="Times New Roman"/>
          <w:i/>
        </w:rPr>
        <w:t>C.c.Q</w:t>
      </w:r>
      <w:r w:rsidRPr="00682A87">
        <w:rPr>
          <w:rFonts w:cs="Times New Roman"/>
          <w:i/>
        </w:rPr>
        <w:t>.</w:t>
      </w:r>
      <w:r w:rsidRPr="00AF53EC">
        <w:rPr>
          <w:rFonts w:cs="Times New Roman"/>
        </w:rPr>
        <w:t xml:space="preserve"> Nous examinerons dans un premier temps pourquoi le juge de première instance a commis une erreur en concluant à l’existence d’un contrat entre Octane et la Ville pour la production de l’événement du 17 mai 2007. Nous expliquerons dans un deuxième temps pourquoi le régime de la réception de l’indu s’applique dans les circonstances propres à ce pourvoi.</w:t>
      </w:r>
    </w:p>
    <w:p w:rsidR="007A5985" w:rsidRPr="00AF53EC" w:rsidRDefault="007A5985" w:rsidP="007A5985">
      <w:pPr>
        <w:pStyle w:val="Title3LevelTitre3Niveau"/>
        <w:numPr>
          <w:ilvl w:val="2"/>
          <w:numId w:val="27"/>
        </w:numPr>
        <w:rPr>
          <w:rFonts w:cs="Times New Roman"/>
          <w:lang w:val="fr-CA"/>
        </w:rPr>
      </w:pPr>
      <w:r w:rsidRPr="00AF53EC">
        <w:rPr>
          <w:rFonts w:cs="Times New Roman"/>
          <w:lang w:val="fr-CA"/>
        </w:rPr>
        <w:t xml:space="preserve"> L’inexistence d’un acte juridique susceptible d’être anéanti</w:t>
      </w:r>
    </w:p>
    <w:p w:rsidR="007A5985" w:rsidRPr="00AF53EC" w:rsidRDefault="007A5985" w:rsidP="007A5985">
      <w:pPr>
        <w:pStyle w:val="ParaNoNdepar-AltN"/>
      </w:pPr>
      <w:r w:rsidRPr="00AF53EC">
        <w:t xml:space="preserve">Suivant l’al. 1 de l’art 1378 </w:t>
      </w:r>
      <w:r w:rsidRPr="00AF53EC">
        <w:rPr>
          <w:i/>
        </w:rPr>
        <w:t>C.c.Q.</w:t>
      </w:r>
      <w:r w:rsidRPr="00AF53EC">
        <w:t xml:space="preserve">, le contrat s’entend d’« un accord de volonté, par lequel une ou plusieurs personnes s’obligent envers une ou plusieurs autres à exécuter une prestation ». En l’absence d’un tel accord, aucun contrat ne prend naissance. Les parties doivent en effet manifester leur volonté de se lier pour qu’un contrat émerge à la vie juridique (M. Cumyn, </w:t>
      </w:r>
      <w:r w:rsidRPr="00AF53EC">
        <w:rPr>
          <w:i/>
        </w:rPr>
        <w:t>La validité du contrat suivant le droit strict ou l’équité : étude historique et comparée des nullités contractuelles</w:t>
      </w:r>
      <w:r w:rsidRPr="00AF53EC">
        <w:t xml:space="preserve"> (2002), </w:t>
      </w:r>
      <w:r w:rsidRPr="00AF53EC">
        <w:rPr>
          <w:rFonts w:cs="Times New Roman"/>
        </w:rPr>
        <w:t>nº</w:t>
      </w:r>
      <w:r>
        <w:rPr>
          <w:rFonts w:cs="Times New Roman"/>
        </w:rPr>
        <w:t> </w:t>
      </w:r>
      <w:r w:rsidRPr="00AF53EC">
        <w:t>203; Lluelles et Moore, nº</w:t>
      </w:r>
      <w:r>
        <w:t xml:space="preserve"> 274; Baudouin et Jobin, </w:t>
      </w:r>
      <w:r w:rsidRPr="00AF53EC">
        <w:rPr>
          <w:rFonts w:cs="Times New Roman"/>
        </w:rPr>
        <w:t>n</w:t>
      </w:r>
      <w:r w:rsidRPr="00A964D5">
        <w:rPr>
          <w:rFonts w:cs="Times New Roman"/>
          <w:vertAlign w:val="superscript"/>
        </w:rPr>
        <w:t>os</w:t>
      </w:r>
      <w:r>
        <w:t xml:space="preserve"> 172</w:t>
      </w:r>
      <w:r w:rsidRPr="00AF53EC">
        <w:t xml:space="preserve"> </w:t>
      </w:r>
      <w:r>
        <w:t>et 420)</w:t>
      </w:r>
      <w:r w:rsidRPr="00AF53EC">
        <w:t>. Comme l’expliquent Lluelles et Moore, « [l]e consentement résulte en quelque sorte de la fusion de deux volontés qui n’en feront plus qu’une : cette fusion crée le lien de droit — le contrat » (Lluelles et Moore, nº</w:t>
      </w:r>
      <w:r>
        <w:t xml:space="preserve"> </w:t>
      </w:r>
      <w:r w:rsidRPr="00AF53EC">
        <w:t>274). Ces deux volontés représentent, d’une part, l’offre de contracter, et d’autre part, l’acceptation de cette offre </w:t>
      </w:r>
      <w:r>
        <w:t>(</w:t>
      </w:r>
      <w:r w:rsidRPr="00AF53EC">
        <w:t xml:space="preserve">art. 1386 à 1397 </w:t>
      </w:r>
      <w:r w:rsidRPr="00AF53EC">
        <w:rPr>
          <w:i/>
        </w:rPr>
        <w:t>C.c.Q.</w:t>
      </w:r>
      <w:r>
        <w:t>).</w:t>
      </w:r>
      <w:r w:rsidRPr="00AF53EC">
        <w:t xml:space="preserve"> Baudouin</w:t>
      </w:r>
      <w:r>
        <w:t xml:space="preserve"> et</w:t>
      </w:r>
      <w:r w:rsidRPr="00AF53EC">
        <w:t xml:space="preserve"> Jobin soulignent qu’il ne saurait véritablement y avoir de contrat s’il n’y a pas eu rencontre des volontés contractuelles (Baudouin et Jobin, nº</w:t>
      </w:r>
      <w:r>
        <w:t xml:space="preserve"> </w:t>
      </w:r>
      <w:r w:rsidRPr="00AF53EC">
        <w:t xml:space="preserve">420). Ainsi, avant </w:t>
      </w:r>
      <w:r w:rsidRPr="00AF53EC">
        <w:lastRenderedPageBreak/>
        <w:t>même de parler de la qualité du consentement, ce consentement doit d’abord exister (Lluelles et Moore, nº</w:t>
      </w:r>
      <w:r>
        <w:t xml:space="preserve"> </w:t>
      </w:r>
      <w:r w:rsidRPr="00AF53EC">
        <w:t>274).</w:t>
      </w:r>
    </w:p>
    <w:p w:rsidR="007A5985" w:rsidRPr="00AF53EC" w:rsidRDefault="007A5985" w:rsidP="00BB0D9D">
      <w:pPr>
        <w:pStyle w:val="Title4LevelTitre4Niveau"/>
        <w:numPr>
          <w:ilvl w:val="1"/>
          <w:numId w:val="1"/>
        </w:numPr>
        <w:ind w:left="1170" w:hanging="720"/>
        <w:rPr>
          <w:rFonts w:cs="Times New Roman"/>
          <w:lang w:val="fr-CA"/>
        </w:rPr>
      </w:pPr>
      <w:r w:rsidRPr="00AF53EC">
        <w:rPr>
          <w:rFonts w:cs="Times New Roman"/>
          <w:lang w:val="fr-CA"/>
        </w:rPr>
        <w:t>Le consentement en droit municipal</w:t>
      </w:r>
    </w:p>
    <w:p w:rsidR="007A5985" w:rsidRPr="00AF53EC" w:rsidRDefault="007A5985" w:rsidP="007A5985">
      <w:pPr>
        <w:pStyle w:val="ParaNoNdepar-AltN"/>
        <w:rPr>
          <w:rFonts w:cs="Times New Roman"/>
        </w:rPr>
      </w:pPr>
      <w:r w:rsidRPr="00AF53EC">
        <w:rPr>
          <w:rFonts w:cs="Times New Roman"/>
        </w:rPr>
        <w:t xml:space="preserve">Comme nous l’avons mentionné, les municipalités sont assujetties aux règles du </w:t>
      </w:r>
      <w:r w:rsidRPr="00AF53EC">
        <w:rPr>
          <w:rFonts w:cs="Times New Roman"/>
          <w:i/>
        </w:rPr>
        <w:t>C.c.Q.</w:t>
      </w:r>
      <w:r w:rsidRPr="00AF53EC">
        <w:rPr>
          <w:rFonts w:cs="Times New Roman"/>
        </w:rPr>
        <w:t xml:space="preserve">, mais les lois particulières qui les constituent et qui les régissent peuvent modifier ou déroger à ces principes de droit commun (art. 300 </w:t>
      </w:r>
      <w:r w:rsidRPr="00AF53EC">
        <w:rPr>
          <w:rFonts w:cs="Times New Roman"/>
          <w:i/>
        </w:rPr>
        <w:t>C.c.Q.</w:t>
      </w:r>
      <w:r w:rsidRPr="00AF53EC">
        <w:rPr>
          <w:rFonts w:cs="Times New Roman"/>
        </w:rPr>
        <w:t>). Il importe donc de cerner de quelle façon les municipalités peuvent exprimer leur volonté d’être liée par un contrat en vertu des règles de droit municipal applicables.</w:t>
      </w:r>
    </w:p>
    <w:p w:rsidR="007A5985" w:rsidRPr="00AF53EC" w:rsidRDefault="007A5985" w:rsidP="007A5985">
      <w:pPr>
        <w:pStyle w:val="ParaNoNdepar-AltN"/>
        <w:rPr>
          <w:rFonts w:cs="Times New Roman"/>
        </w:rPr>
      </w:pPr>
      <w:r w:rsidRPr="00AF53EC">
        <w:rPr>
          <w:rFonts w:cs="Times New Roman"/>
        </w:rPr>
        <w:t>Suivant les règles de droit public, la résolution et le règlement sont les véhicules juridiques par lesquels une municipalité, par l’entremise de son organe décisionnel qu’est le conseil municipal, exprime sa volonté de même que ses décisions (</w:t>
      </w:r>
      <w:r w:rsidRPr="00AF53EC">
        <w:rPr>
          <w:rFonts w:cs="Times New Roman"/>
          <w:i/>
        </w:rPr>
        <w:t>Air Canada c. Cité de Dorval</w:t>
      </w:r>
      <w:r w:rsidRPr="00AF53EC">
        <w:rPr>
          <w:rFonts w:cs="Times New Roman"/>
        </w:rPr>
        <w:t xml:space="preserve">, [1985] 1 R.C.S. 861, </w:t>
      </w:r>
      <w:r>
        <w:rPr>
          <w:rFonts w:cs="Times New Roman"/>
        </w:rPr>
        <w:t>p. 866</w:t>
      </w:r>
      <w:r w:rsidRPr="00AF53EC">
        <w:rPr>
          <w:rFonts w:cs="Times New Roman"/>
        </w:rPr>
        <w:t xml:space="preserve">; </w:t>
      </w:r>
      <w:r w:rsidRPr="00AF53EC">
        <w:rPr>
          <w:rFonts w:cs="Times New Roman"/>
          <w:i/>
        </w:rPr>
        <w:t>Silver’s Garage Ltd. c. Town of Bridgewater</w:t>
      </w:r>
      <w:r>
        <w:rPr>
          <w:rFonts w:cs="Times New Roman"/>
        </w:rPr>
        <w:t>, [1971] R.C.S. 577</w:t>
      </w:r>
      <w:r w:rsidRPr="00AF53EC">
        <w:rPr>
          <w:rFonts w:cs="Times New Roman"/>
        </w:rPr>
        <w:t xml:space="preserve">; </w:t>
      </w:r>
      <w:r w:rsidRPr="00AF53EC">
        <w:rPr>
          <w:rFonts w:cs="Times New Roman"/>
          <w:i/>
        </w:rPr>
        <w:t xml:space="preserve">Poulin De Courval c. Poliquin, </w:t>
      </w:r>
      <w:r w:rsidRPr="00AF53EC">
        <w:rPr>
          <w:rFonts w:cs="Times New Roman"/>
        </w:rPr>
        <w:t>2018 QCCA 1534, par. 18</w:t>
      </w:r>
      <w:r>
        <w:rPr>
          <w:rFonts w:cs="Times New Roman"/>
        </w:rPr>
        <w:t xml:space="preserve"> (CanLII)</w:t>
      </w:r>
      <w:r w:rsidRPr="00AF53EC">
        <w:rPr>
          <w:rFonts w:cs="Times New Roman"/>
        </w:rPr>
        <w:t xml:space="preserve">; </w:t>
      </w:r>
      <w:r>
        <w:rPr>
          <w:rFonts w:cs="Times New Roman"/>
          <w:i/>
        </w:rPr>
        <w:t>Amar</w:t>
      </w:r>
      <w:r w:rsidRPr="00AF53EC">
        <w:rPr>
          <w:rFonts w:cs="Times New Roman"/>
          <w:i/>
        </w:rPr>
        <w:t xml:space="preserve"> c. Dollard-des-Ormeaux (Ville)</w:t>
      </w:r>
      <w:r w:rsidRPr="00AF53EC">
        <w:rPr>
          <w:rFonts w:cs="Times New Roman"/>
        </w:rPr>
        <w:t xml:space="preserve">, 2014 QCCA 76, </w:t>
      </w:r>
      <w:r>
        <w:rPr>
          <w:rFonts w:cs="Times New Roman"/>
        </w:rPr>
        <w:t xml:space="preserve">18 M.P.L.R. (5th) 277, </w:t>
      </w:r>
      <w:r w:rsidRPr="00AF53EC">
        <w:rPr>
          <w:rFonts w:cs="Times New Roman"/>
        </w:rPr>
        <w:t xml:space="preserve">par. 8; </w:t>
      </w:r>
      <w:r w:rsidRPr="00AF53EC">
        <w:rPr>
          <w:rFonts w:cs="Times New Roman"/>
          <w:i/>
        </w:rPr>
        <w:t>Belœil (Ville de) c. Gestion Gabriel Borduas inc.</w:t>
      </w:r>
      <w:r w:rsidRPr="00AF53EC">
        <w:rPr>
          <w:rFonts w:cs="Times New Roman"/>
        </w:rPr>
        <w:t xml:space="preserve">, 2014 QCCA 238; </w:t>
      </w:r>
      <w:r w:rsidRPr="00AF53EC">
        <w:rPr>
          <w:rFonts w:cs="Times New Roman"/>
          <w:i/>
        </w:rPr>
        <w:t>9129-6111 Québec inc. c. Longueuil (Ville)</w:t>
      </w:r>
      <w:r w:rsidRPr="00AF53EC">
        <w:rPr>
          <w:rFonts w:cs="Times New Roman"/>
        </w:rPr>
        <w:t>, 2010 QCCA 2265</w:t>
      </w:r>
      <w:r>
        <w:rPr>
          <w:rFonts w:cs="Times New Roman"/>
        </w:rPr>
        <w:t>, 21 Admin. L.R. (5th) 320,</w:t>
      </w:r>
      <w:r w:rsidRPr="00AF53EC">
        <w:rPr>
          <w:rFonts w:cs="Times New Roman"/>
        </w:rPr>
        <w:t xml:space="preserve"> par. 18; </w:t>
      </w:r>
      <w:r w:rsidRPr="00AF53EC">
        <w:rPr>
          <w:rFonts w:cs="Times New Roman"/>
          <w:i/>
        </w:rPr>
        <w:t>Cité de St-Romuald d’E</w:t>
      </w:r>
      <w:r>
        <w:rPr>
          <w:rFonts w:cs="Times New Roman"/>
          <w:i/>
        </w:rPr>
        <w:t>tchemin c. S.A.F. Construction i</w:t>
      </w:r>
      <w:r w:rsidRPr="00AF53EC">
        <w:rPr>
          <w:rFonts w:cs="Times New Roman"/>
          <w:i/>
        </w:rPr>
        <w:t>nc.</w:t>
      </w:r>
      <w:r w:rsidRPr="00AF53EC">
        <w:rPr>
          <w:rFonts w:cs="Times New Roman"/>
        </w:rPr>
        <w:t>, [1974] C.A. 411, p. 414</w:t>
      </w:r>
      <w:r w:rsidRPr="00AF53EC">
        <w:rPr>
          <w:rFonts w:eastAsia="MS Mincho" w:cs="Times New Roman" w:hint="eastAsia"/>
        </w:rPr>
        <w:t>‑</w:t>
      </w:r>
      <w:r w:rsidRPr="00AF53EC">
        <w:rPr>
          <w:rFonts w:cs="Times New Roman"/>
        </w:rPr>
        <w:t xml:space="preserve">415; </w:t>
      </w:r>
      <w:r w:rsidRPr="00AF53EC">
        <w:rPr>
          <w:rFonts w:cs="Times New Roman"/>
          <w:i/>
        </w:rPr>
        <w:t>Bourque c. Hull (Cité)</w:t>
      </w:r>
      <w:r w:rsidRPr="00AF53EC">
        <w:rPr>
          <w:rFonts w:cs="Times New Roman"/>
        </w:rPr>
        <w:t xml:space="preserve"> (1920)</w:t>
      </w:r>
      <w:r>
        <w:rPr>
          <w:rFonts w:cs="Times New Roman"/>
        </w:rPr>
        <w:t>,</w:t>
      </w:r>
      <w:r w:rsidRPr="00AF53EC">
        <w:rPr>
          <w:rFonts w:cs="Times New Roman"/>
        </w:rPr>
        <w:t xml:space="preserve"> 30 B.R. 221, p. 224; Hétu et Duplessis, par. 8.3; </w:t>
      </w:r>
      <w:r>
        <w:rPr>
          <w:rFonts w:cs="Times New Roman"/>
        </w:rPr>
        <w:t xml:space="preserve">A. </w:t>
      </w:r>
      <w:r w:rsidRPr="00AF53EC">
        <w:rPr>
          <w:rFonts w:cs="Times New Roman"/>
        </w:rPr>
        <w:t xml:space="preserve">Langlois, </w:t>
      </w:r>
      <w:r>
        <w:rPr>
          <w:rFonts w:cs="Times New Roman"/>
          <w:i/>
        </w:rPr>
        <w:t xml:space="preserve">Les contrats municipaux par demandes de </w:t>
      </w:r>
      <w:r w:rsidRPr="008C5B80">
        <w:rPr>
          <w:rFonts w:cs="Times New Roman"/>
          <w:i/>
        </w:rPr>
        <w:t>soumissions</w:t>
      </w:r>
      <w:r>
        <w:rPr>
          <w:rFonts w:cs="Times New Roman"/>
        </w:rPr>
        <w:t xml:space="preserve"> (3</w:t>
      </w:r>
      <w:r w:rsidRPr="007203D1">
        <w:rPr>
          <w:rFonts w:cs="Times New Roman"/>
          <w:vertAlign w:val="superscript"/>
        </w:rPr>
        <w:t>e</w:t>
      </w:r>
      <w:r>
        <w:rPr>
          <w:rFonts w:cs="Times New Roman"/>
        </w:rPr>
        <w:t xml:space="preserve"> éd. 2005), </w:t>
      </w:r>
      <w:r w:rsidRPr="007203D1">
        <w:rPr>
          <w:rFonts w:cs="Times New Roman"/>
        </w:rPr>
        <w:t>p</w:t>
      </w:r>
      <w:r w:rsidRPr="00AF53EC">
        <w:rPr>
          <w:rFonts w:cs="Times New Roman"/>
        </w:rPr>
        <w:t>. 153). Il s’agit des principes énoncés aux art.</w:t>
      </w:r>
      <w:r>
        <w:rPr>
          <w:rFonts w:cs="Times New Roman"/>
        </w:rPr>
        <w:t> </w:t>
      </w:r>
      <w:r w:rsidRPr="00AF53EC">
        <w:rPr>
          <w:rFonts w:cs="Times New Roman"/>
        </w:rPr>
        <w:t>47 et</w:t>
      </w:r>
      <w:r>
        <w:rPr>
          <w:rFonts w:cs="Times New Roman"/>
        </w:rPr>
        <w:t> </w:t>
      </w:r>
      <w:r w:rsidRPr="00AF53EC">
        <w:rPr>
          <w:rFonts w:cs="Times New Roman"/>
        </w:rPr>
        <w:t xml:space="preserve">350 </w:t>
      </w:r>
      <w:r w:rsidRPr="00AF53EC">
        <w:rPr>
          <w:rFonts w:cs="Times New Roman"/>
          <w:i/>
        </w:rPr>
        <w:t>L.C.V.</w:t>
      </w:r>
      <w:r w:rsidRPr="00AF53EC">
        <w:rPr>
          <w:rFonts w:cs="Times New Roman"/>
        </w:rPr>
        <w:t xml:space="preserve">, lesquels prévoient respectivement que la municipalité est représentée et ses affaires administrées par son conseil, et que les règlements, résolutions et autres </w:t>
      </w:r>
      <w:r w:rsidRPr="00AF53EC">
        <w:rPr>
          <w:rFonts w:cs="Times New Roman"/>
        </w:rPr>
        <w:lastRenderedPageBreak/>
        <w:t xml:space="preserve">ordonnances municipales doivent être adoptés par le conseil en séance (voir aussi les art. </w:t>
      </w:r>
      <w:r w:rsidRPr="00AF53EC">
        <w:rPr>
          <w:rFonts w:cs="Times New Roman"/>
          <w:szCs w:val="24"/>
        </w:rPr>
        <w:t xml:space="preserve">79 et 438 al. 1 du </w:t>
      </w:r>
      <w:r w:rsidRPr="00AF53EC">
        <w:rPr>
          <w:rFonts w:cs="Times New Roman"/>
          <w:i/>
          <w:szCs w:val="24"/>
        </w:rPr>
        <w:t>Code municipal du Québec</w:t>
      </w:r>
      <w:r w:rsidRPr="00AF53EC">
        <w:rPr>
          <w:rFonts w:cs="Times New Roman"/>
          <w:szCs w:val="24"/>
        </w:rPr>
        <w:t>, RLRQ</w:t>
      </w:r>
      <w:r>
        <w:rPr>
          <w:rFonts w:cs="Times New Roman"/>
          <w:szCs w:val="24"/>
        </w:rPr>
        <w:t>,</w:t>
      </w:r>
      <w:r w:rsidRPr="00AF53EC">
        <w:rPr>
          <w:rFonts w:cs="Times New Roman"/>
          <w:szCs w:val="24"/>
        </w:rPr>
        <w:t xml:space="preserve"> c</w:t>
      </w:r>
      <w:r>
        <w:rPr>
          <w:rFonts w:cs="Times New Roman"/>
          <w:szCs w:val="24"/>
        </w:rPr>
        <w:t>.</w:t>
      </w:r>
      <w:r w:rsidRPr="00AF53EC">
        <w:rPr>
          <w:rFonts w:cs="Times New Roman"/>
          <w:szCs w:val="24"/>
        </w:rPr>
        <w:t xml:space="preserve"> C-27.1).</w:t>
      </w:r>
    </w:p>
    <w:p w:rsidR="007A5985" w:rsidRPr="00AF53EC" w:rsidRDefault="007A5985" w:rsidP="007A5985">
      <w:pPr>
        <w:pStyle w:val="ParaNoNdepar-AltN"/>
        <w:rPr>
          <w:rFonts w:cs="Times New Roman"/>
        </w:rPr>
      </w:pPr>
      <w:r w:rsidRPr="00AF53EC">
        <w:rPr>
          <w:rFonts w:cs="Times New Roman"/>
        </w:rPr>
        <w:t xml:space="preserve">Une municipalité peut ainsi, par règlement, déléguer à un fonctionnaire le pouvoir de contracter des obligations en son nom (art. 477.2 </w:t>
      </w:r>
      <w:r w:rsidRPr="00AF53EC">
        <w:rPr>
          <w:rFonts w:cs="Times New Roman"/>
          <w:i/>
        </w:rPr>
        <w:t>L.C.V</w:t>
      </w:r>
      <w:r w:rsidR="00682A87">
        <w:rPr>
          <w:rFonts w:cs="Times New Roman"/>
          <w:i/>
        </w:rPr>
        <w:t>.</w:t>
      </w:r>
      <w:r w:rsidRPr="00AF53EC">
        <w:rPr>
          <w:rFonts w:cs="Times New Roman"/>
        </w:rPr>
        <w:t>; Hétu et Duplessis, par. 8.3 et 9.40). De plus, d’autres instances, tel un comité exécutif, peuvent être mises sur pied pour faciliter la gestion efficace d’une municipalité (art. 70.1 et s</w:t>
      </w:r>
      <w:r>
        <w:rPr>
          <w:rFonts w:cs="Times New Roman"/>
        </w:rPr>
        <w:t>uiv</w:t>
      </w:r>
      <w:r w:rsidRPr="00AF53EC">
        <w:rPr>
          <w:rFonts w:cs="Times New Roman"/>
        </w:rPr>
        <w:t xml:space="preserve">. </w:t>
      </w:r>
      <w:r w:rsidRPr="00AF53EC">
        <w:rPr>
          <w:rFonts w:cs="Times New Roman"/>
          <w:i/>
        </w:rPr>
        <w:t>L.C.V.</w:t>
      </w:r>
      <w:r w:rsidRPr="00AF53EC">
        <w:rPr>
          <w:rFonts w:cs="Times New Roman"/>
        </w:rPr>
        <w:t>); la Ville est elle-même dotée d’un comité exécutif qui peut octroyer des contrats jusqu’à un maximum de 100 000</w:t>
      </w:r>
      <w:r>
        <w:rPr>
          <w:rFonts w:cs="Times New Roman"/>
        </w:rPr>
        <w:t xml:space="preserve"> </w:t>
      </w:r>
      <w:r w:rsidRPr="00AF53EC">
        <w:rPr>
          <w:rFonts w:cs="Times New Roman"/>
        </w:rPr>
        <w:t>$ (</w:t>
      </w:r>
      <w:r>
        <w:rPr>
          <w:rFonts w:cs="Times New Roman"/>
        </w:rPr>
        <w:t>art. 33 al. 2,</w:t>
      </w:r>
      <w:r w:rsidRPr="00AF53EC">
        <w:rPr>
          <w:rFonts w:cs="Times New Roman"/>
        </w:rPr>
        <w:t xml:space="preserve"> </w:t>
      </w:r>
      <w:r w:rsidRPr="00AF53EC">
        <w:rPr>
          <w:rFonts w:cs="Times New Roman"/>
          <w:i/>
        </w:rPr>
        <w:t>Charte de la Ville de Montréal, métropole du Québec</w:t>
      </w:r>
      <w:r w:rsidRPr="00AF53EC">
        <w:rPr>
          <w:rFonts w:cs="Times New Roman"/>
        </w:rPr>
        <w:t>, RLRQ, c. C-11.4; Hétu et Duplessis, par. 9.31-9.40)</w:t>
      </w:r>
    </w:p>
    <w:p w:rsidR="007A5985" w:rsidRPr="00AF53EC" w:rsidRDefault="007A5985" w:rsidP="007A5985">
      <w:pPr>
        <w:pStyle w:val="ParaNoNdepar-AltN"/>
        <w:rPr>
          <w:rFonts w:cs="Times New Roman"/>
        </w:rPr>
      </w:pPr>
      <w:r w:rsidRPr="00AF53EC">
        <w:rPr>
          <w:rFonts w:cs="Times New Roman"/>
        </w:rPr>
        <w:t>L’objectif poursuivi par ces règles est clair : elles visent à préserver et à protéger l’intérêt collectif des contribuables tout en empêchant que n’importe qui ne puisse dilapider des fonds publics au nom d’une municipalité (</w:t>
      </w:r>
      <w:r w:rsidRPr="00AF53EC">
        <w:rPr>
          <w:rFonts w:cs="Times New Roman"/>
          <w:i/>
        </w:rPr>
        <w:t>Town of Bridgewater</w:t>
      </w:r>
      <w:r w:rsidRPr="00AF53EC">
        <w:rPr>
          <w:rFonts w:cs="Times New Roman"/>
        </w:rPr>
        <w:t>, p.</w:t>
      </w:r>
      <w:r>
        <w:rPr>
          <w:rFonts w:cs="Times New Roman"/>
        </w:rPr>
        <w:t> 5</w:t>
      </w:r>
      <w:r w:rsidRPr="00AF53EC">
        <w:rPr>
          <w:rFonts w:cs="Times New Roman"/>
        </w:rPr>
        <w:t>92). La protection de l’intérêt des contribuables fait ainsi en sorte que les « affaires des habitants, lesquels élisent les conseillers municipaux</w:t>
      </w:r>
      <w:r w:rsidR="00C72D1B">
        <w:rPr>
          <w:rFonts w:cs="Times New Roman"/>
        </w:rPr>
        <w:t>,</w:t>
      </w:r>
      <w:r w:rsidRPr="00AF53EC">
        <w:rPr>
          <w:rFonts w:cs="Times New Roman"/>
        </w:rPr>
        <w:t xml:space="preserve"> [ne] peuvent être adminis</w:t>
      </w:r>
      <w:r>
        <w:rPr>
          <w:rFonts w:cs="Times New Roman"/>
        </w:rPr>
        <w:t>trées au gré et aux caprices de conseillers ou</w:t>
      </w:r>
      <w:r w:rsidRPr="00AF53EC">
        <w:rPr>
          <w:rFonts w:cs="Times New Roman"/>
        </w:rPr>
        <w:t xml:space="preserve"> employés municipaux particuliers » (</w:t>
      </w:r>
      <w:r w:rsidRPr="00AF53EC">
        <w:rPr>
          <w:rFonts w:cs="Times New Roman"/>
          <w:i/>
        </w:rPr>
        <w:t>Town of Bridgewater</w:t>
      </w:r>
      <w:r w:rsidRPr="00AF53EC">
        <w:rPr>
          <w:rFonts w:cs="Times New Roman"/>
        </w:rPr>
        <w:t>, p. 587-588). Cette réalité explique d’ailleurs pourquoi la théorie du mandat apparent en droit civil ne s’applique pas en matière municipale (</w:t>
      </w:r>
      <w:r>
        <w:rPr>
          <w:rFonts w:cs="Times New Roman"/>
          <w:i/>
          <w:iCs/>
          <w:szCs w:val="24"/>
        </w:rPr>
        <w:t xml:space="preserve">Verreault (J.E.) </w:t>
      </w:r>
      <w:r w:rsidRPr="00AF53EC">
        <w:rPr>
          <w:rFonts w:cs="Times New Roman"/>
          <w:i/>
          <w:iCs/>
          <w:szCs w:val="24"/>
        </w:rPr>
        <w:t>&amp; Fils</w:t>
      </w:r>
      <w:r>
        <w:rPr>
          <w:rFonts w:cs="Times New Roman"/>
          <w:i/>
          <w:iCs/>
          <w:szCs w:val="24"/>
        </w:rPr>
        <w:t xml:space="preserve"> </w:t>
      </w:r>
      <w:r w:rsidRPr="008441EC">
        <w:rPr>
          <w:rFonts w:cs="Times New Roman"/>
          <w:i/>
          <w:iCs/>
          <w:szCs w:val="24"/>
        </w:rPr>
        <w:t xml:space="preserve">Ltée </w:t>
      </w:r>
      <w:r w:rsidRPr="008441EC">
        <w:rPr>
          <w:rFonts w:cs="Times New Roman"/>
          <w:i/>
          <w:szCs w:val="24"/>
        </w:rPr>
        <w:t xml:space="preserve">c. </w:t>
      </w:r>
      <w:r w:rsidRPr="008441EC">
        <w:rPr>
          <w:rFonts w:cs="Times New Roman"/>
          <w:i/>
          <w:iCs/>
          <w:szCs w:val="24"/>
        </w:rPr>
        <w:t>Procureur</w:t>
      </w:r>
      <w:r>
        <w:rPr>
          <w:rFonts w:cs="Times New Roman"/>
          <w:i/>
          <w:iCs/>
          <w:szCs w:val="24"/>
        </w:rPr>
        <w:t xml:space="preserve"> général </w:t>
      </w:r>
      <w:r w:rsidRPr="00AF53EC">
        <w:rPr>
          <w:rFonts w:cs="Times New Roman"/>
          <w:i/>
          <w:iCs/>
          <w:szCs w:val="24"/>
        </w:rPr>
        <w:t xml:space="preserve">du Québec, </w:t>
      </w:r>
      <w:r w:rsidRPr="00AF53EC">
        <w:rPr>
          <w:rFonts w:cs="Times New Roman"/>
          <w:szCs w:val="24"/>
        </w:rPr>
        <w:t xml:space="preserve">[1977] 1 R.C.S. 41; </w:t>
      </w:r>
      <w:r w:rsidRPr="00AF53EC">
        <w:rPr>
          <w:rFonts w:cs="Times New Roman"/>
          <w:i/>
          <w:szCs w:val="24"/>
        </w:rPr>
        <w:t>GM Développement inc.</w:t>
      </w:r>
      <w:r w:rsidRPr="00AF53EC">
        <w:rPr>
          <w:rFonts w:cs="Times New Roman"/>
          <w:szCs w:val="24"/>
        </w:rPr>
        <w:t xml:space="preserve">, par. 21). La protection de l’intérêt des contribuables exige de fait que le consentement d’une municipalité soit assujetti à des conditions plus strictes que celles prévues au </w:t>
      </w:r>
      <w:r>
        <w:rPr>
          <w:rFonts w:cs="Times New Roman"/>
          <w:i/>
          <w:szCs w:val="24"/>
        </w:rPr>
        <w:t>C.c.Q</w:t>
      </w:r>
      <w:r w:rsidRPr="00682A87">
        <w:rPr>
          <w:rFonts w:cs="Times New Roman"/>
          <w:i/>
          <w:szCs w:val="24"/>
        </w:rPr>
        <w:t>.</w:t>
      </w:r>
      <w:r w:rsidRPr="00AF53EC">
        <w:rPr>
          <w:rFonts w:cs="Times New Roman"/>
          <w:szCs w:val="24"/>
        </w:rPr>
        <w:t xml:space="preserve"> L’apparence de consentement ne suffit pas; le silence de la municipalité ne permet pas non plus de déduire que celle-ci </w:t>
      </w:r>
      <w:r w:rsidRPr="00AF53EC">
        <w:rPr>
          <w:rFonts w:cs="Times New Roman"/>
          <w:szCs w:val="24"/>
        </w:rPr>
        <w:lastRenderedPageBreak/>
        <w:t>a manifesté son accord (</w:t>
      </w:r>
      <w:r w:rsidRPr="00AF53EC">
        <w:rPr>
          <w:rFonts w:cs="Times New Roman"/>
          <w:i/>
        </w:rPr>
        <w:t>Town of Bridgewater</w:t>
      </w:r>
      <w:r w:rsidRPr="00AF53EC">
        <w:rPr>
          <w:rFonts w:cs="Times New Roman"/>
        </w:rPr>
        <w:t>, p. 588</w:t>
      </w:r>
      <w:r>
        <w:rPr>
          <w:rFonts w:cs="Times New Roman"/>
        </w:rPr>
        <w:t>;</w:t>
      </w:r>
      <w:r w:rsidRPr="00AF53EC">
        <w:rPr>
          <w:rFonts w:cs="Times New Roman"/>
        </w:rPr>
        <w:t xml:space="preserve"> </w:t>
      </w:r>
      <w:r w:rsidRPr="00AF53EC">
        <w:rPr>
          <w:rFonts w:cs="Times New Roman"/>
          <w:i/>
        </w:rPr>
        <w:t>Bourque</w:t>
      </w:r>
      <w:r w:rsidRPr="00AF53EC">
        <w:rPr>
          <w:rFonts w:cs="Times New Roman"/>
        </w:rPr>
        <w:t>, p. 228</w:t>
      </w:r>
      <w:r>
        <w:rPr>
          <w:rFonts w:cs="Times New Roman"/>
        </w:rPr>
        <w:t>;</w:t>
      </w:r>
      <w:r w:rsidRPr="00AF53EC">
        <w:rPr>
          <w:rFonts w:cs="Times New Roman"/>
        </w:rPr>
        <w:t xml:space="preserve"> Hétu et Duplessis, par. 9.31)</w:t>
      </w:r>
      <w:r w:rsidRPr="00AF53EC">
        <w:rPr>
          <w:rFonts w:cs="Times New Roman"/>
          <w:szCs w:val="24"/>
        </w:rPr>
        <w:t xml:space="preserve">. </w:t>
      </w:r>
    </w:p>
    <w:p w:rsidR="007A5985" w:rsidRPr="00AF53EC" w:rsidRDefault="007A5985" w:rsidP="00BB0D9D">
      <w:pPr>
        <w:pStyle w:val="Title4LevelTitre4Niveau"/>
        <w:numPr>
          <w:ilvl w:val="1"/>
          <w:numId w:val="29"/>
        </w:numPr>
        <w:ind w:left="1260" w:hanging="720"/>
        <w:rPr>
          <w:rFonts w:cs="Times New Roman"/>
          <w:lang w:val="fr-CA"/>
        </w:rPr>
      </w:pPr>
      <w:r w:rsidRPr="00AF53EC">
        <w:rPr>
          <w:rFonts w:cs="Times New Roman"/>
          <w:lang w:val="fr-CA"/>
        </w:rPr>
        <w:t>L’absence de consentement en l’espèce</w:t>
      </w:r>
    </w:p>
    <w:p w:rsidR="007A5985" w:rsidRPr="00AF53EC" w:rsidRDefault="007A5985" w:rsidP="007A5985">
      <w:pPr>
        <w:pStyle w:val="ParaNoNdepar-AltN"/>
        <w:rPr>
          <w:rFonts w:cs="Times New Roman"/>
        </w:rPr>
      </w:pPr>
      <w:r w:rsidRPr="00AF53EC">
        <w:rPr>
          <w:rFonts w:cs="Times New Roman"/>
        </w:rPr>
        <w:t>Personne ne conteste ici le fait que la Ville n’a adopté aucune résolution octroyant à Octane le mandat de produire l’événement du 17 mai 2007. La Ville n’a adopté des résolutions que pour approuver les bons de commande des trois premiers mandats, portant respectivement sur les services-conseils pour l’élaboration du concept de lancement, la réalisation graphique et la production du matériel utilisé lors de l’événement. Les factures relatives à ces trois mandats, totalisant 52 20</w:t>
      </w:r>
      <w:r>
        <w:rPr>
          <w:rFonts w:cs="Times New Roman"/>
        </w:rPr>
        <w:t>3</w:t>
      </w:r>
      <w:r w:rsidRPr="00AF53EC">
        <w:rPr>
          <w:rFonts w:cs="Times New Roman"/>
        </w:rPr>
        <w:t>,34</w:t>
      </w:r>
      <w:r>
        <w:rPr>
          <w:rFonts w:cs="Times New Roman"/>
        </w:rPr>
        <w:t> </w:t>
      </w:r>
      <w:r w:rsidRPr="00AF53EC">
        <w:rPr>
          <w:rFonts w:cs="Times New Roman"/>
        </w:rPr>
        <w:t>$, ont été approuvées et payées par</w:t>
      </w:r>
      <w:r>
        <w:rPr>
          <w:rFonts w:cs="Times New Roman"/>
        </w:rPr>
        <w:t xml:space="preserve"> la Ville en mars et avril 2008 </w:t>
      </w:r>
      <w:r w:rsidRPr="00AF53EC">
        <w:rPr>
          <w:rFonts w:cs="Times New Roman"/>
        </w:rPr>
        <w:t>et le conseil municipal de la Ville a approuvé les bons de commande le 27 octobre 2008. Cependant, aucune de ces résolutions ne vise l’autorisation du quatrième mandat portant sur la production de l’événement du 17 mai 2007, dont la facture s’élève à 82 898,63</w:t>
      </w:r>
      <w:r>
        <w:rPr>
          <w:rFonts w:cs="Times New Roman"/>
        </w:rPr>
        <w:t> </w:t>
      </w:r>
      <w:r w:rsidRPr="00AF53EC">
        <w:rPr>
          <w:rFonts w:cs="Times New Roman"/>
        </w:rPr>
        <w:t>$.</w:t>
      </w:r>
    </w:p>
    <w:p w:rsidR="007A5985" w:rsidRPr="00AF53EC" w:rsidRDefault="007A5985" w:rsidP="007A5985">
      <w:pPr>
        <w:pStyle w:val="ParaNoNdepar-AltN"/>
        <w:rPr>
          <w:rFonts w:cs="Times New Roman"/>
        </w:rPr>
      </w:pPr>
      <w:r w:rsidRPr="00AF53EC">
        <w:rPr>
          <w:rFonts w:cs="Times New Roman"/>
        </w:rPr>
        <w:t xml:space="preserve">Il ne reste que la possibilité qu’un fonctionnaire habilité ait approuvé le mandat au nom de la Ville. Au moment des faits, un règlement accordant à certains fonctionnaires une telle délégation de pouvoirs était en vigueur : le </w:t>
      </w:r>
      <w:r w:rsidRPr="00AF53EC">
        <w:rPr>
          <w:rFonts w:cs="Times New Roman"/>
          <w:i/>
        </w:rPr>
        <w:t>Règlement intérieur du comité exécutif sur la délégation de pouvoirs aux fonctionnaires et employés</w:t>
      </w:r>
      <w:r w:rsidRPr="00AF53EC">
        <w:rPr>
          <w:rFonts w:cs="Times New Roman"/>
        </w:rPr>
        <w:t>, R</w:t>
      </w:r>
      <w:r>
        <w:rPr>
          <w:rFonts w:cs="Times New Roman"/>
        </w:rPr>
        <w:t>ègl. </w:t>
      </w:r>
      <w:r w:rsidRPr="00AF53EC">
        <w:rPr>
          <w:rFonts w:cs="Times New Roman"/>
        </w:rPr>
        <w:t>02-004,</w:t>
      </w:r>
      <w:r>
        <w:rPr>
          <w:rFonts w:cs="Times New Roman"/>
        </w:rPr>
        <w:t xml:space="preserve"> 26 juin 2002</w:t>
      </w:r>
      <w:r w:rsidRPr="00AF53EC">
        <w:rPr>
          <w:rFonts w:cs="Times New Roman"/>
        </w:rPr>
        <w:t xml:space="preserve"> (« </w:t>
      </w:r>
      <w:r w:rsidRPr="00AF53EC">
        <w:rPr>
          <w:rFonts w:cs="Times New Roman"/>
          <w:i/>
        </w:rPr>
        <w:t>Rè</w:t>
      </w:r>
      <w:r>
        <w:rPr>
          <w:rFonts w:cs="Times New Roman"/>
          <w:i/>
        </w:rPr>
        <w:t xml:space="preserve">glement </w:t>
      </w:r>
      <w:r w:rsidRPr="00AF53EC">
        <w:rPr>
          <w:rFonts w:cs="Times New Roman"/>
          <w:i/>
        </w:rPr>
        <w:t>de délégation</w:t>
      </w:r>
      <w:r w:rsidRPr="00AF53EC">
        <w:rPr>
          <w:rFonts w:cs="Times New Roman"/>
        </w:rPr>
        <w:t> »). Le seul fonctionnaire ayant joué un rôle dans le dossier qui jouissait d’une telle délégation est le directeur des transports de la Ville, M. Blanchet. Or, comme le souligne le juge de première instance, la délégation de M. Blanchet ne l’autorisait pas à approuver des contrats dont la valeur dépassait 15 000</w:t>
      </w:r>
      <w:r>
        <w:rPr>
          <w:rFonts w:cs="Times New Roman"/>
        </w:rPr>
        <w:t xml:space="preserve"> </w:t>
      </w:r>
      <w:r w:rsidRPr="00AF53EC">
        <w:rPr>
          <w:rFonts w:cs="Times New Roman"/>
        </w:rPr>
        <w:t>$ p</w:t>
      </w:r>
      <w:r>
        <w:rPr>
          <w:rFonts w:cs="Times New Roman"/>
        </w:rPr>
        <w:t>uisqu’une</w:t>
      </w:r>
      <w:r w:rsidRPr="00AF53EC">
        <w:rPr>
          <w:rFonts w:cs="Times New Roman"/>
        </w:rPr>
        <w:t xml:space="preserve"> seule entreprise de services professionnels avait été sollicitée en l’espèce. Il n’était pas habilité à lier la Ville pour un contrat de </w:t>
      </w:r>
      <w:r w:rsidRPr="00AF53EC">
        <w:rPr>
          <w:rFonts w:cs="Times New Roman"/>
        </w:rPr>
        <w:lastRenderedPageBreak/>
        <w:t>82</w:t>
      </w:r>
      <w:r>
        <w:rPr>
          <w:rFonts w:cs="Times New Roman"/>
        </w:rPr>
        <w:t> </w:t>
      </w:r>
      <w:r w:rsidRPr="00AF53EC">
        <w:rPr>
          <w:rFonts w:cs="Times New Roman"/>
        </w:rPr>
        <w:t>898,63</w:t>
      </w:r>
      <w:r>
        <w:rPr>
          <w:rFonts w:cs="Times New Roman"/>
        </w:rPr>
        <w:t> </w:t>
      </w:r>
      <w:r w:rsidRPr="00AF53EC">
        <w:rPr>
          <w:rFonts w:cs="Times New Roman"/>
        </w:rPr>
        <w:t>$ </w:t>
      </w:r>
      <w:r>
        <w:rPr>
          <w:rFonts w:cs="Times New Roman"/>
        </w:rPr>
        <w:t>(</w:t>
      </w:r>
      <w:r w:rsidRPr="00AF53EC">
        <w:rPr>
          <w:rFonts w:cs="Times New Roman"/>
        </w:rPr>
        <w:t>C</w:t>
      </w:r>
      <w:r>
        <w:rPr>
          <w:rFonts w:cs="Times New Roman"/>
        </w:rPr>
        <w:t>.</w:t>
      </w:r>
      <w:r w:rsidRPr="00AF53EC">
        <w:rPr>
          <w:rFonts w:cs="Times New Roman"/>
        </w:rPr>
        <w:t>S</w:t>
      </w:r>
      <w:r>
        <w:rPr>
          <w:rFonts w:cs="Times New Roman"/>
        </w:rPr>
        <w:t>.</w:t>
      </w:r>
      <w:r w:rsidRPr="00AF53EC">
        <w:rPr>
          <w:rFonts w:cs="Times New Roman"/>
        </w:rPr>
        <w:t>, par. 116</w:t>
      </w:r>
      <w:r>
        <w:rPr>
          <w:rFonts w:cs="Times New Roman"/>
        </w:rPr>
        <w:t>)</w:t>
      </w:r>
      <w:r w:rsidRPr="00AF53EC">
        <w:rPr>
          <w:rFonts w:cs="Times New Roman"/>
        </w:rPr>
        <w:t xml:space="preserve">. En ce qui concerne M. Thériault, il n’était pas un fonctionnaire de la Ville, mais plutôt un membre du personnel politique du cabinet du maire. Il n’était pas visé par le </w:t>
      </w:r>
      <w:r w:rsidRPr="00AF53EC">
        <w:rPr>
          <w:rFonts w:cs="Times New Roman"/>
          <w:i/>
        </w:rPr>
        <w:t>Règlement de délégation</w:t>
      </w:r>
      <w:r>
        <w:rPr>
          <w:rFonts w:cs="Times New Roman"/>
        </w:rPr>
        <w:t>.</w:t>
      </w:r>
      <w:r w:rsidRPr="00AF53EC">
        <w:rPr>
          <w:rFonts w:cs="Times New Roman"/>
        </w:rPr>
        <w:t xml:space="preserve"> En conséquence, M. Thériault ne jouissait d’aucune délégation de pouvoirs l’habilitant à lier la Ville </w:t>
      </w:r>
      <w:r>
        <w:rPr>
          <w:rFonts w:cs="Times New Roman"/>
        </w:rPr>
        <w:t>(</w:t>
      </w:r>
      <w:r w:rsidRPr="00AF53EC">
        <w:rPr>
          <w:rFonts w:cs="Times New Roman"/>
        </w:rPr>
        <w:t>C</w:t>
      </w:r>
      <w:r>
        <w:rPr>
          <w:rFonts w:cs="Times New Roman"/>
        </w:rPr>
        <w:t>.</w:t>
      </w:r>
      <w:r w:rsidRPr="00AF53EC">
        <w:rPr>
          <w:rFonts w:cs="Times New Roman"/>
        </w:rPr>
        <w:t>S</w:t>
      </w:r>
      <w:r>
        <w:rPr>
          <w:rFonts w:cs="Times New Roman"/>
        </w:rPr>
        <w:t>.</w:t>
      </w:r>
      <w:r w:rsidRPr="00AF53EC">
        <w:rPr>
          <w:rFonts w:cs="Times New Roman"/>
        </w:rPr>
        <w:t xml:space="preserve">, par. 62 et 66; art. 114.7 </w:t>
      </w:r>
      <w:r w:rsidRPr="00AF53EC">
        <w:rPr>
          <w:rFonts w:cs="Times New Roman"/>
          <w:i/>
        </w:rPr>
        <w:t>L.C.V.</w:t>
      </w:r>
      <w:r>
        <w:rPr>
          <w:rFonts w:cs="Times New Roman"/>
        </w:rPr>
        <w:t>).</w:t>
      </w:r>
    </w:p>
    <w:p w:rsidR="007A5985" w:rsidRPr="00AF53EC" w:rsidRDefault="007A5985" w:rsidP="007A5985">
      <w:pPr>
        <w:pStyle w:val="ParaNoNdepar-AltN"/>
        <w:rPr>
          <w:rFonts w:cs="Times New Roman"/>
        </w:rPr>
      </w:pPr>
      <w:r w:rsidRPr="00AF53EC">
        <w:rPr>
          <w:rFonts w:cs="Times New Roman"/>
        </w:rPr>
        <w:t>En définitive, le mandat sur lequel Octane fonde son recours n’a jamais été entériné par une résolution adoptée par le conseil municipal de la Ville. Il n’a pas non plus fait l’objet d’une approbation par un fonctionnaire habilité par délégation de pouvoirs valide. La Cour supérieure a donc conclu à tort qu’un contrat était intervenu entre Octane et la Ville sur la base des représentations faites par M. Thériault; la Cour d’appel a pour sa part commis une erreur en faisant preuve de déférence à l’égard d’une conclusion erronée en droit. En l’absence d’une manifestation de la volonté de la Ville d’être liée par une telle entente, aucune relation contractuelle n’a pu prendre na</w:t>
      </w:r>
      <w:r>
        <w:rPr>
          <w:rFonts w:cs="Times New Roman"/>
        </w:rPr>
        <w:t xml:space="preserve">issance entre les parties (voir </w:t>
      </w:r>
      <w:r w:rsidRPr="00F525E8">
        <w:rPr>
          <w:rFonts w:cs="Times New Roman"/>
          <w:i/>
        </w:rPr>
        <w:t>Amar</w:t>
      </w:r>
      <w:r w:rsidRPr="00AF53EC">
        <w:rPr>
          <w:rFonts w:cs="Times New Roman"/>
        </w:rPr>
        <w:t>, par. 8-10</w:t>
      </w:r>
      <w:r w:rsidRPr="00070421">
        <w:rPr>
          <w:rFonts w:cs="Times New Roman"/>
          <w:iCs/>
        </w:rPr>
        <w:t xml:space="preserve">; </w:t>
      </w:r>
      <w:r w:rsidRPr="00AF53EC">
        <w:rPr>
          <w:rFonts w:cs="Times New Roman"/>
          <w:i/>
          <w:iCs/>
        </w:rPr>
        <w:t>Immeubles Beaurom ltée c. Montréal (Ville de)</w:t>
      </w:r>
      <w:r w:rsidRPr="00AF53EC">
        <w:rPr>
          <w:rFonts w:cs="Times New Roman"/>
        </w:rPr>
        <w:t>, 2007 QCCA 41,</w:t>
      </w:r>
      <w:r>
        <w:rPr>
          <w:rFonts w:cs="Times New Roman"/>
        </w:rPr>
        <w:t xml:space="preserve"> </w:t>
      </w:r>
      <w:r w:rsidRPr="00D561BC">
        <w:rPr>
          <w:rFonts w:cs="Times New Roman"/>
        </w:rPr>
        <w:t>[2007] R.</w:t>
      </w:r>
      <w:r>
        <w:rPr>
          <w:rFonts w:cs="Times New Roman"/>
        </w:rPr>
        <w:t>D.I. 26,</w:t>
      </w:r>
      <w:r w:rsidRPr="00AF53EC">
        <w:rPr>
          <w:rFonts w:cs="Times New Roman"/>
        </w:rPr>
        <w:t xml:space="preserve"> par. 22 et 29; </w:t>
      </w:r>
      <w:r w:rsidRPr="00AF53EC">
        <w:rPr>
          <w:rFonts w:cs="Times New Roman"/>
          <w:i/>
          <w:iCs/>
        </w:rPr>
        <w:t>Aylmer (Ville) c. 174736 Canada inc.</w:t>
      </w:r>
      <w:r w:rsidRPr="00AF53EC">
        <w:rPr>
          <w:rFonts w:cs="Times New Roman"/>
        </w:rPr>
        <w:t>, 1997 CanLII 10176 (</w:t>
      </w:r>
      <w:r>
        <w:rPr>
          <w:rFonts w:cs="Times New Roman"/>
        </w:rPr>
        <w:t>C.A. Qc</w:t>
      </w:r>
      <w:r w:rsidRPr="00AF53EC">
        <w:rPr>
          <w:rFonts w:cs="Times New Roman"/>
        </w:rPr>
        <w:t xml:space="preserve">), p. 5-7; </w:t>
      </w:r>
      <w:r w:rsidRPr="00AF53EC">
        <w:rPr>
          <w:rFonts w:cs="Times New Roman"/>
          <w:i/>
          <w:iCs/>
        </w:rPr>
        <w:t>Banque de Nouvelle-Écosse (Banque Scotia) c. Ville de Drummondville</w:t>
      </w:r>
      <w:r w:rsidRPr="00AF53EC">
        <w:rPr>
          <w:rFonts w:cs="Times New Roman"/>
        </w:rPr>
        <w:t>, 2018 QCCS 5053, par. 150</w:t>
      </w:r>
      <w:r>
        <w:rPr>
          <w:rFonts w:cs="Times New Roman"/>
        </w:rPr>
        <w:t xml:space="preserve"> (CanLII)</w:t>
      </w:r>
      <w:r w:rsidRPr="00AF53EC">
        <w:rPr>
          <w:rFonts w:cs="Times New Roman"/>
        </w:rPr>
        <w:t xml:space="preserve">). En pareilles circonstances, les art. 1416 et 1422 </w:t>
      </w:r>
      <w:r w:rsidRPr="00AF53EC">
        <w:rPr>
          <w:rFonts w:cs="Times New Roman"/>
          <w:i/>
          <w:iCs/>
        </w:rPr>
        <w:t>C.c.Q.</w:t>
      </w:r>
      <w:r w:rsidRPr="00AF53EC">
        <w:rPr>
          <w:rFonts w:cs="Times New Roman"/>
        </w:rPr>
        <w:t xml:space="preserve"> ne s’appliquent pas. On ne peut en effet annuler une entente qui n’a jamais pris naissance (</w:t>
      </w:r>
      <w:r>
        <w:rPr>
          <w:rFonts w:cs="Times New Roman"/>
        </w:rPr>
        <w:t xml:space="preserve">S. </w:t>
      </w:r>
      <w:r w:rsidRPr="00AF53EC">
        <w:rPr>
          <w:rFonts w:cs="Times New Roman"/>
        </w:rPr>
        <w:t>Gaudet,</w:t>
      </w:r>
      <w:r>
        <w:rPr>
          <w:rFonts w:cs="Times New Roman"/>
        </w:rPr>
        <w:t xml:space="preserve"> « Inexistence, nullité et annulabilité du contrat : essai de synthèse » (1995), 40 </w:t>
      </w:r>
      <w:r>
        <w:rPr>
          <w:rFonts w:cs="Times New Roman"/>
          <w:i/>
        </w:rPr>
        <w:t>R.D. McGill</w:t>
      </w:r>
      <w:r>
        <w:rPr>
          <w:rFonts w:cs="Times New Roman"/>
        </w:rPr>
        <w:t xml:space="preserve"> 291 (« Gaudet »),</w:t>
      </w:r>
      <w:r w:rsidRPr="00AF53EC">
        <w:rPr>
          <w:rFonts w:cs="Times New Roman"/>
        </w:rPr>
        <w:t xml:space="preserve"> p. 331-332).</w:t>
      </w:r>
    </w:p>
    <w:p w:rsidR="007A5985" w:rsidRPr="00AF53EC" w:rsidRDefault="007A5985" w:rsidP="007A5985">
      <w:pPr>
        <w:pStyle w:val="ParaNoNdepar-AltN"/>
        <w:tabs>
          <w:tab w:val="clear" w:pos="1512"/>
        </w:tabs>
        <w:rPr>
          <w:rFonts w:cs="Times New Roman"/>
        </w:rPr>
      </w:pPr>
      <w:r w:rsidRPr="00AF53EC">
        <w:rPr>
          <w:rFonts w:cs="Times New Roman"/>
        </w:rPr>
        <w:t xml:space="preserve">Comme la Cour d’appel le souligne avec à-propos dans l’arrêt </w:t>
      </w:r>
      <w:r w:rsidRPr="00AF53EC">
        <w:rPr>
          <w:rFonts w:cs="Times New Roman"/>
          <w:i/>
          <w:iCs/>
        </w:rPr>
        <w:t>GM Développement inc.</w:t>
      </w:r>
      <w:r w:rsidRPr="00AF53EC">
        <w:rPr>
          <w:rFonts w:cs="Times New Roman"/>
        </w:rPr>
        <w:t xml:space="preserve">, dans un tel contexte, il ne peut y avoir de restitution des prestations </w:t>
      </w:r>
      <w:r w:rsidRPr="00AF53EC">
        <w:rPr>
          <w:rFonts w:cs="Times New Roman"/>
        </w:rPr>
        <w:lastRenderedPageBreak/>
        <w:t xml:space="preserve">sur ce fondement puisqu’« on ne peut démontrer la nullité ou la résolution d’un contrat inexistant » (par. 32). Dans cette affaire, l’appelant réclamait à la Ville de Québec le remboursement d’honoraires et de frais professionnels engagés pour la phase de développement d’un projet de revitalisation d’une place publique. La Cour d’appel conclut qu’il n’existait aucun lien contractuel entre l’appelant et la ville puisque cette dernière n’avait jamais adopté de résolution ou de règlement autorisant ce projet. Dans l’arrêt </w:t>
      </w:r>
      <w:r w:rsidRPr="00AF53EC">
        <w:rPr>
          <w:rFonts w:cs="Times New Roman"/>
          <w:i/>
        </w:rPr>
        <w:t>Unibec</w:t>
      </w:r>
      <w:r w:rsidRPr="00AF53EC">
        <w:rPr>
          <w:rFonts w:cs="Times New Roman"/>
        </w:rPr>
        <w:t>, la Cour d’appel confirme le principe selon lequel une municipalité ne peut être liée en l’absence d’une résolution ou d’un règlement, car celle-ci s’exprime uniquement par la voix de son conseil municipal (par. 35-37). Dans cette affaire, la cour conclut toutefois à la nullité d’un contrat verbal pour des travaux additionnels en marge d’un contrat existant, en l’absence d’une résolution du conseil municipal. Sans nous prononcer sur la question de savoir si ce principe vaut également pour la modification d’un contrat existant, nous sommes d’avis que l’absence de résolution ou de règlement mène non pas à la nullité du contrat, mais bien au constat qu’aucun contrat n’est né. Lorsqu’une municipalité n’a pas exprimé sa volonté à être liée contractuellement, il n’y a simplement aucun contrat à annuler. C’est le cas ici.</w:t>
      </w:r>
    </w:p>
    <w:p w:rsidR="007A5985" w:rsidRPr="00AF53EC" w:rsidRDefault="007A5985" w:rsidP="007A5985">
      <w:pPr>
        <w:pStyle w:val="ParaNoNdepar-AltN"/>
        <w:rPr>
          <w:rFonts w:cs="Times New Roman"/>
        </w:rPr>
      </w:pPr>
      <w:r w:rsidRPr="00AF53EC">
        <w:rPr>
          <w:rFonts w:cs="Times New Roman"/>
        </w:rPr>
        <w:t>Cela établi, des remarques additionnelles s’imposent en ce qui concerne la position de la Ville. Cette dernière soutient qu’il ne suffit pas qu’une municipalité exprime sa volonté d’être liée par le biais d’une résolution ou d’un règlement pour qu’un contrat naisse; il faut aussi que les procédures d’adjudication des contrats municipaux prévues aux art. 573 et s</w:t>
      </w:r>
      <w:r>
        <w:rPr>
          <w:rFonts w:cs="Times New Roman"/>
        </w:rPr>
        <w:t>uiv</w:t>
      </w:r>
      <w:r w:rsidRPr="00AF53EC">
        <w:rPr>
          <w:rFonts w:cs="Times New Roman"/>
        </w:rPr>
        <w:t xml:space="preserve">. </w:t>
      </w:r>
      <w:r w:rsidRPr="00AF53EC">
        <w:rPr>
          <w:rFonts w:cs="Times New Roman"/>
          <w:i/>
        </w:rPr>
        <w:t>L.C.V.</w:t>
      </w:r>
      <w:r w:rsidRPr="00AF53EC">
        <w:rPr>
          <w:rFonts w:cs="Times New Roman"/>
        </w:rPr>
        <w:t xml:space="preserve"> soient respectées. La Ville plaide donc que ces règles ne sont pas que de simples conditions de validité du contrat. Elles conditionnent plutôt l’expression d’une volonté municipale, de sorte que leur violation empêcherait la naissance même d’un accord liant la municipalité. Nous ne souscrivons </w:t>
      </w:r>
      <w:r w:rsidRPr="00AF53EC">
        <w:rPr>
          <w:rFonts w:cs="Times New Roman"/>
        </w:rPr>
        <w:lastRenderedPageBreak/>
        <w:t xml:space="preserve">pas à cet argument. Bien que la Ville ait raison d’insister sur la distinction entre l’existence et la validité d’un contrat, nous ne pouvons convenir que le respect des règles d’adjudication est nécessaire pour qu’une municipalité puisse manifester sa volonté de contracter. </w:t>
      </w:r>
    </w:p>
    <w:p w:rsidR="007A5985" w:rsidRPr="00AF53EC" w:rsidRDefault="007A5985" w:rsidP="007A5985">
      <w:pPr>
        <w:pStyle w:val="ParaNoNdepar-AltN"/>
        <w:rPr>
          <w:rFonts w:cs="Times New Roman"/>
        </w:rPr>
      </w:pPr>
      <w:r w:rsidRPr="00AF53EC">
        <w:rPr>
          <w:rFonts w:cs="Times New Roman"/>
        </w:rPr>
        <w:t xml:space="preserve">Tel que nous l’avons souligné, un contrat se définit comme un accord de volonté par lequel une ou plusieurs personnes s’obligent envers une ou plusieurs autres (art. 1378, al. 1 </w:t>
      </w:r>
      <w:r w:rsidRPr="00AF53EC">
        <w:rPr>
          <w:rFonts w:cs="Times New Roman"/>
          <w:i/>
        </w:rPr>
        <w:t>C.c.Q.</w:t>
      </w:r>
      <w:r w:rsidRPr="00AF53EC">
        <w:rPr>
          <w:rFonts w:cs="Times New Roman"/>
        </w:rPr>
        <w:t xml:space="preserve">). Sans un tel </w:t>
      </w:r>
      <w:r>
        <w:rPr>
          <w:rFonts w:cs="Times New Roman"/>
        </w:rPr>
        <w:t xml:space="preserve">accord, il n’y a pas de contrat. </w:t>
      </w:r>
      <w:r w:rsidRPr="00AF53EC">
        <w:rPr>
          <w:rFonts w:cs="Times New Roman"/>
        </w:rPr>
        <w:t xml:space="preserve">L’absence d’offre, le refus d’une offre de contracter ou l’absence d’acceptation mènent au même résultat : le projet de contracter n’aboutit pas et le contrat ne naît donc jamais </w:t>
      </w:r>
      <w:r>
        <w:rPr>
          <w:rFonts w:cs="Times New Roman"/>
        </w:rPr>
        <w:t xml:space="preserve">(art. 1386 et </w:t>
      </w:r>
      <w:r w:rsidRPr="00AF53EC">
        <w:rPr>
          <w:rFonts w:cs="Times New Roman"/>
        </w:rPr>
        <w:t xml:space="preserve">1387 </w:t>
      </w:r>
      <w:r w:rsidRPr="00AF53EC">
        <w:rPr>
          <w:rFonts w:cs="Times New Roman"/>
          <w:i/>
        </w:rPr>
        <w:t>C.c.Q.</w:t>
      </w:r>
      <w:r w:rsidRPr="00AF53EC">
        <w:rPr>
          <w:rFonts w:cs="Times New Roman"/>
        </w:rPr>
        <w:t xml:space="preserve">). C’est ce que nous entendons par l’inexistence du contrat. </w:t>
      </w:r>
    </w:p>
    <w:p w:rsidR="007A5985" w:rsidRPr="00AF53EC" w:rsidRDefault="007A5985" w:rsidP="007A5985">
      <w:pPr>
        <w:pStyle w:val="ParaNoNdepar-AltN"/>
        <w:rPr>
          <w:rFonts w:cs="Times New Roman"/>
        </w:rPr>
      </w:pPr>
      <w:r w:rsidRPr="00AF53EC">
        <w:rPr>
          <w:rFonts w:cs="Times New Roman"/>
        </w:rPr>
        <w:t>Cependant, une fois que le contrat franchit le seuil de l’existence juridique (</w:t>
      </w:r>
      <w:r w:rsidRPr="00AF53EC">
        <w:rPr>
          <w:rFonts w:cs="Times New Roman"/>
          <w:i/>
        </w:rPr>
        <w:t>Québec (Agence du revenu) c. Services Environnementaux AES inc.</w:t>
      </w:r>
      <w:r w:rsidRPr="00AF53EC">
        <w:rPr>
          <w:rFonts w:cs="Times New Roman"/>
        </w:rPr>
        <w:t>, 2013 CSC 65, [2013] 3 R.C.S. 838, par. 27), certaines conditions doivent être remplies pour en assurer la</w:t>
      </w:r>
      <w:r>
        <w:rPr>
          <w:rFonts w:cs="Times New Roman"/>
        </w:rPr>
        <w:t xml:space="preserve"> validité (Cumyn, </w:t>
      </w:r>
      <w:r w:rsidRPr="00AF53EC">
        <w:rPr>
          <w:rFonts w:cs="Times New Roman"/>
        </w:rPr>
        <w:t>n</w:t>
      </w:r>
      <w:r w:rsidRPr="003F23DC">
        <w:rPr>
          <w:rFonts w:cs="Times New Roman"/>
          <w:vertAlign w:val="superscript"/>
        </w:rPr>
        <w:t>os</w:t>
      </w:r>
      <w:r>
        <w:rPr>
          <w:rFonts w:cs="Times New Roman"/>
        </w:rPr>
        <w:t xml:space="preserve"> </w:t>
      </w:r>
      <w:r w:rsidRPr="00AF53EC">
        <w:rPr>
          <w:rFonts w:cs="Times New Roman"/>
        </w:rPr>
        <w:t xml:space="preserve">223-224). Notamment, les parties doivent être capables de consentir et leur consentement ne doit pas être vicié par l’erreur, le contrat doit avoir une cause et un objet et, si la loi l’exige, il doit en outre respecter une forme particulière (art. 1385 </w:t>
      </w:r>
      <w:r w:rsidRPr="00AF53EC">
        <w:rPr>
          <w:rFonts w:cs="Times New Roman"/>
          <w:i/>
        </w:rPr>
        <w:t>C.c.Q.</w:t>
      </w:r>
      <w:r w:rsidRPr="00AF53EC">
        <w:rPr>
          <w:rFonts w:cs="Times New Roman"/>
        </w:rPr>
        <w:t>; Cumyn, n</w:t>
      </w:r>
      <w:r w:rsidRPr="003F23DC">
        <w:rPr>
          <w:rFonts w:cs="Times New Roman"/>
          <w:vertAlign w:val="superscript"/>
        </w:rPr>
        <w:t>os</w:t>
      </w:r>
      <w:r w:rsidRPr="00AF53EC">
        <w:rPr>
          <w:rFonts w:cs="Times New Roman"/>
        </w:rPr>
        <w:t xml:space="preserve"> 223-224). Lorsqu’une de ces conditions fait défaut, le contrat peut être frappé de nullité; il sera alors réputé n</w:t>
      </w:r>
      <w:r>
        <w:rPr>
          <w:rFonts w:cs="Times New Roman"/>
        </w:rPr>
        <w:t>’avoir jamais existé (art. 1416 et</w:t>
      </w:r>
      <w:r w:rsidRPr="00AF53EC">
        <w:rPr>
          <w:rFonts w:cs="Times New Roman"/>
        </w:rPr>
        <w:t xml:space="preserve"> 1422 </w:t>
      </w:r>
      <w:r w:rsidRPr="00AF53EC">
        <w:rPr>
          <w:rFonts w:cs="Times New Roman"/>
          <w:i/>
        </w:rPr>
        <w:t>C.c.Q.</w:t>
      </w:r>
      <w:r w:rsidRPr="00AF53EC">
        <w:rPr>
          <w:rFonts w:cs="Times New Roman"/>
        </w:rPr>
        <w:t>; Cumyn, nº 224; Lluelles et Moore, nº</w:t>
      </w:r>
      <w:r>
        <w:rPr>
          <w:rFonts w:cs="Times New Roman"/>
        </w:rPr>
        <w:t xml:space="preserve"> </w:t>
      </w:r>
      <w:r w:rsidRPr="00AF53EC">
        <w:rPr>
          <w:rFonts w:cs="Times New Roman"/>
        </w:rPr>
        <w:t>1087; Baudouin et Jobin, nº</w:t>
      </w:r>
      <w:r>
        <w:rPr>
          <w:rFonts w:cs="Times New Roman"/>
        </w:rPr>
        <w:t> </w:t>
      </w:r>
      <w:r w:rsidRPr="00AF53EC">
        <w:rPr>
          <w:rFonts w:cs="Times New Roman"/>
        </w:rPr>
        <w:t xml:space="preserve">377; Gaudet, p. 332). Toutefois, cela ne veut pas dire que le contrat n’a jamais en réalité existé. L’existence d’un contrat doit logiquement précéder son annulation : si un contrat n’a pas émergé à la vie juridique, il ne peut être réputé n’avoir jamais existé car il est, en fait, inexistant. La distinction est importante : à la différence du cas où une condition </w:t>
      </w:r>
      <w:r w:rsidRPr="00AF53EC">
        <w:rPr>
          <w:rFonts w:cs="Times New Roman"/>
        </w:rPr>
        <w:lastRenderedPageBreak/>
        <w:t>de validité fait défaut, l’inexistence ne peut être sanctionnée par la nullité (Gaudet, p.</w:t>
      </w:r>
      <w:r>
        <w:rPr>
          <w:rFonts w:cs="Times New Roman"/>
        </w:rPr>
        <w:t> </w:t>
      </w:r>
      <w:r w:rsidRPr="00AF53EC">
        <w:rPr>
          <w:rFonts w:cs="Times New Roman"/>
        </w:rPr>
        <w:t xml:space="preserve">331-332), et l’obligation de restituer une prestation fournie en cas d’inexistence d’un contrat devra se justifier sur la base d’un fondement différent. </w:t>
      </w:r>
    </w:p>
    <w:p w:rsidR="007A5985" w:rsidRPr="00AF53EC" w:rsidRDefault="007A5985" w:rsidP="007A5985">
      <w:pPr>
        <w:pStyle w:val="ParaNoNdepar-AltN"/>
        <w:rPr>
          <w:rFonts w:cs="Times New Roman"/>
        </w:rPr>
      </w:pPr>
      <w:r w:rsidRPr="00AF53EC">
        <w:rPr>
          <w:rFonts w:cs="Times New Roman"/>
        </w:rPr>
        <w:t>À notre avis, contrairement à ce que prétend la Ville, les règles d’adjudication ne sont pas des conditions d’existence d’un contrat municipal. Les règles d’adjudication des contrats municipaux prévues aux art. 573 et s</w:t>
      </w:r>
      <w:r>
        <w:rPr>
          <w:rFonts w:cs="Times New Roman"/>
        </w:rPr>
        <w:t>uiv</w:t>
      </w:r>
      <w:r w:rsidRPr="00AF53EC">
        <w:rPr>
          <w:rFonts w:cs="Times New Roman"/>
        </w:rPr>
        <w:t xml:space="preserve">. </w:t>
      </w:r>
      <w:r w:rsidRPr="00AF53EC">
        <w:rPr>
          <w:rFonts w:cs="Times New Roman"/>
          <w:i/>
        </w:rPr>
        <w:t>L.C.V.</w:t>
      </w:r>
      <w:r w:rsidRPr="00AF53EC">
        <w:rPr>
          <w:rFonts w:cs="Times New Roman"/>
        </w:rPr>
        <w:t xml:space="preserve"> ne concernent pas la façon dont une municipalité exprime sa volonté d’être liée contractuellement. Ces dispositions imposent plutôt aux municipalités certaines formalités, dont l’appel d’offres, qui doivent être respectées afin de donner à tous les administrés une chance égale de contracter avec elles, en plus de protéger l’intérêt du public en favorisant la concurrence (</w:t>
      </w:r>
      <w:r>
        <w:rPr>
          <w:rFonts w:cs="Times New Roman"/>
        </w:rPr>
        <w:t>Garant</w:t>
      </w:r>
      <w:r w:rsidRPr="00AF53EC">
        <w:rPr>
          <w:rFonts w:cs="Times New Roman"/>
        </w:rPr>
        <w:t xml:space="preserve">, p. </w:t>
      </w:r>
      <w:r>
        <w:rPr>
          <w:rFonts w:cs="Times New Roman"/>
        </w:rPr>
        <w:t>405-408</w:t>
      </w:r>
      <w:r w:rsidRPr="00AF53EC">
        <w:rPr>
          <w:rFonts w:cs="Times New Roman"/>
        </w:rPr>
        <w:t xml:space="preserve">; Hétu et Duplessis, par. 9.9-9.10; Giroux et Lemieux, par. 5-005; </w:t>
      </w:r>
      <w:r w:rsidRPr="00AF53EC">
        <w:rPr>
          <w:rFonts w:cs="Times New Roman"/>
          <w:i/>
        </w:rPr>
        <w:t>2736-4694 Québec inc. c. Carleton</w:t>
      </w:r>
      <w:r>
        <w:rPr>
          <w:rFonts w:cs="Times New Roman"/>
          <w:i/>
        </w:rPr>
        <w:t>—St-</w:t>
      </w:r>
      <w:r w:rsidRPr="00AF53EC">
        <w:rPr>
          <w:rFonts w:cs="Times New Roman"/>
          <w:i/>
        </w:rPr>
        <w:t>Omer</w:t>
      </w:r>
      <w:r>
        <w:rPr>
          <w:rFonts w:cs="Times New Roman"/>
          <w:i/>
        </w:rPr>
        <w:t xml:space="preserve"> (Ville de)</w:t>
      </w:r>
      <w:r w:rsidRPr="00AF53EC">
        <w:rPr>
          <w:rFonts w:cs="Times New Roman"/>
        </w:rPr>
        <w:t xml:space="preserve">, 2006 QCCS 4726, conf. </w:t>
      </w:r>
      <w:r>
        <w:rPr>
          <w:rFonts w:cs="Times New Roman"/>
        </w:rPr>
        <w:t xml:space="preserve">par </w:t>
      </w:r>
      <w:r w:rsidRPr="00AF53EC">
        <w:rPr>
          <w:rFonts w:cs="Times New Roman"/>
        </w:rPr>
        <w:t xml:space="preserve">2007 QCCA 1789). L’effet de ces dispositions est donc de déroger au principe du consensualisme en limitant la façon dont une municipalité peut choisir son cocontractant pour certains types de contrats (Hétu et Duplessis, par. 9.73; Giroux et Lemieux, par. 5-800; Langlois, p. 225-228; </w:t>
      </w:r>
      <w:r>
        <w:rPr>
          <w:rFonts w:cs="Times New Roman"/>
        </w:rPr>
        <w:t xml:space="preserve">G. </w:t>
      </w:r>
      <w:r w:rsidRPr="00AF53EC">
        <w:rPr>
          <w:rFonts w:cs="Times New Roman"/>
        </w:rPr>
        <w:t xml:space="preserve">Pépin et </w:t>
      </w:r>
      <w:r>
        <w:rPr>
          <w:rFonts w:cs="Times New Roman"/>
        </w:rPr>
        <w:t xml:space="preserve">Y. </w:t>
      </w:r>
      <w:r w:rsidRPr="00AF53EC">
        <w:rPr>
          <w:rFonts w:cs="Times New Roman"/>
        </w:rPr>
        <w:t>Ouellette,</w:t>
      </w:r>
      <w:r w:rsidRPr="00AF53EC">
        <w:rPr>
          <w:rFonts w:cs="Times New Roman"/>
          <w:i/>
        </w:rPr>
        <w:t xml:space="preserve"> </w:t>
      </w:r>
      <w:r>
        <w:rPr>
          <w:rFonts w:cs="Times New Roman"/>
          <w:i/>
        </w:rPr>
        <w:t xml:space="preserve">Principes de contentieux administratif </w:t>
      </w:r>
      <w:r>
        <w:rPr>
          <w:rFonts w:cs="Times New Roman"/>
        </w:rPr>
        <w:t>(2</w:t>
      </w:r>
      <w:r w:rsidRPr="009612B6">
        <w:rPr>
          <w:rFonts w:cs="Times New Roman"/>
          <w:vertAlign w:val="superscript"/>
        </w:rPr>
        <w:t>e</w:t>
      </w:r>
      <w:r>
        <w:rPr>
          <w:rFonts w:cs="Times New Roman"/>
        </w:rPr>
        <w:t xml:space="preserve"> éd. 1982), </w:t>
      </w:r>
      <w:r w:rsidRPr="00AF53EC">
        <w:rPr>
          <w:rFonts w:cs="Times New Roman"/>
        </w:rPr>
        <w:t>p. 537).</w:t>
      </w:r>
    </w:p>
    <w:p w:rsidR="007A5985" w:rsidRPr="00AF53EC" w:rsidRDefault="007A5985" w:rsidP="007A5985">
      <w:pPr>
        <w:pStyle w:val="ParaNoNdepar-AltN"/>
        <w:rPr>
          <w:rFonts w:cs="Times New Roman"/>
        </w:rPr>
      </w:pPr>
      <w:r w:rsidRPr="00AF53EC">
        <w:rPr>
          <w:rFonts w:cs="Times New Roman"/>
        </w:rPr>
        <w:t>Sur ce plan, l’appel d’offres et les règles d’adjudication de manière générale ne jouent pas le même rôle que la résolution ou le règlement dans la formation du contrat municipal. La résolution et le règlement sont les moyens par lesquels une municipalité manifeste sa volonté d’être liée contractuellement tandis que les règles d’adjudication consacrent les formalités que doit respecter le contrat pour être valide (Baudouin et Jobin, nº</w:t>
      </w:r>
      <w:r>
        <w:rPr>
          <w:rFonts w:cs="Times New Roman"/>
        </w:rPr>
        <w:t xml:space="preserve"> </w:t>
      </w:r>
      <w:r w:rsidRPr="00AF53EC">
        <w:rPr>
          <w:rFonts w:cs="Times New Roman"/>
        </w:rPr>
        <w:t>372; Giroux et Lemieux, par. 5-800</w:t>
      </w:r>
      <w:r>
        <w:rPr>
          <w:rFonts w:cs="Times New Roman"/>
        </w:rPr>
        <w:t xml:space="preserve">; Hétu et Duplessis, </w:t>
      </w:r>
      <w:r>
        <w:rPr>
          <w:rFonts w:cs="Times New Roman"/>
        </w:rPr>
        <w:lastRenderedPageBreak/>
        <w:t>par. 9.73</w:t>
      </w:r>
      <w:r w:rsidRPr="00AF53EC">
        <w:rPr>
          <w:rFonts w:cs="Times New Roman"/>
        </w:rPr>
        <w:t>). En effet, les règles d’adjudication ne dispensent pas une municipalité d’adopter un règlement ou une résolution pour manifester sa volonté de contracter, et, en l’absence d’une telle expression de volonté, aucun contrat ne franchit le seuil de l’existence juridique. En revanche, le contrat conclu par résolution ou règlement, quoiqu’en violation des règles d’adjudication, franchit bel et bien ce seuil. Il s’ensuit que le défaut de respecter la procédure d’adjudication entache la validité de l’acte, de sorte que celui-ci doit être anéanti. Cette interprétation est du reste conforme à la jurisprudence et à la doctrine en la matière : les tribunaux sanctionnent le non-respect des règles d’adjudication par la nullité du contrat, et non par le constat que le contrat n’a jamais existé (</w:t>
      </w:r>
      <w:r w:rsidRPr="00AF53EC">
        <w:rPr>
          <w:rFonts w:cs="Times New Roman"/>
          <w:i/>
        </w:rPr>
        <w:t>Autobus Dufresne inc.</w:t>
      </w:r>
      <w:r w:rsidRPr="00AF53EC">
        <w:rPr>
          <w:rFonts w:cs="Times New Roman"/>
        </w:rPr>
        <w:t xml:space="preserve">, par. 41; </w:t>
      </w:r>
      <w:r w:rsidRPr="00AF53EC">
        <w:rPr>
          <w:rFonts w:cs="Times New Roman"/>
          <w:i/>
        </w:rPr>
        <w:t>Construction Irebec inc.</w:t>
      </w:r>
      <w:r w:rsidRPr="00AF53EC">
        <w:rPr>
          <w:rFonts w:cs="Times New Roman"/>
        </w:rPr>
        <w:t>, par.</w:t>
      </w:r>
      <w:r>
        <w:rPr>
          <w:rFonts w:cs="Times New Roman"/>
        </w:rPr>
        <w:t> </w:t>
      </w:r>
      <w:r w:rsidRPr="00AF53EC">
        <w:rPr>
          <w:rFonts w:cs="Times New Roman"/>
        </w:rPr>
        <w:t xml:space="preserve">104; </w:t>
      </w:r>
      <w:r w:rsidRPr="00AF53EC">
        <w:rPr>
          <w:rFonts w:cs="Times New Roman"/>
          <w:i/>
        </w:rPr>
        <w:t>Centre de téléphone mobile (Québec) inc.</w:t>
      </w:r>
      <w:r w:rsidRPr="00AF53EC">
        <w:rPr>
          <w:rFonts w:cs="Times New Roman"/>
        </w:rPr>
        <w:t>, par. 32; Garant, p. 476; Hétu et Duplessis, par. 9.73</w:t>
      </w:r>
      <w:r>
        <w:rPr>
          <w:rFonts w:cs="Times New Roman"/>
        </w:rPr>
        <w:t>;</w:t>
      </w:r>
      <w:r w:rsidRPr="00AF53EC">
        <w:rPr>
          <w:rFonts w:cs="Times New Roman"/>
        </w:rPr>
        <w:t xml:space="preserve"> Giroux et Lemieux, par. 5-800</w:t>
      </w:r>
      <w:r>
        <w:rPr>
          <w:rFonts w:cs="Times New Roman"/>
        </w:rPr>
        <w:t>;</w:t>
      </w:r>
      <w:r w:rsidRPr="00AF53EC">
        <w:rPr>
          <w:rFonts w:cs="Times New Roman"/>
        </w:rPr>
        <w:t xml:space="preserve"> Baudouin et Jobin, nº</w:t>
      </w:r>
      <w:r>
        <w:rPr>
          <w:rFonts w:cs="Times New Roman"/>
        </w:rPr>
        <w:t xml:space="preserve"> </w:t>
      </w:r>
      <w:r w:rsidRPr="00AF53EC">
        <w:rPr>
          <w:rFonts w:cs="Times New Roman"/>
        </w:rPr>
        <w:t>372; Gaudet, p. 361).</w:t>
      </w:r>
    </w:p>
    <w:p w:rsidR="007A5985" w:rsidRPr="00AF53EC" w:rsidRDefault="007A5985" w:rsidP="007A5985">
      <w:pPr>
        <w:pStyle w:val="ParaNoNdepar-AltN"/>
        <w:rPr>
          <w:rFonts w:cs="Times New Roman"/>
        </w:rPr>
      </w:pPr>
      <w:r w:rsidRPr="00AF53EC">
        <w:rPr>
          <w:rFonts w:cs="Times New Roman"/>
        </w:rPr>
        <w:t xml:space="preserve">Si la restitution ne peut prendre sa source en l’espèce dans la théorie des nullités étant donné l’inexistence d’un contrat susceptible d’être annulé, cela ne règle pas pour autant la question. Le régime de la réception de l’indu peut fonder l’obligation de remise en état. Examinons maintenant si les conditions qu’énonce l’art. 1491 </w:t>
      </w:r>
      <w:r w:rsidRPr="00AF53EC">
        <w:rPr>
          <w:rFonts w:cs="Times New Roman"/>
          <w:i/>
        </w:rPr>
        <w:t>C.c.Q.</w:t>
      </w:r>
      <w:r w:rsidRPr="00AF53EC">
        <w:rPr>
          <w:rFonts w:cs="Times New Roman"/>
        </w:rPr>
        <w:t xml:space="preserve"> à ce sujet sont respectées.</w:t>
      </w:r>
    </w:p>
    <w:p w:rsidR="007A5985" w:rsidRPr="00AF53EC" w:rsidRDefault="007A5985" w:rsidP="007A5985">
      <w:pPr>
        <w:pStyle w:val="Title3LevelTitre3Niveau"/>
        <w:numPr>
          <w:ilvl w:val="2"/>
          <w:numId w:val="8"/>
        </w:numPr>
        <w:rPr>
          <w:rFonts w:cs="Times New Roman"/>
        </w:rPr>
      </w:pPr>
      <w:r w:rsidRPr="00AF53EC">
        <w:rPr>
          <w:rFonts w:cs="Times New Roman"/>
        </w:rPr>
        <w:t>La réception de l’indu</w:t>
      </w:r>
    </w:p>
    <w:p w:rsidR="007A5985" w:rsidRPr="00AF53EC" w:rsidRDefault="007A5985" w:rsidP="007A5985">
      <w:pPr>
        <w:pStyle w:val="ParaNoNdepar-AltN"/>
        <w:rPr>
          <w:rFonts w:cs="Times New Roman"/>
        </w:rPr>
      </w:pPr>
      <w:r w:rsidRPr="00AF53EC">
        <w:rPr>
          <w:rFonts w:cs="Times New Roman"/>
        </w:rPr>
        <w:t xml:space="preserve">Bien que la Cour d’appel confirme le jugement de première instance qui ordonne la restitution des prestations sur le fondement d’un acte juridique déclaré nul, les juges majoritaires ajoutent que la réception de l’indu aurait également pu fonder l’obligation de remise en état entre les parties. Ils soulignent que, s’ils avaient conclu qu’aucune entente n’était intervenue entre les parties, ils auraient accepté qu’Octane </w:t>
      </w:r>
      <w:r w:rsidRPr="00AF53EC">
        <w:rPr>
          <w:rFonts w:cs="Times New Roman"/>
        </w:rPr>
        <w:lastRenderedPageBreak/>
        <w:t>croyait erronément, mais de bonne foi, qu’elle avait été mandatée par la Ville pour organiser le lancement du 17 mai 2007. Octane ayant fourni un service sans obligation et par erreur, ce paiement a</w:t>
      </w:r>
      <w:r>
        <w:rPr>
          <w:rFonts w:cs="Times New Roman"/>
        </w:rPr>
        <w:t>urait été sujet à répétition (</w:t>
      </w:r>
      <w:r w:rsidRPr="00AF53EC">
        <w:rPr>
          <w:rFonts w:cs="Times New Roman"/>
        </w:rPr>
        <w:t>C</w:t>
      </w:r>
      <w:r>
        <w:rPr>
          <w:rFonts w:cs="Times New Roman"/>
        </w:rPr>
        <w:t>.</w:t>
      </w:r>
      <w:r w:rsidRPr="00AF53EC">
        <w:rPr>
          <w:rFonts w:cs="Times New Roman"/>
        </w:rPr>
        <w:t>A</w:t>
      </w:r>
      <w:r>
        <w:rPr>
          <w:rFonts w:cs="Times New Roman"/>
        </w:rPr>
        <w:t>.</w:t>
      </w:r>
      <w:r w:rsidRPr="00AF53EC">
        <w:rPr>
          <w:rFonts w:cs="Times New Roman"/>
        </w:rPr>
        <w:t>, par. 49-55</w:t>
      </w:r>
      <w:r>
        <w:rPr>
          <w:rFonts w:cs="Times New Roman"/>
        </w:rPr>
        <w:t>)</w:t>
      </w:r>
      <w:r w:rsidRPr="00AF53EC">
        <w:rPr>
          <w:rFonts w:cs="Times New Roman"/>
        </w:rPr>
        <w:t>.</w:t>
      </w:r>
    </w:p>
    <w:p w:rsidR="007A5985" w:rsidRPr="00AF53EC" w:rsidRDefault="007A5985" w:rsidP="007A5985">
      <w:pPr>
        <w:pStyle w:val="ParaNoNdepar-AltN"/>
        <w:rPr>
          <w:rFonts w:cs="Times New Roman"/>
        </w:rPr>
      </w:pPr>
      <w:r w:rsidRPr="00AF53EC">
        <w:rPr>
          <w:rFonts w:cs="Times New Roman"/>
        </w:rPr>
        <w:t>Nous sommes d’accord. Octane a fourni des services pour la production de l’événement de lancement de la Ville alors qu’en droit, aucune entente n’est intervenue en raison de l’absence d’une manifestation de la volonté de la Ville de se lier contractuellement par résolution ou règlement. L’obligation que croyait exécuter Octane était de ce fait inexistante. Dans la mesure où l’intention libérale ne se présume pas, il appartenait à la Ville de démontrer qu’Octane a rendu ce service en sachant qu’elle n’y était pas tenue. Les arguments que la Ville avance sur ce point ne permettent pas de conclure à une intention purement libérale d’Octane. Dans ces circonstances, Octane a droit à la répétition des services fournis.</w:t>
      </w:r>
    </w:p>
    <w:p w:rsidR="007A5985" w:rsidRPr="00AF53EC" w:rsidRDefault="007A5985" w:rsidP="00BB0D9D">
      <w:pPr>
        <w:pStyle w:val="Title4LevelTitre4Niveau"/>
        <w:numPr>
          <w:ilvl w:val="1"/>
          <w:numId w:val="1"/>
        </w:numPr>
        <w:ind w:left="1260" w:hanging="720"/>
        <w:rPr>
          <w:rFonts w:cs="Times New Roman"/>
          <w:lang w:val="fr-CA"/>
        </w:rPr>
      </w:pPr>
      <w:r w:rsidRPr="00AF53EC">
        <w:rPr>
          <w:rFonts w:cs="Times New Roman"/>
          <w:lang w:val="fr-CA"/>
        </w:rPr>
        <w:t>Les conditions d’ouverture du recours en répétition de l’indu</w:t>
      </w:r>
    </w:p>
    <w:p w:rsidR="007A5985" w:rsidRPr="00AF53EC" w:rsidRDefault="007A5985" w:rsidP="007A5985">
      <w:pPr>
        <w:pStyle w:val="ParaNoNdepar-AltN"/>
        <w:rPr>
          <w:rFonts w:cs="Times New Roman"/>
        </w:rPr>
      </w:pPr>
      <w:r w:rsidRPr="00AF53EC">
        <w:rPr>
          <w:rFonts w:cs="Times New Roman"/>
        </w:rPr>
        <w:t xml:space="preserve">Trois conditions sont requises pour donner ouverture à la répétition de l’indu sous le régime de l’art. 1491 </w:t>
      </w:r>
      <w:r w:rsidRPr="00AF53EC">
        <w:rPr>
          <w:rFonts w:cs="Times New Roman"/>
          <w:i/>
        </w:rPr>
        <w:t>C.c.Q.</w:t>
      </w:r>
      <w:r w:rsidRPr="00AF53EC">
        <w:rPr>
          <w:rFonts w:cs="Times New Roman"/>
        </w:rPr>
        <w:t xml:space="preserve"> : </w:t>
      </w:r>
      <w:r w:rsidR="00BC3FBB">
        <w:rPr>
          <w:rFonts w:cs="Times New Roman"/>
        </w:rPr>
        <w:t>(</w:t>
      </w:r>
      <w:r w:rsidRPr="00AF53EC">
        <w:rPr>
          <w:rFonts w:cs="Times New Roman"/>
        </w:rPr>
        <w:t xml:space="preserve">1) il doit y avoir un paiement, </w:t>
      </w:r>
      <w:r w:rsidR="00BC3FBB">
        <w:rPr>
          <w:rFonts w:cs="Times New Roman"/>
        </w:rPr>
        <w:t>(</w:t>
      </w:r>
      <w:r w:rsidRPr="00AF53EC">
        <w:rPr>
          <w:rFonts w:cs="Times New Roman"/>
        </w:rPr>
        <w:t xml:space="preserve">2) ce paiement doit avoir été effectué en l’absence de dette entre les parties, et </w:t>
      </w:r>
      <w:r w:rsidR="00BC3FBB">
        <w:rPr>
          <w:rFonts w:cs="Times New Roman"/>
        </w:rPr>
        <w:t>(</w:t>
      </w:r>
      <w:r w:rsidRPr="00AF53EC">
        <w:rPr>
          <w:rFonts w:cs="Times New Roman"/>
        </w:rPr>
        <w:t>3) il doit avoir été fait par erreur ou pour éviter un préjudice (</w:t>
      </w:r>
      <w:r>
        <w:rPr>
          <w:rFonts w:cs="Times New Roman"/>
          <w:i/>
        </w:rPr>
        <w:t xml:space="preserve">Threlfall c. Carleton </w:t>
      </w:r>
      <w:r w:rsidRPr="00CA4B44">
        <w:rPr>
          <w:rFonts w:cs="Times New Roman"/>
          <w:i/>
        </w:rPr>
        <w:t>University</w:t>
      </w:r>
      <w:r>
        <w:rPr>
          <w:rFonts w:cs="Times New Roman"/>
        </w:rPr>
        <w:t>, 2019 CSC 50</w:t>
      </w:r>
      <w:r w:rsidR="00183A10">
        <w:rPr>
          <w:rFonts w:cs="Times New Roman"/>
        </w:rPr>
        <w:t>, [2019] 3 R.C.S. xxx</w:t>
      </w:r>
      <w:r>
        <w:rPr>
          <w:rFonts w:cs="Times New Roman"/>
        </w:rPr>
        <w:t xml:space="preserve">, par. 78; </w:t>
      </w:r>
      <w:r w:rsidRPr="00F525E8">
        <w:rPr>
          <w:rFonts w:cs="Times New Roman"/>
          <w:i/>
        </w:rPr>
        <w:t>Willmor</w:t>
      </w:r>
      <w:r>
        <w:rPr>
          <w:rFonts w:cs="Times New Roman"/>
          <w:i/>
        </w:rPr>
        <w:t xml:space="preserve"> Discount Corp. c. </w:t>
      </w:r>
      <w:r w:rsidRPr="00AF53EC">
        <w:rPr>
          <w:rFonts w:cs="Times New Roman"/>
          <w:i/>
        </w:rPr>
        <w:t>Vaudreuil (Ville)</w:t>
      </w:r>
      <w:r w:rsidRPr="00AF53EC">
        <w:rPr>
          <w:rFonts w:cs="Times New Roman"/>
        </w:rPr>
        <w:t xml:space="preserve">, [1994] 2 R.C.S. 210, </w:t>
      </w:r>
      <w:r>
        <w:rPr>
          <w:rFonts w:cs="Times New Roman"/>
        </w:rPr>
        <w:t>p. </w:t>
      </w:r>
      <w:r w:rsidRPr="00AF53EC">
        <w:rPr>
          <w:rFonts w:cs="Times New Roman"/>
        </w:rPr>
        <w:t xml:space="preserve">218-219; </w:t>
      </w:r>
      <w:r w:rsidRPr="00AF53EC">
        <w:rPr>
          <w:rFonts w:cs="Times New Roman"/>
          <w:i/>
        </w:rPr>
        <w:t>9112-4511 Québec inc. c. Agence de développement de réseaux locaux de services de santé et de services sociaux de Laval</w:t>
      </w:r>
      <w:r w:rsidRPr="00AF53EC">
        <w:rPr>
          <w:rFonts w:cs="Times New Roman"/>
        </w:rPr>
        <w:t>, 2008 QCCA 848, par. 3</w:t>
      </w:r>
      <w:r>
        <w:rPr>
          <w:rFonts w:cs="Times New Roman"/>
        </w:rPr>
        <w:t xml:space="preserve"> </w:t>
      </w:r>
      <w:r w:rsidRPr="00AF53EC">
        <w:rPr>
          <w:rFonts w:cs="Times New Roman"/>
        </w:rPr>
        <w:t>(CanLII); Baudouin et Jobin, n</w:t>
      </w:r>
      <w:r w:rsidRPr="00A964D5">
        <w:rPr>
          <w:rFonts w:cs="Times New Roman"/>
          <w:vertAlign w:val="superscript"/>
        </w:rPr>
        <w:t>os</w:t>
      </w:r>
      <w:r>
        <w:rPr>
          <w:rFonts w:cs="Times New Roman"/>
        </w:rPr>
        <w:t xml:space="preserve"> </w:t>
      </w:r>
      <w:r w:rsidRPr="00AF53EC">
        <w:rPr>
          <w:rFonts w:cs="Times New Roman"/>
        </w:rPr>
        <w:t>530-531; Lluelles et Moore, nº</w:t>
      </w:r>
      <w:r>
        <w:rPr>
          <w:rFonts w:cs="Times New Roman"/>
        </w:rPr>
        <w:t xml:space="preserve"> </w:t>
      </w:r>
      <w:r w:rsidRPr="00AF53EC">
        <w:rPr>
          <w:rFonts w:cs="Times New Roman"/>
        </w:rPr>
        <w:t>1367; Pineau, Burman et Gaudet, nº</w:t>
      </w:r>
      <w:r>
        <w:rPr>
          <w:rFonts w:cs="Times New Roman"/>
        </w:rPr>
        <w:t xml:space="preserve"> </w:t>
      </w:r>
      <w:r w:rsidRPr="00AF53EC">
        <w:rPr>
          <w:rFonts w:cs="Times New Roman"/>
        </w:rPr>
        <w:t>264). Lorsque ces conditions sont remplies,</w:t>
      </w:r>
      <w:r>
        <w:rPr>
          <w:rFonts w:cs="Times New Roman"/>
        </w:rPr>
        <w:t xml:space="preserve"> et sous réserve de l’exception prévue à l’art. 149l al. 2</w:t>
      </w:r>
      <w:r w:rsidR="00BC3FBB">
        <w:rPr>
          <w:rFonts w:cs="Times New Roman"/>
        </w:rPr>
        <w:t xml:space="preserve"> </w:t>
      </w:r>
      <w:r w:rsidR="00BC3FBB" w:rsidRPr="00BC3FBB">
        <w:rPr>
          <w:rFonts w:cs="Times New Roman"/>
          <w:i/>
        </w:rPr>
        <w:t>C.c.Q.</w:t>
      </w:r>
      <w:r>
        <w:rPr>
          <w:rFonts w:cs="Times New Roman"/>
        </w:rPr>
        <w:t>,</w:t>
      </w:r>
      <w:r w:rsidRPr="00AF53EC">
        <w:rPr>
          <w:rFonts w:cs="Times New Roman"/>
        </w:rPr>
        <w:t xml:space="preserve"> la restitution de ce qui a </w:t>
      </w:r>
      <w:r w:rsidRPr="00AF53EC">
        <w:rPr>
          <w:rFonts w:cs="Times New Roman"/>
        </w:rPr>
        <w:lastRenderedPageBreak/>
        <w:t xml:space="preserve">été payé indûment se fait suivant les règles de la restitution des prestations prévues aux art. 1699 à 1707 </w:t>
      </w:r>
      <w:r w:rsidRPr="00AF53EC">
        <w:rPr>
          <w:rFonts w:cs="Times New Roman"/>
          <w:i/>
        </w:rPr>
        <w:t>C.c.Q.</w:t>
      </w:r>
      <w:r w:rsidRPr="00AF53EC">
        <w:rPr>
          <w:rFonts w:cs="Times New Roman"/>
        </w:rPr>
        <w:t xml:space="preserve"> (art. 1492 </w:t>
      </w:r>
      <w:r w:rsidRPr="00AF53EC">
        <w:rPr>
          <w:rFonts w:cs="Times New Roman"/>
          <w:i/>
        </w:rPr>
        <w:t>C.c.Q.</w:t>
      </w:r>
      <w:r w:rsidRPr="00AF53EC">
        <w:rPr>
          <w:rFonts w:cs="Times New Roman"/>
        </w:rPr>
        <w:t xml:space="preserve">; </w:t>
      </w:r>
      <w:r w:rsidRPr="00AF53EC">
        <w:rPr>
          <w:rFonts w:cs="Times New Roman"/>
          <w:i/>
        </w:rPr>
        <w:t>Amex</w:t>
      </w:r>
      <w:r w:rsidRPr="00AF53EC">
        <w:rPr>
          <w:rFonts w:cs="Times New Roman"/>
        </w:rPr>
        <w:t>, par. 29; Baudouin et Jobin, nº</w:t>
      </w:r>
      <w:r>
        <w:rPr>
          <w:rFonts w:cs="Times New Roman"/>
        </w:rPr>
        <w:t xml:space="preserve"> </w:t>
      </w:r>
      <w:r w:rsidRPr="00AF53EC">
        <w:rPr>
          <w:rFonts w:cs="Times New Roman"/>
        </w:rPr>
        <w:t>529).</w:t>
      </w:r>
    </w:p>
    <w:p w:rsidR="007A5985" w:rsidRPr="00AF53EC" w:rsidRDefault="007A5985" w:rsidP="007A5985">
      <w:pPr>
        <w:pStyle w:val="ParaNoNdepar-AltN"/>
        <w:rPr>
          <w:rFonts w:cs="Times New Roman"/>
        </w:rPr>
      </w:pPr>
      <w:r w:rsidRPr="00AF53EC">
        <w:rPr>
          <w:rFonts w:cs="Times New Roman"/>
        </w:rPr>
        <w:t xml:space="preserve">Le régime de la réception de l’indu se fonde sur le principe général exprimé à l’art. 1554 </w:t>
      </w:r>
      <w:r w:rsidRPr="00AF53EC">
        <w:rPr>
          <w:rFonts w:cs="Times New Roman"/>
          <w:i/>
        </w:rPr>
        <w:t>C.c.Q.</w:t>
      </w:r>
      <w:r w:rsidRPr="00AF53EC">
        <w:rPr>
          <w:rFonts w:cs="Times New Roman"/>
        </w:rPr>
        <w:t xml:space="preserve"> selon lequel tout paiement suppose une obligation. L’absence de dette est essentielle au recours en ré</w:t>
      </w:r>
      <w:r>
        <w:rPr>
          <w:rFonts w:cs="Times New Roman"/>
        </w:rPr>
        <w:t>pétition</w:t>
      </w:r>
      <w:r w:rsidRPr="00AF53EC">
        <w:rPr>
          <w:rFonts w:cs="Times New Roman"/>
        </w:rPr>
        <w:t xml:space="preserve"> de l’indu; elle distingue le paiement qui est dû de celui qui ne l’est pas. Lorsque le paiement est dû, il ne peut y avoir d’obligation de restitution puisque le paiement est destiné à décharger le payeur d’une obligation existante; dans ce cas, le </w:t>
      </w:r>
      <w:r>
        <w:rPr>
          <w:rFonts w:cs="Times New Roman"/>
        </w:rPr>
        <w:t xml:space="preserve">payé </w:t>
      </w:r>
      <w:r w:rsidRPr="00AF53EC">
        <w:rPr>
          <w:rFonts w:cs="Times New Roman"/>
        </w:rPr>
        <w:t>est en droit de conserver le paiement reçu. (art. 1554</w:t>
      </w:r>
      <w:r>
        <w:rPr>
          <w:rFonts w:cs="Times New Roman"/>
        </w:rPr>
        <w:t xml:space="preserve"> et</w:t>
      </w:r>
      <w:r w:rsidRPr="00AF53EC">
        <w:rPr>
          <w:rFonts w:cs="Times New Roman"/>
        </w:rPr>
        <w:t xml:space="preserve"> 1671 </w:t>
      </w:r>
      <w:r w:rsidRPr="00AF53EC">
        <w:rPr>
          <w:rFonts w:cs="Times New Roman"/>
          <w:i/>
        </w:rPr>
        <w:t>C.c.Q.</w:t>
      </w:r>
      <w:r w:rsidRPr="00AF53EC">
        <w:rPr>
          <w:rFonts w:cs="Times New Roman"/>
        </w:rPr>
        <w:t>; Pineau, Burman et Gaudet, nº</w:t>
      </w:r>
      <w:r>
        <w:rPr>
          <w:rFonts w:cs="Times New Roman"/>
        </w:rPr>
        <w:t xml:space="preserve"> </w:t>
      </w:r>
      <w:r w:rsidRPr="00AF53EC">
        <w:rPr>
          <w:rFonts w:cs="Times New Roman"/>
        </w:rPr>
        <w:t>263; Baudouin et Jobin, nº</w:t>
      </w:r>
      <w:r>
        <w:rPr>
          <w:rFonts w:cs="Times New Roman"/>
        </w:rPr>
        <w:t xml:space="preserve"> </w:t>
      </w:r>
      <w:r w:rsidRPr="00AF53EC">
        <w:rPr>
          <w:rFonts w:cs="Times New Roman"/>
        </w:rPr>
        <w:t>530). Or, lorsqu’une personne reçoit un paiement auquel elle n’a pas droit, elle est tenue de le rendre; autrement, elle s’enrichirait sans que son gain ne so</w:t>
      </w:r>
      <w:r>
        <w:rPr>
          <w:rFonts w:cs="Times New Roman"/>
        </w:rPr>
        <w:t xml:space="preserve">it justifié en droit (art. 1491 et </w:t>
      </w:r>
      <w:r w:rsidRPr="00AF53EC">
        <w:rPr>
          <w:rFonts w:cs="Times New Roman"/>
        </w:rPr>
        <w:t xml:space="preserve">1492 </w:t>
      </w:r>
      <w:r w:rsidRPr="00AF53EC">
        <w:rPr>
          <w:rFonts w:cs="Times New Roman"/>
          <w:i/>
        </w:rPr>
        <w:t>C.c.Q.</w:t>
      </w:r>
      <w:r w:rsidRPr="00AF53EC">
        <w:rPr>
          <w:rFonts w:cs="Times New Roman"/>
        </w:rPr>
        <w:t>; Baudouin et Jobin, nº</w:t>
      </w:r>
      <w:r>
        <w:rPr>
          <w:rFonts w:cs="Times New Roman"/>
        </w:rPr>
        <w:t> </w:t>
      </w:r>
      <w:r w:rsidRPr="00AF53EC">
        <w:rPr>
          <w:rFonts w:cs="Times New Roman"/>
        </w:rPr>
        <w:t>529; Lluelles et Moore, n</w:t>
      </w:r>
      <w:r w:rsidRPr="00F525E8">
        <w:rPr>
          <w:rFonts w:cs="Times New Roman"/>
          <w:vertAlign w:val="superscript"/>
        </w:rPr>
        <w:t>os</w:t>
      </w:r>
      <w:r>
        <w:rPr>
          <w:rFonts w:cs="Times New Roman"/>
        </w:rPr>
        <w:t> </w:t>
      </w:r>
      <w:r w:rsidRPr="00AF53EC">
        <w:rPr>
          <w:rFonts w:cs="Times New Roman"/>
        </w:rPr>
        <w:t>1362-1364; Pineau, Burman et Gaudet, nº</w:t>
      </w:r>
      <w:r>
        <w:rPr>
          <w:rFonts w:cs="Times New Roman"/>
        </w:rPr>
        <w:t xml:space="preserve"> </w:t>
      </w:r>
      <w:r w:rsidRPr="00AF53EC">
        <w:rPr>
          <w:rFonts w:cs="Times New Roman"/>
        </w:rPr>
        <w:t xml:space="preserve">263; </w:t>
      </w:r>
      <w:r w:rsidRPr="00AF53EC">
        <w:rPr>
          <w:rFonts w:cs="Times New Roman"/>
          <w:i/>
        </w:rPr>
        <w:t>Amex</w:t>
      </w:r>
      <w:r w:rsidRPr="00AF53EC">
        <w:rPr>
          <w:rFonts w:cs="Times New Roman"/>
        </w:rPr>
        <w:t>, par. 29). C’est véritablement la réception d’une chose qui n’est pas due qui fonde l’obligation de remise en état (Pineau, Burman et Gaudet, nº</w:t>
      </w:r>
      <w:r>
        <w:rPr>
          <w:rFonts w:cs="Times New Roman"/>
        </w:rPr>
        <w:t xml:space="preserve"> </w:t>
      </w:r>
      <w:r w:rsidRPr="00AF53EC">
        <w:rPr>
          <w:rFonts w:cs="Times New Roman"/>
        </w:rPr>
        <w:t>263</w:t>
      </w:r>
      <w:r>
        <w:rPr>
          <w:rFonts w:cs="Times New Roman"/>
        </w:rPr>
        <w:t>;</w:t>
      </w:r>
      <w:r w:rsidRPr="00AF53EC">
        <w:rPr>
          <w:rFonts w:cs="Times New Roman"/>
        </w:rPr>
        <w:t xml:space="preserve"> voir également Lluelles et Moore, n</w:t>
      </w:r>
      <w:r w:rsidRPr="00A964D5">
        <w:rPr>
          <w:rFonts w:cs="Times New Roman"/>
          <w:vertAlign w:val="superscript"/>
        </w:rPr>
        <w:t>os</w:t>
      </w:r>
      <w:r>
        <w:rPr>
          <w:rFonts w:cs="Times New Roman"/>
        </w:rPr>
        <w:t xml:space="preserve"> </w:t>
      </w:r>
      <w:r w:rsidRPr="00AF53EC">
        <w:rPr>
          <w:rFonts w:cs="Times New Roman"/>
        </w:rPr>
        <w:t>1362-1363</w:t>
      </w:r>
      <w:r>
        <w:rPr>
          <w:rFonts w:cs="Times New Roman"/>
        </w:rPr>
        <w:t>; Fréchette, p. 103</w:t>
      </w:r>
      <w:r w:rsidRPr="00AF53EC">
        <w:rPr>
          <w:rFonts w:cs="Times New Roman"/>
        </w:rPr>
        <w:t>).</w:t>
      </w:r>
    </w:p>
    <w:p w:rsidR="007A5985" w:rsidRPr="00AF53EC" w:rsidRDefault="007A5985" w:rsidP="007A5985">
      <w:pPr>
        <w:pStyle w:val="ParaNoNdepar-AltN"/>
        <w:rPr>
          <w:rFonts w:cs="Times New Roman"/>
        </w:rPr>
      </w:pPr>
      <w:r w:rsidRPr="00AF53EC">
        <w:rPr>
          <w:rFonts w:cs="Times New Roman"/>
        </w:rPr>
        <w:t xml:space="preserve">Cela dit, la seule absence de dette ne suffira pas à rendre le paiement sujet à répétition. L’obligation de restitution ne prendra naissance que si le paiement a été effectué par erreur ou sous protêt. Dans bien des cas, la preuve de l’erreur suivra naturellement celle de l’absence de dette. En principe, on ne paye pas sans y être obligé : lorsqu’une personne fournit un bien ou un service, c’est généralement parce qu’elle croit se décharger d’une obligation qui lui incombe réellement (art. 1554 </w:t>
      </w:r>
      <w:r w:rsidRPr="00AF53EC">
        <w:rPr>
          <w:rFonts w:cs="Times New Roman"/>
          <w:i/>
        </w:rPr>
        <w:t>C.c.Q.</w:t>
      </w:r>
      <w:r w:rsidRPr="00AF53EC">
        <w:rPr>
          <w:rFonts w:cs="Times New Roman"/>
        </w:rPr>
        <w:t xml:space="preserve">). Si l’erreur explique généralement le paiement fait en l’absence de dette, on ne peut cependant écarter l’hypothèse d’un payeur qui a procédé en toute connaissance de </w:t>
      </w:r>
      <w:r w:rsidRPr="00AF53EC">
        <w:rPr>
          <w:rFonts w:cs="Times New Roman"/>
        </w:rPr>
        <w:lastRenderedPageBreak/>
        <w:t>cause. Ainsi, en faisant de l’erreur une condition essentielle au recours en ré</w:t>
      </w:r>
      <w:r>
        <w:rPr>
          <w:rFonts w:cs="Times New Roman"/>
        </w:rPr>
        <w:t>pétition</w:t>
      </w:r>
      <w:r w:rsidRPr="00AF53EC">
        <w:rPr>
          <w:rFonts w:cs="Times New Roman"/>
        </w:rPr>
        <w:t xml:space="preserve"> de l’indu, le législateur s’assure que le bien ou service fourni en toute libéralité ne puisse devenir source d’obligation pour celui qui le reçoit sans avoir eu l’intention d’être lié. Mais, comme l’intention libérale ne se présume pas, c’est sur celui qui l’invoque que repose le fardeau de la prouver (Lluelles et Moore, n</w:t>
      </w:r>
      <w:r w:rsidRPr="00A964D5">
        <w:rPr>
          <w:rFonts w:cs="Times New Roman"/>
          <w:vertAlign w:val="superscript"/>
        </w:rPr>
        <w:t>os</w:t>
      </w:r>
      <w:r>
        <w:rPr>
          <w:rFonts w:cs="Times New Roman"/>
        </w:rPr>
        <w:t xml:space="preserve"> </w:t>
      </w:r>
      <w:r w:rsidRPr="00AF53EC">
        <w:rPr>
          <w:rFonts w:cs="Times New Roman"/>
        </w:rPr>
        <w:t xml:space="preserve">1377-1378; </w:t>
      </w:r>
      <w:r>
        <w:rPr>
          <w:rFonts w:cs="Times New Roman"/>
          <w:i/>
        </w:rPr>
        <w:t xml:space="preserve">C.J. </w:t>
      </w:r>
      <w:r w:rsidRPr="00AF53EC">
        <w:rPr>
          <w:rFonts w:cs="Times New Roman"/>
          <w:i/>
        </w:rPr>
        <w:t>c. Parizeau Popovici</w:t>
      </w:r>
      <w:r w:rsidRPr="00AF53EC">
        <w:rPr>
          <w:rFonts w:cs="Times New Roman"/>
        </w:rPr>
        <w:t xml:space="preserve">, 2011 QCCS 2005; </w:t>
      </w:r>
      <w:r w:rsidRPr="00AF53EC">
        <w:rPr>
          <w:rFonts w:cs="Times New Roman"/>
          <w:i/>
        </w:rPr>
        <w:t xml:space="preserve">Pearl c. </w:t>
      </w:r>
      <w:r>
        <w:rPr>
          <w:rFonts w:cs="Times New Roman"/>
          <w:i/>
        </w:rPr>
        <w:t>I</w:t>
      </w:r>
      <w:r w:rsidRPr="00AF53EC">
        <w:rPr>
          <w:rFonts w:cs="Times New Roman"/>
          <w:i/>
        </w:rPr>
        <w:t>nvestissements Contempra Ltée</w:t>
      </w:r>
      <w:r w:rsidRPr="00AF53EC">
        <w:rPr>
          <w:rFonts w:cs="Times New Roman"/>
        </w:rPr>
        <w:t xml:space="preserve">, [1995] R.J.Q. 2697 (C.S.); </w:t>
      </w:r>
      <w:r w:rsidRPr="00AF53EC">
        <w:rPr>
          <w:rFonts w:cs="Times New Roman"/>
          <w:i/>
        </w:rPr>
        <w:t>Roux c. Cordeau</w:t>
      </w:r>
      <w:r w:rsidRPr="00AF53EC">
        <w:rPr>
          <w:rFonts w:cs="Times New Roman"/>
        </w:rPr>
        <w:t>, [1981] R.P. 29</w:t>
      </w:r>
      <w:r>
        <w:rPr>
          <w:rFonts w:cs="Times New Roman"/>
        </w:rPr>
        <w:t xml:space="preserve"> (C.S. Qc</w:t>
      </w:r>
      <w:r w:rsidRPr="00AF53EC">
        <w:rPr>
          <w:rFonts w:cs="Times New Roman"/>
        </w:rPr>
        <w:t xml:space="preserve">); </w:t>
      </w:r>
      <w:r w:rsidRPr="00AF53EC">
        <w:rPr>
          <w:rFonts w:cs="Times New Roman"/>
          <w:i/>
        </w:rPr>
        <w:t>Garage W. Martin Ltée</w:t>
      </w:r>
      <w:r w:rsidRPr="00AF53EC">
        <w:rPr>
          <w:rFonts w:cs="Times New Roman"/>
        </w:rPr>
        <w:t xml:space="preserve"> </w:t>
      </w:r>
      <w:r w:rsidRPr="00AF53EC">
        <w:rPr>
          <w:rFonts w:cs="Times New Roman"/>
          <w:i/>
        </w:rPr>
        <w:t>c. Labrie</w:t>
      </w:r>
      <w:r w:rsidRPr="00AF53EC">
        <w:rPr>
          <w:rFonts w:cs="Times New Roman"/>
        </w:rPr>
        <w:t xml:space="preserve">, [1957] C.S. 175; </w:t>
      </w:r>
      <w:r>
        <w:rPr>
          <w:rFonts w:cs="Times New Roman"/>
        </w:rPr>
        <w:t>Fréchette, p. 103-104</w:t>
      </w:r>
      <w:r w:rsidRPr="00AF53EC">
        <w:rPr>
          <w:rFonts w:cs="Times New Roman"/>
        </w:rPr>
        <w:t>). C’est l’approche que notre Cour a adopté</w:t>
      </w:r>
      <w:r>
        <w:rPr>
          <w:rFonts w:cs="Times New Roman"/>
        </w:rPr>
        <w:t>e</w:t>
      </w:r>
      <w:r w:rsidRPr="00AF53EC">
        <w:rPr>
          <w:rFonts w:cs="Times New Roman"/>
        </w:rPr>
        <w:t xml:space="preserve"> dans </w:t>
      </w:r>
      <w:r w:rsidRPr="00AF53EC">
        <w:rPr>
          <w:rFonts w:cs="Times New Roman"/>
          <w:i/>
        </w:rPr>
        <w:t>Amex </w:t>
      </w:r>
      <w:r w:rsidRPr="00AF53EC">
        <w:rPr>
          <w:rFonts w:cs="Times New Roman"/>
        </w:rPr>
        <w:t>:</w:t>
      </w:r>
    </w:p>
    <w:p w:rsidR="007A5985" w:rsidRPr="00EC52DD" w:rsidRDefault="007A5985" w:rsidP="007A5985">
      <w:pPr>
        <w:pStyle w:val="Citation-AltC"/>
        <w:ind w:firstLine="274"/>
      </w:pPr>
      <w:r w:rsidRPr="00AF53EC">
        <w:t>Dès lors que le payeur prouve l’inexistence de la dette, le bénéficiaire doit prouver que le paiement n’a pas été fait par erreur, mais résultait</w:t>
      </w:r>
      <w:r w:rsidR="00C9154C">
        <w:t xml:space="preserve"> d’une « intention libérale » [. . .</w:t>
      </w:r>
      <w:r w:rsidR="00B4304B">
        <w:t>]</w:t>
      </w:r>
      <w:r w:rsidRPr="00AF53EC">
        <w:t xml:space="preserve"> L’intention libérale ne se présume pas. Si le bénéficiaire ne peut la prouver, le paiement est réputé indu, et la dette inexistante.</w:t>
      </w:r>
      <w:r>
        <w:t xml:space="preserve"> [par. 31]</w:t>
      </w:r>
    </w:p>
    <w:p w:rsidR="007A5985" w:rsidRPr="00AF53EC" w:rsidRDefault="007A5985" w:rsidP="007A5985">
      <w:pPr>
        <w:pStyle w:val="ParaNoNdepar-AltN"/>
        <w:rPr>
          <w:rFonts w:cs="Times New Roman"/>
        </w:rPr>
      </w:pPr>
      <w:r w:rsidRPr="00AF53EC">
        <w:rPr>
          <w:rFonts w:cs="Times New Roman"/>
        </w:rPr>
        <w:t xml:space="preserve">En l’espèce, le juge de première instance ne s’est pas penché sur la question de la réception de l’indu </w:t>
      </w:r>
      <w:r>
        <w:rPr>
          <w:rFonts w:cs="Times New Roman"/>
        </w:rPr>
        <w:t xml:space="preserve">compte tenu de </w:t>
      </w:r>
      <w:r w:rsidRPr="00AF53EC">
        <w:rPr>
          <w:rFonts w:cs="Times New Roman"/>
        </w:rPr>
        <w:t>sa conclusion selon laquelle un contrat est intervenu entre la Ville et Octane. Bien qu’elle ait confirmé les conclusions de la Cour supérieure en ce qui a trait au fondement de la restitution, la Cour d’appel a toutefois conclu à la majorité que la restitution aurait pu</w:t>
      </w:r>
      <w:r>
        <w:rPr>
          <w:rFonts w:cs="Times New Roman"/>
        </w:rPr>
        <w:t xml:space="preserve"> aussi</w:t>
      </w:r>
      <w:r w:rsidRPr="00AF53EC">
        <w:rPr>
          <w:rFonts w:cs="Times New Roman"/>
        </w:rPr>
        <w:t xml:space="preserve"> être ordonnée sur la base du régime de la réception de l’indu. Cette question a été débattue devant notre Cour. À cet égard, la Ville ne conteste pas que la condition de l’absence de dette est respectée ici; elle plaide en fait qu’aucune entente n’est intervenue entre Octane et elle, et qu’il y a donc absence de lien d’obligation. Cependant, la Ville soutient qu’il en va autrement des deux autres conditions donnant ouverture à la répétition de l’indu. Elle prétend essentiellement qu’Octane n’a effectué aucun paiement à la Ville et que c’est plutôt </w:t>
      </w:r>
      <w:r w:rsidRPr="00AF53EC">
        <w:rPr>
          <w:rFonts w:cs="Times New Roman"/>
        </w:rPr>
        <w:lastRenderedPageBreak/>
        <w:t>PGB qui a fourni le service en cause. Elle plaide aussi que, si la Cour devait conclure qu’Octane a bien fait un paiement à la Ville, la restitution ne pourrait pas être ordonnée parce qu’Octane, dûment au courant des règles auxquelles est soumise la formation des contrats municipaux, savait qu’aucun contrat ne pouvait être intervenu en l’absence d’une résolution ou d’un règlement de la Ville. Nous rejetons chacun de ces arguments.</w:t>
      </w:r>
    </w:p>
    <w:p w:rsidR="007A5985" w:rsidRPr="00AF53EC" w:rsidRDefault="007A5985" w:rsidP="00D9367A">
      <w:pPr>
        <w:pStyle w:val="Title4LevelTitre4Niveau"/>
        <w:numPr>
          <w:ilvl w:val="1"/>
          <w:numId w:val="30"/>
        </w:numPr>
        <w:ind w:left="1170" w:hanging="720"/>
        <w:rPr>
          <w:rFonts w:cs="Times New Roman"/>
          <w:lang w:val="fr-CA"/>
        </w:rPr>
      </w:pPr>
      <w:r w:rsidRPr="00AF53EC">
        <w:rPr>
          <w:rFonts w:cs="Times New Roman"/>
          <w:lang w:val="fr-CA"/>
        </w:rPr>
        <w:t>Le paiement effectué par Octane</w:t>
      </w:r>
    </w:p>
    <w:p w:rsidR="007A5985" w:rsidRPr="00AF53EC" w:rsidRDefault="007A5985" w:rsidP="007A5985">
      <w:pPr>
        <w:pStyle w:val="ParaNoNdepar-AltN"/>
        <w:rPr>
          <w:rFonts w:cs="Times New Roman"/>
        </w:rPr>
      </w:pPr>
      <w:r w:rsidRPr="00AF53EC">
        <w:rPr>
          <w:rFonts w:cs="Times New Roman"/>
        </w:rPr>
        <w:t>La Ville soutient d’abord qu’elle ne peut avoir l’obligation de restituer le montant de 82 898,63</w:t>
      </w:r>
      <w:r>
        <w:rPr>
          <w:rFonts w:cs="Times New Roman"/>
        </w:rPr>
        <w:t xml:space="preserve"> </w:t>
      </w:r>
      <w:r w:rsidRPr="00AF53EC">
        <w:rPr>
          <w:rFonts w:cs="Times New Roman"/>
        </w:rPr>
        <w:t>$ réclamé par Octane, puisqu’elle n’en était pas la bénéficiaire. Elle s’appuie à ce chapitre sur une entente datée du 10 août 2007 et signée par Octane, dans laquelle M. Gilles Blais de PGB reconnaît avoir reçu la somme de 82 898,63</w:t>
      </w:r>
      <w:r>
        <w:rPr>
          <w:rFonts w:cs="Times New Roman"/>
        </w:rPr>
        <w:t> </w:t>
      </w:r>
      <w:r w:rsidRPr="00AF53EC">
        <w:rPr>
          <w:rFonts w:cs="Times New Roman"/>
        </w:rPr>
        <w:t>$ d’Octane pour les services fournis lors du lancement du 17 mai 2007 et s’engage à la lui rembourser sur paiement de la Ville</w:t>
      </w:r>
      <w:r w:rsidRPr="00AF53EC">
        <w:rPr>
          <w:rFonts w:cs="Times New Roman"/>
          <w:szCs w:val="24"/>
        </w:rPr>
        <w:t>. Cette dernière serait un tiers par rapport à cette entente. Selon elle, c’est PGB qui a reçu un paiement.</w:t>
      </w:r>
      <w:r w:rsidRPr="00AF53EC">
        <w:rPr>
          <w:rFonts w:cs="Times New Roman"/>
        </w:rPr>
        <w:t xml:space="preserve"> </w:t>
      </w:r>
    </w:p>
    <w:p w:rsidR="007A5985" w:rsidRPr="00AF53EC" w:rsidRDefault="007A5985" w:rsidP="007A5985">
      <w:pPr>
        <w:pStyle w:val="ParaNoNdepar-AltN"/>
        <w:rPr>
          <w:rFonts w:cs="Times New Roman"/>
        </w:rPr>
      </w:pPr>
      <w:r w:rsidRPr="00AF53EC">
        <w:rPr>
          <w:rFonts w:cs="Times New Roman"/>
        </w:rPr>
        <w:t>Ce raisonnement n’est pas convaincant. L’argument de la Ville s’appuie sur la prémisse erronée que seul le paiement d’une somme d’argent — ici, le versement de 82 898,63</w:t>
      </w:r>
      <w:r>
        <w:rPr>
          <w:rFonts w:cs="Times New Roman"/>
        </w:rPr>
        <w:t xml:space="preserve"> </w:t>
      </w:r>
      <w:r w:rsidRPr="00AF53EC">
        <w:rPr>
          <w:rFonts w:cs="Times New Roman"/>
        </w:rPr>
        <w:t xml:space="preserve">$ qu’Octane a fait à PGB — peut être qualifié de paiement en droit civil québécois. Or, l’art. 1553 </w:t>
      </w:r>
      <w:r w:rsidRPr="00AF53EC">
        <w:rPr>
          <w:rFonts w:cs="Times New Roman"/>
          <w:i/>
          <w:iCs/>
        </w:rPr>
        <w:t>C.c.Q.</w:t>
      </w:r>
      <w:r w:rsidRPr="00AF53EC">
        <w:rPr>
          <w:rFonts w:cs="Times New Roman"/>
        </w:rPr>
        <w:t xml:space="preserve"> prévoit expressément que le paiement s’entend également de l’exécution de ce qui est l’objet de l’obligation (</w:t>
      </w:r>
      <w:r w:rsidRPr="00AF53EC">
        <w:rPr>
          <w:rFonts w:cs="Times New Roman"/>
          <w:i/>
          <w:iCs/>
        </w:rPr>
        <w:t>Willmor Discount Corp.</w:t>
      </w:r>
      <w:r>
        <w:rPr>
          <w:rFonts w:cs="Times New Roman"/>
          <w:iCs/>
        </w:rPr>
        <w:t>,</w:t>
      </w:r>
      <w:r w:rsidRPr="00AF53EC">
        <w:rPr>
          <w:rFonts w:cs="Times New Roman"/>
          <w:i/>
          <w:iCs/>
        </w:rPr>
        <w:t xml:space="preserve"> </w:t>
      </w:r>
      <w:r>
        <w:rPr>
          <w:rFonts w:cs="Times New Roman"/>
          <w:iCs/>
        </w:rPr>
        <w:t>p.</w:t>
      </w:r>
      <w:r w:rsidRPr="00AF53EC">
        <w:rPr>
          <w:rFonts w:cs="Times New Roman"/>
        </w:rPr>
        <w:t xml:space="preserve"> 218; Baudouin et Jobin, n</w:t>
      </w:r>
      <w:r w:rsidRPr="00A964D5">
        <w:rPr>
          <w:rFonts w:cs="Times New Roman"/>
          <w:vertAlign w:val="superscript"/>
        </w:rPr>
        <w:t>os</w:t>
      </w:r>
      <w:r>
        <w:rPr>
          <w:rFonts w:cs="Times New Roman"/>
        </w:rPr>
        <w:t xml:space="preserve"> </w:t>
      </w:r>
      <w:r w:rsidRPr="00AF53EC">
        <w:rPr>
          <w:rFonts w:cs="Times New Roman"/>
        </w:rPr>
        <w:t>529 et 648; Lluelles et Moore, nº</w:t>
      </w:r>
      <w:r>
        <w:rPr>
          <w:rFonts w:cs="Times New Roman"/>
        </w:rPr>
        <w:t xml:space="preserve"> </w:t>
      </w:r>
      <w:r w:rsidRPr="00AF53EC">
        <w:rPr>
          <w:rFonts w:cs="Times New Roman"/>
        </w:rPr>
        <w:t>2627; Pineau, Burman et Gaudet, nº</w:t>
      </w:r>
      <w:r>
        <w:rPr>
          <w:rFonts w:cs="Times New Roman"/>
        </w:rPr>
        <w:t xml:space="preserve"> </w:t>
      </w:r>
      <w:r w:rsidRPr="00AF53EC">
        <w:rPr>
          <w:rFonts w:cs="Times New Roman"/>
        </w:rPr>
        <w:t xml:space="preserve">314). Une prestation de services peut constituer un paiement au sens de l’art. 1553 </w:t>
      </w:r>
      <w:r w:rsidRPr="00AF53EC">
        <w:rPr>
          <w:rFonts w:cs="Times New Roman"/>
          <w:i/>
        </w:rPr>
        <w:t>C.c.Q.</w:t>
      </w:r>
      <w:r w:rsidRPr="00AF53EC">
        <w:rPr>
          <w:rFonts w:cs="Times New Roman"/>
        </w:rPr>
        <w:t xml:space="preserve"> C’est à tort que la Ville écarte les services que lui a fournis Octane par le biais de son sous-traitant PGB, soit la production de l’événement du 17 mai 2007. De ce point de vue, il importe peu qu’Octane n’ait pas fourni personnellement ces </w:t>
      </w:r>
      <w:r w:rsidRPr="00AF53EC">
        <w:rPr>
          <w:rFonts w:cs="Times New Roman"/>
        </w:rPr>
        <w:lastRenderedPageBreak/>
        <w:t>services. Un paiement peut être valablement effectué par le représentant du débiteur de l’obligation, par exemple son mandataire ou son sous-traitant, sauf lorsqu’une telle délégation est incompatible avec la nature du co</w:t>
      </w:r>
      <w:r>
        <w:rPr>
          <w:rFonts w:cs="Times New Roman"/>
        </w:rPr>
        <w:t xml:space="preserve">ntrat ou ses termes (art. 1555 et </w:t>
      </w:r>
      <w:r w:rsidRPr="00AF53EC">
        <w:rPr>
          <w:rFonts w:cs="Times New Roman"/>
        </w:rPr>
        <w:t xml:space="preserve">2101 </w:t>
      </w:r>
      <w:r w:rsidRPr="00AF53EC">
        <w:rPr>
          <w:rFonts w:cs="Times New Roman"/>
          <w:i/>
          <w:iCs/>
        </w:rPr>
        <w:t>C.c.Q.</w:t>
      </w:r>
      <w:r w:rsidRPr="00AF53EC">
        <w:rPr>
          <w:rFonts w:cs="Times New Roman"/>
        </w:rPr>
        <w:t>; Baudouin et Jobin, nº</w:t>
      </w:r>
      <w:r w:rsidR="00DC3FEC" w:rsidRPr="00DC3FEC">
        <w:rPr>
          <w:rFonts w:cs="Times New Roman"/>
          <w:vertAlign w:val="superscript"/>
        </w:rPr>
        <w:t>s</w:t>
      </w:r>
      <w:r>
        <w:rPr>
          <w:rFonts w:cs="Times New Roman"/>
        </w:rPr>
        <w:t xml:space="preserve"> 32 et</w:t>
      </w:r>
      <w:r w:rsidRPr="00AF53EC">
        <w:rPr>
          <w:rFonts w:cs="Times New Roman"/>
        </w:rPr>
        <w:t xml:space="preserve"> 650; Lluelles et Moore, nº</w:t>
      </w:r>
      <w:r>
        <w:rPr>
          <w:rFonts w:cs="Times New Roman"/>
        </w:rPr>
        <w:t xml:space="preserve"> </w:t>
      </w:r>
      <w:r w:rsidRPr="00AF53EC">
        <w:rPr>
          <w:rFonts w:cs="Times New Roman"/>
        </w:rPr>
        <w:t>2646; Pineau, Burman et Gaudet, nº</w:t>
      </w:r>
      <w:r>
        <w:rPr>
          <w:rFonts w:cs="Times New Roman"/>
        </w:rPr>
        <w:t xml:space="preserve"> 316</w:t>
      </w:r>
      <w:r w:rsidRPr="00AF53EC">
        <w:rPr>
          <w:rFonts w:cs="Times New Roman"/>
        </w:rPr>
        <w:t xml:space="preserve">). Personne ne conteste que la Ville a reçu des services pour la production de l’événement du 17 mai 2007, soit un paiement au sens de l’art. 1553 </w:t>
      </w:r>
      <w:r w:rsidRPr="00AF53EC">
        <w:rPr>
          <w:rFonts w:cs="Times New Roman"/>
          <w:i/>
          <w:iCs/>
        </w:rPr>
        <w:t>C.c.Q</w:t>
      </w:r>
      <w:r w:rsidRPr="00AC0209">
        <w:rPr>
          <w:rFonts w:cs="Times New Roman"/>
          <w:i/>
        </w:rPr>
        <w:t>.</w:t>
      </w:r>
      <w:r w:rsidRPr="00AF53EC">
        <w:rPr>
          <w:rFonts w:cs="Times New Roman"/>
        </w:rPr>
        <w:t xml:space="preserve"> Dès lors, la seule question qui se pose est de savoir si ce paiement peut être imputé à Octane. Nous sommes d’avis que c’est le cas.</w:t>
      </w:r>
    </w:p>
    <w:p w:rsidR="007A5985" w:rsidRPr="00AF53EC" w:rsidRDefault="007A5985" w:rsidP="007A5985">
      <w:pPr>
        <w:pStyle w:val="ParaNoNdepar-AltN"/>
        <w:rPr>
          <w:rFonts w:cs="Times New Roman"/>
        </w:rPr>
      </w:pPr>
      <w:r w:rsidRPr="00AF53EC">
        <w:rPr>
          <w:rFonts w:cs="Times New Roman"/>
        </w:rPr>
        <w:t>Selon la preuve au dossier, Octane et PGB signent le 15 mai 2007 une entente de sous-traitance pour la production de l’événement du 17 mai pour un montant forfaitaire de 82 898,63</w:t>
      </w:r>
      <w:r>
        <w:rPr>
          <w:rFonts w:cs="Times New Roman"/>
        </w:rPr>
        <w:t xml:space="preserve"> </w:t>
      </w:r>
      <w:r w:rsidRPr="00AF53EC">
        <w:rPr>
          <w:rFonts w:cs="Times New Roman"/>
        </w:rPr>
        <w:t>$. Bien que la Ville ne participe pas au choix de ce sous-contractant, les évaluations budgétaires soumises par Octane incorporent et détaillent les frais de PGB dans la description de ses services. Il est clair que PGB agit pour le compte d’Octane en ce qui concerne la production de l’événement de la Ville et que cette dernière ne s’y oppose pas. Il s’agit du reste de la conclusion à laquelle le juge de première instance parvient. Celui-ci ordonne en effet la restitution après avoir conclu que « </w:t>
      </w:r>
      <w:r w:rsidRPr="00AF53EC">
        <w:rPr>
          <w:rFonts w:cs="Times New Roman"/>
          <w:szCs w:val="24"/>
        </w:rPr>
        <w:t>[l]a Ville a bénéficié des services rendus par Octane et par son sous-contractant PGB, lequel s’est occupé de la production</w:t>
      </w:r>
      <w:r>
        <w:rPr>
          <w:rFonts w:cs="Times New Roman"/>
          <w:szCs w:val="24"/>
        </w:rPr>
        <w:t xml:space="preserve"> de l’événement comme tel » (</w:t>
      </w:r>
      <w:r w:rsidRPr="00AF53EC">
        <w:rPr>
          <w:rFonts w:cs="Times New Roman"/>
          <w:szCs w:val="24"/>
        </w:rPr>
        <w:t>C</w:t>
      </w:r>
      <w:r>
        <w:rPr>
          <w:rFonts w:cs="Times New Roman"/>
          <w:szCs w:val="24"/>
        </w:rPr>
        <w:t>.</w:t>
      </w:r>
      <w:r w:rsidRPr="00AF53EC">
        <w:rPr>
          <w:rFonts w:cs="Times New Roman"/>
          <w:szCs w:val="24"/>
        </w:rPr>
        <w:t>S</w:t>
      </w:r>
      <w:r>
        <w:rPr>
          <w:rFonts w:cs="Times New Roman"/>
          <w:szCs w:val="24"/>
        </w:rPr>
        <w:t>.</w:t>
      </w:r>
      <w:r w:rsidRPr="00AF53EC">
        <w:rPr>
          <w:rFonts w:cs="Times New Roman"/>
          <w:szCs w:val="24"/>
        </w:rPr>
        <w:t>, par. 159</w:t>
      </w:r>
      <w:r>
        <w:rPr>
          <w:rFonts w:cs="Times New Roman"/>
          <w:szCs w:val="24"/>
        </w:rPr>
        <w:t>;</w:t>
      </w:r>
      <w:r w:rsidRPr="00AF53EC">
        <w:rPr>
          <w:rFonts w:cs="Times New Roman"/>
          <w:szCs w:val="24"/>
        </w:rPr>
        <w:t xml:space="preserve"> voir également C</w:t>
      </w:r>
      <w:r>
        <w:rPr>
          <w:rFonts w:cs="Times New Roman"/>
          <w:szCs w:val="24"/>
        </w:rPr>
        <w:t xml:space="preserve">.A. </w:t>
      </w:r>
      <w:r w:rsidRPr="00AF53EC">
        <w:rPr>
          <w:rFonts w:cs="Times New Roman"/>
          <w:szCs w:val="24"/>
        </w:rPr>
        <w:t>sur ce point, par. 49 et 52</w:t>
      </w:r>
      <w:r>
        <w:rPr>
          <w:rFonts w:cs="Times New Roman"/>
          <w:szCs w:val="24"/>
        </w:rPr>
        <w:t>)</w:t>
      </w:r>
      <w:r w:rsidRPr="00AF53EC">
        <w:rPr>
          <w:rFonts w:cs="Times New Roman"/>
          <w:szCs w:val="24"/>
        </w:rPr>
        <w:t>.</w:t>
      </w:r>
    </w:p>
    <w:p w:rsidR="007A5985" w:rsidRPr="00AF53EC" w:rsidRDefault="007A5985" w:rsidP="007A5985">
      <w:pPr>
        <w:pStyle w:val="ParaNoNdepar-AltN"/>
        <w:rPr>
          <w:rFonts w:cs="Times New Roman"/>
        </w:rPr>
      </w:pPr>
      <w:r w:rsidRPr="00AF53EC">
        <w:rPr>
          <w:rFonts w:cs="Times New Roman"/>
        </w:rPr>
        <w:t>Dans ce contexte, il importe peu que PGB se soit chargé « de l’accomplissement de l’acte matériel » consistant à produire l’événement (Baudouin et Jobin, nº</w:t>
      </w:r>
      <w:r>
        <w:rPr>
          <w:rFonts w:cs="Times New Roman"/>
        </w:rPr>
        <w:t xml:space="preserve"> </w:t>
      </w:r>
      <w:r w:rsidRPr="00AF53EC">
        <w:rPr>
          <w:rFonts w:cs="Times New Roman"/>
        </w:rPr>
        <w:t>650) et qu’Octane, en contrepartie, lui ait versé la somme de 82 898,63</w:t>
      </w:r>
      <w:r>
        <w:rPr>
          <w:rFonts w:cs="Times New Roman"/>
        </w:rPr>
        <w:t> </w:t>
      </w:r>
      <w:r w:rsidRPr="00AF53EC">
        <w:rPr>
          <w:rFonts w:cs="Times New Roman"/>
        </w:rPr>
        <w:t xml:space="preserve">$. La </w:t>
      </w:r>
      <w:r w:rsidRPr="00AF53EC">
        <w:rPr>
          <w:rFonts w:cs="Times New Roman"/>
        </w:rPr>
        <w:lastRenderedPageBreak/>
        <w:t xml:space="preserve">prestation du service à la Ville, soit le paiement au sens juridique, émane d’Octane. </w:t>
      </w:r>
      <w:r w:rsidRPr="00AF53EC">
        <w:rPr>
          <w:rFonts w:cs="Times New Roman"/>
          <w:szCs w:val="24"/>
        </w:rPr>
        <w:t>Cette condition donnant ouverture à la répétition de l’indu est remplie.</w:t>
      </w:r>
    </w:p>
    <w:p w:rsidR="007A5985" w:rsidRPr="00AF53EC" w:rsidRDefault="007A5985" w:rsidP="00D9367A">
      <w:pPr>
        <w:pStyle w:val="Title4LevelTitre4Niveau"/>
        <w:numPr>
          <w:ilvl w:val="1"/>
          <w:numId w:val="31"/>
        </w:numPr>
        <w:ind w:left="1170" w:hanging="630"/>
        <w:rPr>
          <w:rFonts w:cs="Times New Roman"/>
          <w:lang w:val="fr-CA"/>
        </w:rPr>
      </w:pPr>
      <w:r w:rsidRPr="00AF53EC">
        <w:rPr>
          <w:rFonts w:cs="Times New Roman"/>
          <w:lang w:val="fr-CA"/>
        </w:rPr>
        <w:t>L’erreur commise par Octane</w:t>
      </w:r>
    </w:p>
    <w:p w:rsidR="007A5985" w:rsidRPr="00AF53EC" w:rsidRDefault="007A5985" w:rsidP="007A5985">
      <w:pPr>
        <w:pStyle w:val="ParaNoNdepar-AltN"/>
        <w:rPr>
          <w:rFonts w:cs="Times New Roman"/>
        </w:rPr>
      </w:pPr>
      <w:r w:rsidRPr="00AF53EC">
        <w:rPr>
          <w:rFonts w:cs="Times New Roman"/>
        </w:rPr>
        <w:t>La Ville prétend ensuite que, même s’il y a bien eu un paiement, Octane devait savoir qu’aucun contrat n’est intervenu entre elle et la Ville. La prestation de services dont elle revendique la restitution par équivalent n’est pas, à son avis, le résultat d’une erreur. Selon la Ville, ayant négligé de faire les vérifications requises, Octane ne peut invoquer son erreur pour réclamer la restitution des prestations fournies à la Ville.</w:t>
      </w:r>
    </w:p>
    <w:p w:rsidR="007A5985" w:rsidRPr="00AF53EC" w:rsidRDefault="007A5985" w:rsidP="007A5985">
      <w:pPr>
        <w:pStyle w:val="ParaNoNdepar-AltN"/>
        <w:rPr>
          <w:rFonts w:cs="Times New Roman"/>
        </w:rPr>
      </w:pPr>
      <w:r w:rsidRPr="00AF53EC">
        <w:rPr>
          <w:rFonts w:cs="Times New Roman"/>
        </w:rPr>
        <w:t>Nous sommes en désaccord. La question n’est pas d’établir ce qu’aurait dû savoir Octane au moment d’effectuer le paiement, mais bien de déterminer si elle a, dans les faits, commis une erreur. Il est bien établi que la faute ou la négligence du payeur ne font pas obstacle à son recours en répétition de l’indu (</w:t>
      </w:r>
      <w:r w:rsidRPr="00AF53EC">
        <w:rPr>
          <w:rFonts w:cs="Times New Roman"/>
          <w:i/>
        </w:rPr>
        <w:t>Green Line Investor Services Inc. c. Quin</w:t>
      </w:r>
      <w:r w:rsidRPr="00AF53EC">
        <w:rPr>
          <w:rFonts w:cs="Times New Roman"/>
        </w:rPr>
        <w:t>, 1996 CanLII 5734 (C.A.</w:t>
      </w:r>
      <w:r>
        <w:rPr>
          <w:rFonts w:cs="Times New Roman"/>
        </w:rPr>
        <w:t xml:space="preserve"> </w:t>
      </w:r>
      <w:r w:rsidRPr="00AF53EC">
        <w:rPr>
          <w:rFonts w:cs="Times New Roman"/>
        </w:rPr>
        <w:t>Qc),</w:t>
      </w:r>
      <w:r>
        <w:rPr>
          <w:rFonts w:cs="Times New Roman"/>
        </w:rPr>
        <w:t xml:space="preserve"> p. 7-12</w:t>
      </w:r>
      <w:r w:rsidRPr="00AF53EC">
        <w:rPr>
          <w:rFonts w:cs="Times New Roman"/>
        </w:rPr>
        <w:t xml:space="preserve">; </w:t>
      </w:r>
      <w:r w:rsidRPr="00AF53EC">
        <w:rPr>
          <w:rFonts w:cs="Times New Roman"/>
          <w:i/>
        </w:rPr>
        <w:t>Confédération, compagnie d’assurance-vie c. Lareau-Lacroix</w:t>
      </w:r>
      <w:r>
        <w:rPr>
          <w:rFonts w:cs="Times New Roman"/>
        </w:rPr>
        <w:t xml:space="preserve">, </w:t>
      </w:r>
      <w:r w:rsidRPr="00AF53EC">
        <w:rPr>
          <w:rFonts w:cs="Times New Roman"/>
        </w:rPr>
        <w:t>1997 CanLII 10277 (</w:t>
      </w:r>
      <w:r>
        <w:rPr>
          <w:rFonts w:cs="Times New Roman"/>
        </w:rPr>
        <w:t>C.A. Qc</w:t>
      </w:r>
      <w:r w:rsidRPr="00AF53EC">
        <w:rPr>
          <w:rFonts w:cs="Times New Roman"/>
        </w:rPr>
        <w:t>),</w:t>
      </w:r>
      <w:r>
        <w:rPr>
          <w:rFonts w:cs="Times New Roman"/>
        </w:rPr>
        <w:t xml:space="preserve"> p. 10-12</w:t>
      </w:r>
      <w:r w:rsidRPr="00AF53EC">
        <w:rPr>
          <w:rFonts w:cs="Times New Roman"/>
        </w:rPr>
        <w:t xml:space="preserve">; </w:t>
      </w:r>
      <w:r w:rsidRPr="00AF53EC">
        <w:rPr>
          <w:rFonts w:cs="Times New Roman"/>
          <w:i/>
        </w:rPr>
        <w:t>Société canadienne de sel ltée c. Dubord</w:t>
      </w:r>
      <w:r w:rsidRPr="00AF53EC">
        <w:rPr>
          <w:rFonts w:cs="Times New Roman"/>
        </w:rPr>
        <w:t>, 2012 QCCS 1994, par. 92, 99 et 104-106</w:t>
      </w:r>
      <w:r>
        <w:rPr>
          <w:rFonts w:cs="Times New Roman"/>
        </w:rPr>
        <w:t xml:space="preserve"> (CanLII)</w:t>
      </w:r>
      <w:r w:rsidRPr="00AF53EC">
        <w:rPr>
          <w:rFonts w:cs="Times New Roman"/>
        </w:rPr>
        <w:t>; Lluelles et Moore, nº</w:t>
      </w:r>
      <w:r>
        <w:rPr>
          <w:rFonts w:cs="Times New Roman"/>
        </w:rPr>
        <w:t xml:space="preserve"> </w:t>
      </w:r>
      <w:r w:rsidRPr="00AF53EC">
        <w:rPr>
          <w:rFonts w:cs="Times New Roman"/>
        </w:rPr>
        <w:t xml:space="preserve">1379). D’ailleurs, l’al. 2 de l’art. 1705 </w:t>
      </w:r>
      <w:r w:rsidRPr="00AF53EC">
        <w:rPr>
          <w:rFonts w:cs="Times New Roman"/>
          <w:i/>
        </w:rPr>
        <w:t>C.c.Q.</w:t>
      </w:r>
      <w:r w:rsidRPr="00AF53EC">
        <w:rPr>
          <w:rFonts w:cs="Times New Roman"/>
        </w:rPr>
        <w:t xml:space="preserve"> envisage expressément la possibilité que la restitution soit attribuable à la faute d’une des parties. En outre, la faute du payeur ne figure pas parmi les exceptions à la restitution prévues à l’al. 2 de l’art. 1491 </w:t>
      </w:r>
      <w:r w:rsidRPr="00AF53EC">
        <w:rPr>
          <w:rFonts w:cs="Times New Roman"/>
          <w:i/>
        </w:rPr>
        <w:t>C.c.Q</w:t>
      </w:r>
      <w:r w:rsidRPr="00650F78">
        <w:rPr>
          <w:rFonts w:cs="Times New Roman"/>
          <w:i/>
        </w:rPr>
        <w:t>.</w:t>
      </w:r>
      <w:r w:rsidRPr="00AF53EC">
        <w:rPr>
          <w:rFonts w:cs="Times New Roman"/>
        </w:rPr>
        <w:t xml:space="preserve"> Conclure autrement signifierait qu’une personne ayant reçu un paiement sans droit pourrait le conserver même si rien ne le justifie (art. 1554 </w:t>
      </w:r>
      <w:r w:rsidRPr="00AF53EC">
        <w:rPr>
          <w:rFonts w:cs="Times New Roman"/>
          <w:i/>
        </w:rPr>
        <w:t>C.c.Q.</w:t>
      </w:r>
      <w:r w:rsidRPr="00AF53EC">
        <w:rPr>
          <w:rFonts w:cs="Times New Roman"/>
        </w:rPr>
        <w:t xml:space="preserve">). Bien qu’un recours en responsabilité extracontractuelle puisse être intenté par quiconque subit un préjudice par la faute du payeur, cela n’empêche pas l’application </w:t>
      </w:r>
      <w:r w:rsidRPr="00AF53EC">
        <w:rPr>
          <w:rFonts w:cs="Times New Roman"/>
        </w:rPr>
        <w:lastRenderedPageBreak/>
        <w:t>du régime de la réception de l’indu (</w:t>
      </w:r>
      <w:r w:rsidRPr="00AF53EC">
        <w:rPr>
          <w:rFonts w:cs="Times New Roman"/>
          <w:i/>
        </w:rPr>
        <w:t>Green Line Investor</w:t>
      </w:r>
      <w:r w:rsidRPr="00AF53EC">
        <w:rPr>
          <w:rFonts w:cs="Times New Roman"/>
        </w:rPr>
        <w:t xml:space="preserve">, p. </w:t>
      </w:r>
      <w:r>
        <w:rPr>
          <w:rFonts w:cs="Times New Roman"/>
        </w:rPr>
        <w:t>14</w:t>
      </w:r>
      <w:r w:rsidRPr="00AF53EC">
        <w:rPr>
          <w:rFonts w:cs="Times New Roman"/>
        </w:rPr>
        <w:t>-</w:t>
      </w:r>
      <w:r>
        <w:rPr>
          <w:rFonts w:cs="Times New Roman"/>
        </w:rPr>
        <w:t>15</w:t>
      </w:r>
      <w:r w:rsidRPr="00AF53EC">
        <w:rPr>
          <w:rFonts w:cs="Times New Roman"/>
        </w:rPr>
        <w:t xml:space="preserve">; </w:t>
      </w:r>
      <w:r w:rsidRPr="00AF53EC">
        <w:rPr>
          <w:rFonts w:cs="Times New Roman"/>
          <w:i/>
        </w:rPr>
        <w:t>Société canadienne de sel ltée</w:t>
      </w:r>
      <w:r w:rsidRPr="00AF53EC">
        <w:rPr>
          <w:rFonts w:cs="Times New Roman"/>
        </w:rPr>
        <w:t>, par. 102-105; Fréchette, p. 14</w:t>
      </w:r>
      <w:r>
        <w:rPr>
          <w:rFonts w:cs="Times New Roman"/>
        </w:rPr>
        <w:t>8</w:t>
      </w:r>
      <w:r w:rsidRPr="00AF53EC">
        <w:rPr>
          <w:rFonts w:cs="Times New Roman"/>
        </w:rPr>
        <w:t>-1</w:t>
      </w:r>
      <w:r>
        <w:rPr>
          <w:rFonts w:cs="Times New Roman"/>
        </w:rPr>
        <w:t>60</w:t>
      </w:r>
      <w:r w:rsidRPr="00AF53EC">
        <w:rPr>
          <w:rFonts w:cs="Times New Roman"/>
        </w:rPr>
        <w:t xml:space="preserve">). </w:t>
      </w:r>
    </w:p>
    <w:p w:rsidR="007A5985" w:rsidRPr="00AF53EC" w:rsidRDefault="007A5985" w:rsidP="007A5985">
      <w:pPr>
        <w:pStyle w:val="ParaNoNdepar-AltN"/>
        <w:rPr>
          <w:rFonts w:cs="Times New Roman"/>
        </w:rPr>
      </w:pPr>
      <w:r w:rsidRPr="00AF53EC">
        <w:rPr>
          <w:rFonts w:cs="Times New Roman"/>
        </w:rPr>
        <w:t xml:space="preserve"> Quoiqu’en dise la Ville, cette conclusion ne remet pas en question l’importance du principe bien établi en jurisprudence et en doctrine selon lequel quiconque souhaite contracter avec une municipalité doit s’assurer que les exigences de la loi ont été suivies et que la municipalité agit dans les limites de ses pouvoirs (</w:t>
      </w:r>
      <w:r w:rsidRPr="00AF53EC">
        <w:rPr>
          <w:rFonts w:cs="Times New Roman"/>
          <w:i/>
        </w:rPr>
        <w:t xml:space="preserve">Beaudry c. </w:t>
      </w:r>
      <w:r>
        <w:rPr>
          <w:rFonts w:cs="Times New Roman"/>
          <w:i/>
        </w:rPr>
        <w:t xml:space="preserve">Cité de </w:t>
      </w:r>
      <w:r w:rsidRPr="00AF53EC">
        <w:rPr>
          <w:rFonts w:cs="Times New Roman"/>
          <w:i/>
        </w:rPr>
        <w:t>Beauharnois</w:t>
      </w:r>
      <w:r w:rsidRPr="00AF53EC">
        <w:rPr>
          <w:rFonts w:cs="Times New Roman"/>
        </w:rPr>
        <w:t xml:space="preserve">, [1962] B.R. 738, p. 743; </w:t>
      </w:r>
      <w:r w:rsidRPr="00AF53EC">
        <w:rPr>
          <w:rFonts w:cs="Times New Roman"/>
          <w:i/>
        </w:rPr>
        <w:t>Pacific National Investments Ltd. c. Victoria (Ville)</w:t>
      </w:r>
      <w:r w:rsidRPr="00AF53EC">
        <w:rPr>
          <w:rFonts w:cs="Times New Roman"/>
        </w:rPr>
        <w:t>, 2000 CSC 64</w:t>
      </w:r>
      <w:r>
        <w:rPr>
          <w:rFonts w:cs="Times New Roman"/>
        </w:rPr>
        <w:t>,</w:t>
      </w:r>
      <w:r w:rsidRPr="00AF53EC">
        <w:rPr>
          <w:rFonts w:cs="Times New Roman"/>
        </w:rPr>
        <w:t xml:space="preserve"> [2000] 2 R.C.S. 919, par. 68; </w:t>
      </w:r>
      <w:r w:rsidRPr="00AF53EC">
        <w:rPr>
          <w:rFonts w:cs="Times New Roman"/>
          <w:i/>
        </w:rPr>
        <w:t>Immeubles Beaurom ltée</w:t>
      </w:r>
      <w:r w:rsidRPr="00AF53EC">
        <w:rPr>
          <w:rFonts w:cs="Times New Roman"/>
          <w:lang w:val="fr-FR"/>
        </w:rPr>
        <w:t xml:space="preserve">, par. 30; </w:t>
      </w:r>
      <w:r w:rsidRPr="00AF53EC">
        <w:rPr>
          <w:rFonts w:cs="Times New Roman"/>
        </w:rPr>
        <w:t>Hétu et Duplessis, par. 8.3, 9.34 et 9.36; Garant, p.</w:t>
      </w:r>
      <w:r>
        <w:rPr>
          <w:rFonts w:cs="Times New Roman"/>
        </w:rPr>
        <w:t> </w:t>
      </w:r>
      <w:r w:rsidRPr="00AF53EC">
        <w:rPr>
          <w:rFonts w:cs="Times New Roman"/>
        </w:rPr>
        <w:t>374</w:t>
      </w:r>
      <w:r w:rsidRPr="00AF53EC">
        <w:rPr>
          <w:rFonts w:cs="Times New Roman"/>
          <w:lang w:val="fr-FR"/>
        </w:rPr>
        <w:t xml:space="preserve">). Ce principe confirme simplement la teneur des règles déjà analysées relatives à la formation et à la validité du contrat municipal; ces règles se distinguent de l’opportunité de restituer la valeur de services reçus sans droit. À cet égard, la restitution ne vise pas à sanctionner la négligence ou la faute, mais bien à remettre les parties en état lorsqu’il est démontré que l’une d’entre elles a reçu une chose sans y avoir droit (Luelles et Moore, </w:t>
      </w:r>
      <w:r w:rsidRPr="00AF53EC">
        <w:rPr>
          <w:rFonts w:cs="Times New Roman"/>
        </w:rPr>
        <w:t>n</w:t>
      </w:r>
      <w:r w:rsidRPr="00A964D5">
        <w:rPr>
          <w:rFonts w:cs="Times New Roman"/>
          <w:vertAlign w:val="superscript"/>
        </w:rPr>
        <w:t>os</w:t>
      </w:r>
      <w:r>
        <w:rPr>
          <w:rFonts w:cs="Times New Roman"/>
        </w:rPr>
        <w:t xml:space="preserve"> </w:t>
      </w:r>
      <w:r w:rsidRPr="00AF53EC">
        <w:rPr>
          <w:rFonts w:cs="Times New Roman"/>
        </w:rPr>
        <w:t>1367,</w:t>
      </w:r>
      <w:r>
        <w:rPr>
          <w:rFonts w:cs="Times New Roman"/>
        </w:rPr>
        <w:t xml:space="preserve"> 1367.1 et</w:t>
      </w:r>
      <w:r w:rsidRPr="00AF53EC">
        <w:rPr>
          <w:rFonts w:cs="Times New Roman"/>
        </w:rPr>
        <w:t xml:space="preserve"> 1379; </w:t>
      </w:r>
      <w:r w:rsidRPr="00AF53EC">
        <w:rPr>
          <w:rFonts w:cs="Times New Roman"/>
          <w:i/>
        </w:rPr>
        <w:t>Amex</w:t>
      </w:r>
      <w:r w:rsidRPr="00AF53EC">
        <w:rPr>
          <w:rFonts w:cs="Times New Roman"/>
        </w:rPr>
        <w:t>, par. 31)</w:t>
      </w:r>
      <w:r w:rsidRPr="00AF53EC">
        <w:rPr>
          <w:rFonts w:cs="Times New Roman"/>
          <w:lang w:val="fr-FR"/>
        </w:rPr>
        <w:t xml:space="preserve">. En l’espèce, nous avons déjà conclu à l’absence de contrat entre la Ville et Octane. </w:t>
      </w:r>
      <w:r w:rsidRPr="00AF53EC">
        <w:rPr>
          <w:rFonts w:cs="Times New Roman"/>
        </w:rPr>
        <w:t>La seule question à laquelle nous devons donc répondre à ce chapitre est de savoir si la prestation de services par Octane est le résultat d’une erreur, et non d’une intention libérale. À cette fin, il importe peu de savoir ce qu’aurait dû ou pu faire Octane afin d’éviter de commettre une telle erreur.</w:t>
      </w:r>
    </w:p>
    <w:p w:rsidR="007A5985" w:rsidRPr="00AF53EC" w:rsidRDefault="007A5985" w:rsidP="007A5985">
      <w:pPr>
        <w:pStyle w:val="ParaNoNdepar-AltN"/>
        <w:rPr>
          <w:rFonts w:cs="Times New Roman"/>
        </w:rPr>
      </w:pPr>
      <w:r w:rsidRPr="00AF53EC">
        <w:rPr>
          <w:rFonts w:cs="Times New Roman"/>
        </w:rPr>
        <w:t xml:space="preserve">Vu la teneur de la preuve au dossier, on ne peut conclure qu’Octane a eu une intention libérale de fournir des services à la Ville en l’absence d’une dette. Bien au contraire. Il convient d’abord de rappeler que le juge de première instance a conclu </w:t>
      </w:r>
      <w:r w:rsidRPr="00AF53EC">
        <w:rPr>
          <w:rFonts w:cs="Times New Roman"/>
        </w:rPr>
        <w:lastRenderedPageBreak/>
        <w:t>de la preuve que la Ville avait effectivement octroyé un mandat à Octane pour</w:t>
      </w:r>
      <w:r>
        <w:rPr>
          <w:rFonts w:cs="Times New Roman"/>
        </w:rPr>
        <w:t xml:space="preserve"> la production de l’événement (</w:t>
      </w:r>
      <w:r w:rsidRPr="00AF53EC">
        <w:rPr>
          <w:rFonts w:cs="Times New Roman"/>
        </w:rPr>
        <w:t>C</w:t>
      </w:r>
      <w:r>
        <w:rPr>
          <w:rFonts w:cs="Times New Roman"/>
        </w:rPr>
        <w:t>.</w:t>
      </w:r>
      <w:r w:rsidRPr="00AF53EC">
        <w:rPr>
          <w:rFonts w:cs="Times New Roman"/>
        </w:rPr>
        <w:t>S</w:t>
      </w:r>
      <w:r>
        <w:rPr>
          <w:rFonts w:cs="Times New Roman"/>
        </w:rPr>
        <w:t>.</w:t>
      </w:r>
      <w:r w:rsidRPr="00AF53EC">
        <w:rPr>
          <w:rFonts w:cs="Times New Roman"/>
        </w:rPr>
        <w:t>, par. 75, 79 et 85</w:t>
      </w:r>
      <w:r>
        <w:rPr>
          <w:rFonts w:cs="Times New Roman"/>
        </w:rPr>
        <w:t>)</w:t>
      </w:r>
      <w:r w:rsidRPr="00AF53EC">
        <w:rPr>
          <w:rFonts w:cs="Times New Roman"/>
        </w:rPr>
        <w:t xml:space="preserve">. Bien que sa conclusion sur l’existence d’un mandat ne soit pas fondée en droit en l’absence d’une volonté exprimée par la Ville, ses constats factuels nous renseignent sur la croyance d’Octane en ce qui a trait à sa compréhension d’une obligation à acquitter et sur l’absence d’intention libérale de sa part. En fait, le juge de première instance a conclu que M. Thériault avait mandaté Octane pour la réalisation de l’événement et qu’il l’avait rassurée à plusieurs reprises qu’elle serait payée pour les frais engagés. </w:t>
      </w:r>
    </w:p>
    <w:p w:rsidR="007A5985" w:rsidRPr="00AF53EC" w:rsidRDefault="007A5985" w:rsidP="007A5985">
      <w:pPr>
        <w:pStyle w:val="ParaNoNdepar-AltN"/>
        <w:rPr>
          <w:rFonts w:cs="Times New Roman"/>
        </w:rPr>
      </w:pPr>
      <w:r w:rsidRPr="00AF53EC">
        <w:rPr>
          <w:rFonts w:cs="Times New Roman"/>
        </w:rPr>
        <w:t xml:space="preserve">Par ailleurs, abstraction faite pour le moment de la question de la responsabilité personnelle de M. Thériault, les témoignages des représentants d’Octane versés au dossier confirment que ces derniers se croyaient bel et bien obligés de fournir les services pour la production de l’événement du 17 mai de la Ville et qu’ils n’avaient par ailleurs aucunement l’intention de fournir ceux-ci gratuitement : </w:t>
      </w:r>
    </w:p>
    <w:p w:rsidR="007A5985" w:rsidRPr="00AF53EC" w:rsidRDefault="007A5985" w:rsidP="007A5985">
      <w:pPr>
        <w:pStyle w:val="Citation-AltC"/>
        <w:numPr>
          <w:ilvl w:val="0"/>
          <w:numId w:val="22"/>
        </w:numPr>
      </w:pPr>
      <w:r>
        <w:t>« </w:t>
      </w:r>
      <w:r w:rsidRPr="00AF53EC">
        <w:t>[L]a commande vient d’un cabinet du maire. C’est un événement str</w:t>
      </w:r>
      <w:r>
        <w:t>ucturant pour la municipalité [. . .</w:t>
      </w:r>
      <w:r w:rsidRPr="00AF53EC">
        <w:t>] Nous, on a une commande de livrer un événement. Après, ça se rajoute à faut prendre des gens, des intervenants pour organiser l’événement »</w:t>
      </w:r>
      <w:r>
        <w:t>.</w:t>
      </w:r>
      <w:r w:rsidRPr="00AF53EC">
        <w:t xml:space="preserve"> </w:t>
      </w:r>
      <w:r w:rsidRPr="007F18FE">
        <w:t>[</w:t>
      </w:r>
      <w:r>
        <w:t>p. 52]</w:t>
      </w:r>
      <w:r w:rsidRPr="00AF53EC">
        <w:t xml:space="preserve"> </w:t>
      </w:r>
    </w:p>
    <w:p w:rsidR="007A5985" w:rsidRPr="00AF53EC" w:rsidRDefault="007A5985" w:rsidP="007A5985">
      <w:pPr>
        <w:pStyle w:val="Citation-AltC"/>
      </w:pPr>
    </w:p>
    <w:p w:rsidR="007A5985" w:rsidRPr="00AF53EC" w:rsidRDefault="007A5985" w:rsidP="007A5985">
      <w:pPr>
        <w:pStyle w:val="Citation-AltC"/>
        <w:numPr>
          <w:ilvl w:val="0"/>
          <w:numId w:val="22"/>
        </w:numPr>
      </w:pPr>
      <w:r>
        <w:t>« </w:t>
      </w:r>
      <w:r w:rsidRPr="00AF53EC">
        <w:t>On nous fait une commande le vingt et un (21) avril ou aux alentours pour livrer</w:t>
      </w:r>
      <w:r>
        <w:t>… ou le vingt-cinq (25) avril [. . .</w:t>
      </w:r>
      <w:r w:rsidRPr="00AF53EC">
        <w:t>] pour livrer un événement le dix-sept (17) mai »</w:t>
      </w:r>
      <w:r>
        <w:t>.</w:t>
      </w:r>
      <w:r w:rsidRPr="00AF53EC">
        <w:t xml:space="preserve"> </w:t>
      </w:r>
      <w:r w:rsidRPr="007F18FE">
        <w:t>[</w:t>
      </w:r>
      <w:r>
        <w:t>p. 52]</w:t>
      </w:r>
      <w:r w:rsidRPr="00AF53EC">
        <w:t xml:space="preserve"> </w:t>
      </w:r>
    </w:p>
    <w:p w:rsidR="007A5985" w:rsidRPr="00AF53EC" w:rsidRDefault="007A5985" w:rsidP="007A5985">
      <w:pPr>
        <w:pStyle w:val="Citation-AltC"/>
      </w:pPr>
    </w:p>
    <w:p w:rsidR="007A5985" w:rsidRDefault="007A5985" w:rsidP="007A5985">
      <w:pPr>
        <w:pStyle w:val="Citation-AltC"/>
        <w:numPr>
          <w:ilvl w:val="0"/>
          <w:numId w:val="22"/>
        </w:numPr>
      </w:pPr>
      <w:r>
        <w:t>« </w:t>
      </w:r>
      <w:r w:rsidRPr="00AF53EC">
        <w:t>[I]l faut livrer. Donc, nous, notre mandat c’est de livrer »</w:t>
      </w:r>
      <w:r>
        <w:t>.</w:t>
      </w:r>
      <w:r w:rsidRPr="00AF53EC">
        <w:t xml:space="preserve"> </w:t>
      </w:r>
    </w:p>
    <w:p w:rsidR="007A5985" w:rsidRPr="00AF53EC" w:rsidRDefault="007A5985" w:rsidP="007A5985">
      <w:pPr>
        <w:pStyle w:val="Citation-AltC"/>
        <w:ind w:left="1886"/>
      </w:pPr>
      <w:r w:rsidRPr="007F18FE">
        <w:t>[</w:t>
      </w:r>
      <w:r>
        <w:t>p. 52-53]</w:t>
      </w:r>
      <w:r w:rsidRPr="00AF53EC">
        <w:t xml:space="preserve"> </w:t>
      </w:r>
    </w:p>
    <w:p w:rsidR="007A5985" w:rsidRPr="00AF53EC" w:rsidRDefault="007A5985" w:rsidP="007A5985">
      <w:pPr>
        <w:pStyle w:val="Citation-AltC"/>
      </w:pPr>
    </w:p>
    <w:p w:rsidR="007A5985" w:rsidRPr="00AF53EC" w:rsidRDefault="007A5985" w:rsidP="007A5985">
      <w:pPr>
        <w:pStyle w:val="Citation-AltC"/>
        <w:numPr>
          <w:ilvl w:val="0"/>
          <w:numId w:val="22"/>
        </w:numPr>
      </w:pPr>
      <w:r>
        <w:t>« </w:t>
      </w:r>
      <w:r w:rsidRPr="00AF53EC">
        <w:t>On nous appelle pour… il y a un gros projet. Il faut le réaliser. On a vingt-trois (23) jours pour le réaliser »</w:t>
      </w:r>
      <w:r>
        <w:t xml:space="preserve">. </w:t>
      </w:r>
      <w:r w:rsidRPr="007F18FE">
        <w:t>[</w:t>
      </w:r>
      <w:r>
        <w:t>p. 62]</w:t>
      </w:r>
      <w:r w:rsidRPr="00AF53EC">
        <w:t xml:space="preserve"> </w:t>
      </w:r>
    </w:p>
    <w:p w:rsidR="007A5985" w:rsidRPr="00AF53EC" w:rsidRDefault="007A5985" w:rsidP="007A5985">
      <w:pPr>
        <w:pStyle w:val="Citation-AltC"/>
      </w:pPr>
    </w:p>
    <w:p w:rsidR="007A5985" w:rsidRPr="00AF53EC" w:rsidRDefault="007A5985" w:rsidP="007A5985">
      <w:pPr>
        <w:pStyle w:val="Citation-AltC"/>
        <w:numPr>
          <w:ilvl w:val="0"/>
          <w:numId w:val="22"/>
        </w:numPr>
      </w:pPr>
      <w:r>
        <w:t>« </w:t>
      </w:r>
      <w:r w:rsidRPr="00AF53EC">
        <w:t>On nous dit d’aller de l’avant, puis qu’il faut commencer à débourser des sommes qui sont importantes »</w:t>
      </w:r>
      <w:r>
        <w:t>.</w:t>
      </w:r>
      <w:r w:rsidRPr="00AF53EC">
        <w:t xml:space="preserve"> </w:t>
      </w:r>
      <w:r w:rsidRPr="007F18FE">
        <w:t>[</w:t>
      </w:r>
      <w:r>
        <w:t>p. 66]</w:t>
      </w:r>
      <w:r w:rsidRPr="00AF53EC">
        <w:t xml:space="preserve"> </w:t>
      </w:r>
    </w:p>
    <w:p w:rsidR="007A5985" w:rsidRPr="00AF53EC" w:rsidRDefault="007A5985" w:rsidP="007A5985">
      <w:pPr>
        <w:pStyle w:val="Citation-AltC"/>
      </w:pPr>
    </w:p>
    <w:p w:rsidR="007A5985" w:rsidRPr="00AF53EC" w:rsidRDefault="007A5985" w:rsidP="007A5985">
      <w:pPr>
        <w:pStyle w:val="Citation-AltC"/>
        <w:numPr>
          <w:ilvl w:val="0"/>
          <w:numId w:val="22"/>
        </w:numPr>
      </w:pPr>
      <w:r>
        <w:lastRenderedPageBreak/>
        <w:t>« </w:t>
      </w:r>
      <w:r w:rsidRPr="00AF53EC">
        <w:t>Je dois livrer, mais en même temps une procrast</w:t>
      </w:r>
      <w:r>
        <w:t>inatio</w:t>
      </w:r>
      <w:r w:rsidR="003E7E62">
        <w:t>n de la part du cabinet [. . .]</w:t>
      </w:r>
      <w:r>
        <w:t xml:space="preserve"> </w:t>
      </w:r>
      <w:r w:rsidRPr="00AF53EC">
        <w:t>On nous dit pas où l’envoyer. Jusqu’à maintenant, moi, j’ai… les règles sont res</w:t>
      </w:r>
      <w:r>
        <w:t>pectées. On a une commande</w:t>
      </w:r>
      <w:r w:rsidRPr="00AF53EC">
        <w:t> »</w:t>
      </w:r>
      <w:r>
        <w:t>. p. 72]</w:t>
      </w:r>
      <w:r w:rsidRPr="00AF53EC">
        <w:t xml:space="preserve"> </w:t>
      </w:r>
    </w:p>
    <w:p w:rsidR="007A5985" w:rsidRPr="00AF53EC" w:rsidRDefault="007A5985" w:rsidP="007A5985">
      <w:pPr>
        <w:pStyle w:val="Citation-AltC"/>
      </w:pPr>
    </w:p>
    <w:p w:rsidR="007A5985" w:rsidRPr="00AF53EC" w:rsidRDefault="007A5985" w:rsidP="007A5985">
      <w:pPr>
        <w:pStyle w:val="Citation-AltC"/>
        <w:numPr>
          <w:ilvl w:val="0"/>
          <w:numId w:val="22"/>
        </w:numPr>
      </w:pPr>
      <w:r>
        <w:t>« </w:t>
      </w:r>
      <w:r w:rsidRPr="00AF53EC">
        <w:t>[J]amais, jamais, jamais j’aurais été de l’avant si j’avais pas eu une a</w:t>
      </w:r>
      <w:r>
        <w:t>pprobation verbale, jamais</w:t>
      </w:r>
      <w:r w:rsidRPr="00AF53EC">
        <w:t> »</w:t>
      </w:r>
      <w:r>
        <w:t>.</w:t>
      </w:r>
      <w:r w:rsidRPr="00AF53EC">
        <w:t xml:space="preserve"> </w:t>
      </w:r>
      <w:r w:rsidRPr="007F18FE">
        <w:t>[</w:t>
      </w:r>
      <w:r>
        <w:t>p. 74]</w:t>
      </w:r>
    </w:p>
    <w:p w:rsidR="007A5985" w:rsidRPr="00AF53EC" w:rsidRDefault="007A5985" w:rsidP="007A5985">
      <w:pPr>
        <w:pStyle w:val="Citation-AltC"/>
      </w:pPr>
    </w:p>
    <w:p w:rsidR="007A5985" w:rsidRDefault="007A5985" w:rsidP="007A5985">
      <w:pPr>
        <w:pStyle w:val="Citation-AltC"/>
        <w:numPr>
          <w:ilvl w:val="0"/>
          <w:numId w:val="22"/>
        </w:numPr>
      </w:pPr>
      <w:r>
        <w:t>« </w:t>
      </w:r>
      <w:r w:rsidRPr="00AF53EC">
        <w:t>[O]n a eu une approbation sur toutes nos activités, une approbation pour aller de l’avant avec un show,</w:t>
      </w:r>
      <w:r>
        <w:t xml:space="preserve"> avec les budgets afférents. </w:t>
      </w:r>
      <w:r w:rsidRPr="00AF53EC">
        <w:t>[P]our moi, une approbation d’aller de l’avant, ça implique nécessairement que le budget est aussi accepté »</w:t>
      </w:r>
      <w:r>
        <w:t>.</w:t>
      </w:r>
      <w:r w:rsidRPr="00AF53EC">
        <w:t xml:space="preserve"> </w:t>
      </w:r>
      <w:r w:rsidRPr="007F18FE">
        <w:t>[</w:t>
      </w:r>
      <w:r>
        <w:t>p. 81]</w:t>
      </w:r>
    </w:p>
    <w:p w:rsidR="007A5985" w:rsidRPr="00AF53EC" w:rsidRDefault="007A5985" w:rsidP="007A5985">
      <w:pPr>
        <w:pStyle w:val="Citation-AltC"/>
        <w:ind w:left="0"/>
      </w:pPr>
      <w:r w:rsidRPr="00AF53EC">
        <w:t xml:space="preserve"> </w:t>
      </w:r>
    </w:p>
    <w:p w:rsidR="007A5985" w:rsidRDefault="007A5985" w:rsidP="007A5985">
      <w:pPr>
        <w:pStyle w:val="Citation-AltC"/>
        <w:ind w:left="0"/>
      </w:pPr>
      <w:r>
        <w:t>(témoignage de Jean Battah, d.a., vol. VI)</w:t>
      </w:r>
    </w:p>
    <w:p w:rsidR="007A5985" w:rsidRPr="00AF53EC" w:rsidRDefault="007A5985" w:rsidP="007A5985">
      <w:pPr>
        <w:pStyle w:val="Citation-AltC"/>
        <w:ind w:left="0"/>
      </w:pPr>
    </w:p>
    <w:p w:rsidR="007A5985" w:rsidRPr="00AF53EC" w:rsidRDefault="007A5985" w:rsidP="007A5985">
      <w:pPr>
        <w:pStyle w:val="Citation-AltC"/>
        <w:numPr>
          <w:ilvl w:val="0"/>
          <w:numId w:val="22"/>
        </w:numPr>
      </w:pPr>
      <w:r>
        <w:t>« </w:t>
      </w:r>
      <w:r w:rsidRPr="00AF53EC">
        <w:t>J’ai aucun doute dans mon</w:t>
      </w:r>
      <w:r>
        <w:t xml:space="preserve"> esprit qu’on avait un mandat [. . .</w:t>
      </w:r>
      <w:r w:rsidRPr="00AF53EC">
        <w:t>] on opérait puis on livrait un lancement de Plan de transport dans trois (3) semaines »</w:t>
      </w:r>
      <w:r>
        <w:t>.</w:t>
      </w:r>
      <w:r w:rsidRPr="00AF53EC">
        <w:t xml:space="preserve"> </w:t>
      </w:r>
      <w:r w:rsidRPr="007F18FE">
        <w:t>[</w:t>
      </w:r>
      <w:r>
        <w:t>p. 118-119]</w:t>
      </w:r>
    </w:p>
    <w:p w:rsidR="007A5985" w:rsidRPr="00AF53EC" w:rsidRDefault="007A5985" w:rsidP="007A5985">
      <w:pPr>
        <w:pStyle w:val="Citation-AltC"/>
        <w:ind w:left="0"/>
      </w:pPr>
    </w:p>
    <w:p w:rsidR="007A5985" w:rsidRDefault="007A5985" w:rsidP="007A5985">
      <w:pPr>
        <w:pStyle w:val="Citation-AltC"/>
        <w:numPr>
          <w:ilvl w:val="0"/>
          <w:numId w:val="22"/>
        </w:numPr>
      </w:pPr>
      <w:r>
        <w:t>« [</w:t>
      </w:r>
      <w:r w:rsidRPr="00AF53EC">
        <w:t>M</w:t>
      </w:r>
      <w:r>
        <w:t>]</w:t>
      </w:r>
      <w:r w:rsidRPr="00AF53EC">
        <w:t>a compréhension c’est la Ville n’est pas capable d’émettre un chèque parce que elle n’est pas capable de bouger vite, puis on nous le demande à nous, puis nous on le fait parce que il faut que ça se fasse, c’est la seule façon qu’il y a l’événement »</w:t>
      </w:r>
      <w:r>
        <w:t>.</w:t>
      </w:r>
      <w:r w:rsidRPr="00AF53EC">
        <w:t xml:space="preserve"> </w:t>
      </w:r>
      <w:r w:rsidRPr="007F18FE">
        <w:t>[</w:t>
      </w:r>
      <w:r>
        <w:t>p. 149]</w:t>
      </w:r>
    </w:p>
    <w:p w:rsidR="007A5985" w:rsidRPr="00F525E8" w:rsidRDefault="007A5985" w:rsidP="007A5985">
      <w:pPr>
        <w:pStyle w:val="ListParagraph"/>
        <w:rPr>
          <w:lang w:val="fr-CA"/>
        </w:rPr>
      </w:pPr>
    </w:p>
    <w:p w:rsidR="007A5985" w:rsidRPr="00AF53EC" w:rsidRDefault="007A5985" w:rsidP="007A5985">
      <w:pPr>
        <w:pStyle w:val="Citation-AltC"/>
        <w:ind w:left="0"/>
      </w:pPr>
      <w:r>
        <w:t>(témoignage de Pierre Guillot-Hurtubise, d.a., vol. XIV)</w:t>
      </w:r>
    </w:p>
    <w:p w:rsidR="007A5985" w:rsidRPr="00AF53EC" w:rsidRDefault="007A5985" w:rsidP="007A5985">
      <w:pPr>
        <w:pStyle w:val="ParaNoNdepar-AltN"/>
        <w:rPr>
          <w:rFonts w:cs="Times New Roman"/>
        </w:rPr>
      </w:pPr>
      <w:r w:rsidRPr="00AF53EC">
        <w:rPr>
          <w:rFonts w:cs="Times New Roman"/>
        </w:rPr>
        <w:t>Il ressort de ces témoignages qu’Octane croyait sincèrement, devant l’urgence de la situation, que le cabinet du maire avait la prérogative de donner une approbation à un budget et ensuite de faire circuler l’information au département de la Ville responsable du projet (témoignage de J</w:t>
      </w:r>
      <w:r>
        <w:rPr>
          <w:rFonts w:cs="Times New Roman"/>
        </w:rPr>
        <w:t>.</w:t>
      </w:r>
      <w:r w:rsidRPr="00AF53EC">
        <w:rPr>
          <w:rFonts w:cs="Times New Roman"/>
        </w:rPr>
        <w:t xml:space="preserve"> Battah, </w:t>
      </w:r>
      <w:r w:rsidRPr="00364C9D">
        <w:rPr>
          <w:rFonts w:cs="Times New Roman"/>
          <w:i/>
        </w:rPr>
        <w:t>ibid</w:t>
      </w:r>
      <w:r w:rsidR="003E7E62">
        <w:rPr>
          <w:rFonts w:cs="Times New Roman"/>
          <w:i/>
        </w:rPr>
        <w:t>.</w:t>
      </w:r>
      <w:r>
        <w:rPr>
          <w:rFonts w:cs="Times New Roman"/>
        </w:rPr>
        <w:t>,</w:t>
      </w:r>
      <w:r>
        <w:rPr>
          <w:rFonts w:cs="Times New Roman"/>
          <w:i/>
        </w:rPr>
        <w:t xml:space="preserve"> </w:t>
      </w:r>
      <w:r w:rsidRPr="00364C9D">
        <w:rPr>
          <w:rFonts w:cs="Times New Roman"/>
        </w:rPr>
        <w:t>pp</w:t>
      </w:r>
      <w:r w:rsidRPr="00AF53EC">
        <w:rPr>
          <w:rFonts w:cs="Times New Roman"/>
        </w:rPr>
        <w:t xml:space="preserve">. 34-35, 40-41 et 60-61; témoignage de </w:t>
      </w:r>
      <w:r>
        <w:rPr>
          <w:rFonts w:cs="Times New Roman"/>
        </w:rPr>
        <w:t xml:space="preserve">Louis Aucoin, d.a., vol. VIII, </w:t>
      </w:r>
      <w:r w:rsidRPr="00AF53EC">
        <w:rPr>
          <w:rFonts w:cs="Times New Roman"/>
        </w:rPr>
        <w:t xml:space="preserve">p. </w:t>
      </w:r>
      <w:r>
        <w:rPr>
          <w:rFonts w:cs="Times New Roman"/>
        </w:rPr>
        <w:t>53-54</w:t>
      </w:r>
      <w:r w:rsidRPr="00AF53EC">
        <w:rPr>
          <w:rFonts w:cs="Times New Roman"/>
        </w:rPr>
        <w:t xml:space="preserve"> et </w:t>
      </w:r>
      <w:r>
        <w:rPr>
          <w:rFonts w:cs="Times New Roman"/>
        </w:rPr>
        <w:t>73-74</w:t>
      </w:r>
      <w:r w:rsidRPr="00AF53EC">
        <w:rPr>
          <w:rFonts w:cs="Times New Roman"/>
        </w:rPr>
        <w:t>). Cela explique qu’Octane « pren[d] pour acquis que le cabinet du maire passait l’information dans sa machine pour lui dire que c’est un événement qui est important pour l’administration » (témoignage de J</w:t>
      </w:r>
      <w:r>
        <w:rPr>
          <w:rFonts w:cs="Times New Roman"/>
        </w:rPr>
        <w:t>.</w:t>
      </w:r>
      <w:r w:rsidRPr="00AF53EC">
        <w:rPr>
          <w:rFonts w:cs="Times New Roman"/>
        </w:rPr>
        <w:t xml:space="preserve"> Battah, </w:t>
      </w:r>
      <w:r>
        <w:rPr>
          <w:rFonts w:cs="Times New Roman"/>
          <w:i/>
        </w:rPr>
        <w:t>ibid</w:t>
      </w:r>
      <w:r w:rsidR="003E7E62">
        <w:rPr>
          <w:rFonts w:cs="Times New Roman"/>
          <w:i/>
        </w:rPr>
        <w:t>.</w:t>
      </w:r>
      <w:r w:rsidRPr="00AF53EC">
        <w:rPr>
          <w:rFonts w:cs="Times New Roman"/>
        </w:rPr>
        <w:t xml:space="preserve">, p. 54). À la lumière de ces extraits, nous ne pouvons conclure qu’Octane ait eu l’intention de fournir les services en cause si elle avait su que son obligation à l’égard de la Ville était inexistante en droit. </w:t>
      </w:r>
    </w:p>
    <w:p w:rsidR="007A5985" w:rsidRPr="00AF53EC" w:rsidRDefault="007A5985" w:rsidP="007A5985">
      <w:pPr>
        <w:pStyle w:val="ParaNoNdepar-AltN"/>
        <w:rPr>
          <w:rFonts w:cs="Times New Roman"/>
        </w:rPr>
      </w:pPr>
      <w:r w:rsidRPr="00AF53EC">
        <w:rPr>
          <w:rFonts w:cs="Times New Roman"/>
        </w:rPr>
        <w:lastRenderedPageBreak/>
        <w:t>Enfin, le doute que tente de soulever la Ville sur la foi de l’entente du 10 août 2007 entre Octane et PGB doit être écarté. Dans cette entente, Octane reconnait avoir remis à PGB une somme de 82 898,63</w:t>
      </w:r>
      <w:r>
        <w:rPr>
          <w:rFonts w:cs="Times New Roman"/>
        </w:rPr>
        <w:t xml:space="preserve"> </w:t>
      </w:r>
      <w:r w:rsidRPr="00AF53EC">
        <w:rPr>
          <w:rFonts w:cs="Times New Roman"/>
        </w:rPr>
        <w:t xml:space="preserve">$ « en avance à un contrat signé entre la </w:t>
      </w:r>
      <w:r w:rsidRPr="00082111">
        <w:rPr>
          <w:rFonts w:cs="Times New Roman"/>
        </w:rPr>
        <w:t>[</w:t>
      </w:r>
      <w:r w:rsidRPr="00AF53EC">
        <w:rPr>
          <w:rFonts w:cs="Times New Roman"/>
        </w:rPr>
        <w:t>V</w:t>
      </w:r>
      <w:r>
        <w:rPr>
          <w:rFonts w:cs="Times New Roman"/>
        </w:rPr>
        <w:t>]</w:t>
      </w:r>
      <w:r w:rsidRPr="00AF53EC">
        <w:rPr>
          <w:rFonts w:cs="Times New Roman"/>
        </w:rPr>
        <w:t>ille de Montréal et M. </w:t>
      </w:r>
      <w:r>
        <w:rPr>
          <w:rFonts w:cs="Times New Roman"/>
        </w:rPr>
        <w:t>Gilles Blais » (P-123, d.a., vol. IV, p.117)</w:t>
      </w:r>
      <w:r w:rsidRPr="00AF53EC">
        <w:rPr>
          <w:rFonts w:cs="Times New Roman"/>
        </w:rPr>
        <w:t>. Selon la Ville, le fait qu’Octane se réfère à un contrat entre PGB et la Ville établi</w:t>
      </w:r>
      <w:r>
        <w:rPr>
          <w:rFonts w:cs="Times New Roman"/>
        </w:rPr>
        <w:t>rai</w:t>
      </w:r>
      <w:r w:rsidRPr="00AF53EC">
        <w:rPr>
          <w:rFonts w:cs="Times New Roman"/>
        </w:rPr>
        <w:t>t qu’Octane savait ne pas avoir été elle-même mandatée pour ce projet. À notre avis, cette entente n’a pas l’importance que lui attribue la Ville. Dans son témoignage, le président d’Octane mentionne qu’il importait peu que ce soit PGB qui signe une entente avec la Ville, ou que ce soit la Ville qui acquitte la facture d’Octane : l’important était qu’Octane soit ultimement payée pour les frais engagés </w:t>
      </w:r>
      <w:r>
        <w:rPr>
          <w:rFonts w:cs="Times New Roman"/>
        </w:rPr>
        <w:t>(</w:t>
      </w:r>
      <w:r w:rsidRPr="00AF53EC">
        <w:rPr>
          <w:rFonts w:cs="Times New Roman"/>
        </w:rPr>
        <w:t xml:space="preserve">témoignage de </w:t>
      </w:r>
      <w:r>
        <w:rPr>
          <w:rFonts w:cs="Times New Roman"/>
        </w:rPr>
        <w:t>J</w:t>
      </w:r>
      <w:r w:rsidRPr="00AF53EC">
        <w:rPr>
          <w:rFonts w:cs="Times New Roman"/>
        </w:rPr>
        <w:t xml:space="preserve">. Battah, </w:t>
      </w:r>
      <w:r>
        <w:rPr>
          <w:rFonts w:cs="Times New Roman"/>
          <w:i/>
        </w:rPr>
        <w:t>ibid</w:t>
      </w:r>
      <w:r w:rsidR="003E7E62">
        <w:rPr>
          <w:rFonts w:cs="Times New Roman"/>
          <w:i/>
        </w:rPr>
        <w:t>.</w:t>
      </w:r>
      <w:r w:rsidRPr="00AF53EC">
        <w:rPr>
          <w:rFonts w:cs="Times New Roman"/>
        </w:rPr>
        <w:t>, p. 22 et 87-88</w:t>
      </w:r>
      <w:r>
        <w:rPr>
          <w:rFonts w:cs="Times New Roman"/>
        </w:rPr>
        <w:t>)</w:t>
      </w:r>
      <w:r w:rsidRPr="00AF53EC">
        <w:rPr>
          <w:rFonts w:cs="Times New Roman"/>
        </w:rPr>
        <w:t>. Tout indique que cette entente, signée trois mois après les événements, ne constitue qu’une protection dont souhaitait bénéficier Octane afin de s’assurer d’être remboursée pour les frais supportés. Elle ne nous renseigne tout simplement pas sur la présence d’une intention libérale qui aurait animé Octane au moment de la prestation de services en cause. Au contraire, cette entente démontre qu’Octane cherche activement à être remboursée et qu’elle n’a pas voulu fournir les services à la Ville gratuitement.</w:t>
      </w:r>
    </w:p>
    <w:p w:rsidR="007A5985" w:rsidRPr="00AF53EC" w:rsidRDefault="007A5985" w:rsidP="007A5985">
      <w:pPr>
        <w:pStyle w:val="ParaNoNdepar-AltN"/>
        <w:rPr>
          <w:rFonts w:cs="Times New Roman"/>
        </w:rPr>
      </w:pPr>
      <w:r w:rsidRPr="00AF53EC">
        <w:rPr>
          <w:rFonts w:cs="Times New Roman"/>
        </w:rPr>
        <w:t>Nous ne partageons pas l’avis de nos collègues voulant qu’Octane ait fourni ces services en sachant qu’elle ne devait rien et qu’en conséquence, l’erreur requise pour donner ouverture à la répétition de l’indu n’est pas établie. L’argument proposé en ce sens revient à faire porter sur les épaules d’Octane le poids de l’erreur de droit à la source de l’inexistence de son obligation; or, tel que nous l’indiquons, aux termes des art. 1491</w:t>
      </w:r>
      <w:r>
        <w:rPr>
          <w:rFonts w:cs="Times New Roman"/>
        </w:rPr>
        <w:t xml:space="preserve">, 1492 </w:t>
      </w:r>
      <w:r w:rsidRPr="00AF53EC">
        <w:rPr>
          <w:rFonts w:cs="Times New Roman"/>
        </w:rPr>
        <w:t>et 1699 et suiv</w:t>
      </w:r>
      <w:r>
        <w:rPr>
          <w:rFonts w:cs="Times New Roman"/>
        </w:rPr>
        <w:t>.</w:t>
      </w:r>
      <w:r w:rsidRPr="00AF53EC">
        <w:rPr>
          <w:rFonts w:cs="Times New Roman"/>
        </w:rPr>
        <w:t xml:space="preserve"> </w:t>
      </w:r>
      <w:r w:rsidRPr="00AF53EC">
        <w:rPr>
          <w:rFonts w:cs="Times New Roman"/>
          <w:i/>
        </w:rPr>
        <w:t>C.c.Q.</w:t>
      </w:r>
      <w:r w:rsidRPr="00FD222A">
        <w:rPr>
          <w:rFonts w:cs="Times New Roman"/>
        </w:rPr>
        <w:t>,</w:t>
      </w:r>
      <w:r w:rsidRPr="00AF53EC">
        <w:rPr>
          <w:rFonts w:cs="Times New Roman"/>
        </w:rPr>
        <w:t xml:space="preserve"> </w:t>
      </w:r>
      <w:r w:rsidRPr="00AF53EC">
        <w:rPr>
          <w:rFonts w:cs="Times New Roman"/>
          <w:lang w:val="fr-FR"/>
        </w:rPr>
        <w:t>la restitution ne vise pas à sanctionner la négligence ou la faute, mais plutôt à remettre les parties en état lorsqu’il est démontré que l’une d’entre elles a reçu une chose sans y avoir droit</w:t>
      </w:r>
      <w:r>
        <w:rPr>
          <w:rFonts w:cs="Times New Roman"/>
          <w:lang w:val="fr-FR"/>
        </w:rPr>
        <w:t xml:space="preserve"> (voir par</w:t>
      </w:r>
      <w:r w:rsidRPr="00AF53EC">
        <w:rPr>
          <w:rFonts w:cs="Times New Roman"/>
          <w:lang w:val="fr-FR"/>
        </w:rPr>
        <w:t>. 78).</w:t>
      </w:r>
      <w:r w:rsidRPr="00AF53EC">
        <w:rPr>
          <w:rFonts w:cs="Times New Roman"/>
        </w:rPr>
        <w:t xml:space="preserve">  Comme l’a </w:t>
      </w:r>
      <w:r w:rsidRPr="00AF53EC">
        <w:rPr>
          <w:rFonts w:cs="Times New Roman"/>
        </w:rPr>
        <w:lastRenderedPageBreak/>
        <w:t xml:space="preserve">rappelé notre Cour dans </w:t>
      </w:r>
      <w:r w:rsidRPr="00AF53EC">
        <w:rPr>
          <w:rFonts w:cs="Times New Roman"/>
          <w:i/>
        </w:rPr>
        <w:t>Amex</w:t>
      </w:r>
      <w:r w:rsidRPr="00AF53EC">
        <w:rPr>
          <w:rFonts w:cs="Times New Roman"/>
        </w:rPr>
        <w:t>, « </w:t>
      </w:r>
      <w:r w:rsidRPr="00AF53EC">
        <w:rPr>
          <w:rFonts w:cs="Times New Roman"/>
          <w:lang w:val="fr-FR"/>
        </w:rPr>
        <w:t>la restitution découle de l’absence d’une obligation d’exécuter la prestation, et la réparation consiste dans ce cas à restituer toute prestation exécutée sans obligation (art. 1492 et premier paragraphe de l’art. 1699)</w:t>
      </w:r>
      <w:r w:rsidRPr="00AF53EC">
        <w:rPr>
          <w:rFonts w:cs="Times New Roman"/>
        </w:rPr>
        <w:t xml:space="preserve"> » (par. 32). La faute n’est pas un facteur pertinent à considérer. Au-delà de </w:t>
      </w:r>
      <w:r>
        <w:rPr>
          <w:rFonts w:cs="Times New Roman"/>
        </w:rPr>
        <w:t xml:space="preserve">conjectures </w:t>
      </w:r>
      <w:r w:rsidRPr="00AF53EC">
        <w:rPr>
          <w:rFonts w:cs="Times New Roman"/>
        </w:rPr>
        <w:t>hasardeuse</w:t>
      </w:r>
      <w:r>
        <w:rPr>
          <w:rFonts w:cs="Times New Roman"/>
        </w:rPr>
        <w:t>s</w:t>
      </w:r>
      <w:r w:rsidRPr="00AF53EC">
        <w:rPr>
          <w:rFonts w:cs="Times New Roman"/>
        </w:rPr>
        <w:t xml:space="preserve"> </w:t>
      </w:r>
      <w:r>
        <w:rPr>
          <w:rFonts w:cs="Times New Roman"/>
        </w:rPr>
        <w:t>aux</w:t>
      </w:r>
      <w:r w:rsidRPr="00AF53EC">
        <w:rPr>
          <w:rFonts w:cs="Times New Roman"/>
        </w:rPr>
        <w:t>quelle</w:t>
      </w:r>
      <w:r>
        <w:rPr>
          <w:rFonts w:cs="Times New Roman"/>
        </w:rPr>
        <w:t>s</w:t>
      </w:r>
      <w:r w:rsidRPr="00AF53EC">
        <w:rPr>
          <w:rFonts w:cs="Times New Roman"/>
        </w:rPr>
        <w:t xml:space="preserve"> notre Cour ne doit pas selon nous se </w:t>
      </w:r>
      <w:r>
        <w:rPr>
          <w:rFonts w:cs="Times New Roman"/>
        </w:rPr>
        <w:t>livrer</w:t>
      </w:r>
      <w:r w:rsidRPr="00AF53EC">
        <w:rPr>
          <w:rFonts w:cs="Times New Roman"/>
        </w:rPr>
        <w:t xml:space="preserve">, rien ne permet d’affirmer ici qu’Octane ait eu un intérêt personnel </w:t>
      </w:r>
      <w:r>
        <w:rPr>
          <w:rFonts w:cs="Times New Roman"/>
        </w:rPr>
        <w:t>à fournir l</w:t>
      </w:r>
      <w:r w:rsidRPr="00AF53EC">
        <w:rPr>
          <w:rFonts w:cs="Times New Roman"/>
        </w:rPr>
        <w:t xml:space="preserve">es services en cause gratuitement, qu’elle ait ce faisant voulu s’assurer de contrats </w:t>
      </w:r>
      <w:r>
        <w:rPr>
          <w:rFonts w:cs="Times New Roman"/>
        </w:rPr>
        <w:t>futurs</w:t>
      </w:r>
      <w:r w:rsidRPr="00AF53EC">
        <w:rPr>
          <w:rFonts w:cs="Times New Roman"/>
        </w:rPr>
        <w:t xml:space="preserve"> ou qu’elle ait choisi de simplement agir à ses propres risques. En l’absence d’</w:t>
      </w:r>
      <w:r>
        <w:rPr>
          <w:rFonts w:cs="Times New Roman"/>
        </w:rPr>
        <w:t xml:space="preserve">une </w:t>
      </w:r>
      <w:r w:rsidRPr="00AF53EC">
        <w:rPr>
          <w:rFonts w:cs="Times New Roman"/>
        </w:rPr>
        <w:t>intention libérale de la part d’Octane ou d</w:t>
      </w:r>
      <w:r>
        <w:rPr>
          <w:rFonts w:cs="Times New Roman"/>
        </w:rPr>
        <w:t xml:space="preserve">e toute autre </w:t>
      </w:r>
      <w:r w:rsidRPr="00AF53EC">
        <w:rPr>
          <w:rFonts w:cs="Times New Roman"/>
        </w:rPr>
        <w:t xml:space="preserve">cause qui puisse justifier </w:t>
      </w:r>
      <w:r>
        <w:rPr>
          <w:rFonts w:cs="Times New Roman"/>
        </w:rPr>
        <w:t xml:space="preserve">qu’elle fournisse gratuitement </w:t>
      </w:r>
      <w:r w:rsidRPr="00AF53EC">
        <w:rPr>
          <w:rFonts w:cs="Times New Roman"/>
        </w:rPr>
        <w:t xml:space="preserve">ces services à la Ville, </w:t>
      </w:r>
      <w:r>
        <w:rPr>
          <w:rFonts w:cs="Times New Roman"/>
        </w:rPr>
        <w:t xml:space="preserve">il faut </w:t>
      </w:r>
      <w:r w:rsidRPr="00AF53EC">
        <w:rPr>
          <w:rFonts w:cs="Times New Roman"/>
        </w:rPr>
        <w:t xml:space="preserve">conclure que cette prestation de services est le résultat d’une erreur aux termes de ce qu’exige l’art. 1491 </w:t>
      </w:r>
      <w:r w:rsidRPr="00AF53EC">
        <w:rPr>
          <w:rFonts w:cs="Times New Roman"/>
          <w:i/>
        </w:rPr>
        <w:t>C.c.Q</w:t>
      </w:r>
      <w:r w:rsidRPr="00A643E8">
        <w:rPr>
          <w:rFonts w:cs="Times New Roman"/>
          <w:i/>
        </w:rPr>
        <w:t>.</w:t>
      </w:r>
      <w:r w:rsidRPr="00AF53EC">
        <w:rPr>
          <w:rFonts w:cs="Times New Roman"/>
        </w:rPr>
        <w:t xml:space="preserve">   </w:t>
      </w:r>
    </w:p>
    <w:p w:rsidR="007A5985" w:rsidRPr="00AF53EC" w:rsidRDefault="007A5985" w:rsidP="007A5985">
      <w:pPr>
        <w:pStyle w:val="ParaNoNdepar-AltN"/>
        <w:rPr>
          <w:rFonts w:cs="Times New Roman"/>
        </w:rPr>
      </w:pPr>
      <w:r w:rsidRPr="00AF53EC">
        <w:rPr>
          <w:rFonts w:cs="Times New Roman"/>
        </w:rPr>
        <w:t>Nous ajoutons ce qui suit. Le fait que les représentants d’Octane n’aient jamais douté, avant 2010, que la Ville paierait ces débours</w:t>
      </w:r>
      <w:r>
        <w:rPr>
          <w:rFonts w:cs="Times New Roman"/>
        </w:rPr>
        <w:t xml:space="preserve">és </w:t>
      </w:r>
      <w:r w:rsidRPr="00AF53EC">
        <w:rPr>
          <w:rFonts w:cs="Times New Roman"/>
        </w:rPr>
        <w:t>est révélateur de la compréhension de la situation par les parties, quoique erronée en droit. Le cadre factuel aseptisé que présente la Ville tranche nettement avec le contexte dans lequel les parties agissaient. C’est seulement en avril 2007, à peine quatre semaines avant l’événement prévu, qu’Octane est contactée pour la première fois par le directeur des transports de la Ville, qui l’informe que les services rendus à l’interne sont insatisfaisants. Comme le relève le juge de première instance, le plan de transport de la Ville est l’un des principaux engagements de l’administration lors des élections municipales en 2005. Octane est d’ailleurs l’une des entreprises externes qui a participé à la rédaction de ce plan entre 2005 et 2007</w:t>
      </w:r>
      <w:r w:rsidRPr="00AF53EC">
        <w:rPr>
          <w:rFonts w:cs="Times New Roman"/>
          <w:sz w:val="22"/>
        </w:rPr>
        <w:t>.</w:t>
      </w:r>
      <w:r w:rsidRPr="00AF53EC">
        <w:rPr>
          <w:rFonts w:cs="Times New Roman"/>
        </w:rPr>
        <w:t xml:space="preserve"> Elle est donc très bien placée pour comprendre l’importance cruciale que revêt le lancement de ce projet pour la Ville. Lorsque cette dernière convie Octane à une réunion à l’hôtel de ville avec les principaux intervenants au dossier, </w:t>
      </w:r>
      <w:r w:rsidRPr="00AF53EC">
        <w:rPr>
          <w:rFonts w:cs="Times New Roman"/>
        </w:rPr>
        <w:lastRenderedPageBreak/>
        <w:t>M. Thériault indique aux représentants d’Octane que « le budget sera proportionn</w:t>
      </w:r>
      <w:r>
        <w:rPr>
          <w:rFonts w:cs="Times New Roman"/>
        </w:rPr>
        <w:t>el à la qualité de vos idées » (</w:t>
      </w:r>
      <w:r w:rsidRPr="00AF53EC">
        <w:rPr>
          <w:rFonts w:cs="Times New Roman"/>
        </w:rPr>
        <w:t>C</w:t>
      </w:r>
      <w:r>
        <w:rPr>
          <w:rFonts w:cs="Times New Roman"/>
        </w:rPr>
        <w:t>.</w:t>
      </w:r>
      <w:r w:rsidRPr="00AF53EC">
        <w:rPr>
          <w:rFonts w:cs="Times New Roman"/>
        </w:rPr>
        <w:t>S</w:t>
      </w:r>
      <w:r>
        <w:rPr>
          <w:rFonts w:cs="Times New Roman"/>
        </w:rPr>
        <w:t>.</w:t>
      </w:r>
      <w:r w:rsidRPr="00AF53EC">
        <w:rPr>
          <w:rFonts w:cs="Times New Roman"/>
        </w:rPr>
        <w:t>, par. 1</w:t>
      </w:r>
      <w:r>
        <w:rPr>
          <w:rFonts w:cs="Times New Roman"/>
        </w:rPr>
        <w:t>23-126)</w:t>
      </w:r>
      <w:r w:rsidRPr="00AF53EC">
        <w:rPr>
          <w:rFonts w:cs="Times New Roman"/>
        </w:rPr>
        <w:t>. On souligne que l’événement devra être « marquant », « fastueux », et « flamboyant </w:t>
      </w:r>
      <w:r>
        <w:rPr>
          <w:rFonts w:cs="Times New Roman"/>
        </w:rPr>
        <w:t>» (</w:t>
      </w:r>
      <w:r w:rsidRPr="00AF53EC">
        <w:rPr>
          <w:rFonts w:cs="Times New Roman"/>
        </w:rPr>
        <w:t>C</w:t>
      </w:r>
      <w:r>
        <w:rPr>
          <w:rFonts w:cs="Times New Roman"/>
        </w:rPr>
        <w:t>.</w:t>
      </w:r>
      <w:r w:rsidRPr="00AF53EC">
        <w:rPr>
          <w:rFonts w:cs="Times New Roman"/>
        </w:rPr>
        <w:t>S</w:t>
      </w:r>
      <w:r>
        <w:rPr>
          <w:rFonts w:cs="Times New Roman"/>
        </w:rPr>
        <w:t>., par. 10)</w:t>
      </w:r>
      <w:r w:rsidRPr="00AF53EC">
        <w:rPr>
          <w:rFonts w:cs="Times New Roman"/>
        </w:rPr>
        <w:t xml:space="preserve">, ce qui confirme son importance. Plusieurs centaines de personnes de tous les milieux sont par ailleurs attendues. Difficile de soutenir, dans un tel contexte, qu’Octane ait eu l’intention de fournir les services en cause par pure libéralité. </w:t>
      </w:r>
    </w:p>
    <w:p w:rsidR="007A5985" w:rsidRPr="00AF53EC" w:rsidRDefault="007A5985" w:rsidP="007A5985">
      <w:pPr>
        <w:pStyle w:val="ParaNoNdepar-AltN"/>
        <w:rPr>
          <w:rFonts w:cs="Times New Roman"/>
        </w:rPr>
      </w:pPr>
      <w:r w:rsidRPr="00AF53EC">
        <w:rPr>
          <w:rFonts w:cs="Times New Roman"/>
        </w:rPr>
        <w:t>Nous en concluons que les conditions propres au régime de la réception de l’indu sont remplies, si bien que la remise en état doit être ordonnée sur ce fondement.</w:t>
      </w:r>
    </w:p>
    <w:p w:rsidR="007A5985" w:rsidRPr="00AF53EC" w:rsidRDefault="007A5985" w:rsidP="007A5985">
      <w:pPr>
        <w:pStyle w:val="Title3LevelTitre3Niveau"/>
        <w:numPr>
          <w:ilvl w:val="2"/>
          <w:numId w:val="8"/>
        </w:numPr>
        <w:rPr>
          <w:rFonts w:cs="Times New Roman"/>
          <w:lang w:val="fr-CA"/>
        </w:rPr>
      </w:pPr>
      <w:r w:rsidRPr="00AF53EC">
        <w:rPr>
          <w:rFonts w:cs="Times New Roman"/>
          <w:lang w:val="fr-CA"/>
        </w:rPr>
        <w:t>Les modalités et l’étendue de la restitution</w:t>
      </w:r>
    </w:p>
    <w:p w:rsidR="007A5985" w:rsidRPr="00AF53EC" w:rsidRDefault="007A5985" w:rsidP="007A5985">
      <w:pPr>
        <w:pStyle w:val="ParaNoNdepar-AltN"/>
        <w:rPr>
          <w:rFonts w:cs="Times New Roman"/>
        </w:rPr>
      </w:pPr>
      <w:r w:rsidRPr="00AF53EC">
        <w:rPr>
          <w:rFonts w:cs="Times New Roman"/>
        </w:rPr>
        <w:t xml:space="preserve">La restitution des services fournis par Octane pour la production de l’événement du 17 mai de la Ville ne peut évidemment se faire en nature. Comme le souligne le juge de première instance, elle doit se faire par équivalent, conformément à l’art. 1700 </w:t>
      </w:r>
      <w:r w:rsidRPr="00AF53EC">
        <w:rPr>
          <w:rFonts w:cs="Times New Roman"/>
          <w:i/>
        </w:rPr>
        <w:t>C.c.Q</w:t>
      </w:r>
      <w:r w:rsidRPr="00892BB0">
        <w:rPr>
          <w:rFonts w:cs="Times New Roman"/>
          <w:i/>
        </w:rPr>
        <w:t>.</w:t>
      </w:r>
      <w:r w:rsidRPr="00AF53EC">
        <w:rPr>
          <w:rFonts w:cs="Times New Roman"/>
        </w:rPr>
        <w:t xml:space="preserve"> La Ville ne remet pas en question la conclusion du premier juge suivant laquelle les services rendus par Octane étaient de bonne qualité et qu’elle en a bénéficié</w:t>
      </w:r>
      <w:r>
        <w:rPr>
          <w:rFonts w:cs="Times New Roman"/>
        </w:rPr>
        <w:t xml:space="preserve"> (</w:t>
      </w:r>
      <w:r w:rsidRPr="00AF53EC">
        <w:rPr>
          <w:rFonts w:cs="Times New Roman"/>
        </w:rPr>
        <w:t>C</w:t>
      </w:r>
      <w:r>
        <w:rPr>
          <w:rFonts w:cs="Times New Roman"/>
        </w:rPr>
        <w:t>.</w:t>
      </w:r>
      <w:r w:rsidRPr="00AF53EC">
        <w:rPr>
          <w:rFonts w:cs="Times New Roman"/>
        </w:rPr>
        <w:t>S</w:t>
      </w:r>
      <w:r>
        <w:rPr>
          <w:rFonts w:cs="Times New Roman"/>
        </w:rPr>
        <w:t>.</w:t>
      </w:r>
      <w:r w:rsidRPr="00AF53EC">
        <w:rPr>
          <w:rFonts w:cs="Times New Roman"/>
        </w:rPr>
        <w:t>, par. 100 et 160</w:t>
      </w:r>
      <w:r>
        <w:rPr>
          <w:rFonts w:cs="Times New Roman"/>
        </w:rPr>
        <w:t>)</w:t>
      </w:r>
      <w:r w:rsidRPr="00AF53EC">
        <w:rPr>
          <w:rFonts w:cs="Times New Roman"/>
        </w:rPr>
        <w:t>. Elle ne conteste pas non plus sa conclusion sur la juste valeur de ces services (C</w:t>
      </w:r>
      <w:r>
        <w:rPr>
          <w:rFonts w:cs="Times New Roman"/>
        </w:rPr>
        <w:t>.</w:t>
      </w:r>
      <w:r w:rsidRPr="00AF53EC">
        <w:rPr>
          <w:rFonts w:cs="Times New Roman"/>
        </w:rPr>
        <w:t>S</w:t>
      </w:r>
      <w:r>
        <w:rPr>
          <w:rFonts w:cs="Times New Roman"/>
        </w:rPr>
        <w:t>.</w:t>
      </w:r>
      <w:r w:rsidRPr="00AF53EC">
        <w:rPr>
          <w:rFonts w:cs="Times New Roman"/>
        </w:rPr>
        <w:t>, par. 161), ni le fait que l’événement était conforme aux attentes. En somme, la Ville ne relève aucune erreur manifeste et déterminante qui justifierait notre Cour de modifier l’évaluation du juge de première instance, si bien que celle-ci doit être maintenue. La restitution par équivalent des services fournis correspond au coût de production de l’événement, soit 82 898,63</w:t>
      </w:r>
      <w:r>
        <w:rPr>
          <w:rFonts w:cs="Times New Roman"/>
        </w:rPr>
        <w:t> </w:t>
      </w:r>
      <w:r w:rsidRPr="00AF53EC">
        <w:rPr>
          <w:rFonts w:cs="Times New Roman"/>
        </w:rPr>
        <w:t>$.</w:t>
      </w:r>
    </w:p>
    <w:p w:rsidR="007A5985" w:rsidRPr="00AF53EC" w:rsidRDefault="007A5985" w:rsidP="007A5985">
      <w:pPr>
        <w:pStyle w:val="ParaNoNdepar-AltN"/>
        <w:rPr>
          <w:rFonts w:cs="Times New Roman"/>
        </w:rPr>
      </w:pPr>
      <w:r w:rsidRPr="00AF53EC">
        <w:rPr>
          <w:rFonts w:cs="Times New Roman"/>
        </w:rPr>
        <w:t xml:space="preserve">En ce qui concerne le pouvoir discrétionnaire du tribunal de refuser ou de modifier l’étendue ou les modalités de la restitution dont traite l’al. 2 de l’art. 1699 </w:t>
      </w:r>
      <w:r w:rsidRPr="00AF53EC">
        <w:rPr>
          <w:rFonts w:cs="Times New Roman"/>
          <w:i/>
        </w:rPr>
        <w:lastRenderedPageBreak/>
        <w:t>C.c.Q.</w:t>
      </w:r>
      <w:r w:rsidRPr="00AF53EC">
        <w:rPr>
          <w:rFonts w:cs="Times New Roman"/>
        </w:rPr>
        <w:t>, la Ville ne nous convainc</w:t>
      </w:r>
      <w:r>
        <w:rPr>
          <w:rFonts w:cs="Times New Roman"/>
        </w:rPr>
        <w:t xml:space="preserve"> pas</w:t>
      </w:r>
      <w:r w:rsidRPr="00AF53EC">
        <w:rPr>
          <w:rFonts w:cs="Times New Roman"/>
        </w:rPr>
        <w:t xml:space="preserve"> qu’il y a lieu d’intervenir dans les conclusions des tribunaux d</w:t>
      </w:r>
      <w:r>
        <w:rPr>
          <w:rFonts w:cs="Times New Roman"/>
        </w:rPr>
        <w:t>e juridiction</w:t>
      </w:r>
      <w:r w:rsidRPr="00AF53EC">
        <w:rPr>
          <w:rFonts w:cs="Times New Roman"/>
        </w:rPr>
        <w:t xml:space="preserve"> inférieure à cet égard. Nous avons déjà écarté l’argument central de la Ville selon lequel un tribunal devrait systématiquement exercer son pouvoir discrétionnaire de refuser la restitution lorsque la procédure d’adjudication des contrats municipaux n’est pas respectée. Et, en l’espèce, la Ville n’a pas fait la preuve qu’un avantage indu serait accordé à Octane en cas de restitution intégrale. Comme le souligne la Cour d’appel, le juge de première instance a conclu que les services fournis par Octane pour les fins du lancement du plan de transport étaient de qualité et ont profité à la Ville</w:t>
      </w:r>
      <w:r>
        <w:rPr>
          <w:rFonts w:cs="Times New Roman"/>
        </w:rPr>
        <w:t xml:space="preserve"> (</w:t>
      </w:r>
      <w:r w:rsidRPr="00AF53EC">
        <w:rPr>
          <w:rFonts w:cs="Times New Roman"/>
        </w:rPr>
        <w:t>C</w:t>
      </w:r>
      <w:r>
        <w:rPr>
          <w:rFonts w:cs="Times New Roman"/>
        </w:rPr>
        <w:t>.A.</w:t>
      </w:r>
      <w:r w:rsidRPr="00AF53EC">
        <w:rPr>
          <w:rFonts w:cs="Times New Roman"/>
        </w:rPr>
        <w:t xml:space="preserve">, par. 63; </w:t>
      </w:r>
      <w:r>
        <w:rPr>
          <w:rFonts w:cs="Times New Roman"/>
        </w:rPr>
        <w:t>C.S.</w:t>
      </w:r>
      <w:r w:rsidRPr="00AF53EC">
        <w:rPr>
          <w:rFonts w:cs="Times New Roman"/>
        </w:rPr>
        <w:t>, par. 159-160</w:t>
      </w:r>
      <w:r>
        <w:rPr>
          <w:rFonts w:cs="Times New Roman"/>
        </w:rPr>
        <w:t>)</w:t>
      </w:r>
      <w:r w:rsidRPr="00AF53EC">
        <w:rPr>
          <w:rFonts w:cs="Times New Roman"/>
        </w:rPr>
        <w:t>. Elle souligne également que la Ville n’a pas contesté avoir pleinement profité</w:t>
      </w:r>
      <w:r>
        <w:rPr>
          <w:rFonts w:cs="Times New Roman"/>
        </w:rPr>
        <w:t xml:space="preserve"> de ces services (</w:t>
      </w:r>
      <w:r w:rsidRPr="00AF53EC">
        <w:rPr>
          <w:rFonts w:cs="Times New Roman"/>
        </w:rPr>
        <w:t>par. 6</w:t>
      </w:r>
      <w:r>
        <w:rPr>
          <w:rFonts w:cs="Times New Roman"/>
        </w:rPr>
        <w:t>4)</w:t>
      </w:r>
      <w:r w:rsidRPr="00AF53EC">
        <w:rPr>
          <w:rFonts w:cs="Times New Roman"/>
        </w:rPr>
        <w:t xml:space="preserve">. À vrai dire, force est de constater que refuser la restitution de la valeur des services rendus ici conférerait plutôt un avantage indu à la Ville. En bénéficiant de services reçus sans droit tout à fait gratuitement, elle s’enrichirait aux dépens d’Octane, qui assumerait une perte corrélative à ce gain injustifié. </w:t>
      </w:r>
    </w:p>
    <w:p w:rsidR="007A5985" w:rsidRPr="00AF53EC" w:rsidRDefault="007A5985" w:rsidP="007A5985">
      <w:pPr>
        <w:pStyle w:val="Title3LevelTitre3Niveau"/>
        <w:numPr>
          <w:ilvl w:val="2"/>
          <w:numId w:val="8"/>
        </w:numPr>
        <w:rPr>
          <w:rFonts w:cs="Times New Roman"/>
          <w:lang w:val="fr-CA"/>
        </w:rPr>
      </w:pPr>
      <w:r w:rsidRPr="00AF53EC">
        <w:rPr>
          <w:rFonts w:cs="Times New Roman"/>
          <w:lang w:val="fr-CA"/>
        </w:rPr>
        <w:t>La prescription applicable</w:t>
      </w:r>
    </w:p>
    <w:p w:rsidR="007A5985" w:rsidRPr="00AF53EC" w:rsidRDefault="007A5985" w:rsidP="007A5985">
      <w:pPr>
        <w:pStyle w:val="ParaNoNdepar-AltN"/>
        <w:rPr>
          <w:rFonts w:cs="Times New Roman"/>
        </w:rPr>
      </w:pPr>
      <w:r w:rsidRPr="00AF53EC">
        <w:rPr>
          <w:rFonts w:cs="Times New Roman"/>
        </w:rPr>
        <w:t>En dernier lieu, la Ville soutient qu’en</w:t>
      </w:r>
      <w:r w:rsidRPr="00AF53EC">
        <w:rPr>
          <w:rFonts w:cs="Times New Roman"/>
          <w:b/>
        </w:rPr>
        <w:t xml:space="preserve"> </w:t>
      </w:r>
      <w:r w:rsidRPr="00AF53EC">
        <w:rPr>
          <w:rFonts w:cs="Times New Roman"/>
        </w:rPr>
        <w:t xml:space="preserve">l’absence d’un contrat entre les parties, le recours d’Octane en répétition de l’indu est nécessairement de nature extracontractuelle. Ce recours est donc, à son avis, prescrit parce qu’intenté après l’expiration du délai de six mois prévu à l’art. 586 </w:t>
      </w:r>
      <w:r w:rsidRPr="00AF53EC">
        <w:rPr>
          <w:rFonts w:cs="Times New Roman"/>
          <w:i/>
        </w:rPr>
        <w:t>L.C.V.</w:t>
      </w:r>
      <w:r w:rsidRPr="00AF53EC">
        <w:rPr>
          <w:rFonts w:cs="Times New Roman"/>
        </w:rPr>
        <w:t xml:space="preserve"> La Cour supérieure et la Cour d’appel ont conclu que l’action</w:t>
      </w:r>
      <w:r>
        <w:rPr>
          <w:rFonts w:cs="Times New Roman"/>
        </w:rPr>
        <w:t xml:space="preserve"> d’Octane n’est pas prescrite</w:t>
      </w:r>
      <w:r w:rsidRPr="00AF53EC">
        <w:rPr>
          <w:rFonts w:cs="Times New Roman"/>
        </w:rPr>
        <w:t>. Nous sommes d’avis que l’argument de la Ville est voué à l’échec. Il témoigne d’une mauvaise compréhension de la notion de restitution des prestations en droit civil québécois.</w:t>
      </w:r>
    </w:p>
    <w:p w:rsidR="007A5985" w:rsidRPr="00AF53EC" w:rsidRDefault="007A5985" w:rsidP="007A5985">
      <w:pPr>
        <w:pStyle w:val="ParaNoNdepar-AltN"/>
        <w:rPr>
          <w:rFonts w:cs="Times New Roman"/>
        </w:rPr>
      </w:pPr>
      <w:r w:rsidRPr="00AF53EC">
        <w:rPr>
          <w:rFonts w:cs="Times New Roman"/>
        </w:rPr>
        <w:lastRenderedPageBreak/>
        <w:t>En effet, l’art</w:t>
      </w:r>
      <w:r>
        <w:rPr>
          <w:rFonts w:cs="Times New Roman"/>
        </w:rPr>
        <w:t>.</w:t>
      </w:r>
      <w:r w:rsidRPr="00AF53EC">
        <w:rPr>
          <w:rFonts w:cs="Times New Roman"/>
        </w:rPr>
        <w:t xml:space="preserve"> 586 </w:t>
      </w:r>
      <w:r w:rsidRPr="00AF53EC">
        <w:rPr>
          <w:rFonts w:cs="Times New Roman"/>
          <w:i/>
        </w:rPr>
        <w:t>L.C.V.</w:t>
      </w:r>
      <w:r w:rsidRPr="00AF53EC">
        <w:rPr>
          <w:rFonts w:cs="Times New Roman"/>
        </w:rPr>
        <w:t xml:space="preserve"> ne s’applique pas dans le présent dossier. Cette disposition est rédigée en ces termes :</w:t>
      </w:r>
    </w:p>
    <w:p w:rsidR="007A5985" w:rsidRPr="00AF53EC" w:rsidRDefault="007A5985" w:rsidP="007A5985">
      <w:pPr>
        <w:pStyle w:val="Citation-AltC"/>
        <w:ind w:firstLine="274"/>
      </w:pPr>
      <w:r w:rsidRPr="00B47D61">
        <w:rPr>
          <w:b/>
        </w:rPr>
        <w:t>586.</w:t>
      </w:r>
      <w:r w:rsidRPr="00AF53EC">
        <w:t xml:space="preserve"> </w:t>
      </w:r>
      <w:r w:rsidRPr="00AF53EC">
        <w:rPr>
          <w:u w:val="single"/>
        </w:rPr>
        <w:t>Toute action, poursuite ou réclamation contre la municipalité</w:t>
      </w:r>
      <w:r w:rsidRPr="00AF53EC">
        <w:t xml:space="preserve"> ou l’un de ses fonctionnaires ou employés, </w:t>
      </w:r>
      <w:r w:rsidRPr="00AF53EC">
        <w:rPr>
          <w:u w:val="single"/>
        </w:rPr>
        <w:t>pour dommages-intérêts</w:t>
      </w:r>
      <w:r w:rsidRPr="00AF53EC">
        <w:t xml:space="preserve"> résultant de fautes ou d’illégalités, </w:t>
      </w:r>
      <w:r w:rsidRPr="00AF53EC">
        <w:rPr>
          <w:u w:val="single"/>
        </w:rPr>
        <w:t>est prescrite par six mois</w:t>
      </w:r>
      <w:r w:rsidRPr="00AF53EC">
        <w:t xml:space="preserve"> à partir du jour où le droit d’action a pris naissance, nonobstant toute disposition de la loi à ce contraire. </w:t>
      </w:r>
    </w:p>
    <w:p w:rsidR="007A5985" w:rsidRPr="00AF53EC" w:rsidRDefault="007A5985" w:rsidP="007A5985">
      <w:pPr>
        <w:pStyle w:val="ContinueParaSuitedupar-AltP"/>
        <w:rPr>
          <w:rFonts w:cs="Times New Roman"/>
        </w:rPr>
      </w:pPr>
      <w:r w:rsidRPr="00AF53EC">
        <w:rPr>
          <w:rFonts w:cs="Times New Roman"/>
        </w:rPr>
        <w:t xml:space="preserve">Cet article déroge aux règles de prescription de droit commun. À ce titre, il doit être interprété de façon restrictive (C. Gervais, </w:t>
      </w:r>
      <w:r w:rsidRPr="00AF53EC">
        <w:rPr>
          <w:rFonts w:cs="Times New Roman"/>
          <w:i/>
        </w:rPr>
        <w:t>La prescription</w:t>
      </w:r>
      <w:r w:rsidRPr="00AF53EC">
        <w:rPr>
          <w:rFonts w:cs="Times New Roman"/>
        </w:rPr>
        <w:t xml:space="preserve"> (2009), p. 80; Hétu et Duplessis, par. 10.87). Suivant son libellé, le délai de prescription de six mois ne s’applique qu’à toute action, poursuite ou réclamation pour dommages-intérêts. Or, dans l’arrêt </w:t>
      </w:r>
      <w:r w:rsidRPr="00AF53EC">
        <w:rPr>
          <w:rFonts w:cs="Times New Roman"/>
          <w:i/>
        </w:rPr>
        <w:t>Amex</w:t>
      </w:r>
      <w:r w:rsidRPr="00AF53EC">
        <w:rPr>
          <w:rFonts w:cs="Times New Roman"/>
        </w:rPr>
        <w:t>, notre Cour écrit que « la restitution ne découle pas de la perpétration d’un fait fautif, et la réparation susceptible d’être ordonnée dans ce cas ne comprend pas les dommages-intérêts » (</w:t>
      </w:r>
      <w:r w:rsidRPr="00AF53EC">
        <w:rPr>
          <w:rFonts w:cs="Times New Roman"/>
          <w:i/>
        </w:rPr>
        <w:t>Amex</w:t>
      </w:r>
      <w:r w:rsidRPr="00AF53EC">
        <w:rPr>
          <w:rFonts w:cs="Times New Roman"/>
        </w:rPr>
        <w:t>, par. 32; Lluelles et Moore, nº</w:t>
      </w:r>
      <w:r>
        <w:rPr>
          <w:rFonts w:cs="Times New Roman"/>
        </w:rPr>
        <w:t xml:space="preserve"> </w:t>
      </w:r>
      <w:r w:rsidRPr="00AF53EC">
        <w:rPr>
          <w:rFonts w:cs="Times New Roman"/>
        </w:rPr>
        <w:t xml:space="preserve">1253; Fréchette, </w:t>
      </w:r>
      <w:r>
        <w:rPr>
          <w:rFonts w:cs="Times New Roman"/>
        </w:rPr>
        <w:t>p. </w:t>
      </w:r>
      <w:r w:rsidRPr="00AF53EC">
        <w:rPr>
          <w:rFonts w:cs="Times New Roman"/>
        </w:rPr>
        <w:t>14</w:t>
      </w:r>
      <w:r>
        <w:rPr>
          <w:rFonts w:cs="Times New Roman"/>
        </w:rPr>
        <w:t>9-150</w:t>
      </w:r>
      <w:r w:rsidRPr="00AF53EC">
        <w:rPr>
          <w:rFonts w:cs="Times New Roman"/>
        </w:rPr>
        <w:t xml:space="preserve"> et 26</w:t>
      </w:r>
      <w:r>
        <w:rPr>
          <w:rFonts w:cs="Times New Roman"/>
        </w:rPr>
        <w:t>6-267</w:t>
      </w:r>
      <w:r w:rsidRPr="00AF53EC">
        <w:rPr>
          <w:rFonts w:cs="Times New Roman"/>
        </w:rPr>
        <w:t xml:space="preserve">). Ce raisonnement s’explique par le fait que la restitution des prestations obéit à un mécanisme qui lui est propre et qui se distingue de l’octroi de dommages-intérêts. Si le régime de la responsabilité se fonde sur l’obligation de réparer le préjudice causé à autrui par sa faute (art. 1457 </w:t>
      </w:r>
      <w:r w:rsidRPr="00AF53EC">
        <w:rPr>
          <w:rFonts w:cs="Times New Roman"/>
          <w:i/>
        </w:rPr>
        <w:t>C.c.Q.</w:t>
      </w:r>
      <w:r w:rsidRPr="00AF53EC">
        <w:rPr>
          <w:rFonts w:cs="Times New Roman"/>
        </w:rPr>
        <w:t>), celui de la restitution des prestations repose sur la nécessité de remettre les parties en état, indépendamment de la faute commise par l’une d’elles (Fréchette, p. 13</w:t>
      </w:r>
      <w:r>
        <w:rPr>
          <w:rFonts w:cs="Times New Roman"/>
        </w:rPr>
        <w:t>9-140</w:t>
      </w:r>
      <w:r w:rsidRPr="00AF53EC">
        <w:rPr>
          <w:rFonts w:cs="Times New Roman"/>
        </w:rPr>
        <w:t>). Dans le cas de la répétition de l’indu, la restitution découle de l’absence d’obligation d’exécuter une prestation (</w:t>
      </w:r>
      <w:r w:rsidRPr="00AF53EC">
        <w:rPr>
          <w:rFonts w:cs="Times New Roman"/>
          <w:i/>
        </w:rPr>
        <w:t>Amex</w:t>
      </w:r>
      <w:r w:rsidRPr="00AF53EC">
        <w:rPr>
          <w:rFonts w:cs="Times New Roman"/>
        </w:rPr>
        <w:t>, par. 32). La remise en état qu’elle entraîne ne se qualifie pas de dommages-intérêts.</w:t>
      </w:r>
    </w:p>
    <w:p w:rsidR="007A5985" w:rsidRPr="00AF53EC" w:rsidRDefault="007A5985" w:rsidP="007A5985">
      <w:pPr>
        <w:pStyle w:val="ParaNoNdepar-AltN"/>
        <w:rPr>
          <w:rFonts w:cs="Times New Roman"/>
        </w:rPr>
      </w:pPr>
      <w:r w:rsidRPr="00AF53EC">
        <w:rPr>
          <w:rFonts w:cs="Times New Roman"/>
        </w:rPr>
        <w:t xml:space="preserve">Par ailleurs, la doctrine et la jurisprudence reconnaissent que le recours en répétition de l’indu est assujetti au délai de droit commun de trois ans prévu à </w:t>
      </w:r>
      <w:r w:rsidRPr="00AF53EC">
        <w:rPr>
          <w:rFonts w:cs="Times New Roman"/>
        </w:rPr>
        <w:lastRenderedPageBreak/>
        <w:t>l’art.</w:t>
      </w:r>
      <w:r>
        <w:rPr>
          <w:rFonts w:cs="Times New Roman"/>
        </w:rPr>
        <w:t> </w:t>
      </w:r>
      <w:r w:rsidRPr="00AF53EC">
        <w:rPr>
          <w:rFonts w:cs="Times New Roman"/>
        </w:rPr>
        <w:t xml:space="preserve">2925 </w:t>
      </w:r>
      <w:r w:rsidRPr="00AF53EC">
        <w:rPr>
          <w:rFonts w:cs="Times New Roman"/>
          <w:i/>
        </w:rPr>
        <w:t>C.c.Q</w:t>
      </w:r>
      <w:r w:rsidRPr="00764836">
        <w:rPr>
          <w:rFonts w:cs="Times New Roman"/>
          <w:i/>
        </w:rPr>
        <w:t>.</w:t>
      </w:r>
      <w:r w:rsidRPr="00AF53EC">
        <w:rPr>
          <w:rFonts w:cs="Times New Roman"/>
        </w:rPr>
        <w:t xml:space="preserve"> (Baudouin et Jobin, nº</w:t>
      </w:r>
      <w:r>
        <w:rPr>
          <w:rFonts w:cs="Times New Roman"/>
        </w:rPr>
        <w:t xml:space="preserve"> </w:t>
      </w:r>
      <w:r w:rsidRPr="00AF53EC">
        <w:rPr>
          <w:rFonts w:cs="Times New Roman"/>
        </w:rPr>
        <w:t>533</w:t>
      </w:r>
      <w:r>
        <w:rPr>
          <w:rFonts w:cs="Times New Roman"/>
        </w:rPr>
        <w:t>;</w:t>
      </w:r>
      <w:r w:rsidRPr="00AF53EC">
        <w:rPr>
          <w:rFonts w:cs="Times New Roman"/>
        </w:rPr>
        <w:t xml:space="preserve"> </w:t>
      </w:r>
      <w:r w:rsidRPr="00AF53EC">
        <w:rPr>
          <w:rFonts w:cs="Times New Roman"/>
          <w:i/>
        </w:rPr>
        <w:t>Tremblay c. 2543-7443 Québec inc.</w:t>
      </w:r>
      <w:r w:rsidRPr="00AF53EC">
        <w:rPr>
          <w:rFonts w:cs="Times New Roman"/>
        </w:rPr>
        <w:t xml:space="preserve">, </w:t>
      </w:r>
      <w:r>
        <w:rPr>
          <w:rFonts w:cs="Times New Roman"/>
        </w:rPr>
        <w:t>1999 CanLII 11903</w:t>
      </w:r>
      <w:r w:rsidRPr="00AF53EC">
        <w:rPr>
          <w:rFonts w:cs="Times New Roman"/>
        </w:rPr>
        <w:t xml:space="preserve"> (C.S.</w:t>
      </w:r>
      <w:r>
        <w:rPr>
          <w:rFonts w:cs="Times New Roman"/>
        </w:rPr>
        <w:t xml:space="preserve"> Qc</w:t>
      </w:r>
      <w:r w:rsidRPr="00AF53EC">
        <w:rPr>
          <w:rFonts w:cs="Times New Roman"/>
        </w:rPr>
        <w:t xml:space="preserve">); </w:t>
      </w:r>
      <w:r w:rsidRPr="00AF53EC">
        <w:rPr>
          <w:rFonts w:cs="Times New Roman"/>
          <w:i/>
        </w:rPr>
        <w:t>Steckmar Corp. c. Consultants Zenda ltée</w:t>
      </w:r>
      <w:r w:rsidRPr="00AF53EC">
        <w:rPr>
          <w:rFonts w:cs="Times New Roman"/>
        </w:rPr>
        <w:t xml:space="preserve">, </w:t>
      </w:r>
      <w:r>
        <w:rPr>
          <w:rFonts w:cs="Times New Roman"/>
        </w:rPr>
        <w:t>2000 CanLII 18061</w:t>
      </w:r>
      <w:r w:rsidRPr="00AF53EC">
        <w:rPr>
          <w:rFonts w:cs="Times New Roman"/>
        </w:rPr>
        <w:t xml:space="preserve"> (C.S.</w:t>
      </w:r>
      <w:r>
        <w:rPr>
          <w:rFonts w:cs="Times New Roman"/>
        </w:rPr>
        <w:t xml:space="preserve"> Qc</w:t>
      </w:r>
      <w:r w:rsidRPr="00AF53EC">
        <w:rPr>
          <w:rFonts w:cs="Times New Roman"/>
        </w:rPr>
        <w:t xml:space="preserve">)). C’est ce délai qui s’applique ici. Le recours d’Octane contre la Ville intenté le 14 mai 2010 n’est pas prescrit. </w:t>
      </w:r>
    </w:p>
    <w:p w:rsidR="007A5985" w:rsidRPr="00AF53EC" w:rsidRDefault="007A5985" w:rsidP="007A5985">
      <w:pPr>
        <w:pStyle w:val="Title2LevelTitre2Niveau"/>
        <w:numPr>
          <w:ilvl w:val="1"/>
          <w:numId w:val="8"/>
        </w:numPr>
        <w:jc w:val="left"/>
        <w:rPr>
          <w:rFonts w:cs="Times New Roman"/>
          <w:lang w:val="fr-CA"/>
        </w:rPr>
      </w:pPr>
      <w:r w:rsidRPr="00AF53EC">
        <w:rPr>
          <w:rFonts w:cs="Times New Roman"/>
          <w:lang w:val="fr-CA"/>
        </w:rPr>
        <w:t>Le recours d’Octane contre M. Thériault</w:t>
      </w:r>
    </w:p>
    <w:p w:rsidR="007A5985" w:rsidRPr="00AF53EC" w:rsidRDefault="007A5985" w:rsidP="007A5985">
      <w:pPr>
        <w:pStyle w:val="ParaNoNdepar-AltN"/>
        <w:rPr>
          <w:rFonts w:cs="Times New Roman"/>
        </w:rPr>
      </w:pPr>
      <w:r w:rsidRPr="00AF53EC">
        <w:rPr>
          <w:rFonts w:cs="Times New Roman"/>
        </w:rPr>
        <w:t>Nous notons en terminant que le juge de première instance a estimé que les faits le justifiaient de conclure à la responsabilité personnelle de M. Thériault puisque ce dernier n’a pas seulement octroyé le mandat à Octane, mais aussi donné des assurances, avant les versements à PGB, que la Ville paierait pour les frais engagés. Le juge ajoute que M. Thériault n’a rien fait pour donner suite à ces promesses et s’</w:t>
      </w:r>
      <w:r>
        <w:rPr>
          <w:rFonts w:cs="Times New Roman"/>
        </w:rPr>
        <w:t>assurer qu’Octane soit payée (</w:t>
      </w:r>
      <w:r w:rsidRPr="00AF53EC">
        <w:rPr>
          <w:rFonts w:cs="Times New Roman"/>
        </w:rPr>
        <w:t>C</w:t>
      </w:r>
      <w:r>
        <w:rPr>
          <w:rFonts w:cs="Times New Roman"/>
        </w:rPr>
        <w:t>.</w:t>
      </w:r>
      <w:r w:rsidRPr="00AF53EC">
        <w:rPr>
          <w:rFonts w:cs="Times New Roman"/>
        </w:rPr>
        <w:t>S</w:t>
      </w:r>
      <w:r>
        <w:rPr>
          <w:rFonts w:cs="Times New Roman"/>
        </w:rPr>
        <w:t>.</w:t>
      </w:r>
      <w:r w:rsidRPr="00AF53EC">
        <w:rPr>
          <w:rFonts w:cs="Times New Roman"/>
        </w:rPr>
        <w:t>, par. 128-135</w:t>
      </w:r>
      <w:r>
        <w:rPr>
          <w:rFonts w:cs="Times New Roman"/>
        </w:rPr>
        <w:t>)</w:t>
      </w:r>
      <w:r w:rsidRPr="00AF53EC">
        <w:rPr>
          <w:rFonts w:cs="Times New Roman"/>
        </w:rPr>
        <w:t>. Il souligne que, s’il n’avait pas accueilli la conclusion principale contre la Ville, il aurait accueilli la conclusion subsidiaire contre M. </w:t>
      </w:r>
      <w:r>
        <w:rPr>
          <w:rFonts w:cs="Times New Roman"/>
        </w:rPr>
        <w:t>Thériault (</w:t>
      </w:r>
      <w:r w:rsidRPr="00AF53EC">
        <w:rPr>
          <w:rFonts w:cs="Times New Roman"/>
        </w:rPr>
        <w:t>C</w:t>
      </w:r>
      <w:r>
        <w:rPr>
          <w:rFonts w:cs="Times New Roman"/>
        </w:rPr>
        <w:t>.</w:t>
      </w:r>
      <w:r w:rsidRPr="00AF53EC">
        <w:rPr>
          <w:rFonts w:cs="Times New Roman"/>
        </w:rPr>
        <w:t>S</w:t>
      </w:r>
      <w:r>
        <w:rPr>
          <w:rFonts w:cs="Times New Roman"/>
        </w:rPr>
        <w:t>.</w:t>
      </w:r>
      <w:r w:rsidRPr="00AF53EC">
        <w:rPr>
          <w:rFonts w:cs="Times New Roman"/>
        </w:rPr>
        <w:t>, par. 169</w:t>
      </w:r>
      <w:r>
        <w:rPr>
          <w:rFonts w:cs="Times New Roman"/>
        </w:rPr>
        <w:t>)</w:t>
      </w:r>
      <w:r w:rsidRPr="00AF53EC">
        <w:rPr>
          <w:rFonts w:cs="Times New Roman"/>
        </w:rPr>
        <w:t>.</w:t>
      </w:r>
    </w:p>
    <w:p w:rsidR="007A5985" w:rsidRPr="00AF53EC" w:rsidRDefault="007A5985" w:rsidP="007A5985">
      <w:pPr>
        <w:pStyle w:val="ParaNoNdepar-AltN"/>
        <w:rPr>
          <w:rFonts w:cs="Times New Roman"/>
        </w:rPr>
      </w:pPr>
      <w:r w:rsidRPr="00AF53EC">
        <w:rPr>
          <w:rFonts w:cs="Times New Roman"/>
        </w:rPr>
        <w:t xml:space="preserve">Puisque nous concluons que l’appel de la Ville doit être rejeté, il n’y a pas lieu de trancher la question soulevée par l’appel d’Octane sur la responsabilité personnelle de M. Thériault. Nous croyons toutefois utile de préciser ce qui suit. Le régime de la responsabilité civile de droit commun s’applique aux divers acteurs du monde municipal, que ce soit l’élu, le fonctionnaire ou encore le membre du personnel politique. Pour reprendre les propos des juges </w:t>
      </w:r>
      <w:r>
        <w:rPr>
          <w:rFonts w:cs="Times New Roman"/>
        </w:rPr>
        <w:t>L’Heureux-Dubé</w:t>
      </w:r>
      <w:r w:rsidRPr="00AF53EC">
        <w:rPr>
          <w:rFonts w:cs="Times New Roman"/>
        </w:rPr>
        <w:t xml:space="preserve"> et LeBel dans l’arrêt </w:t>
      </w:r>
      <w:r w:rsidRPr="00AF53EC">
        <w:rPr>
          <w:rFonts w:cs="Times New Roman"/>
          <w:i/>
        </w:rPr>
        <w:t>Prud’homme</w:t>
      </w:r>
      <w:r w:rsidRPr="00AF53EC">
        <w:rPr>
          <w:rFonts w:cs="Times New Roman"/>
        </w:rPr>
        <w:t>, « comme toute autre personne, l’élu municipal est susceptible de commettre, dans l’exercice de ses fonctions, une faute préjudiciable à des personnes en particulier</w:t>
      </w:r>
      <w:r>
        <w:rPr>
          <w:rFonts w:cs="Times New Roman"/>
        </w:rPr>
        <w:t xml:space="preserve"> [. . .</w:t>
      </w:r>
      <w:r w:rsidRPr="00AF53EC">
        <w:rPr>
          <w:rFonts w:cs="Times New Roman"/>
        </w:rPr>
        <w:t>] [H]ors du cadre de l’action collégiale du conseil, [il] demeure en principe personnellement responsable de son acte individuel fautif. » (</w:t>
      </w:r>
      <w:r w:rsidRPr="00AF53EC">
        <w:rPr>
          <w:rFonts w:cs="Times New Roman"/>
          <w:i/>
        </w:rPr>
        <w:t>Prud’homme</w:t>
      </w:r>
      <w:r w:rsidRPr="00AF53EC">
        <w:rPr>
          <w:rFonts w:cs="Times New Roman"/>
        </w:rPr>
        <w:t xml:space="preserve">, </w:t>
      </w:r>
      <w:r w:rsidRPr="00AF53EC">
        <w:rPr>
          <w:rFonts w:cs="Times New Roman"/>
        </w:rPr>
        <w:lastRenderedPageBreak/>
        <w:t>par. 16 et 21). Ces propos s’appliquent à plus forte raison aux fonctionnaires municipaux et aux membres du personnel politique, lesquels n’ont pas le statut juridique « </w:t>
      </w:r>
      <w:r>
        <w:rPr>
          <w:rFonts w:cs="Times New Roman"/>
        </w:rPr>
        <w:t>ambigu</w:t>
      </w:r>
      <w:r w:rsidRPr="00AF53EC">
        <w:rPr>
          <w:rFonts w:cs="Times New Roman"/>
        </w:rPr>
        <w:t> » ou « </w:t>
      </w:r>
      <w:r>
        <w:rPr>
          <w:rFonts w:cs="Times New Roman"/>
        </w:rPr>
        <w:t>hybride</w:t>
      </w:r>
      <w:r w:rsidRPr="00AF53EC">
        <w:rPr>
          <w:rFonts w:cs="Times New Roman"/>
        </w:rPr>
        <w:t> » de l’élu municipal qui représente à la fois la municipalité et les citoyens qui l’ont élu (</w:t>
      </w:r>
      <w:r w:rsidRPr="00AF53EC">
        <w:rPr>
          <w:rFonts w:cs="Times New Roman"/>
          <w:i/>
        </w:rPr>
        <w:t>Prud’homme</w:t>
      </w:r>
      <w:r w:rsidRPr="00AF53EC">
        <w:rPr>
          <w:rFonts w:cs="Times New Roman"/>
        </w:rPr>
        <w:t>, par. 20</w:t>
      </w:r>
      <w:r>
        <w:rPr>
          <w:rFonts w:cs="Times New Roman"/>
        </w:rPr>
        <w:t xml:space="preserve"> et 23</w:t>
      </w:r>
      <w:r w:rsidRPr="00AF53EC">
        <w:rPr>
          <w:rFonts w:cs="Times New Roman"/>
        </w:rPr>
        <w:t>). Ces personnes peuvent engager leur responsabilité si elles formulent des engagements ou donnent des assurances en prétendant qu’elles le font au nom de la municipalité, tout en sachant pertinemment qu’il n’en est rien.</w:t>
      </w:r>
    </w:p>
    <w:p w:rsidR="007A5985" w:rsidRPr="00AF53EC" w:rsidRDefault="007A5985" w:rsidP="007A5985">
      <w:pPr>
        <w:pStyle w:val="Title1LevelTitre1Niveau-AltL"/>
        <w:numPr>
          <w:ilvl w:val="0"/>
          <w:numId w:val="8"/>
        </w:numPr>
        <w:jc w:val="left"/>
        <w:rPr>
          <w:rFonts w:cs="Times New Roman"/>
          <w:lang w:val="fr-CA"/>
        </w:rPr>
      </w:pPr>
      <w:r w:rsidRPr="00AF53EC">
        <w:rPr>
          <w:rFonts w:cs="Times New Roman"/>
          <w:lang w:val="fr-CA"/>
        </w:rPr>
        <w:t>Conclusion</w:t>
      </w:r>
    </w:p>
    <w:p w:rsidR="007A5985" w:rsidRPr="00AF53EC" w:rsidRDefault="007A5985" w:rsidP="007A5985">
      <w:pPr>
        <w:pStyle w:val="ParaNoNdepar-AltN"/>
        <w:rPr>
          <w:rFonts w:cs="Times New Roman"/>
        </w:rPr>
      </w:pPr>
      <w:r w:rsidRPr="00AF53EC">
        <w:rPr>
          <w:rFonts w:cs="Times New Roman"/>
        </w:rPr>
        <w:t>La Cour supérieure et la Cour d’appel se sont bien dirigées en droit en concluant que le régime de la restitution des prestations des art. 1699 et s</w:t>
      </w:r>
      <w:r>
        <w:rPr>
          <w:rFonts w:cs="Times New Roman"/>
        </w:rPr>
        <w:t>uiv</w:t>
      </w:r>
      <w:r w:rsidRPr="00AF53EC">
        <w:rPr>
          <w:rFonts w:cs="Times New Roman"/>
        </w:rPr>
        <w:t xml:space="preserve">. </w:t>
      </w:r>
      <w:r w:rsidRPr="00AF53EC">
        <w:rPr>
          <w:rFonts w:cs="Times New Roman"/>
          <w:i/>
        </w:rPr>
        <w:t>C.c.Q.</w:t>
      </w:r>
      <w:r w:rsidRPr="00AF53EC">
        <w:rPr>
          <w:rFonts w:cs="Times New Roman"/>
        </w:rPr>
        <w:t xml:space="preserve"> s’applique en matière municipale. Cependant, la remise en état des parties ne pouvait être ordonnée sur la base d’un acte juridique nul compte tenu de l’inexistence d’un contrat entre la Ville et Octane pour la prestation des services relatifs à la production de l’événement de lancement du 17 mai 2007. Cette remise en état s’impose plutôt ici sur la base du régime de la réception de l’indu pour la valeur des services que la Ville a reçus sans droit. La conclusion du juge de première instance selon laquelle la juste valeur des services rendus représente le coût de production de l’événement assumé par Octane, soit 82 898,63</w:t>
      </w:r>
      <w:r>
        <w:rPr>
          <w:rFonts w:cs="Times New Roman"/>
        </w:rPr>
        <w:t xml:space="preserve"> </w:t>
      </w:r>
      <w:r w:rsidRPr="00AF53EC">
        <w:rPr>
          <w:rFonts w:cs="Times New Roman"/>
        </w:rPr>
        <w:t>$, n’est entachée d’aucune erreur manifeste et déterminante qui justifierait l’intervention de notre Cour. Les tribunaux d</w:t>
      </w:r>
      <w:r>
        <w:rPr>
          <w:rFonts w:cs="Times New Roman"/>
        </w:rPr>
        <w:t>e juridiction</w:t>
      </w:r>
      <w:r w:rsidRPr="00AF53EC">
        <w:rPr>
          <w:rFonts w:cs="Times New Roman"/>
        </w:rPr>
        <w:t xml:space="preserve"> inférieure n’ont pas non plus commis d’erreur en refusant d’exercer le pouvoir discrétionnaire de refuser ou de modifier l’étendue ou les modalités de la restitution. En conséquence, l’appel de la Ville dans le dossier 38066 est rejeté. Il s’ensuit que l’appel d’Octane dans le dossier 38073 est sans objet.</w:t>
      </w:r>
    </w:p>
    <w:p w:rsidR="007A5985" w:rsidRPr="00AF53EC" w:rsidRDefault="007A5985" w:rsidP="007A5985">
      <w:pPr>
        <w:pStyle w:val="ParaNoNdepar-AltN"/>
        <w:rPr>
          <w:rFonts w:cs="Times New Roman"/>
        </w:rPr>
      </w:pPr>
      <w:r w:rsidRPr="00AF53EC">
        <w:rPr>
          <w:rFonts w:cs="Times New Roman"/>
        </w:rPr>
        <w:lastRenderedPageBreak/>
        <w:t xml:space="preserve">Pour ce qui est de la question des dépens, Octane réclame ceux-ci sur la base habituelle pour les procédures devant les juridictions d’instance inférieure, mais sur la base avocat-client pour les procédures devant notre Cour. </w:t>
      </w:r>
      <w:r w:rsidRPr="00AF53EC">
        <w:rPr>
          <w:rFonts w:cs="Times New Roman"/>
          <w:szCs w:val="24"/>
        </w:rPr>
        <w:t>Elle avance que les circonstances exceptionnelles qui justifient l’octroi de tels dépens sont établies en l’espèce. Elle souligne que sa réclamation ne vise que le remboursement d’un débours</w:t>
      </w:r>
      <w:r>
        <w:rPr>
          <w:rFonts w:cs="Times New Roman"/>
          <w:szCs w:val="24"/>
        </w:rPr>
        <w:t>é</w:t>
      </w:r>
      <w:r w:rsidRPr="00AF53EC">
        <w:rPr>
          <w:rFonts w:cs="Times New Roman"/>
          <w:szCs w:val="24"/>
        </w:rPr>
        <w:t>, soit les coûts de PGB, sans profit ni frais de gestion. Dans ce contexte, il serait disproportionné de lui faire assumer les honoraires et débours d’avocat pour les procédures devant nous. Elle fait valoir que l’intérêt de la Ville à faire trancher les questions en litige dépasse le cadre factuel de l’affaire, notamment en ce qui concerne l’application du régime de la restitution des prestations en matière municipale et la naissance du contrat municipal</w:t>
      </w:r>
      <w:r w:rsidRPr="00AF53EC">
        <w:rPr>
          <w:rFonts w:cs="Times New Roman"/>
        </w:rPr>
        <w:t>.</w:t>
      </w:r>
    </w:p>
    <w:p w:rsidR="007A5985" w:rsidRPr="00AF53EC" w:rsidRDefault="007A5985" w:rsidP="007A5985">
      <w:pPr>
        <w:pStyle w:val="ParaNoNdepar-AltN"/>
        <w:rPr>
          <w:rFonts w:cs="Times New Roman"/>
        </w:rPr>
      </w:pPr>
      <w:r w:rsidRPr="00AF53EC">
        <w:rPr>
          <w:rFonts w:cs="Times New Roman"/>
        </w:rPr>
        <w:t>Il n’y a pas lieu de faire droit à cette demande. Notre Cour n’octroie les dépens sur la base avocat-client que dans des cas d’exception, par exemple lorsqu’une des parties fait preuve d’une conduite répréhensible, scandaleuse ou outrageante</w:t>
      </w:r>
      <w:r w:rsidRPr="00AF53EC">
        <w:rPr>
          <w:rFonts w:cs="Times New Roman"/>
          <w:spacing w:val="-3"/>
          <w:shd w:val="clear" w:color="auto" w:fill="FFFFFF"/>
        </w:rPr>
        <w:t xml:space="preserve"> (</w:t>
      </w:r>
      <w:r w:rsidRPr="00AF53EC">
        <w:rPr>
          <w:rFonts w:cs="Times New Roman"/>
          <w:i/>
          <w:spacing w:val="-3"/>
          <w:shd w:val="clear" w:color="auto" w:fill="FFFFFF"/>
        </w:rPr>
        <w:t>Young c. Young</w:t>
      </w:r>
      <w:r>
        <w:rPr>
          <w:rFonts w:cs="Times New Roman"/>
          <w:spacing w:val="-3"/>
          <w:shd w:val="clear" w:color="auto" w:fill="FFFFFF"/>
        </w:rPr>
        <w:t xml:space="preserve">, [1993] 4 R.C.S. 3, </w:t>
      </w:r>
      <w:r w:rsidRPr="00AF53EC">
        <w:rPr>
          <w:rFonts w:cs="Times New Roman"/>
          <w:spacing w:val="-3"/>
          <w:shd w:val="clear" w:color="auto" w:fill="FFFFFF"/>
        </w:rPr>
        <w:t xml:space="preserve">p. 134; </w:t>
      </w:r>
      <w:r w:rsidRPr="00AF53EC">
        <w:rPr>
          <w:rFonts w:cs="Times New Roman"/>
          <w:i/>
        </w:rPr>
        <w:t>Mackin c. Nouveau-Brunswick (Ministre des Finances)</w:t>
      </w:r>
      <w:r w:rsidRPr="00F525E8">
        <w:rPr>
          <w:rFonts w:cs="Times New Roman"/>
        </w:rPr>
        <w:t>;</w:t>
      </w:r>
      <w:r w:rsidRPr="00AF53EC">
        <w:rPr>
          <w:rFonts w:cs="Times New Roman"/>
          <w:i/>
        </w:rPr>
        <w:t xml:space="preserve"> Rice c. Nouveau-Brunswick</w:t>
      </w:r>
      <w:r w:rsidRPr="00AF53EC">
        <w:rPr>
          <w:rFonts w:cs="Times New Roman"/>
        </w:rPr>
        <w:t>, 2002 CSC 13</w:t>
      </w:r>
      <w:r>
        <w:rPr>
          <w:rFonts w:cs="Times New Roman"/>
        </w:rPr>
        <w:t xml:space="preserve">, </w:t>
      </w:r>
      <w:r w:rsidRPr="00AF53EC">
        <w:rPr>
          <w:rFonts w:cs="Times New Roman"/>
        </w:rPr>
        <w:t xml:space="preserve">[2002] 1 R.C.S. 405, par. 86; </w:t>
      </w:r>
      <w:r w:rsidRPr="00AF53EC">
        <w:rPr>
          <w:rFonts w:cs="Times New Roman"/>
          <w:i/>
        </w:rPr>
        <w:t>Colombie-Britannique (Ministre des Forêts) c. Bande indienne Okanagan</w:t>
      </w:r>
      <w:r w:rsidRPr="00AF53EC">
        <w:rPr>
          <w:rFonts w:cs="Times New Roman"/>
        </w:rPr>
        <w:t>, 2003 CSC 71</w:t>
      </w:r>
      <w:r>
        <w:rPr>
          <w:rFonts w:cs="Times New Roman"/>
        </w:rPr>
        <w:t xml:space="preserve">, </w:t>
      </w:r>
      <w:r w:rsidRPr="00AF53EC">
        <w:rPr>
          <w:rFonts w:cs="Times New Roman"/>
        </w:rPr>
        <w:t>[2003] 3 R.C.S. 371, par. 60) ou encore lorsque le pourvoi soulève des questions d’importance générale qui dépassent le cas particulier de la partie gagnante (</w:t>
      </w:r>
      <w:r w:rsidRPr="00AF53EC">
        <w:rPr>
          <w:rFonts w:cs="Times New Roman"/>
          <w:i/>
        </w:rPr>
        <w:t>Finney c. Barreau du Québec</w:t>
      </w:r>
      <w:r w:rsidRPr="00AF53EC">
        <w:rPr>
          <w:rFonts w:cs="Times New Roman"/>
        </w:rPr>
        <w:t xml:space="preserve">, 2004 CSC 36, [2004] 2 R.C.S. 17, par. 48; </w:t>
      </w:r>
      <w:r w:rsidRPr="00AF53EC">
        <w:rPr>
          <w:rFonts w:cs="Times New Roman"/>
          <w:i/>
        </w:rPr>
        <w:t>Richard c. Time Inc.</w:t>
      </w:r>
      <w:r w:rsidRPr="00AF53EC">
        <w:rPr>
          <w:rFonts w:cs="Times New Roman"/>
        </w:rPr>
        <w:t xml:space="preserve">, 2012 CSC 8, [2012] 1 R.C.S. 265, par. 216; </w:t>
      </w:r>
      <w:r>
        <w:rPr>
          <w:rFonts w:cs="Times New Roman"/>
          <w:i/>
        </w:rPr>
        <w:t>Schachter c</w:t>
      </w:r>
      <w:r w:rsidRPr="00AF53EC">
        <w:rPr>
          <w:rFonts w:cs="Times New Roman"/>
          <w:i/>
        </w:rPr>
        <w:t>. Canada</w:t>
      </w:r>
      <w:r w:rsidRPr="00AF53EC">
        <w:rPr>
          <w:rFonts w:cs="Times New Roman"/>
        </w:rPr>
        <w:t xml:space="preserve">, [1992] 2 R.C.S. 679, p. 726). Ce n’est pas le cas ici. Le fait qu’Octane ait engagé des coûts supplémentaires pour défendre sa position devant notre Cour ou que les enjeux au cœur du pourvoi présentent un intérêt particulier pour la Ville ne justifient pas de déroger à la pratique </w:t>
      </w:r>
      <w:r w:rsidRPr="00AF53EC">
        <w:rPr>
          <w:rFonts w:cs="Times New Roman"/>
        </w:rPr>
        <w:lastRenderedPageBreak/>
        <w:t>habituelle en cette matière. Nous sommes donc d’avis d’accorder les dépens en faveur d’Octane sur la base habituelle devant toutes les cours dans le dossier 38066. Dans le dossier 38073 où l’appel est sans objet, aucun dépens n’est octroyé.</w:t>
      </w:r>
    </w:p>
    <w:p w:rsidR="007A5985" w:rsidRDefault="007A5985" w:rsidP="007A5985">
      <w:pPr>
        <w:pStyle w:val="SCCNormalDoubleSpacing"/>
        <w:spacing w:after="480"/>
        <w:rPr>
          <w:rStyle w:val="SCCCounselPartyRoleChar"/>
          <w:lang w:val="fr-CA"/>
        </w:rPr>
      </w:pPr>
    </w:p>
    <w:p w:rsidR="007A5985" w:rsidRPr="003E7E62" w:rsidRDefault="003E7E62" w:rsidP="003E7E62">
      <w:pPr>
        <w:pStyle w:val="JudgeJuge"/>
        <w:rPr>
          <w:smallCaps w:val="0"/>
        </w:rPr>
      </w:pPr>
      <w:r>
        <w:tab/>
      </w:r>
      <w:r w:rsidR="007A5985" w:rsidRPr="003E7E62">
        <w:rPr>
          <w:smallCaps w:val="0"/>
        </w:rPr>
        <w:t>Les motifs des juges Moldaver, Côté et Brown ont été rendus par</w:t>
      </w:r>
    </w:p>
    <w:p w:rsidR="007A5985" w:rsidRPr="001561A8" w:rsidRDefault="00383D71" w:rsidP="007A5985">
      <w:pPr>
        <w:pStyle w:val="JudgeJuge"/>
      </w:pPr>
      <w:r>
        <w:tab/>
        <w:t>Les juges Côté et Brown</w:t>
      </w:r>
      <w:r w:rsidRPr="00383D71">
        <w:rPr>
          <w:smallCaps w:val="0"/>
        </w:rPr>
        <w:t xml:space="preserve"> (dissidents)</w:t>
      </w:r>
      <w:r>
        <w:t xml:space="preserve"> </w:t>
      </w:r>
      <w:r w:rsidR="007A5985" w:rsidRPr="001561A8">
        <w:t xml:space="preserve">— </w:t>
      </w:r>
    </w:p>
    <w:p w:rsidR="007A5985" w:rsidRPr="001D1B0B" w:rsidRDefault="007A5985" w:rsidP="001D1B0B">
      <w:pPr>
        <w:pStyle w:val="Title1LevelTitre1Niveau-AltL"/>
        <w:numPr>
          <w:ilvl w:val="0"/>
          <w:numId w:val="39"/>
        </w:numPr>
        <w:rPr>
          <w:rFonts w:cs="Times New Roman"/>
        </w:rPr>
      </w:pPr>
      <w:bookmarkStart w:id="1" w:name="_Toc17794463"/>
      <w:bookmarkStart w:id="2" w:name="_Toc17880121"/>
      <w:r w:rsidRPr="001D1B0B">
        <w:rPr>
          <w:rFonts w:cs="Times New Roman"/>
        </w:rPr>
        <w:t>Introduction</w:t>
      </w:r>
      <w:bookmarkEnd w:id="1"/>
      <w:bookmarkEnd w:id="2"/>
    </w:p>
    <w:p w:rsidR="007A5985" w:rsidRPr="001561A8" w:rsidRDefault="007A5985" w:rsidP="007A5985">
      <w:pPr>
        <w:pStyle w:val="ParaNoNdepar-AltN"/>
        <w:rPr>
          <w:rFonts w:cs="Times New Roman"/>
        </w:rPr>
      </w:pPr>
      <w:r w:rsidRPr="001561A8">
        <w:rPr>
          <w:rFonts w:cs="Times New Roman"/>
        </w:rPr>
        <w:t xml:space="preserve">Nous avons pris connaissance des motifs du juge en chef et du juge Gascon; ils y dressent un portrait rigoureux et exhaustif des faits et de l’historique judiciaire, et nous ne voyons pas la nécessité de dupliquer leurs efforts ici, si ce n’est pour rappeler brièvement le contexte des deux pourvois dont nous sommes saisis. </w:t>
      </w:r>
    </w:p>
    <w:p w:rsidR="007A5985" w:rsidRPr="001561A8" w:rsidRDefault="007A5985" w:rsidP="007A5985">
      <w:pPr>
        <w:pStyle w:val="ParaNoNdepar-AltN"/>
        <w:rPr>
          <w:rFonts w:cs="Times New Roman"/>
        </w:rPr>
      </w:pPr>
      <w:r w:rsidRPr="001561A8">
        <w:rPr>
          <w:rFonts w:cs="Times New Roman"/>
        </w:rPr>
        <w:t xml:space="preserve">L’appel de la Ville de Montréal (« Ville ») dans le dossier n° 38066 vise à faire rejeter une réclamation de l’intimée Octane Stratégie inc. (« Octane ») qui s’élève à 82 898,63 $ concernant des services professionnels et techniques fournis par un sous-traitant d’Octane, Productions Gilles Blais (« PGB »), lors du lancement du Plan de transport de la Ville, qui a eu lieu le 17 mai 2007. L’appel d’Octane dans le dossier n° 38073 a un caractère subsidiaire puisqu’il vise seulement à faire condamner un membre du personnel politique du cabinet du maire, l’intimé Richard Thériault, en lieu et place de la Ville, si celle-ci a gain de cause dans le dossier principal. </w:t>
      </w:r>
    </w:p>
    <w:p w:rsidR="007A5985" w:rsidRPr="001561A8" w:rsidRDefault="007A5985" w:rsidP="007A5985">
      <w:pPr>
        <w:pStyle w:val="ParaNoNdepar-AltN"/>
        <w:rPr>
          <w:rFonts w:cs="Times New Roman"/>
        </w:rPr>
      </w:pPr>
      <w:r w:rsidRPr="001561A8">
        <w:rPr>
          <w:rFonts w:cs="Times New Roman"/>
        </w:rPr>
        <w:lastRenderedPageBreak/>
        <w:t xml:space="preserve">Il n’est pas contesté qu’aucun contrat valide ne s’est formé entre Octane et la Ville à l’égard des services rendus par PGB. Il n’est donc pas contesté par les parties et par nos collègues que la réclamation d’Octane ne pourrait être accueillie que par application du régime de la restitution des prestations codifié aux art. 1699 à 1707 du </w:t>
      </w:r>
      <w:r w:rsidRPr="001561A8">
        <w:rPr>
          <w:rFonts w:cs="Times New Roman"/>
          <w:i/>
        </w:rPr>
        <w:t>Code civil du Québec</w:t>
      </w:r>
      <w:r w:rsidRPr="001561A8">
        <w:rPr>
          <w:rFonts w:cs="Times New Roman"/>
        </w:rPr>
        <w:t xml:space="preserve"> (« </w:t>
      </w:r>
      <w:r w:rsidRPr="001561A8">
        <w:rPr>
          <w:rFonts w:cs="Times New Roman"/>
          <w:i/>
        </w:rPr>
        <w:t>C.c.Q.</w:t>
      </w:r>
      <w:r w:rsidRPr="001561A8">
        <w:rPr>
          <w:rFonts w:cs="Times New Roman"/>
        </w:rPr>
        <w:t> »). Il existe cependant un débat sur la source de la prétendue obligation de restitution de la Ville : la restitution serait-elle une conséquence de l’annulation d’un contrat qui se serait formé entre Octane et la Ville (art. 1422</w:t>
      </w:r>
      <w:r>
        <w:rPr>
          <w:rFonts w:cs="Times New Roman"/>
        </w:rPr>
        <w:t> </w:t>
      </w:r>
      <w:r w:rsidRPr="001561A8">
        <w:rPr>
          <w:rFonts w:cs="Times New Roman"/>
          <w:i/>
        </w:rPr>
        <w:t>C.c.Q.</w:t>
      </w:r>
      <w:r w:rsidRPr="001561A8">
        <w:rPr>
          <w:rFonts w:cs="Times New Roman"/>
        </w:rPr>
        <w:t>) ou serait-elle plutôt une conséquence de la réception par la Ville d’un paiement qui ne lui était tout simplement pas dû (art. 1554, 1491 et 1492 </w:t>
      </w:r>
      <w:r w:rsidRPr="001561A8">
        <w:rPr>
          <w:rFonts w:cs="Times New Roman"/>
          <w:i/>
        </w:rPr>
        <w:t>C.c.Q.</w:t>
      </w:r>
      <w:r w:rsidRPr="001561A8">
        <w:rPr>
          <w:rFonts w:cs="Times New Roman"/>
        </w:rPr>
        <w:t xml:space="preserve">)? </w:t>
      </w:r>
    </w:p>
    <w:p w:rsidR="007A5985" w:rsidRPr="001561A8" w:rsidRDefault="007A5985" w:rsidP="007A5985">
      <w:pPr>
        <w:pStyle w:val="ParaNoNdepar-AltN"/>
        <w:rPr>
          <w:rFonts w:cs="Times New Roman"/>
        </w:rPr>
      </w:pPr>
      <w:r w:rsidRPr="001561A8">
        <w:rPr>
          <w:rFonts w:cs="Times New Roman"/>
        </w:rPr>
        <w:t>Comme nos collègues, nous concluons que la restitution des prestations ne peut en l’espèce être la conséquence du mécanisme de l’annulation d’un contrat, puisque le « contrat » sur lequel Octane fonde sa réclamation est tout simplement inexistant en l’absence d’un règlement ou d’une résolution du conseil municipal de la Ville manifestant son intention d’être liée contractuellement à Octane à l’égard des services rendus par PGB. Par ailleurs, aucun fonctionnaire dûment habilité par une délégation de pouvoirs valide n’a consenti à un tel contrat au nom de la Ville. En ce qui a trait à la prescription du recours d’Octane intenté contre la Ville, à l’instar de nos collègues, nous convenons qu’il n’est pas prescrit.</w:t>
      </w:r>
    </w:p>
    <w:p w:rsidR="007A5985" w:rsidRPr="001561A8" w:rsidRDefault="007A5985" w:rsidP="007A5985">
      <w:pPr>
        <w:pStyle w:val="ParaNoNdepar-AltN"/>
        <w:rPr>
          <w:rFonts w:cs="Times New Roman"/>
        </w:rPr>
      </w:pPr>
      <w:r w:rsidRPr="001561A8">
        <w:rPr>
          <w:rFonts w:cs="Times New Roman"/>
        </w:rPr>
        <w:t xml:space="preserve">Toutefois, nous nous dissocions de nos collègues lorsqu’ils concluent que les conditions d’ouverture d’une action en répétition de l’indu sont remplies, et en particulier lorsqu’ils affirment qu’Octane aurait payé la Ville par erreur. Octane connaissait les règles de formation et d’adjudication des contrats municipaux, et elle savait donc qu’aucun contrat ne la liait à la Ville au moment du paiement. Certes, </w:t>
      </w:r>
      <w:r w:rsidRPr="001561A8">
        <w:rPr>
          <w:rFonts w:cs="Times New Roman"/>
        </w:rPr>
        <w:lastRenderedPageBreak/>
        <w:t xml:space="preserve">Octane a payé alors qu’elle n’y était pas tenue, mais elle l’a fait en toute connaissance de cause, de sorte qu’elle ne peut se prévaloir du mécanisme de la réception de l’indu. De plus, Octane avait le fardeau de s’assurer que le contrat serait conclu selon la procédure régulière et elle ne saurait invoquer un déplacement de ce fardeau, qui est le sien, sur les épaules de M. Thériault. </w:t>
      </w:r>
    </w:p>
    <w:p w:rsidR="007A5985" w:rsidRPr="001561A8" w:rsidRDefault="007A5985" w:rsidP="007A5985">
      <w:pPr>
        <w:pStyle w:val="Title1LevelTitre1Niveau-AltL"/>
        <w:numPr>
          <w:ilvl w:val="0"/>
          <w:numId w:val="8"/>
        </w:numPr>
        <w:rPr>
          <w:rFonts w:cs="Times New Roman"/>
          <w:lang w:val="fr-CA"/>
        </w:rPr>
      </w:pPr>
      <w:bookmarkStart w:id="3" w:name="_Toc17794464"/>
      <w:bookmarkStart w:id="4" w:name="_Toc17880122"/>
      <w:r w:rsidRPr="001561A8">
        <w:rPr>
          <w:rFonts w:cs="Times New Roman"/>
          <w:lang w:val="fr-CA"/>
        </w:rPr>
        <w:t>Analyse</w:t>
      </w:r>
      <w:bookmarkEnd w:id="3"/>
      <w:bookmarkEnd w:id="4"/>
    </w:p>
    <w:p w:rsidR="007A5985" w:rsidRPr="001561A8" w:rsidRDefault="007A5985" w:rsidP="007A5985">
      <w:pPr>
        <w:pStyle w:val="Title2LevelTitre2Niveau"/>
        <w:numPr>
          <w:ilvl w:val="1"/>
          <w:numId w:val="8"/>
        </w:numPr>
        <w:rPr>
          <w:rFonts w:cs="Times New Roman"/>
          <w:lang w:val="fr-CA"/>
        </w:rPr>
      </w:pPr>
      <w:bookmarkStart w:id="5" w:name="_Toc17794465"/>
      <w:bookmarkStart w:id="6" w:name="_Toc17880123"/>
      <w:r w:rsidRPr="001561A8">
        <w:rPr>
          <w:rFonts w:cs="Times New Roman"/>
          <w:lang w:val="fr-CA"/>
        </w:rPr>
        <w:t>L’appel de la Ville (dossier n° 38066)</w:t>
      </w:r>
      <w:bookmarkEnd w:id="5"/>
      <w:bookmarkEnd w:id="6"/>
    </w:p>
    <w:p w:rsidR="007A5985" w:rsidRPr="001561A8" w:rsidRDefault="007A5985" w:rsidP="007A5985">
      <w:pPr>
        <w:pStyle w:val="Title3LevelTitre3Niveau"/>
        <w:numPr>
          <w:ilvl w:val="2"/>
          <w:numId w:val="8"/>
        </w:numPr>
        <w:rPr>
          <w:rFonts w:cs="Times New Roman"/>
          <w:lang w:val="fr-CA"/>
        </w:rPr>
      </w:pPr>
      <w:bookmarkStart w:id="7" w:name="_Toc17794466"/>
      <w:bookmarkStart w:id="8" w:name="_Toc17880124"/>
      <w:r w:rsidRPr="001561A8">
        <w:rPr>
          <w:rFonts w:cs="Times New Roman"/>
          <w:lang w:val="fr-CA"/>
        </w:rPr>
        <w:t>La restitution des prestations en droit civil</w:t>
      </w:r>
      <w:bookmarkEnd w:id="7"/>
      <w:bookmarkEnd w:id="8"/>
    </w:p>
    <w:p w:rsidR="007A5985" w:rsidRPr="001561A8" w:rsidRDefault="007A5985" w:rsidP="007A5985">
      <w:pPr>
        <w:pStyle w:val="ParaNoNdepar-AltN"/>
        <w:rPr>
          <w:rFonts w:cs="Times New Roman"/>
        </w:rPr>
      </w:pPr>
      <w:r>
        <w:rPr>
          <w:rFonts w:cs="Times New Roman"/>
        </w:rPr>
        <w:t>L’article 1699 al. </w:t>
      </w:r>
      <w:r w:rsidRPr="001561A8">
        <w:rPr>
          <w:rFonts w:cs="Times New Roman"/>
        </w:rPr>
        <w:t>1 </w:t>
      </w:r>
      <w:r w:rsidRPr="001561A8">
        <w:rPr>
          <w:rFonts w:cs="Times New Roman"/>
          <w:i/>
        </w:rPr>
        <w:t>C.c.Q.</w:t>
      </w:r>
      <w:r w:rsidRPr="001561A8">
        <w:rPr>
          <w:rFonts w:cs="Times New Roman"/>
        </w:rPr>
        <w:t xml:space="preserve"> prévoit que « [l]a restitution des prestations a lieu chaque fois qu’une personne est, </w:t>
      </w:r>
      <w:r w:rsidRPr="001561A8">
        <w:rPr>
          <w:rFonts w:cs="Times New Roman"/>
          <w:u w:val="single"/>
        </w:rPr>
        <w:t>en vertu de la loi</w:t>
      </w:r>
      <w:r w:rsidRPr="001561A8">
        <w:rPr>
          <w:rFonts w:cs="Times New Roman"/>
        </w:rPr>
        <w:t xml:space="preserve">, tenue de rendre à une autre des biens qu’elle a reçus ». Comme le reconnaît Octane dans son mémoire (par. 76), il résulte du libellé clair de cette disposition qu’elle ne crée aucun « remède d’équité autonome »; elle décrit simplement les circonstances dans lesquelles la restitution a lieu sur le fondement d’obligations dont la source se trouve ailleurs dans la loi (M. Tancelin, </w:t>
      </w:r>
      <w:r w:rsidRPr="001561A8">
        <w:rPr>
          <w:rFonts w:cs="Times New Roman"/>
          <w:i/>
        </w:rPr>
        <w:t>Des obligations en droit mixte du Québec</w:t>
      </w:r>
      <w:r w:rsidRPr="001561A8">
        <w:rPr>
          <w:rFonts w:cs="Times New Roman"/>
        </w:rPr>
        <w:t xml:space="preserve"> (7</w:t>
      </w:r>
      <w:r w:rsidRPr="001561A8">
        <w:rPr>
          <w:rFonts w:cs="Times New Roman"/>
          <w:vertAlign w:val="superscript"/>
        </w:rPr>
        <w:t>e</w:t>
      </w:r>
      <w:r>
        <w:rPr>
          <w:rFonts w:cs="Times New Roman"/>
        </w:rPr>
        <w:t> </w:t>
      </w:r>
      <w:r w:rsidRPr="001561A8">
        <w:rPr>
          <w:rFonts w:cs="Times New Roman"/>
        </w:rPr>
        <w:t xml:space="preserve">éd. 2009), p. 390). </w:t>
      </w:r>
    </w:p>
    <w:p w:rsidR="007A5985" w:rsidRPr="001561A8" w:rsidRDefault="007A5985" w:rsidP="007A5985">
      <w:pPr>
        <w:pStyle w:val="ParaNoNdepar-AltN"/>
        <w:rPr>
          <w:rFonts w:cs="Times New Roman"/>
        </w:rPr>
      </w:pPr>
      <w:r w:rsidRPr="001561A8">
        <w:rPr>
          <w:rFonts w:cs="Times New Roman"/>
        </w:rPr>
        <w:t>Le régime de la restitution des prestations est vaste. L’article 1699 al. 1 </w:t>
      </w:r>
      <w:r w:rsidRPr="001561A8">
        <w:rPr>
          <w:rFonts w:cs="Times New Roman"/>
          <w:i/>
        </w:rPr>
        <w:t>C.c.Q.</w:t>
      </w:r>
      <w:r w:rsidRPr="001561A8">
        <w:rPr>
          <w:rFonts w:cs="Times New Roman"/>
        </w:rPr>
        <w:t xml:space="preserve"> fait état d’au moins trois scénarios : (1) la situation d’une personne qui a reçu un bien « sans droit ou par erreur » (par exemple la réception de l’indu : art. 1554, 1491 et 1492 </w:t>
      </w:r>
      <w:r w:rsidRPr="001561A8">
        <w:rPr>
          <w:rFonts w:cs="Times New Roman"/>
          <w:i/>
        </w:rPr>
        <w:t>C.c.Q.</w:t>
      </w:r>
      <w:r w:rsidRPr="001561A8">
        <w:rPr>
          <w:rFonts w:cs="Times New Roman"/>
        </w:rPr>
        <w:t>), (2) la situation d’une personne qui a reçu un bien « en vertu d’un acte juridique qui est subséquemment anéanti de façon rétroactive » (par exemple l’annulation d’un contrat : art. 1422 </w:t>
      </w:r>
      <w:r w:rsidRPr="001561A8">
        <w:rPr>
          <w:rFonts w:cs="Times New Roman"/>
          <w:i/>
        </w:rPr>
        <w:t>C.c.Q.</w:t>
      </w:r>
      <w:r w:rsidRPr="001561A8">
        <w:rPr>
          <w:rFonts w:cs="Times New Roman"/>
        </w:rPr>
        <w:t xml:space="preserve">) et (3) la situation d’une personne qui a reçu </w:t>
      </w:r>
      <w:r w:rsidRPr="001561A8">
        <w:rPr>
          <w:rFonts w:cs="Times New Roman"/>
        </w:rPr>
        <w:lastRenderedPageBreak/>
        <w:t>un bien en vertu d’un acte juridique « dont les obligations deviennent impossibles à exécuter en rais</w:t>
      </w:r>
      <w:r>
        <w:rPr>
          <w:rFonts w:cs="Times New Roman"/>
        </w:rPr>
        <w:t>on d’une force majeure » (J.-L. Baudouin et P.-G. </w:t>
      </w:r>
      <w:r w:rsidRPr="001561A8">
        <w:rPr>
          <w:rFonts w:cs="Times New Roman"/>
        </w:rPr>
        <w:t xml:space="preserve">Jobin, </w:t>
      </w:r>
      <w:r w:rsidRPr="001561A8">
        <w:rPr>
          <w:rFonts w:cs="Times New Roman"/>
          <w:i/>
        </w:rPr>
        <w:t>Les obligations</w:t>
      </w:r>
      <w:r w:rsidRPr="001561A8">
        <w:rPr>
          <w:rFonts w:cs="Times New Roman"/>
        </w:rPr>
        <w:t xml:space="preserve"> (7</w:t>
      </w:r>
      <w:r w:rsidRPr="001561A8">
        <w:rPr>
          <w:rFonts w:cs="Times New Roman"/>
          <w:vertAlign w:val="superscript"/>
        </w:rPr>
        <w:t>e</w:t>
      </w:r>
      <w:r w:rsidRPr="001561A8">
        <w:rPr>
          <w:rFonts w:cs="Times New Roman"/>
        </w:rPr>
        <w:t> éd. 2013), par P.-G. Jobin et N. Vézina, n° </w:t>
      </w:r>
      <w:r>
        <w:rPr>
          <w:rFonts w:cs="Times New Roman"/>
        </w:rPr>
        <w:t>920; D. </w:t>
      </w:r>
      <w:r w:rsidRPr="001561A8">
        <w:rPr>
          <w:rFonts w:cs="Times New Roman"/>
        </w:rPr>
        <w:t xml:space="preserve">Lluelles et B. Moore, </w:t>
      </w:r>
      <w:r w:rsidRPr="001561A8">
        <w:rPr>
          <w:rFonts w:cs="Times New Roman"/>
          <w:i/>
        </w:rPr>
        <w:t>Droit des obligations</w:t>
      </w:r>
      <w:r w:rsidRPr="001561A8">
        <w:rPr>
          <w:rFonts w:cs="Times New Roman"/>
        </w:rPr>
        <w:t xml:space="preserve"> (3</w:t>
      </w:r>
      <w:r w:rsidRPr="001561A8">
        <w:rPr>
          <w:rFonts w:cs="Times New Roman"/>
          <w:vertAlign w:val="superscript"/>
        </w:rPr>
        <w:t>e </w:t>
      </w:r>
      <w:r w:rsidRPr="001561A8">
        <w:rPr>
          <w:rFonts w:cs="Times New Roman"/>
        </w:rPr>
        <w:t xml:space="preserve">éd. 2018), n° 1227). </w:t>
      </w:r>
    </w:p>
    <w:p w:rsidR="007A5985" w:rsidRPr="001561A8" w:rsidRDefault="007A5985" w:rsidP="007A5985">
      <w:pPr>
        <w:pStyle w:val="ParaNoNdepar-AltN"/>
        <w:rPr>
          <w:rFonts w:cs="Times New Roman"/>
        </w:rPr>
      </w:pPr>
      <w:r w:rsidRPr="001561A8">
        <w:rPr>
          <w:rFonts w:cs="Times New Roman"/>
        </w:rPr>
        <w:t>Lorsque l’un de ces trois scénarios se présente, la restitution des prestations s’impose en principe. L’article 1699 al. 2 </w:t>
      </w:r>
      <w:r w:rsidRPr="001561A8">
        <w:rPr>
          <w:rFonts w:cs="Times New Roman"/>
          <w:i/>
        </w:rPr>
        <w:t>C.c.Q.</w:t>
      </w:r>
      <w:r w:rsidRPr="001561A8">
        <w:rPr>
          <w:rFonts w:cs="Times New Roman"/>
        </w:rPr>
        <w:t xml:space="preserve"> permet exceptionnellement au tribunal de refuser la restitution, ou d’en modifier l’étendue ou les modalités, lorsqu’elle aurait pour effet d’accorder à l’une des parties un avantage indu. Le pouvoir discrétionnaire que confère l’art. 1699 al. 2 </w:t>
      </w:r>
      <w:r w:rsidRPr="001561A8">
        <w:rPr>
          <w:rFonts w:cs="Times New Roman"/>
          <w:i/>
        </w:rPr>
        <w:t>C.c.Q.</w:t>
      </w:r>
      <w:r w:rsidRPr="001561A8">
        <w:rPr>
          <w:rFonts w:cs="Times New Roman"/>
        </w:rPr>
        <w:t xml:space="preserve"> au tribunal constitue cependant un pouvoir tout à fait exceptionnel (</w:t>
      </w:r>
      <w:r w:rsidRPr="001561A8">
        <w:rPr>
          <w:rFonts w:cs="Times New Roman"/>
          <w:i/>
        </w:rPr>
        <w:t>Banque Amex du Canada c. Adams</w:t>
      </w:r>
      <w:r w:rsidRPr="001561A8">
        <w:rPr>
          <w:rFonts w:cs="Times New Roman"/>
        </w:rPr>
        <w:t xml:space="preserve">, 2014 CSC 56, [2014] 2 R.C.S. 787, par. 38; </w:t>
      </w:r>
      <w:r w:rsidRPr="001561A8">
        <w:rPr>
          <w:rFonts w:cs="Times New Roman"/>
          <w:i/>
        </w:rPr>
        <w:t>Montréal (Ville de) c. St-Pierre (Succession de)</w:t>
      </w:r>
      <w:r w:rsidRPr="001561A8">
        <w:rPr>
          <w:rFonts w:cs="Times New Roman"/>
        </w:rPr>
        <w:t xml:space="preserve">, 2008 QCCA 2329, [2009] R.J.Q. 54; Baudouin et Jobin, n° 921; Lluelles et Moore, n° 1237; J. Pineau, D. Burman et S. Gaudet, </w:t>
      </w:r>
      <w:r w:rsidRPr="001561A8">
        <w:rPr>
          <w:rFonts w:cs="Times New Roman"/>
          <w:i/>
        </w:rPr>
        <w:t>Théorie des obligations</w:t>
      </w:r>
      <w:r w:rsidRPr="001561A8">
        <w:rPr>
          <w:rFonts w:cs="Times New Roman"/>
        </w:rPr>
        <w:t xml:space="preserve"> (4</w:t>
      </w:r>
      <w:r w:rsidRPr="001561A8">
        <w:rPr>
          <w:rFonts w:cs="Times New Roman"/>
          <w:vertAlign w:val="superscript"/>
        </w:rPr>
        <w:t>e</w:t>
      </w:r>
      <w:r w:rsidRPr="001561A8">
        <w:rPr>
          <w:rFonts w:cs="Times New Roman"/>
        </w:rPr>
        <w:t> éd. 2001), par J. Pineau et S. Gaudet, p. 395-396).</w:t>
      </w:r>
    </w:p>
    <w:p w:rsidR="007A5985" w:rsidRPr="001561A8" w:rsidRDefault="007A5985" w:rsidP="007A5985">
      <w:pPr>
        <w:pStyle w:val="ParaNoNdepar-AltN"/>
        <w:rPr>
          <w:rFonts w:cs="Times New Roman"/>
        </w:rPr>
      </w:pPr>
      <w:r w:rsidRPr="001561A8">
        <w:rPr>
          <w:rFonts w:cs="Times New Roman"/>
        </w:rPr>
        <w:t>En l’espèce, les juges majoritaires de la Cour d’appel (2018 QCCA 223, 81 M.P.L.R. (5th) 3</w:t>
      </w:r>
      <w:r w:rsidR="003E35D2">
        <w:rPr>
          <w:rFonts w:cs="Times New Roman"/>
        </w:rPr>
        <w:t>9</w:t>
      </w:r>
      <w:r w:rsidRPr="001561A8">
        <w:rPr>
          <w:rFonts w:cs="Times New Roman"/>
        </w:rPr>
        <w:t>, par. 47-49) se sont fondés sur deux sources distinctes pour justifier l’obligation de restitution de la Ville : premièrement, l’annulation d’un contrat qui se serait formé entre Octane et la Ville (art. 1422</w:t>
      </w:r>
      <w:r>
        <w:rPr>
          <w:rFonts w:cs="Times New Roman"/>
        </w:rPr>
        <w:t> </w:t>
      </w:r>
      <w:r w:rsidRPr="001561A8">
        <w:rPr>
          <w:rFonts w:cs="Times New Roman"/>
          <w:i/>
        </w:rPr>
        <w:t>C.c.Q.</w:t>
      </w:r>
      <w:r w:rsidRPr="001561A8">
        <w:rPr>
          <w:rFonts w:cs="Times New Roman"/>
        </w:rPr>
        <w:t>) et, deuxièmement, la réception par la Ville d’un paiement qui ne lui était tout simplement pas dû (art. 1554, 1491 et 1492 </w:t>
      </w:r>
      <w:r w:rsidRPr="001561A8">
        <w:rPr>
          <w:rFonts w:cs="Times New Roman"/>
          <w:i/>
        </w:rPr>
        <w:t>C.c.Q.</w:t>
      </w:r>
      <w:r w:rsidRPr="001561A8">
        <w:rPr>
          <w:rFonts w:cs="Times New Roman"/>
        </w:rPr>
        <w:t xml:space="preserve">). Pour leur part, nos collègues s’appuient uniquement sur la réception de l’indu, puisqu’ils reconnaissent qu’aucun contrat ne s’est formé entre Octane et la Ville (par. 32 et 50). </w:t>
      </w:r>
    </w:p>
    <w:p w:rsidR="007A5985" w:rsidRPr="001561A8" w:rsidRDefault="007A5985" w:rsidP="007A5985">
      <w:pPr>
        <w:pStyle w:val="ParaNoNdepar-AltN"/>
        <w:rPr>
          <w:rFonts w:cs="Times New Roman"/>
        </w:rPr>
      </w:pPr>
      <w:r w:rsidRPr="001561A8">
        <w:rPr>
          <w:rFonts w:cs="Times New Roman"/>
        </w:rPr>
        <w:lastRenderedPageBreak/>
        <w:t xml:space="preserve">Quelques observations s’imposent à ce sujet. </w:t>
      </w:r>
    </w:p>
    <w:p w:rsidR="007A5985" w:rsidRPr="001561A8" w:rsidRDefault="007A5985" w:rsidP="007A5985">
      <w:pPr>
        <w:pStyle w:val="ParaNoNdepar-AltN"/>
        <w:rPr>
          <w:rFonts w:cs="Times New Roman"/>
        </w:rPr>
      </w:pPr>
      <w:r w:rsidRPr="001561A8">
        <w:rPr>
          <w:rFonts w:cs="Times New Roman"/>
        </w:rPr>
        <w:t xml:space="preserve">Lors de l’audience devant nous, le procureur d’Octane a admis que « le dossier n’a pas été monté de cette façon-là [et] la preuve n’a pas été administrée en ayant en tête la réception de l’indu » (transcription, p. 63). En première instance, Octane « n’[a] pas soulevé la réception de l’indu » puisqu’elle s’est contentée de « répond[re] à l’argumentation de la Ville [. . .] qui prétendait que le contrat était nul » (p. 58). Le procureur d’Octane a d’ailleurs reconnu en toute franchise devant nous que « peut-être que d’autres questions ou d’autres preuves ou d’autres témoins auraient été nécessaires » à ce sujet (p. 63). </w:t>
      </w:r>
    </w:p>
    <w:p w:rsidR="007A5985" w:rsidRPr="001561A8" w:rsidRDefault="007A5985" w:rsidP="007A5985">
      <w:pPr>
        <w:pStyle w:val="ParaNoNdepar-AltN"/>
        <w:rPr>
          <w:rFonts w:cs="Times New Roman"/>
        </w:rPr>
      </w:pPr>
      <w:r w:rsidRPr="001561A8">
        <w:rPr>
          <w:rFonts w:cs="Times New Roman"/>
        </w:rPr>
        <w:t xml:space="preserve">Octane n’a pas non plus invoqué la réception de l’indu devant la Cour d’appel, y compris « lors des plaidoiries », au cours desquelles aucun « débat sur la réception de l’indu » n’a eu lieu (transcription, p. 64). Autrement dit, la réception de l’indu semble avoir été soulevée d’office par les juges majoritaires de la Cour d’appel lors de leur délibéré, et ce, sans que les parties n’aient été entendues sur ce point. Dans ses motifs concordants, la juge Hogue a d’ailleurs estimé qu’il n’y avait pas lieu « de déterminer si le régime de répétition de l’indu pourrait s’appliquer si aucun contrat n’était intervenu », puisque ce régime « obéit à des règles qui lui sont propres, </w:t>
      </w:r>
      <w:r w:rsidRPr="001561A8">
        <w:rPr>
          <w:rFonts w:cs="Times New Roman"/>
          <w:u w:val="single"/>
        </w:rPr>
        <w:t>qu’il n’est pas aisé d’appliquer dans le contexte de l’espèce où les faits connus sont limités</w:t>
      </w:r>
      <w:r w:rsidRPr="001561A8">
        <w:rPr>
          <w:rFonts w:cs="Times New Roman"/>
        </w:rPr>
        <w:t> » (par. 74 (nous soulignons)).</w:t>
      </w:r>
    </w:p>
    <w:p w:rsidR="007A5985" w:rsidRPr="001561A8" w:rsidRDefault="007A5985" w:rsidP="007A5985">
      <w:pPr>
        <w:pStyle w:val="ParaNoNdepar-AltN"/>
        <w:rPr>
          <w:rFonts w:cs="Times New Roman"/>
          <w:u w:val="single"/>
        </w:rPr>
      </w:pPr>
      <w:r w:rsidRPr="001561A8">
        <w:rPr>
          <w:rFonts w:cs="Times New Roman"/>
        </w:rPr>
        <w:t xml:space="preserve">Nous partageons les préoccupations de la juge Hogue. La preuve présentée en première instance est tout simplement insuffisante pour nous permettre d’appliquer adéquatement le mécanisme de la réception de l’indu aux faits de l’espèce. Les </w:t>
      </w:r>
      <w:r w:rsidRPr="001561A8">
        <w:rPr>
          <w:rFonts w:cs="Times New Roman"/>
        </w:rPr>
        <w:lastRenderedPageBreak/>
        <w:t xml:space="preserve">représentations des parties devant les tribunaux inférieurs et notre Cour en ce qui a trait à ce mécanisme sont également insuffisantes. Dans son mémoire (par. 162), Octane souscrit d’ailleurs aux motifs concordants de la juge Hogue en Cour d’appel sur ce point : </w:t>
      </w:r>
    </w:p>
    <w:p w:rsidR="007A5985" w:rsidRPr="001561A8" w:rsidRDefault="007A5985" w:rsidP="007A5985">
      <w:pPr>
        <w:pStyle w:val="Citation-AltC"/>
      </w:pPr>
      <w:r w:rsidRPr="001561A8">
        <w:t xml:space="preserve">. . . les articles 1422, 1699 et 1700 C.c.Q. prévoient une solution complète à la situation d’Octane, </w:t>
      </w:r>
      <w:r w:rsidRPr="001561A8">
        <w:rPr>
          <w:u w:val="single"/>
        </w:rPr>
        <w:t>sans qu’il soit nécessaire de se demander si Octane y aurait aussi eu droit en application des articles 1491 et 1492 C.c.Q.</w:t>
      </w:r>
      <w:r w:rsidRPr="001561A8">
        <w:t xml:space="preserve"> [Nous soulignons.]</w:t>
      </w:r>
    </w:p>
    <w:p w:rsidR="007A5985" w:rsidRDefault="007A5985" w:rsidP="007A5985">
      <w:pPr>
        <w:pStyle w:val="ParaNoNdepar-AltN"/>
        <w:rPr>
          <w:rFonts w:cs="Times New Roman"/>
        </w:rPr>
      </w:pPr>
      <w:r w:rsidRPr="001561A8">
        <w:rPr>
          <w:rFonts w:cs="Times New Roman"/>
        </w:rPr>
        <w:t xml:space="preserve">Néanmoins, Octane n’a pas complètement abandonné devant nous le moyen portant sur la réception de l’indu, puisqu’elle l’a en quelque sorte invoqué de façon subsidiaire à l’audience. En conséquence, nous acceptons de nous livrer à une analyse des mécanismes de l’annulation d’un contrat et de la réception de l’indu comme sources possibles de la prétendue obligation de restitution de la Ville. En fait, les motifs de nos collègues nous y invitent. </w:t>
      </w:r>
    </w:p>
    <w:p w:rsidR="007A5985" w:rsidRPr="001561A8" w:rsidRDefault="007A5985" w:rsidP="007A5985">
      <w:pPr>
        <w:pStyle w:val="Title3LevelTitre3Niveau"/>
        <w:numPr>
          <w:ilvl w:val="2"/>
          <w:numId w:val="8"/>
        </w:numPr>
        <w:spacing w:before="0"/>
        <w:rPr>
          <w:rFonts w:cs="Times New Roman"/>
          <w:lang w:val="fr-CA"/>
        </w:rPr>
      </w:pPr>
      <w:bookmarkStart w:id="9" w:name="_Toc17794467"/>
      <w:bookmarkStart w:id="10" w:name="_Toc17880125"/>
      <w:r w:rsidRPr="001561A8">
        <w:rPr>
          <w:rFonts w:cs="Times New Roman"/>
          <w:lang w:val="fr-CA"/>
        </w:rPr>
        <w:t>La restitution des prestations comme conséquence de l’annulation d’un contrat (art. 1422 </w:t>
      </w:r>
      <w:r w:rsidRPr="001561A8">
        <w:rPr>
          <w:rFonts w:cs="Times New Roman"/>
          <w:i/>
          <w:lang w:val="fr-CA"/>
        </w:rPr>
        <w:t>C.c.Q.</w:t>
      </w:r>
      <w:r w:rsidRPr="001561A8">
        <w:rPr>
          <w:rFonts w:cs="Times New Roman"/>
          <w:lang w:val="fr-CA"/>
        </w:rPr>
        <w:t>)</w:t>
      </w:r>
      <w:bookmarkEnd w:id="9"/>
      <w:bookmarkEnd w:id="10"/>
    </w:p>
    <w:p w:rsidR="007A5985" w:rsidRPr="001561A8" w:rsidRDefault="007A5985" w:rsidP="007A5985">
      <w:pPr>
        <w:pStyle w:val="Title4LevelTitre4Niveau"/>
        <w:numPr>
          <w:ilvl w:val="0"/>
          <w:numId w:val="0"/>
        </w:numPr>
        <w:ind w:left="1152" w:hanging="576"/>
        <w:rPr>
          <w:rFonts w:cs="Times New Roman"/>
          <w:lang w:val="fr-CA"/>
        </w:rPr>
      </w:pPr>
      <w:r w:rsidRPr="001561A8">
        <w:rPr>
          <w:rFonts w:cs="Times New Roman"/>
          <w:i w:val="0"/>
          <w:lang w:val="fr-CA"/>
        </w:rPr>
        <w:t>a)</w:t>
      </w:r>
      <w:r w:rsidRPr="001561A8">
        <w:rPr>
          <w:rFonts w:cs="Times New Roman"/>
          <w:lang w:val="fr-CA"/>
        </w:rPr>
        <w:tab/>
        <w:t xml:space="preserve">La restitution des prestations peut être ordonnée en cas d’annulation d’un contrat municipal </w:t>
      </w:r>
    </w:p>
    <w:p w:rsidR="007A5985" w:rsidRPr="001561A8" w:rsidRDefault="007A5985" w:rsidP="007A5985">
      <w:pPr>
        <w:pStyle w:val="ParaNoNdepar-AltN"/>
        <w:rPr>
          <w:rFonts w:cs="Times New Roman"/>
        </w:rPr>
      </w:pPr>
      <w:r w:rsidRPr="001561A8">
        <w:rPr>
          <w:rFonts w:cs="Times New Roman"/>
        </w:rPr>
        <w:t>Tout contrat qui n’est pas conforme aux conditions nécessaires à sa formation peut être frappé de nullité (art. 1416 </w:t>
      </w:r>
      <w:r w:rsidRPr="001561A8">
        <w:rPr>
          <w:rFonts w:cs="Times New Roman"/>
          <w:i/>
        </w:rPr>
        <w:t>C.c.Q.</w:t>
      </w:r>
      <w:r w:rsidRPr="001561A8">
        <w:rPr>
          <w:rFonts w:cs="Times New Roman"/>
        </w:rPr>
        <w:t>). La nullité est absolue lorsque la condition de formation qu’elle sanctionne s’impose pour la protection de l’intérêt général (art. 1417 </w:t>
      </w:r>
      <w:r w:rsidRPr="001561A8">
        <w:rPr>
          <w:rFonts w:cs="Times New Roman"/>
          <w:i/>
        </w:rPr>
        <w:t>C.c.Q.</w:t>
      </w:r>
      <w:r w:rsidRPr="001561A8">
        <w:rPr>
          <w:rFonts w:cs="Times New Roman"/>
        </w:rPr>
        <w:t>). Elle est relative lorsque la condition de formation qu’elle sanctionne s’impose pour la protection d’intérêts particuliers (art. 1419 </w:t>
      </w:r>
      <w:r w:rsidRPr="001561A8">
        <w:rPr>
          <w:rFonts w:cs="Times New Roman"/>
          <w:i/>
        </w:rPr>
        <w:t>C.c.Q.</w:t>
      </w:r>
      <w:r w:rsidRPr="001561A8">
        <w:rPr>
          <w:rFonts w:cs="Times New Roman"/>
        </w:rPr>
        <w:t xml:space="preserve">). </w:t>
      </w:r>
    </w:p>
    <w:p w:rsidR="007A5985" w:rsidRPr="001561A8" w:rsidRDefault="007A5985" w:rsidP="007A5985">
      <w:pPr>
        <w:pStyle w:val="ParaNoNdepar-AltN"/>
        <w:rPr>
          <w:rFonts w:cs="Times New Roman"/>
        </w:rPr>
      </w:pPr>
      <w:r w:rsidRPr="001561A8">
        <w:rPr>
          <w:rFonts w:cs="Times New Roman"/>
        </w:rPr>
        <w:lastRenderedPageBreak/>
        <w:t>L’article 1385 al. 1 </w:t>
      </w:r>
      <w:r w:rsidRPr="001561A8">
        <w:rPr>
          <w:rFonts w:cs="Times New Roman"/>
          <w:i/>
        </w:rPr>
        <w:t>C.c.Q.</w:t>
      </w:r>
      <w:r w:rsidRPr="001561A8">
        <w:rPr>
          <w:rFonts w:cs="Times New Roman"/>
        </w:rPr>
        <w:t xml:space="preserve"> prévoit que « [l]e contrat se forme par le seul échange de consentement entre des personnes capables de contracter, </w:t>
      </w:r>
      <w:r w:rsidRPr="001561A8">
        <w:rPr>
          <w:rFonts w:cs="Times New Roman"/>
          <w:u w:val="single"/>
        </w:rPr>
        <w:t>à moins que la loi n’exige, en outre, le respect d’une forme particulière comme condition nécessaire à sa formation</w:t>
      </w:r>
      <w:r w:rsidRPr="001561A8">
        <w:rPr>
          <w:rFonts w:cs="Times New Roman"/>
        </w:rPr>
        <w:t xml:space="preserve"> ». Les articles 573 et suiv. de la </w:t>
      </w:r>
      <w:r w:rsidRPr="001561A8">
        <w:rPr>
          <w:rFonts w:cs="Times New Roman"/>
          <w:i/>
        </w:rPr>
        <w:t>Loi sur les cités et villes</w:t>
      </w:r>
      <w:r w:rsidRPr="001561A8">
        <w:rPr>
          <w:rFonts w:cs="Times New Roman"/>
        </w:rPr>
        <w:t>, RLRQ, c. C</w:t>
      </w:r>
      <w:r w:rsidRPr="001561A8">
        <w:rPr>
          <w:rFonts w:cs="Times New Roman"/>
        </w:rPr>
        <w:noBreakHyphen/>
        <w:t>19 (« </w:t>
      </w:r>
      <w:r w:rsidRPr="001561A8">
        <w:rPr>
          <w:rFonts w:cs="Times New Roman"/>
          <w:i/>
        </w:rPr>
        <w:t>L.C.V.</w:t>
      </w:r>
      <w:r w:rsidRPr="001561A8">
        <w:rPr>
          <w:rFonts w:cs="Times New Roman"/>
        </w:rPr>
        <w:t xml:space="preserve"> »), disposent à cet égard que l’adjudication des contrats municipaux doit respecter certaines formalités. </w:t>
      </w:r>
    </w:p>
    <w:p w:rsidR="007A5985" w:rsidRPr="001561A8" w:rsidRDefault="007A5985" w:rsidP="007A5985">
      <w:pPr>
        <w:pStyle w:val="ParaNoNdepar-AltN"/>
        <w:rPr>
          <w:rFonts w:cs="Times New Roman"/>
        </w:rPr>
      </w:pPr>
      <w:r w:rsidRPr="001561A8">
        <w:rPr>
          <w:rFonts w:cs="Times New Roman"/>
        </w:rPr>
        <w:t>En vertu de ces règles, tous les contrats de moins de 25 000 $ peuvent être conclus de gré à gré (</w:t>
      </w:r>
      <w:r w:rsidRPr="001561A8">
        <w:rPr>
          <w:rFonts w:cs="Times New Roman"/>
          <w:i/>
        </w:rPr>
        <w:t>Loi modifiant diverses dispositions législatives en matière municipale</w:t>
      </w:r>
      <w:r w:rsidRPr="001561A8">
        <w:rPr>
          <w:rFonts w:cs="Times New Roman"/>
        </w:rPr>
        <w:t xml:space="preserve">, L.Q. 2001, c. 25, art. 34, 54 et 512; J. Hétu et Y. Duplessis, avec la collaboration de L. Vézina, </w:t>
      </w:r>
      <w:r w:rsidRPr="001561A8">
        <w:rPr>
          <w:rFonts w:cs="Times New Roman"/>
          <w:i/>
        </w:rPr>
        <w:t>Droit municipal : Principes généraux et contentieux</w:t>
      </w:r>
      <w:r w:rsidRPr="001561A8">
        <w:rPr>
          <w:rFonts w:cs="Times New Roman"/>
        </w:rPr>
        <w:t xml:space="preserve"> (2</w:t>
      </w:r>
      <w:r w:rsidRPr="001561A8">
        <w:rPr>
          <w:rFonts w:cs="Times New Roman"/>
          <w:vertAlign w:val="superscript"/>
        </w:rPr>
        <w:t>e</w:t>
      </w:r>
      <w:r w:rsidRPr="001561A8">
        <w:rPr>
          <w:rFonts w:cs="Times New Roman"/>
        </w:rPr>
        <w:t> éd. (feuilles mobiles)), vol. 1, par. 9.53). Cependant, un contrat visé à l’un des paragraphes de l’art. 573 al. 1 </w:t>
      </w:r>
      <w:r w:rsidRPr="001561A8">
        <w:rPr>
          <w:rFonts w:cs="Times New Roman"/>
          <w:i/>
        </w:rPr>
        <w:t>L.C.V.</w:t>
      </w:r>
      <w:r w:rsidRPr="001561A8">
        <w:rPr>
          <w:rFonts w:cs="Times New Roman"/>
        </w:rPr>
        <w:t>, y compris un contrat de service (à l’exclusion des services offerts de façon exclusive par certains professionnels énumérés, des services professionnels nécessaires dans le cadre d’un recours devant un tribunal judiciaire ou quasi-judiciaire, et des services professionnels exclus notamment en vertu de l’art. 573.3 </w:t>
      </w:r>
      <w:r w:rsidRPr="001561A8">
        <w:rPr>
          <w:rFonts w:cs="Times New Roman"/>
          <w:i/>
        </w:rPr>
        <w:t>L.C.V.</w:t>
      </w:r>
      <w:r w:rsidRPr="001561A8">
        <w:rPr>
          <w:rFonts w:cs="Times New Roman"/>
        </w:rPr>
        <w:t>), ne peut être adjugé qu’après une demande de soumissions faite par voie d’invitation écrite, s’il comporte une dépense d’au moins 25 000 $ mais inférieure à 100 000 $</w:t>
      </w:r>
      <w:r w:rsidRPr="00096826">
        <w:rPr>
          <w:rStyle w:val="Hyperlink"/>
          <w:u w:val="none"/>
          <w:vertAlign w:val="superscript"/>
        </w:rPr>
        <w:footnoteReference w:id="1"/>
      </w:r>
      <w:r w:rsidRPr="001561A8">
        <w:rPr>
          <w:rFonts w:cs="Times New Roman"/>
        </w:rPr>
        <w:t xml:space="preserve"> (art. 573.1 </w:t>
      </w:r>
      <w:r w:rsidRPr="001561A8">
        <w:rPr>
          <w:rFonts w:cs="Times New Roman"/>
          <w:i/>
        </w:rPr>
        <w:t>L.C.V.</w:t>
      </w:r>
      <w:r w:rsidRPr="001561A8">
        <w:rPr>
          <w:rFonts w:cs="Times New Roman"/>
        </w:rPr>
        <w:t>; Hétu et Duplessis, par. 9.59 et 9.63). En outre, un contrat visé à l’un des paragraphes de l’art. 573 al. 1 </w:t>
      </w:r>
      <w:r w:rsidRPr="001561A8">
        <w:rPr>
          <w:rFonts w:cs="Times New Roman"/>
          <w:i/>
        </w:rPr>
        <w:t>L.C.V.</w:t>
      </w:r>
      <w:r w:rsidRPr="001561A8">
        <w:rPr>
          <w:rFonts w:cs="Times New Roman"/>
        </w:rPr>
        <w:t xml:space="preserve">, y compris un contrat de services (sous réserve des exceptions susmentionnées), ne peut être adjugé qu’après une demande de soumissions publiques publiée dans un système électronique d’appel </w:t>
      </w:r>
      <w:r w:rsidRPr="001561A8">
        <w:rPr>
          <w:rFonts w:cs="Times New Roman"/>
        </w:rPr>
        <w:lastRenderedPageBreak/>
        <w:t xml:space="preserve">d’offres, s’il comporte une dépense égale ou supérieure à 100 000 $ (Hétu et Duplessis, par. 9.57, 9.59 et 9.85). </w:t>
      </w:r>
    </w:p>
    <w:p w:rsidR="007A5985" w:rsidRPr="001561A8" w:rsidRDefault="007A5985" w:rsidP="007A5985">
      <w:pPr>
        <w:pStyle w:val="ParaNoNdepar-AltN"/>
        <w:rPr>
          <w:rFonts w:cs="Times New Roman"/>
        </w:rPr>
      </w:pPr>
      <w:r w:rsidRPr="001561A8">
        <w:rPr>
          <w:rFonts w:cs="Times New Roman"/>
        </w:rPr>
        <w:t>Comme le soulignent nos collègues (par. 39), l</w:t>
      </w:r>
      <w:r>
        <w:rPr>
          <w:rFonts w:cs="Times New Roman"/>
        </w:rPr>
        <w:t>es art. </w:t>
      </w:r>
      <w:r w:rsidRPr="001561A8">
        <w:rPr>
          <w:rFonts w:cs="Times New Roman"/>
        </w:rPr>
        <w:t>573 et suiv. </w:t>
      </w:r>
      <w:r w:rsidRPr="001561A8">
        <w:rPr>
          <w:rFonts w:cs="Times New Roman"/>
          <w:i/>
        </w:rPr>
        <w:t>L.C.V.</w:t>
      </w:r>
      <w:r w:rsidRPr="001561A8">
        <w:rPr>
          <w:rFonts w:cs="Times New Roman"/>
        </w:rPr>
        <w:t xml:space="preserve"> visent à protéger les fonds publics et l’intérêt des contribuables. Ces dispositions énoncent des normes impératives d’ordre public. La nullité absolue sanctionne donc le contrat conclu en violation de ces règles, puisqu’elles s’imposent pour la protection de l’intérêt général (art. 1417 </w:t>
      </w:r>
      <w:r w:rsidRPr="001561A8">
        <w:rPr>
          <w:rFonts w:cs="Times New Roman"/>
          <w:i/>
        </w:rPr>
        <w:t>C.c.Q.</w:t>
      </w:r>
      <w:r w:rsidRPr="001561A8">
        <w:rPr>
          <w:rFonts w:cs="Times New Roman"/>
        </w:rPr>
        <w:t xml:space="preserve">; Baudouin et Jobin, n° 372; Hétu et Duplessis, par. 9.13 et 9.73; P. Giroux et D. Lemieux, </w:t>
      </w:r>
      <w:r w:rsidRPr="001561A8">
        <w:rPr>
          <w:rFonts w:cs="Times New Roman"/>
          <w:i/>
        </w:rPr>
        <w:t>Contrats des organismes publics québécois</w:t>
      </w:r>
      <w:r w:rsidRPr="001561A8">
        <w:rPr>
          <w:rFonts w:cs="Times New Roman"/>
        </w:rPr>
        <w:t xml:space="preserve"> (feuilles mobiles), par. 5-800; </w:t>
      </w:r>
      <w:r w:rsidRPr="001561A8">
        <w:rPr>
          <w:rFonts w:cs="Times New Roman"/>
          <w:i/>
        </w:rPr>
        <w:t>Community Enterprises Ltd. c. Acton Vale (Ville)</w:t>
      </w:r>
      <w:r w:rsidRPr="001561A8">
        <w:rPr>
          <w:rFonts w:cs="Times New Roman"/>
        </w:rPr>
        <w:t xml:space="preserve">, [1970] C.A. 747 (Qc); </w:t>
      </w:r>
      <w:r w:rsidRPr="001561A8">
        <w:rPr>
          <w:rFonts w:cs="Times New Roman"/>
          <w:i/>
        </w:rPr>
        <w:t>Construction Hydrex inc. c. Havre St-Pierre (Corporation municipale de)</w:t>
      </w:r>
      <w:r w:rsidRPr="001561A8">
        <w:rPr>
          <w:rFonts w:cs="Times New Roman"/>
        </w:rPr>
        <w:t xml:space="preserve">, [1980] C.S. 1038; </w:t>
      </w:r>
      <w:r w:rsidRPr="001561A8">
        <w:rPr>
          <w:rFonts w:cs="Times New Roman"/>
          <w:i/>
        </w:rPr>
        <w:t>Jourdain c. Ville de Grand-Mère</w:t>
      </w:r>
      <w:r w:rsidRPr="001561A8">
        <w:rPr>
          <w:rFonts w:cs="Times New Roman"/>
        </w:rPr>
        <w:t>, [1983] J.Q. n</w:t>
      </w:r>
      <w:r w:rsidRPr="001561A8">
        <w:rPr>
          <w:rFonts w:cs="Times New Roman"/>
          <w:vertAlign w:val="superscript"/>
        </w:rPr>
        <w:t>o</w:t>
      </w:r>
      <w:r w:rsidRPr="001561A8">
        <w:rPr>
          <w:rFonts w:cs="Times New Roman"/>
        </w:rPr>
        <w:t xml:space="preserve"> 360 (QL) (C.S.); </w:t>
      </w:r>
      <w:r w:rsidRPr="001561A8">
        <w:rPr>
          <w:rFonts w:cs="Times New Roman"/>
          <w:i/>
        </w:rPr>
        <w:t>Boisvert c. Baie-du-Febvre (Municipalité de)</w:t>
      </w:r>
      <w:r w:rsidRPr="001561A8">
        <w:rPr>
          <w:rFonts w:cs="Times New Roman"/>
        </w:rPr>
        <w:t>, [1992] J.Q. n</w:t>
      </w:r>
      <w:r w:rsidRPr="001561A8">
        <w:rPr>
          <w:rFonts w:cs="Times New Roman"/>
          <w:vertAlign w:val="superscript"/>
        </w:rPr>
        <w:t>o</w:t>
      </w:r>
      <w:r w:rsidRPr="001561A8">
        <w:rPr>
          <w:rFonts w:cs="Times New Roman"/>
        </w:rPr>
        <w:t xml:space="preserve"> 2574 (QL) (C.S.)). </w:t>
      </w:r>
    </w:p>
    <w:p w:rsidR="007A5985" w:rsidRPr="001561A8" w:rsidRDefault="007A5985" w:rsidP="007A5985">
      <w:pPr>
        <w:pStyle w:val="ParaNoNdepar-AltN"/>
        <w:rPr>
          <w:rFonts w:cs="Times New Roman"/>
        </w:rPr>
      </w:pPr>
      <w:r w:rsidRPr="001561A8">
        <w:rPr>
          <w:rFonts w:cs="Times New Roman"/>
        </w:rPr>
        <w:t>En l’espèce, la Co</w:t>
      </w:r>
      <w:r w:rsidR="002D3778">
        <w:rPr>
          <w:rFonts w:cs="Times New Roman"/>
        </w:rPr>
        <w:t>ur supérieure (2015 QCCS 5456, 4</w:t>
      </w:r>
      <w:r w:rsidRPr="001561A8">
        <w:rPr>
          <w:rFonts w:cs="Times New Roman"/>
        </w:rPr>
        <w:t xml:space="preserve">6 M.P.L.R. (5th) 309), s’est dite d’avis qu’un contrat s’était formé entre Octane et la Ville à l’égard des services rendus par PGB, mais que celui-ci était nul parce qu’il avait été conclu en violation des normes impératives d’ordre public prévues aux art. 573 et suiv. </w:t>
      </w:r>
      <w:r w:rsidRPr="001561A8">
        <w:rPr>
          <w:rFonts w:cs="Times New Roman"/>
          <w:i/>
        </w:rPr>
        <w:t>L.C.V.</w:t>
      </w:r>
      <w:r w:rsidRPr="001561A8">
        <w:rPr>
          <w:rFonts w:cs="Times New Roman"/>
        </w:rPr>
        <w:t xml:space="preserve"> portant sur l’adjudication des contrats municipaux (par. 75, 136-138, 140 et 148). La Cour supérieure a donc ordonné la restitution des prestations sur le fondement de l’annulation d’un contrat (par. 148-165). La Cour d’appel s’est estimée liée par la conclusion relative à la formation d’un contrat et a par ailleurs confirmé le raisonnement de la Cour supérieure sur l’annulation de ce contrat et la restitution des prestations en résultant (par. 47-48). Certes, un contrat de services d’une valeur de 82 </w:t>
      </w:r>
      <w:r>
        <w:rPr>
          <w:rFonts w:cs="Times New Roman"/>
        </w:rPr>
        <w:t>898,63 </w:t>
      </w:r>
      <w:r w:rsidRPr="001561A8">
        <w:rPr>
          <w:rFonts w:cs="Times New Roman"/>
        </w:rPr>
        <w:t xml:space="preserve">$ comme celui qui, selon les tribunaux inférieurs, se serait formé entre </w:t>
      </w:r>
      <w:r w:rsidRPr="001561A8">
        <w:rPr>
          <w:rFonts w:cs="Times New Roman"/>
        </w:rPr>
        <w:lastRenderedPageBreak/>
        <w:t xml:space="preserve">Octane et la Ville à l’égard des services rendus par PGB, aurait dû être adjugé après une demande de soumissions faite par voie d’invitation écrite, conformément à l’art. 573.1 </w:t>
      </w:r>
      <w:r w:rsidRPr="001561A8">
        <w:rPr>
          <w:rFonts w:cs="Times New Roman"/>
          <w:i/>
        </w:rPr>
        <w:t>L.C.V.</w:t>
      </w:r>
      <w:r w:rsidRPr="001561A8">
        <w:rPr>
          <w:rFonts w:cs="Times New Roman"/>
        </w:rPr>
        <w:t xml:space="preserve"> (C.S., par. 138; C.A., par. 47). Un tel contrat, s’il s’était effectivement formé, ce qui, comme nous le verrons, n’est pas le cas, serait frappé de nullité absolue, en plus de donner ouverture aux sanctions prévues par la </w:t>
      </w:r>
      <w:r w:rsidRPr="001561A8">
        <w:rPr>
          <w:rFonts w:cs="Times New Roman"/>
          <w:i/>
        </w:rPr>
        <w:t>L.C.V.</w:t>
      </w:r>
      <w:r w:rsidRPr="001561A8">
        <w:rPr>
          <w:rFonts w:cs="Times New Roman"/>
        </w:rPr>
        <w:t xml:space="preserve"> (art. 573.3.1.1.1 </w:t>
      </w:r>
      <w:r w:rsidRPr="001561A8">
        <w:rPr>
          <w:rFonts w:cs="Times New Roman"/>
          <w:i/>
        </w:rPr>
        <w:t>L.C.V.</w:t>
      </w:r>
      <w:r w:rsidRPr="001561A8">
        <w:rPr>
          <w:rFonts w:cs="Times New Roman"/>
        </w:rPr>
        <w:t xml:space="preserve">).   </w:t>
      </w:r>
    </w:p>
    <w:p w:rsidR="007A5985" w:rsidRPr="001561A8" w:rsidRDefault="007A5985" w:rsidP="007A5985">
      <w:pPr>
        <w:pStyle w:val="ParaNoNdepar-AltN"/>
        <w:rPr>
          <w:rFonts w:cs="Times New Roman"/>
        </w:rPr>
      </w:pPr>
      <w:r w:rsidRPr="001561A8">
        <w:rPr>
          <w:rFonts w:cs="Times New Roman"/>
        </w:rPr>
        <w:t xml:space="preserve">L’article 1422 </w:t>
      </w:r>
      <w:r w:rsidRPr="001561A8">
        <w:rPr>
          <w:rFonts w:cs="Times New Roman"/>
          <w:i/>
        </w:rPr>
        <w:t>C.c.Q.</w:t>
      </w:r>
      <w:r w:rsidRPr="001561A8">
        <w:rPr>
          <w:rFonts w:cs="Times New Roman"/>
        </w:rPr>
        <w:t>, lequel prévoit les effets de la nullité, crée expressément une obligation de restitution. Il s’agit d’un renvoi explicite au régime de la restitution des prestations codifié aux art. 1699 à 1707 </w:t>
      </w:r>
      <w:r w:rsidRPr="001561A8">
        <w:rPr>
          <w:rFonts w:cs="Times New Roman"/>
          <w:i/>
        </w:rPr>
        <w:t xml:space="preserve">C.c.Q. </w:t>
      </w:r>
      <w:r w:rsidRPr="001561A8">
        <w:rPr>
          <w:rFonts w:cs="Times New Roman"/>
        </w:rPr>
        <w:t xml:space="preserve">La restitution des prestations est ainsi la conséquence naturelle de l’anéantissement rétroactif d’un contrat (Lluelles et Moore, n° 1224). L’article 1699 al. 1 </w:t>
      </w:r>
      <w:r w:rsidRPr="001561A8">
        <w:rPr>
          <w:rFonts w:cs="Times New Roman"/>
          <w:i/>
        </w:rPr>
        <w:t>C.c.Q.</w:t>
      </w:r>
      <w:r w:rsidRPr="001561A8">
        <w:rPr>
          <w:rFonts w:cs="Times New Roman"/>
        </w:rPr>
        <w:t xml:space="preserve"> ne laisse d’ailleurs aucun doute à ce sujet : la restitution a lieu « chaque fois » qu’un acte juridique est rétroactivement anéanti. Comme l’expliquent D. Lluelles et B. Moore, au n° 1229, au sujet de l’art. 1699 al. </w:t>
      </w:r>
      <w:r>
        <w:rPr>
          <w:rFonts w:cs="Times New Roman"/>
        </w:rPr>
        <w:t>1 </w:t>
      </w:r>
      <w:r w:rsidRPr="001561A8">
        <w:rPr>
          <w:rFonts w:cs="Times New Roman"/>
          <w:i/>
        </w:rPr>
        <w:t>C.c.Q. </w:t>
      </w:r>
      <w:r w:rsidRPr="001561A8">
        <w:rPr>
          <w:rFonts w:cs="Times New Roman"/>
        </w:rPr>
        <w:t xml:space="preserve">: « Le ton impératif de ce texte montre bien que le juge n’a pas d’autre choix que de prononcer les restitutions au terme de l’annulation » et « [l]e fait même que le second alinéa de cette disposition accorde au magistrat le pouvoir exceptionnel de refuser la restitution — pour éviter “un avantage indu” — accentue le caractère obligatoire de la restitution ». De plus, ainsi que le soulignent encore nos collègues (par. 40), la jurisprudence récente de la Cour d’appel confirme la possibilité d’ordonner la restitution des prestations en cas d’annulation d’un contrat municipal : voir, notamment, </w:t>
      </w:r>
      <w:r w:rsidRPr="001561A8">
        <w:rPr>
          <w:rFonts w:cs="Times New Roman"/>
          <w:i/>
          <w:lang w:val="fr-FR"/>
        </w:rPr>
        <w:t>Repentigny (Ville de) c. Les Habitations de la Rive-Nord inc.</w:t>
      </w:r>
      <w:r w:rsidRPr="001561A8">
        <w:rPr>
          <w:rFonts w:cs="Times New Roman"/>
          <w:lang w:val="fr-FR"/>
        </w:rPr>
        <w:t>, 2001 CanLII 10048</w:t>
      </w:r>
      <w:r w:rsidRPr="001561A8">
        <w:rPr>
          <w:rFonts w:cs="Times New Roman"/>
          <w:i/>
          <w:lang w:val="fr-FR"/>
        </w:rPr>
        <w:t xml:space="preserve"> </w:t>
      </w:r>
      <w:r w:rsidRPr="001561A8">
        <w:rPr>
          <w:rFonts w:cs="Times New Roman"/>
          <w:lang w:val="fr-FR"/>
        </w:rPr>
        <w:t xml:space="preserve">(C.A. Qc); </w:t>
      </w:r>
      <w:r w:rsidRPr="001561A8">
        <w:rPr>
          <w:rFonts w:cs="Times New Roman"/>
          <w:i/>
        </w:rPr>
        <w:t>St-Pierre (Succession de)</w:t>
      </w:r>
      <w:r w:rsidRPr="001561A8">
        <w:rPr>
          <w:rFonts w:cs="Times New Roman"/>
        </w:rPr>
        <w:t xml:space="preserve">; </w:t>
      </w:r>
      <w:r w:rsidRPr="001561A8">
        <w:rPr>
          <w:rFonts w:cs="Times New Roman"/>
          <w:i/>
        </w:rPr>
        <w:t>Lacroix &amp; Fils ltée c. Carleton-sur-Mer (Ville)</w:t>
      </w:r>
      <w:r w:rsidRPr="001561A8">
        <w:rPr>
          <w:rFonts w:cs="Times New Roman"/>
        </w:rPr>
        <w:t xml:space="preserve">, 2014 QCCA 1345, 27 M.P.L.R. (5th) 10; voir aussi Lluelles et Moore, n° 1227 (« [l]a nécessaire restitution des prestations s’applique non seulement aux </w:t>
      </w:r>
      <w:r w:rsidRPr="001561A8">
        <w:rPr>
          <w:rFonts w:cs="Times New Roman"/>
        </w:rPr>
        <w:lastRenderedPageBreak/>
        <w:t xml:space="preserve">contrats de droit privé, commutatifs ou aléatoires, mais aussi aux contrats administratifs, provinciaux ou municipaux, sous réserve dans ce dernier cas de dispositions législatives explicitement contraires »). Une telle jurisprudence est sans doute compatible avec l’arrêt de notre Cour dans </w:t>
      </w:r>
      <w:r w:rsidRPr="001561A8">
        <w:rPr>
          <w:rFonts w:cs="Times New Roman"/>
          <w:i/>
        </w:rPr>
        <w:t>Pacific National Investments Ltd. c. Victoria (Ville)</w:t>
      </w:r>
      <w:r w:rsidRPr="001561A8">
        <w:rPr>
          <w:rFonts w:cs="Times New Roman"/>
        </w:rPr>
        <w:t xml:space="preserve">, 2004 CSC 75, [2004] 3 R.C.S. 575, un arrêt issu de la common law, mais qui, en droit civil sous le régime du </w:t>
      </w:r>
      <w:r w:rsidRPr="001561A8">
        <w:rPr>
          <w:rFonts w:cs="Times New Roman"/>
          <w:i/>
        </w:rPr>
        <w:t>C.c.Q.</w:t>
      </w:r>
      <w:r w:rsidRPr="001561A8">
        <w:rPr>
          <w:rFonts w:cs="Times New Roman"/>
        </w:rPr>
        <w:t xml:space="preserve">, aurait donné lieu à la restitution des prestations sur le fondement de l’annulation d’un contrat municipal. </w:t>
      </w:r>
    </w:p>
    <w:p w:rsidR="007A5985" w:rsidRPr="009B6F2C" w:rsidRDefault="007A5985" w:rsidP="007A5985">
      <w:pPr>
        <w:pStyle w:val="ParaNoNdepar-AltN"/>
        <w:rPr>
          <w:rFonts w:cs="Times New Roman"/>
        </w:rPr>
      </w:pPr>
      <w:r w:rsidRPr="001561A8">
        <w:rPr>
          <w:rFonts w:cs="Times New Roman"/>
          <w:szCs w:val="24"/>
        </w:rPr>
        <w:t>Toutefois, l’annulation d’un contrat suppose l’</w:t>
      </w:r>
      <w:r w:rsidRPr="001561A8">
        <w:rPr>
          <w:rFonts w:cs="Times New Roman"/>
          <w:i/>
          <w:szCs w:val="24"/>
        </w:rPr>
        <w:t>existence</w:t>
      </w:r>
      <w:r w:rsidRPr="001561A8">
        <w:rPr>
          <w:rFonts w:cs="Times New Roman"/>
          <w:szCs w:val="24"/>
        </w:rPr>
        <w:t xml:space="preserve"> de celui-ci. Comme l’a affirmé la Cour d’appel dans l’arrêt </w:t>
      </w:r>
      <w:r w:rsidRPr="001561A8">
        <w:rPr>
          <w:rFonts w:cs="Times New Roman"/>
          <w:i/>
          <w:szCs w:val="24"/>
          <w:lang w:val="fr-FR"/>
        </w:rPr>
        <w:t>Québec (Ville) c. GM Développement inc.</w:t>
      </w:r>
      <w:r w:rsidRPr="001561A8">
        <w:rPr>
          <w:rFonts w:cs="Times New Roman"/>
          <w:szCs w:val="24"/>
          <w:lang w:val="fr-FR"/>
        </w:rPr>
        <w:t xml:space="preserve">, 2017 QCCA 385, 72 M.P.L.R. (5th) 203, par. 32, « on ne peut démontrer la nullité ou la résolution d’un contrat inexistant ». En l’espèce, la Ville prétend précisément qu’il n’est pas question de nullité d’un contrat municipal; il serait plutôt question de l’inexistence de tout « contrat » entre Octane et la Ville (m.a., par. 47). </w:t>
      </w:r>
    </w:p>
    <w:p w:rsidR="007A5985" w:rsidRPr="001561A8" w:rsidRDefault="007A5985" w:rsidP="007A5985">
      <w:pPr>
        <w:pStyle w:val="Title4LevelTitre4Niveau"/>
        <w:numPr>
          <w:ilvl w:val="0"/>
          <w:numId w:val="0"/>
        </w:numPr>
        <w:tabs>
          <w:tab w:val="left" w:pos="1170"/>
        </w:tabs>
        <w:ind w:left="576"/>
        <w:rPr>
          <w:rFonts w:cs="Times New Roman"/>
          <w:lang w:val="fr-CA"/>
        </w:rPr>
      </w:pPr>
      <w:r w:rsidRPr="001561A8">
        <w:rPr>
          <w:rFonts w:cs="Times New Roman"/>
          <w:i w:val="0"/>
          <w:lang w:val="fr-CA"/>
        </w:rPr>
        <w:t>b)</w:t>
      </w:r>
      <w:r w:rsidRPr="001561A8">
        <w:rPr>
          <w:rFonts w:cs="Times New Roman"/>
          <w:lang w:val="fr-CA"/>
        </w:rPr>
        <w:tab/>
        <w:t>L’annulation d’un contrat suppose l’existence de celui-ci</w:t>
      </w:r>
    </w:p>
    <w:p w:rsidR="007A5985" w:rsidRPr="001561A8" w:rsidRDefault="007A5985" w:rsidP="007A5985">
      <w:pPr>
        <w:pStyle w:val="ParaNoNdepar-AltN"/>
        <w:rPr>
          <w:rFonts w:cs="Times New Roman"/>
        </w:rPr>
      </w:pPr>
      <w:r w:rsidRPr="001561A8">
        <w:rPr>
          <w:rFonts w:cs="Times New Roman"/>
        </w:rPr>
        <w:t>À l’instar de nos collègues (par. 59, 61-62 et 65), nous sommes d’avis que la source de la prétendue obligation de restitution de la Ville ne peut pas être l’annulation d’un contrat en vertu de l’art. 1422 </w:t>
      </w:r>
      <w:r w:rsidRPr="001561A8">
        <w:rPr>
          <w:rFonts w:cs="Times New Roman"/>
          <w:i/>
        </w:rPr>
        <w:t>C.c.Q.</w:t>
      </w:r>
      <w:r w:rsidRPr="001561A8">
        <w:rPr>
          <w:rFonts w:cs="Times New Roman"/>
        </w:rPr>
        <w:t>, puisqu’aucun contrat ne s’est formé entre Octane et la Ville. Le « contrat » sur lequel s’appuie la réclamation d’Octane est tout simplement inexistant et il n’y a donc aucun « acte juridique » qui puisse être « anéanti de façon rétroactive » au sens de l’art. 1699 al. 1 </w:t>
      </w:r>
      <w:r w:rsidRPr="001561A8">
        <w:rPr>
          <w:rFonts w:cs="Times New Roman"/>
          <w:i/>
        </w:rPr>
        <w:t>C.c.Q.</w:t>
      </w:r>
      <w:r w:rsidRPr="001561A8">
        <w:rPr>
          <w:rFonts w:cs="Times New Roman"/>
        </w:rPr>
        <w:t xml:space="preserve"> Comme l’affirment avec à-propos nos collègues au par. 62, « [l]’existence d’un contrat doit </w:t>
      </w:r>
      <w:r w:rsidRPr="001561A8">
        <w:rPr>
          <w:rFonts w:cs="Times New Roman"/>
        </w:rPr>
        <w:lastRenderedPageBreak/>
        <w:t xml:space="preserve">logiquement précéder son annulation : si un contrat n’a pas émergé à la vie juridique, il ne peut être réputé n’avoir jamais existé car il est, en fait, inexistant ». </w:t>
      </w:r>
    </w:p>
    <w:p w:rsidR="007A5985" w:rsidRPr="001561A8" w:rsidRDefault="007A5985" w:rsidP="007A5985">
      <w:pPr>
        <w:pStyle w:val="ParaNoNdepar-AltN"/>
        <w:rPr>
          <w:rFonts w:cs="Times New Roman"/>
        </w:rPr>
      </w:pPr>
      <w:r w:rsidRPr="001561A8">
        <w:rPr>
          <w:rFonts w:cs="Times New Roman"/>
        </w:rPr>
        <w:t>Nous partageons également la conclusion de nos collègues (par. 62) selon laquelle la distinction entre un contrat inexistant et un contrat nul est importante, parce qu’en cas d’inexistence d’un contrat, la restitution des prestations ne peut pas être la conséquence de l’annulation d’un contrat invalide (art. 1422 et 1699 </w:t>
      </w:r>
      <w:r w:rsidRPr="001561A8">
        <w:rPr>
          <w:rFonts w:cs="Times New Roman"/>
          <w:i/>
        </w:rPr>
        <w:t>C.c.Q.</w:t>
      </w:r>
      <w:r w:rsidRPr="001561A8">
        <w:rPr>
          <w:rFonts w:cs="Times New Roman"/>
        </w:rPr>
        <w:t>). Toute obligation de restitution devra plutôt se justifier sur la base d’un fondement différent, par exemple la réception de l’indu (art. 1554, 1491, 1492 et 1699 </w:t>
      </w:r>
      <w:r w:rsidRPr="001561A8">
        <w:rPr>
          <w:rFonts w:cs="Times New Roman"/>
          <w:i/>
        </w:rPr>
        <w:t>C.c.Q.</w:t>
      </w:r>
      <w:r w:rsidRPr="001561A8">
        <w:rPr>
          <w:rFonts w:cs="Times New Roman"/>
        </w:rPr>
        <w:t xml:space="preserve">). En effet, l’inexistence d’un contrat, ou d’une dette, entre les parties est précisément l’une des conditions d’ouverture d’une action en répétition de l’indu : voir à ce sujet </w:t>
      </w:r>
      <w:r w:rsidRPr="001561A8">
        <w:rPr>
          <w:rFonts w:cs="Times New Roman"/>
          <w:i/>
        </w:rPr>
        <w:t>Aliments Breton (Canada) inc. c. Oracle Corporation Canada inc.</w:t>
      </w:r>
      <w:r w:rsidRPr="001561A8">
        <w:rPr>
          <w:rFonts w:cs="Times New Roman"/>
        </w:rPr>
        <w:t xml:space="preserve">, 2015 QCCA 336, par. 14 (CanLII) (« [l]a réception de l’indu suggère l’absence d’une obligation à l’égard de la partie tenue à la restitution, alors que la résolution [ou la nullité] d’une entente comporte l’idée de l’existence d’une obligation contractuelle »). Comme l’affirme M. Cumyn : </w:t>
      </w:r>
    </w:p>
    <w:p w:rsidR="007A5985" w:rsidRPr="001561A8" w:rsidRDefault="007A5985" w:rsidP="007A5985">
      <w:pPr>
        <w:pStyle w:val="Citation-AltC"/>
      </w:pPr>
      <w:r w:rsidRPr="001561A8">
        <w:rPr>
          <w:b/>
        </w:rPr>
        <w:t>Conséquences de l’inexistence selon le droit strict.</w:t>
      </w:r>
      <w:r w:rsidRPr="001561A8">
        <w:t xml:space="preserve"> Les conséquences de l’inexistence ressemblent beaucoup, dans les faits, à celles de la nullité absolue, mais leur fondement juridique est différent. L’inexistence ne donne pas lieu, comme la nullité, à une réaction du droit contre les effets matériels de l’acte apparent. </w:t>
      </w:r>
      <w:r w:rsidRPr="001561A8">
        <w:rPr>
          <w:u w:val="single"/>
        </w:rPr>
        <w:t>Les parties qui ont exécuté des prestations en se fiant à l’apparence d’un contrat qui s’avère inexistant se retrouvent exactement dans la même situation que si elles avaient agi spontanément, sans aucun contrat. Il faut alors leur appliquer les règles qui découlent de l’absence de titre ou du paiement de l’indu. La partie qui pense avoir vendu son bien en vertu d’un contrat inexistant peut le revendiquer, parce qu’elle n’a jamais cessé d’en être propriétaire. La partie qui a été payée par erreur doit restituer le paiement.</w:t>
      </w:r>
      <w:r w:rsidRPr="001561A8">
        <w:t xml:space="preserve"> [Nous soulignons.]</w:t>
      </w:r>
    </w:p>
    <w:p w:rsidR="007A5985" w:rsidRPr="001561A8" w:rsidRDefault="007A5985" w:rsidP="007A5985">
      <w:pPr>
        <w:pStyle w:val="Citation-AltC"/>
      </w:pPr>
    </w:p>
    <w:p w:rsidR="007A5985" w:rsidRPr="001561A8" w:rsidRDefault="007A5985" w:rsidP="007A5985">
      <w:pPr>
        <w:pStyle w:val="Citation-AltC"/>
        <w:ind w:left="0"/>
      </w:pPr>
      <w:r w:rsidRPr="001561A8">
        <w:t>(</w:t>
      </w:r>
      <w:r w:rsidRPr="001561A8">
        <w:rPr>
          <w:i/>
        </w:rPr>
        <w:t>La validité du contrat suivant le droit strict ou l’équité : étude historique et comparée des nullités contractuelles</w:t>
      </w:r>
      <w:r w:rsidRPr="001561A8">
        <w:t xml:space="preserve"> (2002), p. 174)</w:t>
      </w:r>
    </w:p>
    <w:p w:rsidR="007A5985" w:rsidRPr="001561A8" w:rsidRDefault="007A5985" w:rsidP="007A5985">
      <w:pPr>
        <w:pStyle w:val="ParaNoNdepar-AltN"/>
        <w:rPr>
          <w:rFonts w:cs="Times New Roman"/>
        </w:rPr>
      </w:pPr>
      <w:r w:rsidRPr="001561A8">
        <w:rPr>
          <w:rFonts w:cs="Times New Roman"/>
        </w:rPr>
        <w:lastRenderedPageBreak/>
        <w:t>La doctrine contemporaine admet difficilement la notion même d’inexistence d’un contrat : voir, p</w:t>
      </w:r>
      <w:r w:rsidR="00AE5F00">
        <w:rPr>
          <w:rFonts w:cs="Times New Roman"/>
        </w:rPr>
        <w:t xml:space="preserve">. </w:t>
      </w:r>
      <w:r w:rsidRPr="001561A8">
        <w:rPr>
          <w:rFonts w:cs="Times New Roman"/>
        </w:rPr>
        <w:t>ex., Baudouin et Jobin, n° 385; Lluelles et Moore, n</w:t>
      </w:r>
      <w:r w:rsidRPr="001561A8">
        <w:rPr>
          <w:rFonts w:cs="Times New Roman"/>
          <w:vertAlign w:val="superscript"/>
        </w:rPr>
        <w:t>os</w:t>
      </w:r>
      <w:r w:rsidR="00AE5F00">
        <w:rPr>
          <w:rFonts w:cs="Times New Roman"/>
        </w:rPr>
        <w:t> 1103-</w:t>
      </w:r>
      <w:r w:rsidRPr="001561A8">
        <w:rPr>
          <w:rFonts w:cs="Times New Roman"/>
        </w:rPr>
        <w:t xml:space="preserve">1104 et 1113. La juge Hogue en Cour d’appel l’a d’ailleurs souligné dans ses motifs concordants (par. 72), en affirmant qu’il n’y avait en principe plus lieu sous le </w:t>
      </w:r>
      <w:r w:rsidRPr="001561A8">
        <w:rPr>
          <w:rFonts w:cs="Times New Roman"/>
          <w:i/>
        </w:rPr>
        <w:t>C.c.Q.</w:t>
      </w:r>
      <w:r w:rsidRPr="001561A8">
        <w:rPr>
          <w:rFonts w:cs="Times New Roman"/>
        </w:rPr>
        <w:t xml:space="preserve"> de distinguer entre les actes nuls et les actes annulables. La plupart des auteurs sous le régime du </w:t>
      </w:r>
      <w:r w:rsidRPr="001561A8">
        <w:rPr>
          <w:rFonts w:cs="Times New Roman"/>
          <w:i/>
        </w:rPr>
        <w:t>Code civil du Bas-Canada</w:t>
      </w:r>
      <w:r w:rsidRPr="001561A8">
        <w:rPr>
          <w:rFonts w:cs="Times New Roman"/>
        </w:rPr>
        <w:t xml:space="preserve"> faisaient la distinction entre l’« acte nul » et l’« acte annulable ». L’acte était « nul » quand il violait une norme impérative d’ordre public (ce que l’on appellerait aujourd’hui un acte nul de « nullité absolue ») ou encore quand il y avait absence totale de consentement (ce qui concernait l’« inexistence » même du contrat). L’acte était toutefois simplement « annulable » quand il y avait absence d’une condition importante, mais non essentielle, de formation du contrat (un vice</w:t>
      </w:r>
      <w:r w:rsidR="00AE5F00">
        <w:rPr>
          <w:rFonts w:cs="Times New Roman"/>
        </w:rPr>
        <w:t xml:space="preserve"> de consentement par exemple) (v</w:t>
      </w:r>
      <w:r w:rsidRPr="001561A8">
        <w:rPr>
          <w:rFonts w:cs="Times New Roman"/>
        </w:rPr>
        <w:t>oir à ce sujet Lluelles et Moore, n</w:t>
      </w:r>
      <w:r w:rsidRPr="001561A8">
        <w:rPr>
          <w:rFonts w:cs="Times New Roman"/>
          <w:vertAlign w:val="superscript"/>
        </w:rPr>
        <w:t>os</w:t>
      </w:r>
      <w:r w:rsidR="00AE5F00">
        <w:rPr>
          <w:rFonts w:cs="Times New Roman"/>
        </w:rPr>
        <w:t> 1101-</w:t>
      </w:r>
      <w:r w:rsidRPr="001561A8">
        <w:rPr>
          <w:rFonts w:cs="Times New Roman"/>
        </w:rPr>
        <w:t>1102). On constate néanmoins que certains autres auteurs maintiennent l’importance de la notion d’inexistence : voir, p</w:t>
      </w:r>
      <w:r w:rsidR="00AE5F00">
        <w:rPr>
          <w:rFonts w:cs="Times New Roman"/>
        </w:rPr>
        <w:t>.</w:t>
      </w:r>
      <w:r w:rsidRPr="001561A8">
        <w:rPr>
          <w:rFonts w:cs="Times New Roman"/>
        </w:rPr>
        <w:t xml:space="preserve"> ex., Cumyn; S. Gaudet, « Inexistence, nullité et annulabilité du contrat : essai de synthèse » (1995), 40 </w:t>
      </w:r>
      <w:r w:rsidRPr="001561A8">
        <w:rPr>
          <w:rFonts w:cs="Times New Roman"/>
          <w:i/>
        </w:rPr>
        <w:t>R.D. McGill</w:t>
      </w:r>
      <w:r w:rsidRPr="001561A8">
        <w:rPr>
          <w:rFonts w:cs="Times New Roman"/>
        </w:rPr>
        <w:t xml:space="preserve"> 291; X. Barré, « Nullité et inexistence ou les bégaiements de la technique juridique en France » (1992), 26 </w:t>
      </w:r>
      <w:r w:rsidRPr="001561A8">
        <w:rPr>
          <w:rFonts w:cs="Times New Roman"/>
          <w:i/>
        </w:rPr>
        <w:t>R.J.T.</w:t>
      </w:r>
      <w:r>
        <w:rPr>
          <w:rFonts w:cs="Times New Roman"/>
        </w:rPr>
        <w:t xml:space="preserve"> 20; P.-G. </w:t>
      </w:r>
      <w:r w:rsidRPr="001561A8">
        <w:rPr>
          <w:rFonts w:cs="Times New Roman"/>
        </w:rPr>
        <w:t xml:space="preserve">Jobin, « L’inexistence dans le droit commun des contrats » (1974), 15 </w:t>
      </w:r>
      <w:r w:rsidRPr="001561A8">
        <w:rPr>
          <w:rFonts w:cs="Times New Roman"/>
          <w:i/>
        </w:rPr>
        <w:t>C. de D.</w:t>
      </w:r>
      <w:r w:rsidRPr="001561A8">
        <w:rPr>
          <w:rFonts w:cs="Times New Roman"/>
        </w:rPr>
        <w:t xml:space="preserve"> 173. Comme l’explique M. Cumyn, à la p. 37 : « Plusieurs auteurs contemporains reconnaissent qu’on ne peut se passer entièrement de l’inexistence parce qu’il est conceptuellement nécessaire de distinguer la situation où aucun contrat ne s’est formé de celle où un contrat s’est formé, quoique non valide ». </w:t>
      </w:r>
    </w:p>
    <w:p w:rsidR="007A5985" w:rsidRPr="001561A8" w:rsidRDefault="007A5985" w:rsidP="007A5985">
      <w:pPr>
        <w:pStyle w:val="ParaNoNdepar-AltN"/>
        <w:rPr>
          <w:rFonts w:cs="Times New Roman"/>
        </w:rPr>
      </w:pPr>
      <w:r w:rsidRPr="001561A8">
        <w:rPr>
          <w:rFonts w:cs="Times New Roman"/>
        </w:rPr>
        <w:t>En droit civil, l’existence d’un contrat est conditionnelle à la manifestation d’une volonté d’être lié contractuellement. Le contrat est défini comme « un accord de volonté » (art. 1378 al. 1 </w:t>
      </w:r>
      <w:r w:rsidRPr="001561A8">
        <w:rPr>
          <w:rFonts w:cs="Times New Roman"/>
          <w:i/>
        </w:rPr>
        <w:t>C.c.Q.</w:t>
      </w:r>
      <w:r w:rsidRPr="001561A8">
        <w:rPr>
          <w:rFonts w:cs="Times New Roman"/>
        </w:rPr>
        <w:t xml:space="preserve">), il se forme « par le seul échange de consentement » </w:t>
      </w:r>
      <w:r w:rsidRPr="001561A8">
        <w:rPr>
          <w:rFonts w:cs="Times New Roman"/>
        </w:rPr>
        <w:lastRenderedPageBreak/>
        <w:t>(art. 1385 al. 1 </w:t>
      </w:r>
      <w:r w:rsidRPr="001561A8">
        <w:rPr>
          <w:rFonts w:cs="Times New Roman"/>
          <w:i/>
        </w:rPr>
        <w:t>C.c.Q.</w:t>
      </w:r>
      <w:r w:rsidRPr="001561A8">
        <w:rPr>
          <w:rFonts w:cs="Times New Roman"/>
        </w:rPr>
        <w:t>), et cet échange de consentement se réalise « </w:t>
      </w:r>
      <w:r w:rsidRPr="001561A8">
        <w:rPr>
          <w:rFonts w:cs="Times New Roman"/>
          <w:u w:val="single"/>
        </w:rPr>
        <w:t>par la manifestation</w:t>
      </w:r>
      <w:r w:rsidRPr="001561A8">
        <w:rPr>
          <w:rFonts w:cs="Times New Roman"/>
        </w:rPr>
        <w:t>, expresse ou tacite, de la volonté d’une personne d’accepter l’offre de contracter que lui fait une autre personne » (art. 1386 </w:t>
      </w:r>
      <w:r w:rsidRPr="001561A8">
        <w:rPr>
          <w:rFonts w:cs="Times New Roman"/>
          <w:i/>
        </w:rPr>
        <w:t>C.c.Q.</w:t>
      </w:r>
      <w:r w:rsidRPr="001561A8">
        <w:rPr>
          <w:rFonts w:cs="Times New Roman"/>
        </w:rPr>
        <w:t>). En l’absence de ces « faits générateurs » du contrat, « il y a alors absence totale d’acte » (Gaudet, p. 336-337). En effet, l’inexistence d’un contrat découle de l’absence des conditions formelles d’existence d’un contrat que sont l’offre et l’acceptation</w:t>
      </w:r>
      <w:r>
        <w:rPr>
          <w:rFonts w:cs="Times New Roman"/>
        </w:rPr>
        <w:t xml:space="preserve"> (Cumyn, p. </w:t>
      </w:r>
      <w:r w:rsidRPr="001561A8">
        <w:rPr>
          <w:rFonts w:cs="Times New Roman"/>
        </w:rPr>
        <w:t xml:space="preserve">150 et 155). Lorsqu’il y a absence objective de toute manifestation d’une volonté d’être lié contractuellement, c’est-à-dire lorsqu’il y a absence d’une offre de contracter ou encore refus d’une telle offre ou absence d’acceptation, « il n’y a pas de contrat » (Cumyn, p. 155). </w:t>
      </w:r>
    </w:p>
    <w:p w:rsidR="007A5985" w:rsidRPr="001561A8" w:rsidRDefault="007A5985" w:rsidP="007A5985">
      <w:pPr>
        <w:pStyle w:val="ParaNoNdepar-AltN"/>
        <w:rPr>
          <w:rFonts w:cs="Times New Roman"/>
        </w:rPr>
      </w:pPr>
      <w:r w:rsidRPr="001561A8">
        <w:rPr>
          <w:rFonts w:cs="Times New Roman"/>
        </w:rPr>
        <w:t>Comme le soulignent nos collègues (par. 53), le règlement et la résolution sont les véhicules juridiques par lesquels une municipalité, par l’entremise de son organe décisionnel qu’est le conseil municipal, manifeste sa volonté (</w:t>
      </w:r>
      <w:r w:rsidRPr="001561A8">
        <w:rPr>
          <w:rFonts w:cs="Times New Roman"/>
          <w:i/>
        </w:rPr>
        <w:t>Air Canada c. Cité de Dorval</w:t>
      </w:r>
      <w:r w:rsidRPr="001561A8">
        <w:rPr>
          <w:rFonts w:cs="Times New Roman"/>
        </w:rPr>
        <w:t xml:space="preserve">, [1985] 1 R.C.S. 861, p. 866; </w:t>
      </w:r>
      <w:r w:rsidRPr="001561A8">
        <w:rPr>
          <w:rFonts w:cs="Times New Roman"/>
          <w:i/>
          <w:szCs w:val="24"/>
        </w:rPr>
        <w:t>Silver’s Garage Ltd. c. Town of Bridgewater</w:t>
      </w:r>
      <w:r w:rsidRPr="001561A8">
        <w:rPr>
          <w:rFonts w:cs="Times New Roman"/>
          <w:szCs w:val="24"/>
        </w:rPr>
        <w:t xml:space="preserve">, [1971] R.C.S. 577, p. 586; </w:t>
      </w:r>
      <w:r w:rsidRPr="001561A8">
        <w:rPr>
          <w:rFonts w:cs="Times New Roman"/>
          <w:i/>
        </w:rPr>
        <w:t>Poulin De Courval c. Poliquin</w:t>
      </w:r>
      <w:r w:rsidRPr="001561A8">
        <w:rPr>
          <w:rFonts w:cs="Times New Roman"/>
        </w:rPr>
        <w:t xml:space="preserve">, 2018 QCCA 1534, par. 18 (CanLII); </w:t>
      </w:r>
      <w:r w:rsidRPr="001561A8">
        <w:rPr>
          <w:rFonts w:cs="Times New Roman"/>
          <w:i/>
        </w:rPr>
        <w:t>Habitations Germat inc. c. Ville de Rosemère</w:t>
      </w:r>
      <w:r>
        <w:rPr>
          <w:rFonts w:cs="Times New Roman"/>
        </w:rPr>
        <w:t>, 2017 QCCA 1294, par. </w:t>
      </w:r>
      <w:r w:rsidRPr="001561A8">
        <w:rPr>
          <w:rFonts w:cs="Times New Roman"/>
        </w:rPr>
        <w:t xml:space="preserve">6 (CanLII); </w:t>
      </w:r>
      <w:r w:rsidRPr="001561A8">
        <w:rPr>
          <w:rFonts w:cs="Times New Roman"/>
          <w:i/>
        </w:rPr>
        <w:t>Amar c. Dollard-des-Ormeaux (Ville)</w:t>
      </w:r>
      <w:r w:rsidRPr="001561A8">
        <w:rPr>
          <w:rFonts w:cs="Times New Roman"/>
        </w:rPr>
        <w:t xml:space="preserve">, 2014 QCCA 76, 18 M.P.L.R. (5th) 277, par. 8; </w:t>
      </w:r>
      <w:r w:rsidRPr="001561A8">
        <w:rPr>
          <w:rFonts w:cs="Times New Roman"/>
          <w:i/>
        </w:rPr>
        <w:t>Beloeil (Ville de) c. Gestion Gabriel Borduas inc.</w:t>
      </w:r>
      <w:r w:rsidRPr="001561A8">
        <w:rPr>
          <w:rFonts w:cs="Times New Roman"/>
        </w:rPr>
        <w:t xml:space="preserve">, 2014 QCCA 238; </w:t>
      </w:r>
      <w:r w:rsidRPr="001561A8">
        <w:rPr>
          <w:rFonts w:cs="Times New Roman"/>
          <w:i/>
        </w:rPr>
        <w:t>9129-6111 Québec inc. c. Longueuil (Ville)</w:t>
      </w:r>
      <w:r w:rsidRPr="001561A8">
        <w:rPr>
          <w:rFonts w:cs="Times New Roman"/>
        </w:rPr>
        <w:t xml:space="preserve">, 2010 QCCA 2265, 21 Admin. L.R. (5th) 320, par. 18; </w:t>
      </w:r>
      <w:r w:rsidRPr="001561A8">
        <w:rPr>
          <w:rFonts w:cs="Times New Roman"/>
          <w:i/>
        </w:rPr>
        <w:t>Lévesque c. Carignan (Corp. de la ville de)</w:t>
      </w:r>
      <w:r w:rsidRPr="001561A8">
        <w:rPr>
          <w:rFonts w:cs="Times New Roman"/>
        </w:rPr>
        <w:t xml:space="preserve">, </w:t>
      </w:r>
      <w:r w:rsidR="00AE5F00">
        <w:rPr>
          <w:rFonts w:cs="Times New Roman"/>
        </w:rPr>
        <w:t xml:space="preserve">[1998] </w:t>
      </w:r>
      <w:r w:rsidRPr="001561A8">
        <w:rPr>
          <w:rFonts w:cs="Times New Roman"/>
        </w:rPr>
        <w:t xml:space="preserve">AZ-98026278 (C.S. Qc); Hétu et Duplessis, par. 9.31, 9.33-9.34 et 9.38). En d’autres termes, c’est par règlement ou résolution des membres de son conseil en séance qu’une municipalité a le pouvoir général de s’engager contractuellement (art. 47 et 350 </w:t>
      </w:r>
      <w:r w:rsidRPr="001561A8">
        <w:rPr>
          <w:rFonts w:cs="Times New Roman"/>
          <w:i/>
        </w:rPr>
        <w:t>L.C.V.</w:t>
      </w:r>
      <w:r w:rsidRPr="001561A8">
        <w:rPr>
          <w:rFonts w:cs="Times New Roman"/>
        </w:rPr>
        <w:t xml:space="preserve">; </w:t>
      </w:r>
      <w:r w:rsidRPr="001561A8">
        <w:rPr>
          <w:rFonts w:cs="Times New Roman"/>
          <w:i/>
        </w:rPr>
        <w:lastRenderedPageBreak/>
        <w:t>Ville de Saguenay c. Construction Unibec inc.</w:t>
      </w:r>
      <w:r w:rsidRPr="001561A8">
        <w:rPr>
          <w:rFonts w:cs="Times New Roman"/>
        </w:rPr>
        <w:t xml:space="preserve">, 2019 QCCA 38, par. 35 (CanLII)). Pour reprendre les propos de la Cour d’appel dans </w:t>
      </w:r>
      <w:r w:rsidRPr="001561A8">
        <w:rPr>
          <w:rFonts w:cs="Times New Roman"/>
          <w:i/>
        </w:rPr>
        <w:t>Unibec</w:t>
      </w:r>
      <w:r w:rsidRPr="001561A8">
        <w:rPr>
          <w:rFonts w:cs="Times New Roman"/>
        </w:rPr>
        <w:t xml:space="preserve"> (par. 35) : </w:t>
      </w:r>
    </w:p>
    <w:p w:rsidR="007A5985" w:rsidRPr="001561A8" w:rsidRDefault="000E6496" w:rsidP="007A5985">
      <w:pPr>
        <w:pStyle w:val="Citation-AltC"/>
      </w:pPr>
      <w:r>
        <w:t xml:space="preserve">. . . </w:t>
      </w:r>
      <w:r w:rsidR="007A5985" w:rsidRPr="001561A8">
        <w:t xml:space="preserve">une municipalité locale ne peut être liée financièrement face à un tiers que si une résolution ou un règlement le prévoit. </w:t>
      </w:r>
      <w:r w:rsidR="007A5985" w:rsidRPr="001561A8">
        <w:rPr>
          <w:u w:val="single"/>
        </w:rPr>
        <w:t>Il s’agit d’une mesure édictée dans l’intérêt des municipalités locales, donc des citoyens, pour favoriser une saine administration des fonds publics ainsi que la transparence des décisions et pour éviter la collusion et la corruption.</w:t>
      </w:r>
      <w:r w:rsidR="007A5985" w:rsidRPr="001561A8">
        <w:t xml:space="preserve"> [Nous soulignons; notes en bas de page omises.]</w:t>
      </w:r>
    </w:p>
    <w:p w:rsidR="007A5985" w:rsidRPr="001561A8" w:rsidRDefault="007A5985" w:rsidP="007A5985">
      <w:pPr>
        <w:pStyle w:val="ParaNoNdepar-AltN"/>
        <w:rPr>
          <w:rFonts w:cs="Times New Roman"/>
        </w:rPr>
      </w:pPr>
      <w:r w:rsidRPr="001561A8">
        <w:rPr>
          <w:rFonts w:cs="Times New Roman"/>
        </w:rPr>
        <w:t xml:space="preserve">Certaines autres instances, comme un comité exécutif, peuvent également être mises sur pied afin de faciliter la gestion efficace d’une municipalité (art. 70.1 et suiv. </w:t>
      </w:r>
      <w:r w:rsidRPr="001561A8">
        <w:rPr>
          <w:rFonts w:cs="Times New Roman"/>
          <w:i/>
        </w:rPr>
        <w:t>L.C.V.</w:t>
      </w:r>
      <w:r w:rsidRPr="001561A8">
        <w:rPr>
          <w:rFonts w:cs="Times New Roman"/>
        </w:rPr>
        <w:t xml:space="preserve">), et une charte municipale peut ainsi confier à un comité exécutif le pouvoir de contracter au nom de la municipalité (Hétu et Duplessis, par. 9.31 et 9.39). Une municipalité peut aussi, par règlement de son conseil, déléguer à un fonctionnaire le pouvoir de contracter des obligations en son nom (art. 477.2 </w:t>
      </w:r>
      <w:r w:rsidRPr="001561A8">
        <w:rPr>
          <w:rFonts w:cs="Times New Roman"/>
          <w:i/>
        </w:rPr>
        <w:t>L.C.V.</w:t>
      </w:r>
      <w:r w:rsidRPr="001561A8">
        <w:rPr>
          <w:rFonts w:cs="Times New Roman"/>
        </w:rPr>
        <w:t xml:space="preserve">; Hétu et Duplessis, par. 9.39). « Un fonctionnaire ne peut utiliser son pouvoir délégué par le conseil que s’il y a des fonds disponibles pour la dépense projetée » (Hétu et Duplessis, par. 9.39; voir aussi </w:t>
      </w:r>
      <w:r w:rsidRPr="001561A8">
        <w:rPr>
          <w:rFonts w:cs="Times New Roman"/>
          <w:i/>
        </w:rPr>
        <w:t>Construction Irebec inc. c. Montréal (Ville de)</w:t>
      </w:r>
      <w:r w:rsidRPr="001561A8">
        <w:rPr>
          <w:rFonts w:cs="Times New Roman"/>
        </w:rPr>
        <w:t xml:space="preserve">, 2015 QCCS 4303, par. 89 (CanLII)). </w:t>
      </w:r>
    </w:p>
    <w:p w:rsidR="007A5985" w:rsidRPr="001561A8" w:rsidRDefault="007A5985" w:rsidP="007A5985">
      <w:pPr>
        <w:pStyle w:val="ParaNoNdepar-AltN"/>
        <w:rPr>
          <w:rFonts w:cs="Times New Roman"/>
        </w:rPr>
      </w:pPr>
      <w:r w:rsidRPr="001561A8">
        <w:rPr>
          <w:rFonts w:cs="Times New Roman"/>
        </w:rPr>
        <w:t>En l’espèce, un règlement accordant à certains fonctionnaires une telle délégation de pouvoirs était en vigueur au moment des faits (</w:t>
      </w:r>
      <w:r w:rsidRPr="001561A8">
        <w:rPr>
          <w:rFonts w:cs="Times New Roman"/>
          <w:i/>
        </w:rPr>
        <w:t>Règlement intérieur du comité exécutif sur la délégation de pouvoirs aux fonctionnaires et employés</w:t>
      </w:r>
      <w:r w:rsidRPr="001561A8">
        <w:rPr>
          <w:rFonts w:cs="Times New Roman"/>
        </w:rPr>
        <w:t>, Règl. 02</w:t>
      </w:r>
      <w:r w:rsidRPr="001561A8">
        <w:rPr>
          <w:rFonts w:cs="Times New Roman"/>
        </w:rPr>
        <w:noBreakHyphen/>
        <w:t>004, 26 juin 2002 (« </w:t>
      </w:r>
      <w:r w:rsidRPr="001561A8">
        <w:rPr>
          <w:rFonts w:cs="Times New Roman"/>
          <w:i/>
        </w:rPr>
        <w:t>Règlement de délégation</w:t>
      </w:r>
      <w:r w:rsidRPr="001561A8">
        <w:rPr>
          <w:rFonts w:cs="Times New Roman"/>
        </w:rPr>
        <w:t xml:space="preserve"> »)). Cependant, comme une seule entreprise de « services professionnels » avait été sollicitée, aucun fonctionnaire de la Ville ne jouissait d’une délégation de pouvoirs l’autorisant à conclure un contrat d’une valeur excédant 25 000 $ (art. 22 du </w:t>
      </w:r>
      <w:r w:rsidRPr="001561A8">
        <w:rPr>
          <w:rFonts w:cs="Times New Roman"/>
          <w:i/>
        </w:rPr>
        <w:t>Règlement de délégation</w:t>
      </w:r>
      <w:r w:rsidRPr="001561A8">
        <w:rPr>
          <w:rFonts w:cs="Times New Roman"/>
        </w:rPr>
        <w:t xml:space="preserve">; témoignage de </w:t>
      </w:r>
      <w:r w:rsidRPr="001561A8">
        <w:rPr>
          <w:rFonts w:cs="Times New Roman"/>
        </w:rPr>
        <w:lastRenderedPageBreak/>
        <w:t xml:space="preserve">Gilles Robillard, d.a., vol. XIII, p. 96-97). Ainsi, aucun fonctionnaire dûment autorisé n’a pu contracter une obligation de 82 898,63 $ au nom de la Ville. Le comité exécutif de la Ville aurait certes pu manifester une telle volonté au nom de la Ville, étant donné que celui-ci a le pouvoir de consentir « tout contrat qui n’entraîne pas une dépense excédant 100 000 $ » (art. 33 al. 2 de la </w:t>
      </w:r>
      <w:r w:rsidRPr="001561A8">
        <w:rPr>
          <w:rFonts w:cs="Times New Roman"/>
          <w:i/>
        </w:rPr>
        <w:t>Charte de la Ville de Montréal, métropole du Québec</w:t>
      </w:r>
      <w:r w:rsidRPr="001561A8">
        <w:rPr>
          <w:rFonts w:cs="Times New Roman"/>
        </w:rPr>
        <w:t>, RLRQ, c. C-11.4), mais il n’est pas allégué ici qu’un tel pouvoir aurait été exercé par le comité exécutif au nom de la Ville. Il n’est pas non plus contesté qu’il n’existe aucun règlement ni aucune résolution du conseil municipal de la Ville par lesquels cette dernière aurait manifesté sa volonté d’être liée contractuellement à Octane à l’égard des services rendus par PGB (motifs de nos collègues, par. 56; m.a., par. 79).</w:t>
      </w:r>
    </w:p>
    <w:p w:rsidR="007A5985" w:rsidRPr="001561A8" w:rsidRDefault="007A5985" w:rsidP="007A5985">
      <w:pPr>
        <w:pStyle w:val="ParaNoNdepar-AltN"/>
        <w:rPr>
          <w:rFonts w:cs="Times New Roman"/>
        </w:rPr>
      </w:pPr>
      <w:r w:rsidRPr="001561A8">
        <w:rPr>
          <w:rFonts w:cs="Times New Roman"/>
        </w:rPr>
        <w:t>La Cour supérieure a néanmoins conclu que M. Thériault avait donné mandat à Octane et qu’il lui avait donné l’assurance qu’elle serait payée (par. 135). Or, M. Thériault ne jouissait d’aucune délégation de pouvoirs l’autorisant à contracter au nom de la Ville, parce qu’il était un membre du personnel politique du cabinet du maire, et non un fonctionnaire ou un employé municipal (motifs de la C.S., par. 62-66; art. 114.7 et 477.2 </w:t>
      </w:r>
      <w:r w:rsidRPr="001561A8">
        <w:rPr>
          <w:rFonts w:cs="Times New Roman"/>
          <w:i/>
        </w:rPr>
        <w:t>L.C.V.</w:t>
      </w:r>
      <w:r w:rsidRPr="001561A8">
        <w:rPr>
          <w:rFonts w:cs="Times New Roman"/>
        </w:rPr>
        <w:t xml:space="preserve">). </w:t>
      </w:r>
    </w:p>
    <w:p w:rsidR="007A5985" w:rsidRPr="001561A8" w:rsidRDefault="007A5985" w:rsidP="007A5985">
      <w:pPr>
        <w:pStyle w:val="ParaNoNdepar-AltN"/>
        <w:rPr>
          <w:rFonts w:cs="Times New Roman"/>
        </w:rPr>
      </w:pPr>
      <w:r w:rsidRPr="001561A8">
        <w:rPr>
          <w:rFonts w:cs="Times New Roman"/>
        </w:rPr>
        <w:t>Comme nos collègues (par. 55), il nous faut aussi insister sur le fait que la théorie du mandat apparent codifiée à l’art. 2163 </w:t>
      </w:r>
      <w:r w:rsidRPr="001561A8">
        <w:rPr>
          <w:rFonts w:cs="Times New Roman"/>
          <w:i/>
        </w:rPr>
        <w:t>C.c.Q.</w:t>
      </w:r>
      <w:r w:rsidRPr="001561A8">
        <w:rPr>
          <w:rFonts w:cs="Times New Roman"/>
        </w:rPr>
        <w:t xml:space="preserve"> ne s’applique pas en matière municipale (</w:t>
      </w:r>
      <w:r w:rsidRPr="001561A8">
        <w:rPr>
          <w:rFonts w:cs="Times New Roman"/>
          <w:i/>
        </w:rPr>
        <w:t>Verreault (J.E.) &amp; Fils Ltée c. Procureur général du Québec</w:t>
      </w:r>
      <w:r w:rsidRPr="001561A8">
        <w:rPr>
          <w:rFonts w:cs="Times New Roman"/>
        </w:rPr>
        <w:t xml:space="preserve">, [1977] 1 R.C.S. 41, p. 47; </w:t>
      </w:r>
      <w:r w:rsidRPr="001561A8">
        <w:rPr>
          <w:rFonts w:cs="Times New Roman"/>
          <w:i/>
        </w:rPr>
        <w:t>GM Développement inc.</w:t>
      </w:r>
      <w:r w:rsidRPr="001561A8">
        <w:rPr>
          <w:rFonts w:cs="Times New Roman"/>
        </w:rPr>
        <w:t xml:space="preserve">, par. 21; </w:t>
      </w:r>
      <w:r w:rsidRPr="001561A8">
        <w:rPr>
          <w:rFonts w:cs="Times New Roman"/>
          <w:i/>
        </w:rPr>
        <w:t>Gestion Gabriel Borduas inc.</w:t>
      </w:r>
      <w:r w:rsidRPr="001561A8">
        <w:rPr>
          <w:rFonts w:cs="Times New Roman"/>
        </w:rPr>
        <w:t xml:space="preserve">, par. 69 (CanLII); </w:t>
      </w:r>
      <w:r w:rsidRPr="001561A8">
        <w:rPr>
          <w:rFonts w:cs="Times New Roman"/>
          <w:i/>
        </w:rPr>
        <w:t>Cité de St-Laurent c. Boudrias</w:t>
      </w:r>
      <w:r w:rsidRPr="001561A8">
        <w:rPr>
          <w:rFonts w:cs="Times New Roman"/>
        </w:rPr>
        <w:t xml:space="preserve">, [1974] C.A. 473 (Qc), p. 475; Hétu </w:t>
      </w:r>
      <w:r w:rsidRPr="001561A8">
        <w:rPr>
          <w:rFonts w:cs="Times New Roman"/>
        </w:rPr>
        <w:lastRenderedPageBreak/>
        <w:t xml:space="preserve">et Duplessis, par. 9.36; </w:t>
      </w:r>
      <w:r>
        <w:rPr>
          <w:rFonts w:cs="Times New Roman"/>
        </w:rPr>
        <w:t>P. </w:t>
      </w:r>
      <w:r w:rsidRPr="001561A8">
        <w:rPr>
          <w:rFonts w:cs="Times New Roman"/>
        </w:rPr>
        <w:t xml:space="preserve">Garant, </w:t>
      </w:r>
      <w:r w:rsidRPr="001561A8">
        <w:rPr>
          <w:rFonts w:cs="Times New Roman"/>
          <w:i/>
        </w:rPr>
        <w:t>Précis de droit des administrations publiques</w:t>
      </w:r>
      <w:r w:rsidRPr="001561A8">
        <w:rPr>
          <w:rFonts w:cs="Times New Roman"/>
        </w:rPr>
        <w:t xml:space="preserve"> (6</w:t>
      </w:r>
      <w:r w:rsidRPr="001561A8">
        <w:rPr>
          <w:rFonts w:cs="Times New Roman"/>
          <w:vertAlign w:val="superscript"/>
        </w:rPr>
        <w:t>e </w:t>
      </w:r>
      <w:r w:rsidRPr="001561A8">
        <w:rPr>
          <w:rFonts w:cs="Times New Roman"/>
        </w:rPr>
        <w:t xml:space="preserve">éd. 2018), p. 160). </w:t>
      </w:r>
    </w:p>
    <w:p w:rsidR="007A5985" w:rsidRPr="001561A8" w:rsidRDefault="007A5985" w:rsidP="007A5985">
      <w:pPr>
        <w:pStyle w:val="ParaNoNdepar-AltN"/>
        <w:rPr>
          <w:rFonts w:cs="Times New Roman"/>
        </w:rPr>
      </w:pPr>
      <w:r w:rsidRPr="001561A8">
        <w:rPr>
          <w:rFonts w:cs="Times New Roman"/>
        </w:rPr>
        <w:t xml:space="preserve">Sur ce point, il est utile de rappeler que les personnes morales de droit public, telles les municipalités, sont d’abord régies par les lois particulières qui les constituent, et que le </w:t>
      </w:r>
      <w:r w:rsidRPr="001561A8">
        <w:rPr>
          <w:rFonts w:cs="Times New Roman"/>
          <w:i/>
        </w:rPr>
        <w:t>C.c.Q.</w:t>
      </w:r>
      <w:r w:rsidRPr="001561A8">
        <w:rPr>
          <w:rFonts w:cs="Times New Roman"/>
        </w:rPr>
        <w:t xml:space="preserve"> n’a donc qu’un caractère supplétif en ce domaine (art. 300 </w:t>
      </w:r>
      <w:r w:rsidRPr="001561A8">
        <w:rPr>
          <w:rFonts w:cs="Times New Roman"/>
          <w:i/>
        </w:rPr>
        <w:t>C.c.Q.</w:t>
      </w:r>
      <w:r w:rsidRPr="001561A8">
        <w:rPr>
          <w:rFonts w:cs="Times New Roman"/>
        </w:rPr>
        <w:t>). L’article 1376 </w:t>
      </w:r>
      <w:r w:rsidRPr="001561A8">
        <w:rPr>
          <w:rFonts w:cs="Times New Roman"/>
          <w:i/>
        </w:rPr>
        <w:t>C.c.Q.</w:t>
      </w:r>
      <w:r w:rsidRPr="001561A8">
        <w:rPr>
          <w:rFonts w:cs="Times New Roman"/>
        </w:rPr>
        <w:t xml:space="preserve"> prévoit à cet égard que les règles du livre Des obligations — dont fait partie l’art. 2163 </w:t>
      </w:r>
      <w:r w:rsidRPr="001561A8">
        <w:rPr>
          <w:rFonts w:cs="Times New Roman"/>
          <w:i/>
        </w:rPr>
        <w:t>C.c.Q.</w:t>
      </w:r>
      <w:r w:rsidRPr="001561A8">
        <w:rPr>
          <w:rFonts w:cs="Times New Roman"/>
        </w:rPr>
        <w:t xml:space="preserve"> et la théorie du mandat apparent qu’il codifie — « s’appliquent à l’État, ainsi qu’à ses organismes et à toute autre personne morale de droit public, </w:t>
      </w:r>
      <w:r w:rsidRPr="001561A8">
        <w:rPr>
          <w:rFonts w:cs="Times New Roman"/>
          <w:u w:val="single"/>
        </w:rPr>
        <w:t>sous réserve des autres règles de droit qui leur sont applicables</w:t>
      </w:r>
      <w:r w:rsidRPr="001561A8">
        <w:rPr>
          <w:rFonts w:cs="Times New Roman"/>
        </w:rPr>
        <w:t xml:space="preserve"> ». Notre Cour a par exemple reconnu que des « principes généraux » ou des « règles de droit public » peuvent faire obstacle à l’application du régime général de responsabilité civile ou en modifier substantiellement les règles de fonctionnement : </w:t>
      </w:r>
      <w:r w:rsidRPr="001561A8">
        <w:rPr>
          <w:rFonts w:cs="Times New Roman"/>
          <w:i/>
        </w:rPr>
        <w:t>Hinse c. Canada (Procureur général)</w:t>
      </w:r>
      <w:r w:rsidRPr="001561A8">
        <w:rPr>
          <w:rFonts w:cs="Times New Roman"/>
        </w:rPr>
        <w:t xml:space="preserve">, 2015 CSC 35, [2015] 2 R.C.S. 621, par. 22; </w:t>
      </w:r>
      <w:r w:rsidRPr="001561A8">
        <w:rPr>
          <w:rFonts w:cs="Times New Roman"/>
          <w:i/>
        </w:rPr>
        <w:t>Finney c. Barreau du Québec</w:t>
      </w:r>
      <w:r w:rsidRPr="001561A8">
        <w:rPr>
          <w:rFonts w:cs="Times New Roman"/>
        </w:rPr>
        <w:t xml:space="preserve">, 2004 CSC 36, [2004] 2 R.C.S. 17, par. 27; </w:t>
      </w:r>
      <w:r w:rsidRPr="001561A8">
        <w:rPr>
          <w:rFonts w:cs="Times New Roman"/>
          <w:i/>
        </w:rPr>
        <w:t>Prud’homme c. Prud’homme</w:t>
      </w:r>
      <w:r w:rsidRPr="001561A8">
        <w:rPr>
          <w:rFonts w:cs="Times New Roman"/>
        </w:rPr>
        <w:t xml:space="preserve">, 2002 CSC 85, [2002] 4 R.C.S. 663, par. 31; </w:t>
      </w:r>
      <w:r w:rsidRPr="001561A8">
        <w:rPr>
          <w:rFonts w:cs="Times New Roman"/>
          <w:i/>
        </w:rPr>
        <w:t>Agence canadienne d’inspection des aliments c. Institut professionnel de la fonction publique du Canada</w:t>
      </w:r>
      <w:r w:rsidRPr="001561A8">
        <w:rPr>
          <w:rFonts w:cs="Times New Roman"/>
        </w:rPr>
        <w:t>, 2010 CS</w:t>
      </w:r>
      <w:r>
        <w:rPr>
          <w:rFonts w:cs="Times New Roman"/>
        </w:rPr>
        <w:t>C 66, [2010] 3 R.C.S. 657, par. </w:t>
      </w:r>
      <w:r w:rsidRPr="001561A8">
        <w:rPr>
          <w:rFonts w:cs="Times New Roman"/>
        </w:rPr>
        <w:t xml:space="preserve">26. </w:t>
      </w:r>
    </w:p>
    <w:p w:rsidR="007A5985" w:rsidRPr="001561A8" w:rsidRDefault="007A5985" w:rsidP="007A5985">
      <w:pPr>
        <w:pStyle w:val="ParaNoNdepar-AltN"/>
        <w:rPr>
          <w:rFonts w:cs="Times New Roman"/>
        </w:rPr>
      </w:pPr>
      <w:r w:rsidRPr="001561A8">
        <w:rPr>
          <w:rFonts w:cs="Times New Roman"/>
        </w:rPr>
        <w:t>À notre avis, la non-application de la théorie du mandat apparent en matière municipale est un « principe général » ou une « règle de droit public » primant les règles du droit civil. Il s’agit d’une mesure de contrôle édictée dans l’intérêt des citoyens à des fins de saine administration et de transparence (</w:t>
      </w:r>
      <w:r w:rsidRPr="001561A8">
        <w:rPr>
          <w:rFonts w:cs="Times New Roman"/>
          <w:i/>
        </w:rPr>
        <w:t>Immeubles Beaurom ltée c. Montréal (Ville de)</w:t>
      </w:r>
      <w:r w:rsidRPr="001561A8">
        <w:rPr>
          <w:rFonts w:cs="Times New Roman"/>
        </w:rPr>
        <w:t xml:space="preserve">, 2007 QCCA 41, [2007] R.D.I. 26, par. 23 et 30). En effet, pour préserver et protéger l’intérêt collectif des contribuables, il faut, comme le soulignent </w:t>
      </w:r>
      <w:r w:rsidRPr="001561A8">
        <w:rPr>
          <w:rFonts w:cs="Times New Roman"/>
        </w:rPr>
        <w:lastRenderedPageBreak/>
        <w:t xml:space="preserve">nos collègues (par. 55), éviter « que n’importe qui ne puisse dilapider des fonds publics au nom d’une municipalité ». </w:t>
      </w:r>
    </w:p>
    <w:p w:rsidR="007A5985" w:rsidRPr="001561A8" w:rsidRDefault="007A5985" w:rsidP="007A5985">
      <w:pPr>
        <w:pStyle w:val="ParaNoNdepar-AltN"/>
        <w:rPr>
          <w:rFonts w:cs="Times New Roman"/>
        </w:rPr>
      </w:pPr>
      <w:r w:rsidRPr="001561A8">
        <w:rPr>
          <w:rFonts w:cs="Times New Roman"/>
        </w:rPr>
        <w:t>Cette règle nous paraît donc être pleinement justifiée. Un mandat de contracter au nom d’une municipalité ne saurait exister en l’absence d’une délégation de pouvoirs valide faite par règlement du conseil municipal conformément à l’art. 477.2 </w:t>
      </w:r>
      <w:r w:rsidRPr="001561A8">
        <w:rPr>
          <w:rFonts w:cs="Times New Roman"/>
          <w:i/>
        </w:rPr>
        <w:t>L.C.V.</w:t>
      </w:r>
      <w:r w:rsidRPr="001561A8">
        <w:rPr>
          <w:rFonts w:cs="Times New Roman"/>
        </w:rPr>
        <w:t xml:space="preserve"> La municipalité doit rendre un tel règlement de délégation accessible en le publiant sur Internet (art. 573.3.1.2 </w:t>
      </w:r>
      <w:r w:rsidRPr="001561A8">
        <w:rPr>
          <w:rFonts w:cs="Times New Roman"/>
          <w:i/>
        </w:rPr>
        <w:t>L.C.V.</w:t>
      </w:r>
      <w:r w:rsidRPr="001561A8">
        <w:rPr>
          <w:rFonts w:cs="Times New Roman"/>
        </w:rPr>
        <w:t>; Hétu et Duplessis, par. 9.39). En conséquence, il ne saurait y avoir de motifs raisonnables de croire en l’existence d’un mandat inexistant; l’ignorance de la loi n’est pas une excuse dans ce contexte. « [I]l découle du vieil adage “Nul n’est censé ignorer la loi” que chacun est tenu de connaître l’étendue des pouvoirs de l’agent public » (R. </w:t>
      </w:r>
      <w:r>
        <w:rPr>
          <w:rFonts w:cs="Times New Roman"/>
        </w:rPr>
        <w:t>Dussault et L. </w:t>
      </w:r>
      <w:r w:rsidRPr="001561A8">
        <w:rPr>
          <w:rFonts w:cs="Times New Roman"/>
        </w:rPr>
        <w:t xml:space="preserve">Borgeat, </w:t>
      </w:r>
      <w:r w:rsidRPr="001561A8">
        <w:rPr>
          <w:rFonts w:cs="Times New Roman"/>
          <w:i/>
        </w:rPr>
        <w:t>Traité de droit administratif</w:t>
      </w:r>
      <w:r w:rsidRPr="001561A8">
        <w:rPr>
          <w:rFonts w:cs="Times New Roman"/>
        </w:rPr>
        <w:t xml:space="preserve"> (2</w:t>
      </w:r>
      <w:r w:rsidRPr="001561A8">
        <w:rPr>
          <w:rFonts w:cs="Times New Roman"/>
          <w:vertAlign w:val="superscript"/>
        </w:rPr>
        <w:t>e</w:t>
      </w:r>
      <w:r w:rsidRPr="001561A8">
        <w:rPr>
          <w:rFonts w:cs="Times New Roman"/>
        </w:rPr>
        <w:t xml:space="preserve"> éd. 1984), t. I, p. 642-643)). Comme l’a affirmé la Cour d’appel dans </w:t>
      </w:r>
      <w:r w:rsidRPr="001561A8">
        <w:rPr>
          <w:rFonts w:cs="Times New Roman"/>
          <w:i/>
        </w:rPr>
        <w:t>Boudrias</w:t>
      </w:r>
      <w:r w:rsidRPr="001561A8">
        <w:rPr>
          <w:rFonts w:cs="Times New Roman"/>
        </w:rPr>
        <w:t xml:space="preserve">, « [l]e contrat administratif est soumis à des formalités impératives destinées à protéger le trésor public », et une personne qui souhaite contracter avec une municipalité « ne peut éluder les exigences du droit administratif en invoquant sa bonne foi, son ignorance de la loi, la théorie du mandat apparent ou celle du mandat tacite » (p. 475). </w:t>
      </w:r>
    </w:p>
    <w:p w:rsidR="007A5985" w:rsidRPr="001561A8" w:rsidRDefault="007A5985" w:rsidP="007A5985">
      <w:pPr>
        <w:pStyle w:val="ParaNoNdepar-AltN"/>
        <w:rPr>
          <w:rFonts w:cs="Times New Roman"/>
        </w:rPr>
      </w:pPr>
      <w:r w:rsidRPr="001561A8">
        <w:rPr>
          <w:rFonts w:cs="Times New Roman"/>
        </w:rPr>
        <w:t>En outre, et surtout, il est très fermement établi qu’une personne qui souhaite contracter avec une municipalité « doit à ses propres risques s’assurer que l’organisme légal qui prend sur lui de déléguer à des comités ou à des personnes d’importantes fonctions comportant l’exercice de discrétion, a effectivement la faculté de déléguer ainsi des fonctions, et que la personne avec qui il traite est nantie de l’autorité requise licitement déléguée de la sorte » (</w:t>
      </w:r>
      <w:r w:rsidRPr="001561A8">
        <w:rPr>
          <w:rFonts w:cs="Times New Roman"/>
          <w:i/>
        </w:rPr>
        <w:t>Silver’s Garage Ltd.</w:t>
      </w:r>
      <w:r w:rsidRPr="001561A8">
        <w:rPr>
          <w:rFonts w:cs="Times New Roman"/>
        </w:rPr>
        <w:t xml:space="preserve">, p. 593; voir </w:t>
      </w:r>
      <w:r w:rsidRPr="001561A8">
        <w:rPr>
          <w:rFonts w:cs="Times New Roman"/>
        </w:rPr>
        <w:lastRenderedPageBreak/>
        <w:t xml:space="preserve">aussi </w:t>
      </w:r>
      <w:r w:rsidRPr="001561A8">
        <w:rPr>
          <w:rFonts w:cs="Times New Roman"/>
          <w:i/>
          <w:szCs w:val="24"/>
        </w:rPr>
        <w:t>Pacific National Investments Ltd. c. Victoria (Ville)</w:t>
      </w:r>
      <w:r w:rsidRPr="001561A8">
        <w:rPr>
          <w:rFonts w:cs="Times New Roman"/>
          <w:szCs w:val="24"/>
        </w:rPr>
        <w:t xml:space="preserve">, 2000 CSC 64, [2000] 2 R.C.S. 919, par. 68; </w:t>
      </w:r>
      <w:r w:rsidRPr="001561A8">
        <w:rPr>
          <w:rFonts w:cs="Times New Roman"/>
          <w:i/>
        </w:rPr>
        <w:t>St-Pierre (Succession de)</w:t>
      </w:r>
      <w:r w:rsidRPr="001561A8">
        <w:rPr>
          <w:rFonts w:cs="Times New Roman"/>
        </w:rPr>
        <w:t xml:space="preserve">, par. 35; </w:t>
      </w:r>
      <w:r w:rsidRPr="001561A8">
        <w:rPr>
          <w:rFonts w:cs="Times New Roman"/>
          <w:i/>
        </w:rPr>
        <w:t>Beaurom</w:t>
      </w:r>
      <w:r w:rsidRPr="001561A8">
        <w:rPr>
          <w:rFonts w:cs="Times New Roman"/>
        </w:rPr>
        <w:t xml:space="preserve">, par. 30; </w:t>
      </w:r>
      <w:r w:rsidRPr="001561A8">
        <w:rPr>
          <w:rFonts w:cs="Times New Roman"/>
          <w:i/>
          <w:szCs w:val="24"/>
        </w:rPr>
        <w:t>Beaudry c. Cité de Beauharnois</w:t>
      </w:r>
      <w:r w:rsidRPr="001561A8">
        <w:rPr>
          <w:rFonts w:cs="Times New Roman"/>
          <w:szCs w:val="24"/>
        </w:rPr>
        <w:t>, [1962] B.R. 738, p. 743-744 (« il a toujours été reconnu par la doctrine et la jurisprudence que ceux qui contractent avec une municipalité doivent s’assurer que non seulement celle-ci agit dans les limites de ses pouvoirs, mais aussi que toutes les conditions requises par la loi ont été observées; autrement la municipalité n’est pas liée envers eux »); Hétu et Duplessis, par. 9.34 (« </w:t>
      </w:r>
      <w:r w:rsidRPr="001561A8">
        <w:rPr>
          <w:rFonts w:cs="Times New Roman"/>
          <w:szCs w:val="24"/>
          <w:lang w:val="fr-FR"/>
        </w:rPr>
        <w:t>ce sont [à] ceux qui transigent avec une municipalité de s’assurer que tant cette dernière que ses préposés agissent dans les limites de leurs pouvoirs et que toutes les conditions requises par la loi pour la conclusion du contrat ont été observées [et] [c]elui qui contracte avec une municipalité doit s’assurer que la personne avec laquelle il transige est autorisée à agir au nom de la municipalité »)). Comme l’enseignent les auteurs Hétu et Duplessis, il s’agit d’</w:t>
      </w:r>
      <w:r w:rsidR="00414556">
        <w:rPr>
          <w:rFonts w:cs="Times New Roman"/>
          <w:szCs w:val="24"/>
          <w:lang w:val="fr-FR"/>
        </w:rPr>
        <w:t xml:space="preserve">une </w:t>
      </w:r>
      <w:r w:rsidRPr="001561A8">
        <w:rPr>
          <w:rFonts w:cs="Times New Roman"/>
          <w:szCs w:val="24"/>
          <w:lang w:val="fr-FR"/>
        </w:rPr>
        <w:t xml:space="preserve">« exigence [. . .] rigoureuse, mais elle sert l’intérêt public général et il s’agit du prix à payer pour transiger avec une municipalité » (par. 9.2). </w:t>
      </w:r>
    </w:p>
    <w:p w:rsidR="007A5985" w:rsidRPr="001561A8" w:rsidRDefault="007A5985" w:rsidP="007A5985">
      <w:pPr>
        <w:pStyle w:val="ParaNoNdepar-AltN"/>
        <w:rPr>
          <w:rFonts w:cs="Times New Roman"/>
        </w:rPr>
      </w:pPr>
      <w:r w:rsidRPr="001561A8">
        <w:rPr>
          <w:rFonts w:cs="Times New Roman"/>
        </w:rPr>
        <w:t xml:space="preserve">En somme, le « contrat » sur lequel Octane fonde sa réclamation est tout simplement inexistant. Aucun contrat municipal ne peut prendre naissance en l’absence totale d’une manifestation de la volonté d’une municipalité d’être liée contractuellement. En toute logique, la restitution des prestations ne peut donc en l’espèce être la conséquence de l’annulation d’un contrat. L’obligation de restitution de la Ville doit plutôt se justifier sur la base d’un fondement différent. Selon nos collègues, le mécanisme de la réception de l’indu permet en l’espèce de fonder la restitution des prestations. Nous sommes en complet mais respectueux désaccord avec eux sur ce point. </w:t>
      </w:r>
    </w:p>
    <w:p w:rsidR="007A5985" w:rsidRPr="001561A8" w:rsidRDefault="007A5985" w:rsidP="007A5985">
      <w:pPr>
        <w:pStyle w:val="Title3LevelTitre3Niveau"/>
        <w:numPr>
          <w:ilvl w:val="2"/>
          <w:numId w:val="8"/>
        </w:numPr>
        <w:rPr>
          <w:rFonts w:cs="Times New Roman"/>
          <w:lang w:val="fr-CA"/>
        </w:rPr>
      </w:pPr>
      <w:bookmarkStart w:id="11" w:name="_Toc17794468"/>
      <w:bookmarkStart w:id="12" w:name="_Toc17880126"/>
      <w:r w:rsidRPr="001561A8">
        <w:rPr>
          <w:rFonts w:cs="Times New Roman"/>
          <w:lang w:val="fr-CA"/>
        </w:rPr>
        <w:lastRenderedPageBreak/>
        <w:t>La restitution des prestations comme conséquence de la réception de l’indu (art. 1554, 1491 et 1492 </w:t>
      </w:r>
      <w:r w:rsidRPr="001561A8">
        <w:rPr>
          <w:rFonts w:cs="Times New Roman"/>
          <w:i/>
          <w:lang w:val="fr-CA"/>
        </w:rPr>
        <w:t>C.c.Q.</w:t>
      </w:r>
      <w:r w:rsidRPr="001561A8">
        <w:rPr>
          <w:rFonts w:cs="Times New Roman"/>
          <w:lang w:val="fr-CA"/>
        </w:rPr>
        <w:t>)</w:t>
      </w:r>
      <w:bookmarkEnd w:id="11"/>
      <w:bookmarkEnd w:id="12"/>
    </w:p>
    <w:p w:rsidR="007A5985" w:rsidRPr="001561A8" w:rsidRDefault="007A5985" w:rsidP="007A5985">
      <w:pPr>
        <w:pStyle w:val="ParaNoNdepar-AltN"/>
        <w:rPr>
          <w:rFonts w:cs="Times New Roman"/>
        </w:rPr>
      </w:pPr>
      <w:r w:rsidRPr="001561A8">
        <w:rPr>
          <w:rFonts w:cs="Times New Roman"/>
        </w:rPr>
        <w:t xml:space="preserve">Le mécanisme de la réception de l’indu est « imprégn[é] du </w:t>
      </w:r>
      <w:r w:rsidRPr="001561A8">
        <w:rPr>
          <w:rFonts w:cs="Times New Roman"/>
          <w:u w:val="single"/>
        </w:rPr>
        <w:t>principe</w:t>
      </w:r>
      <w:r w:rsidRPr="001561A8">
        <w:rPr>
          <w:rFonts w:cs="Times New Roman"/>
        </w:rPr>
        <w:t xml:space="preserve"> qui veut que nul ne doit s’enrichir de façon injustifiée aux dépens d’autrui » (Pineau, Burman et Gaudet, p. 491 (nous soulignons)). Ce mécanisme constitue l’un de ces « cas concrets, dont la jurisprudence, sous l’influence de la doctrine, a transposé les règles pour les appliquer à des hypothèses voisines analogues, connues sous le nom d’enrichissement sans cause, devenu l’enrichissem[ent] injustif</w:t>
      </w:r>
      <w:r>
        <w:rPr>
          <w:rFonts w:cs="Times New Roman"/>
        </w:rPr>
        <w:t>ié, 1493 </w:t>
      </w:r>
      <w:r w:rsidRPr="001561A8">
        <w:rPr>
          <w:rFonts w:cs="Times New Roman"/>
        </w:rPr>
        <w:t xml:space="preserve">C.c.Q. » (Tancelin, p. 370). </w:t>
      </w:r>
    </w:p>
    <w:p w:rsidR="007A5985" w:rsidRPr="001561A8" w:rsidRDefault="007A5985" w:rsidP="007A5985">
      <w:pPr>
        <w:pStyle w:val="ParaNoNdepar-AltN"/>
        <w:rPr>
          <w:rFonts w:cs="Times New Roman"/>
        </w:rPr>
      </w:pPr>
      <w:r w:rsidRPr="001561A8">
        <w:rPr>
          <w:rFonts w:cs="Times New Roman"/>
        </w:rPr>
        <w:t xml:space="preserve">Or, tout comme ils ont rejeté l’application de la théorie du mandat apparent en ce domaine, les tribunaux ont traditionnellement rejeté l’application du </w:t>
      </w:r>
      <w:r w:rsidRPr="001561A8">
        <w:rPr>
          <w:rFonts w:cs="Times New Roman"/>
          <w:i/>
        </w:rPr>
        <w:t>principe</w:t>
      </w:r>
      <w:r w:rsidRPr="001561A8">
        <w:rPr>
          <w:rFonts w:cs="Times New Roman"/>
        </w:rPr>
        <w:t xml:space="preserve"> de l’enrichissement injustifié en matière municipale (</w:t>
      </w:r>
      <w:r w:rsidRPr="001561A8">
        <w:rPr>
          <w:rFonts w:cs="Times New Roman"/>
          <w:i/>
        </w:rPr>
        <w:t>Lalonde c. Cité de Montréal-Nord</w:t>
      </w:r>
      <w:r w:rsidRPr="001561A8">
        <w:rPr>
          <w:rFonts w:cs="Times New Roman"/>
        </w:rPr>
        <w:t xml:space="preserve">, [1978] 1 R.C.S. 672, p. 695; </w:t>
      </w:r>
      <w:r w:rsidRPr="001561A8">
        <w:rPr>
          <w:rFonts w:cs="Times New Roman"/>
          <w:i/>
          <w:szCs w:val="24"/>
        </w:rPr>
        <w:t>Olivier c. Corporation du Village de Wottonville</w:t>
      </w:r>
      <w:r w:rsidRPr="001561A8">
        <w:rPr>
          <w:rFonts w:cs="Times New Roman"/>
          <w:szCs w:val="24"/>
        </w:rPr>
        <w:t xml:space="preserve">, [1943] R.C.S. 118, p. 124-125; </w:t>
      </w:r>
      <w:r w:rsidRPr="001561A8">
        <w:rPr>
          <w:rFonts w:cs="Times New Roman"/>
          <w:i/>
          <w:szCs w:val="24"/>
        </w:rPr>
        <w:t>Cité de St-Romuald d’Etchemin c. S.A.F. Construction inc.</w:t>
      </w:r>
      <w:r w:rsidRPr="001561A8">
        <w:rPr>
          <w:rFonts w:cs="Times New Roman"/>
          <w:szCs w:val="24"/>
        </w:rPr>
        <w:t xml:space="preserve">, [1974] C.A. 411 (Qc), p. 415; </w:t>
      </w:r>
      <w:r w:rsidRPr="001561A8">
        <w:rPr>
          <w:rFonts w:cs="Times New Roman"/>
          <w:i/>
          <w:szCs w:val="24"/>
        </w:rPr>
        <w:t>Corporation municipale de Havre St-Pierre c. Brochu</w:t>
      </w:r>
      <w:r w:rsidRPr="001561A8">
        <w:rPr>
          <w:rFonts w:cs="Times New Roman"/>
          <w:szCs w:val="24"/>
        </w:rPr>
        <w:t xml:space="preserve">, [1973] C.A. 832 (Qc); </w:t>
      </w:r>
      <w:r w:rsidRPr="001561A8">
        <w:rPr>
          <w:rFonts w:cs="Times New Roman"/>
          <w:i/>
          <w:szCs w:val="24"/>
        </w:rPr>
        <w:t>Cité de Montréal c. Teodori</w:t>
      </w:r>
      <w:r w:rsidRPr="001561A8">
        <w:rPr>
          <w:rFonts w:cs="Times New Roman"/>
          <w:szCs w:val="24"/>
        </w:rPr>
        <w:t xml:space="preserve">, [1970] C.A. 401 (Qc); </w:t>
      </w:r>
      <w:r w:rsidRPr="001561A8">
        <w:rPr>
          <w:rFonts w:cs="Times New Roman"/>
          <w:i/>
          <w:szCs w:val="24"/>
        </w:rPr>
        <w:t>Beaudry</w:t>
      </w:r>
      <w:r w:rsidRPr="001561A8">
        <w:rPr>
          <w:rFonts w:cs="Times New Roman"/>
          <w:szCs w:val="24"/>
        </w:rPr>
        <w:t xml:space="preserve">; </w:t>
      </w:r>
      <w:r w:rsidRPr="001561A8">
        <w:rPr>
          <w:rFonts w:cs="Times New Roman"/>
          <w:i/>
          <w:szCs w:val="24"/>
        </w:rPr>
        <w:t>Bourque c. Cité de Hull</w:t>
      </w:r>
      <w:r w:rsidRPr="001561A8">
        <w:rPr>
          <w:rFonts w:cs="Times New Roman"/>
          <w:szCs w:val="24"/>
        </w:rPr>
        <w:t xml:space="preserve"> (1920), 30 B.R. 221, p. 229). </w:t>
      </w:r>
    </w:p>
    <w:p w:rsidR="007A5985" w:rsidRPr="001561A8" w:rsidRDefault="007A5985" w:rsidP="007A5985">
      <w:pPr>
        <w:pStyle w:val="ParaNoNdepar-AltN"/>
        <w:rPr>
          <w:rFonts w:cs="Times New Roman"/>
        </w:rPr>
      </w:pPr>
      <w:r w:rsidRPr="001561A8">
        <w:rPr>
          <w:rFonts w:cs="Times New Roman"/>
          <w:szCs w:val="24"/>
        </w:rPr>
        <w:t xml:space="preserve">La non-application </w:t>
      </w:r>
      <w:r w:rsidRPr="001561A8">
        <w:rPr>
          <w:rFonts w:cs="Times New Roman"/>
        </w:rPr>
        <w:t xml:space="preserve">du principe de l’enrichissement injustifié en matière municipale établie sous le régime du </w:t>
      </w:r>
      <w:r w:rsidRPr="001561A8">
        <w:rPr>
          <w:rFonts w:cs="Times New Roman"/>
          <w:i/>
        </w:rPr>
        <w:t xml:space="preserve">Code civil du Bas-Canada </w:t>
      </w:r>
      <w:r w:rsidRPr="001561A8">
        <w:rPr>
          <w:rFonts w:cs="Times New Roman"/>
        </w:rPr>
        <w:t xml:space="preserve">se maintient sous celui du </w:t>
      </w:r>
      <w:r w:rsidRPr="001561A8">
        <w:rPr>
          <w:rFonts w:cs="Times New Roman"/>
          <w:i/>
        </w:rPr>
        <w:t>Code civil du Québec</w:t>
      </w:r>
      <w:r w:rsidRPr="001561A8">
        <w:rPr>
          <w:rFonts w:cs="Times New Roman"/>
        </w:rPr>
        <w:t xml:space="preserve">, contrairement à ce qu’affirme la Cour d’appel (par. 40). En fait, la Cour d’appel a elle-même réaffirmé cette règle dans un arrêt récent : </w:t>
      </w:r>
      <w:r w:rsidRPr="001561A8">
        <w:rPr>
          <w:rFonts w:cs="Times New Roman"/>
          <w:szCs w:val="24"/>
          <w:lang w:val="fr-FR"/>
        </w:rPr>
        <w:t>« </w:t>
      </w:r>
      <w:r w:rsidR="00695E9F">
        <w:rPr>
          <w:rFonts w:cs="Times New Roman"/>
          <w:szCs w:val="24"/>
          <w:lang w:val="fr-FR"/>
        </w:rPr>
        <w:t>E</w:t>
      </w:r>
      <w:r w:rsidRPr="001561A8">
        <w:rPr>
          <w:rFonts w:cs="Times New Roman"/>
          <w:szCs w:val="24"/>
          <w:lang w:val="fr-FR"/>
        </w:rPr>
        <w:t xml:space="preserve">n général, les cours rejettent les réclamations fondées sur un contrat </w:t>
      </w:r>
      <w:r w:rsidRPr="001561A8">
        <w:rPr>
          <w:rFonts w:cs="Times New Roman"/>
          <w:szCs w:val="24"/>
          <w:u w:val="single"/>
          <w:lang w:val="fr-FR"/>
        </w:rPr>
        <w:t>ou sur le principe de l’enrichissement injustifié</w:t>
      </w:r>
      <w:r w:rsidRPr="001561A8">
        <w:rPr>
          <w:rFonts w:cs="Times New Roman"/>
          <w:szCs w:val="24"/>
          <w:lang w:val="fr-FR"/>
        </w:rPr>
        <w:t>, lorsque toutes les formalités exigées par la [</w:t>
      </w:r>
      <w:r w:rsidRPr="001561A8">
        <w:rPr>
          <w:rFonts w:cs="Times New Roman"/>
          <w:i/>
          <w:szCs w:val="24"/>
          <w:lang w:val="fr-FR"/>
        </w:rPr>
        <w:t>Charte</w:t>
      </w:r>
      <w:r w:rsidRPr="001561A8">
        <w:rPr>
          <w:rFonts w:cs="Times New Roman"/>
          <w:szCs w:val="24"/>
          <w:lang w:val="fr-FR"/>
        </w:rPr>
        <w:t>]</w:t>
      </w:r>
      <w:r w:rsidRPr="001561A8">
        <w:rPr>
          <w:rFonts w:cs="Times New Roman"/>
          <w:i/>
          <w:szCs w:val="24"/>
          <w:lang w:val="fr-FR"/>
        </w:rPr>
        <w:t xml:space="preserve"> </w:t>
      </w:r>
      <w:r w:rsidRPr="001561A8">
        <w:rPr>
          <w:rFonts w:cs="Times New Roman"/>
          <w:szCs w:val="24"/>
          <w:lang w:val="fr-FR"/>
        </w:rPr>
        <w:lastRenderedPageBreak/>
        <w:t xml:space="preserve">(résolution ou règlement valide; certificat des finances) n’ont pas été remplies » </w:t>
      </w:r>
      <w:r w:rsidRPr="001561A8">
        <w:rPr>
          <w:rFonts w:cs="Times New Roman"/>
        </w:rPr>
        <w:t>(</w:t>
      </w:r>
      <w:r w:rsidRPr="001561A8">
        <w:rPr>
          <w:rFonts w:cs="Times New Roman"/>
          <w:i/>
        </w:rPr>
        <w:t>Beaurom</w:t>
      </w:r>
      <w:r w:rsidRPr="001561A8">
        <w:rPr>
          <w:rFonts w:cs="Times New Roman"/>
        </w:rPr>
        <w:t>, par</w:t>
      </w:r>
      <w:r>
        <w:rPr>
          <w:rFonts w:cs="Times New Roman"/>
        </w:rPr>
        <w:t>. </w:t>
      </w:r>
      <w:r w:rsidRPr="001561A8">
        <w:rPr>
          <w:rFonts w:cs="Times New Roman"/>
        </w:rPr>
        <w:t>25 (nous soulignons)</w:t>
      </w:r>
      <w:r w:rsidRPr="001561A8">
        <w:rPr>
          <w:rFonts w:cs="Times New Roman"/>
          <w:szCs w:val="24"/>
          <w:lang w:val="fr-FR"/>
        </w:rPr>
        <w:t>). Les auteurs contemporains en font par ailleurs largement état dans leurs traités :</w:t>
      </w:r>
    </w:p>
    <w:p w:rsidR="007A5985" w:rsidRPr="001561A8" w:rsidRDefault="00AA7E8C" w:rsidP="007A5985">
      <w:pPr>
        <w:pStyle w:val="Citation-AltC"/>
      </w:pPr>
      <w:r>
        <w:t xml:space="preserve">. . . </w:t>
      </w:r>
      <w:r w:rsidR="007A5985" w:rsidRPr="001561A8">
        <w:t>la jurisprudence a établi la règle que celui qui contracte avec l’Administration doit s’assurer non seulement que celle-ci agit dans les limites de ses pouvoirs, mais aussi que toutes et chacune des conditions requises par la loi ont été observées. À défaut, [. . .] il est généralement impossible au cocontractant d’invoquer, par exemple, la doctrine du mandat apparent ou celle de l’enrichissement injustifié pour se faire indemniser par l’Administration. [Notes en bas de page omises.]</w:t>
      </w:r>
    </w:p>
    <w:p w:rsidR="007A5985" w:rsidRPr="001561A8" w:rsidRDefault="007A5985" w:rsidP="007A5985">
      <w:pPr>
        <w:pStyle w:val="Citation-AltC"/>
      </w:pPr>
    </w:p>
    <w:p w:rsidR="007A5985" w:rsidRPr="001561A8" w:rsidRDefault="0027196C" w:rsidP="00FE2167">
      <w:pPr>
        <w:pStyle w:val="Citation-AltC"/>
        <w:ind w:left="0"/>
      </w:pPr>
      <w:r>
        <w:rPr>
          <w:szCs w:val="24"/>
        </w:rPr>
        <w:t>(</w:t>
      </w:r>
      <w:r w:rsidR="007A5985" w:rsidRPr="001561A8">
        <w:rPr>
          <w:szCs w:val="24"/>
        </w:rPr>
        <w:t xml:space="preserve">Baudouin et Jobin, n° 60; voir aussi </w:t>
      </w:r>
      <w:r w:rsidR="007A5985" w:rsidRPr="001561A8">
        <w:t xml:space="preserve">P. Garant, </w:t>
      </w:r>
      <w:r w:rsidR="007A5985" w:rsidRPr="001561A8">
        <w:rPr>
          <w:i/>
        </w:rPr>
        <w:t>Droit administratif</w:t>
      </w:r>
      <w:r w:rsidR="007A5985" w:rsidRPr="001561A8">
        <w:t xml:space="preserve"> (7</w:t>
      </w:r>
      <w:r w:rsidR="007A5985" w:rsidRPr="001561A8">
        <w:rPr>
          <w:vertAlign w:val="superscript"/>
        </w:rPr>
        <w:t>e</w:t>
      </w:r>
      <w:r w:rsidR="007A5985" w:rsidRPr="001561A8">
        <w:t> éd. 2017), p. 363-381; Hétu et Duplessis, par. </w:t>
      </w:r>
      <w:r w:rsidR="007A5985" w:rsidRPr="001561A8">
        <w:rPr>
          <w:szCs w:val="24"/>
          <w:lang w:val="fr-FR"/>
        </w:rPr>
        <w:t>9.164-9.166.</w:t>
      </w:r>
      <w:r>
        <w:rPr>
          <w:szCs w:val="24"/>
          <w:lang w:val="fr-FR"/>
        </w:rPr>
        <w:t>)</w:t>
      </w:r>
      <w:r w:rsidR="007A5985" w:rsidRPr="001561A8">
        <w:rPr>
          <w:szCs w:val="24"/>
          <w:lang w:val="fr-FR"/>
        </w:rPr>
        <w:t xml:space="preserve"> </w:t>
      </w:r>
    </w:p>
    <w:p w:rsidR="007A5985" w:rsidRPr="001561A8" w:rsidRDefault="007A5985" w:rsidP="007A5985">
      <w:pPr>
        <w:pStyle w:val="ParaNoNdepar-AltN"/>
        <w:rPr>
          <w:rFonts w:cs="Times New Roman"/>
        </w:rPr>
      </w:pPr>
      <w:r w:rsidRPr="001561A8">
        <w:rPr>
          <w:rFonts w:cs="Times New Roman"/>
          <w:szCs w:val="24"/>
          <w:lang w:val="fr-FR"/>
        </w:rPr>
        <w:t>La raison d’être de la règle est simple. Comme l’enseignent les auteurs Hétu et Duplessis, au par. 9.165, « [l]</w:t>
      </w:r>
      <w:r w:rsidRPr="001561A8">
        <w:rPr>
          <w:rFonts w:cs="Times New Roman"/>
          <w:szCs w:val="24"/>
        </w:rPr>
        <w:t>es tribunaux ont [. . .] refusé d’appliquer la théorie de l’enrichissement sans cause parce que les règles relatives aux contrats municipaux sont d’ordre public et qu’ils ne voulaient pas que les parties fassent indirectement ce que la loi leur interdit de faire ». De plus, si la jurisprudence récente de la Cour d’appel confirme la possibilité d’ordonner la restitution des prestations en cas d’annulation d’un contrat municipal (voir par. </w:t>
      </w:r>
      <w:r>
        <w:rPr>
          <w:rFonts w:cs="Times New Roman"/>
          <w:szCs w:val="24"/>
        </w:rPr>
        <w:t>115</w:t>
      </w:r>
      <w:r w:rsidRPr="001561A8">
        <w:rPr>
          <w:rFonts w:cs="Times New Roman"/>
          <w:szCs w:val="24"/>
        </w:rPr>
        <w:t xml:space="preserve"> de nos motifs), elle est toutefois silencieuse sur la possibilité d’ordonner la restitution des prestations en faveur d’une partie privée sur le fondement de la réception de l’indu lorsque cette partie prétend avoir fourni des services à une municipalité sur la foi d’un contrat qu’elle croit avoir conclu, mais qui s’avère carrément inexistant. À notre sens, l’application du principe d’enrichissement injustifié en matière municipale doit être écartée. Nous examinerons maintenant le cas de la réception de l’indu.</w:t>
      </w:r>
    </w:p>
    <w:p w:rsidR="007A5985" w:rsidRPr="001561A8" w:rsidRDefault="007A5985" w:rsidP="007A5985">
      <w:pPr>
        <w:pStyle w:val="ParaNoNdepar-AltN"/>
        <w:rPr>
          <w:rFonts w:cs="Times New Roman"/>
        </w:rPr>
      </w:pPr>
      <w:r w:rsidRPr="001561A8">
        <w:rPr>
          <w:rFonts w:cs="Times New Roman"/>
        </w:rPr>
        <w:lastRenderedPageBreak/>
        <w:t xml:space="preserve">En droit civil, les trois conditions d’ouverture d’une action en répétition de l’indu sont : (1) l’existence d’un paiement fait par le payeur (aussi appelé </w:t>
      </w:r>
      <w:r w:rsidRPr="001561A8">
        <w:rPr>
          <w:rFonts w:cs="Times New Roman"/>
          <w:i/>
        </w:rPr>
        <w:t>solvens</w:t>
      </w:r>
      <w:r w:rsidRPr="001561A8">
        <w:rPr>
          <w:rFonts w:cs="Times New Roman"/>
        </w:rPr>
        <w:t xml:space="preserve">) au payé (aussi appelé </w:t>
      </w:r>
      <w:r w:rsidRPr="001561A8">
        <w:rPr>
          <w:rFonts w:cs="Times New Roman"/>
          <w:i/>
        </w:rPr>
        <w:t>accipiens</w:t>
      </w:r>
      <w:r w:rsidRPr="001561A8">
        <w:rPr>
          <w:rFonts w:cs="Times New Roman"/>
        </w:rPr>
        <w:t>), (2) l’inexistence d’une dette entre les parties et (3) l’erreur du payeur</w:t>
      </w:r>
      <w:r w:rsidRPr="0027196C">
        <w:rPr>
          <w:rStyle w:val="Hyperlink"/>
          <w:u w:val="none"/>
          <w:vertAlign w:val="superscript"/>
        </w:rPr>
        <w:footnoteReference w:id="2"/>
      </w:r>
      <w:r w:rsidRPr="001561A8">
        <w:rPr>
          <w:rFonts w:cs="Times New Roman"/>
        </w:rPr>
        <w:t xml:space="preserve"> (art. 1554 al. 1 et 1491 al. 1 </w:t>
      </w:r>
      <w:r w:rsidRPr="001561A8">
        <w:rPr>
          <w:rFonts w:cs="Times New Roman"/>
          <w:i/>
        </w:rPr>
        <w:t>C.c.Q.</w:t>
      </w:r>
      <w:r w:rsidRPr="001561A8">
        <w:rPr>
          <w:rFonts w:cs="Times New Roman"/>
        </w:rPr>
        <w:t>; Baudouin et Jobin, n</w:t>
      </w:r>
      <w:r w:rsidRPr="001561A8">
        <w:rPr>
          <w:rFonts w:cs="Times New Roman"/>
          <w:vertAlign w:val="superscript"/>
        </w:rPr>
        <w:t>os</w:t>
      </w:r>
      <w:r w:rsidRPr="001561A8">
        <w:rPr>
          <w:rFonts w:cs="Times New Roman"/>
        </w:rPr>
        <w:t xml:space="preserve"> 530-531; Lluelles et Moore, n° 1367.1; Pineau, Burman et Gaudet, p. 468; </w:t>
      </w:r>
      <w:r w:rsidRPr="001561A8">
        <w:rPr>
          <w:rFonts w:cs="Times New Roman"/>
          <w:i/>
        </w:rPr>
        <w:t>Threlfall c. Carleton University</w:t>
      </w:r>
      <w:r w:rsidRPr="001561A8">
        <w:rPr>
          <w:rFonts w:cs="Times New Roman"/>
        </w:rPr>
        <w:t xml:space="preserve">, 2019 </w:t>
      </w:r>
      <w:r>
        <w:rPr>
          <w:rFonts w:cs="Times New Roman"/>
        </w:rPr>
        <w:t xml:space="preserve">CSC 50, </w:t>
      </w:r>
      <w:r w:rsidR="0003046B">
        <w:rPr>
          <w:rFonts w:cs="Times New Roman"/>
        </w:rPr>
        <w:t>[2019] 3</w:t>
      </w:r>
      <w:r w:rsidR="0027196C">
        <w:rPr>
          <w:rFonts w:cs="Times New Roman"/>
        </w:rPr>
        <w:t xml:space="preserve"> R.C.S. xxx, </w:t>
      </w:r>
      <w:r>
        <w:rPr>
          <w:rFonts w:cs="Times New Roman"/>
        </w:rPr>
        <w:t>par. </w:t>
      </w:r>
      <w:r w:rsidRPr="001561A8">
        <w:rPr>
          <w:rFonts w:cs="Times New Roman"/>
        </w:rPr>
        <w:t>78 et 217). Ces trois conditions doivent être interprétées « avec prudence, sinon restrictivement » (Baudouin et Jobin, n° 513), et, lorsqu’elles sont remplies, l’art. 1491 al. 1 </w:t>
      </w:r>
      <w:r w:rsidRPr="001561A8">
        <w:rPr>
          <w:rFonts w:cs="Times New Roman"/>
          <w:i/>
        </w:rPr>
        <w:t>C.c.Q.</w:t>
      </w:r>
      <w:r w:rsidRPr="001561A8">
        <w:rPr>
          <w:rFonts w:cs="Times New Roman"/>
        </w:rPr>
        <w:t xml:space="preserve"> crée expressément une obligation de restitution sous réserve de l’exception prévue à l’art. 1491 al. 2 </w:t>
      </w:r>
      <w:r w:rsidRPr="001561A8">
        <w:rPr>
          <w:rFonts w:cs="Times New Roman"/>
          <w:i/>
        </w:rPr>
        <w:t>C.c.Q</w:t>
      </w:r>
      <w:r w:rsidRPr="001561A8">
        <w:rPr>
          <w:rFonts w:cs="Times New Roman"/>
        </w:rPr>
        <w:t>. L’article 1492 </w:t>
      </w:r>
      <w:r w:rsidRPr="001561A8">
        <w:rPr>
          <w:rFonts w:cs="Times New Roman"/>
          <w:i/>
        </w:rPr>
        <w:t>C.c.Q.</w:t>
      </w:r>
      <w:r w:rsidRPr="001561A8">
        <w:rPr>
          <w:rFonts w:cs="Times New Roman"/>
        </w:rPr>
        <w:t xml:space="preserve"> prévoit alors que « [l]a restitution de ce qui a été payé indûment » se fait suivant le régime de la restitution des prestations codifié aux art. 1699 à 1707 </w:t>
      </w:r>
      <w:r w:rsidRPr="001561A8">
        <w:rPr>
          <w:rFonts w:cs="Times New Roman"/>
          <w:i/>
        </w:rPr>
        <w:t>C.c.Q.</w:t>
      </w:r>
    </w:p>
    <w:p w:rsidR="007A5985" w:rsidRPr="001561A8" w:rsidRDefault="007A5985" w:rsidP="007A5985">
      <w:pPr>
        <w:pStyle w:val="ParaNoNdepar-AltN"/>
        <w:rPr>
          <w:rFonts w:cs="Times New Roman"/>
        </w:rPr>
      </w:pPr>
      <w:r w:rsidRPr="001561A8">
        <w:rPr>
          <w:rFonts w:cs="Times New Roman"/>
        </w:rPr>
        <w:t>Le fardeau de démontrer l’existence des conditions d’ouverture d’une action en répétition de l’indu repose en principe sur le payeur</w:t>
      </w:r>
      <w:r w:rsidRPr="001561A8">
        <w:rPr>
          <w:rFonts w:cs="Times New Roman"/>
          <w:i/>
        </w:rPr>
        <w:t xml:space="preserve"> </w:t>
      </w:r>
      <w:r w:rsidRPr="001561A8">
        <w:rPr>
          <w:rFonts w:cs="Times New Roman"/>
        </w:rPr>
        <w:t>(art. 2803 al. 1 </w:t>
      </w:r>
      <w:r w:rsidRPr="001561A8">
        <w:rPr>
          <w:rFonts w:cs="Times New Roman"/>
          <w:i/>
        </w:rPr>
        <w:t>C.c.Q.</w:t>
      </w:r>
      <w:r w:rsidRPr="001561A8">
        <w:rPr>
          <w:rFonts w:cs="Times New Roman"/>
        </w:rPr>
        <w:t xml:space="preserve">; Baudouin et Jobin, n° 532; Lluelles et Moore, n° 1382). Le payeur doit d’abord prouver l’existence d’un paiement et l’inexistence d’une dette (Lluelles et Moore, n° 1382). L’erreur du payeur est ensuite « présumée comme l’explication la plus vraisemblable d’un paiement en soi inexplicable » (J. Carbonnier, </w:t>
      </w:r>
      <w:r w:rsidRPr="001561A8">
        <w:rPr>
          <w:rFonts w:cs="Times New Roman"/>
          <w:i/>
        </w:rPr>
        <w:t>Droit civil</w:t>
      </w:r>
      <w:r w:rsidRPr="001561A8">
        <w:rPr>
          <w:rFonts w:cs="Times New Roman"/>
        </w:rPr>
        <w:t xml:space="preserve"> (2004), vol. II, n° 1219). En pratique, il s’opère alors un renversement du fardeau de la preuve et c’est au payé qu’il revient de prouver l’absence d’erreur du payeur (Baudouin et Jobin, n° 532; Lluelles et Moore, n° 1382; </w:t>
      </w:r>
      <w:r w:rsidRPr="001561A8">
        <w:rPr>
          <w:rFonts w:cs="Times New Roman"/>
          <w:i/>
        </w:rPr>
        <w:t>Amex</w:t>
      </w:r>
      <w:r w:rsidRPr="001561A8">
        <w:rPr>
          <w:rFonts w:cs="Times New Roman"/>
        </w:rPr>
        <w:t xml:space="preserve">, par. 31; </w:t>
      </w:r>
      <w:r w:rsidRPr="001561A8">
        <w:rPr>
          <w:rFonts w:cs="Times New Roman"/>
          <w:i/>
        </w:rPr>
        <w:t>Pearl c. Investissements Contempra Ltée</w:t>
      </w:r>
      <w:r w:rsidRPr="001561A8">
        <w:rPr>
          <w:rFonts w:cs="Times New Roman"/>
        </w:rPr>
        <w:t xml:space="preserve">, </w:t>
      </w:r>
      <w:r w:rsidRPr="001561A8">
        <w:rPr>
          <w:rFonts w:cs="Times New Roman"/>
        </w:rPr>
        <w:lastRenderedPageBreak/>
        <w:t xml:space="preserve">[1995] R.J.Q. 2697 (C.S.); </w:t>
      </w:r>
      <w:r w:rsidRPr="001561A8">
        <w:rPr>
          <w:rFonts w:cs="Times New Roman"/>
          <w:i/>
        </w:rPr>
        <w:t>Roux c. Cordeau</w:t>
      </w:r>
      <w:r w:rsidRPr="001561A8">
        <w:rPr>
          <w:rFonts w:cs="Times New Roman"/>
        </w:rPr>
        <w:t>, [1981] R.P. 29 (C.S.</w:t>
      </w:r>
      <w:r>
        <w:rPr>
          <w:rFonts w:cs="Times New Roman"/>
        </w:rPr>
        <w:t> </w:t>
      </w:r>
      <w:r w:rsidRPr="001561A8">
        <w:rPr>
          <w:rFonts w:cs="Times New Roman"/>
        </w:rPr>
        <w:t xml:space="preserve">Qc); </w:t>
      </w:r>
      <w:r w:rsidRPr="001561A8">
        <w:rPr>
          <w:rFonts w:cs="Times New Roman"/>
          <w:i/>
        </w:rPr>
        <w:t>Garage W. Martin Ltée c. Labrie</w:t>
      </w:r>
      <w:r w:rsidRPr="001561A8">
        <w:rPr>
          <w:rFonts w:cs="Times New Roman"/>
        </w:rPr>
        <w:t>, [1957] C.S. 175 (Qc)).</w:t>
      </w:r>
    </w:p>
    <w:p w:rsidR="007A5985" w:rsidRPr="001561A8" w:rsidRDefault="007A5985" w:rsidP="007A5985">
      <w:pPr>
        <w:pStyle w:val="ParaNoNdepar-AltN"/>
        <w:rPr>
          <w:rFonts w:cs="Times New Roman"/>
        </w:rPr>
      </w:pPr>
      <w:r w:rsidRPr="001561A8">
        <w:rPr>
          <w:rFonts w:cs="Times New Roman"/>
        </w:rPr>
        <w:t xml:space="preserve">Examinons chacune des trois conditions d’ouverture d’une action en répétition de l’indu et tentons de déterminer si elles sont ici réunies. </w:t>
      </w:r>
    </w:p>
    <w:p w:rsidR="007A5985" w:rsidRPr="001561A8" w:rsidRDefault="007A5985" w:rsidP="007A5985">
      <w:pPr>
        <w:pStyle w:val="Title4LevelTitre4Niveau"/>
        <w:numPr>
          <w:ilvl w:val="0"/>
          <w:numId w:val="0"/>
        </w:numPr>
        <w:ind w:left="1152" w:hanging="576"/>
        <w:rPr>
          <w:rFonts w:cs="Times New Roman"/>
          <w:lang w:val="fr-CA"/>
        </w:rPr>
      </w:pPr>
      <w:r w:rsidRPr="001561A8">
        <w:rPr>
          <w:rFonts w:cs="Times New Roman"/>
          <w:i w:val="0"/>
          <w:lang w:val="fr-CA"/>
        </w:rPr>
        <w:t>a)</w:t>
      </w:r>
      <w:r w:rsidRPr="001561A8">
        <w:rPr>
          <w:rFonts w:cs="Times New Roman"/>
          <w:lang w:val="fr-CA"/>
        </w:rPr>
        <w:tab/>
        <w:t>L’existence d’un paiement</w:t>
      </w:r>
    </w:p>
    <w:p w:rsidR="007A5985" w:rsidRPr="001561A8" w:rsidRDefault="007A5985" w:rsidP="007A5985">
      <w:pPr>
        <w:pStyle w:val="ParaNoNdepar-AltN"/>
        <w:rPr>
          <w:rFonts w:cs="Times New Roman"/>
        </w:rPr>
      </w:pPr>
      <w:r w:rsidRPr="001561A8">
        <w:rPr>
          <w:rFonts w:cs="Times New Roman"/>
        </w:rPr>
        <w:t>La Ville a reçu une prestation de services. Certes, un « paiement » au sens de l’art. 1553 </w:t>
      </w:r>
      <w:r w:rsidRPr="001561A8">
        <w:rPr>
          <w:rFonts w:cs="Times New Roman"/>
          <w:i/>
        </w:rPr>
        <w:t>C.c.Q.</w:t>
      </w:r>
      <w:r w:rsidRPr="001561A8">
        <w:rPr>
          <w:rFonts w:cs="Times New Roman"/>
        </w:rPr>
        <w:t xml:space="preserve"> peut consister en une prestation de services, et non pas seulement en la remise d’une somme d’argent ou d’une chose matérielle (motifs de nos collègues, par. 73). Il n’en demeure pas moins que les services fournis ici à la Ville l’ont été par</w:t>
      </w:r>
      <w:r w:rsidRPr="001561A8">
        <w:rPr>
          <w:rFonts w:cs="Times New Roman"/>
          <w:i/>
        </w:rPr>
        <w:t xml:space="preserve"> </w:t>
      </w:r>
      <w:r w:rsidRPr="001561A8">
        <w:rPr>
          <w:rFonts w:cs="Times New Roman"/>
        </w:rPr>
        <w:t xml:space="preserve">PGB, et non par Octane. Comme l’enseignent les auteurs M. Planiol et G. Ripert : </w:t>
      </w:r>
    </w:p>
    <w:p w:rsidR="007A5985" w:rsidRPr="001561A8" w:rsidRDefault="007A5985" w:rsidP="007A5985">
      <w:pPr>
        <w:pStyle w:val="Citation-AltC"/>
      </w:pPr>
      <w:r w:rsidRPr="001561A8">
        <w:rPr>
          <w:b/>
        </w:rPr>
        <w:t>Par qui l’action peut être exercée. </w:t>
      </w:r>
      <w:r w:rsidRPr="001561A8">
        <w:t xml:space="preserve">— L’action n’appartient qu’à celui qui a effectivement payé, soit qu’il ait lui-même fait la prestation, </w:t>
      </w:r>
      <w:r w:rsidRPr="001561A8">
        <w:rPr>
          <w:u w:val="single"/>
        </w:rPr>
        <w:t>soit qu’elle ait été faite par un tiers en son nom</w:t>
      </w:r>
      <w:r w:rsidRPr="001561A8">
        <w:t>. [Nous soulignons.]</w:t>
      </w:r>
    </w:p>
    <w:p w:rsidR="007A5985" w:rsidRPr="001561A8" w:rsidRDefault="007A5985" w:rsidP="007A5985">
      <w:pPr>
        <w:pStyle w:val="Citation-AltC"/>
      </w:pPr>
    </w:p>
    <w:p w:rsidR="007A5985" w:rsidRPr="001561A8" w:rsidRDefault="007A5985" w:rsidP="007A5985">
      <w:pPr>
        <w:pStyle w:val="Citation-AltC"/>
        <w:ind w:left="0"/>
      </w:pPr>
      <w:r w:rsidRPr="001561A8">
        <w:t>(</w:t>
      </w:r>
      <w:r w:rsidRPr="001561A8">
        <w:rPr>
          <w:i/>
        </w:rPr>
        <w:t>Traité pratique de droit civil français</w:t>
      </w:r>
      <w:r w:rsidRPr="001561A8">
        <w:t xml:space="preserve">, t. VII, </w:t>
      </w:r>
      <w:r w:rsidRPr="001561A8">
        <w:rPr>
          <w:i/>
        </w:rPr>
        <w:t>Obligations</w:t>
      </w:r>
      <w:r w:rsidRPr="001561A8">
        <w:t xml:space="preserve"> (2</w:t>
      </w:r>
      <w:r w:rsidRPr="001561A8">
        <w:rPr>
          <w:vertAlign w:val="superscript"/>
        </w:rPr>
        <w:t>e</w:t>
      </w:r>
      <w:r w:rsidRPr="001561A8">
        <w:t> éd. 1954), p. 32)</w:t>
      </w:r>
    </w:p>
    <w:p w:rsidR="007A5985" w:rsidRPr="001561A8" w:rsidRDefault="007A5985" w:rsidP="007A5985">
      <w:pPr>
        <w:pStyle w:val="ParaNoNdepar-AltN"/>
        <w:rPr>
          <w:rFonts w:cs="Times New Roman"/>
        </w:rPr>
      </w:pPr>
      <w:r w:rsidRPr="001561A8">
        <w:rPr>
          <w:rFonts w:cs="Times New Roman"/>
        </w:rPr>
        <w:t>Pour accueillir l’action d’Octane contre la Ville, il est donc essentiel de conclure que les services reçus par la Ville ont été rendus par PGB au nom d’Octane. La conclusion contraire entraînerait le rejet de l’action d’Octane introduite directement contre la Ville, car Octane n’aurait alors fait aucun paiement à la Ville. Comme l’a souligné la juge Hogue dans ses motifs concordants en Cour d’appel, au par. 75, « [l]es services ayant ici été rendus par un tiers, en l’occurrence [. . .] PGB [. . .], je doute également qu’on puisse conclure qu’Octane [. . .] a fait un paieme</w:t>
      </w:r>
      <w:r w:rsidR="00C215E9">
        <w:rPr>
          <w:rFonts w:cs="Times New Roman"/>
        </w:rPr>
        <w:t>nt à la Ville » (C.S., par. 128 et</w:t>
      </w:r>
      <w:r w:rsidRPr="001561A8">
        <w:rPr>
          <w:rFonts w:cs="Times New Roman"/>
        </w:rPr>
        <w:t xml:space="preserve"> 131). En effet, Octane a versé une somme d’argent à PGB, et non à la Ville. </w:t>
      </w:r>
      <w:r w:rsidRPr="001561A8">
        <w:rPr>
          <w:rFonts w:cs="Times New Roman"/>
        </w:rPr>
        <w:lastRenderedPageBreak/>
        <w:t xml:space="preserve">Autrement dit, la conclusion de nos collègues (par. 73-75) selon laquelle les services reçus par la Ville ont été rendus par PGB au nom d’Octane est capitale. </w:t>
      </w:r>
    </w:p>
    <w:p w:rsidR="007A5985" w:rsidRPr="001561A8" w:rsidRDefault="007A5985" w:rsidP="007A5985">
      <w:pPr>
        <w:pStyle w:val="ParaNoNdepar-AltN"/>
        <w:rPr>
          <w:rFonts w:cs="Times New Roman"/>
        </w:rPr>
      </w:pPr>
      <w:r w:rsidRPr="001561A8">
        <w:rPr>
          <w:rFonts w:cs="Times New Roman"/>
        </w:rPr>
        <w:t xml:space="preserve">Pour arriver à une telle conclusion, nos collègues s’appuient sur une « entente de sous-traitance » signée le 15 mai 2007 entre Octane et PGB (pièce P-3, d.a., vol. II, p. 11), et sur une lettre datée du 15 août 2007 (pièce D-22, d.a., vol. V, p. 105) dans laquelle PGB affirme qu’aucun contrat n’a été conclu entre PGB et la Ville, alors qu’un contrat aurait été conclu entre PGB et Octane à l’égard de la conception, de la production, de la réalisation et de la présentation publique et médiatique du Plan de transport de la Ville. Nos collègues s’appuient également sur un passage du jugement de première instance où la Cour supérieure affirme que PGB était un « sous-contractant » d’Octane (par. 159-160). Or, la Cour supérieure n’était pas saisie de la question de savoir si l’on pouvait considérer, aux fins d’une action en répétition de l’indu, que les services reçus par la Ville avaient été rendus par PGB au nom d’Octane. De fait, Octane n’a pas invoqué en première instance la réception de l’indu comme fondement de sa réclamation. </w:t>
      </w:r>
    </w:p>
    <w:p w:rsidR="007A5985" w:rsidRPr="001561A8" w:rsidRDefault="007A5985" w:rsidP="007A5985">
      <w:pPr>
        <w:pStyle w:val="ParaNoNdepar-AltN"/>
        <w:rPr>
          <w:rFonts w:cs="Times New Roman"/>
        </w:rPr>
      </w:pPr>
      <w:r w:rsidRPr="001561A8">
        <w:rPr>
          <w:rFonts w:cs="Times New Roman"/>
        </w:rPr>
        <w:t>La Cour supérieure ne mentionne donc nulle part dans son jugement l’entente signée le 10 août 2007 entre PGB et Octane (pièce P-123, d.a., vol. IV, p. 117), entente où PGB et Octane attestent qu’Octane a versé à PGB la somme de 82 898,63 $</w:t>
      </w:r>
      <w:r w:rsidRPr="00606A25">
        <w:rPr>
          <w:rStyle w:val="Hyperlink"/>
          <w:vertAlign w:val="superscript"/>
        </w:rPr>
        <w:footnoteReference w:id="3"/>
      </w:r>
      <w:r w:rsidRPr="001561A8">
        <w:rPr>
          <w:rFonts w:cs="Times New Roman"/>
        </w:rPr>
        <w:t xml:space="preserve"> en avance à un contrat signé entre la Ville et PGB, et où PGB s’engage à « rembourse[r] ce même montant à Octane » dès que « la Ville [. . .] effectuera le paiement de [82 898,63] $ à [PGB] » (d.a., vol. IV, p. 117). Ce document laisse entendre, d’une part, qu’Octane aurait en toute connaissance de cause accepté de payer </w:t>
      </w:r>
      <w:r w:rsidRPr="001561A8">
        <w:rPr>
          <w:rFonts w:cs="Times New Roman"/>
        </w:rPr>
        <w:lastRenderedPageBreak/>
        <w:t xml:space="preserve">à PGB la dette de la Ville et, d’autre part, que l’intention de ces deux entreprises était que PGB fournisse en son propre nom des services à la Ville en échange d’un paiement qui aurait dû émaner directement de la Ville, et non d’Octane. D’autres passages de la preuve confirment la possibilité d’une telle thèse. </w:t>
      </w:r>
    </w:p>
    <w:p w:rsidR="007A5985" w:rsidRPr="001561A8" w:rsidRDefault="007A5985" w:rsidP="007A5985">
      <w:pPr>
        <w:pStyle w:val="ParaNoNdepar-AltN"/>
        <w:rPr>
          <w:rFonts w:cs="Times New Roman"/>
        </w:rPr>
      </w:pPr>
      <w:r w:rsidRPr="001561A8">
        <w:rPr>
          <w:rFonts w:cs="Times New Roman"/>
        </w:rPr>
        <w:t xml:space="preserve">En effet, Louis Aucoin, associé principal chez Octane en 2007, affirme, dans son témoignage, qu’Octane savait au moment du paiement qu’il n’y avait aucun contrat entre PGB et la Ville, mais qu’elle s’attendait à ce qu’un contrat soit ultérieurement conclu entre PGB et la Ville (témoignages de Louis Aucoin, d.a., vol. VII, p. 124-125). Ainsi, Octane « aurait voulu » qu’après le lancement du Plan de transport de la Ville, PGB « puisse émettre sa </w:t>
      </w:r>
      <w:r w:rsidRPr="001561A8">
        <w:rPr>
          <w:rFonts w:cs="Times New Roman"/>
          <w:u w:val="single"/>
        </w:rPr>
        <w:t>propre</w:t>
      </w:r>
      <w:r w:rsidRPr="001561A8">
        <w:rPr>
          <w:rFonts w:cs="Times New Roman"/>
        </w:rPr>
        <w:t xml:space="preserve"> facture » à la Ville (</w:t>
      </w:r>
      <w:r w:rsidRPr="001561A8">
        <w:rPr>
          <w:rFonts w:cs="Times New Roman"/>
          <w:i/>
        </w:rPr>
        <w:t>ibid.</w:t>
      </w:r>
      <w:r w:rsidRPr="001561A8">
        <w:rPr>
          <w:rFonts w:cs="Times New Roman"/>
        </w:rPr>
        <w:t>, p. 152-153 (nous soulignons)). La décision de payer directement PGB aurait été prise par Octane « à reculons » (d.a., vol. VIII, p. 9-10). Peu de temps avant le jour du lancement, Octane aurait suggéré à PGB, qui souhaitait obtenir une avance, de contacter le cabinet du maire afin de tenter d’obtenir « un premier chèque », mais cela a échoué (</w:t>
      </w:r>
      <w:r w:rsidRPr="001561A8">
        <w:rPr>
          <w:rFonts w:cs="Times New Roman"/>
          <w:i/>
        </w:rPr>
        <w:t>ibid.</w:t>
      </w:r>
      <w:r w:rsidRPr="001561A8">
        <w:rPr>
          <w:rFonts w:cs="Times New Roman"/>
        </w:rPr>
        <w:t>). Octane a alors débloqué un premier chèque payable à PGB, mais continuait à penser que PGB pourrait facturer la Ville à un moment donné (</w:t>
      </w:r>
      <w:r w:rsidRPr="001561A8">
        <w:rPr>
          <w:rFonts w:cs="Times New Roman"/>
          <w:i/>
        </w:rPr>
        <w:t>ibid.</w:t>
      </w:r>
      <w:r w:rsidRPr="001561A8">
        <w:rPr>
          <w:rFonts w:cs="Times New Roman"/>
        </w:rPr>
        <w:t>, p. 11-12). Octane a tiré « un deuxième chèque une semaine ou deux plus tard » parce que « le premier chèque [n’]a pas couvert toutes les dépenses [que PGB] devait avancer » (</w:t>
      </w:r>
      <w:r w:rsidRPr="001561A8">
        <w:rPr>
          <w:rFonts w:cs="Times New Roman"/>
          <w:i/>
        </w:rPr>
        <w:t>ibid.</w:t>
      </w:r>
      <w:r w:rsidRPr="001561A8">
        <w:rPr>
          <w:rFonts w:cs="Times New Roman"/>
        </w:rPr>
        <w:t>, p. 15-16). C’est lors du « dernier versement » qu’Octane a signé « une entente » avec PGB prévoyant le remboursement par PGB à Octane de la somme de 82 898,63 $ aussitôt que la Ville aurait effectué le paiement à PGB (</w:t>
      </w:r>
      <w:r w:rsidRPr="001561A8">
        <w:rPr>
          <w:rFonts w:cs="Times New Roman"/>
          <w:i/>
        </w:rPr>
        <w:t>ibid.</w:t>
      </w:r>
      <w:r w:rsidRPr="001561A8">
        <w:rPr>
          <w:rFonts w:cs="Times New Roman"/>
        </w:rPr>
        <w:t xml:space="preserve">, p. 16-18; pièce P-123, d.a., vol. IV, p. 117). </w:t>
      </w:r>
    </w:p>
    <w:p w:rsidR="007A5985" w:rsidRPr="001561A8" w:rsidRDefault="007A5985" w:rsidP="007A5985">
      <w:pPr>
        <w:pStyle w:val="ParaNoNdepar-AltN"/>
        <w:rPr>
          <w:rFonts w:cs="Times New Roman"/>
        </w:rPr>
      </w:pPr>
      <w:r w:rsidRPr="001561A8">
        <w:rPr>
          <w:rFonts w:cs="Times New Roman"/>
        </w:rPr>
        <w:t xml:space="preserve">En somme, ces passages de la preuve confirment qu’il est possible que l’intention d’Octane et de PGB ait été que cette dernière fournisse en son propre nom </w:t>
      </w:r>
      <w:r w:rsidRPr="001561A8">
        <w:rPr>
          <w:rFonts w:cs="Times New Roman"/>
        </w:rPr>
        <w:lastRenderedPageBreak/>
        <w:t xml:space="preserve">des services à la Ville en échange d’un paiement qui aurait dû émaner directement de la Ville, et non d’Octane. En d’autres termes, il ne se dégage pas clairement de la preuve que les services reçus par la Ville ont été rendus par PGB au nom d’Octane. Toute ambiguïté non résolue sur ce point au procès est liée au fait qu’Octane n’a pas invoqué en première instance la réception de l’indu comme fondement de sa réclamation. À notre avis, il n’est par conséquent pas prudent que notre Cour dispose maintenant du pourvoi de la Ville sur la base de ce mécanisme. Nous acceptons toutefois d’adopter l’interprétation de la preuve la plus favorable à Octane quant à la condition de l’existence d’un paiement, car sa réclamation doit, à notre avis, être rejetée de toute façon. </w:t>
      </w:r>
    </w:p>
    <w:p w:rsidR="007A5985" w:rsidRPr="001561A8" w:rsidRDefault="007A5985" w:rsidP="007A5985">
      <w:pPr>
        <w:pStyle w:val="Title4LevelTitre4Niveau"/>
        <w:numPr>
          <w:ilvl w:val="0"/>
          <w:numId w:val="0"/>
        </w:numPr>
        <w:ind w:left="1152" w:hanging="576"/>
        <w:rPr>
          <w:rFonts w:cs="Times New Roman"/>
          <w:lang w:val="fr-CA"/>
        </w:rPr>
      </w:pPr>
      <w:r w:rsidRPr="001561A8">
        <w:rPr>
          <w:rFonts w:cs="Times New Roman"/>
          <w:i w:val="0"/>
          <w:lang w:val="fr-CA"/>
        </w:rPr>
        <w:t>b)</w:t>
      </w:r>
      <w:r w:rsidRPr="001561A8">
        <w:rPr>
          <w:rFonts w:cs="Times New Roman"/>
          <w:lang w:val="fr-CA"/>
        </w:rPr>
        <w:tab/>
        <w:t>L’inexistence d’une dette</w:t>
      </w:r>
    </w:p>
    <w:p w:rsidR="007A5985" w:rsidRPr="001561A8" w:rsidRDefault="007A5985" w:rsidP="007A5985">
      <w:pPr>
        <w:pStyle w:val="ParaNoNdepar-AltN"/>
        <w:rPr>
          <w:rFonts w:cs="Times New Roman"/>
        </w:rPr>
      </w:pPr>
      <w:r w:rsidRPr="001561A8">
        <w:rPr>
          <w:rFonts w:cs="Times New Roman"/>
        </w:rPr>
        <w:t>L’inexistence d’une dette entre les parties résulte de l’inexistence d’un contrat entre Octane et la Ville à l’égard des services rendus par PGB. Il n’est pas non plus contesté que les faits à l’origine du différend entre les parties ont eu lieu en 2007, soit durant la période qui s’est écoulée entre les deux conventions-cadres de services professionnels conclues en 2004 puis en 2008 entre Octane et la Ville (C.A., par. 9; pièces P-33 et P-34, d.a., vol. II, p. 77-83; pièces P-118 et P</w:t>
      </w:r>
      <w:r w:rsidRPr="001561A8">
        <w:rPr>
          <w:rFonts w:cs="Times New Roman"/>
        </w:rPr>
        <w:noBreakHyphen/>
        <w:t>119, d.a., vol. IV, p. 106-112).</w:t>
      </w:r>
    </w:p>
    <w:p w:rsidR="007A5985" w:rsidRPr="001561A8" w:rsidRDefault="007A5985" w:rsidP="007A5985">
      <w:pPr>
        <w:pStyle w:val="Title4LevelTitre4Niveau"/>
        <w:numPr>
          <w:ilvl w:val="0"/>
          <w:numId w:val="0"/>
        </w:numPr>
        <w:ind w:left="1152" w:hanging="576"/>
        <w:rPr>
          <w:rFonts w:cs="Times New Roman"/>
          <w:lang w:val="fr-CA"/>
        </w:rPr>
      </w:pPr>
      <w:r w:rsidRPr="001561A8">
        <w:rPr>
          <w:rFonts w:cs="Times New Roman"/>
          <w:i w:val="0"/>
          <w:lang w:val="fr-CA"/>
        </w:rPr>
        <w:t>c)</w:t>
      </w:r>
      <w:r w:rsidRPr="001561A8">
        <w:rPr>
          <w:rFonts w:cs="Times New Roman"/>
          <w:lang w:val="fr-CA"/>
        </w:rPr>
        <w:tab/>
        <w:t>L’erreur du payeur</w:t>
      </w:r>
    </w:p>
    <w:p w:rsidR="007A5985" w:rsidRPr="001561A8" w:rsidRDefault="007A5985" w:rsidP="007A5985">
      <w:pPr>
        <w:pStyle w:val="ParaNoNdepar-AltN"/>
        <w:rPr>
          <w:rFonts w:cs="Times New Roman"/>
        </w:rPr>
      </w:pPr>
      <w:r w:rsidRPr="001561A8">
        <w:rPr>
          <w:rFonts w:cs="Times New Roman"/>
        </w:rPr>
        <w:t xml:space="preserve">On dit du payeur qu’il a effectué le paiement « par erreur » s’il « se croyait à tort débiteur » (M. Fabre-Magnan, </w:t>
      </w:r>
      <w:r w:rsidRPr="001561A8">
        <w:rPr>
          <w:rFonts w:cs="Times New Roman"/>
          <w:i/>
        </w:rPr>
        <w:t>Droit des obligations</w:t>
      </w:r>
      <w:r w:rsidRPr="001561A8">
        <w:rPr>
          <w:rFonts w:cs="Times New Roman"/>
        </w:rPr>
        <w:t xml:space="preserve"> (3</w:t>
      </w:r>
      <w:r w:rsidRPr="001561A8">
        <w:rPr>
          <w:rFonts w:cs="Times New Roman"/>
          <w:vertAlign w:val="superscript"/>
        </w:rPr>
        <w:t>e</w:t>
      </w:r>
      <w:r w:rsidRPr="001561A8">
        <w:rPr>
          <w:rFonts w:cs="Times New Roman"/>
        </w:rPr>
        <w:t xml:space="preserve"> éd. 2013), vol. 2, p. 491; A. Sériaux, </w:t>
      </w:r>
      <w:r w:rsidRPr="001561A8">
        <w:rPr>
          <w:rFonts w:cs="Times New Roman"/>
          <w:i/>
        </w:rPr>
        <w:t>Droit des obligations</w:t>
      </w:r>
      <w:r w:rsidRPr="001561A8">
        <w:rPr>
          <w:rFonts w:cs="Times New Roman"/>
        </w:rPr>
        <w:t xml:space="preserve"> (1992), p. 271). L’erreur, qui peut être de fait ou de </w:t>
      </w:r>
      <w:r w:rsidRPr="001561A8">
        <w:rPr>
          <w:rFonts w:cs="Times New Roman"/>
        </w:rPr>
        <w:lastRenderedPageBreak/>
        <w:t xml:space="preserve">droit (Baudouin et Jobin, n° 531; Lluelles et Moore, n° 1379; Pineau, Burman et Gaudet, p. 469-470), est une condition essentielle de l’action en répétition de l’indu; il ne s’agit toutefois pas d’une condition de l’annulation d’un contrat (D. Lluelles et B. Moore, n° 1374 (« [d]ans [l]e cas [de l’annulation d’un contrat], l’erreur du “payeur” n’est pas nécessaire, puisque [. . .] la restitution des parties est commandée par la disparition du contrat »); Baudouin et Jobin, n° 530; Pineau, Burman et Gaudet, p. 470; P. Malaurie, L. Aynès et P. Stoffel-Munck, </w:t>
      </w:r>
      <w:r w:rsidRPr="001561A8">
        <w:rPr>
          <w:rFonts w:cs="Times New Roman"/>
          <w:i/>
        </w:rPr>
        <w:t>Les obligations</w:t>
      </w:r>
      <w:r w:rsidRPr="001561A8">
        <w:rPr>
          <w:rFonts w:cs="Times New Roman"/>
        </w:rPr>
        <w:t xml:space="preserve"> (5</w:t>
      </w:r>
      <w:r w:rsidRPr="001561A8">
        <w:rPr>
          <w:rFonts w:cs="Times New Roman"/>
          <w:vertAlign w:val="superscript"/>
        </w:rPr>
        <w:t>e</w:t>
      </w:r>
      <w:r w:rsidRPr="001561A8">
        <w:rPr>
          <w:rFonts w:cs="Times New Roman"/>
        </w:rPr>
        <w:t> éd. 2011), n° 723). Contrairement à ce que laissent entendre les juges majoritaires de la Cour d’appel dans leurs motifs (par. 53-55), l’erreur est toujours requise dans une action en répétition de l’indu (Lluelles et Moore, n° 1375; Pineau, Burman et Gaudet, p. 470). À cet égard, il faut préciser que l’art. 1554 al. 1 </w:t>
      </w:r>
      <w:r w:rsidRPr="001561A8">
        <w:rPr>
          <w:rFonts w:cs="Times New Roman"/>
          <w:i/>
        </w:rPr>
        <w:t>C.c.Q.</w:t>
      </w:r>
      <w:r w:rsidRPr="001561A8">
        <w:rPr>
          <w:rFonts w:cs="Times New Roman"/>
        </w:rPr>
        <w:t xml:space="preserve"> ne constitue pas une source distincte de l’obligation de restitution : cette disposition doit plutôt être lue en corrélation avec l’art. 1491 al. 1 </w:t>
      </w:r>
      <w:r w:rsidRPr="001561A8">
        <w:rPr>
          <w:rFonts w:cs="Times New Roman"/>
          <w:i/>
        </w:rPr>
        <w:t>C.c.Q.</w:t>
      </w:r>
      <w:r w:rsidRPr="001561A8">
        <w:rPr>
          <w:rFonts w:cs="Times New Roman"/>
        </w:rPr>
        <w:t xml:space="preserve"> (</w:t>
      </w:r>
      <w:r w:rsidRPr="001561A8">
        <w:rPr>
          <w:rFonts w:cs="Times New Roman"/>
          <w:i/>
        </w:rPr>
        <w:t>Amex</w:t>
      </w:r>
      <w:r w:rsidRPr="001561A8">
        <w:rPr>
          <w:rFonts w:cs="Times New Roman"/>
        </w:rPr>
        <w:t xml:space="preserve">, par. 29). Comme l’affirme </w:t>
      </w:r>
      <w:r w:rsidRPr="001561A8">
        <w:rPr>
          <w:rFonts w:cs="Times New Roman"/>
          <w:szCs w:val="24"/>
        </w:rPr>
        <w:t xml:space="preserve">F. Levesque : </w:t>
      </w:r>
    </w:p>
    <w:p w:rsidR="007A5985" w:rsidRPr="001561A8" w:rsidRDefault="007A5985" w:rsidP="007A5985">
      <w:pPr>
        <w:pStyle w:val="Citation-AltC"/>
        <w:ind w:firstLine="274"/>
      </w:pPr>
      <w:r w:rsidRPr="001561A8">
        <w:rPr>
          <w:u w:val="single"/>
        </w:rPr>
        <w:t>L’article 1554, al. 1 C.c.Q. doit être lu en corrélation avec l’article 1491 C.c.Q. La seule lecture de l’article 1554, al. 1 C.c.Q. peut porter à croire qu’il n’est pas nécessaire de retrouver une erreur dans une action en réception de l’indu. Or, l’erreur est fondamentale.</w:t>
      </w:r>
      <w:r w:rsidRPr="001561A8">
        <w:t xml:space="preserve"> Si un paiement a été fait sans qu’il existe une obligation, comme l’indique l’article 1554, al. 1 C.c.Q., mais sans erreur, la réception de l’indu n’est pas permise. [Nous soulignons.]</w:t>
      </w:r>
    </w:p>
    <w:p w:rsidR="007A5985" w:rsidRPr="001561A8" w:rsidRDefault="007A5985" w:rsidP="007A5985">
      <w:pPr>
        <w:pStyle w:val="Citation-AltC"/>
      </w:pPr>
    </w:p>
    <w:p w:rsidR="007A5985" w:rsidRPr="001561A8" w:rsidRDefault="007A5985" w:rsidP="007A5985">
      <w:pPr>
        <w:pStyle w:val="Citation-AltC"/>
        <w:ind w:left="0"/>
      </w:pPr>
      <w:r w:rsidRPr="001561A8">
        <w:t>(</w:t>
      </w:r>
      <w:r w:rsidRPr="001561A8">
        <w:rPr>
          <w:i/>
        </w:rPr>
        <w:t>Précis de droit québécois des obligations</w:t>
      </w:r>
      <w:r w:rsidRPr="001561A8">
        <w:t xml:space="preserve"> (2014), p. 191)</w:t>
      </w:r>
    </w:p>
    <w:p w:rsidR="007A5985" w:rsidRPr="001561A8" w:rsidRDefault="007A5985" w:rsidP="007A5985">
      <w:pPr>
        <w:pStyle w:val="ParaNoNdepar-AltN"/>
        <w:rPr>
          <w:rFonts w:cs="Times New Roman"/>
        </w:rPr>
      </w:pPr>
      <w:r w:rsidRPr="001561A8">
        <w:rPr>
          <w:rFonts w:cs="Times New Roman"/>
        </w:rPr>
        <w:t xml:space="preserve">Rappelons que c’est au payé (ici, la Ville) qu’il revient de prouver l’absence d’erreur du payeur (ici, Octane) une fois que ce dernier s’est acquitté de son fardeau de prouver l’existence d’un paiement et l’inexistence d’une dette. En l’espèce, on ne peut ignorer le fait qu’en n’invoquant pas la réception de l’indu au procès comme fondement de sa réclamation, Octane a privé la Ville de la possibilité de présenter une </w:t>
      </w:r>
      <w:r w:rsidRPr="001561A8">
        <w:rPr>
          <w:rFonts w:cs="Times New Roman"/>
        </w:rPr>
        <w:lastRenderedPageBreak/>
        <w:t xml:space="preserve">preuve qui l’aurait déchargée de son fardeau « de démontrer qu’Octane a rendu [un] service en sachant qu’elle n’y était pas tenue » (motifs de nos collègues, par. 67). Comme l’a affirmé la juge Hogue dans ses motifs concordants en Cour d’appel, au par. 74, « il n’est pas aisé d’appliquer [les règles de la réception de l’indu] dans le contexte de l’espèce où les faits connus sont limités » et « [i]l n’y a qu’à songer à la notion d’erreur qui, à elle seule, serait susceptible de soulever de nombreuses questions ». </w:t>
      </w:r>
    </w:p>
    <w:p w:rsidR="007A5985" w:rsidRPr="001561A8" w:rsidRDefault="007A5985" w:rsidP="007A5985">
      <w:pPr>
        <w:pStyle w:val="ParaNoNdepar-AltN"/>
        <w:tabs>
          <w:tab w:val="clear" w:pos="1166"/>
          <w:tab w:val="clear" w:pos="1512"/>
          <w:tab w:val="num" w:pos="1152"/>
        </w:tabs>
        <w:rPr>
          <w:rFonts w:cs="Times New Roman"/>
        </w:rPr>
      </w:pPr>
      <w:r w:rsidRPr="001561A8">
        <w:rPr>
          <w:rFonts w:cs="Times New Roman"/>
        </w:rPr>
        <w:t xml:space="preserve">En principe, le payé parvient à démontrer l’absence d’erreur du payeur s’il prouve que ce dernier a effectué le paiement en sachant qu’il n’y était pas tenu (Lluelles et Moore, n° 1377 (« [l]e paiement de l’indu doit être compris comme l’exécution d’une dette qui n’existe pas [. . .] </w:t>
      </w:r>
      <w:r w:rsidRPr="001561A8">
        <w:rPr>
          <w:rFonts w:cs="Times New Roman"/>
          <w:u w:val="single"/>
        </w:rPr>
        <w:t>sans que le “payeur” soit conscient de cet état de fait</w:t>
      </w:r>
      <w:r w:rsidRPr="001561A8">
        <w:rPr>
          <w:rFonts w:cs="Times New Roman"/>
        </w:rPr>
        <w:t xml:space="preserve"> » et « [c]elui qui, </w:t>
      </w:r>
      <w:r w:rsidRPr="001561A8">
        <w:rPr>
          <w:rFonts w:cs="Times New Roman"/>
          <w:u w:val="single"/>
        </w:rPr>
        <w:t>en toute connaissance de cause</w:t>
      </w:r>
      <w:r w:rsidRPr="001561A8">
        <w:rPr>
          <w:rFonts w:cs="Times New Roman"/>
        </w:rPr>
        <w:t xml:space="preserve">, paie une somme à laquelle il n’est pas tenu ne peut invoquer la réception de l’indu » (nous soulignons); </w:t>
      </w:r>
      <w:r w:rsidRPr="001561A8">
        <w:rPr>
          <w:rFonts w:cs="Times New Roman"/>
          <w:i/>
        </w:rPr>
        <w:t>Sodexho Québec ltée c. Cie de chemin de fer du littoral nord de Québec &amp; du Labrador inc.</w:t>
      </w:r>
      <w:r w:rsidRPr="001561A8">
        <w:rPr>
          <w:rFonts w:cs="Times New Roman"/>
        </w:rPr>
        <w:t xml:space="preserve">, 2010 QCCA 2408, 89 C.C.P.B. 203, par. 170-175). Dans ces circonstances, le paiement sera traité comme une libéralité et l’action en répétition de l’indu sera rejetée (Baudouin et Jobin, n° 531 (« [s]i [le </w:t>
      </w:r>
      <w:r w:rsidRPr="001561A8">
        <w:rPr>
          <w:rFonts w:cs="Times New Roman"/>
          <w:i/>
        </w:rPr>
        <w:t>solvens</w:t>
      </w:r>
      <w:r w:rsidRPr="001561A8">
        <w:rPr>
          <w:rFonts w:cs="Times New Roman"/>
        </w:rPr>
        <w:t xml:space="preserve">] a “payé” alors qu’aucune dette n’existait, mais </w:t>
      </w:r>
      <w:r w:rsidRPr="001561A8">
        <w:rPr>
          <w:rFonts w:cs="Times New Roman"/>
          <w:i/>
        </w:rPr>
        <w:t>en toute connaissance de cause</w:t>
      </w:r>
      <w:r w:rsidRPr="001561A8">
        <w:rPr>
          <w:rFonts w:cs="Times New Roman"/>
        </w:rPr>
        <w:t xml:space="preserve">, on doit normalement traiter le prétendu paiement </w:t>
      </w:r>
      <w:r w:rsidRPr="001561A8">
        <w:rPr>
          <w:rFonts w:cs="Times New Roman"/>
          <w:u w:val="single"/>
        </w:rPr>
        <w:t>comme</w:t>
      </w:r>
      <w:r w:rsidRPr="001561A8">
        <w:rPr>
          <w:rFonts w:cs="Times New Roman"/>
        </w:rPr>
        <w:t xml:space="preserve"> une libéralité et refuser la répétition » (nous soulignons; note en bas de page omise)); Pineau, Burman et Gaudet, p. 469-470 (« [l]orsque le </w:t>
      </w:r>
      <w:r w:rsidRPr="001561A8">
        <w:rPr>
          <w:rFonts w:cs="Times New Roman"/>
          <w:i/>
        </w:rPr>
        <w:t>solvens</w:t>
      </w:r>
      <w:r w:rsidRPr="001561A8">
        <w:rPr>
          <w:rFonts w:cs="Times New Roman"/>
        </w:rPr>
        <w:t xml:space="preserve"> effectue un paiement alors qu’il sait pertinemment qu’il ne doit rien, il ne paie pas l’indu, car cette prestation sera considérée </w:t>
      </w:r>
      <w:r w:rsidRPr="001561A8">
        <w:rPr>
          <w:rFonts w:cs="Times New Roman"/>
          <w:u w:val="single"/>
        </w:rPr>
        <w:t>comme</w:t>
      </w:r>
      <w:r w:rsidRPr="001561A8">
        <w:rPr>
          <w:rFonts w:cs="Times New Roman"/>
        </w:rPr>
        <w:t xml:space="preserve"> ayant été faite dans une intention libérale » (nous soulignons; </w:t>
      </w:r>
      <w:r w:rsidR="00165916">
        <w:rPr>
          <w:rFonts w:cs="Times New Roman"/>
        </w:rPr>
        <w:t>note en bas de bas omise))</w:t>
      </w:r>
      <w:r w:rsidRPr="001561A8">
        <w:rPr>
          <w:rFonts w:cs="Times New Roman"/>
        </w:rPr>
        <w:t xml:space="preserve">. </w:t>
      </w:r>
    </w:p>
    <w:p w:rsidR="007A5985" w:rsidRPr="001561A8" w:rsidRDefault="007A5985" w:rsidP="007A5985">
      <w:pPr>
        <w:pStyle w:val="ParaNoNdepar-AltN"/>
        <w:tabs>
          <w:tab w:val="clear" w:pos="1166"/>
          <w:tab w:val="clear" w:pos="1512"/>
          <w:tab w:val="num" w:pos="1152"/>
        </w:tabs>
        <w:rPr>
          <w:rFonts w:cs="Times New Roman"/>
        </w:rPr>
      </w:pPr>
      <w:r w:rsidRPr="001561A8">
        <w:rPr>
          <w:rFonts w:cs="Times New Roman"/>
        </w:rPr>
        <w:lastRenderedPageBreak/>
        <w:t>Une telle adéquation entre l’absence d’une erreur et l’existence d’une intention libérale ou, inversement, entre l’absence d’une intention libérale et l’existence d’une erreur, résulte d’une conception élargie de la notion d’intention libéra</w:t>
      </w:r>
      <w:r w:rsidR="00214B7E">
        <w:rPr>
          <w:rFonts w:cs="Times New Roman"/>
        </w:rPr>
        <w:t>le. Dans leurs motifs (par. 67 et</w:t>
      </w:r>
      <w:r w:rsidR="00E51CEB">
        <w:rPr>
          <w:rFonts w:cs="Times New Roman"/>
        </w:rPr>
        <w:t xml:space="preserve"> </w:t>
      </w:r>
      <w:r w:rsidRPr="001561A8">
        <w:rPr>
          <w:rFonts w:cs="Times New Roman"/>
        </w:rPr>
        <w:t>79-84), nos collègues assimilent largement l’absence d’une intention libérale à l’existence d’une erreur. En réalité, il se peut fort bien que le payeur ait effectué le paiement en sachant qu’il ne devait rien, sans pour autant avoir eu l’intention véritable</w:t>
      </w:r>
      <w:r w:rsidRPr="001561A8">
        <w:rPr>
          <w:rFonts w:cs="Times New Roman"/>
          <w:i/>
        </w:rPr>
        <w:t xml:space="preserve"> </w:t>
      </w:r>
      <w:r w:rsidRPr="001561A8">
        <w:rPr>
          <w:rFonts w:cs="Times New Roman"/>
        </w:rPr>
        <w:t>de procurer un avantage gratuit au payé ou d’effectuer une donation informelle à son profit. Par exemple, le payeur peut espérer que le payé fournira une contre-prestation; il peut avoir, dans l’opération, un intérêt personnel; il peut avoir eu l’intention de gérer l’affaire d’autrui; il peut avoir accepté les risques de son comportement; son « paiement » peut s’inscrire dans la perspective d’une convention plus vaste, etc. : Carbonnier, n</w:t>
      </w:r>
      <w:r w:rsidRPr="001561A8">
        <w:rPr>
          <w:rFonts w:cs="Times New Roman"/>
          <w:vertAlign w:val="superscript"/>
        </w:rPr>
        <w:t>os</w:t>
      </w:r>
      <w:r w:rsidRPr="001561A8">
        <w:rPr>
          <w:rFonts w:cs="Times New Roman"/>
        </w:rPr>
        <w:t xml:space="preserve"> 1219, 1223 et 1227-1228; Pineau, Burman et Gaudet, p. 471 (« celui qui paierait sciemment, en toute connaissance de cause, une dette qu’il sait ne pas devoir, indique par ce fait même qu’il fait une donation </w:t>
      </w:r>
      <w:r w:rsidRPr="001561A8">
        <w:rPr>
          <w:rFonts w:cs="Times New Roman"/>
          <w:u w:val="single"/>
        </w:rPr>
        <w:t>ou qu’il entend gérer l’affaire d’autrui</w:t>
      </w:r>
      <w:r w:rsidRPr="001561A8">
        <w:rPr>
          <w:rFonts w:cs="Times New Roman"/>
        </w:rPr>
        <w:t> » (nous soulignons)). Conséquemment, il serait plus juste sur le plan théorique d’affirmer que le payé parvient à prouver l’absence d’erreur du payeur s’il démontre : (1) que le payeur a effectué le paiement en sachant qu’il n’y était pas tenu (c.-à-d. l’absence d’erreur proprement dite), ou (2) que le payeur a effectué le paiement en ayant une intention véritable de procurer un avantage gratuit au payé ou d’effectuer une donation informelle à son profit ou encore qu’une autre cause excluant l’hypothèse de l’erreur justifie juridiquement le paiement</w:t>
      </w:r>
      <w:r w:rsidRPr="001561A8">
        <w:rPr>
          <w:rFonts w:cs="Times New Roman"/>
          <w:i/>
        </w:rPr>
        <w:t> </w:t>
      </w:r>
      <w:r w:rsidRPr="001561A8">
        <w:rPr>
          <w:rFonts w:cs="Times New Roman"/>
        </w:rPr>
        <w:t xml:space="preserve">: </w:t>
      </w:r>
    </w:p>
    <w:p w:rsidR="007A5985" w:rsidRPr="001561A8" w:rsidRDefault="007A5985" w:rsidP="007A5985">
      <w:pPr>
        <w:pStyle w:val="Citation-AltC"/>
      </w:pPr>
      <w:r w:rsidRPr="001561A8">
        <w:t xml:space="preserve">Précisons, enfin, que la preuve de l’erreur — ou d’un autre vice du consentement — n’est pas toujours nécessaire : dès l’instant, en effet, où le « payeur » a prouvé l’inexistence de la dette ou le paiement excédentaire, il appartient au « payé » de prouver l’intention libérale, qui ne saurait se présumer, </w:t>
      </w:r>
      <w:r w:rsidRPr="001561A8">
        <w:rPr>
          <w:u w:val="single"/>
        </w:rPr>
        <w:t>ou encore une autre cause pouvant juridiquement justifier le paiement</w:t>
      </w:r>
      <w:r w:rsidRPr="001561A8">
        <w:t xml:space="preserve">. [Nous soulignons; notes en bas de page omises.] </w:t>
      </w:r>
    </w:p>
    <w:p w:rsidR="007A5985" w:rsidRPr="001561A8" w:rsidRDefault="007A5985" w:rsidP="007A5985">
      <w:pPr>
        <w:pStyle w:val="Citation-AltC"/>
      </w:pPr>
    </w:p>
    <w:p w:rsidR="007A5985" w:rsidRPr="001561A8" w:rsidRDefault="007A5985" w:rsidP="007A5985">
      <w:pPr>
        <w:pStyle w:val="Citation-AltC"/>
        <w:ind w:left="0"/>
      </w:pPr>
      <w:r w:rsidRPr="001561A8">
        <w:t>(Lluelles et Moore, n° 1378)</w:t>
      </w:r>
    </w:p>
    <w:p w:rsidR="007A5985" w:rsidRPr="001561A8" w:rsidRDefault="007A5985" w:rsidP="007A5985">
      <w:pPr>
        <w:pStyle w:val="Citation-AltC"/>
      </w:pPr>
    </w:p>
    <w:p w:rsidR="007A5985" w:rsidRPr="001561A8" w:rsidRDefault="007A5985" w:rsidP="007A5985">
      <w:pPr>
        <w:pStyle w:val="Citation-AltC"/>
        <w:ind w:firstLine="274"/>
      </w:pPr>
      <w:r w:rsidRPr="001561A8">
        <w:t>L’</w:t>
      </w:r>
      <w:r w:rsidRPr="001561A8">
        <w:rPr>
          <w:i/>
        </w:rPr>
        <w:t>accipiens</w:t>
      </w:r>
      <w:r w:rsidRPr="001561A8">
        <w:t xml:space="preserve">, cependant, peut s’opposer à l’action en répétition, non pas en essayant de démontrer l’absence d’erreur, preuve négative impossible, mais </w:t>
      </w:r>
      <w:r w:rsidRPr="001561A8">
        <w:rPr>
          <w:u w:val="single"/>
        </w:rPr>
        <w:t>en rapportant la preuve positive que le paiement a eu une cause qui le rend définitif. Quelle cause? il en est de diverses sortes.</w:t>
      </w:r>
      <w:r w:rsidRPr="001561A8">
        <w:t xml:space="preserve"> </w:t>
      </w:r>
    </w:p>
    <w:p w:rsidR="007A5985" w:rsidRPr="001561A8" w:rsidRDefault="007A5985" w:rsidP="007A5985">
      <w:pPr>
        <w:pStyle w:val="Citation-AltC"/>
      </w:pPr>
    </w:p>
    <w:p w:rsidR="007A5985" w:rsidRPr="001561A8" w:rsidRDefault="007A5985" w:rsidP="007A5985">
      <w:pPr>
        <w:pStyle w:val="Citation-AltC"/>
        <w:ind w:left="1440" w:hanging="274"/>
      </w:pPr>
      <w:r w:rsidRPr="001561A8">
        <w:t>–</w:t>
      </w:r>
      <w:r w:rsidRPr="001561A8">
        <w:tab/>
      </w:r>
      <w:r w:rsidRPr="001561A8">
        <w:rPr>
          <w:u w:val="single"/>
        </w:rPr>
        <w:t>Ce peut être une intention libérale</w:t>
      </w:r>
      <w:r w:rsidRPr="001561A8">
        <w:t xml:space="preserve"> : le </w:t>
      </w:r>
      <w:r w:rsidRPr="001561A8">
        <w:rPr>
          <w:i/>
        </w:rPr>
        <w:t>solvens</w:t>
      </w:r>
      <w:r w:rsidRPr="001561A8">
        <w:t xml:space="preserve"> a entendu procurer un avantage gratuit à l’</w:t>
      </w:r>
      <w:r w:rsidRPr="001561A8">
        <w:rPr>
          <w:i/>
        </w:rPr>
        <w:t>accipiens</w:t>
      </w:r>
      <w:r w:rsidRPr="001561A8">
        <w:t xml:space="preserve"> ou au tiers dont il éteint la dette, voire réaliser une donation informelle. </w:t>
      </w:r>
    </w:p>
    <w:p w:rsidR="007A5985" w:rsidRPr="001561A8" w:rsidRDefault="007A5985" w:rsidP="007A5985">
      <w:pPr>
        <w:pStyle w:val="Citation-AltC"/>
        <w:ind w:left="1526"/>
      </w:pPr>
    </w:p>
    <w:p w:rsidR="007A5985" w:rsidRPr="001561A8" w:rsidRDefault="007A5985" w:rsidP="007A5985">
      <w:pPr>
        <w:pStyle w:val="Citation-AltC"/>
        <w:numPr>
          <w:ilvl w:val="0"/>
          <w:numId w:val="38"/>
        </w:numPr>
      </w:pPr>
      <w:r w:rsidRPr="001561A8">
        <w:rPr>
          <w:u w:val="single"/>
        </w:rPr>
        <w:t>Ce pourrait être aussi bien l’intention de gérer l’affaire du débiteur, ou encore la perspective d’une convention plus vaste</w:t>
      </w:r>
      <w:r w:rsidRPr="001561A8">
        <w:t> : il n’est pas rare que le paiement de l’indu soit l’un des éléments d’une transaction (au sens de l’a. 2044), une cession faite à l’</w:t>
      </w:r>
      <w:r w:rsidRPr="001561A8">
        <w:rPr>
          <w:i/>
        </w:rPr>
        <w:t>accipiens</w:t>
      </w:r>
      <w:r w:rsidRPr="001561A8">
        <w:t xml:space="preserve"> dans l’attente de concessions en retour. [Nous soulignons.]</w:t>
      </w:r>
    </w:p>
    <w:p w:rsidR="007A5985" w:rsidRPr="001561A8" w:rsidRDefault="007A5985" w:rsidP="007A5985">
      <w:pPr>
        <w:pStyle w:val="Citation-AltC"/>
      </w:pPr>
    </w:p>
    <w:p w:rsidR="007A5985" w:rsidRPr="001561A8" w:rsidRDefault="007A5985" w:rsidP="007A5985">
      <w:pPr>
        <w:pStyle w:val="Citation-AltC"/>
        <w:ind w:left="0"/>
      </w:pPr>
      <w:r w:rsidRPr="001561A8">
        <w:t>(Carbonnier, n° 1219)</w:t>
      </w:r>
    </w:p>
    <w:p w:rsidR="007A5985" w:rsidRPr="001561A8" w:rsidRDefault="007A5985" w:rsidP="007A5985">
      <w:pPr>
        <w:pStyle w:val="ParaNoNdepar-AltN"/>
        <w:rPr>
          <w:rFonts w:cs="Times New Roman"/>
        </w:rPr>
      </w:pPr>
      <w:r w:rsidRPr="001561A8">
        <w:rPr>
          <w:rFonts w:cs="Times New Roman"/>
        </w:rPr>
        <w:t xml:space="preserve">Ainsi, dans </w:t>
      </w:r>
      <w:r w:rsidRPr="001561A8">
        <w:rPr>
          <w:rFonts w:cs="Times New Roman"/>
          <w:i/>
        </w:rPr>
        <w:t>Agence de développement de réseaux locaux de services de santé et de services sociaux de Laval (Régie régionale de la santé et de services sociaux de Laval) c. 9112-4511 Québec inc.</w:t>
      </w:r>
      <w:r w:rsidRPr="001561A8">
        <w:rPr>
          <w:rFonts w:cs="Times New Roman"/>
        </w:rPr>
        <w:t>, 2006 QCCS 5323, conf. par 2008 QCCA 848, le payé avait prétendu — mais sans succès — que la somme payée en trop se justifiait par une transaction intervenue entre les parties en vue de régler un éventuel recours en dommages-intérêts.</w:t>
      </w:r>
    </w:p>
    <w:p w:rsidR="007A5985" w:rsidRPr="001561A8" w:rsidRDefault="007A5985" w:rsidP="007A5985">
      <w:pPr>
        <w:pStyle w:val="ParaNoNdepar-AltN"/>
        <w:rPr>
          <w:rFonts w:cs="Times New Roman"/>
        </w:rPr>
      </w:pPr>
      <w:r w:rsidRPr="001561A8">
        <w:rPr>
          <w:rFonts w:cs="Times New Roman"/>
        </w:rPr>
        <w:t xml:space="preserve">En l’espèce, nos collègues souscrivent dans leurs motifs (par. 66-67) à la conclusion des juges majoritaires de la Cour d’appel selon laquelle Octane aurait fourni des services en vertu de sa croyance erronée, mais de bonne foi, que la Ville avait contracté avec elle (par. 25 et 66). </w:t>
      </w:r>
    </w:p>
    <w:p w:rsidR="007A5985" w:rsidRPr="001561A8" w:rsidRDefault="007A5985" w:rsidP="007A5985">
      <w:pPr>
        <w:pStyle w:val="ParaNoNdepar-AltN"/>
        <w:rPr>
          <w:rFonts w:cs="Times New Roman"/>
        </w:rPr>
      </w:pPr>
      <w:r w:rsidRPr="001561A8">
        <w:rPr>
          <w:rFonts w:cs="Times New Roman"/>
        </w:rPr>
        <w:t>À notre avis, la preuve démontre plutôt clairement qu’Octane n’a pas payé la Ville par erreur. Il est utile de préciser d’emblée que l’erreur doit exister au moment du paiement (</w:t>
      </w:r>
      <w:r w:rsidRPr="001561A8">
        <w:rPr>
          <w:rFonts w:cs="Times New Roman"/>
          <w:i/>
          <w:szCs w:val="24"/>
        </w:rPr>
        <w:t>Canadian Imperial Bank of Commerce c. Perrault et Perrault Ltée</w:t>
      </w:r>
      <w:r w:rsidRPr="001561A8">
        <w:rPr>
          <w:rFonts w:cs="Times New Roman"/>
          <w:szCs w:val="24"/>
        </w:rPr>
        <w:t xml:space="preserve">, </w:t>
      </w:r>
      <w:r w:rsidRPr="001561A8">
        <w:rPr>
          <w:rFonts w:cs="Times New Roman"/>
          <w:szCs w:val="24"/>
        </w:rPr>
        <w:lastRenderedPageBreak/>
        <w:t xml:space="preserve">[1969] B.R. 958; </w:t>
      </w:r>
      <w:r w:rsidRPr="001561A8">
        <w:rPr>
          <w:rFonts w:cs="Times New Roman"/>
          <w:i/>
          <w:szCs w:val="24"/>
        </w:rPr>
        <w:t>Aussant c. Axa Assurances inc.</w:t>
      </w:r>
      <w:r w:rsidRPr="001561A8">
        <w:rPr>
          <w:rFonts w:cs="Times New Roman"/>
          <w:szCs w:val="24"/>
        </w:rPr>
        <w:t xml:space="preserve">, 2013 QCCQ 398, [2013] R.J.Q. 533; </w:t>
      </w:r>
      <w:r w:rsidRPr="001561A8">
        <w:rPr>
          <w:rFonts w:cs="Times New Roman"/>
          <w:i/>
          <w:szCs w:val="24"/>
        </w:rPr>
        <w:t>Société nationale de fiducie c. Robitaille</w:t>
      </w:r>
      <w:r w:rsidRPr="001561A8">
        <w:rPr>
          <w:rFonts w:cs="Times New Roman"/>
          <w:szCs w:val="24"/>
        </w:rPr>
        <w:t xml:space="preserve">, [1983] C.A. 521 (Qc); </w:t>
      </w:r>
      <w:r w:rsidRPr="001561A8">
        <w:rPr>
          <w:rFonts w:cs="Times New Roman"/>
          <w:i/>
          <w:szCs w:val="24"/>
        </w:rPr>
        <w:t>Roux c. Cordeau</w:t>
      </w:r>
      <w:r w:rsidRPr="001561A8">
        <w:rPr>
          <w:rFonts w:cs="Times New Roman"/>
          <w:szCs w:val="24"/>
        </w:rPr>
        <w:t xml:space="preserve">; </w:t>
      </w:r>
      <w:r w:rsidRPr="001561A8">
        <w:rPr>
          <w:rFonts w:cs="Times New Roman"/>
          <w:i/>
          <w:szCs w:val="24"/>
        </w:rPr>
        <w:t>Commission des écoles catholiques de Verdun c. Giroux</w:t>
      </w:r>
      <w:r w:rsidRPr="001561A8">
        <w:rPr>
          <w:rFonts w:cs="Times New Roman"/>
          <w:szCs w:val="24"/>
        </w:rPr>
        <w:t xml:space="preserve">, [1986] R.J.Q. 2970 (C.P.)). </w:t>
      </w:r>
      <w:r w:rsidRPr="001561A8">
        <w:rPr>
          <w:rFonts w:cs="Times New Roman"/>
        </w:rPr>
        <w:t xml:space="preserve">Le moment du paiement, ici, est le 17 mai 2007, date du lancement du Plan de transport de la Ville, car c’est à cette date que les services ont été fournis à la Ville. Cependant, on ne peut pas dire d’Octane qu’elle croyait à l’existence d’un contrat la liant à la Ville au moment du paiement. On ne peut pas non plus affirmer qu’elle croyait au moment du paiement à la possibilité qu’un contrat valide lui soit </w:t>
      </w:r>
      <w:r w:rsidRPr="001561A8">
        <w:rPr>
          <w:rFonts w:cs="Times New Roman"/>
          <w:i/>
        </w:rPr>
        <w:t>ultérieurement</w:t>
      </w:r>
      <w:r w:rsidRPr="001561A8">
        <w:rPr>
          <w:rFonts w:cs="Times New Roman"/>
        </w:rPr>
        <w:t xml:space="preserve"> consenti par la Ville. </w:t>
      </w:r>
    </w:p>
    <w:p w:rsidR="007A5985" w:rsidRPr="001561A8" w:rsidRDefault="007A5985" w:rsidP="007A5985">
      <w:pPr>
        <w:pStyle w:val="Title5LevelTitre5Niveau"/>
        <w:numPr>
          <w:ilvl w:val="4"/>
          <w:numId w:val="8"/>
        </w:numPr>
        <w:rPr>
          <w:rFonts w:cs="Times New Roman"/>
          <w:lang w:val="fr-CA"/>
        </w:rPr>
      </w:pPr>
      <w:r w:rsidRPr="001561A8">
        <w:rPr>
          <w:rFonts w:cs="Times New Roman"/>
          <w:lang w:val="fr-CA"/>
        </w:rPr>
        <w:t>Octane savait au moment du paiement qu’aucun contrat ne la liait à la Ville à l’égard des services rendus par PGB</w:t>
      </w:r>
    </w:p>
    <w:p w:rsidR="007A5985" w:rsidRPr="001561A8" w:rsidRDefault="007A5985" w:rsidP="007A5985">
      <w:pPr>
        <w:pStyle w:val="ParaNoNdepar-AltN"/>
        <w:rPr>
          <w:rFonts w:cs="Times New Roman"/>
        </w:rPr>
      </w:pPr>
      <w:r w:rsidRPr="001561A8">
        <w:rPr>
          <w:rFonts w:cs="Times New Roman"/>
        </w:rPr>
        <w:t>Lorsqu’elle sort de la réunion du 27 avril 2007, Octane aurait obtenu un « mandat » relatif à des services-conseils (le « mandat du concept » ou « mandat de conseil »); les frais associés au paiement des services rendus par PGB auraient alors été considérés comme des déboursés inclus dans ce « mandat » (témoignage de Louis Aucoin, d.a., vol. VIII, p. 5-9). Louis Aucoin a témoigné au procès qu’il croyait, après la réunion du 27 avril 2007, que le « mandat » ne « pourra[it] excéder [. . .] la limite de gré à gré », soit « vingt-cinq mille dollars (25 000 $) » (</w:t>
      </w:r>
      <w:r w:rsidRPr="001561A8">
        <w:rPr>
          <w:rFonts w:cs="Times New Roman"/>
          <w:i/>
        </w:rPr>
        <w:t>ibid.</w:t>
      </w:r>
      <w:r w:rsidRPr="001561A8">
        <w:rPr>
          <w:rFonts w:cs="Times New Roman"/>
        </w:rPr>
        <w:t xml:space="preserve">, p. 61-63 et 75). </w:t>
      </w:r>
    </w:p>
    <w:p w:rsidR="007A5985" w:rsidRPr="001561A8" w:rsidRDefault="007A5985" w:rsidP="007A5985">
      <w:pPr>
        <w:pStyle w:val="ParaNoNdepar-AltN"/>
        <w:rPr>
          <w:rFonts w:cs="Times New Roman"/>
        </w:rPr>
      </w:pPr>
      <w:r w:rsidRPr="001561A8">
        <w:rPr>
          <w:rFonts w:cs="Times New Roman"/>
        </w:rPr>
        <w:t xml:space="preserve">Louis Aucoin savait parfaitement que la limite de 25 000 $ était pertinente, et ce, non seulement parce qu’il s’agit du seuil maximal en deçà duquel un contrat peut être adjugé de gré à gré (c.-à-d. sans demande de soumissions faite par voie d’invitation écrite ou demande de soumissions publiques publiée dans un système électronique d’appel d’offres), mais aussi parce qu’il s’agit du seuil maximal en deçà duquel un </w:t>
      </w:r>
      <w:r w:rsidRPr="001561A8">
        <w:rPr>
          <w:rFonts w:cs="Times New Roman"/>
        </w:rPr>
        <w:lastRenderedPageBreak/>
        <w:t>fonctionnaire peut consentir un contrat au nom de la Ville (</w:t>
      </w:r>
      <w:r w:rsidRPr="001561A8">
        <w:rPr>
          <w:rFonts w:cs="Times New Roman"/>
          <w:i/>
        </w:rPr>
        <w:t>ibid.</w:t>
      </w:r>
      <w:r w:rsidRPr="001561A8">
        <w:rPr>
          <w:rFonts w:cs="Times New Roman"/>
        </w:rPr>
        <w:t>, p. 63-75). Les règles de formation d’un contrat avec la Ville ont été sommairement (mais utilement) résumées ainsi par Gilles Robillard : (1) un fonctionnaire dûment autorisé aurait pu consentir un contrat au nom de la Ville jusqu’à une valeur de 25 000 $, (2) le comité exécutif de la Ville aurait pu consentir un contrat au nom de la Ville jusqu’à une valeur de 100 000 $ et (3) le conseil municipal de la Ville aurait pu consentir tout contrat d’une valeur de plus de 100 000 $ (témoignage de Gilles Robillard, d.a., vol. XIII, p. 9).</w:t>
      </w:r>
    </w:p>
    <w:p w:rsidR="007A5985" w:rsidRPr="001561A8" w:rsidRDefault="007A5985" w:rsidP="007A5985">
      <w:pPr>
        <w:pStyle w:val="ParaNoNdepar-AltN"/>
        <w:rPr>
          <w:rFonts w:cs="Times New Roman"/>
        </w:rPr>
      </w:pPr>
      <w:r w:rsidRPr="001561A8">
        <w:rPr>
          <w:rFonts w:cs="Times New Roman"/>
        </w:rPr>
        <w:t>Or, d’après un devis de services-conseils daté du 28 avril 2007 (pièce P-6, d.a., vol. II, p. 17-18), la valeur du « mandat » relatif aux services-conseils est estimée à 27 600 $ plus taxes. Suivant les estimations budgétaires datées du 4 mai 2007 (pièce P-13, d.a., vol. II, p. 38-41), la valeur du « mandat » en matière de services-conseils est estimée à 28 350 $, puis à 34 650 $ plus taxes (</w:t>
      </w:r>
      <w:r w:rsidRPr="001561A8">
        <w:rPr>
          <w:rFonts w:cs="Times New Roman"/>
          <w:i/>
        </w:rPr>
        <w:t>ibid.</w:t>
      </w:r>
      <w:r w:rsidRPr="001561A8">
        <w:rPr>
          <w:rFonts w:cs="Times New Roman"/>
        </w:rPr>
        <w:t>, p. 75-76).</w:t>
      </w:r>
    </w:p>
    <w:p w:rsidR="007A5985" w:rsidRPr="001561A8" w:rsidRDefault="007A5985" w:rsidP="007A5985">
      <w:pPr>
        <w:pStyle w:val="ParaNoNdepar-AltN"/>
        <w:rPr>
          <w:rFonts w:cs="Times New Roman"/>
        </w:rPr>
      </w:pPr>
      <w:r w:rsidRPr="001561A8">
        <w:rPr>
          <w:rFonts w:cs="Times New Roman"/>
        </w:rPr>
        <w:t>En outre, selon ces mêmes estimations budgétaires datées du 4 mai 2007 (pièce P-13, d.a., vol. II, p. 38-41), les services rendus par PGB constituent un chef de déboursés distinct du « mandat » en matière de services-conseils</w:t>
      </w:r>
      <w:r w:rsidRPr="00606A25">
        <w:rPr>
          <w:rStyle w:val="Hyperlink"/>
          <w:vertAlign w:val="superscript"/>
        </w:rPr>
        <w:footnoteReference w:id="4"/>
      </w:r>
      <w:r w:rsidRPr="001561A8">
        <w:rPr>
          <w:rFonts w:cs="Times New Roman"/>
        </w:rPr>
        <w:t xml:space="preserve">. Il s’agit d’un « mandat » relatif à la production de l’événement, lequel est évalué, en date du 4 mai 2007, soit près de deux semaines </w:t>
      </w:r>
      <w:r w:rsidRPr="001561A8">
        <w:rPr>
          <w:rFonts w:cs="Times New Roman"/>
          <w:i/>
        </w:rPr>
        <w:t xml:space="preserve">avant </w:t>
      </w:r>
      <w:r w:rsidRPr="001561A8">
        <w:rPr>
          <w:rFonts w:cs="Times New Roman"/>
        </w:rPr>
        <w:t>le lancement du Plan de transport du 17 mai 2007, à 120 250 $ plus taxes, puis à 138 250 $ plus taxes. Comme l’a souligné la Cour d’appel (par. 14), la prévision budgétaire finale datée du 15 mai 2007 (pièce P</w:t>
      </w:r>
      <w:r w:rsidRPr="001561A8">
        <w:rPr>
          <w:rFonts w:cs="Times New Roman"/>
        </w:rPr>
        <w:noBreakHyphen/>
        <w:t>12, d.a., vol. II, p. 36-37), soit deux jours</w:t>
      </w:r>
      <w:r w:rsidRPr="001561A8">
        <w:rPr>
          <w:rFonts w:cs="Times New Roman"/>
          <w:i/>
        </w:rPr>
        <w:t xml:space="preserve"> avant </w:t>
      </w:r>
      <w:r w:rsidRPr="001561A8">
        <w:rPr>
          <w:rFonts w:cs="Times New Roman"/>
        </w:rPr>
        <w:t xml:space="preserve">le lancement du Plan de transport du 17 mai 2007, prévoit des honoraires, frais et déboursés de 72 750 $ plus </w:t>
      </w:r>
      <w:r w:rsidRPr="001561A8">
        <w:rPr>
          <w:rFonts w:cs="Times New Roman"/>
        </w:rPr>
        <w:lastRenderedPageBreak/>
        <w:t xml:space="preserve">taxes visant </w:t>
      </w:r>
      <w:r w:rsidRPr="001561A8">
        <w:rPr>
          <w:rFonts w:cs="Times New Roman"/>
          <w:i/>
        </w:rPr>
        <w:t>exclusivement</w:t>
      </w:r>
      <w:r w:rsidRPr="001561A8">
        <w:rPr>
          <w:rFonts w:cs="Times New Roman"/>
        </w:rPr>
        <w:t xml:space="preserve"> les services de PGB (voir aussi C.S., par. 94). Ces valeurs estimées du « mandat » concernant la production de l’événement par PGB excèdent largement la limite de 25 000 $, et, manifestement, Octane le savait très bien</w:t>
      </w:r>
      <w:r w:rsidRPr="001561A8">
        <w:rPr>
          <w:rFonts w:cs="Times New Roman"/>
          <w:i/>
        </w:rPr>
        <w:t xml:space="preserve"> </w:t>
      </w:r>
      <w:r w:rsidRPr="001561A8">
        <w:rPr>
          <w:rFonts w:cs="Times New Roman"/>
        </w:rPr>
        <w:t>au moment où les services ont été rendus par PGB le 17 mai 2007</w:t>
      </w:r>
      <w:r w:rsidRPr="001561A8">
        <w:rPr>
          <w:rFonts w:cs="Times New Roman"/>
          <w:i/>
        </w:rPr>
        <w:t>.</w:t>
      </w:r>
      <w:r w:rsidRPr="001561A8">
        <w:rPr>
          <w:rFonts w:cs="Times New Roman"/>
        </w:rPr>
        <w:t xml:space="preserve"> Louis Aucoin a d’ailleurs admis au procès qu’il avait « une très bonne idée », </w:t>
      </w:r>
      <w:r w:rsidRPr="001561A8">
        <w:rPr>
          <w:rFonts w:cs="Times New Roman"/>
          <w:i/>
        </w:rPr>
        <w:t xml:space="preserve">avant </w:t>
      </w:r>
      <w:r w:rsidRPr="001561A8">
        <w:rPr>
          <w:rFonts w:cs="Times New Roman"/>
        </w:rPr>
        <w:t>le lancement du Plan de transport du 17 mai 2007, de la valeur des services qui seraient rendus par PGB (</w:t>
      </w:r>
      <w:r w:rsidRPr="001561A8">
        <w:rPr>
          <w:rFonts w:cs="Times New Roman"/>
          <w:i/>
        </w:rPr>
        <w:t>ibid.</w:t>
      </w:r>
      <w:r w:rsidRPr="001561A8">
        <w:rPr>
          <w:rFonts w:cs="Times New Roman"/>
        </w:rPr>
        <w:t xml:space="preserve">, p. 131-138). En somme, Octane savait au moment du lancement du Plan de transport de la Ville qu’aucun fonctionnaire dûment autorisé n’avait pu légalement consentir un contrat d’une telle valeur au nom de la Ville. </w:t>
      </w:r>
    </w:p>
    <w:p w:rsidR="007A5985" w:rsidRPr="001561A8" w:rsidRDefault="007A5985" w:rsidP="007A5985">
      <w:pPr>
        <w:pStyle w:val="ParaNoNdepar-AltN"/>
        <w:rPr>
          <w:rFonts w:cs="Times New Roman"/>
        </w:rPr>
      </w:pPr>
      <w:r w:rsidRPr="001561A8">
        <w:rPr>
          <w:rFonts w:cs="Times New Roman"/>
        </w:rPr>
        <w:t>Par ailleurs, Louis Aucoin savait qu’aucune résolution du conseil municipal de la Ville n’octroyait un contrat à Octane concernant les services de PGB (</w:t>
      </w:r>
      <w:r w:rsidRPr="001561A8">
        <w:rPr>
          <w:rFonts w:cs="Times New Roman"/>
          <w:i/>
        </w:rPr>
        <w:t>ibid.</w:t>
      </w:r>
      <w:r w:rsidRPr="001561A8">
        <w:rPr>
          <w:rFonts w:cs="Times New Roman"/>
        </w:rPr>
        <w:t>). Il savait aussi qu’aucun contrat-cadre entre Octane et la Ville n’était en vigueur au moment du lancement du Plan de transport de la Ville (</w:t>
      </w:r>
      <w:r w:rsidRPr="001561A8">
        <w:rPr>
          <w:rFonts w:cs="Times New Roman"/>
          <w:i/>
        </w:rPr>
        <w:t>ibid.</w:t>
      </w:r>
      <w:r w:rsidRPr="001561A8">
        <w:rPr>
          <w:rFonts w:cs="Times New Roman"/>
        </w:rPr>
        <w:t xml:space="preserve">, p. 144-146, 341 et 348). </w:t>
      </w:r>
    </w:p>
    <w:p w:rsidR="007A5985" w:rsidRPr="001561A8" w:rsidRDefault="007A5985" w:rsidP="007A5985">
      <w:pPr>
        <w:pStyle w:val="Title5LevelTitre5Niveau"/>
        <w:numPr>
          <w:ilvl w:val="4"/>
          <w:numId w:val="8"/>
        </w:numPr>
        <w:rPr>
          <w:rFonts w:cs="Times New Roman"/>
          <w:lang w:val="fr-CA"/>
        </w:rPr>
      </w:pPr>
      <w:r w:rsidRPr="001561A8">
        <w:rPr>
          <w:rFonts w:cs="Times New Roman"/>
          <w:lang w:val="fr-CA"/>
        </w:rPr>
        <w:t>Octane savait au moment du paiement qu’aucun contrat valide ne pourrait lui être ultérieurement consenti par la Ville à l’égard des services rendus par PGB</w:t>
      </w:r>
    </w:p>
    <w:p w:rsidR="007A5985" w:rsidRPr="001561A8" w:rsidRDefault="007A5985" w:rsidP="007A5985">
      <w:pPr>
        <w:pStyle w:val="ParaNoNdepar-AltN"/>
        <w:rPr>
          <w:rFonts w:cs="Times New Roman"/>
        </w:rPr>
      </w:pPr>
      <w:r w:rsidRPr="001561A8">
        <w:rPr>
          <w:rFonts w:cs="Times New Roman"/>
        </w:rPr>
        <w:t xml:space="preserve">Gilles Robillard, directeur général associé au Service des infrastructures, transport et environnement de la Ville en 2007, a affirmé au procès que M. Thériault aurait pu, après le lancement du Plan de transport de la Ville, « acheminer » le dossier au comité exécutif afin de faire autoriser le paiement (témoignage de Gilles Robillard, d.a., vol. XIII, p. 36-37; C.S., par. 134). Comme nous l’avons souligné plus haut, le comité exécutif a effectivement le pouvoir de consentir un contrat jusqu’à une valeur de 100 000 $, mais, même si ce comité avait après coup consenti un contrat à Octane, il n’aurait pu s’agir d’un contrat valide, puisque, comme l’a fait observer la Cour </w:t>
      </w:r>
      <w:r w:rsidRPr="001561A8">
        <w:rPr>
          <w:rFonts w:cs="Times New Roman"/>
        </w:rPr>
        <w:lastRenderedPageBreak/>
        <w:t xml:space="preserve">supérieure, au par. 133, « [i]l était trop tard pour procéder par appel d’offres sur invitations ou par appel d’offres public, vu que l’événement avait déjà eu lieu ». Il faut insister ici sur la preuve qui démontre qu’Octane connaît les règles d’adjudication des contrats municipaux : </w:t>
      </w:r>
    </w:p>
    <w:p w:rsidR="007A5985" w:rsidRPr="001561A8" w:rsidRDefault="007A5985" w:rsidP="007A5985">
      <w:pPr>
        <w:pStyle w:val="Citation-AltC"/>
        <w:numPr>
          <w:ilvl w:val="0"/>
          <w:numId w:val="36"/>
        </w:numPr>
      </w:pPr>
      <w:r w:rsidRPr="001561A8">
        <w:t>Elle « tient à respecter les règ</w:t>
      </w:r>
      <w:r w:rsidR="004E59BB">
        <w:t>les d’attribution de contrats » (</w:t>
      </w:r>
      <w:r w:rsidRPr="001561A8">
        <w:t>p. 35</w:t>
      </w:r>
      <w:r w:rsidRPr="001561A8">
        <w:noBreakHyphen/>
        <w:t>36</w:t>
      </w:r>
      <w:r w:rsidR="004E59BB">
        <w:t>).</w:t>
      </w:r>
    </w:p>
    <w:p w:rsidR="007A5985" w:rsidRPr="001561A8" w:rsidRDefault="007A5985" w:rsidP="007A5985">
      <w:pPr>
        <w:pStyle w:val="Citation-AltC"/>
        <w:ind w:left="1886"/>
      </w:pPr>
    </w:p>
    <w:p w:rsidR="007A5985" w:rsidRPr="001561A8" w:rsidRDefault="007A5985" w:rsidP="007A5985">
      <w:pPr>
        <w:pStyle w:val="Citation-AltC"/>
        <w:numPr>
          <w:ilvl w:val="0"/>
          <w:numId w:val="36"/>
        </w:numPr>
      </w:pPr>
      <w:r w:rsidRPr="001561A8">
        <w:t>Elle a « régulièrement » des contrats avec la Ville de Montréal; elle fait aussi affaires avec « d’autres municipalités »</w:t>
      </w:r>
      <w:r w:rsidR="004E59BB">
        <w:t xml:space="preserve"> (</w:t>
      </w:r>
      <w:r w:rsidRPr="001561A8">
        <w:t>p. 45-47</w:t>
      </w:r>
      <w:r w:rsidR="004E59BB">
        <w:t>).</w:t>
      </w:r>
      <w:r w:rsidRPr="001561A8">
        <w:t xml:space="preserve"> </w:t>
      </w:r>
    </w:p>
    <w:p w:rsidR="007A5985" w:rsidRPr="001561A8" w:rsidRDefault="007A5985" w:rsidP="007A5985">
      <w:pPr>
        <w:pStyle w:val="Citation-AltC"/>
        <w:ind w:left="1886"/>
      </w:pPr>
    </w:p>
    <w:p w:rsidR="007A5985" w:rsidRPr="001561A8" w:rsidRDefault="007A5985" w:rsidP="007A5985">
      <w:pPr>
        <w:pStyle w:val="Citation-AltC"/>
        <w:numPr>
          <w:ilvl w:val="0"/>
          <w:numId w:val="36"/>
        </w:numPr>
      </w:pPr>
      <w:r w:rsidRPr="001561A8">
        <w:t>En 2007, Louis Aucoin connaît très bien la différence entre un contrat conclu de gré à gré, un contrat adjugé par voie d’invitation écrite et un contrat adjugé par voie d’appel d’offres public; il sait aussi très bien que le « seuil minimal » pour l’adjudication d’un contrat par voie d’invitation écrite est de « vingt-cinq mille dollars (25 000 $) à l’époque ». Il sait également que le seuil minimal pour l’adjudication d’un contrat par voie d’appel d’offres public est de « cen</w:t>
      </w:r>
      <w:r w:rsidR="004E59BB">
        <w:t>t mille dollars (100 000 $) » (p. 55-58 et 71).</w:t>
      </w:r>
      <w:r w:rsidRPr="001561A8">
        <w:t xml:space="preserve"> </w:t>
      </w:r>
    </w:p>
    <w:p w:rsidR="007A5985" w:rsidRPr="001561A8" w:rsidRDefault="007A5985" w:rsidP="007A5985">
      <w:pPr>
        <w:pStyle w:val="Citation-AltC"/>
        <w:ind w:left="1886"/>
      </w:pPr>
    </w:p>
    <w:p w:rsidR="007A5985" w:rsidRPr="001561A8" w:rsidRDefault="007A5985" w:rsidP="007A5985">
      <w:pPr>
        <w:pStyle w:val="Citation-AltC"/>
        <w:numPr>
          <w:ilvl w:val="0"/>
          <w:numId w:val="36"/>
        </w:numPr>
        <w:spacing w:after="0"/>
      </w:pPr>
      <w:r w:rsidRPr="001561A8">
        <w:t>Octane est tout à fait consciente à l’époque des faits que la procédure normale pour l’adjudication d’un contrat par voie d’invitation écrite n’a pas été suivie dans ce cas-ci. Elle est aussi tout à fait consciente que la procédure normale pour l’octroi d’un contrat conclu de gré à gré n’a pas été suivie dans ce cas-ci (« normalement ce qu’on veut c’est une preuve écrite que le devis est accepté par une personne en autorité »)</w:t>
      </w:r>
      <w:r w:rsidR="004E59BB">
        <w:t xml:space="preserve"> (</w:t>
      </w:r>
      <w:r w:rsidRPr="001561A8">
        <w:t>p. 58-61 et 63-65</w:t>
      </w:r>
      <w:r w:rsidR="004E59BB">
        <w:t>).</w:t>
      </w:r>
    </w:p>
    <w:p w:rsidR="007A5985" w:rsidRPr="001561A8" w:rsidRDefault="007A5985" w:rsidP="007A5985">
      <w:pPr>
        <w:pStyle w:val="ListParagraph"/>
        <w:rPr>
          <w:lang w:val="fr-CA"/>
        </w:rPr>
      </w:pPr>
    </w:p>
    <w:p w:rsidR="007A5985" w:rsidRPr="000444FE" w:rsidRDefault="007A5985" w:rsidP="000444FE">
      <w:pPr>
        <w:rPr>
          <w:lang w:val="fr-CA"/>
        </w:rPr>
      </w:pPr>
      <w:r w:rsidRPr="000444FE">
        <w:rPr>
          <w:lang w:val="fr-CA"/>
        </w:rPr>
        <w:t>(témoignage de Louis Aucoin, d.a., vol. VIII; voir aussi C.S., par. 126</w:t>
      </w:r>
      <w:r w:rsidR="0079515F" w:rsidRPr="000444FE">
        <w:rPr>
          <w:lang w:val="fr-CA"/>
        </w:rPr>
        <w:t>.</w:t>
      </w:r>
      <w:r w:rsidRPr="000444FE">
        <w:rPr>
          <w:lang w:val="fr-CA"/>
        </w:rPr>
        <w:t>)</w:t>
      </w:r>
    </w:p>
    <w:p w:rsidR="007A5985" w:rsidRPr="001561A8" w:rsidRDefault="007A5985" w:rsidP="007A5985">
      <w:pPr>
        <w:pStyle w:val="Title5LevelTitre5Niveau"/>
        <w:numPr>
          <w:ilvl w:val="4"/>
          <w:numId w:val="8"/>
        </w:numPr>
        <w:rPr>
          <w:rFonts w:cs="Times New Roman"/>
          <w:lang w:val="fr-CA"/>
        </w:rPr>
      </w:pPr>
      <w:r w:rsidRPr="001561A8">
        <w:rPr>
          <w:rFonts w:cs="Times New Roman"/>
          <w:lang w:val="fr-CA"/>
        </w:rPr>
        <w:t>Conclusion sur l’erreur du payeur</w:t>
      </w:r>
    </w:p>
    <w:p w:rsidR="007A5985" w:rsidRPr="001561A8" w:rsidRDefault="007A5985" w:rsidP="007A5985">
      <w:pPr>
        <w:pStyle w:val="ParaNoNdepar-AltN"/>
        <w:rPr>
          <w:rFonts w:cs="Times New Roman"/>
        </w:rPr>
      </w:pPr>
      <w:r w:rsidRPr="001561A8">
        <w:rPr>
          <w:rFonts w:cs="Times New Roman"/>
        </w:rPr>
        <w:t xml:space="preserve">Octane n’a sans doute pas agi dans une intention libérale, puisqu’il y avait à tout le moins l’espoir d’une rétribution. Cependant, comme nous l’avons souligné, l’absence d’une intention libérale ne signifie pas nécessairement que le paiement a été fait par erreur. </w:t>
      </w:r>
    </w:p>
    <w:p w:rsidR="007A5985" w:rsidRPr="001561A8" w:rsidRDefault="007A5985" w:rsidP="007A5985">
      <w:pPr>
        <w:pStyle w:val="ParaNoNdepar-AltN"/>
        <w:rPr>
          <w:rFonts w:cs="Times New Roman"/>
        </w:rPr>
      </w:pPr>
      <w:r w:rsidRPr="001561A8">
        <w:rPr>
          <w:rFonts w:cs="Times New Roman"/>
        </w:rPr>
        <w:lastRenderedPageBreak/>
        <w:t>Comme Octane a fourni des services à la Ville en sachant qu’elle n’y était pas tenue, il n’est pas nécessaire de déterminer la cause juridique précise susceptible de justifier le paiement (voir par. </w:t>
      </w:r>
      <w:r>
        <w:rPr>
          <w:rFonts w:cs="Times New Roman"/>
        </w:rPr>
        <w:t>148</w:t>
      </w:r>
      <w:r w:rsidRPr="001561A8">
        <w:rPr>
          <w:rFonts w:cs="Times New Roman"/>
        </w:rPr>
        <w:t xml:space="preserve"> de nos motifs). La preuve n’est de toute façon pas suffisante pour permettre d’établir ce qui a motivé Octane dans l’accomplissement des services et nous ne pouvons donc que spéculer à cet égard. </w:t>
      </w:r>
    </w:p>
    <w:p w:rsidR="007A5985" w:rsidRPr="001561A8" w:rsidRDefault="007A5985" w:rsidP="007A5985">
      <w:pPr>
        <w:pStyle w:val="ParaNoNdepar-AltN"/>
        <w:rPr>
          <w:rFonts w:cs="Times New Roman"/>
        </w:rPr>
      </w:pPr>
      <w:r w:rsidRPr="001561A8">
        <w:rPr>
          <w:rFonts w:cs="Times New Roman"/>
        </w:rPr>
        <w:t>Peut-être Octane avait-elle un intérêt personnel dans la prestation des services en cause. En effet, les services ont été rendus en 2007, soit durant la période qui s’est écoulée entre les deux conventions-cadres de services professionnels conclues en 2004 puis en 2008 entre Octane et la Ville (C.A., par. 9; pièces P-33 et P</w:t>
      </w:r>
      <w:r w:rsidRPr="001561A8">
        <w:rPr>
          <w:rFonts w:cs="Times New Roman"/>
        </w:rPr>
        <w:noBreakHyphen/>
        <w:t xml:space="preserve">34, d.a., vol. II, p. 77-83; pièces P-118 et P-119, d.a., vol. IV, p. 106-112). Peut-être Octane avait-elle donc un intérêt personnel à demeurer dans les « bonnes grâces » de la Ville afin d’assurer la conclusion d’une nouvelle convention-cadre. Dans un tel scénario, le paiement fait par Octane s’inscrirait dans la perspective d’une convention plus vaste. </w:t>
      </w:r>
    </w:p>
    <w:p w:rsidR="007A5985" w:rsidRPr="001561A8" w:rsidRDefault="007A5985" w:rsidP="007A5985">
      <w:pPr>
        <w:pStyle w:val="ParaNoNdepar-AltN"/>
        <w:rPr>
          <w:rFonts w:cs="Times New Roman"/>
        </w:rPr>
      </w:pPr>
      <w:r w:rsidRPr="001561A8">
        <w:rPr>
          <w:rFonts w:cs="Times New Roman"/>
        </w:rPr>
        <w:t xml:space="preserve">Ou peut-être Octane a-t-elle plus simplement voulu faire en sorte que d’autres contrats lui soient ultérieurement consentis par la Ville. Dans les tentatives de règlement du présent dossier, Octane aurait d’ailleurs reçu des « promesses de mandats futurs » de la part du cabinet du maire et du comité exécutif (témoignage de Louis Aucoin, d.a., vol. VIII, p. 23-24 et 27-28). </w:t>
      </w:r>
    </w:p>
    <w:p w:rsidR="007A5985" w:rsidRPr="001561A8" w:rsidRDefault="007A5985" w:rsidP="007A5985">
      <w:pPr>
        <w:pStyle w:val="ParaNoNdepar-AltN"/>
        <w:rPr>
          <w:rFonts w:cs="Times New Roman"/>
        </w:rPr>
      </w:pPr>
      <w:r w:rsidRPr="001561A8">
        <w:rPr>
          <w:rFonts w:cs="Times New Roman"/>
        </w:rPr>
        <w:t xml:space="preserve">Ou peut-être encore faut-il considérer qu’Octane a agi à ses propres risques. En effet, Octane connaissait les règles de formation et d’adjudication des contrats municipaux; elle avait de toute façon le fardeau de s’assurer que le contrat serait conclu selon la procédure régulière. Comme l’a affirmé notre Cour dans </w:t>
      </w:r>
      <w:r w:rsidRPr="001561A8">
        <w:rPr>
          <w:rFonts w:cs="Times New Roman"/>
          <w:i/>
        </w:rPr>
        <w:t xml:space="preserve">Silver’s </w:t>
      </w:r>
      <w:r w:rsidRPr="001561A8">
        <w:rPr>
          <w:rFonts w:cs="Times New Roman"/>
          <w:i/>
        </w:rPr>
        <w:lastRenderedPageBreak/>
        <w:t>Garage Ltd.</w:t>
      </w:r>
      <w:r w:rsidRPr="001561A8">
        <w:rPr>
          <w:rFonts w:cs="Times New Roman"/>
        </w:rPr>
        <w:t xml:space="preserve">, à la p. 593, une personne qui souhaite contracter avec une municipalité « doit </w:t>
      </w:r>
      <w:r w:rsidRPr="001561A8">
        <w:rPr>
          <w:rFonts w:cs="Times New Roman"/>
          <w:u w:val="single"/>
        </w:rPr>
        <w:t>à ses propres risques</w:t>
      </w:r>
      <w:r w:rsidRPr="001561A8">
        <w:rPr>
          <w:rFonts w:cs="Times New Roman"/>
        </w:rPr>
        <w:t xml:space="preserve"> s’assurer que l’organisme légal qui prend sur lui de déléguer à des comités ou à des personnes d’importantes fonctions comportant l’exercice de discrétion, a effectivement la faculté de déléguer ainsi des fonctions, et que la personne avec qui il traite est nantie de l’autorité requise licitement déléguée de la sorte » (nous soulignons). Octane ayant décidé de fournir des services à la Ville malgré le non-respect des règles impératives de formation et d’adjudication des contrats municipaux — règles qu’elle connaissait —, il serait possible de soutenir qu’elle doit maintenant être considérée comme ayant accepté les risques associés à son comportement. Et comme nous l’avons mentionné précédemment, l’acceptation des risques constitue l’une des autres causes juridiques pouvant justifier le paiement, exclure l’hypothèse de l’erreur et rendre non disponible l’action en répétition </w:t>
      </w:r>
      <w:r w:rsidR="004C0213">
        <w:rPr>
          <w:rFonts w:cs="Times New Roman"/>
        </w:rPr>
        <w:t>de l’indu (v</w:t>
      </w:r>
      <w:r w:rsidRPr="001561A8">
        <w:rPr>
          <w:rFonts w:cs="Times New Roman"/>
        </w:rPr>
        <w:t>oi</w:t>
      </w:r>
      <w:r>
        <w:rPr>
          <w:rFonts w:cs="Times New Roman"/>
        </w:rPr>
        <w:t>r par. 148</w:t>
      </w:r>
      <w:r w:rsidRPr="001561A8">
        <w:rPr>
          <w:rFonts w:cs="Times New Roman"/>
        </w:rPr>
        <w:t xml:space="preserve"> de nos motifs). </w:t>
      </w:r>
    </w:p>
    <w:p w:rsidR="007A5985" w:rsidRPr="001561A8" w:rsidRDefault="007A5985" w:rsidP="007A5985">
      <w:pPr>
        <w:pStyle w:val="ParaNoNdepar-AltN"/>
        <w:rPr>
          <w:rFonts w:cs="Times New Roman"/>
        </w:rPr>
      </w:pPr>
      <w:r w:rsidRPr="001561A8">
        <w:rPr>
          <w:rFonts w:cs="Times New Roman"/>
        </w:rPr>
        <w:t xml:space="preserve">Quoi qu’il en soit, Octane n’a pas payé par erreur, car elle savait, dans les faits, au moment du paiement, qu’aucun contrat ne s’était formé entre elle et la Ville à l’égard des services rendus par PGB. Son action en répétition de l’indu doit donc être rejetée, et l’appel de la Ville, accueilli. </w:t>
      </w:r>
    </w:p>
    <w:p w:rsidR="007A5985" w:rsidRPr="001561A8" w:rsidRDefault="007A5985" w:rsidP="007A5985">
      <w:pPr>
        <w:pStyle w:val="ParaNoNdepar-AltN"/>
        <w:rPr>
          <w:rFonts w:cs="Times New Roman"/>
        </w:rPr>
      </w:pPr>
      <w:r w:rsidRPr="001561A8">
        <w:rPr>
          <w:rFonts w:cs="Times New Roman"/>
        </w:rPr>
        <w:t>Il importe de noter qu’en arrivant à cette conclusion, nous ne sanctionnons pas le comportement d’Octane à titre de faute ou de négligence. Avec respect, il est inexact de lire nos motifs de cette façon (motifs de nos collègues, par. 83). L’absence d’erreur de la part d’Octane ne saurait être assimilée à une faute, laquelle — nous sommes d’accord — n’est pas pertinente pour les fins de la restitution (</w:t>
      </w:r>
      <w:r w:rsidRPr="001561A8">
        <w:rPr>
          <w:rFonts w:cs="Times New Roman"/>
          <w:i/>
        </w:rPr>
        <w:t>Amex</w:t>
      </w:r>
      <w:r w:rsidRPr="001561A8">
        <w:rPr>
          <w:rFonts w:cs="Times New Roman"/>
        </w:rPr>
        <w:t xml:space="preserve">, par. 32). Octane semble plutôt avoir pris un risque d’affaires en fournissant des services à la </w:t>
      </w:r>
      <w:r w:rsidRPr="001561A8">
        <w:rPr>
          <w:rFonts w:cs="Times New Roman"/>
        </w:rPr>
        <w:lastRenderedPageBreak/>
        <w:t>Ville tout en sachant qu’aucun contrat n’était intervenu et ne pourrait intervenir en raison des règles d’adjudication des contrats dans le contexte municipal. Qu’un tel comportement ne constitue pas une faute, soit, mais il ne permet pas non plus de conclure à l’erreur. Les conditions d’ouverture d’une action en répétition de l’indu ne sont donc pas remplies en l’espèce.</w:t>
      </w:r>
    </w:p>
    <w:p w:rsidR="007A5985" w:rsidRPr="001561A8" w:rsidRDefault="007A5985" w:rsidP="007A5985">
      <w:pPr>
        <w:pStyle w:val="ParaNoNdepar-AltN"/>
        <w:rPr>
          <w:rFonts w:cs="Times New Roman"/>
        </w:rPr>
      </w:pPr>
      <w:r w:rsidRPr="001561A8">
        <w:rPr>
          <w:rFonts w:cs="Times New Roman"/>
        </w:rPr>
        <w:t>Octane n’ayant pas</w:t>
      </w:r>
      <w:r w:rsidRPr="001561A8">
        <w:rPr>
          <w:rFonts w:cs="Times New Roman"/>
          <w:i/>
        </w:rPr>
        <w:t xml:space="preserve"> </w:t>
      </w:r>
      <w:r w:rsidRPr="001561A8">
        <w:rPr>
          <w:rFonts w:cs="Times New Roman"/>
        </w:rPr>
        <w:t xml:space="preserve">dans les faits payé la Ville par erreur, il n’est pas nécessaire de décider du sort qu’il conviendrait de réserver à son action en répétition de l’indu si elle avait réellement cru en l’existence d’un contrat la liant à la Ville au moment du paiement. En particulier, il n’est pas nécessaire de décider s’il faudrait y voir une erreur inexcusable excluant la possibilité d’ordonner la restitution des prestations en application du régime de la réception de l’indu, en raison de la violation par Octane de son obligation de s’assurer que le contrat soit conclu selon la procédure régulière. En effet, la jurisprudence majoritaire exige de l’erreur du payeur qu’elle soit « excusable » afin qu’elle puisse donner lieu à la restitution des prestations sur le fondement de la réception de l’indu : </w:t>
      </w:r>
      <w:r w:rsidRPr="001561A8">
        <w:rPr>
          <w:rFonts w:cs="Times New Roman"/>
          <w:i/>
        </w:rPr>
        <w:t>Pelletier c. SSQ, société d’assurance-vie inc.</w:t>
      </w:r>
      <w:r w:rsidRPr="001561A8">
        <w:rPr>
          <w:rFonts w:cs="Times New Roman"/>
        </w:rPr>
        <w:t xml:space="preserve">, 2015 QCCS 132; </w:t>
      </w:r>
      <w:r w:rsidRPr="001561A8">
        <w:rPr>
          <w:rFonts w:cs="Times New Roman"/>
          <w:i/>
        </w:rPr>
        <w:t>Faucher c. SSQ, société d’assurance-vie inc.</w:t>
      </w:r>
      <w:r w:rsidRPr="001561A8">
        <w:rPr>
          <w:rFonts w:cs="Times New Roman"/>
        </w:rPr>
        <w:t xml:space="preserve">, 2010 QCCS 4072, [2010] R.R.A. 1111; </w:t>
      </w:r>
      <w:r w:rsidRPr="001561A8">
        <w:rPr>
          <w:rFonts w:cs="Times New Roman"/>
          <w:i/>
        </w:rPr>
        <w:t>Steckmar Corp. c. Consultants Zenda ltée</w:t>
      </w:r>
      <w:r w:rsidRPr="001561A8">
        <w:rPr>
          <w:rFonts w:cs="Times New Roman"/>
        </w:rPr>
        <w:t xml:space="preserve">, 2000 CanLII 18061 (C.S. Qc); </w:t>
      </w:r>
      <w:r w:rsidRPr="001561A8">
        <w:rPr>
          <w:rFonts w:cs="Times New Roman"/>
          <w:i/>
        </w:rPr>
        <w:t>London Life, cie d’assurance-vie c. Leclerc</w:t>
      </w:r>
      <w:r w:rsidRPr="001561A8">
        <w:rPr>
          <w:rFonts w:cs="Times New Roman"/>
        </w:rPr>
        <w:t xml:space="preserve">, 2002 CanLII 17098 (C.Q.); voir cependant </w:t>
      </w:r>
      <w:r w:rsidRPr="001561A8">
        <w:rPr>
          <w:rFonts w:cs="Times New Roman"/>
          <w:i/>
        </w:rPr>
        <w:t>L’Unique, assurances générales inc. c. Roy</w:t>
      </w:r>
      <w:r w:rsidRPr="001561A8">
        <w:rPr>
          <w:rFonts w:cs="Times New Roman"/>
        </w:rPr>
        <w:t xml:space="preserve">, 2017 QCCS 3971; </w:t>
      </w:r>
      <w:r w:rsidRPr="001561A8">
        <w:rPr>
          <w:rFonts w:cs="Times New Roman"/>
          <w:i/>
        </w:rPr>
        <w:t>Société canadienne de sel ltée c. Dubord</w:t>
      </w:r>
      <w:r w:rsidRPr="001561A8">
        <w:rPr>
          <w:rFonts w:cs="Times New Roman"/>
        </w:rPr>
        <w:t>, 2012 QCCS 1994. (Au sujet de la controverse jurisprudentielle et doctrinale entourant la notion d’erreur inexcusable, voir Baudouin et Jobin, n</w:t>
      </w:r>
      <w:r w:rsidR="0079515F" w:rsidRPr="0079515F">
        <w:rPr>
          <w:rFonts w:cs="Times New Roman"/>
          <w:vertAlign w:val="superscript"/>
        </w:rPr>
        <w:t>os</w:t>
      </w:r>
      <w:r w:rsidR="000444FE">
        <w:rPr>
          <w:rFonts w:cs="Times New Roman"/>
        </w:rPr>
        <w:t>°531</w:t>
      </w:r>
      <w:r w:rsidR="0079515F">
        <w:rPr>
          <w:rFonts w:cs="Times New Roman"/>
        </w:rPr>
        <w:t>-</w:t>
      </w:r>
      <w:r w:rsidRPr="001561A8">
        <w:rPr>
          <w:rFonts w:cs="Times New Roman"/>
        </w:rPr>
        <w:t xml:space="preserve">532; Lluelles et Moore, n° 1379; Levesque, p. 192; S. Lanctôt, « Gestion d’affaires, réception de l’indu et enrichissement injustifié », dans </w:t>
      </w:r>
      <w:r w:rsidRPr="001561A8">
        <w:rPr>
          <w:rFonts w:cs="Times New Roman"/>
          <w:i/>
        </w:rPr>
        <w:lastRenderedPageBreak/>
        <w:t>JurisClasseur Québec — Collection droit civil — Obligations et responsabilité civile</w:t>
      </w:r>
      <w:r w:rsidRPr="001561A8">
        <w:rPr>
          <w:rFonts w:cs="Times New Roman"/>
        </w:rPr>
        <w:t xml:space="preserve"> (feuilles mobiles), par P.</w:t>
      </w:r>
      <w:r w:rsidRPr="001561A8">
        <w:rPr>
          <w:rFonts w:cs="Times New Roman"/>
        </w:rPr>
        <w:noBreakHyphen/>
        <w:t xml:space="preserve">C. Lafond, dir., fasc. 8, par. 50.) </w:t>
      </w:r>
    </w:p>
    <w:p w:rsidR="007A5985" w:rsidRPr="001561A8" w:rsidRDefault="007A5985" w:rsidP="007A5985">
      <w:pPr>
        <w:pStyle w:val="ParaNoNdepar-AltN"/>
        <w:rPr>
          <w:rFonts w:cs="Times New Roman"/>
        </w:rPr>
      </w:pPr>
      <w:r w:rsidRPr="001561A8">
        <w:rPr>
          <w:rFonts w:cs="Times New Roman"/>
        </w:rPr>
        <w:t xml:space="preserve">Il n’est pas non plus nécessaire de décider s’il faut plutôt voir un « principe général » ou une « règle de droit public » voulant que le payeur qui ne s’acquitte pas de son obligation de s’assurer que le contrat est conclu suivant la procédure régulière ne peut obtenir la restitution des prestations sur la base de la réception de l’indu en invoquant cette omission pour seule erreur. Il suffit de souligner ici que la non-application de la théorie du mandat apparent constitue ce genre de « principe général » ou une « règle de droit public » parce qu’elle se fonde sur cette même obligation qui incombe à toute personne qui souhaite contracter avec une municipalité. </w:t>
      </w:r>
    </w:p>
    <w:p w:rsidR="007A5985" w:rsidRPr="001561A8" w:rsidRDefault="007A5985" w:rsidP="007A5985">
      <w:pPr>
        <w:pStyle w:val="Title2LevelTitre2Niveau"/>
        <w:numPr>
          <w:ilvl w:val="1"/>
          <w:numId w:val="8"/>
        </w:numPr>
        <w:rPr>
          <w:rFonts w:cs="Times New Roman"/>
          <w:lang w:val="fr-CA"/>
        </w:rPr>
      </w:pPr>
      <w:bookmarkStart w:id="13" w:name="_Toc17794469"/>
      <w:bookmarkStart w:id="14" w:name="_Toc17880127"/>
      <w:r w:rsidRPr="001561A8">
        <w:rPr>
          <w:rFonts w:cs="Times New Roman"/>
          <w:lang w:val="fr-CA"/>
        </w:rPr>
        <w:t>L’appel d’Octane (dossier n° 38073)</w:t>
      </w:r>
      <w:bookmarkEnd w:id="13"/>
      <w:bookmarkEnd w:id="14"/>
    </w:p>
    <w:p w:rsidR="007A5985" w:rsidRPr="001561A8" w:rsidRDefault="007A5985" w:rsidP="007A5985">
      <w:pPr>
        <w:pStyle w:val="ParaNoNdepar-AltN"/>
        <w:rPr>
          <w:rFonts w:cs="Times New Roman"/>
        </w:rPr>
      </w:pPr>
      <w:r w:rsidRPr="001561A8">
        <w:rPr>
          <w:rFonts w:cs="Times New Roman"/>
        </w:rPr>
        <w:t xml:space="preserve">Octane demande à la Cour, si elle accueille l’appel de la Ville dans le dossier principal, de réformer le jugement de la Cour supérieure afin que M. Thériault soit condamné personnellement en lieu et place de la Ville. Octane insiste sur le fait que la Cour supérieure a conclu son jugement en affirmant expressément que, si elle n’avait pas accueilli la demande principale d’Octane contre la Ville, elle aurait accueilli sa demande subsidiaire contre M. Thériault (par. 118-135 et 169). En effet, la Cour supérieure aurait retenu la responsabilité personnelle de M. Thériault à l’égard du paiement de la somme de 82 898,63 $, et ce, pour les motifs qu’elle a énumérés au par. 135 de son jugement : (1) M. Thériault a donné mandat à Octane, le 27 avril 2007, d’organiser le lancement du Plan de transport de la Ville; (2) il a donné l’assurance à Octane qu’elle serait payée, assurance renouvelée le 23 mai 2007, soit avant les deux derniers versements à PGB; (3) par la suite, il n’a rien fait pour s’assurer qu’Octane </w:t>
      </w:r>
      <w:r w:rsidRPr="001561A8">
        <w:rPr>
          <w:rFonts w:cs="Times New Roman"/>
        </w:rPr>
        <w:lastRenderedPageBreak/>
        <w:t xml:space="preserve">serait remboursée des sommes qu’elle a versées à PGB, alors qu’il aurait pu recommander au comité exécutif le paiement de ce compte. </w:t>
      </w:r>
    </w:p>
    <w:p w:rsidR="007A5985" w:rsidRPr="001561A8" w:rsidRDefault="007A5985" w:rsidP="007A5985">
      <w:pPr>
        <w:pStyle w:val="ParaNoNdepar-AltN"/>
        <w:rPr>
          <w:rFonts w:cs="Times New Roman"/>
        </w:rPr>
      </w:pPr>
      <w:r w:rsidRPr="001561A8">
        <w:rPr>
          <w:rFonts w:cs="Times New Roman"/>
        </w:rPr>
        <w:t>Le fondement juridique de la condamnation personnelle qu’aurait prononcée subsidiairement la Cour supérieure contre M. Thériault si elle n’avait pas accueilli la demande principale d’Octane contre la Ville ne ressort pas clairement des motifs de son jugement. La Cour d’appel ne s’est pas prononcée à ce sujet, car, vu son rejet de l’appel de la Ville dans le dossier principal, l’appel d’Octane contre M. Thériault devenait sans objet (par. 7 et 66). Dans son mémoire, Octane ne précise pas non plus le fondement juridique qui justifierait la condamnation personnelle de M. Thériault en lieu et place de la Ville. Questionné à ce sujet lors de l’audience devant nous (transcription, p. 82-83 et 87-88), le procureur d’Octane a affirmé que ce fondement se trouve uniquement dans l’art. 2158 </w:t>
      </w:r>
      <w:r w:rsidRPr="001561A8">
        <w:rPr>
          <w:rFonts w:cs="Times New Roman"/>
          <w:i/>
        </w:rPr>
        <w:t>C.c.Q.</w:t>
      </w:r>
      <w:r w:rsidRPr="001561A8">
        <w:rPr>
          <w:rFonts w:cs="Times New Roman"/>
        </w:rPr>
        <w:t> :</w:t>
      </w:r>
    </w:p>
    <w:p w:rsidR="007A5985" w:rsidRPr="001561A8" w:rsidRDefault="007A5985" w:rsidP="007A5985">
      <w:pPr>
        <w:pStyle w:val="Citation-AltC"/>
        <w:ind w:firstLine="274"/>
        <w:rPr>
          <w:rStyle w:val="texte-courant1"/>
          <w:szCs w:val="24"/>
          <w:lang w:val="fr-FR"/>
        </w:rPr>
      </w:pPr>
      <w:r w:rsidRPr="001561A8">
        <w:rPr>
          <w:rStyle w:val="texte-courant1"/>
          <w:szCs w:val="24"/>
          <w:lang w:val="fr-FR"/>
        </w:rPr>
        <w:t>Le mandataire qui outrepasse ses pouvoirs est personnellement tenu envers le tiers avec qui il contracte, à moins que le tiers n’ait eu une connaissance suffisante du mandat, ou que le mandant n’ait ratifié les actes que le mandataire a accomplis.</w:t>
      </w:r>
    </w:p>
    <w:p w:rsidR="007A5985" w:rsidRPr="001561A8" w:rsidRDefault="007A5985" w:rsidP="007A5985">
      <w:pPr>
        <w:pStyle w:val="ParaNoNdepar-AltN"/>
        <w:rPr>
          <w:rFonts w:cs="Times New Roman"/>
        </w:rPr>
      </w:pPr>
      <w:r w:rsidRPr="001561A8">
        <w:rPr>
          <w:rFonts w:cs="Times New Roman"/>
        </w:rPr>
        <w:t>Cet article s’applique lorsqu’un « mandataire [. . .] outrepasse ses pouvoirs ». Il ne résulte pas clairement de ce libellé que l’art. 2158 </w:t>
      </w:r>
      <w:r w:rsidRPr="001561A8">
        <w:rPr>
          <w:rFonts w:cs="Times New Roman"/>
          <w:i/>
        </w:rPr>
        <w:t>C.c.Q.</w:t>
      </w:r>
      <w:r w:rsidRPr="001561A8">
        <w:rPr>
          <w:rFonts w:cs="Times New Roman"/>
        </w:rPr>
        <w:t xml:space="preserve"> peut trouver application en l’absence totale de pouvoirs. Comme nous l’avons souligné plus haut, M. Thériault ne jouissait d’</w:t>
      </w:r>
      <w:r w:rsidRPr="001561A8">
        <w:rPr>
          <w:rFonts w:cs="Times New Roman"/>
          <w:i/>
        </w:rPr>
        <w:t>aucune</w:t>
      </w:r>
      <w:r w:rsidRPr="001561A8">
        <w:rPr>
          <w:rFonts w:cs="Times New Roman"/>
        </w:rPr>
        <w:t xml:space="preserve"> délégation de pouvoirs l’autorisant à contracter au nom de la Ville, puisqu’il était un employé politique, et non un fonctionnaire ou un employé municipal (C.S., par. 62-66; art. 114.7 et 477.2 </w:t>
      </w:r>
      <w:r w:rsidRPr="001561A8">
        <w:rPr>
          <w:rFonts w:cs="Times New Roman"/>
          <w:i/>
        </w:rPr>
        <w:t>L.C.V.</w:t>
      </w:r>
      <w:r w:rsidRPr="001561A8">
        <w:rPr>
          <w:rFonts w:cs="Times New Roman"/>
        </w:rPr>
        <w:t>). Certains jugements seraient néanmoins susceptibles de soutenir la thèse selon laquelle l’art. 2158 </w:t>
      </w:r>
      <w:r w:rsidRPr="001561A8">
        <w:rPr>
          <w:rFonts w:cs="Times New Roman"/>
          <w:i/>
        </w:rPr>
        <w:t>C.c.Q.</w:t>
      </w:r>
      <w:r w:rsidRPr="001561A8">
        <w:rPr>
          <w:rFonts w:cs="Times New Roman"/>
        </w:rPr>
        <w:t xml:space="preserve"> peut trouver application même en l’absence totale de pouvoirs : </w:t>
      </w:r>
      <w:r w:rsidRPr="001561A8">
        <w:rPr>
          <w:rFonts w:cs="Times New Roman"/>
          <w:i/>
        </w:rPr>
        <w:t xml:space="preserve">Puits du Québec Inc. </w:t>
      </w:r>
      <w:r w:rsidRPr="001561A8">
        <w:rPr>
          <w:rFonts w:cs="Times New Roman"/>
          <w:i/>
        </w:rPr>
        <w:lastRenderedPageBreak/>
        <w:t>c. Lajoie</w:t>
      </w:r>
      <w:r w:rsidRPr="001561A8">
        <w:rPr>
          <w:rFonts w:cs="Times New Roman"/>
        </w:rPr>
        <w:t>, [1986] J.Q. n</w:t>
      </w:r>
      <w:r w:rsidRPr="001561A8">
        <w:rPr>
          <w:rFonts w:cs="Times New Roman"/>
          <w:vertAlign w:val="superscript"/>
        </w:rPr>
        <w:t>o</w:t>
      </w:r>
      <w:r w:rsidRPr="001561A8">
        <w:rPr>
          <w:rFonts w:cs="Times New Roman"/>
        </w:rPr>
        <w:t xml:space="preserve"> 447 (QL) (C.A.); </w:t>
      </w:r>
      <w:r w:rsidRPr="001561A8">
        <w:rPr>
          <w:rFonts w:cs="Times New Roman"/>
          <w:i/>
        </w:rPr>
        <w:t>Sotramex Inc. c. Ste-Marthe-sur-le-Lac (Ville de)</w:t>
      </w:r>
      <w:r w:rsidR="006A17AD">
        <w:rPr>
          <w:rFonts w:cs="Times New Roman"/>
        </w:rPr>
        <w:t>, [1988] AZ-8802</w:t>
      </w:r>
      <w:r w:rsidRPr="001561A8">
        <w:rPr>
          <w:rFonts w:cs="Times New Roman"/>
        </w:rPr>
        <w:t xml:space="preserve">1171 (C.S.). </w:t>
      </w:r>
    </w:p>
    <w:p w:rsidR="007A5985" w:rsidRPr="001561A8" w:rsidRDefault="007A5985" w:rsidP="007A5985">
      <w:pPr>
        <w:pStyle w:val="ParaNoNdepar-AltN"/>
        <w:rPr>
          <w:rFonts w:cs="Times New Roman"/>
        </w:rPr>
      </w:pPr>
      <w:r w:rsidRPr="001561A8">
        <w:rPr>
          <w:rFonts w:cs="Times New Roman"/>
        </w:rPr>
        <w:t>Quoi qu’il en soit, l’art. 2158 </w:t>
      </w:r>
      <w:r w:rsidRPr="001561A8">
        <w:rPr>
          <w:rFonts w:cs="Times New Roman"/>
          <w:i/>
        </w:rPr>
        <w:t>C.c.Q.</w:t>
      </w:r>
      <w:r w:rsidRPr="001561A8">
        <w:rPr>
          <w:rFonts w:cs="Times New Roman"/>
        </w:rPr>
        <w:t xml:space="preserve"> ne saurait s’appliquer dans les circonstances particulières de la présente affaire, parce qu’Octane avait le fardeau de s’assurer que le contrat serait conclu selon la procédure régulière et qu’elle ne saurait « déplacer sur les épaules de [M. Thériault] le fardeau qui est le sien » (</w:t>
      </w:r>
      <w:r w:rsidRPr="001561A8">
        <w:rPr>
          <w:rFonts w:cs="Times New Roman"/>
          <w:i/>
        </w:rPr>
        <w:t>Tableaux Indicateurs International inc. c. Cité de Beauharnois</w:t>
      </w:r>
      <w:r w:rsidRPr="001561A8">
        <w:rPr>
          <w:rFonts w:cs="Times New Roman"/>
        </w:rPr>
        <w:t xml:space="preserve">, C.S. Québec, n° 13617, 11 avril 1975; </w:t>
      </w:r>
      <w:r w:rsidRPr="001561A8">
        <w:rPr>
          <w:rFonts w:cs="Times New Roman"/>
          <w:i/>
        </w:rPr>
        <w:t>2736-4694 Québec inc. c. Carleton — St-Omer (Ville de)</w:t>
      </w:r>
      <w:r w:rsidRPr="001561A8">
        <w:rPr>
          <w:rFonts w:cs="Times New Roman"/>
        </w:rPr>
        <w:t>, 2006 QCCS 4726, par. 108 (CanLII), conf. par 2007 QCCA 1789). Avec égards, il ressort des motifs du jugement de la Cour supérieure qu’elle a tenté de déplacer le fardeau d’Octane sur les épaules de M. Thériault, en particulier lorsqu’elle affirme (par. 101) que « [p]ersonne au niveau politique ou au niveau administratif n’a soulevé le drapeau rouge pour souligner qu’il devait y avoir appel d’offres sur invitations ou appel d’offres public » ou encore (par. 118) que M. Thériault « était [. . .] au courant des règles prévues à la LCV ». C’est à Octane</w:t>
      </w:r>
      <w:r w:rsidRPr="001561A8">
        <w:rPr>
          <w:rFonts w:cs="Times New Roman"/>
          <w:i/>
        </w:rPr>
        <w:t xml:space="preserve"> </w:t>
      </w:r>
      <w:r w:rsidRPr="001561A8">
        <w:rPr>
          <w:rFonts w:cs="Times New Roman"/>
        </w:rPr>
        <w:t xml:space="preserve">et non à M. Thériault qu’il incombait de s’assurer (1) que la personne avec laquelle Octane transigeait était autorisée à agir au nom de la municipalité, (2) que la Ville et ses préposés agissaient dans les limites de leurs pouvoirs, et (3) que toutes les conditions requises par la loi pour la formation ou l’adjudication du contrat étaient observées (Hétu et Duplessis, par. 9.34). </w:t>
      </w:r>
    </w:p>
    <w:p w:rsidR="007A5985" w:rsidRPr="001561A8" w:rsidRDefault="007A5985" w:rsidP="007A5985">
      <w:pPr>
        <w:pStyle w:val="ParaNoNdepar-AltN"/>
        <w:rPr>
          <w:rFonts w:cs="Times New Roman"/>
        </w:rPr>
      </w:pPr>
      <w:r w:rsidRPr="001561A8">
        <w:rPr>
          <w:rFonts w:cs="Times New Roman"/>
        </w:rPr>
        <w:t xml:space="preserve">Dans un autre ordre d’idées, le procureur d’Octane n’a pas cherché à convaincre la Cour lors de l’audience que M. Thériault aurait commis une faute engageant sa responsabilité extracontractuelle lorsqu’il a donné l’assurance à Octane </w:t>
      </w:r>
      <w:r w:rsidRPr="001561A8">
        <w:rPr>
          <w:rFonts w:cs="Times New Roman"/>
        </w:rPr>
        <w:lastRenderedPageBreak/>
        <w:t xml:space="preserve">qu’elle serait payée, assurance renouvelée le 23 mai 2007 (transcription, p. 85, 87-88 et 94). </w:t>
      </w:r>
    </w:p>
    <w:p w:rsidR="007A5985" w:rsidRDefault="007A5985" w:rsidP="007A5985">
      <w:pPr>
        <w:pStyle w:val="ParaNoNdepar-AltN"/>
        <w:rPr>
          <w:rFonts w:cs="Times New Roman"/>
        </w:rPr>
      </w:pPr>
      <w:r w:rsidRPr="001561A8">
        <w:rPr>
          <w:rFonts w:cs="Times New Roman"/>
        </w:rPr>
        <w:t xml:space="preserve">Quoi qu’il en soit, même si M. Thériault avait commis une faute à cet égard, celle-ci n’aurait pas causé le dommage subi par Octane. La Cour supérieure n’a pas précisé quand, et dans quelles circonstances, M. Thériault aurait donné à Octane l’assurance initiale qu’elle serait payée. La Cour supérieure a simplement mentionné que l’assurance avait été renouvelée le 23 mai 2007, soit avant les deux derniers versements à PGB. Dans ce contexte, il semble qu’Octane (1) ait effectué un premier versement à PGB, (2) ait contracté avec PGB et (3) ait fourni les services à la Ville avant que M. Thériault ne lui ait donné quelque « assurance » que ce soit. La causalité fait donc défaut et l’appel d’Octane doit être rejeté. </w:t>
      </w:r>
    </w:p>
    <w:p w:rsidR="007A5985" w:rsidRPr="001561A8" w:rsidRDefault="007A5985" w:rsidP="007A5985">
      <w:pPr>
        <w:pStyle w:val="Title1LevelTitre1Niveau-AltL"/>
        <w:numPr>
          <w:ilvl w:val="0"/>
          <w:numId w:val="8"/>
        </w:numPr>
        <w:rPr>
          <w:rFonts w:cs="Times New Roman"/>
          <w:lang w:val="fr-CA"/>
        </w:rPr>
      </w:pPr>
      <w:bookmarkStart w:id="15" w:name="_Toc17794470"/>
      <w:bookmarkStart w:id="16" w:name="_Toc17880128"/>
      <w:r w:rsidRPr="001561A8">
        <w:rPr>
          <w:rFonts w:cs="Times New Roman"/>
          <w:lang w:val="fr-CA"/>
        </w:rPr>
        <w:t>Conclusion</w:t>
      </w:r>
      <w:bookmarkEnd w:id="15"/>
      <w:bookmarkEnd w:id="16"/>
    </w:p>
    <w:p w:rsidR="007A5985" w:rsidRPr="001561A8" w:rsidRDefault="007A5985" w:rsidP="007A5985">
      <w:pPr>
        <w:pStyle w:val="ParaNoNdepar-AltN"/>
        <w:rPr>
          <w:rFonts w:cs="Times New Roman"/>
        </w:rPr>
      </w:pPr>
      <w:r w:rsidRPr="001561A8">
        <w:rPr>
          <w:rFonts w:cs="Times New Roman"/>
        </w:rPr>
        <w:t xml:space="preserve">Dans le dossier n° 38066, l’appel de la Ville devrait être accueilli et, dans le dossier n° 38073, l’appel d’Octane devrait être rejeté, avec dépens en faveur de la Ville, devant toutes les cours. </w:t>
      </w:r>
    </w:p>
    <w:p w:rsidR="007A5985" w:rsidRPr="005D439E" w:rsidRDefault="007A5985" w:rsidP="007A5985">
      <w:pPr>
        <w:pStyle w:val="SCCNormalDoubleSpacing"/>
        <w:spacing w:after="480"/>
        <w:rPr>
          <w:lang w:val="fr-CA"/>
        </w:rPr>
      </w:pPr>
    </w:p>
    <w:p w:rsidR="004D7D95" w:rsidRPr="005D439E" w:rsidRDefault="004D7D95" w:rsidP="00BD1DD7">
      <w:pPr>
        <w:pStyle w:val="SCCNormalDoubleSpacing"/>
        <w:spacing w:after="480"/>
        <w:rPr>
          <w:lang w:val="fr-CA"/>
        </w:rPr>
      </w:pPr>
      <w:r w:rsidRPr="005D439E">
        <w:rPr>
          <w:lang w:val="fr-CA"/>
        </w:rPr>
        <w:tab/>
      </w:r>
      <w:r w:rsidR="001C2B15" w:rsidRPr="005D439E">
        <w:rPr>
          <w:i/>
          <w:lang w:val="fr-CA"/>
        </w:rPr>
        <w:t xml:space="preserve">Pourvoi </w:t>
      </w:r>
      <w:r w:rsidR="00702B78" w:rsidRPr="005D439E">
        <w:rPr>
          <w:i/>
          <w:lang w:val="fr-CA"/>
        </w:rPr>
        <w:t>de la Ville de Montréal</w:t>
      </w:r>
      <w:r w:rsidR="001C2B15" w:rsidRPr="005D439E">
        <w:rPr>
          <w:i/>
          <w:lang w:val="fr-CA"/>
        </w:rPr>
        <w:t xml:space="preserve"> rejeté</w:t>
      </w:r>
      <w:r w:rsidR="00956195">
        <w:rPr>
          <w:i/>
          <w:lang w:val="fr-CA"/>
        </w:rPr>
        <w:t xml:space="preserve"> avec dépens</w:t>
      </w:r>
      <w:r w:rsidR="001C2B15" w:rsidRPr="005D439E">
        <w:rPr>
          <w:i/>
          <w:lang w:val="fr-CA"/>
        </w:rPr>
        <w:t xml:space="preserve">, pourvoi </w:t>
      </w:r>
      <w:r w:rsidR="00702B78" w:rsidRPr="005D439E">
        <w:rPr>
          <w:i/>
          <w:lang w:val="fr-CA"/>
        </w:rPr>
        <w:t>d’Octane Stratégie inc.</w:t>
      </w:r>
      <w:r w:rsidR="001C2B15" w:rsidRPr="005D439E">
        <w:rPr>
          <w:i/>
          <w:lang w:val="fr-CA"/>
        </w:rPr>
        <w:t xml:space="preserve"> sans objet</w:t>
      </w:r>
      <w:r w:rsidR="00956195">
        <w:rPr>
          <w:i/>
          <w:lang w:val="fr-CA"/>
        </w:rPr>
        <w:t>,</w:t>
      </w:r>
      <w:r w:rsidR="00375DF0" w:rsidRPr="005D439E">
        <w:rPr>
          <w:i/>
          <w:lang w:val="fr-CA"/>
        </w:rPr>
        <w:t xml:space="preserve"> </w:t>
      </w:r>
      <w:r w:rsidR="00956195">
        <w:rPr>
          <w:i/>
          <w:lang w:val="fr-FR"/>
        </w:rPr>
        <w:t>l</w:t>
      </w:r>
      <w:r w:rsidR="00375DF0" w:rsidRPr="005D439E">
        <w:rPr>
          <w:rStyle w:val="citationcar1"/>
          <w:iCs w:val="0"/>
          <w:color w:val="auto"/>
          <w:lang w:val="fr-FR"/>
        </w:rPr>
        <w:t>es juges</w:t>
      </w:r>
      <w:r w:rsidR="00375DF0" w:rsidRPr="005D439E">
        <w:rPr>
          <w:rStyle w:val="citationcar1"/>
          <w:i w:val="0"/>
          <w:iCs w:val="0"/>
          <w:color w:val="auto"/>
          <w:lang w:val="fr-FR"/>
        </w:rPr>
        <w:t xml:space="preserve"> </w:t>
      </w:r>
      <w:r w:rsidR="00375DF0" w:rsidRPr="005D439E">
        <w:rPr>
          <w:rStyle w:val="citationcar1"/>
          <w:i w:val="0"/>
          <w:iCs w:val="0"/>
          <w:smallCaps/>
          <w:color w:val="auto"/>
          <w:lang w:val="fr-FR"/>
        </w:rPr>
        <w:t>Moldaver</w:t>
      </w:r>
      <w:r w:rsidR="00375DF0" w:rsidRPr="005D439E">
        <w:rPr>
          <w:rStyle w:val="citationcar1"/>
          <w:iCs w:val="0"/>
          <w:color w:val="auto"/>
          <w:lang w:val="fr-FR"/>
        </w:rPr>
        <w:t>,</w:t>
      </w:r>
      <w:r w:rsidR="00375DF0" w:rsidRPr="005D439E">
        <w:rPr>
          <w:rStyle w:val="citationcar1"/>
          <w:i w:val="0"/>
          <w:iCs w:val="0"/>
          <w:color w:val="auto"/>
          <w:lang w:val="fr-FR"/>
        </w:rPr>
        <w:t xml:space="preserve"> </w:t>
      </w:r>
      <w:r w:rsidR="00375DF0" w:rsidRPr="005D439E">
        <w:rPr>
          <w:smallCaps/>
          <w:lang w:val="fr-CA"/>
        </w:rPr>
        <w:t>Côté </w:t>
      </w:r>
      <w:r w:rsidR="00375DF0" w:rsidRPr="005D439E">
        <w:rPr>
          <w:rStyle w:val="citationcar1"/>
          <w:iCs w:val="0"/>
          <w:color w:val="auto"/>
          <w:lang w:val="fr-FR"/>
        </w:rPr>
        <w:t>et</w:t>
      </w:r>
      <w:r w:rsidR="00375DF0" w:rsidRPr="005D439E">
        <w:rPr>
          <w:rStyle w:val="citationcar1"/>
          <w:i w:val="0"/>
          <w:iCs w:val="0"/>
          <w:color w:val="auto"/>
          <w:lang w:val="fr-FR"/>
        </w:rPr>
        <w:t xml:space="preserve"> </w:t>
      </w:r>
      <w:r w:rsidR="00375DF0" w:rsidRPr="005D439E">
        <w:rPr>
          <w:rStyle w:val="citationcar1"/>
          <w:i w:val="0"/>
          <w:iCs w:val="0"/>
          <w:smallCaps/>
          <w:color w:val="auto"/>
          <w:lang w:val="fr-FR"/>
        </w:rPr>
        <w:t>Brown</w:t>
      </w:r>
      <w:r w:rsidR="00375DF0" w:rsidRPr="005D439E">
        <w:rPr>
          <w:rStyle w:val="citationcar1"/>
          <w:i w:val="0"/>
          <w:color w:val="auto"/>
          <w:lang w:val="fr-FR"/>
        </w:rPr>
        <w:t xml:space="preserve"> </w:t>
      </w:r>
      <w:r w:rsidR="00375DF0" w:rsidRPr="005D439E">
        <w:rPr>
          <w:rStyle w:val="citationcar1"/>
          <w:color w:val="auto"/>
          <w:lang w:val="fr-FR"/>
        </w:rPr>
        <w:t>sont dissidents.</w:t>
      </w:r>
    </w:p>
    <w:p w:rsidR="00D6192D" w:rsidRPr="005D439E" w:rsidRDefault="00631CEF" w:rsidP="00BD1DD7">
      <w:pPr>
        <w:pStyle w:val="SCCLawFirm"/>
        <w:spacing w:after="480"/>
        <w:rPr>
          <w:lang w:val="fr-CA"/>
        </w:rPr>
      </w:pPr>
      <w:r w:rsidRPr="005D439E">
        <w:rPr>
          <w:lang w:val="fr-CA"/>
        </w:rPr>
        <w:tab/>
        <w:t>Procureurs</w:t>
      </w:r>
      <w:r w:rsidR="00E5093D" w:rsidRPr="005D439E">
        <w:rPr>
          <w:lang w:val="fr-CA"/>
        </w:rPr>
        <w:t xml:space="preserve"> de l</w:t>
      </w:r>
      <w:r w:rsidR="00AA02A6" w:rsidRPr="005D439E">
        <w:rPr>
          <w:lang w:val="fr-CA"/>
        </w:rPr>
        <w:t>’</w:t>
      </w:r>
      <w:r w:rsidRPr="005D439E">
        <w:rPr>
          <w:lang w:val="fr-CA"/>
        </w:rPr>
        <w:t>appelant</w:t>
      </w:r>
      <w:r w:rsidR="00E5093D" w:rsidRPr="005D439E">
        <w:rPr>
          <w:lang w:val="fr-CA"/>
        </w:rPr>
        <w:t>e</w:t>
      </w:r>
      <w:r w:rsidR="00532E50" w:rsidRPr="005D439E">
        <w:rPr>
          <w:lang w:val="fr-CA"/>
        </w:rPr>
        <w:t xml:space="preserve"> </w:t>
      </w:r>
      <w:r w:rsidR="00702B78" w:rsidRPr="005D439E">
        <w:rPr>
          <w:lang w:val="fr-CA"/>
        </w:rPr>
        <w:t xml:space="preserve">la Ville de Montréal </w:t>
      </w:r>
      <w:r w:rsidR="00DA23C0" w:rsidRPr="005D439E">
        <w:rPr>
          <w:lang w:val="fr-CA"/>
        </w:rPr>
        <w:t>(38066) et des intimés</w:t>
      </w:r>
      <w:r w:rsidR="00702B78" w:rsidRPr="005D439E">
        <w:rPr>
          <w:lang w:val="fr-CA"/>
        </w:rPr>
        <w:t xml:space="preserve"> Richard Thériault et Ville de Montréal</w:t>
      </w:r>
      <w:r w:rsidR="00DA23C0" w:rsidRPr="005D439E">
        <w:rPr>
          <w:lang w:val="fr-CA"/>
        </w:rPr>
        <w:t xml:space="preserve"> (38073)</w:t>
      </w:r>
      <w:r w:rsidR="00BD1DD7" w:rsidRPr="005D439E">
        <w:rPr>
          <w:lang w:val="fr-CA"/>
        </w:rPr>
        <w:t> </w:t>
      </w:r>
      <w:r w:rsidR="00345090" w:rsidRPr="005D439E">
        <w:rPr>
          <w:lang w:val="fr-CA"/>
        </w:rPr>
        <w:t>: </w:t>
      </w:r>
      <w:r w:rsidR="00E5093D" w:rsidRPr="005D439E">
        <w:rPr>
          <w:lang w:val="fr-CA"/>
        </w:rPr>
        <w:t>Gagnier Guay Biron, Montréal.</w:t>
      </w:r>
    </w:p>
    <w:p w:rsidR="00D6192D" w:rsidRPr="005D439E" w:rsidRDefault="00E5093D" w:rsidP="00165845">
      <w:pPr>
        <w:pStyle w:val="SCCLawFirm"/>
        <w:spacing w:after="480"/>
        <w:rPr>
          <w:lang w:val="fr-CA"/>
        </w:rPr>
      </w:pPr>
      <w:r w:rsidRPr="005D439E">
        <w:rPr>
          <w:i w:val="0"/>
          <w:lang w:val="fr-CA"/>
        </w:rPr>
        <w:lastRenderedPageBreak/>
        <w:tab/>
      </w:r>
      <w:r w:rsidR="00DA23C0" w:rsidRPr="005D439E">
        <w:rPr>
          <w:lang w:val="fr-CA"/>
        </w:rPr>
        <w:t>Procureurs</w:t>
      </w:r>
      <w:r w:rsidRPr="005D439E">
        <w:rPr>
          <w:lang w:val="fr-CA"/>
        </w:rPr>
        <w:t xml:space="preserve"> de </w:t>
      </w:r>
      <w:r w:rsidR="00E260A7" w:rsidRPr="005D439E">
        <w:rPr>
          <w:rStyle w:val="SCCCounselPartyRoleChar"/>
          <w:lang w:val="fr-CA"/>
        </w:rPr>
        <w:t>l’intimée (38066)/appelante (38073)</w:t>
      </w:r>
      <w:r w:rsidR="00702B78" w:rsidRPr="005D439E">
        <w:rPr>
          <w:rStyle w:val="SCCCounselPartyRoleChar"/>
          <w:lang w:val="fr-CA"/>
        </w:rPr>
        <w:t xml:space="preserve"> Octane Stratégie inc.</w:t>
      </w:r>
      <w:r w:rsidR="00345090" w:rsidRPr="005D439E">
        <w:rPr>
          <w:lang w:val="fr-CA"/>
        </w:rPr>
        <w:t>: </w:t>
      </w:r>
      <w:r w:rsidR="00DA23C0" w:rsidRPr="005D439E">
        <w:rPr>
          <w:lang w:val="fr-CA"/>
        </w:rPr>
        <w:t>GWBR</w:t>
      </w:r>
      <w:r w:rsidRPr="005D439E">
        <w:rPr>
          <w:lang w:val="fr-CA"/>
        </w:rPr>
        <w:t>, Westmount.</w:t>
      </w:r>
    </w:p>
    <w:p w:rsidR="00D6192D" w:rsidRPr="005D439E" w:rsidRDefault="00DA23C0" w:rsidP="00BD1DD7">
      <w:pPr>
        <w:pStyle w:val="SCCLawFirm"/>
        <w:spacing w:after="480"/>
        <w:rPr>
          <w:lang w:val="fr-CA"/>
        </w:rPr>
      </w:pPr>
      <w:r w:rsidRPr="005D439E">
        <w:rPr>
          <w:lang w:val="fr-CA"/>
        </w:rPr>
        <w:tab/>
        <w:t>Procureurs</w:t>
      </w:r>
      <w:r w:rsidR="00E5093D" w:rsidRPr="005D439E">
        <w:rPr>
          <w:lang w:val="fr-CA"/>
        </w:rPr>
        <w:t xml:space="preserve"> de l</w:t>
      </w:r>
      <w:r w:rsidR="00AA02A6" w:rsidRPr="005D439E">
        <w:rPr>
          <w:lang w:val="fr-CA"/>
        </w:rPr>
        <w:t>’</w:t>
      </w:r>
      <w:r w:rsidRPr="005D439E">
        <w:rPr>
          <w:lang w:val="fr-CA"/>
        </w:rPr>
        <w:t>intervenante</w:t>
      </w:r>
      <w:r w:rsidR="00E5093D" w:rsidRPr="005D439E">
        <w:rPr>
          <w:lang w:val="fr-CA"/>
        </w:rPr>
        <w:t xml:space="preserve"> </w:t>
      </w:r>
      <w:r w:rsidRPr="005D439E">
        <w:rPr>
          <w:lang w:val="fr-CA"/>
        </w:rPr>
        <w:t>l’</w:t>
      </w:r>
      <w:r w:rsidR="00E5093D" w:rsidRPr="005D439E">
        <w:rPr>
          <w:lang w:val="fr-CA"/>
        </w:rPr>
        <w:t>Union des municipalités du Q</w:t>
      </w:r>
      <w:r w:rsidRPr="005D439E">
        <w:rPr>
          <w:lang w:val="fr-CA"/>
        </w:rPr>
        <w:t>uébec</w:t>
      </w:r>
      <w:r w:rsidR="00FD4437" w:rsidRPr="005D439E">
        <w:rPr>
          <w:lang w:val="fr-CA"/>
        </w:rPr>
        <w:t xml:space="preserve"> (38066)</w:t>
      </w:r>
      <w:r w:rsidR="00BD1DD7" w:rsidRPr="005D439E">
        <w:rPr>
          <w:lang w:val="fr-CA"/>
        </w:rPr>
        <w:t> </w:t>
      </w:r>
      <w:r w:rsidR="00345090" w:rsidRPr="005D439E">
        <w:rPr>
          <w:lang w:val="fr-CA"/>
        </w:rPr>
        <w:t>: </w:t>
      </w:r>
      <w:r w:rsidRPr="005D439E">
        <w:rPr>
          <w:lang w:val="fr-CA"/>
        </w:rPr>
        <w:t>Langlois avocats</w:t>
      </w:r>
      <w:r w:rsidR="00E5093D" w:rsidRPr="005D439E">
        <w:rPr>
          <w:lang w:val="fr-CA"/>
        </w:rPr>
        <w:t>, Québec.</w:t>
      </w:r>
    </w:p>
    <w:p w:rsidR="00D6192D" w:rsidRPr="005D439E" w:rsidRDefault="00B05223">
      <w:pPr>
        <w:pStyle w:val="SCCLawFirm"/>
        <w:rPr>
          <w:lang w:val="fr-CA"/>
        </w:rPr>
      </w:pPr>
      <w:r w:rsidRPr="005D439E">
        <w:rPr>
          <w:lang w:val="fr-CA"/>
        </w:rPr>
        <w:tab/>
        <w:t>Procureur</w:t>
      </w:r>
      <w:r w:rsidR="00E5093D" w:rsidRPr="005D439E">
        <w:rPr>
          <w:lang w:val="fr-CA"/>
        </w:rPr>
        <w:t xml:space="preserve"> de l</w:t>
      </w:r>
      <w:r w:rsidR="00AA02A6" w:rsidRPr="005D439E">
        <w:rPr>
          <w:lang w:val="fr-CA"/>
        </w:rPr>
        <w:t>’</w:t>
      </w:r>
      <w:r w:rsidRPr="005D439E">
        <w:rPr>
          <w:lang w:val="fr-CA"/>
        </w:rPr>
        <w:t>intervenante</w:t>
      </w:r>
      <w:r w:rsidR="00E5093D" w:rsidRPr="005D439E">
        <w:rPr>
          <w:lang w:val="fr-CA"/>
        </w:rPr>
        <w:t xml:space="preserve"> </w:t>
      </w:r>
      <w:r w:rsidRPr="005D439E">
        <w:rPr>
          <w:lang w:val="fr-CA"/>
        </w:rPr>
        <w:t xml:space="preserve">la </w:t>
      </w:r>
      <w:r w:rsidR="00E5093D" w:rsidRPr="005D439E">
        <w:rPr>
          <w:lang w:val="fr-CA"/>
        </w:rPr>
        <w:t>Ville de Laval</w:t>
      </w:r>
      <w:r w:rsidR="00FD4437" w:rsidRPr="005D439E">
        <w:rPr>
          <w:lang w:val="fr-CA"/>
        </w:rPr>
        <w:t xml:space="preserve"> (38066)</w:t>
      </w:r>
      <w:r w:rsidR="00BD1DD7" w:rsidRPr="005D439E">
        <w:rPr>
          <w:lang w:val="fr-CA"/>
        </w:rPr>
        <w:t> </w:t>
      </w:r>
      <w:r w:rsidR="00345090" w:rsidRPr="005D439E">
        <w:rPr>
          <w:lang w:val="fr-CA"/>
        </w:rPr>
        <w:t>: </w:t>
      </w:r>
      <w:r w:rsidRPr="005D439E">
        <w:rPr>
          <w:lang w:val="fr-CA"/>
        </w:rPr>
        <w:t>Ville de Laval</w:t>
      </w:r>
      <w:r w:rsidR="00E5093D" w:rsidRPr="005D439E">
        <w:rPr>
          <w:lang w:val="fr-CA"/>
        </w:rPr>
        <w:t>, Laval.</w:t>
      </w:r>
    </w:p>
    <w:sectPr w:rsidR="00D6192D" w:rsidRPr="005D439E"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91D" w:rsidRDefault="0012091D">
      <w:r>
        <w:separator/>
      </w:r>
    </w:p>
  </w:endnote>
  <w:endnote w:type="continuationSeparator" w:id="0">
    <w:p w:rsidR="0012091D" w:rsidRDefault="0012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91D" w:rsidRDefault="0012091D">
      <w:r>
        <w:separator/>
      </w:r>
    </w:p>
  </w:footnote>
  <w:footnote w:type="continuationSeparator" w:id="0">
    <w:p w:rsidR="0012091D" w:rsidRDefault="0012091D">
      <w:r>
        <w:continuationSeparator/>
      </w:r>
    </w:p>
  </w:footnote>
  <w:footnote w:id="1">
    <w:p w:rsidR="007A5985" w:rsidRPr="006E5704" w:rsidRDefault="007A5985" w:rsidP="00096826">
      <w:pPr>
        <w:pStyle w:val="FootnoteText"/>
        <w:ind w:left="180" w:hanging="180"/>
        <w:rPr>
          <w:lang w:val="fr-CA"/>
        </w:rPr>
      </w:pPr>
      <w:r>
        <w:rPr>
          <w:rStyle w:val="FootnoteReference"/>
        </w:rPr>
        <w:footnoteRef/>
      </w:r>
      <w:r w:rsidRPr="00503655">
        <w:rPr>
          <w:lang w:val="fr-CA"/>
        </w:rPr>
        <w:t xml:space="preserve"> </w:t>
      </w:r>
      <w:r w:rsidR="00096826">
        <w:rPr>
          <w:lang w:val="fr-CA"/>
        </w:rPr>
        <w:tab/>
      </w:r>
      <w:r>
        <w:rPr>
          <w:lang w:val="fr-CA"/>
        </w:rPr>
        <w:t xml:space="preserve">Depuis la sanction le 19 avril 2018 du projet de loi n°155 intitulé </w:t>
      </w:r>
      <w:r w:rsidRPr="001568E3">
        <w:rPr>
          <w:i/>
          <w:lang w:val="fr-CA"/>
        </w:rPr>
        <w:t xml:space="preserve">Loi </w:t>
      </w:r>
      <w:r w:rsidR="003E35D2">
        <w:rPr>
          <w:i/>
          <w:lang w:val="fr-CA"/>
        </w:rPr>
        <w:t xml:space="preserve">modifiant diverses dispositions </w:t>
      </w:r>
      <w:r w:rsidRPr="001568E3">
        <w:rPr>
          <w:i/>
          <w:lang w:val="fr-CA"/>
        </w:rPr>
        <w:t>législatives concernant le domaine municipal et la Société d’habitation du Québec</w:t>
      </w:r>
      <w:r>
        <w:rPr>
          <w:lang w:val="fr-CA"/>
        </w:rPr>
        <w:t xml:space="preserve">, L.Q. 2018, c. 8, le seuil de 100 000 $ est maintenant augmenté par règlement du ministre et a été fixé en 2018 à 101 100 $ : voir, à ce sujet, </w:t>
      </w:r>
      <w:r w:rsidRPr="004821F1">
        <w:rPr>
          <w:lang w:val="fr-CA"/>
        </w:rPr>
        <w:t>J.</w:t>
      </w:r>
      <w:r>
        <w:rPr>
          <w:lang w:val="fr-CA"/>
        </w:rPr>
        <w:t> Hétu et Y. </w:t>
      </w:r>
      <w:r w:rsidRPr="004821F1">
        <w:rPr>
          <w:lang w:val="fr-CA"/>
        </w:rPr>
        <w:t>Duplessis,</w:t>
      </w:r>
      <w:r>
        <w:rPr>
          <w:lang w:val="fr-CA"/>
        </w:rPr>
        <w:t xml:space="preserve"> par. 9.53. </w:t>
      </w:r>
    </w:p>
  </w:footnote>
  <w:footnote w:id="2">
    <w:p w:rsidR="007A5985" w:rsidRPr="00A9632D" w:rsidRDefault="007A5985" w:rsidP="00E73D5D">
      <w:pPr>
        <w:pStyle w:val="FootnoteText"/>
        <w:tabs>
          <w:tab w:val="clear" w:pos="180"/>
          <w:tab w:val="left" w:pos="0"/>
        </w:tabs>
        <w:ind w:left="0" w:firstLine="0"/>
        <w:rPr>
          <w:lang w:val="fr-CA"/>
        </w:rPr>
      </w:pPr>
      <w:r>
        <w:rPr>
          <w:rStyle w:val="FootnoteReference"/>
        </w:rPr>
        <w:footnoteRef/>
      </w:r>
      <w:r w:rsidRPr="00A9632D">
        <w:rPr>
          <w:lang w:val="fr-CA"/>
        </w:rPr>
        <w:t xml:space="preserve"> </w:t>
      </w:r>
      <w:r>
        <w:rPr>
          <w:lang w:val="fr-CA"/>
        </w:rPr>
        <w:t>Toute altération de la volonté du payeur est assimilée à une erreur. Aussi l’art. 1491 </w:t>
      </w:r>
      <w:r w:rsidRPr="00A9632D">
        <w:rPr>
          <w:i/>
          <w:lang w:val="fr-CA"/>
        </w:rPr>
        <w:t>C.c.Q.</w:t>
      </w:r>
      <w:r>
        <w:rPr>
          <w:lang w:val="fr-CA"/>
        </w:rPr>
        <w:t xml:space="preserve"> précise-t-il que le payeur</w:t>
      </w:r>
      <w:r w:rsidRPr="00A9632D">
        <w:rPr>
          <w:i/>
          <w:lang w:val="fr-CA"/>
        </w:rPr>
        <w:t xml:space="preserve"> </w:t>
      </w:r>
      <w:r>
        <w:rPr>
          <w:lang w:val="fr-CA"/>
        </w:rPr>
        <w:t xml:space="preserve">qui, sachant qu’il ne doit rien, paie simplement pour éviter un préjudice, en protestant qu’il ne doit rien, peut exercer l’action en répétition de l’indu. </w:t>
      </w:r>
    </w:p>
  </w:footnote>
  <w:footnote w:id="3">
    <w:p w:rsidR="007A5985" w:rsidRPr="001C4035" w:rsidRDefault="007A5985" w:rsidP="007A5985">
      <w:pPr>
        <w:pStyle w:val="FootnoteText"/>
        <w:rPr>
          <w:lang w:val="fr-CA"/>
        </w:rPr>
      </w:pPr>
      <w:r>
        <w:rPr>
          <w:rStyle w:val="FootnoteReference"/>
        </w:rPr>
        <w:footnoteRef/>
      </w:r>
      <w:r>
        <w:rPr>
          <w:lang w:val="fr-CA"/>
        </w:rPr>
        <w:t>Écart d’un cent entre le montant réclamé et l’entente.</w:t>
      </w:r>
    </w:p>
  </w:footnote>
  <w:footnote w:id="4">
    <w:p w:rsidR="007A5985" w:rsidRPr="00081D12" w:rsidRDefault="007A5985" w:rsidP="000444FE">
      <w:pPr>
        <w:pStyle w:val="FootnoteText"/>
        <w:ind w:left="180" w:hanging="270"/>
        <w:rPr>
          <w:lang w:val="fr-CA"/>
        </w:rPr>
      </w:pPr>
      <w:r>
        <w:rPr>
          <w:rStyle w:val="FootnoteReference"/>
        </w:rPr>
        <w:footnoteRef/>
      </w:r>
      <w:r w:rsidRPr="00081D12">
        <w:rPr>
          <w:lang w:val="fr-CA"/>
        </w:rPr>
        <w:t xml:space="preserve"> </w:t>
      </w:r>
      <w:r w:rsidR="000444FE">
        <w:rPr>
          <w:lang w:val="fr-CA"/>
        </w:rPr>
        <w:tab/>
      </w:r>
      <w:r>
        <w:rPr>
          <w:lang w:val="fr-CA"/>
        </w:rPr>
        <w:t>La Cour supérieure a d’ailleurs conclu que le mandat en matière de services-conseils se distinguait du mandat relatif à la production du spectacle organisé par PGB lors du lancement du Plan de transport de la Ville (par. 70-85).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6423B"/>
    <w:multiLevelType w:val="hybridMultilevel"/>
    <w:tmpl w:val="3E52403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7C52E94"/>
    <w:multiLevelType w:val="hybridMultilevel"/>
    <w:tmpl w:val="2940FB6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A6D2CD2"/>
    <w:multiLevelType w:val="hybridMultilevel"/>
    <w:tmpl w:val="086A3602"/>
    <w:lvl w:ilvl="0" w:tplc="5B460206">
      <w:numFmt w:val="bullet"/>
      <w:lvlText w:val="-"/>
      <w:lvlJc w:val="left"/>
      <w:pPr>
        <w:ind w:left="1526" w:hanging="360"/>
      </w:pPr>
      <w:rPr>
        <w:rFonts w:ascii="Times New Roman" w:eastAsia="Times New Roman" w:hAnsi="Times New Roman"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6824E8"/>
    <w:multiLevelType w:val="hybridMultilevel"/>
    <w:tmpl w:val="474EE56C"/>
    <w:lvl w:ilvl="0" w:tplc="0C0C0001">
      <w:start w:val="1"/>
      <w:numFmt w:val="bullet"/>
      <w:lvlText w:val=""/>
      <w:lvlJc w:val="left"/>
      <w:pPr>
        <w:ind w:left="1886" w:hanging="360"/>
      </w:pPr>
      <w:rPr>
        <w:rFonts w:ascii="Symbol" w:hAnsi="Symbol" w:hint="default"/>
      </w:rPr>
    </w:lvl>
    <w:lvl w:ilvl="1" w:tplc="0C0C0003" w:tentative="1">
      <w:start w:val="1"/>
      <w:numFmt w:val="bullet"/>
      <w:lvlText w:val="o"/>
      <w:lvlJc w:val="left"/>
      <w:pPr>
        <w:ind w:left="2606" w:hanging="360"/>
      </w:pPr>
      <w:rPr>
        <w:rFonts w:ascii="Courier New" w:hAnsi="Courier New" w:cs="Courier New" w:hint="default"/>
      </w:rPr>
    </w:lvl>
    <w:lvl w:ilvl="2" w:tplc="0C0C0005" w:tentative="1">
      <w:start w:val="1"/>
      <w:numFmt w:val="bullet"/>
      <w:lvlText w:val=""/>
      <w:lvlJc w:val="left"/>
      <w:pPr>
        <w:ind w:left="3326" w:hanging="360"/>
      </w:pPr>
      <w:rPr>
        <w:rFonts w:ascii="Wingdings" w:hAnsi="Wingdings" w:hint="default"/>
      </w:rPr>
    </w:lvl>
    <w:lvl w:ilvl="3" w:tplc="0C0C0001" w:tentative="1">
      <w:start w:val="1"/>
      <w:numFmt w:val="bullet"/>
      <w:lvlText w:val=""/>
      <w:lvlJc w:val="left"/>
      <w:pPr>
        <w:ind w:left="4046" w:hanging="360"/>
      </w:pPr>
      <w:rPr>
        <w:rFonts w:ascii="Symbol" w:hAnsi="Symbol" w:hint="default"/>
      </w:rPr>
    </w:lvl>
    <w:lvl w:ilvl="4" w:tplc="0C0C0003" w:tentative="1">
      <w:start w:val="1"/>
      <w:numFmt w:val="bullet"/>
      <w:lvlText w:val="o"/>
      <w:lvlJc w:val="left"/>
      <w:pPr>
        <w:ind w:left="4766" w:hanging="360"/>
      </w:pPr>
      <w:rPr>
        <w:rFonts w:ascii="Courier New" w:hAnsi="Courier New" w:cs="Courier New" w:hint="default"/>
      </w:rPr>
    </w:lvl>
    <w:lvl w:ilvl="5" w:tplc="0C0C0005" w:tentative="1">
      <w:start w:val="1"/>
      <w:numFmt w:val="bullet"/>
      <w:lvlText w:val=""/>
      <w:lvlJc w:val="left"/>
      <w:pPr>
        <w:ind w:left="5486" w:hanging="360"/>
      </w:pPr>
      <w:rPr>
        <w:rFonts w:ascii="Wingdings" w:hAnsi="Wingdings" w:hint="default"/>
      </w:rPr>
    </w:lvl>
    <w:lvl w:ilvl="6" w:tplc="0C0C0001" w:tentative="1">
      <w:start w:val="1"/>
      <w:numFmt w:val="bullet"/>
      <w:lvlText w:val=""/>
      <w:lvlJc w:val="left"/>
      <w:pPr>
        <w:ind w:left="6206" w:hanging="360"/>
      </w:pPr>
      <w:rPr>
        <w:rFonts w:ascii="Symbol" w:hAnsi="Symbol" w:hint="default"/>
      </w:rPr>
    </w:lvl>
    <w:lvl w:ilvl="7" w:tplc="0C0C0003" w:tentative="1">
      <w:start w:val="1"/>
      <w:numFmt w:val="bullet"/>
      <w:lvlText w:val="o"/>
      <w:lvlJc w:val="left"/>
      <w:pPr>
        <w:ind w:left="6926" w:hanging="360"/>
      </w:pPr>
      <w:rPr>
        <w:rFonts w:ascii="Courier New" w:hAnsi="Courier New" w:cs="Courier New" w:hint="default"/>
      </w:rPr>
    </w:lvl>
    <w:lvl w:ilvl="8" w:tplc="0C0C0005" w:tentative="1">
      <w:start w:val="1"/>
      <w:numFmt w:val="bullet"/>
      <w:lvlText w:val=""/>
      <w:lvlJc w:val="left"/>
      <w:pPr>
        <w:ind w:left="7646" w:hanging="360"/>
      </w:pPr>
      <w:rPr>
        <w:rFonts w:ascii="Wingdings" w:hAnsi="Wingdings" w:hint="default"/>
      </w:rPr>
    </w:lvl>
  </w:abstractNum>
  <w:abstractNum w:abstractNumId="5"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FDA3335"/>
    <w:multiLevelType w:val="hybridMultilevel"/>
    <w:tmpl w:val="5504EE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49100EF"/>
    <w:multiLevelType w:val="hybridMultilevel"/>
    <w:tmpl w:val="24BA62AC"/>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8" w15:restartNumberingAfterBreak="0">
    <w:nsid w:val="37E03FD3"/>
    <w:multiLevelType w:val="hybridMultilevel"/>
    <w:tmpl w:val="014893B0"/>
    <w:lvl w:ilvl="0" w:tplc="574A1D8C">
      <w:start w:val="3"/>
      <w:numFmt w:val="bullet"/>
      <w:lvlText w:val="–"/>
      <w:lvlJc w:val="left"/>
      <w:pPr>
        <w:ind w:left="1526" w:hanging="360"/>
      </w:pPr>
      <w:rPr>
        <w:rFonts w:ascii="Times New Roman" w:eastAsia="Times New Roman" w:hAnsi="Times New Roman" w:cs="Times New Roman" w:hint="default"/>
        <w:u w:val="none"/>
      </w:rPr>
    </w:lvl>
    <w:lvl w:ilvl="1" w:tplc="10090003" w:tentative="1">
      <w:start w:val="1"/>
      <w:numFmt w:val="bullet"/>
      <w:lvlText w:val="o"/>
      <w:lvlJc w:val="left"/>
      <w:pPr>
        <w:ind w:left="2246" w:hanging="360"/>
      </w:pPr>
      <w:rPr>
        <w:rFonts w:ascii="Courier New" w:hAnsi="Courier New" w:cs="Courier New" w:hint="default"/>
      </w:rPr>
    </w:lvl>
    <w:lvl w:ilvl="2" w:tplc="10090005" w:tentative="1">
      <w:start w:val="1"/>
      <w:numFmt w:val="bullet"/>
      <w:lvlText w:val=""/>
      <w:lvlJc w:val="left"/>
      <w:pPr>
        <w:ind w:left="2966" w:hanging="360"/>
      </w:pPr>
      <w:rPr>
        <w:rFonts w:ascii="Wingdings" w:hAnsi="Wingdings" w:hint="default"/>
      </w:rPr>
    </w:lvl>
    <w:lvl w:ilvl="3" w:tplc="10090001" w:tentative="1">
      <w:start w:val="1"/>
      <w:numFmt w:val="bullet"/>
      <w:lvlText w:val=""/>
      <w:lvlJc w:val="left"/>
      <w:pPr>
        <w:ind w:left="3686" w:hanging="360"/>
      </w:pPr>
      <w:rPr>
        <w:rFonts w:ascii="Symbol" w:hAnsi="Symbol" w:hint="default"/>
      </w:rPr>
    </w:lvl>
    <w:lvl w:ilvl="4" w:tplc="10090003" w:tentative="1">
      <w:start w:val="1"/>
      <w:numFmt w:val="bullet"/>
      <w:lvlText w:val="o"/>
      <w:lvlJc w:val="left"/>
      <w:pPr>
        <w:ind w:left="4406" w:hanging="360"/>
      </w:pPr>
      <w:rPr>
        <w:rFonts w:ascii="Courier New" w:hAnsi="Courier New" w:cs="Courier New" w:hint="default"/>
      </w:rPr>
    </w:lvl>
    <w:lvl w:ilvl="5" w:tplc="10090005" w:tentative="1">
      <w:start w:val="1"/>
      <w:numFmt w:val="bullet"/>
      <w:lvlText w:val=""/>
      <w:lvlJc w:val="left"/>
      <w:pPr>
        <w:ind w:left="5126" w:hanging="360"/>
      </w:pPr>
      <w:rPr>
        <w:rFonts w:ascii="Wingdings" w:hAnsi="Wingdings" w:hint="default"/>
      </w:rPr>
    </w:lvl>
    <w:lvl w:ilvl="6" w:tplc="10090001" w:tentative="1">
      <w:start w:val="1"/>
      <w:numFmt w:val="bullet"/>
      <w:lvlText w:val=""/>
      <w:lvlJc w:val="left"/>
      <w:pPr>
        <w:ind w:left="5846" w:hanging="360"/>
      </w:pPr>
      <w:rPr>
        <w:rFonts w:ascii="Symbol" w:hAnsi="Symbol" w:hint="default"/>
      </w:rPr>
    </w:lvl>
    <w:lvl w:ilvl="7" w:tplc="10090003" w:tentative="1">
      <w:start w:val="1"/>
      <w:numFmt w:val="bullet"/>
      <w:lvlText w:val="o"/>
      <w:lvlJc w:val="left"/>
      <w:pPr>
        <w:ind w:left="6566" w:hanging="360"/>
      </w:pPr>
      <w:rPr>
        <w:rFonts w:ascii="Courier New" w:hAnsi="Courier New" w:cs="Courier New" w:hint="default"/>
      </w:rPr>
    </w:lvl>
    <w:lvl w:ilvl="8" w:tplc="10090005" w:tentative="1">
      <w:start w:val="1"/>
      <w:numFmt w:val="bullet"/>
      <w:lvlText w:val=""/>
      <w:lvlJc w:val="left"/>
      <w:pPr>
        <w:ind w:left="7286" w:hanging="360"/>
      </w:pPr>
      <w:rPr>
        <w:rFonts w:ascii="Wingdings" w:hAnsi="Wingdings" w:hint="default"/>
      </w:rPr>
    </w:lvl>
  </w:abstractNum>
  <w:abstractNum w:abstractNumId="9" w15:restartNumberingAfterBreak="0">
    <w:nsid w:val="442B6811"/>
    <w:multiLevelType w:val="hybridMultilevel"/>
    <w:tmpl w:val="C25CCBA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1" w15:restartNumberingAfterBreak="0">
    <w:nsid w:val="4AD47DF0"/>
    <w:multiLevelType w:val="hybridMultilevel"/>
    <w:tmpl w:val="8CF40D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3" w15:restartNumberingAfterBreak="0">
    <w:nsid w:val="4CBA4E8C"/>
    <w:multiLevelType w:val="hybridMultilevel"/>
    <w:tmpl w:val="154A336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2CC1537"/>
    <w:multiLevelType w:val="hybridMultilevel"/>
    <w:tmpl w:val="468844C6"/>
    <w:lvl w:ilvl="0" w:tplc="0C0C0001">
      <w:start w:val="1"/>
      <w:numFmt w:val="bullet"/>
      <w:lvlText w:val=""/>
      <w:lvlJc w:val="left"/>
      <w:pPr>
        <w:ind w:left="1886" w:hanging="360"/>
      </w:pPr>
      <w:rPr>
        <w:rFonts w:ascii="Symbol" w:hAnsi="Symbol" w:hint="default"/>
      </w:rPr>
    </w:lvl>
    <w:lvl w:ilvl="1" w:tplc="0C0C0003" w:tentative="1">
      <w:start w:val="1"/>
      <w:numFmt w:val="bullet"/>
      <w:lvlText w:val="o"/>
      <w:lvlJc w:val="left"/>
      <w:pPr>
        <w:ind w:left="2606" w:hanging="360"/>
      </w:pPr>
      <w:rPr>
        <w:rFonts w:ascii="Courier New" w:hAnsi="Courier New" w:cs="Courier New" w:hint="default"/>
      </w:rPr>
    </w:lvl>
    <w:lvl w:ilvl="2" w:tplc="0C0C0005" w:tentative="1">
      <w:start w:val="1"/>
      <w:numFmt w:val="bullet"/>
      <w:lvlText w:val=""/>
      <w:lvlJc w:val="left"/>
      <w:pPr>
        <w:ind w:left="3326" w:hanging="360"/>
      </w:pPr>
      <w:rPr>
        <w:rFonts w:ascii="Wingdings" w:hAnsi="Wingdings" w:hint="default"/>
      </w:rPr>
    </w:lvl>
    <w:lvl w:ilvl="3" w:tplc="0C0C0001" w:tentative="1">
      <w:start w:val="1"/>
      <w:numFmt w:val="bullet"/>
      <w:lvlText w:val=""/>
      <w:lvlJc w:val="left"/>
      <w:pPr>
        <w:ind w:left="4046" w:hanging="360"/>
      </w:pPr>
      <w:rPr>
        <w:rFonts w:ascii="Symbol" w:hAnsi="Symbol" w:hint="default"/>
      </w:rPr>
    </w:lvl>
    <w:lvl w:ilvl="4" w:tplc="0C0C0003" w:tentative="1">
      <w:start w:val="1"/>
      <w:numFmt w:val="bullet"/>
      <w:lvlText w:val="o"/>
      <w:lvlJc w:val="left"/>
      <w:pPr>
        <w:ind w:left="4766" w:hanging="360"/>
      </w:pPr>
      <w:rPr>
        <w:rFonts w:ascii="Courier New" w:hAnsi="Courier New" w:cs="Courier New" w:hint="default"/>
      </w:rPr>
    </w:lvl>
    <w:lvl w:ilvl="5" w:tplc="0C0C0005" w:tentative="1">
      <w:start w:val="1"/>
      <w:numFmt w:val="bullet"/>
      <w:lvlText w:val=""/>
      <w:lvlJc w:val="left"/>
      <w:pPr>
        <w:ind w:left="5486" w:hanging="360"/>
      </w:pPr>
      <w:rPr>
        <w:rFonts w:ascii="Wingdings" w:hAnsi="Wingdings" w:hint="default"/>
      </w:rPr>
    </w:lvl>
    <w:lvl w:ilvl="6" w:tplc="0C0C0001" w:tentative="1">
      <w:start w:val="1"/>
      <w:numFmt w:val="bullet"/>
      <w:lvlText w:val=""/>
      <w:lvlJc w:val="left"/>
      <w:pPr>
        <w:ind w:left="6206" w:hanging="360"/>
      </w:pPr>
      <w:rPr>
        <w:rFonts w:ascii="Symbol" w:hAnsi="Symbol" w:hint="default"/>
      </w:rPr>
    </w:lvl>
    <w:lvl w:ilvl="7" w:tplc="0C0C0003" w:tentative="1">
      <w:start w:val="1"/>
      <w:numFmt w:val="bullet"/>
      <w:lvlText w:val="o"/>
      <w:lvlJc w:val="left"/>
      <w:pPr>
        <w:ind w:left="6926" w:hanging="360"/>
      </w:pPr>
      <w:rPr>
        <w:rFonts w:ascii="Courier New" w:hAnsi="Courier New" w:cs="Courier New" w:hint="default"/>
      </w:rPr>
    </w:lvl>
    <w:lvl w:ilvl="8" w:tplc="0C0C0005" w:tentative="1">
      <w:start w:val="1"/>
      <w:numFmt w:val="bullet"/>
      <w:lvlText w:val=""/>
      <w:lvlJc w:val="left"/>
      <w:pPr>
        <w:ind w:left="7646" w:hanging="360"/>
      </w:pPr>
      <w:rPr>
        <w:rFonts w:ascii="Wingdings" w:hAnsi="Wingdings" w:hint="default"/>
      </w:rPr>
    </w:lvl>
  </w:abstractNum>
  <w:abstractNum w:abstractNumId="16" w15:restartNumberingAfterBreak="0">
    <w:nsid w:val="54283EE8"/>
    <w:multiLevelType w:val="multilevel"/>
    <w:tmpl w:val="A7469434"/>
    <w:lvl w:ilvl="0">
      <w:start w:val="1"/>
      <w:numFmt w:val="decimal"/>
      <w:pStyle w:val="ParaNoNdepar-AltN"/>
      <w:lvlText w:val="[%1]"/>
      <w:lvlJc w:val="left"/>
      <w:pPr>
        <w:tabs>
          <w:tab w:val="num" w:pos="1512"/>
        </w:tabs>
        <w:ind w:left="360" w:firstLine="0"/>
      </w:pPr>
      <w:rPr>
        <w:rFonts w:ascii="Times New Roman" w:hAnsi="Times New Roman" w:hint="default"/>
        <w:strike w:val="0"/>
        <w:sz w:val="24"/>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BB27E98"/>
    <w:multiLevelType w:val="hybridMultilevel"/>
    <w:tmpl w:val="EBE0A5A4"/>
    <w:lvl w:ilvl="0" w:tplc="4CB884C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44798A"/>
    <w:multiLevelType w:val="hybridMultilevel"/>
    <w:tmpl w:val="F5568F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03C16FC"/>
    <w:multiLevelType w:val="hybridMultilevel"/>
    <w:tmpl w:val="1F348ADA"/>
    <w:lvl w:ilvl="0" w:tplc="5BE4D6E6">
      <w:start w:val="3"/>
      <w:numFmt w:val="bullet"/>
      <w:lvlText w:val="—"/>
      <w:lvlJc w:val="left"/>
      <w:pPr>
        <w:ind w:left="1526" w:hanging="360"/>
      </w:pPr>
      <w:rPr>
        <w:rFonts w:ascii="Times New Roman" w:eastAsia="Times New Roman" w:hAnsi="Times New Roman" w:cs="Times New Roman" w:hint="default"/>
        <w:u w:val="none"/>
      </w:rPr>
    </w:lvl>
    <w:lvl w:ilvl="1" w:tplc="10090003" w:tentative="1">
      <w:start w:val="1"/>
      <w:numFmt w:val="bullet"/>
      <w:lvlText w:val="o"/>
      <w:lvlJc w:val="left"/>
      <w:pPr>
        <w:ind w:left="2246" w:hanging="360"/>
      </w:pPr>
      <w:rPr>
        <w:rFonts w:ascii="Courier New" w:hAnsi="Courier New" w:cs="Courier New" w:hint="default"/>
      </w:rPr>
    </w:lvl>
    <w:lvl w:ilvl="2" w:tplc="10090005" w:tentative="1">
      <w:start w:val="1"/>
      <w:numFmt w:val="bullet"/>
      <w:lvlText w:val=""/>
      <w:lvlJc w:val="left"/>
      <w:pPr>
        <w:ind w:left="2966" w:hanging="360"/>
      </w:pPr>
      <w:rPr>
        <w:rFonts w:ascii="Wingdings" w:hAnsi="Wingdings" w:hint="default"/>
      </w:rPr>
    </w:lvl>
    <w:lvl w:ilvl="3" w:tplc="10090001" w:tentative="1">
      <w:start w:val="1"/>
      <w:numFmt w:val="bullet"/>
      <w:lvlText w:val=""/>
      <w:lvlJc w:val="left"/>
      <w:pPr>
        <w:ind w:left="3686" w:hanging="360"/>
      </w:pPr>
      <w:rPr>
        <w:rFonts w:ascii="Symbol" w:hAnsi="Symbol" w:hint="default"/>
      </w:rPr>
    </w:lvl>
    <w:lvl w:ilvl="4" w:tplc="10090003" w:tentative="1">
      <w:start w:val="1"/>
      <w:numFmt w:val="bullet"/>
      <w:lvlText w:val="o"/>
      <w:lvlJc w:val="left"/>
      <w:pPr>
        <w:ind w:left="4406" w:hanging="360"/>
      </w:pPr>
      <w:rPr>
        <w:rFonts w:ascii="Courier New" w:hAnsi="Courier New" w:cs="Courier New" w:hint="default"/>
      </w:rPr>
    </w:lvl>
    <w:lvl w:ilvl="5" w:tplc="10090005" w:tentative="1">
      <w:start w:val="1"/>
      <w:numFmt w:val="bullet"/>
      <w:lvlText w:val=""/>
      <w:lvlJc w:val="left"/>
      <w:pPr>
        <w:ind w:left="5126" w:hanging="360"/>
      </w:pPr>
      <w:rPr>
        <w:rFonts w:ascii="Wingdings" w:hAnsi="Wingdings" w:hint="default"/>
      </w:rPr>
    </w:lvl>
    <w:lvl w:ilvl="6" w:tplc="10090001" w:tentative="1">
      <w:start w:val="1"/>
      <w:numFmt w:val="bullet"/>
      <w:lvlText w:val=""/>
      <w:lvlJc w:val="left"/>
      <w:pPr>
        <w:ind w:left="5846" w:hanging="360"/>
      </w:pPr>
      <w:rPr>
        <w:rFonts w:ascii="Symbol" w:hAnsi="Symbol" w:hint="default"/>
      </w:rPr>
    </w:lvl>
    <w:lvl w:ilvl="7" w:tplc="10090003" w:tentative="1">
      <w:start w:val="1"/>
      <w:numFmt w:val="bullet"/>
      <w:lvlText w:val="o"/>
      <w:lvlJc w:val="left"/>
      <w:pPr>
        <w:ind w:left="6566" w:hanging="360"/>
      </w:pPr>
      <w:rPr>
        <w:rFonts w:ascii="Courier New" w:hAnsi="Courier New" w:cs="Courier New" w:hint="default"/>
      </w:rPr>
    </w:lvl>
    <w:lvl w:ilvl="8" w:tplc="10090005" w:tentative="1">
      <w:start w:val="1"/>
      <w:numFmt w:val="bullet"/>
      <w:lvlText w:val=""/>
      <w:lvlJc w:val="left"/>
      <w:pPr>
        <w:ind w:left="7286" w:hanging="360"/>
      </w:pPr>
      <w:rPr>
        <w:rFonts w:ascii="Wingdings" w:hAnsi="Wingdings" w:hint="default"/>
      </w:rPr>
    </w:lvl>
  </w:abstractNum>
  <w:abstractNum w:abstractNumId="20" w15:restartNumberingAfterBreak="0">
    <w:nsid w:val="64707423"/>
    <w:multiLevelType w:val="hybridMultilevel"/>
    <w:tmpl w:val="73C6D47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5B35474"/>
    <w:multiLevelType w:val="hybridMultilevel"/>
    <w:tmpl w:val="3BE66EA8"/>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3" w15:restartNumberingAfterBreak="0">
    <w:nsid w:val="67B43AF9"/>
    <w:multiLevelType w:val="hybridMultilevel"/>
    <w:tmpl w:val="67FA6D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9F934A9"/>
    <w:multiLevelType w:val="hybridMultilevel"/>
    <w:tmpl w:val="6C1CE0FE"/>
    <w:lvl w:ilvl="0" w:tplc="84C63F50">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E4C1AEB"/>
    <w:multiLevelType w:val="hybridMultilevel"/>
    <w:tmpl w:val="A22AA99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0B05002"/>
    <w:multiLevelType w:val="hybridMultilevel"/>
    <w:tmpl w:val="3948D7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7957467A"/>
    <w:multiLevelType w:val="hybridMultilevel"/>
    <w:tmpl w:val="D14AB65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79DE11FB"/>
    <w:multiLevelType w:val="hybridMultilevel"/>
    <w:tmpl w:val="B63CAC40"/>
    <w:lvl w:ilvl="0" w:tplc="3AF2C8C4">
      <w:numFmt w:val="bullet"/>
      <w:lvlText w:val=""/>
      <w:lvlJc w:val="left"/>
      <w:pPr>
        <w:ind w:left="720" w:hanging="360"/>
      </w:pPr>
      <w:rPr>
        <w:rFonts w:ascii="Wingdings" w:eastAsia="Times New Roman" w:hAnsi="Wingding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B9E4212"/>
    <w:multiLevelType w:val="hybridMultilevel"/>
    <w:tmpl w:val="E9FC0C98"/>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num w:numId="1">
    <w:abstractNumId w:val="16"/>
  </w:num>
  <w:num w:numId="2">
    <w:abstractNumId w:val="21"/>
  </w:num>
  <w:num w:numId="3">
    <w:abstractNumId w:val="5"/>
  </w:num>
  <w:num w:numId="4">
    <w:abstractNumId w:val="3"/>
  </w:num>
  <w:num w:numId="5">
    <w:abstractNumId w:val="12"/>
  </w:num>
  <w:num w:numId="6">
    <w:abstractNumId w:val="14"/>
  </w:num>
  <w:num w:numId="7">
    <w:abstractNumId w:val="10"/>
  </w:num>
  <w:num w:numId="8">
    <w:abstractNumId w:val="10"/>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
  </w:num>
  <w:num w:numId="10">
    <w:abstractNumId w:val="23"/>
  </w:num>
  <w:num w:numId="11">
    <w:abstractNumId w:val="6"/>
  </w:num>
  <w:num w:numId="12">
    <w:abstractNumId w:val="4"/>
  </w:num>
  <w:num w:numId="13">
    <w:abstractNumId w:val="9"/>
  </w:num>
  <w:num w:numId="14">
    <w:abstractNumId w:val="13"/>
  </w:num>
  <w:num w:numId="15">
    <w:abstractNumId w:val="25"/>
  </w:num>
  <w:num w:numId="16">
    <w:abstractNumId w:val="20"/>
  </w:num>
  <w:num w:numId="17">
    <w:abstractNumId w:val="0"/>
  </w:num>
  <w:num w:numId="18">
    <w:abstractNumId w:val="11"/>
  </w:num>
  <w:num w:numId="19">
    <w:abstractNumId w:val="27"/>
  </w:num>
  <w:num w:numId="20">
    <w:abstractNumId w:val="26"/>
  </w:num>
  <w:num w:numId="21">
    <w:abstractNumId w:val="18"/>
  </w:num>
  <w:num w:numId="22">
    <w:abstractNumId w:val="15"/>
  </w:num>
  <w:num w:numId="23">
    <w:abstractNumId w:val="10"/>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24">
    <w:abstractNumId w:val="28"/>
  </w:num>
  <w:num w:numId="25">
    <w:abstractNumId w:val="24"/>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28">
    <w:abstractNumId w:val="10"/>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29">
    <w:abstractNumId w:val="16"/>
    <w:lvlOverride w:ilvl="0">
      <w:startOverride w:val="1"/>
    </w:lvlOverride>
    <w:lvlOverride w:ilvl="1">
      <w:startOverride w:val="2"/>
    </w:lvlOverride>
  </w:num>
  <w:num w:numId="30">
    <w:abstractNumId w:val="16"/>
    <w:lvlOverride w:ilvl="0">
      <w:startOverride w:val="1"/>
    </w:lvlOverride>
    <w:lvlOverride w:ilvl="1">
      <w:startOverride w:val="2"/>
    </w:lvlOverride>
  </w:num>
  <w:num w:numId="31">
    <w:abstractNumId w:val="16"/>
    <w:lvlOverride w:ilvl="0">
      <w:startOverride w:val="1"/>
    </w:lvlOverride>
    <w:lvlOverride w:ilvl="1">
      <w:startOverride w:val="3"/>
    </w:lvlOverride>
  </w:num>
  <w:num w:numId="32">
    <w:abstractNumId w:val="17"/>
  </w:num>
  <w:num w:numId="33">
    <w:abstractNumId w:val="2"/>
  </w:num>
  <w:num w:numId="34">
    <w:abstractNumId w:val="22"/>
  </w:num>
  <w:num w:numId="35">
    <w:abstractNumId w:val="29"/>
  </w:num>
  <w:num w:numId="36">
    <w:abstractNumId w:val="7"/>
  </w:num>
  <w:num w:numId="37">
    <w:abstractNumId w:val="19"/>
  </w:num>
  <w:num w:numId="38">
    <w:abstractNumId w:val="8"/>
  </w:num>
  <w:num w:numId="39">
    <w:abstractNumId w:val="10"/>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5327"/>
    <w:rsid w:val="00020585"/>
    <w:rsid w:val="00020588"/>
    <w:rsid w:val="00023FC7"/>
    <w:rsid w:val="00025198"/>
    <w:rsid w:val="00025307"/>
    <w:rsid w:val="000265DF"/>
    <w:rsid w:val="0003046B"/>
    <w:rsid w:val="0003341A"/>
    <w:rsid w:val="0004287C"/>
    <w:rsid w:val="0004329C"/>
    <w:rsid w:val="00043B88"/>
    <w:rsid w:val="000444FE"/>
    <w:rsid w:val="000463C6"/>
    <w:rsid w:val="0005233B"/>
    <w:rsid w:val="000578A3"/>
    <w:rsid w:val="00061067"/>
    <w:rsid w:val="0006131C"/>
    <w:rsid w:val="00061AB4"/>
    <w:rsid w:val="000648CC"/>
    <w:rsid w:val="00066933"/>
    <w:rsid w:val="00067080"/>
    <w:rsid w:val="00076BF6"/>
    <w:rsid w:val="000830B8"/>
    <w:rsid w:val="00085137"/>
    <w:rsid w:val="00096826"/>
    <w:rsid w:val="000C0999"/>
    <w:rsid w:val="000C59B8"/>
    <w:rsid w:val="000C6AF0"/>
    <w:rsid w:val="000C7A35"/>
    <w:rsid w:val="000D0A77"/>
    <w:rsid w:val="000D0DB2"/>
    <w:rsid w:val="000D2FC4"/>
    <w:rsid w:val="000D535B"/>
    <w:rsid w:val="000E080B"/>
    <w:rsid w:val="000E1555"/>
    <w:rsid w:val="000E6496"/>
    <w:rsid w:val="000F7993"/>
    <w:rsid w:val="00104F33"/>
    <w:rsid w:val="00111DE2"/>
    <w:rsid w:val="0011511F"/>
    <w:rsid w:val="0011663F"/>
    <w:rsid w:val="00116B38"/>
    <w:rsid w:val="0012014C"/>
    <w:rsid w:val="0012091D"/>
    <w:rsid w:val="00126F7E"/>
    <w:rsid w:val="00134B77"/>
    <w:rsid w:val="00135406"/>
    <w:rsid w:val="00135972"/>
    <w:rsid w:val="00135E7E"/>
    <w:rsid w:val="00140175"/>
    <w:rsid w:val="00141D3E"/>
    <w:rsid w:val="001426A9"/>
    <w:rsid w:val="001458E7"/>
    <w:rsid w:val="001501FC"/>
    <w:rsid w:val="00154D7C"/>
    <w:rsid w:val="0015515B"/>
    <w:rsid w:val="00156461"/>
    <w:rsid w:val="001570B0"/>
    <w:rsid w:val="0015752C"/>
    <w:rsid w:val="00157737"/>
    <w:rsid w:val="00161844"/>
    <w:rsid w:val="00165277"/>
    <w:rsid w:val="00165845"/>
    <w:rsid w:val="00165916"/>
    <w:rsid w:val="00170592"/>
    <w:rsid w:val="001720F7"/>
    <w:rsid w:val="001735FF"/>
    <w:rsid w:val="00180C9F"/>
    <w:rsid w:val="00183A10"/>
    <w:rsid w:val="00193928"/>
    <w:rsid w:val="00195D83"/>
    <w:rsid w:val="001A00C1"/>
    <w:rsid w:val="001A2191"/>
    <w:rsid w:val="001A4EA8"/>
    <w:rsid w:val="001B33E0"/>
    <w:rsid w:val="001B3A6D"/>
    <w:rsid w:val="001B4573"/>
    <w:rsid w:val="001B708C"/>
    <w:rsid w:val="001C2B15"/>
    <w:rsid w:val="001C71AE"/>
    <w:rsid w:val="001C779F"/>
    <w:rsid w:val="001D1B0B"/>
    <w:rsid w:val="001D2AC1"/>
    <w:rsid w:val="001D4E88"/>
    <w:rsid w:val="001E7602"/>
    <w:rsid w:val="001F0D2C"/>
    <w:rsid w:val="001F4D64"/>
    <w:rsid w:val="001F4EC7"/>
    <w:rsid w:val="00210054"/>
    <w:rsid w:val="00214B7E"/>
    <w:rsid w:val="00217C95"/>
    <w:rsid w:val="00220FC2"/>
    <w:rsid w:val="002222F4"/>
    <w:rsid w:val="00222B9D"/>
    <w:rsid w:val="00224FC0"/>
    <w:rsid w:val="00225EA4"/>
    <w:rsid w:val="00226EAF"/>
    <w:rsid w:val="00230A4F"/>
    <w:rsid w:val="00231F3A"/>
    <w:rsid w:val="00231FEF"/>
    <w:rsid w:val="0023312B"/>
    <w:rsid w:val="002406EE"/>
    <w:rsid w:val="00243EC8"/>
    <w:rsid w:val="002449D3"/>
    <w:rsid w:val="00256829"/>
    <w:rsid w:val="0026334B"/>
    <w:rsid w:val="002638EE"/>
    <w:rsid w:val="00270D93"/>
    <w:rsid w:val="0027196C"/>
    <w:rsid w:val="002745CC"/>
    <w:rsid w:val="00276E5D"/>
    <w:rsid w:val="00281EF5"/>
    <w:rsid w:val="00282096"/>
    <w:rsid w:val="002951D8"/>
    <w:rsid w:val="00297517"/>
    <w:rsid w:val="002A0DFB"/>
    <w:rsid w:val="002B2351"/>
    <w:rsid w:val="002B6FBE"/>
    <w:rsid w:val="002B7254"/>
    <w:rsid w:val="002B72FB"/>
    <w:rsid w:val="002B7924"/>
    <w:rsid w:val="002C01BE"/>
    <w:rsid w:val="002C10A6"/>
    <w:rsid w:val="002C3EF6"/>
    <w:rsid w:val="002D28C3"/>
    <w:rsid w:val="002D3778"/>
    <w:rsid w:val="002D39A4"/>
    <w:rsid w:val="002E6705"/>
    <w:rsid w:val="002F0C2C"/>
    <w:rsid w:val="002F6676"/>
    <w:rsid w:val="0030329A"/>
    <w:rsid w:val="003036EB"/>
    <w:rsid w:val="0031086F"/>
    <w:rsid w:val="00310B30"/>
    <w:rsid w:val="0031414C"/>
    <w:rsid w:val="00314E01"/>
    <w:rsid w:val="0031627E"/>
    <w:rsid w:val="0032089D"/>
    <w:rsid w:val="00330A56"/>
    <w:rsid w:val="003310DE"/>
    <w:rsid w:val="003323B0"/>
    <w:rsid w:val="00340A49"/>
    <w:rsid w:val="0034447D"/>
    <w:rsid w:val="003446D4"/>
    <w:rsid w:val="00345090"/>
    <w:rsid w:val="0035169A"/>
    <w:rsid w:val="0035259D"/>
    <w:rsid w:val="0036052C"/>
    <w:rsid w:val="00364B18"/>
    <w:rsid w:val="00375DF0"/>
    <w:rsid w:val="00383D71"/>
    <w:rsid w:val="00383E89"/>
    <w:rsid w:val="00385E0D"/>
    <w:rsid w:val="0038626C"/>
    <w:rsid w:val="003941EB"/>
    <w:rsid w:val="003A125D"/>
    <w:rsid w:val="003A21F3"/>
    <w:rsid w:val="003A2524"/>
    <w:rsid w:val="003A4C70"/>
    <w:rsid w:val="003B215F"/>
    <w:rsid w:val="003B62FC"/>
    <w:rsid w:val="003C42DA"/>
    <w:rsid w:val="003C5A76"/>
    <w:rsid w:val="003C799C"/>
    <w:rsid w:val="003D0399"/>
    <w:rsid w:val="003D2551"/>
    <w:rsid w:val="003D286C"/>
    <w:rsid w:val="003D2DD0"/>
    <w:rsid w:val="003D6603"/>
    <w:rsid w:val="003E1C71"/>
    <w:rsid w:val="003E27EB"/>
    <w:rsid w:val="003E35D2"/>
    <w:rsid w:val="003E7E62"/>
    <w:rsid w:val="003F327B"/>
    <w:rsid w:val="00402192"/>
    <w:rsid w:val="00406166"/>
    <w:rsid w:val="0040704B"/>
    <w:rsid w:val="00410A55"/>
    <w:rsid w:val="00411300"/>
    <w:rsid w:val="00413F17"/>
    <w:rsid w:val="00414556"/>
    <w:rsid w:val="00415417"/>
    <w:rsid w:val="004154E1"/>
    <w:rsid w:val="00417644"/>
    <w:rsid w:val="00426659"/>
    <w:rsid w:val="00426738"/>
    <w:rsid w:val="0044131E"/>
    <w:rsid w:val="00443DEB"/>
    <w:rsid w:val="00444C2A"/>
    <w:rsid w:val="0045003F"/>
    <w:rsid w:val="00450352"/>
    <w:rsid w:val="00454BDB"/>
    <w:rsid w:val="004551C9"/>
    <w:rsid w:val="004559BA"/>
    <w:rsid w:val="00456A9C"/>
    <w:rsid w:val="00465132"/>
    <w:rsid w:val="00472AA3"/>
    <w:rsid w:val="00480C90"/>
    <w:rsid w:val="0048396F"/>
    <w:rsid w:val="00483975"/>
    <w:rsid w:val="004912E1"/>
    <w:rsid w:val="004931C9"/>
    <w:rsid w:val="00493C18"/>
    <w:rsid w:val="004A0261"/>
    <w:rsid w:val="004A600C"/>
    <w:rsid w:val="004A6118"/>
    <w:rsid w:val="004C0213"/>
    <w:rsid w:val="004C478D"/>
    <w:rsid w:val="004D7D95"/>
    <w:rsid w:val="004E2C26"/>
    <w:rsid w:val="004E3EC7"/>
    <w:rsid w:val="004E59BB"/>
    <w:rsid w:val="004E5E84"/>
    <w:rsid w:val="004E694D"/>
    <w:rsid w:val="00500E05"/>
    <w:rsid w:val="005051AB"/>
    <w:rsid w:val="0051102B"/>
    <w:rsid w:val="005125A8"/>
    <w:rsid w:val="00517549"/>
    <w:rsid w:val="005179D5"/>
    <w:rsid w:val="00520ABC"/>
    <w:rsid w:val="00521AE8"/>
    <w:rsid w:val="00525858"/>
    <w:rsid w:val="00527180"/>
    <w:rsid w:val="005274F1"/>
    <w:rsid w:val="00532E50"/>
    <w:rsid w:val="0054743C"/>
    <w:rsid w:val="00550625"/>
    <w:rsid w:val="005538CF"/>
    <w:rsid w:val="00555291"/>
    <w:rsid w:val="00562622"/>
    <w:rsid w:val="0056316A"/>
    <w:rsid w:val="005636AD"/>
    <w:rsid w:val="00563C8F"/>
    <w:rsid w:val="0056585F"/>
    <w:rsid w:val="00566AD1"/>
    <w:rsid w:val="00571446"/>
    <w:rsid w:val="00582073"/>
    <w:rsid w:val="00583EDE"/>
    <w:rsid w:val="005A29CE"/>
    <w:rsid w:val="005A2DC2"/>
    <w:rsid w:val="005A5C5A"/>
    <w:rsid w:val="005A6079"/>
    <w:rsid w:val="005B1DFE"/>
    <w:rsid w:val="005B2CE1"/>
    <w:rsid w:val="005B2FE0"/>
    <w:rsid w:val="005C02F2"/>
    <w:rsid w:val="005C2A76"/>
    <w:rsid w:val="005C3FC4"/>
    <w:rsid w:val="005C42FF"/>
    <w:rsid w:val="005D439E"/>
    <w:rsid w:val="005D52C4"/>
    <w:rsid w:val="005E0DE7"/>
    <w:rsid w:val="005E2D65"/>
    <w:rsid w:val="005E4698"/>
    <w:rsid w:val="005E7D1E"/>
    <w:rsid w:val="005F5924"/>
    <w:rsid w:val="0060027E"/>
    <w:rsid w:val="00602FAC"/>
    <w:rsid w:val="00603924"/>
    <w:rsid w:val="006045F8"/>
    <w:rsid w:val="0060500F"/>
    <w:rsid w:val="00606A25"/>
    <w:rsid w:val="00610539"/>
    <w:rsid w:val="00613969"/>
    <w:rsid w:val="006219C4"/>
    <w:rsid w:val="00625C35"/>
    <w:rsid w:val="00625DF7"/>
    <w:rsid w:val="00627609"/>
    <w:rsid w:val="0062767E"/>
    <w:rsid w:val="00631CEF"/>
    <w:rsid w:val="00632EB1"/>
    <w:rsid w:val="00637226"/>
    <w:rsid w:val="00637416"/>
    <w:rsid w:val="00647E49"/>
    <w:rsid w:val="00650F78"/>
    <w:rsid w:val="00656313"/>
    <w:rsid w:val="006565F4"/>
    <w:rsid w:val="00682A87"/>
    <w:rsid w:val="00682ECD"/>
    <w:rsid w:val="00684EEA"/>
    <w:rsid w:val="00690039"/>
    <w:rsid w:val="006916C3"/>
    <w:rsid w:val="00695E9F"/>
    <w:rsid w:val="0069689B"/>
    <w:rsid w:val="006A17AD"/>
    <w:rsid w:val="006B48FC"/>
    <w:rsid w:val="006B5FF5"/>
    <w:rsid w:val="006B7EE4"/>
    <w:rsid w:val="006C4393"/>
    <w:rsid w:val="006C51E6"/>
    <w:rsid w:val="006D6A24"/>
    <w:rsid w:val="006E4415"/>
    <w:rsid w:val="006F30AF"/>
    <w:rsid w:val="006F64F3"/>
    <w:rsid w:val="00701759"/>
    <w:rsid w:val="00702B78"/>
    <w:rsid w:val="00702E67"/>
    <w:rsid w:val="007050AF"/>
    <w:rsid w:val="00705C15"/>
    <w:rsid w:val="007110F6"/>
    <w:rsid w:val="007208D1"/>
    <w:rsid w:val="00723C40"/>
    <w:rsid w:val="00727304"/>
    <w:rsid w:val="00727FB4"/>
    <w:rsid w:val="00744518"/>
    <w:rsid w:val="00747288"/>
    <w:rsid w:val="00747DD3"/>
    <w:rsid w:val="0075321C"/>
    <w:rsid w:val="007549C8"/>
    <w:rsid w:val="00756E41"/>
    <w:rsid w:val="007613B0"/>
    <w:rsid w:val="00764836"/>
    <w:rsid w:val="00766D14"/>
    <w:rsid w:val="00767A0F"/>
    <w:rsid w:val="00767C02"/>
    <w:rsid w:val="00771D7D"/>
    <w:rsid w:val="00774C71"/>
    <w:rsid w:val="007751C2"/>
    <w:rsid w:val="00791272"/>
    <w:rsid w:val="00792987"/>
    <w:rsid w:val="0079515F"/>
    <w:rsid w:val="007A05F6"/>
    <w:rsid w:val="007A5985"/>
    <w:rsid w:val="007B5F02"/>
    <w:rsid w:val="007B6F4A"/>
    <w:rsid w:val="007C2F38"/>
    <w:rsid w:val="007D0A9A"/>
    <w:rsid w:val="007E1C47"/>
    <w:rsid w:val="007E337A"/>
    <w:rsid w:val="007E4F79"/>
    <w:rsid w:val="007E5C70"/>
    <w:rsid w:val="007F2FF5"/>
    <w:rsid w:val="007F3F08"/>
    <w:rsid w:val="007F61AA"/>
    <w:rsid w:val="00804CC6"/>
    <w:rsid w:val="00805B3B"/>
    <w:rsid w:val="00810257"/>
    <w:rsid w:val="00813ED8"/>
    <w:rsid w:val="00816EEA"/>
    <w:rsid w:val="00817190"/>
    <w:rsid w:val="008260E2"/>
    <w:rsid w:val="008322BD"/>
    <w:rsid w:val="00834F73"/>
    <w:rsid w:val="00840A8D"/>
    <w:rsid w:val="00850673"/>
    <w:rsid w:val="00854192"/>
    <w:rsid w:val="00855F8E"/>
    <w:rsid w:val="00863388"/>
    <w:rsid w:val="00864C8A"/>
    <w:rsid w:val="00864CF8"/>
    <w:rsid w:val="00867819"/>
    <w:rsid w:val="00874090"/>
    <w:rsid w:val="00874914"/>
    <w:rsid w:val="008757FB"/>
    <w:rsid w:val="008773CA"/>
    <w:rsid w:val="00884891"/>
    <w:rsid w:val="00887E26"/>
    <w:rsid w:val="008911AC"/>
    <w:rsid w:val="00891422"/>
    <w:rsid w:val="0089213A"/>
    <w:rsid w:val="00892BB0"/>
    <w:rsid w:val="00892E1A"/>
    <w:rsid w:val="008A079E"/>
    <w:rsid w:val="008A287E"/>
    <w:rsid w:val="008A3DE2"/>
    <w:rsid w:val="008A3EE9"/>
    <w:rsid w:val="008B0A27"/>
    <w:rsid w:val="008B0C3D"/>
    <w:rsid w:val="008B660A"/>
    <w:rsid w:val="008B6B64"/>
    <w:rsid w:val="008B76A5"/>
    <w:rsid w:val="008B7D10"/>
    <w:rsid w:val="008C00F6"/>
    <w:rsid w:val="008C01DA"/>
    <w:rsid w:val="008D185F"/>
    <w:rsid w:val="008E0FA7"/>
    <w:rsid w:val="008E1850"/>
    <w:rsid w:val="008E3027"/>
    <w:rsid w:val="008F25B1"/>
    <w:rsid w:val="008F2674"/>
    <w:rsid w:val="008F665B"/>
    <w:rsid w:val="008F78E9"/>
    <w:rsid w:val="00902AE8"/>
    <w:rsid w:val="00915B66"/>
    <w:rsid w:val="009179F9"/>
    <w:rsid w:val="00917C7A"/>
    <w:rsid w:val="00923DF1"/>
    <w:rsid w:val="009269E5"/>
    <w:rsid w:val="00933E5E"/>
    <w:rsid w:val="00935218"/>
    <w:rsid w:val="00937C52"/>
    <w:rsid w:val="009403F3"/>
    <w:rsid w:val="0094245E"/>
    <w:rsid w:val="009449AA"/>
    <w:rsid w:val="00944E1B"/>
    <w:rsid w:val="009555B7"/>
    <w:rsid w:val="00956195"/>
    <w:rsid w:val="009567AA"/>
    <w:rsid w:val="009602C9"/>
    <w:rsid w:val="00962A03"/>
    <w:rsid w:val="00963EC1"/>
    <w:rsid w:val="00964587"/>
    <w:rsid w:val="00967374"/>
    <w:rsid w:val="00972DF6"/>
    <w:rsid w:val="009777D9"/>
    <w:rsid w:val="009852DA"/>
    <w:rsid w:val="00997178"/>
    <w:rsid w:val="00997456"/>
    <w:rsid w:val="009A1E55"/>
    <w:rsid w:val="009A343A"/>
    <w:rsid w:val="009B09B6"/>
    <w:rsid w:val="009B2F23"/>
    <w:rsid w:val="009B48BC"/>
    <w:rsid w:val="009B57B3"/>
    <w:rsid w:val="009C1DC6"/>
    <w:rsid w:val="009C4F57"/>
    <w:rsid w:val="009D2920"/>
    <w:rsid w:val="009D5AEB"/>
    <w:rsid w:val="009D61AC"/>
    <w:rsid w:val="009E65FC"/>
    <w:rsid w:val="009E74E3"/>
    <w:rsid w:val="009E7C9B"/>
    <w:rsid w:val="009F01E7"/>
    <w:rsid w:val="009F0E33"/>
    <w:rsid w:val="00A0706E"/>
    <w:rsid w:val="00A149DF"/>
    <w:rsid w:val="00A1501D"/>
    <w:rsid w:val="00A1755C"/>
    <w:rsid w:val="00A21B90"/>
    <w:rsid w:val="00A22AAC"/>
    <w:rsid w:val="00A2392E"/>
    <w:rsid w:val="00A26352"/>
    <w:rsid w:val="00A27DE1"/>
    <w:rsid w:val="00A4005C"/>
    <w:rsid w:val="00A41805"/>
    <w:rsid w:val="00A42651"/>
    <w:rsid w:val="00A45FD6"/>
    <w:rsid w:val="00A46F2F"/>
    <w:rsid w:val="00A5184A"/>
    <w:rsid w:val="00A51882"/>
    <w:rsid w:val="00A52AFB"/>
    <w:rsid w:val="00A548CB"/>
    <w:rsid w:val="00A5521C"/>
    <w:rsid w:val="00A643E7"/>
    <w:rsid w:val="00A643E8"/>
    <w:rsid w:val="00A73C38"/>
    <w:rsid w:val="00A7791F"/>
    <w:rsid w:val="00A91030"/>
    <w:rsid w:val="00A921A7"/>
    <w:rsid w:val="00AA02A6"/>
    <w:rsid w:val="00AA1E7C"/>
    <w:rsid w:val="00AA7E8C"/>
    <w:rsid w:val="00AB4E75"/>
    <w:rsid w:val="00AB670D"/>
    <w:rsid w:val="00AC0209"/>
    <w:rsid w:val="00AC0952"/>
    <w:rsid w:val="00AC7411"/>
    <w:rsid w:val="00AD0B1A"/>
    <w:rsid w:val="00AD79C6"/>
    <w:rsid w:val="00AE5F00"/>
    <w:rsid w:val="00AE6652"/>
    <w:rsid w:val="00AF03C5"/>
    <w:rsid w:val="00AF3DBD"/>
    <w:rsid w:val="00B000D8"/>
    <w:rsid w:val="00B00F75"/>
    <w:rsid w:val="00B02798"/>
    <w:rsid w:val="00B0348A"/>
    <w:rsid w:val="00B05223"/>
    <w:rsid w:val="00B135A6"/>
    <w:rsid w:val="00B145B6"/>
    <w:rsid w:val="00B2410A"/>
    <w:rsid w:val="00B261E5"/>
    <w:rsid w:val="00B279EB"/>
    <w:rsid w:val="00B3065F"/>
    <w:rsid w:val="00B4304B"/>
    <w:rsid w:val="00B50C81"/>
    <w:rsid w:val="00B557F8"/>
    <w:rsid w:val="00B55B99"/>
    <w:rsid w:val="00B740A1"/>
    <w:rsid w:val="00B742E0"/>
    <w:rsid w:val="00B7538D"/>
    <w:rsid w:val="00B75C09"/>
    <w:rsid w:val="00B815FC"/>
    <w:rsid w:val="00B8319E"/>
    <w:rsid w:val="00B86DA9"/>
    <w:rsid w:val="00B93FBC"/>
    <w:rsid w:val="00BA579C"/>
    <w:rsid w:val="00BA7DA0"/>
    <w:rsid w:val="00BB0D9D"/>
    <w:rsid w:val="00BB2EE4"/>
    <w:rsid w:val="00BB4C92"/>
    <w:rsid w:val="00BB6A45"/>
    <w:rsid w:val="00BC1982"/>
    <w:rsid w:val="00BC1E16"/>
    <w:rsid w:val="00BC2108"/>
    <w:rsid w:val="00BC3FBB"/>
    <w:rsid w:val="00BC613B"/>
    <w:rsid w:val="00BD0E9E"/>
    <w:rsid w:val="00BD1BEC"/>
    <w:rsid w:val="00BD1DD7"/>
    <w:rsid w:val="00BD32FF"/>
    <w:rsid w:val="00BE2FFD"/>
    <w:rsid w:val="00BE65FB"/>
    <w:rsid w:val="00BF06DF"/>
    <w:rsid w:val="00BF6FE9"/>
    <w:rsid w:val="00C02092"/>
    <w:rsid w:val="00C06063"/>
    <w:rsid w:val="00C12C5E"/>
    <w:rsid w:val="00C13BFD"/>
    <w:rsid w:val="00C201DF"/>
    <w:rsid w:val="00C20BF4"/>
    <w:rsid w:val="00C215E9"/>
    <w:rsid w:val="00C24D91"/>
    <w:rsid w:val="00C26DB2"/>
    <w:rsid w:val="00C40357"/>
    <w:rsid w:val="00C467B7"/>
    <w:rsid w:val="00C47795"/>
    <w:rsid w:val="00C50ECE"/>
    <w:rsid w:val="00C52689"/>
    <w:rsid w:val="00C52C0B"/>
    <w:rsid w:val="00C53F14"/>
    <w:rsid w:val="00C600CF"/>
    <w:rsid w:val="00C6084F"/>
    <w:rsid w:val="00C62A66"/>
    <w:rsid w:val="00C66359"/>
    <w:rsid w:val="00C71458"/>
    <w:rsid w:val="00C72D1B"/>
    <w:rsid w:val="00C7331D"/>
    <w:rsid w:val="00C77613"/>
    <w:rsid w:val="00C820F1"/>
    <w:rsid w:val="00C828E7"/>
    <w:rsid w:val="00C86719"/>
    <w:rsid w:val="00C9154C"/>
    <w:rsid w:val="00C921DD"/>
    <w:rsid w:val="00CA6391"/>
    <w:rsid w:val="00CB04CE"/>
    <w:rsid w:val="00CD72CF"/>
    <w:rsid w:val="00CE036E"/>
    <w:rsid w:val="00CE3171"/>
    <w:rsid w:val="00CE45B9"/>
    <w:rsid w:val="00CE569A"/>
    <w:rsid w:val="00CE61E3"/>
    <w:rsid w:val="00CE7886"/>
    <w:rsid w:val="00CF1601"/>
    <w:rsid w:val="00CF400F"/>
    <w:rsid w:val="00CF42D4"/>
    <w:rsid w:val="00CF6522"/>
    <w:rsid w:val="00D0172F"/>
    <w:rsid w:val="00D01E33"/>
    <w:rsid w:val="00D068A7"/>
    <w:rsid w:val="00D129D6"/>
    <w:rsid w:val="00D12BB9"/>
    <w:rsid w:val="00D17476"/>
    <w:rsid w:val="00D17B0E"/>
    <w:rsid w:val="00D26F57"/>
    <w:rsid w:val="00D31338"/>
    <w:rsid w:val="00D32086"/>
    <w:rsid w:val="00D35631"/>
    <w:rsid w:val="00D36A94"/>
    <w:rsid w:val="00D37A3F"/>
    <w:rsid w:val="00D4431D"/>
    <w:rsid w:val="00D4514E"/>
    <w:rsid w:val="00D4667A"/>
    <w:rsid w:val="00D47347"/>
    <w:rsid w:val="00D6192D"/>
    <w:rsid w:val="00D63A1C"/>
    <w:rsid w:val="00D731A2"/>
    <w:rsid w:val="00D7516F"/>
    <w:rsid w:val="00D772BF"/>
    <w:rsid w:val="00D9077D"/>
    <w:rsid w:val="00D92127"/>
    <w:rsid w:val="00D9367A"/>
    <w:rsid w:val="00D95F8E"/>
    <w:rsid w:val="00D96F67"/>
    <w:rsid w:val="00DA0590"/>
    <w:rsid w:val="00DA23C0"/>
    <w:rsid w:val="00DA2AE5"/>
    <w:rsid w:val="00DA4505"/>
    <w:rsid w:val="00DA6A69"/>
    <w:rsid w:val="00DC0928"/>
    <w:rsid w:val="00DC1449"/>
    <w:rsid w:val="00DC1739"/>
    <w:rsid w:val="00DC1788"/>
    <w:rsid w:val="00DC3E85"/>
    <w:rsid w:val="00DC3FEC"/>
    <w:rsid w:val="00DC757A"/>
    <w:rsid w:val="00DD5E01"/>
    <w:rsid w:val="00DD6597"/>
    <w:rsid w:val="00DE319C"/>
    <w:rsid w:val="00DE6EBD"/>
    <w:rsid w:val="00DF0CA8"/>
    <w:rsid w:val="00DF2B48"/>
    <w:rsid w:val="00DF49A7"/>
    <w:rsid w:val="00DF64EE"/>
    <w:rsid w:val="00E031A8"/>
    <w:rsid w:val="00E07EE2"/>
    <w:rsid w:val="00E07FD1"/>
    <w:rsid w:val="00E17B30"/>
    <w:rsid w:val="00E24573"/>
    <w:rsid w:val="00E25E1E"/>
    <w:rsid w:val="00E260A7"/>
    <w:rsid w:val="00E27232"/>
    <w:rsid w:val="00E27EE7"/>
    <w:rsid w:val="00E312B2"/>
    <w:rsid w:val="00E33179"/>
    <w:rsid w:val="00E35404"/>
    <w:rsid w:val="00E37DB1"/>
    <w:rsid w:val="00E44F07"/>
    <w:rsid w:val="00E45109"/>
    <w:rsid w:val="00E47B7A"/>
    <w:rsid w:val="00E5093D"/>
    <w:rsid w:val="00E51CEB"/>
    <w:rsid w:val="00E56A44"/>
    <w:rsid w:val="00E60269"/>
    <w:rsid w:val="00E607A2"/>
    <w:rsid w:val="00E73D5D"/>
    <w:rsid w:val="00E97717"/>
    <w:rsid w:val="00E97830"/>
    <w:rsid w:val="00EA1AC7"/>
    <w:rsid w:val="00EA36A7"/>
    <w:rsid w:val="00EA563A"/>
    <w:rsid w:val="00EB6308"/>
    <w:rsid w:val="00EC25F5"/>
    <w:rsid w:val="00EE0830"/>
    <w:rsid w:val="00EE1093"/>
    <w:rsid w:val="00EE6CB8"/>
    <w:rsid w:val="00EE6FCD"/>
    <w:rsid w:val="00EF0683"/>
    <w:rsid w:val="00EF17A0"/>
    <w:rsid w:val="00F0070C"/>
    <w:rsid w:val="00F00EB7"/>
    <w:rsid w:val="00F05729"/>
    <w:rsid w:val="00F12B30"/>
    <w:rsid w:val="00F15779"/>
    <w:rsid w:val="00F16AB3"/>
    <w:rsid w:val="00F35956"/>
    <w:rsid w:val="00F36AB6"/>
    <w:rsid w:val="00F37A09"/>
    <w:rsid w:val="00F409CE"/>
    <w:rsid w:val="00F42AC5"/>
    <w:rsid w:val="00F4379D"/>
    <w:rsid w:val="00F44A5D"/>
    <w:rsid w:val="00F47F26"/>
    <w:rsid w:val="00F50D2D"/>
    <w:rsid w:val="00F56C8B"/>
    <w:rsid w:val="00F62639"/>
    <w:rsid w:val="00F65FF2"/>
    <w:rsid w:val="00F66810"/>
    <w:rsid w:val="00F72E6F"/>
    <w:rsid w:val="00F81717"/>
    <w:rsid w:val="00F84DF4"/>
    <w:rsid w:val="00F853B5"/>
    <w:rsid w:val="00F85C97"/>
    <w:rsid w:val="00F94F6E"/>
    <w:rsid w:val="00FA1CB4"/>
    <w:rsid w:val="00FB37D2"/>
    <w:rsid w:val="00FB3A07"/>
    <w:rsid w:val="00FB6B5E"/>
    <w:rsid w:val="00FC21C0"/>
    <w:rsid w:val="00FC4EFB"/>
    <w:rsid w:val="00FC5C33"/>
    <w:rsid w:val="00FD068D"/>
    <w:rsid w:val="00FD4437"/>
    <w:rsid w:val="00FD4F28"/>
    <w:rsid w:val="00FE2167"/>
    <w:rsid w:val="00FE6784"/>
    <w:rsid w:val="00FE7A8B"/>
    <w:rsid w:val="00FF203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A25"/>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customStyle="1" w:styleId="solexhl">
    <w:name w:val="solexhl"/>
    <w:basedOn w:val="DefaultParagraphFont"/>
    <w:rsid w:val="00E37DB1"/>
  </w:style>
  <w:style w:type="paragraph" w:customStyle="1" w:styleId="Citation-AltC">
    <w:name w:val="Citation - Alt C"/>
    <w:uiPriority w:val="2"/>
    <w:qFormat/>
    <w:rsid w:val="006916C3"/>
    <w:pPr>
      <w:spacing w:after="720"/>
      <w:ind w:left="1166"/>
      <w:contextualSpacing/>
      <w:jc w:val="both"/>
    </w:pPr>
    <w:rPr>
      <w:rFonts w:eastAsia="Times New Roman"/>
      <w:sz w:val="24"/>
      <w:lang w:val="fr-CA"/>
    </w:rPr>
  </w:style>
  <w:style w:type="paragraph" w:customStyle="1" w:styleId="sccnormaldoublespacing0">
    <w:name w:val="sccnormaldoublespacing"/>
    <w:basedOn w:val="Normal"/>
    <w:rsid w:val="006B7EE4"/>
    <w:pPr>
      <w:spacing w:before="100" w:beforeAutospacing="1" w:after="100" w:afterAutospacing="1"/>
    </w:pPr>
    <w:rPr>
      <w:rFonts w:eastAsia="Times New Roman"/>
      <w:szCs w:val="24"/>
      <w:lang w:val="en-US" w:eastAsia="en-US"/>
    </w:rPr>
  </w:style>
  <w:style w:type="paragraph" w:customStyle="1" w:styleId="sccnormaldoublespacing1">
    <w:name w:val="sccnormaldoublespacing1"/>
    <w:basedOn w:val="Normal"/>
    <w:qFormat/>
    <w:rsid w:val="00281EF5"/>
    <w:pPr>
      <w:spacing w:line="480" w:lineRule="auto"/>
      <w:jc w:val="both"/>
    </w:pPr>
    <w:rPr>
      <w:rFonts w:eastAsia="Times New Roman"/>
      <w:szCs w:val="24"/>
      <w:lang w:val="fr-CA" w:eastAsia="fr-CA"/>
    </w:rPr>
  </w:style>
  <w:style w:type="character" w:customStyle="1" w:styleId="citationcar1">
    <w:name w:val="citationcar1"/>
    <w:basedOn w:val="DefaultParagraphFont"/>
    <w:rsid w:val="00281EF5"/>
    <w:rPr>
      <w:i/>
      <w:iCs/>
      <w:color w:val="000000"/>
    </w:rPr>
  </w:style>
  <w:style w:type="paragraph" w:customStyle="1" w:styleId="ParaNoNdepar-AltN">
    <w:name w:val="Para. No. / Nº de par. - Alt N"/>
    <w:qFormat/>
    <w:rsid w:val="00281EF5"/>
    <w:pPr>
      <w:numPr>
        <w:numId w:val="1"/>
      </w:numPr>
      <w:tabs>
        <w:tab w:val="left" w:pos="1166"/>
      </w:tabs>
      <w:spacing w:before="480" w:after="480" w:line="480" w:lineRule="auto"/>
      <w:ind w:left="0"/>
      <w:jc w:val="both"/>
    </w:pPr>
    <w:rPr>
      <w:rFonts w:cstheme="minorBidi"/>
      <w:sz w:val="24"/>
      <w:szCs w:val="22"/>
      <w:lang w:val="fr-CA" w:eastAsia="en-US"/>
    </w:rPr>
  </w:style>
  <w:style w:type="paragraph" w:styleId="ListParagraph">
    <w:name w:val="List Paragraph"/>
    <w:basedOn w:val="Normal"/>
    <w:uiPriority w:val="34"/>
    <w:qFormat/>
    <w:rsid w:val="00690039"/>
    <w:pPr>
      <w:ind w:left="720"/>
      <w:contextualSpacing/>
    </w:pPr>
  </w:style>
  <w:style w:type="paragraph" w:styleId="NoSpacing">
    <w:name w:val="No Spacing"/>
    <w:uiPriority w:val="1"/>
    <w:rsid w:val="007A5985"/>
    <w:rPr>
      <w:rFonts w:eastAsia="Times New Roman"/>
      <w:sz w:val="24"/>
    </w:rPr>
  </w:style>
  <w:style w:type="paragraph" w:customStyle="1" w:styleId="SCCLsocOtherPartyRoleSeparator">
    <w:name w:val="SCC.Lsoc.OtherPartyRoleSeparator"/>
    <w:basedOn w:val="Normal"/>
    <w:next w:val="Normal"/>
    <w:link w:val="SCCLsocOtherPartyRoleSeparatorChar"/>
    <w:rsid w:val="007A5985"/>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7A5985"/>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7A5985"/>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7A5985"/>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7A5985"/>
    <w:rPr>
      <w:b/>
      <w:sz w:val="24"/>
    </w:rPr>
  </w:style>
  <w:style w:type="table" w:styleId="TableGrid">
    <w:name w:val="Table Grid"/>
    <w:basedOn w:val="TableNormal"/>
    <w:uiPriority w:val="59"/>
    <w:rsid w:val="007A5985"/>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tinueParaSuitedupar-AltP">
    <w:name w:val="Continue Para. / Suite du par. - Alt P"/>
    <w:next w:val="ParaNoNdepar-AltN"/>
    <w:uiPriority w:val="1"/>
    <w:qFormat/>
    <w:rsid w:val="007A5985"/>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7A5985"/>
    <w:pPr>
      <w:tabs>
        <w:tab w:val="left" w:pos="1166"/>
      </w:tabs>
      <w:spacing w:after="480" w:line="480" w:lineRule="auto"/>
    </w:pPr>
    <w:rPr>
      <w:rFonts w:eastAsia="Times New Roman"/>
      <w:smallCaps/>
      <w:sz w:val="24"/>
      <w:lang w:val="fr-CA"/>
    </w:rPr>
  </w:style>
  <w:style w:type="paragraph" w:customStyle="1" w:styleId="Title1LevelTitre1Niveau-AltL">
    <w:name w:val="Title 1 Level / Titre 1 Niveau - Alt L"/>
    <w:next w:val="ParaNoNdepar-AltN"/>
    <w:uiPriority w:val="4"/>
    <w:qFormat/>
    <w:rsid w:val="007A5985"/>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7A5985"/>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7A5985"/>
    <w:pPr>
      <w:numPr>
        <w:ilvl w:val="2"/>
      </w:numPr>
      <w:outlineLvl w:val="2"/>
    </w:pPr>
  </w:style>
  <w:style w:type="paragraph" w:customStyle="1" w:styleId="Title4LevelTitre4Niveau">
    <w:name w:val="Title 4 Level / Titre 4 Niveau"/>
    <w:basedOn w:val="Title3LevelTitre3Niveau"/>
    <w:next w:val="ParaNoNdepar-AltN"/>
    <w:uiPriority w:val="4"/>
    <w:qFormat/>
    <w:rsid w:val="007A5985"/>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7A5985"/>
    <w:pPr>
      <w:numPr>
        <w:ilvl w:val="4"/>
      </w:numPr>
      <w:outlineLvl w:val="4"/>
    </w:pPr>
  </w:style>
  <w:style w:type="paragraph" w:customStyle="1" w:styleId="TitleTitre-AltT">
    <w:name w:val="Title / Titre - Alt T"/>
    <w:next w:val="ParaNoNdepar-AltN"/>
    <w:uiPriority w:val="3"/>
    <w:qFormat/>
    <w:rsid w:val="007A5985"/>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7A5985"/>
    <w:pPr>
      <w:numPr>
        <w:ilvl w:val="5"/>
      </w:numPr>
      <w:outlineLvl w:val="5"/>
    </w:pPr>
    <w:rPr>
      <w:i/>
      <w:u w:val="none"/>
    </w:rPr>
  </w:style>
  <w:style w:type="paragraph" w:styleId="FootnoteText">
    <w:name w:val="footnote text"/>
    <w:basedOn w:val="Normal"/>
    <w:link w:val="FootnoteTextChar"/>
    <w:uiPriority w:val="99"/>
    <w:unhideWhenUsed/>
    <w:rsid w:val="007A5985"/>
    <w:pPr>
      <w:tabs>
        <w:tab w:val="left" w:pos="180"/>
      </w:tabs>
      <w:ind w:left="187" w:hanging="187"/>
      <w:jc w:val="both"/>
    </w:pPr>
    <w:rPr>
      <w:rFonts w:eastAsia="Times New Roman"/>
      <w:sz w:val="20"/>
    </w:rPr>
  </w:style>
  <w:style w:type="character" w:customStyle="1" w:styleId="FootnoteTextChar">
    <w:name w:val="Footnote Text Char"/>
    <w:basedOn w:val="DefaultParagraphFont"/>
    <w:link w:val="FootnoteText"/>
    <w:uiPriority w:val="99"/>
    <w:rsid w:val="007A5985"/>
    <w:rPr>
      <w:rFonts w:eastAsia="Times New Roman"/>
    </w:rPr>
  </w:style>
  <w:style w:type="character" w:styleId="FootnoteReference">
    <w:name w:val="footnote reference"/>
    <w:basedOn w:val="DefaultParagraphFont"/>
    <w:uiPriority w:val="99"/>
    <w:semiHidden/>
    <w:unhideWhenUsed/>
    <w:rsid w:val="007A5985"/>
    <w:rPr>
      <w:vertAlign w:val="superscript"/>
    </w:rPr>
  </w:style>
  <w:style w:type="paragraph" w:customStyle="1" w:styleId="paragraphe">
    <w:name w:val="paragraphe"/>
    <w:basedOn w:val="Normal"/>
    <w:rsid w:val="007A5985"/>
    <w:pPr>
      <w:spacing w:before="100" w:beforeAutospacing="1" w:after="100" w:afterAutospacing="1"/>
    </w:pPr>
    <w:rPr>
      <w:rFonts w:eastAsia="Times New Roman"/>
      <w:szCs w:val="24"/>
      <w:lang w:val="fr-CA" w:eastAsia="fr-CA"/>
    </w:rPr>
  </w:style>
  <w:style w:type="character" w:styleId="Hyperlink">
    <w:name w:val="Hyperlink"/>
    <w:basedOn w:val="DefaultParagraphFont"/>
    <w:uiPriority w:val="99"/>
    <w:unhideWhenUsed/>
    <w:rsid w:val="007A5985"/>
    <w:rPr>
      <w:color w:val="0000FF"/>
      <w:u w:val="single"/>
    </w:rPr>
  </w:style>
  <w:style w:type="character" w:styleId="CommentReference">
    <w:name w:val="annotation reference"/>
    <w:basedOn w:val="DefaultParagraphFont"/>
    <w:uiPriority w:val="99"/>
    <w:semiHidden/>
    <w:unhideWhenUsed/>
    <w:rsid w:val="007A5985"/>
    <w:rPr>
      <w:sz w:val="16"/>
      <w:szCs w:val="16"/>
    </w:rPr>
  </w:style>
  <w:style w:type="paragraph" w:styleId="CommentText">
    <w:name w:val="annotation text"/>
    <w:basedOn w:val="Normal"/>
    <w:link w:val="CommentTextChar"/>
    <w:uiPriority w:val="99"/>
    <w:unhideWhenUsed/>
    <w:rsid w:val="007A5985"/>
    <w:rPr>
      <w:rFonts w:eastAsia="Times New Roman"/>
      <w:sz w:val="20"/>
      <w:lang w:val="fr-CA"/>
    </w:rPr>
  </w:style>
  <w:style w:type="character" w:customStyle="1" w:styleId="CommentTextChar">
    <w:name w:val="Comment Text Char"/>
    <w:basedOn w:val="DefaultParagraphFont"/>
    <w:link w:val="CommentText"/>
    <w:uiPriority w:val="99"/>
    <w:rsid w:val="007A5985"/>
    <w:rPr>
      <w:rFonts w:eastAsia="Times New Roman"/>
      <w:lang w:val="fr-CA"/>
    </w:rPr>
  </w:style>
  <w:style w:type="paragraph" w:styleId="CommentSubject">
    <w:name w:val="annotation subject"/>
    <w:basedOn w:val="CommentText"/>
    <w:next w:val="CommentText"/>
    <w:link w:val="CommentSubjectChar"/>
    <w:uiPriority w:val="99"/>
    <w:semiHidden/>
    <w:unhideWhenUsed/>
    <w:rsid w:val="007A5985"/>
    <w:rPr>
      <w:b/>
      <w:bCs/>
    </w:rPr>
  </w:style>
  <w:style w:type="character" w:customStyle="1" w:styleId="CommentSubjectChar">
    <w:name w:val="Comment Subject Char"/>
    <w:basedOn w:val="CommentTextChar"/>
    <w:link w:val="CommentSubject"/>
    <w:uiPriority w:val="99"/>
    <w:semiHidden/>
    <w:rsid w:val="007A5985"/>
    <w:rPr>
      <w:rFonts w:eastAsia="Times New Roman"/>
      <w:b/>
      <w:bCs/>
      <w:lang w:val="fr-CA"/>
    </w:rPr>
  </w:style>
  <w:style w:type="character" w:customStyle="1" w:styleId="label-group5">
    <w:name w:val="label-group5"/>
    <w:basedOn w:val="DefaultParagraphFont"/>
    <w:rsid w:val="007A5985"/>
  </w:style>
  <w:style w:type="character" w:styleId="IntenseEmphasis">
    <w:name w:val="Intense Emphasis"/>
    <w:basedOn w:val="DefaultParagraphFont"/>
    <w:uiPriority w:val="21"/>
    <w:rsid w:val="007A5985"/>
    <w:rPr>
      <w:b/>
      <w:bCs/>
      <w:i/>
      <w:iCs/>
      <w:color w:val="4F81BD" w:themeColor="accent1"/>
    </w:rPr>
  </w:style>
  <w:style w:type="paragraph" w:styleId="IntenseQuote">
    <w:name w:val="Intense Quote"/>
    <w:basedOn w:val="Normal"/>
    <w:next w:val="Normal"/>
    <w:link w:val="IntenseQuoteChar"/>
    <w:uiPriority w:val="30"/>
    <w:rsid w:val="007A5985"/>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7A5985"/>
    <w:rPr>
      <w:rFonts w:eastAsiaTheme="minorHAnsi" w:cstheme="minorBidi"/>
      <w:b/>
      <w:bCs/>
      <w:i/>
      <w:iCs/>
      <w:color w:val="4F81BD" w:themeColor="accent1"/>
      <w:sz w:val="24"/>
      <w:szCs w:val="22"/>
      <w:lang w:val="en-US" w:eastAsia="en-US" w:bidi="en-US"/>
    </w:rPr>
  </w:style>
  <w:style w:type="paragraph" w:styleId="TOCHeading">
    <w:name w:val="TOC Heading"/>
    <w:basedOn w:val="Heading1"/>
    <w:next w:val="Normal"/>
    <w:uiPriority w:val="39"/>
    <w:unhideWhenUsed/>
    <w:qFormat/>
    <w:rsid w:val="007A5985"/>
    <w:pPr>
      <w:spacing w:before="240" w:after="0" w:line="259" w:lineRule="auto"/>
      <w:ind w:left="0" w:firstLine="0"/>
      <w:outlineLvl w:val="9"/>
    </w:pPr>
    <w:rPr>
      <w:b w:val="0"/>
      <w:bCs w:val="0"/>
      <w:sz w:val="32"/>
      <w:szCs w:val="32"/>
      <w:lang w:val="en-US" w:eastAsia="en-US"/>
    </w:rPr>
  </w:style>
  <w:style w:type="paragraph" w:styleId="TOC1">
    <w:name w:val="toc 1"/>
    <w:basedOn w:val="Normal"/>
    <w:next w:val="Normal"/>
    <w:autoRedefine/>
    <w:uiPriority w:val="39"/>
    <w:unhideWhenUsed/>
    <w:rsid w:val="007A5985"/>
    <w:pPr>
      <w:spacing w:after="100"/>
    </w:pPr>
    <w:rPr>
      <w:rFonts w:eastAsia="Times New Roman"/>
      <w:lang w:val="fr-CA"/>
    </w:rPr>
  </w:style>
  <w:style w:type="paragraph" w:styleId="TOC2">
    <w:name w:val="toc 2"/>
    <w:basedOn w:val="Normal"/>
    <w:next w:val="Normal"/>
    <w:autoRedefine/>
    <w:uiPriority w:val="39"/>
    <w:unhideWhenUsed/>
    <w:rsid w:val="007A5985"/>
    <w:pPr>
      <w:spacing w:after="100"/>
      <w:ind w:left="240"/>
    </w:pPr>
    <w:rPr>
      <w:rFonts w:eastAsia="Times New Roman"/>
      <w:lang w:val="fr-CA"/>
    </w:rPr>
  </w:style>
  <w:style w:type="paragraph" w:styleId="TOC3">
    <w:name w:val="toc 3"/>
    <w:basedOn w:val="Normal"/>
    <w:next w:val="Normal"/>
    <w:autoRedefine/>
    <w:uiPriority w:val="39"/>
    <w:unhideWhenUsed/>
    <w:rsid w:val="007A5985"/>
    <w:pPr>
      <w:spacing w:after="100"/>
      <w:ind w:left="480"/>
    </w:pPr>
    <w:rPr>
      <w:rFonts w:eastAsia="Times New Roman"/>
      <w:lang w:val="fr-CA"/>
    </w:rPr>
  </w:style>
  <w:style w:type="character" w:customStyle="1" w:styleId="texte-courant1">
    <w:name w:val="texte-courant1"/>
    <w:basedOn w:val="DefaultParagraphFont"/>
    <w:rsid w:val="007A5985"/>
  </w:style>
  <w:style w:type="table" w:customStyle="1" w:styleId="TableGrid1">
    <w:name w:val="Table Grid1"/>
    <w:basedOn w:val="TableNormal"/>
    <w:next w:val="TableGrid"/>
    <w:uiPriority w:val="59"/>
    <w:rsid w:val="007A5985"/>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B3A07"/>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276653">
      <w:bodyDiv w:val="1"/>
      <w:marLeft w:val="0"/>
      <w:marRight w:val="0"/>
      <w:marTop w:val="0"/>
      <w:marBottom w:val="0"/>
      <w:divBdr>
        <w:top w:val="none" w:sz="0" w:space="0" w:color="auto"/>
        <w:left w:val="none" w:sz="0" w:space="0" w:color="auto"/>
        <w:bottom w:val="none" w:sz="0" w:space="0" w:color="auto"/>
        <w:right w:val="none" w:sz="0" w:space="0" w:color="auto"/>
      </w:divBdr>
    </w:div>
    <w:div w:id="481235463">
      <w:bodyDiv w:val="1"/>
      <w:marLeft w:val="0"/>
      <w:marRight w:val="0"/>
      <w:marTop w:val="0"/>
      <w:marBottom w:val="0"/>
      <w:divBdr>
        <w:top w:val="none" w:sz="0" w:space="0" w:color="auto"/>
        <w:left w:val="none" w:sz="0" w:space="0" w:color="auto"/>
        <w:bottom w:val="none" w:sz="0" w:space="0" w:color="auto"/>
        <w:right w:val="none" w:sz="0" w:space="0" w:color="auto"/>
      </w:divBdr>
    </w:div>
    <w:div w:id="104517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DD7B2-93DB-4AA3-AD59-C8E166231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113</Pages>
  <Words>30360</Words>
  <Characters>173053</Characters>
  <Application>Microsoft Office Word</Application>
  <DocSecurity>0</DocSecurity>
  <Lines>1442</Lines>
  <Paragraphs>406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203007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2019-12-16T18:54:00Z</dcterms:created>
  <dcterms:modified xsi:type="dcterms:W3CDTF">2022-03-26T19:39:00Z</dcterms:modified>
</cp:coreProperties>
</file>