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97" w:rsidRPr="00245497" w:rsidRDefault="00245497" w:rsidP="00245497">
      <w:pPr>
        <w:tabs>
          <w:tab w:val="center" w:pos="4680"/>
          <w:tab w:val="right" w:pos="9360"/>
        </w:tabs>
        <w:rPr>
          <w:rFonts w:eastAsiaTheme="minorHAnsi" w:cstheme="minorBidi"/>
          <w:szCs w:val="24"/>
          <w:lang w:val="fr-CA" w:eastAsia="en-US"/>
        </w:rPr>
      </w:pPr>
      <w:bookmarkStart w:id="0" w:name="_GoBack"/>
      <w:bookmarkEnd w:id="0"/>
      <w:r w:rsidRPr="00245497">
        <w:rPr>
          <w:rFonts w:eastAsiaTheme="minorHAnsi" w:cstheme="minorBidi"/>
          <w:szCs w:val="24"/>
          <w:lang w:val="fr-CA" w:eastAsia="en-US"/>
        </w:rPr>
        <w:ptab w:relativeTo="margin" w:alignment="center" w:leader="none"/>
      </w:r>
      <w:r w:rsidRPr="00245497">
        <w:rPr>
          <w:rFonts w:eastAsiaTheme="minorHAnsi" w:cstheme="minorBidi"/>
          <w:szCs w:val="24"/>
          <w:lang w:val="fr-CA" w:eastAsia="en-US"/>
        </w:rPr>
        <w:t xml:space="preserve"> </w:t>
      </w:r>
      <w:r w:rsidRPr="00245497">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3pt" o:ole="">
            <v:imagedata r:id="rId8" o:title=""/>
          </v:shape>
          <o:OLEObject Type="Embed" ProgID="Presentations.Drawing.13" ShapeID="_x0000_i1025" DrawAspect="Content" ObjectID="_1709903181" r:id="rId9"/>
        </w:object>
      </w:r>
      <w:r w:rsidRPr="00245497">
        <w:rPr>
          <w:rFonts w:eastAsiaTheme="minorHAnsi" w:cstheme="minorBidi"/>
          <w:szCs w:val="24"/>
          <w:lang w:val="fr-CA" w:eastAsia="en-US"/>
        </w:rPr>
        <w:t xml:space="preserve"> </w:t>
      </w:r>
      <w:r w:rsidRPr="00245497">
        <w:rPr>
          <w:rFonts w:eastAsiaTheme="minorHAnsi" w:cstheme="minorBidi"/>
          <w:szCs w:val="24"/>
          <w:lang w:val="fr-CA" w:eastAsia="en-US"/>
        </w:rPr>
        <w:ptab w:relativeTo="margin" w:alignment="right" w:leader="none"/>
      </w:r>
    </w:p>
    <w:p w:rsidR="00245497" w:rsidRPr="00245497" w:rsidRDefault="00245497" w:rsidP="00245497">
      <w:pPr>
        <w:tabs>
          <w:tab w:val="center" w:pos="4680"/>
          <w:tab w:val="right" w:pos="9360"/>
        </w:tabs>
        <w:rPr>
          <w:rFonts w:eastAsiaTheme="minorHAnsi" w:cstheme="minorBidi"/>
          <w:szCs w:val="24"/>
          <w:lang w:val="fr-CA" w:eastAsia="en-US"/>
        </w:rPr>
      </w:pPr>
    </w:p>
    <w:p w:rsidR="00245497" w:rsidRPr="00245497" w:rsidRDefault="00245497" w:rsidP="00245497">
      <w:pPr>
        <w:jc w:val="center"/>
        <w:rPr>
          <w:rFonts w:eastAsiaTheme="minorHAnsi" w:cstheme="minorBidi"/>
          <w:b/>
          <w:szCs w:val="24"/>
          <w:lang w:val="fr-CA" w:eastAsia="en-US"/>
        </w:rPr>
      </w:pPr>
      <w:r w:rsidRPr="00245497">
        <w:rPr>
          <w:rFonts w:eastAsiaTheme="minorHAnsi" w:cstheme="minorBidi"/>
          <w:b/>
          <w:szCs w:val="24"/>
          <w:lang w:val="fr-CA" w:eastAsia="en-US"/>
        </w:rPr>
        <w:t>COUR SUPRÊME DU CANADA</w:t>
      </w:r>
    </w:p>
    <w:p w:rsidR="00245497" w:rsidRPr="00245497" w:rsidRDefault="00245497" w:rsidP="00245497">
      <w:pPr>
        <w:rPr>
          <w:rFonts w:eastAsiaTheme="minorHAnsi" w:cstheme="minorBid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245497" w:rsidRPr="00245497" w:rsidTr="00B2492D">
        <w:trPr>
          <w:cantSplit/>
        </w:trPr>
        <w:tc>
          <w:tcPr>
            <w:tcW w:w="5529" w:type="dxa"/>
          </w:tcPr>
          <w:p w:rsidR="00245497" w:rsidRPr="00245497" w:rsidRDefault="00245497" w:rsidP="00245497">
            <w:pPr>
              <w:rPr>
                <w:lang w:val="fr-CA"/>
              </w:rPr>
            </w:pPr>
            <w:r w:rsidRPr="00245497">
              <w:rPr>
                <w:b/>
                <w:smallCaps/>
                <w:lang w:val="fr-CA"/>
              </w:rPr>
              <w:t>Référence :</w:t>
            </w:r>
            <w:r w:rsidRPr="00245497">
              <w:rPr>
                <w:lang w:val="fr-CA"/>
              </w:rPr>
              <w:t xml:space="preserve"> Société canadienne des postes</w:t>
            </w:r>
            <w:r w:rsidRPr="00245497">
              <w:rPr>
                <w:b/>
                <w:lang w:val="fr-CA"/>
              </w:rPr>
              <w:t xml:space="preserve"> </w:t>
            </w:r>
            <w:r w:rsidRPr="00245497">
              <w:rPr>
                <w:i/>
                <w:lang w:val="fr-CA"/>
              </w:rPr>
              <w:t>c.</w:t>
            </w:r>
            <w:r w:rsidRPr="00245497">
              <w:rPr>
                <w:b/>
                <w:lang w:val="fr-CA"/>
              </w:rPr>
              <w:t xml:space="preserve"> </w:t>
            </w:r>
            <w:r w:rsidRPr="00245497">
              <w:rPr>
                <w:lang w:val="fr-CA"/>
              </w:rPr>
              <w:t>Syndicat des travailleurs et travailleuses des postes, 2019 CSC 67, [2019] 4 R.C.S. 900</w:t>
            </w:r>
          </w:p>
        </w:tc>
        <w:tc>
          <w:tcPr>
            <w:tcW w:w="4047" w:type="dxa"/>
          </w:tcPr>
          <w:p w:rsidR="00245497" w:rsidRPr="00245497" w:rsidRDefault="00245497" w:rsidP="00245497">
            <w:pPr>
              <w:rPr>
                <w:lang w:val="fr-CA"/>
              </w:rPr>
            </w:pPr>
            <w:r w:rsidRPr="00245497">
              <w:rPr>
                <w:b/>
                <w:smallCaps/>
                <w:lang w:val="fr-CA"/>
              </w:rPr>
              <w:t xml:space="preserve">Appel entendu : </w:t>
            </w:r>
            <w:r w:rsidRPr="00245497">
              <w:rPr>
                <w:lang w:val="fr-CA"/>
              </w:rPr>
              <w:t>10 décembre 2018</w:t>
            </w:r>
          </w:p>
          <w:p w:rsidR="00245497" w:rsidRPr="00245497" w:rsidRDefault="00245497" w:rsidP="00245497">
            <w:pPr>
              <w:rPr>
                <w:lang w:val="fr-CA"/>
              </w:rPr>
            </w:pPr>
            <w:r w:rsidRPr="00245497">
              <w:rPr>
                <w:b/>
                <w:smallCaps/>
                <w:lang w:val="fr-CA"/>
              </w:rPr>
              <w:t>Jugement rendu :</w:t>
            </w:r>
            <w:r w:rsidRPr="00245497">
              <w:rPr>
                <w:lang w:val="fr-CA"/>
              </w:rPr>
              <w:t xml:space="preserve"> 20 décembre 2019</w:t>
            </w:r>
          </w:p>
          <w:p w:rsidR="00245497" w:rsidRPr="00245497" w:rsidRDefault="00245497" w:rsidP="00245497">
            <w:pPr>
              <w:rPr>
                <w:lang w:val="fr-CA"/>
              </w:rPr>
            </w:pPr>
            <w:r w:rsidRPr="00245497">
              <w:rPr>
                <w:b/>
                <w:smallCaps/>
                <w:lang w:val="fr-CA"/>
              </w:rPr>
              <w:t>Dossier :</w:t>
            </w:r>
            <w:r w:rsidRPr="00245497">
              <w:rPr>
                <w:lang w:val="fr-CA"/>
              </w:rPr>
              <w:t xml:space="preserve"> 37787</w:t>
            </w:r>
          </w:p>
        </w:tc>
      </w:tr>
    </w:tbl>
    <w:p w:rsidR="00245497" w:rsidRPr="00245497" w:rsidRDefault="00245497" w:rsidP="00245497">
      <w:pPr>
        <w:rPr>
          <w:rFonts w:eastAsiaTheme="minorHAnsi" w:cstheme="minorBidi"/>
          <w:szCs w:val="24"/>
          <w:lang w:val="fr-CA" w:eastAsia="en-US"/>
        </w:rPr>
      </w:pPr>
    </w:p>
    <w:p w:rsidR="00245497" w:rsidRPr="00245497" w:rsidRDefault="00245497" w:rsidP="00245497">
      <w:pPr>
        <w:rPr>
          <w:rFonts w:eastAsiaTheme="minorHAnsi" w:cstheme="minorBidi"/>
          <w:b/>
          <w:smallCaps/>
          <w:szCs w:val="24"/>
          <w:lang w:val="fr-CA" w:eastAsia="en-US"/>
        </w:rPr>
      </w:pPr>
      <w:r w:rsidRPr="00245497">
        <w:rPr>
          <w:rFonts w:eastAsiaTheme="minorHAnsi" w:cstheme="minorBidi"/>
          <w:b/>
          <w:smallCaps/>
          <w:szCs w:val="24"/>
          <w:lang w:val="fr-CA" w:eastAsia="en-US"/>
        </w:rPr>
        <w:t>Entre :</w:t>
      </w:r>
    </w:p>
    <w:p w:rsidR="00245497" w:rsidRPr="00245497" w:rsidRDefault="00245497" w:rsidP="00245497">
      <w:pPr>
        <w:rPr>
          <w:rFonts w:eastAsiaTheme="minorHAnsi" w:cstheme="minorBidi"/>
          <w:szCs w:val="24"/>
          <w:lang w:val="fr-CA" w:eastAsia="en-US"/>
        </w:rPr>
      </w:pPr>
    </w:p>
    <w:p w:rsidR="00245497" w:rsidRPr="00245497" w:rsidRDefault="00245497" w:rsidP="00245497">
      <w:pPr>
        <w:jc w:val="center"/>
        <w:rPr>
          <w:rFonts w:eastAsiaTheme="minorHAnsi" w:cstheme="minorBidi"/>
          <w:b/>
          <w:szCs w:val="24"/>
          <w:lang w:val="fr-CA" w:eastAsia="en-US"/>
        </w:rPr>
      </w:pPr>
      <w:r w:rsidRPr="00245497">
        <w:rPr>
          <w:rFonts w:eastAsiaTheme="minorHAnsi" w:cstheme="minorBidi"/>
          <w:b/>
          <w:szCs w:val="24"/>
          <w:lang w:val="fr-CA" w:eastAsia="en-US"/>
        </w:rPr>
        <w:t>Société canadienne des postes</w:t>
      </w:r>
    </w:p>
    <w:p w:rsidR="00245497" w:rsidRPr="00245497" w:rsidRDefault="00245497" w:rsidP="00245497">
      <w:pPr>
        <w:jc w:val="center"/>
        <w:rPr>
          <w:rFonts w:eastAsiaTheme="minorHAnsi" w:cstheme="minorBidi"/>
          <w:szCs w:val="24"/>
          <w:lang w:val="fr-CA" w:eastAsia="en-US"/>
        </w:rPr>
      </w:pPr>
      <w:r w:rsidRPr="00245497">
        <w:rPr>
          <w:rFonts w:eastAsiaTheme="minorHAnsi" w:cstheme="minorBidi"/>
          <w:szCs w:val="24"/>
          <w:lang w:val="fr-CA" w:eastAsia="en-US"/>
        </w:rPr>
        <w:t>Appelante</w:t>
      </w:r>
    </w:p>
    <w:p w:rsidR="00245497" w:rsidRPr="00245497" w:rsidRDefault="00245497" w:rsidP="00245497">
      <w:pPr>
        <w:rPr>
          <w:rFonts w:eastAsiaTheme="minorHAnsi" w:cstheme="minorBidi"/>
          <w:szCs w:val="24"/>
          <w:lang w:val="fr-CA" w:eastAsia="en-US"/>
        </w:rPr>
      </w:pPr>
    </w:p>
    <w:p w:rsidR="00245497" w:rsidRPr="00245497" w:rsidRDefault="00245497" w:rsidP="00245497">
      <w:pPr>
        <w:jc w:val="center"/>
        <w:rPr>
          <w:rFonts w:eastAsiaTheme="minorHAnsi" w:cstheme="minorBidi"/>
          <w:szCs w:val="24"/>
          <w:lang w:val="fr-CA" w:eastAsia="en-US"/>
        </w:rPr>
      </w:pPr>
      <w:r w:rsidRPr="00245497">
        <w:rPr>
          <w:rFonts w:eastAsiaTheme="minorHAnsi" w:cstheme="minorBidi"/>
          <w:szCs w:val="24"/>
          <w:lang w:val="fr-CA" w:eastAsia="en-US"/>
        </w:rPr>
        <w:t>et</w:t>
      </w:r>
    </w:p>
    <w:p w:rsidR="00245497" w:rsidRPr="00245497" w:rsidRDefault="00245497" w:rsidP="00245497">
      <w:pPr>
        <w:rPr>
          <w:rFonts w:eastAsiaTheme="minorHAnsi" w:cstheme="minorBidi"/>
          <w:szCs w:val="24"/>
          <w:lang w:val="fr-CA" w:eastAsia="en-US"/>
        </w:rPr>
      </w:pPr>
    </w:p>
    <w:p w:rsidR="00245497" w:rsidRPr="00245497" w:rsidRDefault="00245497" w:rsidP="00245497">
      <w:pPr>
        <w:jc w:val="center"/>
        <w:rPr>
          <w:rFonts w:eastAsiaTheme="minorHAnsi" w:cstheme="minorBidi"/>
          <w:b/>
          <w:szCs w:val="24"/>
          <w:lang w:val="fr-CA" w:eastAsia="en-US"/>
        </w:rPr>
      </w:pPr>
      <w:r w:rsidRPr="00245497">
        <w:rPr>
          <w:rFonts w:eastAsiaTheme="minorHAnsi" w:cstheme="minorBidi"/>
          <w:b/>
          <w:szCs w:val="24"/>
          <w:lang w:val="fr-CA" w:eastAsia="en-US"/>
        </w:rPr>
        <w:t>Syndicat des travailleurs et travailleuses des postes</w:t>
      </w:r>
    </w:p>
    <w:p w:rsidR="00245497" w:rsidRPr="00245497" w:rsidRDefault="00245497" w:rsidP="00245497">
      <w:pPr>
        <w:jc w:val="center"/>
        <w:rPr>
          <w:rFonts w:eastAsiaTheme="minorHAnsi" w:cstheme="minorBidi"/>
          <w:szCs w:val="24"/>
          <w:lang w:val="fr-CA" w:eastAsia="en-US"/>
        </w:rPr>
      </w:pPr>
      <w:r w:rsidRPr="00245497">
        <w:rPr>
          <w:rFonts w:eastAsiaTheme="minorHAnsi" w:cstheme="minorBidi"/>
          <w:szCs w:val="24"/>
          <w:lang w:val="fr-CA" w:eastAsia="en-US"/>
        </w:rPr>
        <w:t>Intimé</w:t>
      </w:r>
    </w:p>
    <w:p w:rsidR="00245497" w:rsidRPr="00245497" w:rsidRDefault="00245497" w:rsidP="00245497">
      <w:pPr>
        <w:rPr>
          <w:rFonts w:eastAsiaTheme="minorHAnsi" w:cstheme="minorBidi"/>
          <w:szCs w:val="24"/>
          <w:lang w:val="fr-CA" w:eastAsia="en-US"/>
        </w:rPr>
      </w:pPr>
    </w:p>
    <w:p w:rsidR="00245497" w:rsidRPr="00245497" w:rsidRDefault="00245497" w:rsidP="00245497">
      <w:pPr>
        <w:jc w:val="center"/>
        <w:rPr>
          <w:rFonts w:eastAsiaTheme="minorHAnsi" w:cstheme="minorBidi"/>
          <w:szCs w:val="24"/>
          <w:lang w:val="fr-CA" w:eastAsia="en-US"/>
        </w:rPr>
      </w:pPr>
      <w:r w:rsidRPr="00245497">
        <w:rPr>
          <w:rFonts w:eastAsiaTheme="minorHAnsi" w:cstheme="minorBidi"/>
          <w:szCs w:val="24"/>
          <w:lang w:val="fr-CA" w:eastAsia="en-US"/>
        </w:rPr>
        <w:t>- et -</w:t>
      </w:r>
    </w:p>
    <w:p w:rsidR="00245497" w:rsidRPr="00245497" w:rsidRDefault="00245497" w:rsidP="00245497">
      <w:pPr>
        <w:rPr>
          <w:rFonts w:eastAsiaTheme="minorHAnsi" w:cstheme="minorBidi"/>
          <w:szCs w:val="24"/>
          <w:lang w:val="fr-CA" w:eastAsia="en-US"/>
        </w:rPr>
      </w:pPr>
    </w:p>
    <w:p w:rsidR="00245497" w:rsidRPr="00245497" w:rsidRDefault="00245497" w:rsidP="00245497">
      <w:pPr>
        <w:jc w:val="center"/>
        <w:rPr>
          <w:rFonts w:eastAsiaTheme="minorHAnsi" w:cstheme="minorBidi"/>
          <w:b/>
          <w:szCs w:val="24"/>
          <w:lang w:val="fr-CA" w:eastAsia="en-US"/>
        </w:rPr>
      </w:pPr>
      <w:r w:rsidRPr="00245497">
        <w:rPr>
          <w:rFonts w:eastAsiaTheme="minorHAnsi" w:cstheme="minorBidi"/>
          <w:b/>
          <w:szCs w:val="24"/>
          <w:lang w:val="fr-CA" w:eastAsia="en-US"/>
        </w:rPr>
        <w:t>Procureur général du Canada, DHL Express (Canada), Ltée, Federal Express Canada Corporation, Purolator Inc., TFI International Inc., United Parcel Service du Canada Ltée, Workers’ Health and Safety Legal Clinic, ETCOF inc. (Association des employeurs des transports et communications de régie fédérale), Syndicat canadien de la fonction publique, Institut professionnel de la fonction publique du Canada, Rogers Communications Inc., Société Radio-Canada, Bell Canada, Bell Solutions techniques inc., Bell Média inc., Association des employeurs maritimes, Halifax Employers Association, British Columbia Maritime Employers Association, Syndicat international des débardeurs et magasiniers du Canada, Association internationale des débardeurs, sections locales 269, 1341, 1657 et 1825 et Syndicat canadien de la fonction publique, section locale 375</w:t>
      </w:r>
    </w:p>
    <w:p w:rsidR="00245497" w:rsidRPr="00245497" w:rsidRDefault="00245497" w:rsidP="00245497">
      <w:pPr>
        <w:jc w:val="center"/>
        <w:rPr>
          <w:rFonts w:eastAsiaTheme="minorHAnsi" w:cstheme="minorBidi"/>
          <w:szCs w:val="24"/>
          <w:lang w:val="fr-CA" w:eastAsia="en-US"/>
        </w:rPr>
      </w:pPr>
      <w:r w:rsidRPr="00245497">
        <w:rPr>
          <w:rFonts w:eastAsiaTheme="minorHAnsi" w:cstheme="minorBidi"/>
          <w:szCs w:val="24"/>
          <w:lang w:val="fr-CA" w:eastAsia="en-US"/>
        </w:rPr>
        <w:t>Intervenants</w:t>
      </w:r>
    </w:p>
    <w:p w:rsidR="00245497" w:rsidRPr="00245497" w:rsidRDefault="00245497" w:rsidP="00245497">
      <w:pPr>
        <w:rPr>
          <w:rFonts w:eastAsiaTheme="minorHAnsi" w:cstheme="minorBidi"/>
          <w:szCs w:val="24"/>
          <w:lang w:val="fr-CA" w:eastAsia="en-US"/>
        </w:rPr>
      </w:pPr>
    </w:p>
    <w:p w:rsidR="00245497" w:rsidRPr="00245497" w:rsidRDefault="00245497" w:rsidP="00245497">
      <w:pPr>
        <w:rPr>
          <w:rFonts w:eastAsiaTheme="minorHAnsi" w:cstheme="minorBidi"/>
          <w:szCs w:val="24"/>
          <w:lang w:val="fr-CA" w:eastAsia="en-US"/>
        </w:rPr>
      </w:pPr>
    </w:p>
    <w:p w:rsidR="00245497" w:rsidRPr="00245497" w:rsidRDefault="00245497" w:rsidP="00245497">
      <w:pPr>
        <w:jc w:val="center"/>
        <w:rPr>
          <w:rFonts w:eastAsiaTheme="minorHAnsi" w:cstheme="minorBidi"/>
          <w:b/>
          <w:smallCaps/>
          <w:szCs w:val="24"/>
          <w:lang w:val="fr-CA" w:eastAsia="en-US"/>
        </w:rPr>
      </w:pPr>
      <w:r w:rsidRPr="00245497">
        <w:rPr>
          <w:rFonts w:eastAsiaTheme="minorHAnsi" w:cstheme="minorBidi"/>
          <w:b/>
          <w:smallCaps/>
          <w:szCs w:val="24"/>
          <w:lang w:val="fr-CA" w:eastAsia="en-US"/>
        </w:rPr>
        <w:t>Traduction française officielle</w:t>
      </w:r>
    </w:p>
    <w:p w:rsidR="00245497" w:rsidRPr="00245497" w:rsidRDefault="00245497" w:rsidP="00245497">
      <w:pPr>
        <w:rPr>
          <w:rFonts w:eastAsiaTheme="minorHAnsi" w:cstheme="minorBidi"/>
          <w:szCs w:val="24"/>
          <w:lang w:val="fr-CA" w:eastAsia="en-US"/>
        </w:rPr>
      </w:pPr>
    </w:p>
    <w:p w:rsidR="00245497" w:rsidRPr="00245497" w:rsidRDefault="00245497" w:rsidP="00245497">
      <w:pPr>
        <w:rPr>
          <w:rFonts w:eastAsiaTheme="minorHAnsi" w:cstheme="minorBidi"/>
          <w:szCs w:val="24"/>
          <w:lang w:val="fr-CA" w:eastAsia="en-US"/>
        </w:rPr>
      </w:pPr>
      <w:r w:rsidRPr="00245497">
        <w:rPr>
          <w:rFonts w:eastAsiaTheme="minorHAnsi" w:cstheme="minorBidi"/>
          <w:b/>
          <w:smallCaps/>
          <w:szCs w:val="24"/>
          <w:lang w:val="fr-CA" w:eastAsia="en-US"/>
        </w:rPr>
        <w:t>Coram :</w:t>
      </w:r>
      <w:r w:rsidRPr="00245497">
        <w:rPr>
          <w:rFonts w:eastAsiaTheme="minorHAnsi" w:cstheme="minorBidi"/>
          <w:szCs w:val="24"/>
          <w:lang w:val="fr-CA" w:eastAsia="en-US"/>
        </w:rPr>
        <w:t xml:space="preserve"> Le juge en chef Wagner et les juges Abella, Moldaver, Karakatsanis, Gascon, Côté, Brown, Rowe et Martin</w:t>
      </w:r>
    </w:p>
    <w:p w:rsidR="00245497" w:rsidRPr="00245497" w:rsidRDefault="00245497" w:rsidP="00245497">
      <w:pPr>
        <w:rPr>
          <w:rFonts w:eastAsiaTheme="minorHAnsi" w:cstheme="minorBid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45497" w:rsidRPr="00245497" w:rsidTr="00B2492D">
        <w:trPr>
          <w:cantSplit/>
        </w:trPr>
        <w:tc>
          <w:tcPr>
            <w:tcW w:w="3618" w:type="dxa"/>
          </w:tcPr>
          <w:p w:rsidR="00245497" w:rsidRPr="00245497" w:rsidRDefault="00245497" w:rsidP="00245497">
            <w:pPr>
              <w:rPr>
                <w:b/>
                <w:smallCaps/>
                <w:lang w:val="fr-CA"/>
              </w:rPr>
            </w:pPr>
            <w:r w:rsidRPr="00245497">
              <w:rPr>
                <w:b/>
                <w:smallCaps/>
                <w:lang w:val="fr-CA"/>
              </w:rPr>
              <w:t>Motifs de jugement :</w:t>
            </w:r>
          </w:p>
          <w:p w:rsidR="00245497" w:rsidRPr="00245497" w:rsidRDefault="00245497" w:rsidP="00245497">
            <w:pPr>
              <w:rPr>
                <w:lang w:val="fr-CA"/>
              </w:rPr>
            </w:pPr>
            <w:r w:rsidRPr="00245497">
              <w:rPr>
                <w:lang w:val="fr-CA"/>
              </w:rPr>
              <w:t>(par. 1 à 67)</w:t>
            </w:r>
          </w:p>
          <w:p w:rsidR="00245497" w:rsidRPr="00245497" w:rsidRDefault="00245497" w:rsidP="00245497">
            <w:pPr>
              <w:rPr>
                <w:lang w:val="fr-CA"/>
              </w:rPr>
            </w:pPr>
          </w:p>
          <w:p w:rsidR="00245497" w:rsidRPr="00245497" w:rsidRDefault="00245497" w:rsidP="00245497">
            <w:pPr>
              <w:rPr>
                <w:lang w:val="fr-CA"/>
              </w:rPr>
            </w:pPr>
            <w:r w:rsidRPr="00245497">
              <w:rPr>
                <w:b/>
                <w:smallCaps/>
                <w:lang w:val="fr-CA"/>
              </w:rPr>
              <w:t>Motifs dissidents:</w:t>
            </w:r>
          </w:p>
          <w:p w:rsidR="00245497" w:rsidRPr="00245497" w:rsidRDefault="00245497" w:rsidP="00245497">
            <w:pPr>
              <w:rPr>
                <w:lang w:val="fr-CA"/>
              </w:rPr>
            </w:pPr>
            <w:r w:rsidRPr="00245497">
              <w:rPr>
                <w:lang w:val="fr-CA"/>
              </w:rPr>
              <w:t>(par. 68 à 102)</w:t>
            </w:r>
          </w:p>
        </w:tc>
        <w:tc>
          <w:tcPr>
            <w:tcW w:w="5958" w:type="dxa"/>
          </w:tcPr>
          <w:p w:rsidR="00245497" w:rsidRPr="00245497" w:rsidRDefault="00245497" w:rsidP="00245497">
            <w:pPr>
              <w:rPr>
                <w:lang w:val="fr-CA"/>
              </w:rPr>
            </w:pPr>
            <w:r w:rsidRPr="00245497">
              <w:rPr>
                <w:lang w:val="fr-CA"/>
              </w:rPr>
              <w:t>Le juge Rowe (avec l’accord du juge en chef Wagner et des juges Moldaver, Karakatsanis, Gascon, Côté et Brown)</w:t>
            </w:r>
          </w:p>
          <w:p w:rsidR="00245497" w:rsidRPr="00245497" w:rsidRDefault="00245497" w:rsidP="00245497">
            <w:pPr>
              <w:rPr>
                <w:lang w:val="fr-CA"/>
              </w:rPr>
            </w:pPr>
          </w:p>
          <w:p w:rsidR="00245497" w:rsidRPr="00245497" w:rsidRDefault="00245497" w:rsidP="00245497">
            <w:pPr>
              <w:rPr>
                <w:lang w:val="fr-CA"/>
              </w:rPr>
            </w:pPr>
            <w:r w:rsidRPr="00245497">
              <w:rPr>
                <w:lang w:val="fr-CA"/>
              </w:rPr>
              <w:t>La juge Abella (avec l’accord de la juge Martin)</w:t>
            </w:r>
          </w:p>
        </w:tc>
      </w:tr>
    </w:tbl>
    <w:p w:rsidR="00245497" w:rsidRPr="00245497" w:rsidRDefault="00245497" w:rsidP="00245497">
      <w:pPr>
        <w:rPr>
          <w:rFonts w:eastAsiaTheme="minorHAnsi" w:cstheme="minorBidi"/>
          <w:szCs w:val="24"/>
          <w:lang w:val="fr-CA" w:eastAsia="en-US"/>
        </w:rPr>
      </w:pPr>
    </w:p>
    <w:p w:rsidR="00245497" w:rsidRPr="00245497" w:rsidRDefault="00245497" w:rsidP="00245497">
      <w:pPr>
        <w:rPr>
          <w:rFonts w:eastAsiaTheme="minorHAnsi" w:cstheme="minorBidi"/>
          <w:szCs w:val="24"/>
          <w:lang w:val="fr-CA" w:eastAsia="en-US"/>
        </w:rPr>
      </w:pPr>
    </w:p>
    <w:p w:rsidR="00245497" w:rsidRPr="00245497" w:rsidRDefault="00245497" w:rsidP="00245497">
      <w:pPr>
        <w:rPr>
          <w:rFonts w:eastAsiaTheme="minorHAnsi" w:cstheme="minorBidi"/>
          <w:szCs w:val="24"/>
          <w:lang w:val="fr-CA" w:eastAsia="en-US"/>
        </w:rPr>
      </w:pPr>
      <w:r w:rsidRPr="00245497">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467EB5E4" wp14:editId="0614BF9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15B1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45497" w:rsidRDefault="00245497" w:rsidP="007261B5">
      <w:pPr>
        <w:spacing w:after="720"/>
        <w:jc w:val="both"/>
        <w:rPr>
          <w:rStyle w:val="SCCAppellantForRunningHeadChar"/>
          <w:lang w:val="fr-CA"/>
        </w:rPr>
      </w:pPr>
    </w:p>
    <w:p w:rsidR="004D7D95" w:rsidRPr="00245497" w:rsidRDefault="00245497" w:rsidP="007261B5">
      <w:pPr>
        <w:spacing w:after="720"/>
        <w:jc w:val="both"/>
        <w:rPr>
          <w:smallCaps/>
          <w:lang w:val="fr-CA"/>
        </w:rPr>
      </w:pPr>
      <w:r>
        <w:rPr>
          <w:rStyle w:val="SCCAppellantForRunningHeadChar"/>
          <w:smallCaps w:val="0"/>
          <w:lang w:val="fr-CA"/>
        </w:rPr>
        <w:t>S</w:t>
      </w:r>
      <w:r w:rsidR="0071581E" w:rsidRPr="00245497">
        <w:rPr>
          <w:rStyle w:val="SCCAppellantForRunningHeadChar"/>
          <w:smallCaps w:val="0"/>
          <w:lang w:val="fr-CA"/>
        </w:rPr>
        <w:t>ociété c</w:t>
      </w:r>
      <w:r w:rsidR="004D7D95" w:rsidRPr="00245497">
        <w:rPr>
          <w:rStyle w:val="SCCAppellantForRunningHeadChar"/>
          <w:smallCaps w:val="0"/>
          <w:lang w:val="fr-CA"/>
        </w:rPr>
        <w:t>anadienne des po</w:t>
      </w:r>
      <w:r w:rsidR="0071581E" w:rsidRPr="00245497">
        <w:rPr>
          <w:rStyle w:val="SCCAppellantForRunningHeadChar"/>
          <w:smallCaps w:val="0"/>
          <w:lang w:val="fr-CA"/>
        </w:rPr>
        <w:t xml:space="preserve">stes </w:t>
      </w:r>
      <w:r>
        <w:rPr>
          <w:i/>
          <w:lang w:val="fr-CA"/>
        </w:rPr>
        <w:t>c</w:t>
      </w:r>
      <w:r w:rsidR="004D7D95" w:rsidRPr="00245497">
        <w:rPr>
          <w:i/>
          <w:smallCaps/>
          <w:lang w:val="fr-CA"/>
        </w:rPr>
        <w:t>.</w:t>
      </w:r>
      <w:r w:rsidR="004D7D95" w:rsidRPr="00245497">
        <w:rPr>
          <w:smallCaps/>
          <w:lang w:val="fr-CA"/>
        </w:rPr>
        <w:t xml:space="preserve"> </w:t>
      </w:r>
      <w:r>
        <w:rPr>
          <w:smallCaps/>
          <w:lang w:val="fr-CA"/>
        </w:rPr>
        <w:t>STTP</w:t>
      </w:r>
    </w:p>
    <w:p w:rsidR="00A078B6" w:rsidRPr="005F229C" w:rsidRDefault="003B6BD5">
      <w:pPr>
        <w:pStyle w:val="SCCLsocLastPartyInRole"/>
        <w:rPr>
          <w:lang w:val="fr-CA"/>
        </w:rPr>
      </w:pPr>
      <w:r w:rsidRPr="005F229C">
        <w:rPr>
          <w:lang w:val="fr-CA"/>
        </w:rPr>
        <w:t>Société c</w:t>
      </w:r>
      <w:r w:rsidR="008C28DF" w:rsidRPr="005F229C">
        <w:rPr>
          <w:lang w:val="fr-CA"/>
        </w:rPr>
        <w:t>anadienne des postes</w:t>
      </w:r>
      <w:r w:rsidR="00EA3D94" w:rsidRPr="005F229C">
        <w:rPr>
          <w:rStyle w:val="SCCLsocPartyRole"/>
          <w:lang w:val="fr-CA"/>
        </w:rPr>
        <w:tab/>
        <w:t>Appelante</w:t>
      </w:r>
    </w:p>
    <w:p w:rsidR="00A078B6" w:rsidRPr="005F229C" w:rsidRDefault="008C28DF">
      <w:pPr>
        <w:pStyle w:val="SCCLsocVersus"/>
        <w:rPr>
          <w:lang w:val="fr-CA"/>
        </w:rPr>
      </w:pPr>
      <w:r w:rsidRPr="005F229C">
        <w:rPr>
          <w:lang w:val="fr-CA"/>
        </w:rPr>
        <w:t>c.</w:t>
      </w:r>
    </w:p>
    <w:p w:rsidR="00A078B6" w:rsidRPr="005F229C" w:rsidRDefault="008C28DF">
      <w:pPr>
        <w:pStyle w:val="SCCLsocLastPartyInRole"/>
        <w:rPr>
          <w:lang w:val="fr-CA"/>
        </w:rPr>
      </w:pPr>
      <w:r w:rsidRPr="005F229C">
        <w:rPr>
          <w:lang w:val="fr-CA"/>
        </w:rPr>
        <w:t>Syndicat des travailleurs et travailleuses des postes</w:t>
      </w:r>
      <w:r w:rsidR="00EA3D94" w:rsidRPr="005F229C">
        <w:rPr>
          <w:rStyle w:val="SCCLsocPartyRole"/>
          <w:lang w:val="fr-CA"/>
        </w:rPr>
        <w:tab/>
        <w:t>Intimé</w:t>
      </w:r>
    </w:p>
    <w:p w:rsidR="00A078B6" w:rsidRPr="005F229C" w:rsidRDefault="008C28DF">
      <w:pPr>
        <w:pStyle w:val="SCCLsocOtherPartySeparator"/>
        <w:rPr>
          <w:lang w:val="fr-CA"/>
        </w:rPr>
      </w:pPr>
      <w:r w:rsidRPr="005F229C">
        <w:rPr>
          <w:lang w:val="fr-CA"/>
        </w:rPr>
        <w:t>et</w:t>
      </w:r>
    </w:p>
    <w:p w:rsidR="00A078B6" w:rsidRPr="005F229C" w:rsidRDefault="008C28DF">
      <w:pPr>
        <w:pStyle w:val="SCCLsocParty"/>
        <w:rPr>
          <w:lang w:val="fr-CA"/>
        </w:rPr>
      </w:pPr>
      <w:r w:rsidRPr="005F229C">
        <w:rPr>
          <w:lang w:val="fr-CA"/>
        </w:rPr>
        <w:t>Procureur général du Canada,</w:t>
      </w:r>
    </w:p>
    <w:p w:rsidR="0071581E" w:rsidRPr="005F229C" w:rsidRDefault="007D7DC8">
      <w:pPr>
        <w:pStyle w:val="SCCLsocParty"/>
      </w:pPr>
      <w:r w:rsidRPr="005F229C">
        <w:t>DHL Express (Canada), Ltée</w:t>
      </w:r>
      <w:r w:rsidR="007261B5" w:rsidRPr="005F229C">
        <w:t>,</w:t>
      </w:r>
    </w:p>
    <w:p w:rsidR="0071581E" w:rsidRPr="005F229C" w:rsidRDefault="008C28DF">
      <w:pPr>
        <w:pStyle w:val="SCCLsocParty"/>
      </w:pPr>
      <w:r w:rsidRPr="005F229C">
        <w:t xml:space="preserve">Federal Express Canada Corporation, </w:t>
      </w:r>
    </w:p>
    <w:p w:rsidR="0071581E" w:rsidRPr="005F229C" w:rsidRDefault="008C28DF">
      <w:pPr>
        <w:pStyle w:val="SCCLsocParty"/>
        <w:rPr>
          <w:lang w:val="en-US"/>
        </w:rPr>
      </w:pPr>
      <w:r w:rsidRPr="005F229C">
        <w:rPr>
          <w:lang w:val="en-US"/>
        </w:rPr>
        <w:t>Purolato</w:t>
      </w:r>
      <w:r w:rsidR="0071581E" w:rsidRPr="005F229C">
        <w:rPr>
          <w:lang w:val="en-US"/>
        </w:rPr>
        <w:t>r Inc., TFI International Inc.,</w:t>
      </w:r>
    </w:p>
    <w:p w:rsidR="00A078B6" w:rsidRPr="005F229C" w:rsidRDefault="008C28DF">
      <w:pPr>
        <w:pStyle w:val="SCCLsocParty"/>
        <w:rPr>
          <w:lang w:val="en-US"/>
        </w:rPr>
      </w:pPr>
      <w:r w:rsidRPr="005F229C">
        <w:rPr>
          <w:lang w:val="en-US"/>
        </w:rPr>
        <w:t>United Parcel Service</w:t>
      </w:r>
      <w:r w:rsidR="00CA6ED1" w:rsidRPr="005F229C">
        <w:rPr>
          <w:lang w:val="en-US"/>
        </w:rPr>
        <w:t xml:space="preserve"> du</w:t>
      </w:r>
      <w:r w:rsidR="007D7DC8" w:rsidRPr="005F229C">
        <w:rPr>
          <w:lang w:val="en-US"/>
        </w:rPr>
        <w:t xml:space="preserve"> Canada Ltée</w:t>
      </w:r>
      <w:r w:rsidRPr="005F229C">
        <w:rPr>
          <w:lang w:val="en-US"/>
        </w:rPr>
        <w:t>,</w:t>
      </w:r>
    </w:p>
    <w:p w:rsidR="00F01ED2" w:rsidRPr="005F229C" w:rsidRDefault="00F01ED2" w:rsidP="00F01ED2">
      <w:pPr>
        <w:pStyle w:val="SCCLsocParty"/>
      </w:pPr>
      <w:r w:rsidRPr="005F229C">
        <w:t>Workers’ Health and Safety Legal Clinic,</w:t>
      </w:r>
    </w:p>
    <w:p w:rsidR="00EA3D94" w:rsidRPr="005F229C" w:rsidRDefault="00520A48">
      <w:pPr>
        <w:pStyle w:val="SCCLsocParty"/>
        <w:rPr>
          <w:lang w:val="fr-CA"/>
        </w:rPr>
      </w:pPr>
      <w:r w:rsidRPr="005F229C">
        <w:rPr>
          <w:lang w:val="fr-CA"/>
        </w:rPr>
        <w:t>ETCOF inc. (</w:t>
      </w:r>
      <w:r w:rsidR="008C28DF" w:rsidRPr="005F229C">
        <w:rPr>
          <w:lang w:val="fr-CA"/>
        </w:rPr>
        <w:t xml:space="preserve">Association des </w:t>
      </w:r>
      <w:r w:rsidR="002C7C55" w:rsidRPr="005F229C">
        <w:rPr>
          <w:lang w:val="fr-CA"/>
        </w:rPr>
        <w:t>e</w:t>
      </w:r>
      <w:r w:rsidR="007261B5" w:rsidRPr="005F229C">
        <w:rPr>
          <w:lang w:val="fr-CA"/>
        </w:rPr>
        <w:t>mployeurs</w:t>
      </w:r>
    </w:p>
    <w:p w:rsidR="00A078B6" w:rsidRPr="005F229C" w:rsidRDefault="008C28DF">
      <w:pPr>
        <w:pStyle w:val="SCCLsocParty"/>
        <w:rPr>
          <w:lang w:val="fr-CA"/>
        </w:rPr>
      </w:pPr>
      <w:r w:rsidRPr="005F229C">
        <w:rPr>
          <w:lang w:val="fr-CA"/>
        </w:rPr>
        <w:t>des transports et communications de régie fédérale),</w:t>
      </w:r>
    </w:p>
    <w:p w:rsidR="0071581E" w:rsidRPr="005F229C" w:rsidRDefault="008C28DF">
      <w:pPr>
        <w:pStyle w:val="SCCLsocParty"/>
        <w:rPr>
          <w:lang w:val="fr-CA"/>
        </w:rPr>
      </w:pPr>
      <w:r w:rsidRPr="005F229C">
        <w:rPr>
          <w:lang w:val="fr-CA"/>
        </w:rPr>
        <w:t>Syndicat can</w:t>
      </w:r>
      <w:r w:rsidR="0071581E" w:rsidRPr="005F229C">
        <w:rPr>
          <w:lang w:val="fr-CA"/>
        </w:rPr>
        <w:t>adien de la fonction publique</w:t>
      </w:r>
      <w:r w:rsidR="00B300CF" w:rsidRPr="005F229C">
        <w:rPr>
          <w:lang w:val="fr-CA"/>
        </w:rPr>
        <w:t>,</w:t>
      </w:r>
    </w:p>
    <w:p w:rsidR="00A078B6" w:rsidRPr="005F229C" w:rsidRDefault="008C28DF">
      <w:pPr>
        <w:pStyle w:val="SCCLsocParty"/>
        <w:rPr>
          <w:lang w:val="fr-CA"/>
        </w:rPr>
      </w:pPr>
      <w:r w:rsidRPr="005F229C">
        <w:rPr>
          <w:lang w:val="fr-CA"/>
        </w:rPr>
        <w:t>Institut professionnel de la fonction publique du Canada,</w:t>
      </w:r>
    </w:p>
    <w:p w:rsidR="00A078B6" w:rsidRPr="005F229C" w:rsidRDefault="008C28DF">
      <w:pPr>
        <w:pStyle w:val="SCCLsocParty"/>
        <w:rPr>
          <w:lang w:val="fr-CA"/>
        </w:rPr>
      </w:pPr>
      <w:r w:rsidRPr="005F229C">
        <w:rPr>
          <w:lang w:val="fr-CA"/>
        </w:rPr>
        <w:t>Rogers Communications Inc.,</w:t>
      </w:r>
    </w:p>
    <w:p w:rsidR="007B4488" w:rsidRPr="005F229C" w:rsidRDefault="007261B5">
      <w:pPr>
        <w:pStyle w:val="SCCLsocParty"/>
        <w:rPr>
          <w:lang w:val="fr-CA"/>
        </w:rPr>
      </w:pPr>
      <w:r w:rsidRPr="005F229C">
        <w:rPr>
          <w:lang w:val="fr-CA"/>
        </w:rPr>
        <w:t>Société Radio</w:t>
      </w:r>
      <w:r w:rsidR="005F229C">
        <w:rPr>
          <w:lang w:val="fr-CA"/>
        </w:rPr>
        <w:noBreakHyphen/>
      </w:r>
      <w:r w:rsidRPr="005F229C">
        <w:rPr>
          <w:lang w:val="fr-CA"/>
        </w:rPr>
        <w:t>Canada,</w:t>
      </w:r>
    </w:p>
    <w:p w:rsidR="007B4488" w:rsidRPr="005F229C" w:rsidRDefault="008C28DF">
      <w:pPr>
        <w:pStyle w:val="SCCLsocParty"/>
        <w:rPr>
          <w:lang w:val="fr-CA"/>
        </w:rPr>
      </w:pPr>
      <w:r w:rsidRPr="005F229C">
        <w:rPr>
          <w:lang w:val="fr-CA"/>
        </w:rPr>
        <w:t>Bell Canada, B</w:t>
      </w:r>
      <w:r w:rsidR="007D7DC8" w:rsidRPr="005F229C">
        <w:rPr>
          <w:lang w:val="fr-CA"/>
        </w:rPr>
        <w:t>ell Solutions techniques i</w:t>
      </w:r>
      <w:r w:rsidR="00EA3D94" w:rsidRPr="005F229C">
        <w:rPr>
          <w:lang w:val="fr-CA"/>
        </w:rPr>
        <w:t>nc.,</w:t>
      </w:r>
    </w:p>
    <w:p w:rsidR="000B4416" w:rsidRPr="005F229C" w:rsidRDefault="008C28DF">
      <w:pPr>
        <w:pStyle w:val="SCCLsocParty"/>
        <w:rPr>
          <w:lang w:val="fr-CA"/>
        </w:rPr>
      </w:pPr>
      <w:r w:rsidRPr="005F229C">
        <w:rPr>
          <w:lang w:val="fr-CA"/>
        </w:rPr>
        <w:t xml:space="preserve">Bell Média </w:t>
      </w:r>
      <w:r w:rsidR="007D7DC8" w:rsidRPr="005F229C">
        <w:rPr>
          <w:lang w:val="fr-CA"/>
        </w:rPr>
        <w:t>i</w:t>
      </w:r>
      <w:r w:rsidRPr="005F229C">
        <w:rPr>
          <w:lang w:val="fr-CA"/>
        </w:rPr>
        <w:t>nc.,</w:t>
      </w:r>
      <w:r w:rsidR="007B4488" w:rsidRPr="005F229C">
        <w:rPr>
          <w:lang w:val="fr-CA"/>
        </w:rPr>
        <w:t xml:space="preserve"> </w:t>
      </w:r>
      <w:r w:rsidR="00097180" w:rsidRPr="005F229C">
        <w:rPr>
          <w:lang w:val="fr-CA"/>
        </w:rPr>
        <w:t>Association des employeurs m</w:t>
      </w:r>
      <w:r w:rsidRPr="005F229C">
        <w:rPr>
          <w:lang w:val="fr-CA"/>
        </w:rPr>
        <w:t>aritimes,</w:t>
      </w:r>
    </w:p>
    <w:p w:rsidR="000B4416" w:rsidRPr="005F229C" w:rsidRDefault="008C28DF">
      <w:pPr>
        <w:pStyle w:val="SCCLsocParty"/>
        <w:rPr>
          <w:lang w:val="fr-CA"/>
        </w:rPr>
      </w:pPr>
      <w:r w:rsidRPr="005F229C">
        <w:rPr>
          <w:lang w:val="fr-CA"/>
        </w:rPr>
        <w:t>Halifax Employers Association</w:t>
      </w:r>
      <w:r w:rsidR="00FE1558" w:rsidRPr="005F229C">
        <w:rPr>
          <w:lang w:val="fr-CA"/>
        </w:rPr>
        <w:t>,</w:t>
      </w:r>
    </w:p>
    <w:p w:rsidR="00A078B6" w:rsidRPr="005F229C" w:rsidRDefault="008C28DF">
      <w:pPr>
        <w:pStyle w:val="SCCLsocParty"/>
        <w:rPr>
          <w:lang w:val="fr-CA"/>
        </w:rPr>
      </w:pPr>
      <w:r w:rsidRPr="005F229C">
        <w:rPr>
          <w:lang w:val="fr-CA"/>
        </w:rPr>
        <w:t>British Columbia Maritime Employers Association,</w:t>
      </w:r>
    </w:p>
    <w:p w:rsidR="007261B5" w:rsidRPr="005F229C" w:rsidRDefault="008C28DF" w:rsidP="00EA3D94">
      <w:pPr>
        <w:pStyle w:val="SCCLsocLastPartyInRole"/>
        <w:spacing w:after="0"/>
        <w:rPr>
          <w:lang w:val="fr-CA"/>
        </w:rPr>
      </w:pPr>
      <w:r w:rsidRPr="005F229C">
        <w:rPr>
          <w:lang w:val="fr-CA"/>
        </w:rPr>
        <w:t>Syndicat international des débardeurs et magasiniers du Canada</w:t>
      </w:r>
      <w:r w:rsidR="000B4416" w:rsidRPr="005F229C">
        <w:rPr>
          <w:lang w:val="fr-CA"/>
        </w:rPr>
        <w:t>,</w:t>
      </w:r>
    </w:p>
    <w:p w:rsidR="00EA3D94" w:rsidRPr="005F229C" w:rsidRDefault="00F40830" w:rsidP="00EA3D94">
      <w:pPr>
        <w:pStyle w:val="SCCLsocLastPartyInRole"/>
        <w:spacing w:after="0"/>
        <w:rPr>
          <w:lang w:val="fr-CA"/>
        </w:rPr>
      </w:pPr>
      <w:r w:rsidRPr="005F229C">
        <w:rPr>
          <w:lang w:val="fr-CA"/>
        </w:rPr>
        <w:t>Association i</w:t>
      </w:r>
      <w:r w:rsidR="008C28DF" w:rsidRPr="005F229C">
        <w:rPr>
          <w:lang w:val="fr-CA"/>
        </w:rPr>
        <w:t>nternational</w:t>
      </w:r>
      <w:r w:rsidRPr="005F229C">
        <w:rPr>
          <w:lang w:val="fr-CA"/>
        </w:rPr>
        <w:t>e</w:t>
      </w:r>
      <w:r w:rsidR="008C28DF" w:rsidRPr="005F229C">
        <w:rPr>
          <w:lang w:val="fr-CA"/>
        </w:rPr>
        <w:t xml:space="preserve"> d</w:t>
      </w:r>
      <w:r w:rsidR="000B4416" w:rsidRPr="005F229C">
        <w:rPr>
          <w:lang w:val="fr-CA"/>
        </w:rPr>
        <w:t>es</w:t>
      </w:r>
      <w:r w:rsidR="008C28DF" w:rsidRPr="005F229C">
        <w:rPr>
          <w:lang w:val="fr-CA"/>
        </w:rPr>
        <w:t xml:space="preserve"> </w:t>
      </w:r>
      <w:r w:rsidR="000B4416" w:rsidRPr="005F229C">
        <w:rPr>
          <w:lang w:val="fr-CA"/>
        </w:rPr>
        <w:t>débardeurs</w:t>
      </w:r>
      <w:r w:rsidR="007261B5" w:rsidRPr="005F229C">
        <w:rPr>
          <w:lang w:val="fr-CA"/>
        </w:rPr>
        <w:t>,</w:t>
      </w:r>
    </w:p>
    <w:p w:rsidR="00EA3D94" w:rsidRPr="005F229C" w:rsidRDefault="008C28DF" w:rsidP="00EA3D94">
      <w:pPr>
        <w:pStyle w:val="SCCLsocLastPartyInRole"/>
        <w:spacing w:after="0"/>
        <w:rPr>
          <w:lang w:val="fr-CA"/>
        </w:rPr>
      </w:pPr>
      <w:r w:rsidRPr="005F229C">
        <w:rPr>
          <w:lang w:val="fr-CA"/>
        </w:rPr>
        <w:t>section</w:t>
      </w:r>
      <w:r w:rsidR="000B4416" w:rsidRPr="005F229C">
        <w:rPr>
          <w:lang w:val="fr-CA"/>
        </w:rPr>
        <w:t>s locales 269,</w:t>
      </w:r>
      <w:r w:rsidR="00D64A87" w:rsidRPr="005F229C">
        <w:rPr>
          <w:lang w:val="fr-CA"/>
        </w:rPr>
        <w:t xml:space="preserve"> </w:t>
      </w:r>
      <w:r w:rsidR="007261B5" w:rsidRPr="005F229C">
        <w:rPr>
          <w:lang w:val="fr-CA"/>
        </w:rPr>
        <w:t>1341, 1657 et 1825 et</w:t>
      </w:r>
    </w:p>
    <w:p w:rsidR="00A078B6" w:rsidRPr="005F229C" w:rsidRDefault="008C28DF" w:rsidP="007261B5">
      <w:pPr>
        <w:pStyle w:val="SCCLsocLastPartyInRole"/>
        <w:rPr>
          <w:lang w:val="fr-CA"/>
        </w:rPr>
      </w:pPr>
      <w:r w:rsidRPr="005F229C">
        <w:rPr>
          <w:lang w:val="fr-CA"/>
        </w:rPr>
        <w:t>Syndicat canadien de la fonction publique, section locale 375</w:t>
      </w:r>
      <w:r w:rsidRPr="005F229C">
        <w:rPr>
          <w:rStyle w:val="SCCLsocPartyRole"/>
          <w:lang w:val="fr-CA"/>
        </w:rPr>
        <w:tab/>
        <w:t>Intervenants</w:t>
      </w:r>
    </w:p>
    <w:p w:rsidR="004D7D95" w:rsidRPr="005F229C" w:rsidRDefault="00EA3D94" w:rsidP="00442197">
      <w:pPr>
        <w:spacing w:after="720"/>
        <w:rPr>
          <w:b/>
          <w:lang w:val="fr-CA"/>
        </w:rPr>
      </w:pPr>
      <w:r w:rsidRPr="005F229C">
        <w:rPr>
          <w:b/>
          <w:lang w:val="fr-CA"/>
        </w:rPr>
        <w:t>Répertorié</w:t>
      </w:r>
      <w:r w:rsidR="005F229C">
        <w:rPr>
          <w:b/>
          <w:lang w:val="fr-CA"/>
        </w:rPr>
        <w:t> :</w:t>
      </w:r>
      <w:r w:rsidRPr="005F229C">
        <w:rPr>
          <w:b/>
          <w:lang w:val="fr-CA"/>
        </w:rPr>
        <w:t> </w:t>
      </w:r>
      <w:r w:rsidR="00EB3CEE" w:rsidRPr="005F229C">
        <w:rPr>
          <w:rStyle w:val="SCCAppellantForIndexChar"/>
          <w:lang w:val="fr-CA"/>
        </w:rPr>
        <w:t>Société c</w:t>
      </w:r>
      <w:r w:rsidR="004D7D95" w:rsidRPr="005F229C">
        <w:rPr>
          <w:rStyle w:val="SCCAppellantForIndexChar"/>
          <w:lang w:val="fr-CA"/>
        </w:rPr>
        <w:t>anadienne des po</w:t>
      </w:r>
      <w:r w:rsidRPr="005F229C">
        <w:rPr>
          <w:rStyle w:val="SCCAppellantForIndexChar"/>
          <w:lang w:val="fr-CA"/>
        </w:rPr>
        <w:t>stes</w:t>
      </w:r>
      <w:r w:rsidR="004D7D95" w:rsidRPr="005F229C">
        <w:rPr>
          <w:b/>
          <w:lang w:val="fr-CA"/>
        </w:rPr>
        <w:t xml:space="preserve"> </w:t>
      </w:r>
      <w:r w:rsidR="004D7D95" w:rsidRPr="005F229C">
        <w:rPr>
          <w:b/>
          <w:i/>
          <w:lang w:val="fr-CA"/>
        </w:rPr>
        <w:t>c.</w:t>
      </w:r>
      <w:r w:rsidR="004D7D95" w:rsidRPr="005F229C">
        <w:rPr>
          <w:b/>
          <w:lang w:val="fr-CA"/>
        </w:rPr>
        <w:t xml:space="preserve"> </w:t>
      </w:r>
      <w:r w:rsidR="007970E4" w:rsidRPr="005F229C">
        <w:rPr>
          <w:b/>
          <w:lang w:val="fr-CA"/>
        </w:rPr>
        <w:t>Syndicat des travailleurs et travailleuses des postes</w:t>
      </w:r>
    </w:p>
    <w:p w:rsidR="004D7D95" w:rsidRPr="005F229C" w:rsidRDefault="00D17B0E" w:rsidP="007261B5">
      <w:pPr>
        <w:pStyle w:val="SCCSystemYear"/>
        <w:spacing w:after="720"/>
        <w:jc w:val="both"/>
        <w:rPr>
          <w:lang w:val="fr-CA"/>
        </w:rPr>
      </w:pPr>
      <w:r w:rsidRPr="005F229C">
        <w:rPr>
          <w:lang w:val="fr-CA"/>
        </w:rPr>
        <w:lastRenderedPageBreak/>
        <w:t>2019</w:t>
      </w:r>
      <w:r w:rsidR="004D7D95" w:rsidRPr="005F229C">
        <w:rPr>
          <w:lang w:val="fr-CA"/>
        </w:rPr>
        <w:t xml:space="preserve"> CSC </w:t>
      </w:r>
      <w:r w:rsidR="00CF5E22" w:rsidRPr="005F229C">
        <w:rPr>
          <w:lang w:val="fr-CA"/>
        </w:rPr>
        <w:t>67</w:t>
      </w:r>
    </w:p>
    <w:p w:rsidR="004D7D95" w:rsidRPr="005F229C" w:rsidRDefault="004D7D95" w:rsidP="007261B5">
      <w:pPr>
        <w:spacing w:after="720"/>
        <w:jc w:val="both"/>
        <w:rPr>
          <w:lang w:val="fr-CA"/>
        </w:rPr>
      </w:pPr>
      <w:r w:rsidRPr="005F229C">
        <w:rPr>
          <w:lang w:val="fr-CA"/>
        </w:rPr>
        <w:t>N</w:t>
      </w:r>
      <w:r w:rsidRPr="005F229C">
        <w:rPr>
          <w:vertAlign w:val="superscript"/>
          <w:lang w:val="fr-CA"/>
        </w:rPr>
        <w:t>o</w:t>
      </w:r>
      <w:r w:rsidRPr="005F229C">
        <w:rPr>
          <w:lang w:val="fr-CA"/>
        </w:rPr>
        <w:t xml:space="preserve"> du greffe</w:t>
      </w:r>
      <w:r w:rsidR="005F229C">
        <w:rPr>
          <w:lang w:val="fr-CA"/>
        </w:rPr>
        <w:t> :</w:t>
      </w:r>
      <w:r w:rsidRPr="005F229C">
        <w:rPr>
          <w:lang w:val="fr-CA"/>
        </w:rPr>
        <w:t> 37787.</w:t>
      </w:r>
    </w:p>
    <w:p w:rsidR="004D7D95" w:rsidRPr="005F229C" w:rsidRDefault="00D17B0E" w:rsidP="004F32C2">
      <w:pPr>
        <w:spacing w:after="720"/>
        <w:jc w:val="both"/>
        <w:rPr>
          <w:lang w:val="fr-CA"/>
        </w:rPr>
      </w:pPr>
      <w:r w:rsidRPr="005F229C">
        <w:rPr>
          <w:lang w:val="fr-CA"/>
        </w:rPr>
        <w:t>2018</w:t>
      </w:r>
      <w:r w:rsidR="005F229C">
        <w:rPr>
          <w:lang w:val="fr-CA"/>
        </w:rPr>
        <w:t> :</w:t>
      </w:r>
      <w:r w:rsidR="00D90EDC">
        <w:rPr>
          <w:lang w:val="fr-CA"/>
        </w:rPr>
        <w:t> 10 </w:t>
      </w:r>
      <w:r w:rsidRPr="005F229C">
        <w:rPr>
          <w:lang w:val="fr-CA"/>
        </w:rPr>
        <w:t>décembre</w:t>
      </w:r>
      <w:r w:rsidR="004D7D95" w:rsidRPr="005F229C">
        <w:rPr>
          <w:lang w:val="fr-CA"/>
        </w:rPr>
        <w:t xml:space="preserve">; </w:t>
      </w:r>
      <w:r w:rsidR="001D4231" w:rsidRPr="005F229C">
        <w:rPr>
          <w:lang w:val="fr-CA"/>
        </w:rPr>
        <w:t>2019</w:t>
      </w:r>
      <w:r w:rsidR="005F229C">
        <w:rPr>
          <w:lang w:val="fr-CA"/>
        </w:rPr>
        <w:t> :</w:t>
      </w:r>
      <w:r w:rsidR="00D90EDC">
        <w:rPr>
          <w:lang w:val="fr-CA"/>
        </w:rPr>
        <w:t> 20 </w:t>
      </w:r>
      <w:r w:rsidR="001D4231" w:rsidRPr="005F229C">
        <w:rPr>
          <w:lang w:val="fr-CA"/>
        </w:rPr>
        <w:t>décembre.</w:t>
      </w:r>
    </w:p>
    <w:p w:rsidR="004D7D95" w:rsidRPr="005F229C" w:rsidRDefault="004D7D95" w:rsidP="004F32C2">
      <w:pPr>
        <w:spacing w:after="720"/>
        <w:jc w:val="both"/>
        <w:rPr>
          <w:lang w:val="fr-CA"/>
        </w:rPr>
      </w:pPr>
      <w:r w:rsidRPr="005F229C">
        <w:rPr>
          <w:lang w:val="fr-CA"/>
        </w:rPr>
        <w:t>Présents</w:t>
      </w:r>
      <w:r w:rsidR="005F229C">
        <w:rPr>
          <w:lang w:val="fr-CA"/>
        </w:rPr>
        <w:t> :</w:t>
      </w:r>
      <w:r w:rsidRPr="005F229C">
        <w:rPr>
          <w:lang w:val="fr-CA"/>
        </w:rPr>
        <w:t> Le juge en chef Wagner et les juges Abella, Moldaver, Karakatsanis, Gascon, Côté, Brown, Rowe et Martin.</w:t>
      </w:r>
    </w:p>
    <w:p w:rsidR="004D7D95" w:rsidRPr="005F229C" w:rsidRDefault="004D7D95" w:rsidP="004F32C2">
      <w:pPr>
        <w:spacing w:after="720"/>
        <w:jc w:val="both"/>
        <w:rPr>
          <w:smallCaps/>
          <w:lang w:val="fr-CA"/>
        </w:rPr>
      </w:pPr>
      <w:r w:rsidRPr="005F229C">
        <w:rPr>
          <w:smallCaps/>
          <w:lang w:val="fr-CA"/>
        </w:rPr>
        <w:t>en appel de la cour d</w:t>
      </w:r>
      <w:r w:rsidR="000B4416" w:rsidRPr="005F229C">
        <w:rPr>
          <w:smallCaps/>
          <w:lang w:val="fr-CA"/>
        </w:rPr>
        <w:t>’</w:t>
      </w:r>
      <w:r w:rsidRPr="005F229C">
        <w:rPr>
          <w:smallCaps/>
          <w:lang w:val="fr-CA"/>
        </w:rPr>
        <w:t>appel fédérale</w:t>
      </w:r>
    </w:p>
    <w:p w:rsidR="00217838" w:rsidRPr="005F229C" w:rsidRDefault="004D7D95" w:rsidP="00217838">
      <w:pPr>
        <w:pStyle w:val="SCCNormalDoubleSpacing"/>
        <w:spacing w:after="480"/>
        <w:rPr>
          <w:i/>
          <w:lang w:val="fr-CA"/>
        </w:rPr>
      </w:pPr>
      <w:r w:rsidRPr="005F229C">
        <w:rPr>
          <w:lang w:val="fr-CA"/>
        </w:rPr>
        <w:tab/>
      </w:r>
      <w:r w:rsidR="00217838" w:rsidRPr="005F229C">
        <w:rPr>
          <w:lang w:val="fr-CA"/>
        </w:rPr>
        <w:tab/>
      </w:r>
      <w:r w:rsidR="00217838" w:rsidRPr="005F229C">
        <w:rPr>
          <w:i/>
          <w:lang w:val="fr-CA"/>
        </w:rPr>
        <w:t>Droit administratif — Contrôle judiciaire — Relations du travail — Obligation d’inspecter le lieu de travail imposée à l’employeur régi par les lois fédérales — Conclusion d’une agente de santé et de sécurité selon laquelle l’employeur n’a pas veillé à ce que le lieu de travail soit inspecté au complet au moins une fois par année — Agent d’appel concluant que l’obligation de l’employeur d’inspecter le lieu de travail ne s’applique qu’aux parties du lieu de travail placées sous l’entière autorité de l’employeur</w:t>
      </w:r>
      <w:r w:rsidR="00C64474" w:rsidRPr="005F229C">
        <w:rPr>
          <w:i/>
          <w:lang w:val="fr-CA"/>
        </w:rPr>
        <w:t>,</w:t>
      </w:r>
      <w:r w:rsidR="00217838" w:rsidRPr="005F229C">
        <w:rPr>
          <w:i/>
          <w:lang w:val="fr-CA"/>
        </w:rPr>
        <w:t xml:space="preserve"> et annulant le constat de contravention — L’interprétation donnée par l’agent d’appel à l’obligation d’inspecter le lieu de travail est</w:t>
      </w:r>
      <w:r w:rsidR="005F229C">
        <w:rPr>
          <w:i/>
          <w:lang w:val="fr-CA"/>
        </w:rPr>
        <w:noBreakHyphen/>
      </w:r>
      <w:r w:rsidR="00217838" w:rsidRPr="005F229C">
        <w:rPr>
          <w:i/>
          <w:lang w:val="fr-CA"/>
        </w:rPr>
        <w:t>elle raisonnable? — Application du cadre d’analyse établi dans l’arrêt Vavilov pour déterminer la norme de contrôle applicable et effectuer un contrôle selon la norme de la décision raisonnable — Code canadien du travail, L.R.C. 1985, c. L</w:t>
      </w:r>
      <w:r w:rsidR="005F229C">
        <w:rPr>
          <w:i/>
          <w:lang w:val="fr-CA"/>
        </w:rPr>
        <w:noBreakHyphen/>
      </w:r>
      <w:r w:rsidR="00217838" w:rsidRPr="005F229C">
        <w:rPr>
          <w:i/>
          <w:lang w:val="fr-CA"/>
        </w:rPr>
        <w:t xml:space="preserve">2, </w:t>
      </w:r>
      <w:r w:rsidR="00442197">
        <w:rPr>
          <w:i/>
          <w:lang w:val="fr-CA"/>
        </w:rPr>
        <w:t>art</w:t>
      </w:r>
      <w:r w:rsidR="005F229C">
        <w:rPr>
          <w:i/>
          <w:lang w:val="fr-CA"/>
        </w:rPr>
        <w:t>. </w:t>
      </w:r>
      <w:r w:rsidR="00217838" w:rsidRPr="005F229C">
        <w:rPr>
          <w:i/>
          <w:lang w:val="fr-CA"/>
        </w:rPr>
        <w:t>125(1)z.12).</w:t>
      </w:r>
    </w:p>
    <w:p w:rsidR="00217838" w:rsidRPr="005F229C" w:rsidRDefault="00217838" w:rsidP="00217838">
      <w:pPr>
        <w:pStyle w:val="SCCNormalDoubleSpacing"/>
        <w:spacing w:after="480"/>
        <w:rPr>
          <w:lang w:val="fr-CA"/>
        </w:rPr>
      </w:pPr>
      <w:r w:rsidRPr="005F229C">
        <w:rPr>
          <w:lang w:val="fr-CA"/>
        </w:rPr>
        <w:tab/>
        <w:t xml:space="preserve">À la suite d’une plainte et d’une enquête subséquente, une agente de santé et de sécurité conclut que la Société canadienne des postes, à titre d’employeur régi par les lois fédérales, contrevient à certaines obligations en matière de santé et de sécurité énoncées à la partie II du </w:t>
      </w:r>
      <w:r w:rsidRPr="005F229C">
        <w:rPr>
          <w:i/>
          <w:lang w:val="fr-CA"/>
        </w:rPr>
        <w:t xml:space="preserve">Code canadien du travail </w:t>
      </w:r>
      <w:r w:rsidRPr="005F229C">
        <w:rPr>
          <w:lang w:val="fr-CA"/>
        </w:rPr>
        <w:t xml:space="preserve">(« Code »). La plainte a été déposée </w:t>
      </w:r>
      <w:r w:rsidRPr="005F229C">
        <w:rPr>
          <w:lang w:val="fr-CA"/>
        </w:rPr>
        <w:lastRenderedPageBreak/>
        <w:t xml:space="preserve">par une représentante du syndicat des facteurs, qui allègue que les inspections de sécurité du lieu de travail effectuées par le comité </w:t>
      </w:r>
      <w:r w:rsidR="00071A1C">
        <w:rPr>
          <w:lang w:val="fr-CA"/>
        </w:rPr>
        <w:t xml:space="preserve">mixte </w:t>
      </w:r>
      <w:r w:rsidRPr="005F229C">
        <w:rPr>
          <w:lang w:val="fr-CA"/>
        </w:rPr>
        <w:t>de santé et de sécurité devraient s’appliquer aux itinéraires des facteurs et aux points de remise. L’agente de santé et de sécurité donne une instruction portant que l’employeur ne se conforme pas à l’</w:t>
      </w:r>
      <w:r w:rsidR="005F229C">
        <w:rPr>
          <w:lang w:val="fr-CA"/>
        </w:rPr>
        <w:t>al. </w:t>
      </w:r>
      <w:r w:rsidRPr="005F229C">
        <w:rPr>
          <w:lang w:val="fr-CA"/>
        </w:rPr>
        <w:t>125(1)z.12) du Code, selon lequel « l’employeur est tenu, en ce qui concerne tout lieu de travail placé sous son entière autorité ainsi que toute tâche accomplie par un employé dans un lieu de travail ne relevant pas de son autorité, dans la mesure où cette tâche, elle, en relève</w:t>
      </w:r>
      <w:r w:rsidR="005F229C">
        <w:rPr>
          <w:lang w:val="fr-CA"/>
        </w:rPr>
        <w:t> :</w:t>
      </w:r>
      <w:r w:rsidRPr="005F229C">
        <w:rPr>
          <w:lang w:val="fr-CA"/>
        </w:rPr>
        <w:t xml:space="preserve"> de veiller à ce que le comité local ou le représentant inspecte chaque mois tout ou partie du lieu de travail, de façon que celui</w:t>
      </w:r>
      <w:r w:rsidR="005F229C">
        <w:rPr>
          <w:lang w:val="fr-CA"/>
        </w:rPr>
        <w:noBreakHyphen/>
      </w:r>
      <w:r w:rsidRPr="005F229C">
        <w:rPr>
          <w:lang w:val="fr-CA"/>
        </w:rPr>
        <w:t xml:space="preserve">ci soit inspecté au complet au moins une fois par année ». L’employeur interjette appel de l’instruction de l’agente de santé et de sécurité devant le Tribunal de santé et sécurité au travail Canada. L’agent d’appel annule le constat de contravention ayant trait aux inspections du lieu de travail, jugeant que l’obligation d’inspecter le lieu de travail ne s’applique qu’aux parties du lieu de travail placées sous l’entière autorité de l’employeur, ce qui ne comprend pas les itinéraires des facteurs et les points de remise. La Cour fédérale rejette la demande de contrôle judiciaire du syndicat. La Cour d’appel fédérale accueille l’appel </w:t>
      </w:r>
      <w:r w:rsidR="003D5F22">
        <w:rPr>
          <w:lang w:val="fr-CA"/>
        </w:rPr>
        <w:t xml:space="preserve">du syndicat </w:t>
      </w:r>
      <w:r w:rsidRPr="005F229C">
        <w:rPr>
          <w:lang w:val="fr-CA"/>
        </w:rPr>
        <w:t>et rétablit l’instruction de l’agente de santé et de sécurité portant que l’employeur ne se conforme pas à l’</w:t>
      </w:r>
      <w:r w:rsidR="005F229C">
        <w:rPr>
          <w:lang w:val="fr-CA"/>
        </w:rPr>
        <w:t>al. </w:t>
      </w:r>
      <w:r w:rsidRPr="005F229C">
        <w:rPr>
          <w:lang w:val="fr-CA"/>
        </w:rPr>
        <w:t xml:space="preserve">125(1)z.12) du Code. </w:t>
      </w:r>
    </w:p>
    <w:p w:rsidR="00217838" w:rsidRPr="005F229C" w:rsidRDefault="00217838" w:rsidP="00217838">
      <w:pPr>
        <w:pStyle w:val="SCCNormalDoubleSpacing"/>
        <w:spacing w:after="480"/>
        <w:rPr>
          <w:lang w:val="fr-CA"/>
        </w:rPr>
      </w:pPr>
      <w:r w:rsidRPr="005F229C">
        <w:rPr>
          <w:lang w:val="fr-CA"/>
        </w:rPr>
        <w:tab/>
      </w:r>
      <w:r w:rsidRPr="005F229C">
        <w:rPr>
          <w:rStyle w:val="QuoteChar"/>
          <w:color w:val="auto"/>
          <w:lang w:val="fr-CA"/>
        </w:rPr>
        <w:t xml:space="preserve">Arrêt </w:t>
      </w:r>
      <w:r w:rsidRPr="005F229C">
        <w:rPr>
          <w:rStyle w:val="QuoteChar"/>
          <w:i w:val="0"/>
          <w:color w:val="auto"/>
          <w:lang w:val="fr-CA"/>
        </w:rPr>
        <w:t>(les juges</w:t>
      </w:r>
      <w:r w:rsidRPr="005F229C">
        <w:rPr>
          <w:rStyle w:val="QuoteChar"/>
          <w:color w:val="auto"/>
          <w:lang w:val="fr-CA"/>
        </w:rPr>
        <w:t xml:space="preserve"> </w:t>
      </w:r>
      <w:r w:rsidRPr="005F229C">
        <w:rPr>
          <w:rStyle w:val="QuoteChar"/>
          <w:i w:val="0"/>
          <w:color w:val="auto"/>
          <w:lang w:val="fr-CA"/>
        </w:rPr>
        <w:t>Abella et Martin sont dissidentes)</w:t>
      </w:r>
      <w:r w:rsidR="005F229C">
        <w:rPr>
          <w:rStyle w:val="QuoteChar"/>
          <w:i w:val="0"/>
          <w:color w:val="auto"/>
          <w:lang w:val="fr-CA"/>
        </w:rPr>
        <w:t> :</w:t>
      </w:r>
      <w:r w:rsidRPr="005F229C">
        <w:rPr>
          <w:lang w:val="fr-CA"/>
        </w:rPr>
        <w:t xml:space="preserve"> Le pourvoi est accueilli et l’ordonnance de l’agent d’appel est rétablie.</w:t>
      </w:r>
    </w:p>
    <w:p w:rsidR="00217838" w:rsidRPr="005F229C" w:rsidRDefault="00217838" w:rsidP="00217838">
      <w:pPr>
        <w:pStyle w:val="SCCNormalDoubleSpacing"/>
        <w:spacing w:after="480"/>
        <w:rPr>
          <w:lang w:val="fr-CA"/>
        </w:rPr>
      </w:pPr>
      <w:r w:rsidRPr="005F229C">
        <w:rPr>
          <w:lang w:val="fr-CA"/>
        </w:rPr>
        <w:tab/>
      </w:r>
      <w:r w:rsidRPr="005F229C">
        <w:rPr>
          <w:i/>
          <w:lang w:val="fr-CA"/>
        </w:rPr>
        <w:t xml:space="preserve">Le </w:t>
      </w:r>
      <w:r w:rsidRPr="005F229C">
        <w:rPr>
          <w:lang w:val="fr-CA"/>
        </w:rPr>
        <w:t xml:space="preserve">juge en chef Wagner et les juges Moldaver, Karakatsanis, Gascon, Côté, Brown et </w:t>
      </w:r>
      <w:r w:rsidRPr="00DE49BE">
        <w:rPr>
          <w:lang w:val="fr-CA"/>
        </w:rPr>
        <w:t>Rowe</w:t>
      </w:r>
      <w:r w:rsidR="005F229C">
        <w:rPr>
          <w:lang w:val="fr-CA"/>
        </w:rPr>
        <w:t> :</w:t>
      </w:r>
      <w:r w:rsidRPr="005F229C">
        <w:rPr>
          <w:lang w:val="fr-CA"/>
        </w:rPr>
        <w:t xml:space="preserve"> Suivant le cadre d’analyse établi dans l’arrêt </w:t>
      </w:r>
      <w:r w:rsidRPr="005F229C">
        <w:rPr>
          <w:i/>
          <w:lang w:val="fr-CA"/>
        </w:rPr>
        <w:t xml:space="preserve">Vavilov </w:t>
      </w:r>
      <w:r w:rsidRPr="005F229C">
        <w:rPr>
          <w:lang w:val="fr-CA"/>
        </w:rPr>
        <w:t xml:space="preserve">pour déterminer la norme de contrôle applicable et effectuer un contrôle selon la norme de la décision </w:t>
      </w:r>
      <w:r w:rsidRPr="005F229C">
        <w:rPr>
          <w:lang w:val="fr-CA"/>
        </w:rPr>
        <w:lastRenderedPageBreak/>
        <w:t>raisonnable, la décision de l’agent d’appel selon laquelle l’obligation d’inspecter le lieu de travail prévue à l’</w:t>
      </w:r>
      <w:r w:rsidR="005F229C">
        <w:rPr>
          <w:lang w:val="fr-CA"/>
        </w:rPr>
        <w:t>al. </w:t>
      </w:r>
      <w:r w:rsidR="002F3266" w:rsidRPr="005F229C">
        <w:rPr>
          <w:rStyle w:val="QuoteChar"/>
          <w:rFonts w:eastAsiaTheme="minorEastAsia"/>
          <w:i w:val="0"/>
          <w:color w:val="auto"/>
          <w:lang w:val="fr-CA"/>
        </w:rPr>
        <w:t>125(1)</w:t>
      </w:r>
      <w:r w:rsidRPr="005F229C">
        <w:rPr>
          <w:rStyle w:val="QuoteChar"/>
          <w:rFonts w:eastAsiaTheme="minorEastAsia"/>
          <w:i w:val="0"/>
          <w:color w:val="auto"/>
          <w:lang w:val="fr-CA"/>
        </w:rPr>
        <w:t>z.12) du Code</w:t>
      </w:r>
      <w:r w:rsidRPr="005F229C">
        <w:rPr>
          <w:rStyle w:val="QuoteChar"/>
          <w:rFonts w:eastAsiaTheme="minorEastAsia"/>
          <w:color w:val="auto"/>
          <w:lang w:val="fr-CA"/>
        </w:rPr>
        <w:t xml:space="preserve"> </w:t>
      </w:r>
      <w:r w:rsidRPr="005F229C">
        <w:rPr>
          <w:lang w:val="fr-CA"/>
        </w:rPr>
        <w:t>peut seulement s’appliquer à un employeur ayant autorité sur le lieu de travail physique est raisonnable. L’agent d’appel suit un raisonnement rationnel et logique dans son analyse et sa décision peut se justifier au regard des contraintes juridiques et factuelles pertinentes. Il utilise des principes d’interprétation des lois bien établis, examine les arguments et la preuve qui lui ont été présentés et met à profit sa connaissance du domaine lorsqu’il prend en compte les conséquences pratiques de son interprétation. L’interprétation à laquelle il en arrive s’harmonise avec le libellé, le contexte et l’objet de la disposition et est conforme aux décisions antérieures du Tribunal de santé et sécurité au travail Canada.</w:t>
      </w:r>
    </w:p>
    <w:p w:rsidR="00217838" w:rsidRPr="005F229C" w:rsidRDefault="00217838" w:rsidP="00217838">
      <w:pPr>
        <w:pStyle w:val="SCCNormalDoubleSpacing"/>
        <w:spacing w:after="480"/>
        <w:rPr>
          <w:lang w:val="fr-CA"/>
        </w:rPr>
      </w:pPr>
      <w:r w:rsidRPr="005F229C">
        <w:rPr>
          <w:lang w:val="fr-CA"/>
        </w:rPr>
        <w:tab/>
        <w:t xml:space="preserve">La décision de l’agent d’appel est assujettie au contrôle selon la norme de la décision raisonnable. Aucune des situations décrites dans </w:t>
      </w:r>
      <w:r w:rsidR="00E327AB">
        <w:rPr>
          <w:lang w:val="fr-CA"/>
        </w:rPr>
        <w:t xml:space="preserve">l’arrêt </w:t>
      </w:r>
      <w:r w:rsidRPr="005F229C">
        <w:rPr>
          <w:i/>
          <w:lang w:val="fr-CA"/>
        </w:rPr>
        <w:t xml:space="preserve">Vavilov </w:t>
      </w:r>
      <w:r w:rsidRPr="005F229C">
        <w:rPr>
          <w:lang w:val="fr-CA"/>
        </w:rPr>
        <w:t>justifiant de déroger à la présomption d’application de la norme de la décision raisonnable ne s’applique en l’espèce</w:t>
      </w:r>
      <w:r w:rsidR="005F229C">
        <w:rPr>
          <w:lang w:val="fr-CA"/>
        </w:rPr>
        <w:t> :</w:t>
      </w:r>
      <w:r w:rsidRPr="005F229C">
        <w:rPr>
          <w:lang w:val="fr-CA"/>
        </w:rPr>
        <w:t xml:space="preserve"> le législateur n’a pas prescrit une norme de contrôle ni prévu un droit d’appel de la décision administrative devant une cour de justice, et la question faisant l’objet du contrôle ne tombe pas dans l’une des catégories de questions à l’égard desquelles la primauté du droit commande un contrôle selon la norme de la décision correcte.</w:t>
      </w:r>
    </w:p>
    <w:p w:rsidR="00217838" w:rsidRPr="005F229C" w:rsidRDefault="00217838" w:rsidP="00217838">
      <w:pPr>
        <w:pStyle w:val="SCCNormalDoubleSpacing"/>
        <w:spacing w:after="480"/>
        <w:rPr>
          <w:lang w:val="fr-CA"/>
        </w:rPr>
      </w:pPr>
      <w:r w:rsidRPr="005F229C">
        <w:rPr>
          <w:lang w:val="fr-CA"/>
        </w:rPr>
        <w:tab/>
        <w:t xml:space="preserve">Suivant l’arrêt </w:t>
      </w:r>
      <w:r w:rsidRPr="005F229C">
        <w:rPr>
          <w:i/>
          <w:lang w:val="fr-CA"/>
        </w:rPr>
        <w:t>Vavilov</w:t>
      </w:r>
      <w:r w:rsidRPr="005F229C">
        <w:rPr>
          <w:lang w:val="fr-CA"/>
        </w:rPr>
        <w:t>,</w:t>
      </w:r>
      <w:r w:rsidRPr="005F229C">
        <w:rPr>
          <w:i/>
          <w:lang w:val="fr-CA"/>
        </w:rPr>
        <w:t xml:space="preserve"> </w:t>
      </w:r>
      <w:r w:rsidRPr="005F229C">
        <w:rPr>
          <w:szCs w:val="24"/>
          <w:lang w:val="fr-CA"/>
        </w:rPr>
        <w:t xml:space="preserve">lorsqu’elle procède au contrôle d’une décision selon la norme de la décision </w:t>
      </w:r>
      <w:r w:rsidRPr="005F229C">
        <w:rPr>
          <w:lang w:val="fr-CA"/>
        </w:rPr>
        <w:t xml:space="preserve">raisonnable, </w:t>
      </w:r>
      <w:r w:rsidRPr="005F229C">
        <w:rPr>
          <w:noProof/>
          <w:lang w:val="fr-CA"/>
        </w:rPr>
        <w:t xml:space="preserve">une cour de révision doit d’abord examiner les motifs donnés avec une </w:t>
      </w:r>
      <w:r w:rsidRPr="005F229C">
        <w:rPr>
          <w:lang w:val="fr-CA"/>
        </w:rPr>
        <w:t>attention</w:t>
      </w:r>
      <w:r w:rsidRPr="005F229C">
        <w:rPr>
          <w:noProof/>
          <w:lang w:val="fr-CA"/>
        </w:rPr>
        <w:t xml:space="preserve"> respectueuse et chercher à comprendre le fil du raisonnement suivi par le décideur pour en arriver à une conclusion</w:t>
      </w:r>
      <w:r w:rsidRPr="005F229C">
        <w:rPr>
          <w:szCs w:val="24"/>
          <w:lang w:val="fr-CA"/>
        </w:rPr>
        <w:t>.</w:t>
      </w:r>
      <w:r w:rsidRPr="005F229C">
        <w:rPr>
          <w:lang w:val="fr-CA"/>
        </w:rPr>
        <w:t xml:space="preserve"> Ce que doit faire le titulaire de pouvoirs délégués par la loi pour justifier sa décision dépend du contexte </w:t>
      </w:r>
      <w:r w:rsidRPr="005F229C">
        <w:rPr>
          <w:lang w:val="fr-CA"/>
        </w:rPr>
        <w:lastRenderedPageBreak/>
        <w:t xml:space="preserve">dans lequel la décision est rendue. La décision raisonnable </w:t>
      </w:r>
      <w:r w:rsidRPr="005F229C">
        <w:rPr>
          <w:noProof/>
          <w:lang w:val="fr-CA"/>
        </w:rPr>
        <w:t>doit être fondée sur une analyse intrinsèquement cohérente et rationnelle et justifiée au regard des contraintes juridiques et factuelles auxquelles le décideur est assujetti</w:t>
      </w:r>
      <w:r w:rsidRPr="005F229C">
        <w:rPr>
          <w:lang w:val="fr-CA"/>
        </w:rPr>
        <w:t xml:space="preserve">. </w:t>
      </w:r>
    </w:p>
    <w:p w:rsidR="00217838" w:rsidRPr="005F229C" w:rsidRDefault="00217838" w:rsidP="00217838">
      <w:pPr>
        <w:pStyle w:val="SCCNormalDoubleSpacing"/>
        <w:spacing w:after="480"/>
        <w:rPr>
          <w:lang w:val="fr-CA"/>
        </w:rPr>
      </w:pPr>
      <w:r w:rsidRPr="005F229C">
        <w:rPr>
          <w:lang w:val="fr-CA"/>
        </w:rPr>
        <w:tab/>
        <w:t>En l’espèce, les motifs de l’agent d’appel ne révèlent aucune faille décisive sur le plan de la rationalité ou de la logique. Sa décision n’est pas déraisonnable parce que celui</w:t>
      </w:r>
      <w:r w:rsidR="005F229C">
        <w:rPr>
          <w:lang w:val="fr-CA"/>
        </w:rPr>
        <w:noBreakHyphen/>
      </w:r>
      <w:r w:rsidRPr="005F229C">
        <w:rPr>
          <w:lang w:val="fr-CA"/>
        </w:rPr>
        <w:t>ci reconnaît, d’une part, que l’employeur, au moyen de ses politiques internes, s’efforce de recenser et de supprimer les risques courus par les facteurs, tout en concluant, d’autre part, qu’il n’est pas en mesure d’assurer l’inspection annuelle de toutes les parties du lieu de travail situées en dehors de son immeuble. Loin d’être intrinsèquement incohérent, le raisonnement de l’agent d’appel démontre sa connaissance approfondie des moyens par lesquels l’employeur assure la réalisation des objets du Code,</w:t>
      </w:r>
      <w:r w:rsidRPr="005F229C">
        <w:rPr>
          <w:i/>
          <w:lang w:val="fr-CA"/>
        </w:rPr>
        <w:t xml:space="preserve"> </w:t>
      </w:r>
      <w:r w:rsidRPr="005F229C">
        <w:rPr>
          <w:lang w:val="fr-CA"/>
        </w:rPr>
        <w:t xml:space="preserve">compte tenu des limitations d’ordre pratique propres au lieu de travail. </w:t>
      </w:r>
    </w:p>
    <w:p w:rsidR="00217838" w:rsidRPr="005F229C" w:rsidRDefault="00217838" w:rsidP="00217838">
      <w:pPr>
        <w:pStyle w:val="SCCNormalDoubleSpacing"/>
        <w:spacing w:after="480"/>
        <w:rPr>
          <w:lang w:val="fr-CA"/>
        </w:rPr>
      </w:pPr>
      <w:r w:rsidRPr="005F229C">
        <w:rPr>
          <w:lang w:val="fr-CA"/>
        </w:rPr>
        <w:tab/>
        <w:t xml:space="preserve">Lorsqu’elles examinent une question d’interprétation législative, les cours de révision ne devraient pas procéder à une interprétation </w:t>
      </w:r>
      <w:r w:rsidRPr="005F229C">
        <w:rPr>
          <w:i/>
          <w:lang w:val="fr-CA"/>
        </w:rPr>
        <w:t>de novo</w:t>
      </w:r>
      <w:r w:rsidRPr="005F229C">
        <w:rPr>
          <w:lang w:val="fr-CA"/>
        </w:rPr>
        <w:t xml:space="preserve">, ni tenter de déterminer un éventail d’interprétations raisonnables avec lesquelles elles peuvent comparer l’interprétation des décideurs. Une approche qui </w:t>
      </w:r>
      <w:r w:rsidRPr="005F229C">
        <w:rPr>
          <w:noProof/>
          <w:lang w:val="fr-CA"/>
        </w:rPr>
        <w:t>s’intéresse avant tout aux motifs de la décision</w:t>
      </w:r>
      <w:r w:rsidRPr="005F229C">
        <w:rPr>
          <w:lang w:val="fr-CA"/>
        </w:rPr>
        <w:t xml:space="preserve"> oblige plutôt les cours de révision à commencer par se demander comment les décideurs sont arrivés à leur interprétation et à décider si cette interprétation pouvait se justifier au regard des contraintes d’interprétation imposées par la loi. Lorsque le sens d’une disposition législative est contesté, les décideurs administratifs doivent démontrer dans leurs motifs qu’ils étaient conscients des éléments essentiels de l’interprétation législative. En plus de s’harmoniser avec le</w:t>
      </w:r>
      <w:r w:rsidRPr="005F229C">
        <w:rPr>
          <w:szCs w:val="24"/>
          <w:lang w:val="fr-CA"/>
        </w:rPr>
        <w:t xml:space="preserve"> </w:t>
      </w:r>
      <w:r w:rsidRPr="005F229C">
        <w:rPr>
          <w:lang w:val="fr-CA"/>
        </w:rPr>
        <w:lastRenderedPageBreak/>
        <w:t xml:space="preserve">libellé, le contexte et l’objet de la disposition, une interprétation raisonnable devrait être conforme à toute contrainte d’interprétation imposée par le régime législatif applicable ainsi qu’aux règles d’interprétation découlant d’autres sources de droit. La </w:t>
      </w:r>
      <w:r w:rsidRPr="005F229C">
        <w:rPr>
          <w:noProof/>
          <w:lang w:val="fr-CA"/>
        </w:rPr>
        <w:t>preuve versée au dossier et la trame factuelle générale</w:t>
      </w:r>
      <w:r w:rsidRPr="005F229C">
        <w:rPr>
          <w:lang w:val="fr-CA"/>
        </w:rPr>
        <w:t xml:space="preserve"> constituent des contraintes à l’égard du caractère raisonnable de la décision, et il faut en tenir compte. </w:t>
      </w:r>
      <w:r w:rsidRPr="005F229C">
        <w:rPr>
          <w:noProof/>
          <w:lang w:val="fr-CA"/>
        </w:rPr>
        <w:t>Les principes de la justification et de la transparence exigent que les motifs des décideurs administratifs tiennent valablement compte des questions et préoccupations centrales soulevées par les parties. Cependant, les</w:t>
      </w:r>
      <w:r w:rsidRPr="005F229C">
        <w:rPr>
          <w:lang w:val="fr-CA"/>
        </w:rPr>
        <w:t xml:space="preserve"> décideurs administratifs ne sont pas tenus d’examiner, de leur propre chef, tous les aspects du contexte législatif pouvant avoir une incidence sur leurs décisions. Bien que les cours de révision doivent s’assurer que la décision faisant l’objet du contrôle est justifiée au regard des faits pertinents, la déférence envers les décideurs inclut une déférence à l’égard de leurs conclusions et de leur appréciation de la preuve. Les cours de révision doivent accorder une attention respectueuse </w:t>
      </w:r>
      <w:r w:rsidRPr="005F229C">
        <w:rPr>
          <w:noProof/>
          <w:lang w:val="fr-CA"/>
        </w:rPr>
        <w:t xml:space="preserve">à l’expertise établie des décideurs </w:t>
      </w:r>
      <w:r w:rsidRPr="005F229C">
        <w:rPr>
          <w:lang w:val="fr-CA"/>
        </w:rPr>
        <w:t xml:space="preserve">lorsqu’elles examinent la question de savoir si un résultat donné </w:t>
      </w:r>
      <w:r w:rsidRPr="005F229C">
        <w:rPr>
          <w:noProof/>
          <w:lang w:val="fr-CA"/>
        </w:rPr>
        <w:t>témoigne d’une approche raisonnable compte tenu des conséquences et des effets concrets d’une décision</w:t>
      </w:r>
      <w:r w:rsidRPr="005F229C">
        <w:rPr>
          <w:lang w:val="fr-CA"/>
        </w:rPr>
        <w:t xml:space="preserve">. </w:t>
      </w:r>
    </w:p>
    <w:p w:rsidR="00217838" w:rsidRPr="005F229C" w:rsidRDefault="00217838" w:rsidP="00217838">
      <w:pPr>
        <w:pStyle w:val="SCCNormalDoubleSpacing"/>
        <w:spacing w:after="480"/>
        <w:rPr>
          <w:lang w:val="fr-CA"/>
        </w:rPr>
      </w:pPr>
      <w:r w:rsidRPr="005F229C">
        <w:rPr>
          <w:lang w:val="fr-CA"/>
        </w:rPr>
        <w:tab/>
        <w:t>Dans la présente affaire, l’agent d’appel interprète l’</w:t>
      </w:r>
      <w:r w:rsidR="005F229C">
        <w:rPr>
          <w:lang w:val="fr-CA"/>
        </w:rPr>
        <w:t>al. </w:t>
      </w:r>
      <w:r w:rsidRPr="005F229C">
        <w:rPr>
          <w:lang w:val="fr-CA"/>
        </w:rPr>
        <w:t xml:space="preserve">125(1)z.12) en recourant à des principes d’interprétation des lois bien établis et en tenant dûment compte des arguments qui lui ont été présentés. Ses motifs démontrent amplement qu’il prend en considération le libellé, le contexte et l’objet de la disposition, et le fait qu’il s’intéresse plus particulièrement aux conséquences pratiques de son interprétation se trouve à enrichir et à rehausser </w:t>
      </w:r>
      <w:r w:rsidRPr="005F229C">
        <w:rPr>
          <w:noProof/>
          <w:lang w:val="fr-CA"/>
        </w:rPr>
        <w:t>celle</w:t>
      </w:r>
      <w:r w:rsidR="005F229C">
        <w:rPr>
          <w:noProof/>
          <w:lang w:val="fr-CA"/>
        </w:rPr>
        <w:noBreakHyphen/>
      </w:r>
      <w:r w:rsidRPr="005F229C">
        <w:rPr>
          <w:noProof/>
          <w:lang w:val="fr-CA"/>
        </w:rPr>
        <w:t>ci</w:t>
      </w:r>
      <w:r w:rsidRPr="005F229C">
        <w:rPr>
          <w:lang w:val="fr-CA"/>
        </w:rPr>
        <w:t xml:space="preserve">. Il s’efforce d’une façon soutenue de dégager l’intention du législateur tout au long de son analyse et ne se contente pas d’échafauder une interprétation à partir du résultat </w:t>
      </w:r>
      <w:r w:rsidRPr="005F229C">
        <w:rPr>
          <w:noProof/>
          <w:lang w:val="fr-CA"/>
        </w:rPr>
        <w:t>souhaité</w:t>
      </w:r>
      <w:r w:rsidRPr="005F229C">
        <w:rPr>
          <w:lang w:val="fr-CA"/>
        </w:rPr>
        <w:t xml:space="preserve">. Son interprétation large de ce qui </w:t>
      </w:r>
      <w:r w:rsidRPr="005F229C">
        <w:rPr>
          <w:lang w:val="fr-CA"/>
        </w:rPr>
        <w:lastRenderedPageBreak/>
        <w:t xml:space="preserve">constitue un lieu de travail est conforme à la définition énoncée dans le Code et à des décisions antérieures sur ce point, et tient compte de tous les endroits où un employé peut exécuter son travail. Son interprétation du champ d’application des obligations découlant du </w:t>
      </w:r>
      <w:r w:rsidR="005F229C">
        <w:rPr>
          <w:lang w:val="fr-CA"/>
        </w:rPr>
        <w:t>par. </w:t>
      </w:r>
      <w:r w:rsidRPr="005F229C">
        <w:rPr>
          <w:lang w:val="fr-CA"/>
        </w:rPr>
        <w:t>125(1) n’est pas contraire au libellé clair de la loi, parce que le mot « </w:t>
      </w:r>
      <w:r w:rsidRPr="005F229C">
        <w:rPr>
          <w:i/>
          <w:lang w:val="fr-CA"/>
        </w:rPr>
        <w:t>and</w:t>
      </w:r>
      <w:r w:rsidRPr="005F229C">
        <w:rPr>
          <w:lang w:val="fr-CA"/>
        </w:rPr>
        <w:t xml:space="preserve"> » et la locution « ainsi que » figurant dans le texte introductif des versions anglaise et française de cette disposition ne font pas obstacle à la conclusion selon laquelle la disposition indique que certaines obligations ne s’appliquent que dans le cas où le lieu de travail relève de l’autorité de l’employeur. Les motifs de l’agent d’appel </w:t>
      </w:r>
      <w:r w:rsidRPr="005F229C">
        <w:rPr>
          <w:szCs w:val="24"/>
          <w:lang w:val="fr-CA"/>
        </w:rPr>
        <w:t>démontrent également que celui</w:t>
      </w:r>
      <w:r w:rsidR="005F229C">
        <w:rPr>
          <w:szCs w:val="24"/>
          <w:lang w:val="fr-CA"/>
        </w:rPr>
        <w:noBreakHyphen/>
      </w:r>
      <w:r w:rsidRPr="005F229C">
        <w:rPr>
          <w:szCs w:val="24"/>
          <w:lang w:val="fr-CA"/>
        </w:rPr>
        <w:t>ci s’est penché sur le contexte de l’</w:t>
      </w:r>
      <w:r w:rsidR="005F229C">
        <w:rPr>
          <w:szCs w:val="24"/>
          <w:lang w:val="fr-CA"/>
        </w:rPr>
        <w:t>al. </w:t>
      </w:r>
      <w:r w:rsidRPr="005F229C">
        <w:rPr>
          <w:szCs w:val="24"/>
          <w:lang w:val="fr-CA"/>
        </w:rPr>
        <w:t>125(1)z.12)</w:t>
      </w:r>
      <w:r w:rsidRPr="005F229C">
        <w:rPr>
          <w:lang w:val="fr-CA"/>
        </w:rPr>
        <w:t xml:space="preserve">. Il examine les conséquences pratiques de son interprétation à la lumière de l’objet qui a été attribué à </w:t>
      </w:r>
      <w:r w:rsidRPr="005F229C">
        <w:rPr>
          <w:szCs w:val="24"/>
          <w:lang w:val="fr-CA"/>
        </w:rPr>
        <w:t>l’</w:t>
      </w:r>
      <w:r w:rsidR="005F229C">
        <w:rPr>
          <w:szCs w:val="24"/>
          <w:lang w:val="fr-CA"/>
        </w:rPr>
        <w:t>al. </w:t>
      </w:r>
      <w:r w:rsidRPr="005F229C">
        <w:rPr>
          <w:szCs w:val="24"/>
          <w:lang w:val="fr-CA"/>
        </w:rPr>
        <w:t xml:space="preserve">125(1)z.12), objet qui a été accepté par les parties et qui est </w:t>
      </w:r>
      <w:r w:rsidRPr="005F229C">
        <w:rPr>
          <w:lang w:val="fr-CA"/>
        </w:rPr>
        <w:t>conforme à l’interprétation large et téléologique que doit recevoir une disposition législative réparatrice. Son interprétation ne va pas à l’encontre de l’objet énoncé dans le Code. Rien n’indique qu’il n’a pas pris en considération la preuve présentée à l’audience ou qu’il a fondé sa décision sur une interprétation erronée de la preuve, rendant ainsi sa décision déraisonnable.</w:t>
      </w:r>
    </w:p>
    <w:p w:rsidR="00217838" w:rsidRPr="005F229C" w:rsidRDefault="00217838" w:rsidP="00217838">
      <w:pPr>
        <w:pStyle w:val="SCCNormalDoubleSpacing"/>
        <w:spacing w:after="480"/>
        <w:rPr>
          <w:u w:val="single"/>
          <w:lang w:val="fr-CA"/>
        </w:rPr>
      </w:pPr>
      <w:r w:rsidRPr="005F229C">
        <w:rPr>
          <w:lang w:val="fr-CA"/>
        </w:rPr>
        <w:tab/>
      </w:r>
      <w:r w:rsidRPr="005F229C">
        <w:rPr>
          <w:i/>
          <w:lang w:val="fr-CA"/>
        </w:rPr>
        <w:t>Les</w:t>
      </w:r>
      <w:r w:rsidRPr="005F229C">
        <w:rPr>
          <w:lang w:val="fr-CA"/>
        </w:rPr>
        <w:t xml:space="preserve"> juges</w:t>
      </w:r>
      <w:r w:rsidRPr="005F229C">
        <w:rPr>
          <w:i/>
          <w:lang w:val="fr-CA"/>
        </w:rPr>
        <w:t xml:space="preserve"> </w:t>
      </w:r>
      <w:r w:rsidRPr="00DE49BE">
        <w:rPr>
          <w:rStyle w:val="QuoteChar"/>
          <w:rFonts w:eastAsiaTheme="minorEastAsia"/>
          <w:i w:val="0"/>
          <w:color w:val="auto"/>
          <w:lang w:val="fr-CA"/>
        </w:rPr>
        <w:t>Abella</w:t>
      </w:r>
      <w:r w:rsidRPr="005F229C">
        <w:rPr>
          <w:rStyle w:val="QuoteChar"/>
          <w:rFonts w:eastAsiaTheme="minorEastAsia"/>
          <w:b/>
          <w:i w:val="0"/>
          <w:color w:val="auto"/>
          <w:lang w:val="fr-CA"/>
        </w:rPr>
        <w:t xml:space="preserve"> </w:t>
      </w:r>
      <w:r w:rsidRPr="005F229C">
        <w:rPr>
          <w:rStyle w:val="QuoteChar"/>
          <w:rFonts w:eastAsiaTheme="minorEastAsia"/>
          <w:i w:val="0"/>
          <w:color w:val="auto"/>
          <w:lang w:val="fr-CA"/>
        </w:rPr>
        <w:t>et Martin (dissidentes)</w:t>
      </w:r>
      <w:r w:rsidR="005F229C">
        <w:rPr>
          <w:rStyle w:val="QuoteChar"/>
          <w:rFonts w:eastAsiaTheme="minorEastAsia"/>
          <w:i w:val="0"/>
          <w:color w:val="auto"/>
          <w:lang w:val="fr-CA"/>
        </w:rPr>
        <w:t> :</w:t>
      </w:r>
      <w:r w:rsidRPr="005F229C">
        <w:rPr>
          <w:rStyle w:val="QuoteChar"/>
          <w:rFonts w:eastAsiaTheme="minorEastAsia"/>
          <w:i w:val="0"/>
          <w:color w:val="auto"/>
          <w:lang w:val="fr-CA"/>
        </w:rPr>
        <w:t xml:space="preserve"> Le pourvoi devrait être rejeté. La conclusion de l’agent d’appel</w:t>
      </w:r>
      <w:r w:rsidRPr="005F229C">
        <w:rPr>
          <w:rStyle w:val="QuoteChar"/>
          <w:rFonts w:eastAsiaTheme="minorEastAsia"/>
          <w:color w:val="auto"/>
          <w:lang w:val="fr-CA"/>
        </w:rPr>
        <w:t xml:space="preserve"> </w:t>
      </w:r>
      <w:r w:rsidRPr="005F229C">
        <w:rPr>
          <w:lang w:val="fr-CA"/>
        </w:rPr>
        <w:t>selon laquelle l’obligation relative à l’inspection de sécurité prévue à l’</w:t>
      </w:r>
      <w:r w:rsidR="005F229C">
        <w:rPr>
          <w:lang w:val="fr-CA"/>
        </w:rPr>
        <w:t>al. </w:t>
      </w:r>
      <w:r w:rsidRPr="005F229C">
        <w:rPr>
          <w:lang w:val="fr-CA"/>
        </w:rPr>
        <w:t>125(1)z.12) du Code oblige l’employeur à inspecter seulement les lieux de travail relevant de son autorité d’un point de vue physique était déraisonnable et incompatible avec l’objet et le libellé de la disposition relative à l’inspection de sécurité. L’employeur a contrevenu à l’obligation que lui impose l’</w:t>
      </w:r>
      <w:r w:rsidR="005F229C">
        <w:rPr>
          <w:lang w:val="fr-CA"/>
        </w:rPr>
        <w:t>al. </w:t>
      </w:r>
      <w:r w:rsidRPr="005F229C">
        <w:rPr>
          <w:lang w:val="fr-CA"/>
        </w:rPr>
        <w:t>125(1)z.12) en empêchant le comité de santé et de sécurité de procéder à l’inspection des itinéraires postaux pour recenser les risques pour la sécurité.</w:t>
      </w:r>
    </w:p>
    <w:p w:rsidR="00217838" w:rsidRPr="005F229C" w:rsidRDefault="00217838" w:rsidP="00217838">
      <w:pPr>
        <w:pStyle w:val="SCCNormalDoubleSpacing"/>
        <w:spacing w:after="480"/>
        <w:rPr>
          <w:rStyle w:val="QuoteChar"/>
          <w:i w:val="0"/>
          <w:color w:val="auto"/>
          <w:lang w:val="fr-CA"/>
        </w:rPr>
      </w:pPr>
      <w:r w:rsidRPr="005F229C">
        <w:rPr>
          <w:rStyle w:val="QuoteChar"/>
          <w:color w:val="auto"/>
          <w:lang w:val="fr-CA"/>
        </w:rPr>
        <w:lastRenderedPageBreak/>
        <w:tab/>
      </w:r>
      <w:r w:rsidRPr="005F229C">
        <w:rPr>
          <w:rStyle w:val="QuoteChar"/>
          <w:i w:val="0"/>
          <w:color w:val="auto"/>
          <w:lang w:val="fr-CA"/>
        </w:rPr>
        <w:t>Le libellé introductif de l’</w:t>
      </w:r>
      <w:r w:rsidR="005F229C">
        <w:rPr>
          <w:rStyle w:val="QuoteChar"/>
          <w:i w:val="0"/>
          <w:color w:val="auto"/>
          <w:lang w:val="fr-CA"/>
        </w:rPr>
        <w:t>art. </w:t>
      </w:r>
      <w:r w:rsidRPr="005F229C">
        <w:rPr>
          <w:rStyle w:val="QuoteChar"/>
          <w:i w:val="0"/>
          <w:color w:val="auto"/>
          <w:lang w:val="fr-CA"/>
        </w:rPr>
        <w:t>125 constitue</w:t>
      </w:r>
      <w:r w:rsidRPr="005F229C">
        <w:rPr>
          <w:rStyle w:val="QuoteChar"/>
          <w:color w:val="auto"/>
          <w:lang w:val="fr-CA"/>
        </w:rPr>
        <w:t xml:space="preserve"> </w:t>
      </w:r>
      <w:r w:rsidRPr="005F229C">
        <w:rPr>
          <w:lang w:val="fr-CA"/>
        </w:rPr>
        <w:t>une double directive législative non équivoque aux employeurs selon laquelle leurs obligations en matière de sécurité s’appliquent à la fois aux lieux de travail placés sous leur entière autorité et, si le lieu de travail ne relève pas de leur autorité, à toute tâche</w:t>
      </w:r>
      <w:r w:rsidRPr="005F229C">
        <w:rPr>
          <w:i/>
          <w:lang w:val="fr-CA"/>
        </w:rPr>
        <w:t xml:space="preserve"> </w:t>
      </w:r>
      <w:r w:rsidRPr="005F229C">
        <w:rPr>
          <w:lang w:val="fr-CA"/>
        </w:rPr>
        <w:t xml:space="preserve">qui y est accomplie, dans la mesure où cette tâche, elle, en relève. Rien dans le libellé du </w:t>
      </w:r>
      <w:r w:rsidR="005F229C">
        <w:rPr>
          <w:lang w:val="fr-CA"/>
        </w:rPr>
        <w:t>par. </w:t>
      </w:r>
      <w:r w:rsidRPr="005F229C">
        <w:rPr>
          <w:lang w:val="fr-CA"/>
        </w:rPr>
        <w:t>125(1) ne limite l’obligation d’inspection de l’employeur aux lieux de travail sur lesquels il</w:t>
      </w:r>
      <w:r w:rsidRPr="005F229C">
        <w:rPr>
          <w:szCs w:val="24"/>
          <w:lang w:val="fr-CA"/>
        </w:rPr>
        <w:t xml:space="preserve"> </w:t>
      </w:r>
      <w:r w:rsidRPr="005F229C">
        <w:rPr>
          <w:lang w:val="fr-CA"/>
        </w:rPr>
        <w:t>a autorité d’un point de vue physique.</w:t>
      </w:r>
      <w:r w:rsidRPr="005F229C">
        <w:rPr>
          <w:rStyle w:val="QuoteChar"/>
          <w:color w:val="auto"/>
          <w:lang w:val="fr-CA"/>
        </w:rPr>
        <w:t xml:space="preserve"> </w:t>
      </w:r>
    </w:p>
    <w:p w:rsidR="00217838" w:rsidRPr="005F229C" w:rsidRDefault="00217838" w:rsidP="00217838">
      <w:pPr>
        <w:pStyle w:val="SCCNormalDoubleSpacing"/>
        <w:spacing w:after="480"/>
        <w:rPr>
          <w:lang w:val="fr-CA"/>
        </w:rPr>
      </w:pPr>
      <w:r w:rsidRPr="005F229C">
        <w:rPr>
          <w:rStyle w:val="QuoteChar"/>
          <w:rFonts w:eastAsiaTheme="minorEastAsia"/>
          <w:color w:val="auto"/>
          <w:lang w:val="fr-CA"/>
        </w:rPr>
        <w:tab/>
      </w:r>
      <w:r w:rsidRPr="005F229C">
        <w:rPr>
          <w:rStyle w:val="QuoteChar"/>
          <w:rFonts w:eastAsiaTheme="minorEastAsia"/>
          <w:i w:val="0"/>
          <w:color w:val="auto"/>
          <w:lang w:val="fr-CA"/>
        </w:rPr>
        <w:t>L’alinéa 125(1)z.12)</w:t>
      </w:r>
      <w:r w:rsidRPr="005F229C">
        <w:rPr>
          <w:rStyle w:val="QuoteChar"/>
          <w:rFonts w:eastAsiaTheme="minorEastAsia"/>
          <w:color w:val="auto"/>
          <w:lang w:val="fr-CA"/>
        </w:rPr>
        <w:t xml:space="preserve"> </w:t>
      </w:r>
      <w:r w:rsidRPr="005F229C">
        <w:rPr>
          <w:lang w:val="fr-CA"/>
        </w:rPr>
        <w:t>fait partie d’un vaste ensemble de responsabilités de l’employeur, responsabilités découlant de l’obligation générale imposée à celui</w:t>
      </w:r>
      <w:r w:rsidR="005F229C">
        <w:rPr>
          <w:lang w:val="fr-CA"/>
        </w:rPr>
        <w:noBreakHyphen/>
      </w:r>
      <w:r w:rsidRPr="005F229C">
        <w:rPr>
          <w:lang w:val="fr-CA"/>
        </w:rPr>
        <w:t>ci d’assurer la sécurité au travail et visant à prévenir les accidents et les maladies liés à l’occupation d’un emploi.</w:t>
      </w:r>
      <w:r w:rsidRPr="005F229C">
        <w:rPr>
          <w:rStyle w:val="QuoteChar"/>
          <w:rFonts w:eastAsiaTheme="minorEastAsia"/>
          <w:color w:val="auto"/>
          <w:lang w:val="fr-CA"/>
        </w:rPr>
        <w:t xml:space="preserve"> </w:t>
      </w:r>
      <w:r w:rsidRPr="005F229C">
        <w:rPr>
          <w:lang w:val="fr-CA"/>
        </w:rPr>
        <w:t>Les 45 obligations imposées à l’employeur sont toutes introduites par un libellé indiquant qu’elles s’appliquent à tous les lieux de travail placés sous l’entière autorité de l’employeur et à toutes les tâches</w:t>
      </w:r>
      <w:r w:rsidRPr="005F229C">
        <w:rPr>
          <w:i/>
          <w:lang w:val="fr-CA"/>
        </w:rPr>
        <w:t xml:space="preserve"> </w:t>
      </w:r>
      <w:r w:rsidRPr="005F229C">
        <w:rPr>
          <w:lang w:val="fr-CA"/>
        </w:rPr>
        <w:t xml:space="preserve">accomplies par un employé ou une employée qui relèvent de l’autorité de l’employeur. </w:t>
      </w:r>
      <w:r w:rsidR="00EB1644" w:rsidRPr="005F229C">
        <w:rPr>
          <w:lang w:val="fr-CA"/>
        </w:rPr>
        <w:t>Le paragraphe </w:t>
      </w:r>
      <w:r w:rsidRPr="005F229C">
        <w:rPr>
          <w:lang w:val="fr-CA"/>
        </w:rPr>
        <w:t>125(1) vise à protéger les travailleurs et travailleuses contre les risques pour la sécurité — un objectif qui est sapé si l’obligation relative à l’inspection de sécurité se limite aux lieux de travail sur lesquels l’employeur a autorité d’un point de vue physique. En rédigeant cette disposition de manière à ce qu’elle vise les lieux de travail relevant et ne relevant pas de l’autorité de l’employeur d’un point de vue physique, le Parlement a voulu protéger les milliers d’employés et employées qui travaillent en dehors d’un lieu appartenant à l’employeur, et accorder à tous les employés et employées la même qualité de protection en matière de sécurité, peu importe l’endroit où ils travaillent.</w:t>
      </w:r>
    </w:p>
    <w:p w:rsidR="00217838" w:rsidRPr="005F229C" w:rsidRDefault="00217838" w:rsidP="00217838">
      <w:pPr>
        <w:pStyle w:val="SCCNormalDoubleSpacing"/>
        <w:spacing w:after="480"/>
        <w:rPr>
          <w:rStyle w:val="QuoteChar"/>
          <w:rFonts w:eastAsiaTheme="minorEastAsia"/>
          <w:i w:val="0"/>
          <w:iCs w:val="0"/>
          <w:color w:val="auto"/>
          <w:lang w:val="fr-CA"/>
        </w:rPr>
      </w:pPr>
      <w:r w:rsidRPr="005F229C">
        <w:rPr>
          <w:lang w:val="fr-CA"/>
        </w:rPr>
        <w:lastRenderedPageBreak/>
        <w:tab/>
        <w:t>Les inspections de sécurité constituaient une méthode d’importance centrale par laquelle le législateur fédéral entendait étendre les protections en matière de santé et de sécurité de nature préventive offertes aux travailleurs et travailleuses. Elles visent à assurer le recensement proactif des risques avant</w:t>
      </w:r>
      <w:r w:rsidRPr="005F229C">
        <w:rPr>
          <w:i/>
          <w:lang w:val="fr-CA"/>
        </w:rPr>
        <w:t xml:space="preserve"> </w:t>
      </w:r>
      <w:r w:rsidRPr="005F229C">
        <w:rPr>
          <w:lang w:val="fr-CA"/>
        </w:rPr>
        <w:t xml:space="preserve">que les travailleurs et travailleuses n’y soient exposés, et à faire en sorte que ces risques soient supprimés ou évités. Il n’est guère logique que le législateur, ayant expressément choisi au </w:t>
      </w:r>
      <w:r w:rsidR="005F229C">
        <w:rPr>
          <w:lang w:val="fr-CA"/>
        </w:rPr>
        <w:t>par. </w:t>
      </w:r>
      <w:r w:rsidRPr="005F229C">
        <w:rPr>
          <w:lang w:val="fr-CA"/>
        </w:rPr>
        <w:t>125(1) d’étendre les protections en matière de sécurité aux tâches accomplies dans les lieux de travail ne relevant pas de l’autorité de l’employeur, ait voulu qu’une composante essentielle de ces protections — l’obligation relative à l’inspection de sécurité — soit soustraite à cette extension. L’objectif de prévention de l’obligation d’inspection renforce davantage la thèse selon laquelle cette obligation n’était pas censée s’appliquer seulement aux lieux de travail sur lesquels l’employeur a autorité d’un point de vue physique.</w:t>
      </w:r>
    </w:p>
    <w:p w:rsidR="00217838" w:rsidRPr="005F229C" w:rsidRDefault="00217838" w:rsidP="00217838">
      <w:pPr>
        <w:pStyle w:val="SCCNormalDoubleSpacing"/>
        <w:spacing w:after="480"/>
        <w:rPr>
          <w:lang w:val="fr-CA"/>
        </w:rPr>
      </w:pPr>
      <w:r w:rsidRPr="005F229C">
        <w:rPr>
          <w:lang w:val="fr-CA"/>
        </w:rPr>
        <w:tab/>
        <w:t>Le fait de limiter l’obligation d’inspection est incompatible avec les définitions larges de l’expression « lieu de travail » figurant dans de nombreuses lois provinciales sur la santé et la sécurité. Ces lois ont en commun une définition fonctionnelle et téléologique du lieu de travail qui est axée sur l’endroit où le travailleur ou la travailleuse exerce son emploi, et non sur la question de savoir si l’employeur a autorité sur les installations physiques. Le libellé de l’</w:t>
      </w:r>
      <w:r w:rsidR="005F229C">
        <w:rPr>
          <w:lang w:val="fr-CA"/>
        </w:rPr>
        <w:t>al. </w:t>
      </w:r>
      <w:r w:rsidRPr="005F229C">
        <w:rPr>
          <w:lang w:val="fr-CA"/>
        </w:rPr>
        <w:t xml:space="preserve">125(1)z.12) ne devrait pas être interprété isolément de manière à réduire l’obligation de l’employeur de protéger les travailleurs et travailleuses contre les risques pour la sécurité; il devrait être interprété comme faisant partie du </w:t>
      </w:r>
      <w:r w:rsidR="005F229C">
        <w:rPr>
          <w:lang w:val="fr-CA"/>
        </w:rPr>
        <w:t>par. </w:t>
      </w:r>
      <w:r w:rsidRPr="005F229C">
        <w:rPr>
          <w:lang w:val="fr-CA"/>
        </w:rPr>
        <w:t>125(1), qui impose expressément cette obligation relativement à toute tâche accomplie dans la mesure où cette tâche</w:t>
      </w:r>
      <w:r w:rsidRPr="005F229C">
        <w:rPr>
          <w:i/>
          <w:lang w:val="fr-CA"/>
        </w:rPr>
        <w:t xml:space="preserve"> </w:t>
      </w:r>
      <w:r w:rsidRPr="005F229C">
        <w:rPr>
          <w:lang w:val="fr-CA"/>
        </w:rPr>
        <w:t xml:space="preserve">relève de l’autorité de l’employeur. Les inspections de sécurité devraient donc être effectuées de manière </w:t>
      </w:r>
      <w:r w:rsidRPr="005F229C">
        <w:rPr>
          <w:lang w:val="fr-CA"/>
        </w:rPr>
        <w:lastRenderedPageBreak/>
        <w:t>à protéger la sécurité des employés et employées autant que possible dans les circonstances, et non de manière à priver de protection des catégories entières d’employés et employées — ceux qui travaillent à l’extérieur d’un bâtiment physique.</w:t>
      </w:r>
    </w:p>
    <w:p w:rsidR="00217838" w:rsidRPr="005F229C" w:rsidRDefault="00217838" w:rsidP="00217838">
      <w:pPr>
        <w:pStyle w:val="SCCNormalDoubleSpacing"/>
        <w:spacing w:after="480"/>
        <w:rPr>
          <w:lang w:val="fr-CA"/>
        </w:rPr>
      </w:pPr>
      <w:r w:rsidRPr="005F229C">
        <w:rPr>
          <w:lang w:val="fr-CA"/>
        </w:rPr>
        <w:tab/>
        <w:t xml:space="preserve">Le fait que les inspections puissent être difficiles à effectuer ne justifie pas l’élimination complète de l’obligation. Le législateur n’a pas voulu qu’une disposition s’appliquant à tous les employeurs régis par les lois fédérales soit interprétée en fonction de la question de savoir si cette disposition est facile ou difficile à mettre en œuvre pour un employeur en particulier. Le libellé du </w:t>
      </w:r>
      <w:r w:rsidR="005F229C">
        <w:rPr>
          <w:lang w:val="fr-CA"/>
        </w:rPr>
        <w:t>par. </w:t>
      </w:r>
      <w:r w:rsidRPr="005F229C">
        <w:rPr>
          <w:lang w:val="fr-CA"/>
        </w:rPr>
        <w:t xml:space="preserve">125(1) exclut toute conception du tout ou rien des obligations en matière de sécurité, en faveur d’une approche fondée sur le contexte permettant de répondre aux besoins du groupe hétérogène d’employeurs régis par les lois fédérales. </w:t>
      </w:r>
      <w:r w:rsidRPr="005F229C">
        <w:rPr>
          <w:szCs w:val="24"/>
          <w:lang w:val="fr-CA"/>
        </w:rPr>
        <w:t xml:space="preserve">La délégation par le législateur de responsabilités </w:t>
      </w:r>
      <w:r w:rsidRPr="005F229C">
        <w:rPr>
          <w:lang w:val="fr-CA"/>
        </w:rPr>
        <w:t>en</w:t>
      </w:r>
      <w:r w:rsidRPr="005F229C">
        <w:rPr>
          <w:szCs w:val="24"/>
          <w:lang w:val="fr-CA"/>
        </w:rPr>
        <w:t xml:space="preserve"> matière d’inspection aux comités mixtes de santé et de sécurité met en évidence la souplesse envisagée par le </w:t>
      </w:r>
      <w:r w:rsidR="005F229C">
        <w:rPr>
          <w:szCs w:val="24"/>
          <w:lang w:val="fr-CA"/>
        </w:rPr>
        <w:t>par. </w:t>
      </w:r>
      <w:r w:rsidRPr="005F229C">
        <w:rPr>
          <w:szCs w:val="24"/>
          <w:lang w:val="fr-CA"/>
        </w:rPr>
        <w:t>125(1).</w:t>
      </w:r>
      <w:r w:rsidRPr="005F229C">
        <w:rPr>
          <w:lang w:val="fr-CA"/>
        </w:rPr>
        <w:t xml:space="preserve"> En déléguant l’obligation relative à l’inspection de sécurité aux comités locaux mixtes, le législateur avait clairement à l’esprit un processus d’inspection souple tenant compte des préoccupations et des limitations propres au lieu de travail. Le simple fait que les inspections puissent être difficiles à effectuer ne signifie pas qu’elles ne doivent pas du tout être effectuées, et le simple fait que les risques ne puissent être éliminés entièrement ne signifie pas</w:t>
      </w:r>
      <w:r w:rsidRPr="005F229C">
        <w:rPr>
          <w:szCs w:val="24"/>
          <w:lang w:val="fr-CA"/>
        </w:rPr>
        <w:t xml:space="preserve"> </w:t>
      </w:r>
      <w:r w:rsidRPr="005F229C">
        <w:rPr>
          <w:lang w:val="fr-CA"/>
        </w:rPr>
        <w:t xml:space="preserve">que rien ne peut être fait pour les contrer. Cette interprétation est la seule qui soit conforme à l’objectif de prévention du </w:t>
      </w:r>
      <w:r w:rsidR="005F229C">
        <w:rPr>
          <w:lang w:val="fr-CA"/>
        </w:rPr>
        <w:t>par. </w:t>
      </w:r>
      <w:r w:rsidRPr="005F229C">
        <w:rPr>
          <w:lang w:val="fr-CA"/>
        </w:rPr>
        <w:t>125(1) en général et de la disposition relative à l’inspection de sécurité en particulier</w:t>
      </w:r>
      <w:r w:rsidRPr="005F229C">
        <w:rPr>
          <w:rStyle w:val="QuoteChar"/>
          <w:rFonts w:eastAsiaTheme="minorEastAsia"/>
          <w:color w:val="auto"/>
          <w:lang w:val="fr-CA"/>
        </w:rPr>
        <w:t>.</w:t>
      </w:r>
    </w:p>
    <w:p w:rsidR="00217838" w:rsidRPr="005F229C" w:rsidRDefault="00217838" w:rsidP="00217838">
      <w:pPr>
        <w:pStyle w:val="SCCNormalDoubleSpacing"/>
        <w:spacing w:after="480"/>
        <w:rPr>
          <w:lang w:val="fr-CA"/>
        </w:rPr>
      </w:pPr>
      <w:r w:rsidRPr="005F229C">
        <w:rPr>
          <w:rStyle w:val="FooterChar"/>
          <w:rFonts w:eastAsiaTheme="minorEastAsia"/>
          <w:i/>
          <w:lang w:val="fr-CA"/>
        </w:rPr>
        <w:tab/>
      </w:r>
      <w:r w:rsidRPr="005F229C">
        <w:rPr>
          <w:rStyle w:val="FooterChar"/>
          <w:rFonts w:eastAsiaTheme="minorEastAsia"/>
          <w:lang w:val="fr-CA"/>
        </w:rPr>
        <w:t xml:space="preserve">En l’espèce, </w:t>
      </w:r>
      <w:r w:rsidRPr="005F229C">
        <w:rPr>
          <w:lang w:val="fr-CA"/>
        </w:rPr>
        <w:t>le raisonnement de l’agent d’appel était foncièrement défectueux. Celui</w:t>
      </w:r>
      <w:r w:rsidR="005F229C">
        <w:rPr>
          <w:lang w:val="fr-CA"/>
        </w:rPr>
        <w:noBreakHyphen/>
      </w:r>
      <w:r w:rsidRPr="005F229C">
        <w:rPr>
          <w:lang w:val="fr-CA"/>
        </w:rPr>
        <w:t xml:space="preserve">ci a reconnu que les inspections de sécurité visaient à protéger les </w:t>
      </w:r>
      <w:r w:rsidRPr="005F229C">
        <w:rPr>
          <w:lang w:val="fr-CA"/>
        </w:rPr>
        <w:lastRenderedPageBreak/>
        <w:t xml:space="preserve">employés et employées des risques en milieu de travail, mais il a omis de donner à cet objectif, et au texte clair du </w:t>
      </w:r>
      <w:r w:rsidR="005F229C">
        <w:rPr>
          <w:lang w:val="fr-CA"/>
        </w:rPr>
        <w:t>par. </w:t>
      </w:r>
      <w:r w:rsidRPr="005F229C">
        <w:rPr>
          <w:lang w:val="fr-CA"/>
        </w:rPr>
        <w:t>125(1), un effet utile, et encore moins une interprétation généreuse</w:t>
      </w:r>
      <w:r w:rsidRPr="005F229C">
        <w:rPr>
          <w:rStyle w:val="FooterChar"/>
          <w:rFonts w:eastAsiaTheme="minorEastAsia"/>
          <w:i/>
          <w:lang w:val="fr-CA"/>
        </w:rPr>
        <w:t xml:space="preserve">. </w:t>
      </w:r>
      <w:r w:rsidRPr="005F229C">
        <w:rPr>
          <w:rStyle w:val="FooterChar"/>
          <w:rFonts w:eastAsiaTheme="minorEastAsia"/>
          <w:lang w:val="fr-CA"/>
        </w:rPr>
        <w:t>Son interprétation n</w:t>
      </w:r>
      <w:r w:rsidRPr="005F229C">
        <w:rPr>
          <w:lang w:val="fr-CA"/>
        </w:rPr>
        <w:t xml:space="preserve">e tient aucun compte de la seconde partie du </w:t>
      </w:r>
      <w:r w:rsidR="005F229C">
        <w:rPr>
          <w:lang w:val="fr-CA"/>
        </w:rPr>
        <w:t>par. </w:t>
      </w:r>
      <w:r w:rsidRPr="005F229C">
        <w:rPr>
          <w:lang w:val="fr-CA"/>
        </w:rPr>
        <w:t>125(1), qui impose simultanément l’obligation d’inspection à l’employeur à l’égard des tâches accomplies dans les lieux de travail ne relevant pas de son autorité. En restreignant ainsi la portée de l’</w:t>
      </w:r>
      <w:r w:rsidR="005F229C">
        <w:rPr>
          <w:lang w:val="fr-CA"/>
        </w:rPr>
        <w:t>al. </w:t>
      </w:r>
      <w:r w:rsidRPr="005F229C">
        <w:rPr>
          <w:lang w:val="fr-CA"/>
        </w:rPr>
        <w:t xml:space="preserve">125(1)z.12), l’agent d’appel a réécrit la disposition. L’autorité exercée par l’employeur sur la tâche accomplie par les facteurs et factrices </w:t>
      </w:r>
      <w:r w:rsidRPr="005F229C">
        <w:rPr>
          <w:rStyle w:val="FooterChar"/>
          <w:rFonts w:eastAsiaTheme="minorEastAsia"/>
          <w:lang w:val="fr-CA"/>
        </w:rPr>
        <w:t xml:space="preserve">est rigoureuse, de sorte que ses </w:t>
      </w:r>
      <w:r w:rsidRPr="005F229C">
        <w:rPr>
          <w:lang w:val="fr-CA"/>
        </w:rPr>
        <w:t>arrangements de travail avec ceux</w:t>
      </w:r>
      <w:r w:rsidR="005F229C">
        <w:rPr>
          <w:lang w:val="fr-CA"/>
        </w:rPr>
        <w:noBreakHyphen/>
      </w:r>
      <w:r w:rsidRPr="005F229C">
        <w:rPr>
          <w:lang w:val="fr-CA"/>
        </w:rPr>
        <w:t>ci et celles</w:t>
      </w:r>
      <w:r w:rsidR="005F229C">
        <w:rPr>
          <w:lang w:val="fr-CA"/>
        </w:rPr>
        <w:noBreakHyphen/>
      </w:r>
      <w:r w:rsidRPr="005F229C">
        <w:rPr>
          <w:lang w:val="fr-CA"/>
        </w:rPr>
        <w:t xml:space="preserve">ci tombent clairement sous le coup du </w:t>
      </w:r>
      <w:r w:rsidR="005F229C">
        <w:rPr>
          <w:lang w:val="fr-CA"/>
        </w:rPr>
        <w:t>par. </w:t>
      </w:r>
      <w:r w:rsidRPr="005F229C">
        <w:rPr>
          <w:lang w:val="fr-CA"/>
        </w:rPr>
        <w:t xml:space="preserve">125(1). En limitant les inspections aux lieux où l’employeur exerce des droits de propriété, la décision de l’agent d’appel risque de faire en sorte que les comités locaux de santé et de sécurité soient incapables de recenser et de contrer de façon proactive les risques susceptibles de survenir aux endroits où les facteurs et factrices travaillent. En faisant fi du libellé et de l’objet de l’obligation relative à l’inspection de sécurité, l’agent d’appel a tiré une conclusion déraisonnable qui contrecarrait non seulement l’objectif de prévention des obligations en matière de sécurité de l’employeur prévues au </w:t>
      </w:r>
      <w:r w:rsidR="005F229C">
        <w:rPr>
          <w:lang w:val="fr-CA"/>
        </w:rPr>
        <w:t>par. </w:t>
      </w:r>
      <w:r w:rsidRPr="005F229C">
        <w:rPr>
          <w:lang w:val="fr-CA"/>
        </w:rPr>
        <w:t>125(1), mais aussi l’objectif précis de l’</w:t>
      </w:r>
      <w:r w:rsidR="005F229C">
        <w:rPr>
          <w:lang w:val="fr-CA"/>
        </w:rPr>
        <w:t>al. </w:t>
      </w:r>
      <w:r w:rsidRPr="005F229C">
        <w:rPr>
          <w:lang w:val="fr-CA"/>
        </w:rPr>
        <w:t xml:space="preserve">125(1)z.12) consistant à veiller à ce que des inspections soient effectuées afin de rendre le lieu de travail aussi sécuritaire que possible. </w:t>
      </w:r>
    </w:p>
    <w:p w:rsidR="004D7D95" w:rsidRPr="005F229C" w:rsidRDefault="004D7D95" w:rsidP="00217838">
      <w:pPr>
        <w:pStyle w:val="SCCNormalDoubleSpacing"/>
        <w:spacing w:after="720" w:line="240" w:lineRule="auto"/>
        <w:rPr>
          <w:b/>
          <w:lang w:val="fr-CA"/>
        </w:rPr>
      </w:pPr>
      <w:r w:rsidRPr="005F229C">
        <w:rPr>
          <w:b/>
          <w:lang w:val="fr-CA"/>
        </w:rPr>
        <w:t>Jurisprudence</w:t>
      </w:r>
    </w:p>
    <w:p w:rsidR="004D7D95" w:rsidRPr="005F229C" w:rsidRDefault="004F32C2" w:rsidP="004F32C2">
      <w:pPr>
        <w:pStyle w:val="SCCNormalDoubleSpacing"/>
        <w:spacing w:after="720" w:line="240" w:lineRule="auto"/>
        <w:rPr>
          <w:lang w:val="fr-CA"/>
        </w:rPr>
      </w:pPr>
      <w:r w:rsidRPr="005F229C">
        <w:rPr>
          <w:lang w:val="fr-CA"/>
        </w:rPr>
        <w:t>Citée par le juge Rowe</w:t>
      </w:r>
    </w:p>
    <w:p w:rsidR="00F8591C" w:rsidRPr="005F229C" w:rsidRDefault="004D7D95" w:rsidP="00455B08">
      <w:pPr>
        <w:pStyle w:val="SCCNormalDoubleSpacing"/>
        <w:widowControl w:val="0"/>
        <w:spacing w:after="480"/>
        <w:rPr>
          <w:i/>
          <w:lang w:val="fr-CA"/>
        </w:rPr>
      </w:pPr>
      <w:r w:rsidRPr="005F229C">
        <w:rPr>
          <w:lang w:val="fr-CA"/>
        </w:rPr>
        <w:tab/>
      </w:r>
      <w:r w:rsidR="003F59CD" w:rsidRPr="005F229C">
        <w:rPr>
          <w:b/>
          <w:lang w:val="fr-CA"/>
        </w:rPr>
        <w:t>Arrêt</w:t>
      </w:r>
      <w:r w:rsidRPr="005F229C">
        <w:rPr>
          <w:b/>
          <w:lang w:val="fr-CA"/>
        </w:rPr>
        <w:t xml:space="preserve"> </w:t>
      </w:r>
      <w:r w:rsidR="003F59CD" w:rsidRPr="005F229C">
        <w:rPr>
          <w:b/>
          <w:lang w:val="fr-CA"/>
        </w:rPr>
        <w:t>appliqué</w:t>
      </w:r>
      <w:r w:rsidR="005F229C">
        <w:rPr>
          <w:b/>
          <w:lang w:val="fr-CA"/>
        </w:rPr>
        <w:t> :</w:t>
      </w:r>
      <w:r w:rsidR="003F59CD" w:rsidRPr="005F229C">
        <w:rPr>
          <w:b/>
          <w:lang w:val="fr-CA"/>
        </w:rPr>
        <w:t xml:space="preserve"> </w:t>
      </w:r>
      <w:r w:rsidR="003F59CD" w:rsidRPr="005F229C">
        <w:rPr>
          <w:i/>
          <w:lang w:val="fr-CA"/>
        </w:rPr>
        <w:t xml:space="preserve">Canada (Ministre de la Citoyenneté et de l’Immigration) </w:t>
      </w:r>
      <w:r w:rsidR="003F59CD" w:rsidRPr="005F229C">
        <w:rPr>
          <w:i/>
          <w:iCs/>
          <w:lang w:val="fr-CA"/>
        </w:rPr>
        <w:t>c.</w:t>
      </w:r>
      <w:r w:rsidR="003F59CD" w:rsidRPr="005F229C">
        <w:rPr>
          <w:i/>
          <w:lang w:val="fr-CA"/>
        </w:rPr>
        <w:t xml:space="preserve"> Vavilov</w:t>
      </w:r>
      <w:r w:rsidR="003F59CD" w:rsidRPr="005F229C">
        <w:rPr>
          <w:lang w:val="fr-CA"/>
        </w:rPr>
        <w:t>, 2019 CSC 65</w:t>
      </w:r>
      <w:r w:rsidR="00245497">
        <w:rPr>
          <w:lang w:val="fr-CA"/>
        </w:rPr>
        <w:t>, [2019] 4 R.C.S. 653</w:t>
      </w:r>
      <w:r w:rsidR="003F59CD" w:rsidRPr="005F229C">
        <w:rPr>
          <w:lang w:val="fr-CA"/>
        </w:rPr>
        <w:t>;</w:t>
      </w:r>
      <w:r w:rsidR="003F59CD" w:rsidRPr="005F229C">
        <w:rPr>
          <w:b/>
          <w:lang w:val="fr-CA"/>
        </w:rPr>
        <w:t xml:space="preserve"> arrêts </w:t>
      </w:r>
      <w:r w:rsidRPr="005F229C">
        <w:rPr>
          <w:b/>
          <w:lang w:val="fr-CA"/>
        </w:rPr>
        <w:t>mentionnés</w:t>
      </w:r>
      <w:r w:rsidR="005F229C">
        <w:rPr>
          <w:b/>
          <w:lang w:val="fr-CA"/>
        </w:rPr>
        <w:t> :</w:t>
      </w:r>
      <w:r w:rsidR="003F59CD" w:rsidRPr="005F229C">
        <w:rPr>
          <w:b/>
          <w:lang w:val="fr-CA"/>
        </w:rPr>
        <w:t xml:space="preserve"> </w:t>
      </w:r>
      <w:r w:rsidR="0035494A" w:rsidRPr="005F229C">
        <w:rPr>
          <w:i/>
          <w:lang w:val="fr-CA"/>
        </w:rPr>
        <w:t>Bell ExpressVu Limited Partnership c. Rex</w:t>
      </w:r>
      <w:r w:rsidR="0035494A" w:rsidRPr="005F229C">
        <w:rPr>
          <w:lang w:val="fr-CA"/>
        </w:rPr>
        <w:t>,</w:t>
      </w:r>
      <w:r w:rsidR="0035494A" w:rsidRPr="005F229C">
        <w:rPr>
          <w:i/>
          <w:lang w:val="fr-CA"/>
        </w:rPr>
        <w:t xml:space="preserve"> </w:t>
      </w:r>
      <w:r w:rsidR="0035494A" w:rsidRPr="005F229C">
        <w:rPr>
          <w:lang w:val="fr-CA"/>
        </w:rPr>
        <w:t xml:space="preserve">2002 CSC 42, [2002] 2 R.C.S. 559; </w:t>
      </w:r>
      <w:r w:rsidR="007A77E6" w:rsidRPr="005F229C">
        <w:rPr>
          <w:i/>
          <w:lang w:val="fr-CA"/>
        </w:rPr>
        <w:t xml:space="preserve">Rizzo &amp; Rizzo Shoes </w:t>
      </w:r>
      <w:r w:rsidR="007A77E6" w:rsidRPr="005F229C">
        <w:rPr>
          <w:i/>
          <w:lang w:val="fr-CA"/>
        </w:rPr>
        <w:lastRenderedPageBreak/>
        <w:t>Ltd. (Re)</w:t>
      </w:r>
      <w:r w:rsidR="007A77E6" w:rsidRPr="005F229C">
        <w:rPr>
          <w:lang w:val="fr-CA"/>
        </w:rPr>
        <w:t>, [1998] 1 R.C.S. 27;</w:t>
      </w:r>
      <w:r w:rsidR="00EE52BB" w:rsidRPr="005F229C">
        <w:rPr>
          <w:rFonts w:eastAsia="Calibri"/>
          <w:i/>
          <w:szCs w:val="24"/>
          <w:lang w:val="fr-CA" w:eastAsia="en-US"/>
        </w:rPr>
        <w:t xml:space="preserve"> </w:t>
      </w:r>
      <w:r w:rsidR="000E0070" w:rsidRPr="005F229C">
        <w:rPr>
          <w:rFonts w:eastAsia="Calibri"/>
          <w:i/>
          <w:szCs w:val="24"/>
          <w:lang w:val="fr-CA" w:eastAsia="en-US"/>
        </w:rPr>
        <w:t>Bell Canada</w:t>
      </w:r>
      <w:r w:rsidR="005F229C">
        <w:rPr>
          <w:rFonts w:eastAsia="Calibri"/>
          <w:i/>
          <w:szCs w:val="24"/>
          <w:lang w:val="fr-CA" w:eastAsia="en-US"/>
        </w:rPr>
        <w:t xml:space="preserve"> </w:t>
      </w:r>
      <w:r w:rsidR="000E0070" w:rsidRPr="005F229C">
        <w:rPr>
          <w:rFonts w:eastAsia="Calibri"/>
          <w:i/>
          <w:iCs/>
          <w:szCs w:val="24"/>
          <w:lang w:val="fr-CA" w:eastAsia="en-US"/>
        </w:rPr>
        <w:t>c.</w:t>
      </w:r>
      <w:r w:rsidR="000E0070" w:rsidRPr="005F229C">
        <w:rPr>
          <w:rFonts w:eastAsia="Calibri"/>
          <w:i/>
          <w:szCs w:val="24"/>
          <w:lang w:val="fr-CA" w:eastAsia="en-US"/>
        </w:rPr>
        <w:t xml:space="preserve"> Canada (Procureur général)</w:t>
      </w:r>
      <w:r w:rsidR="000E0070" w:rsidRPr="005F229C">
        <w:rPr>
          <w:rFonts w:eastAsia="Calibri"/>
          <w:szCs w:val="24"/>
          <w:lang w:val="fr-CA" w:eastAsia="en-US"/>
        </w:rPr>
        <w:t>, 2019 CSC 66</w:t>
      </w:r>
      <w:r w:rsidR="007F0181">
        <w:rPr>
          <w:rFonts w:eastAsia="Calibri"/>
          <w:szCs w:val="24"/>
          <w:lang w:val="fr-CA" w:eastAsia="en-US"/>
        </w:rPr>
        <w:t xml:space="preserve">, [2019] </w:t>
      </w:r>
      <w:r w:rsidR="00245497">
        <w:rPr>
          <w:rFonts w:eastAsia="Calibri"/>
          <w:szCs w:val="24"/>
          <w:lang w:val="fr-CA" w:eastAsia="en-US"/>
        </w:rPr>
        <w:t>4</w:t>
      </w:r>
      <w:r w:rsidR="007F0181">
        <w:rPr>
          <w:rFonts w:eastAsia="Calibri"/>
          <w:szCs w:val="24"/>
          <w:lang w:val="fr-CA" w:eastAsia="en-US"/>
        </w:rPr>
        <w:t xml:space="preserve"> R.C.S. </w:t>
      </w:r>
      <w:r w:rsidR="00245497">
        <w:rPr>
          <w:rFonts w:eastAsia="Calibri"/>
          <w:szCs w:val="24"/>
          <w:lang w:val="fr-CA" w:eastAsia="en-US"/>
        </w:rPr>
        <w:t>653</w:t>
      </w:r>
      <w:r w:rsidR="000E0070" w:rsidRPr="005F229C">
        <w:rPr>
          <w:rFonts w:eastAsia="Calibri"/>
          <w:szCs w:val="24"/>
          <w:lang w:val="fr-CA" w:eastAsia="en-US"/>
        </w:rPr>
        <w:t>;</w:t>
      </w:r>
      <w:r w:rsidR="000E0070" w:rsidRPr="005F229C">
        <w:rPr>
          <w:rFonts w:eastAsia="Calibri"/>
          <w:i/>
          <w:szCs w:val="24"/>
          <w:lang w:val="fr-CA" w:eastAsia="en-US"/>
        </w:rPr>
        <w:t xml:space="preserve"> </w:t>
      </w:r>
      <w:r w:rsidR="00EE52BB" w:rsidRPr="005F229C">
        <w:rPr>
          <w:rFonts w:eastAsia="Calibri"/>
          <w:i/>
          <w:szCs w:val="24"/>
          <w:lang w:val="fr-CA" w:eastAsia="en-US"/>
        </w:rPr>
        <w:t>Dunsmuir c. Nouveau</w:t>
      </w:r>
      <w:r w:rsidR="005F229C">
        <w:rPr>
          <w:rFonts w:eastAsia="Calibri"/>
          <w:i/>
          <w:szCs w:val="24"/>
          <w:lang w:val="fr-CA" w:eastAsia="en-US"/>
        </w:rPr>
        <w:noBreakHyphen/>
      </w:r>
      <w:r w:rsidR="00EE52BB" w:rsidRPr="005F229C">
        <w:rPr>
          <w:rFonts w:eastAsia="Calibri"/>
          <w:i/>
          <w:szCs w:val="24"/>
          <w:lang w:val="fr-CA" w:eastAsia="en-US"/>
        </w:rPr>
        <w:t>Brunswick</w:t>
      </w:r>
      <w:r w:rsidR="00EE52BB" w:rsidRPr="005F229C">
        <w:rPr>
          <w:rFonts w:eastAsia="Calibri"/>
          <w:szCs w:val="24"/>
          <w:lang w:val="fr-CA" w:eastAsia="en-US"/>
        </w:rPr>
        <w:t>, 2008 CSC 9, [2008] 1 R.C.S. 190;</w:t>
      </w:r>
      <w:r w:rsidR="00905EA0" w:rsidRPr="005F229C">
        <w:rPr>
          <w:rFonts w:eastAsia="Calibri"/>
          <w:szCs w:val="24"/>
          <w:lang w:val="fr-CA" w:eastAsia="en-US"/>
        </w:rPr>
        <w:t xml:space="preserve"> </w:t>
      </w:r>
      <w:r w:rsidR="00905EA0" w:rsidRPr="005F229C">
        <w:rPr>
          <w:i/>
          <w:lang w:val="fr-CA" w:bidi="en-US"/>
        </w:rPr>
        <w:t>Canada</w:t>
      </w:r>
      <w:r w:rsidR="00905EA0" w:rsidRPr="005F229C">
        <w:rPr>
          <w:lang w:val="fr-CA" w:bidi="en-US"/>
        </w:rPr>
        <w:t xml:space="preserve"> </w:t>
      </w:r>
      <w:r w:rsidR="00905EA0" w:rsidRPr="005F229C">
        <w:rPr>
          <w:i/>
          <w:lang w:val="fr-CA" w:bidi="en-US"/>
        </w:rPr>
        <w:t>(Commission canadienne des droits de la personne) c. Canada (Procureur général)</w:t>
      </w:r>
      <w:r w:rsidR="00905EA0" w:rsidRPr="005F229C">
        <w:rPr>
          <w:lang w:val="fr-CA" w:bidi="en-US"/>
        </w:rPr>
        <w:t>, 2018 CSC 31,</w:t>
      </w:r>
      <w:r w:rsidR="00905EA0" w:rsidRPr="005F229C">
        <w:rPr>
          <w:lang w:val="fr-CA"/>
        </w:rPr>
        <w:t xml:space="preserve"> [2018] 2 R.C.S. 230;</w:t>
      </w:r>
      <w:r w:rsidR="00FE12B9" w:rsidRPr="005F229C">
        <w:rPr>
          <w:lang w:val="fr-CA"/>
        </w:rPr>
        <w:t xml:space="preserve"> </w:t>
      </w:r>
      <w:r w:rsidR="00FE12B9" w:rsidRPr="005F229C">
        <w:rPr>
          <w:i/>
          <w:lang w:val="fr-CA"/>
        </w:rPr>
        <w:t xml:space="preserve">Delta Air Lines Inc. </w:t>
      </w:r>
      <w:r w:rsidR="00FE12B9" w:rsidRPr="005F229C">
        <w:rPr>
          <w:i/>
          <w:iCs/>
          <w:lang w:val="fr-CA"/>
        </w:rPr>
        <w:t>c.</w:t>
      </w:r>
      <w:r w:rsidR="00FE12B9" w:rsidRPr="005F229C">
        <w:rPr>
          <w:i/>
          <w:lang w:val="fr-CA"/>
        </w:rPr>
        <w:t xml:space="preserve"> Lukács</w:t>
      </w:r>
      <w:r w:rsidR="00FE12B9" w:rsidRPr="005F229C">
        <w:rPr>
          <w:lang w:val="fr-CA"/>
        </w:rPr>
        <w:t xml:space="preserve">, 2018 </w:t>
      </w:r>
      <w:r w:rsidR="004D48F2" w:rsidRPr="005F229C">
        <w:rPr>
          <w:lang w:val="fr-CA"/>
        </w:rPr>
        <w:t>CSC</w:t>
      </w:r>
      <w:r w:rsidR="00FE12B9" w:rsidRPr="005F229C">
        <w:rPr>
          <w:lang w:val="fr-CA"/>
        </w:rPr>
        <w:t xml:space="preserve"> 2, [2018] 1 </w:t>
      </w:r>
      <w:r w:rsidR="00877766" w:rsidRPr="005F229C">
        <w:rPr>
          <w:lang w:val="fr-CA"/>
        </w:rPr>
        <w:t>R.C.S.</w:t>
      </w:r>
      <w:r w:rsidR="00FE12B9" w:rsidRPr="005F229C">
        <w:rPr>
          <w:lang w:val="fr-CA"/>
        </w:rPr>
        <w:t xml:space="preserve"> 6;</w:t>
      </w:r>
      <w:r w:rsidR="00EA14BD" w:rsidRPr="005F229C">
        <w:rPr>
          <w:i/>
          <w:iCs/>
          <w:lang w:val="fr-CA"/>
        </w:rPr>
        <w:t xml:space="preserve"> </w:t>
      </w:r>
      <w:r w:rsidR="0012538C" w:rsidRPr="005F229C">
        <w:rPr>
          <w:i/>
          <w:lang w:val="fr-CA"/>
        </w:rPr>
        <w:t>Newfoundland and Labrador Nurses’ Union c. Terre</w:t>
      </w:r>
      <w:r w:rsidR="005F229C">
        <w:rPr>
          <w:i/>
          <w:lang w:val="fr-CA"/>
        </w:rPr>
        <w:noBreakHyphen/>
      </w:r>
      <w:r w:rsidR="0012538C" w:rsidRPr="005F229C">
        <w:rPr>
          <w:i/>
          <w:lang w:val="fr-CA"/>
        </w:rPr>
        <w:t>Neuve</w:t>
      </w:r>
      <w:r w:rsidR="005F229C">
        <w:rPr>
          <w:i/>
          <w:lang w:val="fr-CA"/>
        </w:rPr>
        <w:noBreakHyphen/>
      </w:r>
      <w:r w:rsidR="0012538C" w:rsidRPr="005F229C">
        <w:rPr>
          <w:i/>
          <w:lang w:val="fr-CA"/>
        </w:rPr>
        <w:t>et</w:t>
      </w:r>
      <w:r w:rsidR="005F229C">
        <w:rPr>
          <w:i/>
          <w:lang w:val="fr-CA"/>
        </w:rPr>
        <w:noBreakHyphen/>
      </w:r>
      <w:r w:rsidR="0012538C" w:rsidRPr="005F229C">
        <w:rPr>
          <w:i/>
          <w:lang w:val="fr-CA"/>
        </w:rPr>
        <w:t>Labrador (Conseil du Trésor)</w:t>
      </w:r>
      <w:r w:rsidR="0012538C" w:rsidRPr="005F229C">
        <w:rPr>
          <w:lang w:val="fr-CA"/>
        </w:rPr>
        <w:t xml:space="preserve">, 2011 CSC 62, [2011] 3 R.C.S. 708; </w:t>
      </w:r>
      <w:r w:rsidR="00EA14BD" w:rsidRPr="005F229C">
        <w:rPr>
          <w:i/>
          <w:iCs/>
          <w:lang w:val="fr-CA"/>
        </w:rPr>
        <w:t>Société canadienne des postes c. Alliance de la Fonction publique du Canada</w:t>
      </w:r>
      <w:r w:rsidR="00EA14BD" w:rsidRPr="005F229C">
        <w:rPr>
          <w:lang w:val="fr-CA"/>
        </w:rPr>
        <w:t>, 2010 CAF 56, [2011] 2 R.C.F. 221</w:t>
      </w:r>
      <w:r w:rsidR="0030779B" w:rsidRPr="005F229C">
        <w:rPr>
          <w:lang w:val="fr-CA"/>
        </w:rPr>
        <w:t xml:space="preserve">, </w:t>
      </w:r>
      <w:r w:rsidR="00A1346F" w:rsidRPr="005F229C">
        <w:rPr>
          <w:lang w:val="fr-CA"/>
        </w:rPr>
        <w:t>inf</w:t>
      </w:r>
      <w:r w:rsidR="0030779B" w:rsidRPr="005F229C">
        <w:rPr>
          <w:lang w:val="fr-CA"/>
        </w:rPr>
        <w:t xml:space="preserve">. </w:t>
      </w:r>
      <w:r w:rsidR="003F59CD" w:rsidRPr="005F229C">
        <w:rPr>
          <w:lang w:val="fr-CA"/>
        </w:rPr>
        <w:t xml:space="preserve">en partie </w:t>
      </w:r>
      <w:r w:rsidR="0030779B" w:rsidRPr="005F229C">
        <w:rPr>
          <w:lang w:val="fr-CA"/>
        </w:rPr>
        <w:t>par 2011 CSC 57, [2011] 3 R.C.S. 572;</w:t>
      </w:r>
      <w:r w:rsidR="00F33983" w:rsidRPr="005F229C">
        <w:rPr>
          <w:lang w:val="fr-CA"/>
        </w:rPr>
        <w:t xml:space="preserve"> </w:t>
      </w:r>
      <w:r w:rsidR="00F8591C" w:rsidRPr="005F229C">
        <w:rPr>
          <w:i/>
          <w:iCs/>
          <w:lang w:val="fr-CA"/>
        </w:rPr>
        <w:t>Catalyst Paper Cor</w:t>
      </w:r>
      <w:r w:rsidR="005F229C">
        <w:rPr>
          <w:i/>
          <w:iCs/>
          <w:lang w:val="fr-CA"/>
        </w:rPr>
        <w:t>p. </w:t>
      </w:r>
      <w:r w:rsidR="00F8591C" w:rsidRPr="005F229C">
        <w:rPr>
          <w:i/>
          <w:iCs/>
          <w:lang w:val="fr-CA"/>
        </w:rPr>
        <w:t>c. North Cowichan (District)</w:t>
      </w:r>
      <w:r w:rsidR="00F8591C" w:rsidRPr="005F229C">
        <w:rPr>
          <w:lang w:val="fr-CA"/>
        </w:rPr>
        <w:t>, 2012 CSC 2, [2012] 1 R.C.S. 5;</w:t>
      </w:r>
      <w:r w:rsidR="00D8096A" w:rsidRPr="005F229C">
        <w:rPr>
          <w:lang w:val="fr-CA"/>
        </w:rPr>
        <w:t xml:space="preserve"> </w:t>
      </w:r>
      <w:r w:rsidR="00D8096A" w:rsidRPr="005F229C">
        <w:rPr>
          <w:i/>
          <w:lang w:val="fr-CA"/>
        </w:rPr>
        <w:t>McLean c. Colombie</w:t>
      </w:r>
      <w:r w:rsidR="005F229C">
        <w:rPr>
          <w:i/>
          <w:lang w:val="fr-CA"/>
        </w:rPr>
        <w:noBreakHyphen/>
      </w:r>
      <w:r w:rsidR="00D8096A" w:rsidRPr="005F229C">
        <w:rPr>
          <w:i/>
          <w:lang w:val="fr-CA"/>
        </w:rPr>
        <w:t>Britannique (Securities Commission)</w:t>
      </w:r>
      <w:r w:rsidR="00D8096A" w:rsidRPr="005F229C">
        <w:rPr>
          <w:lang w:val="fr-CA"/>
        </w:rPr>
        <w:t xml:space="preserve">, 2013 CSC 67, [2013] 3 R.C.S. 895; </w:t>
      </w:r>
      <w:r w:rsidR="00E5113F" w:rsidRPr="005F229C">
        <w:rPr>
          <w:i/>
          <w:lang w:val="fr-CA"/>
        </w:rPr>
        <w:t>Delios c. Canada (</w:t>
      </w:r>
      <w:r w:rsidR="00C5286A" w:rsidRPr="005F229C">
        <w:rPr>
          <w:i/>
          <w:lang w:val="fr-CA"/>
        </w:rPr>
        <w:t>Procureur général</w:t>
      </w:r>
      <w:r w:rsidR="00E5113F" w:rsidRPr="005F229C">
        <w:rPr>
          <w:i/>
          <w:lang w:val="fr-CA"/>
        </w:rPr>
        <w:t>)</w:t>
      </w:r>
      <w:r w:rsidR="00E5113F" w:rsidRPr="005F229C">
        <w:rPr>
          <w:lang w:val="fr-CA"/>
        </w:rPr>
        <w:t xml:space="preserve">, 2015 CAF 117; </w:t>
      </w:r>
      <w:r w:rsidR="00E5113F" w:rsidRPr="005F229C">
        <w:rPr>
          <w:i/>
          <w:iCs/>
          <w:lang w:val="fr-CA"/>
        </w:rPr>
        <w:t>Barreau du Nouveau</w:t>
      </w:r>
      <w:r w:rsidR="005F229C">
        <w:rPr>
          <w:i/>
          <w:iCs/>
          <w:lang w:val="fr-CA"/>
        </w:rPr>
        <w:noBreakHyphen/>
      </w:r>
      <w:r w:rsidR="00E5113F" w:rsidRPr="005F229C">
        <w:rPr>
          <w:i/>
          <w:iCs/>
          <w:lang w:val="fr-CA"/>
        </w:rPr>
        <w:t>Brunswick c. Ryan</w:t>
      </w:r>
      <w:r w:rsidR="00E5113F" w:rsidRPr="005F229C">
        <w:rPr>
          <w:lang w:val="fr-CA"/>
        </w:rPr>
        <w:t>, 2003 CSC 20, [2003] 1 R.C.S. 247;</w:t>
      </w:r>
      <w:r w:rsidR="00C5286A" w:rsidRPr="005F229C">
        <w:rPr>
          <w:lang w:val="fr-CA"/>
        </w:rPr>
        <w:t xml:space="preserve"> </w:t>
      </w:r>
      <w:r w:rsidR="00C5286A" w:rsidRPr="005F229C">
        <w:rPr>
          <w:i/>
          <w:lang w:val="fr-CA"/>
        </w:rPr>
        <w:t>New Brunswick Liquor Cor</w:t>
      </w:r>
      <w:r w:rsidR="005F229C">
        <w:rPr>
          <w:i/>
          <w:lang w:val="fr-CA"/>
        </w:rPr>
        <w:t>p. </w:t>
      </w:r>
      <w:r w:rsidR="00C5286A" w:rsidRPr="005F229C">
        <w:rPr>
          <w:i/>
          <w:lang w:val="fr-CA"/>
        </w:rPr>
        <w:t>c. Small</w:t>
      </w:r>
      <w:r w:rsidR="00C5286A" w:rsidRPr="005F229C">
        <w:rPr>
          <w:lang w:val="fr-CA"/>
        </w:rPr>
        <w:t xml:space="preserve">, 2012 NBCA 53, 390 </w:t>
      </w:r>
      <w:r w:rsidR="0088661A" w:rsidRPr="005F229C">
        <w:rPr>
          <w:lang w:val="fr-CA"/>
        </w:rPr>
        <w:t>R.N.</w:t>
      </w:r>
      <w:r w:rsidR="005F229C">
        <w:rPr>
          <w:lang w:val="fr-CA"/>
        </w:rPr>
        <w:noBreakHyphen/>
      </w:r>
      <w:r w:rsidR="0088661A" w:rsidRPr="005F229C">
        <w:rPr>
          <w:lang w:val="fr-CA"/>
        </w:rPr>
        <w:t>B. (2</w:t>
      </w:r>
      <w:r w:rsidR="0088661A" w:rsidRPr="005F229C">
        <w:rPr>
          <w:vertAlign w:val="superscript"/>
          <w:lang w:val="fr-CA"/>
        </w:rPr>
        <w:t>e</w:t>
      </w:r>
      <w:r w:rsidR="0088661A" w:rsidRPr="005F229C">
        <w:rPr>
          <w:lang w:val="fr-CA"/>
        </w:rPr>
        <w:t>) </w:t>
      </w:r>
      <w:r w:rsidR="00C5286A" w:rsidRPr="005F229C">
        <w:rPr>
          <w:lang w:val="fr-CA"/>
        </w:rPr>
        <w:t>203;</w:t>
      </w:r>
      <w:r w:rsidR="000B04B3" w:rsidRPr="005F229C">
        <w:rPr>
          <w:lang w:val="fr-CA"/>
        </w:rPr>
        <w:t xml:space="preserve"> </w:t>
      </w:r>
      <w:r w:rsidR="000B04B3" w:rsidRPr="005F229C">
        <w:rPr>
          <w:i/>
          <w:lang w:val="fr-CA"/>
        </w:rPr>
        <w:t>West Fraser Mills Ltd. c. Colombie</w:t>
      </w:r>
      <w:r w:rsidR="005F229C">
        <w:rPr>
          <w:i/>
          <w:lang w:val="fr-CA"/>
        </w:rPr>
        <w:noBreakHyphen/>
      </w:r>
      <w:r w:rsidR="000B04B3" w:rsidRPr="005F229C">
        <w:rPr>
          <w:i/>
          <w:lang w:val="fr-CA"/>
        </w:rPr>
        <w:t>Britannique (Workers’ Compensation Appeal Tribunal)</w:t>
      </w:r>
      <w:r w:rsidR="000B04B3" w:rsidRPr="005F229C">
        <w:rPr>
          <w:lang w:val="fr-CA"/>
        </w:rPr>
        <w:t>, 2018 CSC 22, [2018] 1 R.C.S.</w:t>
      </w:r>
      <w:r w:rsidR="00560F70" w:rsidRPr="005F229C">
        <w:rPr>
          <w:lang w:val="fr-CA"/>
        </w:rPr>
        <w:t xml:space="preserve"> 635;</w:t>
      </w:r>
      <w:r w:rsidR="0065623A" w:rsidRPr="005F229C">
        <w:rPr>
          <w:lang w:val="fr-CA"/>
        </w:rPr>
        <w:t xml:space="preserve"> </w:t>
      </w:r>
      <w:r w:rsidR="0065623A" w:rsidRPr="005F229C">
        <w:rPr>
          <w:i/>
          <w:lang w:val="fr-CA"/>
        </w:rPr>
        <w:t>Bell Canada</w:t>
      </w:r>
      <w:r w:rsidR="0065623A" w:rsidRPr="005F229C">
        <w:rPr>
          <w:lang w:val="fr-CA"/>
        </w:rPr>
        <w:t xml:space="preserve">, 2011 </w:t>
      </w:r>
      <w:r w:rsidR="0065623A" w:rsidRPr="005F229C">
        <w:rPr>
          <w:rFonts w:eastAsia="Calibri"/>
          <w:szCs w:val="24"/>
          <w:lang w:val="fr-CA" w:eastAsia="en-US"/>
        </w:rPr>
        <w:t xml:space="preserve">TSSTC </w:t>
      </w:r>
      <w:r w:rsidR="0065623A" w:rsidRPr="005F229C">
        <w:rPr>
          <w:lang w:val="fr-CA"/>
        </w:rPr>
        <w:t>21;</w:t>
      </w:r>
      <w:r w:rsidR="00B726B2" w:rsidRPr="005F229C">
        <w:rPr>
          <w:lang w:val="fr-CA"/>
        </w:rPr>
        <w:t xml:space="preserve"> </w:t>
      </w:r>
      <w:r w:rsidR="00566382" w:rsidRPr="005F229C">
        <w:rPr>
          <w:i/>
          <w:lang w:val="fr-CA"/>
        </w:rPr>
        <w:t>Mowat Express</w:t>
      </w:r>
      <w:r w:rsidR="00D7110C" w:rsidRPr="005F229C">
        <w:rPr>
          <w:i/>
          <w:lang w:val="fr-CA"/>
        </w:rPr>
        <w:t xml:space="preserve"> c. Syndicat canadien des communications, de l’énergie et du papier</w:t>
      </w:r>
      <w:r w:rsidR="00566382" w:rsidRPr="005F229C">
        <w:rPr>
          <w:lang w:val="fr-CA"/>
        </w:rPr>
        <w:t>, [1994] D.A.R.S.C.C.T. n</w:t>
      </w:r>
      <w:r w:rsidR="00566382" w:rsidRPr="005F229C">
        <w:rPr>
          <w:vertAlign w:val="superscript"/>
          <w:lang w:val="fr-CA"/>
        </w:rPr>
        <w:t>o</w:t>
      </w:r>
      <w:r w:rsidR="00566382" w:rsidRPr="005F229C">
        <w:rPr>
          <w:lang w:val="fr-CA"/>
        </w:rPr>
        <w:t xml:space="preserve"> 4</w:t>
      </w:r>
      <w:r w:rsidR="00B726B2" w:rsidRPr="005F229C">
        <w:rPr>
          <w:lang w:val="fr-CA"/>
        </w:rPr>
        <w:t>;</w:t>
      </w:r>
      <w:r w:rsidR="00F55D85" w:rsidRPr="005F229C">
        <w:rPr>
          <w:lang w:val="fr-CA"/>
        </w:rPr>
        <w:t xml:space="preserve"> </w:t>
      </w:r>
      <w:r w:rsidR="00F55D85" w:rsidRPr="005F229C">
        <w:rPr>
          <w:i/>
          <w:lang w:val="fr-CA"/>
        </w:rPr>
        <w:t>Seair Seaplanes Ltd. c. Bhangal</w:t>
      </w:r>
      <w:r w:rsidR="00F55D85" w:rsidRPr="005F229C">
        <w:rPr>
          <w:lang w:val="fr-CA"/>
        </w:rPr>
        <w:t xml:space="preserve">, </w:t>
      </w:r>
      <w:r w:rsidR="00566382" w:rsidRPr="005F229C">
        <w:rPr>
          <w:rFonts w:eastAsia="Calibri"/>
          <w:szCs w:val="24"/>
          <w:lang w:val="fr-CA" w:eastAsia="en-US"/>
        </w:rPr>
        <w:t>2009 LNTSSTC 24</w:t>
      </w:r>
      <w:r w:rsidR="00F55D85" w:rsidRPr="005F229C">
        <w:rPr>
          <w:lang w:val="fr-CA"/>
        </w:rPr>
        <w:t>;</w:t>
      </w:r>
      <w:r w:rsidR="00984645" w:rsidRPr="005F229C">
        <w:rPr>
          <w:lang w:val="fr-CA"/>
        </w:rPr>
        <w:t xml:space="preserve"> </w:t>
      </w:r>
      <w:r w:rsidR="00984645" w:rsidRPr="005F229C">
        <w:rPr>
          <w:i/>
          <w:lang w:val="fr-CA"/>
        </w:rPr>
        <w:t>Blue Mountain Resorts Ltd. c. Ontario (Ministry of Labour)</w:t>
      </w:r>
      <w:r w:rsidR="00984645" w:rsidRPr="005F229C">
        <w:rPr>
          <w:lang w:val="fr-CA"/>
        </w:rPr>
        <w:t>, 2013 ONCA 75, 114 O.R. (3d) 321;</w:t>
      </w:r>
      <w:r w:rsidR="00B5584A" w:rsidRPr="005F229C">
        <w:rPr>
          <w:lang w:val="fr-CA"/>
        </w:rPr>
        <w:t xml:space="preserve"> </w:t>
      </w:r>
      <w:r w:rsidR="00B5584A" w:rsidRPr="005F229C">
        <w:rPr>
          <w:i/>
          <w:iCs/>
          <w:lang w:val="fr-CA"/>
        </w:rPr>
        <w:t>Canada (Citoyenneté et Immigration) c. Khosa</w:t>
      </w:r>
      <w:r w:rsidR="00B5584A" w:rsidRPr="005F229C">
        <w:rPr>
          <w:iCs/>
          <w:lang w:val="fr-CA"/>
        </w:rPr>
        <w:t>,</w:t>
      </w:r>
      <w:r w:rsidR="00B5584A" w:rsidRPr="005F229C">
        <w:rPr>
          <w:i/>
          <w:iCs/>
          <w:lang w:val="fr-CA"/>
        </w:rPr>
        <w:t xml:space="preserve"> </w:t>
      </w:r>
      <w:r w:rsidR="00B5584A" w:rsidRPr="005F229C">
        <w:rPr>
          <w:iCs/>
          <w:lang w:val="fr-CA"/>
        </w:rPr>
        <w:t>2009 CSC 12</w:t>
      </w:r>
      <w:r w:rsidR="00B5584A" w:rsidRPr="005F229C">
        <w:rPr>
          <w:lang w:val="fr-CA"/>
        </w:rPr>
        <w:t>, [2009] 1 R.C.S. 339;</w:t>
      </w:r>
      <w:r w:rsidR="00AF1D5F" w:rsidRPr="005F229C">
        <w:rPr>
          <w:lang w:val="fr-CA"/>
        </w:rPr>
        <w:t xml:space="preserve"> </w:t>
      </w:r>
      <w:r w:rsidR="00AF1D5F" w:rsidRPr="005F229C">
        <w:rPr>
          <w:i/>
          <w:iCs/>
          <w:lang w:val="fr-CA"/>
        </w:rPr>
        <w:t>Dr. Q c. College of Physicians and Surgeons of British Columbia</w:t>
      </w:r>
      <w:r w:rsidR="00AF1D5F" w:rsidRPr="005F229C">
        <w:rPr>
          <w:lang w:val="fr-CA"/>
        </w:rPr>
        <w:t xml:space="preserve">, 2003 </w:t>
      </w:r>
      <w:r w:rsidR="006226E9" w:rsidRPr="005F229C">
        <w:rPr>
          <w:lang w:val="fr-CA"/>
        </w:rPr>
        <w:t>CSC</w:t>
      </w:r>
      <w:r w:rsidR="00AF1D5F" w:rsidRPr="005F229C">
        <w:rPr>
          <w:lang w:val="fr-CA"/>
        </w:rPr>
        <w:t xml:space="preserve"> 19, [2003] 1 </w:t>
      </w:r>
      <w:r w:rsidR="00D73FE5" w:rsidRPr="005F229C">
        <w:rPr>
          <w:lang w:val="fr-CA"/>
        </w:rPr>
        <w:t xml:space="preserve">R.C.S. </w:t>
      </w:r>
      <w:r w:rsidR="00AF1D5F" w:rsidRPr="005F229C">
        <w:rPr>
          <w:lang w:val="fr-CA"/>
        </w:rPr>
        <w:t>226</w:t>
      </w:r>
      <w:r w:rsidR="00AF1D5F" w:rsidRPr="005F229C">
        <w:rPr>
          <w:i/>
          <w:iCs/>
          <w:lang w:val="fr-CA"/>
        </w:rPr>
        <w:t>.</w:t>
      </w:r>
    </w:p>
    <w:p w:rsidR="002021E8" w:rsidRPr="005F229C" w:rsidRDefault="002021E8" w:rsidP="00455B08">
      <w:pPr>
        <w:pStyle w:val="SCCNormalDoubleSpacing"/>
        <w:spacing w:after="720" w:line="240" w:lineRule="auto"/>
        <w:rPr>
          <w:lang w:val="fr-CA"/>
        </w:rPr>
      </w:pPr>
      <w:r w:rsidRPr="005F229C">
        <w:rPr>
          <w:lang w:val="fr-CA"/>
        </w:rPr>
        <w:t>Citée par la juge Abella (dissidente)</w:t>
      </w:r>
    </w:p>
    <w:p w:rsidR="00F649C3" w:rsidRPr="005F229C" w:rsidRDefault="001B2DE1" w:rsidP="00455B08">
      <w:pPr>
        <w:pStyle w:val="SCCNormalDoubleSpacing"/>
        <w:spacing w:after="480"/>
        <w:rPr>
          <w:lang w:val="fr-CA"/>
        </w:rPr>
      </w:pPr>
      <w:r w:rsidRPr="005F229C">
        <w:rPr>
          <w:rFonts w:eastAsia="Calibri"/>
          <w:i/>
          <w:szCs w:val="24"/>
          <w:lang w:val="fr-CA" w:eastAsia="en-US"/>
        </w:rPr>
        <w:lastRenderedPageBreak/>
        <w:tab/>
      </w:r>
      <w:r w:rsidR="00940E68" w:rsidRPr="005F229C">
        <w:rPr>
          <w:rFonts w:eastAsia="Calibri"/>
          <w:i/>
          <w:szCs w:val="24"/>
          <w:lang w:val="fr-CA" w:eastAsia="en-US"/>
        </w:rPr>
        <w:t>Alliance de la F</w:t>
      </w:r>
      <w:r w:rsidR="00C76956" w:rsidRPr="005F229C">
        <w:rPr>
          <w:rFonts w:eastAsia="Calibri"/>
          <w:i/>
          <w:szCs w:val="24"/>
          <w:lang w:val="fr-CA" w:eastAsia="en-US"/>
        </w:rPr>
        <w:t>onction publique du Canada</w:t>
      </w:r>
      <w:r w:rsidRPr="005F229C">
        <w:rPr>
          <w:rFonts w:eastAsia="Calibri"/>
          <w:i/>
          <w:szCs w:val="24"/>
          <w:lang w:val="fr-CA" w:eastAsia="en-US"/>
        </w:rPr>
        <w:t xml:space="preserve"> </w:t>
      </w:r>
      <w:r w:rsidR="00C76956" w:rsidRPr="005F229C">
        <w:rPr>
          <w:rFonts w:eastAsia="Calibri"/>
          <w:i/>
          <w:szCs w:val="24"/>
          <w:lang w:val="fr-CA" w:eastAsia="en-US"/>
        </w:rPr>
        <w:t>c</w:t>
      </w:r>
      <w:r w:rsidRPr="005F229C">
        <w:rPr>
          <w:rFonts w:eastAsia="Calibri"/>
          <w:i/>
          <w:szCs w:val="24"/>
          <w:lang w:val="fr-CA" w:eastAsia="en-US"/>
        </w:rPr>
        <w:t>. Canada (Procureur général)</w:t>
      </w:r>
      <w:r w:rsidRPr="005F229C">
        <w:rPr>
          <w:rFonts w:eastAsia="Calibri"/>
          <w:szCs w:val="24"/>
          <w:lang w:val="fr-CA" w:eastAsia="en-US"/>
        </w:rPr>
        <w:t xml:space="preserve">, 2015 </w:t>
      </w:r>
      <w:r w:rsidR="00C76956" w:rsidRPr="005F229C">
        <w:rPr>
          <w:rFonts w:eastAsia="Calibri"/>
          <w:szCs w:val="24"/>
          <w:lang w:val="fr-CA" w:eastAsia="en-US"/>
        </w:rPr>
        <w:t>CAF</w:t>
      </w:r>
      <w:r w:rsidRPr="005F229C">
        <w:rPr>
          <w:rFonts w:eastAsia="Calibri"/>
          <w:szCs w:val="24"/>
          <w:lang w:val="fr-CA" w:eastAsia="en-US"/>
        </w:rPr>
        <w:t xml:space="preserve"> 273, [2016] 3 R.C.F. 33;</w:t>
      </w:r>
      <w:r w:rsidR="004C1D6A" w:rsidRPr="005F229C">
        <w:rPr>
          <w:rFonts w:eastAsia="Calibri"/>
          <w:szCs w:val="24"/>
          <w:lang w:val="fr-CA" w:eastAsia="en-US"/>
        </w:rPr>
        <w:t xml:space="preserve"> </w:t>
      </w:r>
      <w:r w:rsidR="00B52DE4" w:rsidRPr="005F229C">
        <w:rPr>
          <w:rFonts w:eastAsia="Calibri"/>
          <w:i/>
          <w:szCs w:val="24"/>
          <w:lang w:val="fr-CA" w:eastAsia="en-US"/>
        </w:rPr>
        <w:t>Énergie atomique du Canada ltée</w:t>
      </w:r>
      <w:r w:rsidR="004C1D6A" w:rsidRPr="005F229C">
        <w:rPr>
          <w:rFonts w:eastAsia="Calibri"/>
          <w:szCs w:val="24"/>
          <w:lang w:val="fr-CA" w:eastAsia="en-US"/>
        </w:rPr>
        <w:t>,</w:t>
      </w:r>
      <w:r w:rsidR="004C1D6A" w:rsidRPr="005F229C">
        <w:rPr>
          <w:rFonts w:eastAsia="Calibri"/>
          <w:i/>
          <w:szCs w:val="24"/>
          <w:lang w:val="fr-CA" w:eastAsia="en-US"/>
        </w:rPr>
        <w:t xml:space="preserve"> </w:t>
      </w:r>
      <w:r w:rsidR="004C1D6A" w:rsidRPr="005F229C">
        <w:rPr>
          <w:rFonts w:eastAsia="Calibri"/>
          <w:szCs w:val="24"/>
          <w:lang w:val="fr-CA" w:eastAsia="en-US"/>
        </w:rPr>
        <w:t>2013 TSSTC 21;</w:t>
      </w:r>
      <w:r w:rsidR="00643DCC" w:rsidRPr="005F229C">
        <w:rPr>
          <w:rFonts w:eastAsia="Calibri"/>
          <w:szCs w:val="24"/>
          <w:lang w:val="fr-CA" w:eastAsia="en-US"/>
        </w:rPr>
        <w:t xml:space="preserve"> </w:t>
      </w:r>
      <w:r w:rsidR="00643DCC" w:rsidRPr="005F229C">
        <w:rPr>
          <w:rFonts w:eastAsia="Calibri"/>
          <w:i/>
          <w:szCs w:val="24"/>
          <w:lang w:val="fr-CA" w:eastAsia="en-US"/>
        </w:rPr>
        <w:t xml:space="preserve">Aviation General Partner Inc. </w:t>
      </w:r>
      <w:r w:rsidR="005C003D" w:rsidRPr="005F229C">
        <w:rPr>
          <w:rFonts w:eastAsia="Calibri"/>
          <w:i/>
          <w:szCs w:val="24"/>
          <w:lang w:val="fr-CA" w:eastAsia="en-US"/>
        </w:rPr>
        <w:t>c</w:t>
      </w:r>
      <w:r w:rsidR="00643DCC" w:rsidRPr="005F229C">
        <w:rPr>
          <w:rFonts w:eastAsia="Calibri"/>
          <w:i/>
          <w:szCs w:val="24"/>
          <w:lang w:val="fr-CA" w:eastAsia="en-US"/>
        </w:rPr>
        <w:t>. Jainudeen</w:t>
      </w:r>
      <w:r w:rsidR="00643DCC" w:rsidRPr="005F229C">
        <w:rPr>
          <w:rFonts w:eastAsia="Calibri"/>
          <w:szCs w:val="24"/>
          <w:lang w:val="fr-CA" w:eastAsia="en-US"/>
        </w:rPr>
        <w:t>, 2013 TSSTC 32;</w:t>
      </w:r>
      <w:r w:rsidR="00EB09E0" w:rsidRPr="005F229C">
        <w:rPr>
          <w:rFonts w:eastAsia="Calibri"/>
          <w:szCs w:val="24"/>
          <w:lang w:val="fr-CA" w:eastAsia="en-US"/>
        </w:rPr>
        <w:t xml:space="preserve"> </w:t>
      </w:r>
      <w:r w:rsidR="00B40C65" w:rsidRPr="005F229C">
        <w:rPr>
          <w:rFonts w:eastAsia="Calibri"/>
          <w:i/>
          <w:szCs w:val="24"/>
          <w:lang w:val="fr-CA" w:eastAsia="en-US"/>
        </w:rPr>
        <w:t>Laroche c. Agence des s</w:t>
      </w:r>
      <w:r w:rsidR="00EB09E0" w:rsidRPr="005F229C">
        <w:rPr>
          <w:rFonts w:eastAsia="Calibri"/>
          <w:i/>
          <w:szCs w:val="24"/>
          <w:lang w:val="fr-CA" w:eastAsia="en-US"/>
        </w:rPr>
        <w:t>ervices frontaliers du Canada</w:t>
      </w:r>
      <w:r w:rsidR="00EB09E0" w:rsidRPr="005F229C">
        <w:rPr>
          <w:rFonts w:eastAsia="Calibri"/>
          <w:szCs w:val="24"/>
          <w:lang w:val="fr-CA" w:eastAsia="en-US"/>
        </w:rPr>
        <w:t>, 2010 TSSTC 12;</w:t>
      </w:r>
      <w:r w:rsidR="00E168D7" w:rsidRPr="005F229C">
        <w:rPr>
          <w:rFonts w:eastAsia="Calibri"/>
          <w:szCs w:val="24"/>
          <w:lang w:val="fr-CA" w:eastAsia="en-US"/>
        </w:rPr>
        <w:t xml:space="preserve"> </w:t>
      </w:r>
      <w:r w:rsidR="00352D7A" w:rsidRPr="005F229C">
        <w:rPr>
          <w:rFonts w:eastAsia="Calibri"/>
          <w:i/>
          <w:szCs w:val="24"/>
          <w:lang w:val="fr-CA" w:eastAsia="en-US"/>
        </w:rPr>
        <w:t>Canada (</w:t>
      </w:r>
      <w:r w:rsidR="00E168D7" w:rsidRPr="005F229C">
        <w:rPr>
          <w:rFonts w:eastAsia="Calibri"/>
          <w:i/>
          <w:szCs w:val="24"/>
          <w:lang w:val="fr-CA" w:eastAsia="en-US"/>
        </w:rPr>
        <w:t>Travaux publics et Services gouvernementaux</w:t>
      </w:r>
      <w:r w:rsidR="00352D7A" w:rsidRPr="005F229C">
        <w:rPr>
          <w:rFonts w:eastAsia="Calibri"/>
          <w:i/>
          <w:szCs w:val="24"/>
          <w:lang w:val="fr-CA" w:eastAsia="en-US"/>
        </w:rPr>
        <w:t>) (Re)</w:t>
      </w:r>
      <w:r w:rsidR="00E168D7" w:rsidRPr="005F229C">
        <w:rPr>
          <w:rFonts w:eastAsia="Calibri"/>
          <w:szCs w:val="24"/>
          <w:lang w:val="fr-CA" w:eastAsia="en-US"/>
        </w:rPr>
        <w:t>,</w:t>
      </w:r>
      <w:r w:rsidR="00352D7A" w:rsidRPr="005F229C">
        <w:rPr>
          <w:rFonts w:eastAsia="Calibri"/>
          <w:szCs w:val="24"/>
          <w:lang w:val="fr-CA" w:eastAsia="en-US"/>
        </w:rPr>
        <w:t xml:space="preserve"> 2009 </w:t>
      </w:r>
      <w:r w:rsidR="009026E6" w:rsidRPr="005F229C">
        <w:rPr>
          <w:rFonts w:eastAsia="Calibri"/>
          <w:szCs w:val="24"/>
          <w:lang w:val="fr-CA" w:eastAsia="en-US"/>
        </w:rPr>
        <w:t>LN</w:t>
      </w:r>
      <w:r w:rsidR="00352D7A" w:rsidRPr="005F229C">
        <w:rPr>
          <w:rFonts w:eastAsia="Calibri"/>
          <w:szCs w:val="24"/>
          <w:lang w:val="fr-CA" w:eastAsia="en-US"/>
        </w:rPr>
        <w:t>TSSTC 35</w:t>
      </w:r>
      <w:r w:rsidR="00E168D7" w:rsidRPr="005F229C">
        <w:rPr>
          <w:rFonts w:eastAsia="Calibri"/>
          <w:szCs w:val="24"/>
          <w:lang w:val="fr-CA" w:eastAsia="en-US"/>
        </w:rPr>
        <w:t xml:space="preserve">; </w:t>
      </w:r>
      <w:r w:rsidR="00182783" w:rsidRPr="005F229C">
        <w:rPr>
          <w:rFonts w:eastAsia="Calibri"/>
          <w:i/>
          <w:szCs w:val="24"/>
          <w:lang w:val="fr-CA" w:eastAsia="en-US"/>
        </w:rPr>
        <w:t>Morrison c. Société canadienne des postes</w:t>
      </w:r>
      <w:r w:rsidR="00182783" w:rsidRPr="005F229C">
        <w:rPr>
          <w:rFonts w:eastAsia="Calibri"/>
          <w:szCs w:val="24"/>
          <w:lang w:val="fr-CA" w:eastAsia="en-US"/>
        </w:rPr>
        <w:t xml:space="preserve">, </w:t>
      </w:r>
      <w:r w:rsidR="00352D7A" w:rsidRPr="005F229C">
        <w:rPr>
          <w:rFonts w:eastAsia="Calibri"/>
          <w:szCs w:val="24"/>
          <w:lang w:val="fr-CA" w:eastAsia="en-US"/>
        </w:rPr>
        <w:t>2009 LNTSSTC 32</w:t>
      </w:r>
      <w:r w:rsidR="0030529C" w:rsidRPr="005F229C">
        <w:rPr>
          <w:rFonts w:eastAsia="Calibri"/>
          <w:szCs w:val="24"/>
          <w:lang w:val="fr-CA" w:eastAsia="en-US"/>
        </w:rPr>
        <w:t xml:space="preserve">; </w:t>
      </w:r>
      <w:r w:rsidR="0030529C" w:rsidRPr="005F229C">
        <w:rPr>
          <w:rFonts w:eastAsia="Calibri"/>
          <w:i/>
          <w:szCs w:val="24"/>
          <w:lang w:val="fr-CA" w:eastAsia="en-US"/>
        </w:rPr>
        <w:t xml:space="preserve">Ontario (Ministry of Labour) </w:t>
      </w:r>
      <w:r w:rsidR="005222E6" w:rsidRPr="005F229C">
        <w:rPr>
          <w:rFonts w:eastAsia="Calibri"/>
          <w:i/>
          <w:szCs w:val="24"/>
          <w:lang w:val="fr-CA" w:eastAsia="en-US"/>
        </w:rPr>
        <w:t>c</w:t>
      </w:r>
      <w:r w:rsidR="0030529C" w:rsidRPr="005F229C">
        <w:rPr>
          <w:rFonts w:eastAsia="Calibri"/>
          <w:i/>
          <w:szCs w:val="24"/>
          <w:lang w:val="fr-CA" w:eastAsia="en-US"/>
        </w:rPr>
        <w:t>. United Independent Operators Ltd.</w:t>
      </w:r>
      <w:r w:rsidR="0030529C" w:rsidRPr="005F229C">
        <w:rPr>
          <w:rFonts w:eastAsia="Calibri"/>
          <w:szCs w:val="24"/>
          <w:lang w:val="fr-CA" w:eastAsia="en-US"/>
        </w:rPr>
        <w:t>, 2011 ONCA 33, 104 O.R. (3d) 1;</w:t>
      </w:r>
      <w:r w:rsidR="00ED5921" w:rsidRPr="005F229C">
        <w:rPr>
          <w:rFonts w:eastAsia="Calibri"/>
          <w:szCs w:val="24"/>
          <w:lang w:val="fr-CA" w:eastAsia="en-US"/>
        </w:rPr>
        <w:t xml:space="preserve"> </w:t>
      </w:r>
      <w:r w:rsidR="00ED5921" w:rsidRPr="005F229C">
        <w:rPr>
          <w:rFonts w:eastAsia="Calibri"/>
          <w:i/>
          <w:szCs w:val="24"/>
          <w:lang w:val="fr-CA" w:eastAsia="en-US"/>
        </w:rPr>
        <w:t>Machtinger c. HOJ Industries Ltd.</w:t>
      </w:r>
      <w:r w:rsidR="00ED5921" w:rsidRPr="005F229C">
        <w:rPr>
          <w:rFonts w:eastAsia="Calibri"/>
          <w:szCs w:val="24"/>
          <w:lang w:val="fr-CA" w:eastAsia="en-US"/>
        </w:rPr>
        <w:t>, [1992] 1 R.C.S. 986;</w:t>
      </w:r>
      <w:r w:rsidR="00720B0B" w:rsidRPr="005F229C">
        <w:rPr>
          <w:rFonts w:eastAsia="Calibri"/>
          <w:szCs w:val="24"/>
          <w:lang w:val="fr-CA" w:eastAsia="en-US"/>
        </w:rPr>
        <w:t xml:space="preserve"> </w:t>
      </w:r>
      <w:r w:rsidR="00720B0B" w:rsidRPr="005F229C">
        <w:rPr>
          <w:rFonts w:eastAsia="Calibri"/>
          <w:i/>
          <w:szCs w:val="24"/>
          <w:lang w:val="fr-CA" w:eastAsia="en-US"/>
        </w:rPr>
        <w:t>Dunsmuir c. Nouveau</w:t>
      </w:r>
      <w:r w:rsidR="005F229C">
        <w:rPr>
          <w:rFonts w:eastAsia="Calibri"/>
          <w:i/>
          <w:szCs w:val="24"/>
          <w:lang w:val="fr-CA" w:eastAsia="en-US"/>
        </w:rPr>
        <w:noBreakHyphen/>
      </w:r>
      <w:r w:rsidR="00720B0B" w:rsidRPr="005F229C">
        <w:rPr>
          <w:rFonts w:eastAsia="Calibri"/>
          <w:i/>
          <w:szCs w:val="24"/>
          <w:lang w:val="fr-CA" w:eastAsia="en-US"/>
        </w:rPr>
        <w:t>Brunswick</w:t>
      </w:r>
      <w:r w:rsidR="00720B0B" w:rsidRPr="005F229C">
        <w:rPr>
          <w:rFonts w:eastAsia="Calibri"/>
          <w:szCs w:val="24"/>
          <w:lang w:val="fr-CA" w:eastAsia="en-US"/>
        </w:rPr>
        <w:t>, 2008 CSC 9, [2008] 1 R.C.S. 190;</w:t>
      </w:r>
      <w:r w:rsidR="002D4E11" w:rsidRPr="005F229C">
        <w:rPr>
          <w:rFonts w:eastAsia="Calibri"/>
          <w:szCs w:val="24"/>
          <w:lang w:val="fr-CA" w:eastAsia="en-US"/>
        </w:rPr>
        <w:t xml:space="preserve"> </w:t>
      </w:r>
      <w:r w:rsidR="002D4E11" w:rsidRPr="005F229C">
        <w:rPr>
          <w:rFonts w:eastAsia="Calibri"/>
          <w:i/>
          <w:szCs w:val="24"/>
          <w:lang w:val="fr-CA" w:eastAsia="en-US"/>
        </w:rPr>
        <w:t>Ontario (</w:t>
      </w:r>
      <w:r w:rsidR="00533424" w:rsidRPr="005F229C">
        <w:rPr>
          <w:rFonts w:eastAsia="Calibri"/>
          <w:i/>
          <w:szCs w:val="24"/>
          <w:lang w:val="fr-CA" w:eastAsia="en-US"/>
        </w:rPr>
        <w:t xml:space="preserve">Ministry of </w:t>
      </w:r>
      <w:r w:rsidR="002D4E11" w:rsidRPr="005F229C">
        <w:rPr>
          <w:rFonts w:eastAsia="Calibri"/>
          <w:i/>
          <w:szCs w:val="24"/>
          <w:lang w:val="fr-CA" w:eastAsia="en-US"/>
        </w:rPr>
        <w:t>Labour) c. Quinton Steel (Wellington) Ltd.</w:t>
      </w:r>
      <w:r w:rsidR="002D4E11" w:rsidRPr="005F229C">
        <w:rPr>
          <w:rFonts w:eastAsia="Calibri"/>
          <w:szCs w:val="24"/>
          <w:lang w:val="fr-CA" w:eastAsia="en-US"/>
        </w:rPr>
        <w:t>, 2017 ONCA 1006;</w:t>
      </w:r>
      <w:r w:rsidR="002E28D8" w:rsidRPr="005F229C">
        <w:rPr>
          <w:rFonts w:eastAsia="Calibri"/>
          <w:szCs w:val="24"/>
          <w:lang w:val="fr-CA" w:eastAsia="en-US"/>
        </w:rPr>
        <w:t xml:space="preserve"> </w:t>
      </w:r>
      <w:r w:rsidR="002E28D8" w:rsidRPr="005F229C">
        <w:rPr>
          <w:rFonts w:eastAsia="Calibri"/>
          <w:i/>
          <w:szCs w:val="24"/>
          <w:lang w:val="fr-CA" w:eastAsia="en-US"/>
        </w:rPr>
        <w:t>Ontario (Ministry of Labour) c. Hamilton (City)</w:t>
      </w:r>
      <w:r w:rsidR="002E28D8" w:rsidRPr="005F229C">
        <w:rPr>
          <w:rFonts w:eastAsia="Calibri"/>
          <w:szCs w:val="24"/>
          <w:lang w:val="fr-CA" w:eastAsia="en-US"/>
        </w:rPr>
        <w:t xml:space="preserve"> (2002), 58 O.R. (3d) 37</w:t>
      </w:r>
      <w:r w:rsidR="00991EFC" w:rsidRPr="005F229C">
        <w:rPr>
          <w:rFonts w:eastAsia="Calibri"/>
          <w:szCs w:val="24"/>
          <w:lang w:val="fr-CA" w:eastAsia="en-US"/>
        </w:rPr>
        <w:t>.</w:t>
      </w:r>
    </w:p>
    <w:p w:rsidR="004D7D95" w:rsidRPr="005F229C" w:rsidRDefault="004D7D95" w:rsidP="00455B08">
      <w:pPr>
        <w:pStyle w:val="SCCNormalDoubleSpacing"/>
        <w:spacing w:after="720" w:line="240" w:lineRule="auto"/>
        <w:rPr>
          <w:b/>
          <w:lang w:val="fr-CA"/>
        </w:rPr>
      </w:pPr>
      <w:r w:rsidRPr="005F229C">
        <w:rPr>
          <w:b/>
          <w:lang w:val="fr-CA"/>
        </w:rPr>
        <w:t>Lois et règlements cités</w:t>
      </w:r>
    </w:p>
    <w:p w:rsidR="006026DF" w:rsidRPr="005F229C" w:rsidRDefault="006026DF" w:rsidP="0078019C">
      <w:pPr>
        <w:pStyle w:val="SCCNormalDoubleSpacing"/>
        <w:spacing w:after="240" w:line="240" w:lineRule="auto"/>
        <w:ind w:left="567" w:hanging="567"/>
        <w:rPr>
          <w:lang w:val="fr-CA"/>
        </w:rPr>
      </w:pPr>
      <w:r w:rsidRPr="005F229C">
        <w:rPr>
          <w:i/>
          <w:lang w:val="fr-CA"/>
        </w:rPr>
        <w:t>Code canadien du travail</w:t>
      </w:r>
      <w:r w:rsidRPr="005F229C">
        <w:rPr>
          <w:lang w:val="fr-CA"/>
        </w:rPr>
        <w:t>,</w:t>
      </w:r>
      <w:r w:rsidR="00455B08" w:rsidRPr="005F229C">
        <w:rPr>
          <w:lang w:val="fr-CA"/>
        </w:rPr>
        <w:t xml:space="preserve"> L.R.C. 1985, c. L</w:t>
      </w:r>
      <w:r w:rsidR="005F229C">
        <w:rPr>
          <w:lang w:val="fr-CA"/>
        </w:rPr>
        <w:noBreakHyphen/>
      </w:r>
      <w:r w:rsidR="00455B08" w:rsidRPr="005F229C">
        <w:rPr>
          <w:lang w:val="fr-CA"/>
        </w:rPr>
        <w:t xml:space="preserve">2, partie II, </w:t>
      </w:r>
      <w:r w:rsidR="005F229C">
        <w:rPr>
          <w:lang w:val="fr-CA"/>
        </w:rPr>
        <w:t>art. </w:t>
      </w:r>
      <w:r w:rsidR="00EF47F4" w:rsidRPr="005F229C">
        <w:rPr>
          <w:lang w:val="fr-CA"/>
        </w:rPr>
        <w:t xml:space="preserve">122(1), </w:t>
      </w:r>
      <w:r w:rsidR="0026170F" w:rsidRPr="005F229C">
        <w:rPr>
          <w:lang w:val="fr-CA"/>
        </w:rPr>
        <w:t xml:space="preserve">122.1, 122.2, 124, 125, 125.1, 125.2, </w:t>
      </w:r>
      <w:r w:rsidR="000D5664" w:rsidRPr="005F229C">
        <w:rPr>
          <w:lang w:val="fr-CA"/>
        </w:rPr>
        <w:t xml:space="preserve">125.3, </w:t>
      </w:r>
      <w:r w:rsidR="00BC656D" w:rsidRPr="005F229C">
        <w:rPr>
          <w:lang w:val="fr-CA"/>
        </w:rPr>
        <w:t>126, 127.1, 135</w:t>
      </w:r>
      <w:r w:rsidR="0026170F" w:rsidRPr="005F229C">
        <w:rPr>
          <w:lang w:val="fr-CA"/>
        </w:rPr>
        <w:t xml:space="preserve">, 135.1(1), (14), 140, 145, </w:t>
      </w:r>
      <w:r w:rsidR="000D5664" w:rsidRPr="005F229C">
        <w:rPr>
          <w:lang w:val="fr-CA"/>
        </w:rPr>
        <w:t>146, 146.1, 146.2.</w:t>
      </w:r>
    </w:p>
    <w:p w:rsidR="00275940" w:rsidRPr="005F229C" w:rsidRDefault="00275940" w:rsidP="00455B08">
      <w:pPr>
        <w:pStyle w:val="SCCNormalDoubleSpacing"/>
        <w:spacing w:after="240" w:line="240" w:lineRule="auto"/>
        <w:rPr>
          <w:lang w:val="fr-CA"/>
        </w:rPr>
      </w:pPr>
      <w:r w:rsidRPr="005F229C">
        <w:rPr>
          <w:i/>
          <w:lang w:val="fr-CA"/>
        </w:rPr>
        <w:t>Loi d’interprétation</w:t>
      </w:r>
      <w:r w:rsidRPr="005F229C">
        <w:rPr>
          <w:lang w:val="fr-CA"/>
        </w:rPr>
        <w:t>, L.R.C.</w:t>
      </w:r>
      <w:r w:rsidR="00455B08" w:rsidRPr="005F229C">
        <w:rPr>
          <w:lang w:val="fr-CA"/>
        </w:rPr>
        <w:t xml:space="preserve"> 1985, c. I</w:t>
      </w:r>
      <w:r w:rsidR="005F229C">
        <w:rPr>
          <w:lang w:val="fr-CA"/>
        </w:rPr>
        <w:noBreakHyphen/>
      </w:r>
      <w:r w:rsidR="00455B08" w:rsidRPr="005F229C">
        <w:rPr>
          <w:lang w:val="fr-CA"/>
        </w:rPr>
        <w:t xml:space="preserve">21, </w:t>
      </w:r>
      <w:r w:rsidR="005F229C">
        <w:rPr>
          <w:lang w:val="fr-CA"/>
        </w:rPr>
        <w:t>art. </w:t>
      </w:r>
      <w:r w:rsidR="00271ABE" w:rsidRPr="005F229C">
        <w:rPr>
          <w:lang w:val="fr-CA"/>
        </w:rPr>
        <w:t>12.</w:t>
      </w:r>
    </w:p>
    <w:p w:rsidR="005439C5" w:rsidRPr="005F229C" w:rsidRDefault="005439C5" w:rsidP="0078019C">
      <w:pPr>
        <w:pStyle w:val="SCCNormalDoubleSpacing"/>
        <w:spacing w:after="240" w:line="240" w:lineRule="auto"/>
        <w:ind w:left="567" w:hanging="567"/>
        <w:rPr>
          <w:lang w:val="fr-CA"/>
        </w:rPr>
      </w:pPr>
      <w:r w:rsidRPr="005F229C">
        <w:rPr>
          <w:i/>
          <w:lang w:val="fr-CA"/>
        </w:rPr>
        <w:t>Loi n</w:t>
      </w:r>
      <w:r w:rsidRPr="005F229C">
        <w:rPr>
          <w:i/>
          <w:vertAlign w:val="superscript"/>
          <w:lang w:val="fr-CA"/>
        </w:rPr>
        <w:t>o</w:t>
      </w:r>
      <w:r w:rsidRPr="005F229C">
        <w:rPr>
          <w:i/>
          <w:lang w:val="fr-CA"/>
        </w:rPr>
        <w:t> 1 d’exécution du budget de 2017</w:t>
      </w:r>
      <w:r w:rsidRPr="005F229C">
        <w:rPr>
          <w:lang w:val="fr-CA"/>
        </w:rPr>
        <w:t xml:space="preserve">, L.C. </w:t>
      </w:r>
      <w:r w:rsidR="00455B08" w:rsidRPr="005F229C">
        <w:rPr>
          <w:lang w:val="fr-CA"/>
        </w:rPr>
        <w:t>2017, c. </w:t>
      </w:r>
      <w:r w:rsidRPr="005F229C">
        <w:rPr>
          <w:lang w:val="fr-CA"/>
        </w:rPr>
        <w:t>20.</w:t>
      </w:r>
    </w:p>
    <w:p w:rsidR="006026DF" w:rsidRPr="005F229C" w:rsidRDefault="006026DF" w:rsidP="0078019C">
      <w:pPr>
        <w:pStyle w:val="SCCNormalDoubleSpacing"/>
        <w:spacing w:after="240" w:line="240" w:lineRule="auto"/>
        <w:ind w:left="567" w:hanging="567"/>
        <w:rPr>
          <w:lang w:val="fr-CA"/>
        </w:rPr>
      </w:pPr>
      <w:r w:rsidRPr="005F229C">
        <w:rPr>
          <w:i/>
          <w:lang w:val="fr-CA"/>
        </w:rPr>
        <w:t>Loi sur la santé et la sécurité au travail</w:t>
      </w:r>
      <w:r w:rsidR="00455B08" w:rsidRPr="005F229C">
        <w:rPr>
          <w:lang w:val="fr-CA"/>
        </w:rPr>
        <w:t>, L.R.O. 1990, c. </w:t>
      </w:r>
      <w:r w:rsidRPr="005F229C">
        <w:rPr>
          <w:lang w:val="fr-CA"/>
        </w:rPr>
        <w:t xml:space="preserve">O.1, </w:t>
      </w:r>
      <w:r w:rsidR="005F229C">
        <w:rPr>
          <w:lang w:val="fr-CA"/>
        </w:rPr>
        <w:t>art. </w:t>
      </w:r>
      <w:r w:rsidRPr="005F229C">
        <w:rPr>
          <w:lang w:val="fr-CA"/>
        </w:rPr>
        <w:t>1</w:t>
      </w:r>
      <w:r w:rsidR="00822BB8" w:rsidRPr="005F229C">
        <w:rPr>
          <w:lang w:val="fr-CA"/>
        </w:rPr>
        <w:t>(1)</w:t>
      </w:r>
      <w:r w:rsidR="00A90C09" w:rsidRPr="005F229C">
        <w:rPr>
          <w:lang w:val="fr-CA"/>
        </w:rPr>
        <w:t xml:space="preserve"> « lieu de travail </w:t>
      </w:r>
      <w:r w:rsidR="00822BB8" w:rsidRPr="005F229C">
        <w:rPr>
          <w:lang w:val="fr-CA"/>
        </w:rPr>
        <w:t>».</w:t>
      </w:r>
    </w:p>
    <w:p w:rsidR="006026DF" w:rsidRPr="005F229C" w:rsidRDefault="006026DF" w:rsidP="00455B08">
      <w:pPr>
        <w:pStyle w:val="SCCNormalDoubleSpacing"/>
        <w:spacing w:after="240" w:line="240" w:lineRule="auto"/>
      </w:pPr>
      <w:r w:rsidRPr="005F229C">
        <w:rPr>
          <w:i/>
        </w:rPr>
        <w:t>Occupational Health and Safety Act</w:t>
      </w:r>
      <w:r w:rsidR="00455B08" w:rsidRPr="005F229C">
        <w:t>, R.S.N.L. 1990, c. O</w:t>
      </w:r>
      <w:r w:rsidR="005F229C">
        <w:noBreakHyphen/>
      </w:r>
      <w:r w:rsidR="00822BB8" w:rsidRPr="005F229C">
        <w:t xml:space="preserve">3, </w:t>
      </w:r>
      <w:r w:rsidR="005F229C">
        <w:t>art. </w:t>
      </w:r>
      <w:r w:rsidRPr="005F229C">
        <w:t>2(n).</w:t>
      </w:r>
    </w:p>
    <w:p w:rsidR="006026DF" w:rsidRPr="005F229C" w:rsidRDefault="006026DF" w:rsidP="00455B08">
      <w:pPr>
        <w:pStyle w:val="SCCNormalDoubleSpacing"/>
        <w:spacing w:after="240" w:line="240" w:lineRule="auto"/>
      </w:pPr>
      <w:r w:rsidRPr="005F229C">
        <w:rPr>
          <w:i/>
        </w:rPr>
        <w:t>Occupational Health and Safety Act</w:t>
      </w:r>
      <w:r w:rsidR="00455B08" w:rsidRPr="005F229C">
        <w:t>, R.S.P.E.I. 1988, c. O</w:t>
      </w:r>
      <w:r w:rsidR="005F229C">
        <w:noBreakHyphen/>
      </w:r>
      <w:r w:rsidR="00822BB8" w:rsidRPr="005F229C">
        <w:t xml:space="preserve">1.01, </w:t>
      </w:r>
      <w:r w:rsidR="005F229C">
        <w:t>art. </w:t>
      </w:r>
      <w:r w:rsidRPr="005F229C">
        <w:t>1(y).</w:t>
      </w:r>
    </w:p>
    <w:p w:rsidR="006026DF" w:rsidRPr="005F229C" w:rsidRDefault="006026DF" w:rsidP="00455B08">
      <w:pPr>
        <w:pStyle w:val="SCCNormalDoubleSpacing"/>
        <w:spacing w:after="240" w:line="240" w:lineRule="auto"/>
      </w:pPr>
      <w:r w:rsidRPr="005F229C">
        <w:rPr>
          <w:i/>
        </w:rPr>
        <w:t>Occupational Health and Safety Act</w:t>
      </w:r>
      <w:r w:rsidR="00455B08" w:rsidRPr="005F229C">
        <w:t>, S.A. 2017, c. O</w:t>
      </w:r>
      <w:r w:rsidR="005F229C">
        <w:noBreakHyphen/>
      </w:r>
      <w:r w:rsidR="00455B08" w:rsidRPr="005F229C">
        <w:t xml:space="preserve">2.1, </w:t>
      </w:r>
      <w:r w:rsidR="005F229C">
        <w:t>art. </w:t>
      </w:r>
      <w:r w:rsidR="00822BB8" w:rsidRPr="005F229C">
        <w:t xml:space="preserve">1(bbb) </w:t>
      </w:r>
      <w:r w:rsidR="00822BB8" w:rsidRPr="005F229C">
        <w:rPr>
          <w:lang w:val="en-US"/>
        </w:rPr>
        <w:t>«</w:t>
      </w:r>
      <w:r w:rsidR="00A90C09" w:rsidRPr="005F229C">
        <w:rPr>
          <w:lang w:val="en-US"/>
        </w:rPr>
        <w:t> </w:t>
      </w:r>
      <w:r w:rsidR="00A90C09" w:rsidRPr="003374C8">
        <w:rPr>
          <w:i/>
        </w:rPr>
        <w:t>work site</w:t>
      </w:r>
      <w:r w:rsidR="00A90C09" w:rsidRPr="005F229C">
        <w:t> </w:t>
      </w:r>
      <w:r w:rsidR="00822BB8" w:rsidRPr="005F229C">
        <w:rPr>
          <w:lang w:val="en-US"/>
        </w:rPr>
        <w:t>»</w:t>
      </w:r>
      <w:r w:rsidR="00822BB8" w:rsidRPr="005F229C">
        <w:t>.</w:t>
      </w:r>
    </w:p>
    <w:p w:rsidR="006026DF" w:rsidRPr="005F229C" w:rsidRDefault="006026DF" w:rsidP="0078019C">
      <w:pPr>
        <w:pStyle w:val="SCCNormalDoubleSpacing"/>
        <w:spacing w:after="240" w:line="240" w:lineRule="auto"/>
        <w:ind w:left="567" w:hanging="567"/>
        <w:rPr>
          <w:lang w:val="fr-CA"/>
        </w:rPr>
      </w:pPr>
      <w:r w:rsidRPr="005F229C">
        <w:rPr>
          <w:i/>
          <w:lang w:val="fr-CA"/>
        </w:rPr>
        <w:t>Règlement canadien sur la santé et la sécurité au travail</w:t>
      </w:r>
      <w:r w:rsidR="00455B08" w:rsidRPr="005F229C">
        <w:rPr>
          <w:lang w:val="fr-CA"/>
        </w:rPr>
        <w:t>, DORS/86</w:t>
      </w:r>
      <w:r w:rsidR="005F229C">
        <w:rPr>
          <w:lang w:val="fr-CA"/>
        </w:rPr>
        <w:noBreakHyphen/>
      </w:r>
      <w:r w:rsidR="00455B08" w:rsidRPr="005F229C">
        <w:rPr>
          <w:lang w:val="fr-CA"/>
        </w:rPr>
        <w:t xml:space="preserve">304, </w:t>
      </w:r>
      <w:r w:rsidR="005F229C">
        <w:rPr>
          <w:lang w:val="fr-CA"/>
        </w:rPr>
        <w:t>art. </w:t>
      </w:r>
      <w:r w:rsidR="00A74834" w:rsidRPr="005F229C">
        <w:rPr>
          <w:lang w:val="fr-CA"/>
        </w:rPr>
        <w:t xml:space="preserve">1.3, </w:t>
      </w:r>
      <w:r w:rsidRPr="005F229C">
        <w:rPr>
          <w:lang w:val="fr-CA"/>
        </w:rPr>
        <w:t>12.1</w:t>
      </w:r>
      <w:r w:rsidR="00815567" w:rsidRPr="005F229C">
        <w:rPr>
          <w:lang w:val="fr-CA"/>
        </w:rPr>
        <w:t>.</w:t>
      </w:r>
    </w:p>
    <w:p w:rsidR="006026DF" w:rsidRPr="005F229C" w:rsidRDefault="006026DF" w:rsidP="00455B08">
      <w:pPr>
        <w:pStyle w:val="SCCNormalDoubleSpacing"/>
        <w:spacing w:after="720" w:line="240" w:lineRule="auto"/>
      </w:pPr>
      <w:r w:rsidRPr="005F229C">
        <w:rPr>
          <w:i/>
        </w:rPr>
        <w:t>Saskatchewan Employment Act</w:t>
      </w:r>
      <w:r w:rsidR="00455B08" w:rsidRPr="005F229C">
        <w:t>, S.S. 2013, c. S</w:t>
      </w:r>
      <w:r w:rsidR="005F229C">
        <w:noBreakHyphen/>
      </w:r>
      <w:r w:rsidR="00822BB8" w:rsidRPr="005F229C">
        <w:t xml:space="preserve">15.1, </w:t>
      </w:r>
      <w:r w:rsidR="005F229C">
        <w:t>art. </w:t>
      </w:r>
      <w:r w:rsidR="00455B08" w:rsidRPr="005F229C">
        <w:t>3</w:t>
      </w:r>
      <w:r w:rsidR="005F229C">
        <w:noBreakHyphen/>
      </w:r>
      <w:r w:rsidRPr="005F229C">
        <w:t>1(1)(hh).</w:t>
      </w:r>
    </w:p>
    <w:p w:rsidR="004D7D95" w:rsidRPr="005F229C" w:rsidRDefault="004D7D95" w:rsidP="00455B08">
      <w:pPr>
        <w:pStyle w:val="SCCNormalDoubleSpacing"/>
        <w:spacing w:after="720" w:line="240" w:lineRule="auto"/>
        <w:rPr>
          <w:b/>
          <w:lang w:val="fr-CA"/>
        </w:rPr>
      </w:pPr>
      <w:r w:rsidRPr="005F229C">
        <w:rPr>
          <w:b/>
          <w:lang w:val="fr-CA"/>
        </w:rPr>
        <w:t>Doctrine et autres documents cités</w:t>
      </w:r>
    </w:p>
    <w:p w:rsidR="003D26B0" w:rsidRPr="005F229C" w:rsidRDefault="003D26B0" w:rsidP="0078019C">
      <w:pPr>
        <w:pStyle w:val="SCCNormalDoubleSpacing"/>
        <w:spacing w:after="240" w:line="240" w:lineRule="auto"/>
        <w:ind w:left="567" w:hanging="567"/>
        <w:rPr>
          <w:lang w:val="fr-CA"/>
        </w:rPr>
      </w:pPr>
      <w:r w:rsidRPr="005F229C">
        <w:rPr>
          <w:lang w:val="fr-CA"/>
        </w:rPr>
        <w:lastRenderedPageBreak/>
        <w:t xml:space="preserve">Canada. Chambre des communes. </w:t>
      </w:r>
      <w:r w:rsidRPr="005F229C">
        <w:rPr>
          <w:i/>
          <w:lang w:val="fr-CA"/>
        </w:rPr>
        <w:t>Débats de la Chambre des communes</w:t>
      </w:r>
      <w:r w:rsidRPr="005F229C">
        <w:rPr>
          <w:lang w:val="fr-CA"/>
        </w:rPr>
        <w:t xml:space="preserve">, </w:t>
      </w:r>
      <w:r w:rsidR="005F229C">
        <w:rPr>
          <w:lang w:val="fr-CA"/>
        </w:rPr>
        <w:t>vol. </w:t>
      </w:r>
      <w:r w:rsidRPr="005F229C">
        <w:rPr>
          <w:lang w:val="fr-CA"/>
        </w:rPr>
        <w:t>136, n</w:t>
      </w:r>
      <w:r w:rsidRPr="005F229C">
        <w:rPr>
          <w:vertAlign w:val="superscript"/>
          <w:lang w:val="fr-CA"/>
        </w:rPr>
        <w:t>o</w:t>
      </w:r>
      <w:r w:rsidR="00B85AB3" w:rsidRPr="005F229C">
        <w:rPr>
          <w:lang w:val="fr-CA"/>
        </w:rPr>
        <w:t> </w:t>
      </w:r>
      <w:r w:rsidRPr="005F229C">
        <w:rPr>
          <w:lang w:val="fr-CA"/>
        </w:rPr>
        <w:t>71, 2</w:t>
      </w:r>
      <w:r w:rsidRPr="005F229C">
        <w:rPr>
          <w:vertAlign w:val="superscript"/>
          <w:lang w:val="fr-CA"/>
        </w:rPr>
        <w:t>e</w:t>
      </w:r>
      <w:r w:rsidRPr="005F229C">
        <w:rPr>
          <w:lang w:val="fr-CA"/>
        </w:rPr>
        <w:t xml:space="preserve"> sess., 36</w:t>
      </w:r>
      <w:r w:rsidRPr="005F229C">
        <w:rPr>
          <w:vertAlign w:val="superscript"/>
          <w:lang w:val="fr-CA"/>
        </w:rPr>
        <w:t>e</w:t>
      </w:r>
      <w:r w:rsidRPr="005F229C">
        <w:rPr>
          <w:lang w:val="fr-CA"/>
        </w:rPr>
        <w:t xml:space="preserve"> lég., </w:t>
      </w:r>
      <w:r w:rsidR="0078019C">
        <w:rPr>
          <w:lang w:val="fr-CA"/>
        </w:rPr>
        <w:t>24 </w:t>
      </w:r>
      <w:r w:rsidRPr="005F229C">
        <w:rPr>
          <w:lang w:val="fr-CA"/>
        </w:rPr>
        <w:t xml:space="preserve">mars 2000, </w:t>
      </w:r>
      <w:r w:rsidR="005F229C">
        <w:rPr>
          <w:lang w:val="fr-CA"/>
        </w:rPr>
        <w:t>p. </w:t>
      </w:r>
      <w:r w:rsidR="00455B08" w:rsidRPr="005F229C">
        <w:rPr>
          <w:lang w:val="fr-CA"/>
        </w:rPr>
        <w:t>5207</w:t>
      </w:r>
      <w:r w:rsidR="005F229C">
        <w:rPr>
          <w:lang w:val="fr-CA"/>
        </w:rPr>
        <w:noBreakHyphen/>
      </w:r>
      <w:r w:rsidRPr="005F229C">
        <w:rPr>
          <w:lang w:val="fr-CA"/>
        </w:rPr>
        <w:t>5208.</w:t>
      </w:r>
    </w:p>
    <w:p w:rsidR="0011348D" w:rsidRPr="005F229C" w:rsidRDefault="00145E30" w:rsidP="0078019C">
      <w:pPr>
        <w:pStyle w:val="SCCNormalDoubleSpacing"/>
        <w:spacing w:after="240" w:line="240" w:lineRule="auto"/>
        <w:ind w:left="567" w:hanging="567"/>
      </w:pPr>
      <w:r w:rsidRPr="00B7543C">
        <w:rPr>
          <w:lang w:val="en-US"/>
        </w:rPr>
        <w:t>Evans</w:t>
      </w:r>
      <w:r w:rsidRPr="005F229C">
        <w:t>, John M. « </w:t>
      </w:r>
      <w:r w:rsidR="0011348D" w:rsidRPr="005F229C">
        <w:t>Triumph of Reasonableness</w:t>
      </w:r>
      <w:r w:rsidR="005F229C">
        <w:t> :</w:t>
      </w:r>
      <w:r w:rsidRPr="005F229C">
        <w:t> </w:t>
      </w:r>
      <w:r w:rsidR="0011348D" w:rsidRPr="005F229C">
        <w:t xml:space="preserve">But </w:t>
      </w:r>
      <w:r w:rsidRPr="005F229C">
        <w:t>How Much Does It Really Matter? </w:t>
      </w:r>
      <w:r w:rsidR="00CE552A" w:rsidRPr="005F229C">
        <w:t>»</w:t>
      </w:r>
      <w:r w:rsidR="0011348D" w:rsidRPr="005F229C">
        <w:t xml:space="preserve"> (2014), 27</w:t>
      </w:r>
      <w:r w:rsidR="008C4EB1" w:rsidRPr="005F229C">
        <w:rPr>
          <w:i/>
        </w:rPr>
        <w:t xml:space="preserve"> R.C.D.A.</w:t>
      </w:r>
      <w:r w:rsidR="005F229C">
        <w:rPr>
          <w:i/>
        </w:rPr>
        <w:t>P. </w:t>
      </w:r>
      <w:r w:rsidR="0011348D" w:rsidRPr="005F229C">
        <w:t>101.</w:t>
      </w:r>
    </w:p>
    <w:p w:rsidR="003D26B0" w:rsidRPr="005F229C" w:rsidRDefault="003D26B0" w:rsidP="0078019C">
      <w:pPr>
        <w:pStyle w:val="SCCNormalDoubleSpacing"/>
        <w:spacing w:after="240" w:line="240" w:lineRule="auto"/>
        <w:ind w:left="567" w:hanging="567"/>
      </w:pPr>
      <w:r w:rsidRPr="00B7543C">
        <w:rPr>
          <w:lang w:val="en-US"/>
        </w:rPr>
        <w:t>Facey</w:t>
      </w:r>
      <w:r w:rsidRPr="005F229C">
        <w:rPr>
          <w:lang w:val="en-US"/>
        </w:rPr>
        <w:t xml:space="preserve">, </w:t>
      </w:r>
      <w:r w:rsidRPr="005F229C">
        <w:t>Marcia, Ellen MacEachen, Anil Verma</w:t>
      </w:r>
      <w:r w:rsidR="00CE552A" w:rsidRPr="005F229C">
        <w:t>, and Kathy Morales</w:t>
      </w:r>
      <w:r w:rsidR="005D196A" w:rsidRPr="005F229C">
        <w:t>.</w:t>
      </w:r>
      <w:r w:rsidR="00145E30" w:rsidRPr="005F229C">
        <w:t xml:space="preserve"> « </w:t>
      </w:r>
      <w:r w:rsidRPr="005F229C">
        <w:t>The everyday functioning of joint health and safety committees in unionized workplaces</w:t>
      </w:r>
      <w:r w:rsidR="005F229C">
        <w:t> :</w:t>
      </w:r>
      <w:r w:rsidR="00145E30" w:rsidRPr="005F229C">
        <w:t> </w:t>
      </w:r>
      <w:r w:rsidRPr="005F229C">
        <w:t>a labour perspective</w:t>
      </w:r>
      <w:r w:rsidR="00145E30" w:rsidRPr="005F229C">
        <w:t> </w:t>
      </w:r>
      <w:r w:rsidR="00CE552A" w:rsidRPr="005F229C">
        <w:t>»</w:t>
      </w:r>
      <w:r w:rsidRPr="005F229C">
        <w:t xml:space="preserve"> (2017), 15 </w:t>
      </w:r>
      <w:r w:rsidRPr="005F229C">
        <w:rPr>
          <w:i/>
        </w:rPr>
        <w:t>Policy and Practice in Health and Safety</w:t>
      </w:r>
      <w:r w:rsidRPr="005F229C">
        <w:t xml:space="preserve"> 160.</w:t>
      </w:r>
    </w:p>
    <w:p w:rsidR="003D26B0" w:rsidRPr="005F229C" w:rsidRDefault="00DE49BE" w:rsidP="0078019C">
      <w:pPr>
        <w:pStyle w:val="SCCNormalDoubleSpacing"/>
        <w:spacing w:after="240" w:line="240" w:lineRule="auto"/>
        <w:ind w:left="567" w:hanging="567"/>
      </w:pPr>
      <w:r>
        <w:rPr>
          <w:lang w:val="en-US"/>
        </w:rPr>
        <w:t>Nouvelle-Écosse</w:t>
      </w:r>
      <w:r w:rsidR="003D26B0" w:rsidRPr="005F229C">
        <w:t xml:space="preserve">. </w:t>
      </w:r>
      <w:r w:rsidR="003D26B0" w:rsidRPr="005F229C">
        <w:rPr>
          <w:i/>
        </w:rPr>
        <w:t>The Westray Story</w:t>
      </w:r>
      <w:r w:rsidR="005F229C">
        <w:rPr>
          <w:i/>
        </w:rPr>
        <w:t> :</w:t>
      </w:r>
      <w:r w:rsidR="00145E30" w:rsidRPr="005F229C">
        <w:rPr>
          <w:i/>
        </w:rPr>
        <w:t> </w:t>
      </w:r>
      <w:r w:rsidR="00C15DC3" w:rsidRPr="005F229C">
        <w:rPr>
          <w:i/>
        </w:rPr>
        <w:t xml:space="preserve">A Predictable Path to Disaster </w:t>
      </w:r>
      <w:r w:rsidR="00C15DC3" w:rsidRPr="005F229C">
        <w:rPr>
          <w:rFonts w:eastAsiaTheme="minorEastAsia"/>
          <w:i/>
        </w:rPr>
        <w:t>—</w:t>
      </w:r>
      <w:r w:rsidR="003D26B0" w:rsidRPr="005F229C">
        <w:rPr>
          <w:i/>
        </w:rPr>
        <w:t xml:space="preserve"> Report of the Westray Mine Public Inquiry</w:t>
      </w:r>
      <w:r w:rsidR="003D26B0" w:rsidRPr="005F229C">
        <w:t xml:space="preserve">, </w:t>
      </w:r>
      <w:r w:rsidR="00E7520D" w:rsidRPr="005F229C">
        <w:t>Halifax</w:t>
      </w:r>
      <w:r w:rsidR="003D26B0" w:rsidRPr="005F229C">
        <w:t>, 1997.</w:t>
      </w:r>
    </w:p>
    <w:p w:rsidR="003D26B0" w:rsidRPr="005F229C" w:rsidRDefault="00145E30" w:rsidP="0078019C">
      <w:pPr>
        <w:pStyle w:val="SCCNormalDoubleSpacing"/>
        <w:spacing w:after="240" w:line="240" w:lineRule="auto"/>
        <w:ind w:left="567" w:hanging="567"/>
      </w:pPr>
      <w:r w:rsidRPr="00B7543C">
        <w:rPr>
          <w:lang w:val="en-US"/>
        </w:rPr>
        <w:t>O’Grady</w:t>
      </w:r>
      <w:r w:rsidRPr="005F229C">
        <w:t>, John. « </w:t>
      </w:r>
      <w:r w:rsidR="003D26B0" w:rsidRPr="005F229C">
        <w:t>Joint Health and Safety Committees</w:t>
      </w:r>
      <w:r w:rsidR="005F229C">
        <w:t> :</w:t>
      </w:r>
      <w:r w:rsidRPr="005F229C">
        <w:t> Finding a Balance </w:t>
      </w:r>
      <w:r w:rsidR="003D26B0" w:rsidRPr="005F229C">
        <w:t xml:space="preserve">», in Terrence Sullivan, ed., </w:t>
      </w:r>
      <w:r w:rsidR="003D26B0" w:rsidRPr="005F229C">
        <w:rPr>
          <w:i/>
        </w:rPr>
        <w:t>Injury and the New World of Work</w:t>
      </w:r>
      <w:r w:rsidR="003D26B0" w:rsidRPr="005F229C">
        <w:t>, Vancouver, UBC Press, 2000, 162.</w:t>
      </w:r>
    </w:p>
    <w:p w:rsidR="003D26B0" w:rsidRPr="005F229C" w:rsidRDefault="003D26B0" w:rsidP="0078019C">
      <w:pPr>
        <w:pStyle w:val="SCCNormalDoubleSpacing"/>
        <w:spacing w:after="240" w:line="240" w:lineRule="auto"/>
        <w:ind w:left="567" w:hanging="567"/>
      </w:pPr>
      <w:r w:rsidRPr="00B7543C">
        <w:rPr>
          <w:lang w:val="en-US"/>
        </w:rPr>
        <w:t>Ontario</w:t>
      </w:r>
      <w:r w:rsidRPr="005F229C">
        <w:t xml:space="preserve">. </w:t>
      </w:r>
      <w:r w:rsidRPr="005F229C">
        <w:rPr>
          <w:i/>
        </w:rPr>
        <w:t>Report of the Royal Commission on the Health and Safety of Workers in Mines</w:t>
      </w:r>
      <w:r w:rsidR="0050654D" w:rsidRPr="005F229C">
        <w:t>, Toronto,</w:t>
      </w:r>
      <w:r w:rsidRPr="005F229C">
        <w:t xml:space="preserve"> Ministry of the Attorney General, 1976.</w:t>
      </w:r>
    </w:p>
    <w:p w:rsidR="00D3037A" w:rsidRPr="005F229C" w:rsidRDefault="00D3037A" w:rsidP="0078019C">
      <w:pPr>
        <w:pStyle w:val="SCCNormalDoubleSpacing"/>
        <w:spacing w:after="240" w:line="240" w:lineRule="auto"/>
        <w:ind w:left="567" w:hanging="567"/>
      </w:pPr>
      <w:r w:rsidRPr="00B7543C">
        <w:rPr>
          <w:lang w:val="en-US"/>
        </w:rPr>
        <w:t>Sharpe</w:t>
      </w:r>
      <w:r w:rsidRPr="005F229C">
        <w:t xml:space="preserve">, Robert J. </w:t>
      </w:r>
      <w:r w:rsidRPr="005F229C">
        <w:rPr>
          <w:i/>
        </w:rPr>
        <w:t>Good Judgment</w:t>
      </w:r>
      <w:r w:rsidR="005F229C">
        <w:rPr>
          <w:i/>
        </w:rPr>
        <w:t> :</w:t>
      </w:r>
      <w:r w:rsidR="00145E30" w:rsidRPr="005F229C">
        <w:rPr>
          <w:i/>
        </w:rPr>
        <w:t> </w:t>
      </w:r>
      <w:r w:rsidRPr="005F229C">
        <w:rPr>
          <w:i/>
        </w:rPr>
        <w:t>Making Judicial Decisions</w:t>
      </w:r>
      <w:r w:rsidR="00B60A8A" w:rsidRPr="005F229C">
        <w:t>, Toronto,</w:t>
      </w:r>
      <w:r w:rsidRPr="005F229C">
        <w:t xml:space="preserve"> University of Toronto Press, 2018.</w:t>
      </w:r>
    </w:p>
    <w:p w:rsidR="003D26B0" w:rsidRPr="005F229C" w:rsidRDefault="00145E30" w:rsidP="0078019C">
      <w:pPr>
        <w:pStyle w:val="SCCNormalDoubleSpacing"/>
        <w:spacing w:after="720" w:line="240" w:lineRule="auto"/>
        <w:ind w:left="567" w:hanging="567"/>
        <w:rPr>
          <w:lang w:val="en-US"/>
        </w:rPr>
      </w:pPr>
      <w:r w:rsidRPr="005F229C">
        <w:t>Tucker, Eric. « </w:t>
      </w:r>
      <w:r w:rsidR="003D26B0" w:rsidRPr="005F229C">
        <w:t>Diverging Trends in Worker Health and Safety Protection and Par</w:t>
      </w:r>
      <w:r w:rsidR="00455B08" w:rsidRPr="005F229C">
        <w:t>ticipation in Canada, 1985</w:t>
      </w:r>
      <w:r w:rsidR="005F229C">
        <w:noBreakHyphen/>
      </w:r>
      <w:r w:rsidRPr="005F229C">
        <w:t>2000 </w:t>
      </w:r>
      <w:r w:rsidR="00CE552A" w:rsidRPr="005F229C">
        <w:t>»</w:t>
      </w:r>
      <w:r w:rsidR="003D26B0" w:rsidRPr="005F229C">
        <w:t xml:space="preserve"> (2003), 58 </w:t>
      </w:r>
      <w:r w:rsidR="00CE552A" w:rsidRPr="005F229C">
        <w:rPr>
          <w:i/>
        </w:rPr>
        <w:t>R.I.</w:t>
      </w:r>
      <w:r w:rsidR="003D26B0" w:rsidRPr="005F229C">
        <w:rPr>
          <w:lang w:val="en-US"/>
        </w:rPr>
        <w:t xml:space="preserve"> 395.</w:t>
      </w:r>
    </w:p>
    <w:p w:rsidR="0063084B" w:rsidRPr="005F229C" w:rsidRDefault="0063084B" w:rsidP="00455B08">
      <w:pPr>
        <w:pStyle w:val="SCCNormalDoubleSpacing"/>
        <w:spacing w:after="480"/>
        <w:rPr>
          <w:lang w:val="fr-CA"/>
        </w:rPr>
      </w:pPr>
      <w:r w:rsidRPr="005F229C">
        <w:rPr>
          <w:lang w:val="en-US"/>
        </w:rPr>
        <w:tab/>
      </w:r>
      <w:r w:rsidR="004D7D95" w:rsidRPr="005F229C">
        <w:rPr>
          <w:lang w:val="fr-CA"/>
        </w:rPr>
        <w:t>POURVOI contre un arrêt de la Cour d</w:t>
      </w:r>
      <w:r w:rsidR="000B4416" w:rsidRPr="005F229C">
        <w:rPr>
          <w:lang w:val="fr-CA"/>
        </w:rPr>
        <w:t>’</w:t>
      </w:r>
      <w:r w:rsidR="004D7D95" w:rsidRPr="005F229C">
        <w:rPr>
          <w:lang w:val="fr-CA"/>
        </w:rPr>
        <w:t>appel fédérale</w:t>
      </w:r>
      <w:r w:rsidRPr="005F229C">
        <w:rPr>
          <w:lang w:val="fr-CA"/>
        </w:rPr>
        <w:t xml:space="preserve"> (les juges Nadon, Near et Rennie), 2017 CAF 153, [2017] A.C.F. n</w:t>
      </w:r>
      <w:r w:rsidRPr="005F229C">
        <w:rPr>
          <w:vertAlign w:val="superscript"/>
          <w:lang w:val="fr-CA"/>
        </w:rPr>
        <w:t>o</w:t>
      </w:r>
      <w:r w:rsidR="00455B08" w:rsidRPr="005F229C">
        <w:rPr>
          <w:lang w:val="fr-CA"/>
        </w:rPr>
        <w:t> </w:t>
      </w:r>
      <w:r w:rsidRPr="005F229C">
        <w:rPr>
          <w:lang w:val="fr-CA"/>
        </w:rPr>
        <w:t xml:space="preserve">708 (QL), 2017 CarswellNat 9493 (WL Can.), </w:t>
      </w:r>
      <w:r w:rsidR="00B42D2E" w:rsidRPr="005F229C">
        <w:rPr>
          <w:lang w:val="fr-CA"/>
        </w:rPr>
        <w:t xml:space="preserve">qui a infirmé une décision du juge Gleeson, 2016 CF 252, [2016] F.C.J. </w:t>
      </w:r>
      <w:r w:rsidR="005F229C">
        <w:rPr>
          <w:lang w:val="fr-CA"/>
        </w:rPr>
        <w:t>No. </w:t>
      </w:r>
      <w:r w:rsidR="00B42D2E" w:rsidRPr="005F229C">
        <w:rPr>
          <w:lang w:val="fr-CA"/>
        </w:rPr>
        <w:t xml:space="preserve">272 (QL), 2016 CarswellNat </w:t>
      </w:r>
      <w:r w:rsidR="008D42E3" w:rsidRPr="005F229C">
        <w:rPr>
          <w:lang w:val="fr-CA"/>
        </w:rPr>
        <w:t>11530</w:t>
      </w:r>
      <w:r w:rsidR="00B42D2E" w:rsidRPr="005F229C">
        <w:rPr>
          <w:lang w:val="fr-CA"/>
        </w:rPr>
        <w:t xml:space="preserve"> (WL Can.)</w:t>
      </w:r>
      <w:r w:rsidR="00AC7047" w:rsidRPr="005F229C">
        <w:rPr>
          <w:lang w:val="fr-CA"/>
        </w:rPr>
        <w:t xml:space="preserve">, qui avait rejeté une demande de contrôle judiciaire </w:t>
      </w:r>
      <w:r w:rsidR="00217838" w:rsidRPr="005F229C">
        <w:rPr>
          <w:lang w:val="fr-CA"/>
        </w:rPr>
        <w:t>d’</w:t>
      </w:r>
      <w:r w:rsidR="00AC7047" w:rsidRPr="005F229C">
        <w:rPr>
          <w:lang w:val="fr-CA"/>
        </w:rPr>
        <w:t>une décision d’un agent d’appel, 2014 TSSTC 22, 2014 LNTSSTC 22 (QL), 2014 CarswellNat 8741 (WL Can.)</w:t>
      </w:r>
      <w:r w:rsidR="00B42D2E" w:rsidRPr="005F229C">
        <w:rPr>
          <w:lang w:val="fr-CA"/>
        </w:rPr>
        <w:t>.</w:t>
      </w:r>
      <w:r w:rsidR="000920EC" w:rsidRPr="005F229C">
        <w:rPr>
          <w:lang w:val="fr-CA"/>
        </w:rPr>
        <w:t xml:space="preserve"> Pourvoi</w:t>
      </w:r>
      <w:r w:rsidR="0065477F" w:rsidRPr="005F229C">
        <w:rPr>
          <w:lang w:val="fr-CA"/>
        </w:rPr>
        <w:t xml:space="preserve"> accueilli, les juges Abella et Martin sont dissidentes.</w:t>
      </w:r>
    </w:p>
    <w:p w:rsidR="00A078B6" w:rsidRPr="005F229C" w:rsidRDefault="008C28DF" w:rsidP="00455B08">
      <w:pPr>
        <w:pStyle w:val="SCCNormalDoubleSpacing"/>
        <w:spacing w:after="480"/>
        <w:rPr>
          <w:lang w:val="fr-CA"/>
        </w:rPr>
      </w:pPr>
      <w:r w:rsidRPr="005F229C">
        <w:rPr>
          <w:rStyle w:val="SCCCounselNameChar"/>
          <w:lang w:val="fr-CA"/>
        </w:rPr>
        <w:tab/>
        <w:t>Sheila Block</w:t>
      </w:r>
      <w:r w:rsidR="000920EC" w:rsidRPr="005F229C">
        <w:rPr>
          <w:rStyle w:val="SCCCounselSeparatorChar"/>
          <w:lang w:val="fr-CA"/>
        </w:rPr>
        <w:t xml:space="preserve">, </w:t>
      </w:r>
      <w:r w:rsidR="000920EC" w:rsidRPr="005F229C">
        <w:rPr>
          <w:rStyle w:val="SCCCounselNameChar"/>
          <w:lang w:val="fr-CA"/>
        </w:rPr>
        <w:t>John Terry</w:t>
      </w:r>
      <w:r w:rsidR="000920EC" w:rsidRPr="005F229C">
        <w:rPr>
          <w:rStyle w:val="SCCCounselSeparatorChar"/>
          <w:lang w:val="fr-CA"/>
        </w:rPr>
        <w:t xml:space="preserve"> </w:t>
      </w:r>
      <w:r w:rsidRPr="005F229C">
        <w:rPr>
          <w:rStyle w:val="SCCCounselSeparatorChar"/>
          <w:lang w:val="fr-CA"/>
        </w:rPr>
        <w:t xml:space="preserve">et </w:t>
      </w:r>
      <w:r w:rsidRPr="005F229C">
        <w:rPr>
          <w:rStyle w:val="SCCCounselNameChar"/>
          <w:lang w:val="fr-CA"/>
        </w:rPr>
        <w:t>Jonathan Silver</w:t>
      </w:r>
      <w:r w:rsidRPr="005F229C">
        <w:rPr>
          <w:rStyle w:val="SCCCounselPartyRoleChar"/>
          <w:lang w:val="fr-CA"/>
        </w:rPr>
        <w:t>, pour l</w:t>
      </w:r>
      <w:r w:rsidR="000B4416" w:rsidRPr="005F229C">
        <w:rPr>
          <w:rStyle w:val="SCCCounselPartyRoleChar"/>
          <w:lang w:val="fr-CA"/>
        </w:rPr>
        <w:t>’</w:t>
      </w:r>
      <w:r w:rsidR="000920EC" w:rsidRPr="005F229C">
        <w:rPr>
          <w:rStyle w:val="SCCCounselPartyRoleChar"/>
          <w:lang w:val="fr-CA"/>
        </w:rPr>
        <w:t>appelant</w:t>
      </w:r>
      <w:r w:rsidRPr="005F229C">
        <w:rPr>
          <w:rStyle w:val="SCCCounselPartyRoleChar"/>
          <w:lang w:val="fr-CA"/>
        </w:rPr>
        <w:t>e.</w:t>
      </w:r>
    </w:p>
    <w:p w:rsidR="00A078B6" w:rsidRPr="005F229C" w:rsidRDefault="008C28DF" w:rsidP="00455B08">
      <w:pPr>
        <w:pStyle w:val="SCCNormalDoubleSpacing"/>
        <w:spacing w:after="480"/>
        <w:rPr>
          <w:lang w:val="fr-CA"/>
        </w:rPr>
      </w:pPr>
      <w:r w:rsidRPr="005F229C">
        <w:rPr>
          <w:rStyle w:val="SCCCounselNameChar"/>
          <w:lang w:val="fr-CA"/>
        </w:rPr>
        <w:tab/>
      </w:r>
      <w:r w:rsidR="0078019C">
        <w:rPr>
          <w:rStyle w:val="SCCCounselNameChar"/>
          <w:lang w:val="fr-CA"/>
        </w:rPr>
        <w:t>Paul </w:t>
      </w:r>
      <w:r w:rsidRPr="005F229C">
        <w:rPr>
          <w:rStyle w:val="SCCCounselNameChar"/>
          <w:lang w:val="fr-CA"/>
        </w:rPr>
        <w:t>J.</w:t>
      </w:r>
      <w:r w:rsidR="00DE49BE">
        <w:rPr>
          <w:rStyle w:val="SCCCounselNameChar"/>
          <w:lang w:val="fr-CA"/>
        </w:rPr>
        <w:t> </w:t>
      </w:r>
      <w:r w:rsidRPr="005F229C">
        <w:rPr>
          <w:rStyle w:val="SCCCounselNameChar"/>
          <w:lang w:val="fr-CA"/>
        </w:rPr>
        <w:t>J. Cavalluzzo</w:t>
      </w:r>
      <w:r w:rsidRPr="005F229C">
        <w:rPr>
          <w:rStyle w:val="SCCCounselSeparatorChar"/>
          <w:lang w:val="fr-CA"/>
        </w:rPr>
        <w:t xml:space="preserve"> et </w:t>
      </w:r>
      <w:r w:rsidR="000920EC" w:rsidRPr="005F229C">
        <w:rPr>
          <w:rStyle w:val="SCCCounselNameChar"/>
          <w:lang w:val="fr-CA"/>
        </w:rPr>
        <w:t>Adrienne Telford</w:t>
      </w:r>
      <w:r w:rsidRPr="005F229C">
        <w:rPr>
          <w:rStyle w:val="SCCCounselPartyRoleChar"/>
          <w:lang w:val="fr-CA"/>
        </w:rPr>
        <w:t>, pour l</w:t>
      </w:r>
      <w:r w:rsidR="000B4416" w:rsidRPr="005F229C">
        <w:rPr>
          <w:rStyle w:val="SCCCounselPartyRoleChar"/>
          <w:lang w:val="fr-CA"/>
        </w:rPr>
        <w:t>’</w:t>
      </w:r>
      <w:r w:rsidR="000920EC" w:rsidRPr="005F229C">
        <w:rPr>
          <w:rStyle w:val="SCCCounselPartyRoleChar"/>
          <w:lang w:val="fr-CA"/>
        </w:rPr>
        <w:t>intimé</w:t>
      </w:r>
      <w:r w:rsidRPr="005F229C">
        <w:rPr>
          <w:rStyle w:val="SCCCounselPartyRoleChar"/>
          <w:lang w:val="fr-CA"/>
        </w:rPr>
        <w:t>.</w:t>
      </w:r>
    </w:p>
    <w:p w:rsidR="000C6707" w:rsidRPr="005F229C" w:rsidRDefault="000C6707" w:rsidP="00455B08">
      <w:pPr>
        <w:pStyle w:val="SCCNormalDoubleSpacing"/>
        <w:spacing w:after="480"/>
        <w:rPr>
          <w:lang w:val="fr-CA"/>
        </w:rPr>
      </w:pPr>
      <w:r w:rsidRPr="005F229C">
        <w:rPr>
          <w:rStyle w:val="SCCCounselNameChar"/>
          <w:lang w:val="fr-CA"/>
        </w:rPr>
        <w:lastRenderedPageBreak/>
        <w:tab/>
        <w:t>Catherine Lawrence</w:t>
      </w:r>
      <w:r w:rsidRPr="005F229C">
        <w:rPr>
          <w:rStyle w:val="SCCCounselSeparatorChar"/>
          <w:lang w:val="fr-CA"/>
        </w:rPr>
        <w:t xml:space="preserve"> et </w:t>
      </w:r>
      <w:r w:rsidRPr="005F229C">
        <w:rPr>
          <w:rStyle w:val="SCCCounselNameChar"/>
          <w:lang w:val="fr-CA"/>
        </w:rPr>
        <w:t>Zoe Oxaal</w:t>
      </w:r>
      <w:r w:rsidRPr="005F229C">
        <w:rPr>
          <w:rStyle w:val="SCCCounselPartyRoleChar"/>
          <w:lang w:val="fr-CA"/>
        </w:rPr>
        <w:t xml:space="preserve">, pour l’intervenant le </w:t>
      </w:r>
      <w:r w:rsidR="00D4531B" w:rsidRPr="005F229C">
        <w:rPr>
          <w:rStyle w:val="SCCCounselPartyRoleChar"/>
          <w:lang w:val="fr-CA"/>
        </w:rPr>
        <w:t>p</w:t>
      </w:r>
      <w:r w:rsidRPr="005F229C">
        <w:rPr>
          <w:rStyle w:val="SCCCounselPartyRoleChar"/>
          <w:lang w:val="fr-CA"/>
        </w:rPr>
        <w:t>rocureur général du Canada.</w:t>
      </w:r>
    </w:p>
    <w:p w:rsidR="000C6707" w:rsidRPr="005F229C" w:rsidRDefault="000C6707" w:rsidP="00455B08">
      <w:pPr>
        <w:pStyle w:val="SCCNormalDoubleSpacing"/>
        <w:spacing w:after="480"/>
        <w:rPr>
          <w:rStyle w:val="SCCCounselPartyRoleChar"/>
          <w:lang w:val="fr-CA"/>
        </w:rPr>
      </w:pPr>
      <w:r w:rsidRPr="005F229C">
        <w:rPr>
          <w:rStyle w:val="SCCCounselNameChar"/>
          <w:lang w:val="fr-CA"/>
        </w:rPr>
        <w:tab/>
      </w:r>
      <w:r w:rsidR="0078019C">
        <w:rPr>
          <w:rStyle w:val="SCCCounselNameChar"/>
          <w:lang w:val="fr-CA"/>
        </w:rPr>
        <w:t>Michael </w:t>
      </w:r>
      <w:r w:rsidRPr="005F229C">
        <w:rPr>
          <w:rStyle w:val="SCCCounselNameChar"/>
          <w:lang w:val="fr-CA"/>
        </w:rPr>
        <w:t>A. Hines</w:t>
      </w:r>
      <w:r w:rsidRPr="005F229C">
        <w:rPr>
          <w:rStyle w:val="SCCCounselSeparatorChar"/>
          <w:lang w:val="fr-CA"/>
        </w:rPr>
        <w:t xml:space="preserve">, </w:t>
      </w:r>
      <w:r w:rsidRPr="005F229C">
        <w:rPr>
          <w:rStyle w:val="SCCCounselNameChar"/>
          <w:lang w:val="fr-CA"/>
        </w:rPr>
        <w:t>Lauri Reesor</w:t>
      </w:r>
      <w:r w:rsidRPr="005F229C">
        <w:rPr>
          <w:rStyle w:val="SCCCounselSeparatorChar"/>
          <w:lang w:val="fr-CA"/>
        </w:rPr>
        <w:t xml:space="preserve"> et </w:t>
      </w:r>
      <w:r w:rsidRPr="005F229C">
        <w:rPr>
          <w:rStyle w:val="SCCCounselNameChar"/>
          <w:lang w:val="fr-CA"/>
        </w:rPr>
        <w:t>Gregory Power</w:t>
      </w:r>
      <w:r w:rsidRPr="005F229C">
        <w:rPr>
          <w:rStyle w:val="SCCCounselPartyRoleChar"/>
          <w:lang w:val="fr-CA"/>
        </w:rPr>
        <w:t>, pour les intervenant</w:t>
      </w:r>
      <w:r w:rsidR="00ED6BAF" w:rsidRPr="005F229C">
        <w:rPr>
          <w:rStyle w:val="SCCCounselPartyRoleChar"/>
          <w:lang w:val="fr-CA"/>
        </w:rPr>
        <w:t>e</w:t>
      </w:r>
      <w:r w:rsidRPr="005F229C">
        <w:rPr>
          <w:rStyle w:val="SCCCounselPartyRoleChar"/>
          <w:lang w:val="fr-CA"/>
        </w:rPr>
        <w:t>s</w:t>
      </w:r>
      <w:r w:rsidR="00183C7D" w:rsidRPr="005F229C">
        <w:rPr>
          <w:rStyle w:val="SCCCounselPartyRoleChar"/>
          <w:lang w:val="fr-CA"/>
        </w:rPr>
        <w:t xml:space="preserve"> DHL Express (Canada), Ltée</w:t>
      </w:r>
      <w:r w:rsidRPr="005F229C">
        <w:rPr>
          <w:rStyle w:val="SCCCounselPartyRoleChar"/>
          <w:lang w:val="fr-CA"/>
        </w:rPr>
        <w:t>, Federal Express Canada Corporation, Purolator Inc., TFI International Inc.</w:t>
      </w:r>
      <w:r w:rsidR="00694A27" w:rsidRPr="005F229C">
        <w:rPr>
          <w:rStyle w:val="SCCCounselPartyRoleChar"/>
          <w:lang w:val="fr-CA"/>
        </w:rPr>
        <w:t xml:space="preserve"> </w:t>
      </w:r>
      <w:r w:rsidRPr="005F229C">
        <w:rPr>
          <w:rStyle w:val="SCCCounselPartyRoleChar"/>
          <w:lang w:val="fr-CA"/>
        </w:rPr>
        <w:t>et United Parcel Service</w:t>
      </w:r>
      <w:r w:rsidR="00183C7D" w:rsidRPr="005F229C">
        <w:rPr>
          <w:rStyle w:val="SCCCounselPartyRoleChar"/>
          <w:lang w:val="fr-CA"/>
        </w:rPr>
        <w:t xml:space="preserve"> du</w:t>
      </w:r>
      <w:r w:rsidRPr="005F229C">
        <w:rPr>
          <w:rStyle w:val="SCCCounselPartyRoleChar"/>
          <w:lang w:val="fr-CA"/>
        </w:rPr>
        <w:t xml:space="preserve"> Canada Ltée.</w:t>
      </w:r>
    </w:p>
    <w:p w:rsidR="00373A17" w:rsidRPr="005F229C" w:rsidRDefault="00373A17" w:rsidP="00455B08">
      <w:pPr>
        <w:pStyle w:val="SCCNormalDoubleSpacing"/>
        <w:spacing w:after="480"/>
      </w:pPr>
      <w:r w:rsidRPr="005F229C">
        <w:rPr>
          <w:rStyle w:val="SCCCounselNameChar"/>
          <w:lang w:val="fr-CA"/>
        </w:rPr>
        <w:tab/>
      </w:r>
      <w:r w:rsidRPr="005F229C">
        <w:rPr>
          <w:rStyle w:val="SCCCounselNameChar"/>
        </w:rPr>
        <w:t>John Bartolomeo</w:t>
      </w:r>
      <w:r w:rsidRPr="005F229C">
        <w:rPr>
          <w:rStyle w:val="SCCCounselSeparatorChar"/>
        </w:rPr>
        <w:t xml:space="preserve">, </w:t>
      </w:r>
      <w:r w:rsidRPr="005F229C">
        <w:rPr>
          <w:rStyle w:val="SCCCounselNameChar"/>
        </w:rPr>
        <w:t>Jennifer Chan</w:t>
      </w:r>
      <w:r w:rsidRPr="005F229C">
        <w:rPr>
          <w:rStyle w:val="SCCCounselSeparatorChar"/>
        </w:rPr>
        <w:t xml:space="preserve"> et </w:t>
      </w:r>
      <w:r w:rsidRPr="005F229C">
        <w:rPr>
          <w:rStyle w:val="SCCCounselNameChar"/>
        </w:rPr>
        <w:t>Doug Letto</w:t>
      </w:r>
      <w:r w:rsidRPr="005F229C">
        <w:rPr>
          <w:rStyle w:val="SCCCounselPartyRoleChar"/>
        </w:rPr>
        <w:t>, pour l’intervenante Workers’ Health and Safety Legal Clinic.</w:t>
      </w:r>
    </w:p>
    <w:p w:rsidR="00A078B6" w:rsidRPr="005F229C" w:rsidRDefault="008C28DF" w:rsidP="00455B08">
      <w:pPr>
        <w:pStyle w:val="SCCNormalDoubleSpacing"/>
        <w:spacing w:after="480"/>
        <w:rPr>
          <w:lang w:val="fr-CA"/>
        </w:rPr>
      </w:pPr>
      <w:r w:rsidRPr="005F229C">
        <w:rPr>
          <w:rStyle w:val="SCCCounselNameChar"/>
          <w:lang w:val="en-US"/>
        </w:rPr>
        <w:tab/>
      </w:r>
      <w:r w:rsidRPr="005F229C">
        <w:rPr>
          <w:rStyle w:val="SCCCounselNameChar"/>
          <w:lang w:val="fr-CA"/>
        </w:rPr>
        <w:t>Christopher Pigott</w:t>
      </w:r>
      <w:r w:rsidRPr="005F229C">
        <w:rPr>
          <w:rStyle w:val="SCCCounselSeparatorChar"/>
          <w:lang w:val="fr-CA"/>
        </w:rPr>
        <w:t xml:space="preserve"> et </w:t>
      </w:r>
      <w:r w:rsidRPr="005F229C">
        <w:rPr>
          <w:rStyle w:val="SCCCounselNameChar"/>
          <w:lang w:val="fr-CA"/>
        </w:rPr>
        <w:t>Rachel Younan</w:t>
      </w:r>
      <w:r w:rsidRPr="005F229C">
        <w:rPr>
          <w:rStyle w:val="SCCCounselPartyRoleChar"/>
          <w:lang w:val="fr-CA"/>
        </w:rPr>
        <w:t>, pour l</w:t>
      </w:r>
      <w:r w:rsidR="000B4416" w:rsidRPr="005F229C">
        <w:rPr>
          <w:rStyle w:val="SCCCounselPartyRoleChar"/>
          <w:lang w:val="fr-CA"/>
        </w:rPr>
        <w:t>’</w:t>
      </w:r>
      <w:r w:rsidR="000920EC" w:rsidRPr="005F229C">
        <w:rPr>
          <w:rStyle w:val="SCCCounselPartyRoleChar"/>
          <w:lang w:val="fr-CA"/>
        </w:rPr>
        <w:t>intervenante</w:t>
      </w:r>
      <w:r w:rsidR="00183C7D" w:rsidRPr="005F229C">
        <w:rPr>
          <w:rStyle w:val="SCCCounselPartyRoleChar"/>
          <w:lang w:val="fr-CA"/>
        </w:rPr>
        <w:t xml:space="preserve"> ETCOF inc. (</w:t>
      </w:r>
      <w:r w:rsidRPr="005F229C">
        <w:rPr>
          <w:rStyle w:val="SCCCounselPartyRoleChar"/>
          <w:lang w:val="fr-CA"/>
        </w:rPr>
        <w:t>Association des employeurs des transports et communications de régie fédérale).</w:t>
      </w:r>
    </w:p>
    <w:p w:rsidR="00A078B6" w:rsidRPr="005F229C" w:rsidRDefault="008C28DF" w:rsidP="00455B08">
      <w:pPr>
        <w:pStyle w:val="SCCNormalDoubleSpacing"/>
        <w:spacing w:after="480"/>
        <w:rPr>
          <w:lang w:val="fr-CA"/>
        </w:rPr>
      </w:pPr>
      <w:r w:rsidRPr="005F229C">
        <w:rPr>
          <w:rStyle w:val="SCCCounselNameChar"/>
          <w:lang w:val="fr-CA"/>
        </w:rPr>
        <w:tab/>
        <w:t>Peter</w:t>
      </w:r>
      <w:r w:rsidR="00143E7E" w:rsidRPr="005F229C">
        <w:rPr>
          <w:rStyle w:val="SCCCounselNameChar"/>
          <w:lang w:val="fr-CA"/>
        </w:rPr>
        <w:t xml:space="preserve"> </w:t>
      </w:r>
      <w:r w:rsidRPr="005F229C">
        <w:rPr>
          <w:rStyle w:val="SCCCounselNameChar"/>
          <w:lang w:val="fr-CA"/>
        </w:rPr>
        <w:t>Engelmann</w:t>
      </w:r>
      <w:r w:rsidR="00143E7E" w:rsidRPr="005F229C">
        <w:rPr>
          <w:rStyle w:val="SCCCounselNameChar"/>
          <w:lang w:val="fr-CA"/>
        </w:rPr>
        <w:t xml:space="preserve"> </w:t>
      </w:r>
      <w:r w:rsidR="00143E7E" w:rsidRPr="005F229C">
        <w:rPr>
          <w:rStyle w:val="SCCCounselNameChar"/>
          <w:i w:val="0"/>
          <w:lang w:val="fr-CA"/>
        </w:rPr>
        <w:t>et</w:t>
      </w:r>
      <w:r w:rsidR="00143E7E" w:rsidRPr="005F229C">
        <w:rPr>
          <w:rStyle w:val="SCCCounselNameChar"/>
          <w:lang w:val="fr-CA"/>
        </w:rPr>
        <w:t xml:space="preserve"> Colleen Bauman</w:t>
      </w:r>
      <w:r w:rsidRPr="005F229C">
        <w:rPr>
          <w:rStyle w:val="SCCCounselPartyRoleChar"/>
          <w:lang w:val="fr-CA"/>
        </w:rPr>
        <w:t>, pour l</w:t>
      </w:r>
      <w:r w:rsidR="00421148" w:rsidRPr="005F229C">
        <w:rPr>
          <w:rStyle w:val="SCCCounselPartyRoleChar"/>
          <w:lang w:val="fr-CA"/>
        </w:rPr>
        <w:t xml:space="preserve">es </w:t>
      </w:r>
      <w:r w:rsidR="00143E7E" w:rsidRPr="005F229C">
        <w:rPr>
          <w:rStyle w:val="SCCCounselPartyRoleChar"/>
          <w:lang w:val="fr-CA"/>
        </w:rPr>
        <w:t>intervenant</w:t>
      </w:r>
      <w:r w:rsidR="00421148" w:rsidRPr="005F229C">
        <w:rPr>
          <w:rStyle w:val="SCCCounselPartyRoleChar"/>
          <w:lang w:val="fr-CA"/>
        </w:rPr>
        <w:t>s</w:t>
      </w:r>
      <w:r w:rsidR="00143E7E" w:rsidRPr="005F229C">
        <w:rPr>
          <w:rStyle w:val="SCCCounselPartyRoleChar"/>
          <w:lang w:val="fr-CA"/>
        </w:rPr>
        <w:t xml:space="preserve"> le</w:t>
      </w:r>
      <w:r w:rsidRPr="005F229C">
        <w:rPr>
          <w:rStyle w:val="SCCCounselPartyRoleChar"/>
          <w:lang w:val="fr-CA"/>
        </w:rPr>
        <w:t xml:space="preserve"> Syndicat canadien de la fonction publique et </w:t>
      </w:r>
      <w:r w:rsidR="00143E7E" w:rsidRPr="005F229C">
        <w:rPr>
          <w:rStyle w:val="SCCCounselPartyRoleChar"/>
          <w:lang w:val="fr-CA"/>
        </w:rPr>
        <w:t>l’</w:t>
      </w:r>
      <w:r w:rsidRPr="005F229C">
        <w:rPr>
          <w:rStyle w:val="SCCCounselPartyRoleChar"/>
          <w:lang w:val="fr-CA"/>
        </w:rPr>
        <w:t>Institut professionnel de la fonction publique du Canada.</w:t>
      </w:r>
    </w:p>
    <w:p w:rsidR="00A078B6" w:rsidRPr="005F229C" w:rsidRDefault="008C28DF" w:rsidP="00455B08">
      <w:pPr>
        <w:pStyle w:val="SCCNormalDoubleSpacing"/>
        <w:spacing w:after="480"/>
        <w:rPr>
          <w:lang w:val="fr-CA"/>
        </w:rPr>
      </w:pPr>
      <w:r w:rsidRPr="005F229C">
        <w:rPr>
          <w:rStyle w:val="SCCCounselNameChar"/>
          <w:lang w:val="fr-CA"/>
        </w:rPr>
        <w:tab/>
        <w:t>Brian Smeenk</w:t>
      </w:r>
      <w:r w:rsidRPr="005F229C">
        <w:rPr>
          <w:rStyle w:val="SCCCounselPartyRoleChar"/>
          <w:lang w:val="fr-CA"/>
        </w:rPr>
        <w:t>, pour l</w:t>
      </w:r>
      <w:r w:rsidR="000B4416" w:rsidRPr="005F229C">
        <w:rPr>
          <w:rStyle w:val="SCCCounselPartyRoleChar"/>
          <w:lang w:val="fr-CA"/>
        </w:rPr>
        <w:t>’</w:t>
      </w:r>
      <w:r w:rsidR="00143E7E" w:rsidRPr="005F229C">
        <w:rPr>
          <w:rStyle w:val="SCCCounselPartyRoleChar"/>
          <w:lang w:val="fr-CA"/>
        </w:rPr>
        <w:t>intervenante Rogers Communications Inc.</w:t>
      </w:r>
    </w:p>
    <w:p w:rsidR="00A078B6" w:rsidRPr="005F229C" w:rsidRDefault="008C28DF" w:rsidP="00455B08">
      <w:pPr>
        <w:pStyle w:val="SCCNormalDoubleSpacing"/>
        <w:spacing w:after="480"/>
        <w:rPr>
          <w:lang w:val="fr-CA"/>
        </w:rPr>
      </w:pPr>
      <w:r w:rsidRPr="005F229C">
        <w:rPr>
          <w:rStyle w:val="SCCCounselNameChar"/>
          <w:lang w:val="fr-CA"/>
        </w:rPr>
        <w:tab/>
        <w:t>Maryse Tremblay</w:t>
      </w:r>
      <w:r w:rsidRPr="005F229C">
        <w:rPr>
          <w:rStyle w:val="SCCCounselSeparatorChar"/>
          <w:lang w:val="fr-CA"/>
        </w:rPr>
        <w:t xml:space="preserve">, </w:t>
      </w:r>
      <w:r w:rsidRPr="005F229C">
        <w:rPr>
          <w:rStyle w:val="SCCCounselPartyRoleChar"/>
          <w:lang w:val="fr-CA"/>
        </w:rPr>
        <w:t>pour l</w:t>
      </w:r>
      <w:r w:rsidR="002717FF" w:rsidRPr="005F229C">
        <w:rPr>
          <w:rStyle w:val="SCCCounselPartyRoleChar"/>
          <w:lang w:val="fr-CA"/>
        </w:rPr>
        <w:t>es intervenantes</w:t>
      </w:r>
      <w:r w:rsidRPr="005F229C">
        <w:rPr>
          <w:rStyle w:val="SCCCounselPartyRoleChar"/>
          <w:lang w:val="fr-CA"/>
        </w:rPr>
        <w:t xml:space="preserve"> </w:t>
      </w:r>
      <w:r w:rsidR="002717FF" w:rsidRPr="005F229C">
        <w:rPr>
          <w:rStyle w:val="SCCCounselPartyRoleChar"/>
          <w:lang w:val="fr-CA"/>
        </w:rPr>
        <w:t xml:space="preserve">la </w:t>
      </w:r>
      <w:r w:rsidRPr="005F229C">
        <w:rPr>
          <w:rStyle w:val="SCCCounselPartyRoleChar"/>
          <w:lang w:val="fr-CA"/>
        </w:rPr>
        <w:t>Société</w:t>
      </w:r>
      <w:r w:rsidR="00455B08" w:rsidRPr="005F229C">
        <w:rPr>
          <w:rStyle w:val="SCCCounselPartyRoleChar"/>
          <w:lang w:val="fr-CA"/>
        </w:rPr>
        <w:t xml:space="preserve"> Radio</w:t>
      </w:r>
      <w:r w:rsidR="005F229C">
        <w:rPr>
          <w:rStyle w:val="SCCCounselPartyRoleChar"/>
          <w:lang w:val="fr-CA"/>
        </w:rPr>
        <w:noBreakHyphen/>
      </w:r>
      <w:r w:rsidRPr="005F229C">
        <w:rPr>
          <w:rStyle w:val="SCCCounselPartyRoleChar"/>
          <w:lang w:val="fr-CA"/>
        </w:rPr>
        <w:t>Canad</w:t>
      </w:r>
      <w:r w:rsidR="00183C7D" w:rsidRPr="005F229C">
        <w:rPr>
          <w:rStyle w:val="SCCCounselPartyRoleChar"/>
          <w:lang w:val="fr-CA"/>
        </w:rPr>
        <w:t>a, Bell Canada, Bell Solutions t</w:t>
      </w:r>
      <w:r w:rsidRPr="005F229C">
        <w:rPr>
          <w:rStyle w:val="SCCCounselPartyRoleChar"/>
          <w:lang w:val="fr-CA"/>
        </w:rPr>
        <w:t>ec</w:t>
      </w:r>
      <w:r w:rsidR="00183C7D" w:rsidRPr="005F229C">
        <w:rPr>
          <w:rStyle w:val="SCCCounselPartyRoleChar"/>
          <w:lang w:val="fr-CA"/>
        </w:rPr>
        <w:t>hniques inc. et Bell Média i</w:t>
      </w:r>
      <w:r w:rsidR="002717FF" w:rsidRPr="005F229C">
        <w:rPr>
          <w:rStyle w:val="SCCCounselPartyRoleChar"/>
          <w:lang w:val="fr-CA"/>
        </w:rPr>
        <w:t>nc.</w:t>
      </w:r>
    </w:p>
    <w:p w:rsidR="00A078B6" w:rsidRPr="005F229C" w:rsidRDefault="008C28DF" w:rsidP="00455B08">
      <w:pPr>
        <w:pStyle w:val="SCCNormalDoubleSpacing"/>
        <w:spacing w:after="480"/>
        <w:rPr>
          <w:lang w:val="fr-CA"/>
        </w:rPr>
      </w:pPr>
      <w:r w:rsidRPr="005F229C">
        <w:rPr>
          <w:rStyle w:val="SCCCounselNameChar"/>
          <w:lang w:val="fr-CA"/>
        </w:rPr>
        <w:tab/>
        <w:t>Stéphane Fillion</w:t>
      </w:r>
      <w:r w:rsidRPr="005F229C">
        <w:rPr>
          <w:rStyle w:val="SCCCounselSeparatorChar"/>
          <w:lang w:val="fr-CA"/>
        </w:rPr>
        <w:t xml:space="preserve"> et </w:t>
      </w:r>
      <w:r w:rsidRPr="005F229C">
        <w:rPr>
          <w:rStyle w:val="SCCCounselNameChar"/>
          <w:lang w:val="fr-CA"/>
        </w:rPr>
        <w:t>Michael Adams</w:t>
      </w:r>
      <w:r w:rsidRPr="005F229C">
        <w:rPr>
          <w:rStyle w:val="SCCCounselPartyRoleChar"/>
          <w:lang w:val="fr-CA"/>
        </w:rPr>
        <w:t>, pour l</w:t>
      </w:r>
      <w:r w:rsidR="002717FF" w:rsidRPr="005F229C">
        <w:rPr>
          <w:rStyle w:val="SCCCounselPartyRoleChar"/>
          <w:lang w:val="fr-CA"/>
        </w:rPr>
        <w:t>es intervenantes</w:t>
      </w:r>
      <w:r w:rsidRPr="005F229C">
        <w:rPr>
          <w:rStyle w:val="SCCCounselPartyRoleChar"/>
          <w:lang w:val="fr-CA"/>
        </w:rPr>
        <w:t xml:space="preserve"> </w:t>
      </w:r>
      <w:r w:rsidR="002717FF" w:rsidRPr="005F229C">
        <w:rPr>
          <w:rStyle w:val="SCCCounselPartyRoleChar"/>
          <w:lang w:val="fr-CA"/>
        </w:rPr>
        <w:t>l’</w:t>
      </w:r>
      <w:r w:rsidRPr="005F229C">
        <w:rPr>
          <w:rStyle w:val="SCCCounselPartyRoleChar"/>
          <w:lang w:val="fr-CA"/>
        </w:rPr>
        <w:t>Associati</w:t>
      </w:r>
      <w:r w:rsidR="00183C7D" w:rsidRPr="005F229C">
        <w:rPr>
          <w:rStyle w:val="SCCCounselPartyRoleChar"/>
          <w:lang w:val="fr-CA"/>
        </w:rPr>
        <w:t>on des employeurs m</w:t>
      </w:r>
      <w:r w:rsidR="002717FF" w:rsidRPr="005F229C">
        <w:rPr>
          <w:rStyle w:val="SCCCounselPartyRoleChar"/>
          <w:lang w:val="fr-CA"/>
        </w:rPr>
        <w:t xml:space="preserve">aritimes, </w:t>
      </w:r>
      <w:r w:rsidRPr="005F229C">
        <w:rPr>
          <w:rStyle w:val="SCCCounselPartyRoleChar"/>
          <w:lang w:val="fr-CA"/>
        </w:rPr>
        <w:t>Hali</w:t>
      </w:r>
      <w:r w:rsidR="002717FF" w:rsidRPr="005F229C">
        <w:rPr>
          <w:rStyle w:val="SCCCounselPartyRoleChar"/>
          <w:lang w:val="fr-CA"/>
        </w:rPr>
        <w:t>fax Employers Association et</w:t>
      </w:r>
      <w:r w:rsidRPr="005F229C">
        <w:rPr>
          <w:rStyle w:val="SCCCounselPartyRoleChar"/>
          <w:lang w:val="fr-CA"/>
        </w:rPr>
        <w:t xml:space="preserve"> British Columbia Maritime Employers Association.</w:t>
      </w:r>
    </w:p>
    <w:p w:rsidR="00B7543C" w:rsidRDefault="0078019C" w:rsidP="00732E15">
      <w:pPr>
        <w:pStyle w:val="SCCNormalDoubleSpacing"/>
        <w:spacing w:after="480"/>
        <w:rPr>
          <w:rStyle w:val="SCCCounselPartyRoleChar"/>
          <w:lang w:val="fr-CA"/>
        </w:rPr>
      </w:pPr>
      <w:r>
        <w:rPr>
          <w:rStyle w:val="SCCCounselNameChar"/>
          <w:lang w:val="fr-CA"/>
        </w:rPr>
        <w:lastRenderedPageBreak/>
        <w:tab/>
        <w:t>Craig </w:t>
      </w:r>
      <w:r w:rsidR="008C28DF" w:rsidRPr="005F229C">
        <w:rPr>
          <w:rStyle w:val="SCCCounselNameChar"/>
          <w:lang w:val="fr-CA"/>
        </w:rPr>
        <w:t>D. Bavis</w:t>
      </w:r>
      <w:r w:rsidR="002717FF" w:rsidRPr="005F229C">
        <w:rPr>
          <w:rStyle w:val="SCCCounselSeparatorChar"/>
          <w:lang w:val="fr-CA"/>
        </w:rPr>
        <w:t xml:space="preserve"> et</w:t>
      </w:r>
      <w:r w:rsidR="008C28DF" w:rsidRPr="005F229C">
        <w:rPr>
          <w:rStyle w:val="SCCCounselSeparatorChar"/>
          <w:lang w:val="fr-CA"/>
        </w:rPr>
        <w:t xml:space="preserve"> </w:t>
      </w:r>
      <w:r w:rsidR="002717FF" w:rsidRPr="005F229C">
        <w:rPr>
          <w:rStyle w:val="SCCCounselNameChar"/>
          <w:lang w:val="fr-CA"/>
        </w:rPr>
        <w:t>Jitesh Mistry</w:t>
      </w:r>
      <w:r w:rsidR="008C28DF" w:rsidRPr="005F229C">
        <w:rPr>
          <w:rStyle w:val="SCCCounselPartyRoleChar"/>
          <w:lang w:val="fr-CA"/>
        </w:rPr>
        <w:t>, pour l</w:t>
      </w:r>
      <w:r w:rsidR="00F40830" w:rsidRPr="005F229C">
        <w:rPr>
          <w:rStyle w:val="SCCCounselPartyRoleChar"/>
          <w:lang w:val="fr-CA"/>
        </w:rPr>
        <w:t>es intervenants</w:t>
      </w:r>
      <w:r w:rsidR="008C28DF" w:rsidRPr="005F229C">
        <w:rPr>
          <w:rStyle w:val="SCCCounselPartyRoleChar"/>
          <w:lang w:val="fr-CA"/>
        </w:rPr>
        <w:t xml:space="preserve"> </w:t>
      </w:r>
      <w:r w:rsidR="00F40830" w:rsidRPr="005F229C">
        <w:rPr>
          <w:rStyle w:val="SCCCounselPartyRoleChar"/>
          <w:lang w:val="fr-CA"/>
        </w:rPr>
        <w:t xml:space="preserve">le </w:t>
      </w:r>
      <w:r w:rsidR="008C28DF" w:rsidRPr="005F229C">
        <w:rPr>
          <w:rStyle w:val="SCCCounselPartyRoleChar"/>
          <w:lang w:val="fr-CA"/>
        </w:rPr>
        <w:t>Syndicat international des déba</w:t>
      </w:r>
      <w:r w:rsidR="00F40830" w:rsidRPr="005F229C">
        <w:rPr>
          <w:rStyle w:val="SCCCounselPartyRoleChar"/>
          <w:lang w:val="fr-CA"/>
        </w:rPr>
        <w:t>rdeurs et magasiniers du Canada,</w:t>
      </w:r>
      <w:r w:rsidR="008C28DF" w:rsidRPr="005F229C">
        <w:rPr>
          <w:rStyle w:val="SCCCounselPartyRoleChar"/>
          <w:lang w:val="fr-CA"/>
        </w:rPr>
        <w:t xml:space="preserve"> </w:t>
      </w:r>
      <w:r w:rsidR="00F40830" w:rsidRPr="005F229C">
        <w:rPr>
          <w:rStyle w:val="SCCCounselPartyRoleChar"/>
          <w:lang w:val="fr-CA"/>
        </w:rPr>
        <w:t>l’Association i</w:t>
      </w:r>
      <w:r w:rsidR="008C28DF" w:rsidRPr="005F229C">
        <w:rPr>
          <w:rStyle w:val="SCCCounselPartyRoleChar"/>
          <w:lang w:val="fr-CA"/>
        </w:rPr>
        <w:t>nternational</w:t>
      </w:r>
      <w:r w:rsidR="00F40830" w:rsidRPr="005F229C">
        <w:rPr>
          <w:rStyle w:val="SCCCounselPartyRoleChar"/>
          <w:lang w:val="fr-CA"/>
        </w:rPr>
        <w:t>e des</w:t>
      </w:r>
      <w:r w:rsidR="008C28DF" w:rsidRPr="005F229C">
        <w:rPr>
          <w:rStyle w:val="SCCCounselPartyRoleChar"/>
          <w:lang w:val="fr-CA"/>
        </w:rPr>
        <w:t xml:space="preserve"> </w:t>
      </w:r>
      <w:r w:rsidR="00F40830" w:rsidRPr="005F229C">
        <w:rPr>
          <w:rStyle w:val="SCCCounselPartyRoleChar"/>
          <w:lang w:val="fr-CA"/>
        </w:rPr>
        <w:t>débardeurs</w:t>
      </w:r>
      <w:r w:rsidR="008C28DF" w:rsidRPr="005F229C">
        <w:rPr>
          <w:rStyle w:val="SCCCounselPartyRoleChar"/>
          <w:lang w:val="fr-CA"/>
        </w:rPr>
        <w:t>, section</w:t>
      </w:r>
      <w:r w:rsidR="00F40830" w:rsidRPr="005F229C">
        <w:rPr>
          <w:rStyle w:val="SCCCounselPartyRoleChar"/>
          <w:lang w:val="fr-CA"/>
        </w:rPr>
        <w:t>s locales 269,</w:t>
      </w:r>
      <w:r w:rsidR="00183C7D" w:rsidRPr="005F229C">
        <w:rPr>
          <w:rStyle w:val="SCCCounselPartyRoleChar"/>
          <w:lang w:val="fr-CA"/>
        </w:rPr>
        <w:t xml:space="preserve"> </w:t>
      </w:r>
      <w:r w:rsidR="00F40830" w:rsidRPr="005F229C">
        <w:rPr>
          <w:rStyle w:val="SCCCounselPartyRoleChar"/>
          <w:lang w:val="fr-CA"/>
        </w:rPr>
        <w:t>1341, 1657 et 1825</w:t>
      </w:r>
      <w:r w:rsidR="008C28DF" w:rsidRPr="005F229C">
        <w:rPr>
          <w:rStyle w:val="SCCCounselPartyRoleChar"/>
          <w:lang w:val="fr-CA"/>
        </w:rPr>
        <w:t xml:space="preserve"> et le Syndicat canadien de la fonction publique, section locale 375.</w:t>
      </w:r>
    </w:p>
    <w:p w:rsidR="00B7543C" w:rsidRDefault="00DE49BE" w:rsidP="00DE49BE">
      <w:pPr>
        <w:pStyle w:val="SCCNormalDoubleSpacing"/>
        <w:spacing w:after="480"/>
        <w:rPr>
          <w:lang w:val="fr-CA"/>
        </w:rPr>
      </w:pPr>
      <w:r>
        <w:rPr>
          <w:lang w:val="fr-CA"/>
        </w:rPr>
        <w:tab/>
      </w:r>
      <w:r w:rsidR="00B7543C" w:rsidRPr="00480D22">
        <w:rPr>
          <w:lang w:val="fr-CA"/>
        </w:rPr>
        <w:t xml:space="preserve">Version française du jugement du juge en chef </w:t>
      </w:r>
      <w:r w:rsidR="00B7543C">
        <w:rPr>
          <w:lang w:val="fr-CA"/>
        </w:rPr>
        <w:t xml:space="preserve">Wagner et des juges </w:t>
      </w:r>
      <w:r w:rsidR="00B7543C" w:rsidRPr="00480D22">
        <w:rPr>
          <w:lang w:val="fr-CA"/>
        </w:rPr>
        <w:t xml:space="preserve">Moldaver, </w:t>
      </w:r>
      <w:r w:rsidR="00B7543C" w:rsidRPr="000C126A">
        <w:rPr>
          <w:lang w:val="fr-CA"/>
        </w:rPr>
        <w:t>Karakatsanis</w:t>
      </w:r>
      <w:r w:rsidR="00B7543C">
        <w:rPr>
          <w:lang w:val="fr-CA"/>
        </w:rPr>
        <w:t xml:space="preserve">, </w:t>
      </w:r>
      <w:r w:rsidR="00B7543C" w:rsidRPr="00480D22">
        <w:rPr>
          <w:lang w:val="fr-CA"/>
        </w:rPr>
        <w:t xml:space="preserve">Gascon, </w:t>
      </w:r>
      <w:r w:rsidR="00B7543C" w:rsidRPr="000C126A">
        <w:rPr>
          <w:lang w:val="fr-CA"/>
        </w:rPr>
        <w:t>Côté</w:t>
      </w:r>
      <w:r w:rsidR="00B7543C">
        <w:rPr>
          <w:lang w:val="fr-CA"/>
        </w:rPr>
        <w:t xml:space="preserve">, </w:t>
      </w:r>
      <w:r w:rsidR="00B7543C" w:rsidRPr="00DE49BE">
        <w:rPr>
          <w:rStyle w:val="SCCCounselPartyRoleChar"/>
          <w:lang w:val="fr-CA"/>
        </w:rPr>
        <w:t>Brown</w:t>
      </w:r>
      <w:r w:rsidR="00B7543C" w:rsidRPr="00480D22">
        <w:rPr>
          <w:lang w:val="fr-CA"/>
        </w:rPr>
        <w:t xml:space="preserve"> </w:t>
      </w:r>
      <w:r w:rsidR="00B7543C">
        <w:rPr>
          <w:lang w:val="fr-CA"/>
        </w:rPr>
        <w:t>et</w:t>
      </w:r>
      <w:r w:rsidR="00B7543C" w:rsidRPr="00480D22">
        <w:rPr>
          <w:lang w:val="fr-CA"/>
        </w:rPr>
        <w:t xml:space="preserve"> Rowe</w:t>
      </w:r>
      <w:r w:rsidR="00B7543C">
        <w:rPr>
          <w:lang w:val="fr-CA"/>
        </w:rPr>
        <w:t xml:space="preserve"> rendu par</w:t>
      </w:r>
    </w:p>
    <w:p w:rsidR="00B7543C" w:rsidRPr="000D0016" w:rsidRDefault="00DE49BE" w:rsidP="00B7543C">
      <w:pPr>
        <w:pStyle w:val="ParaNoNdepar-AltN"/>
        <w:spacing w:before="0"/>
        <w:rPr>
          <w:rFonts w:cs="Times New Roman"/>
          <w:szCs w:val="24"/>
          <w:lang w:val="fr-CA"/>
        </w:rPr>
      </w:pPr>
      <w:r w:rsidRPr="00DE49BE">
        <w:rPr>
          <w:smallCaps/>
          <w:lang w:val="fr-CA"/>
        </w:rPr>
        <w:t>Le juge Rowe</w:t>
      </w:r>
      <w:r w:rsidRPr="000D0016">
        <w:rPr>
          <w:lang w:val="fr-CA"/>
        </w:rPr>
        <w:t xml:space="preserve"> —</w:t>
      </w:r>
      <w:r>
        <w:rPr>
          <w:lang w:val="fr-CA"/>
        </w:rPr>
        <w:t> </w:t>
      </w:r>
      <w:r w:rsidR="00B7543C" w:rsidRPr="000D0016">
        <w:rPr>
          <w:rFonts w:cs="Times New Roman"/>
          <w:lang w:val="fr-CA"/>
        </w:rPr>
        <w:t xml:space="preserve">Le présent pourvoi porte sur une demande de contrôle judiciaire visant une décision du Tribunal de santé et sécurité au travail Canada (« TSSTC »). Le décideur administratif devait interpréter une disposition du </w:t>
      </w:r>
      <w:r w:rsidR="00B7543C" w:rsidRPr="000D0016">
        <w:rPr>
          <w:rFonts w:cs="Times New Roman"/>
          <w:i/>
          <w:iCs/>
          <w:lang w:val="fr-CA"/>
        </w:rPr>
        <w:t>Code canadien du travail</w:t>
      </w:r>
      <w:r w:rsidR="00B7543C" w:rsidRPr="000D0016">
        <w:rPr>
          <w:rFonts w:cs="Times New Roman"/>
          <w:iCs/>
          <w:lang w:val="fr-CA"/>
        </w:rPr>
        <w:t>, L.R.C. 1985, c. L</w:t>
      </w:r>
      <w:r w:rsidR="00B7543C" w:rsidRPr="000D0016">
        <w:rPr>
          <w:rFonts w:cs="Times New Roman"/>
          <w:iCs/>
          <w:lang w:val="fr-CA"/>
        </w:rPr>
        <w:noBreakHyphen/>
        <w:t>2 (« Code »)</w:t>
      </w:r>
      <w:r w:rsidR="00B7543C">
        <w:rPr>
          <w:rFonts w:cs="Times New Roman"/>
          <w:iCs/>
          <w:lang w:val="fr-CA"/>
        </w:rPr>
        <w:t>,</w:t>
      </w:r>
      <w:r w:rsidR="00B7543C" w:rsidRPr="000D0016">
        <w:rPr>
          <w:rFonts w:cs="Times New Roman"/>
          <w:i/>
          <w:iCs/>
          <w:lang w:val="fr-CA"/>
        </w:rPr>
        <w:t xml:space="preserve"> </w:t>
      </w:r>
      <w:r w:rsidR="00B7543C" w:rsidRPr="000D0016">
        <w:rPr>
          <w:rFonts w:cs="Times New Roman"/>
          <w:iCs/>
          <w:lang w:val="fr-CA"/>
        </w:rPr>
        <w:t xml:space="preserve">afin de </w:t>
      </w:r>
      <w:r w:rsidR="00B7543C" w:rsidRPr="000D0016">
        <w:rPr>
          <w:rFonts w:cs="Times New Roman"/>
          <w:lang w:val="fr-CA"/>
        </w:rPr>
        <w:t xml:space="preserve">déterminer si l’employeur, la Société canadienne des postes (« Postes Canada »), se conformait à ses obligations en matière de santé et de sécurité au travail. Il a conclu que Postes Canada ne contrevenait pas à son obligation d’inspecter le lieu de travail </w:t>
      </w:r>
      <w:r w:rsidR="00B7543C">
        <w:rPr>
          <w:rFonts w:cs="Times New Roman"/>
          <w:lang w:val="fr-CA"/>
        </w:rPr>
        <w:t>que lui impose</w:t>
      </w:r>
      <w:r w:rsidR="00B7543C" w:rsidRPr="000D0016">
        <w:rPr>
          <w:rFonts w:cs="Times New Roman"/>
          <w:lang w:val="fr-CA"/>
        </w:rPr>
        <w:t xml:space="preserve"> le Code. La demande de contrôle judiciaire a été rejetée par la Cour fédérale et accueillie en appel.</w:t>
      </w:r>
    </w:p>
    <w:p w:rsidR="00B7543C" w:rsidRPr="000D0016" w:rsidRDefault="00B7543C" w:rsidP="00B7543C">
      <w:pPr>
        <w:pStyle w:val="ParaNoNdepar-AltN"/>
        <w:spacing w:before="0"/>
        <w:rPr>
          <w:rFonts w:cs="Times New Roman"/>
          <w:szCs w:val="24"/>
          <w:lang w:val="fr-CA"/>
        </w:rPr>
      </w:pPr>
      <w:r w:rsidRPr="000D0016">
        <w:rPr>
          <w:rFonts w:cs="Times New Roman"/>
          <w:szCs w:val="24"/>
          <w:lang w:val="fr-CA"/>
        </w:rPr>
        <w:t xml:space="preserve">Le présent pourvoi fournit à la Cour une occasion d’appliquer le cadre d’analyse relatif au contrôle judiciaire établi dans l’arrêt </w:t>
      </w:r>
      <w:r w:rsidRPr="000D0016">
        <w:rPr>
          <w:rFonts w:cs="Times New Roman"/>
          <w:i/>
          <w:szCs w:val="24"/>
          <w:lang w:val="fr-CA"/>
        </w:rPr>
        <w:t>Canada (Ministre de la Citoyenneté et de l’Immigration) c.</w:t>
      </w:r>
      <w:r w:rsidRPr="000D0016">
        <w:rPr>
          <w:rFonts w:cs="Times New Roman"/>
          <w:szCs w:val="24"/>
          <w:lang w:val="fr-CA"/>
        </w:rPr>
        <w:t xml:space="preserve"> </w:t>
      </w:r>
      <w:r w:rsidRPr="000D0016">
        <w:rPr>
          <w:rFonts w:cs="Times New Roman"/>
          <w:i/>
          <w:szCs w:val="24"/>
          <w:lang w:val="fr-CA"/>
        </w:rPr>
        <w:t>Vavilov</w:t>
      </w:r>
      <w:r w:rsidRPr="000D0016">
        <w:rPr>
          <w:rFonts w:cs="Times New Roman"/>
          <w:szCs w:val="24"/>
          <w:lang w:val="fr-CA"/>
        </w:rPr>
        <w:t>,</w:t>
      </w:r>
      <w:r w:rsidRPr="000D0016">
        <w:rPr>
          <w:rFonts w:cs="Times New Roman"/>
          <w:i/>
          <w:szCs w:val="24"/>
          <w:lang w:val="fr-CA"/>
        </w:rPr>
        <w:t xml:space="preserve"> </w:t>
      </w:r>
      <w:r>
        <w:rPr>
          <w:rFonts w:cs="Times New Roman"/>
          <w:szCs w:val="24"/>
          <w:lang w:val="fr-CA"/>
        </w:rPr>
        <w:t>2019 CSC 65</w:t>
      </w:r>
      <w:r w:rsidR="0009383B">
        <w:rPr>
          <w:rFonts w:cs="Times New Roman"/>
          <w:szCs w:val="24"/>
          <w:lang w:val="fr-CA"/>
        </w:rPr>
        <w:t xml:space="preserve">, [2019] </w:t>
      </w:r>
      <w:r w:rsidR="00245497">
        <w:rPr>
          <w:rFonts w:cs="Times New Roman"/>
          <w:szCs w:val="24"/>
          <w:lang w:val="fr-CA"/>
        </w:rPr>
        <w:t>4</w:t>
      </w:r>
      <w:r w:rsidR="0009383B">
        <w:rPr>
          <w:rFonts w:cs="Times New Roman"/>
          <w:szCs w:val="24"/>
          <w:lang w:val="fr-CA"/>
        </w:rPr>
        <w:t xml:space="preserve"> R.C.S. </w:t>
      </w:r>
      <w:r w:rsidR="00245497">
        <w:rPr>
          <w:rFonts w:cs="Times New Roman"/>
          <w:szCs w:val="24"/>
          <w:lang w:val="fr-CA"/>
        </w:rPr>
        <w:t>653</w:t>
      </w:r>
      <w:r w:rsidRPr="000D0016">
        <w:rPr>
          <w:rFonts w:cs="Times New Roman"/>
          <w:szCs w:val="24"/>
          <w:lang w:val="fr-CA"/>
        </w:rPr>
        <w:t>.</w:t>
      </w:r>
      <w:r w:rsidRPr="000D0016">
        <w:rPr>
          <w:rFonts w:cs="Times New Roman"/>
          <w:i/>
          <w:szCs w:val="24"/>
          <w:lang w:val="fr-CA"/>
        </w:rPr>
        <w:t xml:space="preserve"> </w:t>
      </w:r>
      <w:r w:rsidRPr="000D0016">
        <w:rPr>
          <w:rFonts w:cs="Times New Roman"/>
          <w:szCs w:val="24"/>
          <w:lang w:val="fr-CA"/>
        </w:rPr>
        <w:t xml:space="preserve">La norme de contrôle applicable est celle de la décision raisonnable. Le rôle de notre Cour consiste à examiner les motifs qu’a donnés le décideur administratif et à déterminer si la décision </w:t>
      </w:r>
      <w:r w:rsidRPr="00320770">
        <w:rPr>
          <w:rFonts w:cs="Times New Roman"/>
          <w:szCs w:val="24"/>
          <w:lang w:val="fr-CA"/>
        </w:rPr>
        <w:t>est fondée sur un raisonnement intrinsèquement cohérent et est justifiée</w:t>
      </w:r>
      <w:r w:rsidRPr="000D0016">
        <w:rPr>
          <w:rFonts w:cs="Times New Roman"/>
          <w:szCs w:val="24"/>
          <w:lang w:val="fr-CA"/>
        </w:rPr>
        <w:t xml:space="preserve"> au regard des contraintes juridiques et factuelles pertinentes. Pour les motifs qui suivent</w:t>
      </w:r>
      <w:r w:rsidRPr="000D0016">
        <w:rPr>
          <w:rFonts w:cs="Times New Roman"/>
          <w:lang w:val="fr-CA"/>
        </w:rPr>
        <w:t xml:space="preserve">, </w:t>
      </w:r>
      <w:r w:rsidRPr="000D0016">
        <w:rPr>
          <w:rFonts w:cs="Times New Roman"/>
          <w:lang w:val="fr-CA"/>
        </w:rPr>
        <w:lastRenderedPageBreak/>
        <w:t xml:space="preserve">je conclus que la décision du TSSTC est raisonnable et je suis donc d’avis d’accueillir le pourvoi avec dépens devant </w:t>
      </w:r>
      <w:r>
        <w:rPr>
          <w:rFonts w:cs="Times New Roman"/>
          <w:lang w:val="fr-CA"/>
        </w:rPr>
        <w:t>la C</w:t>
      </w:r>
      <w:r w:rsidRPr="000D0016">
        <w:rPr>
          <w:rFonts w:cs="Times New Roman"/>
          <w:lang w:val="fr-CA"/>
        </w:rPr>
        <w:t>our</w:t>
      </w:r>
      <w:r>
        <w:rPr>
          <w:rFonts w:cs="Times New Roman"/>
          <w:lang w:val="fr-CA"/>
        </w:rPr>
        <w:t xml:space="preserve"> et les juridictions inférieures</w:t>
      </w:r>
      <w:r w:rsidRPr="000D0016">
        <w:rPr>
          <w:rFonts w:cs="Times New Roman"/>
          <w:lang w:val="fr-CA"/>
        </w:rPr>
        <w:t>.</w:t>
      </w:r>
    </w:p>
    <w:p w:rsidR="00B7543C" w:rsidRPr="000D0016" w:rsidRDefault="00B7543C" w:rsidP="00B7543C">
      <w:pPr>
        <w:pStyle w:val="Title1LevelTitre1Niveau-AltL"/>
        <w:spacing w:before="0"/>
        <w:rPr>
          <w:rFonts w:cs="Times New Roman"/>
          <w:lang w:val="fr-CA"/>
        </w:rPr>
      </w:pPr>
      <w:r w:rsidRPr="000D0016">
        <w:rPr>
          <w:rFonts w:cs="Times New Roman"/>
          <w:lang w:val="fr-CA"/>
        </w:rPr>
        <w:t>Faits</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L’appelante, Postes Canada, est une société d’État qui fournit des services postaux partout au Canada. L’intimé, le Syndicat des travailleurs et travailleuses des postes (« Syndicat »), est l’agent négociateur accrédité qui représente les employés de l’appelante, y compris les facteurs. À titre d’employeur régi par les lois fédérales, Postes Canada doit se conformer à certaines obligations en matière de santé et de sécurité énoncées à la partie II du Code. La question en litige dans le présent pourvoi est de savoir si l’interprétation qu’a donnée un titulaire de pouvoirs délégués par la loi à l’une de ces obligations </w:t>
      </w:r>
      <w:r>
        <w:rPr>
          <w:rFonts w:cs="Times New Roman"/>
          <w:lang w:val="fr-CA"/>
        </w:rPr>
        <w:t>est</w:t>
      </w:r>
      <w:r w:rsidRPr="000D0016">
        <w:rPr>
          <w:rFonts w:cs="Times New Roman"/>
          <w:lang w:val="fr-CA"/>
        </w:rPr>
        <w:t xml:space="preserve"> raisonnable. À mon avis, elle l’</w:t>
      </w:r>
      <w:r>
        <w:rPr>
          <w:rFonts w:cs="Times New Roman"/>
          <w:lang w:val="fr-CA"/>
        </w:rPr>
        <w:t>est</w:t>
      </w:r>
      <w:r w:rsidRPr="000D0016">
        <w:rPr>
          <w:rFonts w:cs="Times New Roman"/>
          <w:lang w:val="fr-CA"/>
        </w:rPr>
        <w:t>.</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Les faits ne sont pas contestés. En août 2012, une représentante du Syndicat qui </w:t>
      </w:r>
      <w:r>
        <w:rPr>
          <w:rFonts w:cs="Times New Roman"/>
          <w:lang w:val="fr-CA"/>
        </w:rPr>
        <w:t>siège</w:t>
      </w:r>
      <w:r w:rsidRPr="000D0016">
        <w:rPr>
          <w:rFonts w:cs="Times New Roman"/>
          <w:lang w:val="fr-CA"/>
        </w:rPr>
        <w:t xml:space="preserve"> au Comité local mixte de santé et de sécurité (« Comité ») au dépôt de Burlington, en Ontario, </w:t>
      </w:r>
      <w:r>
        <w:rPr>
          <w:rFonts w:cs="Times New Roman"/>
          <w:lang w:val="fr-CA"/>
        </w:rPr>
        <w:t>dépose</w:t>
      </w:r>
      <w:r w:rsidRPr="000D0016">
        <w:rPr>
          <w:rFonts w:cs="Times New Roman"/>
          <w:lang w:val="fr-CA"/>
        </w:rPr>
        <w:t xml:space="preserve"> une plainte auprès de Ressources humaines et Développement des compétences Canada. Il y </w:t>
      </w:r>
      <w:r>
        <w:rPr>
          <w:rFonts w:cs="Times New Roman"/>
          <w:lang w:val="fr-CA"/>
        </w:rPr>
        <w:t>est allégué</w:t>
      </w:r>
      <w:r w:rsidRPr="000D0016">
        <w:rPr>
          <w:rFonts w:cs="Times New Roman"/>
          <w:lang w:val="fr-CA"/>
        </w:rPr>
        <w:t xml:space="preserve"> que le Comité ne se conform</w:t>
      </w:r>
      <w:r>
        <w:rPr>
          <w:rFonts w:cs="Times New Roman"/>
          <w:lang w:val="fr-CA"/>
        </w:rPr>
        <w:t>e</w:t>
      </w:r>
      <w:r w:rsidRPr="000D0016">
        <w:rPr>
          <w:rFonts w:cs="Times New Roman"/>
          <w:lang w:val="fr-CA"/>
        </w:rPr>
        <w:t xml:space="preserve"> pas aux obligations impératives en matière de santé</w:t>
      </w:r>
      <w:r>
        <w:rPr>
          <w:rFonts w:cs="Times New Roman"/>
          <w:lang w:val="fr-CA"/>
        </w:rPr>
        <w:t xml:space="preserve"> et de sécurité que lui impose</w:t>
      </w:r>
      <w:r w:rsidRPr="000D0016">
        <w:rPr>
          <w:rFonts w:cs="Times New Roman"/>
          <w:lang w:val="fr-CA"/>
        </w:rPr>
        <w:t xml:space="preserve"> le Code en limitant ses activités d’inspection du lieu de travail au dépôt de Burlington. Il </w:t>
      </w:r>
      <w:r>
        <w:rPr>
          <w:rFonts w:cs="Times New Roman"/>
          <w:lang w:val="fr-CA"/>
        </w:rPr>
        <w:t>y est</w:t>
      </w:r>
      <w:r w:rsidRPr="000D0016">
        <w:rPr>
          <w:rFonts w:cs="Times New Roman"/>
          <w:lang w:val="fr-CA"/>
        </w:rPr>
        <w:t xml:space="preserve"> aussi indiqué que les inspections de sécurité devraient s’appliquer aux itinéraires des facteurs et aux endroits où le courrier est livré (« points de remise »), et non pas seulement au bâtiment du dépôt de Burlington. La plainte ne </w:t>
      </w:r>
      <w:r>
        <w:rPr>
          <w:rFonts w:cs="Times New Roman"/>
          <w:lang w:val="fr-CA"/>
        </w:rPr>
        <w:t>vise</w:t>
      </w:r>
      <w:r w:rsidRPr="000D0016">
        <w:rPr>
          <w:rFonts w:cs="Times New Roman"/>
          <w:lang w:val="fr-CA"/>
        </w:rPr>
        <w:t xml:space="preserve"> que les 73 itinéraires se trouvant à Burlington, mais la décision p</w:t>
      </w:r>
      <w:r>
        <w:rPr>
          <w:rFonts w:cs="Times New Roman"/>
          <w:lang w:val="fr-CA"/>
        </w:rPr>
        <w:t>eut</w:t>
      </w:r>
      <w:r w:rsidRPr="000D0016">
        <w:rPr>
          <w:rFonts w:cs="Times New Roman"/>
          <w:lang w:val="fr-CA"/>
        </w:rPr>
        <w:t xml:space="preserve"> avoir une incidence sur les activités dans l’ensemble du pays. Postes Canada estim</w:t>
      </w:r>
      <w:r>
        <w:rPr>
          <w:rFonts w:cs="Times New Roman"/>
          <w:lang w:val="fr-CA"/>
        </w:rPr>
        <w:t>e</w:t>
      </w:r>
      <w:r w:rsidRPr="000D0016">
        <w:rPr>
          <w:rFonts w:cs="Times New Roman"/>
          <w:lang w:val="fr-CA"/>
        </w:rPr>
        <w:t xml:space="preserve"> que les </w:t>
      </w:r>
      <w:r>
        <w:rPr>
          <w:rFonts w:cs="Times New Roman"/>
          <w:lang w:val="fr-CA"/>
        </w:rPr>
        <w:t>facteurs parcour</w:t>
      </w:r>
      <w:r w:rsidRPr="000D0016">
        <w:rPr>
          <w:rFonts w:cs="Times New Roman"/>
          <w:lang w:val="fr-CA"/>
        </w:rPr>
        <w:t xml:space="preserve">ent 72 millions de </w:t>
      </w:r>
      <w:r w:rsidRPr="000D0016">
        <w:rPr>
          <w:rFonts w:cs="Times New Roman"/>
          <w:lang w:val="fr-CA"/>
        </w:rPr>
        <w:lastRenderedPageBreak/>
        <w:t xml:space="preserve">kilomètres sous forme de déplacements linéaires et </w:t>
      </w:r>
      <w:r>
        <w:rPr>
          <w:rFonts w:cs="Times New Roman"/>
          <w:lang w:val="fr-CA"/>
        </w:rPr>
        <w:t>livr</w:t>
      </w:r>
      <w:r w:rsidRPr="000D0016">
        <w:rPr>
          <w:rFonts w:cs="Times New Roman"/>
          <w:lang w:val="fr-CA"/>
        </w:rPr>
        <w:t>ent le courrier à 8,7 millions de points de remise.</w:t>
      </w:r>
    </w:p>
    <w:p w:rsidR="00B7543C" w:rsidRPr="000D0016" w:rsidRDefault="00B7543C" w:rsidP="00B7543C">
      <w:pPr>
        <w:pStyle w:val="ParaNoNdepar-AltN"/>
        <w:spacing w:before="0"/>
        <w:rPr>
          <w:rFonts w:cs="Times New Roman"/>
          <w:lang w:val="fr-CA"/>
        </w:rPr>
      </w:pPr>
      <w:r w:rsidRPr="000D0016">
        <w:rPr>
          <w:rFonts w:cs="Times New Roman"/>
          <w:lang w:val="fr-CA"/>
        </w:rPr>
        <w:t>À la suite de la plainte, une agente de santé et de sécurité (« agente de SST ») s</w:t>
      </w:r>
      <w:r>
        <w:rPr>
          <w:rFonts w:cs="Times New Roman"/>
          <w:lang w:val="fr-CA"/>
        </w:rPr>
        <w:t>e présente</w:t>
      </w:r>
      <w:r w:rsidRPr="000D0016">
        <w:rPr>
          <w:rFonts w:cs="Times New Roman"/>
          <w:lang w:val="fr-CA"/>
        </w:rPr>
        <w:t xml:space="preserve"> à l’établissement et </w:t>
      </w:r>
      <w:r>
        <w:rPr>
          <w:rFonts w:cs="Times New Roman"/>
          <w:lang w:val="fr-CA"/>
        </w:rPr>
        <w:t>conclut</w:t>
      </w:r>
      <w:r w:rsidRPr="000D0016">
        <w:rPr>
          <w:rFonts w:cs="Times New Roman"/>
          <w:lang w:val="fr-CA"/>
        </w:rPr>
        <w:t xml:space="preserve">, après avoir mené une enquête, que Postes Canada </w:t>
      </w:r>
      <w:r>
        <w:rPr>
          <w:rFonts w:cs="Times New Roman"/>
          <w:lang w:val="fr-CA"/>
        </w:rPr>
        <w:t>ne se conforme</w:t>
      </w:r>
      <w:r w:rsidRPr="000D0016">
        <w:rPr>
          <w:rFonts w:cs="Times New Roman"/>
          <w:lang w:val="fr-CA"/>
        </w:rPr>
        <w:t xml:space="preserve"> pas à l’al. 125(1)z.12) du Code, qui prévoit que l’employeur doit veiller à ce que le lieu de travail soit inspecté au complet au moins une fois par année. L’agente de SST </w:t>
      </w:r>
      <w:r>
        <w:rPr>
          <w:rFonts w:cs="Times New Roman"/>
          <w:lang w:val="fr-CA"/>
        </w:rPr>
        <w:t>conclut</w:t>
      </w:r>
      <w:r w:rsidRPr="000D0016">
        <w:rPr>
          <w:rFonts w:cs="Times New Roman"/>
          <w:lang w:val="fr-CA"/>
        </w:rPr>
        <w:t xml:space="preserve"> également que Postes Canada </w:t>
      </w:r>
      <w:r>
        <w:rPr>
          <w:rFonts w:cs="Times New Roman"/>
          <w:lang w:val="fr-CA"/>
        </w:rPr>
        <w:t>contrevient</w:t>
      </w:r>
      <w:r w:rsidRPr="000D0016">
        <w:rPr>
          <w:rFonts w:cs="Times New Roman"/>
          <w:lang w:val="fr-CA"/>
        </w:rPr>
        <w:t xml:space="preserve"> à trois autres obligations énoncées à la partie II du Code, dont aucune n’est en cause dans le présent pourvoi. Postes Canada </w:t>
      </w:r>
      <w:r w:rsidRPr="00320770">
        <w:rPr>
          <w:rFonts w:cs="Times New Roman"/>
          <w:lang w:val="fr-CA"/>
        </w:rPr>
        <w:t>interjette appel de l’instruction de l’agente de SST devant le TSSTC</w:t>
      </w:r>
      <w:r w:rsidRPr="000D0016">
        <w:rPr>
          <w:rFonts w:cs="Times New Roman"/>
          <w:lang w:val="fr-CA"/>
        </w:rPr>
        <w:t xml:space="preserve">. L’agent d’appel </w:t>
      </w:r>
      <w:r>
        <w:rPr>
          <w:rFonts w:cs="Times New Roman"/>
          <w:lang w:val="fr-CA"/>
        </w:rPr>
        <w:t>annule</w:t>
      </w:r>
      <w:r w:rsidRPr="000D0016">
        <w:rPr>
          <w:rFonts w:cs="Times New Roman"/>
          <w:lang w:val="fr-CA"/>
        </w:rPr>
        <w:t xml:space="preserve"> le constat de contravention ayant trait aux inspections du lieu de travail. Contrairement à l’agente de SST, l’agent d’appel </w:t>
      </w:r>
      <w:r>
        <w:rPr>
          <w:rFonts w:cs="Times New Roman"/>
          <w:lang w:val="fr-CA"/>
        </w:rPr>
        <w:t>juge</w:t>
      </w:r>
      <w:r w:rsidRPr="000D0016">
        <w:rPr>
          <w:rFonts w:cs="Times New Roman"/>
          <w:lang w:val="fr-CA"/>
        </w:rPr>
        <w:t xml:space="preserve"> que cette obligation ne s’appli</w:t>
      </w:r>
      <w:r>
        <w:rPr>
          <w:rFonts w:cs="Times New Roman"/>
          <w:lang w:val="fr-CA"/>
        </w:rPr>
        <w:t>que</w:t>
      </w:r>
      <w:r w:rsidRPr="000D0016">
        <w:rPr>
          <w:rFonts w:cs="Times New Roman"/>
          <w:lang w:val="fr-CA"/>
        </w:rPr>
        <w:t xml:space="preserve"> qu’aux parties du lieu de travail placées sous l’entière autorité de l’employeur</w:t>
      </w:r>
      <w:r>
        <w:rPr>
          <w:rFonts w:cs="Times New Roman"/>
          <w:lang w:val="fr-CA"/>
        </w:rPr>
        <w:t>, ce qui ne comprend</w:t>
      </w:r>
      <w:r w:rsidRPr="000D0016">
        <w:rPr>
          <w:rFonts w:cs="Times New Roman"/>
          <w:lang w:val="fr-CA"/>
        </w:rPr>
        <w:t xml:space="preserve"> pas les itinéraires des facteurs et les points de remise. Le Syndicat </w:t>
      </w:r>
      <w:r>
        <w:rPr>
          <w:rFonts w:cs="Times New Roman"/>
          <w:lang w:val="fr-CA"/>
        </w:rPr>
        <w:t>demande alors</w:t>
      </w:r>
      <w:r w:rsidRPr="000D0016">
        <w:rPr>
          <w:rFonts w:cs="Times New Roman"/>
          <w:lang w:val="fr-CA"/>
        </w:rPr>
        <w:t xml:space="preserve"> le contrôle judiciaire de la décision de l’agent d’appel d’annuler le constat de contravention à l’al. 125(1)z.12).</w:t>
      </w:r>
    </w:p>
    <w:p w:rsidR="00B7543C" w:rsidRPr="000D0016" w:rsidRDefault="00B7543C" w:rsidP="00B7543C">
      <w:pPr>
        <w:pStyle w:val="Title1LevelTitre1Niveau-AltL"/>
        <w:spacing w:before="0"/>
        <w:rPr>
          <w:rFonts w:cs="Times New Roman"/>
          <w:lang w:val="fr-CA"/>
        </w:rPr>
      </w:pPr>
      <w:r w:rsidRPr="000D0016">
        <w:rPr>
          <w:rFonts w:cs="Times New Roman"/>
          <w:lang w:val="fr-CA"/>
        </w:rPr>
        <w:t>Question en litige</w:t>
      </w:r>
    </w:p>
    <w:p w:rsidR="00B7543C" w:rsidRPr="000D0016" w:rsidRDefault="00B7543C" w:rsidP="00B7543C">
      <w:pPr>
        <w:pStyle w:val="ParaNoNdepar-AltN"/>
        <w:spacing w:before="0"/>
        <w:rPr>
          <w:rFonts w:cs="Times New Roman"/>
          <w:lang w:val="fr-CA"/>
        </w:rPr>
      </w:pPr>
      <w:r w:rsidRPr="000D0016">
        <w:rPr>
          <w:rFonts w:cs="Times New Roman"/>
          <w:lang w:val="fr-CA"/>
        </w:rPr>
        <w:t>L’agent d’appel conclu</w:t>
      </w:r>
      <w:r>
        <w:rPr>
          <w:rFonts w:cs="Times New Roman"/>
          <w:lang w:val="fr-CA"/>
        </w:rPr>
        <w:t>t</w:t>
      </w:r>
      <w:r w:rsidRPr="000D0016">
        <w:rPr>
          <w:rFonts w:cs="Times New Roman"/>
          <w:lang w:val="fr-CA"/>
        </w:rPr>
        <w:t xml:space="preserve"> que l’al. 125(1)z.12) ne s’appli</w:t>
      </w:r>
      <w:r>
        <w:rPr>
          <w:rFonts w:cs="Times New Roman"/>
          <w:lang w:val="fr-CA"/>
        </w:rPr>
        <w:t>que</w:t>
      </w:r>
      <w:r w:rsidRPr="000D0016">
        <w:rPr>
          <w:rFonts w:eastAsia="Times New Roman" w:cs="Times New Roman"/>
          <w:szCs w:val="24"/>
          <w:lang w:val="fr-CA" w:eastAsia="en-CA"/>
        </w:rPr>
        <w:t xml:space="preserve"> </w:t>
      </w:r>
      <w:r w:rsidRPr="000D0016">
        <w:rPr>
          <w:rFonts w:cs="Times New Roman"/>
          <w:lang w:val="fr-CA"/>
        </w:rPr>
        <w:t xml:space="preserve">qu’aux parties du lieu de travail placées sous l’entière autorité de l’employeur. La seule question en litige devant notre Cour est de savoir si l’interprétation qu’a donnée l’agent d’appel à l’al. 125(1)z.12) du Code </w:t>
      </w:r>
      <w:r>
        <w:rPr>
          <w:rFonts w:cs="Times New Roman"/>
          <w:lang w:val="fr-CA"/>
        </w:rPr>
        <w:t>est</w:t>
      </w:r>
      <w:r w:rsidRPr="000D0016">
        <w:rPr>
          <w:rFonts w:cs="Times New Roman"/>
          <w:lang w:val="fr-CA"/>
        </w:rPr>
        <w:t xml:space="preserve"> raisonnable.</w:t>
      </w:r>
    </w:p>
    <w:p w:rsidR="00B7543C" w:rsidRPr="000D0016" w:rsidRDefault="00B7543C" w:rsidP="00B7543C">
      <w:pPr>
        <w:pStyle w:val="Title1LevelTitre1Niveau-AltL"/>
        <w:spacing w:before="0"/>
        <w:rPr>
          <w:rFonts w:cs="Times New Roman"/>
          <w:lang w:val="fr-CA"/>
        </w:rPr>
      </w:pPr>
      <w:r w:rsidRPr="000D0016">
        <w:rPr>
          <w:rFonts w:cs="Times New Roman"/>
          <w:lang w:val="fr-CA"/>
        </w:rPr>
        <w:t>Régime de santé et de sécurité au travail</w:t>
      </w:r>
    </w:p>
    <w:p w:rsidR="00B7543C" w:rsidRPr="000D0016" w:rsidRDefault="00B7543C" w:rsidP="00B7543C">
      <w:pPr>
        <w:pStyle w:val="ParaNoNdepar-AltN"/>
        <w:spacing w:before="0"/>
        <w:rPr>
          <w:rFonts w:cs="Times New Roman"/>
          <w:lang w:val="fr-CA"/>
        </w:rPr>
      </w:pPr>
      <w:r w:rsidRPr="000D0016">
        <w:rPr>
          <w:rFonts w:cs="Times New Roman"/>
          <w:lang w:val="fr-CA"/>
        </w:rPr>
        <w:lastRenderedPageBreak/>
        <w:t>Le Code s’applique généralement à l’emploi dans le cadre d’une entreprise fédérale. Il comprend trois parties. La partie I concerne les relations du travail. La partie II porte sur la santé et la sécurité au travail, et constitue la partie pertinente en l’espèce. La partie III a trait aux normes minimales de travail, notamment la durée du travail, les salaires, les congés et les jours fériés.</w:t>
      </w:r>
    </w:p>
    <w:p w:rsidR="00B7543C" w:rsidRPr="000D0016" w:rsidRDefault="00B7543C" w:rsidP="00B7543C">
      <w:pPr>
        <w:pStyle w:val="ParaNoNdepar-AltN"/>
        <w:spacing w:before="0"/>
        <w:rPr>
          <w:rFonts w:cs="Times New Roman"/>
          <w:lang w:val="fr-CA"/>
        </w:rPr>
      </w:pPr>
      <w:r w:rsidRPr="000D0016">
        <w:rPr>
          <w:rFonts w:cs="Times New Roman"/>
          <w:lang w:val="fr-CA"/>
        </w:rPr>
        <w:t>L’objet de la partie II est énoncé à l’art. 122.1 : « </w:t>
      </w:r>
      <w:r w:rsidR="003374C8">
        <w:rPr>
          <w:rFonts w:cs="Times New Roman"/>
          <w:lang w:val="fr-CA"/>
        </w:rPr>
        <w:t xml:space="preserve">. . . </w:t>
      </w:r>
      <w:r w:rsidRPr="000D0016">
        <w:rPr>
          <w:rFonts w:cs="Times New Roman"/>
          <w:lang w:val="fr-CA"/>
        </w:rPr>
        <w:t>prévenir les accidents et les maladies liés à l’occupation d’un emploi régi par ses dispositions »</w:t>
      </w:r>
      <w:r w:rsidRPr="000D0016">
        <w:rPr>
          <w:rFonts w:cs="Times New Roman"/>
          <w:szCs w:val="24"/>
          <w:shd w:val="clear" w:color="auto" w:fill="FFFFFF"/>
          <w:lang w:val="fr-CA"/>
        </w:rPr>
        <w:t xml:space="preserve">. La partie </w:t>
      </w:r>
      <w:r w:rsidRPr="000D0016">
        <w:rPr>
          <w:rFonts w:cs="Times New Roman"/>
          <w:lang w:val="fr-CA"/>
        </w:rPr>
        <w:t>II du Code impose des obligations aux employeurs et aux employés.</w:t>
      </w:r>
    </w:p>
    <w:p w:rsidR="00B7543C" w:rsidRPr="000D0016" w:rsidRDefault="00B7543C" w:rsidP="00B7543C">
      <w:pPr>
        <w:pStyle w:val="ParaNoNdepar-AltN"/>
        <w:spacing w:before="0"/>
        <w:rPr>
          <w:rFonts w:cs="Times New Roman"/>
          <w:lang w:val="fr-CA"/>
        </w:rPr>
      </w:pPr>
      <w:r w:rsidRPr="000D0016">
        <w:rPr>
          <w:rFonts w:cs="Times New Roman"/>
          <w:lang w:val="fr-CA"/>
        </w:rPr>
        <w:t>L’employeur régi par les lois fédérales a l’obligation générale de « veille[r] à la protection de ses employés en matière de santé et de sécurité au travail » (art. 124). Le Code énonce, aux art. 125 à 125.3, des obligations spécifiques en matière de santé et de sécurité qui incombent aux employeurs. Le présent pourvoi concerne l’une des obligations spécifiques créées par l’al. 125(1)z.12), qui est ainsi libellé :</w:t>
      </w:r>
    </w:p>
    <w:p w:rsidR="00B7543C" w:rsidRPr="000D0016" w:rsidRDefault="00B7543C" w:rsidP="00B7543C">
      <w:pPr>
        <w:pStyle w:val="Citation-AltC"/>
        <w:spacing w:after="240"/>
        <w:ind w:hanging="446"/>
        <w:contextualSpacing w:val="0"/>
        <w:rPr>
          <w:b/>
          <w:lang w:val="fr-CA"/>
        </w:rPr>
      </w:pPr>
      <w:r w:rsidRPr="000D0016">
        <w:rPr>
          <w:b/>
          <w:lang w:val="fr-CA"/>
        </w:rPr>
        <w:tab/>
        <w:t>Obligations spécifiques</w:t>
      </w:r>
    </w:p>
    <w:p w:rsidR="00B7543C" w:rsidRPr="000D0016" w:rsidRDefault="00B7543C" w:rsidP="00B7543C">
      <w:pPr>
        <w:pStyle w:val="Citation-AltC"/>
        <w:spacing w:after="240"/>
        <w:ind w:hanging="446"/>
        <w:contextualSpacing w:val="0"/>
        <w:rPr>
          <w:lang w:val="fr-CA"/>
        </w:rPr>
      </w:pPr>
      <w:r w:rsidRPr="000D0016">
        <w:rPr>
          <w:b/>
          <w:lang w:val="fr-CA"/>
        </w:rPr>
        <w:tab/>
        <w:t>125 (1)</w:t>
      </w:r>
      <w:r w:rsidRPr="000D0016">
        <w:rPr>
          <w:rFonts w:ascii="Verdana" w:hAnsi="Verdana"/>
          <w:sz w:val="21"/>
          <w:szCs w:val="21"/>
          <w:lang w:val="fr-CA"/>
        </w:rPr>
        <w:t xml:space="preserve"> </w:t>
      </w:r>
      <w:r w:rsidRPr="000D0016">
        <w:rPr>
          <w:lang w:val="fr-CA"/>
        </w:rPr>
        <w:t>Dans le cadre de l’obligation générale définie à l’article 124, l’employeur est tenu, en ce qui concerne tout lieu de travail placé sous son entière autorité ainsi que toute tâche accomplie par un employé dans un lieu de travail ne relevant pas de son autorité, dans la mesure où cette tâche, elle, en relève :</w:t>
      </w:r>
    </w:p>
    <w:p w:rsidR="00B7543C" w:rsidRPr="000D0016" w:rsidRDefault="00B7543C" w:rsidP="00B7543C">
      <w:pPr>
        <w:pStyle w:val="Citation-AltC"/>
        <w:spacing w:after="240"/>
        <w:ind w:left="4590" w:hanging="446"/>
        <w:contextualSpacing w:val="0"/>
        <w:rPr>
          <w:lang w:val="fr-CA"/>
        </w:rPr>
      </w:pPr>
      <w:r w:rsidRPr="000D0016">
        <w:rPr>
          <w:b/>
          <w:lang w:val="fr-CA"/>
        </w:rPr>
        <w:tab/>
      </w:r>
      <w:r w:rsidRPr="000D0016">
        <w:rPr>
          <w:lang w:val="fr-CA"/>
        </w:rPr>
        <w:t>. . .</w:t>
      </w:r>
    </w:p>
    <w:p w:rsidR="00B7543C" w:rsidRPr="000D0016" w:rsidRDefault="00B7543C" w:rsidP="00B7543C">
      <w:pPr>
        <w:pStyle w:val="Citation-AltC"/>
        <w:ind w:hanging="446"/>
        <w:contextualSpacing w:val="0"/>
        <w:rPr>
          <w:lang w:val="fr-CA"/>
        </w:rPr>
      </w:pPr>
      <w:r w:rsidRPr="000D0016">
        <w:rPr>
          <w:b/>
          <w:lang w:val="fr-CA"/>
        </w:rPr>
        <w:tab/>
        <w:t>z.12)</w:t>
      </w:r>
      <w:r w:rsidRPr="000D0016">
        <w:rPr>
          <w:rFonts w:ascii="Verdana" w:hAnsi="Verdana"/>
          <w:sz w:val="21"/>
          <w:szCs w:val="21"/>
          <w:lang w:val="fr-CA"/>
        </w:rPr>
        <w:t xml:space="preserve"> </w:t>
      </w:r>
      <w:r w:rsidRPr="000D0016">
        <w:rPr>
          <w:lang w:val="fr-CA"/>
        </w:rPr>
        <w:t>de veiller à ce que le comité local ou le représentant inspecte chaque mois tout ou partie du lieu de travail, de façon que celui</w:t>
      </w:r>
      <w:r w:rsidRPr="000D0016">
        <w:rPr>
          <w:lang w:val="fr-CA"/>
        </w:rPr>
        <w:noBreakHyphen/>
        <w:t>ci soit inspecté au complet au moins une fois par année;</w:t>
      </w:r>
    </w:p>
    <w:p w:rsidR="00B7543C" w:rsidRPr="000D0016" w:rsidRDefault="00B7543C" w:rsidP="00B7543C">
      <w:pPr>
        <w:pStyle w:val="ContinueParaSuitedupar-AltP"/>
        <w:spacing w:before="0"/>
        <w:rPr>
          <w:rFonts w:cs="Times New Roman"/>
          <w:lang w:val="fr-CA"/>
        </w:rPr>
      </w:pPr>
      <w:r w:rsidRPr="000D0016">
        <w:rPr>
          <w:rFonts w:cs="Times New Roman"/>
          <w:lang w:val="fr-CA"/>
        </w:rPr>
        <w:t xml:space="preserve">Le Code impose aussi des obligations aux employés. L’article 126 énonce les obligations des employés en matière de santé et de sécurité. Le </w:t>
      </w:r>
      <w:r w:rsidRPr="000D0016">
        <w:rPr>
          <w:rFonts w:cs="Times New Roman"/>
          <w:i/>
          <w:lang w:val="fr-CA"/>
        </w:rPr>
        <w:t xml:space="preserve">Règlement canadien </w:t>
      </w:r>
      <w:r w:rsidRPr="000D0016">
        <w:rPr>
          <w:rFonts w:cs="Times New Roman"/>
          <w:i/>
          <w:lang w:val="fr-CA"/>
        </w:rPr>
        <w:lastRenderedPageBreak/>
        <w:t>sur la santé et la sécurité au travail</w:t>
      </w:r>
      <w:r w:rsidRPr="000D0016">
        <w:rPr>
          <w:rFonts w:cs="Times New Roman"/>
          <w:lang w:val="fr-CA"/>
        </w:rPr>
        <w:t>, DORS/86</w:t>
      </w:r>
      <w:r w:rsidRPr="000D0016">
        <w:rPr>
          <w:rFonts w:cs="Times New Roman"/>
          <w:lang w:val="fr-CA"/>
        </w:rPr>
        <w:noBreakHyphen/>
        <w:t>304 (« Règlement »), est</w:t>
      </w:r>
      <w:r>
        <w:rPr>
          <w:rFonts w:cs="Times New Roman"/>
          <w:lang w:val="fr-CA"/>
        </w:rPr>
        <w:t xml:space="preserve"> </w:t>
      </w:r>
      <w:r w:rsidRPr="000D0016">
        <w:rPr>
          <w:rFonts w:cs="Times New Roman"/>
          <w:lang w:val="fr-CA"/>
        </w:rPr>
        <w:t>prévu pour l’application des dispositions portant sur les obligations des employeurs et des employés (art. 125, 125.1, 125.2 et 126) (voir art. 1.3 du Règlement).</w:t>
      </w:r>
    </w:p>
    <w:p w:rsidR="00B7543C" w:rsidRPr="000D0016" w:rsidRDefault="00B7543C" w:rsidP="00B7543C">
      <w:pPr>
        <w:pStyle w:val="ParaNoNdepar-AltN"/>
        <w:spacing w:before="0"/>
        <w:rPr>
          <w:rFonts w:cs="Times New Roman"/>
          <w:lang w:val="fr-CA"/>
        </w:rPr>
      </w:pPr>
      <w:r w:rsidRPr="000D0016">
        <w:rPr>
          <w:rFonts w:cs="Times New Roman"/>
          <w:lang w:val="fr-CA"/>
        </w:rPr>
        <w:t>Pour les lieux de travail de plus grande taille</w:t>
      </w:r>
      <w:r w:rsidRPr="000D0016">
        <w:rPr>
          <w:rFonts w:cs="Times New Roman"/>
          <w:szCs w:val="24"/>
          <w:shd w:val="clear" w:color="auto" w:fill="FFFFFF"/>
          <w:lang w:val="fr-CA"/>
        </w:rPr>
        <w:t xml:space="preserve"> (comptant au moins vingt employés), le régime confie la responsabilité première de recenser et d’éliminer les risques pour la santé et la sécurité aux comités locaux mixtes composés d’employeurs et </w:t>
      </w:r>
      <w:r w:rsidRPr="00320770">
        <w:rPr>
          <w:rFonts w:cs="Times New Roman"/>
          <w:szCs w:val="24"/>
          <w:shd w:val="clear" w:color="auto" w:fill="FFFFFF"/>
          <w:lang w:val="fr-CA"/>
        </w:rPr>
        <w:t>d’employés.</w:t>
      </w:r>
      <w:r w:rsidRPr="00320770">
        <w:rPr>
          <w:rFonts w:cs="Times New Roman"/>
          <w:lang w:val="fr-CA"/>
        </w:rPr>
        <w:t xml:space="preserve"> Le</w:t>
      </w:r>
      <w:r w:rsidRPr="000D0016">
        <w:rPr>
          <w:rFonts w:cs="Times New Roman"/>
          <w:lang w:val="fr-CA"/>
        </w:rPr>
        <w:t xml:space="preserve"> paragraphe 135(1) du Code prévoit la constitution obligatoire d’un comité local de santé et de sécurité pour chaque « lieu de travail placé sous [l’]entière autorité [de l’employeur] et occupant habituellement au moins vingt employés ». Le comité doit être composé d’au moins deux personnes, et au moins la moitié des membres doivent être des employés qui « n’exercent pas de fonctions de direction », et, sous réserve des règlements, qui ont été choisis par les employés ou, s’il y a lieu, par le syndicat en consultation avec les employés non représentés par un syndicat (Code, par. 135.1(1)).</w:t>
      </w:r>
    </w:p>
    <w:p w:rsidR="00B7543C" w:rsidRPr="000D0016" w:rsidRDefault="00B7543C" w:rsidP="00B7543C">
      <w:pPr>
        <w:pStyle w:val="ParaNoNdepar-AltN"/>
        <w:spacing w:before="0"/>
        <w:rPr>
          <w:rFonts w:cs="Times New Roman"/>
          <w:lang w:val="fr-CA"/>
        </w:rPr>
      </w:pPr>
      <w:r w:rsidRPr="000D0016">
        <w:rPr>
          <w:rFonts w:cs="Times New Roman"/>
          <w:lang w:val="fr-CA"/>
        </w:rPr>
        <w:t>Le paragraphe 135(7) du Code énonce les obligations du comité, dont une consiste à inspecter le lieu de travail. Cette disposition prévoit que le comité « inspecte chaque mois tout ou partie du lieu de travail, de façon que celui</w:t>
      </w:r>
      <w:r w:rsidRPr="000D0016">
        <w:rPr>
          <w:rFonts w:cs="Times New Roman"/>
          <w:lang w:val="fr-CA"/>
        </w:rPr>
        <w:noBreakHyphen/>
        <w:t>ci soit inspecté au complet au moins une fois par année » (al. 135(7)</w:t>
      </w:r>
      <w:r w:rsidRPr="000D2206">
        <w:rPr>
          <w:rFonts w:cs="Times New Roman"/>
          <w:lang w:val="fr-CA"/>
        </w:rPr>
        <w:t>k</w:t>
      </w:r>
      <w:r w:rsidRPr="000D0016">
        <w:rPr>
          <w:rFonts w:cs="Times New Roman"/>
          <w:lang w:val="fr-CA"/>
        </w:rPr>
        <w:t>)). L’obligation du comité d’inspecter le lieu de travail correspond à l’obligation de l’employeur de veiller à ce que le lieu de travail soit inspecté</w:t>
      </w:r>
      <w:r>
        <w:rPr>
          <w:rFonts w:cs="Times New Roman"/>
          <w:lang w:val="fr-CA"/>
        </w:rPr>
        <w:t>,</w:t>
      </w:r>
      <w:r w:rsidRPr="000D0016">
        <w:rPr>
          <w:rFonts w:cs="Times New Roman"/>
          <w:lang w:val="fr-CA"/>
        </w:rPr>
        <w:t xml:space="preserve"> énoncée à l’al. 125(1)z.12).</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En cas de désaccord entre les employés et leur employeur quant à n’importe laquelle de ces obligations, les parties doivent d’abord tenter de résoudre la </w:t>
      </w:r>
      <w:r w:rsidRPr="000D0016">
        <w:rPr>
          <w:rFonts w:cs="Times New Roman"/>
          <w:lang w:val="fr-CA"/>
        </w:rPr>
        <w:lastRenderedPageBreak/>
        <w:t>question dans le cadre d’un processus de règlement interne des plaintes (art. 127.1). Si ce processus échoue, un délégué du ministre — à l’époque pertinente, ce délégué était l’agente de SST — fait enquête et peut donner des instructions afin de régler la situation (art. 127.1, 140 et 145).</w:t>
      </w:r>
    </w:p>
    <w:p w:rsidR="00B7543C" w:rsidRPr="00320770" w:rsidRDefault="00B7543C" w:rsidP="00B7543C">
      <w:pPr>
        <w:pStyle w:val="ParaNoNdepar-AltN"/>
        <w:spacing w:before="0"/>
        <w:rPr>
          <w:rFonts w:cs="Times New Roman"/>
          <w:lang w:val="fr-CA"/>
        </w:rPr>
      </w:pPr>
      <w:r w:rsidRPr="000D0016">
        <w:rPr>
          <w:rFonts w:cs="Times New Roman"/>
          <w:lang w:val="fr-CA"/>
        </w:rPr>
        <w:t xml:space="preserve">L’instruction du délégué du ministre peut être contestée devant un agent d’appel (art. 146). Les agents d’appel sont regroupés sous le TSSTC. Les pouvoirs de l’agent d’appel, de même que les exigences procédurales applicables aux procédures devant un agent d’appel, sont énoncés aux art. 146.1 et 146.2. Ces exigences comprennent l’obligation de donner des motifs écrits (par. 146.1(2)). (Je souligne que depuis l’audition du présent pourvoi, certaines de ces </w:t>
      </w:r>
      <w:r w:rsidRPr="00320770">
        <w:rPr>
          <w:rFonts w:cs="Times New Roman"/>
          <w:lang w:val="fr-CA"/>
        </w:rPr>
        <w:t xml:space="preserve">dispositions ont été modifiées par la </w:t>
      </w:r>
      <w:r w:rsidRPr="00320770">
        <w:rPr>
          <w:rFonts w:cs="Times New Roman"/>
          <w:i/>
          <w:lang w:val="fr-CA"/>
        </w:rPr>
        <w:t>Loi n</w:t>
      </w:r>
      <w:r w:rsidRPr="00320770">
        <w:rPr>
          <w:rFonts w:cs="Times New Roman"/>
          <w:i/>
          <w:vertAlign w:val="superscript"/>
          <w:lang w:val="fr-CA"/>
        </w:rPr>
        <w:t>o</w:t>
      </w:r>
      <w:r w:rsidRPr="00320770">
        <w:rPr>
          <w:rFonts w:cs="Times New Roman"/>
          <w:i/>
          <w:lang w:val="fr-CA"/>
        </w:rPr>
        <w:t>1 d’exécution du budget de 2017</w:t>
      </w:r>
      <w:r w:rsidRPr="00320770">
        <w:rPr>
          <w:rFonts w:cs="Times New Roman"/>
          <w:lang w:val="fr-CA"/>
        </w:rPr>
        <w:t>, L.C. 2017, c. 20.)</w:t>
      </w:r>
    </w:p>
    <w:p w:rsidR="00B7543C" w:rsidRPr="000D0016" w:rsidRDefault="00B7543C" w:rsidP="00B7543C">
      <w:pPr>
        <w:pStyle w:val="ParaNoNdepar-AltN"/>
        <w:spacing w:before="0"/>
        <w:rPr>
          <w:rFonts w:cs="Times New Roman"/>
          <w:lang w:val="fr-CA"/>
        </w:rPr>
      </w:pPr>
      <w:r w:rsidRPr="000D0016">
        <w:rPr>
          <w:rFonts w:cs="Times New Roman"/>
          <w:szCs w:val="24"/>
          <w:lang w:val="fr-CA"/>
        </w:rPr>
        <w:t>Postes Canada et le Syndicat ont établi des protocoles visant à promouvoir la santé et la sécurité au travail. Par</w:t>
      </w:r>
      <w:r w:rsidRPr="000D0016">
        <w:rPr>
          <w:rFonts w:cs="Times New Roman"/>
          <w:lang w:val="fr-CA"/>
        </w:rPr>
        <w:t xml:space="preserve"> exemple, le programme de prévention des risques dans le lieu de travail (« PPRLT ») constitue un « protocole [exemplaire] servant à recenser et à signaler les risques détectés aux points de remise</w:t>
      </w:r>
      <w:r w:rsidRPr="000D0016">
        <w:rPr>
          <w:rFonts w:cs="Times New Roman"/>
          <w:szCs w:val="24"/>
          <w:lang w:val="fr-CA"/>
        </w:rPr>
        <w:t xml:space="preserve"> » (2014 TSSTC 22, par. 100 (CanLII)). La politique 1202.05 de </w:t>
      </w:r>
      <w:r w:rsidRPr="000D0016">
        <w:rPr>
          <w:rFonts w:cs="Times New Roman"/>
          <w:lang w:val="fr-CA"/>
        </w:rPr>
        <w:t>Postes Canada, intitulée [</w:t>
      </w:r>
      <w:r w:rsidRPr="000D0016">
        <w:rPr>
          <w:rFonts w:cs="Times New Roman"/>
          <w:smallCaps/>
          <w:lang w:val="fr-CA"/>
        </w:rPr>
        <w:t>traduction</w:t>
      </w:r>
      <w:r w:rsidRPr="000D0016">
        <w:rPr>
          <w:rFonts w:cs="Times New Roman"/>
          <w:lang w:val="fr-CA"/>
        </w:rPr>
        <w:t>] « Dangers et obstacles à la livraison en cours d’itinéraire », qui décrit les mesures que doivent prendre les facteurs, les superviseurs et les chefs afin de « recenser et d’écarter les risques et les obstacles à la livraison »</w:t>
      </w:r>
      <w:r w:rsidRPr="000D0016">
        <w:rPr>
          <w:rFonts w:cs="Times New Roman"/>
          <w:szCs w:val="24"/>
          <w:lang w:val="fr-CA"/>
        </w:rPr>
        <w:t>, en est un autre exemple.</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Bien </w:t>
      </w:r>
      <w:r>
        <w:rPr>
          <w:rFonts w:cs="Times New Roman"/>
          <w:lang w:val="fr-CA"/>
        </w:rPr>
        <w:t xml:space="preserve">que les politiques </w:t>
      </w:r>
      <w:r w:rsidRPr="000D0016">
        <w:rPr>
          <w:rFonts w:cs="Times New Roman"/>
          <w:lang w:val="fr-CA"/>
        </w:rPr>
        <w:t>adoptées par l’employeur échappent au régime établi par la loi</w:t>
      </w:r>
      <w:r>
        <w:rPr>
          <w:rFonts w:cs="Times New Roman"/>
          <w:lang w:val="fr-CA"/>
        </w:rPr>
        <w:t xml:space="preserve">, il est utile d’illustrer </w:t>
      </w:r>
      <w:r w:rsidRPr="000D0016">
        <w:rPr>
          <w:rFonts w:cs="Times New Roman"/>
          <w:lang w:val="fr-CA"/>
        </w:rPr>
        <w:t xml:space="preserve">la façon dont Postes Canada s’efforce, en pratique, de réaliser les objets du Code. Le régime de santé et de sécurité au travail créé par le </w:t>
      </w:r>
      <w:r w:rsidRPr="000D0016">
        <w:rPr>
          <w:rFonts w:cs="Times New Roman"/>
          <w:lang w:val="fr-CA"/>
        </w:rPr>
        <w:lastRenderedPageBreak/>
        <w:t xml:space="preserve">Code, le Règlement et les politiques propres à l’employeur forment ensemble un filet d’obligations qui se chevauchent et qui visent à protéger la santé et la sécurité des travailleurs régis par les lois fédérales. </w:t>
      </w:r>
      <w:r>
        <w:rPr>
          <w:rFonts w:cs="Times New Roman"/>
          <w:lang w:val="fr-CA"/>
        </w:rPr>
        <w:t>Comme le souligne</w:t>
      </w:r>
      <w:r w:rsidRPr="000D0016">
        <w:rPr>
          <w:rFonts w:cs="Times New Roman"/>
          <w:lang w:val="fr-CA"/>
        </w:rPr>
        <w:t xml:space="preserve"> </w:t>
      </w:r>
      <w:r w:rsidRPr="000D0016">
        <w:rPr>
          <w:rFonts w:cs="Times New Roman"/>
          <w:szCs w:val="24"/>
          <w:lang w:val="fr-CA"/>
        </w:rPr>
        <w:t xml:space="preserve">l’agent d’appel, le </w:t>
      </w:r>
      <w:r w:rsidRPr="000D0016">
        <w:rPr>
          <w:rFonts w:cs="Times New Roman"/>
          <w:lang w:val="fr-CA"/>
        </w:rPr>
        <w:t>PPRLT</w:t>
      </w:r>
      <w:r w:rsidRPr="000D0016">
        <w:rPr>
          <w:rFonts w:cs="Times New Roman"/>
          <w:szCs w:val="24"/>
          <w:lang w:val="fr-CA"/>
        </w:rPr>
        <w:t xml:space="preserve"> démontre « la façon dont le Code et son Règlement sont mis en œuvre pour préserver la santé et la sécurité d’employés qui accomplissent toutes sortes de tâches dans toutes sortes de lieux de travail »</w:t>
      </w:r>
      <w:r w:rsidRPr="000D0016">
        <w:rPr>
          <w:rFonts w:cs="Times New Roman"/>
          <w:lang w:val="fr-CA"/>
        </w:rPr>
        <w:t xml:space="preserve"> (par. 100).</w:t>
      </w:r>
    </w:p>
    <w:p w:rsidR="00B7543C" w:rsidRPr="000D0016" w:rsidRDefault="00B7543C" w:rsidP="00B7543C">
      <w:pPr>
        <w:pStyle w:val="Title1LevelTitre1Niveau-AltL"/>
        <w:spacing w:before="0"/>
        <w:rPr>
          <w:rFonts w:cs="Times New Roman"/>
          <w:lang w:val="fr-CA"/>
        </w:rPr>
      </w:pPr>
      <w:r w:rsidRPr="000D0016">
        <w:rPr>
          <w:rFonts w:cs="Times New Roman"/>
          <w:lang w:val="fr-CA"/>
        </w:rPr>
        <w:t>Décisions des juridictions inférieures</w:t>
      </w:r>
    </w:p>
    <w:p w:rsidR="00B7543C" w:rsidRPr="000D0016" w:rsidRDefault="00B7543C" w:rsidP="00B7543C">
      <w:pPr>
        <w:pStyle w:val="Title2LevelTitre2Niveau"/>
        <w:spacing w:before="0"/>
        <w:rPr>
          <w:rFonts w:cs="Times New Roman"/>
          <w:lang w:val="fr-CA"/>
        </w:rPr>
      </w:pPr>
      <w:r w:rsidRPr="000D0016">
        <w:rPr>
          <w:rFonts w:cs="Times New Roman"/>
          <w:lang w:val="fr-CA"/>
        </w:rPr>
        <w:t>Tribunal de santé et sécurité au travail Canada</w:t>
      </w:r>
      <w:r w:rsidR="003374C8">
        <w:rPr>
          <w:rFonts w:cs="Times New Roman"/>
          <w:lang w:val="fr-CA"/>
        </w:rPr>
        <w:t>, 2014 TSSTC 22</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Dans ses motifs, l’agent d’appel </w:t>
      </w:r>
      <w:r>
        <w:rPr>
          <w:rFonts w:cs="Times New Roman"/>
          <w:lang w:val="fr-CA"/>
        </w:rPr>
        <w:t>décrit</w:t>
      </w:r>
      <w:r w:rsidRPr="000D0016">
        <w:rPr>
          <w:rFonts w:cs="Times New Roman"/>
          <w:lang w:val="fr-CA"/>
        </w:rPr>
        <w:t xml:space="preserve"> longuement les arguments des parties avant d’exposer son analyse des quatre contraventions citées par l’agente de SST. Les parties de ses motifs qui traitent de la contravention à l’al. 125(1)z.12) sont pertinentes en l’espèce.</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Se fondant sur le libellé du par. 125(1), l’agent d’appel </w:t>
      </w:r>
      <w:r>
        <w:rPr>
          <w:rFonts w:cs="Times New Roman"/>
          <w:lang w:val="fr-CA"/>
        </w:rPr>
        <w:t xml:space="preserve">juge </w:t>
      </w:r>
      <w:r w:rsidRPr="000D0016">
        <w:rPr>
          <w:rFonts w:cs="Times New Roman"/>
          <w:lang w:val="fr-CA"/>
        </w:rPr>
        <w:t>d’abord que les obligations découlant de cette disposition ne s’appliq</w:t>
      </w:r>
      <w:r>
        <w:rPr>
          <w:rFonts w:cs="Times New Roman"/>
          <w:lang w:val="fr-CA"/>
        </w:rPr>
        <w:t>uent</w:t>
      </w:r>
      <w:r w:rsidRPr="000D0016">
        <w:rPr>
          <w:rFonts w:cs="Times New Roman"/>
          <w:lang w:val="fr-CA"/>
        </w:rPr>
        <w:t xml:space="preserve"> qu’à l’égard d’un lieu de travail (par. 87</w:t>
      </w:r>
      <w:r w:rsidRPr="000D0016">
        <w:rPr>
          <w:rFonts w:cs="Times New Roman"/>
          <w:lang w:val="fr-CA"/>
        </w:rPr>
        <w:noBreakHyphen/>
        <w:t>88</w:t>
      </w:r>
      <w:r w:rsidR="003374C8">
        <w:rPr>
          <w:rFonts w:cs="Times New Roman"/>
          <w:lang w:val="fr-CA"/>
        </w:rPr>
        <w:t xml:space="preserve"> (CanLII)</w:t>
      </w:r>
      <w:r w:rsidRPr="000D0016">
        <w:rPr>
          <w:rFonts w:cs="Times New Roman"/>
          <w:lang w:val="fr-CA"/>
        </w:rPr>
        <w:t xml:space="preserve">). Après avoir examiné la définition de « lieu de travail » figurant au par. 122(1), ainsi que l’objet réparateur des lois sur la santé et la sécurité et la jurisprudence pertinente, </w:t>
      </w:r>
      <w:r>
        <w:rPr>
          <w:rFonts w:cs="Times New Roman"/>
          <w:lang w:val="fr-CA"/>
        </w:rPr>
        <w:t xml:space="preserve">il </w:t>
      </w:r>
      <w:r w:rsidRPr="000D0016">
        <w:rPr>
          <w:rFonts w:cs="Times New Roman"/>
          <w:lang w:val="fr-CA"/>
        </w:rPr>
        <w:t>conclu</w:t>
      </w:r>
      <w:r>
        <w:rPr>
          <w:rFonts w:cs="Times New Roman"/>
          <w:lang w:val="fr-CA"/>
        </w:rPr>
        <w:t>t</w:t>
      </w:r>
      <w:r w:rsidRPr="000D0016">
        <w:rPr>
          <w:rFonts w:cs="Times New Roman"/>
          <w:lang w:val="fr-CA"/>
        </w:rPr>
        <w:t xml:space="preserve"> que l’e</w:t>
      </w:r>
      <w:r>
        <w:rPr>
          <w:rFonts w:cs="Times New Roman"/>
          <w:lang w:val="fr-CA"/>
        </w:rPr>
        <w:t>xpression « lieu de travail » doit</w:t>
      </w:r>
      <w:r w:rsidRPr="000D0016">
        <w:rPr>
          <w:rFonts w:cs="Times New Roman"/>
          <w:lang w:val="fr-CA"/>
        </w:rPr>
        <w:t xml:space="preserve"> être interprétée de manière large afin de viser « tous les endroits où un employé travaille, peu importe si l’employeur a autorité ou non sur ces endroits » (par. 92). En ce qui concerne les facteurs, </w:t>
      </w:r>
      <w:r>
        <w:rPr>
          <w:rFonts w:cs="Times New Roman"/>
          <w:lang w:val="fr-CA"/>
        </w:rPr>
        <w:t>cela comprend</w:t>
      </w:r>
      <w:r w:rsidRPr="000D0016">
        <w:rPr>
          <w:rFonts w:cs="Times New Roman"/>
          <w:lang w:val="fr-CA"/>
        </w:rPr>
        <w:t xml:space="preserve"> les endroits situés à l’extérieur du dépôt de Burlington, tels que les points de remise et les parcours correspondant aux itinéraires.</w:t>
      </w:r>
    </w:p>
    <w:p w:rsidR="00B7543C" w:rsidRPr="000D0016" w:rsidRDefault="00B7543C" w:rsidP="00B7543C">
      <w:pPr>
        <w:pStyle w:val="ParaNoNdepar-AltN"/>
        <w:spacing w:before="0"/>
        <w:rPr>
          <w:rFonts w:cs="Times New Roman"/>
          <w:lang w:val="fr-CA"/>
        </w:rPr>
      </w:pPr>
      <w:r w:rsidRPr="000D0016">
        <w:rPr>
          <w:rFonts w:cs="Times New Roman"/>
          <w:lang w:val="fr-CA"/>
        </w:rPr>
        <w:lastRenderedPageBreak/>
        <w:t xml:space="preserve">L’agent d’appel </w:t>
      </w:r>
      <w:r>
        <w:rPr>
          <w:rFonts w:cs="Times New Roman"/>
          <w:lang w:val="fr-CA"/>
        </w:rPr>
        <w:t>se penche</w:t>
      </w:r>
      <w:r w:rsidRPr="000D0016">
        <w:rPr>
          <w:rFonts w:cs="Times New Roman"/>
          <w:lang w:val="fr-CA"/>
        </w:rPr>
        <w:t xml:space="preserve"> ensuite sur le champ d’application des obligations découlant du par. 125(1). Il conclu</w:t>
      </w:r>
      <w:r>
        <w:rPr>
          <w:rFonts w:cs="Times New Roman"/>
          <w:lang w:val="fr-CA"/>
        </w:rPr>
        <w:t>t</w:t>
      </w:r>
      <w:r w:rsidRPr="000D0016">
        <w:rPr>
          <w:rFonts w:cs="Times New Roman"/>
          <w:lang w:val="fr-CA"/>
        </w:rPr>
        <w:t xml:space="preserve"> que cette disposition </w:t>
      </w:r>
      <w:r>
        <w:rPr>
          <w:rFonts w:cs="Times New Roman"/>
          <w:lang w:val="fr-CA"/>
        </w:rPr>
        <w:t>traite</w:t>
      </w:r>
      <w:r w:rsidRPr="000D0016">
        <w:rPr>
          <w:rFonts w:cs="Times New Roman"/>
          <w:lang w:val="fr-CA"/>
        </w:rPr>
        <w:t xml:space="preserve"> de deux situations : la situation où l’employeur a autorité tant sur le lieu de travail que sur la tâche accomplie et celle où l’employeur a autorité sur la tâche accomplie, mais pas sur le lieu de travail (par. 93). À son avis, une lecture attentive des obligations créées par le par. 125(1) révèle que certaines d’entre elles s’appliquent aux deux situations tandis que d’autres ne peuvent s’appliquer qu’à celle où l’employeur a autorité sur le lieu de travail.</w:t>
      </w:r>
    </w:p>
    <w:p w:rsidR="00B7543C" w:rsidRPr="000D0016" w:rsidRDefault="00B7543C" w:rsidP="00B7543C">
      <w:pPr>
        <w:pStyle w:val="ParaNoNdepar-AltN"/>
        <w:spacing w:before="0"/>
        <w:rPr>
          <w:rFonts w:cs="Times New Roman"/>
          <w:lang w:val="fr-CA"/>
        </w:rPr>
      </w:pPr>
      <w:r w:rsidRPr="000D0016">
        <w:rPr>
          <w:rFonts w:cs="Times New Roman"/>
          <w:lang w:val="fr-CA"/>
        </w:rPr>
        <w:t>L’agent d’appel conclu</w:t>
      </w:r>
      <w:r>
        <w:rPr>
          <w:rFonts w:cs="Times New Roman"/>
          <w:lang w:val="fr-CA"/>
        </w:rPr>
        <w:t>t</w:t>
      </w:r>
      <w:r w:rsidRPr="000D0016">
        <w:rPr>
          <w:rFonts w:cs="Times New Roman"/>
          <w:lang w:val="fr-CA"/>
        </w:rPr>
        <w:t xml:space="preserve"> que l’al. 125(1)z.12) ne </w:t>
      </w:r>
      <w:r>
        <w:rPr>
          <w:rFonts w:cs="Times New Roman"/>
          <w:lang w:val="fr-CA"/>
        </w:rPr>
        <w:t>peut</w:t>
      </w:r>
      <w:r w:rsidRPr="000D0016">
        <w:rPr>
          <w:rFonts w:cs="Times New Roman"/>
          <w:lang w:val="fr-CA"/>
        </w:rPr>
        <w:t xml:space="preserve"> s’appliquer qu’aux lieux de travail placés sous l’entière autorité de l’employeur « puisque l’obligation d’inspecter le lieu de travail vise à permettre le recensement de risques et à créer une possibilité d’éliminer tout risque éventuel ou de faire le nécessaire pour qu’il soit éliminé. Et cela ne peut être accompli sans l’exercice d’une autorité complète sur le lieu de travail » (par. 96). Étant donné que Postes Canada n’a aucune autorité sur les parcours correspondant aux itinéraires ni sur les points de remise, </w:t>
      </w:r>
      <w:r>
        <w:rPr>
          <w:rFonts w:cs="Times New Roman"/>
          <w:lang w:val="fr-CA"/>
        </w:rPr>
        <w:t>il juge</w:t>
      </w:r>
      <w:r w:rsidRPr="000D0016">
        <w:rPr>
          <w:rFonts w:cs="Times New Roman"/>
          <w:lang w:val="fr-CA"/>
        </w:rPr>
        <w:t xml:space="preserve"> que l’obligation de veiller à ce que le Comité inspecte le lieu de travail ne </w:t>
      </w:r>
      <w:r>
        <w:rPr>
          <w:rFonts w:cs="Times New Roman"/>
          <w:lang w:val="fr-CA"/>
        </w:rPr>
        <w:t>peut</w:t>
      </w:r>
      <w:r w:rsidRPr="000D0016">
        <w:rPr>
          <w:rFonts w:cs="Times New Roman"/>
          <w:lang w:val="fr-CA"/>
        </w:rPr>
        <w:t xml:space="preserve"> s’appliquer à ces lieux : « Je n’arrive pas à concevoir comment un employeur pourrait s’assurer qu’une inspection est effectuée en conformité avec l’alinéa </w:t>
      </w:r>
      <w:r w:rsidRPr="003234C5">
        <w:rPr>
          <w:rFonts w:cs="Times New Roman"/>
          <w:iCs/>
          <w:lang w:val="fr-CA"/>
        </w:rPr>
        <w:t>z.12</w:t>
      </w:r>
      <w:r w:rsidRPr="000D0016">
        <w:rPr>
          <w:rFonts w:cs="Times New Roman"/>
          <w:lang w:val="fr-CA"/>
        </w:rPr>
        <w:t xml:space="preserve">) dans un lieu de travail ne relevant pas de son autorité » (par. 99). Enfin, </w:t>
      </w:r>
      <w:r>
        <w:rPr>
          <w:rFonts w:cs="Times New Roman"/>
          <w:lang w:val="fr-CA"/>
        </w:rPr>
        <w:t>il souligne</w:t>
      </w:r>
      <w:r w:rsidRPr="000D0016">
        <w:rPr>
          <w:rFonts w:cs="Times New Roman"/>
          <w:lang w:val="fr-CA"/>
        </w:rPr>
        <w:t xml:space="preserve"> que le PPRLT </w:t>
      </w:r>
      <w:r>
        <w:rPr>
          <w:rFonts w:cs="Times New Roman"/>
          <w:lang w:val="fr-CA"/>
        </w:rPr>
        <w:t>prévoi</w:t>
      </w:r>
      <w:r w:rsidRPr="000D0016">
        <w:rPr>
          <w:rFonts w:cs="Times New Roman"/>
          <w:lang w:val="fr-CA"/>
        </w:rPr>
        <w:t>t déjà des procédures servant à recenser et à signaler les risques courus par les facteurs. Ce programme illustre la façon dont le Code et le Règlement peuvent être mis en œuvre pour protéger la santé et la sécurité des travailleurs dans différents contextes.</w:t>
      </w:r>
    </w:p>
    <w:p w:rsidR="00B7543C" w:rsidRPr="000D0016" w:rsidRDefault="00B7543C" w:rsidP="00B4502A">
      <w:pPr>
        <w:pStyle w:val="Title2LevelTitre2Niveau"/>
        <w:rPr>
          <w:lang w:val="fr-CA"/>
        </w:rPr>
      </w:pPr>
      <w:r w:rsidRPr="000D0016">
        <w:rPr>
          <w:lang w:val="fr-CA"/>
        </w:rPr>
        <w:t>Cour fédérale</w:t>
      </w:r>
      <w:r w:rsidR="00B4502A">
        <w:rPr>
          <w:lang w:val="fr-CA"/>
        </w:rPr>
        <w:t xml:space="preserve">, </w:t>
      </w:r>
      <w:r w:rsidR="00B4502A" w:rsidRPr="00B4502A">
        <w:rPr>
          <w:rFonts w:cs="Times New Roman"/>
          <w:lang w:val="fr-CA"/>
        </w:rPr>
        <w:t>2016 CF 252</w:t>
      </w:r>
    </w:p>
    <w:p w:rsidR="00B7543C" w:rsidRPr="000D0016" w:rsidRDefault="00B7543C" w:rsidP="00B7543C">
      <w:pPr>
        <w:pStyle w:val="ParaNoNdepar-AltN"/>
        <w:spacing w:before="0"/>
        <w:rPr>
          <w:rFonts w:cs="Times New Roman"/>
          <w:lang w:val="fr-CA"/>
        </w:rPr>
      </w:pPr>
      <w:r w:rsidRPr="000D0016">
        <w:rPr>
          <w:rFonts w:cs="Times New Roman"/>
          <w:lang w:val="fr-CA"/>
        </w:rPr>
        <w:lastRenderedPageBreak/>
        <w:t xml:space="preserve">Le juge Gleeson </w:t>
      </w:r>
      <w:r>
        <w:rPr>
          <w:rFonts w:cs="Times New Roman"/>
          <w:lang w:val="fr-CA"/>
        </w:rPr>
        <w:t>a</w:t>
      </w:r>
      <w:r w:rsidRPr="000D0016">
        <w:rPr>
          <w:rFonts w:cs="Times New Roman"/>
          <w:lang w:val="fr-CA"/>
        </w:rPr>
        <w:t>ppli</w:t>
      </w:r>
      <w:r>
        <w:rPr>
          <w:rFonts w:cs="Times New Roman"/>
          <w:lang w:val="fr-CA"/>
        </w:rPr>
        <w:t>que</w:t>
      </w:r>
      <w:r w:rsidRPr="000D0016">
        <w:rPr>
          <w:rFonts w:cs="Times New Roman"/>
          <w:lang w:val="fr-CA"/>
        </w:rPr>
        <w:t xml:space="preserve"> la norme de la décision raisonnable et</w:t>
      </w:r>
      <w:r>
        <w:rPr>
          <w:rFonts w:cs="Times New Roman"/>
          <w:lang w:val="fr-CA"/>
        </w:rPr>
        <w:t xml:space="preserve"> rejette</w:t>
      </w:r>
      <w:r w:rsidRPr="000D0016">
        <w:rPr>
          <w:rFonts w:cs="Times New Roman"/>
          <w:lang w:val="fr-CA"/>
        </w:rPr>
        <w:t xml:space="preserve"> la demande de contrôle judiciaire. À son avis, l’agent d’appel a appliqué la bonne méthode d’interprétation législative, énoncée par notre Cour dans les arrêts </w:t>
      </w:r>
      <w:r w:rsidRPr="000D0016">
        <w:rPr>
          <w:rFonts w:cs="Times New Roman"/>
          <w:i/>
          <w:lang w:val="fr-CA"/>
        </w:rPr>
        <w:t>Bell ExpressVu Limited Partnership c. Rex</w:t>
      </w:r>
      <w:r w:rsidRPr="000D0016">
        <w:rPr>
          <w:rFonts w:cs="Times New Roman"/>
          <w:lang w:val="fr-CA"/>
        </w:rPr>
        <w:t>, 2002 CSC 42,</w:t>
      </w:r>
      <w:r w:rsidRPr="000D0016">
        <w:rPr>
          <w:rFonts w:cs="Times New Roman"/>
          <w:i/>
          <w:lang w:val="fr-CA"/>
        </w:rPr>
        <w:t xml:space="preserve"> </w:t>
      </w:r>
      <w:r w:rsidRPr="000D0016">
        <w:rPr>
          <w:rFonts w:cs="Times New Roman"/>
          <w:lang w:val="fr-CA"/>
        </w:rPr>
        <w:t xml:space="preserve">[2002] 2 R.C.S. 559, et </w:t>
      </w:r>
      <w:r w:rsidRPr="000D0016">
        <w:rPr>
          <w:rFonts w:cs="Times New Roman"/>
          <w:i/>
          <w:lang w:val="fr-CA"/>
        </w:rPr>
        <w:t>Rizzo &amp; Rizzo Shoes Ltd. (Re)</w:t>
      </w:r>
      <w:r w:rsidRPr="000D0016">
        <w:rPr>
          <w:rFonts w:cs="Times New Roman"/>
          <w:lang w:val="fr-CA"/>
        </w:rPr>
        <w:t xml:space="preserve">, [1998] 1 R.C.S. 27. </w:t>
      </w:r>
      <w:r>
        <w:rPr>
          <w:rFonts w:cs="Times New Roman"/>
          <w:lang w:val="fr-CA"/>
        </w:rPr>
        <w:t>Il c</w:t>
      </w:r>
      <w:r w:rsidRPr="000D0016">
        <w:rPr>
          <w:rFonts w:cs="Times New Roman"/>
          <w:lang w:val="fr-CA"/>
        </w:rPr>
        <w:t>onclu</w:t>
      </w:r>
      <w:r>
        <w:rPr>
          <w:rFonts w:cs="Times New Roman"/>
          <w:lang w:val="fr-CA"/>
        </w:rPr>
        <w:t>t</w:t>
      </w:r>
      <w:r w:rsidRPr="000D0016">
        <w:rPr>
          <w:rFonts w:cs="Times New Roman"/>
          <w:lang w:val="fr-CA"/>
        </w:rPr>
        <w:t xml:space="preserve"> que l’interprétation donnée à la disposition par l’agent d’appel</w:t>
      </w:r>
      <w:r>
        <w:rPr>
          <w:rFonts w:cs="Times New Roman"/>
          <w:lang w:val="fr-CA"/>
        </w:rPr>
        <w:t xml:space="preserve"> repose s</w:t>
      </w:r>
      <w:r w:rsidRPr="000D0016">
        <w:rPr>
          <w:rFonts w:cs="Times New Roman"/>
          <w:lang w:val="fr-CA"/>
        </w:rPr>
        <w:t xml:space="preserve">ur « une lecture harmonieuse des mots dans leur contexte » (2016 CF 252, par. 52 (CanLII)) et sur l’objet de l’al. 125(1)z.12), et qu’elle </w:t>
      </w:r>
      <w:r>
        <w:rPr>
          <w:rFonts w:cs="Times New Roman"/>
          <w:lang w:val="fr-CA"/>
        </w:rPr>
        <w:t>appartient</w:t>
      </w:r>
      <w:r w:rsidRPr="000D0016">
        <w:rPr>
          <w:rFonts w:cs="Times New Roman"/>
          <w:lang w:val="fr-CA"/>
        </w:rPr>
        <w:t xml:space="preserve"> donc aux issues raisonnables. Le juge Gleeson </w:t>
      </w:r>
      <w:r>
        <w:rPr>
          <w:rFonts w:cs="Times New Roman"/>
          <w:lang w:val="fr-CA"/>
        </w:rPr>
        <w:t xml:space="preserve">statue </w:t>
      </w:r>
      <w:r w:rsidRPr="000D0016">
        <w:rPr>
          <w:rFonts w:cs="Times New Roman"/>
          <w:lang w:val="fr-CA"/>
        </w:rPr>
        <w:t>en outre</w:t>
      </w:r>
      <w:r>
        <w:rPr>
          <w:rFonts w:cs="Times New Roman"/>
          <w:lang w:val="fr-CA"/>
        </w:rPr>
        <w:t xml:space="preserve"> qu’il n’y a</w:t>
      </w:r>
      <w:r w:rsidRPr="000D0016">
        <w:rPr>
          <w:rFonts w:cs="Times New Roman"/>
          <w:lang w:val="fr-CA"/>
        </w:rPr>
        <w:t xml:space="preserve"> aucune incohérence interne dans les motifs (par. 55) </w:t>
      </w:r>
      <w:r>
        <w:rPr>
          <w:rFonts w:cs="Times New Roman"/>
          <w:lang w:val="fr-CA"/>
        </w:rPr>
        <w:t xml:space="preserve">et que l’issue est </w:t>
      </w:r>
      <w:r w:rsidRPr="000D0016">
        <w:rPr>
          <w:rFonts w:cs="Times New Roman"/>
          <w:lang w:val="fr-CA"/>
        </w:rPr>
        <w:t>compatible avec l’objet du régime : la protection de la santé et de la sécurité des employés (par. 56).</w:t>
      </w:r>
    </w:p>
    <w:p w:rsidR="00B7543C" w:rsidRPr="000D0016" w:rsidRDefault="00B7543C" w:rsidP="00B7543C">
      <w:pPr>
        <w:pStyle w:val="Title2LevelTitre2Niveau"/>
        <w:spacing w:before="0"/>
        <w:rPr>
          <w:rFonts w:cs="Times New Roman"/>
          <w:lang w:val="fr-CA"/>
        </w:rPr>
      </w:pPr>
      <w:r w:rsidRPr="000D0016">
        <w:rPr>
          <w:rFonts w:cs="Times New Roman"/>
          <w:lang w:val="fr-CA"/>
        </w:rPr>
        <w:t>Cour d’appel fédérale</w:t>
      </w:r>
      <w:r w:rsidR="003374C8">
        <w:rPr>
          <w:rFonts w:cs="Times New Roman"/>
          <w:lang w:val="fr-CA"/>
        </w:rPr>
        <w:t>,</w:t>
      </w:r>
      <w:r w:rsidR="00B4502A">
        <w:rPr>
          <w:rFonts w:cs="Times New Roman"/>
          <w:lang w:val="fr-CA"/>
        </w:rPr>
        <w:t xml:space="preserve"> 2017 CAF 153</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Le juge </w:t>
      </w:r>
      <w:r>
        <w:rPr>
          <w:rFonts w:cs="Times New Roman"/>
          <w:lang w:val="fr-CA"/>
        </w:rPr>
        <w:t>Nadon accueille</w:t>
      </w:r>
      <w:r w:rsidRPr="000D0016">
        <w:rPr>
          <w:rFonts w:cs="Times New Roman"/>
          <w:lang w:val="fr-CA"/>
        </w:rPr>
        <w:t xml:space="preserve"> l’appel et rétabli</w:t>
      </w:r>
      <w:r>
        <w:rPr>
          <w:rFonts w:cs="Times New Roman"/>
          <w:lang w:val="fr-CA"/>
        </w:rPr>
        <w:t>t</w:t>
      </w:r>
      <w:r w:rsidRPr="000D0016">
        <w:rPr>
          <w:rFonts w:cs="Times New Roman"/>
          <w:lang w:val="fr-CA"/>
        </w:rPr>
        <w:t xml:space="preserve"> l’instruction de l’agente de SST. À son avis, le par. 125(1) est clair et exempt d’ambiguïté : l’employeur doit s’acquitter de toutes les obligations qui sont énumérées dans cette disposition s’il a autorité sur le lieu de travail ou sur la tâche accomplie (par. 48 (CanLII)). L’interprétation adoptée par l’agent d’appel </w:t>
      </w:r>
      <w:r>
        <w:rPr>
          <w:rFonts w:cs="Times New Roman"/>
          <w:lang w:val="fr-CA"/>
        </w:rPr>
        <w:t>est</w:t>
      </w:r>
      <w:r w:rsidRPr="000D0016">
        <w:rPr>
          <w:rFonts w:cs="Times New Roman"/>
          <w:lang w:val="fr-CA"/>
        </w:rPr>
        <w:t xml:space="preserve"> donc déraisonnable parce qu’elle constitu</w:t>
      </w:r>
      <w:r>
        <w:rPr>
          <w:rFonts w:cs="Times New Roman"/>
          <w:lang w:val="fr-CA"/>
        </w:rPr>
        <w:t>e</w:t>
      </w:r>
      <w:r w:rsidRPr="000D0016">
        <w:rPr>
          <w:rFonts w:cs="Times New Roman"/>
          <w:lang w:val="fr-CA"/>
        </w:rPr>
        <w:t xml:space="preserve"> une réécriture de la disposition, qui limite les obligations de l’employeur en matière de santé et de sécurité au travail. Le juge </w:t>
      </w:r>
      <w:r w:rsidRPr="00320770">
        <w:rPr>
          <w:rFonts w:cs="Times New Roman"/>
          <w:lang w:val="fr-CA"/>
        </w:rPr>
        <w:t>Nadon statue en</w:t>
      </w:r>
      <w:r w:rsidRPr="000D0016">
        <w:rPr>
          <w:rFonts w:cs="Times New Roman"/>
          <w:lang w:val="fr-CA"/>
        </w:rPr>
        <w:t xml:space="preserve"> outre que la conclusion de l’agent d’appel selon laquelle Postes Canada </w:t>
      </w:r>
      <w:r>
        <w:rPr>
          <w:rFonts w:cs="Times New Roman"/>
          <w:lang w:val="fr-CA"/>
        </w:rPr>
        <w:t>ne peut</w:t>
      </w:r>
      <w:r w:rsidRPr="000D0016">
        <w:rPr>
          <w:rFonts w:cs="Times New Roman"/>
          <w:lang w:val="fr-CA"/>
        </w:rPr>
        <w:t xml:space="preserve"> s’acquitter de l’obligation que lui impose l’al. 125(1)z.12) </w:t>
      </w:r>
      <w:r>
        <w:rPr>
          <w:rFonts w:cs="Times New Roman"/>
          <w:lang w:val="fr-CA"/>
        </w:rPr>
        <w:t>parce qu’elle n’a</w:t>
      </w:r>
      <w:r w:rsidRPr="000D0016">
        <w:rPr>
          <w:rFonts w:cs="Times New Roman"/>
          <w:lang w:val="fr-CA"/>
        </w:rPr>
        <w:t xml:space="preserve"> pas autorité sur le lieu de travail </w:t>
      </w:r>
      <w:r>
        <w:rPr>
          <w:rFonts w:cs="Times New Roman"/>
          <w:lang w:val="fr-CA"/>
        </w:rPr>
        <w:t>est</w:t>
      </w:r>
      <w:r w:rsidRPr="000D0016">
        <w:rPr>
          <w:rFonts w:cs="Times New Roman"/>
          <w:lang w:val="fr-CA"/>
        </w:rPr>
        <w:t xml:space="preserve"> déraisonnable</w:t>
      </w:r>
      <w:r>
        <w:rPr>
          <w:rFonts w:cs="Times New Roman"/>
          <w:lang w:val="fr-CA"/>
        </w:rPr>
        <w:t>. Il se fonde</w:t>
      </w:r>
      <w:r w:rsidRPr="000D0016">
        <w:rPr>
          <w:rFonts w:cs="Times New Roman"/>
          <w:lang w:val="fr-CA"/>
        </w:rPr>
        <w:t xml:space="preserve"> </w:t>
      </w:r>
      <w:r>
        <w:rPr>
          <w:rFonts w:cs="Times New Roman"/>
          <w:lang w:val="fr-CA"/>
        </w:rPr>
        <w:t>à cet égard</w:t>
      </w:r>
      <w:r w:rsidRPr="000D0016">
        <w:rPr>
          <w:rFonts w:cs="Times New Roman"/>
          <w:lang w:val="fr-CA"/>
        </w:rPr>
        <w:t xml:space="preserve"> sur le dossier, qui </w:t>
      </w:r>
      <w:r>
        <w:rPr>
          <w:rFonts w:cs="Times New Roman"/>
          <w:lang w:val="fr-CA"/>
        </w:rPr>
        <w:t>indique</w:t>
      </w:r>
      <w:r w:rsidRPr="000D0016">
        <w:rPr>
          <w:rFonts w:cs="Times New Roman"/>
          <w:lang w:val="fr-CA"/>
        </w:rPr>
        <w:t xml:space="preserve"> que Postes Canada </w:t>
      </w:r>
      <w:r>
        <w:rPr>
          <w:rFonts w:cs="Times New Roman"/>
          <w:lang w:val="fr-CA"/>
        </w:rPr>
        <w:t>est</w:t>
      </w:r>
      <w:r w:rsidRPr="000D0016">
        <w:rPr>
          <w:rFonts w:cs="Times New Roman"/>
          <w:lang w:val="fr-CA"/>
        </w:rPr>
        <w:t xml:space="preserve"> en mesure, au moyen de ses divers programmes de prévention et politiques, de recenser et de </w:t>
      </w:r>
      <w:r w:rsidRPr="000D0016">
        <w:rPr>
          <w:rFonts w:cs="Times New Roman"/>
          <w:lang w:val="fr-CA"/>
        </w:rPr>
        <w:lastRenderedPageBreak/>
        <w:t>supprimer les risques pour la sécurité courus sur les itinéraires et aux points de remise (par. 64</w:t>
      </w:r>
      <w:r w:rsidRPr="000D0016">
        <w:rPr>
          <w:rFonts w:cs="Times New Roman"/>
          <w:lang w:val="fr-CA"/>
        </w:rPr>
        <w:noBreakHyphen/>
        <w:t>65).</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Le juge </w:t>
      </w:r>
      <w:r>
        <w:rPr>
          <w:rFonts w:cs="Times New Roman"/>
          <w:lang w:val="fr-CA"/>
        </w:rPr>
        <w:t>Rennie</w:t>
      </w:r>
      <w:r w:rsidRPr="000D0016">
        <w:rPr>
          <w:rFonts w:cs="Times New Roman"/>
          <w:lang w:val="fr-CA"/>
        </w:rPr>
        <w:t xml:space="preserve"> souscrit à la conclusion du juge Nadon</w:t>
      </w:r>
      <w:r>
        <w:rPr>
          <w:rFonts w:cs="Times New Roman"/>
          <w:lang w:val="fr-CA"/>
        </w:rPr>
        <w:t>, mais adopte</w:t>
      </w:r>
      <w:r w:rsidRPr="000D0016">
        <w:rPr>
          <w:rFonts w:cs="Times New Roman"/>
          <w:lang w:val="fr-CA"/>
        </w:rPr>
        <w:t xml:space="preserve"> une approche différente. Se fondant sur les termes « dans la mesure où » figurant au par. 125(1), </w:t>
      </w:r>
      <w:r>
        <w:rPr>
          <w:rFonts w:cs="Times New Roman"/>
          <w:lang w:val="fr-CA"/>
        </w:rPr>
        <w:t xml:space="preserve">il </w:t>
      </w:r>
      <w:r w:rsidRPr="000D0016">
        <w:rPr>
          <w:rFonts w:cs="Times New Roman"/>
          <w:lang w:val="fr-CA"/>
        </w:rPr>
        <w:t>conclu</w:t>
      </w:r>
      <w:r>
        <w:rPr>
          <w:rFonts w:cs="Times New Roman"/>
          <w:lang w:val="fr-CA"/>
        </w:rPr>
        <w:t>t qu’il ne s’agit pas de savoir s’il existe</w:t>
      </w:r>
      <w:r w:rsidRPr="000D0016">
        <w:rPr>
          <w:rFonts w:cs="Times New Roman"/>
          <w:lang w:val="fr-CA"/>
        </w:rPr>
        <w:t xml:space="preserve"> une obligation, mais plutôt de déterminer l’étendue de l’obligation en fonction du degré d’autorité qu’exer</w:t>
      </w:r>
      <w:r>
        <w:rPr>
          <w:rFonts w:cs="Times New Roman"/>
          <w:lang w:val="fr-CA"/>
        </w:rPr>
        <w:t>ce</w:t>
      </w:r>
      <w:r w:rsidRPr="000D0016">
        <w:rPr>
          <w:rFonts w:cs="Times New Roman"/>
          <w:lang w:val="fr-CA"/>
        </w:rPr>
        <w:t xml:space="preserve"> l’employeur sur la tâche accomplie (par. 77</w:t>
      </w:r>
      <w:r w:rsidRPr="000D0016">
        <w:rPr>
          <w:rFonts w:cs="Times New Roman"/>
          <w:lang w:val="fr-CA"/>
        </w:rPr>
        <w:noBreakHyphen/>
        <w:t xml:space="preserve">78). Comme </w:t>
      </w:r>
      <w:r>
        <w:rPr>
          <w:rFonts w:cs="Times New Roman"/>
          <w:lang w:val="fr-CA"/>
        </w:rPr>
        <w:t>nul ne conteste</w:t>
      </w:r>
      <w:r w:rsidRPr="000D0016">
        <w:rPr>
          <w:rFonts w:cs="Times New Roman"/>
          <w:lang w:val="fr-CA"/>
        </w:rPr>
        <w:t xml:space="preserve"> que Postes Canada </w:t>
      </w:r>
      <w:r>
        <w:rPr>
          <w:rFonts w:cs="Times New Roman"/>
          <w:lang w:val="fr-CA"/>
        </w:rPr>
        <w:t>a</w:t>
      </w:r>
      <w:r w:rsidRPr="000D0016">
        <w:rPr>
          <w:rFonts w:cs="Times New Roman"/>
          <w:lang w:val="fr-CA"/>
        </w:rPr>
        <w:t xml:space="preserve"> autorité sur la tâche accomplie par les facteurs, le juge Rennie souscrit à l’opinion du juge Nadon selon laquelle la décision de l’agent d’appel </w:t>
      </w:r>
      <w:r>
        <w:rPr>
          <w:rFonts w:cs="Times New Roman"/>
          <w:lang w:val="fr-CA"/>
        </w:rPr>
        <w:t xml:space="preserve">est </w:t>
      </w:r>
      <w:r w:rsidRPr="000D0016">
        <w:rPr>
          <w:rFonts w:cs="Times New Roman"/>
          <w:lang w:val="fr-CA"/>
        </w:rPr>
        <w:t>déraisonnable (par. 81).</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Le juge Near, dissident, </w:t>
      </w:r>
      <w:r>
        <w:rPr>
          <w:rFonts w:cs="Times New Roman"/>
          <w:lang w:val="fr-CA"/>
        </w:rPr>
        <w:t>estime</w:t>
      </w:r>
      <w:r w:rsidRPr="000D0016">
        <w:rPr>
          <w:rFonts w:cs="Times New Roman"/>
          <w:lang w:val="fr-CA"/>
        </w:rPr>
        <w:t xml:space="preserve"> qu’il </w:t>
      </w:r>
      <w:r>
        <w:rPr>
          <w:rFonts w:cs="Times New Roman"/>
          <w:lang w:val="fr-CA"/>
        </w:rPr>
        <w:t>est</w:t>
      </w:r>
      <w:r w:rsidRPr="000D0016">
        <w:rPr>
          <w:rFonts w:cs="Times New Roman"/>
          <w:lang w:val="fr-CA"/>
        </w:rPr>
        <w:t xml:space="preserve"> raisonnable pour l’agent d’appel de conclure que certaines obligations énoncées au par. 125(1) — notamment celle prévue à l’al. z.12) — ne s’appliquent que si l’employeur a autorité sur le lieu de travail (par. 17</w:t>
      </w:r>
      <w:r w:rsidRPr="000D0016">
        <w:rPr>
          <w:rFonts w:cs="Times New Roman"/>
          <w:lang w:val="fr-CA"/>
        </w:rPr>
        <w:noBreakHyphen/>
        <w:t xml:space="preserve">18). À son avis, cette interprétation </w:t>
      </w:r>
      <w:r>
        <w:rPr>
          <w:rFonts w:cs="Times New Roman"/>
          <w:lang w:val="fr-CA"/>
        </w:rPr>
        <w:t>n’est</w:t>
      </w:r>
      <w:r w:rsidRPr="000D0016">
        <w:rPr>
          <w:rFonts w:cs="Times New Roman"/>
          <w:lang w:val="fr-CA"/>
        </w:rPr>
        <w:t xml:space="preserve"> pas incompatible avec le fait que Postes Canada p</w:t>
      </w:r>
      <w:r>
        <w:rPr>
          <w:rFonts w:cs="Times New Roman"/>
          <w:lang w:val="fr-CA"/>
        </w:rPr>
        <w:t>eut</w:t>
      </w:r>
      <w:r w:rsidRPr="000D0016">
        <w:rPr>
          <w:rFonts w:cs="Times New Roman"/>
          <w:lang w:val="fr-CA"/>
        </w:rPr>
        <w:t xml:space="preserve"> recenser et supprimer les risques aux points de remise au moyen de ses politiques en matière de santé et de sécurité. Le juge Near </w:t>
      </w:r>
      <w:r>
        <w:rPr>
          <w:rFonts w:cs="Times New Roman"/>
          <w:lang w:val="fr-CA"/>
        </w:rPr>
        <w:t>souligne</w:t>
      </w:r>
      <w:r w:rsidRPr="000D0016">
        <w:rPr>
          <w:rFonts w:cs="Times New Roman"/>
          <w:lang w:val="fr-CA"/>
        </w:rPr>
        <w:t xml:space="preserve"> que les diverses obligations prévues au par. 125(1) sont de nature différente. Si l’obligation d’inspection s’appliquait aux itinéraires des facteurs et aux points de remise, Postes Canada ne serait pas simplement tenue de s’efforcer de recenser et de supprimer les risques éventuels; elle serait tenue de faire en sorte que ces risques soient recensés et supprimés, y compris ceux se présentant sur les propriétés privées (par. 20). Le juge dissident conclu</w:t>
      </w:r>
      <w:r>
        <w:rPr>
          <w:rFonts w:cs="Times New Roman"/>
          <w:lang w:val="fr-CA"/>
        </w:rPr>
        <w:t>t</w:t>
      </w:r>
      <w:r w:rsidRPr="000D0016">
        <w:rPr>
          <w:rFonts w:cs="Times New Roman"/>
          <w:lang w:val="fr-CA"/>
        </w:rPr>
        <w:t xml:space="preserve"> que l’interprétation de l’agent d’appel </w:t>
      </w:r>
      <w:r>
        <w:rPr>
          <w:rFonts w:cs="Times New Roman"/>
          <w:lang w:val="fr-CA"/>
        </w:rPr>
        <w:t>est</w:t>
      </w:r>
      <w:r w:rsidRPr="000D0016">
        <w:rPr>
          <w:rFonts w:cs="Times New Roman"/>
          <w:lang w:val="fr-CA"/>
        </w:rPr>
        <w:t xml:space="preserve"> compatible avec l’objet du </w:t>
      </w:r>
      <w:r w:rsidRPr="000D0016">
        <w:rPr>
          <w:rFonts w:cs="Times New Roman"/>
          <w:lang w:val="fr-CA"/>
        </w:rPr>
        <w:lastRenderedPageBreak/>
        <w:t>Code tout en évitant d’étendre l’obligation de l’employeur au</w:t>
      </w:r>
      <w:r w:rsidRPr="000D0016">
        <w:rPr>
          <w:rFonts w:cs="Times New Roman"/>
          <w:lang w:val="fr-CA"/>
        </w:rPr>
        <w:noBreakHyphen/>
        <w:t>delà des limites de la raison et de la logique (par. 21).</w:t>
      </w:r>
    </w:p>
    <w:p w:rsidR="00B7543C" w:rsidRPr="000D0016" w:rsidRDefault="00B7543C" w:rsidP="00B7543C">
      <w:pPr>
        <w:pStyle w:val="Title1LevelTitre1Niveau-AltL"/>
        <w:spacing w:before="0"/>
        <w:rPr>
          <w:rFonts w:cs="Times New Roman"/>
          <w:lang w:val="fr-CA"/>
        </w:rPr>
      </w:pPr>
      <w:r w:rsidRPr="000D0016">
        <w:rPr>
          <w:rFonts w:cs="Times New Roman"/>
          <w:lang w:val="fr-CA"/>
        </w:rPr>
        <w:t>Analyse</w:t>
      </w:r>
    </w:p>
    <w:p w:rsidR="00B7543C" w:rsidRPr="000D0016" w:rsidRDefault="00B7543C" w:rsidP="00B7543C">
      <w:pPr>
        <w:pStyle w:val="Title2LevelTitre2Niveau"/>
        <w:spacing w:before="0"/>
        <w:rPr>
          <w:rFonts w:cs="Times New Roman"/>
          <w:lang w:val="fr-CA"/>
        </w:rPr>
      </w:pPr>
      <w:r w:rsidRPr="000D0016">
        <w:rPr>
          <w:rFonts w:cs="Times New Roman"/>
          <w:lang w:val="fr-CA"/>
        </w:rPr>
        <w:t>Le nouveau cadre d’analyse applicable en droit administratif</w:t>
      </w:r>
    </w:p>
    <w:p w:rsidR="00B7543C" w:rsidRPr="000D0016" w:rsidRDefault="00B7543C" w:rsidP="00B7543C">
      <w:pPr>
        <w:pStyle w:val="ParaNoNdepar-AltN"/>
        <w:spacing w:before="0"/>
        <w:rPr>
          <w:rFonts w:cs="Times New Roman"/>
          <w:i/>
          <w:lang w:val="fr-CA" w:bidi="en-US"/>
        </w:rPr>
      </w:pPr>
      <w:r w:rsidRPr="000D0016">
        <w:rPr>
          <w:rFonts w:cs="Times New Roman"/>
          <w:lang w:val="fr-CA"/>
        </w:rPr>
        <w:t xml:space="preserve">Le présent pourvoi a été entendu peu de temps après les pourvois </w:t>
      </w:r>
      <w:r w:rsidRPr="000D0016">
        <w:rPr>
          <w:rFonts w:cs="Times New Roman"/>
          <w:i/>
          <w:lang w:val="fr-CA"/>
        </w:rPr>
        <w:t xml:space="preserve">Vavilov </w:t>
      </w:r>
      <w:r w:rsidRPr="000D0016">
        <w:rPr>
          <w:rFonts w:cs="Times New Roman"/>
          <w:lang w:val="fr-CA"/>
        </w:rPr>
        <w:t xml:space="preserve">et </w:t>
      </w:r>
      <w:r w:rsidRPr="000D0016">
        <w:rPr>
          <w:rFonts w:cs="Times New Roman"/>
          <w:i/>
          <w:lang w:val="fr-CA"/>
        </w:rPr>
        <w:t>Bell/NFL</w:t>
      </w:r>
      <w:r w:rsidRPr="000D0016">
        <w:rPr>
          <w:rFonts w:cs="Times New Roman"/>
          <w:lang w:val="fr-CA"/>
        </w:rPr>
        <w:t xml:space="preserve"> (</w:t>
      </w:r>
      <w:r w:rsidRPr="000D0016">
        <w:rPr>
          <w:rFonts w:cs="Times New Roman"/>
          <w:i/>
          <w:lang w:val="fr-CA"/>
        </w:rPr>
        <w:t>Bell Canada c. Canada (Procureur général</w:t>
      </w:r>
      <w:r w:rsidRPr="000D0016">
        <w:rPr>
          <w:rFonts w:cs="Times New Roman"/>
          <w:i/>
          <w:lang w:val="fr-CA" w:bidi="en-US"/>
        </w:rPr>
        <w:t>)</w:t>
      </w:r>
      <w:r w:rsidRPr="000D0016">
        <w:rPr>
          <w:rFonts w:cs="Times New Roman"/>
          <w:lang w:val="fr-CA"/>
        </w:rPr>
        <w:t>, 2019 CSC </w:t>
      </w:r>
      <w:r>
        <w:rPr>
          <w:rFonts w:cs="Times New Roman"/>
          <w:lang w:val="fr-CA"/>
        </w:rPr>
        <w:t>66</w:t>
      </w:r>
      <w:r w:rsidR="00460164">
        <w:rPr>
          <w:rFonts w:cs="Times New Roman"/>
          <w:lang w:val="fr-CA"/>
        </w:rPr>
        <w:t xml:space="preserve">, [2019] </w:t>
      </w:r>
      <w:r w:rsidR="00245497">
        <w:rPr>
          <w:rFonts w:cs="Times New Roman"/>
          <w:lang w:val="fr-CA"/>
        </w:rPr>
        <w:t>4</w:t>
      </w:r>
      <w:r w:rsidR="00460164">
        <w:rPr>
          <w:rFonts w:cs="Times New Roman"/>
          <w:lang w:val="fr-CA"/>
        </w:rPr>
        <w:t xml:space="preserve"> R.C.S. </w:t>
      </w:r>
      <w:r w:rsidR="00245497">
        <w:rPr>
          <w:rFonts w:cs="Times New Roman"/>
          <w:lang w:val="fr-CA"/>
        </w:rPr>
        <w:t>653</w:t>
      </w:r>
      <w:r w:rsidRPr="000D0016">
        <w:rPr>
          <w:rFonts w:cs="Times New Roman"/>
          <w:lang w:val="fr-CA"/>
        </w:rPr>
        <w:t>), où la Cour a réexaminé</w:t>
      </w:r>
      <w:r>
        <w:rPr>
          <w:rFonts w:cs="Times New Roman"/>
          <w:lang w:val="fr-CA"/>
        </w:rPr>
        <w:t xml:space="preserve"> </w:t>
      </w:r>
      <w:r w:rsidRPr="00320770">
        <w:rPr>
          <w:rFonts w:cs="Times New Roman"/>
          <w:lang w:val="fr-CA"/>
        </w:rPr>
        <w:t>et clarifié</w:t>
      </w:r>
      <w:r w:rsidRPr="000D0016">
        <w:rPr>
          <w:rFonts w:cs="Times New Roman"/>
          <w:lang w:val="fr-CA"/>
        </w:rPr>
        <w:t xml:space="preserve"> le cadre d’analyse permettant de déterminer la norme de contrôle applicable ainsi que l’application du contrôle selon la norme de la décision raisonnable (« cadre</w:t>
      </w:r>
      <w:r>
        <w:rPr>
          <w:rFonts w:cs="Times New Roman"/>
          <w:lang w:val="fr-CA"/>
        </w:rPr>
        <w:t xml:space="preserve"> d’analyse</w:t>
      </w:r>
      <w:r w:rsidRPr="000D0016">
        <w:rPr>
          <w:rFonts w:cs="Times New Roman"/>
          <w:lang w:val="fr-CA"/>
        </w:rPr>
        <w:t xml:space="preserve"> établi dans</w:t>
      </w:r>
      <w:r>
        <w:rPr>
          <w:rFonts w:cs="Times New Roman"/>
          <w:lang w:val="fr-CA"/>
        </w:rPr>
        <w:t xml:space="preserve"> l’arrêt</w:t>
      </w:r>
      <w:r w:rsidRPr="000D0016">
        <w:rPr>
          <w:rFonts w:cs="Times New Roman"/>
          <w:i/>
          <w:lang w:val="fr-CA"/>
        </w:rPr>
        <w:t xml:space="preserve"> Vavilov</w:t>
      </w:r>
      <w:r w:rsidRPr="000D0016">
        <w:rPr>
          <w:rFonts w:cs="Times New Roman"/>
          <w:lang w:val="fr-CA"/>
        </w:rPr>
        <w:t> »). Les décisions de la Cour fédérale et de la Cour d’appel fédérale dans le présent pourvoi ont été rendues (et les arguments devant la Cour ont été présentés) selon le cadre</w:t>
      </w:r>
      <w:r>
        <w:rPr>
          <w:rFonts w:cs="Times New Roman"/>
          <w:lang w:val="fr-CA"/>
        </w:rPr>
        <w:t xml:space="preserve"> d’analyse</w:t>
      </w:r>
      <w:r w:rsidRPr="000D0016">
        <w:rPr>
          <w:rFonts w:cs="Times New Roman"/>
          <w:lang w:val="fr-CA"/>
        </w:rPr>
        <w:t xml:space="preserve"> établi dans</w:t>
      </w:r>
      <w:r>
        <w:rPr>
          <w:rFonts w:cs="Times New Roman"/>
          <w:lang w:val="fr-CA"/>
        </w:rPr>
        <w:t xml:space="preserve"> l’arrêt</w:t>
      </w:r>
      <w:r w:rsidRPr="000D0016">
        <w:rPr>
          <w:rFonts w:cs="Times New Roman"/>
          <w:lang w:val="fr-CA"/>
        </w:rPr>
        <w:t xml:space="preserve"> </w:t>
      </w:r>
      <w:r w:rsidRPr="000D0016">
        <w:rPr>
          <w:rFonts w:cs="Times New Roman"/>
          <w:i/>
          <w:lang w:val="fr-CA"/>
        </w:rPr>
        <w:t>Dunsmuir</w:t>
      </w:r>
      <w:r w:rsidRPr="000D0016">
        <w:rPr>
          <w:rFonts w:cs="Times New Roman"/>
          <w:lang w:val="fr-CA"/>
        </w:rPr>
        <w:t xml:space="preserve"> (</w:t>
      </w:r>
      <w:r w:rsidRPr="000D0016">
        <w:rPr>
          <w:rFonts w:cs="Times New Roman"/>
          <w:i/>
          <w:lang w:val="fr-CA"/>
        </w:rPr>
        <w:t>Dunsmuir c. Nouveau</w:t>
      </w:r>
      <w:r w:rsidRPr="000D0016">
        <w:rPr>
          <w:rFonts w:cs="Times New Roman"/>
          <w:i/>
          <w:lang w:val="fr-CA"/>
        </w:rPr>
        <w:noBreakHyphen/>
        <w:t>Brunswick</w:t>
      </w:r>
      <w:r w:rsidRPr="000D0016">
        <w:rPr>
          <w:rFonts w:cs="Times New Roman"/>
          <w:lang w:val="fr-CA"/>
        </w:rPr>
        <w:t>,</w:t>
      </w:r>
      <w:r w:rsidRPr="000D0016">
        <w:rPr>
          <w:rFonts w:cs="Times New Roman"/>
          <w:i/>
          <w:lang w:val="fr-CA"/>
        </w:rPr>
        <w:t xml:space="preserve"> </w:t>
      </w:r>
      <w:r w:rsidRPr="000D0016">
        <w:rPr>
          <w:rFonts w:cs="Times New Roman"/>
          <w:lang w:val="fr-CA"/>
        </w:rPr>
        <w:t xml:space="preserve">2008 CSC 9, [2008] 1 R.C.S. 190). J’applique le cadre </w:t>
      </w:r>
      <w:r>
        <w:rPr>
          <w:rFonts w:cs="Times New Roman"/>
          <w:lang w:val="fr-CA"/>
        </w:rPr>
        <w:t xml:space="preserve">d’analyse </w:t>
      </w:r>
      <w:r w:rsidRPr="000D0016">
        <w:rPr>
          <w:rFonts w:cs="Times New Roman"/>
          <w:lang w:val="fr-CA"/>
        </w:rPr>
        <w:t>établi dans</w:t>
      </w:r>
      <w:r>
        <w:rPr>
          <w:rFonts w:cs="Times New Roman"/>
          <w:lang w:val="fr-CA"/>
        </w:rPr>
        <w:t xml:space="preserve"> l’arrêt</w:t>
      </w:r>
      <w:r w:rsidRPr="000D0016">
        <w:rPr>
          <w:rFonts w:cs="Times New Roman"/>
          <w:i/>
          <w:lang w:val="fr-CA"/>
        </w:rPr>
        <w:t xml:space="preserve"> Vavilov</w:t>
      </w:r>
      <w:r w:rsidRPr="000D0016">
        <w:rPr>
          <w:rFonts w:cs="Times New Roman"/>
          <w:lang w:val="fr-CA"/>
        </w:rPr>
        <w:t xml:space="preserve"> pour conclure que la décision de l’agent d’appel </w:t>
      </w:r>
      <w:r>
        <w:rPr>
          <w:rFonts w:cs="Times New Roman"/>
          <w:lang w:val="fr-CA"/>
        </w:rPr>
        <w:t>est</w:t>
      </w:r>
      <w:r w:rsidRPr="000D0016">
        <w:rPr>
          <w:rFonts w:cs="Times New Roman"/>
          <w:lang w:val="fr-CA"/>
        </w:rPr>
        <w:t xml:space="preserve"> raisonnable. Il n’en résulte aucune injustice, car la norme de contrôle applicable et le résultat auraient été les mêmes selon le cadre</w:t>
      </w:r>
      <w:r>
        <w:rPr>
          <w:rFonts w:cs="Times New Roman"/>
          <w:lang w:val="fr-CA"/>
        </w:rPr>
        <w:t xml:space="preserve"> d’analyse</w:t>
      </w:r>
      <w:r w:rsidRPr="000D0016">
        <w:rPr>
          <w:rFonts w:cs="Times New Roman"/>
          <w:lang w:val="fr-CA"/>
        </w:rPr>
        <w:t xml:space="preserve"> établi dans </w:t>
      </w:r>
      <w:r>
        <w:rPr>
          <w:rFonts w:cs="Times New Roman"/>
          <w:lang w:val="fr-CA"/>
        </w:rPr>
        <w:t xml:space="preserve">l’arrêt </w:t>
      </w:r>
      <w:r w:rsidRPr="000D0016">
        <w:rPr>
          <w:rFonts w:cs="Times New Roman"/>
          <w:i/>
          <w:lang w:val="fr-CA"/>
        </w:rPr>
        <w:t>Dunsmuir</w:t>
      </w:r>
      <w:r w:rsidRPr="000D0016">
        <w:rPr>
          <w:rFonts w:cs="Times New Roman"/>
          <w:lang w:val="fr-CA"/>
        </w:rPr>
        <w:t>.</w:t>
      </w:r>
    </w:p>
    <w:p w:rsidR="00B7543C" w:rsidRPr="000D0016" w:rsidRDefault="00B7543C" w:rsidP="00B7543C">
      <w:pPr>
        <w:pStyle w:val="ParaNoNdepar-AltN"/>
        <w:spacing w:before="0"/>
        <w:rPr>
          <w:rFonts w:cs="Times New Roman"/>
          <w:lang w:val="fr-CA"/>
        </w:rPr>
      </w:pPr>
      <w:r w:rsidRPr="000D0016">
        <w:rPr>
          <w:rFonts w:cs="Times New Roman"/>
          <w:lang w:val="fr-CA"/>
        </w:rPr>
        <w:t>Se fondant sur le cadre</w:t>
      </w:r>
      <w:r>
        <w:rPr>
          <w:rFonts w:cs="Times New Roman"/>
          <w:lang w:val="fr-CA"/>
        </w:rPr>
        <w:t xml:space="preserve"> d’analyse</w:t>
      </w:r>
      <w:r w:rsidRPr="000D0016">
        <w:rPr>
          <w:rFonts w:cs="Times New Roman"/>
          <w:lang w:val="fr-CA"/>
        </w:rPr>
        <w:t xml:space="preserve"> établi dans </w:t>
      </w:r>
      <w:r>
        <w:rPr>
          <w:rFonts w:cs="Times New Roman"/>
          <w:lang w:val="fr-CA"/>
        </w:rPr>
        <w:t xml:space="preserve">l’arrêt </w:t>
      </w:r>
      <w:r w:rsidRPr="000D0016">
        <w:rPr>
          <w:rFonts w:cs="Times New Roman"/>
          <w:i/>
          <w:lang w:val="fr-CA"/>
        </w:rPr>
        <w:t>Dunsmuir</w:t>
      </w:r>
      <w:r w:rsidRPr="000D0016">
        <w:rPr>
          <w:rFonts w:cs="Times New Roman"/>
          <w:lang w:val="fr-CA"/>
        </w:rPr>
        <w:t>, les parties ont convenu devant la Cour que la norme de contrôle applicable est celle de la décision raisonnable. Postes Canada a fait valoir que la norme de la décision raisonnable [</w:t>
      </w:r>
      <w:r w:rsidRPr="000D0016">
        <w:rPr>
          <w:rFonts w:cs="Times New Roman"/>
          <w:smallCaps/>
          <w:lang w:val="fr-CA"/>
        </w:rPr>
        <w:t>traduction</w:t>
      </w:r>
      <w:r w:rsidRPr="000D0016">
        <w:rPr>
          <w:rFonts w:cs="Times New Roman"/>
          <w:lang w:val="fr-CA"/>
        </w:rPr>
        <w:t xml:space="preserve">] « est présumée s’appliquer à l’interprétation par le décideur administratif de [sa] loi habilitante (m.a., par. 47, citant </w:t>
      </w:r>
      <w:r w:rsidRPr="000D0016">
        <w:rPr>
          <w:rFonts w:cs="Times New Roman"/>
          <w:i/>
          <w:lang w:val="fr-CA" w:bidi="en-US"/>
        </w:rPr>
        <w:t>Canada</w:t>
      </w:r>
      <w:r w:rsidRPr="000D0016">
        <w:rPr>
          <w:rFonts w:cs="Times New Roman"/>
          <w:lang w:val="fr-CA" w:bidi="en-US"/>
        </w:rPr>
        <w:t xml:space="preserve"> </w:t>
      </w:r>
      <w:r w:rsidRPr="000D0016">
        <w:rPr>
          <w:rFonts w:cs="Times New Roman"/>
          <w:i/>
          <w:lang w:val="fr-CA" w:bidi="en-US"/>
        </w:rPr>
        <w:t>(</w:t>
      </w:r>
      <w:r w:rsidRPr="000D0016">
        <w:rPr>
          <w:rFonts w:eastAsia="Times New Roman" w:cs="Times New Roman"/>
          <w:i/>
          <w:szCs w:val="24"/>
          <w:lang w:val="fr-CA" w:eastAsia="en-CA"/>
        </w:rPr>
        <w:t>Commission canadienne des droits de la personne</w:t>
      </w:r>
      <w:r w:rsidRPr="000D0016">
        <w:rPr>
          <w:rFonts w:cs="Times New Roman"/>
          <w:i/>
          <w:lang w:val="fr-CA" w:bidi="en-US"/>
        </w:rPr>
        <w:t>) c. Canada (Procureur général)</w:t>
      </w:r>
      <w:r w:rsidRPr="000D0016">
        <w:rPr>
          <w:rFonts w:cs="Times New Roman"/>
          <w:lang w:val="fr-CA" w:bidi="en-US"/>
        </w:rPr>
        <w:t>, 2018 CSC 31,</w:t>
      </w:r>
      <w:r w:rsidRPr="000D0016">
        <w:rPr>
          <w:rFonts w:cs="Times New Roman"/>
          <w:lang w:val="fr-CA"/>
        </w:rPr>
        <w:t xml:space="preserve"> </w:t>
      </w:r>
      <w:r w:rsidRPr="000D0016">
        <w:rPr>
          <w:rFonts w:cs="Times New Roman"/>
          <w:lang w:val="fr-CA"/>
        </w:rPr>
        <w:lastRenderedPageBreak/>
        <w:t xml:space="preserve">[2018] 2 R.C.S. 230, par. 27, et </w:t>
      </w:r>
      <w:r w:rsidRPr="000D0016">
        <w:rPr>
          <w:rFonts w:cs="Times New Roman"/>
          <w:i/>
          <w:lang w:val="fr-CA"/>
        </w:rPr>
        <w:t>Delta Air Lines Inc. c</w:t>
      </w:r>
      <w:r w:rsidRPr="000D0016">
        <w:rPr>
          <w:rFonts w:cs="Times New Roman"/>
          <w:i/>
          <w:iCs/>
          <w:lang w:val="fr-CA"/>
        </w:rPr>
        <w:t>.</w:t>
      </w:r>
      <w:r w:rsidRPr="000D0016">
        <w:rPr>
          <w:rFonts w:cs="Times New Roman"/>
          <w:i/>
          <w:lang w:val="fr-CA"/>
        </w:rPr>
        <w:t xml:space="preserve"> Lukács</w:t>
      </w:r>
      <w:r w:rsidRPr="000D0016">
        <w:rPr>
          <w:rFonts w:cs="Times New Roman"/>
          <w:lang w:val="fr-CA"/>
        </w:rPr>
        <w:t>, 2018 CSC 2, [2018] 1 R.C.S. 6, par. 8). L’application de la norme de la décision raisonnable n’a pas été contestée devant les juridictions inférieures et je conviens que, selon le cadre</w:t>
      </w:r>
      <w:r>
        <w:rPr>
          <w:rFonts w:cs="Times New Roman"/>
          <w:lang w:val="fr-CA"/>
        </w:rPr>
        <w:t xml:space="preserve"> d’analyse</w:t>
      </w:r>
      <w:r w:rsidRPr="000D0016">
        <w:rPr>
          <w:rFonts w:cs="Times New Roman"/>
          <w:lang w:val="fr-CA"/>
        </w:rPr>
        <w:t xml:space="preserve"> établi dans </w:t>
      </w:r>
      <w:r>
        <w:rPr>
          <w:rFonts w:cs="Times New Roman"/>
          <w:lang w:val="fr-CA"/>
        </w:rPr>
        <w:t xml:space="preserve">l’arrêt </w:t>
      </w:r>
      <w:r w:rsidRPr="000D0016">
        <w:rPr>
          <w:rFonts w:cs="Times New Roman"/>
          <w:i/>
          <w:lang w:val="fr-CA"/>
        </w:rPr>
        <w:t>Dunsmuir</w:t>
      </w:r>
      <w:r w:rsidRPr="000D0016">
        <w:rPr>
          <w:rFonts w:cs="Times New Roman"/>
          <w:lang w:val="fr-CA"/>
        </w:rPr>
        <w:t>, la norme de contrôle applicable serait celle de la décision raisonnable.</w:t>
      </w:r>
    </w:p>
    <w:p w:rsidR="00B7543C" w:rsidRPr="000D0016" w:rsidRDefault="00B7543C" w:rsidP="00B7543C">
      <w:pPr>
        <w:pStyle w:val="ParaNoNdepar-AltN"/>
        <w:spacing w:before="0"/>
        <w:rPr>
          <w:rFonts w:cs="Times New Roman"/>
          <w:lang w:val="fr-CA"/>
        </w:rPr>
      </w:pPr>
      <w:r w:rsidRPr="000D0016">
        <w:rPr>
          <w:rFonts w:cs="Times New Roman"/>
          <w:lang w:val="fr-CA"/>
        </w:rPr>
        <w:t>Je souscris pour l’essentiel aux motifs dissidents du juge Near de la Cour d’appel dans lesquels il a appliqué le cadre</w:t>
      </w:r>
      <w:r>
        <w:rPr>
          <w:rFonts w:cs="Times New Roman"/>
          <w:lang w:val="fr-CA"/>
        </w:rPr>
        <w:t xml:space="preserve"> d’analyse</w:t>
      </w:r>
      <w:r w:rsidRPr="000D0016">
        <w:rPr>
          <w:rFonts w:cs="Times New Roman"/>
          <w:lang w:val="fr-CA"/>
        </w:rPr>
        <w:t xml:space="preserve"> établi dans</w:t>
      </w:r>
      <w:r>
        <w:rPr>
          <w:rFonts w:cs="Times New Roman"/>
          <w:lang w:val="fr-CA"/>
        </w:rPr>
        <w:t xml:space="preserve"> l’arrêt</w:t>
      </w:r>
      <w:r w:rsidRPr="000D0016">
        <w:rPr>
          <w:rFonts w:cs="Times New Roman"/>
          <w:lang w:val="fr-CA"/>
        </w:rPr>
        <w:t xml:space="preserve"> </w:t>
      </w:r>
      <w:r w:rsidRPr="000D0016">
        <w:rPr>
          <w:rFonts w:cs="Times New Roman"/>
          <w:i/>
          <w:lang w:val="fr-CA"/>
        </w:rPr>
        <w:t>Dunsmuir</w:t>
      </w:r>
      <w:r w:rsidRPr="000D0016">
        <w:rPr>
          <w:rFonts w:cs="Times New Roman"/>
          <w:lang w:val="fr-CA"/>
        </w:rPr>
        <w:t>, comme il a été mentionné précédemment. Je rappelle que le juge Near a estimé qu’il était raisonnable pour l’agent d’appel de conclure que certaines obligations ne s’appliquent que dans le cas où l’employeur a autorité sur le lieu de travail, et non pas seulement sur la tâche accomplie : « Il n’est pas possible pour l’employeur d’assurer l’inspection d’un lieu de travail qui ne relève pas de son autorité, aussi entièrement qu’en relève la tâche accomplie » (par. 19). Il a examiné les motifs à la lumière des objectifs du Code et du contexte plus large, et a conclu ce qui suit :</w:t>
      </w:r>
    </w:p>
    <w:p w:rsidR="00B7543C" w:rsidRPr="000D0016" w:rsidRDefault="00B7543C" w:rsidP="00B7543C">
      <w:pPr>
        <w:pStyle w:val="Citation-AltC"/>
        <w:tabs>
          <w:tab w:val="left" w:pos="1440"/>
        </w:tabs>
        <w:contextualSpacing w:val="0"/>
        <w:rPr>
          <w:rFonts w:eastAsiaTheme="minorEastAsia"/>
          <w:lang w:val="fr-CA" w:bidi="en-US"/>
        </w:rPr>
      </w:pPr>
      <w:r w:rsidRPr="000D0016">
        <w:rPr>
          <w:rFonts w:eastAsiaTheme="minorEastAsia"/>
          <w:lang w:val="fr-CA" w:bidi="en-US"/>
        </w:rPr>
        <w:tab/>
        <w:t>L’interprétation de l’agent d’appel, si elle limite l’applicabilité de l’obligation d’inspection, ne met pas en cause l’objectif de protection de la santé et de la sécurité des employés que se fixe le Code. L’agent d’appel constate que le Code doit recevoir une interprétation large (paragraphe 91 des motifs); que le paragraphe 125(1) contraint l’employeur dans toute la mesure du possible (paragraphe 95 des motifs); et que le Règlement oblige l’employeur à mettre en œuvre des programmes de prévention des risques (paragraphe 100 des motifs). À mon avis, l’interprétation de l’agent d’appel va dans le sens des objectifs d’intérêt public du Code tout en évitant d’étendre l’obligation d’inspection du lieu de travail au</w:t>
      </w:r>
      <w:r w:rsidRPr="000D0016">
        <w:rPr>
          <w:rFonts w:eastAsiaTheme="minorEastAsia"/>
          <w:lang w:val="fr-CA" w:bidi="en-US"/>
        </w:rPr>
        <w:noBreakHyphen/>
        <w:t>delà des limites de la raison et de la logique. [Références omises</w:t>
      </w:r>
      <w:r>
        <w:rPr>
          <w:rFonts w:eastAsiaTheme="minorEastAsia"/>
          <w:lang w:val="fr-CA" w:bidi="en-US"/>
        </w:rPr>
        <w:t>;</w:t>
      </w:r>
      <w:r w:rsidRPr="000D0016">
        <w:rPr>
          <w:rFonts w:eastAsiaTheme="minorEastAsia"/>
          <w:lang w:val="fr-CA" w:bidi="en-US"/>
        </w:rPr>
        <w:t xml:space="preserve"> par. 21.]</w:t>
      </w:r>
    </w:p>
    <w:p w:rsidR="00B7543C" w:rsidRPr="000D0016" w:rsidRDefault="00B7543C" w:rsidP="00B7543C">
      <w:pPr>
        <w:pStyle w:val="ContinueParaSuitedupar-AltP"/>
        <w:spacing w:before="0"/>
        <w:rPr>
          <w:rFonts w:cs="Times New Roman"/>
          <w:lang w:val="fr-CA" w:bidi="en-US"/>
        </w:rPr>
      </w:pPr>
      <w:r w:rsidRPr="000D0016">
        <w:rPr>
          <w:rFonts w:cs="Times New Roman"/>
          <w:lang w:val="fr-CA" w:bidi="en-US"/>
        </w:rPr>
        <w:t>À mon avis, le juge Near a conclu à bon droit que la décision de l’agent d’appel était raisonnable selon le cadre</w:t>
      </w:r>
      <w:r>
        <w:rPr>
          <w:rFonts w:cs="Times New Roman"/>
          <w:lang w:val="fr-CA" w:bidi="en-US"/>
        </w:rPr>
        <w:t xml:space="preserve"> d’analyse</w:t>
      </w:r>
      <w:r w:rsidRPr="000D0016">
        <w:rPr>
          <w:rFonts w:cs="Times New Roman"/>
          <w:lang w:val="fr-CA" w:bidi="en-US"/>
        </w:rPr>
        <w:t xml:space="preserve"> établi dans</w:t>
      </w:r>
      <w:r>
        <w:rPr>
          <w:rFonts w:cs="Times New Roman"/>
          <w:lang w:val="fr-CA" w:bidi="en-US"/>
        </w:rPr>
        <w:t xml:space="preserve"> l’arrêt</w:t>
      </w:r>
      <w:r w:rsidRPr="000D0016">
        <w:rPr>
          <w:rFonts w:cs="Times New Roman"/>
          <w:lang w:val="fr-CA" w:bidi="en-US"/>
        </w:rPr>
        <w:t xml:space="preserve"> </w:t>
      </w:r>
      <w:r w:rsidRPr="000D0016">
        <w:rPr>
          <w:rFonts w:cs="Times New Roman"/>
          <w:i/>
          <w:lang w:val="fr-CA" w:bidi="en-US"/>
        </w:rPr>
        <w:t>Dunsmuir</w:t>
      </w:r>
      <w:r w:rsidRPr="000D0016">
        <w:rPr>
          <w:rFonts w:cs="Times New Roman"/>
          <w:lang w:val="fr-CA" w:bidi="en-US"/>
        </w:rPr>
        <w:t xml:space="preserve">. La décision de l’agent d’appel </w:t>
      </w:r>
      <w:r>
        <w:rPr>
          <w:rFonts w:cs="Times New Roman"/>
          <w:lang w:val="fr-CA" w:bidi="en-US"/>
        </w:rPr>
        <w:t>possède</w:t>
      </w:r>
      <w:r w:rsidRPr="000D0016">
        <w:rPr>
          <w:rFonts w:cs="Times New Roman"/>
          <w:lang w:val="fr-CA" w:bidi="en-US"/>
        </w:rPr>
        <w:t xml:space="preserve"> les caractéristiques de « la justification [. . .], [de] la </w:t>
      </w:r>
      <w:r w:rsidRPr="000D0016">
        <w:rPr>
          <w:rFonts w:cs="Times New Roman"/>
          <w:lang w:val="fr-CA" w:bidi="en-US"/>
        </w:rPr>
        <w:lastRenderedPageBreak/>
        <w:t>transparence et [de] l’intelligibilité » et appart</w:t>
      </w:r>
      <w:r>
        <w:rPr>
          <w:rFonts w:cs="Times New Roman"/>
          <w:lang w:val="fr-CA" w:bidi="en-US"/>
        </w:rPr>
        <w:t>ient</w:t>
      </w:r>
      <w:r w:rsidRPr="000D0016">
        <w:rPr>
          <w:rFonts w:cs="Times New Roman"/>
          <w:lang w:val="fr-CA" w:bidi="en-US"/>
        </w:rPr>
        <w:t xml:space="preserve"> « aux issues possibles acceptables pouvant se justifier au regard des faits et du droit » (</w:t>
      </w:r>
      <w:r w:rsidRPr="000D0016">
        <w:rPr>
          <w:rFonts w:cs="Times New Roman"/>
          <w:i/>
          <w:lang w:val="fr-CA" w:bidi="en-US"/>
        </w:rPr>
        <w:t>Dunsmuir</w:t>
      </w:r>
      <w:r w:rsidRPr="000D0016">
        <w:rPr>
          <w:rFonts w:cs="Times New Roman"/>
          <w:lang w:val="fr-CA" w:bidi="en-US"/>
        </w:rPr>
        <w:t>,</w:t>
      </w:r>
      <w:r w:rsidRPr="000D0016">
        <w:rPr>
          <w:rFonts w:cs="Times New Roman"/>
          <w:i/>
          <w:lang w:val="fr-CA" w:bidi="en-US"/>
        </w:rPr>
        <w:t xml:space="preserve"> </w:t>
      </w:r>
      <w:r w:rsidRPr="000D0016">
        <w:rPr>
          <w:rFonts w:cs="Times New Roman"/>
          <w:lang w:val="fr-CA" w:bidi="en-US"/>
        </w:rPr>
        <w:t>par. 47). Comme je l’explique plus loin, selon le cadre</w:t>
      </w:r>
      <w:r>
        <w:rPr>
          <w:rFonts w:cs="Times New Roman"/>
          <w:lang w:val="fr-CA" w:bidi="en-US"/>
        </w:rPr>
        <w:t xml:space="preserve"> d’analyse</w:t>
      </w:r>
      <w:r w:rsidRPr="000D0016">
        <w:rPr>
          <w:rFonts w:cs="Times New Roman"/>
          <w:lang w:val="fr-CA" w:bidi="en-US"/>
        </w:rPr>
        <w:t xml:space="preserve"> établi dans </w:t>
      </w:r>
      <w:r>
        <w:rPr>
          <w:rFonts w:cs="Times New Roman"/>
          <w:lang w:val="fr-CA" w:bidi="en-US"/>
        </w:rPr>
        <w:t xml:space="preserve">l’arrêt </w:t>
      </w:r>
      <w:r w:rsidRPr="000D0016">
        <w:rPr>
          <w:rFonts w:cs="Times New Roman"/>
          <w:i/>
          <w:lang w:val="fr-CA"/>
        </w:rPr>
        <w:t>Vavilov</w:t>
      </w:r>
      <w:r w:rsidRPr="000D0016">
        <w:rPr>
          <w:rFonts w:cs="Times New Roman"/>
          <w:lang w:val="fr-CA"/>
        </w:rPr>
        <w:t xml:space="preserve">, lorsque la décision administrative est motivée, la cour de révision adopte une approche qui </w:t>
      </w:r>
      <w:r w:rsidRPr="00823A71">
        <w:rPr>
          <w:rFonts w:cs="Times New Roman"/>
          <w:lang w:val="fr-CA"/>
        </w:rPr>
        <w:t>« </w:t>
      </w:r>
      <w:r w:rsidRPr="00823A71">
        <w:rPr>
          <w:rFonts w:cs="Times New Roman"/>
          <w:noProof/>
          <w:lang w:val="fr-CA"/>
        </w:rPr>
        <w:t>s’intéresse avant tout aux motifs de la décision</w:t>
      </w:r>
      <w:r w:rsidRPr="00823A71">
        <w:rPr>
          <w:rFonts w:cs="Times New Roman"/>
          <w:lang w:val="fr-CA"/>
        </w:rPr>
        <w:t> » et</w:t>
      </w:r>
      <w:r w:rsidRPr="000D0016">
        <w:rPr>
          <w:rFonts w:cs="Times New Roman"/>
          <w:lang w:val="fr-CA"/>
        </w:rPr>
        <w:t xml:space="preserve"> qui met l’accent sur la justification de la décision fournie par le décideur </w:t>
      </w:r>
      <w:r w:rsidRPr="00320770">
        <w:rPr>
          <w:rFonts w:cs="Times New Roman"/>
          <w:lang w:val="fr-CA"/>
        </w:rPr>
        <w:t>administratif (</w:t>
      </w:r>
      <w:r w:rsidRPr="00320770">
        <w:rPr>
          <w:rFonts w:cs="Times New Roman"/>
          <w:i/>
          <w:lang w:val="fr-CA"/>
        </w:rPr>
        <w:t>Vavilov</w:t>
      </w:r>
      <w:r w:rsidRPr="00320770">
        <w:rPr>
          <w:rFonts w:cs="Times New Roman"/>
          <w:lang w:val="fr-CA"/>
        </w:rPr>
        <w:t>, par. 84), au regard des contraintes juridiques et factuelles pertinentes. J’</w:t>
      </w:r>
      <w:r w:rsidRPr="000D0016">
        <w:rPr>
          <w:rFonts w:cs="Times New Roman"/>
          <w:lang w:val="fr-CA"/>
        </w:rPr>
        <w:t xml:space="preserve">estime que, selon les deux cadres d’analyse, la décision de l’agent d’appel </w:t>
      </w:r>
      <w:r>
        <w:rPr>
          <w:rFonts w:cs="Times New Roman"/>
          <w:lang w:val="fr-CA"/>
        </w:rPr>
        <w:t xml:space="preserve">est </w:t>
      </w:r>
      <w:r w:rsidRPr="000D0016">
        <w:rPr>
          <w:rFonts w:cs="Times New Roman"/>
          <w:lang w:val="fr-CA"/>
        </w:rPr>
        <w:t>raisonnable.</w:t>
      </w:r>
    </w:p>
    <w:p w:rsidR="00B7543C" w:rsidRPr="000D0016" w:rsidRDefault="00B7543C" w:rsidP="00B7543C">
      <w:pPr>
        <w:pStyle w:val="Title2LevelTitre2Niveau"/>
        <w:spacing w:before="0"/>
        <w:rPr>
          <w:rFonts w:cs="Times New Roman"/>
          <w:lang w:val="fr-CA"/>
        </w:rPr>
      </w:pPr>
      <w:r w:rsidRPr="000D0016">
        <w:rPr>
          <w:rFonts w:cs="Times New Roman"/>
          <w:lang w:val="fr-CA"/>
        </w:rPr>
        <w:t>La détermination de la norme de contrôle applicable</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Dans </w:t>
      </w:r>
      <w:r>
        <w:rPr>
          <w:rFonts w:cs="Times New Roman"/>
          <w:lang w:val="fr-CA"/>
        </w:rPr>
        <w:t xml:space="preserve">l’arrêt </w:t>
      </w:r>
      <w:r w:rsidRPr="000D0016">
        <w:rPr>
          <w:rFonts w:cs="Times New Roman"/>
          <w:i/>
          <w:lang w:val="fr-CA"/>
        </w:rPr>
        <w:t>Vavilov</w:t>
      </w:r>
      <w:r w:rsidRPr="000D0016">
        <w:rPr>
          <w:rFonts w:cs="Times New Roman"/>
          <w:lang w:val="fr-CA"/>
        </w:rPr>
        <w:t>, la Cour établi</w:t>
      </w:r>
      <w:r>
        <w:rPr>
          <w:rFonts w:cs="Times New Roman"/>
          <w:lang w:val="fr-CA"/>
        </w:rPr>
        <w:t>t</w:t>
      </w:r>
      <w:r w:rsidRPr="000D0016">
        <w:rPr>
          <w:rFonts w:cs="Times New Roman"/>
          <w:lang w:val="fr-CA"/>
        </w:rPr>
        <w:t xml:space="preserve"> un cadre d’analyse révisé permettant de déterminer la norme de contrôle applicable à l’égard des décisions administratives. </w:t>
      </w:r>
      <w:r w:rsidRPr="00320770">
        <w:rPr>
          <w:rFonts w:cs="Times New Roman"/>
          <w:lang w:val="fr-CA"/>
        </w:rPr>
        <w:t>Le point de départ est une présomption d’application de la norme de la décision raisonnable. Cette présomption peut être réfutée dans deux types de situations. La première est celle où le législateur a prescrit une norme de contrôle ou a prévu un droit</w:t>
      </w:r>
      <w:r w:rsidRPr="000D0016">
        <w:rPr>
          <w:rFonts w:cs="Times New Roman"/>
          <w:lang w:val="fr-CA"/>
        </w:rPr>
        <w:t xml:space="preserve"> d’appel de la décision administrative devant une cour de justice. La deuxième est celle où la question faisant l’objet du contrôle tombe dans l’une des catégories de questions à l’égard desquelles la primauté du droit commande un contrôle selon la norme de la décision correcte. </w:t>
      </w:r>
      <w:r w:rsidRPr="00320770">
        <w:rPr>
          <w:rFonts w:cs="Times New Roman"/>
          <w:lang w:val="fr-CA"/>
        </w:rPr>
        <w:t>Aucune des situations justifiant de déroger à la présomption d’application de la norme de la décision raisonnable</w:t>
      </w:r>
      <w:r w:rsidRPr="000D0016">
        <w:rPr>
          <w:rFonts w:cs="Times New Roman"/>
          <w:lang w:val="fr-CA"/>
        </w:rPr>
        <w:t xml:space="preserve"> ne s’applique en l’espèce. La décision de l’agent d’appel est </w:t>
      </w:r>
      <w:r>
        <w:rPr>
          <w:rFonts w:cs="Times New Roman"/>
          <w:lang w:val="fr-CA"/>
        </w:rPr>
        <w:t>assujettie au</w:t>
      </w:r>
      <w:r w:rsidRPr="000D0016">
        <w:rPr>
          <w:rFonts w:cs="Times New Roman"/>
          <w:lang w:val="fr-CA"/>
        </w:rPr>
        <w:t xml:space="preserve"> contrôle selon la norme de la décision raisonnable.</w:t>
      </w:r>
    </w:p>
    <w:p w:rsidR="00B7543C" w:rsidRPr="000D0016" w:rsidRDefault="00B7543C" w:rsidP="00B7543C">
      <w:pPr>
        <w:pStyle w:val="Title2LevelTitre2Niveau"/>
        <w:spacing w:before="0"/>
        <w:rPr>
          <w:rFonts w:cs="Times New Roman"/>
          <w:i w:val="0"/>
          <w:lang w:val="fr-CA"/>
        </w:rPr>
      </w:pPr>
      <w:r w:rsidRPr="000D0016">
        <w:rPr>
          <w:rFonts w:cs="Times New Roman"/>
          <w:lang w:val="fr-CA"/>
        </w:rPr>
        <w:t>Le contrôle selon la norme de la décision raisonnable suivant</w:t>
      </w:r>
      <w:r>
        <w:rPr>
          <w:rFonts w:cs="Times New Roman"/>
          <w:lang w:val="fr-CA"/>
        </w:rPr>
        <w:t xml:space="preserve"> l’arrêt</w:t>
      </w:r>
      <w:r w:rsidRPr="000D0016">
        <w:rPr>
          <w:rFonts w:cs="Times New Roman"/>
          <w:lang w:val="fr-CA"/>
        </w:rPr>
        <w:t xml:space="preserve"> Vavilov</w:t>
      </w:r>
    </w:p>
    <w:p w:rsidR="00B7543C" w:rsidRPr="000D0016" w:rsidRDefault="00B7543C" w:rsidP="00B7543C">
      <w:pPr>
        <w:pStyle w:val="ParaNoNdepar-AltN"/>
        <w:spacing w:before="0"/>
        <w:rPr>
          <w:rFonts w:cs="Times New Roman"/>
          <w:lang w:val="fr-CA"/>
        </w:rPr>
      </w:pPr>
      <w:r w:rsidRPr="000D0016">
        <w:rPr>
          <w:rFonts w:cs="Times New Roman"/>
          <w:lang w:val="fr-CA"/>
        </w:rPr>
        <w:lastRenderedPageBreak/>
        <w:t>Dans</w:t>
      </w:r>
      <w:r>
        <w:rPr>
          <w:rFonts w:cs="Times New Roman"/>
          <w:lang w:val="fr-CA"/>
        </w:rPr>
        <w:t xml:space="preserve"> l’arrêt</w:t>
      </w:r>
      <w:r w:rsidRPr="000D0016">
        <w:rPr>
          <w:rFonts w:cs="Times New Roman"/>
          <w:lang w:val="fr-CA"/>
        </w:rPr>
        <w:t xml:space="preserve"> </w:t>
      </w:r>
      <w:r w:rsidRPr="000D0016">
        <w:rPr>
          <w:rFonts w:cs="Times New Roman"/>
          <w:i/>
          <w:lang w:val="fr-CA"/>
        </w:rPr>
        <w:t>Vavilov</w:t>
      </w:r>
      <w:r w:rsidRPr="000D0016">
        <w:rPr>
          <w:rFonts w:cs="Times New Roman"/>
          <w:lang w:val="fr-CA"/>
        </w:rPr>
        <w:t>,</w:t>
      </w:r>
      <w:r w:rsidRPr="000D0016">
        <w:rPr>
          <w:rFonts w:cs="Times New Roman"/>
          <w:i/>
          <w:lang w:val="fr-CA"/>
        </w:rPr>
        <w:t xml:space="preserve"> </w:t>
      </w:r>
      <w:r w:rsidRPr="000D0016">
        <w:rPr>
          <w:rFonts w:cs="Times New Roman"/>
          <w:lang w:val="fr-CA"/>
        </w:rPr>
        <w:t xml:space="preserve">la Cour </w:t>
      </w:r>
      <w:r>
        <w:rPr>
          <w:rFonts w:cs="Times New Roman"/>
          <w:lang w:val="fr-CA"/>
        </w:rPr>
        <w:t>statue</w:t>
      </w:r>
      <w:r w:rsidRPr="000D0016">
        <w:rPr>
          <w:rFonts w:cs="Times New Roman"/>
          <w:lang w:val="fr-CA"/>
        </w:rPr>
        <w:t xml:space="preserve"> </w:t>
      </w:r>
      <w:r w:rsidRPr="00823A71">
        <w:rPr>
          <w:rFonts w:cs="Times New Roman"/>
          <w:lang w:val="fr-CA"/>
        </w:rPr>
        <w:t>que « [l]e</w:t>
      </w:r>
      <w:r w:rsidRPr="00823A71">
        <w:rPr>
          <w:rFonts w:cs="Times New Roman"/>
          <w:noProof/>
          <w:lang w:val="fr-CA"/>
        </w:rPr>
        <w:t xml:space="preserve"> contrôle selon la norme de la décision raisonnable vise à donner effet à l’intention du législateur de confier certaines décisions à un organisme administratif, tout en exerçant la fonction constitutionnelle du contrôle judiciaire qui vise à s’assurer que l’exercice du pouvoir étatique est assujetti à la primauté du droit</w:t>
      </w:r>
      <w:r w:rsidRPr="00823A71">
        <w:rPr>
          <w:rFonts w:eastAsia="Times New Roman" w:cs="Times New Roman"/>
          <w:szCs w:val="24"/>
          <w:lang w:val="fr-CA" w:eastAsia="en-CA"/>
        </w:rPr>
        <w:t> »</w:t>
      </w:r>
      <w:r w:rsidRPr="00823A71">
        <w:rPr>
          <w:rFonts w:cs="Times New Roman"/>
          <w:lang w:val="fr-CA"/>
        </w:rPr>
        <w:t xml:space="preserve"> (par. 82</w:t>
      </w:r>
      <w:r w:rsidRPr="000D0016">
        <w:rPr>
          <w:rFonts w:cs="Times New Roman"/>
          <w:lang w:val="fr-CA"/>
        </w:rPr>
        <w:t xml:space="preserve">). La </w:t>
      </w:r>
      <w:r w:rsidRPr="00823A71">
        <w:rPr>
          <w:rFonts w:cs="Times New Roman"/>
          <w:lang w:val="fr-CA"/>
        </w:rPr>
        <w:t>Cour affirme qu’« </w:t>
      </w:r>
      <w:r w:rsidRPr="00823A71">
        <w:rPr>
          <w:rFonts w:cs="Times New Roman"/>
          <w:noProof/>
          <w:lang w:val="fr-CA"/>
        </w:rPr>
        <w:t xml:space="preserve">il ne suffit pas que la décision soit </w:t>
      </w:r>
      <w:r w:rsidRPr="00823A71">
        <w:rPr>
          <w:rFonts w:cs="Times New Roman"/>
          <w:i/>
          <w:noProof/>
          <w:lang w:val="fr-CA"/>
        </w:rPr>
        <w:t>justifiable</w:t>
      </w:r>
      <w:r w:rsidRPr="00823A71">
        <w:rPr>
          <w:rFonts w:cs="Times New Roman"/>
          <w:noProof/>
          <w:lang w:val="fr-CA"/>
        </w:rPr>
        <w:t xml:space="preserve">. Dans les cas où des motifs s’imposent, le décideur doit également, au moyen de ceux-ci, </w:t>
      </w:r>
      <w:r w:rsidRPr="00823A71">
        <w:rPr>
          <w:rFonts w:cs="Times New Roman"/>
          <w:i/>
          <w:noProof/>
          <w:lang w:val="fr-CA"/>
        </w:rPr>
        <w:t xml:space="preserve">justifier </w:t>
      </w:r>
      <w:r w:rsidRPr="00823A71">
        <w:rPr>
          <w:rFonts w:cs="Times New Roman"/>
          <w:noProof/>
          <w:lang w:val="fr-CA"/>
        </w:rPr>
        <w:t>sa décision auprès des personnes auxquelles elle s’applique</w:t>
      </w:r>
      <w:r w:rsidRPr="00823A71">
        <w:rPr>
          <w:rFonts w:cs="Times New Roman"/>
          <w:lang w:val="fr-CA"/>
        </w:rPr>
        <w:t> » (par. 86 (en it</w:t>
      </w:r>
      <w:r w:rsidR="001E14C7">
        <w:rPr>
          <w:rFonts w:cs="Times New Roman"/>
          <w:lang w:val="fr-CA"/>
        </w:rPr>
        <w:t>alique</w:t>
      </w:r>
      <w:r w:rsidRPr="000D0016">
        <w:rPr>
          <w:rFonts w:cs="Times New Roman"/>
          <w:lang w:val="fr-CA"/>
        </w:rPr>
        <w:t xml:space="preserve"> dans l’original)).</w:t>
      </w:r>
    </w:p>
    <w:p w:rsidR="00B7543C" w:rsidRPr="00823A71" w:rsidRDefault="00B7543C" w:rsidP="00B7543C">
      <w:pPr>
        <w:pStyle w:val="ParaNoNdepar-AltN"/>
        <w:spacing w:before="0"/>
        <w:rPr>
          <w:rFonts w:cs="Times New Roman"/>
          <w:lang w:val="fr-CA"/>
        </w:rPr>
      </w:pPr>
      <w:r w:rsidRPr="000D0016">
        <w:rPr>
          <w:rFonts w:cs="Times New Roman"/>
          <w:lang w:val="fr-CA"/>
        </w:rPr>
        <w:t xml:space="preserve">L’arrêt </w:t>
      </w:r>
      <w:r w:rsidRPr="000D0016">
        <w:rPr>
          <w:rFonts w:cs="Times New Roman"/>
          <w:i/>
          <w:lang w:val="fr-CA"/>
        </w:rPr>
        <w:t xml:space="preserve">Vavilov </w:t>
      </w:r>
      <w:r w:rsidRPr="000D0016">
        <w:rPr>
          <w:rFonts w:cs="Times New Roman"/>
          <w:lang w:val="fr-CA"/>
        </w:rPr>
        <w:t>donne des indications sur la façon d’effectuer un contrôle selon la norme de la décision raisonnable qui respecte la primauté du droit, tout en faisant preuve de déférence à l’égard de la décision du titulaire de pouvoirs délégués par la loi. Bien que le contrôle empreint de déférence n’ait jamais voulu dire qu’il faut « respecter aveuglément » les conclusions de décideurs établis par la loi (</w:t>
      </w:r>
      <w:r w:rsidRPr="000D0016">
        <w:rPr>
          <w:rFonts w:cs="Times New Roman"/>
          <w:i/>
          <w:lang w:val="fr-CA"/>
        </w:rPr>
        <w:t>Dunsmuir</w:t>
      </w:r>
      <w:r w:rsidRPr="000D0016">
        <w:rPr>
          <w:rFonts w:cs="Times New Roman"/>
          <w:lang w:val="fr-CA"/>
        </w:rPr>
        <w:t>,</w:t>
      </w:r>
      <w:r w:rsidRPr="000D0016">
        <w:rPr>
          <w:rFonts w:cs="Times New Roman"/>
          <w:i/>
          <w:lang w:val="fr-CA"/>
        </w:rPr>
        <w:t xml:space="preserve"> </w:t>
      </w:r>
      <w:r w:rsidRPr="000D0016">
        <w:rPr>
          <w:rFonts w:cs="Times New Roman"/>
          <w:lang w:val="fr-CA"/>
        </w:rPr>
        <w:t>par. 48), la Cour dans</w:t>
      </w:r>
      <w:r>
        <w:rPr>
          <w:rFonts w:cs="Times New Roman"/>
          <w:lang w:val="fr-CA"/>
        </w:rPr>
        <w:t xml:space="preserve"> l’arrêt</w:t>
      </w:r>
      <w:r w:rsidRPr="000D0016">
        <w:rPr>
          <w:rFonts w:cs="Times New Roman"/>
          <w:lang w:val="fr-CA"/>
        </w:rPr>
        <w:t xml:space="preserve"> </w:t>
      </w:r>
      <w:r w:rsidRPr="000D0016">
        <w:rPr>
          <w:rFonts w:cs="Times New Roman"/>
          <w:i/>
          <w:lang w:val="fr-CA"/>
        </w:rPr>
        <w:t>Vavilov</w:t>
      </w:r>
      <w:r>
        <w:rPr>
          <w:rFonts w:cs="Times New Roman"/>
          <w:lang w:val="fr-CA"/>
        </w:rPr>
        <w:t xml:space="preserve"> souligne</w:t>
      </w:r>
      <w:r w:rsidRPr="000D0016">
        <w:rPr>
          <w:rFonts w:cs="Times New Roman"/>
          <w:lang w:val="fr-CA"/>
        </w:rPr>
        <w:t xml:space="preserve"> une fois de plus que le contrôle judiciaire concerne non seulement le résultat, mais aussi la justification du résultat (lorsqu</w:t>
      </w:r>
      <w:r>
        <w:rPr>
          <w:rFonts w:cs="Times New Roman"/>
          <w:lang w:val="fr-CA"/>
        </w:rPr>
        <w:t>e d</w:t>
      </w:r>
      <w:r w:rsidRPr="000D0016">
        <w:rPr>
          <w:rFonts w:cs="Times New Roman"/>
          <w:lang w:val="fr-CA"/>
        </w:rPr>
        <w:t>es motifs</w:t>
      </w:r>
      <w:r>
        <w:rPr>
          <w:rFonts w:cs="Times New Roman"/>
          <w:lang w:val="fr-CA"/>
        </w:rPr>
        <w:t xml:space="preserve"> sont requis</w:t>
      </w:r>
      <w:r w:rsidRPr="000D0016">
        <w:rPr>
          <w:rFonts w:cs="Times New Roman"/>
          <w:lang w:val="fr-CA"/>
        </w:rPr>
        <w:t xml:space="preserve">). </w:t>
      </w:r>
      <w:r>
        <w:rPr>
          <w:rFonts w:cs="Times New Roman"/>
          <w:lang w:val="fr-CA"/>
        </w:rPr>
        <w:t>Comme l’</w:t>
      </w:r>
      <w:r w:rsidRPr="000D0016">
        <w:rPr>
          <w:rFonts w:cs="Times New Roman"/>
          <w:lang w:val="fr-CA"/>
        </w:rPr>
        <w:t xml:space="preserve">écrit la Cour, les </w:t>
      </w:r>
      <w:r w:rsidRPr="00823A71">
        <w:rPr>
          <w:rFonts w:cs="Times New Roman"/>
          <w:lang w:val="fr-CA"/>
        </w:rPr>
        <w:t>motifs « </w:t>
      </w:r>
      <w:r w:rsidRPr="00823A71">
        <w:rPr>
          <w:rFonts w:cs="Times New Roman"/>
          <w:noProof/>
          <w:lang w:val="fr-CA" w:bidi="en-US"/>
        </w:rPr>
        <w:t>constituent le mécanisme principal par lequel les décideurs administratifs démontrent le caractère raisonnable de leurs décisions</w:t>
      </w:r>
      <w:r w:rsidRPr="00823A71">
        <w:rPr>
          <w:rFonts w:cs="Times New Roman"/>
          <w:lang w:val="fr-CA"/>
        </w:rPr>
        <w:t> » (par. 81). « [S]</w:t>
      </w:r>
      <w:r w:rsidRPr="00823A71">
        <w:rPr>
          <w:rFonts w:cs="Times New Roman"/>
          <w:noProof/>
          <w:lang w:val="fr-CA" w:bidi="en-US"/>
        </w:rPr>
        <w:t>i des motifs sont communiqués, mais que ceux</w:t>
      </w:r>
      <w:r w:rsidRPr="00823A71">
        <w:rPr>
          <w:rFonts w:cs="Times New Roman"/>
          <w:noProof/>
          <w:lang w:val="fr-CA" w:bidi="en-US"/>
        </w:rPr>
        <w:noBreakHyphen/>
        <w:t>ci ne justifient pas la décision de manière transparente et intelligible [.</w:t>
      </w:r>
      <w:r w:rsidRPr="00823A71">
        <w:rPr>
          <w:lang w:val="fr-CA"/>
        </w:rPr>
        <w:t> . .]</w:t>
      </w:r>
      <w:r w:rsidRPr="00823A71">
        <w:rPr>
          <w:rFonts w:cs="Times New Roman"/>
          <w:noProof/>
          <w:lang w:val="fr-CA" w:bidi="en-US"/>
        </w:rPr>
        <w:t>, la décision sera déraisonnable</w:t>
      </w:r>
      <w:r w:rsidRPr="00823A71">
        <w:rPr>
          <w:rFonts w:cs="Times New Roman"/>
          <w:lang w:val="fr-CA"/>
        </w:rPr>
        <w:t> » (</w:t>
      </w:r>
      <w:r w:rsidRPr="00823A71">
        <w:rPr>
          <w:rFonts w:cs="Times New Roman"/>
          <w:i/>
          <w:lang w:val="fr-CA"/>
        </w:rPr>
        <w:t>Vavilov</w:t>
      </w:r>
      <w:r w:rsidRPr="00823A71">
        <w:rPr>
          <w:rFonts w:cs="Times New Roman"/>
          <w:lang w:val="fr-CA"/>
        </w:rPr>
        <w:t>,</w:t>
      </w:r>
      <w:r w:rsidRPr="00823A71">
        <w:rPr>
          <w:rFonts w:cs="Times New Roman"/>
          <w:i/>
          <w:lang w:val="fr-CA"/>
        </w:rPr>
        <w:t xml:space="preserve"> </w:t>
      </w:r>
      <w:r w:rsidRPr="00823A71">
        <w:rPr>
          <w:rFonts w:cs="Times New Roman"/>
          <w:lang w:val="fr-CA"/>
        </w:rPr>
        <w:t>par. 136).</w:t>
      </w:r>
    </w:p>
    <w:p w:rsidR="00B7543C" w:rsidRPr="000D0016" w:rsidRDefault="00B7543C" w:rsidP="00B7543C">
      <w:pPr>
        <w:pStyle w:val="ParaNoNdepar-AltN"/>
        <w:spacing w:before="0"/>
        <w:rPr>
          <w:rFonts w:cs="Times New Roman"/>
          <w:lang w:val="fr-CA"/>
        </w:rPr>
      </w:pPr>
      <w:r w:rsidRPr="000D0016">
        <w:rPr>
          <w:rFonts w:cs="Times New Roman"/>
          <w:lang w:val="fr-CA"/>
        </w:rPr>
        <w:t>En l’espèce, l’agent d’appel était tenu de motiver sa décision par écrit (Code, par. 146.1(2)). Il l’a fait et a exposé des motifs détaillés à</w:t>
      </w:r>
      <w:r>
        <w:rPr>
          <w:rFonts w:cs="Times New Roman"/>
          <w:lang w:val="fr-CA"/>
        </w:rPr>
        <w:t xml:space="preserve"> l’appui de celle</w:t>
      </w:r>
      <w:r>
        <w:rPr>
          <w:rFonts w:cs="Times New Roman"/>
          <w:lang w:val="fr-CA"/>
        </w:rPr>
        <w:noBreakHyphen/>
        <w:t>ci</w:t>
      </w:r>
      <w:r w:rsidRPr="000D0016">
        <w:rPr>
          <w:rFonts w:cs="Times New Roman"/>
          <w:lang w:val="fr-CA"/>
        </w:rPr>
        <w:t xml:space="preserve">. Comme nous le </w:t>
      </w:r>
      <w:r w:rsidRPr="00823A71">
        <w:rPr>
          <w:rFonts w:cs="Times New Roman"/>
          <w:lang w:val="fr-CA"/>
        </w:rPr>
        <w:t>verrons, [</w:t>
      </w:r>
      <w:r w:rsidRPr="00823A71">
        <w:rPr>
          <w:rFonts w:cs="Times New Roman"/>
          <w:smallCaps/>
          <w:lang w:val="fr-CA"/>
        </w:rPr>
        <w:t>traduction</w:t>
      </w:r>
      <w:r w:rsidRPr="00823A71">
        <w:rPr>
          <w:rFonts w:cs="Times New Roman"/>
          <w:lang w:val="fr-CA"/>
        </w:rPr>
        <w:t>] « </w:t>
      </w:r>
      <w:r w:rsidRPr="00823A71">
        <w:rPr>
          <w:rFonts w:cs="Times New Roman"/>
          <w:noProof/>
          <w:lang w:val="fr-CA"/>
        </w:rPr>
        <w:t>la discipline de motiver une décision »</w:t>
      </w:r>
      <w:r w:rsidRPr="00823A71">
        <w:rPr>
          <w:rFonts w:cs="Times New Roman"/>
          <w:lang w:val="fr-CA"/>
        </w:rPr>
        <w:t xml:space="preserve"> </w:t>
      </w:r>
      <w:r w:rsidRPr="00823A71">
        <w:rPr>
          <w:rFonts w:cs="Times New Roman"/>
          <w:lang w:val="fr-CA"/>
        </w:rPr>
        <w:lastRenderedPageBreak/>
        <w:t xml:space="preserve">(R. J. Sharpe, </w:t>
      </w:r>
      <w:r w:rsidRPr="00823A71">
        <w:rPr>
          <w:rFonts w:cs="Times New Roman"/>
          <w:i/>
          <w:lang w:val="fr-CA"/>
        </w:rPr>
        <w:t>Good Judgment</w:t>
      </w:r>
      <w:r w:rsidRPr="00823A71">
        <w:rPr>
          <w:rFonts w:cs="Times New Roman"/>
          <w:lang w:val="fr-CA"/>
        </w:rPr>
        <w:t> </w:t>
      </w:r>
      <w:r w:rsidRPr="001E14C7">
        <w:rPr>
          <w:rFonts w:cs="Times New Roman"/>
          <w:i/>
          <w:lang w:val="fr-CA"/>
        </w:rPr>
        <w:t xml:space="preserve">: </w:t>
      </w:r>
      <w:r w:rsidRPr="00823A71">
        <w:rPr>
          <w:rFonts w:cs="Times New Roman"/>
          <w:i/>
          <w:lang w:val="fr-CA"/>
        </w:rPr>
        <w:t>Making Judicial Decisions</w:t>
      </w:r>
      <w:r w:rsidRPr="00823A71">
        <w:rPr>
          <w:rFonts w:cs="Times New Roman"/>
          <w:lang w:val="fr-CA"/>
        </w:rPr>
        <w:t xml:space="preserve"> (2018), p. 134, cité dans </w:t>
      </w:r>
      <w:r w:rsidRPr="00823A71">
        <w:rPr>
          <w:rFonts w:cs="Times New Roman"/>
          <w:i/>
          <w:lang w:val="fr-CA"/>
        </w:rPr>
        <w:t>Vavilov</w:t>
      </w:r>
      <w:r w:rsidRPr="00823A71">
        <w:rPr>
          <w:rFonts w:cs="Times New Roman"/>
          <w:lang w:val="fr-CA"/>
        </w:rPr>
        <w:t xml:space="preserve">, par. 80) exercée dans la présente affaire « démontr[e] </w:t>
      </w:r>
      <w:r w:rsidRPr="00823A71">
        <w:rPr>
          <w:noProof/>
          <w:lang w:val="fr-CA"/>
        </w:rPr>
        <w:t xml:space="preserve">que la décision a été rendue de manière équitable et licite » </w:t>
      </w:r>
      <w:r w:rsidRPr="00823A71">
        <w:rPr>
          <w:rFonts w:cs="Times New Roman"/>
          <w:lang w:val="fr-CA"/>
        </w:rPr>
        <w:t>(</w:t>
      </w:r>
      <w:r w:rsidRPr="00823A71">
        <w:rPr>
          <w:rFonts w:cs="Times New Roman"/>
          <w:i/>
          <w:lang w:val="fr-CA"/>
        </w:rPr>
        <w:t>Vav</w:t>
      </w:r>
      <w:r w:rsidRPr="000D0016">
        <w:rPr>
          <w:rFonts w:cs="Times New Roman"/>
          <w:i/>
          <w:lang w:val="fr-CA"/>
        </w:rPr>
        <w:t>ilov</w:t>
      </w:r>
      <w:r w:rsidRPr="000D0016">
        <w:rPr>
          <w:rFonts w:cs="Times New Roman"/>
          <w:lang w:val="fr-CA"/>
        </w:rPr>
        <w:t>, par. </w:t>
      </w:r>
      <w:r>
        <w:rPr>
          <w:rFonts w:cs="Times New Roman"/>
          <w:lang w:val="fr-CA"/>
        </w:rPr>
        <w:t>79</w:t>
      </w:r>
      <w:r w:rsidRPr="000D0016">
        <w:rPr>
          <w:rFonts w:cs="Times New Roman"/>
          <w:lang w:val="fr-CA"/>
        </w:rPr>
        <w:t xml:space="preserve">). L’agent d’appel explique de façon convaincante dans ses </w:t>
      </w:r>
      <w:r w:rsidRPr="00823A71">
        <w:rPr>
          <w:rFonts w:cs="Times New Roman"/>
          <w:lang w:val="fr-CA"/>
        </w:rPr>
        <w:t>motifs « </w:t>
      </w:r>
      <w:r w:rsidRPr="00823A71">
        <w:rPr>
          <w:rFonts w:eastAsia="Times New Roman" w:cs="Times New Roman"/>
          <w:szCs w:val="24"/>
          <w:lang w:val="fr-CA" w:eastAsia="en-CA"/>
        </w:rPr>
        <w:t>la justification de la décision</w:t>
      </w:r>
      <w:r w:rsidRPr="00823A71">
        <w:rPr>
          <w:rFonts w:cs="Times New Roman"/>
          <w:lang w:val="fr-CA"/>
        </w:rPr>
        <w:t> » (</w:t>
      </w:r>
      <w:r w:rsidRPr="00823A71">
        <w:rPr>
          <w:rFonts w:cs="Times New Roman"/>
          <w:i/>
          <w:lang w:val="fr-CA"/>
        </w:rPr>
        <w:t>Vavilov</w:t>
      </w:r>
      <w:r w:rsidRPr="000D0016">
        <w:rPr>
          <w:rFonts w:cs="Times New Roman"/>
          <w:lang w:val="fr-CA"/>
        </w:rPr>
        <w:t>,</w:t>
      </w:r>
      <w:r w:rsidRPr="000D0016">
        <w:rPr>
          <w:rFonts w:cs="Times New Roman"/>
          <w:i/>
          <w:lang w:val="fr-CA"/>
        </w:rPr>
        <w:t xml:space="preserve"> </w:t>
      </w:r>
      <w:r w:rsidRPr="000D0016">
        <w:rPr>
          <w:rFonts w:cs="Times New Roman"/>
          <w:lang w:val="fr-CA"/>
        </w:rPr>
        <w:t>par. </w:t>
      </w:r>
      <w:r>
        <w:rPr>
          <w:rFonts w:cs="Times New Roman"/>
          <w:lang w:val="fr-CA"/>
        </w:rPr>
        <w:t>81</w:t>
      </w:r>
      <w:r w:rsidRPr="000D0016">
        <w:rPr>
          <w:rFonts w:cs="Times New Roman"/>
          <w:lang w:val="fr-CA"/>
        </w:rPr>
        <w:t xml:space="preserve">). Les motifs exposés par le décideur administratif en l’espèce </w:t>
      </w:r>
      <w:r>
        <w:rPr>
          <w:rFonts w:cs="Times New Roman"/>
          <w:lang w:val="fr-CA"/>
        </w:rPr>
        <w:t>son</w:t>
      </w:r>
      <w:r w:rsidRPr="000D0016">
        <w:rPr>
          <w:rFonts w:cs="Times New Roman"/>
          <w:lang w:val="fr-CA"/>
        </w:rPr>
        <w:t>t exemplaires. Il importe toutefois de souligner que ce que doit faire le titulaire de pouvoirs délégués par la loi pour justifier sa décision dépend du contexte dans lequel la décision est rendue. La cour de révision doit garder à l’esprit qu’elle ne doit pas appliquer une norme de perfection (</w:t>
      </w:r>
      <w:r w:rsidRPr="000D0016">
        <w:rPr>
          <w:rFonts w:cs="Times New Roman"/>
          <w:i/>
          <w:lang w:val="fr-CA"/>
        </w:rPr>
        <w:t>Vavilov</w:t>
      </w:r>
      <w:r w:rsidRPr="000D0016">
        <w:rPr>
          <w:rFonts w:cs="Times New Roman"/>
          <w:lang w:val="fr-CA"/>
        </w:rPr>
        <w:t>, par. 9</w:t>
      </w:r>
      <w:r>
        <w:rPr>
          <w:rFonts w:cs="Times New Roman"/>
          <w:lang w:val="fr-CA"/>
        </w:rPr>
        <w:t>1</w:t>
      </w:r>
      <w:r w:rsidRPr="000D0016">
        <w:rPr>
          <w:rFonts w:cs="Times New Roman"/>
          <w:lang w:val="fr-CA"/>
        </w:rPr>
        <w:t>). « [L]orsqu’on les examine à la lumière des éléments de preuve dont il disposait et de la nature de la tâche que la loi lui confie, [. . .] les motifs du [décideur administratif] [devraient] [plutôt] explique[r] de façon adéquate le fondement de sa décision » (</w:t>
      </w:r>
      <w:r w:rsidRPr="000D0016">
        <w:rPr>
          <w:rFonts w:cs="Times New Roman"/>
          <w:i/>
          <w:lang w:val="fr-CA"/>
        </w:rPr>
        <w:t>Newfoundland and Labrador Nurses’ Union c. Terre</w:t>
      </w:r>
      <w:r w:rsidRPr="000D0016">
        <w:rPr>
          <w:rFonts w:cs="Times New Roman"/>
          <w:i/>
          <w:lang w:val="fr-CA"/>
        </w:rPr>
        <w:noBreakHyphen/>
        <w:t>Neuve</w:t>
      </w:r>
      <w:r w:rsidRPr="000D0016">
        <w:rPr>
          <w:rFonts w:cs="Times New Roman"/>
          <w:i/>
          <w:lang w:val="fr-CA"/>
        </w:rPr>
        <w:noBreakHyphen/>
        <w:t>et</w:t>
      </w:r>
      <w:r w:rsidRPr="000D0016">
        <w:rPr>
          <w:rFonts w:cs="Times New Roman"/>
          <w:i/>
          <w:lang w:val="fr-CA"/>
        </w:rPr>
        <w:noBreakHyphen/>
        <w:t>Labrador (Conseil du Trésor)</w:t>
      </w:r>
      <w:r w:rsidRPr="000D0016">
        <w:rPr>
          <w:rFonts w:cs="Times New Roman"/>
          <w:lang w:val="fr-CA"/>
        </w:rPr>
        <w:t xml:space="preserve">, 2011 CSC 62, [2011] 3 R.C.S. 708, par. 18, citant </w:t>
      </w:r>
      <w:r w:rsidRPr="000D0016">
        <w:rPr>
          <w:rFonts w:cs="Times New Roman"/>
          <w:i/>
          <w:lang w:val="fr-CA"/>
        </w:rPr>
        <w:t>Société canadienne des postes</w:t>
      </w:r>
      <w:r w:rsidRPr="000D0016">
        <w:rPr>
          <w:rFonts w:cs="Times New Roman"/>
          <w:i/>
          <w:iCs/>
          <w:lang w:val="fr-CA"/>
        </w:rPr>
        <w:t xml:space="preserve"> c. Alliance de la Fonction publique du Canada</w:t>
      </w:r>
      <w:r w:rsidRPr="000D0016">
        <w:rPr>
          <w:rFonts w:cs="Times New Roman"/>
          <w:lang w:val="fr-CA"/>
        </w:rPr>
        <w:t>, 2010 CAF 56, [2011] 2 R.C.F. 221, par. 163</w:t>
      </w:r>
      <w:r w:rsidRPr="00320770">
        <w:rPr>
          <w:rFonts w:cs="Times New Roman"/>
          <w:lang w:val="fr-CA"/>
        </w:rPr>
        <w:t>, le juge Evans, dissident; notre Cour a adopté les motifs de ce dernier : voir 2011</w:t>
      </w:r>
      <w:r w:rsidRPr="000D0016">
        <w:rPr>
          <w:rFonts w:cs="Times New Roman"/>
          <w:lang w:val="fr-CA"/>
        </w:rPr>
        <w:t xml:space="preserve"> CSC 57, [2011] 3 R.C.S. 572). Les motifs devraient </w:t>
      </w:r>
      <w:r w:rsidRPr="00320770">
        <w:rPr>
          <w:rFonts w:cs="Times New Roman"/>
          <w:lang w:val="fr-CA"/>
        </w:rPr>
        <w:t>démontrer que la décision est conforme aux contraintes juridiques et factuelles pertinen</w:t>
      </w:r>
      <w:r w:rsidRPr="000D0016">
        <w:rPr>
          <w:rFonts w:cs="Times New Roman"/>
          <w:lang w:val="fr-CA"/>
        </w:rPr>
        <w:t>tes ayant une incidence sur le décideur et sur la question en litige (</w:t>
      </w:r>
      <w:r w:rsidRPr="000D0016">
        <w:rPr>
          <w:rFonts w:cs="Times New Roman"/>
          <w:i/>
          <w:lang w:val="fr-CA"/>
        </w:rPr>
        <w:t>Vavilov</w:t>
      </w:r>
      <w:r w:rsidRPr="000D0016">
        <w:rPr>
          <w:rFonts w:cs="Times New Roman"/>
          <w:lang w:val="fr-CA"/>
        </w:rPr>
        <w:t>, par. </w:t>
      </w:r>
      <w:r>
        <w:rPr>
          <w:rFonts w:cs="Times New Roman"/>
          <w:lang w:val="fr-CA"/>
        </w:rPr>
        <w:t>105</w:t>
      </w:r>
      <w:r w:rsidRPr="000D0016">
        <w:rPr>
          <w:rFonts w:cs="Times New Roman"/>
          <w:lang w:val="fr-CA"/>
        </w:rPr>
        <w:noBreakHyphen/>
        <w:t>10</w:t>
      </w:r>
      <w:r>
        <w:rPr>
          <w:rFonts w:cs="Times New Roman"/>
          <w:lang w:val="fr-CA"/>
        </w:rPr>
        <w:t>7</w:t>
      </w:r>
      <w:r w:rsidRPr="000D0016">
        <w:rPr>
          <w:rFonts w:cs="Times New Roman"/>
          <w:lang w:val="fr-CA"/>
        </w:rPr>
        <w:t>).</w:t>
      </w:r>
    </w:p>
    <w:p w:rsidR="00B7543C" w:rsidRPr="000D0016" w:rsidRDefault="00B7543C" w:rsidP="00B7543C">
      <w:pPr>
        <w:pStyle w:val="ParaNoNdepar-AltN"/>
        <w:rPr>
          <w:rFonts w:cs="Times New Roman"/>
          <w:lang w:val="fr-CA"/>
        </w:rPr>
      </w:pPr>
      <w:r w:rsidRPr="000D0016">
        <w:rPr>
          <w:rFonts w:cs="Times New Roman"/>
          <w:lang w:val="fr-CA"/>
        </w:rPr>
        <w:t xml:space="preserve">La </w:t>
      </w:r>
      <w:r w:rsidRPr="00823A71">
        <w:rPr>
          <w:rFonts w:cs="Times New Roman"/>
          <w:lang w:val="fr-CA"/>
        </w:rPr>
        <w:t>décision raisonnable « </w:t>
      </w:r>
      <w:r w:rsidRPr="00823A71">
        <w:rPr>
          <w:rFonts w:cs="Times New Roman"/>
          <w:noProof/>
          <w:lang w:val="fr-CA"/>
        </w:rPr>
        <w:t>doit être fondée sur une analyse intrinsèquement cohérente et rationnelle et est justifiée au regard des contraintes juridiques et factuelles auxquelles le décideur est assujetti</w:t>
      </w:r>
      <w:r w:rsidRPr="00823A71">
        <w:rPr>
          <w:rFonts w:cs="Times New Roman"/>
          <w:lang w:val="fr-CA"/>
        </w:rPr>
        <w:t> »</w:t>
      </w:r>
      <w:r w:rsidRPr="00823A71">
        <w:rPr>
          <w:rFonts w:cs="Times New Roman"/>
          <w:szCs w:val="24"/>
          <w:lang w:val="fr-CA"/>
        </w:rPr>
        <w:t xml:space="preserve"> (</w:t>
      </w:r>
      <w:r w:rsidRPr="00823A71">
        <w:rPr>
          <w:rFonts w:cs="Times New Roman"/>
          <w:i/>
          <w:szCs w:val="24"/>
          <w:lang w:val="fr-CA"/>
        </w:rPr>
        <w:t>Vavilov</w:t>
      </w:r>
      <w:r w:rsidRPr="00823A71">
        <w:rPr>
          <w:rFonts w:cs="Times New Roman"/>
          <w:szCs w:val="24"/>
          <w:lang w:val="fr-CA"/>
        </w:rPr>
        <w:t>,</w:t>
      </w:r>
      <w:r w:rsidRPr="00823A71">
        <w:rPr>
          <w:rFonts w:cs="Times New Roman"/>
          <w:i/>
          <w:szCs w:val="24"/>
          <w:lang w:val="fr-CA"/>
        </w:rPr>
        <w:t xml:space="preserve"> </w:t>
      </w:r>
      <w:r w:rsidRPr="00823A71">
        <w:rPr>
          <w:rFonts w:cs="Times New Roman"/>
          <w:szCs w:val="24"/>
          <w:lang w:val="fr-CA"/>
        </w:rPr>
        <w:t>par. 85).</w:t>
      </w:r>
      <w:r w:rsidRPr="000D0016">
        <w:rPr>
          <w:rFonts w:cs="Times New Roman"/>
          <w:szCs w:val="24"/>
          <w:lang w:val="fr-CA"/>
        </w:rPr>
        <w:t xml:space="preserve"> Par conséquent, lorsqu’elle procède au contrôle d’une décision selon la norme de la </w:t>
      </w:r>
      <w:r w:rsidRPr="00823A71">
        <w:rPr>
          <w:rFonts w:cs="Times New Roman"/>
          <w:szCs w:val="24"/>
          <w:lang w:val="fr-CA"/>
        </w:rPr>
        <w:t xml:space="preserve">décision </w:t>
      </w:r>
      <w:r w:rsidRPr="00823A71">
        <w:rPr>
          <w:rFonts w:cs="Times New Roman"/>
          <w:lang w:val="fr-CA"/>
        </w:rPr>
        <w:t>raisonnable, « </w:t>
      </w:r>
      <w:r w:rsidRPr="00823A71">
        <w:rPr>
          <w:rFonts w:cs="Times New Roman"/>
          <w:noProof/>
          <w:lang w:val="fr-CA"/>
        </w:rPr>
        <w:t xml:space="preserve">une cour de révision doit d’abord examiner les motifs donnés avec “une attention </w:t>
      </w:r>
      <w:r w:rsidRPr="00823A71">
        <w:rPr>
          <w:rFonts w:cs="Times New Roman"/>
          <w:noProof/>
          <w:lang w:val="fr-CA"/>
        </w:rPr>
        <w:lastRenderedPageBreak/>
        <w:t>respectueuse”, et chercher à comprendre le fil du raisonnement suivi par le décideur pour en arriver à [l]a conclusion</w:t>
      </w:r>
      <w:r w:rsidRPr="00823A71">
        <w:rPr>
          <w:rFonts w:eastAsia="Times New Roman" w:cs="Times New Roman"/>
          <w:szCs w:val="24"/>
          <w:lang w:val="fr-CA" w:eastAsia="en-CA"/>
        </w:rPr>
        <w:t> »</w:t>
      </w:r>
      <w:r w:rsidRPr="00823A71">
        <w:rPr>
          <w:rFonts w:cs="Times New Roman"/>
          <w:lang w:val="fr-CA"/>
        </w:rPr>
        <w:t xml:space="preserve"> (</w:t>
      </w:r>
      <w:r w:rsidRPr="000D0016">
        <w:rPr>
          <w:rFonts w:cs="Times New Roman"/>
          <w:i/>
          <w:lang w:val="fr-CA"/>
        </w:rPr>
        <w:t>Vavilov</w:t>
      </w:r>
      <w:r w:rsidRPr="000D0016">
        <w:rPr>
          <w:rFonts w:cs="Times New Roman"/>
          <w:lang w:val="fr-CA"/>
        </w:rPr>
        <w:t>, par. </w:t>
      </w:r>
      <w:r>
        <w:rPr>
          <w:rFonts w:cs="Times New Roman"/>
          <w:lang w:val="fr-CA"/>
        </w:rPr>
        <w:t>84</w:t>
      </w:r>
      <w:r w:rsidRPr="000D0016">
        <w:rPr>
          <w:rFonts w:cs="Times New Roman"/>
          <w:lang w:val="fr-CA"/>
        </w:rPr>
        <w:t xml:space="preserve">, citant </w:t>
      </w:r>
      <w:r w:rsidRPr="000D0016">
        <w:rPr>
          <w:rFonts w:cs="Times New Roman"/>
          <w:i/>
          <w:lang w:val="fr-CA"/>
        </w:rPr>
        <w:t>Dunsmuir</w:t>
      </w:r>
      <w:r w:rsidRPr="000D0016">
        <w:rPr>
          <w:rFonts w:cs="Times New Roman"/>
          <w:lang w:val="fr-CA"/>
        </w:rPr>
        <w:t xml:space="preserve">, par. 48). Les motifs devraient être interprétés de façon globale et contextuelle afin de comprendre </w:t>
      </w:r>
      <w:r w:rsidRPr="00823A71">
        <w:rPr>
          <w:rFonts w:cs="Times New Roman"/>
          <w:lang w:val="fr-CA"/>
        </w:rPr>
        <w:t>« le fondement sur lequel repose la décision » (</w:t>
      </w:r>
      <w:r w:rsidRPr="00823A71">
        <w:rPr>
          <w:rFonts w:cs="Times New Roman"/>
          <w:i/>
          <w:lang w:val="fr-CA"/>
        </w:rPr>
        <w:t>Vavilov</w:t>
      </w:r>
      <w:r w:rsidRPr="000D0016">
        <w:rPr>
          <w:rFonts w:cs="Times New Roman"/>
          <w:lang w:val="fr-CA"/>
        </w:rPr>
        <w:t>, par. 9</w:t>
      </w:r>
      <w:r>
        <w:rPr>
          <w:rFonts w:cs="Times New Roman"/>
          <w:lang w:val="fr-CA"/>
        </w:rPr>
        <w:t>7</w:t>
      </w:r>
      <w:r w:rsidRPr="000D0016">
        <w:rPr>
          <w:rFonts w:cs="Times New Roman"/>
          <w:lang w:val="fr-CA"/>
        </w:rPr>
        <w:t xml:space="preserve">, citant </w:t>
      </w:r>
      <w:r w:rsidRPr="000D0016">
        <w:rPr>
          <w:rFonts w:cs="Times New Roman"/>
          <w:i/>
          <w:lang w:val="fr-CA"/>
        </w:rPr>
        <w:t>Newfoundland Nurses</w:t>
      </w:r>
      <w:r w:rsidRPr="000D0016">
        <w:rPr>
          <w:rFonts w:cs="Times New Roman"/>
          <w:lang w:val="fr-CA"/>
        </w:rPr>
        <w:t>).</w:t>
      </w:r>
    </w:p>
    <w:p w:rsidR="00B7543C" w:rsidRPr="000D0016" w:rsidRDefault="00B7543C" w:rsidP="00B7543C">
      <w:pPr>
        <w:pStyle w:val="ParaNoNdepar-AltN"/>
        <w:spacing w:before="0"/>
        <w:rPr>
          <w:rFonts w:cs="Times New Roman"/>
          <w:lang w:val="fr-CA"/>
        </w:rPr>
      </w:pPr>
      <w:r w:rsidRPr="000D0016">
        <w:rPr>
          <w:rFonts w:cs="Times New Roman"/>
          <w:lang w:val="fr-CA"/>
        </w:rPr>
        <w:t>La cour de révision devrait se demander si la décision dans son ensemble est raisonnable </w:t>
      </w:r>
      <w:r w:rsidRPr="00823A71">
        <w:rPr>
          <w:rFonts w:cs="Times New Roman"/>
          <w:lang w:val="fr-CA"/>
        </w:rPr>
        <w:t>: «</w:t>
      </w:r>
      <w:r w:rsidR="00B4502A">
        <w:rPr>
          <w:rFonts w:cs="Times New Roman"/>
          <w:lang w:val="fr-CA"/>
        </w:rPr>
        <w:t xml:space="preserve"> . . . </w:t>
      </w:r>
      <w:r w:rsidRPr="00823A71">
        <w:rPr>
          <w:rFonts w:cs="Times New Roman"/>
          <w:noProof/>
          <w:lang w:val="fr-CA"/>
        </w:rPr>
        <w:t>ce qui est raisonnable dans un cas donné dépend toujours des contraintes juridiques et factuelles propres au contexte de la décision particulière sous examen</w:t>
      </w:r>
      <w:r w:rsidRPr="00823A71">
        <w:rPr>
          <w:rFonts w:cs="Times New Roman"/>
          <w:lang w:val="fr-CA"/>
        </w:rPr>
        <w:t> » (</w:t>
      </w:r>
      <w:r w:rsidRPr="00823A71">
        <w:rPr>
          <w:rFonts w:cs="Times New Roman"/>
          <w:i/>
          <w:lang w:val="fr-CA"/>
        </w:rPr>
        <w:t>Vavilov</w:t>
      </w:r>
      <w:r w:rsidRPr="00823A71">
        <w:rPr>
          <w:rFonts w:cs="Times New Roman"/>
          <w:lang w:val="fr-CA"/>
        </w:rPr>
        <w:t>,</w:t>
      </w:r>
      <w:r w:rsidRPr="00823A71">
        <w:rPr>
          <w:rFonts w:cs="Times New Roman"/>
          <w:i/>
          <w:lang w:val="fr-CA"/>
        </w:rPr>
        <w:t xml:space="preserve"> </w:t>
      </w:r>
      <w:r w:rsidRPr="00823A71">
        <w:rPr>
          <w:rFonts w:cs="Times New Roman"/>
          <w:lang w:val="fr-CA"/>
        </w:rPr>
        <w:t>par. 90).</w:t>
      </w:r>
      <w:r w:rsidRPr="000D0016">
        <w:rPr>
          <w:rFonts w:cs="Times New Roman"/>
          <w:lang w:val="fr-CA"/>
        </w:rPr>
        <w:t xml:space="preserve"> Elle doit se </w:t>
      </w:r>
      <w:r w:rsidRPr="00823A71">
        <w:rPr>
          <w:rFonts w:cs="Times New Roman"/>
          <w:lang w:val="fr-CA"/>
        </w:rPr>
        <w:t xml:space="preserve">demander « si la décision </w:t>
      </w:r>
      <w:r w:rsidRPr="00823A71">
        <w:rPr>
          <w:rFonts w:cs="Times New Roman"/>
          <w:noProof/>
          <w:lang w:val="fr-CA"/>
        </w:rPr>
        <w:t>possède les caractéristiques d’une décision raisonnable, soit la justification, la transparence et l’intelligibilité, et si la décision est justifiée au regard des contraintes factuelles et juridiques pertinentes qui ont une incidence sur celle</w:t>
      </w:r>
      <w:r w:rsidRPr="00823A71">
        <w:rPr>
          <w:rFonts w:cs="Times New Roman"/>
          <w:noProof/>
          <w:lang w:val="fr-CA"/>
        </w:rPr>
        <w:noBreakHyphen/>
        <w:t>ci</w:t>
      </w:r>
      <w:r w:rsidRPr="00823A71">
        <w:rPr>
          <w:rFonts w:cs="Times New Roman"/>
          <w:lang w:val="fr-CA"/>
        </w:rPr>
        <w:t> » (</w:t>
      </w:r>
      <w:r w:rsidRPr="00823A71">
        <w:rPr>
          <w:rFonts w:cs="Times New Roman"/>
          <w:i/>
          <w:lang w:val="fr-CA"/>
        </w:rPr>
        <w:t>Vavilov</w:t>
      </w:r>
      <w:r w:rsidRPr="00823A71">
        <w:rPr>
          <w:rFonts w:cs="Times New Roman"/>
          <w:lang w:val="fr-CA"/>
        </w:rPr>
        <w:t>,</w:t>
      </w:r>
      <w:r w:rsidRPr="00823A71">
        <w:rPr>
          <w:rFonts w:cs="Times New Roman"/>
          <w:i/>
          <w:lang w:val="fr-CA"/>
        </w:rPr>
        <w:t xml:space="preserve"> </w:t>
      </w:r>
      <w:r w:rsidRPr="00823A71">
        <w:rPr>
          <w:rFonts w:cs="Times New Roman"/>
          <w:lang w:val="fr-CA"/>
        </w:rPr>
        <w:t>par. 99,</w:t>
      </w:r>
      <w:r w:rsidRPr="000D0016">
        <w:rPr>
          <w:rFonts w:cs="Times New Roman"/>
          <w:lang w:val="fr-CA"/>
        </w:rPr>
        <w:t xml:space="preserve"> citant </w:t>
      </w:r>
      <w:r w:rsidRPr="000D0016">
        <w:rPr>
          <w:rFonts w:cs="Times New Roman"/>
          <w:i/>
          <w:lang w:val="fr-CA"/>
        </w:rPr>
        <w:t>Dunsmuir</w:t>
      </w:r>
      <w:r w:rsidRPr="000D0016">
        <w:rPr>
          <w:rFonts w:cs="Times New Roman"/>
          <w:lang w:val="fr-CA"/>
        </w:rPr>
        <w:t xml:space="preserve">, par. 47 et 74, et </w:t>
      </w:r>
      <w:r w:rsidRPr="000D0016">
        <w:rPr>
          <w:rFonts w:cs="Times New Roman"/>
          <w:i/>
          <w:iCs/>
          <w:lang w:val="fr-CA"/>
        </w:rPr>
        <w:t>Catalyst Paper Corp. c. North Cowichan (District)</w:t>
      </w:r>
      <w:r w:rsidRPr="000D0016">
        <w:rPr>
          <w:rFonts w:cs="Times New Roman"/>
          <w:lang w:val="fr-CA"/>
        </w:rPr>
        <w:t>, 2012 CSC 2, [2012] 1 R.C.S. 5, par. 13).</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Lors d’un contrôle selon la norme de la </w:t>
      </w:r>
      <w:r w:rsidRPr="00823A71">
        <w:rPr>
          <w:rFonts w:cs="Times New Roman"/>
          <w:lang w:val="fr-CA"/>
        </w:rPr>
        <w:t xml:space="preserve">décision raisonnable, « [i]l incombe à la partie qui conteste la décision </w:t>
      </w:r>
      <w:r w:rsidRPr="00823A71">
        <w:rPr>
          <w:rFonts w:cs="Times New Roman"/>
          <w:noProof/>
          <w:lang w:val="fr-CA"/>
        </w:rPr>
        <w:t>d’en démontrer le caractère déraisonnable</w:t>
      </w:r>
      <w:r w:rsidRPr="00823A71">
        <w:rPr>
          <w:rFonts w:cs="Times New Roman"/>
          <w:lang w:val="fr-CA"/>
        </w:rPr>
        <w:t> » (</w:t>
      </w:r>
      <w:r w:rsidRPr="00823A71">
        <w:rPr>
          <w:rFonts w:cs="Times New Roman"/>
          <w:i/>
          <w:lang w:val="fr-CA"/>
        </w:rPr>
        <w:t>Vavilov</w:t>
      </w:r>
      <w:r w:rsidRPr="00823A71">
        <w:rPr>
          <w:rFonts w:cs="Times New Roman"/>
          <w:lang w:val="fr-CA"/>
        </w:rPr>
        <w:t>,</w:t>
      </w:r>
      <w:r w:rsidRPr="00823A71">
        <w:rPr>
          <w:rFonts w:cs="Times New Roman"/>
          <w:i/>
          <w:lang w:val="fr-CA"/>
        </w:rPr>
        <w:t xml:space="preserve"> </w:t>
      </w:r>
      <w:r w:rsidRPr="00823A71">
        <w:rPr>
          <w:rFonts w:cs="Times New Roman"/>
          <w:lang w:val="fr-CA"/>
        </w:rPr>
        <w:t>par. 100). La partie qui conteste la décision doit convaincre la cour de justice que « </w:t>
      </w:r>
      <w:r w:rsidRPr="00823A71">
        <w:rPr>
          <w:rFonts w:cs="Times New Roman"/>
          <w:noProof/>
          <w:lang w:val="fr-CA"/>
        </w:rPr>
        <w:t>la lacune ou la déficience [invoquée] [. . .] est suffisamment capitale ou importante pour rendre [la décision]</w:t>
      </w:r>
      <w:r w:rsidRPr="00823A71">
        <w:rPr>
          <w:rFonts w:cs="Times New Roman"/>
          <w:noProof/>
          <w:lang w:val="fr-CA" w:bidi="en-US"/>
        </w:rPr>
        <w:t xml:space="preserve"> déraisonnable</w:t>
      </w:r>
      <w:r w:rsidRPr="00823A71">
        <w:rPr>
          <w:rFonts w:cs="Times New Roman"/>
          <w:lang w:val="fr-CA"/>
        </w:rPr>
        <w:t> » (</w:t>
      </w:r>
      <w:r w:rsidRPr="00823A71">
        <w:rPr>
          <w:rFonts w:cs="Times New Roman"/>
          <w:i/>
          <w:lang w:val="fr-CA"/>
        </w:rPr>
        <w:t>Vavilov</w:t>
      </w:r>
      <w:r w:rsidRPr="000D0016">
        <w:rPr>
          <w:rFonts w:cs="Times New Roman"/>
          <w:lang w:val="fr-CA"/>
        </w:rPr>
        <w:t>,</w:t>
      </w:r>
      <w:r w:rsidRPr="000D0016">
        <w:rPr>
          <w:rFonts w:cs="Times New Roman"/>
          <w:i/>
          <w:lang w:val="fr-CA"/>
        </w:rPr>
        <w:t xml:space="preserve"> </w:t>
      </w:r>
      <w:r w:rsidRPr="000D0016">
        <w:rPr>
          <w:rFonts w:cs="Times New Roman"/>
          <w:lang w:val="fr-CA"/>
        </w:rPr>
        <w:t>par. </w:t>
      </w:r>
      <w:r>
        <w:rPr>
          <w:rFonts w:cs="Times New Roman"/>
          <w:lang w:val="fr-CA"/>
        </w:rPr>
        <w:t>100</w:t>
      </w:r>
      <w:r w:rsidRPr="000D0016">
        <w:rPr>
          <w:rFonts w:cs="Times New Roman"/>
          <w:lang w:val="fr-CA"/>
        </w:rPr>
        <w:t>). En l’espèce, ce fardeau incombe au Syndicat.</w:t>
      </w:r>
    </w:p>
    <w:p w:rsidR="00B7543C" w:rsidRPr="008925DF" w:rsidRDefault="00B7543C" w:rsidP="00B7543C">
      <w:pPr>
        <w:pStyle w:val="ParaNoNdepar-AltN"/>
        <w:spacing w:before="0"/>
        <w:rPr>
          <w:rFonts w:cs="Times New Roman"/>
          <w:lang w:val="fr-CA"/>
        </w:rPr>
      </w:pPr>
      <w:r w:rsidRPr="000D0016">
        <w:rPr>
          <w:rFonts w:cs="Times New Roman"/>
          <w:lang w:val="fr-CA"/>
        </w:rPr>
        <w:t xml:space="preserve">L’analyse qui suit porte d’abord sur la cohérence intrinsèque des motifs, </w:t>
      </w:r>
      <w:r>
        <w:rPr>
          <w:rFonts w:cs="Times New Roman"/>
          <w:lang w:val="fr-CA"/>
        </w:rPr>
        <w:t xml:space="preserve">et ensuite </w:t>
      </w:r>
      <w:r w:rsidRPr="00320770">
        <w:rPr>
          <w:rFonts w:cs="Times New Roman"/>
          <w:lang w:val="fr-CA"/>
        </w:rPr>
        <w:t>sur la justification</w:t>
      </w:r>
      <w:r w:rsidRPr="000D0016">
        <w:rPr>
          <w:rFonts w:cs="Times New Roman"/>
          <w:lang w:val="fr-CA"/>
        </w:rPr>
        <w:t xml:space="preserve"> de la décision au regard des faits et du droit pertinents. </w:t>
      </w:r>
      <w:r w:rsidRPr="000D0016">
        <w:rPr>
          <w:rFonts w:cs="Times New Roman"/>
          <w:lang w:val="fr-CA"/>
        </w:rPr>
        <w:lastRenderedPageBreak/>
        <w:t xml:space="preserve">Cependant, comme le souligne l’arrêt </w:t>
      </w:r>
      <w:r w:rsidRPr="000D0016">
        <w:rPr>
          <w:rFonts w:cs="Times New Roman"/>
          <w:i/>
          <w:lang w:val="fr-CA"/>
        </w:rPr>
        <w:t>Vavilov</w:t>
      </w:r>
      <w:r w:rsidRPr="000D0016">
        <w:rPr>
          <w:rFonts w:cs="Times New Roman"/>
          <w:lang w:val="fr-CA"/>
        </w:rPr>
        <w:t>, la cour de justice n’est pas tenue de structurer son analyse sous ces deux angles ou dans cet ordre (par. </w:t>
      </w:r>
      <w:r>
        <w:rPr>
          <w:rFonts w:cs="Times New Roman"/>
          <w:lang w:val="fr-CA"/>
        </w:rPr>
        <w:t>101</w:t>
      </w:r>
      <w:r w:rsidRPr="000D0016">
        <w:rPr>
          <w:rFonts w:cs="Times New Roman"/>
          <w:lang w:val="fr-CA"/>
        </w:rPr>
        <w:t xml:space="preserve">). </w:t>
      </w:r>
      <w:r w:rsidRPr="008925DF">
        <w:rPr>
          <w:rFonts w:cs="Times New Roman"/>
          <w:lang w:val="fr-CA"/>
        </w:rPr>
        <w:t xml:space="preserve">Comme l’indique l’arrêt </w:t>
      </w:r>
      <w:r w:rsidRPr="008925DF">
        <w:rPr>
          <w:rFonts w:cs="Times New Roman"/>
          <w:i/>
          <w:lang w:val="fr-CA"/>
        </w:rPr>
        <w:t>Vavilov</w:t>
      </w:r>
      <w:r w:rsidRPr="008925DF">
        <w:rPr>
          <w:rFonts w:cs="Times New Roman"/>
          <w:lang w:val="fr-CA"/>
        </w:rPr>
        <w:t>, au par. </w:t>
      </w:r>
      <w:r>
        <w:rPr>
          <w:rFonts w:cs="Times New Roman"/>
          <w:lang w:val="fr-CA"/>
        </w:rPr>
        <w:t>106</w:t>
      </w:r>
      <w:r w:rsidRPr="008925DF">
        <w:rPr>
          <w:rFonts w:cs="Times New Roman"/>
          <w:lang w:val="fr-CA"/>
        </w:rPr>
        <w:t xml:space="preserve">, le cadre d’analyse ne se </w:t>
      </w:r>
      <w:r w:rsidRPr="00823A71">
        <w:rPr>
          <w:rFonts w:cs="Times New Roman"/>
          <w:lang w:val="fr-CA"/>
        </w:rPr>
        <w:t xml:space="preserve">veut pas une « liste de vérification [invariable] </w:t>
      </w:r>
      <w:r w:rsidRPr="00823A71">
        <w:rPr>
          <w:noProof/>
          <w:lang w:val="fr-CA"/>
        </w:rPr>
        <w:t>pour l’exercice du contrôle selon la norme de la décision raisonnable</w:t>
      </w:r>
      <w:r w:rsidRPr="00823A71">
        <w:rPr>
          <w:rFonts w:cs="Times New Roman"/>
          <w:lang w:val="fr-CA"/>
        </w:rPr>
        <w:t> ». La structure que j’ai adoptée est</w:t>
      </w:r>
      <w:r w:rsidRPr="008925DF">
        <w:rPr>
          <w:rFonts w:cs="Times New Roman"/>
          <w:lang w:val="fr-CA"/>
        </w:rPr>
        <w:t xml:space="preserve"> celle qui est appropriée et utile dans les circonstances de l’espèce.</w:t>
      </w:r>
    </w:p>
    <w:p w:rsidR="00B7543C" w:rsidRPr="00320770" w:rsidRDefault="00B7543C" w:rsidP="00B7543C">
      <w:pPr>
        <w:pStyle w:val="Title3LevelTitre3Niveau"/>
        <w:spacing w:before="0"/>
        <w:rPr>
          <w:rFonts w:cs="Times New Roman"/>
          <w:lang w:val="fr-CA"/>
        </w:rPr>
      </w:pPr>
      <w:r w:rsidRPr="000D0016">
        <w:rPr>
          <w:rFonts w:cs="Times New Roman"/>
          <w:lang w:val="fr-CA"/>
        </w:rPr>
        <w:t xml:space="preserve">La décision de l’agent d’appel </w:t>
      </w:r>
      <w:r w:rsidRPr="00320770">
        <w:rPr>
          <w:rFonts w:cs="Times New Roman"/>
          <w:lang w:val="fr-CA"/>
        </w:rPr>
        <w:t>est fondée sur un raisonnement intrinsèquement cohérent</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Comme nous le verrons, </w:t>
      </w:r>
      <w:r>
        <w:rPr>
          <w:rFonts w:cs="Times New Roman"/>
          <w:lang w:val="fr-CA"/>
        </w:rPr>
        <w:t>l’agent d’appel suit</w:t>
      </w:r>
      <w:r w:rsidRPr="000D0016">
        <w:rPr>
          <w:rFonts w:cs="Times New Roman"/>
          <w:lang w:val="fr-CA"/>
        </w:rPr>
        <w:t xml:space="preserve"> un raisonnement rationnel et logique dans son analyse. Il </w:t>
      </w:r>
      <w:r>
        <w:rPr>
          <w:rFonts w:cs="Times New Roman"/>
          <w:lang w:val="fr-CA"/>
        </w:rPr>
        <w:t>utilise</w:t>
      </w:r>
      <w:r w:rsidRPr="000D0016">
        <w:rPr>
          <w:rFonts w:cs="Times New Roman"/>
          <w:lang w:val="fr-CA"/>
        </w:rPr>
        <w:t xml:space="preserve"> des principes d’interprétation des lois bien établis, </w:t>
      </w:r>
      <w:r>
        <w:rPr>
          <w:rFonts w:cs="Times New Roman"/>
          <w:lang w:val="fr-CA"/>
        </w:rPr>
        <w:t>examine</w:t>
      </w:r>
      <w:r w:rsidRPr="000D0016">
        <w:rPr>
          <w:rFonts w:cs="Times New Roman"/>
          <w:lang w:val="fr-CA"/>
        </w:rPr>
        <w:t xml:space="preserve"> les arguments et </w:t>
      </w:r>
      <w:r>
        <w:rPr>
          <w:rFonts w:cs="Times New Roman"/>
          <w:lang w:val="fr-CA"/>
        </w:rPr>
        <w:t>la</w:t>
      </w:r>
      <w:r w:rsidRPr="000D0016">
        <w:rPr>
          <w:rFonts w:cs="Times New Roman"/>
          <w:lang w:val="fr-CA"/>
        </w:rPr>
        <w:t xml:space="preserve"> preuve qui lui </w:t>
      </w:r>
      <w:r>
        <w:rPr>
          <w:rFonts w:cs="Times New Roman"/>
          <w:lang w:val="fr-CA"/>
        </w:rPr>
        <w:t xml:space="preserve">ont </w:t>
      </w:r>
      <w:r w:rsidRPr="000D0016">
        <w:rPr>
          <w:rFonts w:cs="Times New Roman"/>
          <w:lang w:val="fr-CA"/>
        </w:rPr>
        <w:t xml:space="preserve">été présentés et </w:t>
      </w:r>
      <w:r>
        <w:rPr>
          <w:rFonts w:cs="Times New Roman"/>
          <w:lang w:val="fr-CA"/>
        </w:rPr>
        <w:t>met</w:t>
      </w:r>
      <w:r w:rsidRPr="000D0016">
        <w:rPr>
          <w:rFonts w:cs="Times New Roman"/>
          <w:lang w:val="fr-CA"/>
        </w:rPr>
        <w:t xml:space="preserve"> à profit sa connaissance du domaine lorsqu’il </w:t>
      </w:r>
      <w:r>
        <w:rPr>
          <w:rFonts w:cs="Times New Roman"/>
          <w:lang w:val="fr-CA"/>
        </w:rPr>
        <w:t>prend</w:t>
      </w:r>
      <w:r w:rsidRPr="000D0016">
        <w:rPr>
          <w:rFonts w:cs="Times New Roman"/>
          <w:lang w:val="fr-CA"/>
        </w:rPr>
        <w:t xml:space="preserve"> en compte les conséquences pratiques de son interprétation.</w:t>
      </w:r>
    </w:p>
    <w:p w:rsidR="00B7543C" w:rsidRPr="000D0016" w:rsidRDefault="00B7543C" w:rsidP="00B7543C">
      <w:pPr>
        <w:pStyle w:val="ParaNoNdepar-AltN"/>
        <w:spacing w:before="0"/>
        <w:rPr>
          <w:rFonts w:cs="Times New Roman"/>
          <w:lang w:val="fr-CA"/>
        </w:rPr>
      </w:pPr>
      <w:r w:rsidRPr="000D0016">
        <w:rPr>
          <w:rFonts w:cs="Times New Roman"/>
          <w:lang w:val="fr-CA"/>
        </w:rPr>
        <w:t>Devant notre Cour et les juridictions inférieures, le Syndicat</w:t>
      </w:r>
      <w:r>
        <w:rPr>
          <w:rFonts w:cs="Times New Roman"/>
          <w:lang w:val="fr-CA"/>
        </w:rPr>
        <w:t xml:space="preserve"> </w:t>
      </w:r>
      <w:r w:rsidRPr="000D0016">
        <w:rPr>
          <w:rFonts w:cs="Times New Roman"/>
          <w:lang w:val="fr-CA"/>
        </w:rPr>
        <w:t xml:space="preserve">fait valoir que la décision de l’agent d’appel </w:t>
      </w:r>
      <w:r>
        <w:rPr>
          <w:rFonts w:cs="Times New Roman"/>
          <w:lang w:val="fr-CA"/>
        </w:rPr>
        <w:t xml:space="preserve">est </w:t>
      </w:r>
      <w:r w:rsidRPr="000D0016">
        <w:rPr>
          <w:rFonts w:cs="Times New Roman"/>
          <w:lang w:val="fr-CA"/>
        </w:rPr>
        <w:t>intrinsèquement incohérente. Il</w:t>
      </w:r>
      <w:r>
        <w:rPr>
          <w:rFonts w:cs="Times New Roman"/>
          <w:lang w:val="fr-CA"/>
        </w:rPr>
        <w:t xml:space="preserve"> soutient</w:t>
      </w:r>
      <w:r w:rsidRPr="000D0016">
        <w:rPr>
          <w:rFonts w:cs="Times New Roman"/>
          <w:lang w:val="fr-CA"/>
        </w:rPr>
        <w:t xml:space="preserve"> que les conclusions de l’agent d’appel au sujet des pratiques et politiques en matière de santé et de sécurité de Postes Canada (par exemple, une vérification d’itinéraires et un protocole servant à recenser et à supprimer les risques) dé</w:t>
      </w:r>
      <w:r>
        <w:rPr>
          <w:rFonts w:cs="Times New Roman"/>
          <w:lang w:val="fr-CA"/>
        </w:rPr>
        <w:t>montr</w:t>
      </w:r>
      <w:r w:rsidRPr="000D0016">
        <w:rPr>
          <w:rFonts w:cs="Times New Roman"/>
          <w:lang w:val="fr-CA"/>
        </w:rPr>
        <w:t>ent que l’employeur</w:t>
      </w:r>
      <w:r>
        <w:rPr>
          <w:rFonts w:cs="Times New Roman"/>
          <w:lang w:val="fr-CA"/>
        </w:rPr>
        <w:t xml:space="preserve"> est</w:t>
      </w:r>
      <w:r w:rsidRPr="000D0016">
        <w:rPr>
          <w:rFonts w:cs="Times New Roman"/>
          <w:lang w:val="fr-CA"/>
        </w:rPr>
        <w:t xml:space="preserve"> en mesure de s’acquitter de l’obligation énoncée à l’al. 125(1)z.12). La conclusion selon laquelle l’al. z.12) ne p</w:t>
      </w:r>
      <w:r>
        <w:rPr>
          <w:rFonts w:cs="Times New Roman"/>
          <w:lang w:val="fr-CA"/>
        </w:rPr>
        <w:t>eut</w:t>
      </w:r>
      <w:r w:rsidRPr="000D0016">
        <w:rPr>
          <w:rFonts w:cs="Times New Roman"/>
          <w:lang w:val="fr-CA"/>
        </w:rPr>
        <w:t xml:space="preserve"> s’appliquer à un lieu de travail ne relevant pas de l’autorité de l’employeur </w:t>
      </w:r>
      <w:r>
        <w:rPr>
          <w:rFonts w:cs="Times New Roman"/>
          <w:lang w:val="fr-CA"/>
        </w:rPr>
        <w:t>est</w:t>
      </w:r>
      <w:r w:rsidRPr="000D0016">
        <w:rPr>
          <w:rFonts w:cs="Times New Roman"/>
          <w:lang w:val="fr-CA"/>
        </w:rPr>
        <w:t xml:space="preserve"> donc déraisonnable.</w:t>
      </w:r>
    </w:p>
    <w:p w:rsidR="00B7543C" w:rsidRPr="000D0016" w:rsidRDefault="00B7543C" w:rsidP="00B7543C">
      <w:pPr>
        <w:pStyle w:val="ParaNoNdepar-AltN"/>
        <w:spacing w:before="0"/>
        <w:rPr>
          <w:rFonts w:cs="Times New Roman"/>
          <w:lang w:val="fr-CA"/>
        </w:rPr>
      </w:pPr>
      <w:r w:rsidRPr="000D0016">
        <w:rPr>
          <w:rFonts w:cs="Times New Roman"/>
          <w:lang w:val="fr-CA"/>
        </w:rPr>
        <w:lastRenderedPageBreak/>
        <w:t>Je conviens avec le juge Near de la Cour d’appel que la décision de l’agent d’appel n’est pas déraisonnable parce que celui</w:t>
      </w:r>
      <w:r w:rsidRPr="000D0016">
        <w:rPr>
          <w:rFonts w:cs="Times New Roman"/>
          <w:lang w:val="fr-CA"/>
        </w:rPr>
        <w:noBreakHyphen/>
        <w:t xml:space="preserve">ci </w:t>
      </w:r>
      <w:r>
        <w:rPr>
          <w:rFonts w:cs="Times New Roman"/>
          <w:lang w:val="fr-CA"/>
        </w:rPr>
        <w:t>reconnaît</w:t>
      </w:r>
      <w:r w:rsidRPr="000D0016">
        <w:rPr>
          <w:rFonts w:cs="Times New Roman"/>
          <w:lang w:val="fr-CA"/>
        </w:rPr>
        <w:t>, d’une part, que Postes Canada, au moyen de ses politiques internes, s’efforce de recenser et de supprimer les risques courus par les facteurs, notamment en effectuant la vérification de certains itinéraires, tout en concluant, d’autre part, que Postes Canada n’est pas en mesure « d’assurer l’inspection annuelle de toutes les parties du lieu de travail situées en dehors de son immeuble » (par. 20). Les politiques discrétionnaires de Postes Canada (poursuivies en vue de s’acquitter des responsabilités que lui impose le Code) tiennent compte de considérations d’ordre pratique concernant le travail des facteurs. L’obligation prévue à l’al. z.12) est impérative; si elle avait été applicable, Postes Canada aurait été tenue de veiller à ce que le lieu de travail soit inspecté au complet chaque année, indépendamment des difficultés pouvant découler de la nature du travail de ses employés.</w:t>
      </w:r>
    </w:p>
    <w:p w:rsidR="00B7543C" w:rsidRPr="000D0016" w:rsidRDefault="00B7543C" w:rsidP="00B7543C">
      <w:pPr>
        <w:pStyle w:val="ParaNoNdepar-AltN"/>
        <w:spacing w:before="0"/>
        <w:rPr>
          <w:rFonts w:cs="Times New Roman"/>
          <w:lang w:val="fr-CA"/>
        </w:rPr>
      </w:pPr>
      <w:r w:rsidRPr="000D0016">
        <w:rPr>
          <w:rFonts w:cs="Times New Roman"/>
          <w:lang w:val="fr-CA"/>
        </w:rPr>
        <w:t>Loin d’être intrinsèquement incohérent, le raisonnement de l’agent d’appel démontre sa connaissance approfondie des moyens par lesquels Postes Canada assure la réalisation des objets du Code,</w:t>
      </w:r>
      <w:r w:rsidRPr="000D0016">
        <w:rPr>
          <w:rFonts w:cs="Times New Roman"/>
          <w:i/>
          <w:lang w:val="fr-CA"/>
        </w:rPr>
        <w:t xml:space="preserve"> </w:t>
      </w:r>
      <w:r w:rsidRPr="000D0016">
        <w:rPr>
          <w:rFonts w:cs="Times New Roman"/>
          <w:lang w:val="fr-CA"/>
        </w:rPr>
        <w:t xml:space="preserve">compte tenu des limitations d’ordre pratique propres à un lieu de travail s’étendant sur 72 millions de kilomètres d’itinéraires postaux. En ce qui concerne la position du Syndicat, ce n’est pas parce que Postes Canada est en mesure d’effectuer </w:t>
      </w:r>
      <w:r w:rsidRPr="000D0016">
        <w:rPr>
          <w:rFonts w:cs="Times New Roman"/>
          <w:i/>
          <w:lang w:val="fr-CA"/>
        </w:rPr>
        <w:t>certaines</w:t>
      </w:r>
      <w:r w:rsidRPr="000D0016">
        <w:rPr>
          <w:rFonts w:cs="Times New Roman"/>
          <w:lang w:val="fr-CA"/>
        </w:rPr>
        <w:t xml:space="preserve"> vérifications d’itinéraires qu’elle est en mesure d’inspecter </w:t>
      </w:r>
      <w:r w:rsidRPr="000D0016">
        <w:rPr>
          <w:rFonts w:cs="Times New Roman"/>
          <w:i/>
          <w:lang w:val="fr-CA"/>
        </w:rPr>
        <w:t>tous</w:t>
      </w:r>
      <w:r w:rsidRPr="000D0016">
        <w:rPr>
          <w:rFonts w:cs="Times New Roman"/>
          <w:lang w:val="fr-CA"/>
        </w:rPr>
        <w:t xml:space="preserve"> les itinéraires dans une année. De plus, comme je l’explique plus loin, l’interprétation de la disposition par l’agent d’appel </w:t>
      </w:r>
      <w:r>
        <w:rPr>
          <w:rFonts w:cs="Times New Roman"/>
          <w:lang w:val="fr-CA"/>
        </w:rPr>
        <w:t>est</w:t>
      </w:r>
      <w:r w:rsidRPr="000D0016">
        <w:rPr>
          <w:rFonts w:cs="Times New Roman"/>
          <w:lang w:val="fr-CA"/>
        </w:rPr>
        <w:t xml:space="preserve"> axée sur l’autorité exercée sur le lieu de travail, et non sur la capacité limitée de l’employeur de s’acquitter de son obligation. Les conclusions relatives à la capacité de l’employeur d’effectuer des vérifications d’itinéraires aussi étendues sont complémentaires au raisonnement de </w:t>
      </w:r>
      <w:r w:rsidRPr="000D0016">
        <w:rPr>
          <w:rFonts w:cs="Times New Roman"/>
          <w:lang w:val="fr-CA"/>
        </w:rPr>
        <w:lastRenderedPageBreak/>
        <w:t>l’agent d’appel concernant la façon dont le régime législatif devrait fonctionner dans les circonstances de l’espèce.</w:t>
      </w:r>
    </w:p>
    <w:p w:rsidR="00B7543C" w:rsidRPr="00320770" w:rsidRDefault="00B7543C" w:rsidP="00B7543C">
      <w:pPr>
        <w:pStyle w:val="ParaNoNdepar-AltN"/>
        <w:spacing w:before="0"/>
        <w:rPr>
          <w:rFonts w:cs="Times New Roman"/>
          <w:lang w:val="fr-CA"/>
        </w:rPr>
      </w:pPr>
      <w:r w:rsidRPr="000D0016">
        <w:rPr>
          <w:rFonts w:cs="Times New Roman"/>
          <w:lang w:val="fr-CA"/>
        </w:rPr>
        <w:t xml:space="preserve">Par conséquent, je conclus que les motifs de l’agent d’appel ne révèlent </w:t>
      </w:r>
      <w:r w:rsidRPr="00320770">
        <w:rPr>
          <w:rFonts w:cs="Times New Roman"/>
          <w:lang w:val="fr-CA"/>
        </w:rPr>
        <w:t>aucune faille décisive sur le plan de la rationalité ou de la logique.</w:t>
      </w:r>
    </w:p>
    <w:p w:rsidR="00B7543C" w:rsidRPr="00320770" w:rsidRDefault="00B7543C" w:rsidP="00B7543C">
      <w:pPr>
        <w:pStyle w:val="Title3LevelTitre3Niveau"/>
        <w:rPr>
          <w:rFonts w:cs="Times New Roman"/>
          <w:lang w:val="fr-CA"/>
        </w:rPr>
      </w:pPr>
      <w:r w:rsidRPr="00320770">
        <w:rPr>
          <w:rFonts w:cs="Times New Roman"/>
          <w:lang w:val="fr-CA"/>
        </w:rPr>
        <w:t>La décision de l’agent d’appel peut se justifier au regard des contraintes juridiques et factuelles pertinentes</w:t>
      </w:r>
    </w:p>
    <w:p w:rsidR="00B7543C" w:rsidRPr="000D0016" w:rsidRDefault="00B7543C" w:rsidP="001E14C7">
      <w:pPr>
        <w:pStyle w:val="Title4LevelTitre4Niveau"/>
        <w:rPr>
          <w:lang w:val="fr-CA"/>
        </w:rPr>
      </w:pPr>
      <w:r w:rsidRPr="000D0016">
        <w:rPr>
          <w:lang w:val="fr-CA"/>
        </w:rPr>
        <w:t>L’interprétation donnée par l’agent d’appel à l’al. 125(1)z.12)</w:t>
      </w:r>
    </w:p>
    <w:p w:rsidR="00B7543C" w:rsidRPr="000D0016" w:rsidRDefault="00B7543C" w:rsidP="00B7543C">
      <w:pPr>
        <w:pStyle w:val="ParaNoNdepar-AltN"/>
        <w:rPr>
          <w:rFonts w:cs="Times New Roman"/>
          <w:lang w:val="fr-CA"/>
        </w:rPr>
      </w:pPr>
      <w:r w:rsidRPr="000D0016">
        <w:rPr>
          <w:rFonts w:cs="Times New Roman"/>
          <w:lang w:val="fr-CA"/>
        </w:rPr>
        <w:t>Le décideur administratif « jouit [d’un privilège] en matière d’interprétation » (</w:t>
      </w:r>
      <w:r w:rsidRPr="000D0016">
        <w:rPr>
          <w:rFonts w:cs="Times New Roman"/>
          <w:i/>
          <w:lang w:val="fr-CA"/>
        </w:rPr>
        <w:t>McLean c. Colombie</w:t>
      </w:r>
      <w:r w:rsidRPr="000D0016">
        <w:rPr>
          <w:rFonts w:cs="Times New Roman"/>
          <w:i/>
          <w:lang w:val="fr-CA"/>
        </w:rPr>
        <w:noBreakHyphen/>
        <w:t>Britannique (Securities Commission)</w:t>
      </w:r>
      <w:r w:rsidRPr="000D0016">
        <w:rPr>
          <w:rFonts w:cs="Times New Roman"/>
          <w:lang w:val="fr-CA"/>
        </w:rPr>
        <w:t xml:space="preserve">, 2013 CSC 67, [2013] 3 R.C.S. 895, par. 40). Lorsqu’elle examine une question d’interprétation législative, la cour de révision ne devrait pas procéder à une interprétation </w:t>
      </w:r>
      <w:r w:rsidRPr="000D0016">
        <w:rPr>
          <w:rFonts w:cs="Times New Roman"/>
          <w:i/>
          <w:lang w:val="fr-CA"/>
        </w:rPr>
        <w:t>de novo</w:t>
      </w:r>
      <w:r w:rsidRPr="000D0016">
        <w:rPr>
          <w:rFonts w:cs="Times New Roman"/>
          <w:lang w:val="fr-CA"/>
        </w:rPr>
        <w:t>, ni tenter de déterminer un éventail d’interprétations raisonnables avec lesquelles elle peut comparer l’interprétation du décideur. « [L]e juge réformateur n’établit pas son propre critère pour ensuite jauger ce qu’a fait l’administrateur » (</w:t>
      </w:r>
      <w:r w:rsidRPr="000D0016">
        <w:rPr>
          <w:rFonts w:cs="Times New Roman"/>
          <w:i/>
          <w:lang w:val="fr-CA"/>
        </w:rPr>
        <w:t>Delios c. Canada (Procureur général)</w:t>
      </w:r>
      <w:r w:rsidRPr="000D0016">
        <w:rPr>
          <w:rFonts w:cs="Times New Roman"/>
          <w:lang w:val="fr-CA"/>
        </w:rPr>
        <w:t>, 2015 CAF 117, par. 28</w:t>
      </w:r>
      <w:r w:rsidR="001E14C7">
        <w:rPr>
          <w:rFonts w:cs="Times New Roman"/>
          <w:lang w:val="fr-CA"/>
        </w:rPr>
        <w:t xml:space="preserve"> (CanLII)</w:t>
      </w:r>
      <w:r w:rsidRPr="000D0016">
        <w:rPr>
          <w:rFonts w:cs="Times New Roman"/>
          <w:lang w:val="fr-CA"/>
        </w:rPr>
        <w:t xml:space="preserve">, cité dans </w:t>
      </w:r>
      <w:r w:rsidRPr="000D0016">
        <w:rPr>
          <w:rFonts w:cs="Times New Roman"/>
          <w:i/>
          <w:lang w:val="fr-CA"/>
        </w:rPr>
        <w:t>Vavilov</w:t>
      </w:r>
      <w:r w:rsidRPr="000D0016">
        <w:rPr>
          <w:rFonts w:cs="Times New Roman"/>
          <w:lang w:val="fr-CA"/>
        </w:rPr>
        <w:t>,</w:t>
      </w:r>
      <w:r w:rsidRPr="000D0016">
        <w:rPr>
          <w:rFonts w:cs="Times New Roman"/>
          <w:i/>
          <w:lang w:val="fr-CA"/>
        </w:rPr>
        <w:t xml:space="preserve"> </w:t>
      </w:r>
      <w:r w:rsidRPr="000D0016">
        <w:rPr>
          <w:rFonts w:cs="Times New Roman"/>
          <w:lang w:val="fr-CA"/>
        </w:rPr>
        <w:t>par.</w:t>
      </w:r>
      <w:r>
        <w:rPr>
          <w:rFonts w:cs="Times New Roman"/>
          <w:lang w:val="fr-CA"/>
        </w:rPr>
        <w:t> 83</w:t>
      </w:r>
      <w:r w:rsidRPr="000D0016">
        <w:rPr>
          <w:rFonts w:cs="Times New Roman"/>
          <w:lang w:val="fr-CA"/>
        </w:rPr>
        <w:t>). La cour de révision ne « se demand[e] [pas] ce qu’aurait été la décision correcte » (</w:t>
      </w:r>
      <w:r w:rsidRPr="000D0016">
        <w:rPr>
          <w:rFonts w:cs="Times New Roman"/>
          <w:i/>
          <w:lang w:val="fr-CA"/>
        </w:rPr>
        <w:t xml:space="preserve">Barreau du </w:t>
      </w:r>
      <w:r w:rsidRPr="000D0016">
        <w:rPr>
          <w:rFonts w:cs="Times New Roman"/>
          <w:i/>
          <w:iCs/>
          <w:lang w:val="fr-CA"/>
        </w:rPr>
        <w:t>Nouveau</w:t>
      </w:r>
      <w:r w:rsidRPr="000D0016">
        <w:rPr>
          <w:rFonts w:cs="Times New Roman"/>
          <w:i/>
          <w:iCs/>
          <w:lang w:val="fr-CA"/>
        </w:rPr>
        <w:noBreakHyphen/>
        <w:t>Brunswick c. Ryan</w:t>
      </w:r>
      <w:r w:rsidRPr="000D0016">
        <w:rPr>
          <w:rFonts w:cs="Times New Roman"/>
          <w:lang w:val="fr-CA"/>
        </w:rPr>
        <w:t>, 2003 CSC 20, [2003] 1 R.C.S. 247,</w:t>
      </w:r>
      <w:r w:rsidRPr="000D0016">
        <w:rPr>
          <w:rFonts w:cs="Times New Roman"/>
          <w:i/>
          <w:lang w:val="fr-CA"/>
        </w:rPr>
        <w:t xml:space="preserve"> </w:t>
      </w:r>
      <w:r w:rsidRPr="000D0016">
        <w:rPr>
          <w:rFonts w:cs="Times New Roman"/>
          <w:lang w:val="fr-CA"/>
        </w:rPr>
        <w:t xml:space="preserve">par. 50, cité dans </w:t>
      </w:r>
      <w:r w:rsidRPr="000D0016">
        <w:rPr>
          <w:rFonts w:cs="Times New Roman"/>
          <w:i/>
          <w:lang w:val="fr-CA"/>
        </w:rPr>
        <w:t>Vavilov</w:t>
      </w:r>
      <w:r w:rsidRPr="000D0016">
        <w:rPr>
          <w:rFonts w:cs="Times New Roman"/>
          <w:lang w:val="fr-CA"/>
        </w:rPr>
        <w:t>, par. 11</w:t>
      </w:r>
      <w:r>
        <w:rPr>
          <w:rFonts w:cs="Times New Roman"/>
          <w:lang w:val="fr-CA"/>
        </w:rPr>
        <w:t>6</w:t>
      </w:r>
      <w:r w:rsidRPr="000D0016">
        <w:rPr>
          <w:rFonts w:cs="Times New Roman"/>
          <w:lang w:val="fr-CA"/>
        </w:rPr>
        <w:t xml:space="preserve">). Ces rappels sont particulièrement importants compte tenu du fait qu’« une cour de révision peut facilement glisser de la norme de la décision raisonnable à celle de la décision correcte lorsqu’elle se penche sur une question d’interprétation qui soulève une pure question </w:t>
      </w:r>
      <w:r w:rsidRPr="000D0016">
        <w:rPr>
          <w:rFonts w:cs="Times New Roman"/>
          <w:lang w:val="fr-CA"/>
        </w:rPr>
        <w:lastRenderedPageBreak/>
        <w:t>de droit » (</w:t>
      </w:r>
      <w:r w:rsidRPr="000D0016">
        <w:rPr>
          <w:rFonts w:cs="Times New Roman"/>
          <w:i/>
          <w:lang w:val="fr-CA"/>
        </w:rPr>
        <w:t>N</w:t>
      </w:r>
      <w:r>
        <w:rPr>
          <w:rFonts w:cs="Times New Roman"/>
          <w:i/>
          <w:lang w:val="fr-CA"/>
        </w:rPr>
        <w:t>ew </w:t>
      </w:r>
      <w:r w:rsidRPr="000D0016">
        <w:rPr>
          <w:rFonts w:cs="Times New Roman"/>
          <w:i/>
          <w:lang w:val="fr-CA"/>
        </w:rPr>
        <w:t xml:space="preserve">Brunswick </w:t>
      </w:r>
      <w:r>
        <w:rPr>
          <w:rFonts w:cs="Times New Roman"/>
          <w:i/>
          <w:lang w:val="fr-CA"/>
        </w:rPr>
        <w:t xml:space="preserve">Liquor Corp. </w:t>
      </w:r>
      <w:r w:rsidRPr="000D0016">
        <w:rPr>
          <w:rFonts w:cs="Times New Roman"/>
          <w:i/>
          <w:lang w:val="fr-CA"/>
        </w:rPr>
        <w:t>c. Small</w:t>
      </w:r>
      <w:r w:rsidRPr="000D0016">
        <w:rPr>
          <w:rFonts w:cs="Times New Roman"/>
          <w:lang w:val="fr-CA"/>
        </w:rPr>
        <w:t>, 2012 NBCA 53, 390 R.N.</w:t>
      </w:r>
      <w:r w:rsidRPr="000D0016">
        <w:rPr>
          <w:rFonts w:cs="Times New Roman"/>
          <w:lang w:val="fr-CA"/>
        </w:rPr>
        <w:noBreakHyphen/>
        <w:t>B. (2</w:t>
      </w:r>
      <w:r w:rsidRPr="009A3C11">
        <w:rPr>
          <w:rFonts w:cs="Times New Roman"/>
          <w:vertAlign w:val="superscript"/>
          <w:lang w:val="fr-CA"/>
        </w:rPr>
        <w:t>e</w:t>
      </w:r>
      <w:r w:rsidRPr="000D0016">
        <w:rPr>
          <w:rFonts w:cs="Times New Roman"/>
          <w:lang w:val="fr-CA"/>
        </w:rPr>
        <w:t>) 203, par. 30).</w:t>
      </w:r>
    </w:p>
    <w:p w:rsidR="00B7543C" w:rsidRPr="000D0016" w:rsidRDefault="00B7543C" w:rsidP="00B7543C">
      <w:pPr>
        <w:pStyle w:val="ParaNoNdepar-AltN"/>
        <w:spacing w:before="0"/>
        <w:rPr>
          <w:rFonts w:cs="Times New Roman"/>
          <w:lang w:val="fr-CA"/>
        </w:rPr>
      </w:pPr>
      <w:r w:rsidRPr="000D0016">
        <w:rPr>
          <w:rFonts w:cs="Times New Roman"/>
          <w:lang w:val="fr-CA"/>
        </w:rPr>
        <w:t xml:space="preserve">Avec égards, les juges majoritaires de la Cour d’appel semblent avoir procédé à une interprétation </w:t>
      </w:r>
      <w:r w:rsidRPr="000D0016">
        <w:rPr>
          <w:rFonts w:cs="Times New Roman"/>
          <w:i/>
          <w:lang w:val="fr-CA"/>
        </w:rPr>
        <w:t>de novo</w:t>
      </w:r>
      <w:r w:rsidRPr="000D0016">
        <w:rPr>
          <w:rFonts w:cs="Times New Roman"/>
          <w:lang w:val="fr-CA"/>
        </w:rPr>
        <w:t xml:space="preserve"> de la disposition contestée; ils n’ont pas non plus examiné de façon adéquate le raisonnement de l’agent d’appel. Une telle approche, selon </w:t>
      </w:r>
      <w:r w:rsidRPr="00763A4D">
        <w:rPr>
          <w:rFonts w:cs="Times New Roman"/>
          <w:lang w:val="fr-CA"/>
        </w:rPr>
        <w:t>laquelle [</w:t>
      </w:r>
      <w:r w:rsidRPr="00763A4D">
        <w:rPr>
          <w:rFonts w:cs="Times New Roman"/>
          <w:smallCaps/>
          <w:lang w:val="fr-CA"/>
        </w:rPr>
        <w:t>traduction</w:t>
      </w:r>
      <w:r w:rsidRPr="00763A4D">
        <w:rPr>
          <w:rFonts w:cs="Times New Roman"/>
          <w:lang w:val="fr-CA"/>
        </w:rPr>
        <w:t>] « la cour se lance dans sa propre interprétation de la loi pour déterminer si la décision du tribunal administratif était raisonnable »,</w:t>
      </w:r>
      <w:r w:rsidRPr="000D0016">
        <w:rPr>
          <w:rFonts w:cs="Times New Roman"/>
          <w:lang w:val="fr-CA"/>
        </w:rPr>
        <w:t xml:space="preserve"> va à contre</w:t>
      </w:r>
      <w:r w:rsidRPr="000D0016">
        <w:rPr>
          <w:rFonts w:cs="Times New Roman"/>
          <w:lang w:val="fr-CA"/>
        </w:rPr>
        <w:noBreakHyphen/>
        <w:t>courant des indications données par les juges majoritaires dans</w:t>
      </w:r>
      <w:r>
        <w:rPr>
          <w:rFonts w:cs="Times New Roman"/>
          <w:lang w:val="fr-CA"/>
        </w:rPr>
        <w:t xml:space="preserve"> l’arrêt</w:t>
      </w:r>
      <w:r w:rsidRPr="000D0016">
        <w:rPr>
          <w:rFonts w:cs="Times New Roman"/>
          <w:lang w:val="fr-CA"/>
        </w:rPr>
        <w:t xml:space="preserve"> </w:t>
      </w:r>
      <w:r w:rsidRPr="000D0016">
        <w:rPr>
          <w:rFonts w:cs="Times New Roman"/>
          <w:i/>
          <w:lang w:val="fr-CA"/>
        </w:rPr>
        <w:t>Vavilov</w:t>
      </w:r>
      <w:r w:rsidRPr="000D0016">
        <w:rPr>
          <w:rFonts w:cs="Times New Roman"/>
          <w:lang w:val="fr-CA"/>
        </w:rPr>
        <w:t xml:space="preserve"> sur la façon d’effectuer un contrôle selon la norme de la décision raisonnable, car elle </w:t>
      </w:r>
      <w:r w:rsidRPr="00763A4D">
        <w:rPr>
          <w:rFonts w:cs="Times New Roman"/>
          <w:lang w:val="fr-CA"/>
        </w:rPr>
        <w:t>laisse « peu de place pour la déférence » (</w:t>
      </w:r>
      <w:r w:rsidRPr="000D0016">
        <w:rPr>
          <w:rFonts w:cs="Times New Roman"/>
          <w:lang w:val="fr-CA"/>
        </w:rPr>
        <w:t>J</w:t>
      </w:r>
      <w:r>
        <w:rPr>
          <w:rFonts w:cs="Times New Roman"/>
          <w:lang w:val="fr-CA"/>
        </w:rPr>
        <w:t>. </w:t>
      </w:r>
      <w:r w:rsidRPr="000D0016">
        <w:rPr>
          <w:rFonts w:cs="Times New Roman"/>
          <w:lang w:val="fr-CA"/>
        </w:rPr>
        <w:t xml:space="preserve">M. Evans, « Triumph of Reasonableness : But How Much Does It Really Matter? » (2014), 27 </w:t>
      </w:r>
      <w:r w:rsidRPr="000D0016">
        <w:rPr>
          <w:rFonts w:cs="Times New Roman"/>
          <w:i/>
          <w:lang w:val="fr-CA"/>
        </w:rPr>
        <w:t>R.C.D.A.P.</w:t>
      </w:r>
      <w:r w:rsidRPr="000D0016">
        <w:rPr>
          <w:rFonts w:cs="Times New Roman"/>
          <w:lang w:val="fr-CA"/>
        </w:rPr>
        <w:t xml:space="preserve"> 101, p. 109). L’adoption d’une approche qui </w:t>
      </w:r>
      <w:r w:rsidRPr="00763A4D">
        <w:rPr>
          <w:rFonts w:cs="Times New Roman"/>
          <w:noProof/>
          <w:lang w:val="fr-CA"/>
        </w:rPr>
        <w:t>s’intéresse avant tout aux motifs de la décision</w:t>
      </w:r>
      <w:r w:rsidRPr="000D0016">
        <w:rPr>
          <w:rFonts w:cs="Times New Roman"/>
          <w:lang w:val="fr-CA"/>
        </w:rPr>
        <w:t xml:space="preserve"> oblige plutôt la cour de révision à commencer par se demander comment le décideur est arrivé à son interprétation et à décider si cette interprétation pouvait se justifier au regard des contraintes d’interprétation imposées par la loi.</w:t>
      </w:r>
    </w:p>
    <w:p w:rsidR="00B7543C" w:rsidRPr="000D0016" w:rsidRDefault="00B7543C" w:rsidP="00B7543C">
      <w:pPr>
        <w:pStyle w:val="ParaNoNdepar-AltN"/>
        <w:spacing w:before="0"/>
        <w:rPr>
          <w:rFonts w:cs="Times New Roman"/>
          <w:lang w:val="fr-CA"/>
        </w:rPr>
      </w:pPr>
      <w:r w:rsidRPr="000D0016">
        <w:rPr>
          <w:rFonts w:cs="Times New Roman"/>
          <w:lang w:val="fr-CA"/>
        </w:rPr>
        <w:t>Lorsque le sens d’une disposition législative est contesté, le décideur administratif doit démon</w:t>
      </w:r>
      <w:r>
        <w:rPr>
          <w:rFonts w:cs="Times New Roman"/>
          <w:lang w:val="fr-CA"/>
        </w:rPr>
        <w:t>trer dans ses motifs qu’il est</w:t>
      </w:r>
      <w:r w:rsidRPr="000D0016">
        <w:rPr>
          <w:rFonts w:cs="Times New Roman"/>
          <w:lang w:val="fr-CA"/>
        </w:rPr>
        <w:t xml:space="preserve"> conscient des </w:t>
      </w:r>
      <w:r w:rsidRPr="00763A4D">
        <w:rPr>
          <w:rFonts w:cs="Times New Roman"/>
          <w:lang w:val="fr-CA"/>
        </w:rPr>
        <w:t>« éléments essentiels » de l’interprétation législative : « le fond de</w:t>
      </w:r>
      <w:r w:rsidRPr="00763A4D">
        <w:rPr>
          <w:noProof/>
          <w:lang w:val="fr-CA"/>
        </w:rPr>
        <w:t xml:space="preserve"> l’interprétation [d’une disposition législative] par le décideur administratif doit être conforme à son texte, à son contexte et à son objet</w:t>
      </w:r>
      <w:r w:rsidRPr="00763A4D">
        <w:rPr>
          <w:rFonts w:cs="Times New Roman"/>
          <w:lang w:val="fr-CA"/>
        </w:rPr>
        <w:t> » (</w:t>
      </w:r>
      <w:r w:rsidRPr="00763A4D">
        <w:rPr>
          <w:rFonts w:cs="Times New Roman"/>
          <w:i/>
          <w:lang w:val="fr-CA"/>
        </w:rPr>
        <w:t>Va</w:t>
      </w:r>
      <w:r w:rsidRPr="000D0016">
        <w:rPr>
          <w:rFonts w:cs="Times New Roman"/>
          <w:i/>
          <w:lang w:val="fr-CA"/>
        </w:rPr>
        <w:t>vilov</w:t>
      </w:r>
      <w:r w:rsidRPr="000D0016">
        <w:rPr>
          <w:rFonts w:cs="Times New Roman"/>
          <w:lang w:val="fr-CA"/>
        </w:rPr>
        <w:t>, par. </w:t>
      </w:r>
      <w:r>
        <w:rPr>
          <w:rFonts w:cs="Times New Roman"/>
          <w:lang w:val="fr-CA"/>
        </w:rPr>
        <w:t>120</w:t>
      </w:r>
      <w:r w:rsidRPr="000D0016">
        <w:rPr>
          <w:rFonts w:cs="Times New Roman"/>
          <w:lang w:val="fr-CA"/>
        </w:rPr>
        <w:t>). Étant donné que ceux</w:t>
      </w:r>
      <w:r>
        <w:rPr>
          <w:rFonts w:cs="Times New Roman"/>
          <w:lang w:val="fr-CA"/>
        </w:rPr>
        <w:t xml:space="preserve"> et celles</w:t>
      </w:r>
      <w:r w:rsidRPr="000D0016">
        <w:rPr>
          <w:rFonts w:cs="Times New Roman"/>
          <w:lang w:val="fr-CA"/>
        </w:rPr>
        <w:t xml:space="preserve"> qui rédigent les lois s’attendent à ce que le sens de la loi soit dégagé au moyen d’une analyse du libellé, du contexte et de l’objet, une interprétation raisonnable doit tenir compte de ces éléments </w:t>
      </w:r>
      <w:r w:rsidRPr="000D0016">
        <w:rPr>
          <w:lang w:val="fr-CA"/>
        </w:rPr>
        <w:t>—</w:t>
      </w:r>
      <w:r>
        <w:rPr>
          <w:rFonts w:eastAsia="Times New Roman" w:cs="Times New Roman"/>
          <w:szCs w:val="24"/>
          <w:lang w:val="fr-CA" w:eastAsia="en-CA"/>
        </w:rPr>
        <w:t> </w:t>
      </w:r>
      <w:r w:rsidRPr="000D0016">
        <w:rPr>
          <w:rFonts w:cs="Times New Roman"/>
          <w:noProof/>
          <w:lang w:val="fr-CA"/>
        </w:rPr>
        <w:t xml:space="preserve">que l’entité chargée de l’interprétation législative </w:t>
      </w:r>
      <w:r>
        <w:rPr>
          <w:rFonts w:cs="Times New Roman"/>
          <w:noProof/>
          <w:lang w:val="fr-CA"/>
        </w:rPr>
        <w:t xml:space="preserve">soit </w:t>
      </w:r>
      <w:r w:rsidRPr="007821EA">
        <w:rPr>
          <w:rFonts w:cs="Times New Roman"/>
          <w:noProof/>
          <w:lang w:val="fr-CA"/>
        </w:rPr>
        <w:t xml:space="preserve">une </w:t>
      </w:r>
      <w:r w:rsidRPr="007821EA">
        <w:rPr>
          <w:rFonts w:cs="Times New Roman"/>
          <w:noProof/>
          <w:lang w:val="fr-CA"/>
        </w:rPr>
        <w:lastRenderedPageBreak/>
        <w:t>cour de justice ou un décideur administratif</w:t>
      </w:r>
      <w:r w:rsidRPr="007821EA">
        <w:rPr>
          <w:lang w:val="fr-CA"/>
        </w:rPr>
        <w:t xml:space="preserve"> </w:t>
      </w:r>
      <w:r w:rsidRPr="007821EA">
        <w:rPr>
          <w:rFonts w:cs="Times New Roman"/>
          <w:lang w:val="fr-CA"/>
        </w:rPr>
        <w:t>(</w:t>
      </w:r>
      <w:r w:rsidRPr="000D0016">
        <w:rPr>
          <w:rFonts w:cs="Times New Roman"/>
          <w:i/>
          <w:lang w:val="fr-CA"/>
        </w:rPr>
        <w:t>Vavilov</w:t>
      </w:r>
      <w:r w:rsidRPr="000D0016">
        <w:rPr>
          <w:rFonts w:cs="Times New Roman"/>
          <w:lang w:val="fr-CA"/>
        </w:rPr>
        <w:t>, par. 11</w:t>
      </w:r>
      <w:r>
        <w:rPr>
          <w:rFonts w:cs="Times New Roman"/>
          <w:lang w:val="fr-CA"/>
        </w:rPr>
        <w:t>8</w:t>
      </w:r>
      <w:r w:rsidRPr="000D0016">
        <w:rPr>
          <w:rFonts w:cs="Times New Roman"/>
          <w:lang w:val="fr-CA"/>
        </w:rPr>
        <w:t>). En plus de s’harmoniser avec le</w:t>
      </w:r>
      <w:r w:rsidRPr="000D0016">
        <w:rPr>
          <w:rFonts w:eastAsia="Times New Roman" w:cs="Times New Roman"/>
          <w:szCs w:val="24"/>
          <w:lang w:val="fr-CA" w:eastAsia="en-CA"/>
        </w:rPr>
        <w:t xml:space="preserve"> </w:t>
      </w:r>
      <w:r w:rsidRPr="000D0016">
        <w:rPr>
          <w:rFonts w:cs="Times New Roman"/>
          <w:lang w:val="fr-CA"/>
        </w:rPr>
        <w:t xml:space="preserve">libellé, le contexte et l’objet, une interprétation raisonnable devrait être conforme à toute contrainte d’interprétation imposée par le régime législatif applicable ainsi qu’aux règles d’interprétation découlant d’autres sources de droit. En l’espèce, l’interprétation de l’agent d’appel </w:t>
      </w:r>
      <w:r>
        <w:rPr>
          <w:rFonts w:cs="Times New Roman"/>
          <w:lang w:val="fr-CA"/>
        </w:rPr>
        <w:t xml:space="preserve">est </w:t>
      </w:r>
      <w:r w:rsidRPr="000D0016">
        <w:rPr>
          <w:rFonts w:cs="Times New Roman"/>
          <w:lang w:val="fr-CA"/>
        </w:rPr>
        <w:t xml:space="preserve">assujettie aux règles d’interprétation contenue dans le Code, à la </w:t>
      </w:r>
      <w:r w:rsidRPr="000D0016">
        <w:rPr>
          <w:rFonts w:cs="Times New Roman"/>
          <w:i/>
          <w:lang w:val="fr-CA"/>
        </w:rPr>
        <w:t>Loi d’interprétation</w:t>
      </w:r>
      <w:r w:rsidRPr="000D0016">
        <w:rPr>
          <w:rFonts w:cs="Times New Roman"/>
          <w:lang w:val="fr-CA"/>
        </w:rPr>
        <w:t>, L.R.C. 1985, c. I</w:t>
      </w:r>
      <w:r w:rsidRPr="000D0016">
        <w:rPr>
          <w:rFonts w:cs="Times New Roman"/>
          <w:lang w:val="fr-CA"/>
        </w:rPr>
        <w:noBreakHyphen/>
        <w:t>21, et aux règles</w:t>
      </w:r>
      <w:r w:rsidRPr="000D0016">
        <w:rPr>
          <w:rFonts w:eastAsia="Times New Roman" w:cs="Times New Roman"/>
          <w:szCs w:val="24"/>
          <w:lang w:val="fr-CA" w:eastAsia="en-CA"/>
        </w:rPr>
        <w:t xml:space="preserve"> </w:t>
      </w:r>
      <w:r w:rsidRPr="000D0016">
        <w:rPr>
          <w:rFonts w:cs="Times New Roman"/>
          <w:lang w:val="fr-CA"/>
        </w:rPr>
        <w:t>de common law en matière d’interprétation des lois.</w:t>
      </w:r>
    </w:p>
    <w:p w:rsidR="00B7543C" w:rsidRPr="00763A4D" w:rsidRDefault="00B7543C" w:rsidP="00B7543C">
      <w:pPr>
        <w:pStyle w:val="ParaNoNdepar-AltN"/>
        <w:tabs>
          <w:tab w:val="clear" w:pos="1166"/>
          <w:tab w:val="left" w:pos="1170"/>
        </w:tabs>
        <w:rPr>
          <w:noProof/>
          <w:lang w:val="fr-CA"/>
        </w:rPr>
      </w:pPr>
      <w:r w:rsidRPr="000D0016">
        <w:rPr>
          <w:rFonts w:cs="Times New Roman"/>
          <w:lang w:val="fr-CA"/>
        </w:rPr>
        <w:t xml:space="preserve">L’agent d’appel </w:t>
      </w:r>
      <w:r>
        <w:rPr>
          <w:rFonts w:cs="Times New Roman"/>
          <w:lang w:val="fr-CA"/>
        </w:rPr>
        <w:t>fonde</w:t>
      </w:r>
      <w:r w:rsidRPr="000D0016">
        <w:rPr>
          <w:rFonts w:cs="Times New Roman"/>
          <w:lang w:val="fr-CA"/>
        </w:rPr>
        <w:t xml:space="preserve"> son interprétation sur la règle générale, énoncée à l’art. 12 de la </w:t>
      </w:r>
      <w:r w:rsidRPr="000D0016">
        <w:rPr>
          <w:rFonts w:cs="Times New Roman"/>
          <w:i/>
          <w:lang w:val="fr-CA"/>
        </w:rPr>
        <w:t>Loi d’interprétation</w:t>
      </w:r>
      <w:r w:rsidRPr="000D0016">
        <w:rPr>
          <w:rFonts w:cs="Times New Roman"/>
          <w:lang w:val="fr-CA"/>
        </w:rPr>
        <w:t xml:space="preserve">, selon laquelle « [t]out texte est censé apporter une solution de droit et s’interprète de la manière la plus équitable et la plus large qui soit compatible avec la réalisation de son objet » (cité dans </w:t>
      </w:r>
      <w:r>
        <w:rPr>
          <w:rFonts w:cs="Times New Roman"/>
          <w:lang w:val="fr-CA"/>
        </w:rPr>
        <w:t xml:space="preserve">les </w:t>
      </w:r>
      <w:r w:rsidRPr="000D0016">
        <w:rPr>
          <w:rFonts w:cs="Times New Roman"/>
          <w:lang w:val="fr-CA"/>
        </w:rPr>
        <w:t xml:space="preserve">motifs du TSSTC, par. 91). </w:t>
      </w:r>
      <w:r>
        <w:rPr>
          <w:rFonts w:cs="Times New Roman"/>
          <w:lang w:val="fr-CA"/>
        </w:rPr>
        <w:t>Comme nous le verrons</w:t>
      </w:r>
      <w:r w:rsidRPr="000D0016">
        <w:rPr>
          <w:rFonts w:cs="Times New Roman"/>
          <w:lang w:val="fr-CA"/>
        </w:rPr>
        <w:t xml:space="preserve">, les motifs de l’agent d’appel démontrent amplement qu’il </w:t>
      </w:r>
      <w:r>
        <w:rPr>
          <w:rFonts w:cs="Times New Roman"/>
          <w:lang w:val="fr-CA"/>
        </w:rPr>
        <w:t xml:space="preserve">tient </w:t>
      </w:r>
      <w:r w:rsidRPr="000D0016">
        <w:rPr>
          <w:rFonts w:cs="Times New Roman"/>
          <w:lang w:val="fr-CA"/>
        </w:rPr>
        <w:t xml:space="preserve">compte du libellé, du contexte et de l’objet, ainsi que des conséquences pratiques de son interprétation (voir </w:t>
      </w:r>
      <w:r w:rsidRPr="000D0016">
        <w:rPr>
          <w:rFonts w:cs="Times New Roman"/>
          <w:i/>
          <w:lang w:val="fr-CA"/>
        </w:rPr>
        <w:t>West Fraser Mills Ltd. c. Colombie</w:t>
      </w:r>
      <w:r w:rsidRPr="000D0016">
        <w:rPr>
          <w:rFonts w:cs="Times New Roman"/>
          <w:i/>
          <w:lang w:val="fr-CA"/>
        </w:rPr>
        <w:noBreakHyphen/>
        <w:t>Britannique (Workers’ Compensation Appeal Tribunal)</w:t>
      </w:r>
      <w:r w:rsidRPr="000D0016">
        <w:rPr>
          <w:rFonts w:cs="Times New Roman"/>
          <w:lang w:val="fr-CA"/>
        </w:rPr>
        <w:t>, 2018 CSC 22, [2018] 1 R.C.S. 635, par. 41). Le fait qu’il s</w:t>
      </w:r>
      <w:r>
        <w:rPr>
          <w:rFonts w:cs="Times New Roman"/>
          <w:lang w:val="fr-CA"/>
        </w:rPr>
        <w:t>’intéresse</w:t>
      </w:r>
      <w:r w:rsidRPr="000D0016">
        <w:rPr>
          <w:rFonts w:cs="Times New Roman"/>
          <w:lang w:val="fr-CA"/>
        </w:rPr>
        <w:t xml:space="preserve"> plus particulièrement aux conséquences pratiques n</w:t>
      </w:r>
      <w:r>
        <w:rPr>
          <w:rFonts w:cs="Times New Roman"/>
          <w:lang w:val="fr-CA"/>
        </w:rPr>
        <w:t xml:space="preserve">e </w:t>
      </w:r>
      <w:r w:rsidRPr="000D0016">
        <w:rPr>
          <w:rFonts w:cs="Times New Roman"/>
          <w:lang w:val="fr-CA"/>
        </w:rPr>
        <w:t>supplant</w:t>
      </w:r>
      <w:r>
        <w:rPr>
          <w:rFonts w:cs="Times New Roman"/>
          <w:lang w:val="fr-CA"/>
        </w:rPr>
        <w:t>e pas</w:t>
      </w:r>
      <w:r w:rsidRPr="000D0016">
        <w:rPr>
          <w:rFonts w:cs="Times New Roman"/>
          <w:lang w:val="fr-CA"/>
        </w:rPr>
        <w:t xml:space="preserve"> la nécessité d’assurer la conformité avec le libellé, le contexte et l’objet de la disposition, mais </w:t>
      </w:r>
      <w:r>
        <w:rPr>
          <w:rFonts w:cs="Times New Roman"/>
          <w:lang w:val="fr-CA"/>
        </w:rPr>
        <w:t xml:space="preserve">se trouve </w:t>
      </w:r>
      <w:r w:rsidRPr="000D0016">
        <w:rPr>
          <w:rFonts w:cs="Times New Roman"/>
          <w:lang w:val="fr-CA"/>
        </w:rPr>
        <w:t xml:space="preserve">plutôt à </w:t>
      </w:r>
      <w:r w:rsidRPr="00763A4D">
        <w:rPr>
          <w:rFonts w:cs="Times New Roman"/>
          <w:lang w:val="fr-CA"/>
        </w:rPr>
        <w:t>« </w:t>
      </w:r>
      <w:r w:rsidRPr="00763A4D">
        <w:rPr>
          <w:rFonts w:cs="Times New Roman"/>
          <w:noProof/>
          <w:lang w:val="fr-CA"/>
        </w:rPr>
        <w:t>enrichi[r] et [à] rehausse[r] [. . .] l’interprétation</w:t>
      </w:r>
      <w:r w:rsidRPr="00763A4D">
        <w:rPr>
          <w:noProof/>
          <w:lang w:val="fr-CA"/>
        </w:rPr>
        <w:t> »</w:t>
      </w:r>
      <w:r w:rsidRPr="000D0016">
        <w:rPr>
          <w:rFonts w:cs="Times New Roman"/>
          <w:lang w:val="fr-CA"/>
        </w:rPr>
        <w:t xml:space="preserve"> (</w:t>
      </w:r>
      <w:r w:rsidRPr="000D0016">
        <w:rPr>
          <w:rFonts w:cs="Times New Roman"/>
          <w:i/>
          <w:lang w:val="fr-CA"/>
        </w:rPr>
        <w:t>Vavilov</w:t>
      </w:r>
      <w:r w:rsidRPr="000D0016">
        <w:rPr>
          <w:rFonts w:cs="Times New Roman"/>
          <w:lang w:val="fr-CA"/>
        </w:rPr>
        <w:t>, par. 11</w:t>
      </w:r>
      <w:r>
        <w:rPr>
          <w:rFonts w:cs="Times New Roman"/>
          <w:lang w:val="fr-CA"/>
        </w:rPr>
        <w:t>9</w:t>
      </w:r>
      <w:r w:rsidRPr="000D0016">
        <w:rPr>
          <w:rFonts w:cs="Times New Roman"/>
          <w:lang w:val="fr-CA"/>
        </w:rPr>
        <w:t xml:space="preserve">). </w:t>
      </w:r>
      <w:r>
        <w:rPr>
          <w:rFonts w:cs="Times New Roman"/>
          <w:lang w:val="fr-CA"/>
        </w:rPr>
        <w:t>Il s’efforce</w:t>
      </w:r>
      <w:r w:rsidRPr="000D0016">
        <w:rPr>
          <w:rFonts w:cs="Times New Roman"/>
          <w:lang w:val="fr-CA"/>
        </w:rPr>
        <w:t xml:space="preserve"> d’une façon soutenue de dégager l’intention du législateur tout au long de son analyse et ne </w:t>
      </w:r>
      <w:r>
        <w:rPr>
          <w:rFonts w:cs="Times New Roman"/>
          <w:lang w:val="fr-CA"/>
        </w:rPr>
        <w:t>se contente pas</w:t>
      </w:r>
      <w:r w:rsidRPr="000D0016">
        <w:rPr>
          <w:rFonts w:cs="Times New Roman"/>
          <w:lang w:val="fr-CA"/>
        </w:rPr>
        <w:t xml:space="preserve"> </w:t>
      </w:r>
      <w:r w:rsidRPr="00763A4D">
        <w:rPr>
          <w:rFonts w:cs="Times New Roman"/>
          <w:lang w:val="fr-CA"/>
        </w:rPr>
        <w:t xml:space="preserve">« d’échafauder une interprétation à partir du </w:t>
      </w:r>
      <w:r w:rsidRPr="00763A4D">
        <w:rPr>
          <w:rFonts w:cs="Times New Roman"/>
          <w:noProof/>
          <w:lang w:val="fr-CA"/>
        </w:rPr>
        <w:t>résultat souhaité</w:t>
      </w:r>
      <w:r w:rsidRPr="00763A4D">
        <w:rPr>
          <w:rFonts w:cs="Times New Roman"/>
          <w:lang w:val="fr-CA"/>
        </w:rPr>
        <w:t> » (</w:t>
      </w:r>
      <w:r w:rsidRPr="00763A4D">
        <w:rPr>
          <w:rFonts w:cs="Times New Roman"/>
          <w:i/>
          <w:lang w:val="fr-CA"/>
        </w:rPr>
        <w:t>Vavilov</w:t>
      </w:r>
      <w:r w:rsidRPr="00763A4D">
        <w:rPr>
          <w:rFonts w:cs="Times New Roman"/>
          <w:lang w:val="fr-CA"/>
        </w:rPr>
        <w:t>, par. 121).</w:t>
      </w:r>
    </w:p>
    <w:p w:rsidR="00B7543C" w:rsidRPr="000D0016" w:rsidRDefault="00B7543C" w:rsidP="00B7543C">
      <w:pPr>
        <w:pStyle w:val="Title5LevelTitre5Niveau"/>
        <w:rPr>
          <w:rFonts w:cs="Times New Roman"/>
          <w:lang w:val="fr-CA"/>
        </w:rPr>
      </w:pPr>
      <w:r w:rsidRPr="000D0016">
        <w:rPr>
          <w:rFonts w:cs="Times New Roman"/>
          <w:lang w:val="fr-CA"/>
        </w:rPr>
        <w:t>Le libellé de l’al. 125(1)z.12)</w:t>
      </w:r>
    </w:p>
    <w:p w:rsidR="00B7543C" w:rsidRPr="000D0016" w:rsidRDefault="00B7543C" w:rsidP="00B7543C">
      <w:pPr>
        <w:pStyle w:val="ParaNoNdepar-AltN"/>
        <w:rPr>
          <w:rFonts w:cs="Times New Roman"/>
          <w:lang w:val="fr-CA"/>
        </w:rPr>
      </w:pPr>
      <w:r>
        <w:rPr>
          <w:rFonts w:cs="Times New Roman"/>
          <w:lang w:val="fr-CA"/>
        </w:rPr>
        <w:lastRenderedPageBreak/>
        <w:t xml:space="preserve">L’agent d’appel </w:t>
      </w:r>
      <w:r w:rsidRPr="000D0016">
        <w:rPr>
          <w:rFonts w:cs="Times New Roman"/>
          <w:lang w:val="fr-CA"/>
        </w:rPr>
        <w:t>conclu</w:t>
      </w:r>
      <w:r>
        <w:rPr>
          <w:rFonts w:cs="Times New Roman"/>
          <w:lang w:val="fr-CA"/>
        </w:rPr>
        <w:t>t</w:t>
      </w:r>
      <w:r w:rsidRPr="000D0016">
        <w:rPr>
          <w:rFonts w:cs="Times New Roman"/>
          <w:lang w:val="fr-CA"/>
        </w:rPr>
        <w:t xml:space="preserve"> que, pour décider si l’obligation d’inspection prévue à l’al. z.12) </w:t>
      </w:r>
      <w:r>
        <w:rPr>
          <w:rFonts w:cs="Times New Roman"/>
          <w:lang w:val="fr-CA"/>
        </w:rPr>
        <w:t>oblige</w:t>
      </w:r>
      <w:r w:rsidRPr="000D0016">
        <w:rPr>
          <w:rFonts w:cs="Times New Roman"/>
          <w:lang w:val="fr-CA"/>
        </w:rPr>
        <w:t xml:space="preserve"> Postes Canada à inspecter les itinéraires des facteurs et les points de remise, </w:t>
      </w:r>
      <w:r>
        <w:rPr>
          <w:rFonts w:cs="Times New Roman"/>
          <w:lang w:val="fr-CA"/>
        </w:rPr>
        <w:t>il doi</w:t>
      </w:r>
      <w:r w:rsidRPr="000D0016">
        <w:rPr>
          <w:rFonts w:cs="Times New Roman"/>
          <w:lang w:val="fr-CA"/>
        </w:rPr>
        <w:t>t interpréter</w:t>
      </w:r>
      <w:r w:rsidRPr="000D0016">
        <w:rPr>
          <w:rFonts w:eastAsia="Times New Roman" w:cs="Times New Roman"/>
          <w:szCs w:val="24"/>
          <w:lang w:val="fr-CA" w:eastAsia="en-CA"/>
        </w:rPr>
        <w:t xml:space="preserve"> </w:t>
      </w:r>
      <w:r w:rsidRPr="000D0016">
        <w:rPr>
          <w:rFonts w:cs="Times New Roman"/>
          <w:lang w:val="fr-CA"/>
        </w:rPr>
        <w:t>l’expression « lieu de travail », de même que le « champ d’application des obligations [spécifiques] découlant du paragraphe 125(1) » (par. 93).</w:t>
      </w:r>
    </w:p>
    <w:p w:rsidR="00B7543C" w:rsidRPr="000D0016" w:rsidRDefault="00B7543C" w:rsidP="00B7543C">
      <w:pPr>
        <w:pStyle w:val="ParaNoNdepar-AltN"/>
        <w:rPr>
          <w:rFonts w:cs="Times New Roman"/>
          <w:lang w:val="fr-CA"/>
        </w:rPr>
      </w:pPr>
      <w:r w:rsidRPr="000D0016">
        <w:rPr>
          <w:rFonts w:cs="Times New Roman"/>
          <w:lang w:val="fr-CA"/>
        </w:rPr>
        <w:t>Se penchant d’abord sur le libellé introductif du par. 125(1), l’agent d’appel conclu</w:t>
      </w:r>
      <w:r>
        <w:rPr>
          <w:rFonts w:cs="Times New Roman"/>
          <w:lang w:val="fr-CA"/>
        </w:rPr>
        <w:t>t</w:t>
      </w:r>
      <w:r w:rsidRPr="000D0016">
        <w:rPr>
          <w:rFonts w:cs="Times New Roman"/>
          <w:lang w:val="fr-CA"/>
        </w:rPr>
        <w:t xml:space="preserve"> qu’il est « clai[r] que toute </w:t>
      </w:r>
      <w:r>
        <w:rPr>
          <w:rFonts w:cs="Times New Roman"/>
          <w:lang w:val="fr-CA"/>
        </w:rPr>
        <w:t xml:space="preserve">obligation prévue au paragraphe </w:t>
      </w:r>
      <w:r w:rsidRPr="000D0016">
        <w:rPr>
          <w:rFonts w:cs="Times New Roman"/>
          <w:lang w:val="fr-CA"/>
        </w:rPr>
        <w:t xml:space="preserve">125(1) ne s’applique à l’employeur que si elle se rapporte à un lieu de travail » (par. 88). L’agent d’appel </w:t>
      </w:r>
      <w:r>
        <w:rPr>
          <w:rFonts w:cs="Times New Roman"/>
          <w:lang w:val="fr-CA"/>
        </w:rPr>
        <w:t>commence</w:t>
      </w:r>
      <w:r w:rsidRPr="000D0016">
        <w:rPr>
          <w:rFonts w:cs="Times New Roman"/>
          <w:lang w:val="fr-CA"/>
        </w:rPr>
        <w:t xml:space="preserve"> par interpréter la définition de « lieu de travail » énoncée au par. 122(1). Les définitions figurant au par. 122(1) s’appliquent à la partie II du Code (Santé et sécurité au travail). Suivant le par. 122(1), le « </w:t>
      </w:r>
      <w:r w:rsidRPr="000D0016">
        <w:rPr>
          <w:rFonts w:cs="Times New Roman"/>
          <w:b/>
          <w:bCs/>
          <w:i/>
          <w:lang w:val="fr-CA"/>
        </w:rPr>
        <w:t>lieu de travail</w:t>
      </w:r>
      <w:r w:rsidRPr="00375493">
        <w:rPr>
          <w:rFonts w:cs="Times New Roman"/>
          <w:bCs/>
          <w:lang w:val="fr-CA"/>
        </w:rPr>
        <w:t> »</w:t>
      </w:r>
      <w:r w:rsidRPr="000D0016">
        <w:rPr>
          <w:rFonts w:cs="Times New Roman"/>
          <w:bCs/>
          <w:i/>
          <w:lang w:val="fr-CA"/>
        </w:rPr>
        <w:t xml:space="preserve"> </w:t>
      </w:r>
      <w:r w:rsidRPr="000D0016">
        <w:rPr>
          <w:rFonts w:cs="Times New Roman"/>
          <w:lang w:val="fr-CA"/>
        </w:rPr>
        <w:t>s’entend de « [t]out lieu où l’employé exécute un travail pour le compte de son employeur ».</w:t>
      </w:r>
    </w:p>
    <w:p w:rsidR="00B7543C" w:rsidRPr="000D0016" w:rsidRDefault="00B7543C" w:rsidP="00B7543C">
      <w:pPr>
        <w:pStyle w:val="ParaNoNdepar-AltN"/>
        <w:rPr>
          <w:rFonts w:cs="Times New Roman"/>
          <w:lang w:val="fr-CA"/>
        </w:rPr>
      </w:pPr>
      <w:r w:rsidRPr="000D0016">
        <w:rPr>
          <w:rFonts w:cs="Times New Roman"/>
          <w:lang w:val="fr-CA"/>
        </w:rPr>
        <w:t xml:space="preserve">Malgré l’argument de Postes Canada voulant que la question de savoir ce qui constitue un lieu de travail dépende de celle de savoir si le lieu de travail ou la tâche accomplie relève de l’autorité de l’employeur, il n’était pas loisible à l’agent d’appel de s’écarter de la définition prévue par la loi applicable. L’interprétation de l’agent d’appel </w:t>
      </w:r>
      <w:r>
        <w:rPr>
          <w:rFonts w:cs="Times New Roman"/>
          <w:lang w:val="fr-CA"/>
        </w:rPr>
        <w:t>est</w:t>
      </w:r>
      <w:r w:rsidRPr="000D0016">
        <w:rPr>
          <w:rFonts w:cs="Times New Roman"/>
          <w:lang w:val="fr-CA"/>
        </w:rPr>
        <w:t xml:space="preserve"> conforme à la définition de « lieu de travail » énoncée dans le Code. Il</w:t>
      </w:r>
      <w:r>
        <w:rPr>
          <w:rFonts w:cs="Times New Roman"/>
          <w:lang w:val="fr-CA"/>
        </w:rPr>
        <w:t xml:space="preserve"> statue</w:t>
      </w:r>
      <w:r w:rsidRPr="000D0016">
        <w:rPr>
          <w:rFonts w:cs="Times New Roman"/>
          <w:lang w:val="fr-CA"/>
        </w:rPr>
        <w:t xml:space="preserve"> que « l’expression “lieu de travail” doit être interprétée de manière large afin de tenir compte de tous les endroits où un employé peut exécuter son travail et, en l’espèce, de la mobilité nécessaire d’un facteur » (par. 91). L’agent d’appel </w:t>
      </w:r>
      <w:r>
        <w:rPr>
          <w:rFonts w:cs="Times New Roman"/>
          <w:lang w:val="fr-CA"/>
        </w:rPr>
        <w:t>suit</w:t>
      </w:r>
      <w:r w:rsidRPr="000D0016">
        <w:rPr>
          <w:rFonts w:cs="Times New Roman"/>
          <w:lang w:val="fr-CA"/>
        </w:rPr>
        <w:t xml:space="preserve"> des décisions antérieures de la TSSTC sur ce point (</w:t>
      </w:r>
      <w:r w:rsidRPr="000D0016">
        <w:rPr>
          <w:rFonts w:cs="Times New Roman"/>
          <w:i/>
          <w:lang w:val="fr-CA"/>
        </w:rPr>
        <w:t>Bell Canada</w:t>
      </w:r>
      <w:r w:rsidRPr="000D0016">
        <w:rPr>
          <w:rFonts w:cs="Times New Roman"/>
          <w:lang w:val="fr-CA"/>
        </w:rPr>
        <w:t xml:space="preserve">, 2011 TSSTC 21, par. 30 et 32 (CanLII), citée dans </w:t>
      </w:r>
      <w:r>
        <w:rPr>
          <w:rFonts w:cs="Times New Roman"/>
          <w:lang w:val="fr-CA"/>
        </w:rPr>
        <w:t xml:space="preserve">les </w:t>
      </w:r>
      <w:r w:rsidRPr="000D0016">
        <w:rPr>
          <w:rFonts w:cs="Times New Roman"/>
          <w:lang w:val="fr-CA"/>
        </w:rPr>
        <w:t xml:space="preserve">motifs du TSSTC, par. 30 et 50; </w:t>
      </w:r>
      <w:r w:rsidRPr="000D0016">
        <w:rPr>
          <w:rFonts w:cs="Times New Roman"/>
          <w:i/>
          <w:lang w:val="fr-CA"/>
        </w:rPr>
        <w:t>Mowat Express c. Syndicat canadien des communications, de l’énergie et du papier</w:t>
      </w:r>
      <w:r w:rsidRPr="000D0016">
        <w:rPr>
          <w:rFonts w:cs="Times New Roman"/>
          <w:lang w:val="fr-CA"/>
        </w:rPr>
        <w:t>, [1994] D.A.R.S.C.C.T. n</w:t>
      </w:r>
      <w:r w:rsidRPr="000D0016">
        <w:rPr>
          <w:rFonts w:cs="Times New Roman"/>
          <w:vertAlign w:val="superscript"/>
          <w:lang w:val="fr-CA"/>
        </w:rPr>
        <w:t>o</w:t>
      </w:r>
      <w:r w:rsidRPr="000D0016">
        <w:rPr>
          <w:rFonts w:cs="Times New Roman"/>
          <w:lang w:val="fr-CA"/>
        </w:rPr>
        <w:t xml:space="preserve"> 4 </w:t>
      </w:r>
      <w:r w:rsidRPr="000D0016">
        <w:rPr>
          <w:rFonts w:cs="Times New Roman"/>
          <w:lang w:val="fr-CA"/>
        </w:rPr>
        <w:lastRenderedPageBreak/>
        <w:t xml:space="preserve">(QL), citée dans </w:t>
      </w:r>
      <w:r>
        <w:rPr>
          <w:rFonts w:cs="Times New Roman"/>
          <w:lang w:val="fr-CA"/>
        </w:rPr>
        <w:t xml:space="preserve">les </w:t>
      </w:r>
      <w:r w:rsidRPr="000D0016">
        <w:rPr>
          <w:rFonts w:cs="Times New Roman"/>
          <w:lang w:val="fr-CA"/>
        </w:rPr>
        <w:t xml:space="preserve">motifs du TSSTC, par. 92; </w:t>
      </w:r>
      <w:r w:rsidRPr="000D0016">
        <w:rPr>
          <w:rFonts w:cs="Times New Roman"/>
          <w:i/>
          <w:lang w:val="fr-CA"/>
        </w:rPr>
        <w:t>Seair Seaplanes Ltd. c. Bhangal</w:t>
      </w:r>
      <w:r w:rsidRPr="000D0016">
        <w:rPr>
          <w:rFonts w:cs="Times New Roman"/>
          <w:lang w:val="fr-CA"/>
        </w:rPr>
        <w:t>, 2009 LNTSSTC 24 (QL), par. 39</w:t>
      </w:r>
      <w:r w:rsidRPr="000D0016">
        <w:rPr>
          <w:rFonts w:cs="Times New Roman"/>
          <w:lang w:val="fr-CA"/>
        </w:rPr>
        <w:noBreakHyphen/>
        <w:t xml:space="preserve">43, citée dans </w:t>
      </w:r>
      <w:r>
        <w:rPr>
          <w:rFonts w:cs="Times New Roman"/>
          <w:lang w:val="fr-CA"/>
        </w:rPr>
        <w:t xml:space="preserve">les </w:t>
      </w:r>
      <w:r w:rsidRPr="000D0016">
        <w:rPr>
          <w:rFonts w:cs="Times New Roman"/>
          <w:lang w:val="fr-CA"/>
        </w:rPr>
        <w:t>motifs du TSSTC, par. 30).</w:t>
      </w:r>
    </w:p>
    <w:p w:rsidR="00B7543C" w:rsidRPr="000D0016" w:rsidRDefault="00B7543C" w:rsidP="00B7543C">
      <w:pPr>
        <w:pStyle w:val="ParaNoNdepar-AltN"/>
        <w:rPr>
          <w:rFonts w:cs="Times New Roman"/>
          <w:lang w:val="fr-CA"/>
        </w:rPr>
      </w:pPr>
      <w:r w:rsidRPr="000D0016">
        <w:rPr>
          <w:rFonts w:cs="Times New Roman"/>
          <w:lang w:val="fr-CA"/>
        </w:rPr>
        <w:t xml:space="preserve">Se penchant ensuite sur le champ d’application des obligations découlant du par. 125(1), l’agent d’appel </w:t>
      </w:r>
      <w:r>
        <w:rPr>
          <w:rFonts w:cs="Times New Roman"/>
          <w:lang w:val="fr-CA"/>
        </w:rPr>
        <w:t>souligne</w:t>
      </w:r>
      <w:r w:rsidRPr="000D0016">
        <w:rPr>
          <w:rFonts w:cs="Times New Roman"/>
          <w:lang w:val="fr-CA"/>
        </w:rPr>
        <w:t xml:space="preserve"> que « [l]a formulation très précise [. . .] révèle que les obligations énoncées dans ce paragraphe sont axées sur la notion d’autorité » (par. 93). À son avis, les mots « tout lieu de travail placé sous [l’]entière autorité [de l’employeur] » et « toute tâche accomplie par un employé dans un lieu de travail ne relevant pas de son autorité, dans la mesure où cette tâche, elle, en relève » figurant au par. 125(1) doivent s’interpréter de façon disjonctive : « Il existe une distinction claire entre les lieux de travail placés sous l’entière autorité de l’employeur et ceux qui ne le sont pas » (par. 93).</w:t>
      </w:r>
    </w:p>
    <w:p w:rsidR="00B7543C" w:rsidRPr="000D0016" w:rsidRDefault="00B7543C" w:rsidP="00B7543C">
      <w:pPr>
        <w:pStyle w:val="ParaNoNdepar-AltN"/>
        <w:rPr>
          <w:rFonts w:cs="Times New Roman"/>
          <w:lang w:val="fr-CA"/>
        </w:rPr>
      </w:pPr>
      <w:r w:rsidRPr="000D0016">
        <w:rPr>
          <w:rFonts w:cs="Times New Roman"/>
          <w:lang w:val="fr-CA"/>
        </w:rPr>
        <w:t xml:space="preserve">Devant notre Cour, le Syndicat </w:t>
      </w:r>
      <w:r>
        <w:rPr>
          <w:rFonts w:cs="Times New Roman"/>
          <w:lang w:val="fr-CA"/>
        </w:rPr>
        <w:t>f</w:t>
      </w:r>
      <w:r w:rsidRPr="000D0016">
        <w:rPr>
          <w:rFonts w:cs="Times New Roman"/>
          <w:lang w:val="fr-CA"/>
        </w:rPr>
        <w:t>ait valoir que l’interprétation de l’agent d’appel est contraire au libellé clair de la loi. À son avis, rien dans le texte introductif de l’art. 125 n’indique que les obligations énumérées à l’art. 125 sont censées s’appliquer exclusivement à l’une ou l’autre des deux situations. Selon le Syndicat, le mot « </w:t>
      </w:r>
      <w:r w:rsidRPr="000D0016">
        <w:rPr>
          <w:rFonts w:cs="Times New Roman"/>
          <w:i/>
          <w:lang w:val="fr-CA"/>
        </w:rPr>
        <w:t>and</w:t>
      </w:r>
      <w:r w:rsidRPr="000D0016">
        <w:rPr>
          <w:rFonts w:cs="Times New Roman"/>
          <w:lang w:val="fr-CA"/>
        </w:rPr>
        <w:t xml:space="preserve"> » utilisé dans le texte anglais de la disposition revêt un sens </w:t>
      </w:r>
      <w:r w:rsidRPr="000D0016">
        <w:rPr>
          <w:rFonts w:cs="Times New Roman"/>
          <w:i/>
          <w:lang w:val="fr-CA"/>
        </w:rPr>
        <w:t>conjonctif</w:t>
      </w:r>
      <w:r w:rsidRPr="000D0016">
        <w:rPr>
          <w:rFonts w:cs="Times New Roman"/>
          <w:lang w:val="fr-CA"/>
        </w:rPr>
        <w:t xml:space="preserve"> dans le présent contexte, ce qui signifie que toutes les obligations s’appliquent aux employeurs ayant autorité sur le lieu de travail et aux employeurs ayant autorité sur la tâche accomplie. Le Syndicat </w:t>
      </w:r>
      <w:r>
        <w:rPr>
          <w:rFonts w:cs="Times New Roman"/>
          <w:lang w:val="fr-CA"/>
        </w:rPr>
        <w:t>soutient</w:t>
      </w:r>
      <w:r w:rsidRPr="000D0016">
        <w:rPr>
          <w:rFonts w:cs="Times New Roman"/>
          <w:lang w:val="fr-CA"/>
        </w:rPr>
        <w:t xml:space="preserve"> en outre que, même si ce mot se voit attribuer un sens disjonctif, tant que l’une des conditions préalables est remplie (autorité sur le lieu de travail ou autorité sur la tâche accomplie), toutes les obligations s’ensuivent.</w:t>
      </w:r>
    </w:p>
    <w:p w:rsidR="00B7543C" w:rsidRPr="000D0016" w:rsidRDefault="00B7543C" w:rsidP="00B7543C">
      <w:pPr>
        <w:pStyle w:val="ParaNoNdepar-AltN"/>
        <w:rPr>
          <w:rFonts w:cs="Times New Roman"/>
          <w:lang w:val="fr-CA"/>
        </w:rPr>
      </w:pPr>
      <w:r w:rsidRPr="000D0016">
        <w:rPr>
          <w:rFonts w:cs="Times New Roman"/>
          <w:lang w:val="fr-CA"/>
        </w:rPr>
        <w:lastRenderedPageBreak/>
        <w:t>Je conviens avec le juge Near de la Cour d’appel que le mot anglais « </w:t>
      </w:r>
      <w:r w:rsidRPr="000D0016">
        <w:rPr>
          <w:rFonts w:cs="Times New Roman"/>
          <w:i/>
          <w:lang w:val="fr-CA"/>
        </w:rPr>
        <w:t>and</w:t>
      </w:r>
      <w:r w:rsidRPr="000D0016">
        <w:rPr>
          <w:rFonts w:cs="Times New Roman"/>
          <w:lang w:val="fr-CA"/>
        </w:rPr>
        <w:t xml:space="preserve"> » peut revêtir un sens conjonctif ou disjonctif selon le contexte (par. 16). </w:t>
      </w:r>
      <w:r w:rsidRPr="007821EA">
        <w:rPr>
          <w:rFonts w:cs="Times New Roman"/>
          <w:lang w:val="fr-CA"/>
        </w:rPr>
        <w:t>L’emploi du mot « </w:t>
      </w:r>
      <w:r w:rsidRPr="007821EA">
        <w:rPr>
          <w:rFonts w:cs="Times New Roman"/>
          <w:i/>
          <w:lang w:val="fr-CA"/>
        </w:rPr>
        <w:t>and</w:t>
      </w:r>
      <w:r w:rsidRPr="007821EA">
        <w:rPr>
          <w:rFonts w:cs="Times New Roman"/>
          <w:lang w:val="fr-CA"/>
        </w:rPr>
        <w:t> » et de la locution « ainsi que » dans le texte introductif des versions anglaise et française du par. 125(1) ne fait pas obstacle à la conclusion de l’agen</w:t>
      </w:r>
      <w:r w:rsidRPr="000D0016">
        <w:rPr>
          <w:rFonts w:cs="Times New Roman"/>
          <w:lang w:val="fr-CA"/>
        </w:rPr>
        <w:t>t d’appel selon laquelle la disposition indique que certaines obligations ne s’appliquent que dans le cas où le lieu de travail relève de l’autorité de l’employeur. Quoi qu’il en soit, le libellé du texte introductif de la disposition, interprété isolément, n’est pas clair au point d’être déterminant en l’espèce.</w:t>
      </w:r>
    </w:p>
    <w:p w:rsidR="00B7543C" w:rsidRPr="000D0016" w:rsidRDefault="00B7543C" w:rsidP="00B7543C">
      <w:pPr>
        <w:pStyle w:val="Title5LevelTitre5Niveau"/>
        <w:rPr>
          <w:rFonts w:cs="Times New Roman"/>
          <w:lang w:val="fr-CA"/>
        </w:rPr>
      </w:pPr>
      <w:r w:rsidRPr="000D0016">
        <w:rPr>
          <w:rFonts w:cs="Times New Roman"/>
          <w:lang w:val="fr-CA"/>
        </w:rPr>
        <w:t>Le contexte législatif</w:t>
      </w:r>
    </w:p>
    <w:p w:rsidR="00B7543C" w:rsidRPr="000D0016" w:rsidRDefault="00B7543C" w:rsidP="00B7543C">
      <w:pPr>
        <w:pStyle w:val="ParaNoNdepar-AltN"/>
        <w:rPr>
          <w:rFonts w:cs="Times New Roman"/>
          <w:lang w:val="fr-CA"/>
        </w:rPr>
      </w:pPr>
      <w:r w:rsidRPr="000D0016">
        <w:rPr>
          <w:rFonts w:cs="Times New Roman"/>
          <w:lang w:val="fr-CA"/>
        </w:rPr>
        <w:t xml:space="preserve">L’agent d’appel </w:t>
      </w:r>
      <w:r>
        <w:rPr>
          <w:rFonts w:cs="Times New Roman"/>
          <w:lang w:val="fr-CA"/>
        </w:rPr>
        <w:t>tient</w:t>
      </w:r>
      <w:r w:rsidRPr="000D0016">
        <w:rPr>
          <w:rFonts w:cs="Times New Roman"/>
          <w:lang w:val="fr-CA"/>
        </w:rPr>
        <w:t xml:space="preserve"> compte du contexte législatif plus large des obligations énoncées au par. 125(1), soulignant qu’« [u]ne simple lecture de l’énoncé des obligations révèle clairement que (i) certaines obligations s’appliquent à tout employeur, peu importe s’il a autorité sur le lieu de travail et pourvu qu’il ait autorité sur la tâche accomplie, et que (ii) d’autres obligations ne peuvent être exécutées si l’employeur n’a pas autorité complète sur le lieu de travail physique » (par. 93). L’agent d’appel </w:t>
      </w:r>
      <w:r>
        <w:rPr>
          <w:rFonts w:cs="Times New Roman"/>
          <w:lang w:val="fr-CA"/>
        </w:rPr>
        <w:t>examine</w:t>
      </w:r>
      <w:r w:rsidRPr="000D0016">
        <w:rPr>
          <w:rFonts w:cs="Times New Roman"/>
          <w:lang w:val="fr-CA"/>
        </w:rPr>
        <w:t xml:space="preserve"> certaines obligations spécifiques qui, à son avis, appuient son interprétation. Par exemple, il fait état de l’al. t), qui oblige l’employeur à « veiller à ce que l’équipement — machines, appareils et outils — utilisé par ses employés pour leur travail soit conforme aux normes réglementaires de santé, de sécurité et d’ergonomie, et sécuritaire dans tous les usages auxquels il est destiné », concluant que cette obligation s’applique à tout employeur, qu’il ait ou non autorité sur le lieu de travail, pourvu que celui</w:t>
      </w:r>
      <w:r w:rsidRPr="000D0016">
        <w:rPr>
          <w:rFonts w:cs="Times New Roman"/>
          <w:lang w:val="fr-CA"/>
        </w:rPr>
        <w:noBreakHyphen/>
        <w:t xml:space="preserve">ci ait autorité sur l’activité accomplie. À l’inverse, l’al. a), qui oblige l’employeur à « veiller à ce que tous les ouvrages et bâtiments permanents et </w:t>
      </w:r>
      <w:r w:rsidRPr="000D0016">
        <w:rPr>
          <w:rFonts w:cs="Times New Roman"/>
          <w:lang w:val="fr-CA"/>
        </w:rPr>
        <w:lastRenderedPageBreak/>
        <w:t>temporaires soient conformes aux normes réglementaires »</w:t>
      </w:r>
      <w:r>
        <w:rPr>
          <w:rFonts w:cs="Times New Roman"/>
          <w:lang w:val="fr-CA"/>
        </w:rPr>
        <w:t xml:space="preserve">, </w:t>
      </w:r>
      <w:r w:rsidRPr="000D0016">
        <w:rPr>
          <w:rFonts w:cs="Times New Roman"/>
          <w:lang w:val="fr-CA"/>
        </w:rPr>
        <w:t>constitue un exemple d’une obligation qui ne s’applique que dans le cas où l’employeur a autorité sur le lieu de travail (par. 97).</w:t>
      </w:r>
    </w:p>
    <w:p w:rsidR="00B7543C" w:rsidRPr="000D0016" w:rsidRDefault="00B7543C" w:rsidP="00B7543C">
      <w:pPr>
        <w:pStyle w:val="ParaNoNdepar-AltN"/>
        <w:rPr>
          <w:rFonts w:cs="Times New Roman"/>
          <w:szCs w:val="24"/>
          <w:lang w:val="fr-CA"/>
        </w:rPr>
      </w:pPr>
      <w:r w:rsidRPr="000D0016">
        <w:rPr>
          <w:rFonts w:cs="Times New Roman"/>
          <w:szCs w:val="24"/>
          <w:lang w:val="fr-CA"/>
        </w:rPr>
        <w:t xml:space="preserve">Bien que ses motifs démontrent qu’il s’est penché sur le contexte de l’al. 125(1)z.12), l’agent d’appel n’avait pas besoin d’examiner toutes les dispositions connexes du Code dans son analyse. Devant notre Cour, les parties ont présenté des arguments sur </w:t>
      </w:r>
      <w:r>
        <w:rPr>
          <w:rFonts w:cs="Times New Roman"/>
          <w:szCs w:val="24"/>
          <w:lang w:val="fr-CA"/>
        </w:rPr>
        <w:t xml:space="preserve">la façon dont </w:t>
      </w:r>
      <w:r w:rsidRPr="007821EA">
        <w:rPr>
          <w:rFonts w:cs="Times New Roman"/>
          <w:szCs w:val="24"/>
          <w:lang w:val="fr-CA"/>
        </w:rPr>
        <w:t>l’art. 135 — qui établit le comité et énonce ses attributions</w:t>
      </w:r>
      <w:r>
        <w:rPr>
          <w:rFonts w:cs="Times New Roman"/>
          <w:szCs w:val="24"/>
          <w:lang w:val="fr-CA"/>
        </w:rPr>
        <w:t xml:space="preserve"> </w:t>
      </w:r>
      <w:r w:rsidRPr="000D0016">
        <w:rPr>
          <w:rFonts w:cs="Times New Roman"/>
          <w:szCs w:val="24"/>
          <w:lang w:val="fr-CA"/>
        </w:rPr>
        <w:t xml:space="preserve">— devrait entrer en ligne de compte dans l’interprétation des obligations prévues au par. 125(1). </w:t>
      </w:r>
      <w:r>
        <w:rPr>
          <w:rFonts w:cs="Times New Roman"/>
          <w:szCs w:val="24"/>
          <w:lang w:val="fr-CA"/>
        </w:rPr>
        <w:t xml:space="preserve">Le paragraphe </w:t>
      </w:r>
      <w:r w:rsidRPr="000D0016">
        <w:rPr>
          <w:rFonts w:cs="Times New Roman"/>
          <w:szCs w:val="24"/>
          <w:lang w:val="fr-CA"/>
        </w:rPr>
        <w:t>135(1) est ainsi libellé :</w:t>
      </w:r>
    </w:p>
    <w:p w:rsidR="00B7543C" w:rsidRPr="000D0016" w:rsidRDefault="00B7543C" w:rsidP="00B7543C">
      <w:pPr>
        <w:pStyle w:val="Citation-AltC"/>
        <w:ind w:hanging="446"/>
        <w:rPr>
          <w:lang w:val="fr-CA"/>
        </w:rPr>
      </w:pPr>
      <w:r w:rsidRPr="000D0016">
        <w:rPr>
          <w:b/>
          <w:lang w:val="fr-CA"/>
        </w:rPr>
        <w:tab/>
        <w:t>135 (1)</w:t>
      </w:r>
      <w:r w:rsidRPr="000D0016">
        <w:rPr>
          <w:lang w:val="fr-CA"/>
        </w:rPr>
        <w:t xml:space="preserve"> Sous réserve des autres dispositions du présent article, l’employeur constitue, </w:t>
      </w:r>
      <w:r w:rsidRPr="000D0016">
        <w:rPr>
          <w:u w:val="single"/>
          <w:lang w:val="fr-CA"/>
        </w:rPr>
        <w:t>pour chaque lieu de travail placé sous son entière autorité</w:t>
      </w:r>
      <w:r w:rsidRPr="000D0016">
        <w:rPr>
          <w:lang w:val="fr-CA"/>
        </w:rPr>
        <w:t xml:space="preserve"> et occupant habituellement au moins vingt employés, un comité local chargé d’examiner les questions qui concernent le lieu de travail en matière de santé et de sécurité; il en choisit et nomme les membres sous réserve de l’article 135.1.</w:t>
      </w:r>
    </w:p>
    <w:p w:rsidR="00B7543C" w:rsidRPr="000D0016" w:rsidRDefault="00B7543C" w:rsidP="00B7543C">
      <w:pPr>
        <w:pStyle w:val="ContinueParaSuitedupar-AltP"/>
        <w:spacing w:before="0"/>
        <w:rPr>
          <w:rFonts w:cs="Times New Roman"/>
          <w:lang w:val="fr-CA"/>
        </w:rPr>
      </w:pPr>
      <w:r w:rsidRPr="000D0016">
        <w:rPr>
          <w:rFonts w:cs="Times New Roman"/>
          <w:lang w:val="fr-CA"/>
        </w:rPr>
        <w:t>Le paragraphe (7) énonce les attributions du comité. L’alinéa k) reprend l’obligation d’inspection du lieu de travail énoncée à l’al. 125(1)z.12) :</w:t>
      </w:r>
    </w:p>
    <w:p w:rsidR="00B7543C" w:rsidRPr="000D0016" w:rsidRDefault="00B7543C" w:rsidP="00B7543C">
      <w:pPr>
        <w:pStyle w:val="Citation-AltC"/>
        <w:spacing w:after="240"/>
        <w:ind w:hanging="446"/>
        <w:contextualSpacing w:val="0"/>
        <w:rPr>
          <w:lang w:val="fr-CA"/>
        </w:rPr>
      </w:pPr>
      <w:r w:rsidRPr="000D0016">
        <w:rPr>
          <w:b/>
          <w:lang w:val="fr-CA"/>
        </w:rPr>
        <w:tab/>
        <w:t>(7)</w:t>
      </w:r>
      <w:r w:rsidRPr="000D0016">
        <w:rPr>
          <w:lang w:val="fr-CA"/>
        </w:rPr>
        <w:t xml:space="preserve"> Le comité local, pour ce qui concerne le lieu de travail pour lequel il a été constitué :</w:t>
      </w:r>
    </w:p>
    <w:p w:rsidR="00B7543C" w:rsidRPr="000D0016" w:rsidRDefault="00B7543C" w:rsidP="00B7543C">
      <w:pPr>
        <w:pStyle w:val="Citation-AltC"/>
        <w:spacing w:after="240"/>
        <w:ind w:left="4590" w:hanging="446"/>
        <w:contextualSpacing w:val="0"/>
        <w:rPr>
          <w:lang w:val="fr-CA"/>
        </w:rPr>
      </w:pPr>
      <w:r w:rsidRPr="000D0016">
        <w:rPr>
          <w:b/>
          <w:lang w:val="fr-CA"/>
        </w:rPr>
        <w:tab/>
      </w:r>
      <w:r w:rsidRPr="000D0016">
        <w:rPr>
          <w:lang w:val="fr-CA"/>
        </w:rPr>
        <w:t>. . .</w:t>
      </w:r>
    </w:p>
    <w:p w:rsidR="00B7543C" w:rsidRPr="000D0016" w:rsidRDefault="00B7543C" w:rsidP="00B7543C">
      <w:pPr>
        <w:pStyle w:val="Citation-AltC"/>
        <w:tabs>
          <w:tab w:val="left" w:pos="1440"/>
        </w:tabs>
        <w:ind w:left="1440"/>
        <w:contextualSpacing w:val="0"/>
        <w:rPr>
          <w:lang w:val="fr-CA"/>
        </w:rPr>
      </w:pPr>
      <w:r w:rsidRPr="00375493">
        <w:rPr>
          <w:b/>
          <w:lang w:val="fr-CA"/>
        </w:rPr>
        <w:t>k</w:t>
      </w:r>
      <w:r w:rsidRPr="000D0016">
        <w:rPr>
          <w:b/>
          <w:lang w:val="fr-CA"/>
        </w:rPr>
        <w:t>)</w:t>
      </w:r>
      <w:r w:rsidRPr="000D0016">
        <w:rPr>
          <w:lang w:val="fr-CA"/>
        </w:rPr>
        <w:t xml:space="preserve"> inspecte chaque mois tout ou partie du lieu de travail, de façon que celui</w:t>
      </w:r>
      <w:r w:rsidRPr="000D0016">
        <w:rPr>
          <w:lang w:val="fr-CA"/>
        </w:rPr>
        <w:noBreakHyphen/>
        <w:t>ci soit inspecté au complet au moins une fois par année;</w:t>
      </w:r>
    </w:p>
    <w:p w:rsidR="00B7543C" w:rsidRPr="000D0016" w:rsidRDefault="00B7543C" w:rsidP="00B7543C">
      <w:pPr>
        <w:pStyle w:val="ContinueParaSuitedupar-AltP"/>
        <w:rPr>
          <w:rFonts w:cs="Times New Roman"/>
          <w:lang w:val="fr-CA"/>
        </w:rPr>
      </w:pPr>
      <w:r w:rsidRPr="000D0016">
        <w:rPr>
          <w:rFonts w:cs="Times New Roman"/>
          <w:lang w:val="fr-CA"/>
        </w:rPr>
        <w:t xml:space="preserve">L’avocate de Postes Canada </w:t>
      </w:r>
      <w:r>
        <w:rPr>
          <w:rFonts w:cs="Times New Roman"/>
          <w:lang w:val="fr-CA"/>
        </w:rPr>
        <w:t>soutient</w:t>
      </w:r>
      <w:r w:rsidRPr="000D0016">
        <w:rPr>
          <w:rFonts w:cs="Times New Roman"/>
          <w:lang w:val="fr-CA"/>
        </w:rPr>
        <w:t xml:space="preserve"> que le par. 135(1) et l’al. 135(7)k), interprétés conjointement, indiquent clairement que l’obligation d’inspection qui y est énoncée (laquelle est le reflet de l’al. 125(1)z.12)) ne s’applique qu’aux lieux de travail placés </w:t>
      </w:r>
      <w:r w:rsidRPr="000D0016">
        <w:rPr>
          <w:rFonts w:cs="Times New Roman"/>
          <w:lang w:val="fr-CA"/>
        </w:rPr>
        <w:lastRenderedPageBreak/>
        <w:t>sous l’entière autorité de l’employeur. En réponse, l’avocat du Syndicat fait valoir que le par. 135(1) ne fait qu’exiger qu’un comité soit constitué pour chaque lieu de travail sur lequel l’employeur</w:t>
      </w:r>
      <w:r w:rsidRPr="000D0016">
        <w:rPr>
          <w:rFonts w:eastAsia="Times New Roman" w:cs="Times New Roman"/>
          <w:szCs w:val="24"/>
          <w:lang w:val="fr-CA" w:eastAsia="en-CA"/>
        </w:rPr>
        <w:t xml:space="preserve"> a autorité </w:t>
      </w:r>
      <w:r w:rsidRPr="000D0016">
        <w:rPr>
          <w:rFonts w:cs="Times New Roman"/>
          <w:lang w:val="fr-CA"/>
        </w:rPr>
        <w:t>et occupant au moins vingt employés</w:t>
      </w:r>
      <w:r w:rsidRPr="007821EA">
        <w:rPr>
          <w:rFonts w:cs="Times New Roman"/>
          <w:lang w:val="fr-CA"/>
        </w:rPr>
        <w:t>. Le Syndicat</w:t>
      </w:r>
      <w:r w:rsidRPr="000D0016">
        <w:rPr>
          <w:rFonts w:cs="Times New Roman"/>
          <w:lang w:val="fr-CA"/>
        </w:rPr>
        <w:t xml:space="preserve"> </w:t>
      </w:r>
      <w:r>
        <w:rPr>
          <w:rFonts w:cs="Times New Roman"/>
          <w:lang w:val="fr-CA"/>
        </w:rPr>
        <w:t>ajoute</w:t>
      </w:r>
      <w:r w:rsidRPr="000D0016">
        <w:rPr>
          <w:rFonts w:cs="Times New Roman"/>
          <w:lang w:val="fr-CA"/>
        </w:rPr>
        <w:t xml:space="preserve"> que l’al. (7)k) n’indique pas que le comité, une fois constitué, n’a compétence qu’à l’égard des parties du lieu de travail qui relèvent de l’autorité de l’employeur.</w:t>
      </w:r>
    </w:p>
    <w:p w:rsidR="00B7543C" w:rsidRPr="00763A4D" w:rsidRDefault="00B7543C" w:rsidP="00B7543C">
      <w:pPr>
        <w:pStyle w:val="ParaNoNdepar-AltN"/>
        <w:tabs>
          <w:tab w:val="clear" w:pos="1166"/>
          <w:tab w:val="num" w:pos="1170"/>
        </w:tabs>
        <w:rPr>
          <w:rFonts w:cs="Times New Roman"/>
          <w:lang w:val="fr-CA"/>
        </w:rPr>
      </w:pPr>
      <w:r w:rsidRPr="000D0016">
        <w:rPr>
          <w:rFonts w:cs="Times New Roman"/>
          <w:lang w:val="fr-CA"/>
        </w:rPr>
        <w:t>L’agent d’appel n’a pas fait état du par. 135(1). L’argument qui précède ne lui a pas été présenté; il a été soulevé pour la première fois par une partie intervenante devant la Cour d’appel. Le fait que l’agent d’appel n’ait pas mentionné le par. 135(1) dans son analyse ne rend pas son interprétation déraisonnable. Les décideurs administratifs — de même que les juges — ne sont pas tenus d’examiner, de leur propre chef, tous les aspects du contexte législatif pouvant avoir une incidence sur leur décision (</w:t>
      </w:r>
      <w:r w:rsidRPr="000D0016">
        <w:rPr>
          <w:rFonts w:cs="Times New Roman"/>
          <w:i/>
          <w:lang w:val="fr-CA"/>
        </w:rPr>
        <w:t>Vavilov</w:t>
      </w:r>
      <w:r>
        <w:rPr>
          <w:rFonts w:cs="Times New Roman"/>
          <w:lang w:val="fr-CA"/>
        </w:rPr>
        <w:t>, par. 122</w:t>
      </w:r>
      <w:r w:rsidRPr="000D0016">
        <w:rPr>
          <w:rFonts w:cs="Times New Roman"/>
          <w:lang w:val="fr-CA"/>
        </w:rPr>
        <w:t xml:space="preserve">). Dans notre système, les parties formulent les arguments qui seront examinés. Le fait de ne pas prendre en considération un élément particulier du contexte législatif qui n’appuie pas l’analyse d’interprétation législative du décideur ne rendra pas nécessairement l’interprétation déraisonnable. L’incidence d’une telle omission sera propre à chaque cas et dépendra de la question de </w:t>
      </w:r>
      <w:r w:rsidRPr="00763A4D">
        <w:rPr>
          <w:rFonts w:cs="Times New Roman"/>
          <w:lang w:val="fr-CA"/>
        </w:rPr>
        <w:t>savoir si « </w:t>
      </w:r>
      <w:r w:rsidRPr="00763A4D">
        <w:rPr>
          <w:rFonts w:cs="Times New Roman"/>
          <w:noProof/>
          <w:lang w:val="fr-CA"/>
        </w:rPr>
        <w:t>l’aspect omis de l’analyse amène la cour de révision à perdre confiance dans le résultat [obtenu] »</w:t>
      </w:r>
      <w:r w:rsidRPr="00763A4D">
        <w:rPr>
          <w:rFonts w:cs="Times New Roman"/>
          <w:lang w:val="fr-CA"/>
        </w:rPr>
        <w:t xml:space="preserve"> (</w:t>
      </w:r>
      <w:r w:rsidRPr="00763A4D">
        <w:rPr>
          <w:i/>
          <w:lang w:val="fr-CA"/>
        </w:rPr>
        <w:t>Vavilov</w:t>
      </w:r>
      <w:r w:rsidRPr="00763A4D">
        <w:rPr>
          <w:lang w:val="fr-CA"/>
        </w:rPr>
        <w:t>, par. 122).</w:t>
      </w:r>
    </w:p>
    <w:p w:rsidR="00B7543C" w:rsidRPr="000D0016" w:rsidRDefault="00B7543C" w:rsidP="00B7543C">
      <w:pPr>
        <w:pStyle w:val="ParaNoNdepar-AltN"/>
        <w:rPr>
          <w:rFonts w:cs="Times New Roman"/>
          <w:lang w:val="fr-CA"/>
        </w:rPr>
      </w:pPr>
      <w:r w:rsidRPr="000D0016">
        <w:rPr>
          <w:rFonts w:cs="Times New Roman"/>
          <w:lang w:val="fr-CA"/>
        </w:rPr>
        <w:t>Selon ma lecture, non seulement le par. 135(1) ne m’amène pas à perdre confiance dans le résultat obtenu, mais il ne fait plutôt qu’apporter un appui additionnel à l’interprétation qu</w:t>
      </w:r>
      <w:r>
        <w:rPr>
          <w:rFonts w:cs="Times New Roman"/>
          <w:lang w:val="fr-CA"/>
        </w:rPr>
        <w:t>e donne</w:t>
      </w:r>
      <w:r w:rsidRPr="000D0016">
        <w:rPr>
          <w:rFonts w:cs="Times New Roman"/>
          <w:lang w:val="fr-CA"/>
        </w:rPr>
        <w:t xml:space="preserve"> l’agent d’appel à l’al. 125(1)z.12). Que la justification fournie ait pu été renforcée par la mention du par. 135(1) n’a aucune incidence sur le caractère raisonnable de sa décision.</w:t>
      </w:r>
    </w:p>
    <w:p w:rsidR="00B7543C" w:rsidRPr="000D0016" w:rsidRDefault="00B7543C" w:rsidP="00B7543C">
      <w:pPr>
        <w:pStyle w:val="Title5LevelTitre5Niveau"/>
        <w:rPr>
          <w:rFonts w:cs="Times New Roman"/>
          <w:lang w:val="fr-CA"/>
        </w:rPr>
      </w:pPr>
      <w:r w:rsidRPr="000D0016">
        <w:rPr>
          <w:rFonts w:cs="Times New Roman"/>
          <w:lang w:val="fr-CA"/>
        </w:rPr>
        <w:lastRenderedPageBreak/>
        <w:t>L’objet de l’al</w:t>
      </w:r>
      <w:r w:rsidR="008C5623">
        <w:rPr>
          <w:rFonts w:cs="Times New Roman"/>
          <w:lang w:val="fr-CA"/>
        </w:rPr>
        <w:t>.</w:t>
      </w:r>
      <w:r w:rsidRPr="000D0016">
        <w:rPr>
          <w:rFonts w:cs="Times New Roman"/>
          <w:lang w:val="fr-CA"/>
        </w:rPr>
        <w:t> 125(1)z.12)</w:t>
      </w:r>
    </w:p>
    <w:p w:rsidR="00B7543C" w:rsidRPr="000D0016" w:rsidRDefault="00B7543C" w:rsidP="00B7543C">
      <w:pPr>
        <w:pStyle w:val="ParaNoNdepar-AltN"/>
        <w:rPr>
          <w:rFonts w:cs="Times New Roman"/>
          <w:lang w:val="fr-CA"/>
        </w:rPr>
      </w:pPr>
      <w:r w:rsidRPr="000D0016">
        <w:rPr>
          <w:rFonts w:cs="Times New Roman"/>
          <w:lang w:val="fr-CA"/>
        </w:rPr>
        <w:t>L’objet de la partie II du Code e</w:t>
      </w:r>
      <w:r w:rsidR="009B2238">
        <w:rPr>
          <w:rFonts w:cs="Times New Roman"/>
          <w:lang w:val="fr-CA"/>
        </w:rPr>
        <w:t>st énoncé à l’art. 122.1 : « L</w:t>
      </w:r>
      <w:r w:rsidRPr="000D0016">
        <w:rPr>
          <w:rFonts w:cs="Times New Roman"/>
          <w:lang w:val="fr-CA"/>
        </w:rPr>
        <w:t>a présente partie a pour objet de prévenir les accidents et les maladies liés à l’occupation d’un emploi régi par ses dispositions. » Une interprétation raisonnable de n’importe quelle disposition de la partie II devrait se fonder sur les objectifs primordiaux de la partie II du Code.</w:t>
      </w:r>
    </w:p>
    <w:p w:rsidR="00B7543C" w:rsidRPr="000D0016" w:rsidRDefault="00B7543C" w:rsidP="00B7543C">
      <w:pPr>
        <w:pStyle w:val="ParaNoNdepar-AltN"/>
        <w:tabs>
          <w:tab w:val="clear" w:pos="1166"/>
          <w:tab w:val="num" w:pos="1170"/>
        </w:tabs>
        <w:rPr>
          <w:rFonts w:cs="Times New Roman"/>
          <w:lang w:val="fr-CA"/>
        </w:rPr>
      </w:pPr>
      <w:r w:rsidRPr="000D0016">
        <w:rPr>
          <w:rFonts w:cs="Times New Roman"/>
          <w:lang w:val="fr-CA"/>
        </w:rPr>
        <w:t>L’agent d’appel conclu</w:t>
      </w:r>
      <w:r>
        <w:rPr>
          <w:rFonts w:cs="Times New Roman"/>
          <w:lang w:val="fr-CA"/>
        </w:rPr>
        <w:t>t</w:t>
      </w:r>
      <w:r w:rsidRPr="000D0016">
        <w:rPr>
          <w:rFonts w:cs="Times New Roman"/>
          <w:lang w:val="fr-CA"/>
        </w:rPr>
        <w:t xml:space="preserve"> que, pour pouvoir s’acquitter de l’obligation prévue à l’al. z.12), il fa</w:t>
      </w:r>
      <w:r>
        <w:rPr>
          <w:rFonts w:cs="Times New Roman"/>
          <w:lang w:val="fr-CA"/>
        </w:rPr>
        <w:t>ut</w:t>
      </w:r>
      <w:r w:rsidRPr="000D0016">
        <w:rPr>
          <w:rFonts w:cs="Times New Roman"/>
          <w:lang w:val="fr-CA"/>
        </w:rPr>
        <w:t xml:space="preserve"> avoir entière autorité sur le lieu de travail puisque l’obligation d’inspecter le lieu de travail vise « à permettre le recensement de risques et à créer une possibilité d’éliminer tout risque éventuel ou de faire le nécessaire pour qu’il soit éliminé » (par. 96). Il </w:t>
      </w:r>
      <w:r>
        <w:rPr>
          <w:rFonts w:cs="Times New Roman"/>
          <w:lang w:val="fr-CA"/>
        </w:rPr>
        <w:t>examine</w:t>
      </w:r>
      <w:r w:rsidRPr="000D0016">
        <w:rPr>
          <w:rFonts w:cs="Times New Roman"/>
          <w:lang w:val="fr-CA"/>
        </w:rPr>
        <w:t xml:space="preserve"> les conséquences pratiques de son interprétation à la lumière de l’objet de la disposition, </w:t>
      </w:r>
      <w:r>
        <w:rPr>
          <w:rFonts w:cs="Times New Roman"/>
          <w:lang w:val="fr-CA"/>
        </w:rPr>
        <w:t>et</w:t>
      </w:r>
      <w:r w:rsidRPr="000D0016">
        <w:rPr>
          <w:rFonts w:cs="Times New Roman"/>
          <w:lang w:val="fr-CA"/>
        </w:rPr>
        <w:t xml:space="preserve"> souscrit aux arguments de Postes Canada </w:t>
      </w:r>
      <w:r>
        <w:rPr>
          <w:rFonts w:cs="Times New Roman"/>
          <w:lang w:val="fr-CA"/>
        </w:rPr>
        <w:t>selon lesquels</w:t>
      </w:r>
      <w:r w:rsidRPr="000D0016">
        <w:rPr>
          <w:rFonts w:cs="Times New Roman"/>
          <w:lang w:val="fr-CA"/>
        </w:rPr>
        <w:t xml:space="preserve"> « il ne serait pas possible pour un employeur de s’acquitter de [l’] obligation [d’inspecter le lieu de travail] relativement à des bâtiments qui ne lui appartiennent pas et qu’il n’a pas le droit de modifier » (par. 97). Une cour de révision doit </w:t>
      </w:r>
      <w:r w:rsidRPr="00763A4D">
        <w:rPr>
          <w:rFonts w:cs="Times New Roman"/>
          <w:lang w:val="fr-CA"/>
        </w:rPr>
        <w:t xml:space="preserve">accorder « [une] attention respectueuse [. . .] </w:t>
      </w:r>
      <w:r w:rsidRPr="00763A4D">
        <w:rPr>
          <w:rFonts w:cs="Times New Roman"/>
          <w:noProof/>
          <w:lang w:val="fr-CA"/>
        </w:rPr>
        <w:t>à l’expertise établie du décideur »</w:t>
      </w:r>
      <w:r w:rsidRPr="00763A4D">
        <w:rPr>
          <w:rFonts w:cs="Times New Roman"/>
          <w:lang w:val="fr-CA"/>
        </w:rPr>
        <w:t xml:space="preserve"> lorsqu’elle examine la question de savoir si un résultat donné </w:t>
      </w:r>
      <w:r w:rsidRPr="00763A4D">
        <w:rPr>
          <w:rFonts w:cs="Times New Roman"/>
          <w:noProof/>
          <w:lang w:val="fr-CA"/>
        </w:rPr>
        <w:t>témoigne d’une approche raisonnable compte tenu des « conséquences et des effets concrets de la décision »</w:t>
      </w:r>
      <w:r w:rsidRPr="00763A4D">
        <w:rPr>
          <w:rFonts w:cs="Times New Roman"/>
          <w:lang w:val="fr-CA"/>
        </w:rPr>
        <w:t xml:space="preserve"> (</w:t>
      </w:r>
      <w:r w:rsidRPr="00763A4D">
        <w:rPr>
          <w:rFonts w:cs="Times New Roman"/>
          <w:i/>
          <w:lang w:val="fr-CA"/>
        </w:rPr>
        <w:t>V</w:t>
      </w:r>
      <w:r w:rsidRPr="000D0016">
        <w:rPr>
          <w:rFonts w:cs="Times New Roman"/>
          <w:i/>
          <w:lang w:val="fr-CA"/>
        </w:rPr>
        <w:t>avilov</w:t>
      </w:r>
      <w:r w:rsidRPr="000D0016">
        <w:rPr>
          <w:rFonts w:cs="Times New Roman"/>
          <w:lang w:val="fr-CA"/>
        </w:rPr>
        <w:t>, par. </w:t>
      </w:r>
      <w:r>
        <w:rPr>
          <w:rFonts w:cs="Times New Roman"/>
          <w:lang w:val="fr-CA"/>
        </w:rPr>
        <w:t>93</w:t>
      </w:r>
      <w:r w:rsidRPr="000D0016">
        <w:rPr>
          <w:rFonts w:cs="Times New Roman"/>
          <w:lang w:val="fr-CA"/>
        </w:rPr>
        <w:t xml:space="preserve">). En l’espèce, l’agent d’appel a « eu à [s]e prononcer au sujet de toutes ou presque toutes les obligations conférées à l’employeur par le paragraphe 125(1), ou [à] ordonner leur mise en œuvre » (par. 94), et il a aussi démontré cette expertise par ses motifs en établissant, par exemple, sa familiarité avec le régime législatif ainsi que les différents types d’obligations qu’il impose aux </w:t>
      </w:r>
      <w:r w:rsidRPr="000D0016">
        <w:rPr>
          <w:rFonts w:cs="Times New Roman"/>
          <w:lang w:val="fr-CA"/>
        </w:rPr>
        <w:lastRenderedPageBreak/>
        <w:t xml:space="preserve">employeurs (par. 95; voir aussi </w:t>
      </w:r>
      <w:r w:rsidRPr="000D0016">
        <w:rPr>
          <w:rFonts w:cs="Times New Roman"/>
          <w:i/>
          <w:lang w:val="fr-CA"/>
        </w:rPr>
        <w:t>Vavilov</w:t>
      </w:r>
      <w:r w:rsidRPr="000D0016">
        <w:rPr>
          <w:rFonts w:cs="Times New Roman"/>
          <w:lang w:val="fr-CA"/>
        </w:rPr>
        <w:t>,</w:t>
      </w:r>
      <w:r w:rsidRPr="000D0016">
        <w:rPr>
          <w:rFonts w:cs="Times New Roman"/>
          <w:i/>
          <w:lang w:val="fr-CA"/>
        </w:rPr>
        <w:t xml:space="preserve"> </w:t>
      </w:r>
      <w:r w:rsidRPr="000D0016">
        <w:rPr>
          <w:rFonts w:cs="Times New Roman"/>
          <w:lang w:val="fr-CA"/>
        </w:rPr>
        <w:t>par. </w:t>
      </w:r>
      <w:r>
        <w:rPr>
          <w:rFonts w:cs="Times New Roman"/>
          <w:lang w:val="fr-CA"/>
        </w:rPr>
        <w:t>94</w:t>
      </w:r>
      <w:r w:rsidRPr="000D0016">
        <w:rPr>
          <w:rFonts w:cs="Times New Roman"/>
          <w:lang w:val="fr-CA"/>
        </w:rPr>
        <w:t xml:space="preserve">). Bien qu’elles ne lient pas la Cour, les concessions des parties sur ce point se rapportent, en l’espèce, aux conclusions de l’agent d’appel sur ce point. L’objet de l’obligation, </w:t>
      </w:r>
      <w:r>
        <w:rPr>
          <w:rFonts w:cs="Times New Roman"/>
          <w:lang w:val="fr-CA"/>
        </w:rPr>
        <w:t xml:space="preserve">tel que </w:t>
      </w:r>
      <w:r w:rsidRPr="000D0016">
        <w:rPr>
          <w:rFonts w:cs="Times New Roman"/>
          <w:lang w:val="fr-CA"/>
        </w:rPr>
        <w:t>l’agent d’appel</w:t>
      </w:r>
      <w:r>
        <w:rPr>
          <w:rFonts w:cs="Times New Roman"/>
          <w:lang w:val="fr-CA"/>
        </w:rPr>
        <w:t xml:space="preserve"> le décrit</w:t>
      </w:r>
      <w:r w:rsidRPr="000D0016">
        <w:rPr>
          <w:rFonts w:cs="Times New Roman"/>
          <w:lang w:val="fr-CA"/>
        </w:rPr>
        <w:t xml:space="preserve">, semble avoir été accepté par les parties devant la Cour d’appel (motifs de la C.A.F., par. 18, </w:t>
      </w:r>
      <w:r>
        <w:rPr>
          <w:rFonts w:cs="Times New Roman"/>
          <w:lang w:val="fr-CA"/>
        </w:rPr>
        <w:t xml:space="preserve">le juge </w:t>
      </w:r>
      <w:r w:rsidRPr="000D0016">
        <w:rPr>
          <w:rFonts w:cs="Times New Roman"/>
          <w:lang w:val="fr-CA"/>
        </w:rPr>
        <w:t>Near). À mon avis, l’objet qu’</w:t>
      </w:r>
      <w:r>
        <w:rPr>
          <w:rFonts w:cs="Times New Roman"/>
          <w:lang w:val="fr-CA"/>
        </w:rPr>
        <w:t>attribue</w:t>
      </w:r>
      <w:r w:rsidRPr="000D0016">
        <w:rPr>
          <w:rFonts w:cs="Times New Roman"/>
          <w:lang w:val="fr-CA"/>
        </w:rPr>
        <w:t xml:space="preserve"> l’agent d’appel à l’al. z.12) est conforme à l’interprétation large et téléologique que doit recevoir une disposition législative réparatrice.</w:t>
      </w:r>
    </w:p>
    <w:p w:rsidR="00B7543C" w:rsidRPr="000D0016" w:rsidRDefault="00B7543C" w:rsidP="00B7543C">
      <w:pPr>
        <w:pStyle w:val="ParaNoNdepar-AltN"/>
        <w:rPr>
          <w:rFonts w:cs="Times New Roman"/>
          <w:lang w:val="fr-CA"/>
        </w:rPr>
      </w:pPr>
      <w:r>
        <w:rPr>
          <w:rFonts w:cs="Times New Roman"/>
          <w:lang w:val="fr-CA"/>
        </w:rPr>
        <w:t>L’agent d’appel souligne</w:t>
      </w:r>
      <w:r w:rsidRPr="000D0016">
        <w:rPr>
          <w:rFonts w:cs="Times New Roman"/>
          <w:lang w:val="fr-CA"/>
        </w:rPr>
        <w:t xml:space="preserve"> que, conformément à l’objet de la partie II du Code, Postes Canada fait la promotion de la santé et la sécurité de ses employés « pour chacun des éléments de leur travail » au moyen de ses divers outils d’évaluation et politiques, même si elle n’a pas sur le lieu de travail l’autorité nécessaire pour s’acquitter de l’obligation d’inspection prévue à l’al. 125(1)z.12) (par. 100). Par exemple, l’agent d’appel fait état du PPRLT</w:t>
      </w:r>
      <w:r w:rsidRPr="000D0016">
        <w:rPr>
          <w:rFonts w:cs="Times New Roman"/>
          <w:szCs w:val="24"/>
          <w:lang w:val="fr-CA"/>
        </w:rPr>
        <w:t>, qui décrit « un protocole détaillé pour les facteurs et les superviseurs en ce qui concerne les risques liés à la livraison, y compris le recensement de risques, les enquêtes et la résolution des problèmes des clients » (motifs du TSSTC</w:t>
      </w:r>
      <w:r w:rsidRPr="000D0016">
        <w:rPr>
          <w:rFonts w:cs="Times New Roman"/>
          <w:lang w:val="fr-CA"/>
        </w:rPr>
        <w:t xml:space="preserve">, </w:t>
      </w:r>
      <w:r w:rsidRPr="000D0016">
        <w:rPr>
          <w:rFonts w:cs="Times New Roman"/>
          <w:szCs w:val="24"/>
          <w:lang w:val="fr-CA"/>
        </w:rPr>
        <w:t>par. 60). Le PPRLT</w:t>
      </w:r>
      <w:r w:rsidRPr="000D0016">
        <w:rPr>
          <w:rFonts w:cs="Times New Roman"/>
          <w:lang w:val="fr-CA"/>
        </w:rPr>
        <w:t xml:space="preserve"> a</w:t>
      </w:r>
      <w:r w:rsidRPr="000D0016">
        <w:rPr>
          <w:rFonts w:cs="Times New Roman"/>
          <w:szCs w:val="24"/>
          <w:lang w:val="fr-CA"/>
        </w:rPr>
        <w:t xml:space="preserve"> été élaboré par Postes Canada et le Syndicat à titre de programme de prévention établi conformément aux obligations du Code, du Règlement et de la convention collective (voir le Code, al. 125(1)z.03) et le Règlement; v</w:t>
      </w:r>
      <w:r w:rsidRPr="000D0016">
        <w:rPr>
          <w:rFonts w:cs="Times New Roman"/>
          <w:lang w:val="fr-CA"/>
        </w:rPr>
        <w:t>oir également d.a.</w:t>
      </w:r>
      <w:r w:rsidRPr="000D0016">
        <w:rPr>
          <w:rFonts w:cs="Times New Roman"/>
          <w:szCs w:val="24"/>
          <w:lang w:val="fr-CA"/>
        </w:rPr>
        <w:t>, vol. III, p. 22).</w:t>
      </w:r>
    </w:p>
    <w:p w:rsidR="00B7543C" w:rsidRPr="000D0016" w:rsidRDefault="00B7543C" w:rsidP="00B7543C">
      <w:pPr>
        <w:pStyle w:val="ParaNoNdepar-AltN"/>
        <w:rPr>
          <w:rFonts w:cs="Times New Roman"/>
          <w:lang w:val="fr-CA"/>
        </w:rPr>
      </w:pPr>
      <w:r w:rsidRPr="000D0016">
        <w:rPr>
          <w:rFonts w:cs="Times New Roman"/>
          <w:lang w:val="fr-CA"/>
        </w:rPr>
        <w:t xml:space="preserve">Devant notre Cour, Postes Canada </w:t>
      </w:r>
      <w:r>
        <w:rPr>
          <w:rFonts w:cs="Times New Roman"/>
          <w:lang w:val="fr-CA"/>
        </w:rPr>
        <w:t>soutient</w:t>
      </w:r>
      <w:r w:rsidRPr="000D0016">
        <w:rPr>
          <w:rFonts w:cs="Times New Roman"/>
          <w:lang w:val="fr-CA"/>
        </w:rPr>
        <w:t xml:space="preserve"> que l’interprétation de l’agent d’appel est compatible avec l’économie du Code et ne mine pas ses objets. Elle</w:t>
      </w:r>
      <w:r>
        <w:rPr>
          <w:rFonts w:cs="Times New Roman"/>
          <w:lang w:val="fr-CA"/>
        </w:rPr>
        <w:t xml:space="preserve"> souligne</w:t>
      </w:r>
      <w:r w:rsidRPr="000D0016">
        <w:rPr>
          <w:rFonts w:cs="Times New Roman"/>
          <w:lang w:val="fr-CA"/>
        </w:rPr>
        <w:t xml:space="preserve"> qu’à titre d’employeur, elle est tenue à l’obligation générale énoncée à l’art. 124 : « L’employeur veille à la protection de ses employés en matière de santé et de sécurité </w:t>
      </w:r>
      <w:r w:rsidRPr="000D0016">
        <w:rPr>
          <w:rFonts w:cs="Times New Roman"/>
          <w:lang w:val="fr-CA"/>
        </w:rPr>
        <w:lastRenderedPageBreak/>
        <w:t xml:space="preserve">au travail. » Le Syndicat </w:t>
      </w:r>
      <w:r>
        <w:rPr>
          <w:rFonts w:cs="Times New Roman"/>
          <w:lang w:val="fr-CA"/>
        </w:rPr>
        <w:t>prétend</w:t>
      </w:r>
      <w:r w:rsidRPr="000D0016">
        <w:rPr>
          <w:rFonts w:cs="Times New Roman"/>
          <w:lang w:val="fr-CA"/>
        </w:rPr>
        <w:t xml:space="preserve"> que l’interprétation </w:t>
      </w:r>
      <w:r>
        <w:rPr>
          <w:rFonts w:cs="Times New Roman"/>
          <w:lang w:val="fr-CA"/>
        </w:rPr>
        <w:t>que donne</w:t>
      </w:r>
      <w:r w:rsidRPr="000D0016">
        <w:rPr>
          <w:rFonts w:cs="Times New Roman"/>
          <w:lang w:val="fr-CA"/>
        </w:rPr>
        <w:t xml:space="preserve"> l’agent d’appel au par. 125(1) </w:t>
      </w:r>
      <w:r>
        <w:rPr>
          <w:rFonts w:cs="Times New Roman"/>
          <w:lang w:val="fr-CA"/>
        </w:rPr>
        <w:t>restreint</w:t>
      </w:r>
      <w:r w:rsidRPr="000D0016">
        <w:rPr>
          <w:rFonts w:cs="Times New Roman"/>
          <w:lang w:val="fr-CA"/>
        </w:rPr>
        <w:t xml:space="preserve"> tellement les obligations de l’employeur qu’elle est contraire à l’objet législatif. Il </w:t>
      </w:r>
      <w:r>
        <w:rPr>
          <w:rFonts w:cs="Times New Roman"/>
          <w:lang w:val="fr-CA"/>
        </w:rPr>
        <w:t>fait en outre</w:t>
      </w:r>
      <w:r w:rsidRPr="000D0016">
        <w:rPr>
          <w:rFonts w:cs="Times New Roman"/>
          <w:lang w:val="fr-CA"/>
        </w:rPr>
        <w:t xml:space="preserve"> valoir que, si les objets des obligations prévues à l’art. 125 pouvaient être réalisés au moyen de l’art. 124 et de la création du </w:t>
      </w:r>
      <w:r w:rsidRPr="000D0016">
        <w:rPr>
          <w:rFonts w:cs="Times New Roman"/>
          <w:szCs w:val="24"/>
          <w:lang w:val="fr-CA"/>
        </w:rPr>
        <w:t>PPRLT</w:t>
      </w:r>
      <w:r w:rsidRPr="000D0016">
        <w:rPr>
          <w:rFonts w:cs="Times New Roman"/>
          <w:lang w:val="fr-CA"/>
        </w:rPr>
        <w:t>, le par. 125(1) serait redondant.</w:t>
      </w:r>
    </w:p>
    <w:p w:rsidR="00B7543C" w:rsidRPr="000D0016" w:rsidRDefault="00B7543C" w:rsidP="00B7543C">
      <w:pPr>
        <w:pStyle w:val="ParaNoNdepar-AltN"/>
        <w:rPr>
          <w:rFonts w:cs="Times New Roman"/>
          <w:lang w:val="fr-CA"/>
        </w:rPr>
      </w:pPr>
      <w:r w:rsidRPr="000D0016">
        <w:rPr>
          <w:rFonts w:cs="Times New Roman"/>
          <w:lang w:val="fr-CA"/>
        </w:rPr>
        <w:t xml:space="preserve">L’agent d’appel </w:t>
      </w:r>
      <w:r>
        <w:rPr>
          <w:rFonts w:cs="Times New Roman"/>
          <w:lang w:val="fr-CA"/>
        </w:rPr>
        <w:t>infère</w:t>
      </w:r>
      <w:r w:rsidRPr="000D0016">
        <w:rPr>
          <w:rFonts w:cs="Times New Roman"/>
          <w:lang w:val="fr-CA"/>
        </w:rPr>
        <w:t xml:space="preserve"> du libellé du par. 125(1) que le législateur a voulu que l’employeur</w:t>
      </w:r>
      <w:r w:rsidRPr="000D0016">
        <w:rPr>
          <w:rFonts w:eastAsia="Times New Roman" w:cs="Times New Roman"/>
          <w:szCs w:val="24"/>
          <w:lang w:val="fr-CA" w:eastAsia="en-CA"/>
        </w:rPr>
        <w:t xml:space="preserve"> soit </w:t>
      </w:r>
      <w:r w:rsidRPr="000D0016">
        <w:rPr>
          <w:rFonts w:cs="Times New Roman"/>
          <w:lang w:val="fr-CA"/>
        </w:rPr>
        <w:t xml:space="preserve">lié dans </w:t>
      </w:r>
      <w:r w:rsidR="00B4502A">
        <w:rPr>
          <w:rFonts w:cs="Times New Roman"/>
          <w:lang w:val="fr-CA"/>
        </w:rPr>
        <w:t>toute la mesure possible : « L</w:t>
      </w:r>
      <w:r w:rsidRPr="000D0016">
        <w:rPr>
          <w:rFonts w:cs="Times New Roman"/>
          <w:lang w:val="fr-CA"/>
        </w:rPr>
        <w:t>es mots employés [. . .] m’indiquent que le législateur [a] ainsi rédigé [la disposition] afin de s’assurer que l’employeur est lié dans toute la mesure possible par les obligations découlant du Code et de son Règlement » (par. 95). Bien qu’il faille présumer que le législateur ne parle pas pour ne rien dire, j’estime qu’une interprétation qui permet à un « filet » d’obligations qui se chevauchent d’assurer la santé et la sécurité au travail est suffisamment large pour s’appliquer à la multitude de tâches et de lieux de travail régis par le Code. Lorsqu’une obligation ne peut être remplie en raison de la nature du lieu de travail, l’employeur n’en demeure pas moins tenu d’assurer la santé et la sécurité par d’autres moyens prévus par le régime. Par conséquent, l’argument du Syndicat se</w:t>
      </w:r>
      <w:r>
        <w:rPr>
          <w:rFonts w:cs="Times New Roman"/>
          <w:lang w:val="fr-CA"/>
        </w:rPr>
        <w:t>lon lequel l’interprétation que donne</w:t>
      </w:r>
      <w:r w:rsidRPr="000D0016">
        <w:rPr>
          <w:rFonts w:cs="Times New Roman"/>
          <w:lang w:val="fr-CA"/>
        </w:rPr>
        <w:t xml:space="preserve"> l’agent d’appel aux obligations prévues au par. 125(1) rend la disposition redondante, et est donc déraisonnable, ne me convainc pas.</w:t>
      </w:r>
    </w:p>
    <w:p w:rsidR="00B7543C" w:rsidRPr="000D0016" w:rsidRDefault="00B7543C" w:rsidP="00B7543C">
      <w:pPr>
        <w:pStyle w:val="ParaNoNdepar-AltN"/>
        <w:rPr>
          <w:rFonts w:cs="Times New Roman"/>
          <w:b/>
          <w:lang w:val="fr-CA"/>
        </w:rPr>
      </w:pPr>
      <w:r w:rsidRPr="000D0016">
        <w:rPr>
          <w:rFonts w:cs="Times New Roman"/>
          <w:lang w:val="fr-CA"/>
        </w:rPr>
        <w:t xml:space="preserve">Une interprétation imposant à l’employeur une obligation dont il ne peut s’acquitter ne favoriserait aucunement la réalisation de l’objectif consistant à prévenir les accidents et les maladies. Bien que l’interprétation de l’agent d’appel restreigne effectivement l’application des obligations prévues au par. 125(1), ces obligations — </w:t>
      </w:r>
      <w:r w:rsidRPr="000D0016">
        <w:rPr>
          <w:rFonts w:cs="Times New Roman"/>
          <w:lang w:val="fr-CA"/>
        </w:rPr>
        <w:lastRenderedPageBreak/>
        <w:t xml:space="preserve">et plus particulièrement celle d’inspection — ne peuvent être remplies par un employeur qui n’a pas autorité sur le lieu de travail. Une interprétation différente de la loi n’y changerait rien. Comme </w:t>
      </w:r>
      <w:r>
        <w:rPr>
          <w:rFonts w:cs="Times New Roman"/>
          <w:lang w:val="fr-CA"/>
        </w:rPr>
        <w:t>l’affirme</w:t>
      </w:r>
      <w:r w:rsidRPr="000D0016">
        <w:rPr>
          <w:rFonts w:cs="Times New Roman"/>
          <w:lang w:val="fr-CA"/>
        </w:rPr>
        <w:t xml:space="preserve"> la Cour d’appel de l’Ontario </w:t>
      </w:r>
      <w:r w:rsidRPr="001049DB">
        <w:rPr>
          <w:rFonts w:cs="Times New Roman"/>
          <w:lang w:val="fr-CA"/>
        </w:rPr>
        <w:t>dans l’arrêt</w:t>
      </w:r>
      <w:r w:rsidRPr="000D0016">
        <w:rPr>
          <w:rFonts w:cs="Times New Roman"/>
          <w:lang w:val="fr-CA"/>
        </w:rPr>
        <w:t xml:space="preserve"> </w:t>
      </w:r>
      <w:r w:rsidRPr="000D0016">
        <w:rPr>
          <w:rFonts w:cs="Times New Roman"/>
          <w:i/>
          <w:lang w:val="fr-CA"/>
        </w:rPr>
        <w:t>Blue Mountain Resorts Ltd. c. Ontario (Minister of Labour)</w:t>
      </w:r>
      <w:r w:rsidRPr="000D0016">
        <w:rPr>
          <w:rFonts w:cs="Times New Roman"/>
          <w:lang w:val="fr-CA"/>
        </w:rPr>
        <w:t xml:space="preserve">, 2013 ONCA 75, 114 O.R. (3d) 321 (cité dans </w:t>
      </w:r>
      <w:r>
        <w:rPr>
          <w:rFonts w:cs="Times New Roman"/>
          <w:lang w:val="fr-CA"/>
        </w:rPr>
        <w:t xml:space="preserve">les </w:t>
      </w:r>
      <w:r w:rsidRPr="000D0016">
        <w:rPr>
          <w:rFonts w:cs="Times New Roman"/>
          <w:lang w:val="fr-CA"/>
        </w:rPr>
        <w:t>motifs du TSSTC,</w:t>
      </w:r>
      <w:r w:rsidRPr="000D0016">
        <w:rPr>
          <w:rFonts w:cs="Times New Roman"/>
          <w:i/>
          <w:lang w:val="fr-CA"/>
        </w:rPr>
        <w:t xml:space="preserve"> </w:t>
      </w:r>
      <w:r w:rsidRPr="000D0016">
        <w:rPr>
          <w:rFonts w:cs="Times New Roman"/>
          <w:lang w:val="fr-CA"/>
        </w:rPr>
        <w:t>par. 26</w:t>
      </w:r>
      <w:r w:rsidRPr="000D0016">
        <w:rPr>
          <w:rFonts w:cs="Times New Roman"/>
          <w:lang w:val="fr-CA"/>
        </w:rPr>
        <w:noBreakHyphen/>
        <w:t>28, 50 et 74), si les lois relatives au bien</w:t>
      </w:r>
      <w:r w:rsidRPr="000D0016">
        <w:rPr>
          <w:rFonts w:cs="Times New Roman"/>
          <w:lang w:val="fr-CA"/>
        </w:rPr>
        <w:noBreakHyphen/>
        <w:t>être public doivent généralement recevoir une interprétation large, un libellé général peut faire l’objet d’une interprétation plus étroite si l’on veut éviter d’arriver à une absurdité (par. 24 et 29). L’interprétation de l’agent d’appel n</w:t>
      </w:r>
      <w:r>
        <w:rPr>
          <w:rFonts w:cs="Times New Roman"/>
          <w:lang w:val="fr-CA"/>
        </w:rPr>
        <w:t xml:space="preserve">e va </w:t>
      </w:r>
      <w:r w:rsidRPr="000D0016">
        <w:rPr>
          <w:rFonts w:cs="Times New Roman"/>
          <w:lang w:val="fr-CA"/>
        </w:rPr>
        <w:t>donc pas à l’encontre de l’objet énoncé à l’art. 122.1 du Code de manière à rendre sa décision déraisonnable.</w:t>
      </w:r>
    </w:p>
    <w:p w:rsidR="00B7543C" w:rsidRPr="000D0016" w:rsidRDefault="00B7543C" w:rsidP="00B7543C">
      <w:pPr>
        <w:pStyle w:val="Title4LevelTitre4Niveau"/>
        <w:rPr>
          <w:lang w:val="fr-CA"/>
        </w:rPr>
      </w:pPr>
      <w:r>
        <w:rPr>
          <w:lang w:val="fr-CA"/>
        </w:rPr>
        <w:t>L’agent d’appel tient</w:t>
      </w:r>
      <w:r w:rsidRPr="000D0016">
        <w:rPr>
          <w:lang w:val="fr-CA"/>
        </w:rPr>
        <w:t xml:space="preserve"> compte des arguments des parties et d</w:t>
      </w:r>
      <w:r>
        <w:rPr>
          <w:lang w:val="fr-CA"/>
        </w:rPr>
        <w:t>e la preuve dont il di</w:t>
      </w:r>
      <w:r w:rsidRPr="001049DB">
        <w:rPr>
          <w:lang w:val="fr-CA"/>
        </w:rPr>
        <w:t>spose</w:t>
      </w:r>
    </w:p>
    <w:p w:rsidR="00B7543C" w:rsidRPr="000D0016" w:rsidRDefault="00B7543C" w:rsidP="00B7543C">
      <w:pPr>
        <w:pStyle w:val="ParaNoNdepar-AltN"/>
        <w:rPr>
          <w:lang w:val="fr-CA"/>
        </w:rPr>
      </w:pPr>
      <w:r w:rsidRPr="000D0016">
        <w:rPr>
          <w:lang w:val="fr-CA"/>
        </w:rPr>
        <w:t>S’il est vrai que le décideur ne doit pas nécessairement s’en tenir aux arguments des parties</w:t>
      </w:r>
      <w:r w:rsidRPr="00763A4D">
        <w:rPr>
          <w:lang w:val="fr-CA"/>
        </w:rPr>
        <w:t>, « </w:t>
      </w:r>
      <w:r w:rsidRPr="00763A4D">
        <w:rPr>
          <w:rFonts w:cs="Times New Roman"/>
          <w:noProof/>
          <w:lang w:val="fr-CA"/>
        </w:rPr>
        <w:t>[l]es principes de la justification et de la transparence exigent que les motifs du décideur administratif tiennent valablement compte des questions et préoccupations centrales soulevées par les parties »</w:t>
      </w:r>
      <w:r w:rsidRPr="00763A4D">
        <w:rPr>
          <w:lang w:val="fr-CA"/>
        </w:rPr>
        <w:t xml:space="preserve"> (</w:t>
      </w:r>
      <w:r w:rsidRPr="00763A4D">
        <w:rPr>
          <w:i/>
          <w:lang w:val="fr-CA"/>
        </w:rPr>
        <w:t>Vavilov</w:t>
      </w:r>
      <w:r>
        <w:rPr>
          <w:lang w:val="fr-CA"/>
        </w:rPr>
        <w:t>, par. 127</w:t>
      </w:r>
      <w:r w:rsidRPr="000D0016">
        <w:rPr>
          <w:lang w:val="fr-CA"/>
        </w:rPr>
        <w:t xml:space="preserve">). Comme toujours, cela variera selon les circonstances de l’affaire en cause. Dans la présente affaire, où </w:t>
      </w:r>
      <w:r w:rsidRPr="000D0016">
        <w:rPr>
          <w:rFonts w:eastAsia="Times New Roman"/>
          <w:szCs w:val="24"/>
          <w:lang w:val="fr-CA"/>
        </w:rPr>
        <w:t xml:space="preserve">le Syndicat et Postes Canada ont présenté des arguments détaillés, les </w:t>
      </w:r>
      <w:r w:rsidRPr="000D0016">
        <w:rPr>
          <w:lang w:val="fr-CA"/>
        </w:rPr>
        <w:t>circonstances commandaient que l’agent d’appel se penche sur ces argument</w:t>
      </w:r>
      <w:r>
        <w:rPr>
          <w:lang w:val="fr-CA"/>
        </w:rPr>
        <w:t>s. Comme l’explique</w:t>
      </w:r>
      <w:r w:rsidRPr="000D0016">
        <w:rPr>
          <w:lang w:val="fr-CA"/>
        </w:rPr>
        <w:t xml:space="preserve"> la Cour dans</w:t>
      </w:r>
      <w:r>
        <w:rPr>
          <w:lang w:val="fr-CA"/>
        </w:rPr>
        <w:t xml:space="preserve"> l’arrêt</w:t>
      </w:r>
      <w:r w:rsidRPr="000D0016">
        <w:rPr>
          <w:lang w:val="fr-CA"/>
        </w:rPr>
        <w:t xml:space="preserve"> </w:t>
      </w:r>
      <w:r w:rsidRPr="000D0016">
        <w:rPr>
          <w:i/>
          <w:lang w:val="fr-CA"/>
        </w:rPr>
        <w:t>Vavilov</w:t>
      </w:r>
      <w:r w:rsidRPr="00763A4D">
        <w:rPr>
          <w:lang w:val="fr-CA"/>
        </w:rPr>
        <w:t>, « </w:t>
      </w:r>
      <w:r w:rsidRPr="00763A4D">
        <w:rPr>
          <w:noProof/>
          <w:lang w:val="fr-CA"/>
        </w:rPr>
        <w:t>le fait qu’un décideur n’ait pas réussi à s’attaquer de façon significative aux questions clés ou aux arguments principaux formulés par les parties permet de se demander s’il était effectivement attentif et sensible à la question qui lui était soumise</w:t>
      </w:r>
      <w:r w:rsidRPr="00763A4D">
        <w:rPr>
          <w:lang w:val="fr-CA"/>
        </w:rPr>
        <w:t> » (par</w:t>
      </w:r>
      <w:r>
        <w:rPr>
          <w:lang w:val="fr-CA"/>
        </w:rPr>
        <w:t>. 128</w:t>
      </w:r>
      <w:r w:rsidRPr="000D0016">
        <w:rPr>
          <w:lang w:val="fr-CA"/>
        </w:rPr>
        <w:t xml:space="preserve">). L’agent d’appel s’est attaqué aux arguments des parties tout au long de son analyse. Bien qu’il ait souscrit à </w:t>
      </w:r>
      <w:r w:rsidRPr="000D0016">
        <w:rPr>
          <w:lang w:val="fr-CA"/>
        </w:rPr>
        <w:lastRenderedPageBreak/>
        <w:t>l’interprétation qu’a donnée le Syndicat à l’expression « lieu de travail », il a finalement accepté l’argument de Postes Canada selon lequel elle ne peut inspecter certaines parties du lieu de travail ne relevant pas de son autorité.</w:t>
      </w:r>
    </w:p>
    <w:p w:rsidR="00B7543C" w:rsidRPr="000D0016" w:rsidRDefault="00B7543C" w:rsidP="00B7543C">
      <w:pPr>
        <w:pStyle w:val="ParaNoNdepar-AltN"/>
        <w:rPr>
          <w:lang w:val="fr-CA"/>
        </w:rPr>
      </w:pPr>
      <w:r w:rsidRPr="000D0016">
        <w:rPr>
          <w:lang w:val="fr-CA"/>
        </w:rPr>
        <w:t xml:space="preserve">La cour de révision peut conclure qu’une décision est déraisonnable si le décideur n’a pas tenu compte </w:t>
      </w:r>
      <w:r>
        <w:rPr>
          <w:lang w:val="fr-CA"/>
        </w:rPr>
        <w:t>de la</w:t>
      </w:r>
      <w:r w:rsidRPr="000D0016">
        <w:rPr>
          <w:lang w:val="fr-CA"/>
        </w:rPr>
        <w:t xml:space="preserve"> preuve et des arguments qui lui ont été présentés en première instance.</w:t>
      </w:r>
      <w:r w:rsidRPr="000D0016">
        <w:rPr>
          <w:rFonts w:cs="Times New Roman"/>
          <w:lang w:val="fr-CA"/>
        </w:rPr>
        <w:t xml:space="preserve"> </w:t>
      </w:r>
      <w:r w:rsidRPr="00763A4D">
        <w:rPr>
          <w:rFonts w:cs="Times New Roman"/>
          <w:lang w:val="fr-CA"/>
        </w:rPr>
        <w:t>La « </w:t>
      </w:r>
      <w:r w:rsidRPr="00763A4D">
        <w:rPr>
          <w:rFonts w:cs="Times New Roman"/>
          <w:noProof/>
          <w:lang w:val="fr-CA"/>
        </w:rPr>
        <w:t>preuve versée au dossier et la trame factuelle générale »</w:t>
      </w:r>
      <w:r w:rsidRPr="000D0016">
        <w:rPr>
          <w:rFonts w:cs="Times New Roman"/>
          <w:lang w:val="fr-CA"/>
        </w:rPr>
        <w:t xml:space="preserve"> constituent des contraintes à l’égard du caractère raisonnable de la décision, et il faut en tenir compte (</w:t>
      </w:r>
      <w:r w:rsidRPr="000D0016">
        <w:rPr>
          <w:rFonts w:cs="Times New Roman"/>
          <w:i/>
          <w:lang w:val="fr-CA"/>
        </w:rPr>
        <w:t>Vavilov</w:t>
      </w:r>
      <w:r w:rsidRPr="000D0016">
        <w:rPr>
          <w:rFonts w:cs="Times New Roman"/>
          <w:lang w:val="fr-CA"/>
        </w:rPr>
        <w:t>, par. 1</w:t>
      </w:r>
      <w:r>
        <w:rPr>
          <w:rFonts w:cs="Times New Roman"/>
          <w:lang w:val="fr-CA"/>
        </w:rPr>
        <w:t>26</w:t>
      </w:r>
      <w:r w:rsidRPr="000D0016">
        <w:rPr>
          <w:rFonts w:cs="Times New Roman"/>
          <w:lang w:val="fr-CA"/>
        </w:rPr>
        <w:t xml:space="preserve">). Toutefois, bien que la cour de révision doive s’assurer que la décision faisant l’objet du contrôle est justifiée au regard des faits pertinents, la déférence envers un décideur inclut une déférence à l’égard de ses conclusions et de son appréciation de la preuve. Les cours de révision devraient éviter </w:t>
      </w:r>
      <w:r w:rsidRPr="000D0016">
        <w:rPr>
          <w:rFonts w:cs="Times New Roman"/>
          <w:noProof/>
          <w:lang w:val="fr-CA"/>
        </w:rPr>
        <w:t>« de soupeser et d’apprécier à nouveau la preuve prise en compte</w:t>
      </w:r>
      <w:r>
        <w:rPr>
          <w:rFonts w:cs="Times New Roman"/>
          <w:noProof/>
          <w:lang w:val="fr-CA"/>
        </w:rPr>
        <w:t xml:space="preserve"> par le décideur »</w:t>
      </w:r>
      <w:r w:rsidRPr="000D0016">
        <w:rPr>
          <w:rFonts w:cs="Times New Roman"/>
          <w:lang w:val="fr-CA"/>
        </w:rPr>
        <w:t xml:space="preserve"> (</w:t>
      </w:r>
      <w:r w:rsidRPr="000D0016">
        <w:rPr>
          <w:rFonts w:eastAsia="Times New Roman" w:cs="Times New Roman"/>
          <w:i/>
          <w:szCs w:val="24"/>
          <w:lang w:val="fr-CA" w:eastAsia="en-CA"/>
        </w:rPr>
        <w:t>Commission canadienne des droits de la personne</w:t>
      </w:r>
      <w:r w:rsidRPr="000D0016">
        <w:rPr>
          <w:rFonts w:eastAsia="Times New Roman" w:cs="Times New Roman"/>
          <w:szCs w:val="24"/>
          <w:lang w:val="fr-CA" w:eastAsia="en-CA"/>
        </w:rPr>
        <w:t>, par. 55,</w:t>
      </w:r>
      <w:r w:rsidRPr="000D0016">
        <w:rPr>
          <w:rFonts w:cs="Times New Roman"/>
          <w:i/>
          <w:iCs/>
          <w:lang w:val="fr-CA"/>
        </w:rPr>
        <w:t xml:space="preserve"> </w:t>
      </w:r>
      <w:r w:rsidRPr="000D0016">
        <w:rPr>
          <w:rFonts w:cs="Times New Roman"/>
          <w:iCs/>
          <w:lang w:val="fr-CA"/>
        </w:rPr>
        <w:t>citant</w:t>
      </w:r>
      <w:r w:rsidRPr="000D0016">
        <w:rPr>
          <w:rFonts w:cs="Times New Roman"/>
          <w:i/>
          <w:iCs/>
          <w:lang w:val="fr-CA"/>
        </w:rPr>
        <w:t xml:space="preserve"> Canada (Citoyenneté et Immigration) c. Khosa</w:t>
      </w:r>
      <w:r w:rsidRPr="000D0016">
        <w:rPr>
          <w:rFonts w:cs="Times New Roman"/>
          <w:iCs/>
          <w:lang w:val="fr-CA"/>
        </w:rPr>
        <w:t>,</w:t>
      </w:r>
      <w:r w:rsidRPr="000D0016">
        <w:rPr>
          <w:rFonts w:cs="Times New Roman"/>
          <w:i/>
          <w:iCs/>
          <w:lang w:val="fr-CA"/>
        </w:rPr>
        <w:t xml:space="preserve"> </w:t>
      </w:r>
      <w:r w:rsidRPr="000D0016">
        <w:rPr>
          <w:rFonts w:cs="Times New Roman"/>
          <w:iCs/>
          <w:lang w:val="fr-CA"/>
        </w:rPr>
        <w:t>2009 CSC 12</w:t>
      </w:r>
      <w:r w:rsidRPr="000D0016">
        <w:rPr>
          <w:rFonts w:cs="Times New Roman"/>
          <w:lang w:val="fr-CA"/>
        </w:rPr>
        <w:t xml:space="preserve">, [2009] 1 R.C.S. 339, par. 64; voir également </w:t>
      </w:r>
      <w:r w:rsidRPr="000D0016">
        <w:rPr>
          <w:rFonts w:cs="Times New Roman"/>
          <w:i/>
          <w:iCs/>
          <w:lang w:val="fr-CA"/>
        </w:rPr>
        <w:t>Dr Q c. College of Physicians and Surgeons of British Columbia</w:t>
      </w:r>
      <w:r w:rsidRPr="000D0016">
        <w:rPr>
          <w:rFonts w:cs="Times New Roman"/>
          <w:lang w:val="fr-CA"/>
        </w:rPr>
        <w:t>, 2003 CSC 19, [2003] 1 R.C.S. 226</w:t>
      </w:r>
      <w:r w:rsidRPr="000D0016">
        <w:rPr>
          <w:rFonts w:eastAsia="Times New Roman" w:cs="Times New Roman"/>
          <w:szCs w:val="24"/>
          <w:lang w:val="fr-CA" w:eastAsia="en-CA"/>
        </w:rPr>
        <w:t>, par. 41</w:t>
      </w:r>
      <w:r w:rsidRPr="000D0016">
        <w:rPr>
          <w:rFonts w:eastAsia="Times New Roman" w:cs="Times New Roman"/>
          <w:szCs w:val="24"/>
          <w:lang w:val="fr-CA" w:eastAsia="en-CA"/>
        </w:rPr>
        <w:noBreakHyphen/>
        <w:t>42, ci</w:t>
      </w:r>
      <w:r w:rsidRPr="000D0016">
        <w:rPr>
          <w:rFonts w:cs="Times New Roman"/>
          <w:lang w:val="fr-CA"/>
        </w:rPr>
        <w:t xml:space="preserve">té dans </w:t>
      </w:r>
      <w:r w:rsidRPr="000D0016">
        <w:rPr>
          <w:rFonts w:cs="Times New Roman"/>
          <w:i/>
          <w:lang w:val="fr-CA"/>
        </w:rPr>
        <w:t>Vavilov</w:t>
      </w:r>
      <w:r w:rsidRPr="000D0016">
        <w:rPr>
          <w:rFonts w:cs="Times New Roman"/>
          <w:lang w:val="fr-CA"/>
        </w:rPr>
        <w:t>, par. </w:t>
      </w:r>
      <w:r>
        <w:rPr>
          <w:rFonts w:cs="Times New Roman"/>
          <w:lang w:val="fr-CA"/>
        </w:rPr>
        <w:t>125</w:t>
      </w:r>
      <w:r w:rsidRPr="000D0016">
        <w:rPr>
          <w:rFonts w:cs="Times New Roman"/>
          <w:lang w:val="fr-CA"/>
        </w:rPr>
        <w:t>).</w:t>
      </w:r>
    </w:p>
    <w:p w:rsidR="00B7543C" w:rsidRPr="000D0016" w:rsidRDefault="00B7543C" w:rsidP="00B7543C">
      <w:pPr>
        <w:pStyle w:val="ParaNoNdepar-AltN"/>
        <w:rPr>
          <w:lang w:val="fr-CA"/>
        </w:rPr>
      </w:pPr>
      <w:r w:rsidRPr="000D0016">
        <w:rPr>
          <w:rFonts w:cs="Times New Roman"/>
          <w:lang w:val="fr-CA"/>
        </w:rPr>
        <w:t xml:space="preserve">Au cours de l’audience qui a duré cinq jours, l’agent d’appel a entendu une preuve propre au différend dont il était saisi, preuve concernant notamment : le nombre d’heures par jour qu’un facteur consacre généralement à la livraison du courrier, les durées associées à la livraison à chaque point de remise selon le « système de mesure des itinéraires de facteurs », le temps qu’il faut aux membres du Comité pour effectuer une « vérification de lieu de travail », et les vérifications d’itinéraires antérieures visant à repérer et à écarter les risques effectuées en conformité avec le PPRLT. L’agent </w:t>
      </w:r>
      <w:r w:rsidRPr="000D0016">
        <w:rPr>
          <w:rFonts w:cs="Times New Roman"/>
          <w:lang w:val="fr-CA"/>
        </w:rPr>
        <w:lastRenderedPageBreak/>
        <w:t xml:space="preserve">d’appel fait état de certaines statistiques fournies à l’audience par l’agente de SST relativement aux tâches des facteurs et au trajet qu’ils parcourent dans l’exécution de leurs tâches. </w:t>
      </w:r>
      <w:r>
        <w:rPr>
          <w:rFonts w:cs="Times New Roman"/>
          <w:lang w:val="fr-CA"/>
        </w:rPr>
        <w:t>Il examine</w:t>
      </w:r>
      <w:r w:rsidRPr="000D0016">
        <w:rPr>
          <w:rFonts w:cs="Times New Roman"/>
          <w:lang w:val="fr-CA"/>
        </w:rPr>
        <w:t xml:space="preserve"> également des exemples de politiques et de programmes en matière de santé et de sécurité au travail de Postes Canada mentionnés ci</w:t>
      </w:r>
      <w:r w:rsidRPr="000D0016">
        <w:rPr>
          <w:rFonts w:cs="Times New Roman"/>
          <w:lang w:val="fr-CA"/>
        </w:rPr>
        <w:noBreakHyphen/>
        <w:t xml:space="preserve">dessus, </w:t>
      </w:r>
      <w:r>
        <w:rPr>
          <w:rFonts w:cs="Times New Roman"/>
          <w:lang w:val="fr-CA"/>
        </w:rPr>
        <w:t>que les parties ont invoqués</w:t>
      </w:r>
      <w:r w:rsidRPr="000D0016">
        <w:rPr>
          <w:rFonts w:cs="Times New Roman"/>
          <w:lang w:val="fr-CA"/>
        </w:rPr>
        <w:t>.</w:t>
      </w:r>
    </w:p>
    <w:p w:rsidR="00B7543C" w:rsidRPr="000D0016" w:rsidRDefault="00B7543C" w:rsidP="00B7543C">
      <w:pPr>
        <w:pStyle w:val="ParaNoNdepar-AltN"/>
        <w:rPr>
          <w:lang w:val="fr-CA"/>
        </w:rPr>
      </w:pPr>
      <w:r w:rsidRPr="000D0016">
        <w:rPr>
          <w:rFonts w:cs="Times New Roman"/>
          <w:lang w:val="fr-CA"/>
        </w:rPr>
        <w:t xml:space="preserve">Dans sa décision, l’agent d’appel </w:t>
      </w:r>
      <w:r>
        <w:rPr>
          <w:rFonts w:cs="Times New Roman"/>
          <w:lang w:val="fr-CA"/>
        </w:rPr>
        <w:t>répond</w:t>
      </w:r>
      <w:r w:rsidRPr="000D0016">
        <w:rPr>
          <w:rFonts w:cs="Times New Roman"/>
          <w:lang w:val="fr-CA"/>
        </w:rPr>
        <w:t xml:space="preserve"> à la question </w:t>
      </w:r>
      <w:r>
        <w:rPr>
          <w:rFonts w:cs="Times New Roman"/>
          <w:lang w:val="fr-CA"/>
        </w:rPr>
        <w:t xml:space="preserve">qui lui a été soumise et tient </w:t>
      </w:r>
      <w:r w:rsidRPr="000D0016">
        <w:rPr>
          <w:rFonts w:cs="Times New Roman"/>
          <w:lang w:val="fr-CA"/>
        </w:rPr>
        <w:t>compte des arguments détaillés des deux parties. Rien n’indique qu’il n’a pas pris en considération la preuve présentée à l’audience ou qu’il a fondé sa décision sur une interprétation erronée de la preuve, rendant ainsi sa décision déraisonnable.</w:t>
      </w:r>
    </w:p>
    <w:p w:rsidR="00B7543C" w:rsidRPr="00FB68B4" w:rsidRDefault="00B7543C" w:rsidP="00B7543C">
      <w:pPr>
        <w:pStyle w:val="ParaNoNdepar-AltN"/>
        <w:rPr>
          <w:lang w:val="fr-CA"/>
        </w:rPr>
      </w:pPr>
      <w:r w:rsidRPr="00FB68B4">
        <w:rPr>
          <w:lang w:val="fr-CA"/>
        </w:rPr>
        <w:t xml:space="preserve">Les décideurs qui se contentent d’exposer la preuve et les arguments qui leur sont présentés n’immunisent pas ainsi leurs motifs contre une contestation fondée sur le fait qu’ils n’ont pas pris en compte un élément pertinent et important. Une énumération n’équivaut pas à une justification, ou comme l’indiquent les motifs exposés dans l’arrêt </w:t>
      </w:r>
      <w:r w:rsidRPr="00FB68B4">
        <w:rPr>
          <w:i/>
          <w:lang w:val="fr-CA"/>
        </w:rPr>
        <w:t>Vavilov</w:t>
      </w:r>
      <w:r w:rsidR="008C5623">
        <w:rPr>
          <w:lang w:val="fr-CA"/>
        </w:rPr>
        <w:t xml:space="preserve">, </w:t>
      </w:r>
      <w:r w:rsidRPr="00FB68B4">
        <w:rPr>
          <w:lang w:val="fr-CA"/>
        </w:rPr>
        <w:t>par. 102 :</w:t>
      </w:r>
    </w:p>
    <w:p w:rsidR="00B7543C" w:rsidRPr="000D0016" w:rsidRDefault="00B7543C" w:rsidP="00B7543C">
      <w:pPr>
        <w:spacing w:after="720"/>
        <w:ind w:left="1166" w:hanging="446"/>
        <w:jc w:val="both"/>
        <w:rPr>
          <w:lang w:val="fr-CA"/>
        </w:rPr>
      </w:pPr>
      <w:r w:rsidRPr="000D0016">
        <w:rPr>
          <w:lang w:val="fr-CA"/>
        </w:rPr>
        <w:tab/>
      </w:r>
      <w:r w:rsidRPr="00763A4D">
        <w:rPr>
          <w:lang w:val="fr-CA"/>
        </w:rPr>
        <w:t>Les motifs qui « ne font que reprendre le libellé de la loi, résumer les arguments avancés et formuler ensuite une conclusion péremptoire » permettent rarement à la cour de révision de comprendre le raisonnement qui justifie une décision, et [</w:t>
      </w:r>
      <w:r w:rsidRPr="00763A4D">
        <w:rPr>
          <w:smallCaps/>
          <w:lang w:val="fr-CA"/>
        </w:rPr>
        <w:t>traduction</w:t>
      </w:r>
      <w:r w:rsidRPr="00763A4D">
        <w:rPr>
          <w:lang w:val="fr-CA"/>
        </w:rPr>
        <w:t xml:space="preserve">] « ne sauraient tenir lieu d’exposé de faits, d’analyse, d’inférences ou de jugement » : R. A. Macdonald et D. Lametti, « Reasons for Decision in Administrative Law » (1990), 3 </w:t>
      </w:r>
      <w:r w:rsidRPr="00763A4D">
        <w:rPr>
          <w:i/>
          <w:lang w:val="fr-CA"/>
        </w:rPr>
        <w:t>R.C.D.A.P.</w:t>
      </w:r>
      <w:r w:rsidRPr="00763A4D">
        <w:rPr>
          <w:lang w:val="fr-CA"/>
        </w:rPr>
        <w:t xml:space="preserve"> 123, p. 139; voir </w:t>
      </w:r>
      <w:r>
        <w:rPr>
          <w:lang w:val="fr-CA"/>
        </w:rPr>
        <w:t xml:space="preserve">également </w:t>
      </w:r>
      <w:r w:rsidRPr="00763A4D">
        <w:rPr>
          <w:i/>
          <w:lang w:val="fr-CA"/>
        </w:rPr>
        <w:t>Gonzalez c. Canada (Ministre de la Citoyenneté et de l’Immigration)</w:t>
      </w:r>
      <w:r w:rsidRPr="00763A4D">
        <w:rPr>
          <w:lang w:val="fr-CA"/>
        </w:rPr>
        <w:t>, 2014 CF 750, par. 57</w:t>
      </w:r>
      <w:r w:rsidRPr="00763A4D">
        <w:rPr>
          <w:lang w:val="fr-CA"/>
        </w:rPr>
        <w:noBreakHyphen/>
        <w:t>59.</w:t>
      </w:r>
    </w:p>
    <w:p w:rsidR="00B7543C" w:rsidRPr="000D0016" w:rsidRDefault="00B7543C" w:rsidP="00B7543C">
      <w:pPr>
        <w:spacing w:before="480" w:after="480" w:line="480" w:lineRule="auto"/>
        <w:jc w:val="both"/>
        <w:rPr>
          <w:rFonts w:eastAsiaTheme="minorEastAsia"/>
          <w:lang w:val="fr-CA" w:eastAsia="en-US"/>
        </w:rPr>
      </w:pPr>
      <w:r w:rsidRPr="000D0016">
        <w:rPr>
          <w:rFonts w:eastAsiaTheme="minorEastAsia"/>
          <w:lang w:val="fr-CA" w:eastAsia="en-US"/>
        </w:rPr>
        <w:t xml:space="preserve">De plus, selon les circonstances de l’affaire, il se peut qu’un énoncé détaillé </w:t>
      </w:r>
      <w:r>
        <w:rPr>
          <w:rFonts w:eastAsiaTheme="minorEastAsia"/>
          <w:lang w:val="fr-CA" w:eastAsia="en-US"/>
        </w:rPr>
        <w:t>de la preuve</w:t>
      </w:r>
      <w:r w:rsidRPr="000D0016">
        <w:rPr>
          <w:rFonts w:eastAsiaTheme="minorEastAsia"/>
          <w:lang w:val="fr-CA" w:eastAsia="en-US"/>
        </w:rPr>
        <w:t xml:space="preserve"> et des arguments ne soit pas nécessaire. Cela dit, dans </w:t>
      </w:r>
      <w:r w:rsidRPr="000D0016">
        <w:rPr>
          <w:rFonts w:eastAsiaTheme="minorEastAsia"/>
          <w:i/>
          <w:lang w:val="fr-CA" w:eastAsia="en-US"/>
        </w:rPr>
        <w:t>la</w:t>
      </w:r>
      <w:r w:rsidRPr="000D0016">
        <w:rPr>
          <w:rFonts w:eastAsiaTheme="minorEastAsia"/>
          <w:lang w:val="fr-CA" w:eastAsia="en-US"/>
        </w:rPr>
        <w:t xml:space="preserve"> </w:t>
      </w:r>
      <w:r w:rsidRPr="000D0016">
        <w:rPr>
          <w:rFonts w:eastAsiaTheme="minorEastAsia"/>
          <w:i/>
          <w:lang w:val="fr-CA" w:eastAsia="en-US"/>
        </w:rPr>
        <w:t>présente</w:t>
      </w:r>
      <w:r w:rsidRPr="000D0016">
        <w:rPr>
          <w:rFonts w:eastAsiaTheme="minorEastAsia"/>
          <w:lang w:val="fr-CA" w:eastAsia="en-US"/>
        </w:rPr>
        <w:t xml:space="preserve"> affaire, la </w:t>
      </w:r>
      <w:r w:rsidRPr="000D0016">
        <w:rPr>
          <w:rFonts w:eastAsiaTheme="minorEastAsia"/>
          <w:lang w:val="fr-CA" w:eastAsia="en-US"/>
        </w:rPr>
        <w:lastRenderedPageBreak/>
        <w:t xml:space="preserve">rigueur avec laquelle l’agent d’appel a examiné </w:t>
      </w:r>
      <w:r>
        <w:rPr>
          <w:rFonts w:eastAsiaTheme="minorEastAsia"/>
          <w:lang w:val="fr-CA" w:eastAsia="en-US"/>
        </w:rPr>
        <w:t>la</w:t>
      </w:r>
      <w:r w:rsidRPr="000D0016">
        <w:rPr>
          <w:rFonts w:eastAsiaTheme="minorEastAsia"/>
          <w:lang w:val="fr-CA" w:eastAsia="en-US"/>
        </w:rPr>
        <w:t xml:space="preserve"> preuve et les arguments a permis à celui</w:t>
      </w:r>
      <w:r w:rsidRPr="000D0016">
        <w:rPr>
          <w:rFonts w:eastAsiaTheme="minorEastAsia"/>
          <w:lang w:val="fr-CA" w:eastAsia="en-US"/>
        </w:rPr>
        <w:noBreakHyphen/>
        <w:t>ci d’établir d’une manière plus claire et complète le fondement de sa décision.</w:t>
      </w:r>
    </w:p>
    <w:p w:rsidR="00B7543C" w:rsidRPr="000D0016" w:rsidRDefault="00B7543C" w:rsidP="00B7543C">
      <w:pPr>
        <w:pStyle w:val="Title1LevelTitre1Niveau-AltL"/>
        <w:rPr>
          <w:rFonts w:cs="Times New Roman"/>
          <w:lang w:val="fr-CA"/>
        </w:rPr>
      </w:pPr>
      <w:r w:rsidRPr="000D0016">
        <w:rPr>
          <w:rFonts w:cs="Times New Roman"/>
          <w:lang w:val="fr-CA"/>
        </w:rPr>
        <w:t>Conclusion</w:t>
      </w:r>
    </w:p>
    <w:p w:rsidR="00B7543C" w:rsidRPr="000D0016" w:rsidRDefault="00B7543C" w:rsidP="00B7543C">
      <w:pPr>
        <w:pStyle w:val="ParaNoNdepar-AltN"/>
        <w:rPr>
          <w:lang w:val="fr-CA"/>
        </w:rPr>
      </w:pPr>
      <w:r w:rsidRPr="000D0016">
        <w:rPr>
          <w:rFonts w:cs="Times New Roman"/>
          <w:lang w:val="fr-CA"/>
        </w:rPr>
        <w:t>Devant l’agent d’appel, personne n’a contesté que Postes Canada n’a pas autorité, d’un point de vue physique, sur les différents points de remise ni sur les différents parcours correspondant aux itinéraires, et que de nombreux points de remise sont des propriétés privées. L’agent d’appel a en outre conclu que Postes Canada ne peut pas modifier ni réparer les lieux si un risque se matérialise. L’agent d’appel a appliqué son interprétation de la disposition aux faits de l’espèce et conclu que l’obligation d’inspecter le lieu de travail « peut seulement s’appliquer à un employeur qui a autorité sur le lieu de travail physique. [Par conséquent,] l’alinéa 125(1)</w:t>
      </w:r>
      <w:r w:rsidRPr="000D0016">
        <w:rPr>
          <w:rFonts w:cs="Times New Roman"/>
          <w:iCs/>
          <w:lang w:val="fr-CA"/>
        </w:rPr>
        <w:t>z.12</w:t>
      </w:r>
      <w:r w:rsidRPr="000D0016">
        <w:rPr>
          <w:rFonts w:cs="Times New Roman"/>
          <w:lang w:val="fr-CA"/>
        </w:rPr>
        <w:t>) ne s’applique pas à tout endroit où un facteur accomplit son travail à l’extérieur du bâtiment physique situé [.</w:t>
      </w:r>
      <w:r w:rsidRPr="000D0016">
        <w:rPr>
          <w:lang w:val="fr-CA"/>
        </w:rPr>
        <w:t> . .</w:t>
      </w:r>
      <w:r w:rsidRPr="000D0016">
        <w:rPr>
          <w:rFonts w:cs="Times New Roman"/>
          <w:lang w:val="fr-CA"/>
        </w:rPr>
        <w:t>] à Burlington » (par. 99).</w:t>
      </w:r>
    </w:p>
    <w:p w:rsidR="00B7543C" w:rsidRPr="000D0016" w:rsidRDefault="00B7543C" w:rsidP="00B7543C">
      <w:pPr>
        <w:pStyle w:val="ParaNoNdepar-AltN"/>
        <w:rPr>
          <w:lang w:val="fr-CA"/>
        </w:rPr>
      </w:pPr>
      <w:r w:rsidRPr="000D0016">
        <w:rPr>
          <w:rFonts w:cs="Times New Roman"/>
          <w:lang w:val="fr-CA"/>
        </w:rPr>
        <w:t>Les conclusions de l’agent d’appel découlent d’un raisonnement clair. En tenant dûment compte des arguments qui lui</w:t>
      </w:r>
      <w:r>
        <w:rPr>
          <w:rFonts w:cs="Times New Roman"/>
          <w:lang w:val="fr-CA"/>
        </w:rPr>
        <w:t xml:space="preserve"> ont</w:t>
      </w:r>
      <w:r w:rsidRPr="000D0016">
        <w:rPr>
          <w:rFonts w:cs="Times New Roman"/>
          <w:lang w:val="fr-CA"/>
        </w:rPr>
        <w:t xml:space="preserve"> été présentés, il interpr</w:t>
      </w:r>
      <w:r>
        <w:rPr>
          <w:rFonts w:cs="Times New Roman"/>
          <w:lang w:val="fr-CA"/>
        </w:rPr>
        <w:t xml:space="preserve">ète </w:t>
      </w:r>
      <w:r w:rsidRPr="000D0016">
        <w:rPr>
          <w:rFonts w:cs="Times New Roman"/>
          <w:lang w:val="fr-CA"/>
        </w:rPr>
        <w:t xml:space="preserve">l’al. 125(1)z.12) </w:t>
      </w:r>
      <w:r w:rsidRPr="000D0016">
        <w:rPr>
          <w:lang w:val="fr-CA"/>
        </w:rPr>
        <w:t>en recourant à des</w:t>
      </w:r>
      <w:r w:rsidRPr="000D0016">
        <w:rPr>
          <w:rFonts w:cs="Times New Roman"/>
          <w:lang w:val="fr-CA"/>
        </w:rPr>
        <w:t xml:space="preserve"> principes d’interprétation des lois bien établis. L’interprétation à laquelle il </w:t>
      </w:r>
      <w:r>
        <w:rPr>
          <w:rFonts w:cs="Times New Roman"/>
          <w:lang w:val="fr-CA"/>
        </w:rPr>
        <w:t>en arrive</w:t>
      </w:r>
      <w:r w:rsidRPr="000D0016">
        <w:rPr>
          <w:rFonts w:cs="Times New Roman"/>
          <w:lang w:val="fr-CA"/>
        </w:rPr>
        <w:t xml:space="preserve"> s’harmonise avec le libellé, le contexte et l’objet de la disposition et est conforme aux décisions antérieures du TSSTC. </w:t>
      </w:r>
      <w:r>
        <w:rPr>
          <w:rFonts w:cs="Times New Roman"/>
          <w:lang w:val="fr-CA"/>
        </w:rPr>
        <w:t xml:space="preserve">Il </w:t>
      </w:r>
      <w:r w:rsidRPr="000D0016">
        <w:rPr>
          <w:rFonts w:cs="Times New Roman"/>
          <w:lang w:val="fr-CA"/>
        </w:rPr>
        <w:t>appli</w:t>
      </w:r>
      <w:r>
        <w:rPr>
          <w:rFonts w:cs="Times New Roman"/>
          <w:lang w:val="fr-CA"/>
        </w:rPr>
        <w:t>que</w:t>
      </w:r>
      <w:r w:rsidRPr="000D0016">
        <w:rPr>
          <w:rFonts w:cs="Times New Roman"/>
          <w:lang w:val="fr-CA"/>
        </w:rPr>
        <w:t xml:space="preserve"> son interprétation aux faits de l’espèce et justifi</w:t>
      </w:r>
      <w:r>
        <w:rPr>
          <w:rFonts w:cs="Times New Roman"/>
          <w:lang w:val="fr-CA"/>
        </w:rPr>
        <w:t>e</w:t>
      </w:r>
      <w:r w:rsidRPr="000D0016">
        <w:rPr>
          <w:rFonts w:cs="Times New Roman"/>
          <w:lang w:val="fr-CA"/>
        </w:rPr>
        <w:t xml:space="preserve"> sa conclusion.</w:t>
      </w:r>
    </w:p>
    <w:p w:rsidR="00B7543C" w:rsidRPr="0065261C" w:rsidRDefault="00B7543C" w:rsidP="00732E15">
      <w:pPr>
        <w:pStyle w:val="ParaNoNdepar-AltN"/>
        <w:rPr>
          <w:rStyle w:val="SCCCounselPartyRoleChar"/>
          <w:lang w:val="fr-CA"/>
        </w:rPr>
      </w:pPr>
      <w:r w:rsidRPr="000D0016">
        <w:rPr>
          <w:rFonts w:cs="Times New Roman"/>
          <w:lang w:val="fr-CA"/>
        </w:rPr>
        <w:t xml:space="preserve">Je conviens avec le juge Near de la Cour d’appel que la décision de l’agent d’appel </w:t>
      </w:r>
      <w:r>
        <w:rPr>
          <w:rFonts w:cs="Times New Roman"/>
          <w:lang w:val="fr-CA"/>
        </w:rPr>
        <w:t>est</w:t>
      </w:r>
      <w:r w:rsidRPr="000D0016">
        <w:rPr>
          <w:rFonts w:cs="Times New Roman"/>
          <w:lang w:val="fr-CA"/>
        </w:rPr>
        <w:t xml:space="preserve"> raisonnable. Je suis donc d’avis d’accueillir le pourvoi avec dépens devant </w:t>
      </w:r>
      <w:r>
        <w:rPr>
          <w:rFonts w:cs="Times New Roman"/>
          <w:lang w:val="fr-CA"/>
        </w:rPr>
        <w:t xml:space="preserve">la Cour et les juridictions inférieures, </w:t>
      </w:r>
      <w:r w:rsidRPr="000D0016">
        <w:rPr>
          <w:rFonts w:cs="Times New Roman"/>
          <w:lang w:val="fr-CA"/>
        </w:rPr>
        <w:t xml:space="preserve">et de rétablir l’ordonnance de l’agent d’appel </w:t>
      </w:r>
      <w:r w:rsidRPr="000D0016">
        <w:rPr>
          <w:rFonts w:cs="Times New Roman"/>
          <w:lang w:val="fr-CA"/>
        </w:rPr>
        <w:lastRenderedPageBreak/>
        <w:t>annulant la contravention à l’al. 125(1)z.12) citée dans l’instruction donnée par l’agente de SST.</w:t>
      </w:r>
    </w:p>
    <w:p w:rsidR="00B7543C" w:rsidRDefault="0065261C" w:rsidP="0065261C">
      <w:pPr>
        <w:pStyle w:val="SCCNormalDoubleSpacing"/>
        <w:spacing w:after="480"/>
        <w:rPr>
          <w:lang w:val="fr-CA"/>
        </w:rPr>
      </w:pPr>
      <w:r>
        <w:rPr>
          <w:lang w:val="fr-CA"/>
        </w:rPr>
        <w:tab/>
      </w:r>
      <w:r w:rsidR="00B7543C" w:rsidRPr="00D11A40">
        <w:rPr>
          <w:lang w:val="fr-CA"/>
        </w:rPr>
        <w:t>Version française des motifs des</w:t>
      </w:r>
      <w:r w:rsidR="00B7543C">
        <w:rPr>
          <w:lang w:val="fr-CA"/>
        </w:rPr>
        <w:t xml:space="preserve"> juges Abella et Martin rendus par</w:t>
      </w:r>
      <w:r w:rsidR="00B7543C" w:rsidRPr="000C126A">
        <w:rPr>
          <w:lang w:val="fr-CA"/>
        </w:rPr>
        <w:t xml:space="preserve"> </w:t>
      </w:r>
    </w:p>
    <w:p w:rsidR="00B7543C" w:rsidRPr="000C126A" w:rsidRDefault="00B7543C" w:rsidP="0065261C">
      <w:pPr>
        <w:tabs>
          <w:tab w:val="left" w:pos="630"/>
        </w:tabs>
        <w:jc w:val="both"/>
        <w:rPr>
          <w:lang w:val="fr-CA"/>
        </w:rPr>
      </w:pPr>
    </w:p>
    <w:p w:rsidR="00B7543C" w:rsidRPr="00E77282" w:rsidRDefault="0065261C" w:rsidP="00B7543C">
      <w:pPr>
        <w:pStyle w:val="ParaNoNdepar-AltN"/>
        <w:tabs>
          <w:tab w:val="clear" w:pos="1166"/>
          <w:tab w:val="num" w:pos="1152"/>
        </w:tabs>
        <w:spacing w:before="0"/>
        <w:rPr>
          <w:rFonts w:cs="Times New Roman"/>
          <w:lang w:val="fr-CA"/>
        </w:rPr>
      </w:pPr>
      <w:r w:rsidRPr="0065261C">
        <w:rPr>
          <w:smallCaps/>
          <w:lang w:val="fr-CA"/>
        </w:rPr>
        <w:t>La juge Abella</w:t>
      </w:r>
      <w:r w:rsidRPr="00E77282">
        <w:rPr>
          <w:lang w:val="fr-CA"/>
        </w:rPr>
        <w:t xml:space="preserve"> </w:t>
      </w:r>
      <w:r w:rsidR="00245497">
        <w:rPr>
          <w:lang w:val="fr-CA"/>
        </w:rPr>
        <w:t xml:space="preserve">(dissidente) </w:t>
      </w:r>
      <w:r w:rsidRPr="00E77282">
        <w:rPr>
          <w:lang w:val="fr-CA"/>
        </w:rPr>
        <w:t>—</w:t>
      </w:r>
      <w:r w:rsidR="00B7543C" w:rsidRPr="00E77282">
        <w:rPr>
          <w:rFonts w:cs="Times New Roman"/>
          <w:lang w:val="fr-CA"/>
        </w:rPr>
        <w:t xml:space="preserve">Le présent pourvoi soulève la question de savoir si l’obligation relative à l’inspection de sécurité prévue au </w:t>
      </w:r>
      <w:r w:rsidR="00B7543C" w:rsidRPr="00E77282">
        <w:rPr>
          <w:rFonts w:cs="Times New Roman"/>
          <w:i/>
          <w:lang w:val="fr-CA"/>
        </w:rPr>
        <w:t>Code canadien du travail</w:t>
      </w:r>
      <w:r w:rsidR="00B7543C" w:rsidRPr="00E77282">
        <w:rPr>
          <w:rFonts w:cs="Times New Roman"/>
          <w:lang w:val="fr-CA"/>
        </w:rPr>
        <w:t xml:space="preserve"> s’applique aux itinéraires postaux où les facteurs et factrices de Postes Canada passent les trois quarts de leur temps.</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Le 28 août 2012, une représentante du Syndicat des travailleurs et travailleuses des postes qui siégeait au Comité local mixte de santé et de sécurité au bureau de Postes Canada situé à Burlington (Ontario) a déposé une plainte officielle contre Postes Canada parce que celle</w:t>
      </w:r>
      <w:r w:rsidRPr="00E77282">
        <w:rPr>
          <w:rFonts w:cs="Times New Roman"/>
          <w:lang w:val="fr-CA"/>
        </w:rPr>
        <w:noBreakHyphen/>
        <w:t>ci avait empêché le Comité d’inspecter les itinéraires postaux locaux aux fins du recensement de risques :</w:t>
      </w:r>
    </w:p>
    <w:p w:rsidR="00B7543C" w:rsidRPr="00E77282" w:rsidRDefault="00B7543C" w:rsidP="00B7543C">
      <w:pPr>
        <w:pStyle w:val="Citation-AltC"/>
        <w:ind w:hanging="446"/>
        <w:contextualSpacing w:val="0"/>
        <w:rPr>
          <w:lang w:val="fr-CA"/>
        </w:rPr>
      </w:pPr>
      <w:r w:rsidRPr="00E77282">
        <w:rPr>
          <w:lang w:val="fr-CA"/>
        </w:rPr>
        <w:tab/>
        <w:t>[</w:t>
      </w:r>
      <w:r w:rsidRPr="00E77282">
        <w:rPr>
          <w:smallCaps/>
          <w:lang w:val="fr-CA"/>
        </w:rPr>
        <w:t>traduction</w:t>
      </w:r>
      <w:r w:rsidRPr="00E77282">
        <w:rPr>
          <w:lang w:val="fr-CA"/>
        </w:rPr>
        <w:t>] On nous a dit que, lorsque nous effectuons des inspections d’immeuble, nous ne devons inspecter qu’une partie de notre lieu de travail[.] Les travailleurs et travailleuses des postes passent 2 heures dans l’immeuble, mais 6 heures à l’extérieur[.] [Nous voulons] inspecter non seulement l’immeuble, mais aussi les itinéraires des facteurs et factrices, aux fins du recensement des risques — et la SCP [Société canadienne des postes] a dit non[.]</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Le 21 septembre 2012, l’agente de santé et de sécurité ayant reçu la plainte a donné l’instruction suivante, enjoignant à Postes Canada de permettre au Comité d’effectuer des inspections de sécurité sur les itinéraires postaux :</w:t>
      </w:r>
    </w:p>
    <w:p w:rsidR="00B7543C" w:rsidRPr="00E77282" w:rsidRDefault="00B7543C" w:rsidP="00B7543C">
      <w:pPr>
        <w:pStyle w:val="Citation-AltC"/>
        <w:ind w:hanging="446"/>
        <w:contextualSpacing w:val="0"/>
        <w:rPr>
          <w:lang w:val="fr-CA"/>
        </w:rPr>
      </w:pPr>
      <w:r w:rsidRPr="00E77282">
        <w:rPr>
          <w:bCs/>
          <w:lang w:val="fr-CA"/>
        </w:rPr>
        <w:lastRenderedPageBreak/>
        <w:tab/>
        <w:t>[</w:t>
      </w:r>
      <w:r w:rsidRPr="00E77282">
        <w:rPr>
          <w:bCs/>
          <w:smallCaps/>
          <w:lang w:val="fr-CA"/>
        </w:rPr>
        <w:t>traduction</w:t>
      </w:r>
      <w:r w:rsidRPr="00E77282">
        <w:rPr>
          <w:bCs/>
          <w:lang w:val="fr-CA"/>
        </w:rPr>
        <w:t>] L’employeur a omis de veiller à ce que le comité local de santé et de sécurité inspecte chaque mois tout ou partie du lieu de travail, de façon que chaque partie du lieu de travail soit inspectée au complet au moins une fois par année. L’activité d’inspection actuelle du lieu de travail par le comité local de santé et de sécurité est limitée à l’immeuble situé au 688</w:t>
      </w:r>
      <w:r>
        <w:rPr>
          <w:bCs/>
          <w:lang w:val="fr-CA"/>
        </w:rPr>
        <w:t>, rue</w:t>
      </w:r>
      <w:r w:rsidRPr="00E77282">
        <w:rPr>
          <w:bCs/>
          <w:lang w:val="fr-CA"/>
        </w:rPr>
        <w:t> Brant, Burlington, Ontario.</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 xml:space="preserve">Postes Canada a interjeté appel au Tribunal de santé et sécurité au travail Canada. L’agent d’appel a conclu que l’obligation relative à l’inspection de sécurité prévue à l’al. 125(1)z.12) du </w:t>
      </w:r>
      <w:r w:rsidRPr="00E77282">
        <w:rPr>
          <w:rFonts w:cs="Times New Roman"/>
          <w:i/>
          <w:lang w:val="fr-CA"/>
        </w:rPr>
        <w:t>Code du travail</w:t>
      </w:r>
      <w:r w:rsidRPr="00E77282">
        <w:rPr>
          <w:rFonts w:cs="Times New Roman"/>
          <w:lang w:val="fr-CA"/>
        </w:rPr>
        <w:t xml:space="preserve"> oblige Postes Canada à inspecter seulement les lieux de travail relevant de son autorité d’un point de vue physique. Comme Postes Canada n’a autorité que sur le dépôt de Burlington, et non sur les itinéraires postaux, l’obligation d’inspection ne s’appliquait pas.</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La Cour fédérale a confirmé la décision de l’agent d’appel. En appel, les juges majoritaires de la Cour d’appel fédérale ont infirmé la décision de l’agent d’appel et rétabli l’instruction de l’agente de santé et de sécurité.</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Je suis d’accord avec les juges majoritaires de la Cour d’appel fédérale. À mon avis, la conclusion de l’agent d’appel était déraisonnable et incompatible avec l’objet et le libellé de la disposition relative à l’inspection de sécurité.</w:t>
      </w:r>
    </w:p>
    <w:p w:rsidR="00B7543C" w:rsidRPr="00E77282" w:rsidRDefault="00B7543C" w:rsidP="00A01FCD">
      <w:pPr>
        <w:pStyle w:val="ParaNoNdepar-AltN"/>
        <w:numPr>
          <w:ilvl w:val="0"/>
          <w:numId w:val="0"/>
        </w:numPr>
        <w:spacing w:before="0"/>
        <w:rPr>
          <w:rFonts w:cs="Times New Roman"/>
          <w:u w:val="single"/>
          <w:lang w:val="fr-CA"/>
        </w:rPr>
      </w:pPr>
      <w:r w:rsidRPr="00E77282">
        <w:rPr>
          <w:rFonts w:cs="Times New Roman"/>
          <w:u w:val="single"/>
          <w:lang w:val="fr-CA"/>
        </w:rPr>
        <w:t>Analyse</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Les parties ne contestent pas la norme de contrôle ni les principes d’interprétation législative applicables. Le litige porte sur la façon dont ceux</w:t>
      </w:r>
      <w:r w:rsidRPr="00E77282">
        <w:rPr>
          <w:rFonts w:cs="Times New Roman"/>
          <w:lang w:val="fr-CA"/>
        </w:rPr>
        <w:noBreakHyphen/>
        <w:t>ci devraient s’appliquer à la disposition législative en cause en l’espèce, laquelle est ainsi libellée :</w:t>
      </w:r>
    </w:p>
    <w:p w:rsidR="00B7543C" w:rsidRPr="00E77282" w:rsidRDefault="00B7543C" w:rsidP="00B7543C">
      <w:pPr>
        <w:pStyle w:val="Citation-AltC"/>
        <w:spacing w:after="240"/>
        <w:ind w:hanging="446"/>
        <w:contextualSpacing w:val="0"/>
        <w:rPr>
          <w:lang w:val="fr-CA"/>
        </w:rPr>
      </w:pPr>
      <w:r w:rsidRPr="00E77282">
        <w:rPr>
          <w:b/>
          <w:lang w:val="fr-CA"/>
        </w:rPr>
        <w:lastRenderedPageBreak/>
        <w:tab/>
        <w:t xml:space="preserve">125 (1) </w:t>
      </w:r>
      <w:r w:rsidRPr="00E77282">
        <w:rPr>
          <w:lang w:val="fr-CA"/>
        </w:rPr>
        <w:t>Dans le cadre de l’obligation générale définie à l’article 124, l’employeur est tenu, en ce qui concerne tout lieu de travail placé sous son entière autorité ainsi que toute tâche accomplie par un employé dans un lieu de travail ne relevant pas de son autorité, dans la mesure où cette tâche, elle, en relève :</w:t>
      </w:r>
    </w:p>
    <w:p w:rsidR="00B7543C" w:rsidRPr="00E77282" w:rsidRDefault="00B7543C" w:rsidP="00B7543C">
      <w:pPr>
        <w:pStyle w:val="Citation-AltC"/>
        <w:spacing w:after="240"/>
        <w:ind w:left="4593" w:hanging="446"/>
        <w:contextualSpacing w:val="0"/>
        <w:rPr>
          <w:lang w:val="fr-CA"/>
        </w:rPr>
      </w:pPr>
      <w:r w:rsidRPr="00E77282">
        <w:rPr>
          <w:b/>
          <w:lang w:val="fr-CA"/>
        </w:rPr>
        <w:tab/>
      </w:r>
      <w:r w:rsidRPr="00E77282">
        <w:rPr>
          <w:lang w:val="fr-CA"/>
        </w:rPr>
        <w:t>. . .</w:t>
      </w:r>
    </w:p>
    <w:p w:rsidR="00B7543C" w:rsidRPr="00E77282" w:rsidRDefault="00B7543C" w:rsidP="00B7543C">
      <w:pPr>
        <w:pStyle w:val="Citation-AltC"/>
        <w:ind w:left="1440" w:hanging="360"/>
        <w:contextualSpacing w:val="0"/>
        <w:rPr>
          <w:b/>
          <w:lang w:val="fr-CA"/>
        </w:rPr>
      </w:pPr>
      <w:r w:rsidRPr="00E77282">
        <w:rPr>
          <w:b/>
          <w:lang w:val="fr-CA"/>
        </w:rPr>
        <w:tab/>
        <w:t>z. 12)</w:t>
      </w:r>
      <w:r w:rsidRPr="00E77282">
        <w:rPr>
          <w:lang w:val="fr-CA"/>
        </w:rPr>
        <w:t> de veiller à ce que le comité local ou le représentant inspecte chaque mois tout ou partie du lieu de travail, de façon que celui</w:t>
      </w:r>
      <w:r w:rsidRPr="00E77282">
        <w:rPr>
          <w:lang w:val="fr-CA"/>
        </w:rPr>
        <w:noBreakHyphen/>
        <w:t>ci soit inspecté au complet au moins une fois par année</w:t>
      </w:r>
      <w:r>
        <w:rPr>
          <w:lang w:val="fr-CA"/>
        </w:rPr>
        <w:t>;</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Le litige concerne plus particulièrement la question de savoir s’il était raisonnable pour l’agent d’appel de conclure que l’obligation relative à l’inspection de sécurité prévue à l’al. 125(1)z.12) oblige l’employeur à inspecter seulement les parties du lieu de travail sur lesquelles il a physiquement autorité.</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 xml:space="preserve">L’alinéa 125(1)z.12) figure dans la partie II du </w:t>
      </w:r>
      <w:r w:rsidRPr="00E77282">
        <w:rPr>
          <w:rFonts w:cs="Times New Roman"/>
          <w:i/>
          <w:lang w:val="fr-CA"/>
        </w:rPr>
        <w:t>Code canadien du travail</w:t>
      </w:r>
      <w:r w:rsidRPr="00E77282">
        <w:rPr>
          <w:rFonts w:cs="Times New Roman"/>
          <w:lang w:val="fr-CA"/>
        </w:rPr>
        <w:t>, L.R.C. 1985, c. L</w:t>
      </w:r>
      <w:r w:rsidRPr="00E77282">
        <w:rPr>
          <w:rFonts w:cs="Times New Roman"/>
          <w:lang w:val="fr-CA"/>
        </w:rPr>
        <w:noBreakHyphen/>
        <w:t xml:space="preserve">2, et fait partie d’un vaste ensemble de responsabilités de l’employeur visant à « prévenir les accidents et les maladies liés à l’occupation d’un emploi » (art. 122.1; voir aussi </w:t>
      </w:r>
      <w:r w:rsidRPr="00E77282">
        <w:rPr>
          <w:rFonts w:cs="Times New Roman"/>
          <w:i/>
          <w:lang w:val="fr-CA"/>
        </w:rPr>
        <w:t>Alliance de la Fonction publique du Canada c. Canada (Procureur général)</w:t>
      </w:r>
      <w:r w:rsidRPr="00E77282">
        <w:rPr>
          <w:rFonts w:cs="Times New Roman"/>
          <w:lang w:val="fr-CA"/>
        </w:rPr>
        <w:t>, 2015 CAF 273, [2016] 3 R.C.F. 33, par. 17). Ces responsabilités découlent de l’</w:t>
      </w:r>
      <w:r w:rsidRPr="00E77282">
        <w:rPr>
          <w:rFonts w:eastAsia="Times New Roman" w:cs="Times New Roman"/>
          <w:lang w:val="fr-CA" w:eastAsia="en-CA"/>
        </w:rPr>
        <w:t>obligation générale d’assurer la sécurité au travail que l’art. 124 impose à l’employeur :</w:t>
      </w:r>
    </w:p>
    <w:p w:rsidR="00B7543C" w:rsidRPr="00E77282" w:rsidRDefault="00B7543C" w:rsidP="00B7543C">
      <w:pPr>
        <w:pStyle w:val="Citation-AltC"/>
        <w:spacing w:after="240"/>
        <w:ind w:hanging="446"/>
        <w:contextualSpacing w:val="0"/>
        <w:rPr>
          <w:b/>
          <w:lang w:val="fr-CA"/>
        </w:rPr>
      </w:pPr>
      <w:r w:rsidRPr="00E77282">
        <w:rPr>
          <w:b/>
          <w:lang w:val="fr-CA"/>
        </w:rPr>
        <w:tab/>
        <w:t>Obligation générale</w:t>
      </w:r>
    </w:p>
    <w:p w:rsidR="00B7543C" w:rsidRPr="00E77282" w:rsidRDefault="00B7543C" w:rsidP="00B7543C">
      <w:pPr>
        <w:pStyle w:val="Citation-AltC"/>
        <w:ind w:hanging="446"/>
        <w:contextualSpacing w:val="0"/>
        <w:rPr>
          <w:lang w:val="fr-CA"/>
        </w:rPr>
      </w:pPr>
      <w:r w:rsidRPr="00E77282">
        <w:rPr>
          <w:lang w:val="fr-CA"/>
        </w:rPr>
        <w:tab/>
      </w:r>
      <w:r w:rsidRPr="00E77282">
        <w:rPr>
          <w:b/>
          <w:lang w:val="fr-CA"/>
        </w:rPr>
        <w:t>124</w:t>
      </w:r>
      <w:r w:rsidRPr="00E77282">
        <w:rPr>
          <w:lang w:val="fr-CA"/>
        </w:rPr>
        <w:t xml:space="preserve"> L’employeur veille à la protection de ses employés en matière de santé et de sécurité au travail.</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L’article 125 donne corps à cette obligation primordiale (</w:t>
      </w:r>
      <w:r w:rsidRPr="00E77282">
        <w:rPr>
          <w:rFonts w:cs="Times New Roman"/>
          <w:i/>
          <w:lang w:val="fr-CA"/>
        </w:rPr>
        <w:t>Alliance de la Fonction publique du Canada</w:t>
      </w:r>
      <w:r w:rsidRPr="00E77282">
        <w:rPr>
          <w:rFonts w:cs="Times New Roman"/>
          <w:lang w:val="fr-CA"/>
        </w:rPr>
        <w:t xml:space="preserve">, par. 17; </w:t>
      </w:r>
      <w:r w:rsidRPr="00E77282">
        <w:rPr>
          <w:rFonts w:cs="Times New Roman"/>
          <w:i/>
          <w:lang w:val="fr-CA"/>
        </w:rPr>
        <w:t>Énergie atomique du Canada ltée</w:t>
      </w:r>
      <w:r w:rsidRPr="00E77282">
        <w:rPr>
          <w:rFonts w:cs="Times New Roman"/>
          <w:lang w:val="fr-CA"/>
        </w:rPr>
        <w:t xml:space="preserve">, 2013 TSSTC </w:t>
      </w:r>
      <w:r w:rsidRPr="00E77282">
        <w:rPr>
          <w:rFonts w:cs="Times New Roman"/>
          <w:lang w:val="fr-CA"/>
        </w:rPr>
        <w:lastRenderedPageBreak/>
        <w:t xml:space="preserve">21, par. 58 (CanLII)). Il impose à l’employeur 45 obligations spécifiques, dont celle relative à l’inspection de sécurité prévue par la disposition en cause dans le présent pourvoi. Toutes ces obligations sont introduites par un libellé indiquant qu’elles s’appliquent à tous les </w:t>
      </w:r>
      <w:r w:rsidRPr="00E77282">
        <w:rPr>
          <w:rFonts w:cs="Times New Roman"/>
          <w:i/>
          <w:lang w:val="fr-CA"/>
        </w:rPr>
        <w:t xml:space="preserve">lieux de travail </w:t>
      </w:r>
      <w:r w:rsidRPr="00E77282">
        <w:rPr>
          <w:rFonts w:cs="Times New Roman"/>
          <w:lang w:val="fr-CA"/>
        </w:rPr>
        <w:t xml:space="preserve">placés sous l’entière autorité de l’employeur </w:t>
      </w:r>
      <w:r w:rsidRPr="00E77282">
        <w:rPr>
          <w:rFonts w:cs="Times New Roman"/>
          <w:i/>
          <w:lang w:val="fr-CA"/>
        </w:rPr>
        <w:t>et</w:t>
      </w:r>
      <w:r w:rsidRPr="00E77282">
        <w:rPr>
          <w:rFonts w:cs="Times New Roman"/>
          <w:lang w:val="fr-CA"/>
        </w:rPr>
        <w:t xml:space="preserve"> à toutes les </w:t>
      </w:r>
      <w:r w:rsidRPr="00E77282">
        <w:rPr>
          <w:rFonts w:cs="Times New Roman"/>
          <w:i/>
          <w:lang w:val="fr-CA"/>
        </w:rPr>
        <w:t xml:space="preserve">tâches </w:t>
      </w:r>
      <w:r w:rsidRPr="00E77282">
        <w:rPr>
          <w:rFonts w:cs="Times New Roman"/>
          <w:lang w:val="fr-CA"/>
        </w:rPr>
        <w:t>accomplies par un employé ou une employée qui relèvent de l’autorité de l’employeur (</w:t>
      </w:r>
      <w:r w:rsidRPr="00E77282">
        <w:rPr>
          <w:rFonts w:cs="Times New Roman"/>
          <w:i/>
          <w:lang w:val="fr-CA"/>
        </w:rPr>
        <w:t>Aviation General Partner Inc. c. Jainudeen</w:t>
      </w:r>
      <w:r w:rsidRPr="00E77282">
        <w:rPr>
          <w:rFonts w:cs="Times New Roman"/>
          <w:lang w:val="fr-CA"/>
        </w:rPr>
        <w:t xml:space="preserve">, 2013 TSSTC 32, par. 62 (CanLII); </w:t>
      </w:r>
      <w:r w:rsidRPr="00E77282">
        <w:rPr>
          <w:rFonts w:cs="Times New Roman"/>
          <w:i/>
          <w:lang w:val="fr-CA"/>
        </w:rPr>
        <w:t>Laroche c. Agence des services frontaliers du Canada</w:t>
      </w:r>
      <w:r w:rsidRPr="00E77282">
        <w:rPr>
          <w:rFonts w:cs="Times New Roman"/>
          <w:lang w:val="fr-CA"/>
        </w:rPr>
        <w:t>, 2010 TSSTC 12, par. 121</w:t>
      </w:r>
      <w:r w:rsidRPr="00E77282">
        <w:rPr>
          <w:rFonts w:cs="Times New Roman"/>
          <w:lang w:val="fr-CA"/>
        </w:rPr>
        <w:noBreakHyphen/>
        <w:t xml:space="preserve">122 (CanLII); </w:t>
      </w:r>
      <w:r w:rsidRPr="00E77282">
        <w:rPr>
          <w:rFonts w:cs="Times New Roman"/>
          <w:i/>
          <w:lang w:val="fr-CA"/>
        </w:rPr>
        <w:t>Canada (Travaux publics et Services gouvernementaux) (Re)</w:t>
      </w:r>
      <w:r w:rsidRPr="00E77282">
        <w:rPr>
          <w:rFonts w:cs="Times New Roman"/>
          <w:lang w:val="fr-CA"/>
        </w:rPr>
        <w:t xml:space="preserve">, 2009 LNTSSTC 35 (QL), par. 68; </w:t>
      </w:r>
      <w:r w:rsidRPr="00E77282">
        <w:rPr>
          <w:rFonts w:cs="Times New Roman"/>
          <w:i/>
          <w:lang w:val="fr-CA"/>
        </w:rPr>
        <w:t>Morrison c. Société canadienne des postes</w:t>
      </w:r>
      <w:r w:rsidRPr="00E77282">
        <w:rPr>
          <w:rFonts w:cs="Times New Roman"/>
          <w:lang w:val="fr-CA"/>
        </w:rPr>
        <w:t>, 2009 LNTSSTC 32 (QL), par. 226) :</w:t>
      </w:r>
    </w:p>
    <w:p w:rsidR="00B7543C" w:rsidRPr="00E77282" w:rsidRDefault="00B7543C" w:rsidP="00B7543C">
      <w:pPr>
        <w:pStyle w:val="Citation-AltC"/>
        <w:spacing w:after="240"/>
        <w:ind w:hanging="446"/>
        <w:contextualSpacing w:val="0"/>
        <w:rPr>
          <w:b/>
          <w:lang w:val="fr-CA"/>
        </w:rPr>
      </w:pPr>
      <w:r w:rsidRPr="00E77282">
        <w:rPr>
          <w:b/>
          <w:lang w:val="fr-CA"/>
        </w:rPr>
        <w:tab/>
        <w:t>Obligations spécifiques</w:t>
      </w:r>
    </w:p>
    <w:p w:rsidR="00B7543C" w:rsidRPr="00E77282" w:rsidRDefault="00B7543C" w:rsidP="00B7543C">
      <w:pPr>
        <w:pStyle w:val="Citation-AltC"/>
        <w:ind w:hanging="446"/>
        <w:contextualSpacing w:val="0"/>
        <w:rPr>
          <w:lang w:val="fr-CA"/>
        </w:rPr>
      </w:pPr>
      <w:r w:rsidRPr="00E77282">
        <w:rPr>
          <w:lang w:val="fr-CA"/>
        </w:rPr>
        <w:tab/>
      </w:r>
      <w:r w:rsidRPr="00E77282">
        <w:rPr>
          <w:b/>
          <w:lang w:val="fr-CA"/>
        </w:rPr>
        <w:t>125</w:t>
      </w:r>
      <w:r w:rsidRPr="00E77282">
        <w:rPr>
          <w:lang w:val="fr-CA"/>
        </w:rPr>
        <w:t xml:space="preserve"> </w:t>
      </w:r>
      <w:r w:rsidRPr="00E77282">
        <w:rPr>
          <w:b/>
          <w:lang w:val="fr-CA"/>
        </w:rPr>
        <w:t>(1)</w:t>
      </w:r>
      <w:r w:rsidRPr="00E77282">
        <w:rPr>
          <w:lang w:val="fr-CA"/>
        </w:rPr>
        <w:t xml:space="preserve"> Dans le cadre de l’obligation générale définie à l’article 124, l’employeur est tenu, en ce qui concerne </w:t>
      </w:r>
      <w:r w:rsidRPr="00E77282">
        <w:rPr>
          <w:i/>
          <w:lang w:val="fr-CA"/>
        </w:rPr>
        <w:t>tout lieu de travail placé sous son entière autorité ainsi que toute tâche accomplie par un employé dans un lieu de travail ne relevant pas de son autorité</w:t>
      </w:r>
      <w:r w:rsidRPr="00E77282">
        <w:rPr>
          <w:lang w:val="fr-CA"/>
        </w:rPr>
        <w:t>, dans la mesure où cette tâche, elle, en relève . . .</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 xml:space="preserve">Il s’agit d’une double directive législative non équivoque aux employeurs selon laquelle leurs obligations en matière de sécurité — y compris l’obligation d’inspection — s’appliquent à la fois aux </w:t>
      </w:r>
      <w:r w:rsidRPr="00E77282">
        <w:rPr>
          <w:rFonts w:cs="Times New Roman"/>
          <w:i/>
          <w:lang w:val="fr-CA"/>
        </w:rPr>
        <w:t>lieux de travail</w:t>
      </w:r>
      <w:r w:rsidRPr="00E77282">
        <w:rPr>
          <w:rFonts w:cs="Times New Roman"/>
          <w:lang w:val="fr-CA"/>
        </w:rPr>
        <w:t xml:space="preserve"> placés sous leur entière autorité </w:t>
      </w:r>
      <w:r w:rsidRPr="00E77282">
        <w:rPr>
          <w:rFonts w:cs="Times New Roman"/>
          <w:i/>
          <w:lang w:val="fr-CA"/>
        </w:rPr>
        <w:t>et</w:t>
      </w:r>
      <w:r w:rsidRPr="00E77282">
        <w:rPr>
          <w:rFonts w:cs="Times New Roman"/>
          <w:lang w:val="fr-CA"/>
        </w:rPr>
        <w:t xml:space="preserve">, si le lieu de travail ne relève pas de leur autorité, à toute </w:t>
      </w:r>
      <w:r w:rsidRPr="00E77282">
        <w:rPr>
          <w:rFonts w:cs="Times New Roman"/>
          <w:i/>
          <w:lang w:val="fr-CA"/>
        </w:rPr>
        <w:t xml:space="preserve">tâche </w:t>
      </w:r>
      <w:r w:rsidRPr="00E77282">
        <w:rPr>
          <w:rFonts w:cs="Times New Roman"/>
          <w:lang w:val="fr-CA"/>
        </w:rPr>
        <w:t>qui y est accomplie, dans la mesure où cette tâche, elle, en relève. Rien dans le libellé du par. 125(1) ne limite l’obligation d’inspection de l’employeur aux lieux de travail sur lesquels il</w:t>
      </w:r>
      <w:r w:rsidRPr="00E77282">
        <w:rPr>
          <w:rFonts w:eastAsia="Times New Roman" w:cs="Times New Roman"/>
          <w:szCs w:val="24"/>
          <w:lang w:val="fr-CA" w:eastAsia="en-CA"/>
        </w:rPr>
        <w:t xml:space="preserve"> </w:t>
      </w:r>
      <w:r w:rsidRPr="00E77282">
        <w:rPr>
          <w:rFonts w:cs="Times New Roman"/>
          <w:lang w:val="fr-CA"/>
        </w:rPr>
        <w:t xml:space="preserve">a autorité d’un point de vue physique. L’interprétation de l’agent d’appel ne tient dans les faits aucun compte de la seconde partie du par. 125(1), qui impose simultanément l’obligation d’inspection à l’employeur à l’égard des tâches accomplies </w:t>
      </w:r>
      <w:r w:rsidRPr="00E77282">
        <w:rPr>
          <w:rFonts w:cs="Times New Roman"/>
          <w:lang w:val="fr-CA"/>
        </w:rPr>
        <w:lastRenderedPageBreak/>
        <w:t xml:space="preserve">dans les lieux de travail ne relevant </w:t>
      </w:r>
      <w:r w:rsidRPr="00E77282">
        <w:rPr>
          <w:rFonts w:cs="Times New Roman"/>
          <w:i/>
          <w:lang w:val="fr-CA"/>
        </w:rPr>
        <w:t>pas</w:t>
      </w:r>
      <w:r w:rsidRPr="00E77282">
        <w:rPr>
          <w:rFonts w:cs="Times New Roman"/>
          <w:lang w:val="fr-CA"/>
        </w:rPr>
        <w:t xml:space="preserve"> de son autorité. Je conviens avec le juge Nadon de la Cour d’appel qu’en restreignant ainsi la portée de l’al. 125(1)z.12), l’agent d’appel « a réécrit la disposition en cause ».</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Suivant le sens ordinaire de l’al. 125(1)z.12), si Postes Canada a autorité sur les tâches accomplies par ses facteurs et factrices, elle est tenue à l’obligation d’inspection. L’agent d’appel a reconnu que Postes Canada exerce une autorité considérable et stricte sur la livraison du courrier par les facteurs et factrices. Comme il l’a souligné, elle établit leurs itinéraires dans le menu détail et dicte la manière de livrer le courrier, « jusqu’à et y compris la façon dont ils tiennent leur sacoche et parcourent leur itinéraire ». Cela démontre non seulement que Postes Canada exerce une autorité sur la « tâche accomplie » par les facteurs et factrices, mais aussi que l’autorité exercée est rigoureuse. Il s’ensuit que les arrangements de travail avec les facteurs et factrices de Postes Canada tombent clairement sous le coup du par. 125(1).</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Cette interprétation est également la seule qui soit conforme à l’objet du par. 125(1) en général et de la disposition relative à l’inspection de sécurité en particulier (</w:t>
      </w:r>
      <w:r w:rsidRPr="00E77282">
        <w:rPr>
          <w:rFonts w:cs="Times New Roman"/>
          <w:i/>
          <w:lang w:val="fr-CA"/>
        </w:rPr>
        <w:t>Ontario (Ministry of Labour) c. United Independent Operators Ltd.</w:t>
      </w:r>
      <w:r w:rsidRPr="00E77282">
        <w:rPr>
          <w:rFonts w:cs="Times New Roman"/>
          <w:lang w:val="fr-CA"/>
        </w:rPr>
        <w:t xml:space="preserve">, </w:t>
      </w:r>
      <w:r>
        <w:rPr>
          <w:rFonts w:cs="Times New Roman"/>
          <w:lang w:val="fr-CA"/>
        </w:rPr>
        <w:t xml:space="preserve">2011 </w:t>
      </w:r>
      <w:r w:rsidRPr="00E77282">
        <w:rPr>
          <w:rFonts w:cs="Times New Roman"/>
          <w:lang w:val="fr-CA"/>
        </w:rPr>
        <w:t xml:space="preserve">ONCA 33, 104 O.R. (3d) 1, par. 31). Le paragraphe 125(1) vise à protéger les travailleurs et travailleuses contre les risques pour la sécurité — un objectif qui est sapé si l’obligation relative à l’inspection de sécurité, une protection fondamentale prévue au par. 125(1), se limite aux lieux de travail sur lesquels l’employeur a autorité d’un point de vue physique. Lorsqu’il a rédigé le par. 125(1), le Parlement a clairement prévu que les employés et employées ne travaillent pas tous dans les mêmes conditions matérielles ou dans des lieux de travail sur lesquels l’employeur a physiquement </w:t>
      </w:r>
      <w:r w:rsidRPr="00E77282">
        <w:rPr>
          <w:rFonts w:cs="Times New Roman"/>
          <w:lang w:val="fr-CA"/>
        </w:rPr>
        <w:lastRenderedPageBreak/>
        <w:t xml:space="preserve">autorité. En rédigeant cette disposition de manière à ce qu’elle vise les lieux de travail relevant </w:t>
      </w:r>
      <w:r w:rsidRPr="00E77282">
        <w:rPr>
          <w:rFonts w:cs="Times New Roman"/>
          <w:i/>
          <w:lang w:val="fr-CA"/>
        </w:rPr>
        <w:t xml:space="preserve">et </w:t>
      </w:r>
      <w:r w:rsidRPr="00E77282">
        <w:rPr>
          <w:rFonts w:cs="Times New Roman"/>
          <w:lang w:val="fr-CA"/>
        </w:rPr>
        <w:t>ne relevant pas de l’autorité de l’employeur d’un point de vue physique, le législateur fédéral a voulu protéger les milliers d’employés et employées qui travaillent en dehors d’un lieu appartenant à l’employeur. Ce qui fait la beauté du par. 125(1), c’est que tous les employés et employées se voient accorder la même qualité de protection en matière de sécurité, peu importe l’endroit où ils travaillent, pourvu que la tâche qu’ils accomplissent relève de l’autorité de leur employeur.</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 xml:space="preserve">L’obligation d’inspection est en parfaite adéquation avec l’objectif de protection du par. 125(1) et constitue un élément essentiel de l’approche préventive relative aux risques en milieu de travail adoptée dans la partie II du </w:t>
      </w:r>
      <w:r w:rsidRPr="00E77282">
        <w:rPr>
          <w:rFonts w:cs="Times New Roman"/>
          <w:i/>
          <w:lang w:val="fr-CA"/>
        </w:rPr>
        <w:t>Code du travail</w:t>
      </w:r>
      <w:r w:rsidRPr="00E77282">
        <w:rPr>
          <w:rFonts w:cs="Times New Roman"/>
          <w:lang w:val="fr-CA"/>
        </w:rPr>
        <w:t xml:space="preserve">. L’article 122.1 prévoit que la partie II du </w:t>
      </w:r>
      <w:r w:rsidRPr="00E77282">
        <w:rPr>
          <w:rFonts w:cs="Times New Roman"/>
          <w:i/>
          <w:lang w:val="fr-CA"/>
        </w:rPr>
        <w:t xml:space="preserve">Code </w:t>
      </w:r>
      <w:r w:rsidRPr="00E77282">
        <w:rPr>
          <w:rFonts w:cs="Times New Roman"/>
          <w:lang w:val="fr-CA"/>
        </w:rPr>
        <w:t xml:space="preserve">a pour objet « de </w:t>
      </w:r>
      <w:r w:rsidRPr="00E77282">
        <w:rPr>
          <w:rFonts w:cs="Times New Roman"/>
          <w:i/>
          <w:lang w:val="fr-CA"/>
        </w:rPr>
        <w:t>prévenir</w:t>
      </w:r>
      <w:r w:rsidRPr="00E77282">
        <w:rPr>
          <w:rFonts w:cs="Times New Roman"/>
          <w:lang w:val="fr-CA"/>
        </w:rPr>
        <w:t xml:space="preserve"> les accidents et les maladies liés à l’occupation d’un emploi régi par ses dispositions ». La disposition suivante, l’art. 122.2, explique que « [l]a </w:t>
      </w:r>
      <w:r w:rsidRPr="00E77282">
        <w:rPr>
          <w:rFonts w:cs="Times New Roman"/>
          <w:i/>
          <w:lang w:val="fr-CA"/>
        </w:rPr>
        <w:t>prévention</w:t>
      </w:r>
      <w:r w:rsidRPr="00E77282">
        <w:rPr>
          <w:rFonts w:cs="Times New Roman"/>
          <w:lang w:val="fr-CA"/>
        </w:rPr>
        <w:t xml:space="preserve"> devrait consister avant tout dans l’élimination des risques, puis dans leur réduction, et enfin dans la fourniture de matériel, d’équipement, de dispositifs ou de vêtements de protection, en vue d’assurer la santé et la sécurité des employés. »</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 xml:space="preserve">Ces dispositions mettent en relief l’approche préventive en matière de sécurité au travail mise en œuvre par le législateur, une approche clairement exprimée par l’obligation relative à l’inspection de sécurité. Les inspections de sécurité visent à assurer le recensement proactif des risques </w:t>
      </w:r>
      <w:r w:rsidRPr="00E77282">
        <w:rPr>
          <w:rFonts w:cs="Times New Roman"/>
          <w:i/>
          <w:lang w:val="fr-CA"/>
        </w:rPr>
        <w:t xml:space="preserve">avant </w:t>
      </w:r>
      <w:r w:rsidRPr="00E77282">
        <w:rPr>
          <w:rFonts w:cs="Times New Roman"/>
          <w:lang w:val="fr-CA"/>
        </w:rPr>
        <w:t xml:space="preserve">que les travailleurs et travailleuses n’y soient exposés, et à faire en sorte que ces risques soient supprimés ou évités. De plus, comme l’a affirmé l’intervenante Worker’s Health and Safety Legal Clinic, les inspections de sécurité proactives sont particulièrement importantes pour les </w:t>
      </w:r>
      <w:r w:rsidRPr="00E77282">
        <w:rPr>
          <w:rFonts w:cs="Times New Roman"/>
          <w:lang w:val="fr-CA"/>
        </w:rPr>
        <w:lastRenderedPageBreak/>
        <w:t>travailleurs et travailleuses non syndiqués, qui peuvent avoir un pouvoir de négociation limité pour favoriser l’inspection au moyen de demandes individuelles faites à l’employeur (</w:t>
      </w:r>
      <w:r w:rsidRPr="00E77282">
        <w:rPr>
          <w:rFonts w:cs="Times New Roman"/>
          <w:i/>
          <w:lang w:val="fr-CA"/>
        </w:rPr>
        <w:t>Machtinger c. HOJ Industries Ltd.</w:t>
      </w:r>
      <w:r w:rsidRPr="00E77282">
        <w:rPr>
          <w:rFonts w:cs="Times New Roman"/>
          <w:lang w:val="fr-CA"/>
        </w:rPr>
        <w:t>, [1992] 1 R.C.S. 986, p. 1002</w:t>
      </w:r>
      <w:r w:rsidRPr="00E77282">
        <w:rPr>
          <w:rFonts w:cs="Times New Roman"/>
          <w:lang w:val="fr-CA"/>
        </w:rPr>
        <w:noBreakHyphen/>
        <w:t>1003).</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eastAsia="Times New Roman" w:cs="Times New Roman"/>
          <w:lang w:val="fr-CA" w:eastAsia="en-CA"/>
        </w:rPr>
        <w:t>Il importe de se rappeler que l’obligation d’</w:t>
      </w:r>
      <w:r w:rsidRPr="00E77282">
        <w:rPr>
          <w:rFonts w:cs="Times New Roman"/>
          <w:lang w:val="fr-CA"/>
        </w:rPr>
        <w:t>inspection était une composante cruciale de l’ensemble des réformes en matière de sécurité au travail mis en place en 1995 en réponse à la tragédie de la mine Westray survenue en 1992, en Nouvelle</w:t>
      </w:r>
      <w:r w:rsidRPr="00E77282">
        <w:rPr>
          <w:rFonts w:cs="Times New Roman"/>
          <w:lang w:val="fr-CA"/>
        </w:rPr>
        <w:noBreakHyphen/>
        <w:t xml:space="preserve">Écosse, ayant coûté la vie à </w:t>
      </w:r>
      <w:r w:rsidRPr="00E77282">
        <w:rPr>
          <w:rFonts w:eastAsia="Times New Roman" w:cs="Times New Roman"/>
          <w:lang w:val="fr-CA"/>
        </w:rPr>
        <w:t>26 mineurs. L’enquête publique qui a suivi a permis d’établir que la piètre qualité des procédures d’inspection constituait une cause déterminante de la tragédie. Comme l’a écrit le juge K. Peter Richard, [</w:t>
      </w:r>
      <w:r w:rsidRPr="00E77282">
        <w:rPr>
          <w:rFonts w:eastAsia="Times New Roman" w:cs="Times New Roman"/>
          <w:smallCaps/>
          <w:lang w:val="fr-CA"/>
        </w:rPr>
        <w:t>traduction</w:t>
      </w:r>
      <w:r w:rsidRPr="00E77282">
        <w:rPr>
          <w:rFonts w:eastAsia="Times New Roman" w:cs="Times New Roman"/>
          <w:lang w:val="fr-CA"/>
        </w:rPr>
        <w:t>] « </w:t>
      </w:r>
      <w:r w:rsidRPr="00E77282">
        <w:rPr>
          <w:rFonts w:cs="Times New Roman"/>
          <w:lang w:val="fr-CA"/>
        </w:rPr>
        <w:t>[l]a direction a manqué à son devoir, le service d’inspection a manqué à son devoir et la mine a explosé » (</w:t>
      </w:r>
      <w:r w:rsidRPr="00E77282">
        <w:rPr>
          <w:rFonts w:cs="Times New Roman"/>
          <w:i/>
          <w:lang w:val="fr-CA"/>
        </w:rPr>
        <w:t>The Westray Story : A Predictable Path to Disaster</w:t>
      </w:r>
      <w:r w:rsidRPr="00E77282">
        <w:rPr>
          <w:rFonts w:eastAsia="Times New Roman" w:cs="Times New Roman"/>
          <w:lang w:val="fr-CA"/>
        </w:rPr>
        <w:t xml:space="preserve"> </w:t>
      </w:r>
      <w:r w:rsidRPr="00E77282">
        <w:rPr>
          <w:rFonts w:eastAsia="Times New Roman" w:cs="Times New Roman"/>
          <w:i/>
          <w:lang w:val="fr-CA"/>
        </w:rPr>
        <w:t>—</w:t>
      </w:r>
      <w:r w:rsidRPr="00E77282">
        <w:rPr>
          <w:rFonts w:cs="Times New Roman"/>
          <w:i/>
          <w:lang w:val="fr-CA"/>
        </w:rPr>
        <w:t xml:space="preserve"> Report of the Westray Mine Public Inquiry</w:t>
      </w:r>
      <w:r w:rsidRPr="00E77282">
        <w:rPr>
          <w:rFonts w:cs="Times New Roman"/>
          <w:lang w:val="fr-CA"/>
        </w:rPr>
        <w:t xml:space="preserve"> </w:t>
      </w:r>
      <w:r w:rsidRPr="00E77282">
        <w:rPr>
          <w:rFonts w:eastAsia="Times New Roman" w:cs="Times New Roman"/>
          <w:lang w:val="fr-CA"/>
        </w:rPr>
        <w:t>(Nouvelle</w:t>
      </w:r>
      <w:r w:rsidRPr="00E77282">
        <w:rPr>
          <w:rFonts w:eastAsia="Times New Roman" w:cs="Times New Roman"/>
          <w:lang w:val="fr-CA"/>
        </w:rPr>
        <w:noBreakHyphen/>
        <w:t>Écosse, 1997), p. 606 (</w:t>
      </w:r>
      <w:r w:rsidR="00EA665F">
        <w:rPr>
          <w:rFonts w:eastAsia="Times New Roman" w:cs="Times New Roman"/>
          <w:lang w:val="fr-CA"/>
        </w:rPr>
        <w:t xml:space="preserve">le </w:t>
      </w:r>
      <w:r w:rsidRPr="00E77282">
        <w:rPr>
          <w:rFonts w:eastAsia="Times New Roman" w:cs="Times New Roman"/>
          <w:lang w:val="fr-CA"/>
        </w:rPr>
        <w:t>juge K. Peter Richard, commissaire)). La colère généralisée et les pressions exercées sur le gouvernement à la suite de l’explosion de la mine ont donné lieu à l’examen des dispositions législatives sur la santé et la sécurité au travail tant au provincial qu’au fédéral</w:t>
      </w:r>
      <w:r w:rsidRPr="00E77282">
        <w:rPr>
          <w:rFonts w:cs="Times New Roman"/>
          <w:lang w:val="fr-CA"/>
        </w:rPr>
        <w:t>.</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Parmi les propositions s’étant dégagées de l’enquête de Westray, il y avait la recommandation voulant que des inspections régulières du lieu de travail soient effectuées par des comités mixtes de santé et de sécurité (Eric Tucker, « Diverging Trends in Worker Health and Safety Protection and Participation in Canada, 1985</w:t>
      </w:r>
      <w:r w:rsidRPr="00E77282">
        <w:rPr>
          <w:rFonts w:cs="Times New Roman"/>
          <w:lang w:val="fr-CA"/>
        </w:rPr>
        <w:noBreakHyphen/>
        <w:t xml:space="preserve">2000 » (2003), 58 </w:t>
      </w:r>
      <w:r w:rsidRPr="00E77282">
        <w:rPr>
          <w:rFonts w:cs="Times New Roman"/>
          <w:i/>
          <w:lang w:val="fr-CA"/>
        </w:rPr>
        <w:t>R.I.</w:t>
      </w:r>
      <w:r w:rsidRPr="00E77282">
        <w:rPr>
          <w:rFonts w:cs="Times New Roman"/>
          <w:lang w:val="fr-CA"/>
        </w:rPr>
        <w:t xml:space="preserve"> 395, p. 413). Ce</w:t>
      </w:r>
      <w:r w:rsidRPr="00E77282">
        <w:rPr>
          <w:rFonts w:eastAsia="Times New Roman" w:cs="Times New Roman"/>
          <w:lang w:val="fr-CA"/>
        </w:rPr>
        <w:t>s recommandations ont été adoptées en 2000 par des modifications apportées à la partie II du</w:t>
      </w:r>
      <w:r w:rsidRPr="00E77282">
        <w:rPr>
          <w:rFonts w:eastAsia="Times New Roman" w:cs="Times New Roman"/>
          <w:i/>
          <w:lang w:val="fr-CA"/>
        </w:rPr>
        <w:t xml:space="preserve"> Code du travail</w:t>
      </w:r>
      <w:r w:rsidRPr="00E77282">
        <w:rPr>
          <w:rFonts w:eastAsia="Times New Roman" w:cs="Times New Roman"/>
          <w:lang w:val="fr-CA"/>
        </w:rPr>
        <w:t>.</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eastAsia="Times New Roman" w:cs="Times New Roman"/>
          <w:lang w:val="fr-CA"/>
        </w:rPr>
        <w:lastRenderedPageBreak/>
        <w:t>L’obligation d’inspection a été introduite à l’al. 125(1)z.12). Comme l’a expliqué la secrétaire p</w:t>
      </w:r>
      <w:r w:rsidRPr="00E77282">
        <w:rPr>
          <w:rFonts w:eastAsia="Times New Roman" w:cs="Times New Roman"/>
          <w:lang w:val="fr-CA" w:eastAsia="en-CA"/>
        </w:rPr>
        <w:t xml:space="preserve">arlementaire de la ministre du Travail de l’époque, la partie II du </w:t>
      </w:r>
      <w:r w:rsidRPr="00E77282">
        <w:rPr>
          <w:rFonts w:eastAsia="Times New Roman" w:cs="Times New Roman"/>
          <w:i/>
          <w:lang w:val="fr-CA" w:eastAsia="en-CA"/>
        </w:rPr>
        <w:t xml:space="preserve">Code </w:t>
      </w:r>
      <w:r w:rsidRPr="00E77282">
        <w:rPr>
          <w:rFonts w:eastAsia="Times New Roman" w:cs="Times New Roman"/>
          <w:lang w:val="fr-CA" w:eastAsia="en-CA"/>
        </w:rPr>
        <w:t xml:space="preserve">visait à « protéger les travailleurs » en « modernis[ant] » la façon dont le </w:t>
      </w:r>
      <w:r w:rsidRPr="00E77282">
        <w:rPr>
          <w:rFonts w:eastAsia="Times New Roman" w:cs="Times New Roman"/>
          <w:i/>
          <w:lang w:val="fr-CA" w:eastAsia="en-CA"/>
        </w:rPr>
        <w:t>Code</w:t>
      </w:r>
      <w:r w:rsidRPr="00E77282">
        <w:rPr>
          <w:rFonts w:eastAsia="Times New Roman" w:cs="Times New Roman"/>
          <w:lang w:val="fr-CA" w:eastAsia="en-CA"/>
        </w:rPr>
        <w:t xml:space="preserve"> aborde la réglementation en matière de santé et de sécurité au travail et en faisant en sorte que les employés et employées connaissent mieux les risques dans leurs lieux de travail :</w:t>
      </w:r>
    </w:p>
    <w:p w:rsidR="00B7543C" w:rsidRPr="00E77282" w:rsidRDefault="00B7543C" w:rsidP="00B7543C">
      <w:pPr>
        <w:pStyle w:val="Citation-AltC"/>
        <w:tabs>
          <w:tab w:val="left" w:pos="1440"/>
        </w:tabs>
        <w:spacing w:after="240"/>
        <w:contextualSpacing w:val="0"/>
        <w:rPr>
          <w:lang w:val="fr-CA"/>
        </w:rPr>
      </w:pPr>
      <w:r w:rsidRPr="00E77282">
        <w:rPr>
          <w:lang w:val="fr-CA"/>
        </w:rPr>
        <w:tab/>
        <w:t>On a formulé des modifications tout d’abord pour s’assurer que la partie II continue de faire ce qu’elle est censée faire, c’est</w:t>
      </w:r>
      <w:r w:rsidRPr="00E77282">
        <w:rPr>
          <w:lang w:val="fr-CA"/>
        </w:rPr>
        <w:noBreakHyphen/>
        <w:t>à</w:t>
      </w:r>
      <w:r w:rsidRPr="00E77282">
        <w:rPr>
          <w:lang w:val="fr-CA"/>
        </w:rPr>
        <w:noBreakHyphen/>
        <w:t>dire protéger les travailleurs, ensuite pour aligner la partie II sur les règlements en matière de santé et de sécurité au travail sur d’autres territoires et enfin, pour moderniser la façon dont la partie II aborde la réglementation en matière de santé et de sécurité au travail.</w:t>
      </w:r>
    </w:p>
    <w:p w:rsidR="00B7543C" w:rsidRPr="00E77282" w:rsidRDefault="00B7543C" w:rsidP="00B7543C">
      <w:pPr>
        <w:pStyle w:val="Citation-AltC"/>
        <w:tabs>
          <w:tab w:val="left" w:pos="2160"/>
        </w:tabs>
        <w:spacing w:after="240"/>
        <w:ind w:left="4593" w:hanging="547"/>
        <w:contextualSpacing w:val="0"/>
        <w:rPr>
          <w:lang w:val="fr-CA"/>
        </w:rPr>
      </w:pPr>
      <w:r w:rsidRPr="00E77282">
        <w:rPr>
          <w:lang w:val="fr-CA"/>
        </w:rPr>
        <w:tab/>
        <w:t>. . .</w:t>
      </w:r>
    </w:p>
    <w:p w:rsidR="00B7543C" w:rsidRPr="00E77282" w:rsidRDefault="00B7543C" w:rsidP="00B7543C">
      <w:pPr>
        <w:pStyle w:val="Citation-AltC"/>
        <w:tabs>
          <w:tab w:val="left" w:pos="1440"/>
        </w:tabs>
        <w:spacing w:after="240"/>
        <w:contextualSpacing w:val="0"/>
        <w:rPr>
          <w:lang w:val="fr-CA"/>
        </w:rPr>
      </w:pPr>
      <w:r w:rsidRPr="00E77282">
        <w:rPr>
          <w:lang w:val="fr-CA"/>
        </w:rPr>
        <w:tab/>
        <w:t xml:space="preserve">La partie II du code [. . .] établit trois droits fondamentaux des employés en matière de santé et de sécurité, soit </w:t>
      </w:r>
      <w:r w:rsidRPr="00E77282">
        <w:rPr>
          <w:i/>
          <w:lang w:val="fr-CA"/>
        </w:rPr>
        <w:t>le droit de connaître les dangers en milieu de travail et les façons d’y faire face</w:t>
      </w:r>
      <w:r w:rsidRPr="00E77282">
        <w:rPr>
          <w:lang w:val="fr-CA"/>
        </w:rPr>
        <w:t>; le droit de participer aux corrections nécessaires pour supprimer ces dangers; le droit de refuser un travail que l’employé croit être dangereux pour sa s</w:t>
      </w:r>
      <w:r w:rsidR="009B2238">
        <w:rPr>
          <w:lang w:val="fr-CA"/>
        </w:rPr>
        <w:t>écurité ou sa santé. [Italique ajouté</w:t>
      </w:r>
      <w:r w:rsidRPr="00E77282">
        <w:rPr>
          <w:lang w:val="fr-CA"/>
        </w:rPr>
        <w:t>.]</w:t>
      </w:r>
    </w:p>
    <w:p w:rsidR="00B7543C" w:rsidRPr="00E77282" w:rsidRDefault="00B7543C" w:rsidP="00B7543C">
      <w:pPr>
        <w:pStyle w:val="Citation-AltC"/>
        <w:ind w:left="0"/>
        <w:contextualSpacing w:val="0"/>
        <w:rPr>
          <w:lang w:val="fr-CA"/>
        </w:rPr>
      </w:pPr>
      <w:r w:rsidRPr="00E77282">
        <w:rPr>
          <w:lang w:val="fr-CA"/>
        </w:rPr>
        <w:t>(</w:t>
      </w:r>
      <w:r w:rsidRPr="00E77282">
        <w:rPr>
          <w:i/>
          <w:lang w:val="fr-CA"/>
        </w:rPr>
        <w:t>Débats de la Chambre des communes</w:t>
      </w:r>
      <w:r w:rsidRPr="00E77282">
        <w:rPr>
          <w:lang w:val="fr-CA"/>
        </w:rPr>
        <w:t>, vol. 136, n</w:t>
      </w:r>
      <w:r w:rsidRPr="00E77282">
        <w:rPr>
          <w:vertAlign w:val="superscript"/>
          <w:lang w:val="fr-CA"/>
        </w:rPr>
        <w:t>o</w:t>
      </w:r>
      <w:r w:rsidRPr="00E77282">
        <w:rPr>
          <w:lang w:val="fr-CA"/>
        </w:rPr>
        <w:t> 71, 2</w:t>
      </w:r>
      <w:r w:rsidRPr="00E77282">
        <w:rPr>
          <w:vertAlign w:val="superscript"/>
          <w:lang w:val="fr-CA"/>
        </w:rPr>
        <w:t>e</w:t>
      </w:r>
      <w:r w:rsidRPr="00E77282">
        <w:rPr>
          <w:lang w:val="fr-CA"/>
        </w:rPr>
        <w:t> sess., 36</w:t>
      </w:r>
      <w:r w:rsidRPr="00E77282">
        <w:rPr>
          <w:vertAlign w:val="superscript"/>
          <w:lang w:val="fr-CA"/>
        </w:rPr>
        <w:t>e</w:t>
      </w:r>
      <w:r w:rsidRPr="00E77282">
        <w:rPr>
          <w:lang w:val="fr-CA"/>
        </w:rPr>
        <w:t> lég., 24 mars 2000, p. 5207 (M</w:t>
      </w:r>
      <w:r w:rsidRPr="00E77282">
        <w:rPr>
          <w:vertAlign w:val="superscript"/>
          <w:lang w:val="fr-CA"/>
        </w:rPr>
        <w:t>me</w:t>
      </w:r>
      <w:r w:rsidRPr="00E77282">
        <w:rPr>
          <w:lang w:val="fr-CA"/>
        </w:rPr>
        <w:t> Judi Longfield))</w:t>
      </w:r>
    </w:p>
    <w:p w:rsidR="00B7543C" w:rsidRPr="00E77282" w:rsidRDefault="00B7543C" w:rsidP="00B7543C">
      <w:pPr>
        <w:pStyle w:val="ParaNoNdepar-AltN"/>
        <w:spacing w:before="0"/>
        <w:rPr>
          <w:rFonts w:cs="Times New Roman"/>
          <w:lang w:val="fr-CA"/>
        </w:rPr>
      </w:pPr>
      <w:r w:rsidRPr="00E77282">
        <w:rPr>
          <w:rFonts w:cs="Times New Roman"/>
          <w:lang w:val="fr-CA"/>
        </w:rPr>
        <w:t>Le gouvernement a également insisté sur la nécessité d’assurer une plus grande participation des travailleurs et travailleuses au recensement des risques en milieu de travail :</w:t>
      </w:r>
    </w:p>
    <w:p w:rsidR="00B7543C" w:rsidRPr="00E77282" w:rsidRDefault="00B7543C" w:rsidP="00B7543C">
      <w:pPr>
        <w:pStyle w:val="Citation-AltC"/>
        <w:spacing w:after="240"/>
        <w:contextualSpacing w:val="0"/>
        <w:rPr>
          <w:lang w:val="fr-CA"/>
        </w:rPr>
      </w:pPr>
      <w:r w:rsidRPr="00E77282">
        <w:rPr>
          <w:lang w:val="fr-CA"/>
        </w:rPr>
        <w:tab/>
        <w:t>Les parties ont globalement reconnu que le code existant avait donné de bons résultats et qu’il pourrait servir de base à l’élaboration du nouveau système amélioré. Elles ont reconnu par ailleurs que le temps était venu d’adopter une nouvelle approche à l’égard de la réglementation de la santé et de la sécurité au travail. Cet accord se reflète dans le projet de loi C</w:t>
      </w:r>
      <w:r w:rsidRPr="00E77282">
        <w:rPr>
          <w:lang w:val="fr-CA"/>
        </w:rPr>
        <w:noBreakHyphen/>
        <w:t>12, qui est fondé sur l’idée que le rôle du gouvernement du Canada devrait être d’</w:t>
      </w:r>
      <w:r w:rsidRPr="00E77282">
        <w:rPr>
          <w:i/>
          <w:lang w:val="fr-CA"/>
        </w:rPr>
        <w:t xml:space="preserve">habiliter </w:t>
      </w:r>
      <w:r w:rsidRPr="00E77282">
        <w:rPr>
          <w:lang w:val="fr-CA"/>
        </w:rPr>
        <w:t>les employeurs et les travailleurs</w:t>
      </w:r>
      <w:r w:rsidRPr="00E77282">
        <w:rPr>
          <w:i/>
          <w:lang w:val="fr-CA"/>
        </w:rPr>
        <w:t xml:space="preserve"> </w:t>
      </w:r>
      <w:r w:rsidRPr="00E77282">
        <w:rPr>
          <w:lang w:val="fr-CA"/>
        </w:rPr>
        <w:t xml:space="preserve">à </w:t>
      </w:r>
      <w:r w:rsidRPr="00E77282">
        <w:rPr>
          <w:i/>
          <w:lang w:val="fr-CA"/>
        </w:rPr>
        <w:t>assumer la responsabilité de la réglementation de leurs lieux de travail</w:t>
      </w:r>
      <w:r w:rsidRPr="00E77282">
        <w:rPr>
          <w:lang w:val="fr-CA"/>
        </w:rPr>
        <w:t>.</w:t>
      </w:r>
    </w:p>
    <w:p w:rsidR="00B7543C" w:rsidRPr="00E77282" w:rsidRDefault="00B7543C" w:rsidP="00B7543C">
      <w:pPr>
        <w:pStyle w:val="Citation-AltC"/>
        <w:spacing w:after="240"/>
        <w:contextualSpacing w:val="0"/>
        <w:rPr>
          <w:lang w:val="fr-CA"/>
        </w:rPr>
      </w:pPr>
      <w:r w:rsidRPr="00E77282">
        <w:rPr>
          <w:lang w:val="fr-CA"/>
        </w:rPr>
        <w:lastRenderedPageBreak/>
        <w:tab/>
        <w:t xml:space="preserve">. . . Les employeurs et les travailleurs devraient avoir le </w:t>
      </w:r>
      <w:r w:rsidRPr="00E77282">
        <w:rPr>
          <w:i/>
          <w:lang w:val="fr-CA"/>
        </w:rPr>
        <w:t>pouvoir de cerner les nouveaux risques liés à la santé et à la sécurité, et d’y remédier</w:t>
      </w:r>
      <w:r w:rsidR="009B2238">
        <w:rPr>
          <w:lang w:val="fr-CA"/>
        </w:rPr>
        <w:t>. [Italique</w:t>
      </w:r>
      <w:r w:rsidRPr="00E77282">
        <w:rPr>
          <w:lang w:val="fr-CA"/>
        </w:rPr>
        <w:t xml:space="preserve"> ajouté.]</w:t>
      </w:r>
    </w:p>
    <w:p w:rsidR="00B7543C" w:rsidRPr="00E77282" w:rsidRDefault="00B7543C" w:rsidP="00B7543C">
      <w:pPr>
        <w:pStyle w:val="Citation-AltC"/>
        <w:ind w:left="0"/>
        <w:contextualSpacing w:val="0"/>
        <w:rPr>
          <w:lang w:val="fr-CA"/>
        </w:rPr>
      </w:pPr>
      <w:r w:rsidRPr="00E77282">
        <w:rPr>
          <w:lang w:val="fr-CA"/>
        </w:rPr>
        <w:t>(</w:t>
      </w:r>
      <w:r w:rsidRPr="00E77282">
        <w:rPr>
          <w:i/>
          <w:lang w:val="fr-CA"/>
        </w:rPr>
        <w:t>Débats</w:t>
      </w:r>
      <w:r w:rsidRPr="00E77282">
        <w:rPr>
          <w:lang w:val="fr-CA"/>
        </w:rPr>
        <w:t>, p. 5207</w:t>
      </w:r>
      <w:r w:rsidRPr="00E77282">
        <w:rPr>
          <w:lang w:val="fr-CA"/>
        </w:rPr>
        <w:noBreakHyphen/>
        <w:t>5208)</w:t>
      </w:r>
    </w:p>
    <w:p w:rsidR="00B7543C" w:rsidRPr="00E77282" w:rsidRDefault="00B7543C" w:rsidP="00B7543C">
      <w:pPr>
        <w:pStyle w:val="ParaNoNdepar-AltN"/>
        <w:tabs>
          <w:tab w:val="clear" w:pos="1166"/>
          <w:tab w:val="num" w:pos="1152"/>
        </w:tabs>
        <w:spacing w:before="0"/>
        <w:rPr>
          <w:rFonts w:eastAsia="Times New Roman" w:cs="Times New Roman"/>
          <w:lang w:val="fr-CA" w:eastAsia="en-CA"/>
        </w:rPr>
      </w:pPr>
      <w:r w:rsidRPr="00E77282">
        <w:rPr>
          <w:rFonts w:eastAsia="Times New Roman" w:cs="Times New Roman"/>
          <w:lang w:val="fr-CA" w:eastAsia="en-CA"/>
        </w:rPr>
        <w:t>Les inspections de sécurité ont été décrites comme constituant le premier de cinq éléments « importants et nécessaires » de la nouvelle loi, faisant en sorte que les questions de santé et de sécurité au travail puissent être réglées à titre préventif. Comme l’a expliqué la secrétaire parlementaire :</w:t>
      </w:r>
    </w:p>
    <w:p w:rsidR="00B7543C" w:rsidRPr="00E77282" w:rsidRDefault="00B7543C" w:rsidP="00B7543C">
      <w:pPr>
        <w:widowControl w:val="0"/>
        <w:tabs>
          <w:tab w:val="left" w:pos="1440"/>
        </w:tabs>
        <w:autoSpaceDE w:val="0"/>
        <w:autoSpaceDN w:val="0"/>
        <w:spacing w:after="240"/>
        <w:ind w:left="936" w:right="446" w:firstLine="230"/>
        <w:jc w:val="both"/>
        <w:rPr>
          <w:lang w:val="fr-CA" w:bidi="en-CA"/>
        </w:rPr>
      </w:pPr>
      <w:r w:rsidRPr="00E77282">
        <w:rPr>
          <w:lang w:val="fr-CA" w:bidi="en-CA"/>
        </w:rPr>
        <w:tab/>
        <w:t xml:space="preserve">Cinq éléments du projet de loi semblent particulièrement importants et nécessaires. Premièrement, grâce à ce projet de loi, les comités locaux de santé et de sécurité seront chargés de mener régulièrement des inspections sur les lieux de travail et leurs pouvoirs seront accrus en ce qui concerne les plaintes. Cette mesure </w:t>
      </w:r>
      <w:r w:rsidRPr="00E77282">
        <w:rPr>
          <w:i/>
          <w:lang w:val="fr-CA" w:bidi="en-CA"/>
        </w:rPr>
        <w:t>permettra aux parties de cerner et de régler les problèmes</w:t>
      </w:r>
      <w:r w:rsidRPr="00E77282">
        <w:rPr>
          <w:lang w:val="fr-CA" w:bidi="en-CA"/>
        </w:rPr>
        <w:t xml:space="preserve"> à mesure qu’ils surgiront. Tout cela se déroulera conformément aux directives gouvernementales et </w:t>
      </w:r>
      <w:r w:rsidRPr="00E77282">
        <w:rPr>
          <w:i/>
          <w:lang w:val="fr-CA" w:bidi="en-CA"/>
        </w:rPr>
        <w:t>rehaussera le rôle des comités de la santé et de la sécurité</w:t>
      </w:r>
      <w:r w:rsidR="009B2238">
        <w:rPr>
          <w:lang w:val="fr-CA" w:bidi="en-CA"/>
        </w:rPr>
        <w:t>. [Italique ajouté</w:t>
      </w:r>
      <w:r w:rsidRPr="00E77282">
        <w:rPr>
          <w:lang w:val="fr-CA" w:bidi="en-CA"/>
        </w:rPr>
        <w:t>.]</w:t>
      </w:r>
    </w:p>
    <w:p w:rsidR="00B7543C" w:rsidRPr="00E77282" w:rsidRDefault="00B7543C" w:rsidP="00B7543C">
      <w:pPr>
        <w:widowControl w:val="0"/>
        <w:tabs>
          <w:tab w:val="left" w:pos="1170"/>
        </w:tabs>
        <w:autoSpaceDE w:val="0"/>
        <w:autoSpaceDN w:val="0"/>
        <w:spacing w:after="720"/>
        <w:ind w:right="446"/>
        <w:jc w:val="both"/>
        <w:rPr>
          <w:lang w:val="fr-CA" w:bidi="en-CA"/>
        </w:rPr>
      </w:pPr>
      <w:r w:rsidRPr="00E77282">
        <w:rPr>
          <w:lang w:val="fr-CA" w:bidi="en-CA"/>
        </w:rPr>
        <w:t>(</w:t>
      </w:r>
      <w:r w:rsidRPr="00E77282">
        <w:rPr>
          <w:i/>
          <w:lang w:val="fr-CA" w:bidi="en-CA"/>
        </w:rPr>
        <w:t>Débats</w:t>
      </w:r>
      <w:r w:rsidRPr="00E77282">
        <w:rPr>
          <w:lang w:val="fr-CA" w:bidi="en-CA"/>
        </w:rPr>
        <w:t xml:space="preserve">, </w:t>
      </w:r>
      <w:r w:rsidRPr="00E77282">
        <w:rPr>
          <w:lang w:val="fr-CA"/>
        </w:rPr>
        <w:t>p. 5208)</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 xml:space="preserve">Les inspections de sécurité constituaient donc une méthode d’importance centrale par laquelle le législateur entendait étendre les protections en matière de santé et de sécurité de nature préventive offertes aux travailleurs et travailleuses. L’intention du législateur était de permettre la détection du danger afin de prévenir les accidents avant qu’ils ne se produisent. Il n’est guère logique que le législateur, ayant expressément choisi au par. 125(1) d’étendre les protections en matière de sécurité aux tâches accomplies dans les lieux de travail </w:t>
      </w:r>
      <w:r w:rsidRPr="00E77282">
        <w:rPr>
          <w:rFonts w:cs="Times New Roman"/>
          <w:i/>
          <w:lang w:val="fr-CA"/>
        </w:rPr>
        <w:t xml:space="preserve">ne relevant pas </w:t>
      </w:r>
      <w:r w:rsidRPr="00E77282">
        <w:rPr>
          <w:rFonts w:cs="Times New Roman"/>
          <w:lang w:val="fr-CA"/>
        </w:rPr>
        <w:t>de l’autorité de l’employeur, ait voulu qu’une composante essentielle de ces protections — l’obligation relative à l’inspection de sécurité — soit soustraite à cette extension.</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lastRenderedPageBreak/>
        <w:t>L’objectif de prévention de l’obligation d’inspection renforce davantage la thèse selon laquelle cette obligation n’était pas censée s’appliquer seulement aux lieux de travail sur lesquels l’employeur a autorité d’un point de vue physique. Comme l’a reconnu l’agent d’appel, l’obligation d’inspection permet aux comités locaux de sécurité de « recense[r] [et d’éliminer] [les] risque[s] [. . .] ou de faire le nécessaire pour qu’il[s] soi[ent] éliminé[s] ». Ces objectifs ne sont pas moins cruciaux pour les employés et employées qui travaillent dans des lieux sur lesquels l’employeur n’a pas autorité d’un point de vue physique, comme ceux qui travaillent dehors ou qui voyagent régulièrement dans le cadre de leur emploi. Je conviens avec le Syndicat des travailleurs et travailleuses des postes qu’en limitant les inspections aux lieux où l’employeur exerce des droits de propriété, la décision de l’agent d’appel risque de faire en sorte que les comités locaux de santé et de sécurité soient incapables de recenser et de contrer de façon proactive les risques susceptibles de survenir aux endroits où les facteurs et factrices travaillent. Cela empêche ceux dont l’emploi ne se confine pas à un lieu physique particulier de bénéficier des protections en matière sécurité de nature préventive qui étaient censées s’appliquer à tous les employés et employées.</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Enfin, le fait de limiter l’obligation d’inspection est incompatible avec les définitions larges de l’expression « lieu de travail » figurant dans les propres motifs de l’agent d’appel et dans de nombreuses lois provinciales sur la santé et la sécurité. La loi de l’Ontario, par exemple, définit le « lieu de travail » comme un « [b]ien</w:t>
      </w:r>
      <w:r w:rsidRPr="00E77282">
        <w:rPr>
          <w:rFonts w:cs="Times New Roman"/>
          <w:lang w:val="fr-CA"/>
        </w:rPr>
        <w:noBreakHyphen/>
        <w:t xml:space="preserve">fonds, local ou endroit où le travailleur est employé ou près duquel il </w:t>
      </w:r>
      <w:r w:rsidRPr="00E77282">
        <w:rPr>
          <w:rFonts w:cs="Times New Roman"/>
          <w:i/>
          <w:lang w:val="fr-CA"/>
        </w:rPr>
        <w:t>travaille</w:t>
      </w:r>
      <w:r w:rsidRPr="00E77282">
        <w:rPr>
          <w:rFonts w:cs="Times New Roman"/>
          <w:lang w:val="fr-CA"/>
        </w:rPr>
        <w:t xml:space="preserve"> ou objet sur lequel ou près duquel il </w:t>
      </w:r>
      <w:r w:rsidRPr="00E77282">
        <w:rPr>
          <w:rFonts w:cs="Times New Roman"/>
          <w:i/>
          <w:lang w:val="fr-CA"/>
        </w:rPr>
        <w:t>travaille</w:t>
      </w:r>
      <w:r w:rsidRPr="00E77282">
        <w:rPr>
          <w:rFonts w:cs="Times New Roman"/>
          <w:lang w:val="fr-CA"/>
        </w:rPr>
        <w:t> » (</w:t>
      </w:r>
      <w:r w:rsidRPr="00E77282">
        <w:rPr>
          <w:rFonts w:cs="Times New Roman"/>
          <w:i/>
          <w:lang w:val="fr-CA"/>
        </w:rPr>
        <w:t>Loi sur la santé et la sécurité au travail</w:t>
      </w:r>
      <w:r w:rsidRPr="00E77282">
        <w:rPr>
          <w:rFonts w:cs="Times New Roman"/>
          <w:lang w:val="fr-CA"/>
        </w:rPr>
        <w:t>, L.R.O. 1990, c. O.1, par. 1(1)). L’</w:t>
      </w:r>
      <w:r w:rsidRPr="00E77282">
        <w:rPr>
          <w:rFonts w:cs="Times New Roman"/>
          <w:i/>
          <w:lang w:val="fr-CA"/>
        </w:rPr>
        <w:t>Occupational Health and Safety Act</w:t>
      </w:r>
      <w:r w:rsidRPr="00E77282">
        <w:rPr>
          <w:rFonts w:cs="Times New Roman"/>
          <w:lang w:val="fr-CA"/>
        </w:rPr>
        <w:t xml:space="preserve"> de l’Alberta définit l’expression « </w:t>
      </w:r>
      <w:r w:rsidRPr="00E77282">
        <w:rPr>
          <w:rFonts w:cs="Times New Roman"/>
          <w:i/>
          <w:lang w:val="fr-CA"/>
        </w:rPr>
        <w:t>work site</w:t>
      </w:r>
      <w:r w:rsidRPr="00914AD3">
        <w:rPr>
          <w:rFonts w:cs="Times New Roman"/>
          <w:lang w:val="fr-CA"/>
        </w:rPr>
        <w:t> »</w:t>
      </w:r>
      <w:r w:rsidRPr="00E77282">
        <w:rPr>
          <w:rFonts w:cs="Times New Roman"/>
          <w:lang w:val="fr-CA"/>
        </w:rPr>
        <w:t xml:space="preserve"> (lieu de travail) comme un endroit où le travailleur ou </w:t>
      </w:r>
      <w:r w:rsidRPr="00E77282">
        <w:rPr>
          <w:rFonts w:cs="Times New Roman"/>
          <w:lang w:val="fr-CA"/>
        </w:rPr>
        <w:lastRenderedPageBreak/>
        <w:t>la travailleuse [</w:t>
      </w:r>
      <w:r w:rsidRPr="00E77282">
        <w:rPr>
          <w:rFonts w:cs="Times New Roman"/>
          <w:smallCaps/>
          <w:lang w:val="fr-CA"/>
        </w:rPr>
        <w:t>traduction</w:t>
      </w:r>
      <w:r w:rsidRPr="00E77282">
        <w:rPr>
          <w:rFonts w:cs="Times New Roman"/>
          <w:lang w:val="fr-CA"/>
        </w:rPr>
        <w:t>] « exerce, ou est susceptible d’exercer, un emploi » (S.A. 2017, c. O</w:t>
      </w:r>
      <w:r w:rsidRPr="00E77282">
        <w:rPr>
          <w:rFonts w:cs="Times New Roman"/>
          <w:lang w:val="fr-CA"/>
        </w:rPr>
        <w:noBreakHyphen/>
        <w:t>2.1, al. 1(bbb)). Les lois des provinces de Terre</w:t>
      </w:r>
      <w:r w:rsidRPr="00E77282">
        <w:rPr>
          <w:rFonts w:cs="Times New Roman"/>
          <w:lang w:val="fr-CA"/>
        </w:rPr>
        <w:noBreakHyphen/>
        <w:t>Neuve</w:t>
      </w:r>
      <w:r w:rsidRPr="00E77282">
        <w:rPr>
          <w:rFonts w:cs="Times New Roman"/>
          <w:lang w:val="fr-CA"/>
        </w:rPr>
        <w:noBreakHyphen/>
        <w:t>et</w:t>
      </w:r>
      <w:r w:rsidRPr="00E77282">
        <w:rPr>
          <w:rFonts w:cs="Times New Roman"/>
          <w:lang w:val="fr-CA"/>
        </w:rPr>
        <w:noBreakHyphen/>
        <w:t>Labrador, de l’Île</w:t>
      </w:r>
      <w:r w:rsidRPr="00E77282">
        <w:rPr>
          <w:rFonts w:cs="Times New Roman"/>
          <w:lang w:val="fr-CA"/>
        </w:rPr>
        <w:noBreakHyphen/>
        <w:t>du</w:t>
      </w:r>
      <w:r w:rsidRPr="00E77282">
        <w:rPr>
          <w:rFonts w:cs="Times New Roman"/>
          <w:lang w:val="fr-CA"/>
        </w:rPr>
        <w:noBreakHyphen/>
        <w:t>Prince</w:t>
      </w:r>
      <w:r w:rsidRPr="00E77282">
        <w:rPr>
          <w:rFonts w:cs="Times New Roman"/>
          <w:lang w:val="fr-CA"/>
        </w:rPr>
        <w:noBreakHyphen/>
        <w:t>Édouard et de la Saskatchewan ont toutes un libellé aussi large (</w:t>
      </w:r>
      <w:r w:rsidRPr="00E77282">
        <w:rPr>
          <w:rFonts w:cs="Times New Roman"/>
          <w:i/>
          <w:lang w:val="fr-CA"/>
        </w:rPr>
        <w:t>Occupational Health and Safety Act</w:t>
      </w:r>
      <w:r w:rsidRPr="00E77282">
        <w:rPr>
          <w:rFonts w:cs="Times New Roman"/>
          <w:lang w:val="fr-CA"/>
        </w:rPr>
        <w:t>, R.S.N.L. 1990, c. O</w:t>
      </w:r>
      <w:r w:rsidRPr="00E77282">
        <w:rPr>
          <w:rFonts w:cs="Times New Roman"/>
          <w:lang w:val="fr-CA"/>
        </w:rPr>
        <w:noBreakHyphen/>
        <w:t xml:space="preserve">3, al. 2(n); </w:t>
      </w:r>
      <w:r w:rsidRPr="00E77282">
        <w:rPr>
          <w:rFonts w:cs="Times New Roman"/>
          <w:i/>
          <w:lang w:val="fr-CA"/>
        </w:rPr>
        <w:t>Occupational Health and Safety Act</w:t>
      </w:r>
      <w:r w:rsidRPr="00E77282">
        <w:rPr>
          <w:rFonts w:cs="Times New Roman"/>
          <w:lang w:val="fr-CA"/>
        </w:rPr>
        <w:t>, R.S.P.E.I. 1988, c. O</w:t>
      </w:r>
      <w:r w:rsidRPr="00E77282">
        <w:rPr>
          <w:rFonts w:cs="Times New Roman"/>
          <w:lang w:val="fr-CA"/>
        </w:rPr>
        <w:noBreakHyphen/>
        <w:t xml:space="preserve">1.01, al. 1(y); </w:t>
      </w:r>
      <w:r w:rsidRPr="00E77282">
        <w:rPr>
          <w:rFonts w:cs="Times New Roman"/>
          <w:i/>
          <w:lang w:val="fr-CA"/>
        </w:rPr>
        <w:t>The Saskatchewan Employment Act</w:t>
      </w:r>
      <w:r w:rsidRPr="00E77282">
        <w:rPr>
          <w:rFonts w:cs="Times New Roman"/>
          <w:lang w:val="fr-CA"/>
        </w:rPr>
        <w:t>, S.S. 2013, c. S</w:t>
      </w:r>
      <w:r w:rsidRPr="00E77282">
        <w:rPr>
          <w:rFonts w:cs="Times New Roman"/>
          <w:lang w:val="fr-CA"/>
        </w:rPr>
        <w:noBreakHyphen/>
        <w:t>15.1, al. 3</w:t>
      </w:r>
      <w:r w:rsidRPr="00E77282">
        <w:rPr>
          <w:rFonts w:cs="Times New Roman"/>
          <w:lang w:val="fr-CA"/>
        </w:rPr>
        <w:noBreakHyphen/>
        <w:t>1(1)(hh)). Ces lois ont en commun une définition fonctionnelle et téléologique du « lieu de travail » qui est axée sur l’endroit où le travailleur ou la travailleuse exerce son emploi, et non sur la question de savoir si l’employeur a autorité sur les installations physiques.</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Cela nous ramène à l’al. 125(1)z.12), qui impose à l’employeur l’obligation</w:t>
      </w:r>
    </w:p>
    <w:p w:rsidR="00B7543C" w:rsidRPr="00E77282" w:rsidRDefault="00B7543C" w:rsidP="00B7543C">
      <w:pPr>
        <w:pStyle w:val="Citation-AltC"/>
        <w:ind w:hanging="446"/>
        <w:contextualSpacing w:val="0"/>
        <w:rPr>
          <w:lang w:val="fr-CA"/>
        </w:rPr>
      </w:pPr>
      <w:r w:rsidRPr="00E77282">
        <w:rPr>
          <w:lang w:val="fr-CA"/>
        </w:rPr>
        <w:tab/>
        <w:t>de veiller à ce que le comité local ou le représentant inspecte chaque mois tout ou partie du lieu de travail, de façon que celui</w:t>
      </w:r>
      <w:r w:rsidRPr="00E77282">
        <w:rPr>
          <w:lang w:val="fr-CA"/>
        </w:rPr>
        <w:noBreakHyphen/>
        <w:t>ci soit inspecté au complet au moins une fois par année[.]</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 xml:space="preserve">Ce libellé ne devrait pas être interprété isolément de manière à réduire l’obligation de l’employeur de protéger les travailleurs et travailleuses contre les risques pour la sécurité; il devrait être interprété comme faisant partie du par. 125(1), qui impose expressément cette obligation relativement à toute tâche accomplie « dans la mesure où cette </w:t>
      </w:r>
      <w:r w:rsidRPr="00E77282">
        <w:rPr>
          <w:rFonts w:cs="Times New Roman"/>
          <w:i/>
          <w:lang w:val="fr-CA"/>
        </w:rPr>
        <w:t xml:space="preserve">tâche </w:t>
      </w:r>
      <w:r w:rsidRPr="00E77282">
        <w:rPr>
          <w:rFonts w:cs="Times New Roman"/>
          <w:lang w:val="fr-CA"/>
        </w:rPr>
        <w:t>[relève de l’autorité de l’employeur] ». Cela signifie que les inspections de sécurité devraient être effectuées de manière à protéger la sécurité des employés et employées autant que possible dans les circonstances, et non de manière à priver de protection des catégories entières d’employés et employées — ceux qui travaillent à l’extérieur d’un bâtiment physique.</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lastRenderedPageBreak/>
        <w:t>Le nœud de l’argument invoqué par Postes Canada à l’encontre de cette interprétation réparatrice et téléologique est qu’elle serait [</w:t>
      </w:r>
      <w:r w:rsidRPr="00E77282">
        <w:rPr>
          <w:rFonts w:cs="Times New Roman"/>
          <w:smallCaps/>
          <w:lang w:val="fr-CA"/>
        </w:rPr>
        <w:t>traduction</w:t>
      </w:r>
      <w:r w:rsidRPr="00E77282">
        <w:rPr>
          <w:rFonts w:cs="Times New Roman"/>
          <w:lang w:val="fr-CA"/>
        </w:rPr>
        <w:t xml:space="preserve">] « difficile » à mettre en œuvre. Comme l’a fait observer le juge Nadon de la Cour d’appel, cela « ne justifie pas [. . .] que l’agent d’appel s’écarte de l’intention manifeste qu’exprime ce paragraphe ». Un aspect central de l’argument de Postes Canada — et de la décision de l’agent d’appel — est la prémisse erronée selon laquelle l’employeur ne peut contrer les risques recensés lors d’une inspection que s’il exerce une autorité sur l’endroit faisant l’objet de l’inspection. Toutefois, il ne fait aucun doute que par la grande autorité qu’elle exerce traditionnellement sur les tâches accomplies par ses facteurs et factrices, Postes Canada peut protéger ses employés et employées contre les risques courus sur les itinéraires postaux sans avoir autorité physique sur les </w:t>
      </w:r>
      <w:r w:rsidRPr="00E77282">
        <w:rPr>
          <w:rFonts w:cs="Times New Roman"/>
          <w:i/>
          <w:lang w:val="fr-CA"/>
        </w:rPr>
        <w:t xml:space="preserve">itinéraires </w:t>
      </w:r>
      <w:r w:rsidRPr="00E77282">
        <w:rPr>
          <w:rFonts w:cs="Times New Roman"/>
          <w:lang w:val="fr-CA"/>
        </w:rPr>
        <w:t>eux</w:t>
      </w:r>
      <w:r w:rsidRPr="00E77282">
        <w:rPr>
          <w:rFonts w:cs="Times New Roman"/>
          <w:lang w:val="fr-CA"/>
        </w:rPr>
        <w:noBreakHyphen/>
        <w:t>mêmes. L’autorité qu’exerce Postes Canada sur les tâches accomplies par ses employés et employées lui permet de contrer les risques sur les itinéraires postaux de plusieurs façons, par exemple en donnant instruction à ceux</w:t>
      </w:r>
      <w:r w:rsidRPr="00E77282">
        <w:rPr>
          <w:rFonts w:cs="Times New Roman"/>
          <w:lang w:val="fr-CA"/>
        </w:rPr>
        <w:noBreakHyphen/>
        <w:t>ci et celles</w:t>
      </w:r>
      <w:r w:rsidRPr="00E77282">
        <w:rPr>
          <w:rFonts w:cs="Times New Roman"/>
          <w:lang w:val="fr-CA"/>
        </w:rPr>
        <w:noBreakHyphen/>
        <w:t>ci d’éviter certaines parties de leurs itinéraires jusqu’à ce que les risques soient écartés par la partie ayant la capacité de le faire. Postes Canada peut également fournir à ses facteurs et factrices de l’équipement ou des indications visant à réduire les risques éventuels révélés par une inspection de sécurité (voir</w:t>
      </w:r>
      <w:r w:rsidR="00EA665F">
        <w:rPr>
          <w:rFonts w:cs="Times New Roman"/>
          <w:lang w:val="fr-CA"/>
        </w:rPr>
        <w:t xml:space="preserve">, par exemple, </w:t>
      </w:r>
      <w:r w:rsidRPr="00E77282">
        <w:rPr>
          <w:rFonts w:cs="Times New Roman"/>
          <w:lang w:val="fr-CA"/>
        </w:rPr>
        <w:t xml:space="preserve">le </w:t>
      </w:r>
      <w:r w:rsidRPr="00E77282">
        <w:rPr>
          <w:rFonts w:cs="Times New Roman"/>
          <w:i/>
          <w:lang w:val="fr-CA"/>
        </w:rPr>
        <w:t>Règlement canadien sur la santé et la sécurité au travail</w:t>
      </w:r>
      <w:r w:rsidRPr="00E77282">
        <w:rPr>
          <w:rFonts w:cs="Times New Roman"/>
          <w:lang w:val="fr-CA"/>
        </w:rPr>
        <w:t>, DORS/86</w:t>
      </w:r>
      <w:r w:rsidRPr="00E77282">
        <w:rPr>
          <w:rFonts w:cs="Times New Roman"/>
          <w:lang w:val="fr-CA"/>
        </w:rPr>
        <w:noBreakHyphen/>
        <w:t>304, art. 12.1). Il s’agit précisément du type de mesures de protection que le par. 125(1) envisage lorsqu’il précise « dans la mesure où [l]a tâche [accomplie] [. . .] relève [de l’autorité de l’employeur] ». Le fait que Postes Canada peut prendre de telles mesures est étayé par la preuve abondante soumise à l’agent d’appel et indiquant qu’elle a, en fait, déjà mis en place des mécanismes visant à contrer les risques sur les itinéraires postaux, bien qu’elle n’ait pas autorité d’un point de vue physique sur ceux</w:t>
      </w:r>
      <w:r w:rsidRPr="00E77282">
        <w:rPr>
          <w:rFonts w:cs="Times New Roman"/>
          <w:lang w:val="fr-CA"/>
        </w:rPr>
        <w:noBreakHyphen/>
        <w:t>ci.</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lastRenderedPageBreak/>
        <w:t xml:space="preserve">De plus, l’interprétation qu’a donnée l’agent d’appel à l’al. 125(1)z.12) reposait sur des préoccupations de faisabilité concernant </w:t>
      </w:r>
      <w:r w:rsidRPr="00E77282">
        <w:rPr>
          <w:rFonts w:cs="Times New Roman"/>
          <w:i/>
          <w:lang w:val="fr-CA"/>
        </w:rPr>
        <w:t xml:space="preserve">un seul </w:t>
      </w:r>
      <w:r w:rsidRPr="00E77282">
        <w:rPr>
          <w:rFonts w:cs="Times New Roman"/>
          <w:lang w:val="fr-CA"/>
        </w:rPr>
        <w:t xml:space="preserve">employeur : Postes Canada. L’alinéa 125(1)z.12) s’applique toutefois à </w:t>
      </w:r>
      <w:r w:rsidRPr="00E77282">
        <w:rPr>
          <w:rFonts w:cs="Times New Roman"/>
          <w:i/>
          <w:lang w:val="fr-CA"/>
        </w:rPr>
        <w:t xml:space="preserve">tous </w:t>
      </w:r>
      <w:r w:rsidRPr="00E77282">
        <w:rPr>
          <w:rFonts w:cs="Times New Roman"/>
          <w:lang w:val="fr-CA"/>
        </w:rPr>
        <w:t xml:space="preserve">les employeurs assujettis au </w:t>
      </w:r>
      <w:r w:rsidRPr="00E77282">
        <w:rPr>
          <w:rFonts w:cs="Times New Roman"/>
          <w:i/>
          <w:lang w:val="fr-CA"/>
        </w:rPr>
        <w:t>Code du travail</w:t>
      </w:r>
      <w:r w:rsidRPr="00E77282">
        <w:rPr>
          <w:rFonts w:cs="Times New Roman"/>
          <w:lang w:val="fr-CA"/>
        </w:rPr>
        <w:t>. Je ne puis accepter que le législateur ait voulu qu’une disposition s’appliquant à tous les employeurs régis par les lois fédérales soit interprétée en fonction de la question de savoir si cette disposition est facile ou difficile à mettre en œuvre pour un employeur en particulier.</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Quoi qu’il en soit, les obligations de Postes Canada en vertu de l’al. 125(1)z.12) ne sont expressément pas des obligations catégoriques — comme l’a fait observer le juge Rennie de la Cour d’appel, il faut s’acquitter de ces obligations « </w:t>
      </w:r>
      <w:r w:rsidRPr="00E77282">
        <w:rPr>
          <w:rFonts w:cs="Times New Roman"/>
          <w:i/>
          <w:lang w:val="fr-CA"/>
        </w:rPr>
        <w:t>dans la mesure où</w:t>
      </w:r>
      <w:r w:rsidRPr="00E77282">
        <w:rPr>
          <w:rFonts w:cs="Times New Roman"/>
          <w:lang w:val="fr-CA"/>
        </w:rPr>
        <w:t xml:space="preserve"> [l]a tâche [accomplie] [. . .] relève [de l’autorité de l’employeur] ». Ce libellé exclut toute conception du tout ou rien des obligations en matière de sécurité, en faveur d’une approche fondée sur le contexte permettant de répondre aux besoins du groupe hétérogène d’employeurs régis par les lois fédérales auxquels s’applique le par. 125(1). Les inspections étaient clairement censées être effectuées de manière à protéger le mieux possible la santé et la sécurité des employés et employées dans les circonstances. Le fait que les inspections puissent être difficiles à effectuer ne justifie pas l’élimination complète de l’obligation.</w:t>
      </w:r>
    </w:p>
    <w:p w:rsidR="00B7543C" w:rsidRPr="00E77282" w:rsidRDefault="00B7543C" w:rsidP="00B7543C">
      <w:pPr>
        <w:pStyle w:val="ParaNoNdepar-AltN"/>
        <w:tabs>
          <w:tab w:val="clear" w:pos="1166"/>
          <w:tab w:val="num" w:pos="1152"/>
        </w:tabs>
        <w:spacing w:before="0"/>
        <w:rPr>
          <w:rFonts w:cs="Times New Roman"/>
          <w:szCs w:val="24"/>
          <w:lang w:val="fr-CA"/>
        </w:rPr>
      </w:pPr>
      <w:r w:rsidRPr="00E77282">
        <w:rPr>
          <w:rFonts w:cs="Times New Roman"/>
          <w:szCs w:val="24"/>
          <w:lang w:val="fr-CA"/>
        </w:rPr>
        <w:t xml:space="preserve">La délégation par le législateur de responsabilités en matière d’inspection aux comités mixtes de santé et de sécurité met en évidence la souplesse envisagée par le par. 125(1). Le paragraphe 135(1) du </w:t>
      </w:r>
      <w:r w:rsidRPr="00E77282">
        <w:rPr>
          <w:rFonts w:cs="Times New Roman"/>
          <w:i/>
          <w:szCs w:val="24"/>
          <w:lang w:val="fr-CA"/>
        </w:rPr>
        <w:t>Code du travail</w:t>
      </w:r>
      <w:r w:rsidRPr="00E77282">
        <w:rPr>
          <w:rFonts w:cs="Times New Roman"/>
          <w:szCs w:val="24"/>
          <w:lang w:val="fr-CA"/>
        </w:rPr>
        <w:t xml:space="preserve"> exige qu’un comité local de santé et de sécurité soit constitué pour chaque lieu de travail comptant au moins vingt employés et employées. Les responsabilités de ce comité comprennent la</w:t>
      </w:r>
      <w:r w:rsidRPr="00E77282">
        <w:rPr>
          <w:rFonts w:eastAsia="Times New Roman" w:cs="Times New Roman"/>
          <w:szCs w:val="24"/>
          <w:lang w:val="fr-CA" w:eastAsia="en-CA"/>
        </w:rPr>
        <w:t xml:space="preserve"> participation </w:t>
      </w:r>
      <w:r w:rsidRPr="00E77282">
        <w:rPr>
          <w:rFonts w:cs="Times New Roman"/>
          <w:szCs w:val="24"/>
          <w:lang w:val="fr-CA"/>
        </w:rPr>
        <w:lastRenderedPageBreak/>
        <w:t>à toutes les enquêtes, études et inspections en matière de santé et de sécurité des employés et employées (al. 135(7)e)) ainsi que l’inspection chaque mois de tout ou partie du lieu de travail (al. 135(7)k)).</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Le rôle des</w:t>
      </w:r>
      <w:r w:rsidRPr="00E77282">
        <w:rPr>
          <w:rFonts w:eastAsia="Times New Roman" w:cs="Times New Roman"/>
          <w:szCs w:val="24"/>
          <w:lang w:val="fr-CA" w:eastAsia="en-CA"/>
        </w:rPr>
        <w:t xml:space="preserve"> </w:t>
      </w:r>
      <w:r w:rsidRPr="00E77282">
        <w:rPr>
          <w:rFonts w:cs="Times New Roman"/>
          <w:lang w:val="fr-CA"/>
        </w:rPr>
        <w:t xml:space="preserve">comités mixtes de santé et de sécurité comme celui constitué à Postes Canada consiste à reconnaître les dangers en milieu de travail, à évaluer les dangers et les risques pouvant causer des incidents et à participer à l’élaboration et à la mise en œuvre de programmes visant à protéger la santé et la sécurité des employés et employées. Ces comités constituent la principale voie empruntée par les travailleurs et travailleuses pour participer à la santé et à la sécurité au travail, et des dispositions prévoyant la constitution de comités mixtes figurent dans tous les régimes provinciaux et fédéral de droit du travail (John O’Grady, « Joint Health and Safety Committees : Finding a Balance », dans Terrance Sullivan, dir., </w:t>
      </w:r>
      <w:r w:rsidRPr="00E77282">
        <w:rPr>
          <w:rFonts w:cs="Times New Roman"/>
          <w:i/>
          <w:lang w:val="fr-CA"/>
        </w:rPr>
        <w:t>Injury and the New World of Work</w:t>
      </w:r>
      <w:r w:rsidRPr="00E77282">
        <w:rPr>
          <w:rFonts w:cs="Times New Roman"/>
          <w:lang w:val="fr-CA"/>
        </w:rPr>
        <w:t xml:space="preserve"> (2000), 162, p. 170). Ils donnent effet au principe selon lequel les travailleurs et travailleuses qui risquent d’être blessés, de tomber malades ou de mourir en raison d’un travail dangereux pour leur sécurité et pour leur santé devraient avoir leur mot à dire dans la réglementation des conditions de travail dangereuses (</w:t>
      </w:r>
      <w:r w:rsidRPr="00E77282">
        <w:rPr>
          <w:rFonts w:cs="Times New Roman"/>
          <w:i/>
          <w:lang w:val="fr-CA"/>
        </w:rPr>
        <w:t>Report of the Royal Commission on the Health and Safety of Workers in Mines</w:t>
      </w:r>
      <w:r w:rsidRPr="00E77282">
        <w:rPr>
          <w:rFonts w:cs="Times New Roman"/>
          <w:lang w:val="fr-CA"/>
        </w:rPr>
        <w:t xml:space="preserve"> (Ministère du Procureur général de l’Ontario, 1976), p. 146</w:t>
      </w:r>
      <w:r w:rsidRPr="00E77282">
        <w:rPr>
          <w:rFonts w:cs="Times New Roman"/>
          <w:lang w:val="fr-CA"/>
        </w:rPr>
        <w:noBreakHyphen/>
        <w:t>147 (James M. Ham, commissaire)). De plus, la recherche empirique démontre que les systèmes de santé et de sécurité qui donnent une voix aux travailleurs et travailleuses sont [</w:t>
      </w:r>
      <w:r w:rsidRPr="00E77282">
        <w:rPr>
          <w:rFonts w:cs="Times New Roman"/>
          <w:smallCaps/>
          <w:lang w:val="fr-CA"/>
        </w:rPr>
        <w:t>traduction</w:t>
      </w:r>
      <w:r w:rsidRPr="00E77282">
        <w:rPr>
          <w:rFonts w:cs="Times New Roman"/>
          <w:lang w:val="fr-CA"/>
        </w:rPr>
        <w:t xml:space="preserve">] « associés d’une manière positive et constante à des taux moins élevés de blessures, à des taux moins élevés d’accidents entraînant une perte de temps et à un signalement moins élevé de blessures » (Marcia Facey, Ellen MacEachen, Anil Verma et Kathy Morales, « The everyday functioning of joint health and safety committees in unionized workplaces : </w:t>
      </w:r>
      <w:r w:rsidRPr="00E77282">
        <w:rPr>
          <w:rFonts w:cs="Times New Roman"/>
          <w:lang w:val="fr-CA"/>
        </w:rPr>
        <w:lastRenderedPageBreak/>
        <w:t xml:space="preserve">a labour perspective » (2017), 15 </w:t>
      </w:r>
      <w:r w:rsidRPr="00E77282">
        <w:rPr>
          <w:rFonts w:cs="Times New Roman"/>
          <w:i/>
          <w:lang w:val="fr-CA"/>
        </w:rPr>
        <w:t>Policy and Practice in Health and Safety</w:t>
      </w:r>
      <w:r w:rsidRPr="00E77282">
        <w:rPr>
          <w:rFonts w:cs="Times New Roman"/>
          <w:lang w:val="fr-CA"/>
        </w:rPr>
        <w:t xml:space="preserve"> 160, p. 162). Ces comités améliorent non seulement la participation, mais aussi l’efficacité pragmatique.</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En déléguant l’obligation relative à l’inspection de sécurité aux comités locaux mixtes, le législateur avait clairement à l’esprit un processus d’inspection souple tenant compte des préoccupations et des limitations propres au lieu de travail. Comme le soulignent le Syndicat canadien de la fonction publique et l’Institut professionnel de la fonction publique du Canada dans leur mémoire d’intervenants, les comités mixtes de santé et de sécurité [</w:t>
      </w:r>
      <w:r w:rsidRPr="00E77282">
        <w:rPr>
          <w:rFonts w:cs="Times New Roman"/>
          <w:smallCaps/>
          <w:lang w:val="fr-CA"/>
        </w:rPr>
        <w:t>traduction</w:t>
      </w:r>
      <w:r w:rsidRPr="00E77282">
        <w:rPr>
          <w:rFonts w:cs="Times New Roman"/>
          <w:lang w:val="fr-CA"/>
        </w:rPr>
        <w:t>] « disposent d’une grande latitude pour trouver des solutions pratiques et efficaces » afin de remplir l’obligation d’inspection. Le paragraphe 135.1(14), par exemple, permet au comité d’établir ses propres règles quant à son fonctionnement. Je conviens avec les deux intervenants que [</w:t>
      </w:r>
      <w:r w:rsidRPr="00E77282">
        <w:rPr>
          <w:rFonts w:cs="Times New Roman"/>
          <w:smallCaps/>
          <w:lang w:val="fr-CA"/>
        </w:rPr>
        <w:t>traduction</w:t>
      </w:r>
      <w:r w:rsidRPr="00E77282">
        <w:rPr>
          <w:rFonts w:cs="Times New Roman"/>
          <w:lang w:val="fr-CA"/>
        </w:rPr>
        <w:t>] « le législateur a eu l’intention de laisser en grande partie le soin de prendre les décisions relatives à la tenue d’enquêtes aux comités mixtes [. . .], qui, du fait</w:t>
      </w:r>
      <w:r w:rsidRPr="00E77282">
        <w:rPr>
          <w:rFonts w:eastAsia="Times New Roman" w:cs="Times New Roman"/>
          <w:szCs w:val="24"/>
          <w:lang w:val="fr-CA" w:eastAsia="en-CA"/>
        </w:rPr>
        <w:t xml:space="preserve"> de leur présence sur les </w:t>
      </w:r>
      <w:r w:rsidRPr="00E77282">
        <w:rPr>
          <w:rFonts w:cs="Times New Roman"/>
          <w:lang w:val="fr-CA"/>
        </w:rPr>
        <w:t>lieux de travail et de leur formation en santé et sécurité, sont mieux placés » pour remplir ces obligations.</w:t>
      </w:r>
    </w:p>
    <w:p w:rsidR="00B7543C" w:rsidRPr="00E77282" w:rsidRDefault="00B7543C" w:rsidP="00B7543C">
      <w:pPr>
        <w:pStyle w:val="ParaNoNdepar-AltN"/>
        <w:tabs>
          <w:tab w:val="clear" w:pos="1166"/>
          <w:tab w:val="num" w:pos="1152"/>
        </w:tabs>
        <w:spacing w:before="0"/>
        <w:rPr>
          <w:rFonts w:cs="Times New Roman"/>
          <w:lang w:val="fr-CA"/>
        </w:rPr>
      </w:pPr>
      <w:r w:rsidRPr="00E77282">
        <w:rPr>
          <w:rFonts w:cs="Times New Roman"/>
          <w:lang w:val="fr-CA"/>
        </w:rPr>
        <w:t xml:space="preserve">Ces comités peuvent donc adapter les inspections en fonction des besoins et de la capacité du lieu de travail. En l’espèce, par exemple, le Comité mixte de santé et de sécurité de Burlington a proposé plusieurs façons différentes de procéder à l’inspection — la plus poussée aurait pris 18 jours au Comité pour inspecter tous les itinéraires des facteurs et factrices relevant de sa compétence. C’est là le type d’approche souple et locale qu’envisage le par. 125(1). Le simple fait que les inspections puissent être difficiles à effectuer ne signifie pas qu’elles ne doivent pas du </w:t>
      </w:r>
      <w:r w:rsidRPr="00E77282">
        <w:rPr>
          <w:rFonts w:cs="Times New Roman"/>
          <w:lang w:val="fr-CA"/>
        </w:rPr>
        <w:lastRenderedPageBreak/>
        <w:t>tout être effectuées, et le simple fait que les risques ne puissent être éliminés entièrement ne signifie pas</w:t>
      </w:r>
      <w:r w:rsidRPr="00E77282">
        <w:rPr>
          <w:rFonts w:eastAsia="Times New Roman" w:cs="Times New Roman"/>
          <w:szCs w:val="24"/>
          <w:lang w:val="fr-CA" w:eastAsia="en-CA"/>
        </w:rPr>
        <w:t xml:space="preserve"> </w:t>
      </w:r>
      <w:r w:rsidRPr="00E77282">
        <w:rPr>
          <w:rFonts w:cs="Times New Roman"/>
          <w:lang w:val="fr-CA"/>
        </w:rPr>
        <w:t>que rien ne peut être fait pour les contrer.</w:t>
      </w:r>
    </w:p>
    <w:p w:rsidR="00B7543C" w:rsidRPr="00E77282" w:rsidRDefault="00B7543C" w:rsidP="00B7543C">
      <w:pPr>
        <w:pStyle w:val="ParaNoNdepar-AltN"/>
        <w:tabs>
          <w:tab w:val="clear" w:pos="1166"/>
          <w:tab w:val="num" w:pos="1152"/>
        </w:tabs>
        <w:spacing w:before="0"/>
        <w:rPr>
          <w:rFonts w:cs="Times New Roman"/>
          <w:u w:val="single"/>
          <w:lang w:val="fr-CA"/>
        </w:rPr>
      </w:pPr>
      <w:r w:rsidRPr="00E77282">
        <w:rPr>
          <w:rFonts w:cs="Times New Roman"/>
          <w:lang w:val="fr-CA"/>
        </w:rPr>
        <w:t>Le raisonnement de l’agent d’appel était « foncièrement défectueux » (</w:t>
      </w:r>
      <w:r w:rsidRPr="00E77282">
        <w:rPr>
          <w:rFonts w:cs="Times New Roman"/>
          <w:i/>
          <w:lang w:val="fr-CA"/>
        </w:rPr>
        <w:t>Dunsmuir c. Nouveau</w:t>
      </w:r>
      <w:r w:rsidRPr="00E77282">
        <w:rPr>
          <w:rFonts w:cs="Times New Roman"/>
          <w:i/>
          <w:lang w:val="fr-CA"/>
        </w:rPr>
        <w:noBreakHyphen/>
        <w:t>Brunswick</w:t>
      </w:r>
      <w:r w:rsidRPr="00E77282">
        <w:rPr>
          <w:rFonts w:cs="Times New Roman"/>
          <w:lang w:val="fr-CA"/>
        </w:rPr>
        <w:t>, [2008] 1 R.C.S. 190, par. 72). Celui</w:t>
      </w:r>
      <w:r w:rsidRPr="00E77282">
        <w:rPr>
          <w:rFonts w:cs="Times New Roman"/>
          <w:lang w:val="fr-CA"/>
        </w:rPr>
        <w:noBreakHyphen/>
        <w:t>ci a reconnu que les inspections de sécurité visaient à protéger les employés et employées des risques en milieu de travail, mais il a omis de donner à cet objectif, et au texte clair du par. 125(1), un effet utile, et encore moins une interprétation [</w:t>
      </w:r>
      <w:r w:rsidRPr="00E77282">
        <w:rPr>
          <w:rFonts w:cs="Times New Roman"/>
          <w:smallCaps/>
          <w:lang w:val="fr-CA"/>
        </w:rPr>
        <w:t>traduction</w:t>
      </w:r>
      <w:r w:rsidRPr="00E77282">
        <w:rPr>
          <w:rFonts w:cs="Times New Roman"/>
          <w:lang w:val="fr-CA"/>
        </w:rPr>
        <w:t>] « généreuse » (</w:t>
      </w:r>
      <w:r w:rsidRPr="00E77282">
        <w:rPr>
          <w:rFonts w:cs="Times New Roman"/>
          <w:i/>
          <w:lang w:val="fr-CA"/>
        </w:rPr>
        <w:t>Ontario (Ministry of Labour) c. Quinton Steel (Wellington) Ltd.</w:t>
      </w:r>
      <w:r w:rsidRPr="00E77282">
        <w:rPr>
          <w:rFonts w:cs="Times New Roman"/>
          <w:lang w:val="fr-CA"/>
        </w:rPr>
        <w:t xml:space="preserve">, 2017 ONCA 1006, par. 19 (CanLII); </w:t>
      </w:r>
      <w:r w:rsidRPr="00E77282">
        <w:rPr>
          <w:rFonts w:cs="Times New Roman"/>
          <w:i/>
          <w:lang w:val="fr-CA"/>
        </w:rPr>
        <w:t>Ontario (Ministry of Labour) c. Hamilton (City)</w:t>
      </w:r>
      <w:r w:rsidRPr="00E77282">
        <w:rPr>
          <w:rFonts w:cs="Times New Roman"/>
          <w:lang w:val="fr-CA"/>
        </w:rPr>
        <w:t xml:space="preserve"> (2002), 58 O.R. (3d) 37 (C.A.), par. 16). Il a tenu pour acquis que Postes Canada ne pouvait rien faire pour protéger les travailleurs et travailleuses contre les risques pour la sécurité sur les itinéraires postaux sans avoir physiquement autorité sur ces itinéraires, et ce, malgré une preuve abondante et non contestée du contraire. Il s’est appuyé sur des préoccupations de difficultés pratiques qui étaient propres à Postes Canada, malgré l’application large du par. 125(1) à tous les employeurs régis par les lois fédérales. Il a adopté une approche du tout ou rien à l’égard des inspections de sécurité, même si le par. 125(1) indique expressément que les obligations de l’employeur en matière de sécurité ne s’appliquent que « dans la mesure où [la] tâche [. . .] relève [de l’autorité de l’employeur] ».</w:t>
      </w:r>
    </w:p>
    <w:p w:rsidR="00B7543C" w:rsidRPr="00E77282" w:rsidRDefault="00B7543C" w:rsidP="00B7543C">
      <w:pPr>
        <w:pStyle w:val="ParaNoNdepar-AltN"/>
        <w:tabs>
          <w:tab w:val="clear" w:pos="1166"/>
          <w:tab w:val="num" w:pos="1152"/>
        </w:tabs>
        <w:spacing w:before="0"/>
        <w:rPr>
          <w:rFonts w:cs="Times New Roman"/>
          <w:u w:val="single"/>
          <w:lang w:val="fr-CA"/>
        </w:rPr>
      </w:pPr>
      <w:r w:rsidRPr="00E77282">
        <w:rPr>
          <w:rFonts w:cs="Times New Roman"/>
          <w:lang w:val="fr-CA"/>
        </w:rPr>
        <w:t xml:space="preserve">En faisant fi du libellé et de l’objet de l’obligation relative à l’inspection de sécurité, l’agent d’appel a tiré une conclusion déraisonnable qui contrecarrait non seulement l’objectif de prévention des obligations en matière de sécurité de l’employeur prévues au par. 125(1), mais aussi l’objectif précis de l’al. 125(1)z.12) </w:t>
      </w:r>
      <w:r w:rsidRPr="00E77282">
        <w:rPr>
          <w:rFonts w:cs="Times New Roman"/>
          <w:lang w:val="fr-CA"/>
        </w:rPr>
        <w:lastRenderedPageBreak/>
        <w:t>consistant à veiller à ce que des inspections soient effectuées afin de rendre les lieux de travail aussi sécuritaires que possible. Selon une interprétation adéquate des dispositions applicables, Postes Canada a contrevenu à l’obligation que lui impose l’al. 125(1)z.12) en empêchant le Comité mixte de santé et de sécurité à Burlington de procéder à l’inspection des itinéraires locaux pour recenser les risques pour la sécurité.</w:t>
      </w:r>
    </w:p>
    <w:p w:rsidR="00B7543C" w:rsidRPr="00F62007" w:rsidRDefault="00B7543C" w:rsidP="00732E15">
      <w:pPr>
        <w:pStyle w:val="ParaNoNdepar-AltN"/>
        <w:tabs>
          <w:tab w:val="clear" w:pos="1166"/>
          <w:tab w:val="num" w:pos="1152"/>
        </w:tabs>
        <w:spacing w:before="0"/>
        <w:rPr>
          <w:rFonts w:cs="Times New Roman"/>
          <w:lang w:val="fr-CA"/>
        </w:rPr>
      </w:pPr>
      <w:r w:rsidRPr="00E77282">
        <w:rPr>
          <w:rFonts w:cs="Times New Roman"/>
          <w:lang w:val="fr-CA"/>
        </w:rPr>
        <w:t>Je rejetterais le pourvoi avec dépens.</w:t>
      </w:r>
    </w:p>
    <w:p w:rsidR="004D7D95" w:rsidRPr="005F229C" w:rsidRDefault="004D7D95" w:rsidP="00455B08">
      <w:pPr>
        <w:pStyle w:val="SCCNormalDoubleSpacing"/>
        <w:spacing w:after="480"/>
        <w:rPr>
          <w:lang w:val="fr-CA"/>
        </w:rPr>
      </w:pPr>
      <w:r w:rsidRPr="005F229C">
        <w:rPr>
          <w:lang w:val="fr-CA"/>
        </w:rPr>
        <w:tab/>
      </w:r>
      <w:r w:rsidR="00887880" w:rsidRPr="005F229C">
        <w:rPr>
          <w:i/>
          <w:lang w:val="fr-CA"/>
        </w:rPr>
        <w:t xml:space="preserve">Pourvoi accueilli avec dépens </w:t>
      </w:r>
      <w:r w:rsidR="001E7CF5" w:rsidRPr="005F229C">
        <w:rPr>
          <w:i/>
          <w:lang w:val="fr-CA"/>
        </w:rPr>
        <w:t>devant</w:t>
      </w:r>
      <w:r w:rsidR="00887880" w:rsidRPr="005F229C">
        <w:rPr>
          <w:i/>
          <w:lang w:val="fr-CA"/>
        </w:rPr>
        <w:t xml:space="preserve"> </w:t>
      </w:r>
      <w:r w:rsidR="005C34BA">
        <w:rPr>
          <w:i/>
          <w:lang w:val="fr-CA"/>
        </w:rPr>
        <w:t xml:space="preserve">toutes </w:t>
      </w:r>
      <w:r w:rsidR="00FA5C82" w:rsidRPr="005F229C">
        <w:rPr>
          <w:i/>
          <w:lang w:val="fr-CA"/>
        </w:rPr>
        <w:t>les juridictions</w:t>
      </w:r>
      <w:r w:rsidR="00887880" w:rsidRPr="005F229C">
        <w:rPr>
          <w:i/>
          <w:lang w:val="fr-CA"/>
        </w:rPr>
        <w:t xml:space="preserve">, les juges </w:t>
      </w:r>
      <w:r w:rsidR="00887880" w:rsidRPr="005F229C">
        <w:rPr>
          <w:smallCaps/>
          <w:lang w:val="fr-CA"/>
        </w:rPr>
        <w:t>Abella</w:t>
      </w:r>
      <w:r w:rsidR="00887880" w:rsidRPr="005F229C">
        <w:rPr>
          <w:i/>
          <w:lang w:val="fr-CA"/>
        </w:rPr>
        <w:t xml:space="preserve"> et </w:t>
      </w:r>
      <w:r w:rsidR="00887880" w:rsidRPr="005F229C">
        <w:rPr>
          <w:smallCaps/>
          <w:lang w:val="fr-CA"/>
        </w:rPr>
        <w:t>Martin</w:t>
      </w:r>
      <w:r w:rsidR="00887880" w:rsidRPr="005F229C">
        <w:rPr>
          <w:i/>
          <w:lang w:val="fr-CA"/>
        </w:rPr>
        <w:t xml:space="preserve"> sont dissidentes.</w:t>
      </w:r>
    </w:p>
    <w:p w:rsidR="00A078B6" w:rsidRPr="005F229C" w:rsidRDefault="00480EA9" w:rsidP="00455B08">
      <w:pPr>
        <w:pStyle w:val="SCCLawFirm"/>
        <w:spacing w:after="480"/>
        <w:rPr>
          <w:lang w:val="fr-CA"/>
        </w:rPr>
      </w:pPr>
      <w:r w:rsidRPr="005F229C">
        <w:rPr>
          <w:lang w:val="fr-CA"/>
        </w:rPr>
        <w:tab/>
        <w:t>Procureurs</w:t>
      </w:r>
      <w:r w:rsidR="008C28DF" w:rsidRPr="005F229C">
        <w:rPr>
          <w:lang w:val="fr-CA"/>
        </w:rPr>
        <w:t xml:space="preserve"> de l</w:t>
      </w:r>
      <w:r w:rsidR="000B4416" w:rsidRPr="005F229C">
        <w:rPr>
          <w:lang w:val="fr-CA"/>
        </w:rPr>
        <w:t>’</w:t>
      </w:r>
      <w:r w:rsidRPr="005F229C">
        <w:rPr>
          <w:lang w:val="fr-CA"/>
        </w:rPr>
        <w:t>appelante</w:t>
      </w:r>
      <w:r w:rsidR="005F229C">
        <w:rPr>
          <w:lang w:val="fr-CA"/>
        </w:rPr>
        <w:t> :</w:t>
      </w:r>
      <w:r w:rsidR="005F229C" w:rsidRPr="005F229C">
        <w:rPr>
          <w:lang w:val="fr-CA"/>
        </w:rPr>
        <w:t> </w:t>
      </w:r>
      <w:r w:rsidRPr="005F229C">
        <w:rPr>
          <w:lang w:val="fr-CA"/>
        </w:rPr>
        <w:t>Torys</w:t>
      </w:r>
      <w:r w:rsidR="008C28DF" w:rsidRPr="005F229C">
        <w:rPr>
          <w:lang w:val="fr-CA"/>
        </w:rPr>
        <w:t>, Toronto.</w:t>
      </w:r>
    </w:p>
    <w:p w:rsidR="00A078B6" w:rsidRPr="005F229C" w:rsidRDefault="00480EA9" w:rsidP="00455B08">
      <w:pPr>
        <w:pStyle w:val="SCCLawFirm"/>
        <w:spacing w:after="480"/>
        <w:rPr>
          <w:lang w:val="fr-CA"/>
        </w:rPr>
      </w:pPr>
      <w:r w:rsidRPr="005F229C">
        <w:rPr>
          <w:lang w:val="fr-CA"/>
        </w:rPr>
        <w:tab/>
        <w:t>Procureurs</w:t>
      </w:r>
      <w:r w:rsidR="008C28DF" w:rsidRPr="005F229C">
        <w:rPr>
          <w:lang w:val="fr-CA"/>
        </w:rPr>
        <w:t xml:space="preserve"> de l</w:t>
      </w:r>
      <w:r w:rsidR="000B4416" w:rsidRPr="005F229C">
        <w:rPr>
          <w:lang w:val="fr-CA"/>
        </w:rPr>
        <w:t>’</w:t>
      </w:r>
      <w:r w:rsidRPr="005F229C">
        <w:rPr>
          <w:lang w:val="fr-CA"/>
        </w:rPr>
        <w:t>intimé</w:t>
      </w:r>
      <w:r w:rsidR="005F229C">
        <w:rPr>
          <w:lang w:val="fr-CA"/>
        </w:rPr>
        <w:t> :</w:t>
      </w:r>
      <w:r w:rsidR="005F229C" w:rsidRPr="005F229C">
        <w:rPr>
          <w:lang w:val="fr-CA"/>
        </w:rPr>
        <w:t> </w:t>
      </w:r>
      <w:r w:rsidR="008C28DF" w:rsidRPr="005F229C">
        <w:rPr>
          <w:lang w:val="fr-CA"/>
        </w:rPr>
        <w:t>Cavalluzzo, Toronto.</w:t>
      </w:r>
    </w:p>
    <w:p w:rsidR="00480EA9" w:rsidRPr="005F229C" w:rsidRDefault="00480EA9" w:rsidP="00455B08">
      <w:pPr>
        <w:pStyle w:val="SCCLawFirm"/>
        <w:spacing w:after="480"/>
        <w:rPr>
          <w:lang w:val="fr-CA"/>
        </w:rPr>
      </w:pPr>
      <w:r w:rsidRPr="005F229C">
        <w:rPr>
          <w:lang w:val="fr-CA"/>
        </w:rPr>
        <w:tab/>
        <w:t>Procureur de l’intervenant le</w:t>
      </w:r>
      <w:r w:rsidR="001A2B1D" w:rsidRPr="005F229C">
        <w:rPr>
          <w:lang w:val="fr-CA"/>
        </w:rPr>
        <w:t xml:space="preserve"> p</w:t>
      </w:r>
      <w:r w:rsidRPr="005F229C">
        <w:rPr>
          <w:lang w:val="fr-CA"/>
        </w:rPr>
        <w:t>rocureur général du Canada</w:t>
      </w:r>
      <w:r w:rsidR="005F229C">
        <w:rPr>
          <w:lang w:val="fr-CA"/>
        </w:rPr>
        <w:t> :</w:t>
      </w:r>
      <w:r w:rsidR="005F229C" w:rsidRPr="005F229C">
        <w:rPr>
          <w:lang w:val="fr-CA"/>
        </w:rPr>
        <w:t> </w:t>
      </w:r>
      <w:r w:rsidR="00B0254E" w:rsidRPr="005F229C">
        <w:rPr>
          <w:lang w:val="fr-CA"/>
        </w:rPr>
        <w:t>Procureur général du Canada</w:t>
      </w:r>
      <w:r w:rsidRPr="005F229C">
        <w:rPr>
          <w:lang w:val="fr-CA"/>
        </w:rPr>
        <w:t>, Ottawa.</w:t>
      </w:r>
    </w:p>
    <w:p w:rsidR="00480EA9" w:rsidRPr="005F229C" w:rsidRDefault="00480EA9" w:rsidP="00455B08">
      <w:pPr>
        <w:pStyle w:val="SCCLawFirm"/>
        <w:spacing w:after="480"/>
        <w:rPr>
          <w:lang w:val="fr-CA"/>
        </w:rPr>
      </w:pPr>
      <w:r w:rsidRPr="005F229C">
        <w:rPr>
          <w:lang w:val="fr-CA"/>
        </w:rPr>
        <w:tab/>
      </w:r>
      <w:r w:rsidR="0068361A" w:rsidRPr="005F229C">
        <w:rPr>
          <w:lang w:val="fr-CA"/>
        </w:rPr>
        <w:t>Procureurs des intervenant</w:t>
      </w:r>
      <w:r w:rsidR="007B16FB" w:rsidRPr="005F229C">
        <w:rPr>
          <w:lang w:val="fr-CA"/>
        </w:rPr>
        <w:t>e</w:t>
      </w:r>
      <w:r w:rsidR="0068361A" w:rsidRPr="005F229C">
        <w:rPr>
          <w:lang w:val="fr-CA"/>
        </w:rPr>
        <w:t>s</w:t>
      </w:r>
      <w:r w:rsidR="001A2B1D" w:rsidRPr="005F229C">
        <w:rPr>
          <w:lang w:val="fr-CA"/>
        </w:rPr>
        <w:t xml:space="preserve"> DHL Express (Canada), Ltée</w:t>
      </w:r>
      <w:r w:rsidRPr="005F229C">
        <w:rPr>
          <w:lang w:val="fr-CA"/>
        </w:rPr>
        <w:t xml:space="preserve">, Federal Express Canada Corporation, Purolator Inc., TFI International Inc. </w:t>
      </w:r>
      <w:r w:rsidR="0068361A" w:rsidRPr="005F229C">
        <w:rPr>
          <w:lang w:val="fr-CA"/>
        </w:rPr>
        <w:t>et</w:t>
      </w:r>
      <w:r w:rsidRPr="005F229C">
        <w:rPr>
          <w:lang w:val="fr-CA"/>
        </w:rPr>
        <w:t xml:space="preserve"> United Parcel Service </w:t>
      </w:r>
      <w:r w:rsidR="001A2B1D" w:rsidRPr="005F229C">
        <w:rPr>
          <w:lang w:val="fr-CA"/>
        </w:rPr>
        <w:t xml:space="preserve">du </w:t>
      </w:r>
      <w:r w:rsidRPr="005F229C">
        <w:rPr>
          <w:lang w:val="fr-CA"/>
        </w:rPr>
        <w:t>Ca</w:t>
      </w:r>
      <w:r w:rsidR="001A2B1D" w:rsidRPr="005F229C">
        <w:rPr>
          <w:lang w:val="fr-CA"/>
        </w:rPr>
        <w:t>nada Ltée</w:t>
      </w:r>
      <w:r w:rsidR="005F229C">
        <w:rPr>
          <w:lang w:val="fr-CA"/>
        </w:rPr>
        <w:t> :</w:t>
      </w:r>
      <w:r w:rsidR="005F229C" w:rsidRPr="005F229C">
        <w:rPr>
          <w:lang w:val="fr-CA"/>
        </w:rPr>
        <w:t> </w:t>
      </w:r>
      <w:r w:rsidR="0068361A" w:rsidRPr="005F229C">
        <w:rPr>
          <w:lang w:val="fr-CA"/>
        </w:rPr>
        <w:t>Hicks Morley Hamilton Stewart Storie</w:t>
      </w:r>
      <w:r w:rsidRPr="005F229C">
        <w:rPr>
          <w:lang w:val="fr-CA"/>
        </w:rPr>
        <w:t>, Toronto.</w:t>
      </w:r>
    </w:p>
    <w:p w:rsidR="00373A17" w:rsidRPr="005F229C" w:rsidRDefault="00373A17" w:rsidP="00455B08">
      <w:pPr>
        <w:pStyle w:val="SCCLawFirm"/>
        <w:spacing w:after="480"/>
      </w:pPr>
      <w:r w:rsidRPr="005F229C">
        <w:rPr>
          <w:lang w:val="fr-CA"/>
        </w:rPr>
        <w:tab/>
      </w:r>
      <w:r w:rsidRPr="005F229C">
        <w:t>Procureur de l’intervenant</w:t>
      </w:r>
      <w:r w:rsidR="007B16FB" w:rsidRPr="005F229C">
        <w:t>e</w:t>
      </w:r>
      <w:r w:rsidRPr="005F229C">
        <w:t xml:space="preserve"> Workers’ Health and Safety </w:t>
      </w:r>
      <w:r w:rsidR="0027071F" w:rsidRPr="005F229C">
        <w:t>Legal Clinic</w:t>
      </w:r>
      <w:r w:rsidR="005F229C">
        <w:t> :</w:t>
      </w:r>
      <w:r w:rsidR="005F229C" w:rsidRPr="005F229C">
        <w:t> </w:t>
      </w:r>
      <w:r w:rsidR="0027071F" w:rsidRPr="005F229C">
        <w:t>Workers’ Health and</w:t>
      </w:r>
      <w:r w:rsidRPr="005F229C">
        <w:t xml:space="preserve"> Safety Legal Clinic, Toronto.</w:t>
      </w:r>
    </w:p>
    <w:p w:rsidR="00A078B6" w:rsidRPr="005F229C" w:rsidRDefault="008C28DF" w:rsidP="00455B08">
      <w:pPr>
        <w:pStyle w:val="SCCLawFirm"/>
        <w:spacing w:after="480"/>
        <w:rPr>
          <w:lang w:val="fr-CA"/>
        </w:rPr>
      </w:pPr>
      <w:r w:rsidRPr="005F229C">
        <w:rPr>
          <w:lang w:val="en-US"/>
        </w:rPr>
        <w:lastRenderedPageBreak/>
        <w:tab/>
      </w:r>
      <w:r w:rsidR="0068361A" w:rsidRPr="005F229C">
        <w:rPr>
          <w:lang w:val="fr-CA"/>
        </w:rPr>
        <w:t>Procureurs</w:t>
      </w:r>
      <w:r w:rsidRPr="005F229C">
        <w:rPr>
          <w:lang w:val="fr-CA"/>
        </w:rPr>
        <w:t xml:space="preserve"> de l</w:t>
      </w:r>
      <w:r w:rsidR="000B4416" w:rsidRPr="005F229C">
        <w:rPr>
          <w:lang w:val="fr-CA"/>
        </w:rPr>
        <w:t>’</w:t>
      </w:r>
      <w:r w:rsidR="0068361A" w:rsidRPr="005F229C">
        <w:rPr>
          <w:lang w:val="fr-CA"/>
        </w:rPr>
        <w:t>intervenante</w:t>
      </w:r>
      <w:r w:rsidR="001A2B1D" w:rsidRPr="005F229C">
        <w:rPr>
          <w:lang w:val="fr-CA"/>
        </w:rPr>
        <w:t xml:space="preserve"> ETCOF inc. (</w:t>
      </w:r>
      <w:r w:rsidRPr="005F229C">
        <w:rPr>
          <w:lang w:val="fr-CA"/>
        </w:rPr>
        <w:t>Association des employeurs des transports et communications de régie fédérale)</w:t>
      </w:r>
      <w:r w:rsidR="005F229C">
        <w:rPr>
          <w:lang w:val="fr-CA"/>
        </w:rPr>
        <w:t> :</w:t>
      </w:r>
      <w:r w:rsidR="005F229C" w:rsidRPr="005F229C">
        <w:rPr>
          <w:lang w:val="fr-CA"/>
        </w:rPr>
        <w:t> </w:t>
      </w:r>
      <w:r w:rsidRPr="005F229C">
        <w:rPr>
          <w:lang w:val="fr-CA"/>
        </w:rPr>
        <w:t>Fasken Martineau DuMoulin, Toronto.</w:t>
      </w:r>
    </w:p>
    <w:p w:rsidR="00A078B6" w:rsidRPr="005F229C" w:rsidRDefault="008C28DF" w:rsidP="00455B08">
      <w:pPr>
        <w:pStyle w:val="SCCLawFirm"/>
        <w:spacing w:after="480"/>
        <w:rPr>
          <w:lang w:val="fr-CA"/>
        </w:rPr>
      </w:pPr>
      <w:r w:rsidRPr="005F229C">
        <w:rPr>
          <w:lang w:val="fr-CA"/>
        </w:rPr>
        <w:tab/>
      </w:r>
      <w:r w:rsidR="0068361A" w:rsidRPr="005F229C">
        <w:rPr>
          <w:lang w:val="fr-CA"/>
        </w:rPr>
        <w:t>Procureurs</w:t>
      </w:r>
      <w:r w:rsidRPr="005F229C">
        <w:rPr>
          <w:lang w:val="fr-CA"/>
        </w:rPr>
        <w:t xml:space="preserve"> de</w:t>
      </w:r>
      <w:r w:rsidR="0068361A" w:rsidRPr="005F229C">
        <w:rPr>
          <w:lang w:val="fr-CA"/>
        </w:rPr>
        <w:t xml:space="preserve">s </w:t>
      </w:r>
      <w:r w:rsidRPr="005F229C">
        <w:rPr>
          <w:lang w:val="fr-CA"/>
        </w:rPr>
        <w:t>intervenant</w:t>
      </w:r>
      <w:r w:rsidR="0068361A" w:rsidRPr="005F229C">
        <w:rPr>
          <w:lang w:val="fr-CA"/>
        </w:rPr>
        <w:t>s</w:t>
      </w:r>
      <w:r w:rsidRPr="005F229C">
        <w:rPr>
          <w:lang w:val="fr-CA"/>
        </w:rPr>
        <w:t xml:space="preserve"> </w:t>
      </w:r>
      <w:r w:rsidR="0068361A" w:rsidRPr="005F229C">
        <w:rPr>
          <w:lang w:val="fr-CA"/>
        </w:rPr>
        <w:t xml:space="preserve">le </w:t>
      </w:r>
      <w:r w:rsidRPr="005F229C">
        <w:rPr>
          <w:lang w:val="fr-CA"/>
        </w:rPr>
        <w:t xml:space="preserve">Syndicat canadien de la fonction publique et </w:t>
      </w:r>
      <w:r w:rsidR="0068361A" w:rsidRPr="005F229C">
        <w:rPr>
          <w:lang w:val="fr-CA"/>
        </w:rPr>
        <w:t>l’</w:t>
      </w:r>
      <w:r w:rsidRPr="005F229C">
        <w:rPr>
          <w:lang w:val="fr-CA"/>
        </w:rPr>
        <w:t>Institut professionnel de la fonction publique du Canada</w:t>
      </w:r>
      <w:r w:rsidR="005F229C">
        <w:rPr>
          <w:lang w:val="fr-CA"/>
        </w:rPr>
        <w:t> :</w:t>
      </w:r>
      <w:r w:rsidR="005F229C" w:rsidRPr="005F229C">
        <w:rPr>
          <w:lang w:val="fr-CA"/>
        </w:rPr>
        <w:t> </w:t>
      </w:r>
      <w:r w:rsidRPr="005F229C">
        <w:rPr>
          <w:lang w:val="fr-CA"/>
        </w:rPr>
        <w:t>Goldblatt Partners, Ottawa.</w:t>
      </w:r>
    </w:p>
    <w:p w:rsidR="00A078B6" w:rsidRPr="005F229C" w:rsidRDefault="008C28DF" w:rsidP="00455B08">
      <w:pPr>
        <w:pStyle w:val="SCCLawFirm"/>
        <w:spacing w:after="480"/>
        <w:rPr>
          <w:lang w:val="fr-CA"/>
        </w:rPr>
      </w:pPr>
      <w:r w:rsidRPr="005F229C">
        <w:rPr>
          <w:lang w:val="fr-CA"/>
        </w:rPr>
        <w:tab/>
      </w:r>
      <w:r w:rsidR="0068361A" w:rsidRPr="005F229C">
        <w:rPr>
          <w:lang w:val="fr-CA"/>
        </w:rPr>
        <w:t>Procureurs</w:t>
      </w:r>
      <w:r w:rsidRPr="005F229C">
        <w:rPr>
          <w:lang w:val="fr-CA"/>
        </w:rPr>
        <w:t xml:space="preserve"> de l</w:t>
      </w:r>
      <w:r w:rsidR="000B4416" w:rsidRPr="005F229C">
        <w:rPr>
          <w:lang w:val="fr-CA"/>
        </w:rPr>
        <w:t>’</w:t>
      </w:r>
      <w:r w:rsidR="0068361A" w:rsidRPr="005F229C">
        <w:rPr>
          <w:lang w:val="fr-CA"/>
        </w:rPr>
        <w:t>intervenante</w:t>
      </w:r>
      <w:r w:rsidRPr="005F229C">
        <w:rPr>
          <w:lang w:val="fr-CA"/>
        </w:rPr>
        <w:t xml:space="preserve"> Rogers Communications Inc.</w:t>
      </w:r>
      <w:r w:rsidR="005F229C">
        <w:rPr>
          <w:lang w:val="fr-CA"/>
        </w:rPr>
        <w:t> :</w:t>
      </w:r>
      <w:r w:rsidR="005F229C" w:rsidRPr="005F229C">
        <w:rPr>
          <w:lang w:val="fr-CA"/>
        </w:rPr>
        <w:t> </w:t>
      </w:r>
      <w:r w:rsidR="0068361A" w:rsidRPr="005F229C">
        <w:rPr>
          <w:lang w:val="fr-CA"/>
        </w:rPr>
        <w:t>Fasken Martineau DuMoulin</w:t>
      </w:r>
      <w:r w:rsidRPr="005F229C">
        <w:rPr>
          <w:lang w:val="fr-CA"/>
        </w:rPr>
        <w:t>, Toronto.</w:t>
      </w:r>
    </w:p>
    <w:p w:rsidR="00A078B6" w:rsidRPr="005F229C" w:rsidRDefault="0068361A" w:rsidP="00455B08">
      <w:pPr>
        <w:pStyle w:val="SCCLawFirm"/>
        <w:spacing w:after="480"/>
        <w:rPr>
          <w:lang w:val="fr-CA"/>
        </w:rPr>
      </w:pPr>
      <w:r w:rsidRPr="005F229C">
        <w:rPr>
          <w:lang w:val="fr-CA"/>
        </w:rPr>
        <w:tab/>
        <w:t>Procureurs des intervenantes</w:t>
      </w:r>
      <w:r w:rsidR="008C28DF" w:rsidRPr="005F229C">
        <w:rPr>
          <w:lang w:val="fr-CA"/>
        </w:rPr>
        <w:t xml:space="preserve"> </w:t>
      </w:r>
      <w:r w:rsidRPr="005F229C">
        <w:rPr>
          <w:lang w:val="fr-CA"/>
        </w:rPr>
        <w:t xml:space="preserve">la </w:t>
      </w:r>
      <w:r w:rsidR="008C28DF" w:rsidRPr="005F229C">
        <w:rPr>
          <w:lang w:val="fr-CA"/>
        </w:rPr>
        <w:t>Société Radio</w:t>
      </w:r>
      <w:r w:rsidR="005F229C">
        <w:rPr>
          <w:lang w:val="fr-CA"/>
        </w:rPr>
        <w:noBreakHyphen/>
      </w:r>
      <w:r w:rsidR="008C28DF" w:rsidRPr="005F229C">
        <w:rPr>
          <w:lang w:val="fr-CA"/>
        </w:rPr>
        <w:t>Canad</w:t>
      </w:r>
      <w:r w:rsidR="001A2B1D" w:rsidRPr="005F229C">
        <w:rPr>
          <w:lang w:val="fr-CA"/>
        </w:rPr>
        <w:t>a, Bell Canada, Bell Solutions techniques i</w:t>
      </w:r>
      <w:r w:rsidR="008C28DF" w:rsidRPr="005F229C">
        <w:rPr>
          <w:lang w:val="fr-CA"/>
        </w:rPr>
        <w:t xml:space="preserve">nc. et Bell Média </w:t>
      </w:r>
      <w:r w:rsidR="001A2B1D" w:rsidRPr="005F229C">
        <w:rPr>
          <w:lang w:val="fr-CA"/>
        </w:rPr>
        <w:t>i</w:t>
      </w:r>
      <w:r w:rsidR="008C28DF" w:rsidRPr="005F229C">
        <w:rPr>
          <w:lang w:val="fr-CA"/>
        </w:rPr>
        <w:t>nc.</w:t>
      </w:r>
      <w:r w:rsidR="005F229C">
        <w:rPr>
          <w:lang w:val="fr-CA"/>
        </w:rPr>
        <w:t> :</w:t>
      </w:r>
      <w:r w:rsidR="005F229C" w:rsidRPr="005F229C">
        <w:rPr>
          <w:lang w:val="fr-CA"/>
        </w:rPr>
        <w:t> </w:t>
      </w:r>
      <w:r w:rsidR="008C28DF" w:rsidRPr="005F229C">
        <w:rPr>
          <w:lang w:val="fr-CA"/>
        </w:rPr>
        <w:t xml:space="preserve">Borden Ladner Gervais, </w:t>
      </w:r>
      <w:r w:rsidRPr="005F229C">
        <w:rPr>
          <w:lang w:val="fr-CA"/>
        </w:rPr>
        <w:t>Montréal</w:t>
      </w:r>
      <w:r w:rsidR="008C28DF" w:rsidRPr="005F229C">
        <w:rPr>
          <w:lang w:val="fr-CA"/>
        </w:rPr>
        <w:t>.</w:t>
      </w:r>
    </w:p>
    <w:p w:rsidR="00A078B6" w:rsidRPr="005F229C" w:rsidRDefault="0068361A" w:rsidP="00455B08">
      <w:pPr>
        <w:pStyle w:val="SCCLawFirm"/>
        <w:spacing w:after="480"/>
        <w:rPr>
          <w:lang w:val="fr-CA"/>
        </w:rPr>
      </w:pPr>
      <w:r w:rsidRPr="005F229C">
        <w:rPr>
          <w:lang w:val="fr-CA"/>
        </w:rPr>
        <w:tab/>
        <w:t>Procureurs des intervenantes</w:t>
      </w:r>
      <w:r w:rsidR="008C28DF" w:rsidRPr="005F229C">
        <w:rPr>
          <w:lang w:val="fr-CA"/>
        </w:rPr>
        <w:t xml:space="preserve"> </w:t>
      </w:r>
      <w:r w:rsidRPr="005F229C">
        <w:rPr>
          <w:lang w:val="fr-CA"/>
        </w:rPr>
        <w:t>l’</w:t>
      </w:r>
      <w:r w:rsidR="008C28DF" w:rsidRPr="005F229C">
        <w:rPr>
          <w:lang w:val="fr-CA"/>
        </w:rPr>
        <w:t xml:space="preserve">Association des </w:t>
      </w:r>
      <w:r w:rsidR="001A2B1D" w:rsidRPr="005F229C">
        <w:rPr>
          <w:lang w:val="fr-CA"/>
        </w:rPr>
        <w:t>employeurs m</w:t>
      </w:r>
      <w:r w:rsidR="008C28DF" w:rsidRPr="005F229C">
        <w:rPr>
          <w:lang w:val="fr-CA"/>
        </w:rPr>
        <w:t>aritimes, Halifax Employers Association et British Columbia Maritime Employers Association</w:t>
      </w:r>
      <w:r w:rsidR="005F229C">
        <w:rPr>
          <w:lang w:val="fr-CA"/>
        </w:rPr>
        <w:t> :</w:t>
      </w:r>
      <w:r w:rsidR="005F229C" w:rsidRPr="005F229C">
        <w:rPr>
          <w:lang w:val="fr-CA"/>
        </w:rPr>
        <w:t> </w:t>
      </w:r>
      <w:r w:rsidR="008C28DF" w:rsidRPr="005F229C">
        <w:rPr>
          <w:lang w:val="fr-CA"/>
        </w:rPr>
        <w:t>Fasken Martineau DuMoulin, Montréal.</w:t>
      </w:r>
    </w:p>
    <w:p w:rsidR="00A078B6" w:rsidRPr="005F229C" w:rsidRDefault="005B772F" w:rsidP="00455B08">
      <w:pPr>
        <w:pStyle w:val="SCCLawFirm"/>
        <w:spacing w:after="480"/>
        <w:rPr>
          <w:lang w:val="fr-CA"/>
        </w:rPr>
      </w:pPr>
      <w:r w:rsidRPr="005F229C">
        <w:rPr>
          <w:lang w:val="fr-CA"/>
        </w:rPr>
        <w:tab/>
        <w:t>Procureurs des intervenants le</w:t>
      </w:r>
      <w:r w:rsidR="008C28DF" w:rsidRPr="005F229C">
        <w:rPr>
          <w:lang w:val="fr-CA"/>
        </w:rPr>
        <w:t xml:space="preserve"> Syndicat international des déba</w:t>
      </w:r>
      <w:r w:rsidRPr="005F229C">
        <w:rPr>
          <w:lang w:val="fr-CA"/>
        </w:rPr>
        <w:t>rdeurs et magasiniers du Canada, l’Association i</w:t>
      </w:r>
      <w:r w:rsidR="008C28DF" w:rsidRPr="005F229C">
        <w:rPr>
          <w:lang w:val="fr-CA"/>
        </w:rPr>
        <w:t>nternational</w:t>
      </w:r>
      <w:r w:rsidRPr="005F229C">
        <w:rPr>
          <w:lang w:val="fr-CA"/>
        </w:rPr>
        <w:t>e des</w:t>
      </w:r>
      <w:r w:rsidR="008C28DF" w:rsidRPr="005F229C">
        <w:rPr>
          <w:lang w:val="fr-CA"/>
        </w:rPr>
        <w:t xml:space="preserve"> </w:t>
      </w:r>
      <w:r w:rsidRPr="005F229C">
        <w:rPr>
          <w:lang w:val="fr-CA"/>
        </w:rPr>
        <w:t>débardeurs</w:t>
      </w:r>
      <w:r w:rsidR="008C28DF" w:rsidRPr="005F229C">
        <w:rPr>
          <w:lang w:val="fr-CA"/>
        </w:rPr>
        <w:t>, section</w:t>
      </w:r>
      <w:r w:rsidRPr="005F229C">
        <w:rPr>
          <w:lang w:val="fr-CA"/>
        </w:rPr>
        <w:t>s locales 269,</w:t>
      </w:r>
      <w:r w:rsidR="00183C7D" w:rsidRPr="005F229C">
        <w:rPr>
          <w:lang w:val="fr-CA"/>
        </w:rPr>
        <w:t xml:space="preserve"> </w:t>
      </w:r>
      <w:r w:rsidRPr="005F229C">
        <w:rPr>
          <w:lang w:val="fr-CA"/>
        </w:rPr>
        <w:t>1341, 1657 et 1825</w:t>
      </w:r>
      <w:r w:rsidR="008C28DF" w:rsidRPr="005F229C">
        <w:rPr>
          <w:lang w:val="fr-CA"/>
        </w:rPr>
        <w:t xml:space="preserve"> et le Syndicat canadien de la fonction publique, section locale 375</w:t>
      </w:r>
      <w:r w:rsidR="005F229C">
        <w:rPr>
          <w:lang w:val="fr-CA"/>
        </w:rPr>
        <w:t> :</w:t>
      </w:r>
      <w:r w:rsidR="005F229C" w:rsidRPr="005F229C">
        <w:rPr>
          <w:lang w:val="fr-CA"/>
        </w:rPr>
        <w:t> </w:t>
      </w:r>
      <w:r w:rsidR="008C28DF" w:rsidRPr="005F229C">
        <w:rPr>
          <w:lang w:val="fr-CA"/>
        </w:rPr>
        <w:t>Victory Square Law Office, Vancouver.</w:t>
      </w:r>
    </w:p>
    <w:sectPr w:rsidR="00A078B6" w:rsidRPr="005F229C"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95" w:rsidRDefault="00F15795">
      <w:r>
        <w:separator/>
      </w:r>
    </w:p>
  </w:endnote>
  <w:endnote w:type="continuationSeparator" w:id="0">
    <w:p w:rsidR="00F15795" w:rsidRDefault="00F1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95" w:rsidRDefault="00F15795">
      <w:r>
        <w:separator/>
      </w:r>
    </w:p>
  </w:footnote>
  <w:footnote w:type="continuationSeparator" w:id="0">
    <w:p w:rsidR="00F15795" w:rsidRDefault="00F15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C01B8E"/>
    <w:multiLevelType w:val="hybridMultilevel"/>
    <w:tmpl w:val="A030D540"/>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DB5483"/>
    <w:multiLevelType w:val="multilevel"/>
    <w:tmpl w:val="E5DE178C"/>
    <w:lvl w:ilvl="0">
      <w:start w:val="1"/>
      <w:numFmt w:val="decimal"/>
      <w:lvlText w:val="%1"/>
      <w:lvlJc w:val="left"/>
      <w:pPr>
        <w:ind w:left="360" w:hanging="360"/>
      </w:pPr>
      <w:rPr>
        <w:rFonts w:hint="default"/>
      </w:rPr>
    </w:lvl>
    <w:lvl w:ilvl="1">
      <w:start w:val="1"/>
      <w:numFmt w:val="decimal"/>
      <w:lvlText w:val="%1.%2"/>
      <w:lvlJc w:val="left"/>
      <w:pPr>
        <w:ind w:left="1526" w:hanging="360"/>
      </w:pPr>
      <w:rPr>
        <w:rFonts w:hint="default"/>
      </w:rPr>
    </w:lvl>
    <w:lvl w:ilvl="2">
      <w:start w:val="1"/>
      <w:numFmt w:val="decimal"/>
      <w:lvlText w:val="%1.%2.%3"/>
      <w:lvlJc w:val="left"/>
      <w:pPr>
        <w:ind w:left="3052" w:hanging="720"/>
      </w:pPr>
      <w:rPr>
        <w:rFonts w:hint="default"/>
      </w:rPr>
    </w:lvl>
    <w:lvl w:ilvl="3">
      <w:start w:val="1"/>
      <w:numFmt w:val="decimal"/>
      <w:lvlText w:val="%1.%2.%3.%4"/>
      <w:lvlJc w:val="left"/>
      <w:pPr>
        <w:ind w:left="4218" w:hanging="720"/>
      </w:pPr>
      <w:rPr>
        <w:rFonts w:hint="default"/>
      </w:rPr>
    </w:lvl>
    <w:lvl w:ilvl="4">
      <w:start w:val="1"/>
      <w:numFmt w:val="decimal"/>
      <w:lvlText w:val="%1.%2.%3.%4.%5"/>
      <w:lvlJc w:val="left"/>
      <w:pPr>
        <w:ind w:left="5744" w:hanging="1080"/>
      </w:pPr>
      <w:rPr>
        <w:rFonts w:hint="default"/>
      </w:rPr>
    </w:lvl>
    <w:lvl w:ilvl="5">
      <w:start w:val="1"/>
      <w:numFmt w:val="decimal"/>
      <w:lvlText w:val="%1.%2.%3.%4.%5.%6"/>
      <w:lvlJc w:val="left"/>
      <w:pPr>
        <w:ind w:left="6910" w:hanging="1080"/>
      </w:pPr>
      <w:rPr>
        <w:rFonts w:hint="default"/>
      </w:rPr>
    </w:lvl>
    <w:lvl w:ilvl="6">
      <w:start w:val="1"/>
      <w:numFmt w:val="decimal"/>
      <w:lvlText w:val="%1.%2.%3.%4.%5.%6.%7"/>
      <w:lvlJc w:val="left"/>
      <w:pPr>
        <w:ind w:left="8436" w:hanging="1440"/>
      </w:pPr>
      <w:rPr>
        <w:rFonts w:hint="default"/>
      </w:rPr>
    </w:lvl>
    <w:lvl w:ilvl="7">
      <w:start w:val="1"/>
      <w:numFmt w:val="decimal"/>
      <w:lvlText w:val="%1.%2.%3.%4.%5.%6.%7.%8"/>
      <w:lvlJc w:val="left"/>
      <w:pPr>
        <w:ind w:left="9602" w:hanging="1440"/>
      </w:pPr>
      <w:rPr>
        <w:rFonts w:hint="default"/>
      </w:rPr>
    </w:lvl>
    <w:lvl w:ilvl="8">
      <w:start w:val="1"/>
      <w:numFmt w:val="decimal"/>
      <w:lvlText w:val="%1.%2.%3.%4.%5.%6.%7.%8.%9"/>
      <w:lvlJc w:val="left"/>
      <w:pPr>
        <w:ind w:left="11128" w:hanging="1800"/>
      </w:pPr>
      <w:rPr>
        <w:rFonts w:hint="default"/>
      </w:rPr>
    </w:lvl>
  </w:abstractNum>
  <w:abstractNum w:abstractNumId="5" w15:restartNumberingAfterBreak="0">
    <w:nsid w:val="3C873CBD"/>
    <w:multiLevelType w:val="hybridMultilevel"/>
    <w:tmpl w:val="E9668C84"/>
    <w:lvl w:ilvl="0" w:tplc="3DEAB9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85883FC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7826E1"/>
    <w:multiLevelType w:val="multilevel"/>
    <w:tmpl w:val="F55421F4"/>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bullet"/>
      <w:lvlText w:val=""/>
      <w:lvlJc w:val="left"/>
      <w:pPr>
        <w:tabs>
          <w:tab w:val="num" w:pos="1152"/>
        </w:tabs>
        <w:ind w:left="1152" w:hanging="576"/>
      </w:pPr>
      <w:rPr>
        <w:rFonts w:ascii="Symbol" w:hAnsi="Symbol"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54283EE8"/>
    <w:multiLevelType w:val="multilevel"/>
    <w:tmpl w:val="6B1C9448"/>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BF5510"/>
    <w:multiLevelType w:val="hybridMultilevel"/>
    <w:tmpl w:val="64B00A9A"/>
    <w:lvl w:ilvl="0" w:tplc="54EEC01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7"/>
  </w:num>
  <w:num w:numId="5">
    <w:abstractNumId w:val="8"/>
  </w:num>
  <w:num w:numId="6">
    <w:abstractNumId w:val="10"/>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9"/>
  </w:num>
  <w:num w:numId="11">
    <w:abstractNumId w:val="2"/>
  </w:num>
  <w:num w:numId="12">
    <w:abstractNumId w:val="4"/>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73B"/>
    <w:rsid w:val="00000ED4"/>
    <w:rsid w:val="00023FC7"/>
    <w:rsid w:val="00025198"/>
    <w:rsid w:val="00033B54"/>
    <w:rsid w:val="000578A3"/>
    <w:rsid w:val="000648CC"/>
    <w:rsid w:val="00071A1C"/>
    <w:rsid w:val="000920EC"/>
    <w:rsid w:val="0009277C"/>
    <w:rsid w:val="0009383B"/>
    <w:rsid w:val="00097180"/>
    <w:rsid w:val="000B04B3"/>
    <w:rsid w:val="000B4416"/>
    <w:rsid w:val="000C59B8"/>
    <w:rsid w:val="000C6707"/>
    <w:rsid w:val="000C6AF0"/>
    <w:rsid w:val="000D0A77"/>
    <w:rsid w:val="000D5664"/>
    <w:rsid w:val="000E0070"/>
    <w:rsid w:val="000F3A95"/>
    <w:rsid w:val="000F7993"/>
    <w:rsid w:val="00104F33"/>
    <w:rsid w:val="00111DE2"/>
    <w:rsid w:val="0011348D"/>
    <w:rsid w:val="00116B38"/>
    <w:rsid w:val="00124063"/>
    <w:rsid w:val="0012538C"/>
    <w:rsid w:val="00135406"/>
    <w:rsid w:val="00135972"/>
    <w:rsid w:val="001426A9"/>
    <w:rsid w:val="00143E7E"/>
    <w:rsid w:val="00145E30"/>
    <w:rsid w:val="00154D7C"/>
    <w:rsid w:val="001570B0"/>
    <w:rsid w:val="0015752C"/>
    <w:rsid w:val="00157737"/>
    <w:rsid w:val="00165277"/>
    <w:rsid w:val="001662BB"/>
    <w:rsid w:val="00170592"/>
    <w:rsid w:val="001720F7"/>
    <w:rsid w:val="0017798D"/>
    <w:rsid w:val="00182783"/>
    <w:rsid w:val="00183C7D"/>
    <w:rsid w:val="00194D6A"/>
    <w:rsid w:val="00195D83"/>
    <w:rsid w:val="001A00C1"/>
    <w:rsid w:val="001A2B1D"/>
    <w:rsid w:val="001B2DE1"/>
    <w:rsid w:val="001B33E0"/>
    <w:rsid w:val="001B369F"/>
    <w:rsid w:val="001B4573"/>
    <w:rsid w:val="001C779F"/>
    <w:rsid w:val="001D2AC1"/>
    <w:rsid w:val="001D4231"/>
    <w:rsid w:val="001D4E88"/>
    <w:rsid w:val="001E14C7"/>
    <w:rsid w:val="001E7CF5"/>
    <w:rsid w:val="001F193F"/>
    <w:rsid w:val="001F1E4C"/>
    <w:rsid w:val="002021E8"/>
    <w:rsid w:val="00217518"/>
    <w:rsid w:val="00217838"/>
    <w:rsid w:val="00217A0C"/>
    <w:rsid w:val="00220FC2"/>
    <w:rsid w:val="002222F4"/>
    <w:rsid w:val="00224FC0"/>
    <w:rsid w:val="00225EA4"/>
    <w:rsid w:val="00226EAF"/>
    <w:rsid w:val="00231F3A"/>
    <w:rsid w:val="00235EF2"/>
    <w:rsid w:val="002406EE"/>
    <w:rsid w:val="00243EC8"/>
    <w:rsid w:val="00245497"/>
    <w:rsid w:val="002474B6"/>
    <w:rsid w:val="0026170F"/>
    <w:rsid w:val="0027071F"/>
    <w:rsid w:val="00270D93"/>
    <w:rsid w:val="002717FF"/>
    <w:rsid w:val="00271ABE"/>
    <w:rsid w:val="002745CC"/>
    <w:rsid w:val="00275940"/>
    <w:rsid w:val="00276486"/>
    <w:rsid w:val="002A4697"/>
    <w:rsid w:val="002B6FBE"/>
    <w:rsid w:val="002B7924"/>
    <w:rsid w:val="002C10A6"/>
    <w:rsid w:val="002C4185"/>
    <w:rsid w:val="002C7C55"/>
    <w:rsid w:val="002D28C3"/>
    <w:rsid w:val="002D39A4"/>
    <w:rsid w:val="002D4E11"/>
    <w:rsid w:val="002E28D8"/>
    <w:rsid w:val="002E6705"/>
    <w:rsid w:val="002F3266"/>
    <w:rsid w:val="0030329A"/>
    <w:rsid w:val="0030529C"/>
    <w:rsid w:val="0030779B"/>
    <w:rsid w:val="00310234"/>
    <w:rsid w:val="0031086F"/>
    <w:rsid w:val="0031414C"/>
    <w:rsid w:val="00314E01"/>
    <w:rsid w:val="0032089D"/>
    <w:rsid w:val="003310DE"/>
    <w:rsid w:val="003323B0"/>
    <w:rsid w:val="003374C8"/>
    <w:rsid w:val="00340A49"/>
    <w:rsid w:val="0035169A"/>
    <w:rsid w:val="0035259D"/>
    <w:rsid w:val="00352D7A"/>
    <w:rsid w:val="0035494A"/>
    <w:rsid w:val="00364B18"/>
    <w:rsid w:val="00373A17"/>
    <w:rsid w:val="00387B67"/>
    <w:rsid w:val="00391412"/>
    <w:rsid w:val="003A125D"/>
    <w:rsid w:val="003A4C70"/>
    <w:rsid w:val="003B215F"/>
    <w:rsid w:val="003B6BD5"/>
    <w:rsid w:val="003C799C"/>
    <w:rsid w:val="003D0399"/>
    <w:rsid w:val="003D26B0"/>
    <w:rsid w:val="003D457E"/>
    <w:rsid w:val="003D5F22"/>
    <w:rsid w:val="003E1C71"/>
    <w:rsid w:val="003F1ED5"/>
    <w:rsid w:val="003F217B"/>
    <w:rsid w:val="003F327B"/>
    <w:rsid w:val="003F59CD"/>
    <w:rsid w:val="00406166"/>
    <w:rsid w:val="0040704B"/>
    <w:rsid w:val="00410A55"/>
    <w:rsid w:val="00411300"/>
    <w:rsid w:val="00413F17"/>
    <w:rsid w:val="00414C67"/>
    <w:rsid w:val="00415417"/>
    <w:rsid w:val="00421148"/>
    <w:rsid w:val="00426659"/>
    <w:rsid w:val="00433858"/>
    <w:rsid w:val="00442197"/>
    <w:rsid w:val="00450352"/>
    <w:rsid w:val="00454BDB"/>
    <w:rsid w:val="00455B08"/>
    <w:rsid w:val="00460164"/>
    <w:rsid w:val="00465132"/>
    <w:rsid w:val="00480C90"/>
    <w:rsid w:val="00480EA9"/>
    <w:rsid w:val="004822D6"/>
    <w:rsid w:val="0048396F"/>
    <w:rsid w:val="00493C18"/>
    <w:rsid w:val="004A600C"/>
    <w:rsid w:val="004A6118"/>
    <w:rsid w:val="004A6AFC"/>
    <w:rsid w:val="004C1D6A"/>
    <w:rsid w:val="004C478D"/>
    <w:rsid w:val="004D1A01"/>
    <w:rsid w:val="004D48F2"/>
    <w:rsid w:val="004D7D95"/>
    <w:rsid w:val="004E2C26"/>
    <w:rsid w:val="004E4B46"/>
    <w:rsid w:val="004F32C2"/>
    <w:rsid w:val="0050654D"/>
    <w:rsid w:val="005125A8"/>
    <w:rsid w:val="00517549"/>
    <w:rsid w:val="00520A48"/>
    <w:rsid w:val="00520ABC"/>
    <w:rsid w:val="00521AE8"/>
    <w:rsid w:val="005222E6"/>
    <w:rsid w:val="00526AD6"/>
    <w:rsid w:val="00527180"/>
    <w:rsid w:val="00533424"/>
    <w:rsid w:val="005439C5"/>
    <w:rsid w:val="00555291"/>
    <w:rsid w:val="00560F70"/>
    <w:rsid w:val="00566382"/>
    <w:rsid w:val="00566AD1"/>
    <w:rsid w:val="00583A52"/>
    <w:rsid w:val="00583EDE"/>
    <w:rsid w:val="005A1FAE"/>
    <w:rsid w:val="005A6079"/>
    <w:rsid w:val="005B772F"/>
    <w:rsid w:val="005C003D"/>
    <w:rsid w:val="005C2581"/>
    <w:rsid w:val="005C34BA"/>
    <w:rsid w:val="005C632E"/>
    <w:rsid w:val="005D196A"/>
    <w:rsid w:val="005E4698"/>
    <w:rsid w:val="005F02EF"/>
    <w:rsid w:val="005F229C"/>
    <w:rsid w:val="005F3BCE"/>
    <w:rsid w:val="006026DF"/>
    <w:rsid w:val="00603924"/>
    <w:rsid w:val="00607486"/>
    <w:rsid w:val="00610539"/>
    <w:rsid w:val="00613969"/>
    <w:rsid w:val="006226E9"/>
    <w:rsid w:val="00625C35"/>
    <w:rsid w:val="0063084B"/>
    <w:rsid w:val="00643DCC"/>
    <w:rsid w:val="00647E49"/>
    <w:rsid w:val="0065261C"/>
    <w:rsid w:val="0065477F"/>
    <w:rsid w:val="0065598A"/>
    <w:rsid w:val="0065623A"/>
    <w:rsid w:val="00656313"/>
    <w:rsid w:val="006565F4"/>
    <w:rsid w:val="00670136"/>
    <w:rsid w:val="0068104C"/>
    <w:rsid w:val="0068361A"/>
    <w:rsid w:val="00684EEA"/>
    <w:rsid w:val="0068575A"/>
    <w:rsid w:val="00692F71"/>
    <w:rsid w:val="00694A27"/>
    <w:rsid w:val="0069689B"/>
    <w:rsid w:val="006B5FF5"/>
    <w:rsid w:val="006D7B4A"/>
    <w:rsid w:val="006F30AF"/>
    <w:rsid w:val="00701759"/>
    <w:rsid w:val="00705C15"/>
    <w:rsid w:val="007110F6"/>
    <w:rsid w:val="0071581E"/>
    <w:rsid w:val="007208D1"/>
    <w:rsid w:val="00720B0B"/>
    <w:rsid w:val="007261B5"/>
    <w:rsid w:val="00732E15"/>
    <w:rsid w:val="00744518"/>
    <w:rsid w:val="00747288"/>
    <w:rsid w:val="00747DD3"/>
    <w:rsid w:val="007549C8"/>
    <w:rsid w:val="00766D14"/>
    <w:rsid w:val="00767A0F"/>
    <w:rsid w:val="00776212"/>
    <w:rsid w:val="0078019C"/>
    <w:rsid w:val="00791272"/>
    <w:rsid w:val="00791442"/>
    <w:rsid w:val="007970E4"/>
    <w:rsid w:val="007972CB"/>
    <w:rsid w:val="007A05F6"/>
    <w:rsid w:val="007A77E6"/>
    <w:rsid w:val="007B16FB"/>
    <w:rsid w:val="007B1D84"/>
    <w:rsid w:val="007B4488"/>
    <w:rsid w:val="007B6F4A"/>
    <w:rsid w:val="007D57F8"/>
    <w:rsid w:val="007D5CFA"/>
    <w:rsid w:val="007D7DC8"/>
    <w:rsid w:val="007E1C47"/>
    <w:rsid w:val="007E337A"/>
    <w:rsid w:val="007E5C70"/>
    <w:rsid w:val="007F0181"/>
    <w:rsid w:val="007F2AE0"/>
    <w:rsid w:val="007F2FF5"/>
    <w:rsid w:val="007F3F08"/>
    <w:rsid w:val="00804CC6"/>
    <w:rsid w:val="00815505"/>
    <w:rsid w:val="00815567"/>
    <w:rsid w:val="00817190"/>
    <w:rsid w:val="00822BB8"/>
    <w:rsid w:val="008260E2"/>
    <w:rsid w:val="008322BD"/>
    <w:rsid w:val="00834F73"/>
    <w:rsid w:val="00864C8A"/>
    <w:rsid w:val="00864CF8"/>
    <w:rsid w:val="00874914"/>
    <w:rsid w:val="00876A8A"/>
    <w:rsid w:val="00877766"/>
    <w:rsid w:val="0088661A"/>
    <w:rsid w:val="00887880"/>
    <w:rsid w:val="00891422"/>
    <w:rsid w:val="00892E1A"/>
    <w:rsid w:val="008955EE"/>
    <w:rsid w:val="008B4487"/>
    <w:rsid w:val="008B660A"/>
    <w:rsid w:val="008C01DA"/>
    <w:rsid w:val="008C28DF"/>
    <w:rsid w:val="008C4EB1"/>
    <w:rsid w:val="008C5623"/>
    <w:rsid w:val="008D42E3"/>
    <w:rsid w:val="008F2674"/>
    <w:rsid w:val="008F78E9"/>
    <w:rsid w:val="009006AB"/>
    <w:rsid w:val="009026E6"/>
    <w:rsid w:val="00905EA0"/>
    <w:rsid w:val="009179F9"/>
    <w:rsid w:val="00917C7A"/>
    <w:rsid w:val="00933E5E"/>
    <w:rsid w:val="00935218"/>
    <w:rsid w:val="00937C52"/>
    <w:rsid w:val="009403F3"/>
    <w:rsid w:val="00940E68"/>
    <w:rsid w:val="009555B7"/>
    <w:rsid w:val="009567AA"/>
    <w:rsid w:val="009602C9"/>
    <w:rsid w:val="00967374"/>
    <w:rsid w:val="00984645"/>
    <w:rsid w:val="00991EFC"/>
    <w:rsid w:val="009A343A"/>
    <w:rsid w:val="009B2238"/>
    <w:rsid w:val="009B2F23"/>
    <w:rsid w:val="009B57B3"/>
    <w:rsid w:val="009C0A36"/>
    <w:rsid w:val="009D2920"/>
    <w:rsid w:val="009D5AEB"/>
    <w:rsid w:val="009F0E33"/>
    <w:rsid w:val="00A01FCD"/>
    <w:rsid w:val="00A07107"/>
    <w:rsid w:val="00A078B6"/>
    <w:rsid w:val="00A1346F"/>
    <w:rsid w:val="00A149DF"/>
    <w:rsid w:val="00A1755C"/>
    <w:rsid w:val="00A21B90"/>
    <w:rsid w:val="00A221E6"/>
    <w:rsid w:val="00A22AAC"/>
    <w:rsid w:val="00A23399"/>
    <w:rsid w:val="00A3063F"/>
    <w:rsid w:val="00A41805"/>
    <w:rsid w:val="00A51882"/>
    <w:rsid w:val="00A52AFB"/>
    <w:rsid w:val="00A548CB"/>
    <w:rsid w:val="00A5521C"/>
    <w:rsid w:val="00A643E7"/>
    <w:rsid w:val="00A73C38"/>
    <w:rsid w:val="00A74834"/>
    <w:rsid w:val="00A76406"/>
    <w:rsid w:val="00A90C09"/>
    <w:rsid w:val="00A921A7"/>
    <w:rsid w:val="00AA3D42"/>
    <w:rsid w:val="00AB12F5"/>
    <w:rsid w:val="00AB670D"/>
    <w:rsid w:val="00AC7047"/>
    <w:rsid w:val="00AE0AC2"/>
    <w:rsid w:val="00AE72EA"/>
    <w:rsid w:val="00AF03C5"/>
    <w:rsid w:val="00AF088D"/>
    <w:rsid w:val="00AF1D5F"/>
    <w:rsid w:val="00B000D8"/>
    <w:rsid w:val="00B00F75"/>
    <w:rsid w:val="00B0254E"/>
    <w:rsid w:val="00B10A25"/>
    <w:rsid w:val="00B145B6"/>
    <w:rsid w:val="00B20A92"/>
    <w:rsid w:val="00B216E8"/>
    <w:rsid w:val="00B279EB"/>
    <w:rsid w:val="00B300CF"/>
    <w:rsid w:val="00B349BA"/>
    <w:rsid w:val="00B40C65"/>
    <w:rsid w:val="00B42D2E"/>
    <w:rsid w:val="00B4502A"/>
    <w:rsid w:val="00B5001D"/>
    <w:rsid w:val="00B50C81"/>
    <w:rsid w:val="00B52DE4"/>
    <w:rsid w:val="00B557F8"/>
    <w:rsid w:val="00B5584A"/>
    <w:rsid w:val="00B60A8A"/>
    <w:rsid w:val="00B726B2"/>
    <w:rsid w:val="00B7543C"/>
    <w:rsid w:val="00B815FC"/>
    <w:rsid w:val="00B85AB3"/>
    <w:rsid w:val="00B93FBC"/>
    <w:rsid w:val="00BA7DA0"/>
    <w:rsid w:val="00BB28A3"/>
    <w:rsid w:val="00BB2EE4"/>
    <w:rsid w:val="00BB4C92"/>
    <w:rsid w:val="00BC2108"/>
    <w:rsid w:val="00BC656D"/>
    <w:rsid w:val="00BD0E9E"/>
    <w:rsid w:val="00BD1BEC"/>
    <w:rsid w:val="00BD32FF"/>
    <w:rsid w:val="00BE2163"/>
    <w:rsid w:val="00BF2AA1"/>
    <w:rsid w:val="00BF6FE9"/>
    <w:rsid w:val="00C02092"/>
    <w:rsid w:val="00C04EB4"/>
    <w:rsid w:val="00C1290A"/>
    <w:rsid w:val="00C15DC3"/>
    <w:rsid w:val="00C166AA"/>
    <w:rsid w:val="00C24D91"/>
    <w:rsid w:val="00C26DB2"/>
    <w:rsid w:val="00C40EE8"/>
    <w:rsid w:val="00C44524"/>
    <w:rsid w:val="00C5034B"/>
    <w:rsid w:val="00C507B6"/>
    <w:rsid w:val="00C5286A"/>
    <w:rsid w:val="00C53F14"/>
    <w:rsid w:val="00C55F1F"/>
    <w:rsid w:val="00C600CF"/>
    <w:rsid w:val="00C6034A"/>
    <w:rsid w:val="00C6084F"/>
    <w:rsid w:val="00C62A66"/>
    <w:rsid w:val="00C62DBA"/>
    <w:rsid w:val="00C64474"/>
    <w:rsid w:val="00C66359"/>
    <w:rsid w:val="00C6729D"/>
    <w:rsid w:val="00C70085"/>
    <w:rsid w:val="00C71458"/>
    <w:rsid w:val="00C76956"/>
    <w:rsid w:val="00C77613"/>
    <w:rsid w:val="00C828E7"/>
    <w:rsid w:val="00C86719"/>
    <w:rsid w:val="00C921DD"/>
    <w:rsid w:val="00CA6391"/>
    <w:rsid w:val="00CA6ED1"/>
    <w:rsid w:val="00CC41B6"/>
    <w:rsid w:val="00CE036E"/>
    <w:rsid w:val="00CE3171"/>
    <w:rsid w:val="00CE552A"/>
    <w:rsid w:val="00CF1601"/>
    <w:rsid w:val="00CF5E22"/>
    <w:rsid w:val="00D0172F"/>
    <w:rsid w:val="00D01E33"/>
    <w:rsid w:val="00D03FA3"/>
    <w:rsid w:val="00D068A7"/>
    <w:rsid w:val="00D0743E"/>
    <w:rsid w:val="00D17476"/>
    <w:rsid w:val="00D17B0E"/>
    <w:rsid w:val="00D3037A"/>
    <w:rsid w:val="00D31134"/>
    <w:rsid w:val="00D32086"/>
    <w:rsid w:val="00D37A3F"/>
    <w:rsid w:val="00D4431D"/>
    <w:rsid w:val="00D4531B"/>
    <w:rsid w:val="00D4667A"/>
    <w:rsid w:val="00D55AD9"/>
    <w:rsid w:val="00D63A1C"/>
    <w:rsid w:val="00D64A87"/>
    <w:rsid w:val="00D7110C"/>
    <w:rsid w:val="00D73EDE"/>
    <w:rsid w:val="00D73FE5"/>
    <w:rsid w:val="00D7516F"/>
    <w:rsid w:val="00D8096A"/>
    <w:rsid w:val="00D87272"/>
    <w:rsid w:val="00D90EDC"/>
    <w:rsid w:val="00D95F8E"/>
    <w:rsid w:val="00DA0590"/>
    <w:rsid w:val="00DB54C9"/>
    <w:rsid w:val="00DC1739"/>
    <w:rsid w:val="00DC1788"/>
    <w:rsid w:val="00DE319C"/>
    <w:rsid w:val="00DE49BE"/>
    <w:rsid w:val="00DE6970"/>
    <w:rsid w:val="00DF0CA8"/>
    <w:rsid w:val="00DF2B48"/>
    <w:rsid w:val="00DF2C6A"/>
    <w:rsid w:val="00DF49A7"/>
    <w:rsid w:val="00E01A3E"/>
    <w:rsid w:val="00E07EE2"/>
    <w:rsid w:val="00E07FD1"/>
    <w:rsid w:val="00E168D7"/>
    <w:rsid w:val="00E24573"/>
    <w:rsid w:val="00E25E1E"/>
    <w:rsid w:val="00E27EE7"/>
    <w:rsid w:val="00E327AB"/>
    <w:rsid w:val="00E35404"/>
    <w:rsid w:val="00E45109"/>
    <w:rsid w:val="00E45DD5"/>
    <w:rsid w:val="00E47B7A"/>
    <w:rsid w:val="00E5053E"/>
    <w:rsid w:val="00E5113F"/>
    <w:rsid w:val="00E56A44"/>
    <w:rsid w:val="00E60269"/>
    <w:rsid w:val="00E668EF"/>
    <w:rsid w:val="00E70A39"/>
    <w:rsid w:val="00E7520D"/>
    <w:rsid w:val="00E9780B"/>
    <w:rsid w:val="00E97830"/>
    <w:rsid w:val="00EA14BD"/>
    <w:rsid w:val="00EA1DAE"/>
    <w:rsid w:val="00EA3D94"/>
    <w:rsid w:val="00EA665F"/>
    <w:rsid w:val="00EB09E0"/>
    <w:rsid w:val="00EB1644"/>
    <w:rsid w:val="00EB3CEE"/>
    <w:rsid w:val="00EC0B9A"/>
    <w:rsid w:val="00ED5921"/>
    <w:rsid w:val="00ED6BAF"/>
    <w:rsid w:val="00EE0830"/>
    <w:rsid w:val="00EE1900"/>
    <w:rsid w:val="00EE52BB"/>
    <w:rsid w:val="00EE6CB8"/>
    <w:rsid w:val="00EF0110"/>
    <w:rsid w:val="00EF0683"/>
    <w:rsid w:val="00EF47F4"/>
    <w:rsid w:val="00F0070C"/>
    <w:rsid w:val="00F00EB7"/>
    <w:rsid w:val="00F01ED2"/>
    <w:rsid w:val="00F02DD2"/>
    <w:rsid w:val="00F1336C"/>
    <w:rsid w:val="00F15795"/>
    <w:rsid w:val="00F33983"/>
    <w:rsid w:val="00F36AB6"/>
    <w:rsid w:val="00F37A09"/>
    <w:rsid w:val="00F40830"/>
    <w:rsid w:val="00F409CE"/>
    <w:rsid w:val="00F4379D"/>
    <w:rsid w:val="00F50D2D"/>
    <w:rsid w:val="00F55D85"/>
    <w:rsid w:val="00F56C8B"/>
    <w:rsid w:val="00F62007"/>
    <w:rsid w:val="00F62639"/>
    <w:rsid w:val="00F649C3"/>
    <w:rsid w:val="00F66810"/>
    <w:rsid w:val="00F84DF4"/>
    <w:rsid w:val="00F8591C"/>
    <w:rsid w:val="00F85C97"/>
    <w:rsid w:val="00F865EE"/>
    <w:rsid w:val="00F91676"/>
    <w:rsid w:val="00FA5C82"/>
    <w:rsid w:val="00FB213C"/>
    <w:rsid w:val="00FB37D2"/>
    <w:rsid w:val="00FC4EFB"/>
    <w:rsid w:val="00FD068D"/>
    <w:rsid w:val="00FD4F28"/>
    <w:rsid w:val="00FD5EB8"/>
    <w:rsid w:val="00FE12B9"/>
    <w:rsid w:val="00FE155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B7543C"/>
    <w:pPr>
      <w:spacing w:after="480"/>
    </w:pPr>
    <w:rPr>
      <w:rFonts w:eastAsiaTheme="minorHAnsi" w:cstheme="minorBidi"/>
      <w:szCs w:val="22"/>
      <w:lang w:eastAsia="en-US"/>
    </w:rPr>
  </w:style>
  <w:style w:type="paragraph" w:customStyle="1" w:styleId="SCCCoram">
    <w:name w:val="SCC.Coram"/>
    <w:basedOn w:val="Normal"/>
    <w:next w:val="Normal"/>
    <w:link w:val="SCCCoramChar"/>
    <w:rsid w:val="00B7543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7543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7543C"/>
    <w:rPr>
      <w:rFonts w:eastAsiaTheme="minorHAnsi" w:cstheme="minorBidi"/>
      <w:sz w:val="24"/>
      <w:szCs w:val="22"/>
      <w:lang w:eastAsia="en-US"/>
    </w:rPr>
  </w:style>
  <w:style w:type="character" w:customStyle="1" w:styleId="SCCBanSummaryChar">
    <w:name w:val="SCC.BanSummary Char"/>
    <w:basedOn w:val="DefaultParagraphFont"/>
    <w:link w:val="SCCBanSummary"/>
    <w:rsid w:val="00B7543C"/>
    <w:rPr>
      <w:b/>
      <w:sz w:val="24"/>
    </w:rPr>
  </w:style>
  <w:style w:type="table" w:styleId="TableGrid">
    <w:name w:val="Table Grid"/>
    <w:basedOn w:val="TableNormal"/>
    <w:uiPriority w:val="59"/>
    <w:rsid w:val="00B7543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7543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7543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7543C"/>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B7543C"/>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7543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7543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7543C"/>
    <w:pPr>
      <w:numPr>
        <w:ilvl w:val="2"/>
      </w:numPr>
      <w:outlineLvl w:val="2"/>
    </w:pPr>
  </w:style>
  <w:style w:type="paragraph" w:customStyle="1" w:styleId="Title4LevelTitre4Niveau">
    <w:name w:val="Title 4 Level / Titre 4 Niveau"/>
    <w:basedOn w:val="Title3LevelTitre3Niveau"/>
    <w:next w:val="ParaNoNdepar-AltN"/>
    <w:uiPriority w:val="4"/>
    <w:qFormat/>
    <w:rsid w:val="00B7543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7543C"/>
    <w:pPr>
      <w:numPr>
        <w:ilvl w:val="4"/>
      </w:numPr>
      <w:outlineLvl w:val="4"/>
    </w:pPr>
  </w:style>
  <w:style w:type="paragraph" w:styleId="TOC1">
    <w:name w:val="toc 1"/>
    <w:basedOn w:val="Normal"/>
    <w:next w:val="Normal"/>
    <w:autoRedefine/>
    <w:uiPriority w:val="39"/>
    <w:unhideWhenUsed/>
    <w:rsid w:val="00B7543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7543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7543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7543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7543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7543C"/>
    <w:pPr>
      <w:tabs>
        <w:tab w:val="left" w:pos="2160"/>
        <w:tab w:val="right" w:leader="dot" w:pos="8270"/>
      </w:tabs>
      <w:spacing w:after="100"/>
      <w:ind w:left="1800"/>
    </w:pPr>
    <w:rPr>
      <w:noProof/>
    </w:rPr>
  </w:style>
  <w:style w:type="table" w:customStyle="1" w:styleId="TableGrid1">
    <w:name w:val="Table Grid1"/>
    <w:basedOn w:val="TableNormal"/>
    <w:uiPriority w:val="59"/>
    <w:rsid w:val="00B7543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7543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7543C"/>
    <w:pPr>
      <w:numPr>
        <w:ilvl w:val="5"/>
      </w:numPr>
      <w:outlineLvl w:val="5"/>
    </w:pPr>
    <w:rPr>
      <w:i/>
      <w:u w:val="none"/>
    </w:rPr>
  </w:style>
  <w:style w:type="paragraph" w:styleId="FootnoteText">
    <w:name w:val="footnote text"/>
    <w:basedOn w:val="Normal"/>
    <w:link w:val="FootnoteTextChar"/>
    <w:uiPriority w:val="99"/>
    <w:unhideWhenUsed/>
    <w:rsid w:val="00B7543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7543C"/>
  </w:style>
  <w:style w:type="character" w:styleId="FootnoteReference">
    <w:name w:val="footnote reference"/>
    <w:basedOn w:val="DefaultParagraphFont"/>
    <w:uiPriority w:val="99"/>
    <w:semiHidden/>
    <w:unhideWhenUsed/>
    <w:rsid w:val="00B7543C"/>
    <w:rPr>
      <w:vertAlign w:val="superscript"/>
    </w:rPr>
  </w:style>
  <w:style w:type="paragraph" w:styleId="ListParagraph">
    <w:name w:val="List Paragraph"/>
    <w:basedOn w:val="Normal"/>
    <w:uiPriority w:val="34"/>
    <w:qFormat/>
    <w:rsid w:val="00B7543C"/>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B7543C"/>
    <w:rPr>
      <w:color w:val="0000FF"/>
      <w:u w:val="single"/>
    </w:rPr>
  </w:style>
  <w:style w:type="character" w:styleId="FollowedHyperlink">
    <w:name w:val="FollowedHyperlink"/>
    <w:basedOn w:val="DefaultParagraphFont"/>
    <w:uiPriority w:val="99"/>
    <w:semiHidden/>
    <w:unhideWhenUsed/>
    <w:rsid w:val="00B7543C"/>
    <w:rPr>
      <w:color w:val="800080" w:themeColor="followedHyperlink"/>
      <w:u w:val="single"/>
    </w:rPr>
  </w:style>
  <w:style w:type="character" w:customStyle="1" w:styleId="cosearchwithinterm">
    <w:name w:val="co_searchwithinterm"/>
    <w:basedOn w:val="DefaultParagraphFont"/>
    <w:rsid w:val="00B7543C"/>
  </w:style>
  <w:style w:type="character" w:styleId="CommentReference">
    <w:name w:val="annotation reference"/>
    <w:basedOn w:val="DefaultParagraphFont"/>
    <w:uiPriority w:val="99"/>
    <w:semiHidden/>
    <w:unhideWhenUsed/>
    <w:rsid w:val="00B7543C"/>
    <w:rPr>
      <w:sz w:val="16"/>
      <w:szCs w:val="16"/>
    </w:rPr>
  </w:style>
  <w:style w:type="paragraph" w:styleId="CommentText">
    <w:name w:val="annotation text"/>
    <w:basedOn w:val="Normal"/>
    <w:link w:val="CommentTextChar"/>
    <w:uiPriority w:val="99"/>
    <w:unhideWhenUsed/>
    <w:rsid w:val="00B7543C"/>
    <w:rPr>
      <w:rFonts w:eastAsiaTheme="minorHAnsi" w:cstheme="minorBidi"/>
      <w:sz w:val="20"/>
      <w:lang w:val="en-US" w:eastAsia="en-US"/>
    </w:rPr>
  </w:style>
  <w:style w:type="character" w:customStyle="1" w:styleId="CommentTextChar">
    <w:name w:val="Comment Text Char"/>
    <w:basedOn w:val="DefaultParagraphFont"/>
    <w:link w:val="CommentText"/>
    <w:uiPriority w:val="99"/>
    <w:rsid w:val="00B7543C"/>
    <w:rPr>
      <w:rFonts w:eastAsiaTheme="minorHAnsi" w:cstheme="minorBidi"/>
      <w:lang w:val="en-US" w:eastAsia="en-US"/>
    </w:rPr>
  </w:style>
  <w:style w:type="character" w:customStyle="1" w:styleId="ParaNoNdepar-AltNChar">
    <w:name w:val="Para. No. / Nº de par. - Alt N Char"/>
    <w:basedOn w:val="DefaultParagraphFont"/>
    <w:link w:val="ParaNoNdepar-AltN"/>
    <w:rsid w:val="00B7543C"/>
    <w:rPr>
      <w:rFonts w:eastAsiaTheme="minorEastAsia" w:cstheme="minorBidi"/>
      <w:sz w:val="24"/>
      <w:szCs w:val="22"/>
      <w:lang w:eastAsia="en-US"/>
    </w:rPr>
  </w:style>
  <w:style w:type="table" w:customStyle="1" w:styleId="TableGrid2">
    <w:name w:val="Table Grid2"/>
    <w:basedOn w:val="TableNormal"/>
    <w:next w:val="TableGrid"/>
    <w:uiPriority w:val="59"/>
    <w:rsid w:val="00B7543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4549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396">
      <w:bodyDiv w:val="1"/>
      <w:marLeft w:val="0"/>
      <w:marRight w:val="0"/>
      <w:marTop w:val="0"/>
      <w:marBottom w:val="0"/>
      <w:divBdr>
        <w:top w:val="none" w:sz="0" w:space="0" w:color="auto"/>
        <w:left w:val="none" w:sz="0" w:space="0" w:color="auto"/>
        <w:bottom w:val="none" w:sz="0" w:space="0" w:color="auto"/>
        <w:right w:val="none" w:sz="0" w:space="0" w:color="auto"/>
      </w:divBdr>
    </w:div>
    <w:div w:id="234634484">
      <w:bodyDiv w:val="1"/>
      <w:marLeft w:val="0"/>
      <w:marRight w:val="0"/>
      <w:marTop w:val="0"/>
      <w:marBottom w:val="0"/>
      <w:divBdr>
        <w:top w:val="none" w:sz="0" w:space="0" w:color="auto"/>
        <w:left w:val="none" w:sz="0" w:space="0" w:color="auto"/>
        <w:bottom w:val="none" w:sz="0" w:space="0" w:color="auto"/>
        <w:right w:val="none" w:sz="0" w:space="0" w:color="auto"/>
      </w:divBdr>
    </w:div>
    <w:div w:id="253242975">
      <w:bodyDiv w:val="1"/>
      <w:marLeft w:val="0"/>
      <w:marRight w:val="0"/>
      <w:marTop w:val="0"/>
      <w:marBottom w:val="0"/>
      <w:divBdr>
        <w:top w:val="none" w:sz="0" w:space="0" w:color="auto"/>
        <w:left w:val="none" w:sz="0" w:space="0" w:color="auto"/>
        <w:bottom w:val="none" w:sz="0" w:space="0" w:color="auto"/>
        <w:right w:val="none" w:sz="0" w:space="0" w:color="auto"/>
      </w:divBdr>
    </w:div>
    <w:div w:id="263534545">
      <w:bodyDiv w:val="1"/>
      <w:marLeft w:val="0"/>
      <w:marRight w:val="0"/>
      <w:marTop w:val="0"/>
      <w:marBottom w:val="0"/>
      <w:divBdr>
        <w:top w:val="none" w:sz="0" w:space="0" w:color="auto"/>
        <w:left w:val="none" w:sz="0" w:space="0" w:color="auto"/>
        <w:bottom w:val="none" w:sz="0" w:space="0" w:color="auto"/>
        <w:right w:val="none" w:sz="0" w:space="0" w:color="auto"/>
      </w:divBdr>
    </w:div>
    <w:div w:id="274871277">
      <w:bodyDiv w:val="1"/>
      <w:marLeft w:val="0"/>
      <w:marRight w:val="0"/>
      <w:marTop w:val="0"/>
      <w:marBottom w:val="0"/>
      <w:divBdr>
        <w:top w:val="none" w:sz="0" w:space="0" w:color="auto"/>
        <w:left w:val="none" w:sz="0" w:space="0" w:color="auto"/>
        <w:bottom w:val="none" w:sz="0" w:space="0" w:color="auto"/>
        <w:right w:val="none" w:sz="0" w:space="0" w:color="auto"/>
      </w:divBdr>
    </w:div>
    <w:div w:id="297805155">
      <w:bodyDiv w:val="1"/>
      <w:marLeft w:val="0"/>
      <w:marRight w:val="0"/>
      <w:marTop w:val="0"/>
      <w:marBottom w:val="0"/>
      <w:divBdr>
        <w:top w:val="none" w:sz="0" w:space="0" w:color="auto"/>
        <w:left w:val="none" w:sz="0" w:space="0" w:color="auto"/>
        <w:bottom w:val="none" w:sz="0" w:space="0" w:color="auto"/>
        <w:right w:val="none" w:sz="0" w:space="0" w:color="auto"/>
      </w:divBdr>
    </w:div>
    <w:div w:id="302269765">
      <w:bodyDiv w:val="1"/>
      <w:marLeft w:val="0"/>
      <w:marRight w:val="0"/>
      <w:marTop w:val="0"/>
      <w:marBottom w:val="0"/>
      <w:divBdr>
        <w:top w:val="none" w:sz="0" w:space="0" w:color="auto"/>
        <w:left w:val="none" w:sz="0" w:space="0" w:color="auto"/>
        <w:bottom w:val="none" w:sz="0" w:space="0" w:color="auto"/>
        <w:right w:val="none" w:sz="0" w:space="0" w:color="auto"/>
      </w:divBdr>
    </w:div>
    <w:div w:id="401832723">
      <w:bodyDiv w:val="1"/>
      <w:marLeft w:val="0"/>
      <w:marRight w:val="0"/>
      <w:marTop w:val="0"/>
      <w:marBottom w:val="0"/>
      <w:divBdr>
        <w:top w:val="none" w:sz="0" w:space="0" w:color="auto"/>
        <w:left w:val="none" w:sz="0" w:space="0" w:color="auto"/>
        <w:bottom w:val="none" w:sz="0" w:space="0" w:color="auto"/>
        <w:right w:val="none" w:sz="0" w:space="0" w:color="auto"/>
      </w:divBdr>
    </w:div>
    <w:div w:id="440497658">
      <w:bodyDiv w:val="1"/>
      <w:marLeft w:val="0"/>
      <w:marRight w:val="0"/>
      <w:marTop w:val="0"/>
      <w:marBottom w:val="0"/>
      <w:divBdr>
        <w:top w:val="none" w:sz="0" w:space="0" w:color="auto"/>
        <w:left w:val="none" w:sz="0" w:space="0" w:color="auto"/>
        <w:bottom w:val="none" w:sz="0" w:space="0" w:color="auto"/>
        <w:right w:val="none" w:sz="0" w:space="0" w:color="auto"/>
      </w:divBdr>
    </w:div>
    <w:div w:id="535117417">
      <w:bodyDiv w:val="1"/>
      <w:marLeft w:val="0"/>
      <w:marRight w:val="0"/>
      <w:marTop w:val="0"/>
      <w:marBottom w:val="0"/>
      <w:divBdr>
        <w:top w:val="none" w:sz="0" w:space="0" w:color="auto"/>
        <w:left w:val="none" w:sz="0" w:space="0" w:color="auto"/>
        <w:bottom w:val="none" w:sz="0" w:space="0" w:color="auto"/>
        <w:right w:val="none" w:sz="0" w:space="0" w:color="auto"/>
      </w:divBdr>
    </w:div>
    <w:div w:id="560212613">
      <w:bodyDiv w:val="1"/>
      <w:marLeft w:val="0"/>
      <w:marRight w:val="0"/>
      <w:marTop w:val="0"/>
      <w:marBottom w:val="0"/>
      <w:divBdr>
        <w:top w:val="none" w:sz="0" w:space="0" w:color="auto"/>
        <w:left w:val="none" w:sz="0" w:space="0" w:color="auto"/>
        <w:bottom w:val="none" w:sz="0" w:space="0" w:color="auto"/>
        <w:right w:val="none" w:sz="0" w:space="0" w:color="auto"/>
      </w:divBdr>
    </w:div>
    <w:div w:id="673457421">
      <w:bodyDiv w:val="1"/>
      <w:marLeft w:val="0"/>
      <w:marRight w:val="0"/>
      <w:marTop w:val="0"/>
      <w:marBottom w:val="0"/>
      <w:divBdr>
        <w:top w:val="none" w:sz="0" w:space="0" w:color="auto"/>
        <w:left w:val="none" w:sz="0" w:space="0" w:color="auto"/>
        <w:bottom w:val="none" w:sz="0" w:space="0" w:color="auto"/>
        <w:right w:val="none" w:sz="0" w:space="0" w:color="auto"/>
      </w:divBdr>
    </w:div>
    <w:div w:id="721179239">
      <w:bodyDiv w:val="1"/>
      <w:marLeft w:val="0"/>
      <w:marRight w:val="0"/>
      <w:marTop w:val="0"/>
      <w:marBottom w:val="0"/>
      <w:divBdr>
        <w:top w:val="none" w:sz="0" w:space="0" w:color="auto"/>
        <w:left w:val="none" w:sz="0" w:space="0" w:color="auto"/>
        <w:bottom w:val="none" w:sz="0" w:space="0" w:color="auto"/>
        <w:right w:val="none" w:sz="0" w:space="0" w:color="auto"/>
      </w:divBdr>
    </w:div>
    <w:div w:id="765004417">
      <w:bodyDiv w:val="1"/>
      <w:marLeft w:val="0"/>
      <w:marRight w:val="0"/>
      <w:marTop w:val="0"/>
      <w:marBottom w:val="0"/>
      <w:divBdr>
        <w:top w:val="none" w:sz="0" w:space="0" w:color="auto"/>
        <w:left w:val="none" w:sz="0" w:space="0" w:color="auto"/>
        <w:bottom w:val="none" w:sz="0" w:space="0" w:color="auto"/>
        <w:right w:val="none" w:sz="0" w:space="0" w:color="auto"/>
      </w:divBdr>
    </w:div>
    <w:div w:id="978192622">
      <w:bodyDiv w:val="1"/>
      <w:marLeft w:val="0"/>
      <w:marRight w:val="0"/>
      <w:marTop w:val="0"/>
      <w:marBottom w:val="0"/>
      <w:divBdr>
        <w:top w:val="none" w:sz="0" w:space="0" w:color="auto"/>
        <w:left w:val="none" w:sz="0" w:space="0" w:color="auto"/>
        <w:bottom w:val="none" w:sz="0" w:space="0" w:color="auto"/>
        <w:right w:val="none" w:sz="0" w:space="0" w:color="auto"/>
      </w:divBdr>
    </w:div>
    <w:div w:id="1161626187">
      <w:bodyDiv w:val="1"/>
      <w:marLeft w:val="0"/>
      <w:marRight w:val="0"/>
      <w:marTop w:val="0"/>
      <w:marBottom w:val="0"/>
      <w:divBdr>
        <w:top w:val="none" w:sz="0" w:space="0" w:color="auto"/>
        <w:left w:val="none" w:sz="0" w:space="0" w:color="auto"/>
        <w:bottom w:val="none" w:sz="0" w:space="0" w:color="auto"/>
        <w:right w:val="none" w:sz="0" w:space="0" w:color="auto"/>
      </w:divBdr>
    </w:div>
    <w:div w:id="1194465225">
      <w:bodyDiv w:val="1"/>
      <w:marLeft w:val="0"/>
      <w:marRight w:val="0"/>
      <w:marTop w:val="0"/>
      <w:marBottom w:val="0"/>
      <w:divBdr>
        <w:top w:val="none" w:sz="0" w:space="0" w:color="auto"/>
        <w:left w:val="none" w:sz="0" w:space="0" w:color="auto"/>
        <w:bottom w:val="none" w:sz="0" w:space="0" w:color="auto"/>
        <w:right w:val="none" w:sz="0" w:space="0" w:color="auto"/>
      </w:divBdr>
    </w:div>
    <w:div w:id="1202401761">
      <w:bodyDiv w:val="1"/>
      <w:marLeft w:val="0"/>
      <w:marRight w:val="0"/>
      <w:marTop w:val="0"/>
      <w:marBottom w:val="0"/>
      <w:divBdr>
        <w:top w:val="none" w:sz="0" w:space="0" w:color="auto"/>
        <w:left w:val="none" w:sz="0" w:space="0" w:color="auto"/>
        <w:bottom w:val="none" w:sz="0" w:space="0" w:color="auto"/>
        <w:right w:val="none" w:sz="0" w:space="0" w:color="auto"/>
      </w:divBdr>
    </w:div>
    <w:div w:id="1269703317">
      <w:bodyDiv w:val="1"/>
      <w:marLeft w:val="0"/>
      <w:marRight w:val="0"/>
      <w:marTop w:val="0"/>
      <w:marBottom w:val="0"/>
      <w:divBdr>
        <w:top w:val="none" w:sz="0" w:space="0" w:color="auto"/>
        <w:left w:val="none" w:sz="0" w:space="0" w:color="auto"/>
        <w:bottom w:val="none" w:sz="0" w:space="0" w:color="auto"/>
        <w:right w:val="none" w:sz="0" w:space="0" w:color="auto"/>
      </w:divBdr>
    </w:div>
    <w:div w:id="1422489661">
      <w:bodyDiv w:val="1"/>
      <w:marLeft w:val="0"/>
      <w:marRight w:val="0"/>
      <w:marTop w:val="0"/>
      <w:marBottom w:val="0"/>
      <w:divBdr>
        <w:top w:val="none" w:sz="0" w:space="0" w:color="auto"/>
        <w:left w:val="none" w:sz="0" w:space="0" w:color="auto"/>
        <w:bottom w:val="none" w:sz="0" w:space="0" w:color="auto"/>
        <w:right w:val="none" w:sz="0" w:space="0" w:color="auto"/>
      </w:divBdr>
    </w:div>
    <w:div w:id="1650131779">
      <w:bodyDiv w:val="1"/>
      <w:marLeft w:val="0"/>
      <w:marRight w:val="0"/>
      <w:marTop w:val="0"/>
      <w:marBottom w:val="0"/>
      <w:divBdr>
        <w:top w:val="none" w:sz="0" w:space="0" w:color="auto"/>
        <w:left w:val="none" w:sz="0" w:space="0" w:color="auto"/>
        <w:bottom w:val="none" w:sz="0" w:space="0" w:color="auto"/>
        <w:right w:val="none" w:sz="0" w:space="0" w:color="auto"/>
      </w:divBdr>
    </w:div>
    <w:div w:id="1842810977">
      <w:bodyDiv w:val="1"/>
      <w:marLeft w:val="0"/>
      <w:marRight w:val="0"/>
      <w:marTop w:val="0"/>
      <w:marBottom w:val="0"/>
      <w:divBdr>
        <w:top w:val="none" w:sz="0" w:space="0" w:color="auto"/>
        <w:left w:val="none" w:sz="0" w:space="0" w:color="auto"/>
        <w:bottom w:val="none" w:sz="0" w:space="0" w:color="auto"/>
        <w:right w:val="none" w:sz="0" w:space="0" w:color="auto"/>
      </w:divBdr>
    </w:div>
    <w:div w:id="1950352117">
      <w:bodyDiv w:val="1"/>
      <w:marLeft w:val="0"/>
      <w:marRight w:val="0"/>
      <w:marTop w:val="0"/>
      <w:marBottom w:val="0"/>
      <w:divBdr>
        <w:top w:val="none" w:sz="0" w:space="0" w:color="auto"/>
        <w:left w:val="none" w:sz="0" w:space="0" w:color="auto"/>
        <w:bottom w:val="none" w:sz="0" w:space="0" w:color="auto"/>
        <w:right w:val="none" w:sz="0" w:space="0" w:color="auto"/>
      </w:divBdr>
    </w:div>
    <w:div w:id="1960451879">
      <w:bodyDiv w:val="1"/>
      <w:marLeft w:val="0"/>
      <w:marRight w:val="0"/>
      <w:marTop w:val="0"/>
      <w:marBottom w:val="0"/>
      <w:divBdr>
        <w:top w:val="none" w:sz="0" w:space="0" w:color="auto"/>
        <w:left w:val="none" w:sz="0" w:space="0" w:color="auto"/>
        <w:bottom w:val="none" w:sz="0" w:space="0" w:color="auto"/>
        <w:right w:val="none" w:sz="0" w:space="0" w:color="auto"/>
      </w:divBdr>
    </w:div>
    <w:div w:id="20124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DD51-28A9-496C-83DB-DC49A8ED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17636</Words>
  <Characters>100526</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2020-01-23T20:55:00Z</dcterms:created>
  <dcterms:modified xsi:type="dcterms:W3CDTF">2022-03-27T20:19:00Z</dcterms:modified>
</cp:coreProperties>
</file>