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163" w:rsidRDefault="00652163" w:rsidP="00652163">
      <w:pPr>
        <w:tabs>
          <w:tab w:val="center" w:pos="4680"/>
          <w:tab w:val="right" w:pos="9360"/>
        </w:tabs>
        <w:jc w:val="center"/>
        <w:rPr>
          <w:rFonts w:eastAsiaTheme="minorHAnsi" w:cstheme="minorBidi"/>
          <w:szCs w:val="24"/>
          <w:lang w:val="fr-CA" w:eastAsia="en-US"/>
        </w:rPr>
      </w:pPr>
      <w:r>
        <w:rPr>
          <w:rFonts w:eastAsiaTheme="minorHAnsi" w:cstheme="minorBidi"/>
          <w:szCs w:val="24"/>
          <w:lang w:val="fr-CA" w:eastAsia="en-US"/>
        </w:rPr>
        <w:ptab w:relativeTo="margin" w:alignment="center" w:leader="none"/>
      </w:r>
      <w:r>
        <w:rPr>
          <w:rFonts w:eastAsiaTheme="minorHAnsi" w:cstheme="minorBidi"/>
          <w:szCs w:val="24"/>
          <w:lang w:val="fr-CA" w:eastAsia="en-US"/>
        </w:rPr>
        <w:t xml:space="preserve"> </w:t>
      </w:r>
      <w:r>
        <w:rPr>
          <w:rFonts w:eastAsiaTheme="minorHAnsi" w:cstheme="minorBidi"/>
          <w:szCs w:val="24"/>
          <w:lang w:val="fr-CA" w:eastAsia="en-US"/>
        </w:rPr>
        <w:object w:dxaOrig="1224" w:dyaOrig="1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45pt;height:64.55pt" o:ole="">
            <v:imagedata r:id="rId8" o:title=""/>
          </v:shape>
          <o:OLEObject Type="Embed" ProgID="Presentations.Drawing.13" ShapeID="_x0000_i1025" DrawAspect="Content" ObjectID="_1751725333" r:id="rId9"/>
        </w:object>
      </w:r>
      <w:r>
        <w:rPr>
          <w:rFonts w:eastAsiaTheme="minorHAnsi" w:cstheme="minorBidi"/>
          <w:szCs w:val="24"/>
          <w:lang w:val="fr-CA" w:eastAsia="en-US"/>
        </w:rPr>
        <w:t xml:space="preserve"> </w:t>
      </w:r>
      <w:r>
        <w:rPr>
          <w:rFonts w:eastAsiaTheme="minorHAnsi" w:cstheme="minorBidi"/>
          <w:szCs w:val="24"/>
          <w:lang w:val="fr-CA" w:eastAsia="en-US"/>
        </w:rPr>
        <w:ptab w:relativeTo="margin" w:alignment="right" w:leader="none"/>
      </w:r>
      <w:r>
        <w:rPr>
          <w:rFonts w:eastAsiaTheme="minorHAnsi" w:cstheme="minorBidi"/>
          <w:szCs w:val="24"/>
          <w:lang w:val="fr-CA" w:eastAsia="en-US"/>
        </w:rPr>
        <w:t xml:space="preserve"> </w:t>
      </w:r>
    </w:p>
    <w:p w:rsidR="00652163" w:rsidRDefault="00652163" w:rsidP="00652163">
      <w:pPr>
        <w:tabs>
          <w:tab w:val="center" w:pos="4680"/>
          <w:tab w:val="right" w:pos="9360"/>
        </w:tabs>
        <w:rPr>
          <w:rFonts w:eastAsiaTheme="minorHAnsi" w:cstheme="minorBidi"/>
          <w:szCs w:val="24"/>
          <w:lang w:val="fr-CA" w:eastAsia="en-US"/>
        </w:rPr>
      </w:pPr>
    </w:p>
    <w:p w:rsidR="00652163" w:rsidRDefault="00652163" w:rsidP="00652163">
      <w:pPr>
        <w:jc w:val="center"/>
        <w:rPr>
          <w:rFonts w:eastAsiaTheme="minorHAnsi" w:cstheme="minorBidi"/>
          <w:b/>
          <w:szCs w:val="24"/>
          <w:lang w:val="fr-CA" w:eastAsia="en-US"/>
        </w:rPr>
      </w:pPr>
      <w:r>
        <w:rPr>
          <w:rFonts w:eastAsiaTheme="minorHAnsi" w:cstheme="minorBidi"/>
          <w:b/>
          <w:szCs w:val="24"/>
          <w:lang w:val="fr-CA" w:eastAsia="en-US"/>
        </w:rPr>
        <w:t>COUR SUPRÊME DU CANADA</w:t>
      </w:r>
    </w:p>
    <w:p w:rsidR="00652163" w:rsidRDefault="00652163" w:rsidP="00652163">
      <w:pPr>
        <w:rPr>
          <w:rFonts w:eastAsiaTheme="minorHAnsi" w:cstheme="minorBidi"/>
          <w:szCs w:val="24"/>
          <w:lang w:val="fr-CA" w:eastAsia="en-US"/>
        </w:rPr>
      </w:pPr>
    </w:p>
    <w:tbl>
      <w:tblPr>
        <w:tblStyle w:val="TableGrid2"/>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310"/>
        <w:gridCol w:w="4140"/>
      </w:tblGrid>
      <w:tr w:rsidR="00652163" w:rsidTr="00B0700B">
        <w:trPr>
          <w:cantSplit/>
        </w:trPr>
        <w:tc>
          <w:tcPr>
            <w:tcW w:w="5310" w:type="dxa"/>
          </w:tcPr>
          <w:p w:rsidR="00652163" w:rsidRDefault="00652163" w:rsidP="00B0700B">
            <w:pPr>
              <w:rPr>
                <w:b/>
                <w:lang w:val="fr-CA"/>
              </w:rPr>
            </w:pPr>
            <w:r>
              <w:rPr>
                <w:b/>
                <w:smallCaps/>
                <w:lang w:val="fr-CA"/>
              </w:rPr>
              <w:t>Référence :</w:t>
            </w:r>
            <w:r>
              <w:rPr>
                <w:lang w:val="fr-CA"/>
              </w:rPr>
              <w:t xml:space="preserve"> Matthews </w:t>
            </w:r>
            <w:r>
              <w:rPr>
                <w:i/>
                <w:lang w:val="fr-CA"/>
              </w:rPr>
              <w:t>c.</w:t>
            </w:r>
            <w:r>
              <w:rPr>
                <w:lang w:val="fr-CA"/>
              </w:rPr>
              <w:t xml:space="preserve"> Ocean Nutrition Canada Ltd., 2020 CSC 26, [2020] 3 R.C.S. 64</w:t>
            </w:r>
          </w:p>
          <w:p w:rsidR="00652163" w:rsidRDefault="00652163" w:rsidP="00B0700B">
            <w:pPr>
              <w:rPr>
                <w:lang w:val="fr-CA"/>
              </w:rPr>
            </w:pPr>
          </w:p>
        </w:tc>
        <w:tc>
          <w:tcPr>
            <w:tcW w:w="4140" w:type="dxa"/>
            <w:hideMark/>
          </w:tcPr>
          <w:p w:rsidR="00652163" w:rsidRDefault="00652163" w:rsidP="00B0700B">
            <w:pPr>
              <w:ind w:left="32"/>
              <w:rPr>
                <w:lang w:val="fr-CA"/>
              </w:rPr>
            </w:pPr>
            <w:r>
              <w:rPr>
                <w:b/>
                <w:smallCaps/>
                <w:lang w:val="fr-CA"/>
              </w:rPr>
              <w:t>Appel entendu :</w:t>
            </w:r>
            <w:r>
              <w:rPr>
                <w:lang w:val="fr-CA"/>
              </w:rPr>
              <w:t xml:space="preserve"> 8 octobre 2019</w:t>
            </w:r>
          </w:p>
          <w:p w:rsidR="00652163" w:rsidRDefault="00652163" w:rsidP="00B0700B">
            <w:pPr>
              <w:ind w:left="32"/>
              <w:rPr>
                <w:lang w:val="fr-CA"/>
              </w:rPr>
            </w:pPr>
            <w:r>
              <w:rPr>
                <w:b/>
                <w:smallCaps/>
                <w:lang w:val="fr-CA"/>
              </w:rPr>
              <w:t>Jugement rendu :</w:t>
            </w:r>
            <w:r>
              <w:rPr>
                <w:lang w:val="fr-CA"/>
              </w:rPr>
              <w:t xml:space="preserve"> 9 octobre 2020</w:t>
            </w:r>
          </w:p>
          <w:p w:rsidR="00652163" w:rsidRDefault="00652163" w:rsidP="00B0700B">
            <w:pPr>
              <w:ind w:left="32"/>
              <w:rPr>
                <w:lang w:val="fr-CA"/>
              </w:rPr>
            </w:pPr>
            <w:r>
              <w:rPr>
                <w:b/>
                <w:smallCaps/>
                <w:lang w:val="fr-CA"/>
              </w:rPr>
              <w:t>Dossier :</w:t>
            </w:r>
            <w:r>
              <w:rPr>
                <w:lang w:val="fr-CA"/>
              </w:rPr>
              <w:t xml:space="preserve"> 38252</w:t>
            </w:r>
          </w:p>
        </w:tc>
      </w:tr>
    </w:tbl>
    <w:p w:rsidR="00652163" w:rsidRDefault="00652163" w:rsidP="00652163">
      <w:pPr>
        <w:rPr>
          <w:rFonts w:eastAsiaTheme="minorHAnsi" w:cstheme="minorBidi"/>
          <w:szCs w:val="24"/>
          <w:lang w:val="fr-CA" w:eastAsia="en-US"/>
        </w:rPr>
      </w:pPr>
    </w:p>
    <w:p w:rsidR="00652163" w:rsidRDefault="00652163" w:rsidP="00652163">
      <w:pPr>
        <w:rPr>
          <w:rFonts w:eastAsiaTheme="minorHAnsi" w:cstheme="minorBidi"/>
          <w:b/>
          <w:smallCaps/>
          <w:szCs w:val="24"/>
          <w:lang w:val="fr-CA" w:eastAsia="en-US"/>
        </w:rPr>
      </w:pPr>
      <w:r>
        <w:rPr>
          <w:rFonts w:eastAsiaTheme="minorHAnsi" w:cstheme="minorBidi"/>
          <w:b/>
          <w:smallCaps/>
          <w:szCs w:val="24"/>
          <w:lang w:val="fr-CA" w:eastAsia="en-US"/>
        </w:rPr>
        <w:t>Entre :</w:t>
      </w:r>
    </w:p>
    <w:p w:rsidR="00652163" w:rsidRDefault="00652163" w:rsidP="00652163">
      <w:pPr>
        <w:jc w:val="center"/>
        <w:rPr>
          <w:rFonts w:eastAsiaTheme="minorHAnsi" w:cstheme="minorBidi"/>
          <w:b/>
          <w:szCs w:val="24"/>
          <w:lang w:val="fr-CA" w:eastAsia="en-US"/>
        </w:rPr>
      </w:pPr>
      <w:r>
        <w:rPr>
          <w:rFonts w:eastAsiaTheme="minorHAnsi" w:cstheme="minorBidi"/>
          <w:b/>
          <w:szCs w:val="24"/>
          <w:lang w:val="fr-CA" w:eastAsia="en-US"/>
        </w:rPr>
        <w:t>David Matthews</w:t>
      </w:r>
    </w:p>
    <w:p w:rsidR="00652163" w:rsidRDefault="00652163" w:rsidP="00652163">
      <w:pPr>
        <w:jc w:val="center"/>
        <w:rPr>
          <w:rFonts w:eastAsiaTheme="minorHAnsi" w:cstheme="minorBidi"/>
          <w:szCs w:val="24"/>
          <w:lang w:val="fr-CA" w:eastAsia="en-US"/>
        </w:rPr>
      </w:pPr>
      <w:r>
        <w:rPr>
          <w:rFonts w:eastAsiaTheme="minorHAnsi" w:cstheme="minorBidi"/>
          <w:szCs w:val="24"/>
          <w:lang w:val="fr-CA" w:eastAsia="en-US"/>
        </w:rPr>
        <w:t>Appelant</w:t>
      </w:r>
    </w:p>
    <w:p w:rsidR="00652163" w:rsidRDefault="00652163" w:rsidP="00652163">
      <w:pPr>
        <w:rPr>
          <w:rFonts w:eastAsiaTheme="minorHAnsi" w:cstheme="minorBidi"/>
          <w:szCs w:val="24"/>
          <w:lang w:val="fr-CA" w:eastAsia="en-US"/>
        </w:rPr>
      </w:pPr>
    </w:p>
    <w:p w:rsidR="00652163" w:rsidRDefault="00652163" w:rsidP="00652163">
      <w:pPr>
        <w:jc w:val="center"/>
        <w:rPr>
          <w:rFonts w:eastAsiaTheme="minorHAnsi" w:cstheme="minorBidi"/>
          <w:szCs w:val="24"/>
          <w:lang w:val="en-US" w:eastAsia="en-US"/>
        </w:rPr>
      </w:pPr>
      <w:r>
        <w:rPr>
          <w:rFonts w:eastAsiaTheme="minorHAnsi" w:cstheme="minorBidi"/>
          <w:szCs w:val="24"/>
          <w:lang w:val="en-US" w:eastAsia="en-US"/>
        </w:rPr>
        <w:t>et</w:t>
      </w:r>
    </w:p>
    <w:p w:rsidR="00652163" w:rsidRDefault="00652163" w:rsidP="00652163">
      <w:pPr>
        <w:rPr>
          <w:rFonts w:eastAsiaTheme="minorHAnsi" w:cstheme="minorBidi"/>
          <w:szCs w:val="24"/>
          <w:lang w:val="en-US" w:eastAsia="en-US"/>
        </w:rPr>
      </w:pPr>
    </w:p>
    <w:p w:rsidR="00652163" w:rsidRDefault="00652163" w:rsidP="00652163">
      <w:pPr>
        <w:jc w:val="center"/>
        <w:rPr>
          <w:rFonts w:eastAsiaTheme="minorHAnsi" w:cstheme="minorBidi"/>
          <w:b/>
          <w:szCs w:val="24"/>
          <w:lang w:val="en-US" w:eastAsia="en-US"/>
        </w:rPr>
      </w:pPr>
      <w:r>
        <w:rPr>
          <w:rFonts w:eastAsiaTheme="minorHAnsi" w:cstheme="minorBidi"/>
          <w:b/>
          <w:szCs w:val="24"/>
          <w:lang w:val="en-US" w:eastAsia="en-US"/>
        </w:rPr>
        <w:t>Ocean Nutrition Canada Limited</w:t>
      </w:r>
    </w:p>
    <w:p w:rsidR="00652163" w:rsidRDefault="00652163" w:rsidP="00652163">
      <w:pPr>
        <w:jc w:val="center"/>
        <w:rPr>
          <w:rFonts w:eastAsiaTheme="minorHAnsi" w:cstheme="minorBidi"/>
          <w:szCs w:val="24"/>
          <w:lang w:val="en-US" w:eastAsia="en-US"/>
        </w:rPr>
      </w:pPr>
      <w:r>
        <w:rPr>
          <w:rFonts w:eastAsiaTheme="minorHAnsi" w:cstheme="minorBidi"/>
          <w:szCs w:val="24"/>
          <w:lang w:val="en-US" w:eastAsia="en-US"/>
        </w:rPr>
        <w:t>Intimée</w:t>
      </w:r>
    </w:p>
    <w:p w:rsidR="00652163" w:rsidRDefault="00652163" w:rsidP="00652163">
      <w:pPr>
        <w:rPr>
          <w:rFonts w:eastAsiaTheme="minorHAnsi" w:cstheme="minorBidi"/>
          <w:szCs w:val="24"/>
          <w:lang w:val="en-US" w:eastAsia="en-US"/>
        </w:rPr>
      </w:pPr>
    </w:p>
    <w:p w:rsidR="00652163" w:rsidRDefault="00652163" w:rsidP="00652163">
      <w:pPr>
        <w:jc w:val="center"/>
        <w:rPr>
          <w:rFonts w:eastAsiaTheme="minorHAnsi" w:cstheme="minorBidi"/>
          <w:szCs w:val="24"/>
          <w:lang w:val="en-US" w:eastAsia="en-US"/>
        </w:rPr>
      </w:pPr>
      <w:r>
        <w:rPr>
          <w:rFonts w:eastAsiaTheme="minorHAnsi" w:cstheme="minorBidi"/>
          <w:szCs w:val="24"/>
          <w:lang w:val="en-US" w:eastAsia="en-US"/>
        </w:rPr>
        <w:t>- et -</w:t>
      </w:r>
    </w:p>
    <w:p w:rsidR="00652163" w:rsidRDefault="00652163" w:rsidP="00652163">
      <w:pPr>
        <w:jc w:val="center"/>
        <w:rPr>
          <w:rFonts w:eastAsiaTheme="minorHAnsi" w:cstheme="minorBidi"/>
          <w:szCs w:val="24"/>
          <w:lang w:val="en-US" w:eastAsia="en-US"/>
        </w:rPr>
      </w:pPr>
    </w:p>
    <w:p w:rsidR="00652163" w:rsidRDefault="00652163" w:rsidP="00652163">
      <w:pPr>
        <w:jc w:val="center"/>
        <w:rPr>
          <w:rFonts w:eastAsiaTheme="minorHAnsi" w:cstheme="minorBidi"/>
          <w:b/>
          <w:szCs w:val="24"/>
          <w:lang w:val="en-US" w:eastAsia="en-US"/>
        </w:rPr>
      </w:pPr>
      <w:r>
        <w:rPr>
          <w:rFonts w:eastAsiaTheme="minorHAnsi" w:cstheme="minorBidi"/>
          <w:b/>
          <w:szCs w:val="24"/>
          <w:lang w:val="en-US" w:eastAsia="en-US"/>
        </w:rPr>
        <w:t>Canadian Association for Non-Organized Employees, Don Valley Community Legal Services, Law Students’ Legal Advice Program, Association canadienne des avocats d’employeurs et Parkdale Community Legal Services</w:t>
      </w:r>
    </w:p>
    <w:p w:rsidR="00652163" w:rsidRDefault="00652163" w:rsidP="00652163">
      <w:pPr>
        <w:jc w:val="center"/>
        <w:rPr>
          <w:rFonts w:eastAsiaTheme="minorHAnsi" w:cstheme="minorBidi"/>
          <w:szCs w:val="24"/>
          <w:lang w:val="fr-CA" w:eastAsia="en-US"/>
        </w:rPr>
      </w:pPr>
      <w:r>
        <w:rPr>
          <w:rFonts w:eastAsiaTheme="minorHAnsi" w:cstheme="minorBidi"/>
          <w:szCs w:val="24"/>
          <w:lang w:val="fr-CA" w:eastAsia="en-US"/>
        </w:rPr>
        <w:t>Intervenants</w:t>
      </w:r>
    </w:p>
    <w:p w:rsidR="00652163" w:rsidRDefault="00652163" w:rsidP="00652163">
      <w:pPr>
        <w:rPr>
          <w:rFonts w:eastAsiaTheme="minorHAnsi" w:cstheme="minorBidi"/>
          <w:szCs w:val="24"/>
          <w:lang w:val="fr-CA" w:eastAsia="en-US"/>
        </w:rPr>
      </w:pPr>
    </w:p>
    <w:p w:rsidR="00652163" w:rsidRDefault="00652163" w:rsidP="00652163">
      <w:pPr>
        <w:rPr>
          <w:rFonts w:eastAsiaTheme="minorHAnsi" w:cstheme="minorBidi"/>
          <w:szCs w:val="24"/>
          <w:lang w:val="fr-CA" w:eastAsia="en-US"/>
        </w:rPr>
      </w:pPr>
    </w:p>
    <w:p w:rsidR="00652163" w:rsidRDefault="00652163" w:rsidP="00652163">
      <w:pPr>
        <w:jc w:val="center"/>
        <w:rPr>
          <w:rFonts w:eastAsiaTheme="minorHAnsi" w:cstheme="minorBidi"/>
          <w:b/>
          <w:smallCaps/>
          <w:szCs w:val="24"/>
          <w:lang w:val="fr-CA" w:eastAsia="en-US"/>
        </w:rPr>
      </w:pPr>
      <w:r>
        <w:rPr>
          <w:rFonts w:eastAsiaTheme="minorHAnsi" w:cstheme="minorBidi"/>
          <w:b/>
          <w:smallCaps/>
          <w:szCs w:val="24"/>
          <w:lang w:val="fr-CA" w:eastAsia="en-US"/>
        </w:rPr>
        <w:t>Traduction française officielle</w:t>
      </w:r>
    </w:p>
    <w:p w:rsidR="00652163" w:rsidRDefault="00652163" w:rsidP="00652163">
      <w:pPr>
        <w:rPr>
          <w:rFonts w:eastAsiaTheme="minorHAnsi" w:cstheme="minorBidi"/>
          <w:szCs w:val="24"/>
          <w:lang w:val="fr-CA" w:eastAsia="en-US"/>
        </w:rPr>
      </w:pPr>
    </w:p>
    <w:p w:rsidR="00652163" w:rsidRDefault="00652163" w:rsidP="00652163">
      <w:pPr>
        <w:rPr>
          <w:rFonts w:eastAsiaTheme="minorHAnsi" w:cstheme="minorBidi"/>
          <w:szCs w:val="24"/>
          <w:lang w:val="fr-CA" w:eastAsia="en-US"/>
        </w:rPr>
      </w:pPr>
      <w:r>
        <w:rPr>
          <w:rFonts w:eastAsiaTheme="minorHAnsi" w:cstheme="minorBidi"/>
          <w:b/>
          <w:smallCaps/>
          <w:szCs w:val="24"/>
          <w:lang w:val="fr-CA" w:eastAsia="en-US"/>
        </w:rPr>
        <w:t>Coram :</w:t>
      </w:r>
      <w:r>
        <w:rPr>
          <w:rFonts w:eastAsiaTheme="minorHAnsi" w:cstheme="minorBidi"/>
          <w:szCs w:val="24"/>
          <w:lang w:val="fr-CA" w:eastAsia="en-US"/>
        </w:rPr>
        <w:t xml:space="preserve"> Le juge en chef Wagner et les juges Moldaver, Côté, Brown, Rowe, Martin et Kasirer</w:t>
      </w:r>
    </w:p>
    <w:p w:rsidR="00652163" w:rsidRDefault="00652163" w:rsidP="00652163">
      <w:pPr>
        <w:rPr>
          <w:rFonts w:eastAsiaTheme="minorHAnsi" w:cstheme="minorBidi"/>
          <w:szCs w:val="24"/>
          <w:lang w:val="fr-CA"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652163" w:rsidRPr="002D548D" w:rsidTr="00B0700B">
        <w:trPr>
          <w:cantSplit/>
        </w:trPr>
        <w:tc>
          <w:tcPr>
            <w:tcW w:w="3618" w:type="dxa"/>
            <w:hideMark/>
          </w:tcPr>
          <w:p w:rsidR="00652163" w:rsidRDefault="00652163" w:rsidP="00B0700B">
            <w:pPr>
              <w:rPr>
                <w:b/>
                <w:smallCaps/>
                <w:lang w:val="fr-CA"/>
              </w:rPr>
            </w:pPr>
            <w:r>
              <w:rPr>
                <w:b/>
                <w:smallCaps/>
                <w:lang w:val="fr-CA"/>
              </w:rPr>
              <w:t>Motifs de jugement :</w:t>
            </w:r>
          </w:p>
          <w:p w:rsidR="00652163" w:rsidRDefault="00652163" w:rsidP="00B0700B">
            <w:pPr>
              <w:rPr>
                <w:lang w:val="fr-CA"/>
              </w:rPr>
            </w:pPr>
            <w:r>
              <w:rPr>
                <w:lang w:val="fr-CA"/>
              </w:rPr>
              <w:t>(par. 1 à 89)</w:t>
            </w:r>
          </w:p>
        </w:tc>
        <w:tc>
          <w:tcPr>
            <w:tcW w:w="5958" w:type="dxa"/>
            <w:hideMark/>
          </w:tcPr>
          <w:p w:rsidR="00652163" w:rsidRDefault="00652163" w:rsidP="00B0700B">
            <w:pPr>
              <w:rPr>
                <w:lang w:val="fr-CA"/>
              </w:rPr>
            </w:pPr>
            <w:r>
              <w:rPr>
                <w:lang w:val="fr-CA"/>
              </w:rPr>
              <w:t>Le juge Kasirer (avec l’accord du juge en chef Wagner et des juges Moldaver, Côté, Brown, Rowe et Martin)</w:t>
            </w:r>
          </w:p>
        </w:tc>
      </w:tr>
    </w:tbl>
    <w:p w:rsidR="00652163" w:rsidRDefault="00652163" w:rsidP="00652163">
      <w:pPr>
        <w:rPr>
          <w:rFonts w:eastAsiaTheme="minorHAnsi" w:cstheme="minorBidi"/>
          <w:szCs w:val="24"/>
          <w:lang w:val="fr-CA" w:eastAsia="en-US"/>
        </w:rPr>
      </w:pPr>
    </w:p>
    <w:p w:rsidR="00652163" w:rsidRDefault="00652163" w:rsidP="00652163">
      <w:pPr>
        <w:rPr>
          <w:rFonts w:eastAsiaTheme="minorHAnsi" w:cstheme="minorBidi"/>
          <w:szCs w:val="24"/>
          <w:lang w:val="fr-CA" w:eastAsia="en-US"/>
        </w:rPr>
      </w:pPr>
      <w:r>
        <w:rPr>
          <w:noProof/>
          <w:lang w:val="fr-CA" w:eastAsia="fr-CA"/>
        </w:rPr>
        <mc:AlternateContent>
          <mc:Choice Requires="wps">
            <w:drawing>
              <wp:anchor distT="0" distB="0" distL="114300" distR="114300" simplePos="0" relativeHeight="251659264" behindDoc="0" locked="0" layoutInCell="1" allowOverlap="1" wp14:anchorId="13E9A0E7" wp14:editId="04CE8002">
                <wp:simplePos x="0" y="0"/>
                <wp:positionH relativeFrom="column">
                  <wp:posOffset>1609725</wp:posOffset>
                </wp:positionH>
                <wp:positionV relativeFrom="paragraph">
                  <wp:posOffset>184150</wp:posOffset>
                </wp:positionV>
                <wp:extent cx="250507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EC1DBC" id="_x0000_t32" coordsize="21600,21600" o:spt="32" o:oned="t" path="m,l21600,21600e" filled="f">
                <v:path arrowok="t" fillok="f" o:connecttype="none"/>
                <o:lock v:ext="edit" shapetype="t"/>
              </v:shapetype>
              <v:shape id="Straight Arrow Connector 1"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TJgIAAEo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"/>
            </w:pict>
          </mc:Fallback>
        </mc:AlternateContent>
      </w:r>
    </w:p>
    <w:p w:rsidR="00652163" w:rsidRPr="003D732D" w:rsidRDefault="00652163" w:rsidP="00652163">
      <w:pPr>
        <w:rPr>
          <w:rStyle w:val="SCCAppellantForRunningHeadChar"/>
          <w:lang w:val="fr-CA"/>
        </w:rPr>
      </w:pPr>
      <w:r>
        <w:rPr>
          <w:rStyle w:val="SCCAppellantForRunningHeadChar"/>
          <w:rFonts w:eastAsiaTheme="majorEastAsia"/>
          <w:lang w:val="fr-CA"/>
        </w:rPr>
        <w:br w:type="page"/>
      </w:r>
    </w:p>
    <w:p w:rsidR="004D7D95" w:rsidRPr="00652163" w:rsidRDefault="00296180" w:rsidP="00AE719D">
      <w:pPr>
        <w:spacing w:after="720"/>
        <w:jc w:val="both"/>
      </w:pPr>
      <w:bookmarkStart w:id="0" w:name="_GoBack"/>
      <w:bookmarkEnd w:id="0"/>
      <w:r w:rsidRPr="006B687C">
        <w:rPr>
          <w:rStyle w:val="SCCAppellantForRunningHeadChar"/>
        </w:rPr>
        <w:lastRenderedPageBreak/>
        <w:t>m</w:t>
      </w:r>
      <w:r w:rsidR="004D7D95" w:rsidRPr="006B687C">
        <w:rPr>
          <w:rStyle w:val="SCCAppellantForRunningHeadChar"/>
        </w:rPr>
        <w:t>atthews</w:t>
      </w:r>
      <w:r w:rsidR="004D7D95" w:rsidRPr="006B687C">
        <w:rPr>
          <w:lang w:val="en-US"/>
        </w:rPr>
        <w:t xml:space="preserve"> </w:t>
      </w:r>
      <w:r w:rsidR="004D7D95" w:rsidRPr="006B687C">
        <w:rPr>
          <w:i/>
          <w:lang w:val="en-US"/>
        </w:rPr>
        <w:t>c.</w:t>
      </w:r>
      <w:r w:rsidR="004D7D95" w:rsidRPr="006B687C">
        <w:rPr>
          <w:lang w:val="en-US"/>
        </w:rPr>
        <w:t xml:space="preserve"> </w:t>
      </w:r>
      <w:r w:rsidR="00E94968">
        <w:rPr>
          <w:rStyle w:val="SCCRespondentForRunningHeadChar"/>
        </w:rPr>
        <w:t>ocean nutrition</w:t>
      </w:r>
    </w:p>
    <w:p w:rsidR="00051344" w:rsidRPr="006B687C" w:rsidRDefault="00A90F0C" w:rsidP="00AE719D">
      <w:pPr>
        <w:pStyle w:val="SCCLsocLastPartyInRole"/>
      </w:pPr>
      <w:r w:rsidRPr="006B687C">
        <w:t>David Matthews</w:t>
      </w:r>
      <w:r w:rsidR="007B56F8" w:rsidRPr="006B687C">
        <w:rPr>
          <w:rStyle w:val="SCCLsocPartyRole"/>
        </w:rPr>
        <w:tab/>
        <w:t>Appelant</w:t>
      </w:r>
    </w:p>
    <w:p w:rsidR="00051344" w:rsidRPr="00652163" w:rsidRDefault="00A90F0C" w:rsidP="00AE719D">
      <w:pPr>
        <w:pStyle w:val="SCCLsocVersus"/>
        <w:rPr>
          <w:lang w:val="fr-CA"/>
        </w:rPr>
      </w:pPr>
      <w:r w:rsidRPr="00652163">
        <w:rPr>
          <w:lang w:val="fr-CA"/>
        </w:rPr>
        <w:t>c.</w:t>
      </w:r>
    </w:p>
    <w:p w:rsidR="00051344" w:rsidRPr="00652163" w:rsidRDefault="00ED4DE7" w:rsidP="00AE719D">
      <w:pPr>
        <w:pStyle w:val="SCCLsocLastPartyInRole"/>
        <w:rPr>
          <w:lang w:val="fr-CA"/>
        </w:rPr>
      </w:pPr>
      <w:r w:rsidRPr="00652163">
        <w:rPr>
          <w:lang w:val="fr-CA"/>
        </w:rPr>
        <w:t>Ocean Nutrition Canada Limited</w:t>
      </w:r>
      <w:r w:rsidR="007B56F8" w:rsidRPr="00652163">
        <w:rPr>
          <w:rStyle w:val="SCCLsocPartyRole"/>
          <w:lang w:val="fr-CA"/>
        </w:rPr>
        <w:tab/>
        <w:t>Intimée</w:t>
      </w:r>
    </w:p>
    <w:p w:rsidR="00051344" w:rsidRPr="00652163" w:rsidRDefault="00A90F0C" w:rsidP="00AE719D">
      <w:pPr>
        <w:pStyle w:val="SCCLsocOtherPartySeparator"/>
        <w:rPr>
          <w:lang w:val="fr-CA"/>
        </w:rPr>
      </w:pPr>
      <w:r w:rsidRPr="00652163">
        <w:rPr>
          <w:lang w:val="fr-CA"/>
        </w:rPr>
        <w:t>et</w:t>
      </w:r>
    </w:p>
    <w:p w:rsidR="00051344" w:rsidRPr="006B687C" w:rsidRDefault="00A90F0C">
      <w:pPr>
        <w:pStyle w:val="SCCLsocParty"/>
      </w:pPr>
      <w:r w:rsidRPr="006B687C">
        <w:t>Canadian Association for Non</w:t>
      </w:r>
      <w:r w:rsidR="006B687C">
        <w:noBreakHyphen/>
      </w:r>
      <w:r w:rsidRPr="006B687C">
        <w:t>Organized Employees,</w:t>
      </w:r>
    </w:p>
    <w:p w:rsidR="00DE2621" w:rsidRPr="006B687C" w:rsidRDefault="00A90F0C">
      <w:pPr>
        <w:pStyle w:val="SCCLsocParty"/>
      </w:pPr>
      <w:r w:rsidRPr="006B687C">
        <w:t>Don Valley Community Legal Services,</w:t>
      </w:r>
    </w:p>
    <w:p w:rsidR="00051344" w:rsidRPr="006B687C" w:rsidRDefault="00A90F0C">
      <w:pPr>
        <w:pStyle w:val="SCCLsocParty"/>
      </w:pPr>
      <w:r w:rsidRPr="006B687C">
        <w:t>Law Students</w:t>
      </w:r>
      <w:r w:rsidR="000F5DBF" w:rsidRPr="006B687C">
        <w:t>’</w:t>
      </w:r>
      <w:r w:rsidRPr="006B687C">
        <w:t xml:space="preserve"> Legal Advice Program,</w:t>
      </w:r>
    </w:p>
    <w:p w:rsidR="00051344" w:rsidRPr="006B687C" w:rsidRDefault="00A90F0C">
      <w:pPr>
        <w:pStyle w:val="SCCLsocParty"/>
        <w:rPr>
          <w:lang w:val="fr-CA"/>
        </w:rPr>
      </w:pPr>
      <w:r w:rsidRPr="006B687C">
        <w:rPr>
          <w:lang w:val="fr-CA"/>
        </w:rPr>
        <w:t>Association canadienne des avocats d</w:t>
      </w:r>
      <w:r w:rsidR="00FC7BCD" w:rsidRPr="006B687C">
        <w:rPr>
          <w:lang w:val="fr-CA"/>
        </w:rPr>
        <w:t>’</w:t>
      </w:r>
      <w:r w:rsidR="00210E3B" w:rsidRPr="006B687C">
        <w:rPr>
          <w:lang w:val="fr-CA"/>
        </w:rPr>
        <w:t>employeurs</w:t>
      </w:r>
      <w:r w:rsidR="00D50341" w:rsidRPr="006B687C">
        <w:rPr>
          <w:lang w:val="fr-CA"/>
        </w:rPr>
        <w:t xml:space="preserve"> et</w:t>
      </w:r>
    </w:p>
    <w:p w:rsidR="00051344" w:rsidRPr="006B687C" w:rsidRDefault="00A90F0C" w:rsidP="00AE719D">
      <w:pPr>
        <w:pStyle w:val="SCCLsocLastPartyInRole"/>
        <w:rPr>
          <w:lang w:val="fr-CA"/>
        </w:rPr>
      </w:pPr>
      <w:r w:rsidRPr="006B687C">
        <w:rPr>
          <w:lang w:val="fr-CA"/>
        </w:rPr>
        <w:t>Parkdale Community Legal Services</w:t>
      </w:r>
      <w:r w:rsidR="007B56F8" w:rsidRPr="006B687C">
        <w:rPr>
          <w:rStyle w:val="SCCLsocPartyRole"/>
          <w:lang w:val="fr-CA"/>
        </w:rPr>
        <w:tab/>
        <w:t>Intervenant</w:t>
      </w:r>
      <w:r w:rsidRPr="006B687C">
        <w:rPr>
          <w:rStyle w:val="SCCLsocPartyRole"/>
          <w:lang w:val="fr-CA"/>
        </w:rPr>
        <w:t>s</w:t>
      </w:r>
    </w:p>
    <w:p w:rsidR="004D7D95" w:rsidRPr="006B687C" w:rsidRDefault="007B56F8" w:rsidP="00AE719D">
      <w:pPr>
        <w:spacing w:after="720"/>
        <w:jc w:val="both"/>
        <w:rPr>
          <w:b/>
          <w:lang w:val="fr-CA"/>
        </w:rPr>
      </w:pPr>
      <w:r w:rsidRPr="006B687C">
        <w:rPr>
          <w:b/>
          <w:lang w:val="fr-CA"/>
        </w:rPr>
        <w:t>Répertorié</w:t>
      </w:r>
      <w:r w:rsidR="006B687C">
        <w:rPr>
          <w:b/>
          <w:lang w:val="fr-CA"/>
        </w:rPr>
        <w:t> :</w:t>
      </w:r>
      <w:r w:rsidRPr="006B687C">
        <w:rPr>
          <w:b/>
          <w:lang w:val="fr-CA"/>
        </w:rPr>
        <w:t> </w:t>
      </w:r>
      <w:r w:rsidR="004D7D95" w:rsidRPr="006B687C">
        <w:rPr>
          <w:rStyle w:val="SCCAppellantForIndexChar"/>
          <w:lang w:val="fr-CA"/>
        </w:rPr>
        <w:t>Matthews</w:t>
      </w:r>
      <w:r w:rsidR="004D7D95" w:rsidRPr="006B687C">
        <w:rPr>
          <w:b/>
          <w:lang w:val="fr-CA"/>
        </w:rPr>
        <w:t xml:space="preserve"> </w:t>
      </w:r>
      <w:r w:rsidR="004D7D95" w:rsidRPr="006B687C">
        <w:rPr>
          <w:b/>
          <w:i/>
          <w:lang w:val="fr-CA"/>
        </w:rPr>
        <w:t>c.</w:t>
      </w:r>
      <w:r w:rsidR="004D7D95" w:rsidRPr="006B687C">
        <w:rPr>
          <w:b/>
          <w:lang w:val="fr-CA"/>
        </w:rPr>
        <w:t xml:space="preserve"> </w:t>
      </w:r>
      <w:r w:rsidRPr="006B687C">
        <w:rPr>
          <w:rStyle w:val="SCCRespondentForIndexChar"/>
          <w:lang w:val="fr-CA"/>
        </w:rPr>
        <w:t>Ocean Nutrition Canada Ltd.</w:t>
      </w:r>
    </w:p>
    <w:p w:rsidR="004D7D95" w:rsidRPr="006B687C" w:rsidRDefault="00D17B0E" w:rsidP="00AE719D">
      <w:pPr>
        <w:pStyle w:val="SCCSystemYear"/>
        <w:spacing w:after="720"/>
        <w:jc w:val="both"/>
        <w:rPr>
          <w:lang w:val="fr-CA"/>
        </w:rPr>
      </w:pPr>
      <w:r w:rsidRPr="006B687C">
        <w:rPr>
          <w:lang w:val="fr-CA"/>
        </w:rPr>
        <w:t>2020</w:t>
      </w:r>
      <w:r w:rsidR="004D7D95" w:rsidRPr="006B687C">
        <w:rPr>
          <w:lang w:val="fr-CA"/>
        </w:rPr>
        <w:t xml:space="preserve"> CSC </w:t>
      </w:r>
      <w:r w:rsidR="0033345C" w:rsidRPr="006B687C">
        <w:rPr>
          <w:lang w:val="fr-CA"/>
        </w:rPr>
        <w:t>26</w:t>
      </w:r>
    </w:p>
    <w:p w:rsidR="004D7D95" w:rsidRPr="006B687C" w:rsidRDefault="004D7D95" w:rsidP="00AE719D">
      <w:pPr>
        <w:spacing w:after="720"/>
        <w:jc w:val="both"/>
        <w:rPr>
          <w:lang w:val="fr-CA"/>
        </w:rPr>
      </w:pPr>
      <w:r w:rsidRPr="006B687C">
        <w:rPr>
          <w:lang w:val="fr-CA"/>
        </w:rPr>
        <w:t>N</w:t>
      </w:r>
      <w:r w:rsidRPr="006B687C">
        <w:rPr>
          <w:vertAlign w:val="superscript"/>
          <w:lang w:val="fr-CA"/>
        </w:rPr>
        <w:t>o</w:t>
      </w:r>
      <w:r w:rsidRPr="006B687C">
        <w:rPr>
          <w:lang w:val="fr-CA"/>
        </w:rPr>
        <w:t xml:space="preserve"> du greffe</w:t>
      </w:r>
      <w:r w:rsidR="006B687C">
        <w:rPr>
          <w:lang w:val="fr-CA"/>
        </w:rPr>
        <w:t> :</w:t>
      </w:r>
      <w:r w:rsidRPr="006B687C">
        <w:rPr>
          <w:lang w:val="fr-CA"/>
        </w:rPr>
        <w:t> 38252.</w:t>
      </w:r>
    </w:p>
    <w:p w:rsidR="004D7D95" w:rsidRPr="006B687C" w:rsidRDefault="00BC7C94" w:rsidP="00AE719D">
      <w:pPr>
        <w:spacing w:after="720"/>
        <w:jc w:val="both"/>
        <w:rPr>
          <w:lang w:val="fr-CA"/>
        </w:rPr>
      </w:pPr>
      <w:r w:rsidRPr="006B687C">
        <w:rPr>
          <w:lang w:val="fr-CA"/>
        </w:rPr>
        <w:t>2019</w:t>
      </w:r>
      <w:r w:rsidR="006B687C">
        <w:rPr>
          <w:lang w:val="fr-CA"/>
        </w:rPr>
        <w:t> :</w:t>
      </w:r>
      <w:r w:rsidRPr="006B687C">
        <w:rPr>
          <w:lang w:val="fr-CA"/>
        </w:rPr>
        <w:t> 8 </w:t>
      </w:r>
      <w:r w:rsidR="00D17B0E" w:rsidRPr="006B687C">
        <w:rPr>
          <w:lang w:val="fr-CA"/>
        </w:rPr>
        <w:t>octobre</w:t>
      </w:r>
      <w:r w:rsidR="004D7D95" w:rsidRPr="006B687C">
        <w:rPr>
          <w:lang w:val="fr-CA"/>
        </w:rPr>
        <w:t xml:space="preserve">; </w:t>
      </w:r>
      <w:r w:rsidR="000D6F85" w:rsidRPr="006B687C">
        <w:rPr>
          <w:lang w:val="fr-CA"/>
        </w:rPr>
        <w:t>2020</w:t>
      </w:r>
      <w:r w:rsidR="006B687C">
        <w:rPr>
          <w:lang w:val="fr-CA"/>
        </w:rPr>
        <w:t> :</w:t>
      </w:r>
      <w:r w:rsidRPr="006B687C">
        <w:rPr>
          <w:lang w:val="fr-CA"/>
        </w:rPr>
        <w:t> 9 </w:t>
      </w:r>
      <w:r w:rsidR="000D6F85" w:rsidRPr="006B687C">
        <w:rPr>
          <w:lang w:val="fr-CA"/>
        </w:rPr>
        <w:t>octobre.</w:t>
      </w:r>
    </w:p>
    <w:p w:rsidR="004D7D95" w:rsidRPr="006B687C" w:rsidRDefault="004D7D95" w:rsidP="00AE719D">
      <w:pPr>
        <w:spacing w:after="720"/>
        <w:jc w:val="both"/>
        <w:rPr>
          <w:lang w:val="fr-CA"/>
        </w:rPr>
      </w:pPr>
      <w:r w:rsidRPr="006B687C">
        <w:rPr>
          <w:lang w:val="fr-CA"/>
        </w:rPr>
        <w:t>Présents</w:t>
      </w:r>
      <w:r w:rsidR="006B687C">
        <w:rPr>
          <w:lang w:val="fr-CA"/>
        </w:rPr>
        <w:t> :</w:t>
      </w:r>
      <w:r w:rsidRPr="006B687C">
        <w:rPr>
          <w:lang w:val="fr-CA"/>
        </w:rPr>
        <w:t> Le juge en chef Wagner et les juges Moldaver, Côté, Brown, Rowe, Martin et Kasirer.</w:t>
      </w:r>
    </w:p>
    <w:p w:rsidR="004D7D95" w:rsidRPr="006B687C" w:rsidRDefault="004D7D95" w:rsidP="00AE719D">
      <w:pPr>
        <w:spacing w:after="720"/>
        <w:jc w:val="both"/>
        <w:rPr>
          <w:smallCaps/>
          <w:lang w:val="fr-CA"/>
        </w:rPr>
      </w:pPr>
      <w:r w:rsidRPr="006B687C">
        <w:rPr>
          <w:smallCaps/>
          <w:lang w:val="fr-CA"/>
        </w:rPr>
        <w:t>en appel de la cour d</w:t>
      </w:r>
      <w:r w:rsidR="00FC7BCD" w:rsidRPr="006B687C">
        <w:rPr>
          <w:smallCaps/>
          <w:lang w:val="fr-CA"/>
        </w:rPr>
        <w:t>’</w:t>
      </w:r>
      <w:r w:rsidR="00AE719D" w:rsidRPr="006B687C">
        <w:rPr>
          <w:smallCaps/>
          <w:lang w:val="fr-CA"/>
        </w:rPr>
        <w:t>appel de la nouvelle</w:t>
      </w:r>
      <w:r w:rsidR="006B687C">
        <w:rPr>
          <w:smallCaps/>
          <w:lang w:val="fr-CA"/>
        </w:rPr>
        <w:noBreakHyphen/>
      </w:r>
      <w:r w:rsidRPr="006B687C">
        <w:rPr>
          <w:smallCaps/>
          <w:lang w:val="fr-CA"/>
        </w:rPr>
        <w:t>écosse</w:t>
      </w:r>
    </w:p>
    <w:p w:rsidR="00DC2C6A" w:rsidRPr="006B687C" w:rsidRDefault="004D7D95" w:rsidP="00BC7C94">
      <w:pPr>
        <w:pStyle w:val="SCCNormalDoubleSpacing"/>
        <w:spacing w:after="480"/>
        <w:rPr>
          <w:i/>
          <w:lang w:val="fr-CA"/>
        </w:rPr>
      </w:pPr>
      <w:r w:rsidRPr="006B687C">
        <w:rPr>
          <w:lang w:val="fr-CA"/>
        </w:rPr>
        <w:lastRenderedPageBreak/>
        <w:tab/>
      </w:r>
      <w:r w:rsidR="00DC2C6A" w:rsidRPr="006B687C">
        <w:rPr>
          <w:i/>
          <w:lang w:val="fr-CA"/>
        </w:rPr>
        <w:t xml:space="preserve">Droit de l’emploi </w:t>
      </w:r>
      <w:r w:rsidR="006B687C">
        <w:rPr>
          <w:i/>
          <w:lang w:val="fr-CA"/>
        </w:rPr>
        <w:t>—</w:t>
      </w:r>
      <w:r w:rsidR="00DC2C6A" w:rsidRPr="006B687C">
        <w:rPr>
          <w:i/>
          <w:lang w:val="fr-CA"/>
        </w:rPr>
        <w:t xml:space="preserve"> Congédiement déguisé </w:t>
      </w:r>
      <w:r w:rsidR="00BC7C94" w:rsidRPr="006B687C">
        <w:rPr>
          <w:i/>
          <w:lang w:val="fr-CA"/>
        </w:rPr>
        <w:t>—</w:t>
      </w:r>
      <w:r w:rsidR="00DC2C6A" w:rsidRPr="006B687C">
        <w:rPr>
          <w:i/>
          <w:lang w:val="fr-CA"/>
        </w:rPr>
        <w:t xml:space="preserve"> Obligation de donner un préavis raisonnable </w:t>
      </w:r>
      <w:r w:rsidR="00BC7C94" w:rsidRPr="006B687C">
        <w:rPr>
          <w:i/>
          <w:lang w:val="fr-CA"/>
        </w:rPr>
        <w:t>—</w:t>
      </w:r>
      <w:r w:rsidR="00DC2C6A" w:rsidRPr="006B687C">
        <w:rPr>
          <w:i/>
          <w:lang w:val="fr-CA"/>
        </w:rPr>
        <w:t xml:space="preserve"> Dommages</w:t>
      </w:r>
      <w:r w:rsidR="006B687C">
        <w:rPr>
          <w:i/>
          <w:lang w:val="fr-CA"/>
        </w:rPr>
        <w:noBreakHyphen/>
      </w:r>
      <w:r w:rsidR="00DC2C6A" w:rsidRPr="006B687C">
        <w:rPr>
          <w:i/>
          <w:lang w:val="fr-CA"/>
        </w:rPr>
        <w:t xml:space="preserve">intérêts </w:t>
      </w:r>
      <w:r w:rsidR="00BC7C94" w:rsidRPr="006B687C">
        <w:rPr>
          <w:i/>
          <w:lang w:val="fr-CA"/>
        </w:rPr>
        <w:t>—</w:t>
      </w:r>
      <w:r w:rsidR="00DC2C6A" w:rsidRPr="006B687C">
        <w:rPr>
          <w:i/>
          <w:lang w:val="fr-CA"/>
        </w:rPr>
        <w:t xml:space="preserve"> Employé au service de l’employeur pendant environ 14 ans </w:t>
      </w:r>
      <w:r w:rsidR="00BC7C94" w:rsidRPr="006B687C">
        <w:rPr>
          <w:i/>
          <w:lang w:val="fr-CA"/>
        </w:rPr>
        <w:t>—</w:t>
      </w:r>
      <w:r w:rsidR="00DC2C6A" w:rsidRPr="006B687C">
        <w:rPr>
          <w:i/>
          <w:lang w:val="fr-CA"/>
        </w:rPr>
        <w:t xml:space="preserve"> Régime d’intéressement à long terme créé par l’employeur prévoyant le versement d’une prime à l’employé en cas de vente de l’entreprise </w:t>
      </w:r>
      <w:r w:rsidR="00BC7C94" w:rsidRPr="006B687C">
        <w:rPr>
          <w:i/>
          <w:lang w:val="fr-CA"/>
        </w:rPr>
        <w:t>—</w:t>
      </w:r>
      <w:r w:rsidR="00DC2C6A" w:rsidRPr="006B687C">
        <w:rPr>
          <w:i/>
          <w:lang w:val="fr-CA"/>
        </w:rPr>
        <w:t xml:space="preserve"> Entreprise vendue peu de temps après le congédiement déguisé de l’employé </w:t>
      </w:r>
      <w:r w:rsidR="00BC7C94" w:rsidRPr="006B687C">
        <w:rPr>
          <w:i/>
          <w:lang w:val="fr-CA"/>
        </w:rPr>
        <w:t>—</w:t>
      </w:r>
      <w:r w:rsidR="00DC2C6A" w:rsidRPr="006B687C">
        <w:rPr>
          <w:i/>
          <w:lang w:val="fr-CA"/>
        </w:rPr>
        <w:t xml:space="preserve"> Est</w:t>
      </w:r>
      <w:r w:rsidR="006B687C">
        <w:rPr>
          <w:i/>
          <w:lang w:val="fr-CA"/>
        </w:rPr>
        <w:noBreakHyphen/>
      </w:r>
      <w:r w:rsidR="00DC2C6A" w:rsidRPr="006B687C">
        <w:rPr>
          <w:i/>
          <w:lang w:val="fr-CA"/>
        </w:rPr>
        <w:t>ce que les dommages</w:t>
      </w:r>
      <w:r w:rsidR="006B687C">
        <w:rPr>
          <w:i/>
          <w:lang w:val="fr-CA"/>
        </w:rPr>
        <w:noBreakHyphen/>
      </w:r>
      <w:r w:rsidR="00DC2C6A" w:rsidRPr="006B687C">
        <w:rPr>
          <w:i/>
          <w:lang w:val="fr-CA"/>
        </w:rPr>
        <w:t>intérêts accordés à l’égard du manquement à l’obligation de donner un préavis raisonnable doivent inclure la prime d’intéressement?</w:t>
      </w:r>
    </w:p>
    <w:p w:rsidR="00DC2C6A" w:rsidRPr="006B687C" w:rsidRDefault="00DC2C6A" w:rsidP="00BC7C94">
      <w:pPr>
        <w:pStyle w:val="SCCNormalDoubleSpacing"/>
        <w:spacing w:after="480"/>
        <w:rPr>
          <w:lang w:val="fr-CA"/>
        </w:rPr>
      </w:pPr>
      <w:r w:rsidRPr="006B687C">
        <w:rPr>
          <w:lang w:val="fr-CA"/>
        </w:rPr>
        <w:tab/>
      </w:r>
      <w:r w:rsidRPr="006B687C">
        <w:rPr>
          <w:noProof/>
          <w:lang w:val="fr-CA"/>
        </w:rPr>
        <w:t>À partir de 1997</w:t>
      </w:r>
      <w:r w:rsidRPr="006B687C">
        <w:rPr>
          <w:lang w:val="fr-CA"/>
        </w:rPr>
        <w:t xml:space="preserve">, M, </w:t>
      </w:r>
      <w:r w:rsidRPr="006B687C">
        <w:rPr>
          <w:noProof/>
          <w:lang w:val="fr-CA"/>
        </w:rPr>
        <w:t>un chimiste expérimenté</w:t>
      </w:r>
      <w:r w:rsidRPr="006B687C">
        <w:rPr>
          <w:lang w:val="fr-CA"/>
        </w:rPr>
        <w:t>, a occupé plusieurs postes de direction chez Ocean Nutrition Canada Limited (« Ocean »). En tant que cadre supérieur, M participait au régime d’intéressement à long terme (« RILT ») d’Ocean, un arrangement contractuel visant à</w:t>
      </w:r>
      <w:r w:rsidRPr="006B687C">
        <w:rPr>
          <w:noProof/>
          <w:szCs w:val="24"/>
          <w:lang w:val="fr-CA"/>
        </w:rPr>
        <w:t xml:space="preserve"> </w:t>
      </w:r>
      <w:r w:rsidRPr="006B687C">
        <w:rPr>
          <w:lang w:val="fr-CA"/>
        </w:rPr>
        <w:t>récompenser les employés pour leurs contributions antérieures au succès de l’entreprise et à les inciter à continuer de le faire. Conformément au RILT, un « événement déclencheur », par exemple la vente de l’entreprise, entraînerait le versement des paiements prévus aux employés admissibles aux termes du régime. En 2007,</w:t>
      </w:r>
      <w:r w:rsidRPr="006B687C">
        <w:rPr>
          <w:noProof/>
          <w:szCs w:val="24"/>
          <w:lang w:val="fr-CA"/>
        </w:rPr>
        <w:t xml:space="preserve"> Ocean </w:t>
      </w:r>
      <w:r w:rsidRPr="006B687C">
        <w:rPr>
          <w:lang w:val="fr-CA"/>
        </w:rPr>
        <w:t>a embauché un nouveau directeur de l’exploitation, qui a entamé une campagne de marginalisation de M au sein de l’entreprise,</w:t>
      </w:r>
      <w:r w:rsidRPr="006B687C">
        <w:rPr>
          <w:noProof/>
          <w:szCs w:val="24"/>
          <w:lang w:val="fr-CA"/>
        </w:rPr>
        <w:t xml:space="preserve"> en </w:t>
      </w:r>
      <w:r w:rsidRPr="006B687C">
        <w:rPr>
          <w:lang w:val="fr-CA"/>
        </w:rPr>
        <w:t>limitant ses responsabilités et en lui mentant</w:t>
      </w:r>
      <w:r w:rsidRPr="006B687C">
        <w:rPr>
          <w:noProof/>
          <w:szCs w:val="24"/>
          <w:lang w:val="fr-CA"/>
        </w:rPr>
        <w:t xml:space="preserve"> </w:t>
      </w:r>
      <w:r w:rsidRPr="006B687C">
        <w:rPr>
          <w:lang w:val="fr-CA"/>
        </w:rPr>
        <w:t>au sujet de son statut et de son avenir au sein d’Ocean. Malgré</w:t>
      </w:r>
      <w:r w:rsidRPr="006B687C">
        <w:rPr>
          <w:noProof/>
          <w:lang w:val="fr-CA"/>
        </w:rPr>
        <w:t xml:space="preserve"> les problèmes que connaissait M avec la haute direction</w:t>
      </w:r>
      <w:r w:rsidRPr="006B687C">
        <w:rPr>
          <w:lang w:val="fr-CA"/>
        </w:rPr>
        <w:t xml:space="preserve">, le RILT était une raison déterminante pour laquelle il voulait continuer de travailler pour Ocean, </w:t>
      </w:r>
      <w:r w:rsidRPr="006B687C">
        <w:rPr>
          <w:noProof/>
          <w:lang w:val="fr-CA"/>
        </w:rPr>
        <w:t>car il s’attendait à ce que l’entreprise soit bientôt vendue</w:t>
      </w:r>
      <w:r w:rsidRPr="006B687C">
        <w:rPr>
          <w:lang w:val="fr-CA"/>
        </w:rPr>
        <w:t xml:space="preserve">. Cependant, M a finalement quitté Ocean en juin 2011, acceptant un poste chez un nouvel employeur. </w:t>
      </w:r>
    </w:p>
    <w:p w:rsidR="00DC2C6A" w:rsidRPr="006B687C" w:rsidRDefault="00DC2C6A" w:rsidP="00BC7C94">
      <w:pPr>
        <w:pStyle w:val="SCCNormalDoubleSpacing"/>
        <w:spacing w:after="480"/>
        <w:rPr>
          <w:lang w:val="fr-CA"/>
        </w:rPr>
      </w:pPr>
      <w:r w:rsidRPr="006B687C">
        <w:rPr>
          <w:lang w:val="fr-CA"/>
        </w:rPr>
        <w:lastRenderedPageBreak/>
        <w:tab/>
        <w:t>Environ 13 mois après le départ de M, Ocean a été vendue pour la somme de 540 millions de dollars. Cette vente constituait, pour les besoins du RILT, l’événement déclencheur. Comme M ne travaillait plus activement pour l’entreprise au moment de la vente, Ocean a soutenu que M ne satisfaisait pas aux conditions du régime, et il n’a pas reçu de prime. M</w:t>
      </w:r>
      <w:r w:rsidRPr="006B687C">
        <w:rPr>
          <w:noProof/>
          <w:szCs w:val="24"/>
          <w:lang w:val="fr-CA"/>
        </w:rPr>
        <w:t xml:space="preserve"> </w:t>
      </w:r>
      <w:r w:rsidRPr="006B687C">
        <w:rPr>
          <w:lang w:val="fr-CA"/>
        </w:rPr>
        <w:t>a présenté contre Ocean une requête dans laquelle il alléguait qu’il avait été congédié de façon déguisée,</w:t>
      </w:r>
      <w:r w:rsidRPr="006B687C">
        <w:rPr>
          <w:noProof/>
          <w:lang w:val="fr-CA"/>
        </w:rPr>
        <w:t xml:space="preserve"> et que ce congédiement avait été effectué de mauvaise foi et en contravention à l’obligation d’Ocean d’agir de bonne foi</w:t>
      </w:r>
      <w:r w:rsidRPr="006B687C">
        <w:rPr>
          <w:lang w:val="fr-CA"/>
        </w:rPr>
        <w:t xml:space="preserve">. Le juge de première instance a conclu qu’Ocean avait congédié M de manière déguisée et que ce dernier avait droit à un préavis raisonnable de 15 mois. Le juge de première instance a également conclu que M aurait été un employé à temps plein de l’entreprise lorsque l’événement déclencheur s’est produit s’il n’avait pas fait l’objet d’un congédiement déguisé, et que, </w:t>
      </w:r>
      <w:r w:rsidRPr="006B687C">
        <w:rPr>
          <w:noProof/>
          <w:lang w:val="fr-CA"/>
        </w:rPr>
        <w:t>comme les modalités du RILT n’avaient pas pour effet de limiter ou de supprimer clairement son droit à des dommages</w:t>
      </w:r>
      <w:r w:rsidR="006B687C">
        <w:rPr>
          <w:noProof/>
          <w:lang w:val="fr-CA"/>
        </w:rPr>
        <w:noBreakHyphen/>
      </w:r>
      <w:r w:rsidRPr="006B687C">
        <w:rPr>
          <w:noProof/>
          <w:lang w:val="fr-CA"/>
        </w:rPr>
        <w:t>intérêts en vertu de la common law, M avait droit à des dommages</w:t>
      </w:r>
      <w:r w:rsidR="006B687C">
        <w:rPr>
          <w:noProof/>
          <w:lang w:val="fr-CA"/>
        </w:rPr>
        <w:noBreakHyphen/>
      </w:r>
      <w:r w:rsidRPr="006B687C">
        <w:rPr>
          <w:noProof/>
          <w:lang w:val="fr-CA"/>
        </w:rPr>
        <w:t>intérêts d’un montant équivalant au paiement qu’il aurait reçu en vertu du RILT</w:t>
      </w:r>
      <w:r w:rsidRPr="006B687C">
        <w:rPr>
          <w:lang w:val="fr-CA"/>
        </w:rPr>
        <w:t>. La Cour d’appel a confirmé à l’unanimité la décision portant que M avait fait l’objet d’un congédiement déguisé et que le préavis raisonnable approprié était de 15 mois. Toutefois, les juges majoritaires de la Cour d’appel ont conclu que M n’avait pas droit à des dommages</w:t>
      </w:r>
      <w:r w:rsidR="006B687C">
        <w:rPr>
          <w:lang w:val="fr-CA"/>
        </w:rPr>
        <w:noBreakHyphen/>
      </w:r>
      <w:r w:rsidRPr="006B687C">
        <w:rPr>
          <w:lang w:val="fr-CA"/>
        </w:rPr>
        <w:t>intérêts pour la perte du paiement prévu par le RILT.</w:t>
      </w:r>
    </w:p>
    <w:p w:rsidR="00DC2C6A" w:rsidRPr="006B687C" w:rsidRDefault="00DC2C6A" w:rsidP="00BC7C94">
      <w:pPr>
        <w:pStyle w:val="SCCNormalDoubleSpacing"/>
        <w:spacing w:after="480"/>
        <w:rPr>
          <w:lang w:val="fr-CA"/>
        </w:rPr>
      </w:pPr>
      <w:r w:rsidRPr="006B687C">
        <w:rPr>
          <w:i/>
          <w:lang w:val="fr-CA"/>
        </w:rPr>
        <w:tab/>
        <w:t>Arrêt</w:t>
      </w:r>
      <w:r w:rsidR="006B687C">
        <w:rPr>
          <w:lang w:val="fr-CA"/>
        </w:rPr>
        <w:t> :</w:t>
      </w:r>
      <w:r w:rsidRPr="006B687C">
        <w:rPr>
          <w:lang w:val="fr-CA"/>
        </w:rPr>
        <w:t xml:space="preserve"> Le pourvoi est accueilli, l’arrêt de la Cour d’appel est écarté et le jugement de première instance est rétabli.</w:t>
      </w:r>
    </w:p>
    <w:p w:rsidR="00DC2C6A" w:rsidRPr="006B687C" w:rsidRDefault="00B30051" w:rsidP="00BC7C94">
      <w:pPr>
        <w:pStyle w:val="SCCNormalDoubleSpacing"/>
        <w:spacing w:after="480"/>
        <w:rPr>
          <w:lang w:val="fr-CA"/>
        </w:rPr>
      </w:pPr>
      <w:r>
        <w:rPr>
          <w:lang w:val="fr-CA"/>
        </w:rPr>
        <w:lastRenderedPageBreak/>
        <w:tab/>
      </w:r>
      <w:r w:rsidR="00DC2C6A" w:rsidRPr="006B687C">
        <w:rPr>
          <w:noProof/>
          <w:lang w:val="fr-CA"/>
        </w:rPr>
        <w:t>Suivant la common law, un employeur a le droit de</w:t>
      </w:r>
      <w:r w:rsidR="00DC2C6A" w:rsidRPr="006B687C">
        <w:rPr>
          <w:lang w:val="fr-CA"/>
        </w:rPr>
        <w:t xml:space="preserve"> </w:t>
      </w:r>
      <w:r w:rsidR="00DC2C6A" w:rsidRPr="006B687C">
        <w:rPr>
          <w:noProof/>
          <w:lang w:val="fr-CA"/>
        </w:rPr>
        <w:t>pousser un employé à quitter son emploi dans des circonstances qui équivalent à un congédiement, pourvu que cet employeur s’acquitte de son obligation de donner un préavis raisonnable.</w:t>
      </w:r>
      <w:r w:rsidR="00DC2C6A" w:rsidRPr="006B687C">
        <w:rPr>
          <w:lang w:val="fr-CA"/>
        </w:rPr>
        <w:t xml:space="preserve"> L’obligation de donner un préavis raisonnable ne dépend pas, en théorie, de la question de savoir s’il y a eu ou non bonne foi. Le manquement au contrat découlant de la décision de l’employeur est simplement le défaut de donner un préavis raisonnable, situation qui entraîne le paiement de dommages</w:t>
      </w:r>
      <w:r w:rsidR="006B687C">
        <w:rPr>
          <w:lang w:val="fr-CA"/>
        </w:rPr>
        <w:noBreakHyphen/>
      </w:r>
      <w:r w:rsidR="00DC2C6A" w:rsidRPr="006B687C">
        <w:rPr>
          <w:lang w:val="fr-CA"/>
        </w:rPr>
        <w:t>intérêts tenant lieu de préavis. Un manquement à l’obligation d’agir de bonne foi dans la façon de congédier l’employé constitue une violation contractuelle distincte et est i</w:t>
      </w:r>
      <w:r w:rsidR="00DC2C6A" w:rsidRPr="006B687C">
        <w:rPr>
          <w:noProof/>
          <w:lang w:val="fr-CA"/>
        </w:rPr>
        <w:t xml:space="preserve">ndépendant de tout manquement </w:t>
      </w:r>
      <w:r w:rsidR="00DC2C6A" w:rsidRPr="006B687C">
        <w:rPr>
          <w:lang w:val="fr-CA"/>
        </w:rPr>
        <w:t>à l’</w:t>
      </w:r>
      <w:r w:rsidR="00DC2C6A" w:rsidRPr="006B687C">
        <w:rPr>
          <w:noProof/>
          <w:lang w:val="fr-CA"/>
        </w:rPr>
        <w:t>obligation de donner un préavis raisonnable</w:t>
      </w:r>
      <w:r w:rsidR="00DC2C6A" w:rsidRPr="006B687C">
        <w:rPr>
          <w:lang w:val="fr-CA"/>
        </w:rPr>
        <w:t xml:space="preserve">. </w:t>
      </w:r>
      <w:r w:rsidR="00DC2C6A" w:rsidRPr="006B687C">
        <w:rPr>
          <w:noProof/>
          <w:lang w:val="fr-CA"/>
        </w:rPr>
        <w:t xml:space="preserve">Il peut servir de fondement permettant d’exiger réparation à l’égard d’un préjudice prévisible résultant d’un </w:t>
      </w:r>
      <w:r w:rsidR="00DC2C6A" w:rsidRPr="006B687C">
        <w:rPr>
          <w:lang w:val="fr-CA"/>
        </w:rPr>
        <w:t>traitement brutal ou implacable de la part de l’employeur dans la façon dont il a congédié l’employé. Les dommages</w:t>
      </w:r>
      <w:r w:rsidR="006B687C">
        <w:rPr>
          <w:lang w:val="fr-CA"/>
        </w:rPr>
        <w:noBreakHyphen/>
      </w:r>
      <w:r w:rsidR="00DC2C6A" w:rsidRPr="006B687C">
        <w:rPr>
          <w:lang w:val="fr-CA"/>
        </w:rPr>
        <w:t xml:space="preserve">intérêts découlant d’un même congédiement sont calculés différemment selon la violation reprochée. </w:t>
      </w:r>
      <w:r w:rsidR="00DC2C6A" w:rsidRPr="006B687C">
        <w:rPr>
          <w:noProof/>
          <w:lang w:val="fr-CA"/>
        </w:rPr>
        <w:t xml:space="preserve">La nature du manquement </w:t>
      </w:r>
      <w:r w:rsidR="00DC2C6A" w:rsidRPr="006B687C">
        <w:rPr>
          <w:lang w:val="fr-CA"/>
        </w:rPr>
        <w:t xml:space="preserve">à l’obligation contractuelle d’agir de bonne foi </w:t>
      </w:r>
      <w:r w:rsidR="00DC2C6A" w:rsidRPr="006B687C">
        <w:rPr>
          <w:noProof/>
          <w:lang w:val="fr-CA"/>
        </w:rPr>
        <w:t>n’est pas du même ordre que dans le cas du défaut de donner un préavis raisonnable</w:t>
      </w:r>
      <w:r w:rsidR="00DC2C6A" w:rsidRPr="006B687C">
        <w:rPr>
          <w:lang w:val="fr-CA"/>
        </w:rPr>
        <w:t xml:space="preserve">. </w:t>
      </w:r>
    </w:p>
    <w:p w:rsidR="00DC2C6A" w:rsidRPr="006B687C" w:rsidRDefault="00DC2C6A" w:rsidP="00BC7C94">
      <w:pPr>
        <w:pStyle w:val="SCCNormalDoubleSpacing"/>
        <w:spacing w:after="480"/>
        <w:rPr>
          <w:lang w:val="fr-CA"/>
        </w:rPr>
      </w:pPr>
      <w:r w:rsidRPr="006B687C">
        <w:rPr>
          <w:lang w:val="fr-CA"/>
        </w:rPr>
        <w:tab/>
        <w:t>Les tribunaux devraient se poser deux questions lorsqu’ils sont appelés à décider si le montant des dommages</w:t>
      </w:r>
      <w:r w:rsidR="006B687C">
        <w:rPr>
          <w:lang w:val="fr-CA"/>
        </w:rPr>
        <w:noBreakHyphen/>
      </w:r>
      <w:r w:rsidRPr="006B687C">
        <w:rPr>
          <w:lang w:val="fr-CA"/>
        </w:rPr>
        <w:t xml:space="preserve">intérêts qu’il convient d’accorder pour manquement à l’obligation tacite de donner un préavis raisonnable doit inclure les primes. Premièrement, les tribunaux devraient considérer les droits dont dispose l’employé en vertu de la common law et se demander si, n’eût été son congédiement, l’employé aurait eu droit à la prime ou à l’avantage dans le cadre de ses conditions de </w:t>
      </w:r>
      <w:r w:rsidRPr="006B687C">
        <w:rPr>
          <w:lang w:val="fr-CA"/>
        </w:rPr>
        <w:lastRenderedPageBreak/>
        <w:t>rémunération pendant la période de préavis raisonnable. Deuxièmement, dans l’affirmative, les tribunaux devraient déterminer si les modalités du contrat de travail ou du régime de primes ont pour effet de supprimer ou de limiter clairement ce droit que confère la common law. Cette démarche est conforme aux principes fondamentaux applicables aux dommages</w:t>
      </w:r>
      <w:r w:rsidR="006B687C">
        <w:rPr>
          <w:lang w:val="fr-CA"/>
        </w:rPr>
        <w:noBreakHyphen/>
      </w:r>
      <w:r w:rsidRPr="006B687C">
        <w:rPr>
          <w:lang w:val="fr-CA"/>
        </w:rPr>
        <w:t>intérêts pour congédiement déguisé, l’analyse s’attachant à la question du préavis raisonnable. Lorsqu’un employé intente une action en dommages</w:t>
      </w:r>
      <w:r w:rsidR="006B687C">
        <w:rPr>
          <w:lang w:val="fr-CA"/>
        </w:rPr>
        <w:noBreakHyphen/>
      </w:r>
      <w:r w:rsidRPr="006B687C">
        <w:rPr>
          <w:lang w:val="fr-CA"/>
        </w:rPr>
        <w:t>intérêts pour congédiement déguisé, il sollicite des dommages</w:t>
      </w:r>
      <w:r w:rsidR="006B687C">
        <w:rPr>
          <w:lang w:val="fr-CA"/>
        </w:rPr>
        <w:noBreakHyphen/>
      </w:r>
      <w:r w:rsidRPr="006B687C">
        <w:rPr>
          <w:lang w:val="fr-CA"/>
        </w:rPr>
        <w:t>intérêts à titre de dédommagement pour le revenu, les prestations et les primes qu’il aurait touchés si l’employeur n’avait pas manqué à son obligation tacite de donner un préavis raisonnable. Cette démarche est compatible avec l’interprétation bien établie selon laquelle le contrat demeure effectivement en vigueur pour les besoins de l’évaluation du préjudice de l’employé en vue de calculer le montant de l’indemnité à laquelle ce dernier aurait eu droit n’eût été son congédiement. Les dommages</w:t>
      </w:r>
      <w:r w:rsidR="006B687C">
        <w:rPr>
          <w:lang w:val="fr-CA"/>
        </w:rPr>
        <w:noBreakHyphen/>
      </w:r>
      <w:r w:rsidRPr="006B687C">
        <w:rPr>
          <w:lang w:val="fr-CA"/>
        </w:rPr>
        <w:t>intérêts versés pour congédiement injustifié visent à indemniser l’employé à l’égard de la violation par l’employeur de la condition implicite du contrat d’emploi selon laquelle ce dernier doit donner à l’employé un préavis raisonnable de cessation d’emploi. Le contrat ne comporte aucune condition implicite portant que l’employeur doit verser une indemnité tenant lieu de préavis. L’indemnité tenant lieu de préavis raisonnable ne constitue pas des dommages</w:t>
      </w:r>
      <w:r w:rsidR="006B687C">
        <w:rPr>
          <w:lang w:val="fr-CA"/>
        </w:rPr>
        <w:noBreakHyphen/>
      </w:r>
      <w:r w:rsidRPr="006B687C">
        <w:rPr>
          <w:lang w:val="fr-CA"/>
        </w:rPr>
        <w:t>intérêts pour violation du contrat, mais plutôt une portion de l’indemnité prévue au contrat. Si un employeur ne donne pas un préavis adéquat ou une indemnité en tenant lieu, la violation réside dans le non</w:t>
      </w:r>
      <w:r w:rsidR="006B687C">
        <w:rPr>
          <w:lang w:val="fr-CA"/>
        </w:rPr>
        <w:noBreakHyphen/>
      </w:r>
      <w:r w:rsidRPr="006B687C">
        <w:rPr>
          <w:lang w:val="fr-CA"/>
        </w:rPr>
        <w:t xml:space="preserve">paiement d’une indemnité et non dans le congédiement. </w:t>
      </w:r>
    </w:p>
    <w:p w:rsidR="00DC2C6A" w:rsidRPr="006B687C" w:rsidRDefault="00DC2C6A" w:rsidP="00BC7C94">
      <w:pPr>
        <w:pStyle w:val="SCCNormalDoubleSpacing"/>
        <w:spacing w:after="480"/>
        <w:rPr>
          <w:lang w:val="fr-CA"/>
        </w:rPr>
      </w:pPr>
      <w:r w:rsidRPr="006B687C">
        <w:rPr>
          <w:lang w:val="fr-CA"/>
        </w:rPr>
        <w:lastRenderedPageBreak/>
        <w:tab/>
        <w:t>En l’espèce, afin de déterminer si les dommages</w:t>
      </w:r>
      <w:r w:rsidR="006B687C">
        <w:rPr>
          <w:lang w:val="fr-CA"/>
        </w:rPr>
        <w:noBreakHyphen/>
      </w:r>
      <w:r w:rsidRPr="006B687C">
        <w:rPr>
          <w:lang w:val="fr-CA"/>
        </w:rPr>
        <w:t>intérêts accordés à M doivent inclure une somme l’indemnisant pour la perte du paiement prévu par le RILT, il faut mettre l’accent sur le montant des dommages</w:t>
      </w:r>
      <w:r w:rsidR="006B687C">
        <w:rPr>
          <w:lang w:val="fr-CA"/>
        </w:rPr>
        <w:noBreakHyphen/>
      </w:r>
      <w:r w:rsidRPr="006B687C">
        <w:rPr>
          <w:lang w:val="fr-CA"/>
        </w:rPr>
        <w:t>intérêts qu’il convenait d’accorder à M parce qu’Ocean ne lui a pas donné un préavis raisonnable, et non sur la question de savoir si les modalités du RILT étaient claires et non ambiguës. Il ne s’agit pas de décider si M est admissible au RILT, mais plutôt de déterminer le montant des dommages</w:t>
      </w:r>
      <w:r w:rsidR="006B687C">
        <w:rPr>
          <w:lang w:val="fr-CA"/>
        </w:rPr>
        <w:noBreakHyphen/>
      </w:r>
      <w:r w:rsidRPr="006B687C">
        <w:rPr>
          <w:lang w:val="fr-CA"/>
        </w:rPr>
        <w:t>intérêts auquel il a droit et, plus précisément, s’il a droit d’être indemnisé pour les primes qu’il aurait touchées si Ocean n’avait pas contrevenu au contrat de travail. Il n’est pas contesté que l’événement déclencheur s’est produit pendant la période de préavis et que, par conséquent, n’eût été son congédiement, M aurait reçu le paiement prévu par le RILT durant cette période. Dans ces circonstances, il est inutile de se demander si ce paiement faisait partie intégrante de sa rémunération. En ce qui concerne la première question, M</w:t>
      </w:r>
      <w:r w:rsidRPr="006B687C">
        <w:rPr>
          <w:noProof/>
          <w:szCs w:val="24"/>
          <w:lang w:val="fr-CA"/>
        </w:rPr>
        <w:t xml:space="preserve"> </w:t>
      </w:r>
      <w:r w:rsidRPr="006B687C">
        <w:rPr>
          <w:lang w:val="fr-CA"/>
        </w:rPr>
        <w:t>a droit, à première vue, de recevoir des dommages</w:t>
      </w:r>
      <w:r w:rsidR="006B687C">
        <w:rPr>
          <w:lang w:val="fr-CA"/>
        </w:rPr>
        <w:noBreakHyphen/>
      </w:r>
      <w:r w:rsidRPr="006B687C">
        <w:rPr>
          <w:lang w:val="fr-CA"/>
        </w:rPr>
        <w:t>intérêts à titre de dédommagement pour la prime qu’il a perdue. En ce qui a trait à la deuxième question, le RILT</w:t>
      </w:r>
      <w:r w:rsidRPr="006B687C">
        <w:rPr>
          <w:noProof/>
          <w:szCs w:val="24"/>
          <w:lang w:val="fr-CA"/>
        </w:rPr>
        <w:t xml:space="preserve"> </w:t>
      </w:r>
      <w:r w:rsidRPr="006B687C">
        <w:rPr>
          <w:lang w:val="fr-CA"/>
        </w:rPr>
        <w:t>n’a pas pour effet de limiter ou de supprimer clairement le droit que confère la common law</w:t>
      </w:r>
      <w:r w:rsidRPr="006B687C">
        <w:rPr>
          <w:i/>
          <w:lang w:val="fr-CA"/>
        </w:rPr>
        <w:t xml:space="preserve"> </w:t>
      </w:r>
      <w:r w:rsidRPr="006B687C">
        <w:rPr>
          <w:lang w:val="fr-CA"/>
        </w:rPr>
        <w:t>à M. Si un préavis adéquat avait été donné à M, ce dernier aurait été un employé à temps plein ou un employé actif de l’entreprise pendant la période de préavis raisonnable. Pour les besoins du calcul du montant des dommages</w:t>
      </w:r>
      <w:r w:rsidR="006B687C">
        <w:rPr>
          <w:lang w:val="fr-CA"/>
        </w:rPr>
        <w:noBreakHyphen/>
      </w:r>
      <w:r w:rsidRPr="006B687C">
        <w:rPr>
          <w:lang w:val="fr-CA"/>
        </w:rPr>
        <w:t>intérêts à verser en cas de congédiement injustifié, le contrat de travail est considéré comme étant résilié uniquement après l’expiration de la période de préavis raisonnable. Par conséquent, le montant de la prime prévue par le RILT doit être inclus dans les dommages</w:t>
      </w:r>
      <w:r w:rsidR="006B687C">
        <w:rPr>
          <w:lang w:val="fr-CA"/>
        </w:rPr>
        <w:noBreakHyphen/>
      </w:r>
      <w:r w:rsidRPr="006B687C">
        <w:rPr>
          <w:lang w:val="fr-CA"/>
        </w:rPr>
        <w:t xml:space="preserve">intérêts accordés à M, en vertu de la common law, pour le manquement à l’obligation tacite de lui donner un préavis raisonnable. Relativement </w:t>
      </w:r>
      <w:r w:rsidRPr="006B687C">
        <w:rPr>
          <w:lang w:val="fr-CA"/>
        </w:rPr>
        <w:lastRenderedPageBreak/>
        <w:t>à la question de bonne foi, qu’il suffise de dire qu’un manquement à l’obligation contractuelle d’agir de bonne foi repose sur des fondements entièrement distincts de ceux liés à l’omission de donner un préavis raisonnable.</w:t>
      </w:r>
      <w:r w:rsidR="006B687C">
        <w:rPr>
          <w:lang w:val="fr-CA"/>
        </w:rPr>
        <w:t xml:space="preserve"> </w:t>
      </w:r>
    </w:p>
    <w:p w:rsidR="007025F8" w:rsidRPr="006B687C" w:rsidRDefault="004D7D95" w:rsidP="007025F8">
      <w:pPr>
        <w:pStyle w:val="SCCNormalDoubleSpacing"/>
        <w:spacing w:after="720" w:line="240" w:lineRule="auto"/>
        <w:rPr>
          <w:b/>
          <w:lang w:val="en-US"/>
        </w:rPr>
      </w:pPr>
      <w:r w:rsidRPr="006B687C">
        <w:rPr>
          <w:b/>
          <w:lang w:val="en-US"/>
        </w:rPr>
        <w:t>Jurisprudence</w:t>
      </w:r>
    </w:p>
    <w:p w:rsidR="004D7D95" w:rsidRPr="006B687C" w:rsidRDefault="004D7D95" w:rsidP="00FA46AF">
      <w:pPr>
        <w:pStyle w:val="SCCNormalDoubleSpacing"/>
        <w:spacing w:after="480"/>
        <w:rPr>
          <w:lang w:val="en-US"/>
        </w:rPr>
      </w:pPr>
      <w:r w:rsidRPr="006B687C">
        <w:rPr>
          <w:lang w:val="en-US"/>
        </w:rPr>
        <w:tab/>
      </w:r>
      <w:r w:rsidRPr="006B687C">
        <w:rPr>
          <w:b/>
          <w:lang w:val="en-US"/>
        </w:rPr>
        <w:t xml:space="preserve">Arrêts </w:t>
      </w:r>
      <w:r w:rsidR="00094D8E" w:rsidRPr="006B687C">
        <w:rPr>
          <w:b/>
          <w:lang w:val="en-US"/>
        </w:rPr>
        <w:t>approuvés</w:t>
      </w:r>
      <w:r w:rsidR="006B687C">
        <w:rPr>
          <w:b/>
          <w:lang w:val="en-US"/>
        </w:rPr>
        <w:t> :</w:t>
      </w:r>
      <w:r w:rsidRPr="006B687C">
        <w:rPr>
          <w:lang w:val="en-US"/>
        </w:rPr>
        <w:t xml:space="preserve"> </w:t>
      </w:r>
      <w:r w:rsidR="00094D8E" w:rsidRPr="006B687C">
        <w:rPr>
          <w:i/>
          <w:lang w:val="en-US"/>
        </w:rPr>
        <w:t>Paquette c. TeraGo Networks Inc.</w:t>
      </w:r>
      <w:r w:rsidR="00094D8E" w:rsidRPr="006B687C">
        <w:rPr>
          <w:lang w:val="en-US"/>
        </w:rPr>
        <w:t xml:space="preserve">, 2016 ONCA 618, 352 O.A.C. 1; </w:t>
      </w:r>
      <w:r w:rsidR="00094D8E" w:rsidRPr="006B687C">
        <w:rPr>
          <w:i/>
          <w:lang w:val="en-US"/>
        </w:rPr>
        <w:t>Lin c. Ontario Teachers’ Pension Plan Board</w:t>
      </w:r>
      <w:r w:rsidR="00094D8E" w:rsidRPr="006B687C">
        <w:rPr>
          <w:lang w:val="en-US"/>
        </w:rPr>
        <w:t xml:space="preserve">, 2016 ONCA 619, 352 O.A.C. 10; </w:t>
      </w:r>
      <w:r w:rsidR="00094D8E" w:rsidRPr="006B687C">
        <w:rPr>
          <w:i/>
          <w:lang w:val="en-US"/>
        </w:rPr>
        <w:t>Taggart c. Canada Life Assurance Co.</w:t>
      </w:r>
      <w:r w:rsidR="00094D8E" w:rsidRPr="006B687C">
        <w:rPr>
          <w:lang w:val="en-US"/>
        </w:rPr>
        <w:t xml:space="preserve"> (2006), 50 C.C.P.B. 163; </w:t>
      </w:r>
      <w:r w:rsidR="00BD556E" w:rsidRPr="006B687C">
        <w:rPr>
          <w:b/>
          <w:lang w:val="en-US"/>
        </w:rPr>
        <w:t>distinction d’avec l’arrêt</w:t>
      </w:r>
      <w:r w:rsidR="006B687C">
        <w:rPr>
          <w:b/>
          <w:lang w:val="en-US"/>
        </w:rPr>
        <w:t> :</w:t>
      </w:r>
      <w:r w:rsidR="00BD556E" w:rsidRPr="006B687C">
        <w:rPr>
          <w:lang w:val="en-US"/>
        </w:rPr>
        <w:t xml:space="preserve"> </w:t>
      </w:r>
      <w:r w:rsidR="00BD556E" w:rsidRPr="006B687C">
        <w:rPr>
          <w:i/>
          <w:lang w:val="en-US"/>
        </w:rPr>
        <w:t>Styles c. Alberta Investment Management Corp.</w:t>
      </w:r>
      <w:r w:rsidR="00BD556E" w:rsidRPr="006B687C">
        <w:rPr>
          <w:lang w:val="en-US"/>
        </w:rPr>
        <w:t xml:space="preserve">, 2017 ABCA 1, 44 Alta. L.R. (6th) 214; </w:t>
      </w:r>
      <w:r w:rsidR="00BD556E" w:rsidRPr="006B687C">
        <w:rPr>
          <w:b/>
          <w:lang w:val="en-US"/>
        </w:rPr>
        <w:t>arrêts mentionnés</w:t>
      </w:r>
      <w:r w:rsidR="006B687C">
        <w:rPr>
          <w:b/>
          <w:lang w:val="en-US"/>
        </w:rPr>
        <w:t> :</w:t>
      </w:r>
      <w:r w:rsidR="00BD556E" w:rsidRPr="006B687C">
        <w:rPr>
          <w:lang w:val="en-US"/>
        </w:rPr>
        <w:t xml:space="preserve"> </w:t>
      </w:r>
      <w:r w:rsidR="00101C02" w:rsidRPr="006B687C">
        <w:rPr>
          <w:i/>
          <w:lang w:val="en-US"/>
        </w:rPr>
        <w:t>Bhasin c. Hrynew</w:t>
      </w:r>
      <w:r w:rsidR="00101C02" w:rsidRPr="006B687C">
        <w:rPr>
          <w:lang w:val="en-US"/>
        </w:rPr>
        <w:t xml:space="preserve">, 2014 CSC 71, [2014] 3 R.C.S. 494; </w:t>
      </w:r>
      <w:r w:rsidR="00101C02" w:rsidRPr="006B687C">
        <w:rPr>
          <w:i/>
          <w:lang w:val="en-US"/>
        </w:rPr>
        <w:t>Wallace c. United Grain Growers Ltd.</w:t>
      </w:r>
      <w:r w:rsidR="00101C02" w:rsidRPr="006B687C">
        <w:rPr>
          <w:lang w:val="en-US"/>
        </w:rPr>
        <w:t xml:space="preserve">, [1997] 3 R.C.S. 701; </w:t>
      </w:r>
      <w:r w:rsidR="00101C02" w:rsidRPr="006B687C">
        <w:rPr>
          <w:i/>
          <w:lang w:val="en-US"/>
        </w:rPr>
        <w:t>Honda Canada Inc. c. Keays</w:t>
      </w:r>
      <w:r w:rsidR="00101C02" w:rsidRPr="006B687C">
        <w:rPr>
          <w:lang w:val="en-US"/>
        </w:rPr>
        <w:t xml:space="preserve">, 2008 CSC 39, [2008] 2 R.C.S. 362; </w:t>
      </w:r>
      <w:r w:rsidR="00101C02" w:rsidRPr="006B687C">
        <w:rPr>
          <w:i/>
          <w:szCs w:val="24"/>
          <w:lang w:val="en-US" w:eastAsia="fr-CA"/>
        </w:rPr>
        <w:t xml:space="preserve">Machtinger </w:t>
      </w:r>
      <w:r w:rsidR="00101C02" w:rsidRPr="006B687C">
        <w:rPr>
          <w:i/>
          <w:iCs/>
          <w:szCs w:val="24"/>
          <w:lang w:val="en-US" w:eastAsia="fr-CA"/>
        </w:rPr>
        <w:t>c.</w:t>
      </w:r>
      <w:r w:rsidR="00101C02" w:rsidRPr="006B687C">
        <w:rPr>
          <w:i/>
          <w:szCs w:val="24"/>
          <w:lang w:val="en-US" w:eastAsia="fr-CA"/>
        </w:rPr>
        <w:t xml:space="preserve"> HOJ Industries Ltd.</w:t>
      </w:r>
      <w:r w:rsidR="00101C02" w:rsidRPr="006B687C">
        <w:rPr>
          <w:szCs w:val="24"/>
          <w:lang w:val="en-US" w:eastAsia="fr-CA"/>
        </w:rPr>
        <w:t xml:space="preserve">, [1992] 1 R.C.S. 986; </w:t>
      </w:r>
      <w:r w:rsidR="00FF16EA" w:rsidRPr="006B687C">
        <w:rPr>
          <w:i/>
          <w:szCs w:val="24"/>
          <w:lang w:val="en-US" w:eastAsia="fr-CA"/>
        </w:rPr>
        <w:t xml:space="preserve">Potter c. </w:t>
      </w:r>
      <w:r w:rsidR="00FF16EA" w:rsidRPr="006B687C">
        <w:rPr>
          <w:bCs/>
          <w:i/>
          <w:szCs w:val="24"/>
          <w:lang w:val="en-US" w:eastAsia="fr-CA"/>
        </w:rPr>
        <w:t>Commission des services d’aide juridique du Nouveau</w:t>
      </w:r>
      <w:r w:rsidR="006B687C">
        <w:rPr>
          <w:bCs/>
          <w:i/>
          <w:szCs w:val="24"/>
          <w:lang w:val="en-US" w:eastAsia="fr-CA"/>
        </w:rPr>
        <w:noBreakHyphen/>
      </w:r>
      <w:r w:rsidR="00FF16EA" w:rsidRPr="006B687C">
        <w:rPr>
          <w:bCs/>
          <w:i/>
          <w:szCs w:val="24"/>
          <w:lang w:val="en-US" w:eastAsia="fr-CA"/>
        </w:rPr>
        <w:t>Brunswick</w:t>
      </w:r>
      <w:r w:rsidR="00FF16EA" w:rsidRPr="006B687C">
        <w:rPr>
          <w:bCs/>
          <w:szCs w:val="24"/>
          <w:lang w:val="en-US" w:eastAsia="fr-CA"/>
        </w:rPr>
        <w:t>, 2015 CSC 10, [2015] 1 R.C.S. 500;</w:t>
      </w:r>
      <w:r w:rsidR="00FF16EA" w:rsidRPr="006B687C">
        <w:rPr>
          <w:szCs w:val="24"/>
          <w:lang w:val="en-US" w:eastAsia="fr-CA"/>
        </w:rPr>
        <w:t xml:space="preserve"> </w:t>
      </w:r>
      <w:r w:rsidR="001E6E0B" w:rsidRPr="006B687C">
        <w:rPr>
          <w:i/>
          <w:lang w:val="en-US"/>
        </w:rPr>
        <w:t xml:space="preserve">Hadley c. Baxendale </w:t>
      </w:r>
      <w:r w:rsidR="001E6E0B" w:rsidRPr="006B687C">
        <w:rPr>
          <w:lang w:val="en-US"/>
        </w:rPr>
        <w:t xml:space="preserve">(1854), 9 Ex. 341, 156 E.R. 145; </w:t>
      </w:r>
      <w:r w:rsidR="00101C02" w:rsidRPr="006B687C">
        <w:rPr>
          <w:i/>
          <w:lang w:val="en-US"/>
        </w:rPr>
        <w:t xml:space="preserve">Fidler c. Sun Life </w:t>
      </w:r>
      <w:r w:rsidR="00F95240" w:rsidRPr="006B687C">
        <w:rPr>
          <w:i/>
          <w:lang w:val="en-US"/>
        </w:rPr>
        <w:t>du</w:t>
      </w:r>
      <w:r w:rsidR="00101C02" w:rsidRPr="006B687C">
        <w:rPr>
          <w:i/>
          <w:lang w:val="en-US"/>
        </w:rPr>
        <w:t xml:space="preserve"> Canada</w:t>
      </w:r>
      <w:r w:rsidR="00F95240" w:rsidRPr="006B687C">
        <w:rPr>
          <w:i/>
          <w:lang w:val="en-US"/>
        </w:rPr>
        <w:t xml:space="preserve">, </w:t>
      </w:r>
      <w:r w:rsidR="00FA46AF" w:rsidRPr="006B687C">
        <w:rPr>
          <w:i/>
          <w:lang w:val="en-US"/>
        </w:rPr>
        <w:t>compagnie d’assurance</w:t>
      </w:r>
      <w:r w:rsidR="006B687C">
        <w:rPr>
          <w:i/>
          <w:lang w:val="en-US"/>
        </w:rPr>
        <w:noBreakHyphen/>
      </w:r>
      <w:r w:rsidR="00F95240" w:rsidRPr="006B687C">
        <w:rPr>
          <w:i/>
          <w:lang w:val="en-US"/>
        </w:rPr>
        <w:t>vie</w:t>
      </w:r>
      <w:r w:rsidR="00101C02" w:rsidRPr="006B687C">
        <w:rPr>
          <w:lang w:val="en-US"/>
        </w:rPr>
        <w:t xml:space="preserve">, 2006 CSC 30, [2006] 2 R.C.S. 3; </w:t>
      </w:r>
      <w:r w:rsidR="00101C02" w:rsidRPr="006B687C">
        <w:rPr>
          <w:i/>
          <w:lang w:val="en-US"/>
        </w:rPr>
        <w:t>Farber</w:t>
      </w:r>
      <w:r w:rsidR="00101C02" w:rsidRPr="006B687C">
        <w:rPr>
          <w:lang w:val="en-US"/>
        </w:rPr>
        <w:t xml:space="preserve"> </w:t>
      </w:r>
      <w:r w:rsidR="00101C02" w:rsidRPr="006B687C">
        <w:rPr>
          <w:i/>
          <w:lang w:val="en-US"/>
        </w:rPr>
        <w:t xml:space="preserve">c. </w:t>
      </w:r>
      <w:r w:rsidR="000E36ED">
        <w:rPr>
          <w:i/>
          <w:lang w:val="en-US"/>
        </w:rPr>
        <w:t>Cie Trust Royal</w:t>
      </w:r>
      <w:r w:rsidR="00101C02" w:rsidRPr="006B687C">
        <w:rPr>
          <w:lang w:val="en-US"/>
        </w:rPr>
        <w:t xml:space="preserve">, [1997] 1 R.C.S. 846; </w:t>
      </w:r>
      <w:r w:rsidR="00101C02" w:rsidRPr="006B687C">
        <w:rPr>
          <w:i/>
          <w:lang w:val="en-US"/>
        </w:rPr>
        <w:t xml:space="preserve">Evans c. Teamsters Local Union </w:t>
      </w:r>
      <w:r w:rsidR="006B687C">
        <w:rPr>
          <w:i/>
          <w:lang w:val="en-US"/>
        </w:rPr>
        <w:t>No. </w:t>
      </w:r>
      <w:r w:rsidR="00101C02" w:rsidRPr="006B687C">
        <w:rPr>
          <w:i/>
          <w:lang w:val="en-US"/>
        </w:rPr>
        <w:t>31</w:t>
      </w:r>
      <w:r w:rsidR="00101C02" w:rsidRPr="006B687C">
        <w:rPr>
          <w:lang w:val="en-US"/>
        </w:rPr>
        <w:t xml:space="preserve">, 2008 CSC 20, [2008] 1 R.C.S. 661; </w:t>
      </w:r>
      <w:r w:rsidR="00101C02" w:rsidRPr="006B687C">
        <w:rPr>
          <w:i/>
          <w:lang w:val="en-US"/>
        </w:rPr>
        <w:t>Iacobucci c. WIC Radio Ltd.</w:t>
      </w:r>
      <w:r w:rsidR="00101C02" w:rsidRPr="006B687C">
        <w:rPr>
          <w:lang w:val="en-US"/>
        </w:rPr>
        <w:t xml:space="preserve">, 1999 BCCA 753, 72 B.C.L.R. (3d) 234; </w:t>
      </w:r>
      <w:r w:rsidR="00101C02" w:rsidRPr="006B687C">
        <w:rPr>
          <w:i/>
          <w:lang w:val="en-US"/>
        </w:rPr>
        <w:t>Gillies c. Goldman Sachs Canada Inc.</w:t>
      </w:r>
      <w:r w:rsidR="00101C02" w:rsidRPr="006B687C">
        <w:rPr>
          <w:lang w:val="en-US"/>
        </w:rPr>
        <w:t xml:space="preserve">, 2001 BCCA 683, 95 B.C.L.R. (3d) 260; </w:t>
      </w:r>
      <w:r w:rsidR="00101C02" w:rsidRPr="006B687C">
        <w:rPr>
          <w:i/>
          <w:lang w:val="en-US"/>
        </w:rPr>
        <w:t>Nygard Int. Ltd. c. Robinson</w:t>
      </w:r>
      <w:r w:rsidR="00101C02" w:rsidRPr="006B687C">
        <w:rPr>
          <w:lang w:val="en-US"/>
        </w:rPr>
        <w:t xml:space="preserve"> (1990), 46 B.C.L.R. (2d) 103; </w:t>
      </w:r>
      <w:r w:rsidR="00101C02" w:rsidRPr="006B687C">
        <w:rPr>
          <w:i/>
          <w:lang w:val="en-US"/>
        </w:rPr>
        <w:t>Singer c. Nordstrong Equipment Limited</w:t>
      </w:r>
      <w:r w:rsidR="00101C02" w:rsidRPr="006B687C">
        <w:rPr>
          <w:lang w:val="en-US"/>
        </w:rPr>
        <w:t xml:space="preserve">, 2018 ONCA 364, 47 C.C.E.L. (4th) 218; </w:t>
      </w:r>
      <w:r w:rsidR="00D4594B" w:rsidRPr="006B687C">
        <w:rPr>
          <w:i/>
          <w:lang w:val="en-US"/>
        </w:rPr>
        <w:t>Brock c. Matthews Group Ltd.</w:t>
      </w:r>
      <w:r w:rsidR="00D4594B" w:rsidRPr="006B687C">
        <w:rPr>
          <w:lang w:val="en-US"/>
        </w:rPr>
        <w:t xml:space="preserve"> (1988), 20 C.C.E.L. 110, conf. par (1991), 34 C.C.E.L. 50; </w:t>
      </w:r>
      <w:r w:rsidR="00101C02" w:rsidRPr="006B687C">
        <w:rPr>
          <w:i/>
          <w:lang w:val="en-US"/>
        </w:rPr>
        <w:t xml:space="preserve">Ledcor Construction Ltd. c. </w:t>
      </w:r>
      <w:r w:rsidR="00375C98" w:rsidRPr="006B687C">
        <w:rPr>
          <w:i/>
          <w:lang w:val="en-US"/>
        </w:rPr>
        <w:t xml:space="preserve">Société </w:t>
      </w:r>
      <w:r w:rsidR="00375C98" w:rsidRPr="006B687C">
        <w:rPr>
          <w:i/>
          <w:lang w:val="en-US"/>
        </w:rPr>
        <w:lastRenderedPageBreak/>
        <w:t>d’assurance d’indemnisation Northbridge</w:t>
      </w:r>
      <w:r w:rsidR="00101C02" w:rsidRPr="006B687C">
        <w:rPr>
          <w:lang w:val="en-US"/>
        </w:rPr>
        <w:t xml:space="preserve">, 2016 CSC 37, [2016] 2 R.C.S. 23; </w:t>
      </w:r>
      <w:r w:rsidR="00101C02" w:rsidRPr="006B687C">
        <w:rPr>
          <w:i/>
          <w:lang w:val="en-US"/>
        </w:rPr>
        <w:t>Hunter Engineering Co. c.</w:t>
      </w:r>
      <w:r w:rsidR="0019380D" w:rsidRPr="006B687C">
        <w:rPr>
          <w:i/>
          <w:lang w:val="en-US"/>
        </w:rPr>
        <w:t xml:space="preserve"> Syncrude Canada Ltée</w:t>
      </w:r>
      <w:r w:rsidR="00101C02" w:rsidRPr="006B687C">
        <w:rPr>
          <w:lang w:val="en-US"/>
        </w:rPr>
        <w:t xml:space="preserve">, [1989] 1 R.C.S. 426; </w:t>
      </w:r>
      <w:r w:rsidR="00101C02" w:rsidRPr="006B687C">
        <w:rPr>
          <w:i/>
          <w:szCs w:val="24"/>
          <w:lang w:val="en-US"/>
        </w:rPr>
        <w:t xml:space="preserve">Tercon Contractors Ltd. c. </w:t>
      </w:r>
      <w:r w:rsidR="00FA46AF" w:rsidRPr="006B687C">
        <w:rPr>
          <w:i/>
          <w:szCs w:val="24"/>
          <w:lang w:val="en-US"/>
        </w:rPr>
        <w:t>Colombie</w:t>
      </w:r>
      <w:r w:rsidR="006B687C">
        <w:rPr>
          <w:i/>
          <w:szCs w:val="24"/>
          <w:lang w:val="en-US"/>
        </w:rPr>
        <w:noBreakHyphen/>
      </w:r>
      <w:r w:rsidR="00F95240" w:rsidRPr="006B687C">
        <w:rPr>
          <w:i/>
          <w:szCs w:val="24"/>
          <w:lang w:val="en-US"/>
        </w:rPr>
        <w:t xml:space="preserve">Britannique </w:t>
      </w:r>
      <w:r w:rsidR="00101C02" w:rsidRPr="006B687C">
        <w:rPr>
          <w:i/>
          <w:szCs w:val="24"/>
          <w:lang w:val="en-US"/>
        </w:rPr>
        <w:t>(Transport</w:t>
      </w:r>
      <w:r w:rsidR="00F95240" w:rsidRPr="006B687C">
        <w:rPr>
          <w:i/>
          <w:szCs w:val="24"/>
          <w:lang w:val="en-US"/>
        </w:rPr>
        <w:t>s et Voirie</w:t>
      </w:r>
      <w:r w:rsidR="00101C02" w:rsidRPr="006B687C">
        <w:rPr>
          <w:i/>
          <w:szCs w:val="24"/>
          <w:lang w:val="en-US"/>
        </w:rPr>
        <w:t>)</w:t>
      </w:r>
      <w:r w:rsidR="00101C02" w:rsidRPr="006B687C">
        <w:rPr>
          <w:szCs w:val="24"/>
          <w:lang w:val="en-US"/>
        </w:rPr>
        <w:t xml:space="preserve">, 2010 CSC 4, [2010] 1 R.C.S. 69; </w:t>
      </w:r>
      <w:r w:rsidR="00FA46AF" w:rsidRPr="006B687C">
        <w:rPr>
          <w:i/>
          <w:iCs/>
          <w:szCs w:val="24"/>
          <w:lang w:val="en-US"/>
        </w:rPr>
        <w:t>Schumacher c. Toronto</w:t>
      </w:r>
      <w:r w:rsidR="006B687C">
        <w:rPr>
          <w:i/>
          <w:iCs/>
          <w:szCs w:val="24"/>
          <w:lang w:val="en-US"/>
        </w:rPr>
        <w:noBreakHyphen/>
      </w:r>
      <w:r w:rsidR="009567D5" w:rsidRPr="006B687C">
        <w:rPr>
          <w:i/>
          <w:iCs/>
          <w:szCs w:val="24"/>
          <w:lang w:val="en-US"/>
        </w:rPr>
        <w:t>Dominion Bank</w:t>
      </w:r>
      <w:r w:rsidR="009567D5" w:rsidRPr="006B687C">
        <w:rPr>
          <w:szCs w:val="24"/>
          <w:lang w:val="en-US"/>
        </w:rPr>
        <w:t xml:space="preserve"> (1997), 147 D.L.R. (4th) 128; </w:t>
      </w:r>
      <w:r w:rsidR="002C3014" w:rsidRPr="006B687C">
        <w:rPr>
          <w:i/>
          <w:szCs w:val="24"/>
          <w:lang w:val="en-US"/>
        </w:rPr>
        <w:t>Bauer c. Banque de Montréal</w:t>
      </w:r>
      <w:r w:rsidR="002C3014" w:rsidRPr="006B687C">
        <w:rPr>
          <w:szCs w:val="24"/>
          <w:lang w:val="en-US"/>
        </w:rPr>
        <w:t xml:space="preserve">, [1980] 2 R.C.S. 102; </w:t>
      </w:r>
      <w:r w:rsidR="00101C02" w:rsidRPr="006B687C">
        <w:rPr>
          <w:i/>
          <w:lang w:val="en-US"/>
        </w:rPr>
        <w:t>Veer c. Dover Cor</w:t>
      </w:r>
      <w:r w:rsidR="006B687C">
        <w:rPr>
          <w:i/>
          <w:lang w:val="en-US"/>
        </w:rPr>
        <w:t>p. </w:t>
      </w:r>
      <w:r w:rsidR="00101C02" w:rsidRPr="006B687C">
        <w:rPr>
          <w:i/>
          <w:lang w:val="en-US"/>
        </w:rPr>
        <w:t xml:space="preserve">(Canada) Ltd. </w:t>
      </w:r>
      <w:r w:rsidR="00101C02" w:rsidRPr="006B687C">
        <w:rPr>
          <w:lang w:val="en-US"/>
        </w:rPr>
        <w:t xml:space="preserve">(1999), 120 O.A.C. 394; </w:t>
      </w:r>
      <w:r w:rsidR="00101C02" w:rsidRPr="006B687C">
        <w:rPr>
          <w:i/>
          <w:lang w:val="en-US"/>
        </w:rPr>
        <w:t>Rizzo &amp; Rizzo Shoes Ltd. (Re)</w:t>
      </w:r>
      <w:r w:rsidR="00101C02" w:rsidRPr="006B687C">
        <w:rPr>
          <w:lang w:val="en-US"/>
        </w:rPr>
        <w:t xml:space="preserve">, [1998] 1 R.C.S. 27; </w:t>
      </w:r>
      <w:r w:rsidR="00101C02" w:rsidRPr="006B687C">
        <w:rPr>
          <w:i/>
          <w:lang w:val="en-US"/>
        </w:rPr>
        <w:t xml:space="preserve">Styles c. Alberta Investment </w:t>
      </w:r>
      <w:r w:rsidR="006775C2" w:rsidRPr="006B687C">
        <w:rPr>
          <w:i/>
          <w:lang w:val="en-US"/>
        </w:rPr>
        <w:t xml:space="preserve">Management </w:t>
      </w:r>
      <w:r w:rsidR="00101C02" w:rsidRPr="006B687C">
        <w:rPr>
          <w:i/>
          <w:lang w:val="en-US"/>
        </w:rPr>
        <w:t>Corp.</w:t>
      </w:r>
      <w:r w:rsidR="00101C02" w:rsidRPr="006B687C">
        <w:rPr>
          <w:lang w:val="en-US"/>
        </w:rPr>
        <w:t xml:space="preserve">, 2015 ABQB 621, [2016] 4 W.W.R. 593; </w:t>
      </w:r>
      <w:r w:rsidR="00101C02" w:rsidRPr="006B687C">
        <w:rPr>
          <w:i/>
          <w:lang w:val="en-US"/>
        </w:rPr>
        <w:t xml:space="preserve">Sylvester c. </w:t>
      </w:r>
      <w:r w:rsidR="00FA46AF" w:rsidRPr="006B687C">
        <w:rPr>
          <w:i/>
          <w:lang w:val="en-US"/>
        </w:rPr>
        <w:t>Colombie</w:t>
      </w:r>
      <w:r w:rsidR="006B687C">
        <w:rPr>
          <w:i/>
          <w:lang w:val="en-US"/>
        </w:rPr>
        <w:noBreakHyphen/>
      </w:r>
      <w:r w:rsidR="0019380D" w:rsidRPr="006B687C">
        <w:rPr>
          <w:i/>
          <w:lang w:val="en-US"/>
        </w:rPr>
        <w:t>Britannique</w:t>
      </w:r>
      <w:r w:rsidR="00101C02" w:rsidRPr="006B687C">
        <w:rPr>
          <w:lang w:val="en-US"/>
        </w:rPr>
        <w:t xml:space="preserve">, [1997] 2 R.C.S. 315; </w:t>
      </w:r>
      <w:r w:rsidR="00101C02" w:rsidRPr="006B687C">
        <w:rPr>
          <w:i/>
          <w:lang w:val="en-US"/>
        </w:rPr>
        <w:t>Love c. Acuity Investment Management Inc.</w:t>
      </w:r>
      <w:r w:rsidR="00101C02" w:rsidRPr="006B687C">
        <w:rPr>
          <w:lang w:val="en-US"/>
        </w:rPr>
        <w:t xml:space="preserve">, 2011 ONCA 130, 277 O.A.C. 15; </w:t>
      </w:r>
      <w:r w:rsidR="00592A90" w:rsidRPr="006B687C">
        <w:rPr>
          <w:i/>
          <w:lang w:val="en-US"/>
        </w:rPr>
        <w:t>Dunlop c.</w:t>
      </w:r>
      <w:r w:rsidR="00592A90" w:rsidRPr="006B687C">
        <w:rPr>
          <w:lang w:val="en-US"/>
        </w:rPr>
        <w:t xml:space="preserve"> </w:t>
      </w:r>
      <w:r w:rsidR="00101C02" w:rsidRPr="006B687C">
        <w:rPr>
          <w:i/>
          <w:lang w:val="en-US"/>
        </w:rPr>
        <w:t xml:space="preserve">B.C. Hydro &amp; Power Authority </w:t>
      </w:r>
      <w:r w:rsidR="00101C02" w:rsidRPr="006B687C">
        <w:rPr>
          <w:lang w:val="en-US"/>
        </w:rPr>
        <w:t xml:space="preserve">(1988), 32 B.C.L.R. (2d) 334; </w:t>
      </w:r>
      <w:r w:rsidR="00101C02" w:rsidRPr="006B687C">
        <w:rPr>
          <w:i/>
          <w:lang w:val="en-US"/>
        </w:rPr>
        <w:t>Poole c. Whirlpool Corp.</w:t>
      </w:r>
      <w:r w:rsidR="00101C02" w:rsidRPr="006B687C">
        <w:rPr>
          <w:lang w:val="en-US"/>
        </w:rPr>
        <w:t xml:space="preserve">, 2011 ONCA 808, 97 C.C.E.L. (3d) 20; </w:t>
      </w:r>
      <w:r w:rsidR="00101C02" w:rsidRPr="006B687C">
        <w:rPr>
          <w:i/>
          <w:lang w:val="en-US"/>
        </w:rPr>
        <w:t>Doyle c. Zochem Inc.</w:t>
      </w:r>
      <w:r w:rsidR="00101C02" w:rsidRPr="006B687C">
        <w:rPr>
          <w:lang w:val="en-US"/>
        </w:rPr>
        <w:t xml:space="preserve">, 2017 ONCA 130, 31 C.C.P.B. (2nd) 200; </w:t>
      </w:r>
      <w:r w:rsidR="004D3FF2" w:rsidRPr="006B687C">
        <w:rPr>
          <w:i/>
          <w:lang w:val="en-US"/>
        </w:rPr>
        <w:t>Gismondi c. Toronto (City)</w:t>
      </w:r>
      <w:r w:rsidR="004D3FF2" w:rsidRPr="006B687C">
        <w:rPr>
          <w:lang w:val="en-US"/>
        </w:rPr>
        <w:t xml:space="preserve"> (2003), 64 O.R. (3d) 688; </w:t>
      </w:r>
      <w:r w:rsidR="0019380D" w:rsidRPr="006B687C">
        <w:rPr>
          <w:i/>
          <w:iCs/>
          <w:lang w:val="en-US"/>
        </w:rPr>
        <w:t>Renvoi relatif à la Public Service Employee Relations Act (Alb.)</w:t>
      </w:r>
      <w:r w:rsidR="00101C02" w:rsidRPr="006B687C">
        <w:rPr>
          <w:rStyle w:val="reflex3-block"/>
          <w:lang w:val="en-US"/>
        </w:rPr>
        <w:t>, [1987] 1 R.C.S. 313.</w:t>
      </w:r>
    </w:p>
    <w:p w:rsidR="004D7D95" w:rsidRPr="006B687C" w:rsidRDefault="004D7D95" w:rsidP="00FA46AF">
      <w:pPr>
        <w:pStyle w:val="SCCNormalDoubleSpacing"/>
        <w:spacing w:after="720" w:line="240" w:lineRule="auto"/>
        <w:rPr>
          <w:b/>
          <w:lang w:val="fr-CA"/>
        </w:rPr>
      </w:pPr>
      <w:r w:rsidRPr="006B687C">
        <w:rPr>
          <w:b/>
          <w:lang w:val="fr-CA"/>
        </w:rPr>
        <w:t>Lois et règlements cités</w:t>
      </w:r>
    </w:p>
    <w:p w:rsidR="00101C02" w:rsidRPr="006B687C" w:rsidRDefault="0019380D" w:rsidP="00FA46AF">
      <w:pPr>
        <w:pStyle w:val="SCCNormalDoubleSpacing"/>
        <w:spacing w:after="720" w:line="240" w:lineRule="auto"/>
        <w:ind w:left="547" w:hanging="547"/>
        <w:rPr>
          <w:lang w:val="fr-CA"/>
        </w:rPr>
      </w:pPr>
      <w:r w:rsidRPr="006B687C">
        <w:rPr>
          <w:i/>
          <w:lang w:val="fr-CA"/>
        </w:rPr>
        <w:t>Loi canadienne sur les sociétés par actions</w:t>
      </w:r>
      <w:r w:rsidR="00FA46AF" w:rsidRPr="006B687C">
        <w:rPr>
          <w:lang w:val="fr-CA"/>
        </w:rPr>
        <w:t>, L.R.C. 1985, c. C</w:t>
      </w:r>
      <w:r w:rsidR="006B687C">
        <w:rPr>
          <w:lang w:val="fr-CA"/>
        </w:rPr>
        <w:noBreakHyphen/>
      </w:r>
      <w:r w:rsidR="00FA46AF" w:rsidRPr="006B687C">
        <w:rPr>
          <w:lang w:val="fr-CA"/>
        </w:rPr>
        <w:t xml:space="preserve">44, </w:t>
      </w:r>
      <w:r w:rsidR="006B687C">
        <w:rPr>
          <w:lang w:val="fr-CA"/>
        </w:rPr>
        <w:t>art. </w:t>
      </w:r>
      <w:r w:rsidR="00101C02" w:rsidRPr="006B687C">
        <w:rPr>
          <w:lang w:val="fr-CA"/>
        </w:rPr>
        <w:t>241(1).</w:t>
      </w:r>
    </w:p>
    <w:p w:rsidR="004D7D95" w:rsidRPr="006B687C" w:rsidRDefault="004D7D95" w:rsidP="00FA46AF">
      <w:pPr>
        <w:pStyle w:val="SCCNormalDoubleSpacing"/>
        <w:spacing w:after="720" w:line="240" w:lineRule="auto"/>
        <w:rPr>
          <w:b/>
          <w:lang w:val="fr-CA"/>
        </w:rPr>
      </w:pPr>
      <w:r w:rsidRPr="006B687C">
        <w:rPr>
          <w:b/>
          <w:lang w:val="fr-CA"/>
        </w:rPr>
        <w:t>Doctrine et autres documents cités</w:t>
      </w:r>
    </w:p>
    <w:p w:rsidR="00101C02" w:rsidRPr="006B687C" w:rsidRDefault="00101C02" w:rsidP="00FA46AF">
      <w:pPr>
        <w:pStyle w:val="SCCNormalDoubleSpacing"/>
        <w:spacing w:after="240" w:line="240" w:lineRule="auto"/>
        <w:ind w:left="547" w:hanging="547"/>
      </w:pPr>
      <w:r w:rsidRPr="00652163">
        <w:rPr>
          <w:lang w:val="fr-CA"/>
        </w:rPr>
        <w:t xml:space="preserve">Anderson, Gordon, Douglas Brodie and Joellen Riley. </w:t>
      </w:r>
      <w:r w:rsidRPr="006B687C">
        <w:rPr>
          <w:i/>
          <w:lang w:val="en-US"/>
        </w:rPr>
        <w:t>The Common Law Employment Relationship</w:t>
      </w:r>
      <w:r w:rsidR="006B687C">
        <w:rPr>
          <w:lang w:val="en-US"/>
        </w:rPr>
        <w:t> </w:t>
      </w:r>
      <w:r w:rsidR="006B687C" w:rsidRPr="00D64689">
        <w:rPr>
          <w:i/>
          <w:lang w:val="en-US"/>
        </w:rPr>
        <w:t>:</w:t>
      </w:r>
      <w:r w:rsidRPr="006B687C">
        <w:rPr>
          <w:i/>
          <w:lang w:val="en-US"/>
        </w:rPr>
        <w:t xml:space="preserve"> A Comparative Study</w:t>
      </w:r>
      <w:r w:rsidR="00764F1F" w:rsidRPr="006B687C">
        <w:rPr>
          <w:lang w:val="en-US"/>
        </w:rPr>
        <w:t>, Cheltenham (R.</w:t>
      </w:r>
      <w:r w:rsidR="006B687C">
        <w:rPr>
          <w:lang w:val="en-US"/>
        </w:rPr>
        <w:noBreakHyphen/>
      </w:r>
      <w:r w:rsidR="00764F1F" w:rsidRPr="006B687C">
        <w:rPr>
          <w:lang w:val="en-US"/>
        </w:rPr>
        <w:t>U.)</w:t>
      </w:r>
      <w:r w:rsidRPr="006B687C">
        <w:rPr>
          <w:lang w:val="en-US"/>
        </w:rPr>
        <w:t>,</w:t>
      </w:r>
      <w:r w:rsidRPr="006B687C">
        <w:rPr>
          <w:i/>
          <w:lang w:val="en-US"/>
        </w:rPr>
        <w:t xml:space="preserve"> </w:t>
      </w:r>
      <w:r w:rsidRPr="006B687C">
        <w:rPr>
          <w:lang w:val="en-US"/>
        </w:rPr>
        <w:t>Edward Elgar</w:t>
      </w:r>
      <w:r w:rsidR="00764F1F" w:rsidRPr="006B687C">
        <w:rPr>
          <w:lang w:val="en-US"/>
        </w:rPr>
        <w:t xml:space="preserve"> Publishing</w:t>
      </w:r>
      <w:r w:rsidRPr="006B687C">
        <w:rPr>
          <w:lang w:val="en-US"/>
        </w:rPr>
        <w:t>, 2017.</w:t>
      </w:r>
    </w:p>
    <w:p w:rsidR="00101C02" w:rsidRPr="006B687C" w:rsidRDefault="00101C02" w:rsidP="00FA46AF">
      <w:pPr>
        <w:pStyle w:val="SCCNormalDoubleSpacing"/>
        <w:spacing w:after="240" w:line="240" w:lineRule="auto"/>
        <w:ind w:left="547" w:hanging="547"/>
      </w:pPr>
      <w:r w:rsidRPr="006B687C">
        <w:t>Banks, Kevin. «</w:t>
      </w:r>
      <w:r w:rsidRPr="006B687C">
        <w:rPr>
          <w:lang w:val="en-US"/>
        </w:rPr>
        <w:t> </w:t>
      </w:r>
      <w:r w:rsidRPr="006B687C">
        <w:t>Progress and Paradox</w:t>
      </w:r>
      <w:r w:rsidR="006B687C">
        <w:rPr>
          <w:lang w:val="en-US"/>
        </w:rPr>
        <w:t> :</w:t>
      </w:r>
      <w:r w:rsidRPr="006B687C">
        <w:t xml:space="preserve"> The Remarkable yet Limited Advance of Employer Good Faith Duties in Canadian Common Law</w:t>
      </w:r>
      <w:r w:rsidRPr="006B687C">
        <w:rPr>
          <w:lang w:val="en-US"/>
        </w:rPr>
        <w:t> </w:t>
      </w:r>
      <w:r w:rsidRPr="006B687C">
        <w:t>» (2011)</w:t>
      </w:r>
      <w:r w:rsidR="0019380D" w:rsidRPr="006B687C">
        <w:t>,</w:t>
      </w:r>
      <w:r w:rsidRPr="006B687C">
        <w:t xml:space="preserve"> 32 </w:t>
      </w:r>
      <w:r w:rsidR="00EA69E0" w:rsidRPr="006B687C">
        <w:rPr>
          <w:i/>
        </w:rPr>
        <w:t>Com</w:t>
      </w:r>
      <w:r w:rsidR="006B687C">
        <w:rPr>
          <w:i/>
        </w:rPr>
        <w:t>p. </w:t>
      </w:r>
      <w:r w:rsidR="00EA69E0" w:rsidRPr="006B687C">
        <w:rPr>
          <w:i/>
        </w:rPr>
        <w:t>Lab. L. &amp; Pol’y J.</w:t>
      </w:r>
      <w:r w:rsidR="00EA69E0" w:rsidRPr="006B687C">
        <w:t xml:space="preserve"> </w:t>
      </w:r>
      <w:r w:rsidRPr="006B687C">
        <w:t>547.</w:t>
      </w:r>
    </w:p>
    <w:p w:rsidR="00101C02" w:rsidRPr="006B687C" w:rsidRDefault="00D64689" w:rsidP="00FA46AF">
      <w:pPr>
        <w:pStyle w:val="SCCNormalDoubleSpacing"/>
        <w:spacing w:after="240" w:line="240" w:lineRule="auto"/>
        <w:ind w:left="547" w:hanging="547"/>
      </w:pPr>
      <w:r>
        <w:rPr>
          <w:lang w:val="en-US"/>
        </w:rPr>
        <w:lastRenderedPageBreak/>
        <w:t>Buchanan, Dennis D</w:t>
      </w:r>
      <w:r w:rsidR="00101C02" w:rsidRPr="006B687C">
        <w:rPr>
          <w:lang w:val="en-US"/>
        </w:rPr>
        <w:t xml:space="preserve">. </w:t>
      </w:r>
      <w:r w:rsidR="00101C02" w:rsidRPr="006B687C">
        <w:t>«</w:t>
      </w:r>
      <w:r w:rsidR="00101C02" w:rsidRPr="006B687C">
        <w:rPr>
          <w:lang w:val="en-US"/>
        </w:rPr>
        <w:t> Defining Wrongful Dismissal</w:t>
      </w:r>
      <w:r w:rsidR="006B687C">
        <w:rPr>
          <w:lang w:val="en-US"/>
        </w:rPr>
        <w:t> :</w:t>
      </w:r>
      <w:r w:rsidR="00101C02" w:rsidRPr="006B687C">
        <w:rPr>
          <w:lang w:val="en-US"/>
        </w:rPr>
        <w:t xml:space="preserve"> The Alberta Schism </w:t>
      </w:r>
      <w:r w:rsidR="00101C02" w:rsidRPr="006B687C">
        <w:t>»</w:t>
      </w:r>
      <w:r w:rsidR="00101C02" w:rsidRPr="006B687C">
        <w:rPr>
          <w:lang w:val="en-US"/>
        </w:rPr>
        <w:t xml:space="preserve"> (2019)</w:t>
      </w:r>
      <w:r w:rsidR="0019380D" w:rsidRPr="006B687C">
        <w:rPr>
          <w:lang w:val="en-US"/>
        </w:rPr>
        <w:t>,</w:t>
      </w:r>
      <w:r w:rsidR="00101C02" w:rsidRPr="006B687C">
        <w:rPr>
          <w:lang w:val="en-US"/>
        </w:rPr>
        <w:t xml:space="preserve"> 57 </w:t>
      </w:r>
      <w:r w:rsidR="00101C02" w:rsidRPr="006B687C">
        <w:rPr>
          <w:i/>
          <w:lang w:val="en-US"/>
        </w:rPr>
        <w:t>Alta. L. Rev.</w:t>
      </w:r>
      <w:r w:rsidR="00101C02" w:rsidRPr="006B687C">
        <w:rPr>
          <w:lang w:val="en-US"/>
        </w:rPr>
        <w:t xml:space="preserve"> 9</w:t>
      </w:r>
      <w:r>
        <w:rPr>
          <w:lang w:val="en-US"/>
        </w:rPr>
        <w:t>5</w:t>
      </w:r>
      <w:r w:rsidR="00B6101F" w:rsidRPr="006B687C">
        <w:rPr>
          <w:lang w:val="en-US"/>
        </w:rPr>
        <w:t>.</w:t>
      </w:r>
    </w:p>
    <w:p w:rsidR="00101C02" w:rsidRPr="006B687C" w:rsidRDefault="00101C02" w:rsidP="00FA46AF">
      <w:pPr>
        <w:pStyle w:val="SCCNormalDoubleSpacing"/>
        <w:spacing w:after="240" w:line="240" w:lineRule="auto"/>
        <w:ind w:left="547" w:hanging="547"/>
      </w:pPr>
      <w:r w:rsidRPr="006B687C">
        <w:t xml:space="preserve">England, Geoffrey. </w:t>
      </w:r>
      <w:r w:rsidRPr="006B687C">
        <w:rPr>
          <w:i/>
        </w:rPr>
        <w:t>Individual Employment Law</w:t>
      </w:r>
      <w:r w:rsidRPr="006B687C">
        <w:t>, 2nd ed., Toronto, Irwin Law, 2008.</w:t>
      </w:r>
    </w:p>
    <w:p w:rsidR="00101C02" w:rsidRPr="006B687C" w:rsidRDefault="00101C02" w:rsidP="00FA46AF">
      <w:pPr>
        <w:pStyle w:val="SCCNormalDoubleSpacing"/>
        <w:spacing w:after="240" w:line="240" w:lineRule="auto"/>
        <w:ind w:left="547" w:hanging="547"/>
      </w:pPr>
      <w:r w:rsidRPr="006B687C">
        <w:t>Fudge, Judy. «</w:t>
      </w:r>
      <w:r w:rsidRPr="006B687C">
        <w:rPr>
          <w:lang w:val="en-US"/>
        </w:rPr>
        <w:t> </w:t>
      </w:r>
      <w:r w:rsidRPr="006B687C">
        <w:t>The Limits of Good Faith in the Contract of Employment</w:t>
      </w:r>
      <w:r w:rsidR="006B687C">
        <w:rPr>
          <w:lang w:val="en-US"/>
        </w:rPr>
        <w:t> :</w:t>
      </w:r>
      <w:r w:rsidRPr="006B687C">
        <w:t xml:space="preserve"> From </w:t>
      </w:r>
      <w:r w:rsidRPr="006B687C">
        <w:rPr>
          <w:i/>
        </w:rPr>
        <w:t>Addis</w:t>
      </w:r>
      <w:r w:rsidRPr="006B687C">
        <w:t xml:space="preserve"> to </w:t>
      </w:r>
      <w:r w:rsidRPr="006B687C">
        <w:rPr>
          <w:i/>
        </w:rPr>
        <w:t>Vorvis</w:t>
      </w:r>
      <w:r w:rsidRPr="006B687C">
        <w:t xml:space="preserve"> to </w:t>
      </w:r>
      <w:r w:rsidRPr="006B687C">
        <w:rPr>
          <w:i/>
        </w:rPr>
        <w:t>Wallace</w:t>
      </w:r>
      <w:r w:rsidRPr="006B687C">
        <w:t xml:space="preserve"> and Back Again?</w:t>
      </w:r>
      <w:r w:rsidRPr="006B687C">
        <w:rPr>
          <w:lang w:val="en-US"/>
        </w:rPr>
        <w:t> </w:t>
      </w:r>
      <w:r w:rsidRPr="006B687C">
        <w:t>» (2007)</w:t>
      </w:r>
      <w:r w:rsidR="0019380D" w:rsidRPr="006B687C">
        <w:t>,</w:t>
      </w:r>
      <w:r w:rsidRPr="006B687C">
        <w:t xml:space="preserve"> 32 </w:t>
      </w:r>
      <w:r w:rsidRPr="006B687C">
        <w:rPr>
          <w:i/>
        </w:rPr>
        <w:t>Queen’s L.J.</w:t>
      </w:r>
      <w:r w:rsidRPr="006B687C">
        <w:t xml:space="preserve"> 529.</w:t>
      </w:r>
    </w:p>
    <w:p w:rsidR="00101C02" w:rsidRPr="006B687C" w:rsidRDefault="00101C02" w:rsidP="00FA46AF">
      <w:pPr>
        <w:pStyle w:val="SCCNormalDoubleSpacing"/>
        <w:spacing w:after="720" w:line="240" w:lineRule="auto"/>
        <w:ind w:left="547" w:hanging="547"/>
        <w:rPr>
          <w:lang w:val="fr-CA"/>
        </w:rPr>
      </w:pPr>
      <w:r w:rsidRPr="006B687C">
        <w:rPr>
          <w:lang w:val="en-US"/>
        </w:rPr>
        <w:t xml:space="preserve">Mummé, Claire. </w:t>
      </w:r>
      <w:r w:rsidRPr="006B687C">
        <w:t>«</w:t>
      </w:r>
      <w:r w:rsidRPr="006B687C">
        <w:rPr>
          <w:lang w:val="en-US"/>
        </w:rPr>
        <w:t> </w:t>
      </w:r>
      <w:r w:rsidRPr="006B687C">
        <w:rPr>
          <w:i/>
          <w:lang w:val="en-US"/>
        </w:rPr>
        <w:t>Bhasin v. Hrynew</w:t>
      </w:r>
      <w:r w:rsidR="006B687C">
        <w:rPr>
          <w:lang w:val="en-US"/>
        </w:rPr>
        <w:t> :</w:t>
      </w:r>
      <w:r w:rsidRPr="006B687C">
        <w:rPr>
          <w:lang w:val="en-US"/>
        </w:rPr>
        <w:t xml:space="preserve"> A New Era for Good Faith in Canadian Employment Law, or Just Tinkering at the Margins? </w:t>
      </w:r>
      <w:r w:rsidRPr="006B687C">
        <w:t>»</w:t>
      </w:r>
      <w:r w:rsidRPr="006B687C">
        <w:rPr>
          <w:lang w:val="en-US"/>
        </w:rPr>
        <w:t xml:space="preserve"> </w:t>
      </w:r>
      <w:r w:rsidRPr="006B687C">
        <w:rPr>
          <w:lang w:val="fr-CA"/>
        </w:rPr>
        <w:t>(2016)</w:t>
      </w:r>
      <w:r w:rsidR="0019380D" w:rsidRPr="006B687C">
        <w:rPr>
          <w:lang w:val="fr-CA"/>
        </w:rPr>
        <w:t>,</w:t>
      </w:r>
      <w:r w:rsidRPr="006B687C">
        <w:rPr>
          <w:lang w:val="fr-CA"/>
        </w:rPr>
        <w:t xml:space="preserve"> 32 </w:t>
      </w:r>
      <w:r w:rsidR="009463B5" w:rsidRPr="006B687C">
        <w:rPr>
          <w:i/>
          <w:lang w:val="fr-CA"/>
        </w:rPr>
        <w:t>Int’l</w:t>
      </w:r>
      <w:r w:rsidRPr="006B687C">
        <w:rPr>
          <w:i/>
          <w:lang w:val="fr-CA"/>
        </w:rPr>
        <w:t xml:space="preserve"> J. Com</w:t>
      </w:r>
      <w:r w:rsidR="006B687C">
        <w:rPr>
          <w:i/>
          <w:lang w:val="fr-CA"/>
        </w:rPr>
        <w:t>p. </w:t>
      </w:r>
      <w:r w:rsidRPr="006B687C">
        <w:rPr>
          <w:i/>
          <w:lang w:val="fr-CA"/>
        </w:rPr>
        <w:t>Lab. L.</w:t>
      </w:r>
      <w:r w:rsidRPr="006B687C">
        <w:rPr>
          <w:lang w:val="fr-CA"/>
        </w:rPr>
        <w:t xml:space="preserve"> </w:t>
      </w:r>
      <w:r w:rsidRPr="006B687C">
        <w:rPr>
          <w:i/>
          <w:lang w:val="fr-CA"/>
        </w:rPr>
        <w:t>&amp; Ind. Rel.</w:t>
      </w:r>
      <w:r w:rsidR="00812599" w:rsidRPr="006B687C">
        <w:rPr>
          <w:i/>
          <w:lang w:val="fr-CA"/>
        </w:rPr>
        <w:t xml:space="preserve"> </w:t>
      </w:r>
      <w:r w:rsidRPr="006B687C">
        <w:rPr>
          <w:lang w:val="fr-CA"/>
        </w:rPr>
        <w:t>117.</w:t>
      </w:r>
    </w:p>
    <w:p w:rsidR="004D7D95" w:rsidRPr="006B687C" w:rsidRDefault="007B56F8" w:rsidP="00FA46AF">
      <w:pPr>
        <w:pStyle w:val="SCCNormalDoubleSpacing"/>
        <w:spacing w:after="480"/>
        <w:rPr>
          <w:lang w:val="fr-CA"/>
        </w:rPr>
      </w:pPr>
      <w:r w:rsidRPr="006B687C">
        <w:rPr>
          <w:lang w:val="fr-CA"/>
        </w:rPr>
        <w:tab/>
      </w:r>
      <w:r w:rsidR="004D7D95" w:rsidRPr="006B687C">
        <w:rPr>
          <w:lang w:val="fr-CA"/>
        </w:rPr>
        <w:t>POURVOI contre un arrêt de la Cour d</w:t>
      </w:r>
      <w:r w:rsidR="00FC7BCD" w:rsidRPr="006B687C">
        <w:rPr>
          <w:lang w:val="fr-CA"/>
        </w:rPr>
        <w:t>’</w:t>
      </w:r>
      <w:r w:rsidR="00FA46AF" w:rsidRPr="006B687C">
        <w:rPr>
          <w:lang w:val="fr-CA"/>
        </w:rPr>
        <w:t>appel de la Nouvelle</w:t>
      </w:r>
      <w:r w:rsidR="006B687C">
        <w:rPr>
          <w:lang w:val="fr-CA"/>
        </w:rPr>
        <w:noBreakHyphen/>
      </w:r>
      <w:r w:rsidR="004D7D95" w:rsidRPr="006B687C">
        <w:rPr>
          <w:lang w:val="fr-CA"/>
        </w:rPr>
        <w:t>Écosse</w:t>
      </w:r>
      <w:r w:rsidR="00B04EBE" w:rsidRPr="006B687C">
        <w:rPr>
          <w:lang w:val="fr-CA"/>
        </w:rPr>
        <w:t xml:space="preserve"> (les juges Farrar, Bryson et</w:t>
      </w:r>
      <w:r w:rsidRPr="006B687C">
        <w:rPr>
          <w:lang w:val="fr-CA"/>
        </w:rPr>
        <w:t xml:space="preserve"> Scanlan), 2</w:t>
      </w:r>
      <w:r w:rsidR="00B04EBE" w:rsidRPr="006B687C">
        <w:rPr>
          <w:lang w:val="fr-CA"/>
        </w:rPr>
        <w:t xml:space="preserve">018 NSCA 44, 2018 C.L.L.C. </w:t>
      </w:r>
      <w:r w:rsidR="00B04EBE" w:rsidRPr="006B687C">
        <w:rPr>
          <w:bCs/>
          <w:lang w:val="fr-CA"/>
        </w:rPr>
        <w:t>¶210</w:t>
      </w:r>
      <w:r w:rsidR="006B687C">
        <w:rPr>
          <w:lang w:val="fr-CA"/>
        </w:rPr>
        <w:noBreakHyphen/>
      </w:r>
      <w:r w:rsidRPr="006B687C">
        <w:rPr>
          <w:lang w:val="fr-CA"/>
        </w:rPr>
        <w:t xml:space="preserve">053, 48 C.C.E.L. (4th) 171, [2018] N.S.J. </w:t>
      </w:r>
      <w:r w:rsidR="006B687C">
        <w:rPr>
          <w:lang w:val="fr-CA"/>
        </w:rPr>
        <w:t>No. </w:t>
      </w:r>
      <w:r w:rsidRPr="006B687C">
        <w:rPr>
          <w:lang w:val="fr-CA"/>
        </w:rPr>
        <w:t xml:space="preserve">200 (QL), 2018 CarswellNS 393 (WL Can.), </w:t>
      </w:r>
      <w:r w:rsidR="00D20ADA" w:rsidRPr="006B687C">
        <w:rPr>
          <w:lang w:val="fr-CA"/>
        </w:rPr>
        <w:t xml:space="preserve">qui a </w:t>
      </w:r>
      <w:r w:rsidR="001C6A8E" w:rsidRPr="006B687C">
        <w:rPr>
          <w:lang w:val="fr-CA"/>
        </w:rPr>
        <w:t>écarté en partie</w:t>
      </w:r>
      <w:r w:rsidR="00AE4649" w:rsidRPr="006B687C">
        <w:rPr>
          <w:lang w:val="fr-CA"/>
        </w:rPr>
        <w:t xml:space="preserve"> </w:t>
      </w:r>
      <w:r w:rsidRPr="006B687C">
        <w:rPr>
          <w:lang w:val="fr-CA"/>
        </w:rPr>
        <w:t xml:space="preserve">une décision du juge LeBlanc, 2017 NSSC 16, [2017] N.S.J. </w:t>
      </w:r>
      <w:r w:rsidR="006B687C">
        <w:rPr>
          <w:lang w:val="fr-CA"/>
        </w:rPr>
        <w:t>No. </w:t>
      </w:r>
      <w:r w:rsidRPr="006B687C">
        <w:rPr>
          <w:lang w:val="fr-CA"/>
        </w:rPr>
        <w:t>32 (QL), 2017 Car</w:t>
      </w:r>
      <w:r w:rsidR="00AD39A5" w:rsidRPr="006B687C">
        <w:rPr>
          <w:lang w:val="fr-CA"/>
        </w:rPr>
        <w:t>s</w:t>
      </w:r>
      <w:r w:rsidRPr="006B687C">
        <w:rPr>
          <w:lang w:val="fr-CA"/>
        </w:rPr>
        <w:t xml:space="preserve">wellNS 55 (WL Can.), </w:t>
      </w:r>
      <w:r w:rsidR="001C6A8E" w:rsidRPr="006B687C">
        <w:rPr>
          <w:lang w:val="fr-CA"/>
        </w:rPr>
        <w:t>avec</w:t>
      </w:r>
      <w:r w:rsidR="00AE4649" w:rsidRPr="006B687C">
        <w:rPr>
          <w:lang w:val="fr-CA"/>
        </w:rPr>
        <w:t xml:space="preserve"> </w:t>
      </w:r>
      <w:r w:rsidR="00ED4DE7" w:rsidRPr="006B687C">
        <w:rPr>
          <w:lang w:val="fr-CA"/>
        </w:rPr>
        <w:t>motifs supplémentaires</w:t>
      </w:r>
      <w:r w:rsidR="008F1628" w:rsidRPr="006B687C">
        <w:rPr>
          <w:lang w:val="fr-CA"/>
        </w:rPr>
        <w:t>,</w:t>
      </w:r>
      <w:r w:rsidRPr="006B687C">
        <w:rPr>
          <w:lang w:val="fr-CA"/>
        </w:rPr>
        <w:t xml:space="preserve"> 2017 NSSC 123, [2017] N.S.J. </w:t>
      </w:r>
      <w:r w:rsidR="006B687C">
        <w:rPr>
          <w:lang w:val="fr-CA"/>
        </w:rPr>
        <w:t>No. </w:t>
      </w:r>
      <w:r w:rsidRPr="006B687C">
        <w:rPr>
          <w:lang w:val="fr-CA"/>
        </w:rPr>
        <w:t>161 (QL), 2017 CarswellNS 325 (WL Can.). Pourvoi</w:t>
      </w:r>
      <w:r w:rsidR="00ED4DE7" w:rsidRPr="006B687C">
        <w:rPr>
          <w:lang w:val="fr-CA"/>
        </w:rPr>
        <w:t xml:space="preserve"> ac</w:t>
      </w:r>
      <w:r w:rsidR="00341C67" w:rsidRPr="006B687C">
        <w:rPr>
          <w:lang w:val="fr-CA"/>
        </w:rPr>
        <w:t>c</w:t>
      </w:r>
      <w:r w:rsidR="00ED4DE7" w:rsidRPr="006B687C">
        <w:rPr>
          <w:lang w:val="fr-CA"/>
        </w:rPr>
        <w:t>ueilli.</w:t>
      </w:r>
    </w:p>
    <w:p w:rsidR="00051344" w:rsidRPr="006B687C" w:rsidRDefault="00A90F0C" w:rsidP="00FA46AF">
      <w:pPr>
        <w:pStyle w:val="SCCNormalDoubleSpacing"/>
        <w:spacing w:after="480"/>
        <w:rPr>
          <w:lang w:val="fr-CA"/>
        </w:rPr>
      </w:pPr>
      <w:r w:rsidRPr="006B687C">
        <w:rPr>
          <w:rStyle w:val="SCCCounselNameChar"/>
          <w:lang w:val="fr-CA"/>
        </w:rPr>
        <w:tab/>
      </w:r>
      <w:r w:rsidR="00FC7BCD" w:rsidRPr="006B687C">
        <w:rPr>
          <w:rStyle w:val="SCCCounselNameChar"/>
          <w:lang w:val="fr-CA"/>
        </w:rPr>
        <w:t>Howard Levitt</w:t>
      </w:r>
      <w:r w:rsidR="00FC7BCD" w:rsidRPr="006B687C">
        <w:rPr>
          <w:rStyle w:val="SCCCounselSeparatorChar"/>
          <w:lang w:val="fr-CA"/>
        </w:rPr>
        <w:t xml:space="preserve">, </w:t>
      </w:r>
      <w:r w:rsidR="00FC7BCD" w:rsidRPr="006B687C">
        <w:rPr>
          <w:rStyle w:val="SCCCounselNameChar"/>
          <w:lang w:val="fr-CA"/>
        </w:rPr>
        <w:t>Allyson Lee</w:t>
      </w:r>
      <w:r w:rsidR="00FC7BCD" w:rsidRPr="006B687C">
        <w:rPr>
          <w:rStyle w:val="SCCCounselPartyRoleChar"/>
          <w:lang w:val="fr-CA"/>
        </w:rPr>
        <w:t xml:space="preserve">, </w:t>
      </w:r>
      <w:r w:rsidR="00FC7BCD" w:rsidRPr="006B687C">
        <w:rPr>
          <w:rStyle w:val="SCCCounselPartyRoleChar"/>
          <w:i/>
          <w:lang w:val="fr-CA"/>
        </w:rPr>
        <w:t>Blair Mitchell</w:t>
      </w:r>
      <w:r w:rsidR="00FC7BCD" w:rsidRPr="006B687C">
        <w:rPr>
          <w:rStyle w:val="SCCCounselPartyRoleChar"/>
          <w:lang w:val="fr-CA"/>
        </w:rPr>
        <w:t xml:space="preserve"> et </w:t>
      </w:r>
      <w:r w:rsidR="00FC7BCD" w:rsidRPr="006B687C">
        <w:rPr>
          <w:rStyle w:val="SCCCounselPartyRoleChar"/>
          <w:i/>
          <w:lang w:val="fr-CA"/>
        </w:rPr>
        <w:t>Saba Khan</w:t>
      </w:r>
      <w:r w:rsidR="00FC7BCD" w:rsidRPr="006B687C">
        <w:rPr>
          <w:rStyle w:val="SCCCounselPartyRoleChar"/>
          <w:lang w:val="fr-CA"/>
        </w:rPr>
        <w:t xml:space="preserve">, </w:t>
      </w:r>
      <w:r w:rsidRPr="006B687C">
        <w:rPr>
          <w:rStyle w:val="SCCCounselPartyRoleChar"/>
          <w:lang w:val="fr-CA"/>
        </w:rPr>
        <w:t>pour l</w:t>
      </w:r>
      <w:r w:rsidR="00FC7BCD" w:rsidRPr="006B687C">
        <w:rPr>
          <w:rStyle w:val="SCCCounselPartyRoleChar"/>
          <w:lang w:val="fr-CA"/>
        </w:rPr>
        <w:t>’appelant</w:t>
      </w:r>
      <w:r w:rsidRPr="006B687C">
        <w:rPr>
          <w:rStyle w:val="SCCCounselPartyRoleChar"/>
          <w:lang w:val="fr-CA"/>
        </w:rPr>
        <w:t>.</w:t>
      </w:r>
    </w:p>
    <w:p w:rsidR="00051344" w:rsidRPr="006B687C" w:rsidRDefault="00FC7BCD" w:rsidP="00FA46AF">
      <w:pPr>
        <w:pStyle w:val="SCCNormalDoubleSpacing"/>
        <w:spacing w:after="480"/>
        <w:rPr>
          <w:lang w:val="fr-CA"/>
        </w:rPr>
      </w:pPr>
      <w:r w:rsidRPr="006B687C">
        <w:rPr>
          <w:rStyle w:val="SCCCounselNameChar"/>
          <w:lang w:val="fr-CA"/>
        </w:rPr>
        <w:tab/>
        <w:t>Nancy F. Barteaux</w:t>
      </w:r>
      <w:r w:rsidRPr="006B687C">
        <w:rPr>
          <w:rStyle w:val="SCCCounselNameChar"/>
          <w:i w:val="0"/>
          <w:lang w:val="fr-CA"/>
        </w:rPr>
        <w:t xml:space="preserve">, </w:t>
      </w:r>
      <w:r w:rsidRPr="006B687C">
        <w:rPr>
          <w:rStyle w:val="SCCCounselNameChar"/>
          <w:lang w:val="fr-CA"/>
        </w:rPr>
        <w:t>c.r</w:t>
      </w:r>
      <w:r w:rsidR="00A90F0C" w:rsidRPr="006B687C">
        <w:rPr>
          <w:rStyle w:val="SCCCounselNameChar"/>
          <w:lang w:val="fr-CA"/>
        </w:rPr>
        <w:t>.</w:t>
      </w:r>
      <w:r w:rsidR="00A90F0C" w:rsidRPr="006B687C">
        <w:rPr>
          <w:rStyle w:val="SCCCounselPartyRoleChar"/>
          <w:lang w:val="fr-CA"/>
        </w:rPr>
        <w:t xml:space="preserve">, </w:t>
      </w:r>
      <w:r w:rsidRPr="006B687C">
        <w:rPr>
          <w:rStyle w:val="SCCCounselPartyRoleChar"/>
          <w:i/>
          <w:lang w:val="fr-CA"/>
        </w:rPr>
        <w:t>Mary B. Rolf</w:t>
      </w:r>
      <w:r w:rsidRPr="006B687C">
        <w:rPr>
          <w:rStyle w:val="SCCCounselPartyRoleChar"/>
          <w:lang w:val="fr-CA"/>
        </w:rPr>
        <w:t xml:space="preserve"> et </w:t>
      </w:r>
      <w:r w:rsidRPr="006B687C">
        <w:rPr>
          <w:rStyle w:val="SCCCounselPartyRoleChar"/>
          <w:i/>
          <w:lang w:val="fr-CA"/>
        </w:rPr>
        <w:t xml:space="preserve">Kate E. </w:t>
      </w:r>
      <w:r w:rsidR="00ED4DE7" w:rsidRPr="006B687C">
        <w:rPr>
          <w:rStyle w:val="SCCCounselPartyRoleChar"/>
          <w:i/>
          <w:lang w:val="fr-CA"/>
        </w:rPr>
        <w:t>R</w:t>
      </w:r>
      <w:r w:rsidRPr="006B687C">
        <w:rPr>
          <w:rStyle w:val="SCCCounselPartyRoleChar"/>
          <w:i/>
          <w:lang w:val="fr-CA"/>
        </w:rPr>
        <w:t>oss</w:t>
      </w:r>
      <w:r w:rsidRPr="006B687C">
        <w:rPr>
          <w:rStyle w:val="SCCCounselPartyRoleChar"/>
          <w:lang w:val="fr-CA"/>
        </w:rPr>
        <w:t xml:space="preserve">, </w:t>
      </w:r>
      <w:r w:rsidR="00A90F0C" w:rsidRPr="006B687C">
        <w:rPr>
          <w:rStyle w:val="SCCCounselPartyRoleChar"/>
          <w:lang w:val="fr-CA"/>
        </w:rPr>
        <w:t>pour l</w:t>
      </w:r>
      <w:r w:rsidRPr="006B687C">
        <w:rPr>
          <w:rStyle w:val="SCCCounselPartyRoleChar"/>
          <w:lang w:val="fr-CA"/>
        </w:rPr>
        <w:t>’intimée</w:t>
      </w:r>
      <w:r w:rsidR="00A90F0C" w:rsidRPr="006B687C">
        <w:rPr>
          <w:rStyle w:val="SCCCounselPartyRoleChar"/>
          <w:lang w:val="fr-CA"/>
        </w:rPr>
        <w:t>.</w:t>
      </w:r>
    </w:p>
    <w:p w:rsidR="00051344" w:rsidRPr="006B687C" w:rsidRDefault="00A90F0C" w:rsidP="00FA46AF">
      <w:pPr>
        <w:pStyle w:val="SCCNormalDoubleSpacing"/>
        <w:spacing w:after="480"/>
        <w:rPr>
          <w:lang w:val="fr-CA"/>
        </w:rPr>
      </w:pPr>
      <w:r w:rsidRPr="006B687C">
        <w:rPr>
          <w:rStyle w:val="SCCCounselNameChar"/>
          <w:lang w:val="fr-CA"/>
        </w:rPr>
        <w:tab/>
        <w:t>Stacey Reginald Ball</w:t>
      </w:r>
      <w:r w:rsidRPr="006B687C">
        <w:rPr>
          <w:rStyle w:val="SCCCounselPartyRoleChar"/>
          <w:lang w:val="fr-CA"/>
        </w:rPr>
        <w:t xml:space="preserve">, </w:t>
      </w:r>
      <w:r w:rsidR="00FC7BCD" w:rsidRPr="006B687C">
        <w:rPr>
          <w:rStyle w:val="SCCCounselPartyRoleChar"/>
          <w:i/>
          <w:lang w:val="fr-CA"/>
        </w:rPr>
        <w:t>Nadine Côté</w:t>
      </w:r>
      <w:r w:rsidR="00FC7BCD" w:rsidRPr="006B687C">
        <w:rPr>
          <w:rStyle w:val="SCCCounselPartyRoleChar"/>
          <w:lang w:val="fr-CA"/>
        </w:rPr>
        <w:t xml:space="preserve"> et </w:t>
      </w:r>
      <w:r w:rsidR="00FC7BCD" w:rsidRPr="006B687C">
        <w:rPr>
          <w:rStyle w:val="SCCCounselPartyRoleChar"/>
          <w:i/>
          <w:lang w:val="fr-CA"/>
        </w:rPr>
        <w:t>Sean O’Donnell</w:t>
      </w:r>
      <w:r w:rsidR="00FC7BCD" w:rsidRPr="006B687C">
        <w:rPr>
          <w:rStyle w:val="SCCCounselPartyRoleChar"/>
          <w:lang w:val="fr-CA"/>
        </w:rPr>
        <w:t xml:space="preserve">, </w:t>
      </w:r>
      <w:r w:rsidRPr="006B687C">
        <w:rPr>
          <w:rStyle w:val="SCCCounselPartyRoleChar"/>
          <w:lang w:val="fr-CA"/>
        </w:rPr>
        <w:t>pour l</w:t>
      </w:r>
      <w:r w:rsidR="00FC7BCD" w:rsidRPr="006B687C">
        <w:rPr>
          <w:rStyle w:val="SCCCounselPartyRoleChar"/>
          <w:lang w:val="fr-CA"/>
        </w:rPr>
        <w:t>’intervenante</w:t>
      </w:r>
      <w:r w:rsidR="00FA46AF" w:rsidRPr="006B687C">
        <w:rPr>
          <w:rStyle w:val="SCCCounselPartyRoleChar"/>
          <w:lang w:val="fr-CA"/>
        </w:rPr>
        <w:t xml:space="preserve"> Canadian Association for Non</w:t>
      </w:r>
      <w:r w:rsidR="006B687C">
        <w:rPr>
          <w:rStyle w:val="SCCCounselPartyRoleChar"/>
          <w:lang w:val="fr-CA"/>
        </w:rPr>
        <w:noBreakHyphen/>
      </w:r>
      <w:r w:rsidRPr="006B687C">
        <w:rPr>
          <w:rStyle w:val="SCCCounselPartyRoleChar"/>
          <w:lang w:val="fr-CA"/>
        </w:rPr>
        <w:t>Organized Employees.</w:t>
      </w:r>
    </w:p>
    <w:p w:rsidR="00051344" w:rsidRPr="006B687C" w:rsidRDefault="00A90F0C" w:rsidP="00FA46AF">
      <w:pPr>
        <w:pStyle w:val="SCCNormalDoubleSpacing"/>
        <w:spacing w:after="480"/>
        <w:rPr>
          <w:lang w:val="fr-CA"/>
        </w:rPr>
      </w:pPr>
      <w:r w:rsidRPr="006B687C">
        <w:rPr>
          <w:rStyle w:val="SCCCounselNameChar"/>
          <w:lang w:val="fr-CA"/>
        </w:rPr>
        <w:tab/>
        <w:t>Andrew Monkhouse</w:t>
      </w:r>
      <w:r w:rsidRPr="006B687C">
        <w:rPr>
          <w:rStyle w:val="SCCCounselSeparatorChar"/>
          <w:lang w:val="fr-CA"/>
        </w:rPr>
        <w:t xml:space="preserve"> et </w:t>
      </w:r>
      <w:r w:rsidRPr="006B687C">
        <w:rPr>
          <w:rStyle w:val="SCCCounselNameChar"/>
          <w:lang w:val="fr-CA"/>
        </w:rPr>
        <w:t>Alexandra Monkhouse</w:t>
      </w:r>
      <w:r w:rsidRPr="006B687C">
        <w:rPr>
          <w:rStyle w:val="SCCCounselPartyRoleChar"/>
          <w:lang w:val="fr-CA"/>
        </w:rPr>
        <w:t>, pour l</w:t>
      </w:r>
      <w:r w:rsidR="00FC7BCD" w:rsidRPr="006B687C">
        <w:rPr>
          <w:rStyle w:val="SCCCounselPartyRoleChar"/>
          <w:lang w:val="fr-CA"/>
        </w:rPr>
        <w:t>’intervenant</w:t>
      </w:r>
      <w:r w:rsidRPr="006B687C">
        <w:rPr>
          <w:rStyle w:val="SCCCounselPartyRoleChar"/>
          <w:lang w:val="fr-CA"/>
        </w:rPr>
        <w:t xml:space="preserve"> Don Valley Community Legal Services.</w:t>
      </w:r>
    </w:p>
    <w:p w:rsidR="00051344" w:rsidRPr="006B687C" w:rsidRDefault="00A90F0C" w:rsidP="00FA46AF">
      <w:pPr>
        <w:pStyle w:val="SCCNormalDoubleSpacing"/>
        <w:spacing w:after="480"/>
        <w:rPr>
          <w:lang w:val="fr-CA"/>
        </w:rPr>
      </w:pPr>
      <w:r w:rsidRPr="006B687C">
        <w:rPr>
          <w:rStyle w:val="SCCCounselNameChar"/>
          <w:lang w:val="fr-CA"/>
        </w:rPr>
        <w:lastRenderedPageBreak/>
        <w:tab/>
        <w:t>Martin Sheard</w:t>
      </w:r>
      <w:r w:rsidR="00FC7BCD" w:rsidRPr="006B687C">
        <w:rPr>
          <w:rStyle w:val="SCCCounselNameChar"/>
          <w:lang w:val="fr-CA"/>
        </w:rPr>
        <w:t xml:space="preserve"> </w:t>
      </w:r>
      <w:r w:rsidR="00FC7BCD" w:rsidRPr="006B687C">
        <w:rPr>
          <w:rStyle w:val="SCCCounselNameChar"/>
          <w:i w:val="0"/>
          <w:lang w:val="fr-CA"/>
        </w:rPr>
        <w:t xml:space="preserve">et </w:t>
      </w:r>
      <w:r w:rsidR="00FC7BCD" w:rsidRPr="006B687C">
        <w:rPr>
          <w:rStyle w:val="SCCCounselNameChar"/>
          <w:lang w:val="fr-CA"/>
        </w:rPr>
        <w:t>David McWhinnie</w:t>
      </w:r>
      <w:r w:rsidRPr="006B687C">
        <w:rPr>
          <w:rStyle w:val="SCCCounselPartyRoleChar"/>
          <w:lang w:val="fr-CA"/>
        </w:rPr>
        <w:t>, pour l</w:t>
      </w:r>
      <w:r w:rsidR="00FC7BCD" w:rsidRPr="006B687C">
        <w:rPr>
          <w:rStyle w:val="SCCCounselPartyRoleChar"/>
          <w:lang w:val="fr-CA"/>
        </w:rPr>
        <w:t>’intervenant</w:t>
      </w:r>
      <w:r w:rsidRPr="006B687C">
        <w:rPr>
          <w:rStyle w:val="SCCCounselPartyRoleChar"/>
          <w:lang w:val="fr-CA"/>
        </w:rPr>
        <w:t xml:space="preserve"> Law Students</w:t>
      </w:r>
      <w:r w:rsidR="006B2513" w:rsidRPr="006B687C">
        <w:rPr>
          <w:rStyle w:val="SCCCounselPartyRoleChar"/>
          <w:lang w:val="fr-CA"/>
        </w:rPr>
        <w:t>’</w:t>
      </w:r>
      <w:r w:rsidRPr="006B687C">
        <w:rPr>
          <w:rStyle w:val="SCCCounselPartyRoleChar"/>
          <w:lang w:val="fr-CA"/>
        </w:rPr>
        <w:t xml:space="preserve"> Legal Advice Program.</w:t>
      </w:r>
    </w:p>
    <w:p w:rsidR="00051344" w:rsidRPr="006B687C" w:rsidRDefault="00A90F0C" w:rsidP="00FA46AF">
      <w:pPr>
        <w:pStyle w:val="SCCNormalDoubleSpacing"/>
        <w:spacing w:after="480"/>
        <w:rPr>
          <w:rStyle w:val="SCCCounselPartyRoleChar"/>
          <w:lang w:val="fr-CA"/>
        </w:rPr>
      </w:pPr>
      <w:r w:rsidRPr="006B687C">
        <w:rPr>
          <w:rStyle w:val="SCCCounselNameChar"/>
          <w:lang w:val="fr-CA"/>
        </w:rPr>
        <w:tab/>
        <w:t>Tim Lawson</w:t>
      </w:r>
      <w:r w:rsidRPr="006B687C">
        <w:rPr>
          <w:rStyle w:val="SCCCounselSeparatorChar"/>
          <w:lang w:val="fr-CA"/>
        </w:rPr>
        <w:t xml:space="preserve">, </w:t>
      </w:r>
      <w:r w:rsidRPr="006B687C">
        <w:rPr>
          <w:rStyle w:val="SCCCounselNameChar"/>
          <w:lang w:val="fr-CA"/>
        </w:rPr>
        <w:t>Brandon Kain</w:t>
      </w:r>
      <w:r w:rsidRPr="006B687C">
        <w:rPr>
          <w:rStyle w:val="SCCCounselSeparatorChar"/>
          <w:lang w:val="fr-CA"/>
        </w:rPr>
        <w:t xml:space="preserve"> et </w:t>
      </w:r>
      <w:r w:rsidRPr="006B687C">
        <w:rPr>
          <w:rStyle w:val="SCCCounselNameChar"/>
          <w:lang w:val="fr-CA"/>
        </w:rPr>
        <w:t>Adam Goldenberg</w:t>
      </w:r>
      <w:r w:rsidRPr="006B687C">
        <w:rPr>
          <w:rStyle w:val="SCCCounselPartyRoleChar"/>
          <w:lang w:val="fr-CA"/>
        </w:rPr>
        <w:t>, pour l</w:t>
      </w:r>
      <w:r w:rsidR="00FC7BCD" w:rsidRPr="006B687C">
        <w:rPr>
          <w:rStyle w:val="SCCCounselPartyRoleChar"/>
          <w:lang w:val="fr-CA"/>
        </w:rPr>
        <w:t>’intervenante</w:t>
      </w:r>
      <w:r w:rsidRPr="006B687C">
        <w:rPr>
          <w:rStyle w:val="SCCCounselPartyRoleChar"/>
          <w:lang w:val="fr-CA"/>
        </w:rPr>
        <w:t xml:space="preserve"> </w:t>
      </w:r>
      <w:r w:rsidR="00FC7BCD" w:rsidRPr="006B687C">
        <w:rPr>
          <w:rStyle w:val="SCCCounselPartyRoleChar"/>
          <w:lang w:val="fr-CA"/>
        </w:rPr>
        <w:t>l’</w:t>
      </w:r>
      <w:r w:rsidRPr="006B687C">
        <w:rPr>
          <w:rStyle w:val="SCCCounselPartyRoleChar"/>
          <w:lang w:val="fr-CA"/>
        </w:rPr>
        <w:t>Association canadienne des avocats d</w:t>
      </w:r>
      <w:r w:rsidR="00FC7BCD" w:rsidRPr="006B687C">
        <w:rPr>
          <w:rStyle w:val="SCCCounselPartyRoleChar"/>
          <w:lang w:val="fr-CA"/>
        </w:rPr>
        <w:t>’</w:t>
      </w:r>
      <w:r w:rsidRPr="006B687C">
        <w:rPr>
          <w:rStyle w:val="SCCCounselPartyRoleChar"/>
          <w:lang w:val="fr-CA"/>
        </w:rPr>
        <w:t>employeurs.</w:t>
      </w:r>
    </w:p>
    <w:p w:rsidR="004D7D95" w:rsidRPr="00930BFD" w:rsidRDefault="004E6F83" w:rsidP="00DD44E8">
      <w:pPr>
        <w:pStyle w:val="SCCNormalDoubleSpacing"/>
        <w:spacing w:after="480"/>
      </w:pPr>
      <w:r w:rsidRPr="006B687C">
        <w:rPr>
          <w:rStyle w:val="SCCCounselNameChar"/>
          <w:lang w:val="fr-CA"/>
        </w:rPr>
        <w:tab/>
      </w:r>
      <w:r w:rsidRPr="006B687C">
        <w:rPr>
          <w:rStyle w:val="SCCCounselNameChar"/>
        </w:rPr>
        <w:t>Christopher Rootham</w:t>
      </w:r>
      <w:r w:rsidRPr="006B687C">
        <w:rPr>
          <w:rStyle w:val="SCCCounselNameChar"/>
          <w:i w:val="0"/>
        </w:rPr>
        <w:t xml:space="preserve">, </w:t>
      </w:r>
      <w:r w:rsidRPr="006B687C">
        <w:rPr>
          <w:rStyle w:val="SCCCounselNameChar"/>
        </w:rPr>
        <w:t>Andrew Montague</w:t>
      </w:r>
      <w:r w:rsidR="006B687C">
        <w:rPr>
          <w:rStyle w:val="SCCCounselNameChar"/>
        </w:rPr>
        <w:noBreakHyphen/>
      </w:r>
      <w:r w:rsidRPr="006B687C">
        <w:rPr>
          <w:rStyle w:val="SCCCounselNameChar"/>
        </w:rPr>
        <w:t xml:space="preserve">Reinholdt </w:t>
      </w:r>
      <w:r w:rsidRPr="006B687C">
        <w:rPr>
          <w:rStyle w:val="SCCCounselNameChar"/>
          <w:i w:val="0"/>
        </w:rPr>
        <w:t xml:space="preserve">et </w:t>
      </w:r>
      <w:r w:rsidRPr="006B687C">
        <w:rPr>
          <w:rStyle w:val="SCCCounselNameChar"/>
        </w:rPr>
        <w:t>John No</w:t>
      </w:r>
      <w:r w:rsidRPr="006B687C">
        <w:rPr>
          <w:rStyle w:val="SCCCounselPartyRoleChar"/>
        </w:rPr>
        <w:t>, pour l’intervenant Parkdale Community Legal Services.</w:t>
      </w:r>
    </w:p>
    <w:p w:rsidR="00DD44E8" w:rsidRPr="00930BFD" w:rsidRDefault="00DD44E8" w:rsidP="00A87F26">
      <w:pPr>
        <w:spacing w:after="480" w:line="480" w:lineRule="auto"/>
        <w:ind w:left="1166"/>
        <w:rPr>
          <w:rFonts w:eastAsia="Calibri"/>
          <w:lang w:val="fr-CA"/>
        </w:rPr>
      </w:pPr>
      <w:r w:rsidRPr="007131BC">
        <w:rPr>
          <w:rFonts w:eastAsia="Calibri"/>
          <w:lang w:val="fr-CA"/>
        </w:rPr>
        <w:t>Version française du jugement de la Cour rendu</w:t>
      </w:r>
      <w:r>
        <w:rPr>
          <w:rFonts w:eastAsia="Calibri"/>
          <w:lang w:val="fr-CA"/>
        </w:rPr>
        <w:t xml:space="preserve"> par</w:t>
      </w:r>
    </w:p>
    <w:p w:rsidR="00DD44E8" w:rsidRPr="00E41E88" w:rsidRDefault="00DD44E8" w:rsidP="00DD44E8">
      <w:pPr>
        <w:pStyle w:val="JudgeJuge"/>
        <w:spacing w:before="480"/>
        <w:rPr>
          <w:noProof/>
          <w:lang w:val="fr-CA"/>
        </w:rPr>
      </w:pPr>
      <w:r>
        <w:rPr>
          <w:noProof/>
          <w:lang w:val="fr-CA"/>
        </w:rPr>
        <w:tab/>
      </w:r>
      <w:r w:rsidRPr="00E41E88">
        <w:rPr>
          <w:noProof/>
          <w:lang w:val="fr-CA"/>
        </w:rPr>
        <w:t xml:space="preserve">Le juge Kasirer — </w:t>
      </w:r>
    </w:p>
    <w:p w:rsidR="00DD44E8" w:rsidRPr="00E41E88" w:rsidRDefault="00DD44E8" w:rsidP="00DD44E8">
      <w:pPr>
        <w:pStyle w:val="Title1LevelTitre1Niveau-AltL"/>
        <w:keepNext w:val="0"/>
        <w:tabs>
          <w:tab w:val="clear" w:pos="576"/>
        </w:tabs>
        <w:ind w:left="709" w:hanging="709"/>
        <w:rPr>
          <w:rFonts w:cs="Times New Roman"/>
          <w:noProof/>
          <w:lang w:val="fr-CA"/>
        </w:rPr>
      </w:pPr>
      <w:r w:rsidRPr="00E41E88">
        <w:rPr>
          <w:rFonts w:cs="Times New Roman"/>
          <w:noProof/>
          <w:lang w:val="fr-CA"/>
        </w:rPr>
        <w:t xml:space="preserve">Aperçu </w:t>
      </w:r>
    </w:p>
    <w:p w:rsidR="00DD44E8" w:rsidRPr="00E41E88" w:rsidRDefault="00DD44E8" w:rsidP="00DD44E8">
      <w:pPr>
        <w:pStyle w:val="ParaNoNdepar-AltN"/>
        <w:tabs>
          <w:tab w:val="clear" w:pos="1152"/>
          <w:tab w:val="left" w:pos="1166"/>
        </w:tabs>
        <w:rPr>
          <w:rFonts w:cs="Times New Roman"/>
          <w:noProof/>
          <w:lang w:val="fr-CA"/>
        </w:rPr>
      </w:pPr>
      <w:r w:rsidRPr="00E41E88">
        <w:rPr>
          <w:rFonts w:cs="Times New Roman"/>
          <w:noProof/>
          <w:lang w:val="fr-CA"/>
        </w:rPr>
        <w:t>Le présent pourvoi porte sur les voies de recours qui s</w:t>
      </w:r>
      <w:r>
        <w:rPr>
          <w:rFonts w:cs="Times New Roman"/>
          <w:noProof/>
          <w:lang w:val="fr-CA"/>
        </w:rPr>
        <w:t>’</w:t>
      </w:r>
      <w:r w:rsidRPr="00E41E88">
        <w:rPr>
          <w:rFonts w:cs="Times New Roman"/>
          <w:noProof/>
          <w:lang w:val="fr-CA"/>
        </w:rPr>
        <w:t>offrent à un employé qui, en raison des circonstances de son départ d</w:t>
      </w:r>
      <w:r>
        <w:rPr>
          <w:rFonts w:cs="Times New Roman"/>
          <w:noProof/>
          <w:lang w:val="fr-CA"/>
        </w:rPr>
        <w:t>’</w:t>
      </w:r>
      <w:r w:rsidRPr="00E41E88">
        <w:rPr>
          <w:rFonts w:cs="Times New Roman"/>
          <w:noProof/>
          <w:lang w:val="fr-CA"/>
        </w:rPr>
        <w:t>un emploi qu</w:t>
      </w:r>
      <w:r>
        <w:rPr>
          <w:rFonts w:cs="Times New Roman"/>
          <w:noProof/>
          <w:lang w:val="fr-CA"/>
        </w:rPr>
        <w:t>’</w:t>
      </w:r>
      <w:r w:rsidRPr="00E41E88">
        <w:rPr>
          <w:rFonts w:cs="Times New Roman"/>
          <w:noProof/>
          <w:lang w:val="fr-CA"/>
        </w:rPr>
        <w:t>il a occupé pendant de nombreuses années, est considéré par le droit comme ayant été congédié. Par extension, le pourvoi porte également sur les paramètres applicables au droit des employeurs de déterminer la composition de leurs effectifs en common law.</w:t>
      </w:r>
    </w:p>
    <w:p w:rsidR="00DD44E8" w:rsidRPr="00E41E88" w:rsidRDefault="00DD44E8" w:rsidP="00DD44E8">
      <w:pPr>
        <w:pStyle w:val="ParaNoNdepar-AltN"/>
        <w:tabs>
          <w:tab w:val="clear" w:pos="1152"/>
          <w:tab w:val="left" w:pos="1166"/>
        </w:tabs>
        <w:rPr>
          <w:rFonts w:cs="Times New Roman"/>
          <w:noProof/>
          <w:lang w:val="fr-CA"/>
        </w:rPr>
      </w:pPr>
      <w:r w:rsidRPr="00E41E88">
        <w:rPr>
          <w:rFonts w:cs="Times New Roman"/>
          <w:noProof/>
          <w:lang w:val="fr-CA"/>
        </w:rPr>
        <w:t>Divers griefs sont souvent soulevés lorsqu</w:t>
      </w:r>
      <w:r>
        <w:rPr>
          <w:rFonts w:cs="Times New Roman"/>
          <w:noProof/>
          <w:lang w:val="fr-CA"/>
        </w:rPr>
        <w:t>’</w:t>
      </w:r>
      <w:r w:rsidRPr="00E41E88">
        <w:rPr>
          <w:rFonts w:cs="Times New Roman"/>
          <w:noProof/>
          <w:lang w:val="fr-CA"/>
        </w:rPr>
        <w:t>un employé intente une action pour congédiement injustifié. La présente affaire ne fait pas exception : dans sa demande initiale, l</w:t>
      </w:r>
      <w:r>
        <w:rPr>
          <w:rFonts w:cs="Times New Roman"/>
          <w:noProof/>
          <w:lang w:val="fr-CA"/>
        </w:rPr>
        <w:t>’</w:t>
      </w:r>
      <w:r w:rsidRPr="00E41E88">
        <w:rPr>
          <w:rFonts w:cs="Times New Roman"/>
          <w:noProof/>
          <w:lang w:val="fr-CA"/>
        </w:rPr>
        <w:t>employé alléguait qu</w:t>
      </w:r>
      <w:r>
        <w:rPr>
          <w:rFonts w:cs="Times New Roman"/>
          <w:noProof/>
          <w:lang w:val="fr-CA"/>
        </w:rPr>
        <w:t>’</w:t>
      </w:r>
      <w:r w:rsidRPr="00E41E88">
        <w:rPr>
          <w:rFonts w:cs="Times New Roman"/>
          <w:noProof/>
          <w:lang w:val="fr-CA"/>
        </w:rPr>
        <w:t xml:space="preserve">il avait été congédié </w:t>
      </w:r>
      <w:r w:rsidRPr="00E41E88">
        <w:rPr>
          <w:rFonts w:cs="Times New Roman"/>
          <w:smallCaps/>
          <w:noProof/>
          <w:lang w:val="fr-CA"/>
        </w:rPr>
        <w:t>[traduction] </w:t>
      </w:r>
      <w:r w:rsidRPr="00E41E88">
        <w:rPr>
          <w:rFonts w:cs="Times New Roman"/>
          <w:noProof/>
          <w:lang w:val="fr-CA"/>
        </w:rPr>
        <w:t xml:space="preserve">« sans </w:t>
      </w:r>
      <w:r w:rsidRPr="00E41E88">
        <w:rPr>
          <w:rFonts w:cs="Times New Roman"/>
          <w:noProof/>
          <w:lang w:val="fr-CA"/>
        </w:rPr>
        <w:lastRenderedPageBreak/>
        <w:t>préavis » et que ce congédiement constituait un manquement à l</w:t>
      </w:r>
      <w:r>
        <w:rPr>
          <w:rFonts w:cs="Times New Roman"/>
          <w:noProof/>
          <w:lang w:val="fr-CA"/>
        </w:rPr>
        <w:t>’</w:t>
      </w:r>
      <w:r w:rsidRPr="00E41E88">
        <w:rPr>
          <w:rFonts w:cs="Times New Roman"/>
          <w:noProof/>
          <w:lang w:val="fr-CA"/>
        </w:rPr>
        <w:t>« obligation d</w:t>
      </w:r>
      <w:r>
        <w:rPr>
          <w:rFonts w:cs="Times New Roman"/>
          <w:noProof/>
          <w:lang w:val="fr-CA"/>
        </w:rPr>
        <w:t>’</w:t>
      </w:r>
      <w:r w:rsidRPr="00E41E88">
        <w:rPr>
          <w:rFonts w:cs="Times New Roman"/>
          <w:noProof/>
          <w:lang w:val="fr-CA"/>
        </w:rPr>
        <w:t>agir de bonne foi » qui incombait à son employeur. Il sollicitait des dommages</w:t>
      </w:r>
      <w:r w:rsidRPr="00E41E88">
        <w:rPr>
          <w:rFonts w:cs="Times New Roman"/>
          <w:noProof/>
          <w:lang w:val="fr-CA"/>
        </w:rPr>
        <w:noBreakHyphen/>
        <w:t>intérêts reflétant son droit à un délai de préavis raisonnable, y compris une prime d</w:t>
      </w:r>
      <w:r>
        <w:rPr>
          <w:rFonts w:cs="Times New Roman"/>
          <w:noProof/>
          <w:lang w:val="fr-CA"/>
        </w:rPr>
        <w:t>’intéressement</w:t>
      </w:r>
      <w:r w:rsidRPr="00E41E88">
        <w:rPr>
          <w:rFonts w:cs="Times New Roman"/>
          <w:noProof/>
          <w:lang w:val="fr-CA"/>
        </w:rPr>
        <w:t xml:space="preserve"> devenue exigible pendant ce délai. Il demandait aussi des dommages</w:t>
      </w:r>
      <w:r w:rsidRPr="00E41E88">
        <w:rPr>
          <w:rFonts w:cs="Times New Roman"/>
          <w:noProof/>
          <w:lang w:val="fr-CA"/>
        </w:rPr>
        <w:noBreakHyphen/>
        <w:t>intérêts en raison de la conduite malhonnête de son employeur, y compris des dommages</w:t>
      </w:r>
      <w:r w:rsidRPr="00E41E88">
        <w:rPr>
          <w:rFonts w:cs="Times New Roman"/>
          <w:noProof/>
          <w:lang w:val="fr-CA"/>
        </w:rPr>
        <w:noBreakHyphen/>
        <w:t>intérêts punitifs et des dommages</w:t>
      </w:r>
      <w:r w:rsidRPr="00E41E88">
        <w:rPr>
          <w:rFonts w:cs="Times New Roman"/>
          <w:noProof/>
          <w:lang w:val="fr-CA"/>
        </w:rPr>
        <w:noBreakHyphen/>
        <w:t>intérêts correspondant à la prime qu</w:t>
      </w:r>
      <w:r>
        <w:rPr>
          <w:rFonts w:cs="Times New Roman"/>
          <w:noProof/>
          <w:lang w:val="fr-CA"/>
        </w:rPr>
        <w:t>’</w:t>
      </w:r>
      <w:r w:rsidRPr="00E41E88">
        <w:rPr>
          <w:rFonts w:cs="Times New Roman"/>
          <w:noProof/>
          <w:lang w:val="fr-CA"/>
        </w:rPr>
        <w:t>il perdrait si celle</w:t>
      </w:r>
      <w:r w:rsidRPr="00E41E88">
        <w:rPr>
          <w:rFonts w:cs="Times New Roman"/>
          <w:noProof/>
          <w:lang w:val="fr-CA"/>
        </w:rPr>
        <w:noBreakHyphen/>
        <w:t>ci était exclue par application d</w:t>
      </w:r>
      <w:r>
        <w:rPr>
          <w:rFonts w:cs="Times New Roman"/>
          <w:noProof/>
          <w:lang w:val="fr-CA"/>
        </w:rPr>
        <w:t>’</w:t>
      </w:r>
      <w:r w:rsidRPr="00E41E88">
        <w:rPr>
          <w:rFonts w:cs="Times New Roman"/>
          <w:noProof/>
          <w:lang w:val="fr-CA"/>
        </w:rPr>
        <w:t>une disposition contra</w:t>
      </w:r>
      <w:r>
        <w:rPr>
          <w:rFonts w:cs="Times New Roman"/>
          <w:noProof/>
          <w:lang w:val="fr-CA"/>
        </w:rPr>
        <w:t>ctuelle</w:t>
      </w:r>
      <w:r w:rsidRPr="00E41E88">
        <w:rPr>
          <w:rFonts w:cs="Times New Roman"/>
          <w:noProof/>
          <w:lang w:val="fr-CA"/>
        </w:rPr>
        <w:t>.</w:t>
      </w:r>
    </w:p>
    <w:p w:rsidR="00DD44E8" w:rsidRPr="00E41E88" w:rsidRDefault="00DD44E8" w:rsidP="00DD44E8">
      <w:pPr>
        <w:pStyle w:val="ParaNoNdepar-AltN"/>
        <w:tabs>
          <w:tab w:val="clear" w:pos="1152"/>
          <w:tab w:val="left" w:pos="1166"/>
        </w:tabs>
        <w:rPr>
          <w:rFonts w:cs="Times New Roman"/>
          <w:noProof/>
          <w:lang w:val="fr-CA"/>
        </w:rPr>
      </w:pPr>
      <w:r w:rsidRPr="00E41E88">
        <w:rPr>
          <w:rFonts w:cs="Times New Roman"/>
          <w:noProof/>
          <w:lang w:val="fr-CA"/>
        </w:rPr>
        <w:t>Le fait que l</w:t>
      </w:r>
      <w:r>
        <w:rPr>
          <w:rFonts w:cs="Times New Roman"/>
          <w:noProof/>
          <w:lang w:val="fr-CA"/>
        </w:rPr>
        <w:t>’</w:t>
      </w:r>
      <w:r w:rsidRPr="00E41E88">
        <w:rPr>
          <w:rFonts w:cs="Times New Roman"/>
          <w:noProof/>
          <w:lang w:val="fr-CA"/>
        </w:rPr>
        <w:t>employé concerné a fait l</w:t>
      </w:r>
      <w:r>
        <w:rPr>
          <w:rFonts w:cs="Times New Roman"/>
          <w:noProof/>
          <w:lang w:val="fr-CA"/>
        </w:rPr>
        <w:t>’</w:t>
      </w:r>
      <w:r w:rsidRPr="00E41E88">
        <w:rPr>
          <w:rFonts w:cs="Times New Roman"/>
          <w:noProof/>
          <w:lang w:val="fr-CA"/>
        </w:rPr>
        <w:t>objet d</w:t>
      </w:r>
      <w:r>
        <w:rPr>
          <w:rFonts w:cs="Times New Roman"/>
          <w:noProof/>
          <w:lang w:val="fr-CA"/>
        </w:rPr>
        <w:t>’</w:t>
      </w:r>
      <w:r w:rsidRPr="00E41E88">
        <w:rPr>
          <w:rFonts w:cs="Times New Roman"/>
          <w:noProof/>
          <w:lang w:val="fr-CA"/>
        </w:rPr>
        <w:t>un congédiement déguisé et a droit à un préavis n</w:t>
      </w:r>
      <w:r>
        <w:rPr>
          <w:rFonts w:cs="Times New Roman"/>
          <w:noProof/>
          <w:lang w:val="fr-CA"/>
        </w:rPr>
        <w:t>’</w:t>
      </w:r>
      <w:r w:rsidRPr="00E41E88">
        <w:rPr>
          <w:rFonts w:cs="Times New Roman"/>
          <w:noProof/>
          <w:lang w:val="fr-CA"/>
        </w:rPr>
        <w:t>est plus en litige. Les parties continuent toutefois d</w:t>
      </w:r>
      <w:r>
        <w:rPr>
          <w:rFonts w:cs="Times New Roman"/>
          <w:noProof/>
          <w:lang w:val="fr-CA"/>
        </w:rPr>
        <w:t>’</w:t>
      </w:r>
      <w:r w:rsidRPr="00E41E88">
        <w:rPr>
          <w:rFonts w:cs="Times New Roman"/>
          <w:noProof/>
          <w:lang w:val="fr-CA"/>
        </w:rPr>
        <w:t>être en désaccord en ce qui concerne les réparations qui devraient lui être accordées en vertu de la</w:t>
      </w:r>
      <w:r w:rsidRPr="00E41E88">
        <w:rPr>
          <w:rFonts w:cs="Times New Roman"/>
          <w:i/>
          <w:noProof/>
          <w:lang w:val="fr-CA"/>
        </w:rPr>
        <w:t xml:space="preserve"> </w:t>
      </w:r>
      <w:r w:rsidRPr="00E41E88">
        <w:rPr>
          <w:rFonts w:cs="Times New Roman"/>
          <w:noProof/>
          <w:lang w:val="fr-CA"/>
        </w:rPr>
        <w:t>common law. Plus précisément, les parties ne s</w:t>
      </w:r>
      <w:r>
        <w:rPr>
          <w:rFonts w:cs="Times New Roman"/>
          <w:noProof/>
          <w:lang w:val="fr-CA"/>
        </w:rPr>
        <w:t>’</w:t>
      </w:r>
      <w:r w:rsidRPr="00E41E88">
        <w:rPr>
          <w:rFonts w:cs="Times New Roman"/>
          <w:noProof/>
          <w:lang w:val="fr-CA"/>
        </w:rPr>
        <w:t>entendent pas sur la question de savoir si les dommages</w:t>
      </w:r>
      <w:r w:rsidRPr="00E41E88">
        <w:rPr>
          <w:rFonts w:cs="Times New Roman"/>
          <w:noProof/>
          <w:lang w:val="fr-CA"/>
        </w:rPr>
        <w:noBreakHyphen/>
        <w:t>intérêts tenant lieu de préavis raisonnable devraient inclure la prime litigieuse. Elles sont également en désaccord quant à l</w:t>
      </w:r>
      <w:r>
        <w:rPr>
          <w:rFonts w:cs="Times New Roman"/>
          <w:noProof/>
          <w:lang w:val="fr-CA"/>
        </w:rPr>
        <w:t>’</w:t>
      </w:r>
      <w:r w:rsidRPr="00E41E88">
        <w:rPr>
          <w:rFonts w:cs="Times New Roman"/>
          <w:noProof/>
          <w:lang w:val="fr-CA"/>
        </w:rPr>
        <w:t>existence de la conduite malhonnête reprochée à l</w:t>
      </w:r>
      <w:r>
        <w:rPr>
          <w:rFonts w:cs="Times New Roman"/>
          <w:noProof/>
          <w:lang w:val="fr-CA"/>
        </w:rPr>
        <w:t>’</w:t>
      </w:r>
      <w:r w:rsidRPr="00E41E88">
        <w:rPr>
          <w:rFonts w:cs="Times New Roman"/>
          <w:noProof/>
          <w:lang w:val="fr-CA"/>
        </w:rPr>
        <w:t>employeur et aux répercussions éventuelles de celle</w:t>
      </w:r>
      <w:r w:rsidRPr="00E41E88">
        <w:rPr>
          <w:rFonts w:cs="Times New Roman"/>
          <w:noProof/>
          <w:lang w:val="fr-CA"/>
        </w:rPr>
        <w:noBreakHyphen/>
        <w:t>ci. L</w:t>
      </w:r>
      <w:r>
        <w:rPr>
          <w:rFonts w:cs="Times New Roman"/>
          <w:noProof/>
          <w:lang w:val="fr-CA"/>
        </w:rPr>
        <w:t>’</w:t>
      </w:r>
      <w:r w:rsidRPr="00E41E88">
        <w:rPr>
          <w:rFonts w:cs="Times New Roman"/>
          <w:noProof/>
          <w:lang w:val="fr-CA"/>
        </w:rPr>
        <w:t>employé attire l</w:t>
      </w:r>
      <w:r>
        <w:rPr>
          <w:rFonts w:cs="Times New Roman"/>
          <w:noProof/>
          <w:lang w:val="fr-CA"/>
        </w:rPr>
        <w:t>’</w:t>
      </w:r>
      <w:r w:rsidRPr="00E41E88">
        <w:rPr>
          <w:rFonts w:cs="Times New Roman"/>
          <w:noProof/>
          <w:lang w:val="fr-CA"/>
        </w:rPr>
        <w:t>attention de notre Cour sur l</w:t>
      </w:r>
      <w:r>
        <w:rPr>
          <w:rFonts w:cs="Times New Roman"/>
          <w:noProof/>
          <w:lang w:val="fr-CA"/>
        </w:rPr>
        <w:t>’</w:t>
      </w:r>
      <w:r w:rsidRPr="00E41E88">
        <w:rPr>
          <w:rFonts w:cs="Times New Roman"/>
          <w:noProof/>
          <w:lang w:val="fr-CA"/>
        </w:rPr>
        <w:t>obligation qu</w:t>
      </w:r>
      <w:r>
        <w:rPr>
          <w:rFonts w:cs="Times New Roman"/>
          <w:noProof/>
          <w:lang w:val="fr-CA"/>
        </w:rPr>
        <w:t>’</w:t>
      </w:r>
      <w:r w:rsidRPr="00E41E88">
        <w:rPr>
          <w:rFonts w:cs="Times New Roman"/>
          <w:noProof/>
          <w:lang w:val="fr-CA"/>
        </w:rPr>
        <w:t>ont les parties à un contrat d</w:t>
      </w:r>
      <w:r>
        <w:rPr>
          <w:rFonts w:cs="Times New Roman"/>
          <w:noProof/>
          <w:lang w:val="fr-CA"/>
        </w:rPr>
        <w:t>’</w:t>
      </w:r>
      <w:r w:rsidRPr="00E41E88">
        <w:rPr>
          <w:rFonts w:cs="Times New Roman"/>
          <w:noProof/>
          <w:lang w:val="fr-CA"/>
        </w:rPr>
        <w:t>agir avec honnêteté dans l</w:t>
      </w:r>
      <w:r>
        <w:rPr>
          <w:rFonts w:cs="Times New Roman"/>
          <w:noProof/>
          <w:lang w:val="fr-CA"/>
        </w:rPr>
        <w:t>’</w:t>
      </w:r>
      <w:r w:rsidRPr="00E41E88">
        <w:rPr>
          <w:rFonts w:cs="Times New Roman"/>
          <w:noProof/>
          <w:lang w:val="fr-CA"/>
        </w:rPr>
        <w:t>exécution de celui</w:t>
      </w:r>
      <w:r w:rsidRPr="00E41E88">
        <w:rPr>
          <w:rFonts w:cs="Times New Roman"/>
          <w:noProof/>
          <w:lang w:val="fr-CA"/>
        </w:rPr>
        <w:noBreakHyphen/>
        <w:t>ci, obligation qui, comme notre Cour l</w:t>
      </w:r>
      <w:r>
        <w:rPr>
          <w:rFonts w:cs="Times New Roman"/>
          <w:noProof/>
          <w:lang w:val="fr-CA"/>
        </w:rPr>
        <w:t>’</w:t>
      </w:r>
      <w:r w:rsidRPr="00E41E88">
        <w:rPr>
          <w:rFonts w:cs="Times New Roman"/>
          <w:noProof/>
          <w:lang w:val="fr-CA"/>
        </w:rPr>
        <w:t>a rappelé, « constitu[e] un élément clef des exigences de bonne foi qui ont été reconnues en lien avec la résiliation des contrats de travail » (</w:t>
      </w:r>
      <w:r w:rsidRPr="00E41E88">
        <w:rPr>
          <w:rFonts w:cs="Times New Roman"/>
          <w:i/>
          <w:noProof/>
          <w:lang w:val="fr-CA"/>
        </w:rPr>
        <w:t>Bhasin c. Hrynew</w:t>
      </w:r>
      <w:r w:rsidRPr="00E41E88">
        <w:rPr>
          <w:rFonts w:cs="Times New Roman"/>
          <w:noProof/>
          <w:lang w:val="fr-CA"/>
        </w:rPr>
        <w:t xml:space="preserve">, 2014 CSC 71, </w:t>
      </w:r>
      <w:r w:rsidRPr="00997E3A">
        <w:rPr>
          <w:rFonts w:cs="Times New Roman"/>
          <w:noProof/>
          <w:lang w:val="fr-CA"/>
        </w:rPr>
        <w:t xml:space="preserve">[2014] 3 R.C.S. 494, </w:t>
      </w:r>
      <w:r w:rsidRPr="00E41E88">
        <w:rPr>
          <w:rFonts w:cs="Times New Roman"/>
          <w:noProof/>
          <w:lang w:val="fr-CA"/>
        </w:rPr>
        <w:t xml:space="preserve">par. 73, se référant à </w:t>
      </w:r>
      <w:r w:rsidRPr="00E41E88">
        <w:rPr>
          <w:rFonts w:cs="Times New Roman"/>
          <w:i/>
          <w:noProof/>
          <w:lang w:val="fr-CA"/>
        </w:rPr>
        <w:t>Wallace c. United Grain Growers Ltd.</w:t>
      </w:r>
      <w:r w:rsidRPr="00E41E88">
        <w:rPr>
          <w:rFonts w:cs="Times New Roman"/>
          <w:noProof/>
          <w:lang w:val="fr-CA"/>
        </w:rPr>
        <w:t>, [1997] 3 R.C.S. 701, par. </w:t>
      </w:r>
      <w:r>
        <w:rPr>
          <w:rFonts w:cs="Times New Roman"/>
          <w:noProof/>
          <w:lang w:val="fr-CA"/>
        </w:rPr>
        <w:t xml:space="preserve">98; </w:t>
      </w:r>
      <w:r w:rsidRPr="00E41E88">
        <w:rPr>
          <w:rFonts w:cs="Times New Roman"/>
          <w:i/>
          <w:noProof/>
          <w:lang w:val="fr-CA"/>
        </w:rPr>
        <w:t>Honda Canada Inc. c. Keays</w:t>
      </w:r>
      <w:r w:rsidRPr="00E41E88">
        <w:rPr>
          <w:rFonts w:cs="Times New Roman"/>
          <w:noProof/>
          <w:lang w:val="fr-CA"/>
        </w:rPr>
        <w:t>, 2008 CSC 39, [2008] 2 R.C.S. 362, par. 58).</w:t>
      </w:r>
    </w:p>
    <w:p w:rsidR="00DD44E8" w:rsidRPr="00E41E88" w:rsidRDefault="00DD44E8" w:rsidP="00DD44E8">
      <w:pPr>
        <w:pStyle w:val="ParaNoNdepar-AltN"/>
        <w:rPr>
          <w:rFonts w:cs="Times New Roman"/>
          <w:noProof/>
          <w:lang w:val="fr-CA"/>
        </w:rPr>
      </w:pPr>
      <w:r w:rsidRPr="00E41E88">
        <w:rPr>
          <w:rFonts w:cs="Times New Roman"/>
          <w:noProof/>
          <w:lang w:val="fr-CA"/>
        </w:rPr>
        <w:lastRenderedPageBreak/>
        <w:t>Ce désaccord donne à la Cour l</w:t>
      </w:r>
      <w:r>
        <w:rPr>
          <w:rFonts w:cs="Times New Roman"/>
          <w:noProof/>
          <w:lang w:val="fr-CA"/>
        </w:rPr>
        <w:t>’</w:t>
      </w:r>
      <w:r w:rsidRPr="00E41E88">
        <w:rPr>
          <w:rFonts w:cs="Times New Roman"/>
          <w:noProof/>
          <w:lang w:val="fr-CA"/>
        </w:rPr>
        <w:t>occasion d</w:t>
      </w:r>
      <w:r>
        <w:rPr>
          <w:rFonts w:cs="Times New Roman"/>
          <w:noProof/>
          <w:lang w:val="fr-CA"/>
        </w:rPr>
        <w:t>’</w:t>
      </w:r>
      <w:r w:rsidRPr="00E41E88">
        <w:rPr>
          <w:rFonts w:cs="Times New Roman"/>
          <w:noProof/>
          <w:lang w:val="fr-CA"/>
        </w:rPr>
        <w:t>apporter des précisions sur l</w:t>
      </w:r>
      <w:r>
        <w:rPr>
          <w:rFonts w:cs="Times New Roman"/>
          <w:noProof/>
          <w:lang w:val="fr-CA"/>
        </w:rPr>
        <w:t>’</w:t>
      </w:r>
      <w:r w:rsidRPr="00E41E88">
        <w:rPr>
          <w:rFonts w:cs="Times New Roman"/>
          <w:noProof/>
          <w:lang w:val="fr-CA"/>
        </w:rPr>
        <w:t>obligation de donner un préavis raisonnable et d</w:t>
      </w:r>
      <w:r>
        <w:rPr>
          <w:rFonts w:cs="Times New Roman"/>
          <w:noProof/>
          <w:lang w:val="fr-CA"/>
        </w:rPr>
        <w:t>’</w:t>
      </w:r>
      <w:r w:rsidRPr="00E41E88">
        <w:rPr>
          <w:rFonts w:cs="Times New Roman"/>
          <w:noProof/>
          <w:lang w:val="fr-CA"/>
        </w:rPr>
        <w:t>énoncer clairement que la violation d</w:t>
      </w:r>
      <w:r>
        <w:rPr>
          <w:rFonts w:cs="Times New Roman"/>
          <w:noProof/>
          <w:lang w:val="fr-CA"/>
        </w:rPr>
        <w:t>’</w:t>
      </w:r>
      <w:r w:rsidRPr="00E41E88">
        <w:rPr>
          <w:rFonts w:cs="Times New Roman"/>
          <w:noProof/>
          <w:lang w:val="fr-CA"/>
        </w:rPr>
        <w:t>une obligation d</w:t>
      </w:r>
      <w:r>
        <w:rPr>
          <w:rFonts w:cs="Times New Roman"/>
          <w:noProof/>
          <w:lang w:val="fr-CA"/>
        </w:rPr>
        <w:t>’</w:t>
      </w:r>
      <w:r w:rsidRPr="00E41E88">
        <w:rPr>
          <w:rFonts w:cs="Times New Roman"/>
          <w:noProof/>
          <w:lang w:val="fr-CA"/>
        </w:rPr>
        <w:t>agir de bonne foi constitue une violation contractuelle distincte, l</w:t>
      </w:r>
      <w:r>
        <w:rPr>
          <w:rFonts w:cs="Times New Roman"/>
          <w:noProof/>
          <w:lang w:val="fr-CA"/>
        </w:rPr>
        <w:t>’</w:t>
      </w:r>
      <w:r w:rsidRPr="00E41E88">
        <w:rPr>
          <w:rFonts w:cs="Times New Roman"/>
          <w:noProof/>
          <w:lang w:val="fr-CA"/>
        </w:rPr>
        <w:t>un et l</w:t>
      </w:r>
      <w:r>
        <w:rPr>
          <w:rFonts w:cs="Times New Roman"/>
          <w:noProof/>
          <w:lang w:val="fr-CA"/>
        </w:rPr>
        <w:t>’</w:t>
      </w:r>
      <w:r w:rsidRPr="00E41E88">
        <w:rPr>
          <w:rFonts w:cs="Times New Roman"/>
          <w:noProof/>
          <w:lang w:val="fr-CA"/>
        </w:rPr>
        <w:t>autre de ces manquements soulevant des considérations différentes en ce qui a trait au droit dont dispose un employeur, en vertu de la common law, de congédier sans motif un employé dans le cadre d</w:t>
      </w:r>
      <w:r>
        <w:rPr>
          <w:rFonts w:cs="Times New Roman"/>
          <w:noProof/>
          <w:lang w:val="fr-CA"/>
        </w:rPr>
        <w:t>’</w:t>
      </w:r>
      <w:r w:rsidRPr="00E41E88">
        <w:rPr>
          <w:rFonts w:cs="Times New Roman"/>
          <w:noProof/>
          <w:lang w:val="fr-CA"/>
        </w:rPr>
        <w:t>un contrat de travail à durée indéterminée. Lors de la présentation de leurs arguments, l</w:t>
      </w:r>
      <w:r>
        <w:rPr>
          <w:rFonts w:cs="Times New Roman"/>
          <w:noProof/>
          <w:lang w:val="fr-CA"/>
        </w:rPr>
        <w:t>’</w:t>
      </w:r>
      <w:r w:rsidRPr="00E41E88">
        <w:rPr>
          <w:rFonts w:cs="Times New Roman"/>
          <w:noProof/>
          <w:lang w:val="fr-CA"/>
        </w:rPr>
        <w:t>employé et l</w:t>
      </w:r>
      <w:r>
        <w:rPr>
          <w:rFonts w:cs="Times New Roman"/>
          <w:noProof/>
          <w:lang w:val="fr-CA"/>
        </w:rPr>
        <w:t>’</w:t>
      </w:r>
      <w:r w:rsidRPr="00E41E88">
        <w:rPr>
          <w:rFonts w:cs="Times New Roman"/>
          <w:noProof/>
          <w:lang w:val="fr-CA"/>
        </w:rPr>
        <w:t>employeur en l</w:t>
      </w:r>
      <w:r>
        <w:rPr>
          <w:rFonts w:cs="Times New Roman"/>
          <w:noProof/>
          <w:lang w:val="fr-CA"/>
        </w:rPr>
        <w:t>’</w:t>
      </w:r>
      <w:r w:rsidRPr="00E41E88">
        <w:rPr>
          <w:rFonts w:cs="Times New Roman"/>
          <w:noProof/>
          <w:lang w:val="fr-CA"/>
        </w:rPr>
        <w:t>espèce ont réclamé des cha</w:t>
      </w:r>
      <w:r w:rsidR="00930BFD">
        <w:rPr>
          <w:rFonts w:cs="Times New Roman"/>
          <w:noProof/>
          <w:lang w:val="fr-CA"/>
        </w:rPr>
        <w:t>n</w:t>
      </w:r>
      <w:r w:rsidRPr="00E41E88">
        <w:rPr>
          <w:rFonts w:cs="Times New Roman"/>
          <w:noProof/>
          <w:lang w:val="fr-CA"/>
        </w:rPr>
        <w:t>gements importants au droit en la matière — respectivement l</w:t>
      </w:r>
      <w:r>
        <w:rPr>
          <w:rFonts w:cs="Times New Roman"/>
          <w:noProof/>
          <w:lang w:val="fr-CA"/>
        </w:rPr>
        <w:t>’</w:t>
      </w:r>
      <w:r w:rsidRPr="00E41E88">
        <w:rPr>
          <w:rFonts w:cs="Times New Roman"/>
          <w:noProof/>
          <w:lang w:val="fr-CA"/>
        </w:rPr>
        <w:t>élargissement de l</w:t>
      </w:r>
      <w:r>
        <w:rPr>
          <w:rFonts w:cs="Times New Roman"/>
          <w:noProof/>
          <w:lang w:val="fr-CA"/>
        </w:rPr>
        <w:t>’</w:t>
      </w:r>
      <w:r w:rsidRPr="00E41E88">
        <w:rPr>
          <w:rFonts w:cs="Times New Roman"/>
          <w:noProof/>
          <w:lang w:val="fr-CA"/>
        </w:rPr>
        <w:t>application de l</w:t>
      </w:r>
      <w:r>
        <w:rPr>
          <w:rFonts w:cs="Times New Roman"/>
          <w:noProof/>
          <w:lang w:val="fr-CA"/>
        </w:rPr>
        <w:t>’</w:t>
      </w:r>
      <w:r w:rsidRPr="00E41E88">
        <w:rPr>
          <w:rFonts w:cs="Times New Roman"/>
          <w:noProof/>
          <w:lang w:val="fr-CA"/>
        </w:rPr>
        <w:t>obligation d</w:t>
      </w:r>
      <w:r>
        <w:rPr>
          <w:rFonts w:cs="Times New Roman"/>
          <w:noProof/>
          <w:lang w:val="fr-CA"/>
        </w:rPr>
        <w:t>’</w:t>
      </w:r>
      <w:r w:rsidRPr="00E41E88">
        <w:rPr>
          <w:rFonts w:cs="Times New Roman"/>
          <w:noProof/>
          <w:lang w:val="fr-CA"/>
        </w:rPr>
        <w:t>agir de bonne foi et la restriction de la portée de l</w:t>
      </w:r>
      <w:r>
        <w:rPr>
          <w:rFonts w:cs="Times New Roman"/>
          <w:noProof/>
          <w:lang w:val="fr-CA"/>
        </w:rPr>
        <w:t>’</w:t>
      </w:r>
      <w:r w:rsidRPr="00E41E88">
        <w:rPr>
          <w:rFonts w:cs="Times New Roman"/>
          <w:noProof/>
          <w:lang w:val="fr-CA"/>
        </w:rPr>
        <w:t xml:space="preserve">obligation de donner un préavis raisonnable — changements qui, si les principes existants sont interprétés correctement, sont en définitive inutiles pour trancher le pourvoi. </w:t>
      </w:r>
    </w:p>
    <w:p w:rsidR="00DD44E8" w:rsidRPr="00E41E88" w:rsidRDefault="00DD44E8" w:rsidP="00DD44E8">
      <w:pPr>
        <w:pStyle w:val="ParaNoNdepar-AltN"/>
        <w:tabs>
          <w:tab w:val="clear" w:pos="1152"/>
          <w:tab w:val="left" w:pos="1166"/>
        </w:tabs>
        <w:rPr>
          <w:rFonts w:cs="Times New Roman"/>
          <w:noProof/>
          <w:lang w:val="fr-CA"/>
        </w:rPr>
      </w:pPr>
      <w:r w:rsidRPr="00E41E88">
        <w:rPr>
          <w:rFonts w:cs="Times New Roman"/>
          <w:noProof/>
          <w:lang w:val="fr-CA"/>
        </w:rPr>
        <w:t>Bien que je considère que le droit applicable pour statuer sur les prétentions de l</w:t>
      </w:r>
      <w:r>
        <w:rPr>
          <w:rFonts w:cs="Times New Roman"/>
          <w:noProof/>
          <w:lang w:val="fr-CA"/>
        </w:rPr>
        <w:t>’</w:t>
      </w:r>
      <w:r w:rsidRPr="00E41E88">
        <w:rPr>
          <w:rFonts w:cs="Times New Roman"/>
          <w:noProof/>
          <w:lang w:val="fr-CA"/>
        </w:rPr>
        <w:t>employé est dans une large mesure déjà bien établi, la manière dont les griefs soulevés ont été enchevêtrés en l</w:t>
      </w:r>
      <w:r>
        <w:rPr>
          <w:rFonts w:cs="Times New Roman"/>
          <w:noProof/>
          <w:lang w:val="fr-CA"/>
        </w:rPr>
        <w:t>’</w:t>
      </w:r>
      <w:r w:rsidRPr="00E41E88">
        <w:rPr>
          <w:rFonts w:cs="Times New Roman"/>
          <w:noProof/>
          <w:lang w:val="fr-CA"/>
        </w:rPr>
        <w:t>espèce incite notre Cour à exposer clairement le caractère distinct de ces voies de recours en cas de violations de contrats de travail. Comme c</w:t>
      </w:r>
      <w:r>
        <w:rPr>
          <w:rFonts w:cs="Times New Roman"/>
          <w:noProof/>
          <w:lang w:val="fr-CA"/>
        </w:rPr>
        <w:t>’</w:t>
      </w:r>
      <w:r w:rsidRPr="00E41E88">
        <w:rPr>
          <w:rFonts w:cs="Times New Roman"/>
          <w:noProof/>
          <w:lang w:val="fr-CA"/>
        </w:rPr>
        <w:t xml:space="preserve">est le cas dans le présent pourvoi, </w:t>
      </w:r>
      <w:r>
        <w:rPr>
          <w:rFonts w:cs="Times New Roman"/>
          <w:noProof/>
          <w:lang w:val="fr-CA"/>
        </w:rPr>
        <w:t>les griefs</w:t>
      </w:r>
      <w:r w:rsidRPr="00E41E88">
        <w:rPr>
          <w:rFonts w:cs="Times New Roman"/>
          <w:noProof/>
          <w:lang w:val="fr-CA"/>
        </w:rPr>
        <w:t xml:space="preserve"> sont parfois intimement liés, de telle sorte que les règles de droit applicables au congédiement injustifié ne sont pas interprétées correctement. En toute justice pour les parties au présent pourvoi, une telle confusion n</w:t>
      </w:r>
      <w:r>
        <w:rPr>
          <w:rFonts w:cs="Times New Roman"/>
          <w:noProof/>
          <w:lang w:val="fr-CA"/>
        </w:rPr>
        <w:t>’</w:t>
      </w:r>
      <w:r w:rsidRPr="00E41E88">
        <w:rPr>
          <w:rFonts w:cs="Times New Roman"/>
          <w:noProof/>
          <w:lang w:val="fr-CA"/>
        </w:rPr>
        <w:t>est pas rare, puisque des tribunaux — même notre Cour — les ont parfois amalgamés dans la détermination des réparations qu</w:t>
      </w:r>
      <w:r>
        <w:rPr>
          <w:rFonts w:cs="Times New Roman"/>
          <w:noProof/>
          <w:lang w:val="fr-CA"/>
        </w:rPr>
        <w:t>’</w:t>
      </w:r>
      <w:r w:rsidRPr="00E41E88">
        <w:rPr>
          <w:rFonts w:cs="Times New Roman"/>
          <w:noProof/>
          <w:lang w:val="fr-CA"/>
        </w:rPr>
        <w:t>il convenait d</w:t>
      </w:r>
      <w:r>
        <w:rPr>
          <w:rFonts w:cs="Times New Roman"/>
          <w:noProof/>
          <w:lang w:val="fr-CA"/>
        </w:rPr>
        <w:t>’</w:t>
      </w:r>
      <w:r w:rsidRPr="00E41E88">
        <w:rPr>
          <w:rFonts w:cs="Times New Roman"/>
          <w:noProof/>
          <w:lang w:val="fr-CA"/>
        </w:rPr>
        <w:t xml:space="preserve">accorder en cas de congédiement injustifié. </w:t>
      </w:r>
    </w:p>
    <w:p w:rsidR="00DD44E8" w:rsidRPr="00E41E88" w:rsidRDefault="00DD44E8" w:rsidP="00DD44E8">
      <w:pPr>
        <w:pStyle w:val="ParaNoNdepar-AltN"/>
        <w:tabs>
          <w:tab w:val="clear" w:pos="1152"/>
          <w:tab w:val="left" w:pos="1166"/>
        </w:tabs>
        <w:rPr>
          <w:rFonts w:cs="Times New Roman"/>
          <w:noProof/>
          <w:lang w:val="fr-CA"/>
        </w:rPr>
      </w:pPr>
      <w:r w:rsidRPr="00E41E88">
        <w:rPr>
          <w:rFonts w:cs="Times New Roman"/>
          <w:noProof/>
          <w:lang w:val="fr-CA"/>
        </w:rPr>
        <w:lastRenderedPageBreak/>
        <w:t xml:space="preserve">Pour les motifs qui suivent, </w:t>
      </w:r>
      <w:r>
        <w:rPr>
          <w:rFonts w:cs="Times New Roman"/>
          <w:noProof/>
          <w:lang w:val="fr-CA"/>
        </w:rPr>
        <w:t>en ce qui concerne</w:t>
      </w:r>
      <w:r w:rsidRPr="00E41E88">
        <w:rPr>
          <w:rFonts w:cs="Times New Roman"/>
          <w:noProof/>
          <w:lang w:val="fr-CA"/>
        </w:rPr>
        <w:t xml:space="preserve"> la simple question du manquement à l</w:t>
      </w:r>
      <w:r>
        <w:rPr>
          <w:rFonts w:cs="Times New Roman"/>
          <w:noProof/>
          <w:lang w:val="fr-CA"/>
        </w:rPr>
        <w:t>’</w:t>
      </w:r>
      <w:r w:rsidRPr="00E41E88">
        <w:rPr>
          <w:rFonts w:cs="Times New Roman"/>
          <w:noProof/>
          <w:lang w:val="fr-CA"/>
        </w:rPr>
        <w:t>obligation de donner un préavis raisonnable, je ne puis, avec égards, souscrire à la conclusion des juges majoritaires de la Cour d</w:t>
      </w:r>
      <w:r>
        <w:rPr>
          <w:rFonts w:cs="Times New Roman"/>
          <w:noProof/>
          <w:lang w:val="fr-CA"/>
        </w:rPr>
        <w:t>’</w:t>
      </w:r>
      <w:r w:rsidRPr="00E41E88">
        <w:rPr>
          <w:rFonts w:cs="Times New Roman"/>
          <w:noProof/>
          <w:lang w:val="fr-CA"/>
        </w:rPr>
        <w:t>appel selon laquelle les dommages</w:t>
      </w:r>
      <w:r w:rsidRPr="00E41E88">
        <w:rPr>
          <w:rFonts w:cs="Times New Roman"/>
          <w:noProof/>
          <w:lang w:val="fr-CA"/>
        </w:rPr>
        <w:noBreakHyphen/>
        <w:t>intérêts accordés à l</w:t>
      </w:r>
      <w:r>
        <w:rPr>
          <w:rFonts w:cs="Times New Roman"/>
          <w:noProof/>
          <w:lang w:val="fr-CA"/>
        </w:rPr>
        <w:t>’</w:t>
      </w:r>
      <w:r w:rsidRPr="00E41E88">
        <w:rPr>
          <w:rFonts w:cs="Times New Roman"/>
          <w:noProof/>
          <w:lang w:val="fr-CA"/>
        </w:rPr>
        <w:t>employé ne doivent pas inclure la prime d</w:t>
      </w:r>
      <w:r>
        <w:rPr>
          <w:rFonts w:cs="Times New Roman"/>
          <w:noProof/>
          <w:lang w:val="fr-CA"/>
        </w:rPr>
        <w:t>’</w:t>
      </w:r>
      <w:r w:rsidRPr="00E41E88">
        <w:rPr>
          <w:rFonts w:cs="Times New Roman"/>
          <w:noProof/>
          <w:lang w:val="fr-CA"/>
        </w:rPr>
        <w:t>intéressement. Compte tenu de cette conclusion, au vu de la position de l</w:t>
      </w:r>
      <w:r>
        <w:rPr>
          <w:rFonts w:cs="Times New Roman"/>
          <w:noProof/>
          <w:lang w:val="fr-CA"/>
        </w:rPr>
        <w:t>’</w:t>
      </w:r>
      <w:r w:rsidRPr="00E41E88">
        <w:rPr>
          <w:rFonts w:cs="Times New Roman"/>
          <w:noProof/>
          <w:lang w:val="fr-CA"/>
        </w:rPr>
        <w:t>employé quant aux événements en cause, il ne nous est pas nécessaire de répondre exhaustivement aux prétentions relatives à la malhonnêteté qu</w:t>
      </w:r>
      <w:r>
        <w:rPr>
          <w:rFonts w:cs="Times New Roman"/>
          <w:noProof/>
          <w:lang w:val="fr-CA"/>
        </w:rPr>
        <w:t>’</w:t>
      </w:r>
      <w:r w:rsidRPr="00E41E88">
        <w:rPr>
          <w:rFonts w:cs="Times New Roman"/>
          <w:noProof/>
          <w:lang w:val="fr-CA"/>
        </w:rPr>
        <w:t>il a formulées. Le présent pourvoi peut être tranché suivant les principes bien établis du droit de l</w:t>
      </w:r>
      <w:r>
        <w:rPr>
          <w:rFonts w:cs="Times New Roman"/>
          <w:noProof/>
          <w:lang w:val="fr-CA"/>
        </w:rPr>
        <w:t>’</w:t>
      </w:r>
      <w:r w:rsidRPr="00E41E88">
        <w:rPr>
          <w:rFonts w:cs="Times New Roman"/>
          <w:noProof/>
          <w:lang w:val="fr-CA"/>
        </w:rPr>
        <w:t>emploi, malgré la conduite malhonnête évidente manifestée par l</w:t>
      </w:r>
      <w:r>
        <w:rPr>
          <w:rFonts w:cs="Times New Roman"/>
          <w:noProof/>
          <w:lang w:val="fr-CA"/>
        </w:rPr>
        <w:t>’</w:t>
      </w:r>
      <w:r w:rsidRPr="00E41E88">
        <w:rPr>
          <w:rFonts w:cs="Times New Roman"/>
          <w:noProof/>
          <w:lang w:val="fr-CA"/>
        </w:rPr>
        <w:t>employeur sur une période prolongée. Toutefois, outre les précisions qui s</w:t>
      </w:r>
      <w:r>
        <w:rPr>
          <w:rFonts w:cs="Times New Roman"/>
          <w:noProof/>
          <w:lang w:val="fr-CA"/>
        </w:rPr>
        <w:t>’</w:t>
      </w:r>
      <w:r w:rsidRPr="00E41E88">
        <w:rPr>
          <w:rFonts w:cs="Times New Roman"/>
          <w:noProof/>
          <w:lang w:val="fr-CA"/>
        </w:rPr>
        <w:t>imposent quant à la manière dont les tribunaux doivent analyser les demandes de réparations pécuniaires formulées à la suite d</w:t>
      </w:r>
      <w:r>
        <w:rPr>
          <w:rFonts w:cs="Times New Roman"/>
          <w:noProof/>
          <w:lang w:val="fr-CA"/>
        </w:rPr>
        <w:t>’</w:t>
      </w:r>
      <w:r w:rsidRPr="00E41E88">
        <w:rPr>
          <w:rFonts w:cs="Times New Roman"/>
          <w:noProof/>
          <w:lang w:val="fr-CA"/>
        </w:rPr>
        <w:t>un congédiement, le grief de l</w:t>
      </w:r>
      <w:r>
        <w:rPr>
          <w:rFonts w:cs="Times New Roman"/>
          <w:noProof/>
          <w:lang w:val="fr-CA"/>
        </w:rPr>
        <w:t>’</w:t>
      </w:r>
      <w:r w:rsidRPr="00E41E88">
        <w:rPr>
          <w:rFonts w:cs="Times New Roman"/>
          <w:noProof/>
          <w:lang w:val="fr-CA"/>
        </w:rPr>
        <w:t>employé reprochant à l</w:t>
      </w:r>
      <w:r>
        <w:rPr>
          <w:rFonts w:cs="Times New Roman"/>
          <w:noProof/>
          <w:lang w:val="fr-CA"/>
        </w:rPr>
        <w:t>’</w:t>
      </w:r>
      <w:r w:rsidRPr="00E41E88">
        <w:rPr>
          <w:rFonts w:cs="Times New Roman"/>
          <w:noProof/>
          <w:lang w:val="fr-CA"/>
        </w:rPr>
        <w:t>employeur de l</w:t>
      </w:r>
      <w:r>
        <w:rPr>
          <w:rFonts w:cs="Times New Roman"/>
          <w:noProof/>
          <w:lang w:val="fr-CA"/>
        </w:rPr>
        <w:t>’</w:t>
      </w:r>
      <w:r w:rsidRPr="00E41E88">
        <w:rPr>
          <w:rFonts w:cs="Times New Roman"/>
          <w:noProof/>
          <w:lang w:val="fr-CA"/>
        </w:rPr>
        <w:t>avoir traité incorrectement mérite quelques brefs commentaires. Dans son avis de requête, l</w:t>
      </w:r>
      <w:r>
        <w:rPr>
          <w:rFonts w:cs="Times New Roman"/>
          <w:noProof/>
          <w:lang w:val="fr-CA"/>
        </w:rPr>
        <w:t>’</w:t>
      </w:r>
      <w:r w:rsidRPr="00E41E88">
        <w:rPr>
          <w:rFonts w:cs="Times New Roman"/>
          <w:noProof/>
          <w:lang w:val="fr-CA"/>
        </w:rPr>
        <w:t xml:space="preserve">employé sollicitait une déclaration portant que son congédiement était injustifié parce que son employeur avait eu à son endroit une conduite </w:t>
      </w:r>
      <w:r w:rsidRPr="00E41E88">
        <w:rPr>
          <w:rFonts w:cs="Times New Roman"/>
          <w:smallCaps/>
          <w:noProof/>
          <w:lang w:val="fr-CA"/>
        </w:rPr>
        <w:t xml:space="preserve">[traduction] </w:t>
      </w:r>
      <w:r w:rsidRPr="00E41E88">
        <w:rPr>
          <w:rFonts w:cs="Times New Roman"/>
          <w:noProof/>
          <w:lang w:val="fr-CA"/>
        </w:rPr>
        <w:t>« abusive », « injuste » e</w:t>
      </w:r>
      <w:r>
        <w:rPr>
          <w:rFonts w:cs="Times New Roman"/>
          <w:noProof/>
          <w:lang w:val="fr-CA"/>
        </w:rPr>
        <w:t>t « entachée de mauvaise foi » (</w:t>
      </w:r>
      <w:r w:rsidRPr="00E41E88">
        <w:rPr>
          <w:rFonts w:cs="Times New Roman"/>
          <w:noProof/>
          <w:lang w:val="fr-CA"/>
        </w:rPr>
        <w:t>d.a., p. 144</w:t>
      </w:r>
      <w:r w:rsidRPr="00E41E88">
        <w:rPr>
          <w:rFonts w:cs="Times New Roman"/>
          <w:noProof/>
          <w:lang w:val="fr-CA"/>
        </w:rPr>
        <w:noBreakHyphen/>
        <w:t>145</w:t>
      </w:r>
      <w:r>
        <w:rPr>
          <w:rFonts w:cs="Times New Roman"/>
          <w:noProof/>
          <w:lang w:val="fr-CA"/>
        </w:rPr>
        <w:t>)</w:t>
      </w:r>
      <w:r w:rsidRPr="00E41E88">
        <w:rPr>
          <w:rFonts w:cs="Times New Roman"/>
          <w:noProof/>
          <w:lang w:val="fr-CA"/>
        </w:rPr>
        <w:t>. Bien qu</w:t>
      </w:r>
      <w:r>
        <w:rPr>
          <w:rFonts w:cs="Times New Roman"/>
          <w:noProof/>
          <w:lang w:val="fr-CA"/>
        </w:rPr>
        <w:t>’</w:t>
      </w:r>
      <w:r w:rsidRPr="00E41E88">
        <w:rPr>
          <w:rFonts w:cs="Times New Roman"/>
          <w:noProof/>
          <w:lang w:val="fr-CA"/>
        </w:rPr>
        <w:t>il n</w:t>
      </w:r>
      <w:r>
        <w:rPr>
          <w:rFonts w:cs="Times New Roman"/>
          <w:noProof/>
          <w:lang w:val="fr-CA"/>
        </w:rPr>
        <w:t>’</w:t>
      </w:r>
      <w:r w:rsidRPr="00E41E88">
        <w:rPr>
          <w:rFonts w:cs="Times New Roman"/>
          <w:noProof/>
          <w:lang w:val="fr-CA"/>
        </w:rPr>
        <w:t>ait présenté aucun argument détaillé en appel à l</w:t>
      </w:r>
      <w:r>
        <w:rPr>
          <w:rFonts w:cs="Times New Roman"/>
          <w:noProof/>
          <w:lang w:val="fr-CA"/>
        </w:rPr>
        <w:t>’</w:t>
      </w:r>
      <w:r w:rsidRPr="00E41E88">
        <w:rPr>
          <w:rFonts w:cs="Times New Roman"/>
          <w:noProof/>
          <w:lang w:val="fr-CA"/>
        </w:rPr>
        <w:t>égard de sa demande initiale de dommages</w:t>
      </w:r>
      <w:r w:rsidRPr="00E41E88">
        <w:rPr>
          <w:rFonts w:cs="Times New Roman"/>
          <w:noProof/>
          <w:lang w:val="fr-CA"/>
        </w:rPr>
        <w:noBreakHyphen/>
        <w:t>intérêts punitifs et, fait surprenant peut</w:t>
      </w:r>
      <w:r w:rsidRPr="00E41E88">
        <w:rPr>
          <w:rFonts w:cs="Times New Roman"/>
          <w:noProof/>
          <w:lang w:val="fr-CA"/>
        </w:rPr>
        <w:noBreakHyphen/>
        <w:t>être, qu</w:t>
      </w:r>
      <w:r>
        <w:rPr>
          <w:rFonts w:cs="Times New Roman"/>
          <w:noProof/>
          <w:lang w:val="fr-CA"/>
        </w:rPr>
        <w:t>’</w:t>
      </w:r>
      <w:r w:rsidRPr="00E41E88">
        <w:rPr>
          <w:rFonts w:cs="Times New Roman"/>
          <w:noProof/>
          <w:lang w:val="fr-CA"/>
        </w:rPr>
        <w:t>il n</w:t>
      </w:r>
      <w:r>
        <w:rPr>
          <w:rFonts w:cs="Times New Roman"/>
          <w:noProof/>
          <w:lang w:val="fr-CA"/>
        </w:rPr>
        <w:t>’</w:t>
      </w:r>
      <w:r w:rsidRPr="00E41E88">
        <w:rPr>
          <w:rFonts w:cs="Times New Roman"/>
          <w:noProof/>
          <w:lang w:val="fr-CA"/>
        </w:rPr>
        <w:t>ait pas, lorsqu</w:t>
      </w:r>
      <w:r>
        <w:rPr>
          <w:rFonts w:cs="Times New Roman"/>
          <w:noProof/>
          <w:lang w:val="fr-CA"/>
        </w:rPr>
        <w:t>’</w:t>
      </w:r>
      <w:r w:rsidRPr="00E41E88">
        <w:rPr>
          <w:rFonts w:cs="Times New Roman"/>
          <w:noProof/>
          <w:lang w:val="fr-CA"/>
        </w:rPr>
        <w:t>il a intenté son action, sollicité précisément des dommages</w:t>
      </w:r>
      <w:r w:rsidRPr="00E41E88">
        <w:rPr>
          <w:rFonts w:cs="Times New Roman"/>
          <w:noProof/>
          <w:lang w:val="fr-CA"/>
        </w:rPr>
        <w:noBreakHyphen/>
        <w:t>intérêts au titre des souffrances morales susceptibles de découler du défaut d</w:t>
      </w:r>
      <w:r>
        <w:rPr>
          <w:rFonts w:cs="Times New Roman"/>
          <w:noProof/>
          <w:lang w:val="fr-CA"/>
        </w:rPr>
        <w:t>’</w:t>
      </w:r>
      <w:r w:rsidRPr="00E41E88">
        <w:rPr>
          <w:rFonts w:cs="Times New Roman"/>
          <w:noProof/>
          <w:lang w:val="fr-CA"/>
        </w:rPr>
        <w:t>un employeur d</w:t>
      </w:r>
      <w:r>
        <w:rPr>
          <w:rFonts w:cs="Times New Roman"/>
          <w:noProof/>
          <w:lang w:val="fr-CA"/>
        </w:rPr>
        <w:t>’</w:t>
      </w:r>
      <w:r w:rsidRPr="00E41E88">
        <w:rPr>
          <w:rFonts w:cs="Times New Roman"/>
          <w:noProof/>
          <w:lang w:val="fr-CA"/>
        </w:rPr>
        <w:t>agir de bonne foi lorsqu</w:t>
      </w:r>
      <w:r>
        <w:rPr>
          <w:rFonts w:cs="Times New Roman"/>
          <w:noProof/>
          <w:lang w:val="fr-CA"/>
        </w:rPr>
        <w:t>’</w:t>
      </w:r>
      <w:r w:rsidRPr="00E41E88">
        <w:rPr>
          <w:rFonts w:cs="Times New Roman"/>
          <w:noProof/>
          <w:lang w:val="fr-CA"/>
        </w:rPr>
        <w:t>il congédie un employé, il continuer d</w:t>
      </w:r>
      <w:r>
        <w:rPr>
          <w:rFonts w:cs="Times New Roman"/>
          <w:noProof/>
          <w:lang w:val="fr-CA"/>
        </w:rPr>
        <w:t>’</w:t>
      </w:r>
      <w:r w:rsidRPr="00E41E88">
        <w:rPr>
          <w:rFonts w:cs="Times New Roman"/>
          <w:noProof/>
          <w:lang w:val="fr-CA"/>
        </w:rPr>
        <w:t>affirmer avec insistance que son employeur a manqué à son obligation d</w:t>
      </w:r>
      <w:r>
        <w:rPr>
          <w:rFonts w:cs="Times New Roman"/>
          <w:noProof/>
          <w:lang w:val="fr-CA"/>
        </w:rPr>
        <w:t>’</w:t>
      </w:r>
      <w:r w:rsidRPr="00E41E88">
        <w:rPr>
          <w:rFonts w:cs="Times New Roman"/>
          <w:noProof/>
          <w:lang w:val="fr-CA"/>
        </w:rPr>
        <w:t>agir de bonne foi lorsqu</w:t>
      </w:r>
      <w:r>
        <w:rPr>
          <w:rFonts w:cs="Times New Roman"/>
          <w:noProof/>
          <w:lang w:val="fr-CA"/>
        </w:rPr>
        <w:t>’</w:t>
      </w:r>
      <w:r w:rsidRPr="00E41E88">
        <w:rPr>
          <w:rFonts w:cs="Times New Roman"/>
          <w:noProof/>
          <w:lang w:val="fr-CA"/>
        </w:rPr>
        <w:t xml:space="preserve">il lui a menti durant la période précédant son congédiement déguisé. </w:t>
      </w:r>
    </w:p>
    <w:p w:rsidR="00DD44E8" w:rsidRPr="00E41E88" w:rsidRDefault="00DD44E8" w:rsidP="00DD44E8">
      <w:pPr>
        <w:pStyle w:val="ParaNoNdepar-AltN"/>
        <w:rPr>
          <w:rFonts w:cs="Times New Roman"/>
          <w:noProof/>
          <w:lang w:val="fr-CA"/>
        </w:rPr>
      </w:pPr>
      <w:r w:rsidRPr="00E41E88">
        <w:rPr>
          <w:rFonts w:eastAsia="Times New Roman" w:cs="Times New Roman"/>
          <w:noProof/>
          <w:lang w:val="fr-CA"/>
        </w:rPr>
        <w:lastRenderedPageBreak/>
        <w:t>La persistance avec laquelle l</w:t>
      </w:r>
      <w:r>
        <w:rPr>
          <w:rFonts w:eastAsia="Times New Roman" w:cs="Times New Roman"/>
          <w:noProof/>
          <w:lang w:val="fr-CA"/>
        </w:rPr>
        <w:t>’</w:t>
      </w:r>
      <w:r w:rsidRPr="00E41E88">
        <w:rPr>
          <w:rFonts w:eastAsia="Times New Roman" w:cs="Times New Roman"/>
          <w:noProof/>
          <w:lang w:val="fr-CA"/>
        </w:rPr>
        <w:t>employé est revenu sur ce point en appel s</w:t>
      </w:r>
      <w:r>
        <w:rPr>
          <w:rFonts w:eastAsia="Times New Roman" w:cs="Times New Roman"/>
          <w:noProof/>
          <w:lang w:val="fr-CA"/>
        </w:rPr>
        <w:t>’</w:t>
      </w:r>
      <w:r w:rsidRPr="00E41E88">
        <w:rPr>
          <w:rFonts w:eastAsia="Times New Roman" w:cs="Times New Roman"/>
          <w:noProof/>
          <w:lang w:val="fr-CA"/>
        </w:rPr>
        <w:t>explique en partie par le fait qu</w:t>
      </w:r>
      <w:r>
        <w:rPr>
          <w:rFonts w:eastAsia="Times New Roman" w:cs="Times New Roman"/>
          <w:noProof/>
          <w:lang w:val="fr-CA"/>
        </w:rPr>
        <w:t>’</w:t>
      </w:r>
      <w:r w:rsidRPr="00E41E88">
        <w:rPr>
          <w:rFonts w:eastAsia="Times New Roman" w:cs="Times New Roman"/>
          <w:noProof/>
          <w:lang w:val="fr-CA"/>
        </w:rPr>
        <w:t>il ne poursuit pas son employeur uniquement pour être indemnisé financièrement, mais également pour des raisons non financières. Le juge de première instance a expressément fait remarquer que l</w:t>
      </w:r>
      <w:r>
        <w:rPr>
          <w:rFonts w:eastAsia="Times New Roman" w:cs="Times New Roman"/>
          <w:noProof/>
          <w:lang w:val="fr-CA"/>
        </w:rPr>
        <w:t>’</w:t>
      </w:r>
      <w:r w:rsidRPr="00E41E88">
        <w:rPr>
          <w:rFonts w:eastAsia="Times New Roman" w:cs="Times New Roman"/>
          <w:noProof/>
          <w:lang w:val="fr-CA"/>
        </w:rPr>
        <w:t>estime de soi de l</w:t>
      </w:r>
      <w:r>
        <w:rPr>
          <w:rFonts w:eastAsia="Times New Roman" w:cs="Times New Roman"/>
          <w:noProof/>
          <w:lang w:val="fr-CA"/>
        </w:rPr>
        <w:t>’</w:t>
      </w:r>
      <w:r w:rsidRPr="00E41E88">
        <w:rPr>
          <w:rFonts w:eastAsia="Times New Roman" w:cs="Times New Roman"/>
          <w:noProof/>
          <w:lang w:val="fr-CA"/>
        </w:rPr>
        <w:t xml:space="preserve">employé était particulièrement liée à son travail. Notre Cour a déclaré sans ambages </w:t>
      </w:r>
      <w:r w:rsidRPr="00E41E88">
        <w:rPr>
          <w:rFonts w:eastAsia="Times New Roman" w:cs="Times New Roman"/>
          <w:noProof/>
          <w:spacing w:val="-3"/>
          <w:szCs w:val="24"/>
          <w:lang w:val="fr-CA" w:eastAsia="fr-CA"/>
        </w:rPr>
        <w:t>que l</w:t>
      </w:r>
      <w:r>
        <w:rPr>
          <w:rFonts w:eastAsia="Times New Roman" w:cs="Times New Roman"/>
          <w:noProof/>
          <w:spacing w:val="-3"/>
          <w:szCs w:val="24"/>
          <w:lang w:val="fr-CA" w:eastAsia="fr-CA"/>
        </w:rPr>
        <w:t>’</w:t>
      </w:r>
      <w:r w:rsidRPr="00E41E88">
        <w:rPr>
          <w:rFonts w:eastAsia="Times New Roman" w:cs="Times New Roman"/>
          <w:noProof/>
          <w:spacing w:val="-3"/>
          <w:szCs w:val="24"/>
          <w:lang w:val="fr-CA" w:eastAsia="fr-CA"/>
        </w:rPr>
        <w:t>emploi constitue pour les gens une source d</w:t>
      </w:r>
      <w:r>
        <w:rPr>
          <w:rFonts w:eastAsia="Times New Roman" w:cs="Times New Roman"/>
          <w:noProof/>
          <w:spacing w:val="-3"/>
          <w:szCs w:val="24"/>
          <w:lang w:val="fr-CA" w:eastAsia="fr-CA"/>
        </w:rPr>
        <w:t>’</w:t>
      </w:r>
      <w:r w:rsidRPr="00E41E88">
        <w:rPr>
          <w:rFonts w:eastAsia="Times New Roman" w:cs="Times New Roman"/>
          <w:noProof/>
          <w:spacing w:val="-3"/>
          <w:szCs w:val="24"/>
          <w:lang w:val="fr-CA" w:eastAsia="fr-CA"/>
        </w:rPr>
        <w:t>épanouissement personnel</w:t>
      </w:r>
      <w:r w:rsidRPr="00E41E88">
        <w:rPr>
          <w:rFonts w:eastAsia="Times New Roman" w:cs="Times New Roman"/>
          <w:noProof/>
          <w:lang w:val="fr-CA"/>
        </w:rPr>
        <w:t xml:space="preserve"> — à savoir cette forme de dignité humaine qui découle du travail — et que ce phénomène se manifeste souvent avec encore plus d</w:t>
      </w:r>
      <w:r>
        <w:rPr>
          <w:rFonts w:eastAsia="Times New Roman" w:cs="Times New Roman"/>
          <w:noProof/>
          <w:lang w:val="fr-CA"/>
        </w:rPr>
        <w:t>’</w:t>
      </w:r>
      <w:r w:rsidRPr="00E41E88">
        <w:rPr>
          <w:rFonts w:eastAsia="Times New Roman" w:cs="Times New Roman"/>
          <w:noProof/>
          <w:lang w:val="fr-CA"/>
        </w:rPr>
        <w:t>acuité lorsqu</w:t>
      </w:r>
      <w:r>
        <w:rPr>
          <w:rFonts w:eastAsia="Times New Roman" w:cs="Times New Roman"/>
          <w:noProof/>
          <w:lang w:val="fr-CA"/>
        </w:rPr>
        <w:t>’</w:t>
      </w:r>
      <w:r w:rsidRPr="00E41E88">
        <w:rPr>
          <w:rFonts w:eastAsia="Times New Roman" w:cs="Times New Roman"/>
          <w:noProof/>
          <w:lang w:val="fr-CA"/>
        </w:rPr>
        <w:t>une personne perd injust</w:t>
      </w:r>
      <w:r w:rsidR="00353B01">
        <w:rPr>
          <w:rFonts w:eastAsia="Times New Roman" w:cs="Times New Roman"/>
          <w:noProof/>
          <w:lang w:val="fr-CA"/>
        </w:rPr>
        <w:t>e</w:t>
      </w:r>
      <w:r w:rsidRPr="00E41E88">
        <w:rPr>
          <w:rFonts w:eastAsia="Times New Roman" w:cs="Times New Roman"/>
          <w:noProof/>
          <w:lang w:val="fr-CA"/>
        </w:rPr>
        <w:t xml:space="preserve">ment son emploi (voir, p. ex., </w:t>
      </w:r>
      <w:r w:rsidRPr="00E41E88">
        <w:rPr>
          <w:rFonts w:eastAsia="Times New Roman" w:cs="Times New Roman"/>
          <w:i/>
          <w:noProof/>
          <w:lang w:val="fr-CA"/>
        </w:rPr>
        <w:t>Machtinger c. HOJ Industries Ltd.</w:t>
      </w:r>
      <w:r w:rsidRPr="00E41E88">
        <w:rPr>
          <w:rFonts w:eastAsia="Times New Roman" w:cs="Times New Roman"/>
          <w:noProof/>
          <w:lang w:val="fr-CA"/>
        </w:rPr>
        <w:t>, [1992] 1 R.C.S. 986, p. 991). Récemment, dans l</w:t>
      </w:r>
      <w:r>
        <w:rPr>
          <w:rFonts w:eastAsia="Times New Roman" w:cs="Times New Roman"/>
          <w:noProof/>
          <w:lang w:val="fr-CA"/>
        </w:rPr>
        <w:t>’</w:t>
      </w:r>
      <w:r w:rsidRPr="00E41E88">
        <w:rPr>
          <w:rFonts w:eastAsia="Times New Roman" w:cs="Times New Roman"/>
          <w:noProof/>
          <w:lang w:val="fr-CA"/>
        </w:rPr>
        <w:t xml:space="preserve">arrêt </w:t>
      </w:r>
      <w:r w:rsidRPr="00E41E88">
        <w:rPr>
          <w:rFonts w:eastAsia="Times New Roman" w:cs="Times New Roman"/>
          <w:i/>
          <w:noProof/>
          <w:lang w:val="fr-CA"/>
        </w:rPr>
        <w:t>Potter c. Commission des services d</w:t>
      </w:r>
      <w:r>
        <w:rPr>
          <w:rFonts w:eastAsia="Times New Roman" w:cs="Times New Roman"/>
          <w:i/>
          <w:noProof/>
          <w:lang w:val="fr-CA"/>
        </w:rPr>
        <w:t>’</w:t>
      </w:r>
      <w:r w:rsidRPr="00E41E88">
        <w:rPr>
          <w:rFonts w:eastAsia="Times New Roman" w:cs="Times New Roman"/>
          <w:i/>
          <w:noProof/>
          <w:lang w:val="fr-CA"/>
        </w:rPr>
        <w:t>aide juridique du Nouveau</w:t>
      </w:r>
      <w:r w:rsidRPr="00E41E88">
        <w:rPr>
          <w:rFonts w:eastAsia="Times New Roman" w:cs="Times New Roman"/>
          <w:i/>
          <w:noProof/>
          <w:lang w:val="fr-CA"/>
        </w:rPr>
        <w:noBreakHyphen/>
        <w:t>Brunswick</w:t>
      </w:r>
      <w:r w:rsidRPr="00E41E88">
        <w:rPr>
          <w:rFonts w:eastAsia="Times New Roman" w:cs="Times New Roman"/>
          <w:noProof/>
          <w:lang w:val="fr-CA"/>
        </w:rPr>
        <w:t xml:space="preserve">, 2015 CSC 10, </w:t>
      </w:r>
      <w:r>
        <w:rPr>
          <w:rFonts w:eastAsia="Times New Roman" w:cs="Times New Roman"/>
          <w:noProof/>
          <w:lang w:val="fr-CA"/>
        </w:rPr>
        <w:t xml:space="preserve">[2015] 1 R.C.S. 500, </w:t>
      </w:r>
      <w:r w:rsidRPr="00E41E88">
        <w:rPr>
          <w:rFonts w:eastAsia="Times New Roman" w:cs="Times New Roman"/>
          <w:noProof/>
          <w:lang w:val="fr-CA"/>
        </w:rPr>
        <w:t>par. 84, mon collègue le juge Wagner, avant d</w:t>
      </w:r>
      <w:r>
        <w:rPr>
          <w:rFonts w:eastAsia="Times New Roman" w:cs="Times New Roman"/>
          <w:noProof/>
          <w:lang w:val="fr-CA"/>
        </w:rPr>
        <w:t>’</w:t>
      </w:r>
      <w:r w:rsidRPr="00E41E88">
        <w:rPr>
          <w:rFonts w:eastAsia="Times New Roman" w:cs="Times New Roman"/>
          <w:noProof/>
          <w:lang w:val="fr-CA"/>
        </w:rPr>
        <w:t>être nommé juge en chef, a indiqué que ces considérations sont enracinées dans</w:t>
      </w:r>
      <w:r w:rsidRPr="00E41E88">
        <w:rPr>
          <w:rFonts w:eastAsia="Times New Roman" w:cs="Times New Roman"/>
          <w:i/>
          <w:noProof/>
          <w:lang w:val="fr-CA"/>
        </w:rPr>
        <w:t xml:space="preserve"> </w:t>
      </w:r>
      <w:r w:rsidRPr="00E41E88">
        <w:rPr>
          <w:rFonts w:eastAsia="Times New Roman" w:cs="Times New Roman"/>
          <w:noProof/>
          <w:lang w:val="fr-CA"/>
        </w:rPr>
        <w:t>« l</w:t>
      </w:r>
      <w:r>
        <w:rPr>
          <w:rFonts w:eastAsia="Times New Roman" w:cs="Times New Roman"/>
          <w:noProof/>
          <w:lang w:val="fr-CA"/>
        </w:rPr>
        <w:t>’</w:t>
      </w:r>
      <w:r w:rsidRPr="00E41E88">
        <w:rPr>
          <w:rFonts w:eastAsia="Times New Roman" w:cs="Times New Roman"/>
          <w:noProof/>
          <w:lang w:val="fr-CA"/>
        </w:rPr>
        <w:t>avantage non pécuniaire que tout salarié tire de l</w:t>
      </w:r>
      <w:r>
        <w:rPr>
          <w:rFonts w:eastAsia="Times New Roman" w:cs="Times New Roman"/>
          <w:noProof/>
          <w:lang w:val="fr-CA"/>
        </w:rPr>
        <w:t>’</w:t>
      </w:r>
      <w:r w:rsidRPr="00E41E88">
        <w:rPr>
          <w:rFonts w:eastAsia="Times New Roman" w:cs="Times New Roman"/>
          <w:noProof/>
          <w:lang w:val="fr-CA"/>
        </w:rPr>
        <w:t xml:space="preserve">exécution de son travail ». </w:t>
      </w:r>
    </w:p>
    <w:p w:rsidR="00DD44E8" w:rsidRPr="00E41E88" w:rsidRDefault="00DD44E8" w:rsidP="00DD44E8">
      <w:pPr>
        <w:pStyle w:val="ParaNoNdepar-AltN"/>
        <w:tabs>
          <w:tab w:val="clear" w:pos="1152"/>
          <w:tab w:val="left" w:pos="1166"/>
        </w:tabs>
        <w:rPr>
          <w:rFonts w:cs="Times New Roman"/>
          <w:noProof/>
          <w:lang w:val="fr-CA"/>
        </w:rPr>
      </w:pPr>
      <w:r w:rsidRPr="00E41E88">
        <w:rPr>
          <w:rFonts w:eastAsia="Times New Roman" w:cs="Times New Roman"/>
          <w:noProof/>
          <w:spacing w:val="-3"/>
          <w:szCs w:val="24"/>
          <w:lang w:val="fr-CA" w:eastAsia="fr-CA"/>
        </w:rPr>
        <w:t>À mon sens, il convient de formuler quelques commentaires à l</w:t>
      </w:r>
      <w:r>
        <w:rPr>
          <w:rFonts w:eastAsia="Times New Roman" w:cs="Times New Roman"/>
          <w:noProof/>
          <w:spacing w:val="-3"/>
          <w:szCs w:val="24"/>
          <w:lang w:val="fr-CA" w:eastAsia="fr-CA"/>
        </w:rPr>
        <w:t>’</w:t>
      </w:r>
      <w:r w:rsidRPr="00E41E88">
        <w:rPr>
          <w:rFonts w:eastAsia="Times New Roman" w:cs="Times New Roman"/>
          <w:noProof/>
          <w:spacing w:val="-3"/>
          <w:szCs w:val="24"/>
          <w:lang w:val="fr-CA" w:eastAsia="fr-CA"/>
        </w:rPr>
        <w:t>égard de cet aspect de l</w:t>
      </w:r>
      <w:r>
        <w:rPr>
          <w:rFonts w:eastAsia="Times New Roman" w:cs="Times New Roman"/>
          <w:noProof/>
          <w:spacing w:val="-3"/>
          <w:szCs w:val="24"/>
          <w:lang w:val="fr-CA" w:eastAsia="fr-CA"/>
        </w:rPr>
        <w:t>’</w:t>
      </w:r>
      <w:r w:rsidRPr="00E41E88">
        <w:rPr>
          <w:rFonts w:eastAsia="Times New Roman" w:cs="Times New Roman"/>
          <w:noProof/>
          <w:spacing w:val="-3"/>
          <w:szCs w:val="24"/>
          <w:lang w:val="fr-CA" w:eastAsia="fr-CA"/>
        </w:rPr>
        <w:t>argumentation de l</w:t>
      </w:r>
      <w:r>
        <w:rPr>
          <w:rFonts w:eastAsia="Times New Roman" w:cs="Times New Roman"/>
          <w:noProof/>
          <w:spacing w:val="-3"/>
          <w:szCs w:val="24"/>
          <w:lang w:val="fr-CA" w:eastAsia="fr-CA"/>
        </w:rPr>
        <w:t>’</w:t>
      </w:r>
      <w:r w:rsidRPr="00E41E88">
        <w:rPr>
          <w:rFonts w:eastAsia="Times New Roman" w:cs="Times New Roman"/>
          <w:noProof/>
          <w:spacing w:val="-3"/>
          <w:szCs w:val="24"/>
          <w:lang w:val="fr-CA" w:eastAsia="fr-CA"/>
        </w:rPr>
        <w:t>employé. Reconnaître qu</w:t>
      </w:r>
      <w:r>
        <w:rPr>
          <w:rFonts w:eastAsia="Times New Roman" w:cs="Times New Roman"/>
          <w:noProof/>
          <w:spacing w:val="-3"/>
          <w:szCs w:val="24"/>
          <w:lang w:val="fr-CA" w:eastAsia="fr-CA"/>
        </w:rPr>
        <w:t>’</w:t>
      </w:r>
      <w:r w:rsidRPr="00E41E88">
        <w:rPr>
          <w:rFonts w:eastAsia="Times New Roman" w:cs="Times New Roman"/>
          <w:noProof/>
          <w:spacing w:val="-3"/>
          <w:szCs w:val="24"/>
          <w:lang w:val="fr-CA" w:eastAsia="fr-CA"/>
        </w:rPr>
        <w:t>un employeur a agi de façon malhonnête, indépendamment de l</w:t>
      </w:r>
      <w:r>
        <w:rPr>
          <w:rFonts w:eastAsia="Times New Roman" w:cs="Times New Roman"/>
          <w:noProof/>
          <w:spacing w:val="-3"/>
          <w:szCs w:val="24"/>
          <w:lang w:val="fr-CA" w:eastAsia="fr-CA"/>
        </w:rPr>
        <w:t>’</w:t>
      </w:r>
      <w:r w:rsidRPr="00E41E88">
        <w:rPr>
          <w:rFonts w:eastAsia="Times New Roman" w:cs="Times New Roman"/>
          <w:noProof/>
          <w:spacing w:val="-3"/>
          <w:szCs w:val="24"/>
          <w:lang w:val="fr-CA" w:eastAsia="fr-CA"/>
        </w:rPr>
        <w:t>existence de toute omission d</w:t>
      </w:r>
      <w:r>
        <w:rPr>
          <w:rFonts w:eastAsia="Times New Roman" w:cs="Times New Roman"/>
          <w:noProof/>
          <w:spacing w:val="-3"/>
          <w:szCs w:val="24"/>
          <w:lang w:val="fr-CA" w:eastAsia="fr-CA"/>
        </w:rPr>
        <w:t>’</w:t>
      </w:r>
      <w:r w:rsidRPr="00E41E88">
        <w:rPr>
          <w:rFonts w:eastAsia="Times New Roman" w:cs="Times New Roman"/>
          <w:noProof/>
          <w:spacing w:val="-3"/>
          <w:szCs w:val="24"/>
          <w:lang w:val="fr-CA" w:eastAsia="fr-CA"/>
        </w:rPr>
        <w:t>accorder un préavis raisonnable ou autre perte financière, peut permettre de restituer à un employé son sens de la dignité, qui a été injustement ébranlé lorsque celui</w:t>
      </w:r>
      <w:r w:rsidRPr="00E41E88">
        <w:rPr>
          <w:rFonts w:eastAsia="Times New Roman" w:cs="Times New Roman"/>
          <w:noProof/>
          <w:spacing w:val="-3"/>
          <w:szCs w:val="24"/>
          <w:lang w:val="fr-CA" w:eastAsia="fr-CA"/>
        </w:rPr>
        <w:noBreakHyphen/>
        <w:t xml:space="preserve">ci a perdu un emploi qui lui était cher. </w:t>
      </w:r>
    </w:p>
    <w:p w:rsidR="00DD44E8" w:rsidRPr="00E41E88" w:rsidRDefault="00DD44E8" w:rsidP="00DD44E8">
      <w:pPr>
        <w:pStyle w:val="Title1LevelTitre1Niveau-AltL"/>
        <w:keepNext w:val="0"/>
        <w:rPr>
          <w:rFonts w:cs="Times New Roman"/>
          <w:noProof/>
          <w:lang w:val="fr-CA"/>
        </w:rPr>
      </w:pPr>
      <w:r w:rsidRPr="00E41E88">
        <w:rPr>
          <w:rFonts w:cs="Times New Roman"/>
          <w:noProof/>
          <w:lang w:val="fr-CA"/>
        </w:rPr>
        <w:t>Contexte</w:t>
      </w:r>
    </w:p>
    <w:p w:rsidR="00DD44E8" w:rsidRPr="00E41E88" w:rsidRDefault="00DD44E8" w:rsidP="00DD44E8">
      <w:pPr>
        <w:pStyle w:val="ParaNoNdepar-AltN"/>
        <w:rPr>
          <w:rFonts w:cs="Times New Roman"/>
          <w:noProof/>
          <w:lang w:val="fr-CA"/>
        </w:rPr>
      </w:pPr>
      <w:r w:rsidRPr="00E41E88">
        <w:rPr>
          <w:rFonts w:cs="Times New Roman"/>
          <w:noProof/>
          <w:lang w:val="fr-CA"/>
        </w:rPr>
        <w:lastRenderedPageBreak/>
        <w:t>David Matthews, un chimiste expérimenté, est l</w:t>
      </w:r>
      <w:r>
        <w:rPr>
          <w:rFonts w:cs="Times New Roman"/>
          <w:noProof/>
          <w:lang w:val="fr-CA"/>
        </w:rPr>
        <w:t>’</w:t>
      </w:r>
      <w:r w:rsidRPr="00E41E88">
        <w:rPr>
          <w:rFonts w:cs="Times New Roman"/>
          <w:noProof/>
          <w:lang w:val="fr-CA"/>
        </w:rPr>
        <w:t>une des rares personnes dans le monde qui possèdent les compétences nécessaires pour gérer une installation de fabrication de produits oméga</w:t>
      </w:r>
      <w:r w:rsidRPr="00E41E88">
        <w:rPr>
          <w:rFonts w:cs="Times New Roman"/>
          <w:noProof/>
          <w:lang w:val="fr-CA"/>
        </w:rPr>
        <w:noBreakHyphen/>
        <w:t>3 d</w:t>
      </w:r>
      <w:r>
        <w:rPr>
          <w:rFonts w:cs="Times New Roman"/>
          <w:noProof/>
          <w:lang w:val="fr-CA"/>
        </w:rPr>
        <w:t xml:space="preserve">e grande envergure. À partir de </w:t>
      </w:r>
      <w:r w:rsidRPr="00E41E88">
        <w:rPr>
          <w:rFonts w:cs="Times New Roman"/>
          <w:noProof/>
          <w:lang w:val="fr-CA"/>
        </w:rPr>
        <w:t>1997, M. Matthews a occupé plusieurs postes de direction chez Ocean Nutrition Canada Limited</w:t>
      </w:r>
      <w:r>
        <w:rPr>
          <w:rFonts w:cs="Times New Roman"/>
          <w:noProof/>
          <w:lang w:val="fr-CA"/>
        </w:rPr>
        <w:t xml:space="preserve"> </w:t>
      </w:r>
      <w:r w:rsidRPr="00E41E88">
        <w:rPr>
          <w:rFonts w:cs="Times New Roman"/>
          <w:noProof/>
          <w:lang w:val="fr-CA"/>
        </w:rPr>
        <w:t>(«</w:t>
      </w:r>
      <w:r>
        <w:rPr>
          <w:rFonts w:cs="Times New Roman"/>
          <w:noProof/>
          <w:lang w:val="fr-CA"/>
        </w:rPr>
        <w:t> </w:t>
      </w:r>
      <w:r w:rsidRPr="00E41E88">
        <w:rPr>
          <w:rFonts w:cs="Times New Roman"/>
          <w:noProof/>
          <w:lang w:val="fr-CA"/>
        </w:rPr>
        <w:t>Ocean</w:t>
      </w:r>
      <w:r>
        <w:rPr>
          <w:rFonts w:cs="Times New Roman"/>
          <w:noProof/>
          <w:lang w:val="fr-CA"/>
        </w:rPr>
        <w:t> </w:t>
      </w:r>
      <w:r w:rsidRPr="00E41E88">
        <w:rPr>
          <w:rFonts w:cs="Times New Roman"/>
          <w:noProof/>
          <w:lang w:val="fr-CA"/>
        </w:rPr>
        <w:t>»). Son expertise s</w:t>
      </w:r>
      <w:r>
        <w:rPr>
          <w:rFonts w:cs="Times New Roman"/>
          <w:noProof/>
          <w:lang w:val="fr-CA"/>
        </w:rPr>
        <w:t>’</w:t>
      </w:r>
      <w:r w:rsidRPr="00E41E88">
        <w:rPr>
          <w:rFonts w:cs="Times New Roman"/>
          <w:noProof/>
          <w:lang w:val="fr-CA"/>
        </w:rPr>
        <w:t>est avérée extrêmement précieuse à Ocean, lui permettant de connaître du succès dans le domaine de la fabrication de produits oméga</w:t>
      </w:r>
      <w:r w:rsidRPr="00E41E88">
        <w:rPr>
          <w:rFonts w:cs="Times New Roman"/>
          <w:noProof/>
          <w:lang w:val="fr-CA"/>
        </w:rPr>
        <w:noBreakHyphen/>
        <w:t>3. L</w:t>
      </w:r>
      <w:r>
        <w:rPr>
          <w:rFonts w:cs="Times New Roman"/>
          <w:noProof/>
          <w:lang w:val="fr-CA"/>
        </w:rPr>
        <w:t>’</w:t>
      </w:r>
      <w:r w:rsidRPr="00E41E88">
        <w:rPr>
          <w:rFonts w:cs="Times New Roman"/>
          <w:noProof/>
          <w:lang w:val="fr-CA"/>
        </w:rPr>
        <w:t>ancien président</w:t>
      </w:r>
      <w:r w:rsidRPr="00E41E88">
        <w:rPr>
          <w:rFonts w:cs="Times New Roman"/>
          <w:noProof/>
          <w:lang w:val="fr-CA"/>
        </w:rPr>
        <w:noBreakHyphen/>
        <w:t>directeur général de l</w:t>
      </w:r>
      <w:r>
        <w:rPr>
          <w:rFonts w:cs="Times New Roman"/>
          <w:noProof/>
          <w:lang w:val="fr-CA"/>
        </w:rPr>
        <w:t>’</w:t>
      </w:r>
      <w:r w:rsidR="00C84135">
        <w:rPr>
          <w:rFonts w:cs="Times New Roman"/>
          <w:noProof/>
          <w:lang w:val="fr-CA"/>
        </w:rPr>
        <w:t>entreprise, M.</w:t>
      </w:r>
      <w:r w:rsidRPr="00E41E88">
        <w:rPr>
          <w:rFonts w:cs="Times New Roman"/>
          <w:noProof/>
          <w:lang w:val="fr-CA"/>
        </w:rPr>
        <w:t xml:space="preserve"> </w:t>
      </w:r>
      <w:r>
        <w:rPr>
          <w:rFonts w:cs="Times New Roman"/>
          <w:noProof/>
          <w:lang w:val="fr-CA"/>
        </w:rPr>
        <w:t xml:space="preserve">Robert </w:t>
      </w:r>
      <w:r w:rsidRPr="00E41E88">
        <w:rPr>
          <w:rFonts w:cs="Times New Roman"/>
          <w:noProof/>
          <w:lang w:val="fr-CA"/>
        </w:rPr>
        <w:t xml:space="preserve">Orr, a déclaré que </w:t>
      </w:r>
      <w:r>
        <w:rPr>
          <w:rFonts w:cs="Times New Roman"/>
          <w:smallCaps/>
          <w:noProof/>
          <w:lang w:val="fr-CA"/>
        </w:rPr>
        <w:t xml:space="preserve">[traduction] </w:t>
      </w:r>
      <w:r w:rsidRPr="00E41E88">
        <w:rPr>
          <w:rFonts w:cs="Times New Roman"/>
          <w:noProof/>
          <w:lang w:val="fr-CA"/>
        </w:rPr>
        <w:t>« [t]ous ceux qui ont tiré des bénéfices de l</w:t>
      </w:r>
      <w:r>
        <w:rPr>
          <w:rFonts w:cs="Times New Roman"/>
          <w:noProof/>
          <w:lang w:val="fr-CA"/>
        </w:rPr>
        <w:t>’</w:t>
      </w:r>
      <w:r w:rsidRPr="00E41E88">
        <w:rPr>
          <w:rFonts w:cs="Times New Roman"/>
          <w:noProof/>
          <w:lang w:val="fr-CA"/>
        </w:rPr>
        <w:t>existence d</w:t>
      </w:r>
      <w:r>
        <w:rPr>
          <w:rFonts w:cs="Times New Roman"/>
          <w:noProof/>
          <w:lang w:val="fr-CA"/>
        </w:rPr>
        <w:t>’</w:t>
      </w:r>
      <w:r w:rsidRPr="00E41E88">
        <w:rPr>
          <w:rFonts w:cs="Times New Roman"/>
          <w:noProof/>
          <w:lang w:val="fr-CA"/>
        </w:rPr>
        <w:t>Ocean le doivent pour la plupart dans une certaine mesure à [M. Matthews] » (voir 2017 NSSC 16, par. 66 (CanLII)).</w:t>
      </w:r>
    </w:p>
    <w:p w:rsidR="00DD44E8" w:rsidRPr="00E41E88" w:rsidRDefault="00DD44E8" w:rsidP="00DD44E8">
      <w:pPr>
        <w:pStyle w:val="ParaNoNdepar-AltN"/>
        <w:rPr>
          <w:rFonts w:cs="Times New Roman"/>
          <w:noProof/>
          <w:lang w:val="fr-CA"/>
        </w:rPr>
      </w:pPr>
      <w:r w:rsidRPr="00E41E88">
        <w:rPr>
          <w:rFonts w:cs="Times New Roman"/>
          <w:noProof/>
          <w:lang w:val="fr-CA"/>
        </w:rPr>
        <w:t xml:space="preserve">Monsieur Matthews était très investi dans son travail. En effet, le juge de première instance a écrit : </w:t>
      </w:r>
      <w:r w:rsidRPr="00E41E88">
        <w:rPr>
          <w:rFonts w:cs="Times New Roman"/>
          <w:smallCaps/>
          <w:noProof/>
          <w:lang w:val="fr-CA"/>
        </w:rPr>
        <w:t>[traduction]</w:t>
      </w:r>
      <w:r>
        <w:rPr>
          <w:rFonts w:cs="Times New Roman"/>
          <w:smallCaps/>
          <w:noProof/>
          <w:lang w:val="fr-CA"/>
        </w:rPr>
        <w:t xml:space="preserve"> </w:t>
      </w:r>
      <w:r w:rsidRPr="00E41E88">
        <w:rPr>
          <w:rFonts w:cs="Times New Roman"/>
          <w:noProof/>
          <w:lang w:val="fr-CA"/>
        </w:rPr>
        <w:t>« Je suis d</w:t>
      </w:r>
      <w:r>
        <w:rPr>
          <w:rFonts w:cs="Times New Roman"/>
          <w:noProof/>
          <w:lang w:val="fr-CA"/>
        </w:rPr>
        <w:t>’</w:t>
      </w:r>
      <w:r w:rsidRPr="00E41E88">
        <w:rPr>
          <w:rFonts w:cs="Times New Roman"/>
          <w:noProof/>
          <w:lang w:val="fr-CA"/>
        </w:rPr>
        <w:t>avis que le sens de l</w:t>
      </w:r>
      <w:r>
        <w:rPr>
          <w:rFonts w:cs="Times New Roman"/>
          <w:noProof/>
          <w:lang w:val="fr-CA"/>
        </w:rPr>
        <w:t>’</w:t>
      </w:r>
      <w:r w:rsidRPr="00E41E88">
        <w:rPr>
          <w:rFonts w:cs="Times New Roman"/>
          <w:noProof/>
          <w:lang w:val="fr-CA"/>
        </w:rPr>
        <w:t>identité et l</w:t>
      </w:r>
      <w:r>
        <w:rPr>
          <w:rFonts w:cs="Times New Roman"/>
          <w:noProof/>
          <w:lang w:val="fr-CA"/>
        </w:rPr>
        <w:t>’</w:t>
      </w:r>
      <w:r w:rsidRPr="00E41E88">
        <w:rPr>
          <w:rFonts w:cs="Times New Roman"/>
          <w:noProof/>
          <w:lang w:val="fr-CA"/>
        </w:rPr>
        <w:t>estime de soi de M. Matthews sont étroitement liés à son travail. Il accorde une grande importance à l</w:t>
      </w:r>
      <w:r>
        <w:rPr>
          <w:rFonts w:cs="Times New Roman"/>
          <w:noProof/>
          <w:lang w:val="fr-CA"/>
        </w:rPr>
        <w:t>’</w:t>
      </w:r>
      <w:r w:rsidRPr="00E41E88">
        <w:rPr>
          <w:rFonts w:cs="Times New Roman"/>
          <w:noProof/>
          <w:lang w:val="fr-CA"/>
        </w:rPr>
        <w:t>honnêteté et à l</w:t>
      </w:r>
      <w:r>
        <w:rPr>
          <w:rFonts w:cs="Times New Roman"/>
          <w:noProof/>
          <w:lang w:val="fr-CA"/>
        </w:rPr>
        <w:t>’</w:t>
      </w:r>
      <w:r w:rsidRPr="00E41E88">
        <w:rPr>
          <w:rFonts w:cs="Times New Roman"/>
          <w:noProof/>
          <w:lang w:val="fr-CA"/>
        </w:rPr>
        <w:t>intégrité, et il est prêt à travailler fort pourvu qu</w:t>
      </w:r>
      <w:r>
        <w:rPr>
          <w:rFonts w:cs="Times New Roman"/>
          <w:noProof/>
          <w:lang w:val="fr-CA"/>
        </w:rPr>
        <w:t>’</w:t>
      </w:r>
      <w:r w:rsidRPr="00E41E88">
        <w:rPr>
          <w:rFonts w:cs="Times New Roman"/>
          <w:noProof/>
          <w:lang w:val="fr-CA"/>
        </w:rPr>
        <w:t>on le traite de façon équitable et avec respect » (par. 292).</w:t>
      </w:r>
    </w:p>
    <w:p w:rsidR="00DD44E8" w:rsidRPr="00E41E88" w:rsidRDefault="00DD44E8" w:rsidP="00DD44E8">
      <w:pPr>
        <w:pStyle w:val="ParaNoNdepar-AltN"/>
        <w:rPr>
          <w:rFonts w:cs="Times New Roman"/>
          <w:noProof/>
          <w:lang w:val="fr-CA"/>
        </w:rPr>
      </w:pPr>
      <w:r w:rsidRPr="00E41E88">
        <w:rPr>
          <w:rFonts w:cs="Times New Roman"/>
          <w:noProof/>
          <w:lang w:val="fr-CA"/>
        </w:rPr>
        <w:t>La situation de M. Matthews s</w:t>
      </w:r>
      <w:r>
        <w:rPr>
          <w:rFonts w:cs="Times New Roman"/>
          <w:noProof/>
          <w:lang w:val="fr-CA"/>
        </w:rPr>
        <w:t>’</w:t>
      </w:r>
      <w:r w:rsidRPr="00E41E88">
        <w:rPr>
          <w:rFonts w:cs="Times New Roman"/>
          <w:noProof/>
          <w:lang w:val="fr-CA"/>
        </w:rPr>
        <w:t>est détériorée en 2007 lorsque Ocean a embauché un nouveau directeur de l</w:t>
      </w:r>
      <w:r>
        <w:rPr>
          <w:rFonts w:cs="Times New Roman"/>
          <w:noProof/>
          <w:lang w:val="fr-CA"/>
        </w:rPr>
        <w:t>’</w:t>
      </w:r>
      <w:r w:rsidR="00A625DB">
        <w:rPr>
          <w:rFonts w:cs="Times New Roman"/>
          <w:noProof/>
          <w:lang w:val="fr-CA"/>
        </w:rPr>
        <w:t>exploitation, M.</w:t>
      </w:r>
      <w:r w:rsidRPr="00E41E88">
        <w:rPr>
          <w:rFonts w:cs="Times New Roman"/>
          <w:noProof/>
          <w:lang w:val="fr-CA"/>
        </w:rPr>
        <w:t xml:space="preserve"> </w:t>
      </w:r>
      <w:r>
        <w:rPr>
          <w:rFonts w:cs="Times New Roman"/>
          <w:noProof/>
          <w:lang w:val="fr-CA"/>
        </w:rPr>
        <w:t xml:space="preserve">Daniel </w:t>
      </w:r>
      <w:r w:rsidRPr="00E41E88">
        <w:rPr>
          <w:rFonts w:cs="Times New Roman"/>
          <w:noProof/>
          <w:lang w:val="fr-CA"/>
        </w:rPr>
        <w:t>Emond. Il y a rapidement eu des frictions entre les deux hommes. Pour une raison quelconque, le directeur de l</w:t>
      </w:r>
      <w:r>
        <w:rPr>
          <w:rFonts w:cs="Times New Roman"/>
          <w:noProof/>
          <w:lang w:val="fr-CA"/>
        </w:rPr>
        <w:t>’</w:t>
      </w:r>
      <w:r w:rsidRPr="00E41E88">
        <w:rPr>
          <w:rFonts w:cs="Times New Roman"/>
          <w:noProof/>
          <w:lang w:val="fr-CA"/>
        </w:rPr>
        <w:t>exploitation n</w:t>
      </w:r>
      <w:r>
        <w:rPr>
          <w:rFonts w:cs="Times New Roman"/>
          <w:noProof/>
          <w:lang w:val="fr-CA"/>
        </w:rPr>
        <w:t>’</w:t>
      </w:r>
      <w:r w:rsidRPr="00E41E88">
        <w:rPr>
          <w:rFonts w:cs="Times New Roman"/>
          <w:noProof/>
          <w:lang w:val="fr-CA"/>
        </w:rPr>
        <w:t>aimait pas M. Matthews et ne le considérait pas comme un atout pour Ocean. Monsieur</w:t>
      </w:r>
      <w:r>
        <w:rPr>
          <w:rFonts w:cs="Times New Roman"/>
          <w:noProof/>
          <w:lang w:val="fr-CA"/>
        </w:rPr>
        <w:t xml:space="preserve"> </w:t>
      </w:r>
      <w:r w:rsidRPr="00E41E88">
        <w:rPr>
          <w:rFonts w:cs="Times New Roman"/>
          <w:noProof/>
          <w:lang w:val="fr-CA"/>
        </w:rPr>
        <w:t>Emond, qui était chargé d</w:t>
      </w:r>
      <w:r>
        <w:rPr>
          <w:rFonts w:cs="Times New Roman"/>
          <w:noProof/>
          <w:lang w:val="fr-CA"/>
        </w:rPr>
        <w:t>’</w:t>
      </w:r>
      <w:r w:rsidRPr="00E41E88">
        <w:rPr>
          <w:rFonts w:cs="Times New Roman"/>
          <w:noProof/>
          <w:lang w:val="fr-CA"/>
        </w:rPr>
        <w:t xml:space="preserve">assigner à M. Matthews ses responsabilités, a rapidement entamé ce que le juge de première instance a qualifié de </w:t>
      </w:r>
      <w:r w:rsidRPr="00E41E88">
        <w:rPr>
          <w:rFonts w:cs="Times New Roman"/>
          <w:smallCaps/>
          <w:noProof/>
          <w:lang w:val="fr-CA"/>
        </w:rPr>
        <w:lastRenderedPageBreak/>
        <w:t>[traduction] </w:t>
      </w:r>
      <w:r w:rsidRPr="00E41E88">
        <w:rPr>
          <w:rFonts w:cs="Times New Roman"/>
          <w:noProof/>
          <w:lang w:val="fr-CA"/>
        </w:rPr>
        <w:t>« campagne » de marginalisation de M. Matthews au sein de l</w:t>
      </w:r>
      <w:r>
        <w:rPr>
          <w:rFonts w:cs="Times New Roman"/>
          <w:noProof/>
          <w:lang w:val="fr-CA"/>
        </w:rPr>
        <w:t>’</w:t>
      </w:r>
      <w:r w:rsidRPr="00E41E88">
        <w:rPr>
          <w:rFonts w:cs="Times New Roman"/>
          <w:noProof/>
          <w:lang w:val="fr-CA"/>
        </w:rPr>
        <w:t>entreprise (par. 296). Dans le cadre de cette campagne, M. Emond a non seulement pris des décisions limitant les responsabilités de M. Matthews, mais il a en outre « menti » à quelques reprises à ce dernier et à M. Orr au sujet du statut et de l</w:t>
      </w:r>
      <w:r>
        <w:rPr>
          <w:rFonts w:cs="Times New Roman"/>
          <w:noProof/>
          <w:lang w:val="fr-CA"/>
        </w:rPr>
        <w:t>’</w:t>
      </w:r>
      <w:r w:rsidRPr="00E41E88">
        <w:rPr>
          <w:rFonts w:cs="Times New Roman"/>
          <w:noProof/>
          <w:lang w:val="fr-CA"/>
        </w:rPr>
        <w:t>avenir de M. Matthews au sein de l</w:t>
      </w:r>
      <w:r>
        <w:rPr>
          <w:rFonts w:cs="Times New Roman"/>
          <w:noProof/>
          <w:lang w:val="fr-CA"/>
        </w:rPr>
        <w:t>’</w:t>
      </w:r>
      <w:r w:rsidRPr="00E41E88">
        <w:rPr>
          <w:rFonts w:cs="Times New Roman"/>
          <w:noProof/>
          <w:lang w:val="fr-CA"/>
        </w:rPr>
        <w:t>entreprise, il « a agi dans [le] dos [de M. Matthews] » et il « a fait la sourde oreille à la demande de M. Matthews qui souhaitait discuter avec lui » de son rôle dans l</w:t>
      </w:r>
      <w:r>
        <w:rPr>
          <w:rFonts w:cs="Times New Roman"/>
          <w:noProof/>
          <w:lang w:val="fr-CA"/>
        </w:rPr>
        <w:t>’</w:t>
      </w:r>
      <w:r w:rsidRPr="00E41E88">
        <w:rPr>
          <w:rFonts w:cs="Times New Roman"/>
          <w:noProof/>
          <w:lang w:val="fr-CA"/>
        </w:rPr>
        <w:t>entreprise (par. 296</w:t>
      </w:r>
      <w:r w:rsidRPr="00E41E88">
        <w:rPr>
          <w:rFonts w:cs="Times New Roman"/>
          <w:noProof/>
          <w:lang w:val="fr-CA"/>
        </w:rPr>
        <w:noBreakHyphen/>
        <w:t>299). D</w:t>
      </w:r>
      <w:r>
        <w:rPr>
          <w:rFonts w:cs="Times New Roman"/>
          <w:noProof/>
          <w:lang w:val="fr-CA"/>
        </w:rPr>
        <w:t>’</w:t>
      </w:r>
      <w:r w:rsidRPr="00E41E88">
        <w:rPr>
          <w:rFonts w:cs="Times New Roman"/>
          <w:noProof/>
          <w:lang w:val="fr-CA"/>
        </w:rPr>
        <w:t>ailleurs, les abondantes conclusions de fait tirées par le juge de première instance font état d</w:t>
      </w:r>
      <w:r>
        <w:rPr>
          <w:rFonts w:cs="Times New Roman"/>
          <w:noProof/>
          <w:lang w:val="fr-CA"/>
        </w:rPr>
        <w:t>’</w:t>
      </w:r>
      <w:r w:rsidRPr="00E41E88">
        <w:rPr>
          <w:rFonts w:cs="Times New Roman"/>
          <w:noProof/>
          <w:lang w:val="fr-CA"/>
        </w:rPr>
        <w:t>actes répétés de malhonnêteté attribués à la haute direction envers M. Matthews (par. 291</w:t>
      </w:r>
      <w:r w:rsidRPr="00E41E88">
        <w:rPr>
          <w:rFonts w:cs="Times New Roman"/>
          <w:noProof/>
          <w:lang w:val="fr-CA"/>
        </w:rPr>
        <w:noBreakHyphen/>
        <w:t>326). Je n</w:t>
      </w:r>
      <w:r>
        <w:rPr>
          <w:rFonts w:cs="Times New Roman"/>
          <w:noProof/>
          <w:lang w:val="fr-CA"/>
        </w:rPr>
        <w:t>’</w:t>
      </w:r>
      <w:r w:rsidRPr="00E41E88">
        <w:rPr>
          <w:rFonts w:cs="Times New Roman"/>
          <w:noProof/>
          <w:lang w:val="fr-CA"/>
        </w:rPr>
        <w:t>entends pas relater de nouveau tous ces actes par le menu, mais les exemples suivants illustrent comment M. Matthews a été traité au cours des dernières années de son emploi.</w:t>
      </w:r>
    </w:p>
    <w:p w:rsidR="00DD44E8" w:rsidRPr="00E41E88" w:rsidRDefault="00DD44E8" w:rsidP="00DD44E8">
      <w:pPr>
        <w:pStyle w:val="ParaNoNdepar-AltN"/>
        <w:rPr>
          <w:rFonts w:cs="Times New Roman"/>
          <w:noProof/>
          <w:lang w:val="fr-CA"/>
        </w:rPr>
      </w:pPr>
      <w:r w:rsidRPr="00E41E88">
        <w:rPr>
          <w:rFonts w:cs="Times New Roman"/>
          <w:noProof/>
          <w:lang w:val="fr-CA"/>
        </w:rPr>
        <w:t xml:space="preserve">La </w:t>
      </w:r>
      <w:r w:rsidRPr="00E41E88">
        <w:rPr>
          <w:rFonts w:cs="Times New Roman"/>
          <w:smallCaps/>
          <w:noProof/>
          <w:lang w:val="fr-CA"/>
        </w:rPr>
        <w:t>[traduction] </w:t>
      </w:r>
      <w:r w:rsidRPr="00E41E88">
        <w:rPr>
          <w:rFonts w:cs="Times New Roman"/>
          <w:noProof/>
          <w:lang w:val="fr-CA"/>
        </w:rPr>
        <w:t>« première étape d</w:t>
      </w:r>
      <w:r>
        <w:rPr>
          <w:rFonts w:cs="Times New Roman"/>
          <w:noProof/>
          <w:lang w:val="fr-CA"/>
        </w:rPr>
        <w:t>’</w:t>
      </w:r>
      <w:r w:rsidRPr="00E41E88">
        <w:rPr>
          <w:rFonts w:cs="Times New Roman"/>
          <w:noProof/>
          <w:lang w:val="fr-CA"/>
        </w:rPr>
        <w:t>une campagne visant à écarter M. Matthews des opérations et à réduire au minimum son influence » a débuté en</w:t>
      </w:r>
      <w:r>
        <w:rPr>
          <w:rFonts w:cs="Times New Roman"/>
          <w:noProof/>
          <w:lang w:val="fr-CA"/>
        </w:rPr>
        <w:t xml:space="preserve"> </w:t>
      </w:r>
      <w:r w:rsidRPr="00E41E88">
        <w:rPr>
          <w:rFonts w:cs="Times New Roman"/>
          <w:noProof/>
          <w:lang w:val="fr-CA"/>
        </w:rPr>
        <w:t>2007 lorsque M. Emond a réduit de façon substantielle le nombre de personnes relevant de ce dernier</w:t>
      </w:r>
      <w:r>
        <w:rPr>
          <w:rFonts w:cs="Times New Roman"/>
          <w:noProof/>
          <w:lang w:val="fr-CA"/>
        </w:rPr>
        <w:t xml:space="preserve"> </w:t>
      </w:r>
      <w:r w:rsidRPr="00E41E88">
        <w:rPr>
          <w:rFonts w:cs="Times New Roman"/>
          <w:noProof/>
          <w:lang w:val="fr-CA"/>
        </w:rPr>
        <w:t>(par. 296). Le juge de première instance a fait remarquer que, au cours des quatre années qui ont suivi, les responsabilités de M. Matthews ont été réduites encore plus, ce dernier devenant progressivement de plus en plus ostracisé au sein de l</w:t>
      </w:r>
      <w:r>
        <w:rPr>
          <w:rFonts w:cs="Times New Roman"/>
          <w:noProof/>
          <w:lang w:val="fr-CA"/>
        </w:rPr>
        <w:t>’</w:t>
      </w:r>
      <w:r w:rsidRPr="00E41E88">
        <w:rPr>
          <w:rFonts w:cs="Times New Roman"/>
          <w:noProof/>
          <w:lang w:val="fr-CA"/>
        </w:rPr>
        <w:t>entreprise, et M. Emond a adopté une conduite qui était entachée de malhonnêteté (voir, par ex., par. 297</w:t>
      </w:r>
      <w:r w:rsidRPr="00E41E88">
        <w:rPr>
          <w:rFonts w:cs="Times New Roman"/>
          <w:noProof/>
          <w:lang w:val="fr-CA"/>
        </w:rPr>
        <w:noBreakHyphen/>
        <w:t xml:space="preserve">300). Le juge de première instance a explicitement conclu que </w:t>
      </w:r>
      <w:r>
        <w:rPr>
          <w:rFonts w:cs="Times New Roman"/>
          <w:noProof/>
          <w:lang w:val="fr-CA"/>
        </w:rPr>
        <w:t>M. Emond</w:t>
      </w:r>
      <w:r w:rsidRPr="00E41E88">
        <w:rPr>
          <w:rFonts w:cs="Times New Roman"/>
          <w:noProof/>
          <w:lang w:val="fr-CA"/>
        </w:rPr>
        <w:t xml:space="preserve"> ne montrait </w:t>
      </w:r>
      <w:r w:rsidRPr="00E41E88">
        <w:rPr>
          <w:rFonts w:cs="Times New Roman"/>
          <w:smallCaps/>
          <w:noProof/>
          <w:lang w:val="fr-CA"/>
        </w:rPr>
        <w:t>[traduction]</w:t>
      </w:r>
      <w:r w:rsidR="00506197">
        <w:rPr>
          <w:rFonts w:cs="Times New Roman"/>
          <w:noProof/>
          <w:lang w:val="fr-CA"/>
        </w:rPr>
        <w:t xml:space="preserve"> « </w:t>
      </w:r>
      <w:r w:rsidRPr="00E41E88">
        <w:rPr>
          <w:rFonts w:cs="Times New Roman"/>
          <w:noProof/>
          <w:lang w:val="fr-CA"/>
        </w:rPr>
        <w:t xml:space="preserve">aucun scrupule à laisser M. Matthews </w:t>
      </w:r>
      <w:r w:rsidRPr="00E41E88">
        <w:rPr>
          <w:rFonts w:cs="Times New Roman"/>
          <w:noProof/>
          <w:lang w:val="fr-CA"/>
        </w:rPr>
        <w:lastRenderedPageBreak/>
        <w:t>angoisser sur son avenir », et que M. Matthews a été plongé dans un « état prolongé d</w:t>
      </w:r>
      <w:r>
        <w:rPr>
          <w:rFonts w:cs="Times New Roman"/>
          <w:noProof/>
          <w:lang w:val="fr-CA"/>
        </w:rPr>
        <w:t>’</w:t>
      </w:r>
      <w:r w:rsidRPr="00E41E88">
        <w:rPr>
          <w:rFonts w:cs="Times New Roman"/>
          <w:noProof/>
          <w:lang w:val="fr-CA"/>
        </w:rPr>
        <w:t>angoisse et d</w:t>
      </w:r>
      <w:r>
        <w:rPr>
          <w:rFonts w:cs="Times New Roman"/>
          <w:noProof/>
          <w:lang w:val="fr-CA"/>
        </w:rPr>
        <w:t>’</w:t>
      </w:r>
      <w:r w:rsidRPr="00E41E88">
        <w:rPr>
          <w:rFonts w:cs="Times New Roman"/>
          <w:noProof/>
          <w:lang w:val="fr-CA"/>
        </w:rPr>
        <w:t>incertitude » (par. 317 et 341).</w:t>
      </w:r>
    </w:p>
    <w:p w:rsidR="00DD44E8" w:rsidRPr="00E41E88" w:rsidRDefault="00DD44E8" w:rsidP="00DD44E8">
      <w:pPr>
        <w:pStyle w:val="ParaNoNdepar-AltN"/>
        <w:rPr>
          <w:rFonts w:cs="Times New Roman"/>
          <w:noProof/>
          <w:lang w:val="fr-CA"/>
        </w:rPr>
      </w:pPr>
      <w:r w:rsidRPr="00E41E88">
        <w:rPr>
          <w:rFonts w:cs="Times New Roman"/>
          <w:noProof/>
          <w:lang w:val="fr-CA"/>
        </w:rPr>
        <w:t>À diverses occasions, lorsque M. Matthews l</w:t>
      </w:r>
      <w:r>
        <w:rPr>
          <w:rFonts w:cs="Times New Roman"/>
          <w:noProof/>
          <w:lang w:val="fr-CA"/>
        </w:rPr>
        <w:t>’</w:t>
      </w:r>
      <w:r w:rsidRPr="00E41E88">
        <w:rPr>
          <w:rFonts w:cs="Times New Roman"/>
          <w:noProof/>
          <w:lang w:val="fr-CA"/>
        </w:rPr>
        <w:t>a confronté au sujet des décisions qu</w:t>
      </w:r>
      <w:r>
        <w:rPr>
          <w:rFonts w:cs="Times New Roman"/>
          <w:noProof/>
          <w:lang w:val="fr-CA"/>
        </w:rPr>
        <w:t>’</w:t>
      </w:r>
      <w:r w:rsidRPr="00E41E88">
        <w:rPr>
          <w:rFonts w:cs="Times New Roman"/>
          <w:noProof/>
          <w:lang w:val="fr-CA"/>
        </w:rPr>
        <w:t>il prenait pour confier à d</w:t>
      </w:r>
      <w:r>
        <w:rPr>
          <w:rFonts w:cs="Times New Roman"/>
          <w:noProof/>
          <w:lang w:val="fr-CA"/>
        </w:rPr>
        <w:t>’</w:t>
      </w:r>
      <w:r w:rsidRPr="00E41E88">
        <w:rPr>
          <w:rFonts w:cs="Times New Roman"/>
          <w:noProof/>
          <w:lang w:val="fr-CA"/>
        </w:rPr>
        <w:t>autres certaines de ses tâches de supervision ou pour modifier ses responsabilités redditionnelles, M. Emond lui a effectivement menti à propos des efforts qu</w:t>
      </w:r>
      <w:r>
        <w:rPr>
          <w:rFonts w:cs="Times New Roman"/>
          <w:noProof/>
          <w:lang w:val="fr-CA"/>
        </w:rPr>
        <w:t>’</w:t>
      </w:r>
      <w:r w:rsidRPr="00E41E88">
        <w:rPr>
          <w:rFonts w:cs="Times New Roman"/>
          <w:noProof/>
          <w:lang w:val="fr-CA"/>
        </w:rPr>
        <w:t>il déployait pour réduire au minimum le rôle de celui</w:t>
      </w:r>
      <w:r w:rsidRPr="00E41E88">
        <w:rPr>
          <w:rFonts w:cs="Times New Roman"/>
          <w:noProof/>
          <w:lang w:val="fr-CA"/>
        </w:rPr>
        <w:noBreakHyphen/>
        <w:t>ci (voir, p. ex., par. 296, 298</w:t>
      </w:r>
      <w:r>
        <w:rPr>
          <w:rFonts w:cs="Times New Roman"/>
          <w:noProof/>
          <w:lang w:val="fr-CA"/>
        </w:rPr>
        <w:t xml:space="preserve"> et</w:t>
      </w:r>
      <w:r w:rsidRPr="00E41E88">
        <w:rPr>
          <w:rFonts w:cs="Times New Roman"/>
          <w:noProof/>
          <w:lang w:val="fr-CA"/>
        </w:rPr>
        <w:t xml:space="preserve"> 301). À un certain moment, M. Emond a écrit à M. Matthews une lettre se voulant un effort de réconciliation, dans laquelle il reconnaissait que leur relation </w:t>
      </w:r>
      <w:r w:rsidRPr="00E41E88">
        <w:rPr>
          <w:rFonts w:cs="Times New Roman"/>
          <w:smallCaps/>
          <w:noProof/>
          <w:lang w:val="fr-CA"/>
        </w:rPr>
        <w:t>[traduction] </w:t>
      </w:r>
      <w:r w:rsidRPr="00E41E88">
        <w:rPr>
          <w:rFonts w:cs="Times New Roman"/>
          <w:noProof/>
          <w:lang w:val="fr-CA"/>
        </w:rPr>
        <w:t>« reposait sur la méfiance » et il s</w:t>
      </w:r>
      <w:r>
        <w:rPr>
          <w:rFonts w:cs="Times New Roman"/>
          <w:noProof/>
          <w:lang w:val="fr-CA"/>
        </w:rPr>
        <w:t>’</w:t>
      </w:r>
      <w:r w:rsidRPr="00E41E88">
        <w:rPr>
          <w:rFonts w:cs="Times New Roman"/>
          <w:noProof/>
          <w:lang w:val="fr-CA"/>
        </w:rPr>
        <w:t>engageait à être « plus ouvert et honnête » avec M. Matthews afin que ce dernier soit « respecté par [M. Emond] » et par d</w:t>
      </w:r>
      <w:r>
        <w:rPr>
          <w:rFonts w:cs="Times New Roman"/>
          <w:noProof/>
          <w:lang w:val="fr-CA"/>
        </w:rPr>
        <w:t>’</w:t>
      </w:r>
      <w:r w:rsidRPr="00E41E88">
        <w:rPr>
          <w:rFonts w:cs="Times New Roman"/>
          <w:noProof/>
          <w:lang w:val="fr-CA"/>
        </w:rPr>
        <w:t>autres dans l</w:t>
      </w:r>
      <w:r>
        <w:rPr>
          <w:rFonts w:cs="Times New Roman"/>
          <w:noProof/>
          <w:lang w:val="fr-CA"/>
        </w:rPr>
        <w:t>’</w:t>
      </w:r>
      <w:r w:rsidRPr="00E41E88">
        <w:rPr>
          <w:rFonts w:cs="Times New Roman"/>
          <w:noProof/>
          <w:lang w:val="fr-CA"/>
        </w:rPr>
        <w:t>entreprise (</w:t>
      </w:r>
      <w:r w:rsidR="00DA1BD0">
        <w:rPr>
          <w:rFonts w:cs="Times New Roman"/>
          <w:noProof/>
          <w:lang w:val="fr-CA"/>
        </w:rPr>
        <w:t xml:space="preserve">voir </w:t>
      </w:r>
      <w:r w:rsidRPr="00E41E88">
        <w:rPr>
          <w:rFonts w:cs="Times New Roman"/>
          <w:noProof/>
          <w:lang w:val="fr-CA"/>
        </w:rPr>
        <w:t>par. 114). Le juge de première instance a conclu qu</w:t>
      </w:r>
      <w:r>
        <w:rPr>
          <w:rFonts w:cs="Times New Roman"/>
          <w:noProof/>
          <w:lang w:val="fr-CA"/>
        </w:rPr>
        <w:t>’</w:t>
      </w:r>
      <w:r w:rsidRPr="00E41E88">
        <w:rPr>
          <w:rFonts w:cs="Times New Roman"/>
          <w:noProof/>
          <w:lang w:val="fr-CA"/>
        </w:rPr>
        <w:t>en « utilisant le mot “honnête” M. Emond disait exactement ce qu</w:t>
      </w:r>
      <w:r>
        <w:rPr>
          <w:rFonts w:cs="Times New Roman"/>
          <w:noProof/>
          <w:lang w:val="fr-CA"/>
        </w:rPr>
        <w:t>’</w:t>
      </w:r>
      <w:r w:rsidRPr="00E41E88">
        <w:rPr>
          <w:rFonts w:cs="Times New Roman"/>
          <w:noProof/>
          <w:lang w:val="fr-CA"/>
        </w:rPr>
        <w:t>il voulait dire, ce qui impliquait qu</w:t>
      </w:r>
      <w:r>
        <w:rPr>
          <w:rFonts w:cs="Times New Roman"/>
          <w:noProof/>
          <w:lang w:val="fr-CA"/>
        </w:rPr>
        <w:t>’</w:t>
      </w:r>
      <w:r w:rsidRPr="00E41E88">
        <w:rPr>
          <w:rFonts w:cs="Times New Roman"/>
          <w:noProof/>
          <w:lang w:val="fr-CA"/>
        </w:rPr>
        <w:t>il avait été malhonnête avec M. Matthews par le passé » (par. 301). Au moins un autre cadre a cru à ces déclarations malhonnêtes et a par la suite développé une « animosité considérable » envers M. Matthews (par. 286</w:t>
      </w:r>
      <w:r w:rsidRPr="00E41E88">
        <w:rPr>
          <w:rFonts w:cs="Times New Roman"/>
          <w:noProof/>
          <w:lang w:val="fr-CA"/>
        </w:rPr>
        <w:noBreakHyphen/>
        <w:t>287). La haute direction a également cherché à exclure celui</w:t>
      </w:r>
      <w:r w:rsidRPr="00E41E88">
        <w:rPr>
          <w:rFonts w:cs="Times New Roman"/>
          <w:noProof/>
          <w:lang w:val="fr-CA"/>
        </w:rPr>
        <w:noBreakHyphen/>
        <w:t>ci de divers projets auxquels il aurait généralement participé, et ce, même si son exclusion nuisait à Ocean.</w:t>
      </w:r>
    </w:p>
    <w:p w:rsidR="00DD44E8" w:rsidRPr="00E41E88" w:rsidRDefault="00DD44E8" w:rsidP="00DD44E8">
      <w:pPr>
        <w:pStyle w:val="ParaNoNdepar-AltN"/>
        <w:rPr>
          <w:rFonts w:cs="Times New Roman"/>
          <w:noProof/>
          <w:lang w:val="fr-CA"/>
        </w:rPr>
      </w:pPr>
      <w:r w:rsidRPr="00E41E88">
        <w:rPr>
          <w:rFonts w:cs="Times New Roman"/>
          <w:noProof/>
          <w:lang w:val="fr-CA"/>
        </w:rPr>
        <w:t>En</w:t>
      </w:r>
      <w:r>
        <w:rPr>
          <w:rFonts w:cs="Times New Roman"/>
          <w:noProof/>
          <w:lang w:val="fr-CA"/>
        </w:rPr>
        <w:t xml:space="preserve"> </w:t>
      </w:r>
      <w:r w:rsidRPr="00E41E88">
        <w:rPr>
          <w:rFonts w:cs="Times New Roman"/>
          <w:noProof/>
          <w:lang w:val="fr-CA"/>
        </w:rPr>
        <w:t>2010, lorsque M. Orr a quitté ses fonctions de président</w:t>
      </w:r>
      <w:r w:rsidRPr="00E41E88">
        <w:rPr>
          <w:rFonts w:cs="Times New Roman"/>
          <w:noProof/>
          <w:lang w:val="fr-CA"/>
        </w:rPr>
        <w:noBreakHyphen/>
        <w:t>directeur général d</w:t>
      </w:r>
      <w:r>
        <w:rPr>
          <w:rFonts w:cs="Times New Roman"/>
          <w:noProof/>
          <w:lang w:val="fr-CA"/>
        </w:rPr>
        <w:t>’</w:t>
      </w:r>
      <w:r w:rsidRPr="00E41E88">
        <w:rPr>
          <w:rFonts w:cs="Times New Roman"/>
          <w:noProof/>
          <w:lang w:val="fr-CA"/>
        </w:rPr>
        <w:t>Ocean et a assumé la présidence du conseil d</w:t>
      </w:r>
      <w:r>
        <w:rPr>
          <w:rFonts w:cs="Times New Roman"/>
          <w:noProof/>
          <w:lang w:val="fr-CA"/>
        </w:rPr>
        <w:t>’</w:t>
      </w:r>
      <w:r w:rsidRPr="00E41E88">
        <w:rPr>
          <w:rFonts w:cs="Times New Roman"/>
          <w:noProof/>
          <w:lang w:val="fr-CA"/>
        </w:rPr>
        <w:t>administration, la situation de M. Matthews s</w:t>
      </w:r>
      <w:r>
        <w:rPr>
          <w:rFonts w:cs="Times New Roman"/>
          <w:noProof/>
          <w:lang w:val="fr-CA"/>
        </w:rPr>
        <w:t>’</w:t>
      </w:r>
      <w:r w:rsidRPr="00E41E88">
        <w:rPr>
          <w:rFonts w:cs="Times New Roman"/>
          <w:noProof/>
          <w:lang w:val="fr-CA"/>
        </w:rPr>
        <w:t xml:space="preserve">est aggravée. Monsieur </w:t>
      </w:r>
      <w:r>
        <w:rPr>
          <w:rFonts w:cs="Times New Roman"/>
          <w:noProof/>
          <w:lang w:val="fr-CA"/>
        </w:rPr>
        <w:t xml:space="preserve">Martin </w:t>
      </w:r>
      <w:r w:rsidRPr="00E41E88">
        <w:rPr>
          <w:rFonts w:cs="Times New Roman"/>
          <w:noProof/>
          <w:lang w:val="fr-CA"/>
        </w:rPr>
        <w:t>Jamieson est alors devenu président</w:t>
      </w:r>
      <w:r w:rsidRPr="00E41E88">
        <w:rPr>
          <w:rFonts w:cs="Times New Roman"/>
          <w:noProof/>
          <w:lang w:val="fr-CA"/>
        </w:rPr>
        <w:noBreakHyphen/>
        <w:t xml:space="preserve">directeur général et, peu de temps après son entrée en fonction, la </w:t>
      </w:r>
      <w:r>
        <w:rPr>
          <w:rFonts w:cs="Times New Roman"/>
          <w:noProof/>
          <w:lang w:val="fr-CA"/>
        </w:rPr>
        <w:t>place</w:t>
      </w:r>
      <w:r w:rsidRPr="00E41E88">
        <w:rPr>
          <w:rFonts w:cs="Times New Roman"/>
          <w:noProof/>
          <w:lang w:val="fr-CA"/>
        </w:rPr>
        <w:t xml:space="preserve"> de </w:t>
      </w:r>
      <w:r w:rsidRPr="00E41E88">
        <w:rPr>
          <w:rFonts w:cs="Times New Roman"/>
          <w:noProof/>
          <w:lang w:val="fr-CA"/>
        </w:rPr>
        <w:lastRenderedPageBreak/>
        <w:t>M. Matthews dans l</w:t>
      </w:r>
      <w:r>
        <w:rPr>
          <w:rFonts w:cs="Times New Roman"/>
          <w:noProof/>
          <w:lang w:val="fr-CA"/>
        </w:rPr>
        <w:t>’</w:t>
      </w:r>
      <w:r w:rsidRPr="00E41E88">
        <w:rPr>
          <w:rFonts w:cs="Times New Roman"/>
          <w:noProof/>
          <w:lang w:val="fr-CA"/>
        </w:rPr>
        <w:t>entreprise a été examinée. Le juge de première instance a conclu qu</w:t>
      </w:r>
      <w:r>
        <w:rPr>
          <w:rFonts w:cs="Times New Roman"/>
          <w:noProof/>
          <w:lang w:val="fr-CA"/>
        </w:rPr>
        <w:t>’</w:t>
      </w:r>
      <w:r w:rsidRPr="00E41E88">
        <w:rPr>
          <w:rFonts w:cs="Times New Roman"/>
          <w:noProof/>
          <w:lang w:val="fr-CA"/>
        </w:rPr>
        <w:t xml:space="preserve">il était devenu évident que </w:t>
      </w:r>
      <w:r w:rsidRPr="00E41E88">
        <w:rPr>
          <w:rFonts w:cs="Times New Roman"/>
          <w:smallCaps/>
          <w:noProof/>
          <w:lang w:val="fr-CA"/>
        </w:rPr>
        <w:t>[traduction]</w:t>
      </w:r>
      <w:r w:rsidRPr="00E41E88">
        <w:rPr>
          <w:rFonts w:cs="Times New Roman"/>
          <w:noProof/>
          <w:lang w:val="fr-CA"/>
        </w:rPr>
        <w:t xml:space="preserve"> « le départ de M. Matthews </w:t>
      </w:r>
      <w:r>
        <w:rPr>
          <w:rFonts w:cs="Times New Roman"/>
          <w:noProof/>
          <w:lang w:val="fr-CA"/>
        </w:rPr>
        <w:t>d’</w:t>
      </w:r>
      <w:r w:rsidRPr="00E41E88">
        <w:rPr>
          <w:rFonts w:cs="Times New Roman"/>
          <w:noProof/>
          <w:lang w:val="fr-CA"/>
        </w:rPr>
        <w:t>[Ocean] était une conséquence possible de cet examen » (par. 283). À cette époque, M. Emond a dit au conseil d</w:t>
      </w:r>
      <w:r>
        <w:rPr>
          <w:rFonts w:cs="Times New Roman"/>
          <w:noProof/>
          <w:lang w:val="fr-CA"/>
        </w:rPr>
        <w:t>’</w:t>
      </w:r>
      <w:r w:rsidRPr="00E41E88">
        <w:rPr>
          <w:rFonts w:cs="Times New Roman"/>
          <w:noProof/>
          <w:lang w:val="fr-CA"/>
        </w:rPr>
        <w:t>administration qu</w:t>
      </w:r>
      <w:r>
        <w:rPr>
          <w:rFonts w:cs="Times New Roman"/>
          <w:noProof/>
          <w:lang w:val="fr-CA"/>
        </w:rPr>
        <w:t>’</w:t>
      </w:r>
      <w:r w:rsidRPr="00E41E88">
        <w:rPr>
          <w:rFonts w:cs="Times New Roman"/>
          <w:noProof/>
          <w:lang w:val="fr-CA"/>
        </w:rPr>
        <w:t>il n</w:t>
      </w:r>
      <w:r>
        <w:rPr>
          <w:rFonts w:cs="Times New Roman"/>
          <w:noProof/>
          <w:lang w:val="fr-CA"/>
        </w:rPr>
        <w:t>’</w:t>
      </w:r>
      <w:r w:rsidRPr="00E41E88">
        <w:rPr>
          <w:rFonts w:cs="Times New Roman"/>
          <w:noProof/>
          <w:lang w:val="fr-CA"/>
        </w:rPr>
        <w:t>y aurait bientôt plus de place pour M. Matthews au sein de l</w:t>
      </w:r>
      <w:r>
        <w:rPr>
          <w:rFonts w:cs="Times New Roman"/>
          <w:noProof/>
          <w:lang w:val="fr-CA"/>
        </w:rPr>
        <w:t>’</w:t>
      </w:r>
      <w:r w:rsidRPr="00E41E88">
        <w:rPr>
          <w:rFonts w:cs="Times New Roman"/>
          <w:noProof/>
          <w:lang w:val="fr-CA"/>
        </w:rPr>
        <w:t>entreprise. Lorsque M. Orr a informé M. Matthews de ces propos, la frustration de ce dernier s</w:t>
      </w:r>
      <w:r>
        <w:rPr>
          <w:rFonts w:cs="Times New Roman"/>
          <w:noProof/>
          <w:lang w:val="fr-CA"/>
        </w:rPr>
        <w:t>’</w:t>
      </w:r>
      <w:r w:rsidRPr="00E41E88">
        <w:rPr>
          <w:rFonts w:cs="Times New Roman"/>
          <w:noProof/>
          <w:lang w:val="fr-CA"/>
        </w:rPr>
        <w:t>est accentuée, car il soupçonnait déjà Ocean d</w:t>
      </w:r>
      <w:r>
        <w:rPr>
          <w:rFonts w:cs="Times New Roman"/>
          <w:noProof/>
          <w:lang w:val="fr-CA"/>
        </w:rPr>
        <w:t>’</w:t>
      </w:r>
      <w:r w:rsidRPr="00E41E88">
        <w:rPr>
          <w:rFonts w:cs="Times New Roman"/>
          <w:noProof/>
          <w:lang w:val="fr-CA"/>
        </w:rPr>
        <w:t>avoir entamé un processus de diligence raisonnable en vue d</w:t>
      </w:r>
      <w:r>
        <w:rPr>
          <w:rFonts w:cs="Times New Roman"/>
          <w:noProof/>
          <w:lang w:val="fr-CA"/>
        </w:rPr>
        <w:t>’</w:t>
      </w:r>
      <w:r w:rsidRPr="00E41E88">
        <w:rPr>
          <w:rFonts w:cs="Times New Roman"/>
          <w:noProof/>
          <w:lang w:val="fr-CA"/>
        </w:rPr>
        <w:t>une possible vente, un processus dans lequel il aurait normalement dû jouer un rôle mais duquel il s</w:t>
      </w:r>
      <w:r>
        <w:rPr>
          <w:rFonts w:cs="Times New Roman"/>
          <w:noProof/>
          <w:lang w:val="fr-CA"/>
        </w:rPr>
        <w:t>’</w:t>
      </w:r>
      <w:r w:rsidRPr="00E41E88">
        <w:rPr>
          <w:rFonts w:cs="Times New Roman"/>
          <w:noProof/>
          <w:lang w:val="fr-CA"/>
        </w:rPr>
        <w:t>est retrouvé exclu.</w:t>
      </w:r>
    </w:p>
    <w:p w:rsidR="00DD44E8" w:rsidRPr="00E41E88" w:rsidRDefault="00DD44E8" w:rsidP="00DD44E8">
      <w:pPr>
        <w:pStyle w:val="ParaNoNdepar-AltN"/>
        <w:rPr>
          <w:rFonts w:cs="Times New Roman"/>
          <w:noProof/>
          <w:lang w:val="fr-CA"/>
        </w:rPr>
      </w:pPr>
      <w:r w:rsidRPr="00E41E88">
        <w:rPr>
          <w:rFonts w:cs="Times New Roman"/>
          <w:noProof/>
          <w:lang w:val="fr-CA"/>
        </w:rPr>
        <w:t>La possible vente d</w:t>
      </w:r>
      <w:r>
        <w:rPr>
          <w:rFonts w:cs="Times New Roman"/>
          <w:noProof/>
          <w:lang w:val="fr-CA"/>
        </w:rPr>
        <w:t>’</w:t>
      </w:r>
      <w:r w:rsidRPr="00E41E88">
        <w:rPr>
          <w:rFonts w:cs="Times New Roman"/>
          <w:noProof/>
          <w:lang w:val="fr-CA"/>
        </w:rPr>
        <w:t>Ocean était un événement important, car M. Matthews aurait alors pu obtenir la prime à laquelle il avait droit au titre du régime d</w:t>
      </w:r>
      <w:r>
        <w:rPr>
          <w:rFonts w:cs="Times New Roman"/>
          <w:noProof/>
          <w:lang w:val="fr-CA"/>
        </w:rPr>
        <w:t>’</w:t>
      </w:r>
      <w:r w:rsidRPr="00E41E88">
        <w:rPr>
          <w:rFonts w:cs="Times New Roman"/>
          <w:noProof/>
          <w:lang w:val="fr-CA"/>
        </w:rPr>
        <w:t>intéressement à long terme (« RILT</w:t>
      </w:r>
      <w:r>
        <w:rPr>
          <w:rFonts w:cs="Times New Roman"/>
          <w:noProof/>
          <w:lang w:val="fr-CA"/>
        </w:rPr>
        <w:t> ») d’Ocean</w:t>
      </w:r>
      <w:r w:rsidRPr="00E41E88">
        <w:rPr>
          <w:rFonts w:cs="Times New Roman"/>
          <w:noProof/>
          <w:lang w:val="fr-CA"/>
        </w:rPr>
        <w:t>. Le RILT</w:t>
      </w:r>
      <w:r w:rsidRPr="00E41E88">
        <w:rPr>
          <w:rFonts w:eastAsia="Times New Roman" w:cs="Times New Roman"/>
          <w:noProof/>
          <w:lang w:val="fr-CA"/>
        </w:rPr>
        <w:t xml:space="preserve"> —</w:t>
      </w:r>
      <w:r w:rsidRPr="00E41E88">
        <w:rPr>
          <w:rFonts w:cs="Times New Roman"/>
          <w:noProof/>
          <w:lang w:val="fr-CA"/>
        </w:rPr>
        <w:t xml:space="preserve"> un arrangement contractuel prévoyant une forme de paiement en cas de vente de l</w:t>
      </w:r>
      <w:r>
        <w:rPr>
          <w:rFonts w:cs="Times New Roman"/>
          <w:noProof/>
          <w:lang w:val="fr-CA"/>
        </w:rPr>
        <w:t>’</w:t>
      </w:r>
      <w:r w:rsidRPr="00E41E88">
        <w:rPr>
          <w:rFonts w:cs="Times New Roman"/>
          <w:noProof/>
          <w:lang w:val="fr-CA"/>
        </w:rPr>
        <w:t xml:space="preserve">entreprise, qui avait été </w:t>
      </w:r>
      <w:r>
        <w:rPr>
          <w:rFonts w:cs="Times New Roman"/>
          <w:noProof/>
          <w:lang w:val="fr-CA"/>
        </w:rPr>
        <w:t>proposé</w:t>
      </w:r>
      <w:r w:rsidRPr="00E41E88">
        <w:rPr>
          <w:rFonts w:cs="Times New Roman"/>
          <w:noProof/>
          <w:lang w:val="fr-CA"/>
        </w:rPr>
        <w:t xml:space="preserve"> par Ocean et </w:t>
      </w:r>
      <w:r>
        <w:rPr>
          <w:rFonts w:cs="Times New Roman"/>
          <w:noProof/>
          <w:lang w:val="fr-CA"/>
        </w:rPr>
        <w:t>signé</w:t>
      </w:r>
      <w:r w:rsidRPr="00E41E88">
        <w:rPr>
          <w:rFonts w:cs="Times New Roman"/>
          <w:noProof/>
          <w:lang w:val="fr-CA"/>
        </w:rPr>
        <w:t xml:space="preserve"> par M. Matthews en 2007</w:t>
      </w:r>
      <w:r w:rsidRPr="00E41E88">
        <w:rPr>
          <w:rFonts w:eastAsia="Times New Roman" w:cs="Times New Roman"/>
          <w:noProof/>
          <w:lang w:val="fr-CA"/>
        </w:rPr>
        <w:t xml:space="preserve"> —</w:t>
      </w:r>
      <w:r w:rsidRPr="00E41E88">
        <w:rPr>
          <w:rFonts w:cs="Times New Roman"/>
          <w:noProof/>
          <w:lang w:val="fr-CA"/>
        </w:rPr>
        <w:t xml:space="preserve"> avait été conçu à l</w:t>
      </w:r>
      <w:r>
        <w:rPr>
          <w:rFonts w:cs="Times New Roman"/>
          <w:noProof/>
          <w:lang w:val="fr-CA"/>
        </w:rPr>
        <w:t>’</w:t>
      </w:r>
      <w:r w:rsidRPr="00E41E88">
        <w:rPr>
          <w:rFonts w:cs="Times New Roman"/>
          <w:noProof/>
          <w:lang w:val="fr-CA"/>
        </w:rPr>
        <w:t>intention de certains cadres supérieurs et visait deux objectifs : récompenser les employés parties au régime pour leurs contributions antérieures au succès de l</w:t>
      </w:r>
      <w:r>
        <w:rPr>
          <w:rFonts w:cs="Times New Roman"/>
          <w:noProof/>
          <w:lang w:val="fr-CA"/>
        </w:rPr>
        <w:t>’</w:t>
      </w:r>
      <w:r w:rsidRPr="00E41E88">
        <w:rPr>
          <w:rFonts w:cs="Times New Roman"/>
          <w:noProof/>
          <w:lang w:val="fr-CA"/>
        </w:rPr>
        <w:t>entreprise et les inciter à continuer de le faire. Ocean a réussi à atteindre son objectif de maintenir en poste son employé, puisque M. Matthews est demeuré au service de l</w:t>
      </w:r>
      <w:r>
        <w:rPr>
          <w:rFonts w:cs="Times New Roman"/>
          <w:noProof/>
          <w:lang w:val="fr-CA"/>
        </w:rPr>
        <w:t>’</w:t>
      </w:r>
      <w:r w:rsidRPr="00E41E88">
        <w:rPr>
          <w:rFonts w:cs="Times New Roman"/>
          <w:noProof/>
          <w:lang w:val="fr-CA"/>
        </w:rPr>
        <w:t>entreprise plus longtemps qu</w:t>
      </w:r>
      <w:r>
        <w:rPr>
          <w:rFonts w:cs="Times New Roman"/>
          <w:noProof/>
          <w:lang w:val="fr-CA"/>
        </w:rPr>
        <w:t>’</w:t>
      </w:r>
      <w:r w:rsidRPr="00E41E88">
        <w:rPr>
          <w:rFonts w:cs="Times New Roman"/>
          <w:noProof/>
          <w:lang w:val="fr-CA"/>
        </w:rPr>
        <w:t>il ne l</w:t>
      </w:r>
      <w:r>
        <w:rPr>
          <w:rFonts w:cs="Times New Roman"/>
          <w:noProof/>
          <w:lang w:val="fr-CA"/>
        </w:rPr>
        <w:t>’</w:t>
      </w:r>
      <w:r w:rsidRPr="00E41E88">
        <w:rPr>
          <w:rFonts w:cs="Times New Roman"/>
          <w:noProof/>
          <w:lang w:val="fr-CA"/>
        </w:rPr>
        <w:t xml:space="preserve">aurait fait autrement. Comme </w:t>
      </w:r>
      <w:r>
        <w:rPr>
          <w:rFonts w:cs="Times New Roman"/>
          <w:noProof/>
          <w:lang w:val="fr-CA"/>
        </w:rPr>
        <w:t>l’</w:t>
      </w:r>
      <w:r w:rsidRPr="00E41E88">
        <w:rPr>
          <w:rFonts w:cs="Times New Roman"/>
          <w:noProof/>
          <w:lang w:val="fr-CA"/>
        </w:rPr>
        <w:t xml:space="preserve">a conclu le juge de première instance, le RILT était une </w:t>
      </w:r>
      <w:r w:rsidRPr="00E41E88">
        <w:rPr>
          <w:rFonts w:cs="Times New Roman"/>
          <w:smallCaps/>
          <w:noProof/>
          <w:lang w:val="fr-CA"/>
        </w:rPr>
        <w:t>[traduction] </w:t>
      </w:r>
      <w:r w:rsidRPr="00E41E88">
        <w:rPr>
          <w:rFonts w:cs="Times New Roman"/>
          <w:noProof/>
          <w:lang w:val="fr-CA"/>
        </w:rPr>
        <w:t>« raison déterminante » dans la décision de M. Matthews de continuer de travailler pour l</w:t>
      </w:r>
      <w:r>
        <w:rPr>
          <w:rFonts w:cs="Times New Roman"/>
          <w:noProof/>
          <w:lang w:val="fr-CA"/>
        </w:rPr>
        <w:t>’</w:t>
      </w:r>
      <w:r w:rsidRPr="00E41E88">
        <w:rPr>
          <w:rFonts w:cs="Times New Roman"/>
          <w:noProof/>
          <w:lang w:val="fr-CA"/>
        </w:rPr>
        <w:t>entreprise, particulièrement lorsque ses problèmes avec la haute direction ont commencé (par. 388).</w:t>
      </w:r>
    </w:p>
    <w:p w:rsidR="00DD44E8" w:rsidRPr="00E41E88" w:rsidRDefault="00DD44E8" w:rsidP="00DD44E8">
      <w:pPr>
        <w:pStyle w:val="ParaNoNdepar-AltN"/>
        <w:rPr>
          <w:rFonts w:cs="Times New Roman"/>
          <w:noProof/>
          <w:lang w:val="fr-CA"/>
        </w:rPr>
      </w:pPr>
      <w:r w:rsidRPr="00E41E88">
        <w:rPr>
          <w:rFonts w:cs="Times New Roman"/>
          <w:noProof/>
          <w:lang w:val="fr-CA"/>
        </w:rPr>
        <w:lastRenderedPageBreak/>
        <w:t>Monsieur Matthews a informé M. Emond qu</w:t>
      </w:r>
      <w:r>
        <w:rPr>
          <w:rFonts w:cs="Times New Roman"/>
          <w:noProof/>
          <w:lang w:val="fr-CA"/>
        </w:rPr>
        <w:t>’</w:t>
      </w:r>
      <w:r w:rsidRPr="00E41E88">
        <w:rPr>
          <w:rFonts w:cs="Times New Roman"/>
          <w:noProof/>
          <w:lang w:val="fr-CA"/>
        </w:rPr>
        <w:t>il souhaitait conserver son rôle, car il s</w:t>
      </w:r>
      <w:r>
        <w:rPr>
          <w:rFonts w:cs="Times New Roman"/>
          <w:noProof/>
          <w:lang w:val="fr-CA"/>
        </w:rPr>
        <w:t>’</w:t>
      </w:r>
      <w:r w:rsidRPr="00E41E88">
        <w:rPr>
          <w:rFonts w:cs="Times New Roman"/>
          <w:noProof/>
          <w:lang w:val="fr-CA"/>
        </w:rPr>
        <w:t>attendait à ce que l</w:t>
      </w:r>
      <w:r>
        <w:rPr>
          <w:rFonts w:cs="Times New Roman"/>
          <w:noProof/>
          <w:lang w:val="fr-CA"/>
        </w:rPr>
        <w:t>’</w:t>
      </w:r>
      <w:r w:rsidRPr="00E41E88">
        <w:rPr>
          <w:rFonts w:cs="Times New Roman"/>
          <w:noProof/>
          <w:lang w:val="fr-CA"/>
        </w:rPr>
        <w:t>entreprise soit bientôt vendue. M. Emond a faussement affirmé qu</w:t>
      </w:r>
      <w:r>
        <w:rPr>
          <w:rFonts w:cs="Times New Roman"/>
          <w:noProof/>
          <w:lang w:val="fr-CA"/>
        </w:rPr>
        <w:t>’</w:t>
      </w:r>
      <w:r w:rsidRPr="00E41E88">
        <w:rPr>
          <w:rFonts w:cs="Times New Roman"/>
          <w:noProof/>
          <w:lang w:val="fr-CA"/>
        </w:rPr>
        <w:t>il ne savait pas quelles étaient les intentions d</w:t>
      </w:r>
      <w:r>
        <w:rPr>
          <w:rFonts w:cs="Times New Roman"/>
          <w:noProof/>
          <w:lang w:val="fr-CA"/>
        </w:rPr>
        <w:t>’</w:t>
      </w:r>
      <w:r w:rsidRPr="00E41E88">
        <w:rPr>
          <w:rFonts w:cs="Times New Roman"/>
          <w:noProof/>
          <w:lang w:val="fr-CA"/>
        </w:rPr>
        <w:t>Ocean à son égard. Il a ensuite envoyé à M. Jamieson un courriel dont l</w:t>
      </w:r>
      <w:r>
        <w:rPr>
          <w:rFonts w:cs="Times New Roman"/>
          <w:noProof/>
          <w:lang w:val="fr-CA"/>
        </w:rPr>
        <w:t>’</w:t>
      </w:r>
      <w:r w:rsidRPr="00E41E88">
        <w:rPr>
          <w:rFonts w:cs="Times New Roman"/>
          <w:noProof/>
          <w:lang w:val="fr-CA"/>
        </w:rPr>
        <w:t>objet indiquait</w:t>
      </w:r>
      <w:r>
        <w:rPr>
          <w:rFonts w:cs="Times New Roman"/>
          <w:noProof/>
          <w:lang w:val="fr-CA"/>
        </w:rPr>
        <w:t xml:space="preserve"> </w:t>
      </w:r>
      <w:r w:rsidRPr="00E41E88">
        <w:rPr>
          <w:rFonts w:cs="Times New Roman"/>
          <w:smallCaps/>
          <w:noProof/>
          <w:lang w:val="fr-CA"/>
        </w:rPr>
        <w:t>[traduction]</w:t>
      </w:r>
      <w:r>
        <w:rPr>
          <w:rFonts w:cs="Times New Roman"/>
          <w:smallCaps/>
          <w:noProof/>
          <w:lang w:val="fr-CA"/>
        </w:rPr>
        <w:t xml:space="preserve"> </w:t>
      </w:r>
      <w:r w:rsidRPr="00E41E88">
        <w:rPr>
          <w:rFonts w:cs="Times New Roman"/>
          <w:noProof/>
          <w:lang w:val="fr-CA"/>
        </w:rPr>
        <w:t>« C</w:t>
      </w:r>
      <w:r>
        <w:rPr>
          <w:rFonts w:cs="Times New Roman"/>
          <w:noProof/>
          <w:lang w:val="fr-CA"/>
        </w:rPr>
        <w:t>’</w:t>
      </w:r>
      <w:r w:rsidRPr="00E41E88">
        <w:rPr>
          <w:rFonts w:cs="Times New Roman"/>
          <w:noProof/>
          <w:lang w:val="fr-CA"/>
        </w:rPr>
        <w:t xml:space="preserve">est reparti », et dans lequel il disait notamment ce qui suit : </w:t>
      </w:r>
    </w:p>
    <w:p w:rsidR="00DD44E8" w:rsidRPr="00E41E88" w:rsidRDefault="00DD44E8" w:rsidP="00BB08A7">
      <w:pPr>
        <w:pStyle w:val="Citation-AltC"/>
        <w:spacing w:after="480"/>
        <w:ind w:hanging="1166"/>
        <w:contextualSpacing w:val="0"/>
        <w:rPr>
          <w:noProof/>
          <w:lang w:val="fr-CA"/>
        </w:rPr>
      </w:pPr>
      <w:r w:rsidRPr="00E41E88">
        <w:rPr>
          <w:noProof/>
          <w:lang w:val="fr-CA"/>
        </w:rPr>
        <w:tab/>
        <w:t>De plus, [M. Matthews] m</w:t>
      </w:r>
      <w:r>
        <w:rPr>
          <w:noProof/>
          <w:lang w:val="fr-CA"/>
        </w:rPr>
        <w:t>’</w:t>
      </w:r>
      <w:r w:rsidRPr="00E41E88">
        <w:rPr>
          <w:noProof/>
          <w:lang w:val="fr-CA"/>
        </w:rPr>
        <w:t>a aussi demandé s</w:t>
      </w:r>
      <w:r>
        <w:rPr>
          <w:noProof/>
          <w:lang w:val="fr-CA"/>
        </w:rPr>
        <w:t>’</w:t>
      </w:r>
      <w:r w:rsidRPr="00E41E88">
        <w:rPr>
          <w:noProof/>
          <w:lang w:val="fr-CA"/>
        </w:rPr>
        <w:t>il fa</w:t>
      </w:r>
      <w:r w:rsidR="00BB08A7">
        <w:rPr>
          <w:noProof/>
          <w:lang w:val="fr-CA"/>
        </w:rPr>
        <w:t>it partie de la restructuration</w:t>
      </w:r>
      <w:r w:rsidRPr="00E41E88">
        <w:rPr>
          <w:noProof/>
          <w:lang w:val="fr-CA"/>
        </w:rPr>
        <w:t>???????? Il a dit qu</w:t>
      </w:r>
      <w:r>
        <w:rPr>
          <w:noProof/>
          <w:lang w:val="fr-CA"/>
        </w:rPr>
        <w:t>’</w:t>
      </w:r>
      <w:r w:rsidRPr="00E41E88">
        <w:rPr>
          <w:noProof/>
          <w:lang w:val="fr-CA"/>
        </w:rPr>
        <w:t>il aimerait rester parce qu</w:t>
      </w:r>
      <w:r>
        <w:rPr>
          <w:noProof/>
          <w:lang w:val="fr-CA"/>
        </w:rPr>
        <w:t>’</w:t>
      </w:r>
      <w:r w:rsidRPr="00E41E88">
        <w:rPr>
          <w:noProof/>
          <w:lang w:val="fr-CA"/>
        </w:rPr>
        <w:t>il croit que l</w:t>
      </w:r>
      <w:r>
        <w:rPr>
          <w:noProof/>
          <w:lang w:val="fr-CA"/>
        </w:rPr>
        <w:t>’</w:t>
      </w:r>
      <w:r w:rsidRPr="00E41E88">
        <w:rPr>
          <w:noProof/>
          <w:lang w:val="fr-CA"/>
        </w:rPr>
        <w:t>entreprise sera vendue et qu</w:t>
      </w:r>
      <w:r>
        <w:rPr>
          <w:noProof/>
          <w:lang w:val="fr-CA"/>
        </w:rPr>
        <w:t>’</w:t>
      </w:r>
      <w:r w:rsidRPr="00E41E88">
        <w:rPr>
          <w:noProof/>
          <w:lang w:val="fr-CA"/>
        </w:rPr>
        <w:t xml:space="preserve">il veut toucher sa prime en cas de </w:t>
      </w:r>
      <w:r w:rsidR="00BB08A7">
        <w:rPr>
          <w:noProof/>
          <w:lang w:val="fr-CA"/>
        </w:rPr>
        <w:t>vente</w:t>
      </w:r>
      <w:r>
        <w:rPr>
          <w:noProof/>
          <w:lang w:val="fr-CA"/>
        </w:rPr>
        <w:t>??????</w:t>
      </w:r>
      <w:r w:rsidRPr="00E41E88">
        <w:rPr>
          <w:noProof/>
          <w:lang w:val="fr-CA"/>
        </w:rPr>
        <w:t xml:space="preserve"> Quoi qu</w:t>
      </w:r>
      <w:r>
        <w:rPr>
          <w:noProof/>
          <w:lang w:val="fr-CA"/>
        </w:rPr>
        <w:t>’</w:t>
      </w:r>
      <w:r w:rsidRPr="00E41E88">
        <w:rPr>
          <w:noProof/>
          <w:lang w:val="fr-CA"/>
        </w:rPr>
        <w:t>il en soit j</w:t>
      </w:r>
      <w:r>
        <w:rPr>
          <w:noProof/>
          <w:lang w:val="fr-CA"/>
        </w:rPr>
        <w:t>’</w:t>
      </w:r>
      <w:r w:rsidRPr="00E41E88">
        <w:rPr>
          <w:noProof/>
          <w:lang w:val="fr-CA"/>
        </w:rPr>
        <w:t>ai réussi à m</w:t>
      </w:r>
      <w:r>
        <w:rPr>
          <w:noProof/>
          <w:lang w:val="fr-CA"/>
        </w:rPr>
        <w:t>’</w:t>
      </w:r>
      <w:r w:rsidRPr="00E41E88">
        <w:rPr>
          <w:noProof/>
          <w:lang w:val="fr-CA"/>
        </w:rPr>
        <w:t>en sortir je ne suis pas certain qu</w:t>
      </w:r>
      <w:r>
        <w:rPr>
          <w:noProof/>
          <w:lang w:val="fr-CA"/>
        </w:rPr>
        <w:t>’</w:t>
      </w:r>
      <w:r w:rsidRPr="00E41E88">
        <w:rPr>
          <w:noProof/>
          <w:lang w:val="fr-CA"/>
        </w:rPr>
        <w:t>il m</w:t>
      </w:r>
      <w:r>
        <w:rPr>
          <w:noProof/>
          <w:lang w:val="fr-CA"/>
        </w:rPr>
        <w:t>’</w:t>
      </w:r>
      <w:r w:rsidRPr="00E41E88">
        <w:rPr>
          <w:noProof/>
          <w:lang w:val="fr-CA"/>
        </w:rPr>
        <w:t>a cru mais il a eu une réponse. [Transcription de l</w:t>
      </w:r>
      <w:r>
        <w:rPr>
          <w:noProof/>
          <w:lang w:val="fr-CA"/>
        </w:rPr>
        <w:t>’</w:t>
      </w:r>
      <w:r w:rsidRPr="00E41E88">
        <w:rPr>
          <w:noProof/>
          <w:lang w:val="fr-CA"/>
        </w:rPr>
        <w:t>original.]</w:t>
      </w:r>
    </w:p>
    <w:p w:rsidR="00DD44E8" w:rsidRPr="00E41E88" w:rsidRDefault="00DD44E8" w:rsidP="00DD44E8">
      <w:pPr>
        <w:pStyle w:val="Citation-AltC"/>
        <w:ind w:hanging="1166"/>
        <w:rPr>
          <w:noProof/>
          <w:lang w:val="fr-CA"/>
        </w:rPr>
      </w:pPr>
      <w:r w:rsidRPr="00E41E88">
        <w:rPr>
          <w:noProof/>
          <w:lang w:val="fr-CA"/>
        </w:rPr>
        <w:t>(voir les motifs du jugement de première instance, par. 194)</w:t>
      </w:r>
    </w:p>
    <w:p w:rsidR="00DD44E8" w:rsidRPr="00E41E88" w:rsidRDefault="00DD44E8" w:rsidP="00DD44E8">
      <w:pPr>
        <w:pStyle w:val="ParaNoNdepar-AltN"/>
        <w:widowControl w:val="0"/>
        <w:rPr>
          <w:rFonts w:cs="Times New Roman"/>
          <w:noProof/>
          <w:lang w:val="fr-CA"/>
        </w:rPr>
      </w:pPr>
      <w:r w:rsidRPr="00E41E88">
        <w:rPr>
          <w:rFonts w:cs="Times New Roman"/>
          <w:noProof/>
          <w:lang w:val="fr-CA"/>
        </w:rPr>
        <w:t>Quelques mois plus tard, M. Matthews a demandé à M. Jamieson si Ocean prévoyait mettre fin à son emploi. Ce dernier lui a alors répondu que l</w:t>
      </w:r>
      <w:r>
        <w:rPr>
          <w:rFonts w:cs="Times New Roman"/>
          <w:noProof/>
          <w:lang w:val="fr-CA"/>
        </w:rPr>
        <w:t>’</w:t>
      </w:r>
      <w:r w:rsidRPr="00E41E88">
        <w:rPr>
          <w:rFonts w:cs="Times New Roman"/>
          <w:noProof/>
          <w:lang w:val="fr-CA"/>
        </w:rPr>
        <w:t>entreprise n</w:t>
      </w:r>
      <w:r>
        <w:rPr>
          <w:rFonts w:cs="Times New Roman"/>
          <w:noProof/>
          <w:lang w:val="fr-CA"/>
        </w:rPr>
        <w:t>’</w:t>
      </w:r>
      <w:r w:rsidRPr="00E41E88">
        <w:rPr>
          <w:rFonts w:cs="Times New Roman"/>
          <w:noProof/>
          <w:lang w:val="fr-CA"/>
        </w:rPr>
        <w:t>avait aucun plan de la sorte. Peu de temps après, M. Matthews a rencontré le vice</w:t>
      </w:r>
      <w:r w:rsidRPr="00E41E88">
        <w:rPr>
          <w:rFonts w:cs="Times New Roman"/>
          <w:noProof/>
          <w:lang w:val="fr-CA"/>
        </w:rPr>
        <w:noBreakHyphen/>
      </w:r>
      <w:r>
        <w:rPr>
          <w:rFonts w:cs="Times New Roman"/>
          <w:noProof/>
          <w:lang w:val="fr-CA"/>
        </w:rPr>
        <w:t>président des r</w:t>
      </w:r>
      <w:r w:rsidRPr="00E41E88">
        <w:rPr>
          <w:rFonts w:cs="Times New Roman"/>
          <w:noProof/>
          <w:lang w:val="fr-CA"/>
        </w:rPr>
        <w:t>essources humaines pour discuter d</w:t>
      </w:r>
      <w:r>
        <w:rPr>
          <w:rFonts w:cs="Times New Roman"/>
          <w:noProof/>
          <w:lang w:val="fr-CA"/>
        </w:rPr>
        <w:t>’</w:t>
      </w:r>
      <w:r w:rsidRPr="00E41E88">
        <w:rPr>
          <w:rFonts w:cs="Times New Roman"/>
          <w:noProof/>
          <w:lang w:val="fr-CA"/>
        </w:rPr>
        <w:t>un possible règlement forfaitaire de cessation d</w:t>
      </w:r>
      <w:r>
        <w:rPr>
          <w:rFonts w:cs="Times New Roman"/>
          <w:noProof/>
          <w:lang w:val="fr-CA"/>
        </w:rPr>
        <w:t>’</w:t>
      </w:r>
      <w:r w:rsidRPr="00E41E88">
        <w:rPr>
          <w:rFonts w:cs="Times New Roman"/>
          <w:noProof/>
          <w:lang w:val="fr-CA"/>
        </w:rPr>
        <w:t>emploi. Monsieur Matthews</w:t>
      </w:r>
      <w:r>
        <w:rPr>
          <w:rFonts w:cs="Times New Roman"/>
          <w:noProof/>
          <w:lang w:val="fr-CA"/>
        </w:rPr>
        <w:t xml:space="preserve"> a dit au représentant des r</w:t>
      </w:r>
      <w:r w:rsidRPr="00E41E88">
        <w:rPr>
          <w:rFonts w:cs="Times New Roman"/>
          <w:noProof/>
          <w:lang w:val="fr-CA"/>
        </w:rPr>
        <w:t>essources humaines qu</w:t>
      </w:r>
      <w:r>
        <w:rPr>
          <w:rFonts w:cs="Times New Roman"/>
          <w:noProof/>
          <w:lang w:val="fr-CA"/>
        </w:rPr>
        <w:t>’</w:t>
      </w:r>
      <w:r w:rsidRPr="00E41E88">
        <w:rPr>
          <w:rFonts w:cs="Times New Roman"/>
          <w:noProof/>
          <w:lang w:val="fr-CA"/>
        </w:rPr>
        <w:t xml:space="preserve">il renoncerait à son indemnité de départ pour protéger ses droits au titre </w:t>
      </w:r>
      <w:r>
        <w:rPr>
          <w:rFonts w:cs="Times New Roman"/>
          <w:noProof/>
          <w:lang w:val="fr-CA"/>
        </w:rPr>
        <w:t xml:space="preserve">du </w:t>
      </w:r>
      <w:r w:rsidRPr="00E41E88">
        <w:rPr>
          <w:rFonts w:cs="Times New Roman"/>
          <w:noProof/>
          <w:lang w:val="fr-CA"/>
        </w:rPr>
        <w:t xml:space="preserve">RILT. Cependant, au bout du compte, les négociations sur une </w:t>
      </w:r>
      <w:r w:rsidRPr="00E41E88">
        <w:rPr>
          <w:rFonts w:cs="Times New Roman"/>
          <w:smallCaps/>
          <w:noProof/>
          <w:lang w:val="fr-CA"/>
        </w:rPr>
        <w:t xml:space="preserve">[traduction] </w:t>
      </w:r>
      <w:r w:rsidRPr="00E41E88">
        <w:rPr>
          <w:rFonts w:cs="Times New Roman"/>
          <w:noProof/>
          <w:lang w:val="fr-CA"/>
        </w:rPr>
        <w:t>« stratégie de départ » n</w:t>
      </w:r>
      <w:r>
        <w:rPr>
          <w:rFonts w:cs="Times New Roman"/>
          <w:noProof/>
          <w:lang w:val="fr-CA"/>
        </w:rPr>
        <w:t>’</w:t>
      </w:r>
      <w:r w:rsidRPr="00E41E88">
        <w:rPr>
          <w:rFonts w:cs="Times New Roman"/>
          <w:noProof/>
          <w:lang w:val="fr-CA"/>
        </w:rPr>
        <w:t>ont jamais abouti, étant donné que M. Matthews a accepté un poste chez un nouvel employeur le 22 juin 2011 et a quitté officiellement Ocean le 24 juin 2011.</w:t>
      </w:r>
    </w:p>
    <w:p w:rsidR="00DD44E8" w:rsidRPr="00E41E88" w:rsidRDefault="00DD44E8" w:rsidP="00DD44E8">
      <w:pPr>
        <w:pStyle w:val="ParaNoNdepar-AltN"/>
        <w:rPr>
          <w:rFonts w:cs="Times New Roman"/>
          <w:noProof/>
          <w:lang w:val="fr-CA"/>
        </w:rPr>
      </w:pPr>
      <w:r w:rsidRPr="00E41E88">
        <w:rPr>
          <w:rFonts w:cs="Times New Roman"/>
          <w:noProof/>
          <w:lang w:val="fr-CA"/>
        </w:rPr>
        <w:t>Environ 13 mois après le départ de M. Matthews, Ocean a été vendue pour la somme de 540 millions de dollars. Cette vente constituait</w:t>
      </w:r>
      <w:r>
        <w:rPr>
          <w:rFonts w:cs="Times New Roman"/>
          <w:noProof/>
          <w:lang w:val="fr-CA"/>
        </w:rPr>
        <w:t xml:space="preserve">, pour les besoins du </w:t>
      </w:r>
      <w:r w:rsidRPr="00E41E88">
        <w:rPr>
          <w:rFonts w:cs="Times New Roman"/>
          <w:noProof/>
          <w:lang w:val="fr-CA"/>
        </w:rPr>
        <w:t xml:space="preserve">RILT, </w:t>
      </w:r>
      <w:r w:rsidRPr="00E41E88">
        <w:rPr>
          <w:rFonts w:cs="Times New Roman"/>
          <w:smallCaps/>
          <w:noProof/>
          <w:lang w:val="fr-CA"/>
        </w:rPr>
        <w:lastRenderedPageBreak/>
        <w:t>[traduction]</w:t>
      </w:r>
      <w:r>
        <w:rPr>
          <w:rFonts w:cs="Times New Roman"/>
          <w:smallCaps/>
          <w:noProof/>
          <w:lang w:val="fr-CA"/>
        </w:rPr>
        <w:t xml:space="preserve"> </w:t>
      </w:r>
      <w:r w:rsidRPr="00E41E88">
        <w:rPr>
          <w:rFonts w:cs="Times New Roman"/>
          <w:noProof/>
          <w:lang w:val="fr-CA"/>
        </w:rPr>
        <w:t>« </w:t>
      </w:r>
      <w:r w:rsidR="00A73917" w:rsidRPr="00E41E88">
        <w:rPr>
          <w:rFonts w:cs="Times New Roman"/>
          <w:smallCaps/>
          <w:noProof/>
          <w:lang w:val="fr-CA"/>
        </w:rPr>
        <w:t>[</w:t>
      </w:r>
      <w:r w:rsidR="00A73917" w:rsidRPr="00E41E88">
        <w:rPr>
          <w:rFonts w:cs="Times New Roman"/>
          <w:noProof/>
          <w:lang w:val="fr-CA"/>
        </w:rPr>
        <w:t>l</w:t>
      </w:r>
      <w:r w:rsidR="00A73917">
        <w:rPr>
          <w:rFonts w:cs="Times New Roman"/>
          <w:noProof/>
          <w:lang w:val="fr-CA"/>
        </w:rPr>
        <w:t>’</w:t>
      </w:r>
      <w:r w:rsidR="00A73917" w:rsidRPr="00E41E88">
        <w:rPr>
          <w:rFonts w:cs="Times New Roman"/>
          <w:smallCaps/>
          <w:noProof/>
          <w:lang w:val="fr-CA"/>
        </w:rPr>
        <w:t>]</w:t>
      </w:r>
      <w:r w:rsidRPr="00E41E88">
        <w:rPr>
          <w:rFonts w:cs="Times New Roman"/>
          <w:noProof/>
          <w:lang w:val="fr-CA"/>
        </w:rPr>
        <w:t>événement déclencheur », qui entraînait le versement des primes aux employés admissibles aux termes du régime. Toutefois, comme M. Matthews ne travaillait plus activement pour l</w:t>
      </w:r>
      <w:r>
        <w:rPr>
          <w:rFonts w:cs="Times New Roman"/>
          <w:noProof/>
          <w:lang w:val="fr-CA"/>
        </w:rPr>
        <w:t>’</w:t>
      </w:r>
      <w:r w:rsidRPr="00E41E88">
        <w:rPr>
          <w:rFonts w:cs="Times New Roman"/>
          <w:noProof/>
          <w:lang w:val="fr-CA"/>
        </w:rPr>
        <w:t>entreprise au moment de la vente, Ocean a soutenu qu</w:t>
      </w:r>
      <w:r>
        <w:rPr>
          <w:rFonts w:cs="Times New Roman"/>
          <w:noProof/>
          <w:lang w:val="fr-CA"/>
        </w:rPr>
        <w:t>’</w:t>
      </w:r>
      <w:r w:rsidRPr="00E41E88">
        <w:rPr>
          <w:rFonts w:cs="Times New Roman"/>
          <w:noProof/>
          <w:lang w:val="fr-CA"/>
        </w:rPr>
        <w:t>il ne satisfaisait pas aux conditions du régime. Monsieur Matthews n</w:t>
      </w:r>
      <w:r>
        <w:rPr>
          <w:rFonts w:cs="Times New Roman"/>
          <w:noProof/>
          <w:lang w:val="fr-CA"/>
        </w:rPr>
        <w:t>’</w:t>
      </w:r>
      <w:r w:rsidRPr="00E41E88">
        <w:rPr>
          <w:rFonts w:cs="Times New Roman"/>
          <w:noProof/>
          <w:lang w:val="fr-CA"/>
        </w:rPr>
        <w:t>a par conséquent pas reçu de prime. Fait notable, le juge de première instance a conclu que la conduite incorrecte de M. Emond envers M. Matthews n</w:t>
      </w:r>
      <w:r>
        <w:rPr>
          <w:rFonts w:cs="Times New Roman"/>
          <w:noProof/>
          <w:lang w:val="fr-CA"/>
        </w:rPr>
        <w:t>’</w:t>
      </w:r>
      <w:r w:rsidRPr="00E41E88">
        <w:rPr>
          <w:rFonts w:cs="Times New Roman"/>
          <w:noProof/>
          <w:lang w:val="fr-CA"/>
        </w:rPr>
        <w:t>était pas motivée par le désir de priver celui</w:t>
      </w:r>
      <w:r w:rsidRPr="00E41E88">
        <w:rPr>
          <w:rFonts w:cs="Times New Roman"/>
          <w:noProof/>
          <w:lang w:val="fr-CA"/>
        </w:rPr>
        <w:noBreakHyphen/>
        <w:t>ci du droit de recevoir le paiement prévu par le RILT, et qu</w:t>
      </w:r>
      <w:r>
        <w:rPr>
          <w:rFonts w:cs="Times New Roman"/>
          <w:noProof/>
          <w:lang w:val="fr-CA"/>
        </w:rPr>
        <w:t>’</w:t>
      </w:r>
      <w:r w:rsidRPr="00E41E88">
        <w:rPr>
          <w:rFonts w:cs="Times New Roman"/>
          <w:noProof/>
          <w:lang w:val="fr-CA"/>
        </w:rPr>
        <w:t>il n</w:t>
      </w:r>
      <w:r>
        <w:rPr>
          <w:rFonts w:cs="Times New Roman"/>
          <w:noProof/>
          <w:lang w:val="fr-CA"/>
        </w:rPr>
        <w:t>’</w:t>
      </w:r>
      <w:r w:rsidRPr="00E41E88">
        <w:rPr>
          <w:rFonts w:cs="Times New Roman"/>
          <w:noProof/>
          <w:lang w:val="fr-CA"/>
        </w:rPr>
        <w:t>y avait pas non plus de preuve que l</w:t>
      </w:r>
      <w:r>
        <w:rPr>
          <w:rFonts w:cs="Times New Roman"/>
          <w:noProof/>
          <w:lang w:val="fr-CA"/>
        </w:rPr>
        <w:t>’</w:t>
      </w:r>
      <w:r w:rsidRPr="00E41E88">
        <w:rPr>
          <w:rFonts w:cs="Times New Roman"/>
          <w:noProof/>
          <w:lang w:val="fr-CA"/>
        </w:rPr>
        <w:t>entreprise avait comploté pour « se débarrasser de M. Matthews afin de le priver de ses droits au titre du RILT » (par. 325).</w:t>
      </w:r>
    </w:p>
    <w:p w:rsidR="00DD44E8" w:rsidRPr="00E41E88" w:rsidRDefault="00DD44E8" w:rsidP="00DD44E8">
      <w:pPr>
        <w:pStyle w:val="ParaNoNdepar-AltN"/>
        <w:rPr>
          <w:rFonts w:cs="Times New Roman"/>
          <w:noProof/>
          <w:lang w:val="fr-CA"/>
        </w:rPr>
      </w:pPr>
      <w:r w:rsidRPr="00E41E88">
        <w:rPr>
          <w:rFonts w:cs="Times New Roman"/>
          <w:noProof/>
          <w:lang w:val="fr-CA"/>
        </w:rPr>
        <w:t>Monsieur Matthews a présenté contre Ocean une requête dans laquelle il alléguait que son employeur l</w:t>
      </w:r>
      <w:r>
        <w:rPr>
          <w:rFonts w:cs="Times New Roman"/>
          <w:noProof/>
          <w:lang w:val="fr-CA"/>
        </w:rPr>
        <w:t>’</w:t>
      </w:r>
      <w:r w:rsidRPr="00E41E88">
        <w:rPr>
          <w:rFonts w:cs="Times New Roman"/>
          <w:noProof/>
          <w:lang w:val="fr-CA"/>
        </w:rPr>
        <w:t>avait congédié de façon déguisée et avait agi d</w:t>
      </w:r>
      <w:r>
        <w:rPr>
          <w:rFonts w:cs="Times New Roman"/>
          <w:noProof/>
          <w:lang w:val="fr-CA"/>
        </w:rPr>
        <w:t>’</w:t>
      </w:r>
      <w:r w:rsidRPr="00E41E88">
        <w:rPr>
          <w:rFonts w:cs="Times New Roman"/>
          <w:noProof/>
          <w:lang w:val="fr-CA"/>
        </w:rPr>
        <w:t xml:space="preserve">une manière </w:t>
      </w:r>
      <w:r w:rsidRPr="00E41E88">
        <w:rPr>
          <w:rFonts w:cs="Times New Roman"/>
          <w:smallCaps/>
          <w:noProof/>
          <w:lang w:val="fr-CA"/>
        </w:rPr>
        <w:t xml:space="preserve">[traduction] </w:t>
      </w:r>
      <w:r w:rsidRPr="00E41E88">
        <w:rPr>
          <w:rFonts w:cs="Times New Roman"/>
          <w:noProof/>
          <w:lang w:val="fr-CA"/>
        </w:rPr>
        <w:t>« abusive, injustement préjudiciable et injustement indifférente » à l</w:t>
      </w:r>
      <w:r>
        <w:rPr>
          <w:rFonts w:cs="Times New Roman"/>
          <w:noProof/>
          <w:lang w:val="fr-CA"/>
        </w:rPr>
        <w:t>’</w:t>
      </w:r>
      <w:r w:rsidRPr="00E41E88">
        <w:rPr>
          <w:rFonts w:cs="Times New Roman"/>
          <w:noProof/>
          <w:lang w:val="fr-CA"/>
        </w:rPr>
        <w:t>égard de ses intérêts, puis il affirmait, dans une allégation distincte, que son congédiement déguisé « avait été effectué de mauvaise foi au sens de la loi et en contravention à l</w:t>
      </w:r>
      <w:r>
        <w:rPr>
          <w:rFonts w:cs="Times New Roman"/>
          <w:noProof/>
          <w:lang w:val="fr-CA"/>
        </w:rPr>
        <w:t>’</w:t>
      </w:r>
      <w:r w:rsidRPr="00E41E88">
        <w:rPr>
          <w:rFonts w:cs="Times New Roman"/>
          <w:noProof/>
          <w:lang w:val="fr-CA"/>
        </w:rPr>
        <w:t>obligation de la société d</w:t>
      </w:r>
      <w:r>
        <w:rPr>
          <w:rFonts w:cs="Times New Roman"/>
          <w:noProof/>
          <w:lang w:val="fr-CA"/>
        </w:rPr>
        <w:t>’</w:t>
      </w:r>
      <w:r w:rsidRPr="00E41E88">
        <w:rPr>
          <w:rFonts w:cs="Times New Roman"/>
          <w:noProof/>
          <w:lang w:val="fr-CA"/>
        </w:rPr>
        <w:t>agir de bonne foi » (d.a., p. 145). Il sollicitait la déclaration mentionnée plus tôt, des dommages</w:t>
      </w:r>
      <w:r w:rsidRPr="00E41E88">
        <w:rPr>
          <w:rFonts w:cs="Times New Roman"/>
          <w:noProof/>
          <w:lang w:val="fr-CA"/>
        </w:rPr>
        <w:noBreakHyphen/>
        <w:t>intérêts pour perte de revenus, de primes et d</w:t>
      </w:r>
      <w:r>
        <w:rPr>
          <w:rFonts w:cs="Times New Roman"/>
          <w:noProof/>
          <w:lang w:val="fr-CA"/>
        </w:rPr>
        <w:t>’</w:t>
      </w:r>
      <w:r w:rsidRPr="00E41E88">
        <w:rPr>
          <w:rFonts w:cs="Times New Roman"/>
          <w:noProof/>
          <w:lang w:val="fr-CA"/>
        </w:rPr>
        <w:t>avantages, des dommages</w:t>
      </w:r>
      <w:r w:rsidRPr="00E41E88">
        <w:rPr>
          <w:rFonts w:cs="Times New Roman"/>
          <w:noProof/>
          <w:lang w:val="fr-CA"/>
        </w:rPr>
        <w:noBreakHyphen/>
        <w:t>intérêts généraux ainsi qu</w:t>
      </w:r>
      <w:r>
        <w:rPr>
          <w:rFonts w:cs="Times New Roman"/>
          <w:noProof/>
          <w:lang w:val="fr-CA"/>
        </w:rPr>
        <w:t>’</w:t>
      </w:r>
      <w:r w:rsidRPr="00E41E88">
        <w:rPr>
          <w:rFonts w:cs="Times New Roman"/>
          <w:noProof/>
          <w:lang w:val="fr-CA"/>
        </w:rPr>
        <w:t>une indemnité à titre de réparation pour cause d</w:t>
      </w:r>
      <w:r>
        <w:rPr>
          <w:rFonts w:cs="Times New Roman"/>
          <w:noProof/>
          <w:lang w:val="fr-CA"/>
        </w:rPr>
        <w:t>’</w:t>
      </w:r>
      <w:r w:rsidRPr="00E41E88">
        <w:rPr>
          <w:rFonts w:cs="Times New Roman"/>
          <w:noProof/>
          <w:lang w:val="fr-CA"/>
        </w:rPr>
        <w:t xml:space="preserve">abus en vertu du par. 241(1) de la </w:t>
      </w:r>
      <w:r w:rsidRPr="00E41E88">
        <w:rPr>
          <w:rFonts w:cs="Times New Roman"/>
          <w:i/>
          <w:noProof/>
          <w:lang w:val="fr-CA"/>
        </w:rPr>
        <w:t>Loi canadienne sur les sociétés par actions</w:t>
      </w:r>
      <w:r w:rsidRPr="00E41E88">
        <w:rPr>
          <w:rFonts w:cs="Times New Roman"/>
          <w:noProof/>
          <w:lang w:val="fr-CA"/>
        </w:rPr>
        <w:t>, L.R.C. 1985, c. C</w:t>
      </w:r>
      <w:r w:rsidRPr="00E41E88">
        <w:rPr>
          <w:rFonts w:cs="Times New Roman"/>
          <w:noProof/>
          <w:lang w:val="fr-CA"/>
        </w:rPr>
        <w:noBreakHyphen/>
        <w:t>44. Compte tenu de la conduite d</w:t>
      </w:r>
      <w:r>
        <w:rPr>
          <w:rFonts w:cs="Times New Roman"/>
          <w:noProof/>
          <w:lang w:val="fr-CA"/>
        </w:rPr>
        <w:t>’</w:t>
      </w:r>
      <w:r w:rsidRPr="00E41E88">
        <w:rPr>
          <w:rFonts w:cs="Times New Roman"/>
          <w:noProof/>
          <w:lang w:val="fr-CA"/>
        </w:rPr>
        <w:t xml:space="preserve">Ocean, qui a manifesté </w:t>
      </w:r>
      <w:r w:rsidRPr="00E41E88">
        <w:rPr>
          <w:rFonts w:cs="Times New Roman"/>
          <w:smallCaps/>
          <w:noProof/>
          <w:lang w:val="fr-CA"/>
        </w:rPr>
        <w:t xml:space="preserve">[traduction] </w:t>
      </w:r>
      <w:r w:rsidRPr="00E41E88">
        <w:rPr>
          <w:rFonts w:cs="Times New Roman"/>
          <w:noProof/>
          <w:lang w:val="fr-CA"/>
        </w:rPr>
        <w:t>« une indifférence méprisante à l</w:t>
      </w:r>
      <w:r>
        <w:rPr>
          <w:rFonts w:cs="Times New Roman"/>
          <w:noProof/>
          <w:lang w:val="fr-CA"/>
        </w:rPr>
        <w:t>’</w:t>
      </w:r>
      <w:r w:rsidRPr="00E41E88">
        <w:rPr>
          <w:rFonts w:cs="Times New Roman"/>
          <w:noProof/>
          <w:lang w:val="fr-CA"/>
        </w:rPr>
        <w:t>égard [de ses] droits d</w:t>
      </w:r>
      <w:r>
        <w:rPr>
          <w:rFonts w:cs="Times New Roman"/>
          <w:noProof/>
          <w:lang w:val="fr-CA"/>
        </w:rPr>
        <w:t>’</w:t>
      </w:r>
      <w:r w:rsidRPr="00E41E88">
        <w:rPr>
          <w:rFonts w:cs="Times New Roman"/>
          <w:noProof/>
          <w:lang w:val="fr-CA"/>
        </w:rPr>
        <w:t xml:space="preserve">ordre contractuel » (d.a., p. 145), M. Matthews sollicitait </w:t>
      </w:r>
      <w:r w:rsidRPr="00E41E88">
        <w:rPr>
          <w:rFonts w:cs="Times New Roman"/>
          <w:noProof/>
          <w:lang w:val="fr-CA"/>
        </w:rPr>
        <w:lastRenderedPageBreak/>
        <w:t>également des dommages</w:t>
      </w:r>
      <w:r w:rsidRPr="00E41E88">
        <w:rPr>
          <w:rFonts w:cs="Times New Roman"/>
          <w:noProof/>
          <w:lang w:val="fr-CA"/>
        </w:rPr>
        <w:noBreakHyphen/>
        <w:t>intérêts punitifs et les dépens taxés sur la base procureur</w:t>
      </w:r>
      <w:r w:rsidRPr="00E41E88">
        <w:rPr>
          <w:rFonts w:cs="Times New Roman"/>
          <w:noProof/>
          <w:lang w:val="fr-CA"/>
        </w:rPr>
        <w:noBreakHyphen/>
        <w:t>client.</w:t>
      </w:r>
    </w:p>
    <w:p w:rsidR="00DD44E8" w:rsidRPr="00E41E88" w:rsidRDefault="00DD44E8" w:rsidP="00DD44E8">
      <w:pPr>
        <w:pStyle w:val="Title1LevelTitre1Niveau-AltL"/>
        <w:keepNext w:val="0"/>
        <w:rPr>
          <w:rFonts w:cs="Times New Roman"/>
          <w:noProof/>
          <w:lang w:val="fr-CA"/>
        </w:rPr>
      </w:pPr>
      <w:r w:rsidRPr="00E41E88">
        <w:rPr>
          <w:rFonts w:cs="Times New Roman"/>
          <w:noProof/>
          <w:lang w:val="fr-CA"/>
        </w:rPr>
        <w:t xml:space="preserve">Décisions des juridictions inférieures </w:t>
      </w:r>
    </w:p>
    <w:p w:rsidR="00DD44E8" w:rsidRPr="00E41E88" w:rsidRDefault="00DD44E8" w:rsidP="00DD44E8">
      <w:pPr>
        <w:pStyle w:val="Title2LevelTitre2Niveau"/>
        <w:keepNext w:val="0"/>
        <w:rPr>
          <w:rFonts w:cs="Times New Roman"/>
          <w:noProof/>
          <w:lang w:val="fr-CA"/>
        </w:rPr>
      </w:pPr>
      <w:r w:rsidRPr="00E41E88">
        <w:rPr>
          <w:rFonts w:cs="Times New Roman"/>
          <w:noProof/>
          <w:lang w:val="fr-CA"/>
        </w:rPr>
        <w:t>Cour suprême de la Nouvelle</w:t>
      </w:r>
      <w:r w:rsidRPr="00E41E88">
        <w:rPr>
          <w:rFonts w:cs="Times New Roman"/>
          <w:noProof/>
          <w:lang w:val="fr-CA"/>
        </w:rPr>
        <w:noBreakHyphen/>
        <w:t xml:space="preserve">Écosse </w:t>
      </w:r>
      <w:r>
        <w:rPr>
          <w:rFonts w:cs="Times New Roman"/>
          <w:noProof/>
          <w:lang w:val="fr-CA"/>
        </w:rPr>
        <w:t xml:space="preserve">(le juge </w:t>
      </w:r>
      <w:r w:rsidRPr="00E41E88">
        <w:rPr>
          <w:rFonts w:cs="Times New Roman"/>
          <w:noProof/>
          <w:lang w:val="fr-CA"/>
        </w:rPr>
        <w:t>LeBlanc)</w:t>
      </w:r>
    </w:p>
    <w:p w:rsidR="00DD44E8" w:rsidRPr="00E41E88" w:rsidRDefault="00DD44E8" w:rsidP="00DD44E8">
      <w:pPr>
        <w:pStyle w:val="ParaNoNdepar-AltN"/>
        <w:rPr>
          <w:rFonts w:cs="Times New Roman"/>
          <w:noProof/>
          <w:lang w:val="fr-CA"/>
        </w:rPr>
      </w:pPr>
      <w:r w:rsidRPr="00E41E88">
        <w:rPr>
          <w:rFonts w:cs="Times New Roman"/>
          <w:noProof/>
          <w:lang w:val="fr-CA"/>
        </w:rPr>
        <w:t>Le juge de première instance a conclu qu</w:t>
      </w:r>
      <w:r>
        <w:rPr>
          <w:rFonts w:cs="Times New Roman"/>
          <w:noProof/>
          <w:lang w:val="fr-CA"/>
        </w:rPr>
        <w:t>’</w:t>
      </w:r>
      <w:r w:rsidRPr="00E41E88">
        <w:rPr>
          <w:rFonts w:cs="Times New Roman"/>
          <w:noProof/>
          <w:lang w:val="fr-CA"/>
        </w:rPr>
        <w:t>Ocean avait congédié M. Matthews de manière déguisée et que ce dernier avait droit à un préavis raisonnable de 15 mois. Le juge de première instance s</w:t>
      </w:r>
      <w:r>
        <w:rPr>
          <w:rFonts w:cs="Times New Roman"/>
          <w:noProof/>
          <w:lang w:val="fr-CA"/>
        </w:rPr>
        <w:t>’</w:t>
      </w:r>
      <w:r w:rsidRPr="00E41E88">
        <w:rPr>
          <w:rFonts w:cs="Times New Roman"/>
          <w:noProof/>
          <w:lang w:val="fr-CA"/>
        </w:rPr>
        <w:t>est appuyé sur l</w:t>
      </w:r>
      <w:r>
        <w:rPr>
          <w:rFonts w:cs="Times New Roman"/>
          <w:noProof/>
          <w:lang w:val="fr-CA"/>
        </w:rPr>
        <w:t>’</w:t>
      </w:r>
      <w:r w:rsidRPr="00E41E88">
        <w:rPr>
          <w:rFonts w:cs="Times New Roman"/>
          <w:noProof/>
          <w:lang w:val="fr-CA"/>
        </w:rPr>
        <w:t xml:space="preserve">arrêt </w:t>
      </w:r>
      <w:r w:rsidRPr="00E41E88">
        <w:rPr>
          <w:rFonts w:cs="Times New Roman"/>
          <w:i/>
          <w:noProof/>
          <w:lang w:val="fr-CA"/>
        </w:rPr>
        <w:t>Potter</w:t>
      </w:r>
      <w:r w:rsidRPr="00E41E88">
        <w:rPr>
          <w:rFonts w:cs="Times New Roman"/>
          <w:noProof/>
          <w:lang w:val="fr-CA"/>
        </w:rPr>
        <w:t xml:space="preserve"> de notre Cour, dans lequel le juge Wagner a expliqué que, généralement, la décision d</w:t>
      </w:r>
      <w:r>
        <w:rPr>
          <w:rFonts w:cs="Times New Roman"/>
          <w:noProof/>
          <w:lang w:val="fr-CA"/>
        </w:rPr>
        <w:t>’</w:t>
      </w:r>
      <w:r w:rsidRPr="00E41E88">
        <w:rPr>
          <w:rFonts w:cs="Times New Roman"/>
          <w:noProof/>
          <w:lang w:val="fr-CA"/>
        </w:rPr>
        <w:t>un employé de quitter son emploi peut être considérée comme un congédiement déguisé dans deux situations différentes. Premièrement, un employé peut être poussé à quitter son emploi parce que son employeur a violé de manière substantielle une condition expresse ou tacite de son contrat de travail. Deuxièmement, s</w:t>
      </w:r>
      <w:r>
        <w:rPr>
          <w:rFonts w:cs="Times New Roman"/>
          <w:noProof/>
          <w:lang w:val="fr-CA"/>
        </w:rPr>
        <w:t>’</w:t>
      </w:r>
      <w:r w:rsidRPr="00E41E88">
        <w:rPr>
          <w:rFonts w:cs="Times New Roman"/>
          <w:noProof/>
          <w:lang w:val="fr-CA"/>
        </w:rPr>
        <w:t>appuyant sur d</w:t>
      </w:r>
      <w:r>
        <w:rPr>
          <w:rFonts w:cs="Times New Roman"/>
          <w:noProof/>
          <w:lang w:val="fr-CA"/>
        </w:rPr>
        <w:t>’</w:t>
      </w:r>
      <w:r w:rsidRPr="00E41E88">
        <w:rPr>
          <w:rFonts w:cs="Times New Roman"/>
          <w:noProof/>
          <w:lang w:val="fr-CA"/>
        </w:rPr>
        <w:t>autres affaires où « le comportement de l</w:t>
      </w:r>
      <w:r>
        <w:rPr>
          <w:rFonts w:cs="Times New Roman"/>
          <w:noProof/>
          <w:lang w:val="fr-CA"/>
        </w:rPr>
        <w:t>’</w:t>
      </w:r>
      <w:r w:rsidRPr="00E41E88">
        <w:rPr>
          <w:rFonts w:cs="Times New Roman"/>
          <w:noProof/>
          <w:lang w:val="fr-CA"/>
        </w:rPr>
        <w:t>employeur vis</w:t>
      </w:r>
      <w:r w:rsidRPr="00E41E88">
        <w:rPr>
          <w:rFonts w:cs="Times New Roman"/>
          <w:noProof/>
          <w:lang w:val="fr-CA"/>
        </w:rPr>
        <w:noBreakHyphen/>
        <w:t>à</w:t>
      </w:r>
      <w:r w:rsidRPr="00E41E88">
        <w:rPr>
          <w:rFonts w:cs="Times New Roman"/>
          <w:noProof/>
          <w:lang w:val="fr-CA"/>
        </w:rPr>
        <w:noBreakHyphen/>
        <w:t>vis du salarié avait rendu la situation intolérable au travail » (par. 33), le juge Wagner a expliqué que le départ de l</w:t>
      </w:r>
      <w:r>
        <w:rPr>
          <w:rFonts w:cs="Times New Roman"/>
          <w:noProof/>
          <w:lang w:val="fr-CA"/>
        </w:rPr>
        <w:t>’</w:t>
      </w:r>
      <w:r w:rsidRPr="00E41E88">
        <w:rPr>
          <w:rFonts w:cs="Times New Roman"/>
          <w:noProof/>
          <w:lang w:val="fr-CA"/>
        </w:rPr>
        <w:t>employé équivaudra à un congédiement déguisé lorsque l</w:t>
      </w:r>
      <w:r>
        <w:rPr>
          <w:rFonts w:cs="Times New Roman"/>
          <w:noProof/>
          <w:lang w:val="fr-CA"/>
        </w:rPr>
        <w:t>’</w:t>
      </w:r>
      <w:r w:rsidRPr="00E41E88">
        <w:rPr>
          <w:rFonts w:cs="Times New Roman"/>
          <w:noProof/>
          <w:lang w:val="fr-CA"/>
        </w:rPr>
        <w:t>employeur a manifesté, par l</w:t>
      </w:r>
      <w:r>
        <w:rPr>
          <w:rFonts w:cs="Times New Roman"/>
          <w:noProof/>
          <w:lang w:val="fr-CA"/>
        </w:rPr>
        <w:t>’</w:t>
      </w:r>
      <w:r w:rsidRPr="00E41E88">
        <w:rPr>
          <w:rFonts w:cs="Times New Roman"/>
          <w:noProof/>
          <w:lang w:val="fr-CA"/>
        </w:rPr>
        <w:t>effet cumulatif de ses actes antérieurs, son intention de ne plus être lié par le contrat.</w:t>
      </w:r>
    </w:p>
    <w:p w:rsidR="00DD44E8" w:rsidRPr="00E41E88" w:rsidRDefault="00DD44E8" w:rsidP="00DD44E8">
      <w:pPr>
        <w:pStyle w:val="ParaNoNdepar-AltN"/>
        <w:rPr>
          <w:rFonts w:cs="Times New Roman"/>
          <w:noProof/>
          <w:lang w:val="fr-CA"/>
        </w:rPr>
      </w:pPr>
      <w:r w:rsidRPr="00E41E88">
        <w:rPr>
          <w:rFonts w:cs="Times New Roman"/>
          <w:noProof/>
          <w:lang w:val="fr-CA"/>
        </w:rPr>
        <w:t>Le juge de première instance était convaincu qu</w:t>
      </w:r>
      <w:r>
        <w:rPr>
          <w:rFonts w:cs="Times New Roman"/>
          <w:noProof/>
          <w:lang w:val="fr-CA"/>
        </w:rPr>
        <w:t>’</w:t>
      </w:r>
      <w:r w:rsidRPr="00E41E88">
        <w:rPr>
          <w:rFonts w:cs="Times New Roman"/>
          <w:noProof/>
          <w:lang w:val="fr-CA"/>
        </w:rPr>
        <w:t>il y avait lieu de conclure au congédiement déguisé suivant l</w:t>
      </w:r>
      <w:r>
        <w:rPr>
          <w:rFonts w:cs="Times New Roman"/>
          <w:noProof/>
          <w:lang w:val="fr-CA"/>
        </w:rPr>
        <w:t>’</w:t>
      </w:r>
      <w:r w:rsidRPr="00E41E88">
        <w:rPr>
          <w:rFonts w:cs="Times New Roman"/>
          <w:noProof/>
          <w:lang w:val="fr-CA"/>
        </w:rPr>
        <w:t>un ou l</w:t>
      </w:r>
      <w:r>
        <w:rPr>
          <w:rFonts w:cs="Times New Roman"/>
          <w:noProof/>
          <w:lang w:val="fr-CA"/>
        </w:rPr>
        <w:t>’</w:t>
      </w:r>
      <w:r w:rsidRPr="00E41E88">
        <w:rPr>
          <w:rFonts w:cs="Times New Roman"/>
          <w:noProof/>
          <w:lang w:val="fr-CA"/>
        </w:rPr>
        <w:t>autre des volets énoncés dans l</w:t>
      </w:r>
      <w:r>
        <w:rPr>
          <w:rFonts w:cs="Times New Roman"/>
          <w:noProof/>
          <w:lang w:val="fr-CA"/>
        </w:rPr>
        <w:t>’</w:t>
      </w:r>
      <w:r w:rsidRPr="00E41E88">
        <w:rPr>
          <w:rFonts w:cs="Times New Roman"/>
          <w:noProof/>
          <w:lang w:val="fr-CA"/>
        </w:rPr>
        <w:t xml:space="preserve">arrêt </w:t>
      </w:r>
      <w:r w:rsidRPr="00E41E88">
        <w:rPr>
          <w:rFonts w:cs="Times New Roman"/>
          <w:i/>
          <w:noProof/>
          <w:lang w:val="fr-CA"/>
        </w:rPr>
        <w:t>Potter</w:t>
      </w:r>
      <w:r w:rsidRPr="00E41E88">
        <w:rPr>
          <w:rFonts w:cs="Times New Roman"/>
          <w:noProof/>
          <w:lang w:val="fr-CA"/>
        </w:rPr>
        <w:t>. En ce qui concerne le premier volet, il a conclu qu</w:t>
      </w:r>
      <w:r>
        <w:rPr>
          <w:rFonts w:cs="Times New Roman"/>
          <w:noProof/>
          <w:lang w:val="fr-CA"/>
        </w:rPr>
        <w:t>’</w:t>
      </w:r>
      <w:r w:rsidRPr="00E41E88">
        <w:rPr>
          <w:rFonts w:cs="Times New Roman"/>
          <w:noProof/>
          <w:lang w:val="fr-CA"/>
        </w:rPr>
        <w:t xml:space="preserve">une condition tacite du contrat était que M. Matthews serait affecté à un poste </w:t>
      </w:r>
      <w:r w:rsidRPr="00E41E88">
        <w:rPr>
          <w:rFonts w:cs="Times New Roman"/>
          <w:smallCaps/>
          <w:noProof/>
          <w:lang w:val="fr-CA"/>
        </w:rPr>
        <w:t xml:space="preserve">[traduction] </w:t>
      </w:r>
      <w:r w:rsidRPr="00E41E88">
        <w:rPr>
          <w:rFonts w:cs="Times New Roman"/>
          <w:noProof/>
          <w:lang w:val="fr-CA"/>
        </w:rPr>
        <w:t xml:space="preserve">« dont les fonctions, la </w:t>
      </w:r>
      <w:r w:rsidRPr="00E41E88">
        <w:rPr>
          <w:rFonts w:cs="Times New Roman"/>
          <w:noProof/>
          <w:lang w:val="fr-CA"/>
        </w:rPr>
        <w:lastRenderedPageBreak/>
        <w:t>rémunération, les responsabilités et le statut seraient substantiellement similaires</w:t>
      </w:r>
      <w:r w:rsidR="002D0AC4">
        <w:rPr>
          <w:rFonts w:cs="Times New Roman"/>
          <w:noProof/>
          <w:lang w:val="fr-CA"/>
        </w:rPr>
        <w:t> </w:t>
      </w:r>
      <w:r w:rsidRPr="00E41E88">
        <w:rPr>
          <w:rFonts w:cs="Times New Roman"/>
          <w:noProof/>
          <w:lang w:val="fr-CA"/>
        </w:rPr>
        <w:t>» (par. </w:t>
      </w:r>
      <w:r>
        <w:rPr>
          <w:rFonts w:cs="Times New Roman"/>
          <w:noProof/>
          <w:lang w:val="fr-CA"/>
        </w:rPr>
        <w:t>337</w:t>
      </w:r>
      <w:r w:rsidRPr="00E41E88">
        <w:rPr>
          <w:rFonts w:cs="Times New Roman"/>
          <w:noProof/>
          <w:lang w:val="fr-CA"/>
        </w:rPr>
        <w:t xml:space="preserve">, citant P. Barnacle, </w:t>
      </w:r>
      <w:r w:rsidRPr="00E41E88">
        <w:rPr>
          <w:rFonts w:cs="Times New Roman"/>
          <w:i/>
          <w:noProof/>
          <w:lang w:val="fr-CA"/>
        </w:rPr>
        <w:t>Employment Law in Canada</w:t>
      </w:r>
      <w:r w:rsidRPr="00E41E88">
        <w:rPr>
          <w:rFonts w:cs="Times New Roman"/>
          <w:noProof/>
          <w:lang w:val="fr-CA"/>
        </w:rPr>
        <w:t xml:space="preserve"> (4</w:t>
      </w:r>
      <w:r w:rsidRPr="007E646A">
        <w:rPr>
          <w:rFonts w:cs="Times New Roman"/>
          <w:noProof/>
          <w:vertAlign w:val="superscript"/>
          <w:lang w:val="fr-CA"/>
        </w:rPr>
        <w:t>e</w:t>
      </w:r>
      <w:r w:rsidRPr="00E41E88">
        <w:rPr>
          <w:rFonts w:cs="Times New Roman"/>
          <w:noProof/>
          <w:lang w:val="fr-CA"/>
        </w:rPr>
        <w:t xml:space="preserve"> éd. (feuilles mobiles)), vol. 2, §13.42</w:t>
      </w:r>
      <w:r>
        <w:rPr>
          <w:rFonts w:cs="Times New Roman"/>
          <w:noProof/>
          <w:lang w:val="fr-CA"/>
        </w:rPr>
        <w:t>)</w:t>
      </w:r>
      <w:r w:rsidRPr="00E41E88">
        <w:rPr>
          <w:rFonts w:cs="Times New Roman"/>
          <w:noProof/>
          <w:lang w:val="fr-CA"/>
        </w:rPr>
        <w:t>. En réduisant unilatéralement les responsabilités de M. Matthews de manière aussi substantielle, Ocean a violé le contrat de travail.</w:t>
      </w:r>
    </w:p>
    <w:p w:rsidR="00DD44E8" w:rsidRPr="00E41E88" w:rsidRDefault="00DD44E8" w:rsidP="00DD44E8">
      <w:pPr>
        <w:pStyle w:val="ParaNoNdepar-AltN"/>
        <w:widowControl w:val="0"/>
        <w:rPr>
          <w:rFonts w:cs="Times New Roman"/>
          <w:noProof/>
          <w:lang w:val="fr-CA"/>
        </w:rPr>
      </w:pPr>
      <w:r w:rsidRPr="00E41E88">
        <w:rPr>
          <w:rFonts w:cs="Times New Roman"/>
          <w:noProof/>
          <w:lang w:val="fr-CA"/>
        </w:rPr>
        <w:t>Pour ce qui est du deuxième volet, le juge de première instance a statué que le cadre supérieur d</w:t>
      </w:r>
      <w:r>
        <w:rPr>
          <w:rFonts w:cs="Times New Roman"/>
          <w:noProof/>
          <w:lang w:val="fr-CA"/>
        </w:rPr>
        <w:t>’</w:t>
      </w:r>
      <w:r w:rsidRPr="00E41E88">
        <w:rPr>
          <w:rFonts w:cs="Times New Roman"/>
          <w:noProof/>
          <w:lang w:val="fr-CA"/>
        </w:rPr>
        <w:t xml:space="preserve">Ocean </w:t>
      </w:r>
      <w:r>
        <w:rPr>
          <w:rFonts w:cs="Times New Roman"/>
          <w:smallCaps/>
          <w:noProof/>
          <w:lang w:val="fr-CA"/>
        </w:rPr>
        <w:t xml:space="preserve">[traduction] </w:t>
      </w:r>
      <w:r w:rsidRPr="00E41E88">
        <w:rPr>
          <w:rFonts w:cs="Times New Roman"/>
          <w:noProof/>
          <w:lang w:val="fr-CA"/>
        </w:rPr>
        <w:t>« a agi de façon à écarter M. Matthews des opérations et à réduire au minimum son influence et sa participation au sein de l</w:t>
      </w:r>
      <w:r>
        <w:rPr>
          <w:rFonts w:cs="Times New Roman"/>
          <w:noProof/>
          <w:lang w:val="fr-CA"/>
        </w:rPr>
        <w:t>’</w:t>
      </w:r>
      <w:r w:rsidRPr="00E41E88">
        <w:rPr>
          <w:rFonts w:cs="Times New Roman"/>
          <w:noProof/>
          <w:lang w:val="fr-CA"/>
        </w:rPr>
        <w:t>entreprise », se référant à ses conclusions de fait concernant la conduite trompeuse de M. Emond quant à l</w:t>
      </w:r>
      <w:r>
        <w:rPr>
          <w:rFonts w:cs="Times New Roman"/>
          <w:noProof/>
          <w:lang w:val="fr-CA"/>
        </w:rPr>
        <w:t>’</w:t>
      </w:r>
      <w:r w:rsidRPr="00E41E88">
        <w:rPr>
          <w:rFonts w:cs="Times New Roman"/>
          <w:noProof/>
          <w:lang w:val="fr-CA"/>
        </w:rPr>
        <w:t>avenir de M. Matthews dans l</w:t>
      </w:r>
      <w:r>
        <w:rPr>
          <w:rFonts w:cs="Times New Roman"/>
          <w:noProof/>
          <w:lang w:val="fr-CA"/>
        </w:rPr>
        <w:t>’</w:t>
      </w:r>
      <w:r w:rsidRPr="00E41E88">
        <w:rPr>
          <w:rFonts w:cs="Times New Roman"/>
          <w:noProof/>
          <w:lang w:val="fr-CA"/>
        </w:rPr>
        <w:t>entreprise, ce qui avait eu pour effet que ce dernier était « deven[u] de plus en plus ostracis[é] » (par. 347). Vu ce comportement, une personne raisonnable dans la situation de M. Matthews aurait estimé qu</w:t>
      </w:r>
      <w:r>
        <w:rPr>
          <w:rFonts w:cs="Times New Roman"/>
          <w:noProof/>
          <w:lang w:val="fr-CA"/>
        </w:rPr>
        <w:t>’</w:t>
      </w:r>
      <w:r w:rsidRPr="00E41E88">
        <w:rPr>
          <w:rFonts w:cs="Times New Roman"/>
          <w:noProof/>
          <w:lang w:val="fr-CA"/>
        </w:rPr>
        <w:t xml:space="preserve">Ocean </w:t>
      </w:r>
      <w:r w:rsidR="007D1B2D" w:rsidRPr="00E41E88">
        <w:rPr>
          <w:rFonts w:cs="Times New Roman"/>
          <w:smallCaps/>
          <w:noProof/>
          <w:lang w:val="fr-CA"/>
        </w:rPr>
        <w:t xml:space="preserve">[traduction] </w:t>
      </w:r>
      <w:r w:rsidRPr="00E41E88">
        <w:rPr>
          <w:rFonts w:cs="Times New Roman"/>
          <w:noProof/>
          <w:lang w:val="fr-CA"/>
        </w:rPr>
        <w:t>« agissait d</w:t>
      </w:r>
      <w:r>
        <w:rPr>
          <w:rFonts w:cs="Times New Roman"/>
          <w:noProof/>
          <w:lang w:val="fr-CA"/>
        </w:rPr>
        <w:t>’</w:t>
      </w:r>
      <w:r w:rsidRPr="00E41E88">
        <w:rPr>
          <w:rFonts w:cs="Times New Roman"/>
          <w:noProof/>
          <w:lang w:val="fr-CA"/>
        </w:rPr>
        <w:t>une manière démontrant [son] intention de ne plus être liée par le contrat » (par. 353).</w:t>
      </w:r>
    </w:p>
    <w:p w:rsidR="00DD44E8" w:rsidRPr="00E41E88" w:rsidRDefault="00DD44E8" w:rsidP="00DD44E8">
      <w:pPr>
        <w:pStyle w:val="ParaNoNdepar-AltN"/>
        <w:rPr>
          <w:rFonts w:cs="Times New Roman"/>
          <w:noProof/>
          <w:lang w:val="fr-CA"/>
        </w:rPr>
      </w:pPr>
      <w:r w:rsidRPr="00E41E88">
        <w:rPr>
          <w:rFonts w:cs="Times New Roman"/>
          <w:noProof/>
          <w:lang w:val="fr-CA"/>
        </w:rPr>
        <w:t>S</w:t>
      </w:r>
      <w:r>
        <w:rPr>
          <w:rFonts w:cs="Times New Roman"/>
          <w:noProof/>
          <w:lang w:val="fr-CA"/>
        </w:rPr>
        <w:t>’</w:t>
      </w:r>
      <w:r w:rsidRPr="00E41E88">
        <w:rPr>
          <w:rFonts w:cs="Times New Roman"/>
          <w:noProof/>
          <w:lang w:val="fr-CA"/>
        </w:rPr>
        <w:t xml:space="preserve">appuyant sur les arrêts </w:t>
      </w:r>
      <w:r w:rsidRPr="00E41E88">
        <w:rPr>
          <w:rFonts w:cs="Times New Roman"/>
          <w:i/>
          <w:noProof/>
          <w:lang w:val="fr-CA"/>
        </w:rPr>
        <w:t>Paquette c. TeraGo Networks Inc.</w:t>
      </w:r>
      <w:r w:rsidRPr="00E41E88">
        <w:rPr>
          <w:rFonts w:cs="Times New Roman"/>
          <w:noProof/>
          <w:lang w:val="fr-CA"/>
        </w:rPr>
        <w:t xml:space="preserve">, 2016 ONCA 618, </w:t>
      </w:r>
      <w:r>
        <w:rPr>
          <w:rFonts w:cs="Times New Roman"/>
          <w:noProof/>
          <w:lang w:val="fr-CA"/>
        </w:rPr>
        <w:t xml:space="preserve">352 O.A.C. 1, </w:t>
      </w:r>
      <w:r w:rsidRPr="00E41E88">
        <w:rPr>
          <w:rFonts w:cs="Times New Roman"/>
          <w:noProof/>
          <w:lang w:val="fr-CA"/>
        </w:rPr>
        <w:t xml:space="preserve">et </w:t>
      </w:r>
      <w:r w:rsidRPr="00E41E88">
        <w:rPr>
          <w:rFonts w:cs="Times New Roman"/>
          <w:i/>
          <w:noProof/>
          <w:lang w:val="fr-CA"/>
        </w:rPr>
        <w:t>Lin c. Ontario Teachers</w:t>
      </w:r>
      <w:r>
        <w:rPr>
          <w:rFonts w:cs="Times New Roman"/>
          <w:i/>
          <w:noProof/>
          <w:lang w:val="fr-CA"/>
        </w:rPr>
        <w:t>’</w:t>
      </w:r>
      <w:r w:rsidRPr="00E41E88">
        <w:rPr>
          <w:rFonts w:cs="Times New Roman"/>
          <w:i/>
          <w:noProof/>
          <w:lang w:val="fr-CA"/>
        </w:rPr>
        <w:t xml:space="preserve"> Pension Plan Board</w:t>
      </w:r>
      <w:r w:rsidRPr="00E41E88">
        <w:rPr>
          <w:rFonts w:cs="Times New Roman"/>
          <w:noProof/>
          <w:lang w:val="fr-CA"/>
        </w:rPr>
        <w:t xml:space="preserve">, 2016 ONCA 619, </w:t>
      </w:r>
      <w:r>
        <w:rPr>
          <w:rFonts w:cs="Times New Roman"/>
          <w:noProof/>
          <w:lang w:val="fr-CA"/>
        </w:rPr>
        <w:t xml:space="preserve">352 O.A.C. 10, </w:t>
      </w:r>
      <w:r w:rsidRPr="00E41E88">
        <w:rPr>
          <w:rFonts w:cs="Times New Roman"/>
          <w:noProof/>
          <w:lang w:val="fr-CA"/>
        </w:rPr>
        <w:t>le juge de première instance a déclaré que M. Matthews aurait été un employé à temps plein de l</w:t>
      </w:r>
      <w:r>
        <w:rPr>
          <w:rFonts w:cs="Times New Roman"/>
          <w:noProof/>
          <w:lang w:val="fr-CA"/>
        </w:rPr>
        <w:t>’</w:t>
      </w:r>
      <w:r w:rsidRPr="00E41E88">
        <w:rPr>
          <w:rFonts w:cs="Times New Roman"/>
          <w:noProof/>
          <w:lang w:val="fr-CA"/>
        </w:rPr>
        <w:t>entreprise lorsque l</w:t>
      </w:r>
      <w:r>
        <w:rPr>
          <w:rFonts w:cs="Times New Roman"/>
          <w:noProof/>
          <w:lang w:val="fr-CA"/>
        </w:rPr>
        <w:t>’</w:t>
      </w:r>
      <w:r w:rsidRPr="00E41E88">
        <w:rPr>
          <w:rFonts w:cs="Times New Roman"/>
          <w:noProof/>
          <w:lang w:val="fr-CA"/>
        </w:rPr>
        <w:t xml:space="preserve">événement </w:t>
      </w:r>
      <w:r>
        <w:rPr>
          <w:rFonts w:cs="Times New Roman"/>
          <w:noProof/>
          <w:lang w:val="fr-CA"/>
        </w:rPr>
        <w:t>déclencheur</w:t>
      </w:r>
      <w:r w:rsidRPr="00E41E88">
        <w:rPr>
          <w:rFonts w:cs="Times New Roman"/>
          <w:noProof/>
          <w:lang w:val="fr-CA"/>
        </w:rPr>
        <w:t xml:space="preserve"> s</w:t>
      </w:r>
      <w:r>
        <w:rPr>
          <w:rFonts w:cs="Times New Roman"/>
          <w:noProof/>
          <w:lang w:val="fr-CA"/>
        </w:rPr>
        <w:t>’</w:t>
      </w:r>
      <w:r w:rsidRPr="00E41E88">
        <w:rPr>
          <w:rFonts w:cs="Times New Roman"/>
          <w:noProof/>
          <w:lang w:val="fr-CA"/>
        </w:rPr>
        <w:t>est produit s</w:t>
      </w:r>
      <w:r>
        <w:rPr>
          <w:rFonts w:cs="Times New Roman"/>
          <w:noProof/>
          <w:lang w:val="fr-CA"/>
        </w:rPr>
        <w:t>’</w:t>
      </w:r>
      <w:r w:rsidRPr="00E41E88">
        <w:rPr>
          <w:rFonts w:cs="Times New Roman"/>
          <w:noProof/>
          <w:lang w:val="fr-CA"/>
        </w:rPr>
        <w:t>il n</w:t>
      </w:r>
      <w:r>
        <w:rPr>
          <w:rFonts w:cs="Times New Roman"/>
          <w:noProof/>
          <w:lang w:val="fr-CA"/>
        </w:rPr>
        <w:t>’</w:t>
      </w:r>
      <w:r w:rsidRPr="00E41E88">
        <w:rPr>
          <w:rFonts w:cs="Times New Roman"/>
          <w:noProof/>
          <w:lang w:val="fr-CA"/>
        </w:rPr>
        <w:t>avait pas été l</w:t>
      </w:r>
      <w:r>
        <w:rPr>
          <w:rFonts w:cs="Times New Roman"/>
          <w:noProof/>
          <w:lang w:val="fr-CA"/>
        </w:rPr>
        <w:t>’</w:t>
      </w:r>
      <w:r w:rsidRPr="00E41E88">
        <w:rPr>
          <w:rFonts w:cs="Times New Roman"/>
          <w:noProof/>
          <w:lang w:val="fr-CA"/>
        </w:rPr>
        <w:t>objet d</w:t>
      </w:r>
      <w:r>
        <w:rPr>
          <w:rFonts w:cs="Times New Roman"/>
          <w:noProof/>
          <w:lang w:val="fr-CA"/>
        </w:rPr>
        <w:t>’</w:t>
      </w:r>
      <w:r w:rsidRPr="00E41E88">
        <w:rPr>
          <w:rFonts w:cs="Times New Roman"/>
          <w:noProof/>
          <w:lang w:val="fr-CA"/>
        </w:rPr>
        <w:t>un congédiement déguisé. Comme les modalités du RILT n</w:t>
      </w:r>
      <w:r>
        <w:rPr>
          <w:rFonts w:cs="Times New Roman"/>
          <w:noProof/>
          <w:lang w:val="fr-CA"/>
        </w:rPr>
        <w:t>’</w:t>
      </w:r>
      <w:r w:rsidRPr="00E41E88">
        <w:rPr>
          <w:rFonts w:cs="Times New Roman"/>
          <w:noProof/>
          <w:lang w:val="fr-CA"/>
        </w:rPr>
        <w:t>avaient pas pour effet de limiter ou de supprimer clairement son droit à des dommages</w:t>
      </w:r>
      <w:r w:rsidRPr="00E41E88">
        <w:rPr>
          <w:rFonts w:cs="Times New Roman"/>
          <w:noProof/>
          <w:lang w:val="fr-CA"/>
        </w:rPr>
        <w:noBreakHyphen/>
        <w:t xml:space="preserve">intérêts en vertu de la common law, M. Matthews </w:t>
      </w:r>
      <w:r w:rsidRPr="00E41E88">
        <w:rPr>
          <w:rFonts w:cs="Times New Roman"/>
          <w:noProof/>
          <w:lang w:val="fr-CA"/>
        </w:rPr>
        <w:lastRenderedPageBreak/>
        <w:t>avait droit à des dommages</w:t>
      </w:r>
      <w:r w:rsidRPr="00E41E88">
        <w:rPr>
          <w:rFonts w:cs="Times New Roman"/>
          <w:noProof/>
          <w:lang w:val="fr-CA"/>
        </w:rPr>
        <w:noBreakHyphen/>
        <w:t>intérêts d</w:t>
      </w:r>
      <w:r>
        <w:rPr>
          <w:rFonts w:cs="Times New Roman"/>
          <w:noProof/>
          <w:lang w:val="fr-CA"/>
        </w:rPr>
        <w:t>’</w:t>
      </w:r>
      <w:r w:rsidRPr="00E41E88">
        <w:rPr>
          <w:rFonts w:cs="Times New Roman"/>
          <w:noProof/>
          <w:lang w:val="fr-CA"/>
        </w:rPr>
        <w:t>un montant équivalant au paiement qu</w:t>
      </w:r>
      <w:r>
        <w:rPr>
          <w:rFonts w:cs="Times New Roman"/>
          <w:noProof/>
          <w:lang w:val="fr-CA"/>
        </w:rPr>
        <w:t>’</w:t>
      </w:r>
      <w:r w:rsidRPr="00E41E88">
        <w:rPr>
          <w:rFonts w:cs="Times New Roman"/>
          <w:noProof/>
          <w:lang w:val="fr-CA"/>
        </w:rPr>
        <w:t xml:space="preserve">il aurait reçu en vertu du RILT. </w:t>
      </w:r>
    </w:p>
    <w:p w:rsidR="00DD44E8" w:rsidRPr="00E41E88" w:rsidRDefault="00DD44E8" w:rsidP="00DD44E8">
      <w:pPr>
        <w:pStyle w:val="ParaNoNdepar-AltN"/>
        <w:rPr>
          <w:rFonts w:cs="Times New Roman"/>
          <w:noProof/>
          <w:lang w:val="fr-CA"/>
        </w:rPr>
      </w:pPr>
      <w:r w:rsidRPr="00E41E88">
        <w:rPr>
          <w:rFonts w:cs="Times New Roman"/>
          <w:noProof/>
          <w:lang w:val="fr-CA"/>
        </w:rPr>
        <w:t>Compte tenu de sa conclusion au sujet du RILT, le juge de première instance a écrit qu</w:t>
      </w:r>
      <w:r>
        <w:rPr>
          <w:rFonts w:cs="Times New Roman"/>
          <w:noProof/>
          <w:lang w:val="fr-CA"/>
        </w:rPr>
        <w:t>’</w:t>
      </w:r>
      <w:r w:rsidRPr="00E41E88">
        <w:rPr>
          <w:rFonts w:cs="Times New Roman"/>
          <w:noProof/>
          <w:lang w:val="fr-CA"/>
        </w:rPr>
        <w:t>il était inutile de décider si M. Matthews avait droit à une somme équivalente à titre de réparation pour cause d</w:t>
      </w:r>
      <w:r>
        <w:rPr>
          <w:rFonts w:cs="Times New Roman"/>
          <w:noProof/>
          <w:lang w:val="fr-CA"/>
        </w:rPr>
        <w:t>’</w:t>
      </w:r>
      <w:r w:rsidRPr="00E41E88">
        <w:rPr>
          <w:rFonts w:cs="Times New Roman"/>
          <w:noProof/>
          <w:lang w:val="fr-CA"/>
        </w:rPr>
        <w:t>abus (par. 418). Le juge a également rejeté la demande de dommages</w:t>
      </w:r>
      <w:r w:rsidRPr="00E41E88">
        <w:rPr>
          <w:rFonts w:cs="Times New Roman"/>
          <w:noProof/>
          <w:lang w:val="fr-CA"/>
        </w:rPr>
        <w:noBreakHyphen/>
        <w:t>intérêts punitifs de M. Matthews, car il n</w:t>
      </w:r>
      <w:r>
        <w:rPr>
          <w:rFonts w:cs="Times New Roman"/>
          <w:noProof/>
          <w:lang w:val="fr-CA"/>
        </w:rPr>
        <w:t>’</w:t>
      </w:r>
      <w:r w:rsidRPr="00E41E88">
        <w:rPr>
          <w:rFonts w:cs="Times New Roman"/>
          <w:noProof/>
          <w:lang w:val="fr-CA"/>
        </w:rPr>
        <w:t xml:space="preserve">était pas convaincu que la conduite </w:t>
      </w:r>
      <w:r>
        <w:rPr>
          <w:rFonts w:cs="Times New Roman"/>
          <w:noProof/>
          <w:lang w:val="fr-CA"/>
        </w:rPr>
        <w:t>d’Ocean</w:t>
      </w:r>
      <w:r w:rsidRPr="00E41E88">
        <w:rPr>
          <w:rFonts w:cs="Times New Roman"/>
          <w:noProof/>
          <w:lang w:val="fr-CA"/>
        </w:rPr>
        <w:t xml:space="preserve"> était directement motivée par le désir de priver M. Matthews de ses droits au titre du RILT (par. 422).</w:t>
      </w:r>
    </w:p>
    <w:p w:rsidR="00DD44E8" w:rsidRPr="00E41E88" w:rsidRDefault="00DD44E8" w:rsidP="00DD44E8">
      <w:pPr>
        <w:pStyle w:val="ParaNoNdepar-AltN"/>
        <w:rPr>
          <w:rFonts w:cs="Times New Roman"/>
          <w:noProof/>
          <w:lang w:val="fr-CA"/>
        </w:rPr>
      </w:pPr>
      <w:r w:rsidRPr="00E41E88">
        <w:rPr>
          <w:rFonts w:cs="Times New Roman"/>
          <w:noProof/>
          <w:lang w:val="fr-CA"/>
        </w:rPr>
        <w:t>Sur la base de ses conclusions, le juge de première instance a accordé à M. Matthews des dommages</w:t>
      </w:r>
      <w:r w:rsidRPr="00E41E88">
        <w:rPr>
          <w:rFonts w:cs="Times New Roman"/>
          <w:noProof/>
          <w:lang w:val="fr-CA"/>
        </w:rPr>
        <w:noBreakHyphen/>
        <w:t>intérêts pour sa perte de revenus, une somme de 1 086 893,36 $ pour la perte du paiement prévu par le RILT qu</w:t>
      </w:r>
      <w:r>
        <w:rPr>
          <w:rFonts w:cs="Times New Roman"/>
          <w:noProof/>
          <w:lang w:val="fr-CA"/>
        </w:rPr>
        <w:t>’</w:t>
      </w:r>
      <w:r w:rsidRPr="00E41E88">
        <w:rPr>
          <w:rFonts w:cs="Times New Roman"/>
          <w:noProof/>
          <w:lang w:val="fr-CA"/>
        </w:rPr>
        <w:t>il aurait reçu pendant la période de préavis et la perte d</w:t>
      </w:r>
      <w:r>
        <w:rPr>
          <w:rFonts w:cs="Times New Roman"/>
          <w:noProof/>
          <w:lang w:val="fr-CA"/>
        </w:rPr>
        <w:t>’</w:t>
      </w:r>
      <w:r w:rsidRPr="00E41E88">
        <w:rPr>
          <w:rFonts w:cs="Times New Roman"/>
          <w:noProof/>
          <w:lang w:val="fr-CA"/>
        </w:rPr>
        <w:t>autres avantages, moins une somme de 78 000 $ au titre de l</w:t>
      </w:r>
      <w:r>
        <w:rPr>
          <w:rFonts w:cs="Times New Roman"/>
          <w:noProof/>
          <w:lang w:val="fr-CA"/>
        </w:rPr>
        <w:t>’</w:t>
      </w:r>
      <w:r w:rsidRPr="00E41E88">
        <w:rPr>
          <w:rFonts w:cs="Times New Roman"/>
          <w:noProof/>
          <w:lang w:val="fr-CA"/>
        </w:rPr>
        <w:t>atténuation des dommages, qui correspondait à la rémunération que lui avait versée son nouvel employeur.</w:t>
      </w:r>
    </w:p>
    <w:p w:rsidR="00DD44E8" w:rsidRPr="00E41E88" w:rsidRDefault="00DD44E8" w:rsidP="00DD44E8">
      <w:pPr>
        <w:pStyle w:val="ParaNoNdepar-AltN"/>
        <w:rPr>
          <w:rFonts w:cs="Times New Roman"/>
          <w:noProof/>
          <w:lang w:val="fr-CA"/>
        </w:rPr>
      </w:pPr>
      <w:r w:rsidRPr="00E41E88">
        <w:rPr>
          <w:rFonts w:cs="Times New Roman"/>
          <w:noProof/>
          <w:lang w:val="fr-CA"/>
        </w:rPr>
        <w:t>Le juge de première instance a écrit des motifs supplémentaires relatifs au montant des dommages‑intérêts qu</w:t>
      </w:r>
      <w:r>
        <w:rPr>
          <w:rFonts w:cs="Times New Roman"/>
          <w:noProof/>
          <w:lang w:val="fr-CA"/>
        </w:rPr>
        <w:t>’</w:t>
      </w:r>
      <w:r w:rsidRPr="00E41E88">
        <w:rPr>
          <w:rFonts w:cs="Times New Roman"/>
          <w:noProof/>
          <w:lang w:val="fr-CA"/>
        </w:rPr>
        <w:t>il convenait d</w:t>
      </w:r>
      <w:r>
        <w:rPr>
          <w:rFonts w:cs="Times New Roman"/>
          <w:noProof/>
          <w:lang w:val="fr-CA"/>
        </w:rPr>
        <w:t>’</w:t>
      </w:r>
      <w:r w:rsidRPr="00E41E88">
        <w:rPr>
          <w:rFonts w:cs="Times New Roman"/>
          <w:noProof/>
          <w:lang w:val="fr-CA"/>
        </w:rPr>
        <w:t>accorder pour la période de préavis raisonnable (2017 NSSC 123). La décision sur les dépens a été reportée jusqu</w:t>
      </w:r>
      <w:r>
        <w:rPr>
          <w:rFonts w:cs="Times New Roman"/>
          <w:noProof/>
          <w:lang w:val="fr-CA"/>
        </w:rPr>
        <w:t>’</w:t>
      </w:r>
      <w:r w:rsidRPr="00E41E88">
        <w:rPr>
          <w:rFonts w:cs="Times New Roman"/>
          <w:noProof/>
          <w:lang w:val="fr-CA"/>
        </w:rPr>
        <w:t>à la tenue d</w:t>
      </w:r>
      <w:r>
        <w:rPr>
          <w:rFonts w:cs="Times New Roman"/>
          <w:noProof/>
          <w:lang w:val="fr-CA"/>
        </w:rPr>
        <w:t>’</w:t>
      </w:r>
      <w:r w:rsidRPr="00E41E88">
        <w:rPr>
          <w:rFonts w:cs="Times New Roman"/>
          <w:noProof/>
          <w:lang w:val="fr-CA"/>
        </w:rPr>
        <w:t>une audience sur la question. Ce volet de l</w:t>
      </w:r>
      <w:r>
        <w:rPr>
          <w:rFonts w:cs="Times New Roman"/>
          <w:noProof/>
          <w:lang w:val="fr-CA"/>
        </w:rPr>
        <w:t>’</w:t>
      </w:r>
      <w:r w:rsidRPr="00E41E88">
        <w:rPr>
          <w:rFonts w:cs="Times New Roman"/>
          <w:noProof/>
          <w:lang w:val="fr-CA"/>
        </w:rPr>
        <w:t>affaire a été suspendu pendant la durée des procédures d</w:t>
      </w:r>
      <w:r>
        <w:rPr>
          <w:rFonts w:cs="Times New Roman"/>
          <w:noProof/>
          <w:lang w:val="fr-CA"/>
        </w:rPr>
        <w:t>’</w:t>
      </w:r>
      <w:r w:rsidRPr="00E41E88">
        <w:rPr>
          <w:rFonts w:cs="Times New Roman"/>
          <w:noProof/>
          <w:lang w:val="fr-CA"/>
        </w:rPr>
        <w:t>appel.</w:t>
      </w:r>
    </w:p>
    <w:p w:rsidR="00DD44E8" w:rsidRPr="00E41E88" w:rsidRDefault="00DD44E8" w:rsidP="00DD44E8">
      <w:pPr>
        <w:pStyle w:val="Title2LevelTitre2Niveau"/>
        <w:keepNext w:val="0"/>
        <w:rPr>
          <w:rFonts w:cs="Times New Roman"/>
          <w:i w:val="0"/>
          <w:noProof/>
          <w:lang w:val="fr-CA"/>
        </w:rPr>
      </w:pPr>
      <w:r w:rsidRPr="00E41E88">
        <w:rPr>
          <w:rFonts w:cs="Times New Roman"/>
          <w:noProof/>
          <w:lang w:val="fr-CA"/>
        </w:rPr>
        <w:lastRenderedPageBreak/>
        <w:t>Cour d</w:t>
      </w:r>
      <w:r>
        <w:rPr>
          <w:rFonts w:cs="Times New Roman"/>
          <w:noProof/>
          <w:lang w:val="fr-CA"/>
        </w:rPr>
        <w:t>’</w:t>
      </w:r>
      <w:r w:rsidRPr="00E41E88">
        <w:rPr>
          <w:rFonts w:cs="Times New Roman"/>
          <w:noProof/>
          <w:lang w:val="fr-CA"/>
        </w:rPr>
        <w:t>appel de la Nouvelle</w:t>
      </w:r>
      <w:r w:rsidRPr="00E41E88">
        <w:rPr>
          <w:rFonts w:cs="Times New Roman"/>
          <w:noProof/>
          <w:lang w:val="fr-CA"/>
        </w:rPr>
        <w:noBreakHyphen/>
        <w:t>Écosse (les juges Farrar et Bryson</w:t>
      </w:r>
      <w:r>
        <w:rPr>
          <w:rFonts w:cs="Times New Roman"/>
          <w:noProof/>
          <w:lang w:val="fr-CA"/>
        </w:rPr>
        <w:t>,</w:t>
      </w:r>
      <w:r w:rsidRPr="00E41E88">
        <w:rPr>
          <w:rFonts w:cs="Times New Roman"/>
          <w:noProof/>
          <w:lang w:val="fr-CA"/>
        </w:rPr>
        <w:t xml:space="preserve"> motifs dissidents du juge </w:t>
      </w:r>
      <w:r>
        <w:rPr>
          <w:rFonts w:cs="Times New Roman"/>
          <w:noProof/>
          <w:lang w:val="fr-CA"/>
        </w:rPr>
        <w:t>Scanla</w:t>
      </w:r>
      <w:r w:rsidRPr="00E41E88">
        <w:rPr>
          <w:rFonts w:cs="Times New Roman"/>
          <w:noProof/>
          <w:lang w:val="fr-CA"/>
        </w:rPr>
        <w:t>n)</w:t>
      </w:r>
    </w:p>
    <w:p w:rsidR="00DD44E8" w:rsidRPr="00E41E88" w:rsidRDefault="00DD44E8" w:rsidP="00DD44E8">
      <w:pPr>
        <w:pStyle w:val="ParaNoNdepar-AltN"/>
        <w:rPr>
          <w:rFonts w:cs="Times New Roman"/>
          <w:noProof/>
          <w:lang w:val="fr-CA"/>
        </w:rPr>
      </w:pPr>
      <w:r w:rsidRPr="00E41E88">
        <w:rPr>
          <w:rFonts w:cs="Times New Roman"/>
          <w:noProof/>
          <w:lang w:val="fr-CA"/>
        </w:rPr>
        <w:t>Les juges de la Cour d</w:t>
      </w:r>
      <w:r>
        <w:rPr>
          <w:rFonts w:cs="Times New Roman"/>
          <w:noProof/>
          <w:lang w:val="fr-CA"/>
        </w:rPr>
        <w:t>’</w:t>
      </w:r>
      <w:r w:rsidRPr="00E41E88">
        <w:rPr>
          <w:rFonts w:cs="Times New Roman"/>
          <w:noProof/>
          <w:lang w:val="fr-CA"/>
        </w:rPr>
        <w:t>appel étaient tous d</w:t>
      </w:r>
      <w:r>
        <w:rPr>
          <w:rFonts w:cs="Times New Roman"/>
          <w:noProof/>
          <w:lang w:val="fr-CA"/>
        </w:rPr>
        <w:t>’</w:t>
      </w:r>
      <w:r w:rsidRPr="00E41E88">
        <w:rPr>
          <w:rFonts w:cs="Times New Roman"/>
          <w:noProof/>
          <w:lang w:val="fr-CA"/>
        </w:rPr>
        <w:t>accord pour dire que l</w:t>
      </w:r>
      <w:r>
        <w:rPr>
          <w:rFonts w:cs="Times New Roman"/>
          <w:noProof/>
          <w:lang w:val="fr-CA"/>
        </w:rPr>
        <w:t>’</w:t>
      </w:r>
      <w:r w:rsidRPr="00E41E88">
        <w:rPr>
          <w:rFonts w:cs="Times New Roman"/>
          <w:noProof/>
          <w:lang w:val="fr-CA"/>
        </w:rPr>
        <w:t>action initiale de M. Matthews en congédiement injustifié et en réparation pour cause d</w:t>
      </w:r>
      <w:r>
        <w:rPr>
          <w:rFonts w:cs="Times New Roman"/>
          <w:noProof/>
          <w:lang w:val="fr-CA"/>
        </w:rPr>
        <w:t>’</w:t>
      </w:r>
      <w:r w:rsidRPr="00E41E88">
        <w:rPr>
          <w:rFonts w:cs="Times New Roman"/>
          <w:noProof/>
          <w:lang w:val="fr-CA"/>
        </w:rPr>
        <w:t>abus s</w:t>
      </w:r>
      <w:r>
        <w:rPr>
          <w:rFonts w:cs="Times New Roman"/>
          <w:noProof/>
          <w:lang w:val="fr-CA"/>
        </w:rPr>
        <w:t>’</w:t>
      </w:r>
      <w:r w:rsidRPr="00E41E88">
        <w:rPr>
          <w:rFonts w:cs="Times New Roman"/>
          <w:noProof/>
          <w:lang w:val="fr-CA"/>
        </w:rPr>
        <w:t xml:space="preserve">était </w:t>
      </w:r>
      <w:r w:rsidRPr="00E41E88">
        <w:rPr>
          <w:rFonts w:cs="Times New Roman"/>
          <w:smallCaps/>
          <w:noProof/>
          <w:lang w:val="fr-CA"/>
        </w:rPr>
        <w:t>[traduction]</w:t>
      </w:r>
      <w:r>
        <w:rPr>
          <w:rFonts w:cs="Times New Roman"/>
          <w:smallCaps/>
          <w:noProof/>
          <w:lang w:val="fr-CA"/>
        </w:rPr>
        <w:t xml:space="preserve"> </w:t>
      </w:r>
      <w:r w:rsidRPr="00E41E88">
        <w:rPr>
          <w:rFonts w:cs="Times New Roman"/>
          <w:noProof/>
          <w:lang w:val="fr-CA"/>
        </w:rPr>
        <w:t>« transformée » en une action pour congédiement déguisé (2018 NSCA 44, 48 C.C.E.L. (4th) 171, par. 1 et 151). En acceptant les conclusions de fait du juge de première instance, la Cour d</w:t>
      </w:r>
      <w:r>
        <w:rPr>
          <w:rFonts w:cs="Times New Roman"/>
          <w:noProof/>
          <w:lang w:val="fr-CA"/>
        </w:rPr>
        <w:t>’</w:t>
      </w:r>
      <w:r w:rsidRPr="00E41E88">
        <w:rPr>
          <w:rFonts w:cs="Times New Roman"/>
          <w:noProof/>
          <w:lang w:val="fr-CA"/>
        </w:rPr>
        <w:t>appel a confirmé à l</w:t>
      </w:r>
      <w:r>
        <w:rPr>
          <w:rFonts w:cs="Times New Roman"/>
          <w:noProof/>
          <w:lang w:val="fr-CA"/>
        </w:rPr>
        <w:t>’</w:t>
      </w:r>
      <w:r w:rsidRPr="00E41E88">
        <w:rPr>
          <w:rFonts w:cs="Times New Roman"/>
          <w:noProof/>
          <w:lang w:val="fr-CA"/>
        </w:rPr>
        <w:t>unanimité la décision de celui</w:t>
      </w:r>
      <w:r w:rsidRPr="00E41E88">
        <w:rPr>
          <w:rFonts w:cs="Times New Roman"/>
          <w:noProof/>
          <w:lang w:val="fr-CA"/>
        </w:rPr>
        <w:noBreakHyphen/>
        <w:t>ci portant que M. Matthews avait fait l</w:t>
      </w:r>
      <w:r>
        <w:rPr>
          <w:rFonts w:cs="Times New Roman"/>
          <w:noProof/>
          <w:lang w:val="fr-CA"/>
        </w:rPr>
        <w:t>’</w:t>
      </w:r>
      <w:r w:rsidRPr="00E41E88">
        <w:rPr>
          <w:rFonts w:cs="Times New Roman"/>
          <w:noProof/>
          <w:lang w:val="fr-CA"/>
        </w:rPr>
        <w:t>objet d</w:t>
      </w:r>
      <w:r>
        <w:rPr>
          <w:rFonts w:cs="Times New Roman"/>
          <w:noProof/>
          <w:lang w:val="fr-CA"/>
        </w:rPr>
        <w:t>’</w:t>
      </w:r>
      <w:r w:rsidRPr="00E41E88">
        <w:rPr>
          <w:rFonts w:cs="Times New Roman"/>
          <w:noProof/>
          <w:lang w:val="fr-CA"/>
        </w:rPr>
        <w:t>un congédiement déguisé et que le préavis raisonnable approprié était de 15 mois. Les juges de la Cour d</w:t>
      </w:r>
      <w:r>
        <w:rPr>
          <w:rFonts w:cs="Times New Roman"/>
          <w:noProof/>
          <w:lang w:val="fr-CA"/>
        </w:rPr>
        <w:t>’</w:t>
      </w:r>
      <w:r w:rsidRPr="00E41E88">
        <w:rPr>
          <w:rFonts w:cs="Times New Roman"/>
          <w:noProof/>
          <w:lang w:val="fr-CA"/>
        </w:rPr>
        <w:t>appel ont toutefois différé d</w:t>
      </w:r>
      <w:r>
        <w:rPr>
          <w:rFonts w:cs="Times New Roman"/>
          <w:noProof/>
          <w:lang w:val="fr-CA"/>
        </w:rPr>
        <w:t>’</w:t>
      </w:r>
      <w:r w:rsidRPr="00E41E88">
        <w:rPr>
          <w:rFonts w:cs="Times New Roman"/>
          <w:noProof/>
          <w:lang w:val="fr-CA"/>
        </w:rPr>
        <w:t>opinions sur la question des dommages</w:t>
      </w:r>
      <w:r w:rsidRPr="00E41E88">
        <w:rPr>
          <w:rFonts w:cs="Times New Roman"/>
          <w:noProof/>
          <w:lang w:val="fr-CA"/>
        </w:rPr>
        <w:noBreakHyphen/>
        <w:t>intérêts et sur la pertinence de l</w:t>
      </w:r>
      <w:r>
        <w:rPr>
          <w:rFonts w:cs="Times New Roman"/>
          <w:noProof/>
          <w:lang w:val="fr-CA"/>
        </w:rPr>
        <w:t>’</w:t>
      </w:r>
      <w:r w:rsidRPr="00E41E88">
        <w:rPr>
          <w:rFonts w:cs="Times New Roman"/>
          <w:noProof/>
          <w:lang w:val="fr-CA"/>
        </w:rPr>
        <w:t>obligation d</w:t>
      </w:r>
      <w:r>
        <w:rPr>
          <w:rFonts w:cs="Times New Roman"/>
          <w:noProof/>
          <w:lang w:val="fr-CA"/>
        </w:rPr>
        <w:t>’</w:t>
      </w:r>
      <w:r w:rsidRPr="00E41E88">
        <w:rPr>
          <w:rFonts w:cs="Times New Roman"/>
          <w:noProof/>
          <w:lang w:val="fr-CA"/>
        </w:rPr>
        <w:t xml:space="preserve">agir de bonne foi. </w:t>
      </w:r>
    </w:p>
    <w:p w:rsidR="00DD44E8" w:rsidRPr="00E41E88" w:rsidRDefault="00DD44E8" w:rsidP="00DD44E8">
      <w:pPr>
        <w:pStyle w:val="Title3LevelTitre3Niveau"/>
        <w:keepNext w:val="0"/>
        <w:rPr>
          <w:rFonts w:cs="Times New Roman"/>
          <w:noProof/>
          <w:lang w:val="fr-CA"/>
        </w:rPr>
      </w:pPr>
      <w:r w:rsidRPr="00E41E88">
        <w:rPr>
          <w:rFonts w:cs="Times New Roman"/>
          <w:noProof/>
          <w:lang w:val="fr-CA"/>
        </w:rPr>
        <w:t>Motifs de la majorité (le juge Farrar</w:t>
      </w:r>
      <w:r>
        <w:rPr>
          <w:rFonts w:cs="Times New Roman"/>
          <w:noProof/>
          <w:lang w:val="fr-CA"/>
        </w:rPr>
        <w:t>,</w:t>
      </w:r>
      <w:r w:rsidRPr="00E41E88">
        <w:rPr>
          <w:rFonts w:cs="Times New Roman"/>
          <w:noProof/>
          <w:lang w:val="fr-CA"/>
        </w:rPr>
        <w:t xml:space="preserve"> avec l</w:t>
      </w:r>
      <w:r>
        <w:rPr>
          <w:rFonts w:cs="Times New Roman"/>
          <w:noProof/>
          <w:lang w:val="fr-CA"/>
        </w:rPr>
        <w:t>’accord</w:t>
      </w:r>
      <w:r w:rsidRPr="00E41E88">
        <w:rPr>
          <w:rFonts w:cs="Times New Roman"/>
          <w:noProof/>
          <w:lang w:val="fr-CA"/>
        </w:rPr>
        <w:t xml:space="preserve"> du juge Bryson) </w:t>
      </w:r>
    </w:p>
    <w:p w:rsidR="00DD44E8" w:rsidRPr="00E41E88" w:rsidRDefault="00DD44E8" w:rsidP="00DD44E8">
      <w:pPr>
        <w:pStyle w:val="ParaNoNdepar-AltN"/>
        <w:rPr>
          <w:rFonts w:cs="Times New Roman"/>
          <w:noProof/>
          <w:lang w:val="fr-CA"/>
        </w:rPr>
      </w:pPr>
      <w:r w:rsidRPr="00E41E88">
        <w:rPr>
          <w:rFonts w:cs="Times New Roman"/>
          <w:noProof/>
          <w:lang w:val="fr-CA"/>
        </w:rPr>
        <w:t>Les juges majoritaires n</w:t>
      </w:r>
      <w:r>
        <w:rPr>
          <w:rFonts w:cs="Times New Roman"/>
          <w:noProof/>
          <w:lang w:val="fr-CA"/>
        </w:rPr>
        <w:t>’</w:t>
      </w:r>
      <w:r w:rsidRPr="00E41E88">
        <w:rPr>
          <w:rFonts w:cs="Times New Roman"/>
          <w:noProof/>
          <w:lang w:val="fr-CA"/>
        </w:rPr>
        <w:t>ont pas souscrit à l</w:t>
      </w:r>
      <w:r>
        <w:rPr>
          <w:rFonts w:cs="Times New Roman"/>
          <w:noProof/>
          <w:lang w:val="fr-CA"/>
        </w:rPr>
        <w:t>’</w:t>
      </w:r>
      <w:r w:rsidRPr="00E41E88">
        <w:rPr>
          <w:rFonts w:cs="Times New Roman"/>
          <w:noProof/>
          <w:lang w:val="fr-CA"/>
        </w:rPr>
        <w:t>opinion du juge de première instance suivant laquelle M. Matthews avait droit à des dommages</w:t>
      </w:r>
      <w:r w:rsidRPr="00E41E88">
        <w:rPr>
          <w:rFonts w:cs="Times New Roman"/>
          <w:noProof/>
          <w:lang w:val="fr-CA"/>
        </w:rPr>
        <w:noBreakHyphen/>
        <w:t>intérêts pour la perte du paiement prévu par le RILT. À leur avis, le premier juge avait confondu le droit d</w:t>
      </w:r>
      <w:r>
        <w:rPr>
          <w:rFonts w:cs="Times New Roman"/>
          <w:noProof/>
          <w:lang w:val="fr-CA"/>
        </w:rPr>
        <w:t>’</w:t>
      </w:r>
      <w:r w:rsidRPr="00E41E88">
        <w:rPr>
          <w:rFonts w:cs="Times New Roman"/>
          <w:noProof/>
          <w:lang w:val="fr-CA"/>
        </w:rPr>
        <w:t>un employé à un préavis raisonnable et la capacité d</w:t>
      </w:r>
      <w:r>
        <w:rPr>
          <w:rFonts w:cs="Times New Roman"/>
          <w:noProof/>
          <w:lang w:val="fr-CA"/>
        </w:rPr>
        <w:t>’</w:t>
      </w:r>
      <w:r w:rsidRPr="00E41E88">
        <w:rPr>
          <w:rFonts w:cs="Times New Roman"/>
          <w:noProof/>
          <w:lang w:val="fr-CA"/>
        </w:rPr>
        <w:t>un employé de toucher une prime en vertu d</w:t>
      </w:r>
      <w:r>
        <w:rPr>
          <w:rFonts w:cs="Times New Roman"/>
          <w:noProof/>
          <w:lang w:val="fr-CA"/>
        </w:rPr>
        <w:t>’</w:t>
      </w:r>
      <w:r w:rsidRPr="00E41E88">
        <w:rPr>
          <w:rFonts w:cs="Times New Roman"/>
          <w:noProof/>
          <w:lang w:val="fr-CA"/>
        </w:rPr>
        <w:t>un régime d</w:t>
      </w:r>
      <w:r>
        <w:rPr>
          <w:rFonts w:cs="Times New Roman"/>
          <w:noProof/>
          <w:lang w:val="fr-CA"/>
        </w:rPr>
        <w:t>’</w:t>
      </w:r>
      <w:r w:rsidRPr="00E41E88">
        <w:rPr>
          <w:rFonts w:cs="Times New Roman"/>
          <w:noProof/>
          <w:lang w:val="fr-CA"/>
        </w:rPr>
        <w:t xml:space="preserve">intéressement. La véritable question, selon les juges majoritaires, consistait plutôt à se demander </w:t>
      </w:r>
      <w:r w:rsidRPr="00E41E88">
        <w:rPr>
          <w:rFonts w:cs="Times New Roman"/>
          <w:smallCaps/>
          <w:noProof/>
          <w:lang w:val="fr-CA"/>
        </w:rPr>
        <w:t xml:space="preserve">[traduction] </w:t>
      </w:r>
      <w:r w:rsidRPr="00E41E88">
        <w:rPr>
          <w:rFonts w:cs="Times New Roman"/>
          <w:noProof/>
          <w:lang w:val="fr-CA"/>
        </w:rPr>
        <w:t>« si l</w:t>
      </w:r>
      <w:r>
        <w:rPr>
          <w:rFonts w:cs="Times New Roman"/>
          <w:noProof/>
          <w:lang w:val="fr-CA"/>
        </w:rPr>
        <w:t>’</w:t>
      </w:r>
      <w:r w:rsidRPr="00E41E88">
        <w:rPr>
          <w:rFonts w:cs="Times New Roman"/>
          <w:noProof/>
          <w:lang w:val="fr-CA"/>
        </w:rPr>
        <w:t>employé [était] admissible selon les modalités de l</w:t>
      </w:r>
      <w:r>
        <w:rPr>
          <w:rFonts w:cs="Times New Roman"/>
          <w:noProof/>
          <w:lang w:val="fr-CA"/>
        </w:rPr>
        <w:t>’</w:t>
      </w:r>
      <w:r w:rsidRPr="00E41E88">
        <w:rPr>
          <w:rFonts w:cs="Times New Roman"/>
          <w:noProof/>
          <w:lang w:val="fr-CA"/>
        </w:rPr>
        <w:t xml:space="preserve">entente » (par. 63). </w:t>
      </w:r>
    </w:p>
    <w:p w:rsidR="00DD44E8" w:rsidRPr="00E41E88" w:rsidRDefault="00DD44E8" w:rsidP="00DD44E8">
      <w:pPr>
        <w:pStyle w:val="ParaNoNdepar-AltN"/>
        <w:rPr>
          <w:rFonts w:cs="Times New Roman"/>
          <w:noProof/>
          <w:lang w:val="fr-CA"/>
        </w:rPr>
      </w:pPr>
      <w:r w:rsidRPr="00E41E88">
        <w:rPr>
          <w:rFonts w:cs="Times New Roman"/>
          <w:noProof/>
          <w:lang w:val="fr-CA"/>
        </w:rPr>
        <w:lastRenderedPageBreak/>
        <w:t>De l</w:t>
      </w:r>
      <w:r>
        <w:rPr>
          <w:rFonts w:cs="Times New Roman"/>
          <w:noProof/>
          <w:lang w:val="fr-CA"/>
        </w:rPr>
        <w:t>’</w:t>
      </w:r>
      <w:r w:rsidRPr="00E41E88">
        <w:rPr>
          <w:rFonts w:cs="Times New Roman"/>
          <w:noProof/>
          <w:lang w:val="fr-CA"/>
        </w:rPr>
        <w:t>avis des juges majoritaires, la clause 2.03 du RILT n</w:t>
      </w:r>
      <w:r>
        <w:rPr>
          <w:rFonts w:cs="Times New Roman"/>
          <w:noProof/>
          <w:lang w:val="fr-CA"/>
        </w:rPr>
        <w:t>’</w:t>
      </w:r>
      <w:r w:rsidRPr="00E41E88">
        <w:rPr>
          <w:rFonts w:cs="Times New Roman"/>
          <w:noProof/>
          <w:lang w:val="fr-CA"/>
        </w:rPr>
        <w:t>était pas ambiguë et permettait de conclure que M. Matthews a cessé d</w:t>
      </w:r>
      <w:r>
        <w:rPr>
          <w:rFonts w:cs="Times New Roman"/>
          <w:noProof/>
          <w:lang w:val="fr-CA"/>
        </w:rPr>
        <w:t>’</w:t>
      </w:r>
      <w:r w:rsidRPr="00E41E88">
        <w:rPr>
          <w:rFonts w:cs="Times New Roman"/>
          <w:noProof/>
          <w:lang w:val="fr-CA"/>
        </w:rPr>
        <w:t>avoir droit à la prime prévue par le régime dès qu</w:t>
      </w:r>
      <w:r>
        <w:rPr>
          <w:rFonts w:cs="Times New Roman"/>
          <w:noProof/>
          <w:lang w:val="fr-CA"/>
        </w:rPr>
        <w:t>’</w:t>
      </w:r>
      <w:r w:rsidRPr="00E41E88">
        <w:rPr>
          <w:rFonts w:cs="Times New Roman"/>
          <w:noProof/>
          <w:lang w:val="fr-CA"/>
        </w:rPr>
        <w:t>il a quitté Ocean. Ils ont en outre statué que la clause 2.05 indiquait clairement que le RILT ne pouvait pas être utilisé pour le calcul d</w:t>
      </w:r>
      <w:r>
        <w:rPr>
          <w:rFonts w:cs="Times New Roman"/>
          <w:noProof/>
          <w:lang w:val="fr-CA"/>
        </w:rPr>
        <w:t>’</w:t>
      </w:r>
      <w:r w:rsidRPr="00E41E88">
        <w:rPr>
          <w:rFonts w:cs="Times New Roman"/>
          <w:noProof/>
          <w:lang w:val="fr-CA"/>
        </w:rPr>
        <w:t>une indemnité de départ, ce qu</w:t>
      </w:r>
      <w:r>
        <w:rPr>
          <w:rFonts w:cs="Times New Roman"/>
          <w:noProof/>
          <w:lang w:val="fr-CA"/>
        </w:rPr>
        <w:t>’</w:t>
      </w:r>
      <w:r w:rsidRPr="00E41E88">
        <w:rPr>
          <w:rFonts w:cs="Times New Roman"/>
          <w:noProof/>
          <w:lang w:val="fr-CA"/>
        </w:rPr>
        <w:t>avait fait à tort le juge de première instance selon eux. Tout comme dans l</w:t>
      </w:r>
      <w:r>
        <w:rPr>
          <w:rFonts w:cs="Times New Roman"/>
          <w:noProof/>
          <w:lang w:val="fr-CA"/>
        </w:rPr>
        <w:t>’</w:t>
      </w:r>
      <w:r w:rsidRPr="00E41E88">
        <w:rPr>
          <w:rFonts w:cs="Times New Roman"/>
          <w:noProof/>
          <w:lang w:val="fr-CA"/>
        </w:rPr>
        <w:t xml:space="preserve">affaire </w:t>
      </w:r>
      <w:r w:rsidRPr="00E41E88">
        <w:rPr>
          <w:rFonts w:cs="Times New Roman"/>
          <w:i/>
          <w:noProof/>
          <w:lang w:val="fr-CA"/>
        </w:rPr>
        <w:t>Styles c. Alberta I</w:t>
      </w:r>
      <w:r w:rsidR="00511950">
        <w:rPr>
          <w:rFonts w:cs="Times New Roman"/>
          <w:i/>
          <w:noProof/>
          <w:lang w:val="fr-CA"/>
        </w:rPr>
        <w:t>nvestment Management Corp.</w:t>
      </w:r>
      <w:r w:rsidRPr="00E41E88">
        <w:rPr>
          <w:rFonts w:cs="Times New Roman"/>
          <w:noProof/>
          <w:lang w:val="fr-CA"/>
        </w:rPr>
        <w:t xml:space="preserve">, 2017 ABCA 1, </w:t>
      </w:r>
      <w:r>
        <w:rPr>
          <w:rFonts w:cs="Times New Roman"/>
          <w:noProof/>
          <w:lang w:val="fr-CA"/>
        </w:rPr>
        <w:t>44 Alta</w:t>
      </w:r>
      <w:r w:rsidR="00511950">
        <w:rPr>
          <w:rFonts w:cs="Times New Roman"/>
          <w:noProof/>
          <w:lang w:val="fr-CA"/>
        </w:rPr>
        <w:t>.</w:t>
      </w:r>
      <w:r>
        <w:rPr>
          <w:rFonts w:cs="Times New Roman"/>
          <w:noProof/>
          <w:lang w:val="fr-CA"/>
        </w:rPr>
        <w:t xml:space="preserve"> L.R. (6th) 214, </w:t>
      </w:r>
      <w:r w:rsidRPr="00E41E88">
        <w:rPr>
          <w:rFonts w:cs="Times New Roman"/>
          <w:noProof/>
          <w:lang w:val="fr-CA"/>
        </w:rPr>
        <w:t>le libellé clair et non ambigu du RILT privait donc M. Matthews de la possibilité de toucher une prime au titre de ce régime.</w:t>
      </w:r>
    </w:p>
    <w:p w:rsidR="00DD44E8" w:rsidRPr="00E41E88" w:rsidRDefault="00DD44E8" w:rsidP="00DD44E8">
      <w:pPr>
        <w:pStyle w:val="ParaNoNdepar-AltN"/>
        <w:rPr>
          <w:rFonts w:cs="Times New Roman"/>
          <w:noProof/>
          <w:lang w:val="fr-CA"/>
        </w:rPr>
      </w:pPr>
      <w:r w:rsidRPr="00E41E88">
        <w:rPr>
          <w:rFonts w:cs="Times New Roman"/>
          <w:noProof/>
          <w:lang w:val="fr-CA"/>
        </w:rPr>
        <w:t xml:space="preserve">Les juges majoritaires ont poursuivi en commentant les motifs de leur collègue dissident. Premièrement, ils ont fait remarquer que </w:t>
      </w:r>
      <w:r w:rsidRPr="00E41E88">
        <w:rPr>
          <w:rFonts w:cs="Times New Roman"/>
          <w:smallCaps/>
          <w:noProof/>
          <w:lang w:val="fr-CA"/>
        </w:rPr>
        <w:t>[traduction]</w:t>
      </w:r>
      <w:r>
        <w:rPr>
          <w:rFonts w:cs="Times New Roman"/>
          <w:smallCaps/>
          <w:noProof/>
          <w:lang w:val="fr-CA"/>
        </w:rPr>
        <w:t xml:space="preserve"> </w:t>
      </w:r>
      <w:r w:rsidRPr="00E41E88">
        <w:rPr>
          <w:rFonts w:cs="Times New Roman"/>
          <w:noProof/>
          <w:lang w:val="fr-CA"/>
        </w:rPr>
        <w:t>«</w:t>
      </w:r>
      <w:r>
        <w:rPr>
          <w:rFonts w:cs="Times New Roman"/>
          <w:noProof/>
          <w:lang w:val="fr-CA"/>
        </w:rPr>
        <w:t> </w:t>
      </w:r>
      <w:r w:rsidRPr="00E41E88">
        <w:rPr>
          <w:rFonts w:cs="Times New Roman"/>
          <w:noProof/>
          <w:lang w:val="fr-CA"/>
        </w:rPr>
        <w:t>[l]</w:t>
      </w:r>
      <w:r>
        <w:rPr>
          <w:rFonts w:cs="Times New Roman"/>
          <w:noProof/>
          <w:lang w:val="fr-CA"/>
        </w:rPr>
        <w:t>’</w:t>
      </w:r>
      <w:r w:rsidRPr="00E41E88">
        <w:rPr>
          <w:rFonts w:cs="Times New Roman"/>
          <w:noProof/>
          <w:lang w:val="fr-CA"/>
        </w:rPr>
        <w:t>issue aurait été différente si le juge qui présidait l</w:t>
      </w:r>
      <w:r>
        <w:rPr>
          <w:rFonts w:cs="Times New Roman"/>
          <w:noProof/>
          <w:lang w:val="fr-CA"/>
        </w:rPr>
        <w:t>’</w:t>
      </w:r>
      <w:r w:rsidRPr="00E41E88">
        <w:rPr>
          <w:rFonts w:cs="Times New Roman"/>
          <w:noProof/>
          <w:lang w:val="fr-CA"/>
        </w:rPr>
        <w:t>audience avait conclu qu</w:t>
      </w:r>
      <w:r>
        <w:rPr>
          <w:rFonts w:cs="Times New Roman"/>
          <w:noProof/>
          <w:lang w:val="fr-CA"/>
        </w:rPr>
        <w:t>’</w:t>
      </w:r>
      <w:r w:rsidRPr="00E41E88">
        <w:rPr>
          <w:rFonts w:cs="Times New Roman"/>
          <w:noProof/>
          <w:lang w:val="fr-CA"/>
        </w:rPr>
        <w:t>[Ocean] avait orchestré la fin d</w:t>
      </w:r>
      <w:r>
        <w:rPr>
          <w:rFonts w:cs="Times New Roman"/>
          <w:noProof/>
          <w:lang w:val="fr-CA"/>
        </w:rPr>
        <w:t>’</w:t>
      </w:r>
      <w:r w:rsidRPr="00E41E88">
        <w:rPr>
          <w:rFonts w:cs="Times New Roman"/>
          <w:noProof/>
          <w:lang w:val="fr-CA"/>
        </w:rPr>
        <w:t>emploi de M. Matthews de manière à se soustraire à toute responsabilité qu</w:t>
      </w:r>
      <w:r>
        <w:rPr>
          <w:rFonts w:cs="Times New Roman"/>
          <w:noProof/>
          <w:lang w:val="fr-CA"/>
        </w:rPr>
        <w:t>’</w:t>
      </w:r>
      <w:r w:rsidRPr="00E41E88">
        <w:rPr>
          <w:rFonts w:cs="Times New Roman"/>
          <w:noProof/>
          <w:lang w:val="fr-CA"/>
        </w:rPr>
        <w:t>elle pourrait avoir aux termes du [RILT] », mais ce constat n</w:t>
      </w:r>
      <w:r>
        <w:rPr>
          <w:rFonts w:cs="Times New Roman"/>
          <w:noProof/>
          <w:lang w:val="fr-CA"/>
        </w:rPr>
        <w:t>’</w:t>
      </w:r>
      <w:r w:rsidRPr="00E41E88">
        <w:rPr>
          <w:rFonts w:cs="Times New Roman"/>
          <w:noProof/>
          <w:lang w:val="fr-CA"/>
        </w:rPr>
        <w:t>a pas été retenu par le juge de première instance (par. 89</w:t>
      </w:r>
      <w:r w:rsidRPr="00E41E88">
        <w:rPr>
          <w:rFonts w:cs="Times New Roman"/>
          <w:noProof/>
          <w:lang w:val="fr-CA"/>
        </w:rPr>
        <w:noBreakHyphen/>
        <w:t>90 et 114</w:t>
      </w:r>
      <w:r w:rsidRPr="00E41E88">
        <w:rPr>
          <w:rFonts w:cs="Times New Roman"/>
          <w:noProof/>
          <w:lang w:val="fr-CA"/>
        </w:rPr>
        <w:noBreakHyphen/>
        <w:t>116). De l</w:t>
      </w:r>
      <w:r>
        <w:rPr>
          <w:rFonts w:cs="Times New Roman"/>
          <w:noProof/>
          <w:lang w:val="fr-CA"/>
        </w:rPr>
        <w:t>’</w:t>
      </w:r>
      <w:r w:rsidRPr="00E41E88">
        <w:rPr>
          <w:rFonts w:cs="Times New Roman"/>
          <w:noProof/>
          <w:lang w:val="fr-CA"/>
        </w:rPr>
        <w:t>avis de la majorité, le juge dissident a fait abstraction de cette conclusion de fait cruciale. Deuxièmement, les juges majoritaires ont souligné qu</w:t>
      </w:r>
      <w:r>
        <w:rPr>
          <w:rFonts w:cs="Times New Roman"/>
          <w:noProof/>
          <w:lang w:val="fr-CA"/>
        </w:rPr>
        <w:t>’</w:t>
      </w:r>
      <w:r w:rsidRPr="00E41E88">
        <w:rPr>
          <w:rFonts w:cs="Times New Roman"/>
          <w:noProof/>
          <w:lang w:val="fr-CA"/>
        </w:rPr>
        <w:t>il était loisible au juge de première instance d</w:t>
      </w:r>
      <w:r>
        <w:rPr>
          <w:rFonts w:cs="Times New Roman"/>
          <w:noProof/>
          <w:lang w:val="fr-CA"/>
        </w:rPr>
        <w:t>’</w:t>
      </w:r>
      <w:r w:rsidRPr="00E41E88">
        <w:rPr>
          <w:rFonts w:cs="Times New Roman"/>
          <w:noProof/>
          <w:lang w:val="fr-CA"/>
        </w:rPr>
        <w:t xml:space="preserve">accorder </w:t>
      </w:r>
      <w:r w:rsidR="008B60E8" w:rsidRPr="00E41E88">
        <w:rPr>
          <w:rFonts w:cs="Times New Roman"/>
          <w:smallCaps/>
          <w:noProof/>
          <w:lang w:val="fr-CA"/>
        </w:rPr>
        <w:t xml:space="preserve">[traduction] </w:t>
      </w:r>
      <w:r w:rsidRPr="00E41E88">
        <w:rPr>
          <w:rFonts w:cs="Times New Roman"/>
          <w:noProof/>
          <w:lang w:val="fr-CA"/>
        </w:rPr>
        <w:t>« des dommages</w:t>
      </w:r>
      <w:r w:rsidRPr="00E41E88">
        <w:rPr>
          <w:rFonts w:cs="Times New Roman"/>
          <w:noProof/>
          <w:lang w:val="fr-CA"/>
        </w:rPr>
        <w:noBreakHyphen/>
        <w:t>intérêts additionnels en raison de la manière dont [M. Matthews] avait été traité », mais « </w:t>
      </w:r>
      <w:r w:rsidRPr="00E41E88">
        <w:rPr>
          <w:rFonts w:cs="Times New Roman"/>
          <w:noProof/>
          <w:u w:val="single"/>
          <w:lang w:val="fr-CA"/>
        </w:rPr>
        <w:t>comme il avait conclu à l</w:t>
      </w:r>
      <w:r>
        <w:rPr>
          <w:rFonts w:cs="Times New Roman"/>
          <w:noProof/>
          <w:u w:val="single"/>
          <w:lang w:val="fr-CA"/>
        </w:rPr>
        <w:t>’</w:t>
      </w:r>
      <w:r w:rsidRPr="00E41E88">
        <w:rPr>
          <w:rFonts w:cs="Times New Roman"/>
          <w:noProof/>
          <w:u w:val="single"/>
          <w:lang w:val="fr-CA"/>
        </w:rPr>
        <w:t>absence de mauvaise foi</w:t>
      </w:r>
      <w:r w:rsidRPr="00E41E88">
        <w:rPr>
          <w:rFonts w:cs="Times New Roman"/>
          <w:noProof/>
          <w:lang w:val="fr-CA"/>
        </w:rPr>
        <w:t xml:space="preserve"> de la part d</w:t>
      </w:r>
      <w:r>
        <w:rPr>
          <w:rFonts w:cs="Times New Roman"/>
          <w:noProof/>
          <w:lang w:val="fr-CA"/>
        </w:rPr>
        <w:t>’</w:t>
      </w:r>
      <w:r w:rsidRPr="00E41E88">
        <w:rPr>
          <w:rFonts w:cs="Times New Roman"/>
          <w:noProof/>
          <w:lang w:val="fr-CA"/>
        </w:rPr>
        <w:t>Ocean Nutrition, il ne pouvait pas le faire et il ne l</w:t>
      </w:r>
      <w:r>
        <w:rPr>
          <w:rFonts w:cs="Times New Roman"/>
          <w:noProof/>
          <w:lang w:val="fr-CA"/>
        </w:rPr>
        <w:t>’</w:t>
      </w:r>
      <w:r w:rsidRPr="00E41E88">
        <w:rPr>
          <w:rFonts w:cs="Times New Roman"/>
          <w:noProof/>
          <w:lang w:val="fr-CA"/>
        </w:rPr>
        <w:t>a pas fait » (par. 122 (je souligne)). Même si les juges majoritaires ont partiellement statué en faveur d</w:t>
      </w:r>
      <w:r>
        <w:rPr>
          <w:rFonts w:cs="Times New Roman"/>
          <w:noProof/>
          <w:lang w:val="fr-CA"/>
        </w:rPr>
        <w:t>’</w:t>
      </w:r>
      <w:r w:rsidRPr="00E41E88">
        <w:rPr>
          <w:rFonts w:cs="Times New Roman"/>
          <w:noProof/>
          <w:lang w:val="fr-CA"/>
        </w:rPr>
        <w:t>Ocean et infir</w:t>
      </w:r>
      <w:r>
        <w:rPr>
          <w:rFonts w:cs="Times New Roman"/>
          <w:noProof/>
          <w:lang w:val="fr-CA"/>
        </w:rPr>
        <w:t>mé une partie du jugement rendu</w:t>
      </w:r>
      <w:r w:rsidRPr="00E41E88">
        <w:rPr>
          <w:rFonts w:cs="Times New Roman"/>
          <w:noProof/>
          <w:lang w:val="fr-CA"/>
        </w:rPr>
        <w:t xml:space="preserve"> en première instance, ils n</w:t>
      </w:r>
      <w:r>
        <w:rPr>
          <w:rFonts w:cs="Times New Roman"/>
          <w:noProof/>
          <w:lang w:val="fr-CA"/>
        </w:rPr>
        <w:t>’</w:t>
      </w:r>
      <w:r w:rsidRPr="00E41E88">
        <w:rPr>
          <w:rFonts w:cs="Times New Roman"/>
          <w:noProof/>
          <w:lang w:val="fr-CA"/>
        </w:rPr>
        <w:t>ont pas adjugé de dépens en appel.</w:t>
      </w:r>
    </w:p>
    <w:p w:rsidR="00DD44E8" w:rsidRPr="00E41E88" w:rsidRDefault="00DD44E8" w:rsidP="00DD44E8">
      <w:pPr>
        <w:pStyle w:val="Title3LevelTitre3Niveau"/>
        <w:keepNext w:val="0"/>
        <w:rPr>
          <w:rFonts w:cs="Times New Roman"/>
          <w:noProof/>
          <w:lang w:val="fr-CA"/>
        </w:rPr>
      </w:pPr>
      <w:r w:rsidRPr="00E41E88">
        <w:rPr>
          <w:rFonts w:cs="Times New Roman"/>
          <w:noProof/>
          <w:lang w:val="fr-CA"/>
        </w:rPr>
        <w:lastRenderedPageBreak/>
        <w:t>Motifs dissidents (le juge d</w:t>
      </w:r>
      <w:r>
        <w:rPr>
          <w:rFonts w:cs="Times New Roman"/>
          <w:noProof/>
          <w:lang w:val="fr-CA"/>
        </w:rPr>
        <w:t>’</w:t>
      </w:r>
      <w:r w:rsidRPr="00E41E88">
        <w:rPr>
          <w:rFonts w:cs="Times New Roman"/>
          <w:noProof/>
          <w:lang w:val="fr-CA"/>
        </w:rPr>
        <w:t xml:space="preserve">appel Scanlan) </w:t>
      </w:r>
    </w:p>
    <w:p w:rsidR="00DD44E8" w:rsidRPr="00E41E88" w:rsidRDefault="00DD44E8" w:rsidP="00DD44E8">
      <w:pPr>
        <w:pStyle w:val="ParaNoNdepar-AltN"/>
        <w:rPr>
          <w:rFonts w:cs="Times New Roman"/>
          <w:noProof/>
          <w:lang w:val="fr-CA"/>
        </w:rPr>
      </w:pPr>
      <w:r w:rsidRPr="00E41E88">
        <w:rPr>
          <w:rFonts w:cs="Times New Roman"/>
          <w:noProof/>
          <w:lang w:val="fr-CA"/>
        </w:rPr>
        <w:t>S</w:t>
      </w:r>
      <w:r>
        <w:rPr>
          <w:rFonts w:cs="Times New Roman"/>
          <w:noProof/>
          <w:lang w:val="fr-CA"/>
        </w:rPr>
        <w:t>’</w:t>
      </w:r>
      <w:r w:rsidRPr="00E41E88">
        <w:rPr>
          <w:rFonts w:cs="Times New Roman"/>
          <w:noProof/>
          <w:lang w:val="fr-CA"/>
        </w:rPr>
        <w:t xml:space="preserve">attachant principalement aux allégations selon lesquelles M. Matthews avait été traité de façon incorrecte, le juge dissident a considéré que les parties ne pouvaient avoir eu </w:t>
      </w:r>
      <w:r w:rsidRPr="00E41E88">
        <w:rPr>
          <w:rFonts w:cs="Times New Roman"/>
          <w:smallCaps/>
          <w:noProof/>
          <w:lang w:val="fr-CA"/>
        </w:rPr>
        <w:t xml:space="preserve">[traduction] </w:t>
      </w:r>
      <w:r w:rsidRPr="00E41E88">
        <w:rPr>
          <w:rFonts w:cs="Times New Roman"/>
          <w:noProof/>
          <w:lang w:val="fr-CA"/>
        </w:rPr>
        <w:t>« l</w:t>
      </w:r>
      <w:r>
        <w:rPr>
          <w:rFonts w:cs="Times New Roman"/>
          <w:noProof/>
          <w:lang w:val="fr-CA"/>
        </w:rPr>
        <w:t>’</w:t>
      </w:r>
      <w:r w:rsidRPr="00E41E88">
        <w:rPr>
          <w:rFonts w:cs="Times New Roman"/>
          <w:noProof/>
          <w:lang w:val="fr-CA"/>
        </w:rPr>
        <w:t>intention de convenir qu</w:t>
      </w:r>
      <w:r>
        <w:rPr>
          <w:rFonts w:cs="Times New Roman"/>
          <w:noProof/>
          <w:lang w:val="fr-CA"/>
        </w:rPr>
        <w:t>’</w:t>
      </w:r>
      <w:r w:rsidRPr="00E41E88">
        <w:rPr>
          <w:rFonts w:cs="Times New Roman"/>
          <w:noProof/>
          <w:lang w:val="fr-CA"/>
        </w:rPr>
        <w:t>un directeur sans scrupules comme M. Emond puisse orchestrer le congédiement d</w:t>
      </w:r>
      <w:r>
        <w:rPr>
          <w:rFonts w:cs="Times New Roman"/>
          <w:noProof/>
          <w:lang w:val="fr-CA"/>
        </w:rPr>
        <w:t>’</w:t>
      </w:r>
      <w:r w:rsidRPr="00E41E88">
        <w:rPr>
          <w:rFonts w:cs="Times New Roman"/>
          <w:noProof/>
          <w:lang w:val="fr-CA"/>
        </w:rPr>
        <w:t>un employé estimé de longue date en usant de mensonges, de tromperies et de manipulations afin que cet employé n</w:t>
      </w:r>
      <w:r>
        <w:rPr>
          <w:rFonts w:cs="Times New Roman"/>
          <w:noProof/>
          <w:lang w:val="fr-CA"/>
        </w:rPr>
        <w:t>’</w:t>
      </w:r>
      <w:r w:rsidRPr="00E41E88">
        <w:rPr>
          <w:rFonts w:cs="Times New Roman"/>
          <w:noProof/>
          <w:lang w:val="fr-CA"/>
        </w:rPr>
        <w:t>ait pas le droit de toucher sa part d</w:t>
      </w:r>
      <w:r>
        <w:rPr>
          <w:rFonts w:cs="Times New Roman"/>
          <w:noProof/>
          <w:lang w:val="fr-CA"/>
        </w:rPr>
        <w:t>’</w:t>
      </w:r>
      <w:r w:rsidRPr="00E41E88">
        <w:rPr>
          <w:rFonts w:cs="Times New Roman"/>
          <w:noProof/>
          <w:lang w:val="fr-CA"/>
        </w:rPr>
        <w:t>une appréciation de valeur à laquelle il avait contribué de manière déterminante » (par. 148). Se fondant sur l</w:t>
      </w:r>
      <w:r>
        <w:rPr>
          <w:rFonts w:cs="Times New Roman"/>
          <w:noProof/>
          <w:lang w:val="fr-CA"/>
        </w:rPr>
        <w:t>’</w:t>
      </w:r>
      <w:r w:rsidRPr="00E41E88">
        <w:rPr>
          <w:rFonts w:cs="Times New Roman"/>
          <w:noProof/>
          <w:lang w:val="fr-CA"/>
        </w:rPr>
        <w:t>arrêt </w:t>
      </w:r>
      <w:r w:rsidRPr="00E41E88">
        <w:rPr>
          <w:rFonts w:cs="Times New Roman"/>
          <w:i/>
          <w:noProof/>
          <w:lang w:val="fr-CA"/>
        </w:rPr>
        <w:t>Bhasin</w:t>
      </w:r>
      <w:r w:rsidRPr="00E41E88">
        <w:rPr>
          <w:rFonts w:cs="Times New Roman"/>
          <w:noProof/>
          <w:lang w:val="fr-CA"/>
        </w:rPr>
        <w:t xml:space="preserve">, le juge dissident a déclaré </w:t>
      </w:r>
      <w:r w:rsidR="008B60E8" w:rsidRPr="00E41E88">
        <w:rPr>
          <w:rFonts w:cs="Times New Roman"/>
          <w:smallCaps/>
          <w:noProof/>
          <w:lang w:val="fr-CA"/>
        </w:rPr>
        <w:t xml:space="preserve">[traduction] </w:t>
      </w:r>
      <w:r w:rsidRPr="00E41E88">
        <w:rPr>
          <w:rFonts w:cs="Times New Roman"/>
          <w:noProof/>
          <w:lang w:val="fr-CA"/>
        </w:rPr>
        <w:t>« [</w:t>
      </w:r>
      <w:r w:rsidR="008B60E8" w:rsidRPr="00E41E88">
        <w:rPr>
          <w:rFonts w:cs="Times New Roman"/>
          <w:noProof/>
          <w:lang w:val="fr-CA"/>
        </w:rPr>
        <w:t>qu</w:t>
      </w:r>
      <w:r w:rsidR="008B60E8">
        <w:rPr>
          <w:rFonts w:cs="Times New Roman"/>
          <w:noProof/>
          <w:lang w:val="fr-CA"/>
        </w:rPr>
        <w:t>’</w:t>
      </w:r>
      <w:r w:rsidRPr="00E41E88">
        <w:rPr>
          <w:rFonts w:cs="Times New Roman"/>
          <w:noProof/>
          <w:lang w:val="fr-CA"/>
        </w:rPr>
        <w:t>i</w:t>
      </w:r>
      <w:r w:rsidR="008B60E8">
        <w:rPr>
          <w:rFonts w:cs="Times New Roman"/>
          <w:noProof/>
          <w:lang w:val="fr-CA"/>
        </w:rPr>
        <w:t>l]</w:t>
      </w:r>
      <w:r w:rsidRPr="00E41E88">
        <w:rPr>
          <w:rFonts w:cs="Times New Roman"/>
          <w:noProof/>
          <w:lang w:val="fr-CA"/>
        </w:rPr>
        <w:t xml:space="preserve"> existait un accord tacite portant que les modalités du</w:t>
      </w:r>
      <w:r>
        <w:rPr>
          <w:rFonts w:cs="Times New Roman"/>
          <w:noProof/>
          <w:lang w:val="fr-CA"/>
        </w:rPr>
        <w:t xml:space="preserve"> </w:t>
      </w:r>
      <w:r w:rsidRPr="00E41E88">
        <w:rPr>
          <w:rFonts w:cs="Times New Roman"/>
          <w:noProof/>
          <w:lang w:val="fr-CA"/>
        </w:rPr>
        <w:t>RILT et du contrat de travail seraient exécutées avec honnêteté et intégrité » (par. 148). Il a expliqué ainsi son opinion selon laquelle les actes de M. Emond correspondaient au type d</w:t>
      </w:r>
      <w:r>
        <w:rPr>
          <w:rFonts w:cs="Times New Roman"/>
          <w:noProof/>
          <w:lang w:val="fr-CA"/>
        </w:rPr>
        <w:t>’</w:t>
      </w:r>
      <w:r w:rsidRPr="00E41E88">
        <w:rPr>
          <w:rFonts w:cs="Times New Roman"/>
          <w:noProof/>
          <w:lang w:val="fr-CA"/>
        </w:rPr>
        <w:t>actes malhonnêtes envisagés dans l</w:t>
      </w:r>
      <w:r>
        <w:rPr>
          <w:rFonts w:cs="Times New Roman"/>
          <w:noProof/>
          <w:lang w:val="fr-CA"/>
        </w:rPr>
        <w:t>’</w:t>
      </w:r>
      <w:r w:rsidRPr="00E41E88">
        <w:rPr>
          <w:rFonts w:cs="Times New Roman"/>
          <w:noProof/>
          <w:lang w:val="fr-CA"/>
        </w:rPr>
        <w:t>arrêt </w:t>
      </w:r>
      <w:r w:rsidRPr="00E41E88">
        <w:rPr>
          <w:rFonts w:cs="Times New Roman"/>
          <w:i/>
          <w:noProof/>
          <w:lang w:val="fr-CA"/>
        </w:rPr>
        <w:t>Bhasin </w:t>
      </w:r>
      <w:r w:rsidRPr="00516D2B">
        <w:rPr>
          <w:rFonts w:cs="Times New Roman"/>
          <w:noProof/>
          <w:lang w:val="fr-CA"/>
        </w:rPr>
        <w:t>:</w:t>
      </w:r>
      <w:r w:rsidRPr="00E41E88">
        <w:rPr>
          <w:rFonts w:cs="Times New Roman"/>
          <w:noProof/>
          <w:lang w:val="fr-CA"/>
        </w:rPr>
        <w:t xml:space="preserve"> </w:t>
      </w:r>
    </w:p>
    <w:p w:rsidR="00DD44E8" w:rsidRPr="00516D2B" w:rsidRDefault="00DD44E8" w:rsidP="00516D2B">
      <w:pPr>
        <w:pStyle w:val="Citation-AltC"/>
        <w:ind w:hanging="1166"/>
        <w:rPr>
          <w:smallCaps/>
          <w:noProof/>
          <w:lang w:val="fr-CA"/>
        </w:rPr>
      </w:pPr>
      <w:r w:rsidRPr="00E41E88">
        <w:rPr>
          <w:smallCaps/>
          <w:noProof/>
          <w:lang w:val="fr-CA"/>
        </w:rPr>
        <w:tab/>
        <w:t>[traduction]</w:t>
      </w:r>
      <w:r w:rsidR="00516D2B">
        <w:rPr>
          <w:smallCaps/>
          <w:noProof/>
          <w:lang w:val="fr-CA"/>
        </w:rPr>
        <w:t xml:space="preserve"> </w:t>
      </w:r>
      <w:r w:rsidRPr="00E41E88">
        <w:rPr>
          <w:noProof/>
          <w:lang w:val="fr-CA"/>
        </w:rPr>
        <w:t>Aucune partie ne devrait pouvoir user de mensonges, de tromperies et de manipulations pour refuser à l</w:t>
      </w:r>
      <w:r>
        <w:rPr>
          <w:noProof/>
          <w:lang w:val="fr-CA"/>
        </w:rPr>
        <w:t>’</w:t>
      </w:r>
      <w:r w:rsidRPr="00E41E88">
        <w:rPr>
          <w:noProof/>
          <w:lang w:val="fr-CA"/>
        </w:rPr>
        <w:t>autre les avantages découlant d</w:t>
      </w:r>
      <w:r>
        <w:rPr>
          <w:noProof/>
          <w:lang w:val="fr-CA"/>
        </w:rPr>
        <w:t>’</w:t>
      </w:r>
      <w:r w:rsidRPr="00E41E88">
        <w:rPr>
          <w:noProof/>
          <w:lang w:val="fr-CA"/>
        </w:rPr>
        <w:t>une relation contractuelle, et ce, même si ce n</w:t>
      </w:r>
      <w:r>
        <w:rPr>
          <w:noProof/>
          <w:lang w:val="fr-CA"/>
        </w:rPr>
        <w:t>’</w:t>
      </w:r>
      <w:r w:rsidRPr="00E41E88">
        <w:rPr>
          <w:noProof/>
          <w:lang w:val="fr-CA"/>
        </w:rPr>
        <w:t>était pas là l</w:t>
      </w:r>
      <w:r>
        <w:rPr>
          <w:noProof/>
          <w:lang w:val="fr-CA"/>
        </w:rPr>
        <w:t>’</w:t>
      </w:r>
      <w:r w:rsidRPr="00E41E88">
        <w:rPr>
          <w:noProof/>
          <w:lang w:val="fr-CA"/>
        </w:rPr>
        <w:t>objectif premier de la partie qui a agi malhonnêtement. Le juge qui présidait l</w:t>
      </w:r>
      <w:r>
        <w:rPr>
          <w:noProof/>
          <w:lang w:val="fr-CA"/>
        </w:rPr>
        <w:t>’</w:t>
      </w:r>
      <w:r w:rsidRPr="00E41E88">
        <w:rPr>
          <w:noProof/>
          <w:lang w:val="fr-CA"/>
        </w:rPr>
        <w:t>audience n</w:t>
      </w:r>
      <w:r>
        <w:rPr>
          <w:noProof/>
          <w:lang w:val="fr-CA"/>
        </w:rPr>
        <w:t>’</w:t>
      </w:r>
      <w:r w:rsidRPr="00E41E88">
        <w:rPr>
          <w:noProof/>
          <w:lang w:val="fr-CA"/>
        </w:rPr>
        <w:t>a pas conclu qu</w:t>
      </w:r>
      <w:r>
        <w:rPr>
          <w:noProof/>
          <w:lang w:val="fr-CA"/>
        </w:rPr>
        <w:t>’</w:t>
      </w:r>
      <w:r w:rsidRPr="00E41E88">
        <w:rPr>
          <w:noProof/>
          <w:lang w:val="fr-CA"/>
        </w:rPr>
        <w:t>Ocean avait agi intentionnellement afin de priver M. Matthews des avantages prévus par le RILT, mais mon collègue affirme qu</w:t>
      </w:r>
      <w:r>
        <w:rPr>
          <w:noProof/>
          <w:lang w:val="fr-CA"/>
        </w:rPr>
        <w:t>’</w:t>
      </w:r>
      <w:r w:rsidRPr="00E41E88">
        <w:rPr>
          <w:noProof/>
          <w:lang w:val="fr-CA"/>
        </w:rPr>
        <w:t>une des conséquences des actes de M. Emond, qui se sont traduits par le départ de M. Matthews, a été la perte de ces avantages. [par. 168]</w:t>
      </w:r>
    </w:p>
    <w:p w:rsidR="00DD44E8" w:rsidRPr="00E41E88" w:rsidRDefault="00DD44E8" w:rsidP="00DD44E8">
      <w:pPr>
        <w:pStyle w:val="ContinueParaSuitedupar-AltP"/>
        <w:rPr>
          <w:rFonts w:cs="Times New Roman"/>
          <w:noProof/>
          <w:lang w:val="fr-CA"/>
        </w:rPr>
      </w:pPr>
      <w:r w:rsidRPr="00E41E88">
        <w:rPr>
          <w:rFonts w:cs="Times New Roman"/>
          <w:noProof/>
          <w:lang w:val="fr-CA"/>
        </w:rPr>
        <w:t>Le juge dissident a conclu qu</w:t>
      </w:r>
      <w:r>
        <w:rPr>
          <w:rFonts w:cs="Times New Roman"/>
          <w:noProof/>
          <w:lang w:val="fr-CA"/>
        </w:rPr>
        <w:t>’</w:t>
      </w:r>
      <w:r w:rsidRPr="00E41E88">
        <w:rPr>
          <w:rFonts w:cs="Times New Roman"/>
          <w:noProof/>
          <w:lang w:val="fr-CA"/>
        </w:rPr>
        <w:t>Ocean devrait donc être tenue responsable de tout préjudice subi par M. Matthews en raison de cette malhonnêteté.</w:t>
      </w:r>
    </w:p>
    <w:p w:rsidR="00DD44E8" w:rsidRPr="00E41E88" w:rsidRDefault="00DD44E8" w:rsidP="00DD44E8">
      <w:pPr>
        <w:pStyle w:val="ParaNoNdepar-AltN"/>
        <w:rPr>
          <w:rFonts w:cs="Times New Roman"/>
          <w:noProof/>
          <w:lang w:val="fr-CA"/>
        </w:rPr>
      </w:pPr>
      <w:r w:rsidRPr="00E41E88">
        <w:rPr>
          <w:rFonts w:cs="Times New Roman"/>
          <w:noProof/>
          <w:lang w:val="fr-CA"/>
        </w:rPr>
        <w:lastRenderedPageBreak/>
        <w:t>Le juge Scanlan a ensuite exposé une autre voie permettant d</w:t>
      </w:r>
      <w:r>
        <w:rPr>
          <w:rFonts w:cs="Times New Roman"/>
          <w:noProof/>
          <w:lang w:val="fr-CA"/>
        </w:rPr>
        <w:t>’</w:t>
      </w:r>
      <w:r w:rsidRPr="00E41E88">
        <w:rPr>
          <w:rFonts w:cs="Times New Roman"/>
          <w:noProof/>
          <w:lang w:val="fr-CA"/>
        </w:rPr>
        <w:t xml:space="preserve">obtenir réparation, elle aussi </w:t>
      </w:r>
      <w:r>
        <w:rPr>
          <w:rFonts w:cs="Times New Roman"/>
          <w:noProof/>
          <w:lang w:val="fr-CA"/>
        </w:rPr>
        <w:t>fondée</w:t>
      </w:r>
      <w:r w:rsidRPr="00E41E88">
        <w:rPr>
          <w:rFonts w:cs="Times New Roman"/>
          <w:noProof/>
          <w:lang w:val="fr-CA"/>
        </w:rPr>
        <w:t xml:space="preserve"> sur l</w:t>
      </w:r>
      <w:r>
        <w:rPr>
          <w:rFonts w:cs="Times New Roman"/>
          <w:noProof/>
          <w:lang w:val="fr-CA"/>
        </w:rPr>
        <w:t>’</w:t>
      </w:r>
      <w:r w:rsidRPr="00E41E88">
        <w:rPr>
          <w:rFonts w:cs="Times New Roman"/>
          <w:noProof/>
          <w:lang w:val="fr-CA"/>
        </w:rPr>
        <w:t xml:space="preserve">arrêt </w:t>
      </w:r>
      <w:r w:rsidRPr="00E41E88">
        <w:rPr>
          <w:rFonts w:cs="Times New Roman"/>
          <w:i/>
          <w:noProof/>
          <w:lang w:val="fr-CA"/>
        </w:rPr>
        <w:t>Bhasin</w:t>
      </w:r>
      <w:r w:rsidRPr="00E41E88">
        <w:rPr>
          <w:rFonts w:cs="Times New Roman"/>
          <w:noProof/>
          <w:lang w:val="fr-CA"/>
        </w:rPr>
        <w:t>. À son avis, le contrat de travail comprenait une condition tacite d</w:t>
      </w:r>
      <w:r>
        <w:rPr>
          <w:rFonts w:cs="Times New Roman"/>
          <w:noProof/>
          <w:lang w:val="fr-CA"/>
        </w:rPr>
        <w:t>’</w:t>
      </w:r>
      <w:r w:rsidRPr="00E41E88">
        <w:rPr>
          <w:rFonts w:cs="Times New Roman"/>
          <w:noProof/>
          <w:lang w:val="fr-CA"/>
        </w:rPr>
        <w:t>exécution honnête faisant partie de l</w:t>
      </w:r>
      <w:r>
        <w:rPr>
          <w:rFonts w:cs="Times New Roman"/>
          <w:noProof/>
          <w:lang w:val="fr-CA"/>
        </w:rPr>
        <w:t>’</w:t>
      </w:r>
      <w:r w:rsidRPr="00E41E88">
        <w:rPr>
          <w:rFonts w:cs="Times New Roman"/>
          <w:noProof/>
          <w:lang w:val="fr-CA"/>
        </w:rPr>
        <w:t>interdiction visant les congédiements illégaux sans préavis. Étant donné qu</w:t>
      </w:r>
      <w:r>
        <w:rPr>
          <w:rFonts w:cs="Times New Roman"/>
          <w:noProof/>
          <w:lang w:val="fr-CA"/>
        </w:rPr>
        <w:t>’</w:t>
      </w:r>
      <w:r w:rsidRPr="00E41E88">
        <w:rPr>
          <w:rFonts w:cs="Times New Roman"/>
          <w:noProof/>
          <w:lang w:val="fr-CA"/>
        </w:rPr>
        <w:t>Ocean tirerait un avantage pécuniaire de la tromperie de M. Emond, et, par extension, du congédiement de M. Matthews, le juge dissident aurait utilisé le RILT pour calculer le montant des dommages</w:t>
      </w:r>
      <w:r w:rsidRPr="00E41E88">
        <w:rPr>
          <w:rFonts w:cs="Times New Roman"/>
          <w:noProof/>
          <w:lang w:val="fr-CA"/>
        </w:rPr>
        <w:noBreakHyphen/>
        <w:t>intérêts pour le congédiement déguisé. Cette approche était appropriée, puisqu</w:t>
      </w:r>
      <w:r>
        <w:rPr>
          <w:rFonts w:cs="Times New Roman"/>
          <w:noProof/>
          <w:lang w:val="fr-CA"/>
        </w:rPr>
        <w:t>’</w:t>
      </w:r>
      <w:r w:rsidRPr="00E41E88">
        <w:rPr>
          <w:rFonts w:cs="Times New Roman"/>
          <w:noProof/>
          <w:lang w:val="fr-CA"/>
        </w:rPr>
        <w:t>Ocean savait que le congédiement de M. Matthews compromettrait les droits de ce dernier au titre du RILT, et qu</w:t>
      </w:r>
      <w:r>
        <w:rPr>
          <w:rFonts w:cs="Times New Roman"/>
          <w:noProof/>
          <w:lang w:val="fr-CA"/>
        </w:rPr>
        <w:t>’</w:t>
      </w:r>
      <w:r w:rsidRPr="00E41E88">
        <w:rPr>
          <w:rFonts w:cs="Times New Roman"/>
          <w:noProof/>
          <w:lang w:val="fr-CA"/>
        </w:rPr>
        <w:t>il était possible que la vente d</w:t>
      </w:r>
      <w:r>
        <w:rPr>
          <w:rFonts w:cs="Times New Roman"/>
          <w:noProof/>
          <w:lang w:val="fr-CA"/>
        </w:rPr>
        <w:t>’</w:t>
      </w:r>
      <w:r w:rsidRPr="00E41E88">
        <w:rPr>
          <w:rFonts w:cs="Times New Roman"/>
          <w:noProof/>
          <w:lang w:val="fr-CA"/>
        </w:rPr>
        <w:t>Ocean survienne sous peu. Par conséquent, la perte de l</w:t>
      </w:r>
      <w:r>
        <w:rPr>
          <w:rFonts w:cs="Times New Roman"/>
          <w:noProof/>
          <w:lang w:val="fr-CA"/>
        </w:rPr>
        <w:t>’</w:t>
      </w:r>
      <w:r w:rsidRPr="00E41E88">
        <w:rPr>
          <w:rFonts w:cs="Times New Roman"/>
          <w:noProof/>
          <w:lang w:val="fr-CA"/>
        </w:rPr>
        <w:t>occasion de toucher l</w:t>
      </w:r>
      <w:r>
        <w:rPr>
          <w:rFonts w:cs="Times New Roman"/>
          <w:noProof/>
          <w:lang w:val="fr-CA"/>
        </w:rPr>
        <w:t>’</w:t>
      </w:r>
      <w:r w:rsidRPr="00E41E88">
        <w:rPr>
          <w:rFonts w:cs="Times New Roman"/>
          <w:noProof/>
          <w:lang w:val="fr-CA"/>
        </w:rPr>
        <w:t>avantage prévu par le RILT était prévisible. Compte tenu de ces conclusions, le juge</w:t>
      </w:r>
      <w:r>
        <w:rPr>
          <w:rFonts w:cs="Times New Roman"/>
          <w:noProof/>
          <w:lang w:val="fr-CA"/>
        </w:rPr>
        <w:t xml:space="preserve"> Scanla</w:t>
      </w:r>
      <w:r w:rsidRPr="00E41E88">
        <w:rPr>
          <w:rFonts w:cs="Times New Roman"/>
          <w:noProof/>
          <w:lang w:val="fr-CA"/>
        </w:rPr>
        <w:t>n aurait [</w:t>
      </w:r>
      <w:r w:rsidRPr="00E41E88">
        <w:rPr>
          <w:rFonts w:cs="Times New Roman"/>
          <w:smallCaps/>
          <w:noProof/>
          <w:lang w:val="fr-CA"/>
        </w:rPr>
        <w:t>traduction</w:t>
      </w:r>
      <w:r w:rsidRPr="00E41E88">
        <w:rPr>
          <w:rFonts w:cs="Times New Roman"/>
          <w:noProof/>
          <w:lang w:val="fr-CA"/>
        </w:rPr>
        <w:t>] « adjugé à M. Matthews des dépens en appel représentant 30 % du montant des dépens appropriés en première instance » (par. 211).</w:t>
      </w:r>
    </w:p>
    <w:p w:rsidR="00DD44E8" w:rsidRPr="00E41E88" w:rsidRDefault="00DD44E8" w:rsidP="00DD44E8">
      <w:pPr>
        <w:pStyle w:val="Title1LevelTitre1Niveau-AltL"/>
        <w:keepNext w:val="0"/>
        <w:rPr>
          <w:rFonts w:cs="Times New Roman"/>
          <w:noProof/>
          <w:lang w:val="fr-CA"/>
        </w:rPr>
      </w:pPr>
      <w:r w:rsidRPr="00E41E88">
        <w:rPr>
          <w:rFonts w:cs="Times New Roman"/>
          <w:noProof/>
          <w:lang w:val="fr-CA"/>
        </w:rPr>
        <w:t xml:space="preserve">Analyse </w:t>
      </w:r>
    </w:p>
    <w:p w:rsidR="00DD44E8" w:rsidRPr="00E41E88" w:rsidRDefault="00DD44E8" w:rsidP="00DD44E8">
      <w:pPr>
        <w:pStyle w:val="Title2LevelTitre2Niveau"/>
        <w:keepNext w:val="0"/>
        <w:rPr>
          <w:rFonts w:cs="Times New Roman"/>
          <w:noProof/>
          <w:lang w:val="fr-CA"/>
        </w:rPr>
      </w:pPr>
      <w:r w:rsidRPr="00E41E88">
        <w:rPr>
          <w:rFonts w:cs="Times New Roman"/>
          <w:noProof/>
          <w:lang w:val="fr-CA"/>
        </w:rPr>
        <w:t xml:space="preserve">Arguments en appel </w:t>
      </w:r>
    </w:p>
    <w:p w:rsidR="00DD44E8" w:rsidRPr="00E41E88" w:rsidRDefault="00DD44E8" w:rsidP="00DD44E8">
      <w:pPr>
        <w:pStyle w:val="ParaNoNdepar-AltN"/>
        <w:rPr>
          <w:rFonts w:cs="Times New Roman"/>
          <w:noProof/>
          <w:lang w:val="fr-CA"/>
        </w:rPr>
      </w:pPr>
      <w:r w:rsidRPr="00E41E88">
        <w:rPr>
          <w:rFonts w:cs="Times New Roman"/>
          <w:noProof/>
          <w:lang w:val="fr-CA"/>
        </w:rPr>
        <w:t>En appel, les parties ont continué d</w:t>
      </w:r>
      <w:r>
        <w:rPr>
          <w:rFonts w:cs="Times New Roman"/>
          <w:noProof/>
          <w:lang w:val="fr-CA"/>
        </w:rPr>
        <w:t>’</w:t>
      </w:r>
      <w:r w:rsidRPr="00E41E88">
        <w:rPr>
          <w:rFonts w:cs="Times New Roman"/>
          <w:noProof/>
          <w:lang w:val="fr-CA"/>
        </w:rPr>
        <w:t>exprimer leur désaccord quant au montant qui devrait être versé à M. Matthews au titre des dommages</w:t>
      </w:r>
      <w:r w:rsidRPr="00E41E88">
        <w:rPr>
          <w:rFonts w:cs="Times New Roman"/>
          <w:noProof/>
          <w:lang w:val="fr-CA"/>
        </w:rPr>
        <w:noBreakHyphen/>
        <w:t>intérêts, et, plus précisément, quant à la question de savoir si ce dernier avait droit d</w:t>
      </w:r>
      <w:r>
        <w:rPr>
          <w:rFonts w:cs="Times New Roman"/>
          <w:noProof/>
          <w:lang w:val="fr-CA"/>
        </w:rPr>
        <w:t>’</w:t>
      </w:r>
      <w:r w:rsidRPr="00E41E88">
        <w:rPr>
          <w:rFonts w:cs="Times New Roman"/>
          <w:noProof/>
          <w:lang w:val="fr-CA"/>
        </w:rPr>
        <w:t>être indemnisé pour la perte du paiement prévu par le RILT. Cette situation témoigne à son tour du désaccord qui existe entre les parties quant au fondement de l</w:t>
      </w:r>
      <w:r>
        <w:rPr>
          <w:rFonts w:cs="Times New Roman"/>
          <w:noProof/>
          <w:lang w:val="fr-CA"/>
        </w:rPr>
        <w:t>’</w:t>
      </w:r>
      <w:r w:rsidRPr="00E41E88">
        <w:rPr>
          <w:rFonts w:cs="Times New Roman"/>
          <w:noProof/>
          <w:lang w:val="fr-CA"/>
        </w:rPr>
        <w:t>octroi de dommages</w:t>
      </w:r>
      <w:r w:rsidRPr="00E41E88">
        <w:rPr>
          <w:rFonts w:cs="Times New Roman"/>
          <w:noProof/>
          <w:lang w:val="fr-CA"/>
        </w:rPr>
        <w:noBreakHyphen/>
        <w:t>intérêts</w:t>
      </w:r>
      <w:r w:rsidRPr="00E41E88">
        <w:rPr>
          <w:rFonts w:eastAsia="Times New Roman" w:cs="Times New Roman"/>
          <w:noProof/>
          <w:lang w:val="fr-CA"/>
        </w:rPr>
        <w:t xml:space="preserve"> — à savoir à titre </w:t>
      </w:r>
      <w:r w:rsidRPr="00E41E88">
        <w:rPr>
          <w:rFonts w:cs="Times New Roman"/>
          <w:noProof/>
          <w:lang w:val="fr-CA"/>
        </w:rPr>
        <w:t>de réparation pour l</w:t>
      </w:r>
      <w:r>
        <w:rPr>
          <w:rFonts w:cs="Times New Roman"/>
          <w:noProof/>
          <w:lang w:val="fr-CA"/>
        </w:rPr>
        <w:t>’</w:t>
      </w:r>
      <w:r w:rsidRPr="00E41E88">
        <w:rPr>
          <w:rFonts w:cs="Times New Roman"/>
          <w:noProof/>
          <w:lang w:val="fr-CA"/>
        </w:rPr>
        <w:t xml:space="preserve">absence de préavis </w:t>
      </w:r>
      <w:r w:rsidRPr="00E41E88">
        <w:rPr>
          <w:rFonts w:cs="Times New Roman"/>
          <w:noProof/>
          <w:lang w:val="fr-CA"/>
        </w:rPr>
        <w:lastRenderedPageBreak/>
        <w:t>raisonnable, pour le défaut d</w:t>
      </w:r>
      <w:r>
        <w:rPr>
          <w:rFonts w:cs="Times New Roman"/>
          <w:noProof/>
          <w:lang w:val="fr-CA"/>
        </w:rPr>
        <w:t>’</w:t>
      </w:r>
      <w:r w:rsidRPr="00E41E88">
        <w:rPr>
          <w:rFonts w:cs="Times New Roman"/>
          <w:noProof/>
          <w:lang w:val="fr-CA"/>
        </w:rPr>
        <w:t>agir de bonne foi, ou pour ces deux</w:t>
      </w:r>
      <w:r>
        <w:rPr>
          <w:rFonts w:cs="Times New Roman"/>
          <w:noProof/>
          <w:lang w:val="fr-CA"/>
        </w:rPr>
        <w:t xml:space="preserve"> </w:t>
      </w:r>
      <w:r w:rsidRPr="00E41E88">
        <w:rPr>
          <w:rFonts w:cs="Times New Roman"/>
          <w:noProof/>
          <w:lang w:val="fr-CA"/>
        </w:rPr>
        <w:t xml:space="preserve">raisons. Avec égards, les arguments des parties en appel sont déroutants lorsque considérés côte à côte </w:t>
      </w:r>
      <w:r w:rsidRPr="00E41E88">
        <w:rPr>
          <w:rFonts w:eastAsia="Times New Roman" w:cs="Times New Roman"/>
          <w:noProof/>
          <w:lang w:val="fr-CA"/>
        </w:rPr>
        <w:t>— non seulement ces arguments ne traitent</w:t>
      </w:r>
      <w:r w:rsidRPr="00E41E88">
        <w:rPr>
          <w:rFonts w:eastAsia="Times New Roman" w:cs="Times New Roman"/>
          <w:noProof/>
          <w:lang w:val="fr-CA"/>
        </w:rPr>
        <w:noBreakHyphen/>
        <w:t xml:space="preserve">ils pas des mêmes questions, </w:t>
      </w:r>
      <w:r w:rsidRPr="00E41E88">
        <w:rPr>
          <w:rFonts w:cs="Times New Roman"/>
          <w:noProof/>
          <w:lang w:val="fr-CA"/>
        </w:rPr>
        <w:t>mais, par moment, les parties elles</w:t>
      </w:r>
      <w:r w:rsidRPr="00E41E88">
        <w:rPr>
          <w:rFonts w:cs="Times New Roman"/>
          <w:noProof/>
          <w:lang w:val="fr-CA"/>
        </w:rPr>
        <w:noBreakHyphen/>
        <w:t>mêmes semblent ne pas s</w:t>
      </w:r>
      <w:r>
        <w:rPr>
          <w:rFonts w:cs="Times New Roman"/>
          <w:noProof/>
          <w:lang w:val="fr-CA"/>
        </w:rPr>
        <w:t>’</w:t>
      </w:r>
      <w:r w:rsidRPr="00E41E88">
        <w:rPr>
          <w:rFonts w:cs="Times New Roman"/>
          <w:noProof/>
          <w:lang w:val="fr-CA"/>
        </w:rPr>
        <w:t>adresser l</w:t>
      </w:r>
      <w:r>
        <w:rPr>
          <w:rFonts w:cs="Times New Roman"/>
          <w:noProof/>
          <w:lang w:val="fr-CA"/>
        </w:rPr>
        <w:t>’</w:t>
      </w:r>
      <w:r w:rsidRPr="00E41E88">
        <w:rPr>
          <w:rFonts w:cs="Times New Roman"/>
          <w:noProof/>
          <w:lang w:val="fr-CA"/>
        </w:rPr>
        <w:t>une à l</w:t>
      </w:r>
      <w:r>
        <w:rPr>
          <w:rFonts w:cs="Times New Roman"/>
          <w:noProof/>
          <w:lang w:val="fr-CA"/>
        </w:rPr>
        <w:t>’</w:t>
      </w:r>
      <w:r w:rsidRPr="00E41E88">
        <w:rPr>
          <w:rFonts w:cs="Times New Roman"/>
          <w:noProof/>
          <w:lang w:val="fr-CA"/>
        </w:rPr>
        <w:t xml:space="preserve">autre. </w:t>
      </w:r>
    </w:p>
    <w:p w:rsidR="00DD44E8" w:rsidRPr="00E41E88" w:rsidRDefault="00DD44E8" w:rsidP="00DD44E8">
      <w:pPr>
        <w:pStyle w:val="ParaNoNdepar-AltN"/>
        <w:widowControl w:val="0"/>
        <w:tabs>
          <w:tab w:val="clear" w:pos="1152"/>
          <w:tab w:val="left" w:pos="1166"/>
        </w:tabs>
        <w:rPr>
          <w:rFonts w:cs="Times New Roman"/>
          <w:noProof/>
          <w:lang w:val="fr-CA"/>
        </w:rPr>
      </w:pPr>
      <w:r w:rsidRPr="00E41E88">
        <w:rPr>
          <w:rFonts w:cs="Times New Roman"/>
          <w:noProof/>
          <w:lang w:val="fr-CA"/>
        </w:rPr>
        <w:t>À l</w:t>
      </w:r>
      <w:r>
        <w:rPr>
          <w:rFonts w:cs="Times New Roman"/>
          <w:noProof/>
          <w:lang w:val="fr-CA"/>
        </w:rPr>
        <w:t>’</w:t>
      </w:r>
      <w:r w:rsidRPr="00E41E88">
        <w:rPr>
          <w:rFonts w:cs="Times New Roman"/>
          <w:noProof/>
          <w:lang w:val="fr-CA"/>
        </w:rPr>
        <w:t>audience, M. Matthews a limité ses arguments presque exclusivement aux conséquences de la malhonnêteté dont aurait fait preuve son employeur. Il a plaidé que les juges majoritaires de la Cour d</w:t>
      </w:r>
      <w:r>
        <w:rPr>
          <w:rFonts w:cs="Times New Roman"/>
          <w:noProof/>
          <w:lang w:val="fr-CA"/>
        </w:rPr>
        <w:t>’</w:t>
      </w:r>
      <w:r w:rsidRPr="00E41E88">
        <w:rPr>
          <w:rFonts w:cs="Times New Roman"/>
          <w:noProof/>
          <w:lang w:val="fr-CA"/>
        </w:rPr>
        <w:t>appel n</w:t>
      </w:r>
      <w:r>
        <w:rPr>
          <w:rFonts w:cs="Times New Roman"/>
          <w:noProof/>
          <w:lang w:val="fr-CA"/>
        </w:rPr>
        <w:t>’</w:t>
      </w:r>
      <w:r w:rsidRPr="00E41E88">
        <w:rPr>
          <w:rFonts w:cs="Times New Roman"/>
          <w:noProof/>
          <w:lang w:val="fr-CA"/>
        </w:rPr>
        <w:t>avaient pas tenu compte du fait que, par ses actes malhonnêtes, Ocean avait manqué à l</w:t>
      </w:r>
      <w:r>
        <w:rPr>
          <w:rFonts w:cs="Times New Roman"/>
          <w:noProof/>
          <w:lang w:val="fr-CA"/>
        </w:rPr>
        <w:t>’</w:t>
      </w:r>
      <w:r w:rsidRPr="00E41E88">
        <w:rPr>
          <w:rFonts w:cs="Times New Roman"/>
          <w:noProof/>
          <w:lang w:val="fr-CA"/>
        </w:rPr>
        <w:t>obligation formulée dans l</w:t>
      </w:r>
      <w:r>
        <w:rPr>
          <w:rFonts w:cs="Times New Roman"/>
          <w:noProof/>
          <w:lang w:val="fr-CA"/>
        </w:rPr>
        <w:t>’</w:t>
      </w:r>
      <w:r w:rsidRPr="00E41E88">
        <w:rPr>
          <w:rFonts w:cs="Times New Roman"/>
          <w:noProof/>
          <w:lang w:val="fr-CA"/>
        </w:rPr>
        <w:t>arrêt</w:t>
      </w:r>
      <w:r>
        <w:rPr>
          <w:rFonts w:cs="Times New Roman"/>
          <w:noProof/>
          <w:lang w:val="fr-CA"/>
        </w:rPr>
        <w:t xml:space="preserve"> </w:t>
      </w:r>
      <w:r w:rsidRPr="00E41E88">
        <w:rPr>
          <w:rFonts w:cs="Times New Roman"/>
          <w:i/>
          <w:noProof/>
          <w:lang w:val="fr-CA"/>
        </w:rPr>
        <w:t xml:space="preserve">Bhasin </w:t>
      </w:r>
      <w:r w:rsidRPr="00E41E88">
        <w:rPr>
          <w:rFonts w:cs="Times New Roman"/>
          <w:smallCaps/>
          <w:noProof/>
          <w:lang w:val="fr-CA"/>
        </w:rPr>
        <w:t xml:space="preserve">[traduction] </w:t>
      </w:r>
      <w:r w:rsidRPr="00E41E88">
        <w:rPr>
          <w:rFonts w:cs="Times New Roman"/>
          <w:noProof/>
          <w:lang w:val="fr-CA"/>
        </w:rPr>
        <w:t>« de veiller à ce que le contrat soit exécuté en conformité avec le principe directeur de bonne foi et l</w:t>
      </w:r>
      <w:r>
        <w:rPr>
          <w:rFonts w:cs="Times New Roman"/>
          <w:noProof/>
          <w:lang w:val="fr-CA"/>
        </w:rPr>
        <w:t>’</w:t>
      </w:r>
      <w:r w:rsidRPr="00E41E88">
        <w:rPr>
          <w:rFonts w:cs="Times New Roman"/>
          <w:noProof/>
          <w:lang w:val="fr-CA"/>
        </w:rPr>
        <w:t>obligation d</w:t>
      </w:r>
      <w:r>
        <w:rPr>
          <w:rFonts w:cs="Times New Roman"/>
          <w:noProof/>
          <w:lang w:val="fr-CA"/>
        </w:rPr>
        <w:t>’</w:t>
      </w:r>
      <w:r w:rsidRPr="00E41E88">
        <w:rPr>
          <w:rFonts w:cs="Times New Roman"/>
          <w:noProof/>
          <w:lang w:val="fr-CA"/>
        </w:rPr>
        <w:t>agir honnêtement dans l</w:t>
      </w:r>
      <w:r>
        <w:rPr>
          <w:rFonts w:cs="Times New Roman"/>
          <w:noProof/>
          <w:lang w:val="fr-CA"/>
        </w:rPr>
        <w:t>’</w:t>
      </w:r>
      <w:r w:rsidRPr="00E41E88">
        <w:rPr>
          <w:rFonts w:cs="Times New Roman"/>
          <w:noProof/>
          <w:lang w:val="fr-CA"/>
        </w:rPr>
        <w:t>exécution de</w:t>
      </w:r>
      <w:r>
        <w:rPr>
          <w:rFonts w:cs="Times New Roman"/>
          <w:noProof/>
          <w:lang w:val="fr-CA"/>
        </w:rPr>
        <w:t>s obligations contractuelles » (</w:t>
      </w:r>
      <w:r w:rsidRPr="00E41E88">
        <w:rPr>
          <w:rFonts w:cs="Times New Roman"/>
          <w:noProof/>
          <w:lang w:val="fr-CA"/>
        </w:rPr>
        <w:t>m.a., par. 47</w:t>
      </w:r>
      <w:r>
        <w:rPr>
          <w:rFonts w:cs="Times New Roman"/>
          <w:noProof/>
          <w:lang w:val="fr-CA"/>
        </w:rPr>
        <w:t>)</w:t>
      </w:r>
      <w:r w:rsidRPr="00E41E88">
        <w:rPr>
          <w:rFonts w:cs="Times New Roman"/>
          <w:noProof/>
          <w:lang w:val="fr-CA"/>
        </w:rPr>
        <w:t>. S</w:t>
      </w:r>
      <w:r>
        <w:rPr>
          <w:rFonts w:cs="Times New Roman"/>
          <w:noProof/>
          <w:lang w:val="fr-CA"/>
        </w:rPr>
        <w:t>’</w:t>
      </w:r>
      <w:r w:rsidRPr="00E41E88">
        <w:rPr>
          <w:rFonts w:cs="Times New Roman"/>
          <w:noProof/>
          <w:lang w:val="fr-CA"/>
        </w:rPr>
        <w:t>appuyant sur l</w:t>
      </w:r>
      <w:r>
        <w:rPr>
          <w:rFonts w:cs="Times New Roman"/>
          <w:noProof/>
          <w:lang w:val="fr-CA"/>
        </w:rPr>
        <w:t>’</w:t>
      </w:r>
      <w:r w:rsidRPr="00E41E88">
        <w:rPr>
          <w:rFonts w:cs="Times New Roman"/>
          <w:noProof/>
          <w:lang w:val="fr-CA"/>
        </w:rPr>
        <w:t>arrêt </w:t>
      </w:r>
      <w:r w:rsidRPr="00E41E88">
        <w:rPr>
          <w:rFonts w:cs="Times New Roman"/>
          <w:i/>
          <w:noProof/>
          <w:lang w:val="fr-CA"/>
        </w:rPr>
        <w:t xml:space="preserve">Hadley c. Baxendale </w:t>
      </w:r>
      <w:r w:rsidRPr="00E41E88">
        <w:rPr>
          <w:rFonts w:cs="Times New Roman"/>
          <w:noProof/>
          <w:lang w:val="fr-CA"/>
        </w:rPr>
        <w:t>(1854), 9 Ex. 341, 156 E.R. 145, M. Matthews a affirmé qu</w:t>
      </w:r>
      <w:r>
        <w:rPr>
          <w:rFonts w:cs="Times New Roman"/>
          <w:noProof/>
          <w:lang w:val="fr-CA"/>
        </w:rPr>
        <w:t>’</w:t>
      </w:r>
      <w:r w:rsidRPr="00E41E88">
        <w:rPr>
          <w:rFonts w:cs="Times New Roman"/>
          <w:noProof/>
          <w:lang w:val="fr-CA"/>
        </w:rPr>
        <w:t>il avait droit à un montant correspondant au paiement prévu par le RILT à titre de réparation pour ce manquement. En outre, il a exhorté notre Cour à reconnaître que la bonne foi anime l</w:t>
      </w:r>
      <w:r>
        <w:rPr>
          <w:rFonts w:cs="Times New Roman"/>
          <w:noProof/>
          <w:lang w:val="fr-CA"/>
        </w:rPr>
        <w:t>’</w:t>
      </w:r>
      <w:r w:rsidRPr="00E41E88">
        <w:rPr>
          <w:rFonts w:cs="Times New Roman"/>
          <w:noProof/>
          <w:lang w:val="fr-CA"/>
        </w:rPr>
        <w:t>ensemble de l</w:t>
      </w:r>
      <w:r>
        <w:rPr>
          <w:rFonts w:cs="Times New Roman"/>
          <w:noProof/>
          <w:lang w:val="fr-CA"/>
        </w:rPr>
        <w:t>’</w:t>
      </w:r>
      <w:r w:rsidRPr="00E41E88">
        <w:rPr>
          <w:rFonts w:cs="Times New Roman"/>
          <w:noProof/>
          <w:lang w:val="fr-CA"/>
        </w:rPr>
        <w:t xml:space="preserve">exécution du contrat de travail. Cet argument est pertinent compte tenu de la situation que M. Matthews a décrite comme étant une </w:t>
      </w:r>
      <w:r w:rsidRPr="00E41E88">
        <w:rPr>
          <w:rFonts w:cs="Times New Roman"/>
          <w:smallCaps/>
          <w:noProof/>
          <w:lang w:val="fr-CA"/>
        </w:rPr>
        <w:t xml:space="preserve">[traduction] </w:t>
      </w:r>
      <w:r w:rsidRPr="00E41E88">
        <w:rPr>
          <w:rFonts w:cs="Times New Roman"/>
          <w:noProof/>
          <w:lang w:val="fr-CA"/>
        </w:rPr>
        <w:t>« campagne de quatre</w:t>
      </w:r>
      <w:r>
        <w:rPr>
          <w:rFonts w:cs="Times New Roman"/>
          <w:noProof/>
          <w:lang w:val="fr-CA"/>
        </w:rPr>
        <w:t xml:space="preserve"> </w:t>
      </w:r>
      <w:r w:rsidRPr="00E41E88">
        <w:rPr>
          <w:rFonts w:cs="Times New Roman"/>
          <w:noProof/>
          <w:lang w:val="fr-CA"/>
        </w:rPr>
        <w:t>ans au cours de laquelle on lui a menti sur l</w:t>
      </w:r>
      <w:r>
        <w:rPr>
          <w:rFonts w:cs="Times New Roman"/>
          <w:noProof/>
          <w:lang w:val="fr-CA"/>
        </w:rPr>
        <w:t>’</w:t>
      </w:r>
      <w:r w:rsidRPr="00E41E88">
        <w:rPr>
          <w:rFonts w:cs="Times New Roman"/>
          <w:noProof/>
          <w:lang w:val="fr-CA"/>
        </w:rPr>
        <w:t>état de son emploi » (transcription, p. 9).</w:t>
      </w:r>
    </w:p>
    <w:p w:rsidR="00DD44E8" w:rsidRPr="00E41E88" w:rsidRDefault="00DD44E8" w:rsidP="00DD44E8">
      <w:pPr>
        <w:pStyle w:val="ParaNoNdepar-AltN"/>
        <w:widowControl w:val="0"/>
        <w:tabs>
          <w:tab w:val="clear" w:pos="1152"/>
          <w:tab w:val="left" w:pos="1166"/>
        </w:tabs>
        <w:rPr>
          <w:rFonts w:cs="Times New Roman"/>
          <w:noProof/>
          <w:lang w:val="fr-CA"/>
        </w:rPr>
      </w:pPr>
      <w:r w:rsidRPr="00E41E88">
        <w:rPr>
          <w:rFonts w:cs="Times New Roman"/>
          <w:noProof/>
          <w:lang w:val="fr-CA"/>
        </w:rPr>
        <w:t xml:space="preserve">À titre subsidiaire, M. Matthews a invoqué deux fondements additionnels au soutien de </w:t>
      </w:r>
      <w:r>
        <w:rPr>
          <w:rFonts w:cs="Times New Roman"/>
          <w:noProof/>
          <w:lang w:val="fr-CA"/>
        </w:rPr>
        <w:t>sa demande</w:t>
      </w:r>
      <w:r w:rsidRPr="00E41E88">
        <w:rPr>
          <w:rFonts w:cs="Times New Roman"/>
          <w:noProof/>
          <w:lang w:val="fr-CA"/>
        </w:rPr>
        <w:t>. Premièrement, il a affirmé que les juges majoritaires de la Cour d</w:t>
      </w:r>
      <w:r>
        <w:rPr>
          <w:rFonts w:cs="Times New Roman"/>
          <w:noProof/>
          <w:lang w:val="fr-CA"/>
        </w:rPr>
        <w:t>’</w:t>
      </w:r>
      <w:r w:rsidRPr="00E41E88">
        <w:rPr>
          <w:rFonts w:cs="Times New Roman"/>
          <w:noProof/>
          <w:lang w:val="fr-CA"/>
        </w:rPr>
        <w:t xml:space="preserve">appel se </w:t>
      </w:r>
      <w:r>
        <w:rPr>
          <w:rFonts w:cs="Times New Roman"/>
          <w:noProof/>
          <w:lang w:val="fr-CA"/>
        </w:rPr>
        <w:t>sont donné des directives erron</w:t>
      </w:r>
      <w:r w:rsidRPr="00E41E88">
        <w:rPr>
          <w:rFonts w:cs="Times New Roman"/>
          <w:noProof/>
          <w:lang w:val="fr-CA"/>
        </w:rPr>
        <w:t>ées en omettant de considérer l</w:t>
      </w:r>
      <w:r>
        <w:rPr>
          <w:rFonts w:cs="Times New Roman"/>
          <w:noProof/>
          <w:lang w:val="fr-CA"/>
        </w:rPr>
        <w:t>’</w:t>
      </w:r>
      <w:r w:rsidRPr="00E41E88">
        <w:rPr>
          <w:rFonts w:cs="Times New Roman"/>
          <w:noProof/>
          <w:lang w:val="fr-CA"/>
        </w:rPr>
        <w:t>octroi de dommages</w:t>
      </w:r>
      <w:r w:rsidRPr="00E41E88">
        <w:rPr>
          <w:rFonts w:cs="Times New Roman"/>
          <w:noProof/>
          <w:lang w:val="fr-CA"/>
        </w:rPr>
        <w:noBreakHyphen/>
        <w:t>intérêts à l</w:t>
      </w:r>
      <w:r>
        <w:rPr>
          <w:rFonts w:cs="Times New Roman"/>
          <w:noProof/>
          <w:lang w:val="fr-CA"/>
        </w:rPr>
        <w:t>’</w:t>
      </w:r>
      <w:r w:rsidRPr="00E41E88">
        <w:rPr>
          <w:rFonts w:cs="Times New Roman"/>
          <w:noProof/>
          <w:lang w:val="fr-CA"/>
        </w:rPr>
        <w:t>égard du manquement d</w:t>
      </w:r>
      <w:r>
        <w:rPr>
          <w:rFonts w:cs="Times New Roman"/>
          <w:noProof/>
          <w:lang w:val="fr-CA"/>
        </w:rPr>
        <w:t>’</w:t>
      </w:r>
      <w:r w:rsidRPr="00E41E88">
        <w:rPr>
          <w:rFonts w:cs="Times New Roman"/>
          <w:noProof/>
          <w:lang w:val="fr-CA"/>
        </w:rPr>
        <w:t>Ocean de s</w:t>
      </w:r>
      <w:r>
        <w:rPr>
          <w:rFonts w:cs="Times New Roman"/>
          <w:noProof/>
          <w:lang w:val="fr-CA"/>
        </w:rPr>
        <w:t>’</w:t>
      </w:r>
      <w:r w:rsidRPr="00E41E88">
        <w:rPr>
          <w:rFonts w:cs="Times New Roman"/>
          <w:noProof/>
          <w:lang w:val="fr-CA"/>
        </w:rPr>
        <w:t xml:space="preserve">acquitter de son </w:t>
      </w:r>
      <w:r w:rsidRPr="00E41E88">
        <w:rPr>
          <w:rFonts w:cs="Times New Roman"/>
          <w:noProof/>
          <w:lang w:val="fr-CA"/>
        </w:rPr>
        <w:lastRenderedPageBreak/>
        <w:t>obligation de lui donner un préavis raisonnable. De plus, compte tenu du prétendu manquement à l</w:t>
      </w:r>
      <w:r>
        <w:rPr>
          <w:rFonts w:cs="Times New Roman"/>
          <w:noProof/>
          <w:lang w:val="fr-CA"/>
        </w:rPr>
        <w:t>’</w:t>
      </w:r>
      <w:r w:rsidRPr="00E41E88">
        <w:rPr>
          <w:rFonts w:cs="Times New Roman"/>
          <w:noProof/>
          <w:lang w:val="fr-CA"/>
        </w:rPr>
        <w:t>obligation d</w:t>
      </w:r>
      <w:r>
        <w:rPr>
          <w:rFonts w:cs="Times New Roman"/>
          <w:noProof/>
          <w:lang w:val="fr-CA"/>
        </w:rPr>
        <w:t>’</w:t>
      </w:r>
      <w:r w:rsidRPr="00E41E88">
        <w:rPr>
          <w:rFonts w:cs="Times New Roman"/>
          <w:noProof/>
          <w:lang w:val="fr-CA"/>
        </w:rPr>
        <w:t>exécution honnête, M. Matthews a fait valoir qu</w:t>
      </w:r>
      <w:r>
        <w:rPr>
          <w:rFonts w:cs="Times New Roman"/>
          <w:noProof/>
          <w:lang w:val="fr-CA"/>
        </w:rPr>
        <w:t>’</w:t>
      </w:r>
      <w:r w:rsidRPr="00E41E88">
        <w:rPr>
          <w:rFonts w:cs="Times New Roman"/>
          <w:noProof/>
          <w:lang w:val="fr-CA"/>
        </w:rPr>
        <w:t>Ocean n</w:t>
      </w:r>
      <w:r>
        <w:rPr>
          <w:rFonts w:cs="Times New Roman"/>
          <w:noProof/>
          <w:lang w:val="fr-CA"/>
        </w:rPr>
        <w:t>’</w:t>
      </w:r>
      <w:r w:rsidRPr="00E41E88">
        <w:rPr>
          <w:rFonts w:cs="Times New Roman"/>
          <w:noProof/>
          <w:lang w:val="fr-CA"/>
        </w:rPr>
        <w:t>aurait pas dû pouvoir invoquer les clauses d</w:t>
      </w:r>
      <w:r>
        <w:rPr>
          <w:rFonts w:cs="Times New Roman"/>
          <w:noProof/>
          <w:lang w:val="fr-CA"/>
        </w:rPr>
        <w:t>’</w:t>
      </w:r>
      <w:r w:rsidRPr="00E41E88">
        <w:rPr>
          <w:rFonts w:cs="Times New Roman"/>
          <w:noProof/>
          <w:lang w:val="fr-CA"/>
        </w:rPr>
        <w:t xml:space="preserve">exclusion. De toute façon, M. Matthews a déclaré que les juges majoritaires avaient mal interprété </w:t>
      </w:r>
      <w:r>
        <w:rPr>
          <w:rFonts w:cs="Times New Roman"/>
          <w:noProof/>
          <w:lang w:val="fr-CA"/>
        </w:rPr>
        <w:t xml:space="preserve">le </w:t>
      </w:r>
      <w:r w:rsidRPr="00E41E88">
        <w:rPr>
          <w:rFonts w:cs="Times New Roman"/>
          <w:noProof/>
          <w:lang w:val="fr-CA"/>
        </w:rPr>
        <w:t>RILT et qu</w:t>
      </w:r>
      <w:r>
        <w:rPr>
          <w:rFonts w:cs="Times New Roman"/>
          <w:noProof/>
          <w:lang w:val="fr-CA"/>
        </w:rPr>
        <w:t>’</w:t>
      </w:r>
      <w:r w:rsidRPr="00E41E88">
        <w:rPr>
          <w:rFonts w:cs="Times New Roman"/>
          <w:noProof/>
          <w:lang w:val="fr-CA"/>
        </w:rPr>
        <w:t>ils auraient dû s</w:t>
      </w:r>
      <w:r>
        <w:rPr>
          <w:rFonts w:cs="Times New Roman"/>
          <w:noProof/>
          <w:lang w:val="fr-CA"/>
        </w:rPr>
        <w:t>’</w:t>
      </w:r>
      <w:r w:rsidRPr="00E41E88">
        <w:rPr>
          <w:rFonts w:cs="Times New Roman"/>
          <w:noProof/>
          <w:lang w:val="fr-CA"/>
        </w:rPr>
        <w:t>en remettre à celle qu</w:t>
      </w:r>
      <w:r>
        <w:rPr>
          <w:rFonts w:cs="Times New Roman"/>
          <w:noProof/>
          <w:lang w:val="fr-CA"/>
        </w:rPr>
        <w:t>’</w:t>
      </w:r>
      <w:r w:rsidRPr="00E41E88">
        <w:rPr>
          <w:rFonts w:cs="Times New Roman"/>
          <w:noProof/>
          <w:lang w:val="fr-CA"/>
        </w:rPr>
        <w:t>en avait faite le juge de première instance. Deuxièmement, M. Matthews a invoqué la doctrine de la préclusion promissoire pour étayer son argument selon lequel Ocean ne pouvait pas appliquer la clause d</w:t>
      </w:r>
      <w:r>
        <w:rPr>
          <w:rFonts w:cs="Times New Roman"/>
          <w:noProof/>
          <w:lang w:val="fr-CA"/>
        </w:rPr>
        <w:t>’</w:t>
      </w:r>
      <w:r w:rsidRPr="00E41E88">
        <w:rPr>
          <w:rFonts w:cs="Times New Roman"/>
          <w:noProof/>
          <w:lang w:val="fr-CA"/>
        </w:rPr>
        <w:t xml:space="preserve">exclusion. </w:t>
      </w:r>
    </w:p>
    <w:p w:rsidR="00DD44E8" w:rsidRPr="00E41E88" w:rsidRDefault="00DD44E8" w:rsidP="00DD44E8">
      <w:pPr>
        <w:pStyle w:val="ParaNoNdepar-AltN"/>
        <w:widowControl w:val="0"/>
        <w:tabs>
          <w:tab w:val="clear" w:pos="1152"/>
          <w:tab w:val="left" w:pos="1166"/>
        </w:tabs>
        <w:rPr>
          <w:rFonts w:cs="Times New Roman"/>
          <w:noProof/>
          <w:lang w:val="fr-CA"/>
        </w:rPr>
      </w:pPr>
      <w:r w:rsidRPr="00E41E88">
        <w:rPr>
          <w:rFonts w:cs="Times New Roman"/>
          <w:noProof/>
          <w:lang w:val="fr-CA"/>
        </w:rPr>
        <w:t>En revanche, Ocean s</w:t>
      </w:r>
      <w:r>
        <w:rPr>
          <w:rFonts w:cs="Times New Roman"/>
          <w:noProof/>
          <w:lang w:val="fr-CA"/>
        </w:rPr>
        <w:t>’</w:t>
      </w:r>
      <w:r w:rsidRPr="00E41E88">
        <w:rPr>
          <w:rFonts w:cs="Times New Roman"/>
          <w:noProof/>
          <w:lang w:val="fr-CA"/>
        </w:rPr>
        <w:t>est attachée à défendre l</w:t>
      </w:r>
      <w:r>
        <w:rPr>
          <w:rFonts w:cs="Times New Roman"/>
          <w:noProof/>
          <w:lang w:val="fr-CA"/>
        </w:rPr>
        <w:t>’</w:t>
      </w:r>
      <w:r w:rsidRPr="00E41E88">
        <w:rPr>
          <w:rFonts w:cs="Times New Roman"/>
          <w:noProof/>
          <w:lang w:val="fr-CA"/>
        </w:rPr>
        <w:t>exclusion de M. Matthews du RILT comme étant une question d</w:t>
      </w:r>
      <w:r>
        <w:rPr>
          <w:rFonts w:cs="Times New Roman"/>
          <w:noProof/>
          <w:lang w:val="fr-CA"/>
        </w:rPr>
        <w:t>’</w:t>
      </w:r>
      <w:r w:rsidRPr="00E41E88">
        <w:rPr>
          <w:rFonts w:cs="Times New Roman"/>
          <w:noProof/>
          <w:lang w:val="fr-CA"/>
        </w:rPr>
        <w:t>interprétation contractuelle. Elle a fait valoir que la prime ne faisait pas partie intégrante de la rémunération de M. Matthews. De plus, à l</w:t>
      </w:r>
      <w:r>
        <w:rPr>
          <w:rFonts w:cs="Times New Roman"/>
          <w:noProof/>
          <w:lang w:val="fr-CA"/>
        </w:rPr>
        <w:t>’</w:t>
      </w:r>
      <w:r w:rsidRPr="00E41E88">
        <w:rPr>
          <w:rFonts w:cs="Times New Roman"/>
          <w:noProof/>
          <w:lang w:val="fr-CA"/>
        </w:rPr>
        <w:t>instar des juges majoritaires de la Cour d</w:t>
      </w:r>
      <w:r>
        <w:rPr>
          <w:rFonts w:cs="Times New Roman"/>
          <w:noProof/>
          <w:lang w:val="fr-CA"/>
        </w:rPr>
        <w:t>’</w:t>
      </w:r>
      <w:r w:rsidRPr="00E41E88">
        <w:rPr>
          <w:rFonts w:cs="Times New Roman"/>
          <w:noProof/>
          <w:lang w:val="fr-CA"/>
        </w:rPr>
        <w:t>appel, elle a exprimé l</w:t>
      </w:r>
      <w:r>
        <w:rPr>
          <w:rFonts w:cs="Times New Roman"/>
          <w:noProof/>
          <w:lang w:val="fr-CA"/>
        </w:rPr>
        <w:t>’</w:t>
      </w:r>
      <w:r w:rsidRPr="00E41E88">
        <w:rPr>
          <w:rFonts w:cs="Times New Roman"/>
          <w:noProof/>
          <w:lang w:val="fr-CA"/>
        </w:rPr>
        <w:t>avis que le juge de première instance a mal interprété le RILT et que, vu le libellé clair et non équivoque de ce document, la prime aurait dû être exclue de toute somme accordée au titre des dommages</w:t>
      </w:r>
      <w:r w:rsidRPr="00E41E88">
        <w:rPr>
          <w:rFonts w:cs="Times New Roman"/>
          <w:noProof/>
          <w:lang w:val="fr-CA"/>
        </w:rPr>
        <w:noBreakHyphen/>
        <w:t xml:space="preserve">intérêts. </w:t>
      </w:r>
    </w:p>
    <w:p w:rsidR="00DD44E8" w:rsidRPr="00E41E88" w:rsidRDefault="00DD44E8" w:rsidP="00DD44E8">
      <w:pPr>
        <w:pStyle w:val="ParaNoNdepar-AltN"/>
        <w:widowControl w:val="0"/>
        <w:tabs>
          <w:tab w:val="clear" w:pos="1152"/>
          <w:tab w:val="left" w:pos="1166"/>
        </w:tabs>
        <w:rPr>
          <w:rFonts w:cs="Times New Roman"/>
          <w:noProof/>
          <w:lang w:val="fr-CA"/>
        </w:rPr>
      </w:pPr>
      <w:r w:rsidRPr="00E41E88">
        <w:rPr>
          <w:rFonts w:cs="Times New Roman"/>
          <w:noProof/>
          <w:lang w:val="fr-CA"/>
        </w:rPr>
        <w:t>Ocean a peu dit sur la question de la bonne foi, si ce n</w:t>
      </w:r>
      <w:r>
        <w:rPr>
          <w:rFonts w:cs="Times New Roman"/>
          <w:noProof/>
          <w:lang w:val="fr-CA"/>
        </w:rPr>
        <w:t>’</w:t>
      </w:r>
      <w:r w:rsidRPr="00E41E88">
        <w:rPr>
          <w:rFonts w:cs="Times New Roman"/>
          <w:noProof/>
          <w:lang w:val="fr-CA"/>
        </w:rPr>
        <w:t>est qu</w:t>
      </w:r>
      <w:r>
        <w:rPr>
          <w:rFonts w:cs="Times New Roman"/>
          <w:noProof/>
          <w:lang w:val="fr-CA"/>
        </w:rPr>
        <w:t>’</w:t>
      </w:r>
      <w:r w:rsidRPr="00E41E88">
        <w:rPr>
          <w:rFonts w:cs="Times New Roman"/>
          <w:noProof/>
          <w:lang w:val="fr-CA"/>
        </w:rPr>
        <w:t>elle a reconnu que l</w:t>
      </w:r>
      <w:r>
        <w:rPr>
          <w:rFonts w:cs="Times New Roman"/>
          <w:noProof/>
          <w:lang w:val="fr-CA"/>
        </w:rPr>
        <w:t>’</w:t>
      </w:r>
      <w:r w:rsidRPr="00E41E88">
        <w:rPr>
          <w:rFonts w:cs="Times New Roman"/>
          <w:noProof/>
          <w:lang w:val="fr-CA"/>
        </w:rPr>
        <w:t>employeur s</w:t>
      </w:r>
      <w:r>
        <w:rPr>
          <w:rFonts w:cs="Times New Roman"/>
          <w:noProof/>
          <w:lang w:val="fr-CA"/>
        </w:rPr>
        <w:t>’</w:t>
      </w:r>
      <w:r w:rsidRPr="00E41E88">
        <w:rPr>
          <w:rFonts w:cs="Times New Roman"/>
          <w:noProof/>
          <w:lang w:val="fr-CA"/>
        </w:rPr>
        <w:t xml:space="preserve">était à certains moments </w:t>
      </w:r>
      <w:r w:rsidRPr="00E41E88">
        <w:rPr>
          <w:rFonts w:cs="Times New Roman"/>
          <w:smallCaps/>
          <w:noProof/>
          <w:lang w:val="fr-CA"/>
        </w:rPr>
        <w:t xml:space="preserve">[traduction] </w:t>
      </w:r>
      <w:r w:rsidRPr="00E41E88">
        <w:rPr>
          <w:rFonts w:cs="Times New Roman"/>
          <w:noProof/>
          <w:lang w:val="fr-CA"/>
        </w:rPr>
        <w:t>« mal conduit » et qu</w:t>
      </w:r>
      <w:r>
        <w:rPr>
          <w:rFonts w:cs="Times New Roman"/>
          <w:noProof/>
          <w:lang w:val="fr-CA"/>
        </w:rPr>
        <w:t>’</w:t>
      </w:r>
      <w:r w:rsidRPr="00E41E88">
        <w:rPr>
          <w:rFonts w:cs="Times New Roman"/>
          <w:noProof/>
          <w:lang w:val="fr-CA"/>
        </w:rPr>
        <w:t>elle a affirmé que ni le juge de première instance ni les juges majoritaires de la Cour d</w:t>
      </w:r>
      <w:r>
        <w:rPr>
          <w:rFonts w:cs="Times New Roman"/>
          <w:noProof/>
          <w:lang w:val="fr-CA"/>
        </w:rPr>
        <w:t>’</w:t>
      </w:r>
      <w:r w:rsidRPr="00E41E88">
        <w:rPr>
          <w:rFonts w:cs="Times New Roman"/>
          <w:noProof/>
          <w:lang w:val="fr-CA"/>
        </w:rPr>
        <w:t>appel n</w:t>
      </w:r>
      <w:r>
        <w:rPr>
          <w:rFonts w:cs="Times New Roman"/>
          <w:noProof/>
          <w:lang w:val="fr-CA"/>
        </w:rPr>
        <w:t>’</w:t>
      </w:r>
      <w:r w:rsidRPr="00E41E88">
        <w:rPr>
          <w:rFonts w:cs="Times New Roman"/>
          <w:noProof/>
          <w:lang w:val="fr-CA"/>
        </w:rPr>
        <w:t>avaient conclu à la mauvaise foi (transcription, p. 66). Après avoir proposé, au soutien de cette affirmation, une nouvelle qualification de certains faits liés aux interactions entre les représentants d</w:t>
      </w:r>
      <w:r>
        <w:rPr>
          <w:rFonts w:cs="Times New Roman"/>
          <w:noProof/>
          <w:lang w:val="fr-CA"/>
        </w:rPr>
        <w:t>’</w:t>
      </w:r>
      <w:r w:rsidRPr="00E41E88">
        <w:rPr>
          <w:rFonts w:cs="Times New Roman"/>
          <w:noProof/>
          <w:lang w:val="fr-CA"/>
        </w:rPr>
        <w:t>Ocean et M. Matthews, Ocean a demandé à notre Cour de statuer que les juges majoritaires de la Cour d</w:t>
      </w:r>
      <w:r>
        <w:rPr>
          <w:rFonts w:cs="Times New Roman"/>
          <w:noProof/>
          <w:lang w:val="fr-CA"/>
        </w:rPr>
        <w:t>’</w:t>
      </w:r>
      <w:r w:rsidRPr="00E41E88">
        <w:rPr>
          <w:rFonts w:cs="Times New Roman"/>
          <w:noProof/>
          <w:lang w:val="fr-CA"/>
        </w:rPr>
        <w:t xml:space="preserve">appel avaient eu raison de </w:t>
      </w:r>
      <w:r w:rsidRPr="00E41E88">
        <w:rPr>
          <w:rFonts w:cs="Times New Roman"/>
          <w:noProof/>
          <w:lang w:val="fr-CA"/>
        </w:rPr>
        <w:lastRenderedPageBreak/>
        <w:t>conclure à l</w:t>
      </w:r>
      <w:r>
        <w:rPr>
          <w:rFonts w:cs="Times New Roman"/>
          <w:noProof/>
          <w:lang w:val="fr-CA"/>
        </w:rPr>
        <w:t>’</w:t>
      </w:r>
      <w:r w:rsidRPr="00E41E88">
        <w:rPr>
          <w:rFonts w:cs="Times New Roman"/>
          <w:noProof/>
          <w:lang w:val="fr-CA"/>
        </w:rPr>
        <w:t>absence de mauvaise foi. Quoi qu</w:t>
      </w:r>
      <w:r>
        <w:rPr>
          <w:rFonts w:cs="Times New Roman"/>
          <w:noProof/>
          <w:lang w:val="fr-CA"/>
        </w:rPr>
        <w:t>’</w:t>
      </w:r>
      <w:r w:rsidRPr="00E41E88">
        <w:rPr>
          <w:rFonts w:cs="Times New Roman"/>
          <w:noProof/>
          <w:lang w:val="fr-CA"/>
        </w:rPr>
        <w:t>il en soit, Ocean a soutenu que la common law</w:t>
      </w:r>
      <w:r w:rsidRPr="00E41E88">
        <w:rPr>
          <w:rFonts w:cs="Times New Roman"/>
          <w:i/>
          <w:noProof/>
          <w:lang w:val="fr-CA"/>
        </w:rPr>
        <w:t xml:space="preserve"> </w:t>
      </w:r>
      <w:r w:rsidRPr="00E41E88">
        <w:rPr>
          <w:rFonts w:cs="Times New Roman"/>
          <w:noProof/>
          <w:lang w:val="fr-CA"/>
        </w:rPr>
        <w:t>n</w:t>
      </w:r>
      <w:r>
        <w:rPr>
          <w:rFonts w:cs="Times New Roman"/>
          <w:noProof/>
          <w:lang w:val="fr-CA"/>
        </w:rPr>
        <w:t>’</w:t>
      </w:r>
      <w:r w:rsidRPr="00E41E88">
        <w:rPr>
          <w:rFonts w:cs="Times New Roman"/>
          <w:noProof/>
          <w:lang w:val="fr-CA"/>
        </w:rPr>
        <w:t>impose à l</w:t>
      </w:r>
      <w:r>
        <w:rPr>
          <w:rFonts w:cs="Times New Roman"/>
          <w:noProof/>
          <w:lang w:val="fr-CA"/>
        </w:rPr>
        <w:t>’</w:t>
      </w:r>
      <w:r w:rsidRPr="00E41E88">
        <w:rPr>
          <w:rFonts w:cs="Times New Roman"/>
          <w:noProof/>
          <w:lang w:val="fr-CA"/>
        </w:rPr>
        <w:t>employeur aucune obligation d</w:t>
      </w:r>
      <w:r>
        <w:rPr>
          <w:rFonts w:cs="Times New Roman"/>
          <w:noProof/>
          <w:lang w:val="fr-CA"/>
        </w:rPr>
        <w:t>’</w:t>
      </w:r>
      <w:r w:rsidRPr="00E41E88">
        <w:rPr>
          <w:rFonts w:cs="Times New Roman"/>
          <w:noProof/>
          <w:lang w:val="fr-CA"/>
        </w:rPr>
        <w:t>agir de bonne foi dans l</w:t>
      </w:r>
      <w:r>
        <w:rPr>
          <w:rFonts w:cs="Times New Roman"/>
          <w:noProof/>
          <w:lang w:val="fr-CA"/>
        </w:rPr>
        <w:t>’</w:t>
      </w:r>
      <w:r w:rsidRPr="00E41E88">
        <w:rPr>
          <w:rFonts w:cs="Times New Roman"/>
          <w:noProof/>
          <w:lang w:val="fr-CA"/>
        </w:rPr>
        <w:t xml:space="preserve">exécution du contrat qui pourrait servir de fondement justifiant le paiement de la prime en question. </w:t>
      </w:r>
    </w:p>
    <w:p w:rsidR="00DD44E8" w:rsidRPr="00E41E88" w:rsidRDefault="00DD44E8" w:rsidP="00DD44E8">
      <w:pPr>
        <w:pStyle w:val="ParaNoNdepar-AltN"/>
        <w:widowControl w:val="0"/>
        <w:tabs>
          <w:tab w:val="clear" w:pos="1152"/>
          <w:tab w:val="left" w:pos="1166"/>
        </w:tabs>
        <w:rPr>
          <w:rFonts w:cs="Times New Roman"/>
          <w:noProof/>
          <w:lang w:val="fr-CA"/>
        </w:rPr>
      </w:pPr>
      <w:r w:rsidRPr="00E41E88">
        <w:rPr>
          <w:rFonts w:cs="Times New Roman"/>
          <w:noProof/>
          <w:lang w:val="fr-CA"/>
        </w:rPr>
        <w:t>Je m</w:t>
      </w:r>
      <w:r>
        <w:rPr>
          <w:rFonts w:cs="Times New Roman"/>
          <w:noProof/>
          <w:lang w:val="fr-CA"/>
        </w:rPr>
        <w:t>’</w:t>
      </w:r>
      <w:r w:rsidRPr="00E41E88">
        <w:rPr>
          <w:rFonts w:cs="Times New Roman"/>
          <w:noProof/>
          <w:lang w:val="fr-CA"/>
        </w:rPr>
        <w:t>efforce, dans les présents motifs, d</w:t>
      </w:r>
      <w:r>
        <w:rPr>
          <w:rFonts w:cs="Times New Roman"/>
          <w:noProof/>
          <w:lang w:val="fr-CA"/>
        </w:rPr>
        <w:t>’</w:t>
      </w:r>
      <w:r w:rsidRPr="00E41E88">
        <w:rPr>
          <w:rFonts w:cs="Times New Roman"/>
          <w:noProof/>
          <w:lang w:val="fr-CA"/>
        </w:rPr>
        <w:t>expliquer, avec égards pour l</w:t>
      </w:r>
      <w:r>
        <w:rPr>
          <w:rFonts w:cs="Times New Roman"/>
          <w:noProof/>
          <w:lang w:val="fr-CA"/>
        </w:rPr>
        <w:t>’</w:t>
      </w:r>
      <w:r w:rsidRPr="00E41E88">
        <w:rPr>
          <w:rFonts w:cs="Times New Roman"/>
          <w:noProof/>
          <w:lang w:val="fr-CA"/>
        </w:rPr>
        <w:t>opin</w:t>
      </w:r>
      <w:r w:rsidR="001D2B36">
        <w:rPr>
          <w:rFonts w:cs="Times New Roman"/>
          <w:noProof/>
          <w:lang w:val="fr-CA"/>
        </w:rPr>
        <w:t>i</w:t>
      </w:r>
      <w:r w:rsidRPr="00E41E88">
        <w:rPr>
          <w:rFonts w:cs="Times New Roman"/>
          <w:noProof/>
          <w:lang w:val="fr-CA"/>
        </w:rPr>
        <w:t>on contraire, mon point de vue selon lequel les juges majoritaires de la Cour d</w:t>
      </w:r>
      <w:r>
        <w:rPr>
          <w:rFonts w:cs="Times New Roman"/>
          <w:noProof/>
          <w:lang w:val="fr-CA"/>
        </w:rPr>
        <w:t>’</w:t>
      </w:r>
      <w:r w:rsidRPr="00E41E88">
        <w:rPr>
          <w:rFonts w:cs="Times New Roman"/>
          <w:noProof/>
          <w:lang w:val="fr-CA"/>
        </w:rPr>
        <w:t>appel ont fait erreur en n</w:t>
      </w:r>
      <w:r>
        <w:rPr>
          <w:rFonts w:cs="Times New Roman"/>
          <w:noProof/>
          <w:lang w:val="fr-CA"/>
        </w:rPr>
        <w:t>’</w:t>
      </w:r>
      <w:r w:rsidRPr="00E41E88">
        <w:rPr>
          <w:rFonts w:cs="Times New Roman"/>
          <w:noProof/>
          <w:lang w:val="fr-CA"/>
        </w:rPr>
        <w:t>incluant pas le montant de la prime prévue par le RILT dans les dommages</w:t>
      </w:r>
      <w:r w:rsidRPr="00E41E88">
        <w:rPr>
          <w:rFonts w:cs="Times New Roman"/>
          <w:noProof/>
          <w:lang w:val="fr-CA"/>
        </w:rPr>
        <w:noBreakHyphen/>
        <w:t>intérêts qui ont été accordés à M. Matthews, en vertu de la common law, pour le manquement à l</w:t>
      </w:r>
      <w:r>
        <w:rPr>
          <w:rFonts w:cs="Times New Roman"/>
          <w:noProof/>
          <w:lang w:val="fr-CA"/>
        </w:rPr>
        <w:t>’</w:t>
      </w:r>
      <w:r w:rsidRPr="00E41E88">
        <w:rPr>
          <w:rFonts w:cs="Times New Roman"/>
          <w:noProof/>
          <w:lang w:val="fr-CA"/>
        </w:rPr>
        <w:t>obligation tacite de lui donner un préavis raisonnable. Dans l</w:t>
      </w:r>
      <w:r>
        <w:rPr>
          <w:rFonts w:cs="Times New Roman"/>
          <w:noProof/>
          <w:lang w:val="fr-CA"/>
        </w:rPr>
        <w:t>’</w:t>
      </w:r>
      <w:r w:rsidRPr="00E41E88">
        <w:rPr>
          <w:rFonts w:cs="Times New Roman"/>
          <w:noProof/>
          <w:lang w:val="fr-CA"/>
        </w:rPr>
        <w:t>examen de l</w:t>
      </w:r>
      <w:r>
        <w:rPr>
          <w:rFonts w:cs="Times New Roman"/>
          <w:noProof/>
          <w:lang w:val="fr-CA"/>
        </w:rPr>
        <w:t>’</w:t>
      </w:r>
      <w:r w:rsidRPr="00E41E88">
        <w:rPr>
          <w:rFonts w:cs="Times New Roman"/>
          <w:noProof/>
          <w:lang w:val="fr-CA"/>
        </w:rPr>
        <w:t>ensemble des griefs invoqués par M. Matthews, il convient de rappeler que ce dernier n</w:t>
      </w:r>
      <w:r>
        <w:rPr>
          <w:rFonts w:cs="Times New Roman"/>
          <w:noProof/>
          <w:lang w:val="fr-CA"/>
        </w:rPr>
        <w:t>’</w:t>
      </w:r>
      <w:r w:rsidRPr="00E41E88">
        <w:rPr>
          <w:rFonts w:cs="Times New Roman"/>
          <w:noProof/>
          <w:lang w:val="fr-CA"/>
        </w:rPr>
        <w:t>a pas sollicité de dommages‑intérêts pour souffrances morales</w:t>
      </w:r>
      <w:r w:rsidR="00172A98">
        <w:rPr>
          <w:rStyle w:val="FootnoteReference"/>
          <w:rFonts w:cs="Times New Roman"/>
          <w:noProof/>
          <w:lang w:val="fr-CA"/>
        </w:rPr>
        <w:footnoteReference w:id="1"/>
      </w:r>
      <w:r w:rsidRPr="00E41E88">
        <w:rPr>
          <w:rFonts w:cs="Times New Roman"/>
          <w:noProof/>
          <w:lang w:val="fr-CA"/>
        </w:rPr>
        <w:t>, et que bien qu</w:t>
      </w:r>
      <w:r>
        <w:rPr>
          <w:rFonts w:cs="Times New Roman"/>
          <w:noProof/>
          <w:lang w:val="fr-CA"/>
        </w:rPr>
        <w:t>’</w:t>
      </w:r>
      <w:r w:rsidRPr="00E41E88">
        <w:rPr>
          <w:rFonts w:cs="Times New Roman"/>
          <w:noProof/>
          <w:lang w:val="fr-CA"/>
        </w:rPr>
        <w:t>il ait demandé des dommages‑intérêts punitifs initialement, il n</w:t>
      </w:r>
      <w:r>
        <w:rPr>
          <w:rFonts w:cs="Times New Roman"/>
          <w:noProof/>
          <w:lang w:val="fr-CA"/>
        </w:rPr>
        <w:t>’</w:t>
      </w:r>
      <w:r w:rsidRPr="00E41E88">
        <w:rPr>
          <w:rFonts w:cs="Times New Roman"/>
          <w:noProof/>
          <w:lang w:val="fr-CA"/>
        </w:rPr>
        <w:t>a pas continué de réclamer ce chef de dommages</w:t>
      </w:r>
      <w:r w:rsidRPr="00E41E88">
        <w:rPr>
          <w:rFonts w:cs="Times New Roman"/>
          <w:noProof/>
          <w:lang w:val="fr-CA"/>
        </w:rPr>
        <w:noBreakHyphen/>
        <w:t>intérêts devant notre Cour. Par conséquent, il n</w:t>
      </w:r>
      <w:r>
        <w:rPr>
          <w:rFonts w:cs="Times New Roman"/>
          <w:noProof/>
          <w:lang w:val="fr-CA"/>
        </w:rPr>
        <w:t>’</w:t>
      </w:r>
      <w:r w:rsidRPr="00E41E88">
        <w:rPr>
          <w:rFonts w:cs="Times New Roman"/>
          <w:noProof/>
          <w:lang w:val="fr-CA"/>
        </w:rPr>
        <w:t>est pas nécessaire dans les circonstances, et il serait peut</w:t>
      </w:r>
      <w:r w:rsidRPr="00E41E88">
        <w:rPr>
          <w:rFonts w:cs="Times New Roman"/>
          <w:noProof/>
          <w:lang w:val="fr-CA"/>
        </w:rPr>
        <w:noBreakHyphen/>
        <w:t>être même peu judicieux vu la méthode suivie dans l</w:t>
      </w:r>
      <w:r>
        <w:rPr>
          <w:rFonts w:cs="Times New Roman"/>
          <w:noProof/>
          <w:lang w:val="fr-CA"/>
        </w:rPr>
        <w:t xml:space="preserve">’arrêt </w:t>
      </w:r>
      <w:r w:rsidRPr="00E41E88">
        <w:rPr>
          <w:rFonts w:cs="Times New Roman"/>
          <w:i/>
          <w:noProof/>
          <w:lang w:val="fr-CA"/>
        </w:rPr>
        <w:t>Bhasin</w:t>
      </w:r>
      <w:r>
        <w:rPr>
          <w:rFonts w:cs="Times New Roman"/>
          <w:noProof/>
          <w:lang w:val="fr-CA"/>
        </w:rPr>
        <w:t xml:space="preserve">, </w:t>
      </w:r>
      <w:r w:rsidRPr="00E41E88">
        <w:rPr>
          <w:rFonts w:cs="Times New Roman"/>
          <w:noProof/>
          <w:lang w:val="fr-CA"/>
        </w:rPr>
        <w:t>de statuer sur les allégations de malhonnêteté avancées par M. Matthews, étant donné que je propose de lui accorder la seule réparation sollicitée en appel —</w:t>
      </w:r>
      <w:r w:rsidRPr="00E41E88">
        <w:rPr>
          <w:rFonts w:cs="Times New Roman"/>
          <w:lang w:val="fr-CA"/>
        </w:rPr>
        <w:t xml:space="preserve"> </w:t>
      </w:r>
      <w:r w:rsidRPr="00E41E88">
        <w:rPr>
          <w:rFonts w:cs="Times New Roman"/>
          <w:noProof/>
          <w:lang w:val="fr-CA"/>
        </w:rPr>
        <w:t xml:space="preserve">soit une somme équivalente au paiement auquel il a droit en vertu du RILT — sur la base du droit à un préavis raisonnable. Cela dit, </w:t>
      </w:r>
      <w:r w:rsidRPr="00E41E88">
        <w:rPr>
          <w:rFonts w:cs="Times New Roman"/>
          <w:noProof/>
          <w:lang w:val="fr-CA"/>
        </w:rPr>
        <w:lastRenderedPageBreak/>
        <w:t>quelques observations s</w:t>
      </w:r>
      <w:r>
        <w:rPr>
          <w:rFonts w:cs="Times New Roman"/>
          <w:noProof/>
          <w:lang w:val="fr-CA"/>
        </w:rPr>
        <w:t>’</w:t>
      </w:r>
      <w:r w:rsidRPr="00E41E88">
        <w:rPr>
          <w:rFonts w:cs="Times New Roman"/>
          <w:noProof/>
          <w:lang w:val="fr-CA"/>
        </w:rPr>
        <w:t>imposent à l</w:t>
      </w:r>
      <w:r>
        <w:rPr>
          <w:rFonts w:cs="Times New Roman"/>
          <w:noProof/>
          <w:lang w:val="fr-CA"/>
        </w:rPr>
        <w:t>’</w:t>
      </w:r>
      <w:r w:rsidRPr="00E41E88">
        <w:rPr>
          <w:rFonts w:cs="Times New Roman"/>
          <w:noProof/>
          <w:lang w:val="fr-CA"/>
        </w:rPr>
        <w:t>égard des allégations relatives à la conduite malhonnête qu</w:t>
      </w:r>
      <w:r>
        <w:rPr>
          <w:rFonts w:cs="Times New Roman"/>
          <w:noProof/>
          <w:lang w:val="fr-CA"/>
        </w:rPr>
        <w:t>’</w:t>
      </w:r>
      <w:r w:rsidRPr="00E41E88">
        <w:rPr>
          <w:rFonts w:cs="Times New Roman"/>
          <w:noProof/>
          <w:lang w:val="fr-CA"/>
        </w:rPr>
        <w:t>aurait eue Ocean pendant une période prolongée, mais néanmoins liée aux circonstances du congédiement. J</w:t>
      </w:r>
      <w:r>
        <w:rPr>
          <w:rFonts w:cs="Times New Roman"/>
          <w:noProof/>
          <w:lang w:val="fr-CA"/>
        </w:rPr>
        <w:t>’</w:t>
      </w:r>
      <w:r w:rsidRPr="00E41E88">
        <w:rPr>
          <w:rFonts w:cs="Times New Roman"/>
          <w:noProof/>
          <w:lang w:val="fr-CA"/>
        </w:rPr>
        <w:t>arrive à cette conclusion pour deux raisons.</w:t>
      </w:r>
    </w:p>
    <w:p w:rsidR="00DD44E8" w:rsidRPr="00E41E88" w:rsidRDefault="00DD44E8" w:rsidP="00DD44E8">
      <w:pPr>
        <w:pStyle w:val="ParaNoNdepar-AltN"/>
        <w:widowControl w:val="0"/>
        <w:tabs>
          <w:tab w:val="clear" w:pos="1152"/>
          <w:tab w:val="left" w:pos="1166"/>
        </w:tabs>
        <w:rPr>
          <w:rFonts w:cs="Times New Roman"/>
          <w:noProof/>
          <w:lang w:val="fr-CA"/>
        </w:rPr>
      </w:pPr>
      <w:r w:rsidRPr="00E41E88">
        <w:rPr>
          <w:rFonts w:cs="Times New Roman"/>
          <w:noProof/>
          <w:lang w:val="fr-CA"/>
        </w:rPr>
        <w:t>La première se rapporte à la méthode qu</w:t>
      </w:r>
      <w:r>
        <w:rPr>
          <w:rFonts w:cs="Times New Roman"/>
          <w:noProof/>
          <w:lang w:val="fr-CA"/>
        </w:rPr>
        <w:t>’</w:t>
      </w:r>
      <w:r w:rsidRPr="00E41E88">
        <w:rPr>
          <w:rFonts w:cs="Times New Roman"/>
          <w:noProof/>
          <w:lang w:val="fr-CA"/>
        </w:rPr>
        <w:t>il convient d</w:t>
      </w:r>
      <w:r>
        <w:rPr>
          <w:rFonts w:cs="Times New Roman"/>
          <w:noProof/>
          <w:lang w:val="fr-CA"/>
        </w:rPr>
        <w:t>’</w:t>
      </w:r>
      <w:r w:rsidRPr="00E41E88">
        <w:rPr>
          <w:rFonts w:cs="Times New Roman"/>
          <w:noProof/>
          <w:lang w:val="fr-CA"/>
        </w:rPr>
        <w:t>utiliser pour analyser les actions pour congédiement injustifié, comme celle de M. Matthews, lorsque l</w:t>
      </w:r>
      <w:r>
        <w:rPr>
          <w:rFonts w:cs="Times New Roman"/>
          <w:noProof/>
          <w:lang w:val="fr-CA"/>
        </w:rPr>
        <w:t>’</w:t>
      </w:r>
      <w:r w:rsidRPr="00E41E88">
        <w:rPr>
          <w:rFonts w:cs="Times New Roman"/>
          <w:noProof/>
          <w:lang w:val="fr-CA"/>
        </w:rPr>
        <w:t>employé prétend qu</w:t>
      </w:r>
      <w:r>
        <w:rPr>
          <w:rFonts w:cs="Times New Roman"/>
          <w:noProof/>
          <w:lang w:val="fr-CA"/>
        </w:rPr>
        <w:t>’</w:t>
      </w:r>
      <w:r w:rsidRPr="00E41E88">
        <w:rPr>
          <w:rFonts w:cs="Times New Roman"/>
          <w:noProof/>
          <w:lang w:val="fr-CA"/>
        </w:rPr>
        <w:t>on ne lui a pas donné un préavis raisonnable et qu</w:t>
      </w:r>
      <w:r>
        <w:rPr>
          <w:rFonts w:cs="Times New Roman"/>
          <w:noProof/>
          <w:lang w:val="fr-CA"/>
        </w:rPr>
        <w:t>’</w:t>
      </w:r>
      <w:r w:rsidRPr="00E41E88">
        <w:rPr>
          <w:rFonts w:cs="Times New Roman"/>
          <w:noProof/>
          <w:lang w:val="fr-CA"/>
        </w:rPr>
        <w:t>il y a eu mauvaise foi. Tant que la preuve du préjudice est apportée comme il se doit et que l</w:t>
      </w:r>
      <w:r>
        <w:rPr>
          <w:rFonts w:cs="Times New Roman"/>
          <w:noProof/>
          <w:lang w:val="fr-CA"/>
        </w:rPr>
        <w:t>’</w:t>
      </w:r>
      <w:r w:rsidRPr="00E41E88">
        <w:rPr>
          <w:rFonts w:cs="Times New Roman"/>
          <w:noProof/>
          <w:lang w:val="fr-CA"/>
        </w:rPr>
        <w:t>existence d</w:t>
      </w:r>
      <w:r>
        <w:rPr>
          <w:rFonts w:cs="Times New Roman"/>
          <w:noProof/>
          <w:lang w:val="fr-CA"/>
        </w:rPr>
        <w:t>’</w:t>
      </w:r>
      <w:r w:rsidRPr="00E41E88">
        <w:rPr>
          <w:rFonts w:cs="Times New Roman"/>
          <w:noProof/>
          <w:lang w:val="fr-CA"/>
        </w:rPr>
        <w:t>un lien de causalité est établie, un manquement à l</w:t>
      </w:r>
      <w:r>
        <w:rPr>
          <w:rFonts w:cs="Times New Roman"/>
          <w:noProof/>
          <w:lang w:val="fr-CA"/>
        </w:rPr>
        <w:t>’</w:t>
      </w:r>
      <w:r w:rsidRPr="00E41E88">
        <w:rPr>
          <w:rFonts w:cs="Times New Roman"/>
          <w:noProof/>
          <w:lang w:val="fr-CA"/>
        </w:rPr>
        <w:t>obligation d</w:t>
      </w:r>
      <w:r>
        <w:rPr>
          <w:rFonts w:cs="Times New Roman"/>
          <w:noProof/>
          <w:lang w:val="fr-CA"/>
        </w:rPr>
        <w:t>’</w:t>
      </w:r>
      <w:r w:rsidRPr="00E41E88">
        <w:rPr>
          <w:rFonts w:cs="Times New Roman"/>
          <w:noProof/>
          <w:lang w:val="fr-CA"/>
        </w:rPr>
        <w:t>agir de bonne foi pourrait certainement donner ouverture à des dommages</w:t>
      </w:r>
      <w:r w:rsidRPr="00E41E88">
        <w:rPr>
          <w:rFonts w:cs="Times New Roman"/>
          <w:noProof/>
          <w:lang w:val="fr-CA"/>
        </w:rPr>
        <w:noBreakHyphen/>
        <w:t>intérêts distincts selon les principes établis dans l</w:t>
      </w:r>
      <w:r>
        <w:rPr>
          <w:rFonts w:cs="Times New Roman"/>
          <w:noProof/>
          <w:lang w:val="fr-CA"/>
        </w:rPr>
        <w:t xml:space="preserve">’arrêt </w:t>
      </w:r>
      <w:r w:rsidRPr="00E41E88">
        <w:rPr>
          <w:rFonts w:cs="Times New Roman"/>
          <w:i/>
          <w:noProof/>
          <w:lang w:val="fr-CA"/>
        </w:rPr>
        <w:t>Hadley</w:t>
      </w:r>
      <w:r w:rsidRPr="00E41E88">
        <w:rPr>
          <w:rFonts w:cs="Times New Roman"/>
          <w:noProof/>
          <w:lang w:val="fr-CA"/>
        </w:rPr>
        <w:t>, qui ont été approuvés dans ce contexte dans l</w:t>
      </w:r>
      <w:r>
        <w:rPr>
          <w:rFonts w:cs="Times New Roman"/>
          <w:noProof/>
          <w:lang w:val="fr-CA"/>
        </w:rPr>
        <w:t xml:space="preserve">’arrêt </w:t>
      </w:r>
      <w:r w:rsidRPr="00E41E88">
        <w:rPr>
          <w:rFonts w:cs="Times New Roman"/>
          <w:i/>
          <w:noProof/>
          <w:lang w:val="fr-CA"/>
        </w:rPr>
        <w:t xml:space="preserve">Keays </w:t>
      </w:r>
      <w:r w:rsidRPr="00E41E88">
        <w:rPr>
          <w:rFonts w:cs="Times New Roman"/>
          <w:noProof/>
          <w:lang w:val="fr-CA"/>
        </w:rPr>
        <w:t>(par. 55</w:t>
      </w:r>
      <w:r w:rsidRPr="00E41E88">
        <w:rPr>
          <w:rFonts w:cs="Times New Roman"/>
          <w:noProof/>
          <w:lang w:val="fr-CA"/>
        </w:rPr>
        <w:noBreakHyphen/>
        <w:t>56), notamment des dommages</w:t>
      </w:r>
      <w:r w:rsidRPr="00E41E88">
        <w:rPr>
          <w:rFonts w:cs="Times New Roman"/>
          <w:noProof/>
          <w:lang w:val="fr-CA"/>
        </w:rPr>
        <w:noBreakHyphen/>
        <w:t>intérêts pour souffrances morales. Des dommages</w:t>
      </w:r>
      <w:r w:rsidRPr="00E41E88">
        <w:rPr>
          <w:rFonts w:cs="Times New Roman"/>
          <w:noProof/>
          <w:lang w:val="fr-CA"/>
        </w:rPr>
        <w:noBreakHyphen/>
        <w:t>intérêts punitifs pourraient également être accordés dans certaines circonstances. À cette fin, il est certes important que les parties s</w:t>
      </w:r>
      <w:r>
        <w:rPr>
          <w:rFonts w:cs="Times New Roman"/>
          <w:noProof/>
          <w:lang w:val="fr-CA"/>
        </w:rPr>
        <w:t>’</w:t>
      </w:r>
      <w:r w:rsidRPr="00E41E88">
        <w:rPr>
          <w:rFonts w:cs="Times New Roman"/>
          <w:noProof/>
          <w:lang w:val="fr-CA"/>
        </w:rPr>
        <w:t>assurent que leurs actes de procédure sont formulés adéquatement et que les tribunaux appliquent une approche cohérente sur le plan méthodologique lorsqu</w:t>
      </w:r>
      <w:r>
        <w:rPr>
          <w:rFonts w:cs="Times New Roman"/>
          <w:noProof/>
          <w:lang w:val="fr-CA"/>
        </w:rPr>
        <w:t>’</w:t>
      </w:r>
      <w:r w:rsidRPr="00E41E88">
        <w:rPr>
          <w:rFonts w:cs="Times New Roman"/>
          <w:noProof/>
          <w:lang w:val="fr-CA"/>
        </w:rPr>
        <w:t>ils instruisent des poursuites pour congédiement déguisé, car tout cela peut influer sur le montant des dommages</w:t>
      </w:r>
      <w:r w:rsidRPr="00E41E88">
        <w:rPr>
          <w:rFonts w:cs="Times New Roman"/>
          <w:noProof/>
          <w:lang w:val="fr-CA"/>
        </w:rPr>
        <w:noBreakHyphen/>
        <w:t>intérêts qui est accordé en définitive à l</w:t>
      </w:r>
      <w:r>
        <w:rPr>
          <w:rFonts w:cs="Times New Roman"/>
          <w:noProof/>
          <w:lang w:val="fr-CA"/>
        </w:rPr>
        <w:t>’</w:t>
      </w:r>
      <w:r w:rsidRPr="00E41E88">
        <w:rPr>
          <w:rFonts w:cs="Times New Roman"/>
          <w:noProof/>
          <w:lang w:val="fr-CA"/>
        </w:rPr>
        <w:t xml:space="preserve">employé demandeur. </w:t>
      </w:r>
    </w:p>
    <w:p w:rsidR="00DD44E8" w:rsidRPr="00E41E88" w:rsidRDefault="00DD44E8" w:rsidP="00DD44E8">
      <w:pPr>
        <w:pStyle w:val="ParaNoNdepar-AltN"/>
        <w:rPr>
          <w:rFonts w:cs="Times New Roman"/>
          <w:noProof/>
          <w:lang w:val="fr-CA"/>
        </w:rPr>
      </w:pPr>
      <w:r w:rsidRPr="00E41E88">
        <w:rPr>
          <w:rFonts w:cs="Times New Roman"/>
          <w:noProof/>
          <w:lang w:val="fr-CA"/>
        </w:rPr>
        <w:t xml:space="preserve">De plus, il ressort </w:t>
      </w:r>
      <w:r>
        <w:rPr>
          <w:rFonts w:cs="Times New Roman"/>
          <w:noProof/>
          <w:lang w:val="fr-CA"/>
        </w:rPr>
        <w:t>de l’argumentation</w:t>
      </w:r>
      <w:r w:rsidRPr="00E41E88">
        <w:rPr>
          <w:rFonts w:cs="Times New Roman"/>
          <w:noProof/>
          <w:lang w:val="fr-CA"/>
        </w:rPr>
        <w:t xml:space="preserve"> des parties en l</w:t>
      </w:r>
      <w:r>
        <w:rPr>
          <w:rFonts w:cs="Times New Roman"/>
          <w:noProof/>
          <w:lang w:val="fr-CA"/>
        </w:rPr>
        <w:t>’</w:t>
      </w:r>
      <w:r w:rsidRPr="00E41E88">
        <w:rPr>
          <w:rFonts w:cs="Times New Roman"/>
          <w:noProof/>
          <w:lang w:val="fr-CA"/>
        </w:rPr>
        <w:t>espèce qu</w:t>
      </w:r>
      <w:r>
        <w:rPr>
          <w:rFonts w:cs="Times New Roman"/>
          <w:noProof/>
          <w:lang w:val="fr-CA"/>
        </w:rPr>
        <w:t>’</w:t>
      </w:r>
      <w:r w:rsidRPr="00E41E88">
        <w:rPr>
          <w:rFonts w:cs="Times New Roman"/>
          <w:noProof/>
          <w:lang w:val="fr-CA"/>
        </w:rPr>
        <w:t>une part d</w:t>
      </w:r>
      <w:r>
        <w:rPr>
          <w:rFonts w:cs="Times New Roman"/>
          <w:noProof/>
          <w:lang w:val="fr-CA"/>
        </w:rPr>
        <w:t>’</w:t>
      </w:r>
      <w:r w:rsidRPr="00E41E88">
        <w:rPr>
          <w:rFonts w:cs="Times New Roman"/>
          <w:noProof/>
          <w:lang w:val="fr-CA"/>
        </w:rPr>
        <w:t>incertitude plane en ce qui a trait à l</w:t>
      </w:r>
      <w:r>
        <w:rPr>
          <w:rFonts w:cs="Times New Roman"/>
          <w:noProof/>
          <w:lang w:val="fr-CA"/>
        </w:rPr>
        <w:t>’</w:t>
      </w:r>
      <w:r w:rsidRPr="00E41E88">
        <w:rPr>
          <w:rFonts w:cs="Times New Roman"/>
          <w:noProof/>
          <w:lang w:val="fr-CA"/>
        </w:rPr>
        <w:t>incidence de l</w:t>
      </w:r>
      <w:r>
        <w:rPr>
          <w:rFonts w:cs="Times New Roman"/>
          <w:noProof/>
          <w:lang w:val="fr-CA"/>
        </w:rPr>
        <w:t xml:space="preserve">’arrêt </w:t>
      </w:r>
      <w:r w:rsidRPr="00E41E88">
        <w:rPr>
          <w:rFonts w:cs="Times New Roman"/>
          <w:i/>
          <w:noProof/>
          <w:lang w:val="fr-CA"/>
        </w:rPr>
        <w:t>Bhasin</w:t>
      </w:r>
      <w:r w:rsidRPr="00E41E88">
        <w:rPr>
          <w:rFonts w:cs="Times New Roman"/>
          <w:noProof/>
          <w:lang w:val="fr-CA"/>
        </w:rPr>
        <w:t>,</w:t>
      </w:r>
      <w:r w:rsidRPr="00E41E88">
        <w:rPr>
          <w:rFonts w:cs="Times New Roman"/>
          <w:i/>
          <w:noProof/>
          <w:lang w:val="fr-CA"/>
        </w:rPr>
        <w:t xml:space="preserve"> </w:t>
      </w:r>
      <w:r w:rsidRPr="00E41E88">
        <w:rPr>
          <w:rFonts w:cs="Times New Roman"/>
          <w:noProof/>
          <w:lang w:val="fr-CA"/>
        </w:rPr>
        <w:t>non seulement sur le pourvoi de M. Matthews, mais aussi sur le droit de l</w:t>
      </w:r>
      <w:r>
        <w:rPr>
          <w:rFonts w:cs="Times New Roman"/>
          <w:noProof/>
          <w:lang w:val="fr-CA"/>
        </w:rPr>
        <w:t>’</w:t>
      </w:r>
      <w:r w:rsidRPr="00E41E88">
        <w:rPr>
          <w:rFonts w:cs="Times New Roman"/>
          <w:noProof/>
          <w:lang w:val="fr-CA"/>
        </w:rPr>
        <w:t>emploi en génér</w:t>
      </w:r>
      <w:r>
        <w:rPr>
          <w:rFonts w:cs="Times New Roman"/>
          <w:noProof/>
          <w:lang w:val="fr-CA"/>
        </w:rPr>
        <w:t xml:space="preserve">al. </w:t>
      </w:r>
      <w:r w:rsidRPr="00E41E88">
        <w:rPr>
          <w:rFonts w:cs="Times New Roman"/>
          <w:noProof/>
          <w:lang w:val="fr-CA"/>
        </w:rPr>
        <w:t xml:space="preserve">Je crois que la présente affaire constitue à tout le moins une occasion de réaffirmer deux principes </w:t>
      </w:r>
      <w:r w:rsidRPr="00E41E88">
        <w:rPr>
          <w:rFonts w:cs="Times New Roman"/>
          <w:noProof/>
          <w:lang w:val="fr-CA"/>
        </w:rPr>
        <w:lastRenderedPageBreak/>
        <w:t>importants énoncés dans l</w:t>
      </w:r>
      <w:r>
        <w:rPr>
          <w:rFonts w:cs="Times New Roman"/>
          <w:noProof/>
          <w:lang w:val="fr-CA"/>
        </w:rPr>
        <w:t>’</w:t>
      </w:r>
      <w:r w:rsidRPr="00E41E88">
        <w:rPr>
          <w:rFonts w:cs="Times New Roman"/>
          <w:noProof/>
          <w:lang w:val="fr-CA"/>
        </w:rPr>
        <w:t xml:space="preserve">arrêt </w:t>
      </w:r>
      <w:r w:rsidRPr="00E41E88">
        <w:rPr>
          <w:rFonts w:cs="Times New Roman"/>
          <w:i/>
          <w:noProof/>
          <w:lang w:val="fr-CA"/>
        </w:rPr>
        <w:t>Potter</w:t>
      </w:r>
      <w:r w:rsidRPr="00E41E88">
        <w:rPr>
          <w:rFonts w:cs="Times New Roman"/>
          <w:noProof/>
          <w:lang w:val="fr-CA"/>
        </w:rPr>
        <w:t>. Premièrement, vu les divers arguments avancés par les parties, je tiens à rappeler que l</w:t>
      </w:r>
      <w:r>
        <w:rPr>
          <w:rFonts w:cs="Times New Roman"/>
          <w:noProof/>
          <w:lang w:val="fr-CA"/>
        </w:rPr>
        <w:t>’</w:t>
      </w:r>
      <w:r w:rsidRPr="00E41E88">
        <w:rPr>
          <w:rFonts w:cs="Times New Roman"/>
          <w:noProof/>
          <w:lang w:val="fr-CA"/>
        </w:rPr>
        <w:t>obligation d</w:t>
      </w:r>
      <w:r>
        <w:rPr>
          <w:rFonts w:cs="Times New Roman"/>
          <w:noProof/>
          <w:lang w:val="fr-CA"/>
        </w:rPr>
        <w:t>’</w:t>
      </w:r>
      <w:r w:rsidRPr="00E41E88">
        <w:rPr>
          <w:rFonts w:cs="Times New Roman"/>
          <w:noProof/>
          <w:lang w:val="fr-CA"/>
        </w:rPr>
        <w:t>exécution honnête — qui, comme l</w:t>
      </w:r>
      <w:r>
        <w:rPr>
          <w:rFonts w:cs="Times New Roman"/>
          <w:noProof/>
          <w:lang w:val="fr-CA"/>
        </w:rPr>
        <w:t>’</w:t>
      </w:r>
      <w:r w:rsidRPr="00E41E88">
        <w:rPr>
          <w:rFonts w:cs="Times New Roman"/>
          <w:noProof/>
          <w:lang w:val="fr-CA"/>
        </w:rPr>
        <w:t>a expliqué le juge Cromwell dans l</w:t>
      </w:r>
      <w:r>
        <w:rPr>
          <w:rFonts w:cs="Times New Roman"/>
          <w:noProof/>
          <w:lang w:val="fr-CA"/>
        </w:rPr>
        <w:t>’</w:t>
      </w:r>
      <w:r w:rsidRPr="00E41E88">
        <w:rPr>
          <w:rFonts w:cs="Times New Roman"/>
          <w:noProof/>
          <w:lang w:val="fr-CA"/>
        </w:rPr>
        <w:t xml:space="preserve">arrêt </w:t>
      </w:r>
      <w:r w:rsidRPr="00E41E88">
        <w:rPr>
          <w:rFonts w:cs="Times New Roman"/>
          <w:i/>
          <w:noProof/>
          <w:lang w:val="fr-CA"/>
        </w:rPr>
        <w:t>Bhasin</w:t>
      </w:r>
      <w:r w:rsidRPr="00E41E88">
        <w:rPr>
          <w:rFonts w:cs="Times New Roman"/>
          <w:noProof/>
          <w:lang w:val="fr-CA"/>
        </w:rPr>
        <w:t>, s</w:t>
      </w:r>
      <w:r>
        <w:rPr>
          <w:rFonts w:cs="Times New Roman"/>
          <w:noProof/>
          <w:lang w:val="fr-CA"/>
        </w:rPr>
        <w:t>’</w:t>
      </w:r>
      <w:r w:rsidRPr="00E41E88">
        <w:rPr>
          <w:rFonts w:cs="Times New Roman"/>
          <w:noProof/>
          <w:lang w:val="fr-CA"/>
        </w:rPr>
        <w:t xml:space="preserve">applique à </w:t>
      </w:r>
      <w:r w:rsidRPr="00357CBE">
        <w:rPr>
          <w:rFonts w:cs="Times New Roman"/>
          <w:noProof/>
          <w:lang w:val="fr-CA"/>
        </w:rPr>
        <w:t xml:space="preserve">tous </w:t>
      </w:r>
      <w:r w:rsidRPr="00E41E88">
        <w:rPr>
          <w:rFonts w:cs="Times New Roman"/>
          <w:noProof/>
          <w:lang w:val="fr-CA"/>
        </w:rPr>
        <w:t>les contrats et signifie simplement que les parties « ne doivent pas se mentir</w:t>
      </w:r>
      <w:r>
        <w:rPr>
          <w:rFonts w:cs="Times New Roman"/>
          <w:noProof/>
          <w:lang w:val="fr-CA"/>
        </w:rPr>
        <w:t> </w:t>
      </w:r>
      <w:r w:rsidRPr="00E41E88">
        <w:rPr>
          <w:rFonts w:cs="Times New Roman"/>
          <w:noProof/>
          <w:lang w:val="fr-CA"/>
        </w:rPr>
        <w:t xml:space="preserve">» les unes aux autres </w:t>
      </w:r>
      <w:r>
        <w:rPr>
          <w:rFonts w:cs="Times New Roman"/>
          <w:noProof/>
          <w:lang w:val="fr-CA"/>
        </w:rPr>
        <w:t>« </w:t>
      </w:r>
      <w:r w:rsidRPr="00E41E88">
        <w:rPr>
          <w:rFonts w:cs="Times New Roman"/>
          <w:noProof/>
          <w:lang w:val="fr-CA"/>
        </w:rPr>
        <w:t>ni s</w:t>
      </w:r>
      <w:r>
        <w:rPr>
          <w:rFonts w:cs="Times New Roman"/>
          <w:noProof/>
          <w:lang w:val="fr-CA"/>
        </w:rPr>
        <w:t>’</w:t>
      </w:r>
      <w:r w:rsidRPr="00E41E88">
        <w:rPr>
          <w:rFonts w:cs="Times New Roman"/>
          <w:noProof/>
          <w:lang w:val="fr-CA"/>
        </w:rPr>
        <w:t>induire intentionnellement en erreur au sujet des questions directement liées à l</w:t>
      </w:r>
      <w:r>
        <w:rPr>
          <w:rFonts w:cs="Times New Roman"/>
          <w:noProof/>
          <w:lang w:val="fr-CA"/>
        </w:rPr>
        <w:t>’</w:t>
      </w:r>
      <w:r w:rsidRPr="00E41E88">
        <w:rPr>
          <w:rFonts w:cs="Times New Roman"/>
          <w:noProof/>
          <w:lang w:val="fr-CA"/>
        </w:rPr>
        <w:t>exécution du contrat » — est applicable aux contrats de travail (</w:t>
      </w:r>
      <w:r w:rsidRPr="00E41E88">
        <w:rPr>
          <w:rFonts w:cs="Times New Roman"/>
          <w:i/>
          <w:noProof/>
          <w:lang w:val="fr-CA"/>
        </w:rPr>
        <w:t>Bhasin</w:t>
      </w:r>
      <w:r w:rsidR="00004D10">
        <w:rPr>
          <w:rFonts w:cs="Times New Roman"/>
          <w:noProof/>
          <w:lang w:val="fr-CA"/>
        </w:rPr>
        <w:t>, par. 33, voir aussi</w:t>
      </w:r>
      <w:r w:rsidRPr="00E41E88">
        <w:rPr>
          <w:rFonts w:cs="Times New Roman"/>
          <w:noProof/>
          <w:lang w:val="fr-CA"/>
        </w:rPr>
        <w:t xml:space="preserve"> par. 73;</w:t>
      </w:r>
      <w:r w:rsidRPr="00E41E88">
        <w:rPr>
          <w:rFonts w:cs="Times New Roman"/>
          <w:i/>
          <w:noProof/>
          <w:lang w:val="fr-CA"/>
        </w:rPr>
        <w:t xml:space="preserve"> Potter</w:t>
      </w:r>
      <w:r w:rsidRPr="00E41E88">
        <w:rPr>
          <w:rFonts w:cs="Times New Roman"/>
          <w:noProof/>
          <w:lang w:val="fr-CA"/>
        </w:rPr>
        <w:t>, par</w:t>
      </w:r>
      <w:r>
        <w:rPr>
          <w:rFonts w:cs="Times New Roman"/>
          <w:noProof/>
          <w:lang w:val="fr-CA"/>
        </w:rPr>
        <w:t>.</w:t>
      </w:r>
      <w:r w:rsidRPr="00E41E88">
        <w:rPr>
          <w:rFonts w:cs="Times New Roman"/>
          <w:noProof/>
          <w:lang w:val="fr-CA"/>
        </w:rPr>
        <w:t xml:space="preserve"> 99). Deuxièmement, je prends bonne note de la période de quatre ans au cours de laquelle il y aurait eu comportement malhonnête à l</w:t>
      </w:r>
      <w:r>
        <w:rPr>
          <w:rFonts w:cs="Times New Roman"/>
          <w:noProof/>
          <w:lang w:val="fr-CA"/>
        </w:rPr>
        <w:t>’</w:t>
      </w:r>
      <w:r w:rsidRPr="00E41E88">
        <w:rPr>
          <w:rFonts w:cs="Times New Roman"/>
          <w:noProof/>
          <w:lang w:val="fr-CA"/>
        </w:rPr>
        <w:t>endroit de M. Matthews avant son congédiemen</w:t>
      </w:r>
      <w:r>
        <w:rPr>
          <w:rFonts w:cs="Times New Roman"/>
          <w:noProof/>
          <w:lang w:val="fr-CA"/>
        </w:rPr>
        <w:t>t</w:t>
      </w:r>
      <w:r w:rsidRPr="00E41E88">
        <w:rPr>
          <w:rFonts w:cs="Times New Roman"/>
          <w:noProof/>
          <w:lang w:val="fr-CA"/>
        </w:rPr>
        <w:t>. En conséquence, je tiens également à réitérer que, dans les cas où un employé prétend qu</w:t>
      </w:r>
      <w:r>
        <w:rPr>
          <w:rFonts w:cs="Times New Roman"/>
          <w:noProof/>
          <w:lang w:val="fr-CA"/>
        </w:rPr>
        <w:t>’</w:t>
      </w:r>
      <w:r w:rsidRPr="00E41E88">
        <w:rPr>
          <w:rFonts w:cs="Times New Roman"/>
          <w:noProof/>
          <w:lang w:val="fr-CA"/>
        </w:rPr>
        <w:t>il y a eu manquement à l</w:t>
      </w:r>
      <w:r>
        <w:rPr>
          <w:rFonts w:cs="Times New Roman"/>
          <w:noProof/>
          <w:lang w:val="fr-CA"/>
        </w:rPr>
        <w:t>’</w:t>
      </w:r>
      <w:r w:rsidRPr="00E41E88">
        <w:rPr>
          <w:rFonts w:cs="Times New Roman"/>
          <w:noProof/>
          <w:lang w:val="fr-CA"/>
        </w:rPr>
        <w:t>obligation d</w:t>
      </w:r>
      <w:r>
        <w:rPr>
          <w:rFonts w:cs="Times New Roman"/>
          <w:noProof/>
          <w:lang w:val="fr-CA"/>
        </w:rPr>
        <w:t>’</w:t>
      </w:r>
      <w:r w:rsidRPr="00E41E88">
        <w:rPr>
          <w:rFonts w:cs="Times New Roman"/>
          <w:noProof/>
          <w:lang w:val="fr-CA"/>
        </w:rPr>
        <w:t>agir de bonne foi dans la façon de procéder au congédiement — formule introduite par notre Cour dans l</w:t>
      </w:r>
      <w:r>
        <w:rPr>
          <w:rFonts w:cs="Times New Roman"/>
          <w:noProof/>
          <w:lang w:val="fr-CA"/>
        </w:rPr>
        <w:t>’</w:t>
      </w:r>
      <w:r w:rsidRPr="00E41E88">
        <w:rPr>
          <w:rFonts w:cs="Times New Roman"/>
          <w:noProof/>
          <w:lang w:val="fr-CA"/>
        </w:rPr>
        <w:t xml:space="preserve">arrêt </w:t>
      </w:r>
      <w:r w:rsidRPr="00E41E88">
        <w:rPr>
          <w:rFonts w:cs="Times New Roman"/>
          <w:i/>
          <w:noProof/>
          <w:lang w:val="fr-CA"/>
        </w:rPr>
        <w:t>Wallace</w:t>
      </w:r>
      <w:r w:rsidRPr="00E41E88">
        <w:rPr>
          <w:rFonts w:cs="Times New Roman"/>
          <w:noProof/>
          <w:lang w:val="fr-CA"/>
        </w:rPr>
        <w:t>, puis réaffirmée dans l</w:t>
      </w:r>
      <w:r>
        <w:rPr>
          <w:rFonts w:cs="Times New Roman"/>
          <w:noProof/>
          <w:lang w:val="fr-CA"/>
        </w:rPr>
        <w:t>’</w:t>
      </w:r>
      <w:r w:rsidRPr="00E41E88">
        <w:rPr>
          <w:rFonts w:cs="Times New Roman"/>
          <w:noProof/>
          <w:lang w:val="fr-CA"/>
        </w:rPr>
        <w:t xml:space="preserve">arrêt </w:t>
      </w:r>
      <w:r w:rsidRPr="00E41E88">
        <w:rPr>
          <w:rFonts w:cs="Times New Roman"/>
          <w:i/>
          <w:noProof/>
          <w:lang w:val="fr-CA"/>
        </w:rPr>
        <w:t>Keays</w:t>
      </w:r>
      <w:r w:rsidRPr="00E41E88">
        <w:rPr>
          <w:rFonts w:cs="Times New Roman"/>
          <w:noProof/>
          <w:lang w:val="fr-CA"/>
        </w:rPr>
        <w:t xml:space="preserve"> —, il s</w:t>
      </w:r>
      <w:r>
        <w:rPr>
          <w:rFonts w:cs="Times New Roman"/>
          <w:noProof/>
          <w:lang w:val="fr-CA"/>
        </w:rPr>
        <w:t>’</w:t>
      </w:r>
      <w:r w:rsidRPr="00E41E88">
        <w:rPr>
          <w:rFonts w:cs="Times New Roman"/>
          <w:noProof/>
          <w:lang w:val="fr-CA"/>
        </w:rPr>
        <w:t>ensuit que les tribunaux sont autorisés à examiner une conduite qui s</w:t>
      </w:r>
      <w:r>
        <w:rPr>
          <w:rFonts w:cs="Times New Roman"/>
          <w:noProof/>
          <w:lang w:val="fr-CA"/>
        </w:rPr>
        <w:t>’</w:t>
      </w:r>
      <w:r w:rsidRPr="00E41E88">
        <w:rPr>
          <w:rFonts w:cs="Times New Roman"/>
          <w:noProof/>
          <w:lang w:val="fr-CA"/>
        </w:rPr>
        <w:t>est échelonnée sur une certaine période et qui ne se limite pas au moment précis où il a été mis fin à l</w:t>
      </w:r>
      <w:r>
        <w:rPr>
          <w:rFonts w:cs="Times New Roman"/>
          <w:noProof/>
          <w:lang w:val="fr-CA"/>
        </w:rPr>
        <w:t>’</w:t>
      </w:r>
      <w:r w:rsidRPr="00E41E88">
        <w:rPr>
          <w:rFonts w:cs="Times New Roman"/>
          <w:noProof/>
          <w:lang w:val="fr-CA"/>
        </w:rPr>
        <w:t>emploi. À mon avis, tous ces aspects constituent des règles de droit bien établies.</w:t>
      </w:r>
    </w:p>
    <w:p w:rsidR="00DD44E8" w:rsidRDefault="00DD44E8" w:rsidP="00DD44E8">
      <w:pPr>
        <w:pStyle w:val="ParaNoNdepar-AltN"/>
        <w:rPr>
          <w:rFonts w:cs="Times New Roman"/>
          <w:noProof/>
          <w:lang w:val="fr-CA"/>
        </w:rPr>
      </w:pPr>
      <w:r w:rsidRPr="00E41E88">
        <w:rPr>
          <w:rFonts w:cs="Times New Roman"/>
          <w:noProof/>
          <w:lang w:val="fr-CA"/>
        </w:rPr>
        <w:t xml:space="preserve">La deuxième raison se rapporte aux types qualitativement différents de manquements contractuels qui ont été invoqués par </w:t>
      </w:r>
      <w:r>
        <w:rPr>
          <w:rFonts w:cs="Times New Roman"/>
          <w:noProof/>
          <w:lang w:val="fr-CA"/>
        </w:rPr>
        <w:t>M. </w:t>
      </w:r>
      <w:r w:rsidRPr="00E41E88">
        <w:rPr>
          <w:rFonts w:cs="Times New Roman"/>
          <w:noProof/>
          <w:lang w:val="fr-CA"/>
        </w:rPr>
        <w:t>Matthews dès le dép</w:t>
      </w:r>
      <w:r>
        <w:rPr>
          <w:rFonts w:cs="Times New Roman"/>
          <w:noProof/>
          <w:lang w:val="fr-CA"/>
        </w:rPr>
        <w:t xml:space="preserve">art. </w:t>
      </w:r>
      <w:r w:rsidRPr="00E41E88">
        <w:rPr>
          <w:rFonts w:cs="Times New Roman"/>
          <w:noProof/>
          <w:lang w:val="fr-CA"/>
        </w:rPr>
        <w:t>Dans une certaine mesure, cette différence a été considérée dans l</w:t>
      </w:r>
      <w:r>
        <w:rPr>
          <w:rFonts w:cs="Times New Roman"/>
          <w:noProof/>
          <w:lang w:val="fr-CA"/>
        </w:rPr>
        <w:t>’</w:t>
      </w:r>
      <w:r w:rsidRPr="00E41E88">
        <w:rPr>
          <w:rFonts w:cs="Times New Roman"/>
          <w:noProof/>
          <w:lang w:val="fr-CA"/>
        </w:rPr>
        <w:t xml:space="preserve">arrêt </w:t>
      </w:r>
      <w:r w:rsidRPr="00357CBE">
        <w:rPr>
          <w:rFonts w:cs="Times New Roman"/>
          <w:i/>
          <w:noProof/>
          <w:lang w:val="fr-CA"/>
        </w:rPr>
        <w:t>Keays</w:t>
      </w:r>
      <w:r w:rsidRPr="00E41E88">
        <w:rPr>
          <w:rFonts w:cs="Times New Roman"/>
          <w:noProof/>
          <w:lang w:val="fr-CA"/>
        </w:rPr>
        <w:t xml:space="preserve"> où il a été jugé que le manquement en question ne devrait pas, comme c</w:t>
      </w:r>
      <w:r>
        <w:rPr>
          <w:rFonts w:cs="Times New Roman"/>
          <w:noProof/>
          <w:lang w:val="fr-CA"/>
        </w:rPr>
        <w:t>’</w:t>
      </w:r>
      <w:r w:rsidRPr="00E41E88">
        <w:rPr>
          <w:rFonts w:cs="Times New Roman"/>
          <w:noProof/>
          <w:lang w:val="fr-CA"/>
        </w:rPr>
        <w:t>était parfois le cas, servir simplement à allonger la durée de la période de préavis raisonnable</w:t>
      </w:r>
      <w:r w:rsidR="00004D10">
        <w:rPr>
          <w:rStyle w:val="FootnoteReference"/>
          <w:rFonts w:cs="Times New Roman"/>
          <w:noProof/>
          <w:lang w:val="fr-CA"/>
        </w:rPr>
        <w:footnoteReference w:id="2"/>
      </w:r>
      <w:r w:rsidRPr="00E41E88">
        <w:rPr>
          <w:rFonts w:cs="Times New Roman"/>
          <w:noProof/>
          <w:lang w:val="fr-CA"/>
        </w:rPr>
        <w:t>. Dire qu</w:t>
      </w:r>
      <w:r>
        <w:rPr>
          <w:rFonts w:cs="Times New Roman"/>
          <w:noProof/>
          <w:lang w:val="fr-CA"/>
        </w:rPr>
        <w:t>’</w:t>
      </w:r>
      <w:r w:rsidRPr="00E41E88">
        <w:rPr>
          <w:rFonts w:cs="Times New Roman"/>
          <w:noProof/>
          <w:lang w:val="fr-CA"/>
        </w:rPr>
        <w:t xml:space="preserve">un </w:t>
      </w:r>
      <w:r w:rsidRPr="00E41E88">
        <w:rPr>
          <w:rFonts w:cs="Times New Roman"/>
          <w:noProof/>
          <w:lang w:val="fr-CA"/>
        </w:rPr>
        <w:lastRenderedPageBreak/>
        <w:t>employé a été traité malhonnêtement est très différent de dire qu</w:t>
      </w:r>
      <w:r>
        <w:rPr>
          <w:rFonts w:cs="Times New Roman"/>
          <w:noProof/>
          <w:lang w:val="fr-CA"/>
        </w:rPr>
        <w:t>’</w:t>
      </w:r>
      <w:r w:rsidRPr="00E41E88">
        <w:rPr>
          <w:rFonts w:cs="Times New Roman"/>
          <w:noProof/>
          <w:lang w:val="fr-CA"/>
        </w:rPr>
        <w:t>il a été congédié sans préavis. Cette constatation est directement pertinente dans le cas de la demande adressée par M. Matthews aux tribunaux afin d</w:t>
      </w:r>
      <w:r>
        <w:rPr>
          <w:rFonts w:cs="Times New Roman"/>
          <w:noProof/>
          <w:lang w:val="fr-CA"/>
        </w:rPr>
        <w:t>’</w:t>
      </w:r>
      <w:r w:rsidRPr="00E41E88">
        <w:rPr>
          <w:rFonts w:cs="Times New Roman"/>
          <w:noProof/>
          <w:lang w:val="fr-CA"/>
        </w:rPr>
        <w:t>obtenir une déclaration portant qu</w:t>
      </w:r>
      <w:r>
        <w:rPr>
          <w:rFonts w:cs="Times New Roman"/>
          <w:noProof/>
          <w:lang w:val="fr-CA"/>
        </w:rPr>
        <w:t>’</w:t>
      </w:r>
      <w:r w:rsidRPr="00E41E88">
        <w:rPr>
          <w:rFonts w:cs="Times New Roman"/>
          <w:noProof/>
          <w:lang w:val="fr-CA"/>
        </w:rPr>
        <w:t xml:space="preserve">il a été traité de façon incorrecte par Ocean. </w:t>
      </w:r>
    </w:p>
    <w:p w:rsidR="00DD44E8" w:rsidRPr="00E41E88" w:rsidRDefault="00DD44E8" w:rsidP="00DD44E8">
      <w:pPr>
        <w:pStyle w:val="Title2LevelTitre2Niveau"/>
        <w:keepNext w:val="0"/>
        <w:widowControl w:val="0"/>
        <w:rPr>
          <w:rFonts w:cs="Times New Roman"/>
          <w:noProof/>
          <w:lang w:val="fr-CA"/>
        </w:rPr>
      </w:pPr>
      <w:r w:rsidRPr="00E41E88">
        <w:rPr>
          <w:rFonts w:cs="Times New Roman"/>
          <w:noProof/>
          <w:lang w:val="fr-CA"/>
        </w:rPr>
        <w:t>Méthode d</w:t>
      </w:r>
      <w:r>
        <w:rPr>
          <w:rFonts w:cs="Times New Roman"/>
          <w:noProof/>
          <w:lang w:val="fr-CA"/>
        </w:rPr>
        <w:t>’</w:t>
      </w:r>
      <w:r w:rsidRPr="00E41E88">
        <w:rPr>
          <w:rFonts w:cs="Times New Roman"/>
          <w:noProof/>
          <w:lang w:val="fr-CA"/>
        </w:rPr>
        <w:t>analyse appropriée</w:t>
      </w:r>
    </w:p>
    <w:p w:rsidR="00DD44E8" w:rsidRPr="00E41E88" w:rsidRDefault="00DD44E8" w:rsidP="00DD44E8">
      <w:pPr>
        <w:pStyle w:val="ParaNoNdepar-AltN"/>
        <w:widowControl w:val="0"/>
        <w:tabs>
          <w:tab w:val="clear" w:pos="1152"/>
          <w:tab w:val="left" w:pos="1166"/>
        </w:tabs>
        <w:rPr>
          <w:rFonts w:cs="Times New Roman"/>
          <w:noProof/>
          <w:lang w:val="fr-CA"/>
        </w:rPr>
      </w:pPr>
      <w:r w:rsidRPr="00E41E88">
        <w:rPr>
          <w:rFonts w:cs="Times New Roman"/>
          <w:noProof/>
          <w:lang w:val="fr-CA"/>
        </w:rPr>
        <w:t xml:space="preserve">Interprétée adéquatement, </w:t>
      </w:r>
      <w:r>
        <w:rPr>
          <w:rFonts w:cs="Times New Roman"/>
          <w:noProof/>
          <w:lang w:val="fr-CA"/>
        </w:rPr>
        <w:t>l’action</w:t>
      </w:r>
      <w:r w:rsidRPr="00E41E88">
        <w:rPr>
          <w:rFonts w:cs="Times New Roman"/>
          <w:noProof/>
          <w:lang w:val="fr-CA"/>
        </w:rPr>
        <w:t xml:space="preserve"> débattue en l</w:t>
      </w:r>
      <w:r>
        <w:rPr>
          <w:rFonts w:cs="Times New Roman"/>
          <w:noProof/>
          <w:lang w:val="fr-CA"/>
        </w:rPr>
        <w:t>’</w:t>
      </w:r>
      <w:r w:rsidRPr="00E41E88">
        <w:rPr>
          <w:rFonts w:cs="Times New Roman"/>
          <w:noProof/>
          <w:lang w:val="fr-CA"/>
        </w:rPr>
        <w:t xml:space="preserve">espèce repose en effet sur des allégations reprochant deux manquements distincts au contrat de travail de M. Matthews. </w:t>
      </w:r>
    </w:p>
    <w:p w:rsidR="00DD44E8" w:rsidRPr="00E41E88" w:rsidRDefault="00DD44E8" w:rsidP="00DD44E8">
      <w:pPr>
        <w:pStyle w:val="ParaNoNdepar-AltN"/>
        <w:rPr>
          <w:rFonts w:cs="Times New Roman"/>
          <w:noProof/>
          <w:lang w:val="fr-CA"/>
        </w:rPr>
      </w:pPr>
      <w:r w:rsidRPr="00E41E88">
        <w:rPr>
          <w:rFonts w:cs="Times New Roman"/>
          <w:noProof/>
          <w:lang w:val="fr-CA"/>
        </w:rPr>
        <w:t>Ni l</w:t>
      </w:r>
      <w:r>
        <w:rPr>
          <w:rFonts w:cs="Times New Roman"/>
          <w:noProof/>
          <w:lang w:val="fr-CA"/>
        </w:rPr>
        <w:t>’</w:t>
      </w:r>
      <w:r w:rsidRPr="00E41E88">
        <w:rPr>
          <w:rFonts w:cs="Times New Roman"/>
          <w:noProof/>
          <w:lang w:val="fr-CA"/>
        </w:rPr>
        <w:t>une ni l</w:t>
      </w:r>
      <w:r>
        <w:rPr>
          <w:rFonts w:cs="Times New Roman"/>
          <w:noProof/>
          <w:lang w:val="fr-CA"/>
        </w:rPr>
        <w:t>’</w:t>
      </w:r>
      <w:r w:rsidRPr="00E41E88">
        <w:rPr>
          <w:rFonts w:cs="Times New Roman"/>
          <w:noProof/>
          <w:lang w:val="fr-CA"/>
        </w:rPr>
        <w:t>autre des parties ne contestent le fait, que suivant la common law, un employeur a le droit de résilier un contrat de travail sans motif — ou, comme c</w:t>
      </w:r>
      <w:r>
        <w:rPr>
          <w:rFonts w:cs="Times New Roman"/>
          <w:noProof/>
          <w:lang w:val="fr-CA"/>
        </w:rPr>
        <w:t>’</w:t>
      </w:r>
      <w:r w:rsidRPr="00E41E88">
        <w:rPr>
          <w:rFonts w:cs="Times New Roman"/>
          <w:noProof/>
          <w:lang w:val="fr-CA"/>
        </w:rPr>
        <w:t>est le cas en l</w:t>
      </w:r>
      <w:r>
        <w:rPr>
          <w:rFonts w:cs="Times New Roman"/>
          <w:noProof/>
          <w:lang w:val="fr-CA"/>
        </w:rPr>
        <w:t>’</w:t>
      </w:r>
      <w:r w:rsidRPr="00E41E88">
        <w:rPr>
          <w:rFonts w:cs="Times New Roman"/>
          <w:noProof/>
          <w:lang w:val="fr-CA"/>
        </w:rPr>
        <w:t>espèce, de pousser un employé à quitter son emploi dans des circonstances qui équivalent à un congédiement — pourvu que cet employeur s</w:t>
      </w:r>
      <w:r>
        <w:rPr>
          <w:rFonts w:cs="Times New Roman"/>
          <w:noProof/>
          <w:lang w:val="fr-CA"/>
        </w:rPr>
        <w:t>’</w:t>
      </w:r>
      <w:r w:rsidRPr="00E41E88">
        <w:rPr>
          <w:rFonts w:cs="Times New Roman"/>
          <w:noProof/>
          <w:lang w:val="fr-CA"/>
        </w:rPr>
        <w:t>acquitte de son obligation de donner un préavis raisonnable, droit qui, comme l</w:t>
      </w:r>
      <w:r>
        <w:rPr>
          <w:rFonts w:cs="Times New Roman"/>
          <w:noProof/>
          <w:lang w:val="fr-CA"/>
        </w:rPr>
        <w:t>’</w:t>
      </w:r>
      <w:r w:rsidRPr="00E41E88">
        <w:rPr>
          <w:rFonts w:cs="Times New Roman"/>
          <w:noProof/>
          <w:lang w:val="fr-CA"/>
        </w:rPr>
        <w:t>a souligné la Cour dans l</w:t>
      </w:r>
      <w:r>
        <w:rPr>
          <w:rFonts w:cs="Times New Roman"/>
          <w:noProof/>
          <w:lang w:val="fr-CA"/>
        </w:rPr>
        <w:t>’</w:t>
      </w:r>
      <w:r w:rsidRPr="00E41E88">
        <w:rPr>
          <w:rFonts w:cs="Times New Roman"/>
          <w:noProof/>
          <w:lang w:val="fr-CA"/>
        </w:rPr>
        <w:t xml:space="preserve">arrêt </w:t>
      </w:r>
      <w:r w:rsidRPr="00E41E88">
        <w:rPr>
          <w:rFonts w:cs="Times New Roman"/>
          <w:i/>
          <w:noProof/>
          <w:lang w:val="fr-CA"/>
        </w:rPr>
        <w:t>Farber</w:t>
      </w:r>
      <w:r w:rsidRPr="00E41E88">
        <w:rPr>
          <w:rFonts w:cs="Times New Roman"/>
          <w:noProof/>
          <w:lang w:val="fr-CA"/>
        </w:rPr>
        <w:t xml:space="preserve"> </w:t>
      </w:r>
      <w:r w:rsidRPr="00E41E88">
        <w:rPr>
          <w:rFonts w:cs="Times New Roman"/>
          <w:i/>
          <w:noProof/>
          <w:lang w:val="fr-CA"/>
        </w:rPr>
        <w:t>c. Cie Trust Royal</w:t>
      </w:r>
      <w:r w:rsidRPr="00E41E88">
        <w:rPr>
          <w:rFonts w:cs="Times New Roman"/>
          <w:noProof/>
          <w:lang w:val="fr-CA"/>
        </w:rPr>
        <w:t>, [1997] 1 R.C.S. 846, par. 23, est réciproque en matière de contrat de travail. En cas de manquement à l</w:t>
      </w:r>
      <w:r>
        <w:rPr>
          <w:rFonts w:cs="Times New Roman"/>
          <w:noProof/>
          <w:lang w:val="fr-CA"/>
        </w:rPr>
        <w:t>’</w:t>
      </w:r>
      <w:r w:rsidRPr="00E41E88">
        <w:rPr>
          <w:rFonts w:cs="Times New Roman"/>
          <w:noProof/>
          <w:lang w:val="fr-CA"/>
        </w:rPr>
        <w:t>obligation de donner un préavis raisonnable, la question qui se pose n</w:t>
      </w:r>
      <w:r>
        <w:rPr>
          <w:rFonts w:cs="Times New Roman"/>
          <w:noProof/>
          <w:lang w:val="fr-CA"/>
        </w:rPr>
        <w:t>’</w:t>
      </w:r>
      <w:r w:rsidRPr="00E41E88">
        <w:rPr>
          <w:rFonts w:cs="Times New Roman"/>
          <w:noProof/>
          <w:lang w:val="fr-CA"/>
        </w:rPr>
        <w:t>est pas, en théorie, de savoir s</w:t>
      </w:r>
      <w:r>
        <w:rPr>
          <w:rFonts w:cs="Times New Roman"/>
          <w:noProof/>
          <w:lang w:val="fr-CA"/>
        </w:rPr>
        <w:t>’</w:t>
      </w:r>
      <w:r w:rsidRPr="00E41E88">
        <w:rPr>
          <w:rFonts w:cs="Times New Roman"/>
          <w:noProof/>
          <w:lang w:val="fr-CA"/>
        </w:rPr>
        <w:t>il y a eu ou non bonne foi; il s</w:t>
      </w:r>
      <w:r>
        <w:rPr>
          <w:rFonts w:cs="Times New Roman"/>
          <w:noProof/>
          <w:lang w:val="fr-CA"/>
        </w:rPr>
        <w:t>’</w:t>
      </w:r>
      <w:r w:rsidRPr="00E41E88">
        <w:rPr>
          <w:rFonts w:cs="Times New Roman"/>
          <w:noProof/>
          <w:lang w:val="fr-CA"/>
        </w:rPr>
        <w:t>agit, pour ainsi dire, d</w:t>
      </w:r>
      <w:r>
        <w:rPr>
          <w:rFonts w:cs="Times New Roman"/>
          <w:noProof/>
          <w:lang w:val="fr-CA"/>
        </w:rPr>
        <w:t>’</w:t>
      </w:r>
      <w:r w:rsidRPr="00E41E88">
        <w:rPr>
          <w:rFonts w:cs="Times New Roman"/>
          <w:noProof/>
          <w:lang w:val="fr-CA"/>
        </w:rPr>
        <w:t xml:space="preserve">un congédiement injustifié effectué de « bonne foi » (voir </w:t>
      </w:r>
      <w:r w:rsidRPr="00E41E88">
        <w:rPr>
          <w:rFonts w:cs="Times New Roman"/>
          <w:i/>
          <w:noProof/>
          <w:lang w:val="fr-CA"/>
        </w:rPr>
        <w:t>Machtinger</w:t>
      </w:r>
      <w:r w:rsidRPr="00E41E88">
        <w:rPr>
          <w:rFonts w:cs="Times New Roman"/>
          <w:noProof/>
          <w:lang w:val="fr-CA"/>
        </w:rPr>
        <w:t>, p. 990). Le manquement au contrat découlant de la décision de l</w:t>
      </w:r>
      <w:r>
        <w:rPr>
          <w:rFonts w:cs="Times New Roman"/>
          <w:noProof/>
          <w:lang w:val="fr-CA"/>
        </w:rPr>
        <w:t>’</w:t>
      </w:r>
      <w:r w:rsidRPr="00E41E88">
        <w:rPr>
          <w:rFonts w:cs="Times New Roman"/>
          <w:noProof/>
          <w:lang w:val="fr-CA"/>
        </w:rPr>
        <w:t>employeur à cet égard est simplement le défaut de donner un préavis raisonnable, situation qui entraîne le paiement de dommages</w:t>
      </w:r>
      <w:r w:rsidRPr="00E41E88">
        <w:rPr>
          <w:rFonts w:cs="Times New Roman"/>
          <w:noProof/>
          <w:lang w:val="fr-CA"/>
        </w:rPr>
        <w:noBreakHyphen/>
        <w:t>intérêts tenant lieu de préavis (</w:t>
      </w:r>
      <w:r w:rsidRPr="00E41E88">
        <w:rPr>
          <w:rFonts w:cs="Times New Roman"/>
          <w:i/>
          <w:noProof/>
          <w:lang w:val="fr-CA"/>
        </w:rPr>
        <w:t>Wallace</w:t>
      </w:r>
      <w:r w:rsidRPr="00E41E88">
        <w:rPr>
          <w:rFonts w:cs="Times New Roman"/>
          <w:noProof/>
          <w:lang w:val="fr-CA"/>
        </w:rPr>
        <w:t xml:space="preserve">, par. 115, la juge McLachlin (plus tard juge en chef), </w:t>
      </w:r>
      <w:r w:rsidRPr="00E41E88">
        <w:rPr>
          <w:rFonts w:cs="Times New Roman"/>
          <w:noProof/>
          <w:lang w:val="fr-CA"/>
        </w:rPr>
        <w:lastRenderedPageBreak/>
        <w:t>dissidente, mais non sur ce point). Il existe, dans la jurisprudence, un certain désaccord sur la façon de calculer le montant des dommages</w:t>
      </w:r>
      <w:r w:rsidRPr="00E41E88">
        <w:rPr>
          <w:rFonts w:cs="Times New Roman"/>
          <w:noProof/>
          <w:lang w:val="fr-CA"/>
        </w:rPr>
        <w:noBreakHyphen/>
        <w:t>intérêts qui devraient être accordés en cas de manquement, désaccord que j</w:t>
      </w:r>
      <w:r>
        <w:rPr>
          <w:rFonts w:cs="Times New Roman"/>
          <w:noProof/>
          <w:lang w:val="fr-CA"/>
        </w:rPr>
        <w:t>’</w:t>
      </w:r>
      <w:r w:rsidRPr="00E41E88">
        <w:rPr>
          <w:rFonts w:cs="Times New Roman"/>
          <w:noProof/>
          <w:lang w:val="fr-CA"/>
        </w:rPr>
        <w:t>aborderai plus loin; cependant, ce manquement ne dépend pas de la réponse à la question de savoir si l</w:t>
      </w:r>
      <w:r>
        <w:rPr>
          <w:rFonts w:cs="Times New Roman"/>
          <w:noProof/>
          <w:lang w:val="fr-CA"/>
        </w:rPr>
        <w:t>’</w:t>
      </w:r>
      <w:r w:rsidRPr="00E41E88">
        <w:rPr>
          <w:rFonts w:cs="Times New Roman"/>
          <w:noProof/>
          <w:lang w:val="fr-CA"/>
        </w:rPr>
        <w:t xml:space="preserve">employeur a agi avec honnêteté ou de bonne foi. </w:t>
      </w:r>
    </w:p>
    <w:p w:rsidR="00DD44E8" w:rsidRDefault="00DD44E8" w:rsidP="00DD44E8">
      <w:pPr>
        <w:pStyle w:val="ParaNoNdepar-AltN"/>
        <w:rPr>
          <w:rFonts w:cs="Times New Roman"/>
          <w:noProof/>
          <w:lang w:val="fr-CA"/>
        </w:rPr>
      </w:pPr>
      <w:r w:rsidRPr="00E41E88">
        <w:rPr>
          <w:rFonts w:cs="Times New Roman"/>
          <w:noProof/>
          <w:lang w:val="fr-CA"/>
        </w:rPr>
        <w:t>Parallèlement à son argument fondé sur la question du préavis raisonnable, M. Matthews prétend que la façon dont on a mis fin à son emploi contrevenait également au contrat de travail en ce qu</w:t>
      </w:r>
      <w:r>
        <w:rPr>
          <w:rFonts w:cs="Times New Roman"/>
          <w:noProof/>
          <w:lang w:val="fr-CA"/>
        </w:rPr>
        <w:t>’</w:t>
      </w:r>
      <w:r w:rsidRPr="00E41E88">
        <w:rPr>
          <w:rFonts w:cs="Times New Roman"/>
          <w:noProof/>
          <w:lang w:val="fr-CA"/>
        </w:rPr>
        <w:t>on n</w:t>
      </w:r>
      <w:r>
        <w:rPr>
          <w:rFonts w:cs="Times New Roman"/>
          <w:noProof/>
          <w:lang w:val="fr-CA"/>
        </w:rPr>
        <w:t>’</w:t>
      </w:r>
      <w:r w:rsidRPr="00E41E88">
        <w:rPr>
          <w:rFonts w:cs="Times New Roman"/>
          <w:noProof/>
          <w:lang w:val="fr-CA"/>
        </w:rPr>
        <w:t>a pas respecté la norme de bonne foi attendue. En vertu des règles qui ont été reconnues par notre Cour dans les arrêts</w:t>
      </w:r>
      <w:r w:rsidRPr="00E41E88">
        <w:rPr>
          <w:rFonts w:cs="Times New Roman"/>
          <w:i/>
          <w:noProof/>
          <w:lang w:val="fr-CA"/>
        </w:rPr>
        <w:t xml:space="preserve"> Bhasin </w:t>
      </w:r>
      <w:r w:rsidRPr="00E41E88">
        <w:rPr>
          <w:rFonts w:cs="Times New Roman"/>
          <w:noProof/>
          <w:lang w:val="fr-CA"/>
        </w:rPr>
        <w:t>et </w:t>
      </w:r>
      <w:r w:rsidRPr="00E41E88">
        <w:rPr>
          <w:rFonts w:cs="Times New Roman"/>
          <w:i/>
          <w:noProof/>
          <w:lang w:val="fr-CA"/>
        </w:rPr>
        <w:t>Potter</w:t>
      </w:r>
      <w:r w:rsidRPr="00E41E88">
        <w:rPr>
          <w:rFonts w:cs="Times New Roman"/>
          <w:noProof/>
          <w:lang w:val="fr-CA"/>
        </w:rPr>
        <w:t>, un employé mécontent peut alléguer que son employeur a agi de façon malhonnête dans l</w:t>
      </w:r>
      <w:r>
        <w:rPr>
          <w:rFonts w:cs="Times New Roman"/>
          <w:noProof/>
          <w:lang w:val="fr-CA"/>
        </w:rPr>
        <w:t>’</w:t>
      </w:r>
      <w:r w:rsidRPr="00E41E88">
        <w:rPr>
          <w:rFonts w:cs="Times New Roman"/>
          <w:noProof/>
          <w:lang w:val="fr-CA"/>
        </w:rPr>
        <w:t>exécution du contrat — c.</w:t>
      </w:r>
      <w:r w:rsidRPr="00E41E88">
        <w:rPr>
          <w:rFonts w:cs="Times New Roman"/>
          <w:noProof/>
          <w:lang w:val="fr-CA"/>
        </w:rPr>
        <w:noBreakHyphen/>
        <w:t>à</w:t>
      </w:r>
      <w:r w:rsidRPr="00E41E88">
        <w:rPr>
          <w:rFonts w:cs="Times New Roman"/>
          <w:noProof/>
          <w:lang w:val="fr-CA"/>
        </w:rPr>
        <w:noBreakHyphen/>
        <w:t>d., qu</w:t>
      </w:r>
      <w:r>
        <w:rPr>
          <w:rFonts w:cs="Times New Roman"/>
          <w:noProof/>
          <w:lang w:val="fr-CA"/>
        </w:rPr>
        <w:t>’</w:t>
      </w:r>
      <w:r w:rsidRPr="00E41E88">
        <w:rPr>
          <w:rFonts w:cs="Times New Roman"/>
          <w:noProof/>
          <w:lang w:val="fr-CA"/>
        </w:rPr>
        <w:t xml:space="preserve">il y a eu </w:t>
      </w:r>
      <w:r w:rsidRPr="00E41E88">
        <w:rPr>
          <w:rFonts w:cs="Times New Roman"/>
          <w:lang w:val="fr-CA"/>
        </w:rPr>
        <w:t>manquement à l</w:t>
      </w:r>
      <w:r>
        <w:rPr>
          <w:rFonts w:cs="Times New Roman"/>
          <w:lang w:val="fr-CA"/>
        </w:rPr>
        <w:t>’</w:t>
      </w:r>
      <w:r w:rsidRPr="00E41E88">
        <w:rPr>
          <w:rFonts w:cs="Times New Roman"/>
          <w:lang w:val="fr-CA"/>
        </w:rPr>
        <w:t>obligation d</w:t>
      </w:r>
      <w:r>
        <w:rPr>
          <w:rFonts w:cs="Times New Roman"/>
          <w:lang w:val="fr-CA"/>
        </w:rPr>
        <w:t>’</w:t>
      </w:r>
      <w:r w:rsidRPr="00E41E88">
        <w:rPr>
          <w:rFonts w:cs="Times New Roman"/>
          <w:lang w:val="fr-CA"/>
        </w:rPr>
        <w:t xml:space="preserve">exécution honnête, ce que le juge Cromwell </w:t>
      </w:r>
      <w:r>
        <w:rPr>
          <w:rFonts w:cs="Times New Roman"/>
          <w:lang w:val="fr-CA"/>
        </w:rPr>
        <w:t xml:space="preserve">dans </w:t>
      </w:r>
      <w:r>
        <w:rPr>
          <w:rFonts w:cs="Times New Roman"/>
          <w:i/>
          <w:lang w:val="fr-CA"/>
        </w:rPr>
        <w:t xml:space="preserve">Bhasin </w:t>
      </w:r>
      <w:r w:rsidRPr="00E41E88">
        <w:rPr>
          <w:rFonts w:cs="Times New Roman"/>
          <w:lang w:val="fr-CA"/>
        </w:rPr>
        <w:t xml:space="preserve">a qualifié de doctrine </w:t>
      </w:r>
      <w:r w:rsidRPr="00E41E88">
        <w:rPr>
          <w:rFonts w:cs="Times New Roman"/>
          <w:noProof/>
          <w:lang w:val="fr-CA"/>
        </w:rPr>
        <w:t>du droit des contrats</w:t>
      </w:r>
      <w:r w:rsidRPr="00E41E88">
        <w:rPr>
          <w:rFonts w:cs="Times New Roman"/>
          <w:lang w:val="fr-CA"/>
        </w:rPr>
        <w:t xml:space="preserve"> </w:t>
      </w:r>
      <w:r w:rsidRPr="00E41E88">
        <w:rPr>
          <w:rFonts w:cs="Times New Roman"/>
          <w:noProof/>
          <w:lang w:val="fr-CA"/>
        </w:rPr>
        <w:t>—</w:t>
      </w:r>
      <w:r w:rsidRPr="00E41E88">
        <w:rPr>
          <w:rFonts w:cs="Times New Roman"/>
          <w:lang w:val="fr-CA"/>
        </w:rPr>
        <w:t xml:space="preserve"> indépendamment de tout manquement à l</w:t>
      </w:r>
      <w:r>
        <w:rPr>
          <w:rFonts w:cs="Times New Roman"/>
          <w:lang w:val="fr-CA"/>
        </w:rPr>
        <w:t>’</w:t>
      </w:r>
      <w:r w:rsidRPr="00E41E88">
        <w:rPr>
          <w:rFonts w:cs="Times New Roman"/>
          <w:noProof/>
          <w:lang w:val="fr-CA"/>
        </w:rPr>
        <w:t>obligation de donner un préavis raisonnable</w:t>
      </w:r>
      <w:r w:rsidRPr="00E41E88">
        <w:rPr>
          <w:rFonts w:cs="Times New Roman"/>
          <w:lang w:val="fr-CA"/>
        </w:rPr>
        <w:t xml:space="preserve">. Notre Cour a également reconnu, dans les arrêts </w:t>
      </w:r>
      <w:r w:rsidRPr="00E41E88">
        <w:rPr>
          <w:rFonts w:cs="Times New Roman"/>
          <w:i/>
          <w:noProof/>
          <w:lang w:val="fr-CA"/>
        </w:rPr>
        <w:t xml:space="preserve">Wallace </w:t>
      </w:r>
      <w:r>
        <w:rPr>
          <w:rFonts w:cs="Times New Roman"/>
          <w:noProof/>
          <w:lang w:val="fr-CA"/>
        </w:rPr>
        <w:t xml:space="preserve">et </w:t>
      </w:r>
      <w:r w:rsidRPr="00E41E88">
        <w:rPr>
          <w:rFonts w:cs="Times New Roman"/>
          <w:i/>
          <w:noProof/>
          <w:lang w:val="fr-CA"/>
        </w:rPr>
        <w:t>Keays</w:t>
      </w:r>
      <w:r w:rsidRPr="00E41E88">
        <w:rPr>
          <w:rFonts w:cs="Times New Roman"/>
          <w:noProof/>
          <w:lang w:val="fr-CA"/>
        </w:rPr>
        <w:t>, qu</w:t>
      </w:r>
      <w:r>
        <w:rPr>
          <w:rFonts w:cs="Times New Roman"/>
          <w:noProof/>
          <w:lang w:val="fr-CA"/>
        </w:rPr>
        <w:t>’</w:t>
      </w:r>
      <w:r w:rsidRPr="00E41E88">
        <w:rPr>
          <w:rFonts w:cs="Times New Roman"/>
          <w:noProof/>
          <w:lang w:val="fr-CA"/>
        </w:rPr>
        <w:t>un employé mécontent peut alléguer qu</w:t>
      </w:r>
      <w:r>
        <w:rPr>
          <w:rFonts w:cs="Times New Roman"/>
          <w:noProof/>
          <w:lang w:val="fr-CA"/>
        </w:rPr>
        <w:t>’</w:t>
      </w:r>
      <w:r w:rsidRPr="00E41E88">
        <w:rPr>
          <w:rFonts w:cs="Times New Roman"/>
          <w:noProof/>
          <w:lang w:val="fr-CA"/>
        </w:rPr>
        <w:t>il a été traité de façon incorrecte dans la façon dont on l</w:t>
      </w:r>
      <w:r>
        <w:rPr>
          <w:rFonts w:cs="Times New Roman"/>
          <w:noProof/>
          <w:lang w:val="fr-CA"/>
        </w:rPr>
        <w:t>’</w:t>
      </w:r>
      <w:r w:rsidRPr="00E41E88">
        <w:rPr>
          <w:rFonts w:cs="Times New Roman"/>
          <w:noProof/>
          <w:lang w:val="fr-CA"/>
        </w:rPr>
        <w:t>a congédié — c.</w:t>
      </w:r>
      <w:r w:rsidRPr="00E41E88">
        <w:rPr>
          <w:rFonts w:cs="Times New Roman"/>
          <w:noProof/>
          <w:lang w:val="fr-CA"/>
        </w:rPr>
        <w:noBreakHyphen/>
        <w:t>à</w:t>
      </w:r>
      <w:r w:rsidRPr="00E41E88">
        <w:rPr>
          <w:rFonts w:cs="Times New Roman"/>
          <w:noProof/>
          <w:lang w:val="fr-CA"/>
        </w:rPr>
        <w:noBreakHyphen/>
        <w:t>d., que l</w:t>
      </w:r>
      <w:r>
        <w:rPr>
          <w:rFonts w:cs="Times New Roman"/>
          <w:noProof/>
          <w:lang w:val="fr-CA"/>
        </w:rPr>
        <w:t>’</w:t>
      </w:r>
      <w:r w:rsidRPr="00E41E88">
        <w:rPr>
          <w:rFonts w:cs="Times New Roman"/>
          <w:noProof/>
          <w:lang w:val="fr-CA"/>
        </w:rPr>
        <w:t>employeur s</w:t>
      </w:r>
      <w:r>
        <w:rPr>
          <w:rFonts w:cs="Times New Roman"/>
          <w:noProof/>
          <w:lang w:val="fr-CA"/>
        </w:rPr>
        <w:t>’</w:t>
      </w:r>
      <w:r w:rsidRPr="00E41E88">
        <w:rPr>
          <w:rFonts w:cs="Times New Roman"/>
          <w:noProof/>
          <w:lang w:val="fr-CA"/>
        </w:rPr>
        <w:t>est comporté « de façon inéquitable ou [a fait] preuve de mauvaise foi en étant, par exemple, menteur [. . .], tro</w:t>
      </w:r>
      <w:r w:rsidR="003F0420">
        <w:rPr>
          <w:rFonts w:cs="Times New Roman"/>
          <w:noProof/>
          <w:lang w:val="fr-CA"/>
        </w:rPr>
        <w:t>mpeur [. . .] ou trop implacable </w:t>
      </w:r>
      <w:r w:rsidRPr="00E41E88">
        <w:rPr>
          <w:rFonts w:cs="Times New Roman"/>
          <w:noProof/>
          <w:lang w:val="fr-CA"/>
        </w:rPr>
        <w:t>» (</w:t>
      </w:r>
      <w:r w:rsidRPr="00E41E88">
        <w:rPr>
          <w:rFonts w:cs="Times New Roman"/>
          <w:i/>
          <w:noProof/>
          <w:lang w:val="fr-CA"/>
        </w:rPr>
        <w:t>Wallace</w:t>
      </w:r>
      <w:r w:rsidRPr="00E41E88">
        <w:rPr>
          <w:rFonts w:cs="Times New Roman"/>
          <w:noProof/>
          <w:lang w:val="fr-CA"/>
        </w:rPr>
        <w:t xml:space="preserve">, par. 98; </w:t>
      </w:r>
      <w:r w:rsidRPr="00E41E88">
        <w:rPr>
          <w:rFonts w:cs="Times New Roman"/>
          <w:i/>
          <w:noProof/>
          <w:lang w:val="fr-CA"/>
        </w:rPr>
        <w:t>Keays</w:t>
      </w:r>
      <w:r>
        <w:rPr>
          <w:rFonts w:cs="Times New Roman"/>
          <w:noProof/>
          <w:lang w:val="fr-CA"/>
        </w:rPr>
        <w:t>, par. </w:t>
      </w:r>
      <w:r w:rsidRPr="00E41E88">
        <w:rPr>
          <w:rFonts w:cs="Times New Roman"/>
          <w:noProof/>
          <w:lang w:val="fr-CA"/>
        </w:rPr>
        <w:t>57). Un manquement à l</w:t>
      </w:r>
      <w:r>
        <w:rPr>
          <w:rFonts w:cs="Times New Roman"/>
          <w:noProof/>
          <w:lang w:val="fr-CA"/>
        </w:rPr>
        <w:t>’</w:t>
      </w:r>
      <w:r w:rsidRPr="00E41E88">
        <w:rPr>
          <w:rFonts w:cs="Times New Roman"/>
          <w:noProof/>
          <w:lang w:val="fr-CA"/>
        </w:rPr>
        <w:t>obligation d</w:t>
      </w:r>
      <w:r>
        <w:rPr>
          <w:rFonts w:cs="Times New Roman"/>
          <w:noProof/>
          <w:lang w:val="fr-CA"/>
        </w:rPr>
        <w:t>’</w:t>
      </w:r>
      <w:r w:rsidRPr="00E41E88">
        <w:rPr>
          <w:rFonts w:cs="Times New Roman"/>
          <w:noProof/>
          <w:lang w:val="fr-CA"/>
        </w:rPr>
        <w:t>agir de bonne foi dans la façon de congédier l</w:t>
      </w:r>
      <w:r>
        <w:rPr>
          <w:rFonts w:cs="Times New Roman"/>
          <w:noProof/>
          <w:lang w:val="fr-CA"/>
        </w:rPr>
        <w:t>’</w:t>
      </w:r>
      <w:r w:rsidRPr="00E41E88">
        <w:rPr>
          <w:rFonts w:cs="Times New Roman"/>
          <w:noProof/>
          <w:lang w:val="fr-CA"/>
        </w:rPr>
        <w:t xml:space="preserve">employé est également indépendant de tout manquement </w:t>
      </w:r>
      <w:r w:rsidRPr="00E41E88">
        <w:rPr>
          <w:rFonts w:cs="Times New Roman"/>
          <w:lang w:val="fr-CA"/>
        </w:rPr>
        <w:t>à l</w:t>
      </w:r>
      <w:r>
        <w:rPr>
          <w:rFonts w:cs="Times New Roman"/>
          <w:lang w:val="fr-CA"/>
        </w:rPr>
        <w:t>’</w:t>
      </w:r>
      <w:r w:rsidRPr="00E41E88">
        <w:rPr>
          <w:rFonts w:cs="Times New Roman"/>
          <w:noProof/>
          <w:lang w:val="fr-CA"/>
        </w:rPr>
        <w:t>obligation de donner un préavis raisonnable</w:t>
      </w:r>
      <w:r w:rsidRPr="00E41E88">
        <w:rPr>
          <w:rFonts w:cs="Times New Roman"/>
          <w:lang w:val="fr-CA"/>
        </w:rPr>
        <w:t>.</w:t>
      </w:r>
      <w:r w:rsidRPr="00E41E88">
        <w:rPr>
          <w:rFonts w:cs="Times New Roman"/>
          <w:noProof/>
          <w:lang w:val="fr-CA"/>
        </w:rPr>
        <w:t xml:space="preserve"> Il peut servir de moyen permettant d</w:t>
      </w:r>
      <w:r>
        <w:rPr>
          <w:rFonts w:cs="Times New Roman"/>
          <w:noProof/>
          <w:lang w:val="fr-CA"/>
        </w:rPr>
        <w:t>’</w:t>
      </w:r>
      <w:r w:rsidRPr="00E41E88">
        <w:rPr>
          <w:rFonts w:cs="Times New Roman"/>
          <w:noProof/>
          <w:lang w:val="fr-CA"/>
        </w:rPr>
        <w:t>exiger réparation à l</w:t>
      </w:r>
      <w:r>
        <w:rPr>
          <w:rFonts w:cs="Times New Roman"/>
          <w:noProof/>
          <w:lang w:val="fr-CA"/>
        </w:rPr>
        <w:t>’</w:t>
      </w:r>
      <w:r w:rsidRPr="00E41E88">
        <w:rPr>
          <w:rFonts w:cs="Times New Roman"/>
          <w:noProof/>
          <w:lang w:val="fr-CA"/>
        </w:rPr>
        <w:t>égard d</w:t>
      </w:r>
      <w:r>
        <w:rPr>
          <w:rFonts w:cs="Times New Roman"/>
          <w:noProof/>
          <w:lang w:val="fr-CA"/>
        </w:rPr>
        <w:t>’</w:t>
      </w:r>
      <w:r w:rsidRPr="00E41E88">
        <w:rPr>
          <w:rFonts w:cs="Times New Roman"/>
          <w:noProof/>
          <w:lang w:val="fr-CA"/>
        </w:rPr>
        <w:t>un préjudice prévisible résultant d</w:t>
      </w:r>
      <w:r>
        <w:rPr>
          <w:rFonts w:cs="Times New Roman"/>
          <w:noProof/>
          <w:lang w:val="fr-CA"/>
        </w:rPr>
        <w:t>’</w:t>
      </w:r>
      <w:r w:rsidRPr="00E41E88">
        <w:rPr>
          <w:rFonts w:cs="Times New Roman"/>
          <w:noProof/>
          <w:lang w:val="fr-CA"/>
        </w:rPr>
        <w:t xml:space="preserve">un </w:t>
      </w:r>
      <w:r w:rsidRPr="00E41E88">
        <w:rPr>
          <w:rFonts w:cs="Times New Roman"/>
          <w:lang w:val="fr-CA"/>
        </w:rPr>
        <w:t xml:space="preserve">traitement brutal ou implacable de la part de </w:t>
      </w:r>
      <w:r w:rsidRPr="00E41E88">
        <w:rPr>
          <w:rFonts w:cs="Times New Roman"/>
          <w:lang w:val="fr-CA"/>
        </w:rPr>
        <w:lastRenderedPageBreak/>
        <w:t>l</w:t>
      </w:r>
      <w:r>
        <w:rPr>
          <w:rFonts w:cs="Times New Roman"/>
          <w:lang w:val="fr-CA"/>
        </w:rPr>
        <w:t>’</w:t>
      </w:r>
      <w:r w:rsidRPr="00E41E88">
        <w:rPr>
          <w:rFonts w:cs="Times New Roman"/>
          <w:lang w:val="fr-CA"/>
        </w:rPr>
        <w:t>employeur dans la façon dont il a congédié l</w:t>
      </w:r>
      <w:r>
        <w:rPr>
          <w:rFonts w:cs="Times New Roman"/>
          <w:lang w:val="fr-CA"/>
        </w:rPr>
        <w:t>’</w:t>
      </w:r>
      <w:r w:rsidRPr="00E41E88">
        <w:rPr>
          <w:rFonts w:cs="Times New Roman"/>
          <w:lang w:val="fr-CA"/>
        </w:rPr>
        <w:t>employé, point sur lequel je reviendrai à la fin des présents motifs (</w:t>
      </w:r>
      <w:r w:rsidRPr="00E41E88">
        <w:rPr>
          <w:rFonts w:cs="Times New Roman"/>
          <w:i/>
          <w:lang w:val="fr-CA"/>
        </w:rPr>
        <w:t>Wallace</w:t>
      </w:r>
      <w:r w:rsidRPr="00E41E88">
        <w:rPr>
          <w:rFonts w:cs="Times New Roman"/>
          <w:lang w:val="fr-CA"/>
        </w:rPr>
        <w:t>, par. 88).</w:t>
      </w:r>
    </w:p>
    <w:p w:rsidR="00DD44E8" w:rsidRPr="00E41E88" w:rsidRDefault="00DD44E8" w:rsidP="00DD44E8">
      <w:pPr>
        <w:pStyle w:val="ParaNoNdepar-AltN"/>
        <w:rPr>
          <w:rFonts w:cs="Times New Roman"/>
          <w:noProof/>
          <w:lang w:val="fr-CA"/>
        </w:rPr>
      </w:pPr>
      <w:r w:rsidRPr="00E41E88">
        <w:rPr>
          <w:rFonts w:cs="Times New Roman"/>
          <w:noProof/>
          <w:lang w:val="fr-CA"/>
        </w:rPr>
        <w:t>Fait important, les dommages</w:t>
      </w:r>
      <w:r w:rsidRPr="00E41E88">
        <w:rPr>
          <w:rFonts w:cs="Times New Roman"/>
          <w:noProof/>
          <w:lang w:val="fr-CA"/>
        </w:rPr>
        <w:noBreakHyphen/>
        <w:t>intérêts découlant d</w:t>
      </w:r>
      <w:r>
        <w:rPr>
          <w:rFonts w:cs="Times New Roman"/>
          <w:noProof/>
          <w:lang w:val="fr-CA"/>
        </w:rPr>
        <w:t>’</w:t>
      </w:r>
      <w:r w:rsidRPr="00E41E88">
        <w:rPr>
          <w:rFonts w:cs="Times New Roman"/>
          <w:noProof/>
          <w:lang w:val="fr-CA"/>
        </w:rPr>
        <w:t>un même congédiement sont calculés différemment selon la violation reprochée. Je le répète, ce fait n</w:t>
      </w:r>
      <w:r>
        <w:rPr>
          <w:rFonts w:cs="Times New Roman"/>
          <w:noProof/>
          <w:lang w:val="fr-CA"/>
        </w:rPr>
        <w:t>’</w:t>
      </w:r>
      <w:r w:rsidRPr="00E41E88">
        <w:rPr>
          <w:rFonts w:cs="Times New Roman"/>
          <w:noProof/>
          <w:lang w:val="fr-CA"/>
        </w:rPr>
        <w:t>est que le reflet de la jurisprudence déjà établie. Dans l</w:t>
      </w:r>
      <w:r>
        <w:rPr>
          <w:rFonts w:cs="Times New Roman"/>
          <w:noProof/>
          <w:lang w:val="fr-CA"/>
        </w:rPr>
        <w:t>’</w:t>
      </w:r>
      <w:r w:rsidRPr="00E41E88">
        <w:rPr>
          <w:rFonts w:cs="Times New Roman"/>
          <w:noProof/>
          <w:lang w:val="fr-CA"/>
        </w:rPr>
        <w:t xml:space="preserve">arrêt </w:t>
      </w:r>
      <w:r w:rsidRPr="00E41E88">
        <w:rPr>
          <w:rFonts w:cs="Times New Roman"/>
          <w:i/>
          <w:noProof/>
          <w:lang w:val="fr-CA"/>
        </w:rPr>
        <w:t>Keays</w:t>
      </w:r>
      <w:r w:rsidRPr="00E41E88">
        <w:rPr>
          <w:rFonts w:cs="Times New Roman"/>
          <w:noProof/>
          <w:lang w:val="fr-CA"/>
        </w:rPr>
        <w:t>, par. 56, par exemple, le juge Bastarache a utilement expliqué que, « [s]uivant son libellé, le contrat d</w:t>
      </w:r>
      <w:r>
        <w:rPr>
          <w:rFonts w:cs="Times New Roman"/>
          <w:noProof/>
          <w:lang w:val="fr-CA"/>
        </w:rPr>
        <w:t>’</w:t>
      </w:r>
      <w:r w:rsidRPr="00E41E88">
        <w:rPr>
          <w:rFonts w:cs="Times New Roman"/>
          <w:noProof/>
          <w:lang w:val="fr-CA"/>
        </w:rPr>
        <w:t>emploi est susceptible de résiliation moyennant préavis ou paiement d</w:t>
      </w:r>
      <w:r>
        <w:rPr>
          <w:rFonts w:cs="Times New Roman"/>
          <w:noProof/>
          <w:lang w:val="fr-CA"/>
        </w:rPr>
        <w:t>’</w:t>
      </w:r>
      <w:r w:rsidRPr="00E41E88">
        <w:rPr>
          <w:rFonts w:cs="Times New Roman"/>
          <w:noProof/>
          <w:lang w:val="fr-CA"/>
        </w:rPr>
        <w:t>une indemnité en tenant lieu, indépendamment du préjudice psychologique normal causé par une telle mesure ». Par comparaison, il a précisé que si l</w:t>
      </w:r>
      <w:r>
        <w:rPr>
          <w:rFonts w:cs="Times New Roman"/>
          <w:noProof/>
          <w:lang w:val="fr-CA"/>
        </w:rPr>
        <w:t>’</w:t>
      </w:r>
      <w:r w:rsidRPr="00E41E88">
        <w:rPr>
          <w:rFonts w:cs="Times New Roman"/>
          <w:noProof/>
          <w:lang w:val="fr-CA"/>
        </w:rPr>
        <w:t>employeur n</w:t>
      </w:r>
      <w:r>
        <w:rPr>
          <w:rFonts w:cs="Times New Roman"/>
          <w:noProof/>
          <w:lang w:val="fr-CA"/>
        </w:rPr>
        <w:t>’</w:t>
      </w:r>
      <w:r w:rsidRPr="00E41E88">
        <w:rPr>
          <w:rFonts w:cs="Times New Roman"/>
          <w:noProof/>
          <w:lang w:val="fr-CA"/>
        </w:rPr>
        <w:t>agit pas de bonne foi lorsqu</w:t>
      </w:r>
      <w:r>
        <w:rPr>
          <w:rFonts w:cs="Times New Roman"/>
          <w:noProof/>
          <w:lang w:val="fr-CA"/>
        </w:rPr>
        <w:t>’</w:t>
      </w:r>
      <w:r w:rsidRPr="00E41E88">
        <w:rPr>
          <w:rFonts w:cs="Times New Roman"/>
          <w:noProof/>
          <w:lang w:val="fr-CA"/>
        </w:rPr>
        <w:t>il congédie un employé, « il y aura préjudice prévisible susceptible d</w:t>
      </w:r>
      <w:r>
        <w:rPr>
          <w:rFonts w:cs="Times New Roman"/>
          <w:noProof/>
          <w:lang w:val="fr-CA"/>
        </w:rPr>
        <w:t>’</w:t>
      </w:r>
      <w:r w:rsidRPr="00E41E88">
        <w:rPr>
          <w:rFonts w:cs="Times New Roman"/>
          <w:noProof/>
          <w:lang w:val="fr-CA"/>
        </w:rPr>
        <w:t>indemnisation » suivant le principe établi dans l</w:t>
      </w:r>
      <w:r>
        <w:rPr>
          <w:rFonts w:cs="Times New Roman"/>
          <w:noProof/>
          <w:lang w:val="fr-CA"/>
        </w:rPr>
        <w:t>’</w:t>
      </w:r>
      <w:r w:rsidRPr="00E41E88">
        <w:rPr>
          <w:rFonts w:cs="Times New Roman"/>
          <w:noProof/>
          <w:lang w:val="fr-CA"/>
        </w:rPr>
        <w:t>arrêt </w:t>
      </w:r>
      <w:r w:rsidRPr="00E41E88">
        <w:rPr>
          <w:rFonts w:cs="Times New Roman"/>
          <w:i/>
          <w:noProof/>
          <w:lang w:val="fr-CA"/>
        </w:rPr>
        <w:t xml:space="preserve">Hadley </w:t>
      </w:r>
      <w:r w:rsidRPr="00E41E88">
        <w:rPr>
          <w:rFonts w:cs="Times New Roman"/>
          <w:noProof/>
          <w:lang w:val="fr-CA"/>
        </w:rPr>
        <w:t>(par. 58). Contrairement à ce que l</w:t>
      </w:r>
      <w:r>
        <w:rPr>
          <w:rFonts w:cs="Times New Roman"/>
          <w:noProof/>
          <w:lang w:val="fr-CA"/>
        </w:rPr>
        <w:t>’</w:t>
      </w:r>
      <w:r w:rsidRPr="00E41E88">
        <w:rPr>
          <w:rFonts w:cs="Times New Roman"/>
          <w:noProof/>
          <w:lang w:val="fr-CA"/>
        </w:rPr>
        <w:t>on croyait avant cette affaire, il n</w:t>
      </w:r>
      <w:r>
        <w:rPr>
          <w:rFonts w:cs="Times New Roman"/>
          <w:noProof/>
          <w:lang w:val="fr-CA"/>
        </w:rPr>
        <w:t>’</w:t>
      </w:r>
      <w:r w:rsidRPr="00E41E88">
        <w:rPr>
          <w:rFonts w:cs="Times New Roman"/>
          <w:noProof/>
          <w:lang w:val="fr-CA"/>
        </w:rPr>
        <w:t>y a pas lieu d</w:t>
      </w:r>
      <w:r>
        <w:rPr>
          <w:rFonts w:cs="Times New Roman"/>
          <w:noProof/>
          <w:lang w:val="fr-CA"/>
        </w:rPr>
        <w:t>’</w:t>
      </w:r>
      <w:r w:rsidRPr="00E41E88">
        <w:rPr>
          <w:rFonts w:cs="Times New Roman"/>
          <w:noProof/>
          <w:lang w:val="fr-CA"/>
        </w:rPr>
        <w:t>allonger le préavis pour déterminer le juste montant de l</w:t>
      </w:r>
      <w:r>
        <w:rPr>
          <w:rFonts w:cs="Times New Roman"/>
          <w:noProof/>
          <w:lang w:val="fr-CA"/>
        </w:rPr>
        <w:t>’</w:t>
      </w:r>
      <w:r w:rsidRPr="00E41E88">
        <w:rPr>
          <w:rFonts w:cs="Times New Roman"/>
          <w:noProof/>
          <w:lang w:val="fr-CA"/>
        </w:rPr>
        <w:t>indemnité (par. 59). Il en est ainsi parce que la nature du manquement au contrat n</w:t>
      </w:r>
      <w:r>
        <w:rPr>
          <w:rFonts w:cs="Times New Roman"/>
          <w:noProof/>
          <w:lang w:val="fr-CA"/>
        </w:rPr>
        <w:t>’</w:t>
      </w:r>
      <w:r w:rsidRPr="00E41E88">
        <w:rPr>
          <w:rFonts w:cs="Times New Roman"/>
          <w:noProof/>
          <w:lang w:val="fr-CA"/>
        </w:rPr>
        <w:t>est pas du même ordre que dans le cas du défaut de donner un préavis raisonnable. En effet, cette distinction fondamentale permet d</w:t>
      </w:r>
      <w:r>
        <w:rPr>
          <w:rFonts w:cs="Times New Roman"/>
          <w:noProof/>
          <w:lang w:val="fr-CA"/>
        </w:rPr>
        <w:t>’</w:t>
      </w:r>
      <w:r w:rsidRPr="00E41E88">
        <w:rPr>
          <w:rFonts w:cs="Times New Roman"/>
          <w:noProof/>
          <w:lang w:val="fr-CA"/>
        </w:rPr>
        <w:t>expliquer pourquoi les principes relatifs à l</w:t>
      </w:r>
      <w:r>
        <w:rPr>
          <w:rFonts w:cs="Times New Roman"/>
          <w:noProof/>
          <w:lang w:val="fr-CA"/>
        </w:rPr>
        <w:t>’</w:t>
      </w:r>
      <w:r w:rsidRPr="00E41E88">
        <w:rPr>
          <w:rFonts w:cs="Times New Roman"/>
          <w:noProof/>
          <w:lang w:val="fr-CA"/>
        </w:rPr>
        <w:t>atténuation des dommages s</w:t>
      </w:r>
      <w:r>
        <w:rPr>
          <w:rFonts w:cs="Times New Roman"/>
          <w:noProof/>
          <w:lang w:val="fr-CA"/>
        </w:rPr>
        <w:t>’</w:t>
      </w:r>
      <w:r w:rsidRPr="00E41E88">
        <w:rPr>
          <w:rFonts w:cs="Times New Roman"/>
          <w:noProof/>
          <w:lang w:val="fr-CA"/>
        </w:rPr>
        <w:t>appliquent différemment aux dommages‑intérêts pour souffrances morales imputables à un manquement à l</w:t>
      </w:r>
      <w:r>
        <w:rPr>
          <w:rFonts w:cs="Times New Roman"/>
          <w:noProof/>
          <w:lang w:val="fr-CA"/>
        </w:rPr>
        <w:t>’</w:t>
      </w:r>
      <w:r w:rsidRPr="00E41E88">
        <w:rPr>
          <w:rFonts w:cs="Times New Roman"/>
          <w:noProof/>
          <w:lang w:val="fr-CA"/>
        </w:rPr>
        <w:t>obligation d</w:t>
      </w:r>
      <w:r>
        <w:rPr>
          <w:rFonts w:cs="Times New Roman"/>
          <w:noProof/>
          <w:lang w:val="fr-CA"/>
        </w:rPr>
        <w:t>’</w:t>
      </w:r>
      <w:r w:rsidRPr="00E41E88">
        <w:rPr>
          <w:rFonts w:cs="Times New Roman"/>
          <w:noProof/>
          <w:lang w:val="fr-CA"/>
        </w:rPr>
        <w:t>agir de bonne foi dans la façon de procéder au congédiement (</w:t>
      </w:r>
      <w:r w:rsidRPr="00E41E88">
        <w:rPr>
          <w:rFonts w:cs="Times New Roman"/>
          <w:i/>
          <w:noProof/>
          <w:lang w:val="fr-CA"/>
        </w:rPr>
        <w:t>Evans c. Teamsters Local Union No. 31</w:t>
      </w:r>
      <w:r w:rsidRPr="00E41E88">
        <w:rPr>
          <w:rFonts w:cs="Times New Roman"/>
          <w:noProof/>
          <w:lang w:val="fr-CA"/>
        </w:rPr>
        <w:t xml:space="preserve">, 2008 CSC 20, [2008] 1 R.C.S. 661, par. 32). </w:t>
      </w:r>
    </w:p>
    <w:p w:rsidR="00DD44E8" w:rsidRDefault="00DD44E8" w:rsidP="00DD44E8">
      <w:pPr>
        <w:pStyle w:val="ParaNoNdepar-AltN"/>
        <w:rPr>
          <w:rFonts w:cs="Times New Roman"/>
          <w:noProof/>
          <w:lang w:val="fr-CA"/>
        </w:rPr>
      </w:pPr>
      <w:r w:rsidRPr="00E41E88">
        <w:rPr>
          <w:rFonts w:cs="Times New Roman"/>
          <w:noProof/>
          <w:lang w:val="fr-CA"/>
        </w:rPr>
        <w:lastRenderedPageBreak/>
        <w:t>Gardant ces considérations à l</w:t>
      </w:r>
      <w:r>
        <w:rPr>
          <w:rFonts w:cs="Times New Roman"/>
          <w:noProof/>
          <w:lang w:val="fr-CA"/>
        </w:rPr>
        <w:t>’</w:t>
      </w:r>
      <w:r w:rsidRPr="00E41E88">
        <w:rPr>
          <w:rFonts w:cs="Times New Roman"/>
          <w:noProof/>
          <w:lang w:val="fr-CA"/>
        </w:rPr>
        <w:t>esprit, j</w:t>
      </w:r>
      <w:r>
        <w:rPr>
          <w:rFonts w:cs="Times New Roman"/>
          <w:noProof/>
          <w:lang w:val="fr-CA"/>
        </w:rPr>
        <w:t>’</w:t>
      </w:r>
      <w:r w:rsidRPr="00E41E88">
        <w:rPr>
          <w:rFonts w:cs="Times New Roman"/>
          <w:noProof/>
          <w:lang w:val="fr-CA"/>
        </w:rPr>
        <w:t>examinerai maintenant l</w:t>
      </w:r>
      <w:r>
        <w:rPr>
          <w:rFonts w:cs="Times New Roman"/>
          <w:noProof/>
          <w:lang w:val="fr-CA"/>
        </w:rPr>
        <w:t>’</w:t>
      </w:r>
      <w:r w:rsidRPr="00E41E88">
        <w:rPr>
          <w:rFonts w:cs="Times New Roman"/>
          <w:noProof/>
          <w:lang w:val="fr-CA"/>
        </w:rPr>
        <w:t xml:space="preserve">obligation de donner un préavis raisonnable, obligation qui, comme il ressortira clairement, permet de trancher le présent pourvoi. </w:t>
      </w:r>
    </w:p>
    <w:p w:rsidR="00DD44E8" w:rsidRPr="00E41E88" w:rsidRDefault="00DD44E8" w:rsidP="00DD44E8">
      <w:pPr>
        <w:pStyle w:val="Title3LevelTitre3Niveau"/>
        <w:keepNext w:val="0"/>
        <w:rPr>
          <w:rFonts w:cs="Times New Roman"/>
          <w:noProof/>
          <w:lang w:val="fr-CA"/>
        </w:rPr>
      </w:pPr>
      <w:r w:rsidRPr="00E41E88">
        <w:rPr>
          <w:rFonts w:cs="Times New Roman"/>
          <w:noProof/>
          <w:lang w:val="fr-CA"/>
        </w:rPr>
        <w:t xml:space="preserve">Obligation de donner un préavis raisonnable </w:t>
      </w:r>
    </w:p>
    <w:p w:rsidR="00DD44E8" w:rsidRPr="00E41E88" w:rsidRDefault="00DD44E8" w:rsidP="00DD44E8">
      <w:pPr>
        <w:pStyle w:val="ParaNoNdepar-AltN"/>
        <w:widowControl w:val="0"/>
        <w:rPr>
          <w:rFonts w:cs="Times New Roman"/>
          <w:noProof/>
          <w:lang w:val="fr-CA"/>
        </w:rPr>
      </w:pPr>
      <w:r w:rsidRPr="00E41E88">
        <w:rPr>
          <w:rFonts w:cs="Times New Roman"/>
          <w:noProof/>
          <w:lang w:val="fr-CA"/>
        </w:rPr>
        <w:t>En l</w:t>
      </w:r>
      <w:r>
        <w:rPr>
          <w:rFonts w:cs="Times New Roman"/>
          <w:noProof/>
          <w:lang w:val="fr-CA"/>
        </w:rPr>
        <w:t>’</w:t>
      </w:r>
      <w:r w:rsidRPr="00E41E88">
        <w:rPr>
          <w:rFonts w:cs="Times New Roman"/>
          <w:noProof/>
          <w:lang w:val="fr-CA"/>
        </w:rPr>
        <w:t>espèce, le seul désaccord quant au préavis raisonnable porte sur la question de savoir si les dommages</w:t>
      </w:r>
      <w:r w:rsidRPr="00E41E88">
        <w:rPr>
          <w:rFonts w:cs="Times New Roman"/>
          <w:noProof/>
          <w:lang w:val="fr-CA"/>
        </w:rPr>
        <w:noBreakHyphen/>
        <w:t xml:space="preserve">intérêts accordés </w:t>
      </w:r>
      <w:r w:rsidR="00C658AB">
        <w:rPr>
          <w:rFonts w:cs="Times New Roman"/>
          <w:noProof/>
          <w:lang w:val="fr-CA"/>
        </w:rPr>
        <w:t>à M. Matthews doivent inclure u</w:t>
      </w:r>
      <w:r w:rsidRPr="00E41E88">
        <w:rPr>
          <w:rFonts w:cs="Times New Roman"/>
          <w:noProof/>
          <w:lang w:val="fr-CA"/>
        </w:rPr>
        <w:t>n</w:t>
      </w:r>
      <w:r w:rsidR="00C658AB">
        <w:rPr>
          <w:rFonts w:cs="Times New Roman"/>
          <w:noProof/>
          <w:lang w:val="fr-CA"/>
        </w:rPr>
        <w:t>e</w:t>
      </w:r>
      <w:r w:rsidRPr="00E41E88">
        <w:rPr>
          <w:rFonts w:cs="Times New Roman"/>
          <w:noProof/>
          <w:lang w:val="fr-CA"/>
        </w:rPr>
        <w:t xml:space="preserve"> somme l</w:t>
      </w:r>
      <w:r>
        <w:rPr>
          <w:rFonts w:cs="Times New Roman"/>
          <w:noProof/>
          <w:lang w:val="fr-CA"/>
        </w:rPr>
        <w:t>’</w:t>
      </w:r>
      <w:r w:rsidRPr="00E41E88">
        <w:rPr>
          <w:rFonts w:cs="Times New Roman"/>
          <w:noProof/>
          <w:lang w:val="fr-CA"/>
        </w:rPr>
        <w:t xml:space="preserve">indemnisant pour la perte du paiement prévu par le RILT. </w:t>
      </w:r>
    </w:p>
    <w:p w:rsidR="00DD44E8" w:rsidRPr="00E41E88" w:rsidRDefault="00DD44E8" w:rsidP="00DD44E8">
      <w:pPr>
        <w:pStyle w:val="ParaNoNdepar-AltN"/>
        <w:widowControl w:val="0"/>
        <w:rPr>
          <w:rFonts w:cs="Times New Roman"/>
          <w:noProof/>
          <w:lang w:val="fr-CA"/>
        </w:rPr>
      </w:pPr>
      <w:r w:rsidRPr="00E41E88">
        <w:rPr>
          <w:rFonts w:cs="Times New Roman"/>
          <w:noProof/>
          <w:lang w:val="fr-CA"/>
        </w:rPr>
        <w:t>Je suis respectueusement d</w:t>
      </w:r>
      <w:r>
        <w:rPr>
          <w:rFonts w:cs="Times New Roman"/>
          <w:noProof/>
          <w:lang w:val="fr-CA"/>
        </w:rPr>
        <w:t>’</w:t>
      </w:r>
      <w:r w:rsidRPr="00E41E88">
        <w:rPr>
          <w:rFonts w:cs="Times New Roman"/>
          <w:noProof/>
          <w:lang w:val="fr-CA"/>
        </w:rPr>
        <w:t xml:space="preserve">avis que les juges majoritaires </w:t>
      </w:r>
      <w:r>
        <w:rPr>
          <w:rFonts w:cs="Times New Roman"/>
          <w:noProof/>
          <w:lang w:val="fr-CA"/>
        </w:rPr>
        <w:t xml:space="preserve">de la Cour d’appel </w:t>
      </w:r>
      <w:r w:rsidRPr="00E41E88">
        <w:rPr>
          <w:rFonts w:cs="Times New Roman"/>
          <w:noProof/>
          <w:lang w:val="fr-CA"/>
        </w:rPr>
        <w:t>ont commis une erreur en s</w:t>
      </w:r>
      <w:r>
        <w:rPr>
          <w:rFonts w:cs="Times New Roman"/>
          <w:noProof/>
          <w:lang w:val="fr-CA"/>
        </w:rPr>
        <w:t>’</w:t>
      </w:r>
      <w:r w:rsidRPr="00E41E88">
        <w:rPr>
          <w:rFonts w:cs="Times New Roman"/>
          <w:noProof/>
          <w:lang w:val="fr-CA"/>
        </w:rPr>
        <w:t xml:space="preserve">attachant à la question de savoir si les modalités du RILT étaient </w:t>
      </w:r>
      <w:r w:rsidRPr="00E41E88">
        <w:rPr>
          <w:rFonts w:cs="Times New Roman"/>
          <w:smallCaps/>
          <w:noProof/>
          <w:lang w:val="fr-CA"/>
        </w:rPr>
        <w:t xml:space="preserve">[traduction] </w:t>
      </w:r>
      <w:r w:rsidRPr="00E41E88">
        <w:rPr>
          <w:rFonts w:cs="Times New Roman"/>
          <w:noProof/>
          <w:lang w:val="fr-CA"/>
        </w:rPr>
        <w:t>« claires et non ambiguës » au lieu de s</w:t>
      </w:r>
      <w:r>
        <w:rPr>
          <w:rFonts w:cs="Times New Roman"/>
          <w:noProof/>
          <w:lang w:val="fr-CA"/>
        </w:rPr>
        <w:t>’</w:t>
      </w:r>
      <w:r w:rsidRPr="00E41E88">
        <w:rPr>
          <w:rFonts w:cs="Times New Roman"/>
          <w:noProof/>
          <w:lang w:val="fr-CA"/>
        </w:rPr>
        <w:t>interroger sur le montant des dommages</w:t>
      </w:r>
      <w:r w:rsidRPr="00E41E88">
        <w:rPr>
          <w:rFonts w:cs="Times New Roman"/>
          <w:noProof/>
          <w:lang w:val="fr-CA"/>
        </w:rPr>
        <w:noBreakHyphen/>
        <w:t>intérêts qu</w:t>
      </w:r>
      <w:r>
        <w:rPr>
          <w:rFonts w:cs="Times New Roman"/>
          <w:noProof/>
          <w:lang w:val="fr-CA"/>
        </w:rPr>
        <w:t>’</w:t>
      </w:r>
      <w:r w:rsidRPr="00E41E88">
        <w:rPr>
          <w:rFonts w:cs="Times New Roman"/>
          <w:noProof/>
          <w:lang w:val="fr-CA"/>
        </w:rPr>
        <w:t>il convenait d</w:t>
      </w:r>
      <w:r>
        <w:rPr>
          <w:rFonts w:cs="Times New Roman"/>
          <w:noProof/>
          <w:lang w:val="fr-CA"/>
        </w:rPr>
        <w:t>’</w:t>
      </w:r>
      <w:r w:rsidRPr="00E41E88">
        <w:rPr>
          <w:rFonts w:cs="Times New Roman"/>
          <w:noProof/>
          <w:lang w:val="fr-CA"/>
        </w:rPr>
        <w:t>accorder à M. Matthews parce qu</w:t>
      </w:r>
      <w:r>
        <w:rPr>
          <w:rFonts w:cs="Times New Roman"/>
          <w:noProof/>
          <w:lang w:val="fr-CA"/>
        </w:rPr>
        <w:t>’</w:t>
      </w:r>
      <w:r w:rsidRPr="00E41E88">
        <w:rPr>
          <w:rFonts w:cs="Times New Roman"/>
          <w:noProof/>
          <w:lang w:val="fr-CA"/>
        </w:rPr>
        <w:t>Ocean ne lui a pas donné un préavis raisonnable. Il ne s</w:t>
      </w:r>
      <w:r>
        <w:rPr>
          <w:rFonts w:cs="Times New Roman"/>
          <w:noProof/>
          <w:lang w:val="fr-CA"/>
        </w:rPr>
        <w:t>’</w:t>
      </w:r>
      <w:r w:rsidRPr="00E41E88">
        <w:rPr>
          <w:rFonts w:cs="Times New Roman"/>
          <w:noProof/>
          <w:lang w:val="fr-CA"/>
        </w:rPr>
        <w:t xml:space="preserve">agit pas de décider si </w:t>
      </w:r>
      <w:r>
        <w:rPr>
          <w:rFonts w:cs="Times New Roman"/>
          <w:noProof/>
          <w:lang w:val="fr-CA"/>
        </w:rPr>
        <w:t>M. </w:t>
      </w:r>
      <w:r w:rsidRPr="00E41E88">
        <w:rPr>
          <w:rFonts w:cs="Times New Roman"/>
          <w:noProof/>
          <w:lang w:val="fr-CA"/>
        </w:rPr>
        <w:t>Matthews est admissible au RILT, mais plutôt de déterminer le montant des dommages</w:t>
      </w:r>
      <w:r w:rsidRPr="00E41E88">
        <w:rPr>
          <w:rFonts w:cs="Times New Roman"/>
          <w:noProof/>
          <w:lang w:val="fr-CA"/>
        </w:rPr>
        <w:noBreakHyphen/>
        <w:t>intérêts auquel il a droit et s</w:t>
      </w:r>
      <w:r>
        <w:rPr>
          <w:rFonts w:cs="Times New Roman"/>
          <w:noProof/>
          <w:lang w:val="fr-CA"/>
        </w:rPr>
        <w:t>’</w:t>
      </w:r>
      <w:r w:rsidRPr="00E41E88">
        <w:rPr>
          <w:rFonts w:cs="Times New Roman"/>
          <w:noProof/>
          <w:lang w:val="fr-CA"/>
        </w:rPr>
        <w:t>il a droit d</w:t>
      </w:r>
      <w:r>
        <w:rPr>
          <w:rFonts w:cs="Times New Roman"/>
          <w:noProof/>
          <w:lang w:val="fr-CA"/>
        </w:rPr>
        <w:t>’</w:t>
      </w:r>
      <w:r w:rsidRPr="00E41E88">
        <w:rPr>
          <w:rFonts w:cs="Times New Roman"/>
          <w:noProof/>
          <w:lang w:val="fr-CA"/>
        </w:rPr>
        <w:t>être indemnisé pour les primes qu</w:t>
      </w:r>
      <w:r>
        <w:rPr>
          <w:rFonts w:cs="Times New Roman"/>
          <w:noProof/>
          <w:lang w:val="fr-CA"/>
        </w:rPr>
        <w:t>’</w:t>
      </w:r>
      <w:r w:rsidRPr="00E41E88">
        <w:rPr>
          <w:rFonts w:cs="Times New Roman"/>
          <w:noProof/>
          <w:lang w:val="fr-CA"/>
        </w:rPr>
        <w:t>il aurait touchées si Ocean n</w:t>
      </w:r>
      <w:r>
        <w:rPr>
          <w:rFonts w:cs="Times New Roman"/>
          <w:noProof/>
          <w:lang w:val="fr-CA"/>
        </w:rPr>
        <w:t>’</w:t>
      </w:r>
      <w:r w:rsidRPr="00E41E88">
        <w:rPr>
          <w:rFonts w:cs="Times New Roman"/>
          <w:noProof/>
          <w:lang w:val="fr-CA"/>
        </w:rPr>
        <w:t>avait pas contrevenu au contrat de travail. En se concentrant sur la première question, la Cour d</w:t>
      </w:r>
      <w:r>
        <w:rPr>
          <w:rFonts w:cs="Times New Roman"/>
          <w:noProof/>
          <w:lang w:val="fr-CA"/>
        </w:rPr>
        <w:t>’</w:t>
      </w:r>
      <w:r w:rsidRPr="00E41E88">
        <w:rPr>
          <w:rFonts w:cs="Times New Roman"/>
          <w:noProof/>
          <w:lang w:val="fr-CA"/>
        </w:rPr>
        <w:t xml:space="preserve">appel a appliqué un mauvais principe, ce qui a à mon avis entraîné une erreur déterminante. </w:t>
      </w:r>
    </w:p>
    <w:p w:rsidR="00DD44E8" w:rsidRPr="00E41E88" w:rsidRDefault="00DD44E8" w:rsidP="00DD44E8">
      <w:pPr>
        <w:pStyle w:val="Title4LevelTitre4Niveau"/>
        <w:keepNext w:val="0"/>
        <w:rPr>
          <w:rFonts w:cs="Times New Roman"/>
          <w:noProof/>
          <w:lang w:val="fr-CA"/>
        </w:rPr>
      </w:pPr>
      <w:r w:rsidRPr="00E41E88">
        <w:rPr>
          <w:rFonts w:cs="Times New Roman"/>
          <w:noProof/>
          <w:lang w:val="fr-CA"/>
        </w:rPr>
        <w:t>Réparation pour manquement à l</w:t>
      </w:r>
      <w:r>
        <w:rPr>
          <w:rFonts w:cs="Times New Roman"/>
          <w:noProof/>
          <w:lang w:val="fr-CA"/>
        </w:rPr>
        <w:t>’</w:t>
      </w:r>
      <w:r w:rsidRPr="00E41E88">
        <w:rPr>
          <w:rFonts w:cs="Times New Roman"/>
          <w:noProof/>
          <w:lang w:val="fr-CA"/>
        </w:rPr>
        <w:t>obligation tacite de donner un préavis raisonnable de cessation d</w:t>
      </w:r>
      <w:r>
        <w:rPr>
          <w:rFonts w:cs="Times New Roman"/>
          <w:noProof/>
          <w:lang w:val="fr-CA"/>
        </w:rPr>
        <w:t>’</w:t>
      </w:r>
      <w:r w:rsidRPr="00E41E88">
        <w:rPr>
          <w:rFonts w:cs="Times New Roman"/>
          <w:noProof/>
          <w:lang w:val="fr-CA"/>
        </w:rPr>
        <w:t>emploi</w:t>
      </w:r>
    </w:p>
    <w:p w:rsidR="00DD44E8" w:rsidRPr="00E41E88" w:rsidRDefault="00DD44E8" w:rsidP="00DD44E8">
      <w:pPr>
        <w:pStyle w:val="ParaNoNdepar-AltN"/>
        <w:widowControl w:val="0"/>
        <w:rPr>
          <w:rFonts w:cs="Times New Roman"/>
          <w:noProof/>
          <w:lang w:val="fr-CA"/>
        </w:rPr>
      </w:pPr>
      <w:r w:rsidRPr="00E41E88">
        <w:rPr>
          <w:rFonts w:cs="Times New Roman"/>
          <w:noProof/>
          <w:lang w:val="fr-CA"/>
        </w:rPr>
        <w:lastRenderedPageBreak/>
        <w:t>Dans la mesure où M. Matthews a fait l</w:t>
      </w:r>
      <w:r>
        <w:rPr>
          <w:rFonts w:cs="Times New Roman"/>
          <w:noProof/>
          <w:lang w:val="fr-CA"/>
        </w:rPr>
        <w:t>’</w:t>
      </w:r>
      <w:r w:rsidRPr="00E41E88">
        <w:rPr>
          <w:rFonts w:cs="Times New Roman"/>
          <w:noProof/>
          <w:lang w:val="fr-CA"/>
        </w:rPr>
        <w:t>objet d</w:t>
      </w:r>
      <w:r>
        <w:rPr>
          <w:rFonts w:cs="Times New Roman"/>
          <w:noProof/>
          <w:lang w:val="fr-CA"/>
        </w:rPr>
        <w:t>’</w:t>
      </w:r>
      <w:r w:rsidRPr="00E41E88">
        <w:rPr>
          <w:rFonts w:cs="Times New Roman"/>
          <w:noProof/>
          <w:lang w:val="fr-CA"/>
        </w:rPr>
        <w:t>un congédiement déguisé sans préavis, il avait droit à des dommages</w:t>
      </w:r>
      <w:r w:rsidRPr="00E41E88">
        <w:rPr>
          <w:rFonts w:cs="Times New Roman"/>
          <w:noProof/>
          <w:lang w:val="fr-CA"/>
        </w:rPr>
        <w:noBreakHyphen/>
        <w:t>intérêts correspondant au salaire, y compris les primes, qu</w:t>
      </w:r>
      <w:r>
        <w:rPr>
          <w:rFonts w:cs="Times New Roman"/>
          <w:noProof/>
          <w:lang w:val="fr-CA"/>
        </w:rPr>
        <w:t>’</w:t>
      </w:r>
      <w:r w:rsidRPr="00E41E88">
        <w:rPr>
          <w:rFonts w:cs="Times New Roman"/>
          <w:noProof/>
          <w:lang w:val="fr-CA"/>
        </w:rPr>
        <w:t>il aurait touché durant la période de préavis de 15 mois (</w:t>
      </w:r>
      <w:r w:rsidRPr="00E41E88">
        <w:rPr>
          <w:rFonts w:cs="Times New Roman"/>
          <w:i/>
          <w:noProof/>
          <w:lang w:val="fr-CA"/>
        </w:rPr>
        <w:t>Wallace</w:t>
      </w:r>
      <w:r w:rsidRPr="00E41E88">
        <w:rPr>
          <w:rFonts w:cs="Times New Roman"/>
          <w:noProof/>
          <w:lang w:val="fr-CA"/>
        </w:rPr>
        <w:t>, par. 65</w:t>
      </w:r>
      <w:r w:rsidRPr="00E41E88">
        <w:rPr>
          <w:rFonts w:cs="Times New Roman"/>
          <w:noProof/>
          <w:lang w:val="fr-CA"/>
        </w:rPr>
        <w:noBreakHyphen/>
        <w:t>67). Il en est ainsi parce que la réparation en cas de manquement à l</w:t>
      </w:r>
      <w:r>
        <w:rPr>
          <w:rFonts w:cs="Times New Roman"/>
          <w:noProof/>
          <w:lang w:val="fr-CA"/>
        </w:rPr>
        <w:t>’</w:t>
      </w:r>
      <w:r w:rsidRPr="00E41E88">
        <w:rPr>
          <w:rFonts w:cs="Times New Roman"/>
          <w:noProof/>
          <w:lang w:val="fr-CA"/>
        </w:rPr>
        <w:t>obligation tacite de donner un préavis raisonnable consiste à accorder des dommages</w:t>
      </w:r>
      <w:r w:rsidRPr="00E41E88">
        <w:rPr>
          <w:rFonts w:cs="Times New Roman"/>
          <w:noProof/>
          <w:lang w:val="fr-CA"/>
        </w:rPr>
        <w:noBreakHyphen/>
        <w:t>intérêts fondés sur la période du préavis qui aurait dû être donné, dommages</w:t>
      </w:r>
      <w:r w:rsidRPr="00E41E88">
        <w:rPr>
          <w:rFonts w:cs="Times New Roman"/>
          <w:noProof/>
          <w:lang w:val="fr-CA"/>
        </w:rPr>
        <w:noBreakHyphen/>
        <w:t>intérêts correspondant « au montant que l</w:t>
      </w:r>
      <w:r>
        <w:rPr>
          <w:rFonts w:cs="Times New Roman"/>
          <w:noProof/>
          <w:lang w:val="fr-CA"/>
        </w:rPr>
        <w:t>’</w:t>
      </w:r>
      <w:r w:rsidRPr="00E41E88">
        <w:rPr>
          <w:rFonts w:cs="Times New Roman"/>
          <w:noProof/>
          <w:lang w:val="fr-CA"/>
        </w:rPr>
        <w:t>employé aurait gagné pendant cette période » (par. 115). La question de savoir si les sommes à verser au titre d</w:t>
      </w:r>
      <w:r>
        <w:rPr>
          <w:rFonts w:cs="Times New Roman"/>
          <w:noProof/>
          <w:lang w:val="fr-CA"/>
        </w:rPr>
        <w:t>’</w:t>
      </w:r>
      <w:r w:rsidRPr="00E41E88">
        <w:rPr>
          <w:rFonts w:cs="Times New Roman"/>
          <w:noProof/>
          <w:lang w:val="fr-CA"/>
        </w:rPr>
        <w:t>un régime d</w:t>
      </w:r>
      <w:r>
        <w:rPr>
          <w:rFonts w:cs="Times New Roman"/>
          <w:noProof/>
          <w:lang w:val="fr-CA"/>
        </w:rPr>
        <w:t>’</w:t>
      </w:r>
      <w:r w:rsidRPr="00E41E88">
        <w:rPr>
          <w:rFonts w:cs="Times New Roman"/>
          <w:noProof/>
          <w:lang w:val="fr-CA"/>
        </w:rPr>
        <w:t>intéressement, tel le RILT en l</w:t>
      </w:r>
      <w:r>
        <w:rPr>
          <w:rFonts w:cs="Times New Roman"/>
          <w:noProof/>
          <w:lang w:val="fr-CA"/>
        </w:rPr>
        <w:t>’</w:t>
      </w:r>
      <w:r w:rsidRPr="00E41E88">
        <w:rPr>
          <w:rFonts w:cs="Times New Roman"/>
          <w:noProof/>
          <w:lang w:val="fr-CA"/>
        </w:rPr>
        <w:t>espèce, doivent être incluses dans les dommages</w:t>
      </w:r>
      <w:r w:rsidRPr="00E41E88">
        <w:rPr>
          <w:rFonts w:cs="Times New Roman"/>
          <w:noProof/>
          <w:lang w:val="fr-CA"/>
        </w:rPr>
        <w:noBreakHyphen/>
        <w:t>intérêts est une question courante et récurrente dans le domaine du droit applicable au congédiement injustifié. Pour répondre à cette question, le juge de première instance s</w:t>
      </w:r>
      <w:r>
        <w:rPr>
          <w:rFonts w:cs="Times New Roman"/>
          <w:noProof/>
          <w:lang w:val="fr-CA"/>
        </w:rPr>
        <w:t>’</w:t>
      </w:r>
      <w:r w:rsidRPr="00E41E88">
        <w:rPr>
          <w:rFonts w:cs="Times New Roman"/>
          <w:noProof/>
          <w:lang w:val="fr-CA"/>
        </w:rPr>
        <w:t xml:space="preserve">est appuyé sur les arrêts </w:t>
      </w:r>
      <w:r w:rsidRPr="00E41E88">
        <w:rPr>
          <w:rFonts w:cs="Times New Roman"/>
          <w:i/>
          <w:noProof/>
          <w:lang w:val="fr-CA"/>
        </w:rPr>
        <w:t xml:space="preserve">Paquette </w:t>
      </w:r>
      <w:r w:rsidRPr="00E41E88">
        <w:rPr>
          <w:rFonts w:cs="Times New Roman"/>
          <w:noProof/>
          <w:lang w:val="fr-CA"/>
        </w:rPr>
        <w:t xml:space="preserve">et </w:t>
      </w:r>
      <w:r w:rsidRPr="00E41E88">
        <w:rPr>
          <w:rFonts w:cs="Times New Roman"/>
          <w:i/>
          <w:noProof/>
          <w:lang w:val="fr-CA"/>
        </w:rPr>
        <w:t xml:space="preserve">Lin </w:t>
      </w:r>
      <w:r w:rsidRPr="00E41E88">
        <w:rPr>
          <w:rFonts w:cs="Times New Roman"/>
          <w:noProof/>
          <w:lang w:val="fr-CA"/>
        </w:rPr>
        <w:t>de la Cour d</w:t>
      </w:r>
      <w:r>
        <w:rPr>
          <w:rFonts w:cs="Times New Roman"/>
          <w:noProof/>
          <w:lang w:val="fr-CA"/>
        </w:rPr>
        <w:t>’</w:t>
      </w:r>
      <w:r w:rsidRPr="00E41E88">
        <w:rPr>
          <w:rFonts w:cs="Times New Roman"/>
          <w:noProof/>
          <w:lang w:val="fr-CA"/>
        </w:rPr>
        <w:t>appel de l</w:t>
      </w:r>
      <w:r>
        <w:rPr>
          <w:rFonts w:cs="Times New Roman"/>
          <w:noProof/>
          <w:lang w:val="fr-CA"/>
        </w:rPr>
        <w:t>’</w:t>
      </w:r>
      <w:r w:rsidRPr="00E41E88">
        <w:rPr>
          <w:rFonts w:cs="Times New Roman"/>
          <w:noProof/>
          <w:lang w:val="fr-CA"/>
        </w:rPr>
        <w:t>Ontario. J</w:t>
      </w:r>
      <w:r>
        <w:rPr>
          <w:rFonts w:cs="Times New Roman"/>
          <w:noProof/>
          <w:lang w:val="fr-CA"/>
        </w:rPr>
        <w:t>’</w:t>
      </w:r>
      <w:r w:rsidRPr="00E41E88">
        <w:rPr>
          <w:rFonts w:cs="Times New Roman"/>
          <w:noProof/>
          <w:lang w:val="fr-CA"/>
        </w:rPr>
        <w:t>estime qu</w:t>
      </w:r>
      <w:r>
        <w:rPr>
          <w:rFonts w:cs="Times New Roman"/>
          <w:noProof/>
          <w:lang w:val="fr-CA"/>
        </w:rPr>
        <w:t>’</w:t>
      </w:r>
      <w:r w:rsidRPr="00E41E88">
        <w:rPr>
          <w:rFonts w:cs="Times New Roman"/>
          <w:noProof/>
          <w:lang w:val="fr-CA"/>
        </w:rPr>
        <w:t>il a choisi la bonne approche.</w:t>
      </w:r>
    </w:p>
    <w:p w:rsidR="00DD44E8" w:rsidRPr="00E41E88" w:rsidRDefault="00DD44E8" w:rsidP="00DD44E8">
      <w:pPr>
        <w:pStyle w:val="ParaNoNdepar-AltN"/>
        <w:widowControl w:val="0"/>
        <w:rPr>
          <w:rFonts w:cs="Times New Roman"/>
          <w:noProof/>
          <w:lang w:val="fr-CA"/>
        </w:rPr>
      </w:pPr>
      <w:r w:rsidRPr="00E41E88">
        <w:rPr>
          <w:rFonts w:cs="Times New Roman"/>
          <w:noProof/>
          <w:lang w:val="fr-CA"/>
        </w:rPr>
        <w:t>Dans l</w:t>
      </w:r>
      <w:r>
        <w:rPr>
          <w:rFonts w:cs="Times New Roman"/>
          <w:noProof/>
          <w:lang w:val="fr-CA"/>
        </w:rPr>
        <w:t>’</w:t>
      </w:r>
      <w:r w:rsidRPr="00E41E88">
        <w:rPr>
          <w:rFonts w:cs="Times New Roman"/>
          <w:noProof/>
          <w:lang w:val="fr-CA"/>
        </w:rPr>
        <w:t xml:space="preserve">arrêt </w:t>
      </w:r>
      <w:r w:rsidRPr="00E41E88">
        <w:rPr>
          <w:rFonts w:cs="Times New Roman"/>
          <w:i/>
          <w:noProof/>
          <w:lang w:val="fr-CA"/>
        </w:rPr>
        <w:t>Paquette</w:t>
      </w:r>
      <w:r w:rsidRPr="00E41E88">
        <w:rPr>
          <w:rFonts w:cs="Times New Roman"/>
          <w:noProof/>
          <w:lang w:val="fr-CA"/>
        </w:rPr>
        <w:t>, l</w:t>
      </w:r>
      <w:r>
        <w:rPr>
          <w:rFonts w:cs="Times New Roman"/>
          <w:noProof/>
          <w:lang w:val="fr-CA"/>
        </w:rPr>
        <w:t>’</w:t>
      </w:r>
      <w:r w:rsidRPr="00E41E88">
        <w:rPr>
          <w:rFonts w:cs="Times New Roman"/>
          <w:noProof/>
          <w:lang w:val="fr-CA"/>
        </w:rPr>
        <w:t xml:space="preserve">employé participait au régime de primes établi par son employeur, lequel stipulait que les employés devaient être des </w:t>
      </w:r>
      <w:r w:rsidRPr="00E41E88">
        <w:rPr>
          <w:rFonts w:cs="Times New Roman"/>
          <w:smallCaps/>
          <w:noProof/>
          <w:lang w:val="fr-CA"/>
        </w:rPr>
        <w:t xml:space="preserve">[traduction] </w:t>
      </w:r>
      <w:r w:rsidRPr="00E41E88">
        <w:rPr>
          <w:rFonts w:cs="Times New Roman"/>
          <w:noProof/>
          <w:lang w:val="fr-CA"/>
        </w:rPr>
        <w:t>« employés actifs » à la date du versement des primes. Cette formulation est sensiblement comparable à celle utilisée dans le RILT qui, à la clause 2.03, requiert que l</w:t>
      </w:r>
      <w:r>
        <w:rPr>
          <w:rFonts w:cs="Times New Roman"/>
          <w:noProof/>
          <w:lang w:val="fr-CA"/>
        </w:rPr>
        <w:t>’</w:t>
      </w:r>
      <w:r w:rsidRPr="00E41E88">
        <w:rPr>
          <w:rFonts w:cs="Times New Roman"/>
          <w:noProof/>
          <w:lang w:val="fr-CA"/>
        </w:rPr>
        <w:t xml:space="preserve">intéressé soit un </w:t>
      </w:r>
      <w:r w:rsidRPr="00E41E88">
        <w:rPr>
          <w:rFonts w:cs="Times New Roman"/>
          <w:smallCaps/>
          <w:noProof/>
          <w:lang w:val="fr-CA"/>
        </w:rPr>
        <w:t>[traduction] </w:t>
      </w:r>
      <w:r w:rsidRPr="00E41E88">
        <w:rPr>
          <w:rFonts w:cs="Times New Roman"/>
          <w:noProof/>
          <w:lang w:val="fr-CA"/>
        </w:rPr>
        <w:t>« employé à temps plein » de l</w:t>
      </w:r>
      <w:r>
        <w:rPr>
          <w:rFonts w:cs="Times New Roman"/>
          <w:noProof/>
          <w:lang w:val="fr-CA"/>
        </w:rPr>
        <w:t>’</w:t>
      </w:r>
      <w:r w:rsidRPr="00E41E88">
        <w:rPr>
          <w:rFonts w:cs="Times New Roman"/>
          <w:noProof/>
          <w:lang w:val="fr-CA"/>
        </w:rPr>
        <w:t>entreprise. Dans l</w:t>
      </w:r>
      <w:r>
        <w:rPr>
          <w:rFonts w:cs="Times New Roman"/>
          <w:noProof/>
          <w:lang w:val="fr-CA"/>
        </w:rPr>
        <w:t>’</w:t>
      </w:r>
      <w:r w:rsidRPr="00E41E88">
        <w:rPr>
          <w:rFonts w:cs="Times New Roman"/>
          <w:noProof/>
          <w:lang w:val="fr-CA"/>
        </w:rPr>
        <w:t>arrêt </w:t>
      </w:r>
      <w:r w:rsidRPr="00E41E88">
        <w:rPr>
          <w:rFonts w:cs="Times New Roman"/>
          <w:i/>
          <w:noProof/>
          <w:lang w:val="fr-CA"/>
        </w:rPr>
        <w:t>Paquette</w:t>
      </w:r>
      <w:r w:rsidRPr="00E41E88">
        <w:rPr>
          <w:rFonts w:cs="Times New Roman"/>
          <w:noProof/>
          <w:lang w:val="fr-CA"/>
        </w:rPr>
        <w:t>, n</w:t>
      </w:r>
      <w:r>
        <w:rPr>
          <w:rFonts w:cs="Times New Roman"/>
          <w:noProof/>
          <w:lang w:val="fr-CA"/>
        </w:rPr>
        <w:t>’</w:t>
      </w:r>
      <w:r w:rsidRPr="00E41E88">
        <w:rPr>
          <w:rFonts w:cs="Times New Roman"/>
          <w:noProof/>
          <w:lang w:val="fr-CA"/>
        </w:rPr>
        <w:t>eût été son congédiement, l</w:t>
      </w:r>
      <w:r>
        <w:rPr>
          <w:rFonts w:cs="Times New Roman"/>
          <w:noProof/>
          <w:lang w:val="fr-CA"/>
        </w:rPr>
        <w:t>’</w:t>
      </w:r>
      <w:r w:rsidRPr="00E41E88">
        <w:rPr>
          <w:rFonts w:cs="Times New Roman"/>
          <w:noProof/>
          <w:lang w:val="fr-CA"/>
        </w:rPr>
        <w:t xml:space="preserve">employé aurait touché la prime à laquelle il avait droit pendant la période de préavis raisonnable. Cependant, dans cette affaire, le juge des </w:t>
      </w:r>
      <w:r>
        <w:rPr>
          <w:rFonts w:cs="Times New Roman"/>
          <w:noProof/>
          <w:lang w:val="fr-CA"/>
        </w:rPr>
        <w:t>motions</w:t>
      </w:r>
      <w:r w:rsidRPr="00E41E88">
        <w:rPr>
          <w:rFonts w:cs="Times New Roman"/>
          <w:noProof/>
          <w:lang w:val="fr-CA"/>
        </w:rPr>
        <w:t xml:space="preserve"> a conclu que l</w:t>
      </w:r>
      <w:r>
        <w:rPr>
          <w:rFonts w:cs="Times New Roman"/>
          <w:noProof/>
          <w:lang w:val="fr-CA"/>
        </w:rPr>
        <w:t>’</w:t>
      </w:r>
      <w:r w:rsidRPr="00E41E88">
        <w:rPr>
          <w:rFonts w:cs="Times New Roman"/>
          <w:noProof/>
          <w:lang w:val="fr-CA"/>
        </w:rPr>
        <w:t>employé n</w:t>
      </w:r>
      <w:r>
        <w:rPr>
          <w:rFonts w:cs="Times New Roman"/>
          <w:noProof/>
          <w:lang w:val="fr-CA"/>
        </w:rPr>
        <w:t>’</w:t>
      </w:r>
      <w:r w:rsidRPr="00E41E88">
        <w:rPr>
          <w:rFonts w:cs="Times New Roman"/>
          <w:noProof/>
          <w:lang w:val="fr-CA"/>
        </w:rPr>
        <w:t>avait pas droit à la prime en question, parce que même s</w:t>
      </w:r>
      <w:r>
        <w:rPr>
          <w:rFonts w:cs="Times New Roman"/>
          <w:noProof/>
          <w:lang w:val="fr-CA"/>
        </w:rPr>
        <w:t>’</w:t>
      </w:r>
      <w:r w:rsidRPr="00E41E88">
        <w:rPr>
          <w:rFonts w:cs="Times New Roman"/>
          <w:noProof/>
          <w:lang w:val="fr-CA"/>
        </w:rPr>
        <w:t xml:space="preserve">il était </w:t>
      </w:r>
      <w:r w:rsidRPr="00E41E88">
        <w:rPr>
          <w:rFonts w:cs="Times New Roman"/>
          <w:smallCaps/>
          <w:noProof/>
          <w:lang w:val="fr-CA"/>
        </w:rPr>
        <w:t>[traduction] </w:t>
      </w:r>
      <w:r w:rsidRPr="00E41E88">
        <w:rPr>
          <w:rFonts w:cs="Times New Roman"/>
          <w:noProof/>
          <w:lang w:val="fr-CA"/>
        </w:rPr>
        <w:t xml:space="preserve">« théoriquement » un employé de </w:t>
      </w:r>
      <w:r w:rsidRPr="00E41E88">
        <w:rPr>
          <w:rFonts w:cs="Times New Roman"/>
          <w:noProof/>
          <w:lang w:val="fr-CA"/>
        </w:rPr>
        <w:lastRenderedPageBreak/>
        <w:t>l</w:t>
      </w:r>
      <w:r>
        <w:rPr>
          <w:rFonts w:cs="Times New Roman"/>
          <w:noProof/>
          <w:lang w:val="fr-CA"/>
        </w:rPr>
        <w:t>’</w:t>
      </w:r>
      <w:r w:rsidRPr="00E41E88">
        <w:rPr>
          <w:rFonts w:cs="Times New Roman"/>
          <w:noProof/>
          <w:lang w:val="fr-CA"/>
        </w:rPr>
        <w:t>entreprise pendant la période de préavis raisonnable, il n</w:t>
      </w:r>
      <w:r>
        <w:rPr>
          <w:rFonts w:cs="Times New Roman"/>
          <w:noProof/>
          <w:lang w:val="fr-CA"/>
        </w:rPr>
        <w:t>’</w:t>
      </w:r>
      <w:r w:rsidRPr="00E41E88">
        <w:rPr>
          <w:rFonts w:cs="Times New Roman"/>
          <w:noProof/>
          <w:lang w:val="fr-CA"/>
        </w:rPr>
        <w:t>était pas un employé « actif » et n</w:t>
      </w:r>
      <w:r>
        <w:rPr>
          <w:rFonts w:cs="Times New Roman"/>
          <w:noProof/>
          <w:lang w:val="fr-CA"/>
        </w:rPr>
        <w:t>’</w:t>
      </w:r>
      <w:r w:rsidRPr="00E41E88">
        <w:rPr>
          <w:rFonts w:cs="Times New Roman"/>
          <w:noProof/>
          <w:lang w:val="fr-CA"/>
        </w:rPr>
        <w:t xml:space="preserve">était donc pas admissible suivant les modalités du régime. </w:t>
      </w:r>
    </w:p>
    <w:p w:rsidR="00DD44E8" w:rsidRPr="00E41E88" w:rsidRDefault="00DD44E8" w:rsidP="00DD44E8">
      <w:pPr>
        <w:pStyle w:val="ParaNoNdepar-AltN"/>
        <w:widowControl w:val="0"/>
        <w:rPr>
          <w:rFonts w:cs="Times New Roman"/>
          <w:noProof/>
          <w:lang w:val="fr-CA"/>
        </w:rPr>
      </w:pPr>
      <w:r w:rsidRPr="00E41E88">
        <w:rPr>
          <w:rFonts w:cs="Times New Roman"/>
          <w:noProof/>
          <w:lang w:val="fr-CA"/>
        </w:rPr>
        <w:t>L</w:t>
      </w:r>
      <w:r>
        <w:rPr>
          <w:rFonts w:cs="Times New Roman"/>
          <w:noProof/>
          <w:lang w:val="fr-CA"/>
        </w:rPr>
        <w:t>’</w:t>
      </w:r>
      <w:r w:rsidRPr="00E41E88">
        <w:rPr>
          <w:rFonts w:cs="Times New Roman"/>
          <w:noProof/>
          <w:lang w:val="fr-CA"/>
        </w:rPr>
        <w:t>appel de l</w:t>
      </w:r>
      <w:r>
        <w:rPr>
          <w:rFonts w:cs="Times New Roman"/>
          <w:noProof/>
          <w:lang w:val="fr-CA"/>
        </w:rPr>
        <w:t>’</w:t>
      </w:r>
      <w:r w:rsidRPr="00E41E88">
        <w:rPr>
          <w:rFonts w:cs="Times New Roman"/>
          <w:noProof/>
          <w:lang w:val="fr-CA"/>
        </w:rPr>
        <w:t>employé a été accueilli. La Cour d</w:t>
      </w:r>
      <w:r>
        <w:rPr>
          <w:rFonts w:cs="Times New Roman"/>
          <w:noProof/>
          <w:lang w:val="fr-CA"/>
        </w:rPr>
        <w:t>’</w:t>
      </w:r>
      <w:r w:rsidRPr="00E41E88">
        <w:rPr>
          <w:rFonts w:cs="Times New Roman"/>
          <w:noProof/>
          <w:lang w:val="fr-CA"/>
        </w:rPr>
        <w:t xml:space="preserve">appel </w:t>
      </w:r>
      <w:r>
        <w:rPr>
          <w:rFonts w:cs="Times New Roman"/>
          <w:noProof/>
          <w:lang w:val="fr-CA"/>
        </w:rPr>
        <w:t xml:space="preserve">de l’Ontario </w:t>
      </w:r>
      <w:r w:rsidRPr="00E41E88">
        <w:rPr>
          <w:rFonts w:cs="Times New Roman"/>
          <w:noProof/>
          <w:lang w:val="fr-CA"/>
        </w:rPr>
        <w:t>s</w:t>
      </w:r>
      <w:r>
        <w:rPr>
          <w:rFonts w:cs="Times New Roman"/>
          <w:noProof/>
          <w:lang w:val="fr-CA"/>
        </w:rPr>
        <w:t>’</w:t>
      </w:r>
      <w:r w:rsidRPr="00E41E88">
        <w:rPr>
          <w:rFonts w:cs="Times New Roman"/>
          <w:noProof/>
          <w:lang w:val="fr-CA"/>
        </w:rPr>
        <w:t>est appuyée principalement sur sa décision antérieure dans l</w:t>
      </w:r>
      <w:r>
        <w:rPr>
          <w:rFonts w:cs="Times New Roman"/>
          <w:noProof/>
          <w:lang w:val="fr-CA"/>
        </w:rPr>
        <w:t>’</w:t>
      </w:r>
      <w:r w:rsidRPr="00E41E88">
        <w:rPr>
          <w:rFonts w:cs="Times New Roman"/>
          <w:noProof/>
          <w:lang w:val="fr-CA"/>
        </w:rPr>
        <w:t xml:space="preserve">affaire </w:t>
      </w:r>
      <w:r w:rsidRPr="00E41E88">
        <w:rPr>
          <w:rFonts w:cs="Times New Roman"/>
          <w:i/>
          <w:noProof/>
          <w:lang w:val="fr-CA"/>
        </w:rPr>
        <w:t>Taggart c. Canada</w:t>
      </w:r>
      <w:r>
        <w:rPr>
          <w:rFonts w:cs="Times New Roman"/>
          <w:i/>
          <w:noProof/>
          <w:lang w:val="fr-CA"/>
        </w:rPr>
        <w:t xml:space="preserve"> Life Assurance Co.</w:t>
      </w:r>
      <w:r w:rsidRPr="00E41E88">
        <w:rPr>
          <w:rFonts w:cs="Times New Roman"/>
          <w:noProof/>
          <w:lang w:val="fr-CA"/>
        </w:rPr>
        <w:t xml:space="preserve"> (2006), 50 C.C.P.B. 163, qui portait sur une question similaire concernant les prestations de retraite. Dans cet arrêt, le juge d</w:t>
      </w:r>
      <w:r>
        <w:rPr>
          <w:rFonts w:cs="Times New Roman"/>
          <w:noProof/>
          <w:lang w:val="fr-CA"/>
        </w:rPr>
        <w:t>’</w:t>
      </w:r>
      <w:r w:rsidRPr="00E41E88">
        <w:rPr>
          <w:rFonts w:cs="Times New Roman"/>
          <w:noProof/>
          <w:lang w:val="fr-CA"/>
        </w:rPr>
        <w:t>appel Sharpe a, à juste titre, mis en garde les tribunaux de ne pas faire abstraction de la nature juridique des réclamations des employés. Comme il l</w:t>
      </w:r>
      <w:r>
        <w:rPr>
          <w:rFonts w:cs="Times New Roman"/>
          <w:noProof/>
          <w:lang w:val="fr-CA"/>
        </w:rPr>
        <w:t>’</w:t>
      </w:r>
      <w:r w:rsidRPr="00E41E88">
        <w:rPr>
          <w:rFonts w:cs="Times New Roman"/>
          <w:noProof/>
          <w:lang w:val="fr-CA"/>
        </w:rPr>
        <w:t xml:space="preserve">a indiqué, </w:t>
      </w:r>
      <w:r w:rsidRPr="00E41E88">
        <w:rPr>
          <w:rFonts w:cs="Times New Roman"/>
          <w:smallCaps/>
          <w:noProof/>
          <w:lang w:val="fr-CA"/>
        </w:rPr>
        <w:t>[traduction]</w:t>
      </w:r>
      <w:r>
        <w:rPr>
          <w:rFonts w:cs="Times New Roman"/>
          <w:smallCaps/>
          <w:noProof/>
          <w:lang w:val="fr-CA"/>
        </w:rPr>
        <w:t xml:space="preserve"> </w:t>
      </w:r>
      <w:r w:rsidRPr="00E41E88">
        <w:rPr>
          <w:rFonts w:cs="Times New Roman"/>
          <w:noProof/>
          <w:lang w:val="fr-CA"/>
        </w:rPr>
        <w:t>« [l]a réclamation ne porte pas sur les prestations de retraite elles</w:t>
      </w:r>
      <w:r w:rsidRPr="00E41E88">
        <w:rPr>
          <w:rFonts w:cs="Times New Roman"/>
          <w:noProof/>
          <w:lang w:val="fr-CA"/>
        </w:rPr>
        <w:noBreakHyphen/>
        <w:t>mêmes. Elle vise plutôt l</w:t>
      </w:r>
      <w:r>
        <w:rPr>
          <w:rFonts w:cs="Times New Roman"/>
          <w:noProof/>
          <w:lang w:val="fr-CA"/>
        </w:rPr>
        <w:t>’</w:t>
      </w:r>
      <w:r w:rsidRPr="00E41E88">
        <w:rPr>
          <w:rFonts w:cs="Times New Roman"/>
          <w:noProof/>
          <w:lang w:val="fr-CA"/>
        </w:rPr>
        <w:t>obtention de dommages</w:t>
      </w:r>
      <w:r w:rsidRPr="00E41E88">
        <w:rPr>
          <w:rFonts w:cs="Times New Roman"/>
          <w:noProof/>
          <w:lang w:val="fr-CA"/>
        </w:rPr>
        <w:noBreakHyphen/>
        <w:t>intérêts contractuels en common law</w:t>
      </w:r>
      <w:r w:rsidRPr="00E41E88">
        <w:rPr>
          <w:rFonts w:cs="Times New Roman"/>
          <w:i/>
          <w:noProof/>
          <w:lang w:val="fr-CA"/>
        </w:rPr>
        <w:t xml:space="preserve"> </w:t>
      </w:r>
      <w:r w:rsidRPr="00E41E88">
        <w:rPr>
          <w:rFonts w:cs="Times New Roman"/>
          <w:noProof/>
          <w:lang w:val="fr-CA"/>
        </w:rPr>
        <w:t>à titre de dédommagement pour les prestations de retraite auxquels [l</w:t>
      </w:r>
      <w:r>
        <w:rPr>
          <w:rFonts w:cs="Times New Roman"/>
          <w:noProof/>
          <w:lang w:val="fr-CA"/>
        </w:rPr>
        <w:t>’</w:t>
      </w:r>
      <w:r w:rsidRPr="00E41E88">
        <w:rPr>
          <w:rFonts w:cs="Times New Roman"/>
          <w:noProof/>
          <w:lang w:val="fr-CA"/>
        </w:rPr>
        <w:t>employé] aurait eu droit si [l</w:t>
      </w:r>
      <w:r>
        <w:rPr>
          <w:rFonts w:cs="Times New Roman"/>
          <w:noProof/>
          <w:lang w:val="fr-CA"/>
        </w:rPr>
        <w:t>’</w:t>
      </w:r>
      <w:r w:rsidRPr="00E41E88">
        <w:rPr>
          <w:rFonts w:cs="Times New Roman"/>
          <w:noProof/>
          <w:lang w:val="fr-CA"/>
        </w:rPr>
        <w:t>employeur] n</w:t>
      </w:r>
      <w:r>
        <w:rPr>
          <w:rFonts w:cs="Times New Roman"/>
          <w:noProof/>
          <w:lang w:val="fr-CA"/>
        </w:rPr>
        <w:t>’</w:t>
      </w:r>
      <w:r w:rsidRPr="00E41E88">
        <w:rPr>
          <w:rFonts w:cs="Times New Roman"/>
          <w:noProof/>
          <w:lang w:val="fr-CA"/>
        </w:rPr>
        <w:t>avait pas contrevenu au contrat de travail » (par. 16). Par conséquent, « un employé congédié a le droit de réclamer des dommages</w:t>
      </w:r>
      <w:r w:rsidRPr="00E41E88">
        <w:rPr>
          <w:rFonts w:cs="Times New Roman"/>
          <w:noProof/>
          <w:lang w:val="fr-CA"/>
        </w:rPr>
        <w:noBreakHyphen/>
        <w:t>intérêts pour la perte de prestations de retraite auxquelles il aurait eu droit s</w:t>
      </w:r>
      <w:r>
        <w:rPr>
          <w:rFonts w:cs="Times New Roman"/>
          <w:noProof/>
          <w:lang w:val="fr-CA"/>
        </w:rPr>
        <w:t>’</w:t>
      </w:r>
      <w:r w:rsidRPr="00E41E88">
        <w:rPr>
          <w:rFonts w:cs="Times New Roman"/>
          <w:noProof/>
          <w:lang w:val="fr-CA"/>
        </w:rPr>
        <w:t>il avait travaillé jusqu</w:t>
      </w:r>
      <w:r>
        <w:rPr>
          <w:rFonts w:cs="Times New Roman"/>
          <w:noProof/>
          <w:lang w:val="fr-CA"/>
        </w:rPr>
        <w:t>’</w:t>
      </w:r>
      <w:r w:rsidRPr="00E41E88">
        <w:rPr>
          <w:rFonts w:cs="Times New Roman"/>
          <w:noProof/>
          <w:lang w:val="fr-CA"/>
        </w:rPr>
        <w:t>à la fin de la période de préavis » (par. 13). En ce qui concerne le rôle des modalités contractuelles d</w:t>
      </w:r>
      <w:r>
        <w:rPr>
          <w:rFonts w:cs="Times New Roman"/>
          <w:noProof/>
          <w:lang w:val="fr-CA"/>
        </w:rPr>
        <w:t>’</w:t>
      </w:r>
      <w:r w:rsidRPr="00E41E88">
        <w:rPr>
          <w:rFonts w:cs="Times New Roman"/>
          <w:noProof/>
          <w:lang w:val="fr-CA"/>
        </w:rPr>
        <w:t>un régime de primes, le juge d</w:t>
      </w:r>
      <w:r>
        <w:rPr>
          <w:rFonts w:cs="Times New Roman"/>
          <w:noProof/>
          <w:lang w:val="fr-CA"/>
        </w:rPr>
        <w:t>’</w:t>
      </w:r>
      <w:r w:rsidRPr="00E41E88">
        <w:rPr>
          <w:rFonts w:cs="Times New Roman"/>
          <w:noProof/>
          <w:lang w:val="fr-CA"/>
        </w:rPr>
        <w:t>appel Sharpe a expliqué que « [l]a question à cette étape consiste à décider s</w:t>
      </w:r>
      <w:r>
        <w:rPr>
          <w:rFonts w:cs="Times New Roman"/>
          <w:noProof/>
          <w:lang w:val="fr-CA"/>
        </w:rPr>
        <w:t>’</w:t>
      </w:r>
      <w:r w:rsidRPr="00E41E88">
        <w:rPr>
          <w:rFonts w:cs="Times New Roman"/>
          <w:noProof/>
          <w:lang w:val="fr-CA"/>
        </w:rPr>
        <w:t>il y a quelque chose dans le texte des modalités du régime de retraite existant entre les parties qui a pour effet de supprimer ou de limiter ce droit que confère la common law</w:t>
      </w:r>
      <w:r w:rsidRPr="00E41E88">
        <w:rPr>
          <w:rFonts w:cs="Times New Roman"/>
          <w:i/>
          <w:noProof/>
          <w:lang w:val="fr-CA"/>
        </w:rPr>
        <w:t> </w:t>
      </w:r>
      <w:r w:rsidRPr="00E41E88">
        <w:rPr>
          <w:rFonts w:cs="Times New Roman"/>
          <w:noProof/>
          <w:lang w:val="fr-CA"/>
        </w:rPr>
        <w:t xml:space="preserve">» (par. 20). </w:t>
      </w:r>
    </w:p>
    <w:p w:rsidR="00DD44E8" w:rsidRPr="00E41E88" w:rsidRDefault="00DD44E8" w:rsidP="00DD44E8">
      <w:pPr>
        <w:pStyle w:val="ParaNoNdepar-AltN"/>
        <w:widowControl w:val="0"/>
        <w:rPr>
          <w:rFonts w:cs="Times New Roman"/>
          <w:noProof/>
          <w:lang w:val="fr-CA"/>
        </w:rPr>
      </w:pPr>
      <w:r w:rsidRPr="00E41E88">
        <w:rPr>
          <w:rFonts w:cs="Times New Roman"/>
          <w:noProof/>
          <w:lang w:val="fr-CA"/>
        </w:rPr>
        <w:t>Dans l</w:t>
      </w:r>
      <w:r>
        <w:rPr>
          <w:rFonts w:cs="Times New Roman"/>
          <w:noProof/>
          <w:lang w:val="fr-CA"/>
        </w:rPr>
        <w:t>’</w:t>
      </w:r>
      <w:r w:rsidRPr="00E41E88">
        <w:rPr>
          <w:rFonts w:cs="Times New Roman"/>
          <w:noProof/>
          <w:lang w:val="fr-CA"/>
        </w:rPr>
        <w:t>arrêt </w:t>
      </w:r>
      <w:r w:rsidRPr="00E41E88">
        <w:rPr>
          <w:rFonts w:cs="Times New Roman"/>
          <w:i/>
          <w:noProof/>
          <w:lang w:val="fr-CA"/>
        </w:rPr>
        <w:t>Paquette</w:t>
      </w:r>
      <w:r w:rsidRPr="00E41E88">
        <w:rPr>
          <w:rFonts w:cs="Times New Roman"/>
          <w:noProof/>
          <w:lang w:val="fr-CA"/>
        </w:rPr>
        <w:t>, la Cour d</w:t>
      </w:r>
      <w:r>
        <w:rPr>
          <w:rFonts w:cs="Times New Roman"/>
          <w:noProof/>
          <w:lang w:val="fr-CA"/>
        </w:rPr>
        <w:t>’</w:t>
      </w:r>
      <w:r w:rsidRPr="00E41E88">
        <w:rPr>
          <w:rFonts w:cs="Times New Roman"/>
          <w:noProof/>
          <w:lang w:val="fr-CA"/>
        </w:rPr>
        <w:t>appel s</w:t>
      </w:r>
      <w:r>
        <w:rPr>
          <w:rFonts w:cs="Times New Roman"/>
          <w:noProof/>
          <w:lang w:val="fr-CA"/>
        </w:rPr>
        <w:t>’</w:t>
      </w:r>
      <w:r w:rsidRPr="00E41E88">
        <w:rPr>
          <w:rFonts w:cs="Times New Roman"/>
          <w:noProof/>
          <w:lang w:val="fr-CA"/>
        </w:rPr>
        <w:t>est inspirée de l</w:t>
      </w:r>
      <w:r>
        <w:rPr>
          <w:rFonts w:cs="Times New Roman"/>
          <w:noProof/>
          <w:lang w:val="fr-CA"/>
        </w:rPr>
        <w:t>’</w:t>
      </w:r>
      <w:r w:rsidRPr="00E41E88">
        <w:rPr>
          <w:rFonts w:cs="Times New Roman"/>
          <w:noProof/>
          <w:lang w:val="fr-CA"/>
        </w:rPr>
        <w:t>approche adoptée dans l</w:t>
      </w:r>
      <w:r>
        <w:rPr>
          <w:rFonts w:cs="Times New Roman"/>
          <w:noProof/>
          <w:lang w:val="fr-CA"/>
        </w:rPr>
        <w:t>’</w:t>
      </w:r>
      <w:r w:rsidRPr="00E41E88">
        <w:rPr>
          <w:rFonts w:cs="Times New Roman"/>
          <w:noProof/>
          <w:lang w:val="fr-CA"/>
        </w:rPr>
        <w:t>arrêt </w:t>
      </w:r>
      <w:r w:rsidRPr="00E41E88">
        <w:rPr>
          <w:rFonts w:cs="Times New Roman"/>
          <w:i/>
          <w:noProof/>
          <w:lang w:val="fr-CA"/>
        </w:rPr>
        <w:t xml:space="preserve">Taggart </w:t>
      </w:r>
      <w:r w:rsidRPr="00E41E88">
        <w:rPr>
          <w:rFonts w:cs="Times New Roman"/>
          <w:noProof/>
          <w:lang w:val="fr-CA"/>
        </w:rPr>
        <w:t xml:space="preserve">et a proposé que les tribunaux appliquent une démarche en deux </w:t>
      </w:r>
      <w:r w:rsidRPr="00E41E88">
        <w:rPr>
          <w:rFonts w:cs="Times New Roman"/>
          <w:noProof/>
          <w:lang w:val="fr-CA"/>
        </w:rPr>
        <w:lastRenderedPageBreak/>
        <w:t>étapes à l</w:t>
      </w:r>
      <w:r>
        <w:rPr>
          <w:rFonts w:cs="Times New Roman"/>
          <w:noProof/>
          <w:lang w:val="fr-CA"/>
        </w:rPr>
        <w:t>’</w:t>
      </w:r>
      <w:r w:rsidRPr="00E41E88">
        <w:rPr>
          <w:rFonts w:cs="Times New Roman"/>
          <w:noProof/>
          <w:lang w:val="fr-CA"/>
        </w:rPr>
        <w:t xml:space="preserve">égard de ces questions. Premièrement, les tribunaux devraient </w:t>
      </w:r>
      <w:r w:rsidRPr="00E41E88">
        <w:rPr>
          <w:rFonts w:cs="Times New Roman"/>
          <w:smallCaps/>
          <w:noProof/>
          <w:lang w:val="fr-CA"/>
        </w:rPr>
        <w:t xml:space="preserve">[traduction] </w:t>
      </w:r>
      <w:r w:rsidRPr="00E41E88">
        <w:rPr>
          <w:rFonts w:cs="Times New Roman"/>
          <w:noProof/>
          <w:lang w:val="fr-CA"/>
        </w:rPr>
        <w:t>« considérer les droits dont dispose [l</w:t>
      </w:r>
      <w:r>
        <w:rPr>
          <w:rFonts w:cs="Times New Roman"/>
          <w:noProof/>
          <w:lang w:val="fr-CA"/>
        </w:rPr>
        <w:t>’</w:t>
      </w:r>
      <w:r w:rsidRPr="00E41E88">
        <w:rPr>
          <w:rFonts w:cs="Times New Roman"/>
          <w:noProof/>
          <w:lang w:val="fr-CA"/>
        </w:rPr>
        <w:t>employé] en vertu de la common law » (par. 30). En d</w:t>
      </w:r>
      <w:r>
        <w:rPr>
          <w:rFonts w:cs="Times New Roman"/>
          <w:noProof/>
          <w:lang w:val="fr-CA"/>
        </w:rPr>
        <w:t>’</w:t>
      </w:r>
      <w:r w:rsidRPr="00E41E88">
        <w:rPr>
          <w:rFonts w:cs="Times New Roman"/>
          <w:noProof/>
          <w:lang w:val="fr-CA"/>
        </w:rPr>
        <w:t>autres mots, les tribunaux devraient se demander si, n</w:t>
      </w:r>
      <w:r>
        <w:rPr>
          <w:rFonts w:cs="Times New Roman"/>
          <w:noProof/>
          <w:lang w:val="fr-CA"/>
        </w:rPr>
        <w:t>’</w:t>
      </w:r>
      <w:r w:rsidRPr="00E41E88">
        <w:rPr>
          <w:rFonts w:cs="Times New Roman"/>
          <w:noProof/>
          <w:lang w:val="fr-CA"/>
        </w:rPr>
        <w:t>eût été son congédiement, l</w:t>
      </w:r>
      <w:r>
        <w:rPr>
          <w:rFonts w:cs="Times New Roman"/>
          <w:noProof/>
          <w:lang w:val="fr-CA"/>
        </w:rPr>
        <w:t>’</w:t>
      </w:r>
      <w:r w:rsidRPr="00E41E88">
        <w:rPr>
          <w:rFonts w:cs="Times New Roman"/>
          <w:noProof/>
          <w:lang w:val="fr-CA"/>
        </w:rPr>
        <w:t>employé aurait eu le droit de toucher la prime en litige pendant la période de préavis raisonnable. Deuxièmement, les tribunaux devraient « déterminer s</w:t>
      </w:r>
      <w:r>
        <w:rPr>
          <w:rFonts w:cs="Times New Roman"/>
          <w:noProof/>
          <w:lang w:val="fr-CA"/>
        </w:rPr>
        <w:t>’</w:t>
      </w:r>
      <w:r w:rsidRPr="00E41E88">
        <w:rPr>
          <w:rFonts w:cs="Times New Roman"/>
          <w:noProof/>
          <w:lang w:val="fr-CA"/>
        </w:rPr>
        <w:t xml:space="preserve">il y a quelque chose dans les modalités du régime de primes qui prive expressément </w:t>
      </w:r>
      <w:r w:rsidRPr="00357CBE">
        <w:rPr>
          <w:rFonts w:cs="Times New Roman"/>
          <w:noProof/>
          <w:lang w:val="fr-CA"/>
        </w:rPr>
        <w:t>[</w:t>
      </w:r>
      <w:r w:rsidRPr="00E41E88">
        <w:rPr>
          <w:rFonts w:cs="Times New Roman"/>
          <w:noProof/>
          <w:lang w:val="fr-CA"/>
        </w:rPr>
        <w:t>l</w:t>
      </w:r>
      <w:r>
        <w:rPr>
          <w:rFonts w:cs="Times New Roman"/>
          <w:noProof/>
          <w:lang w:val="fr-CA"/>
        </w:rPr>
        <w:t>’employé]</w:t>
      </w:r>
      <w:r w:rsidRPr="00E41E88">
        <w:rPr>
          <w:rFonts w:cs="Times New Roman"/>
          <w:noProof/>
          <w:lang w:val="fr-CA"/>
        </w:rPr>
        <w:t xml:space="preserve"> des droits que lui confère la common law</w:t>
      </w:r>
      <w:r w:rsidRPr="00E41E88">
        <w:rPr>
          <w:rFonts w:cs="Times New Roman"/>
          <w:i/>
          <w:noProof/>
          <w:lang w:val="fr-CA"/>
        </w:rPr>
        <w:t> </w:t>
      </w:r>
      <w:r w:rsidRPr="00E41E88">
        <w:rPr>
          <w:rFonts w:cs="Times New Roman"/>
          <w:noProof/>
          <w:lang w:val="fr-CA"/>
        </w:rPr>
        <w:t>» (par. 31). Comme l</w:t>
      </w:r>
      <w:r>
        <w:rPr>
          <w:rFonts w:cs="Times New Roman"/>
          <w:noProof/>
          <w:lang w:val="fr-CA"/>
        </w:rPr>
        <w:t>’</w:t>
      </w:r>
      <w:r w:rsidRPr="00E41E88">
        <w:rPr>
          <w:rFonts w:cs="Times New Roman"/>
          <w:noProof/>
          <w:lang w:val="fr-CA"/>
        </w:rPr>
        <w:t>a expliqué la juge d</w:t>
      </w:r>
      <w:r>
        <w:rPr>
          <w:rFonts w:cs="Times New Roman"/>
          <w:noProof/>
          <w:lang w:val="fr-CA"/>
        </w:rPr>
        <w:t>’</w:t>
      </w:r>
      <w:r w:rsidRPr="00E41E88">
        <w:rPr>
          <w:rFonts w:cs="Times New Roman"/>
          <w:noProof/>
          <w:lang w:val="fr-CA"/>
        </w:rPr>
        <w:t>appel van Rensburg, « [l]a question n</w:t>
      </w:r>
      <w:r>
        <w:rPr>
          <w:rFonts w:cs="Times New Roman"/>
          <w:noProof/>
          <w:lang w:val="fr-CA"/>
        </w:rPr>
        <w:t>’</w:t>
      </w:r>
      <w:r w:rsidRPr="00E41E88">
        <w:rPr>
          <w:rFonts w:cs="Times New Roman"/>
          <w:noProof/>
          <w:lang w:val="fr-CA"/>
        </w:rPr>
        <w:t>est pas de savoir si le contrat ou le régime est ambigu, mais plutôt de savoir s</w:t>
      </w:r>
      <w:r>
        <w:rPr>
          <w:rFonts w:cs="Times New Roman"/>
          <w:noProof/>
          <w:lang w:val="fr-CA"/>
        </w:rPr>
        <w:t>’</w:t>
      </w:r>
      <w:r w:rsidRPr="00E41E88">
        <w:rPr>
          <w:rFonts w:cs="Times New Roman"/>
          <w:noProof/>
          <w:lang w:val="fr-CA"/>
        </w:rPr>
        <w:t>il y a quelque chose dans le texte des modalités du régime qui modifie ou supprime clairement les droits reconnus à [l</w:t>
      </w:r>
      <w:r>
        <w:rPr>
          <w:rFonts w:cs="Times New Roman"/>
          <w:noProof/>
          <w:lang w:val="fr-CA"/>
        </w:rPr>
        <w:t xml:space="preserve">’employé] </w:t>
      </w:r>
      <w:r w:rsidRPr="00E41E88">
        <w:rPr>
          <w:rFonts w:cs="Times New Roman"/>
          <w:noProof/>
          <w:lang w:val="fr-CA"/>
        </w:rPr>
        <w:t>par la common law</w:t>
      </w:r>
      <w:r>
        <w:rPr>
          <w:rFonts w:cs="Times New Roman"/>
          <w:noProof/>
          <w:lang w:val="fr-CA"/>
        </w:rPr>
        <w:t> </w:t>
      </w:r>
      <w:r w:rsidR="002C5C23">
        <w:rPr>
          <w:rFonts w:cs="Times New Roman"/>
          <w:noProof/>
          <w:lang w:val="fr-CA"/>
        </w:rPr>
        <w:t>» (</w:t>
      </w:r>
      <w:r w:rsidRPr="00E41E88">
        <w:rPr>
          <w:rFonts w:cs="Times New Roman"/>
          <w:noProof/>
          <w:lang w:val="fr-CA"/>
        </w:rPr>
        <w:t>par. 31).</w:t>
      </w:r>
    </w:p>
    <w:p w:rsidR="00DD44E8" w:rsidRPr="00E41E88" w:rsidRDefault="00DD44E8" w:rsidP="00DD44E8">
      <w:pPr>
        <w:pStyle w:val="ParaNoNdepar-AltN"/>
        <w:rPr>
          <w:rFonts w:cs="Times New Roman"/>
          <w:noProof/>
          <w:lang w:val="fr-CA"/>
        </w:rPr>
      </w:pPr>
      <w:r w:rsidRPr="00E41E88">
        <w:rPr>
          <w:rFonts w:cs="Times New Roman"/>
          <w:noProof/>
          <w:lang w:val="fr-CA"/>
        </w:rPr>
        <w:t xml:space="preserve">Tout comme la </w:t>
      </w:r>
      <w:r>
        <w:rPr>
          <w:rFonts w:cs="Times New Roman"/>
          <w:noProof/>
          <w:lang w:val="fr-CA"/>
        </w:rPr>
        <w:t xml:space="preserve">juge </w:t>
      </w:r>
      <w:r w:rsidRPr="00E41E88">
        <w:rPr>
          <w:rFonts w:cs="Times New Roman"/>
          <w:noProof/>
          <w:lang w:val="fr-CA"/>
        </w:rPr>
        <w:t>van Rensburg, je suis d</w:t>
      </w:r>
      <w:r>
        <w:rPr>
          <w:rFonts w:cs="Times New Roman"/>
          <w:noProof/>
          <w:lang w:val="fr-CA"/>
        </w:rPr>
        <w:t>’</w:t>
      </w:r>
      <w:r w:rsidRPr="00E41E88">
        <w:rPr>
          <w:rFonts w:cs="Times New Roman"/>
          <w:noProof/>
          <w:lang w:val="fr-CA"/>
        </w:rPr>
        <w:t>avis qu</w:t>
      </w:r>
      <w:r>
        <w:rPr>
          <w:rFonts w:cs="Times New Roman"/>
          <w:noProof/>
          <w:lang w:val="fr-CA"/>
        </w:rPr>
        <w:t>’</w:t>
      </w:r>
      <w:r w:rsidRPr="00E41E88">
        <w:rPr>
          <w:rFonts w:cs="Times New Roman"/>
          <w:noProof/>
          <w:lang w:val="fr-CA"/>
        </w:rPr>
        <w:t>il s</w:t>
      </w:r>
      <w:r>
        <w:rPr>
          <w:rFonts w:cs="Times New Roman"/>
          <w:noProof/>
          <w:lang w:val="fr-CA"/>
        </w:rPr>
        <w:t>’</w:t>
      </w:r>
      <w:r w:rsidRPr="00E41E88">
        <w:rPr>
          <w:rFonts w:cs="Times New Roman"/>
          <w:noProof/>
          <w:lang w:val="fr-CA"/>
        </w:rPr>
        <w:t>agit de la démarche appropriée. Elle est conforme aux principes fondamentaux applicables aux dommages</w:t>
      </w:r>
      <w:r w:rsidRPr="00E41E88">
        <w:rPr>
          <w:rFonts w:cs="Times New Roman"/>
          <w:noProof/>
          <w:lang w:val="fr-CA"/>
        </w:rPr>
        <w:noBreakHyphen/>
        <w:t>intérêts pour congédiement déguisé, l</w:t>
      </w:r>
      <w:r>
        <w:rPr>
          <w:rFonts w:cs="Times New Roman"/>
          <w:noProof/>
          <w:lang w:val="fr-CA"/>
        </w:rPr>
        <w:t>’</w:t>
      </w:r>
      <w:r w:rsidRPr="00E41E88">
        <w:rPr>
          <w:rFonts w:cs="Times New Roman"/>
          <w:noProof/>
          <w:lang w:val="fr-CA"/>
        </w:rPr>
        <w:t>analyse s</w:t>
      </w:r>
      <w:r>
        <w:rPr>
          <w:rFonts w:cs="Times New Roman"/>
          <w:noProof/>
          <w:lang w:val="fr-CA"/>
        </w:rPr>
        <w:t>’</w:t>
      </w:r>
      <w:r w:rsidRPr="00E41E88">
        <w:rPr>
          <w:rFonts w:cs="Times New Roman"/>
          <w:noProof/>
          <w:lang w:val="fr-CA"/>
        </w:rPr>
        <w:t>attachant à la question du préavis raisonnable. Comme la</w:t>
      </w:r>
      <w:r>
        <w:rPr>
          <w:rFonts w:cs="Times New Roman"/>
          <w:noProof/>
          <w:lang w:val="fr-CA"/>
        </w:rPr>
        <w:t xml:space="preserve"> c</w:t>
      </w:r>
      <w:r w:rsidRPr="00E41E88">
        <w:rPr>
          <w:rFonts w:cs="Times New Roman"/>
          <w:noProof/>
          <w:lang w:val="fr-CA"/>
        </w:rPr>
        <w:t>our l</w:t>
      </w:r>
      <w:r>
        <w:rPr>
          <w:rFonts w:cs="Times New Roman"/>
          <w:noProof/>
          <w:lang w:val="fr-CA"/>
        </w:rPr>
        <w:t>’</w:t>
      </w:r>
      <w:r w:rsidRPr="00E41E88">
        <w:rPr>
          <w:rFonts w:cs="Times New Roman"/>
          <w:noProof/>
          <w:lang w:val="fr-CA"/>
        </w:rPr>
        <w:t>a reconnu dans l</w:t>
      </w:r>
      <w:r>
        <w:rPr>
          <w:rFonts w:cs="Times New Roman"/>
          <w:noProof/>
          <w:lang w:val="fr-CA"/>
        </w:rPr>
        <w:t>’</w:t>
      </w:r>
      <w:r w:rsidRPr="00E41E88">
        <w:rPr>
          <w:rFonts w:cs="Times New Roman"/>
          <w:noProof/>
          <w:lang w:val="fr-CA"/>
        </w:rPr>
        <w:t>arrêt</w:t>
      </w:r>
      <w:r>
        <w:rPr>
          <w:rFonts w:cs="Times New Roman"/>
          <w:noProof/>
          <w:lang w:val="fr-CA"/>
        </w:rPr>
        <w:t xml:space="preserve"> </w:t>
      </w:r>
      <w:r w:rsidRPr="00E41E88">
        <w:rPr>
          <w:rFonts w:cs="Times New Roman"/>
          <w:i/>
          <w:noProof/>
          <w:lang w:val="fr-CA"/>
        </w:rPr>
        <w:t>Taggart</w:t>
      </w:r>
      <w:r w:rsidRPr="00E41E88">
        <w:rPr>
          <w:rFonts w:cs="Times New Roman"/>
          <w:noProof/>
          <w:lang w:val="fr-CA"/>
        </w:rPr>
        <w:t>,</w:t>
      </w:r>
      <w:r w:rsidRPr="00E41E88">
        <w:rPr>
          <w:rFonts w:cs="Times New Roman"/>
          <w:i/>
          <w:noProof/>
          <w:lang w:val="fr-CA"/>
        </w:rPr>
        <w:t xml:space="preserve"> </w:t>
      </w:r>
      <w:r w:rsidRPr="00E41E88">
        <w:rPr>
          <w:rFonts w:cs="Times New Roman"/>
          <w:noProof/>
          <w:lang w:val="fr-CA"/>
        </w:rPr>
        <w:t>et réitéré dans l</w:t>
      </w:r>
      <w:r>
        <w:rPr>
          <w:rFonts w:cs="Times New Roman"/>
          <w:noProof/>
          <w:lang w:val="fr-CA"/>
        </w:rPr>
        <w:t>’</w:t>
      </w:r>
      <w:r w:rsidRPr="00E41E88">
        <w:rPr>
          <w:rFonts w:cs="Times New Roman"/>
          <w:noProof/>
          <w:lang w:val="fr-CA"/>
        </w:rPr>
        <w:t xml:space="preserve">arrêt </w:t>
      </w:r>
      <w:r w:rsidRPr="00E41E88">
        <w:rPr>
          <w:rFonts w:cs="Times New Roman"/>
          <w:i/>
          <w:noProof/>
          <w:lang w:val="fr-CA"/>
        </w:rPr>
        <w:t>Paquette</w:t>
      </w:r>
      <w:r w:rsidRPr="00E41E88">
        <w:rPr>
          <w:rFonts w:cs="Times New Roman"/>
          <w:noProof/>
          <w:lang w:val="fr-CA"/>
        </w:rPr>
        <w:t>, lorsque des employés intentent une action en dommages</w:t>
      </w:r>
      <w:r w:rsidRPr="00E41E88">
        <w:rPr>
          <w:rFonts w:cs="Times New Roman"/>
          <w:noProof/>
          <w:lang w:val="fr-CA"/>
        </w:rPr>
        <w:noBreakHyphen/>
        <w:t>intérêts pour congédiement déguisé, ils sollicitent des dommages</w:t>
      </w:r>
      <w:r w:rsidRPr="00E41E88">
        <w:rPr>
          <w:rFonts w:cs="Times New Roman"/>
          <w:noProof/>
          <w:lang w:val="fr-CA"/>
        </w:rPr>
        <w:noBreakHyphen/>
        <w:t>intérêts à titre de dédommagement pour le revenu, les prestations et les primes qu</w:t>
      </w:r>
      <w:r>
        <w:rPr>
          <w:rFonts w:cs="Times New Roman"/>
          <w:noProof/>
          <w:lang w:val="fr-CA"/>
        </w:rPr>
        <w:t>’</w:t>
      </w:r>
      <w:r w:rsidRPr="00E41E88">
        <w:rPr>
          <w:rFonts w:cs="Times New Roman"/>
          <w:noProof/>
          <w:lang w:val="fr-CA"/>
        </w:rPr>
        <w:t>ils auraient touchés si l</w:t>
      </w:r>
      <w:r>
        <w:rPr>
          <w:rFonts w:cs="Times New Roman"/>
          <w:noProof/>
          <w:lang w:val="fr-CA"/>
        </w:rPr>
        <w:t>’</w:t>
      </w:r>
      <w:r w:rsidRPr="00E41E88">
        <w:rPr>
          <w:rFonts w:cs="Times New Roman"/>
          <w:noProof/>
          <w:lang w:val="fr-CA"/>
        </w:rPr>
        <w:t>employeur n</w:t>
      </w:r>
      <w:r>
        <w:rPr>
          <w:rFonts w:cs="Times New Roman"/>
          <w:noProof/>
          <w:lang w:val="fr-CA"/>
        </w:rPr>
        <w:t>’</w:t>
      </w:r>
      <w:r w:rsidRPr="00E41E88">
        <w:rPr>
          <w:rFonts w:cs="Times New Roman"/>
          <w:noProof/>
          <w:lang w:val="fr-CA"/>
        </w:rPr>
        <w:t>avait pas manqué à son obligation tacite de donner un préavis raisonnable (</w:t>
      </w:r>
      <w:r>
        <w:rPr>
          <w:rFonts w:cs="Times New Roman"/>
          <w:noProof/>
          <w:lang w:val="fr-CA"/>
        </w:rPr>
        <w:t xml:space="preserve">voir aussi </w:t>
      </w:r>
      <w:r w:rsidRPr="00E41E88">
        <w:rPr>
          <w:rFonts w:cs="Times New Roman"/>
          <w:i/>
          <w:noProof/>
          <w:lang w:val="fr-CA"/>
        </w:rPr>
        <w:t>Iacobucci c. WIC Radio Ltd.</w:t>
      </w:r>
      <w:r w:rsidRPr="00E41E88">
        <w:rPr>
          <w:rFonts w:cs="Times New Roman"/>
          <w:noProof/>
          <w:lang w:val="fr-CA"/>
        </w:rPr>
        <w:t>, 1999 BCCA 753,</w:t>
      </w:r>
      <w:r w:rsidRPr="00E41E88">
        <w:rPr>
          <w:rFonts w:cs="Times New Roman"/>
          <w:lang w:val="fr-CA"/>
        </w:rPr>
        <w:t xml:space="preserve"> </w:t>
      </w:r>
      <w:r w:rsidRPr="00E41E88">
        <w:rPr>
          <w:rFonts w:cs="Times New Roman"/>
          <w:noProof/>
          <w:lang w:val="fr-CA"/>
        </w:rPr>
        <w:t xml:space="preserve">72 B.C.L.R. (3d) 234, par. 19 et 24; </w:t>
      </w:r>
      <w:r w:rsidRPr="00E41E88">
        <w:rPr>
          <w:rFonts w:cs="Times New Roman"/>
          <w:i/>
          <w:noProof/>
          <w:lang w:val="fr-CA"/>
        </w:rPr>
        <w:t>Gillies c. Goldman Sachs Canada Inc.</w:t>
      </w:r>
      <w:r w:rsidRPr="00E41E88">
        <w:rPr>
          <w:rFonts w:cs="Times New Roman"/>
          <w:noProof/>
          <w:lang w:val="fr-CA"/>
        </w:rPr>
        <w:t>, 2001 BCCA 683,</w:t>
      </w:r>
      <w:r w:rsidRPr="00E41E88">
        <w:rPr>
          <w:rFonts w:cs="Times New Roman"/>
          <w:lang w:val="fr-CA"/>
        </w:rPr>
        <w:t xml:space="preserve"> </w:t>
      </w:r>
      <w:r w:rsidRPr="00E41E88">
        <w:rPr>
          <w:rFonts w:cs="Times New Roman"/>
          <w:noProof/>
          <w:lang w:val="fr-CA"/>
        </w:rPr>
        <w:t>95 B.C.L.R. (3d) 260, par. 10</w:t>
      </w:r>
      <w:r w:rsidRPr="00E41E88">
        <w:rPr>
          <w:rFonts w:cs="Times New Roman"/>
          <w:noProof/>
          <w:lang w:val="fr-CA"/>
        </w:rPr>
        <w:noBreakHyphen/>
        <w:t xml:space="preserve">12 et 25; </w:t>
      </w:r>
      <w:r w:rsidRPr="00E41E88">
        <w:rPr>
          <w:rFonts w:cs="Times New Roman"/>
          <w:i/>
          <w:noProof/>
          <w:lang w:val="fr-CA"/>
        </w:rPr>
        <w:t>Keays</w:t>
      </w:r>
      <w:r w:rsidRPr="00E41E88">
        <w:rPr>
          <w:rFonts w:cs="Times New Roman"/>
          <w:noProof/>
          <w:lang w:val="fr-CA"/>
        </w:rPr>
        <w:t>, par. 54</w:t>
      </w:r>
      <w:r w:rsidRPr="00E41E88">
        <w:rPr>
          <w:rFonts w:cs="Times New Roman"/>
          <w:noProof/>
          <w:lang w:val="fr-CA"/>
        </w:rPr>
        <w:noBreakHyphen/>
        <w:t>55). Procéder directement à l</w:t>
      </w:r>
      <w:r>
        <w:rPr>
          <w:rFonts w:cs="Times New Roman"/>
          <w:noProof/>
          <w:lang w:val="fr-CA"/>
        </w:rPr>
        <w:t>’</w:t>
      </w:r>
      <w:r w:rsidRPr="00E41E88">
        <w:rPr>
          <w:rFonts w:cs="Times New Roman"/>
          <w:noProof/>
          <w:lang w:val="fr-CA"/>
        </w:rPr>
        <w:t xml:space="preserve">examen des modalités </w:t>
      </w:r>
      <w:r w:rsidRPr="00E41E88">
        <w:rPr>
          <w:rFonts w:cs="Times New Roman"/>
          <w:noProof/>
          <w:lang w:val="fr-CA"/>
        </w:rPr>
        <w:lastRenderedPageBreak/>
        <w:t>contractuelles a pour effet de dissocier la question des dommages</w:t>
      </w:r>
      <w:r w:rsidRPr="00E41E88">
        <w:rPr>
          <w:rFonts w:cs="Times New Roman"/>
          <w:noProof/>
          <w:lang w:val="fr-CA"/>
        </w:rPr>
        <w:noBreakHyphen/>
        <w:t>intérêts du manquement sous</w:t>
      </w:r>
      <w:r w:rsidRPr="00E41E88">
        <w:rPr>
          <w:rFonts w:cs="Times New Roman"/>
          <w:noProof/>
          <w:lang w:val="fr-CA"/>
        </w:rPr>
        <w:noBreakHyphen/>
        <w:t xml:space="preserve">jacent, ce qui constitue une erreur de principe. </w:t>
      </w:r>
    </w:p>
    <w:p w:rsidR="00DD44E8" w:rsidRPr="00E41E88" w:rsidRDefault="00DD44E8" w:rsidP="00DD44E8">
      <w:pPr>
        <w:pStyle w:val="ParaNoNdepar-AltN"/>
        <w:widowControl w:val="0"/>
        <w:rPr>
          <w:rFonts w:cs="Times New Roman"/>
          <w:noProof/>
          <w:lang w:val="fr-CA"/>
        </w:rPr>
      </w:pPr>
      <w:r w:rsidRPr="00E41E88">
        <w:rPr>
          <w:rFonts w:cs="Times New Roman"/>
          <w:noProof/>
          <w:lang w:val="fr-CA"/>
        </w:rPr>
        <w:t>En outre, la démarche suivie dans l</w:t>
      </w:r>
      <w:r>
        <w:rPr>
          <w:rFonts w:cs="Times New Roman"/>
          <w:noProof/>
          <w:lang w:val="fr-CA"/>
        </w:rPr>
        <w:t xml:space="preserve">’arrêt </w:t>
      </w:r>
      <w:r w:rsidRPr="00E41E88">
        <w:rPr>
          <w:rFonts w:cs="Times New Roman"/>
          <w:i/>
          <w:noProof/>
          <w:lang w:val="fr-CA"/>
        </w:rPr>
        <w:t xml:space="preserve">Paquette </w:t>
      </w:r>
      <w:r w:rsidRPr="00E41E88">
        <w:rPr>
          <w:rFonts w:cs="Times New Roman"/>
          <w:noProof/>
          <w:lang w:val="fr-CA"/>
        </w:rPr>
        <w:t>est compatible avec l</w:t>
      </w:r>
      <w:r>
        <w:rPr>
          <w:rFonts w:cs="Times New Roman"/>
          <w:noProof/>
          <w:lang w:val="fr-CA"/>
        </w:rPr>
        <w:t>’</w:t>
      </w:r>
      <w:r w:rsidRPr="00E41E88">
        <w:rPr>
          <w:rFonts w:cs="Times New Roman"/>
          <w:noProof/>
          <w:lang w:val="fr-CA"/>
        </w:rPr>
        <w:t xml:space="preserve">interprétation bien établie selon laquelle le contrat </w:t>
      </w:r>
      <w:r w:rsidRPr="00E41E88">
        <w:rPr>
          <w:rFonts w:cs="Times New Roman"/>
          <w:smallCaps/>
          <w:noProof/>
          <w:lang w:val="fr-CA"/>
        </w:rPr>
        <w:t xml:space="preserve">[traduction] </w:t>
      </w:r>
      <w:r w:rsidRPr="00E41E88">
        <w:rPr>
          <w:rFonts w:cs="Times New Roman"/>
          <w:noProof/>
          <w:lang w:val="fr-CA"/>
        </w:rPr>
        <w:t>« demeure [effectivement] en vigueur » pour les besoins de l</w:t>
      </w:r>
      <w:r>
        <w:rPr>
          <w:rFonts w:cs="Times New Roman"/>
          <w:noProof/>
          <w:lang w:val="fr-CA"/>
        </w:rPr>
        <w:t>’</w:t>
      </w:r>
      <w:r w:rsidRPr="00E41E88">
        <w:rPr>
          <w:rFonts w:cs="Times New Roman"/>
          <w:noProof/>
          <w:lang w:val="fr-CA"/>
        </w:rPr>
        <w:t>évaluation du préjudice de l</w:t>
      </w:r>
      <w:r>
        <w:rPr>
          <w:rFonts w:cs="Times New Roman"/>
          <w:noProof/>
          <w:lang w:val="fr-CA"/>
        </w:rPr>
        <w:t>’</w:t>
      </w:r>
      <w:r w:rsidRPr="00E41E88">
        <w:rPr>
          <w:rFonts w:cs="Times New Roman"/>
          <w:noProof/>
          <w:lang w:val="fr-CA"/>
        </w:rPr>
        <w:t>employé en vue de calculer le montant de l</w:t>
      </w:r>
      <w:r>
        <w:rPr>
          <w:rFonts w:cs="Times New Roman"/>
          <w:noProof/>
          <w:lang w:val="fr-CA"/>
        </w:rPr>
        <w:t>’</w:t>
      </w:r>
      <w:r w:rsidRPr="00E41E88">
        <w:rPr>
          <w:rFonts w:cs="Times New Roman"/>
          <w:noProof/>
          <w:lang w:val="fr-CA"/>
        </w:rPr>
        <w:t>indemnité à laquelle ce dernier aurait eu droit n</w:t>
      </w:r>
      <w:r>
        <w:rPr>
          <w:rFonts w:cs="Times New Roman"/>
          <w:noProof/>
          <w:lang w:val="fr-CA"/>
        </w:rPr>
        <w:t>’</w:t>
      </w:r>
      <w:r w:rsidRPr="00E41E88">
        <w:rPr>
          <w:rFonts w:cs="Times New Roman"/>
          <w:noProof/>
          <w:lang w:val="fr-CA"/>
        </w:rPr>
        <w:t xml:space="preserve">eût été son congédiement (voir, p. ex., </w:t>
      </w:r>
      <w:r w:rsidRPr="00E41E88">
        <w:rPr>
          <w:rFonts w:cs="Times New Roman"/>
          <w:i/>
          <w:noProof/>
          <w:lang w:val="fr-CA"/>
        </w:rPr>
        <w:t>Nygard Int</w:t>
      </w:r>
      <w:r>
        <w:rPr>
          <w:rFonts w:cs="Times New Roman"/>
          <w:i/>
          <w:noProof/>
          <w:lang w:val="fr-CA"/>
        </w:rPr>
        <w:t xml:space="preserve">. </w:t>
      </w:r>
      <w:r w:rsidRPr="00E41E88">
        <w:rPr>
          <w:rFonts w:cs="Times New Roman"/>
          <w:i/>
          <w:noProof/>
          <w:lang w:val="fr-CA"/>
        </w:rPr>
        <w:t>Ltd. c. Robinson</w:t>
      </w:r>
      <w:r w:rsidRPr="00E41E88">
        <w:rPr>
          <w:rFonts w:cs="Times New Roman"/>
          <w:noProof/>
          <w:lang w:val="fr-CA"/>
        </w:rPr>
        <w:t xml:space="preserve"> (1990), 46 B.C.L.R. (2d) 103 (C.A.), </w:t>
      </w:r>
      <w:r>
        <w:rPr>
          <w:rFonts w:cs="Times New Roman"/>
          <w:noProof/>
          <w:lang w:val="fr-CA"/>
        </w:rPr>
        <w:t>p. 106-107</w:t>
      </w:r>
      <w:r w:rsidRPr="00E41E88">
        <w:rPr>
          <w:rFonts w:cs="Times New Roman"/>
          <w:noProof/>
          <w:lang w:val="fr-CA"/>
        </w:rPr>
        <w:t>, motifs concordants de la juge d</w:t>
      </w:r>
      <w:r>
        <w:rPr>
          <w:rFonts w:cs="Times New Roman"/>
          <w:noProof/>
          <w:lang w:val="fr-CA"/>
        </w:rPr>
        <w:t>’</w:t>
      </w:r>
      <w:r w:rsidRPr="00E41E88">
        <w:rPr>
          <w:rFonts w:cs="Times New Roman"/>
          <w:noProof/>
          <w:lang w:val="fr-CA"/>
        </w:rPr>
        <w:t xml:space="preserve">appel Southin; </w:t>
      </w:r>
      <w:r w:rsidRPr="00E41E88">
        <w:rPr>
          <w:rFonts w:cs="Times New Roman"/>
          <w:i/>
          <w:noProof/>
          <w:lang w:val="fr-CA"/>
        </w:rPr>
        <w:t>Gillies</w:t>
      </w:r>
      <w:r w:rsidRPr="00E41E88">
        <w:rPr>
          <w:rFonts w:cs="Times New Roman"/>
          <w:noProof/>
          <w:lang w:val="fr-CA"/>
        </w:rPr>
        <w:t>, par. 17).</w:t>
      </w:r>
    </w:p>
    <w:p w:rsidR="00DD44E8" w:rsidRPr="00E41E88" w:rsidRDefault="00DD44E8" w:rsidP="00DD44E8">
      <w:pPr>
        <w:pStyle w:val="ParaNoNdepar-AltN"/>
        <w:rPr>
          <w:rFonts w:cs="Times New Roman"/>
          <w:noProof/>
          <w:lang w:val="fr-CA"/>
        </w:rPr>
      </w:pPr>
      <w:r w:rsidRPr="00E41E88">
        <w:rPr>
          <w:rFonts w:cs="Times New Roman"/>
          <w:noProof/>
          <w:lang w:val="fr-CA"/>
        </w:rPr>
        <w:t>Les tribunaux devraient en conséquence se poser deux questions lorsqu</w:t>
      </w:r>
      <w:r>
        <w:rPr>
          <w:rFonts w:cs="Times New Roman"/>
          <w:noProof/>
          <w:lang w:val="fr-CA"/>
        </w:rPr>
        <w:t>’</w:t>
      </w:r>
      <w:r w:rsidRPr="00E41E88">
        <w:rPr>
          <w:rFonts w:cs="Times New Roman"/>
          <w:noProof/>
          <w:lang w:val="fr-CA"/>
        </w:rPr>
        <w:t>ils sont appelés à décider si le montant des dommages</w:t>
      </w:r>
      <w:r w:rsidRPr="00E41E88">
        <w:rPr>
          <w:rFonts w:cs="Times New Roman"/>
          <w:noProof/>
          <w:lang w:val="fr-CA"/>
        </w:rPr>
        <w:noBreakHyphen/>
        <w:t>intérêts qu</w:t>
      </w:r>
      <w:r>
        <w:rPr>
          <w:rFonts w:cs="Times New Roman"/>
          <w:noProof/>
          <w:lang w:val="fr-CA"/>
        </w:rPr>
        <w:t>’</w:t>
      </w:r>
      <w:r w:rsidRPr="00E41E88">
        <w:rPr>
          <w:rFonts w:cs="Times New Roman"/>
          <w:noProof/>
          <w:lang w:val="fr-CA"/>
        </w:rPr>
        <w:t>il convient d</w:t>
      </w:r>
      <w:r>
        <w:rPr>
          <w:rFonts w:cs="Times New Roman"/>
          <w:noProof/>
          <w:lang w:val="fr-CA"/>
        </w:rPr>
        <w:t>’</w:t>
      </w:r>
      <w:r w:rsidRPr="00E41E88">
        <w:rPr>
          <w:rFonts w:cs="Times New Roman"/>
          <w:noProof/>
          <w:lang w:val="fr-CA"/>
        </w:rPr>
        <w:t>accorder pour manquement à l</w:t>
      </w:r>
      <w:r>
        <w:rPr>
          <w:rFonts w:cs="Times New Roman"/>
          <w:noProof/>
          <w:lang w:val="fr-CA"/>
        </w:rPr>
        <w:t>’</w:t>
      </w:r>
      <w:r w:rsidRPr="00E41E88">
        <w:rPr>
          <w:rFonts w:cs="Times New Roman"/>
          <w:noProof/>
          <w:lang w:val="fr-CA"/>
        </w:rPr>
        <w:t>obligation tacite de donner un préavis raisonnable doit inclure les primes et certains autres avantages. L</w:t>
      </w:r>
      <w:r>
        <w:rPr>
          <w:rFonts w:cs="Times New Roman"/>
          <w:noProof/>
          <w:lang w:val="fr-CA"/>
        </w:rPr>
        <w:t>’</w:t>
      </w:r>
      <w:r w:rsidRPr="00E41E88">
        <w:rPr>
          <w:rFonts w:cs="Times New Roman"/>
          <w:noProof/>
          <w:lang w:val="fr-CA"/>
        </w:rPr>
        <w:t>employé aurait</w:t>
      </w:r>
      <w:r w:rsidRPr="00E41E88">
        <w:rPr>
          <w:rFonts w:cs="Times New Roman"/>
          <w:noProof/>
          <w:lang w:val="fr-CA"/>
        </w:rPr>
        <w:noBreakHyphen/>
        <w:t xml:space="preserve">il eu droit à la prime ou </w:t>
      </w:r>
      <w:r>
        <w:rPr>
          <w:rFonts w:cs="Times New Roman"/>
          <w:noProof/>
          <w:lang w:val="fr-CA"/>
        </w:rPr>
        <w:t xml:space="preserve">à </w:t>
      </w:r>
      <w:r w:rsidRPr="00E41E88">
        <w:rPr>
          <w:rFonts w:cs="Times New Roman"/>
          <w:noProof/>
          <w:lang w:val="fr-CA"/>
        </w:rPr>
        <w:t>l</w:t>
      </w:r>
      <w:r>
        <w:rPr>
          <w:rFonts w:cs="Times New Roman"/>
          <w:noProof/>
          <w:lang w:val="fr-CA"/>
        </w:rPr>
        <w:t>’</w:t>
      </w:r>
      <w:r w:rsidRPr="00E41E88">
        <w:rPr>
          <w:rFonts w:cs="Times New Roman"/>
          <w:noProof/>
          <w:lang w:val="fr-CA"/>
        </w:rPr>
        <w:t>avantage dans le cadre de ses conditions de rémunération pendant la période de préavis raisonnable? Dans l</w:t>
      </w:r>
      <w:r>
        <w:rPr>
          <w:rFonts w:cs="Times New Roman"/>
          <w:noProof/>
          <w:lang w:val="fr-CA"/>
        </w:rPr>
        <w:t>’</w:t>
      </w:r>
      <w:r w:rsidRPr="00E41E88">
        <w:rPr>
          <w:rFonts w:cs="Times New Roman"/>
          <w:noProof/>
          <w:lang w:val="fr-CA"/>
        </w:rPr>
        <w:t>affirmative, les modalités du contrat de travail ou du régime de primes ont</w:t>
      </w:r>
      <w:r w:rsidRPr="00E41E88">
        <w:rPr>
          <w:rFonts w:cs="Times New Roman"/>
          <w:noProof/>
          <w:lang w:val="fr-CA"/>
        </w:rPr>
        <w:noBreakHyphen/>
        <w:t xml:space="preserve">elles pour effet de supprimer ou de limiter clairement ce droit que confère la common law? </w:t>
      </w:r>
    </w:p>
    <w:p w:rsidR="00DD44E8" w:rsidRPr="00E41E88" w:rsidRDefault="00DD44E8" w:rsidP="00DD44E8">
      <w:pPr>
        <w:pStyle w:val="Title4LevelTitre4Niveau"/>
        <w:keepNext w:val="0"/>
        <w:rPr>
          <w:rFonts w:cs="Times New Roman"/>
          <w:noProof/>
          <w:lang w:val="fr-CA"/>
        </w:rPr>
      </w:pPr>
      <w:r w:rsidRPr="00E41E88">
        <w:rPr>
          <w:rFonts w:cs="Times New Roman"/>
          <w:noProof/>
          <w:lang w:val="fr-CA"/>
        </w:rPr>
        <w:t>Application au cas de M. Matthews</w:t>
      </w:r>
    </w:p>
    <w:p w:rsidR="00DD44E8" w:rsidRPr="00E41E88" w:rsidRDefault="00DD44E8" w:rsidP="00DD44E8">
      <w:pPr>
        <w:pStyle w:val="ParaNoNdepar-AltN"/>
        <w:widowControl w:val="0"/>
        <w:rPr>
          <w:rFonts w:cs="Times New Roman"/>
          <w:noProof/>
          <w:lang w:val="fr-CA"/>
        </w:rPr>
      </w:pPr>
      <w:r w:rsidRPr="00E41E88">
        <w:rPr>
          <w:rFonts w:cs="Times New Roman"/>
          <w:noProof/>
          <w:lang w:val="fr-CA"/>
        </w:rPr>
        <w:t xml:space="preserve">La première question consiste à se demander si M. Matthews aurait eu droit au paiement prévu par le RILT dans le cadre de ses conditions de rémunération pendant </w:t>
      </w:r>
      <w:r w:rsidRPr="00E41E88">
        <w:rPr>
          <w:rFonts w:cs="Times New Roman"/>
          <w:noProof/>
          <w:lang w:val="fr-CA"/>
        </w:rPr>
        <w:lastRenderedPageBreak/>
        <w:t>la période de préavis raisonnable. Comme l</w:t>
      </w:r>
      <w:r>
        <w:rPr>
          <w:rFonts w:cs="Times New Roman"/>
          <w:noProof/>
          <w:lang w:val="fr-CA"/>
        </w:rPr>
        <w:t>’</w:t>
      </w:r>
      <w:r w:rsidRPr="00E41E88">
        <w:rPr>
          <w:rFonts w:cs="Times New Roman"/>
          <w:noProof/>
          <w:lang w:val="fr-CA"/>
        </w:rPr>
        <w:t>événement déclencheur s</w:t>
      </w:r>
      <w:r>
        <w:rPr>
          <w:rFonts w:cs="Times New Roman"/>
          <w:noProof/>
          <w:lang w:val="fr-CA"/>
        </w:rPr>
        <w:t>’</w:t>
      </w:r>
      <w:r w:rsidRPr="00E41E88">
        <w:rPr>
          <w:rFonts w:cs="Times New Roman"/>
          <w:noProof/>
          <w:lang w:val="fr-CA"/>
        </w:rPr>
        <w:t>est produit pendant la période de préavis raisonnable de 15 mois, M. Matthews soutient qu</w:t>
      </w:r>
      <w:r>
        <w:rPr>
          <w:rFonts w:cs="Times New Roman"/>
          <w:noProof/>
          <w:lang w:val="fr-CA"/>
        </w:rPr>
        <w:t>’</w:t>
      </w:r>
      <w:r w:rsidRPr="00E41E88">
        <w:rPr>
          <w:rFonts w:cs="Times New Roman"/>
          <w:noProof/>
          <w:lang w:val="fr-CA"/>
        </w:rPr>
        <w:t>il a droit, à première vue, au titre des dommages</w:t>
      </w:r>
      <w:r w:rsidRPr="00E41E88">
        <w:rPr>
          <w:rFonts w:cs="Times New Roman"/>
          <w:noProof/>
          <w:lang w:val="fr-CA"/>
        </w:rPr>
        <w:noBreakHyphen/>
        <w:t>intérêts fondés sur la common law, à des dommages</w:t>
      </w:r>
      <w:r w:rsidRPr="00E41E88">
        <w:rPr>
          <w:rFonts w:cs="Times New Roman"/>
          <w:noProof/>
          <w:lang w:val="fr-CA"/>
        </w:rPr>
        <w:noBreakHyphen/>
        <w:t xml:space="preserve">intérêts pour la perte du paiement prévu par le RILT. </w:t>
      </w:r>
    </w:p>
    <w:p w:rsidR="00DD44E8" w:rsidRPr="00E41E88" w:rsidRDefault="00DD44E8" w:rsidP="00DD44E8">
      <w:pPr>
        <w:pStyle w:val="ParaNoNdepar-AltN"/>
        <w:rPr>
          <w:rFonts w:cs="Times New Roman"/>
          <w:noProof/>
          <w:lang w:val="fr-CA"/>
        </w:rPr>
      </w:pPr>
      <w:r w:rsidRPr="00E41E88">
        <w:rPr>
          <w:rFonts w:cs="Times New Roman"/>
          <w:noProof/>
          <w:lang w:val="fr-CA"/>
        </w:rPr>
        <w:t>Ocean affirme que M. Matthews n</w:t>
      </w:r>
      <w:r>
        <w:rPr>
          <w:rFonts w:cs="Times New Roman"/>
          <w:noProof/>
          <w:lang w:val="fr-CA"/>
        </w:rPr>
        <w:t>’</w:t>
      </w:r>
      <w:r w:rsidRPr="00E41E88">
        <w:rPr>
          <w:rFonts w:cs="Times New Roman"/>
          <w:noProof/>
          <w:lang w:val="fr-CA"/>
        </w:rPr>
        <w:t>est pas en mesure de satisfaire à la première étape de l</w:t>
      </w:r>
      <w:r>
        <w:rPr>
          <w:rFonts w:cs="Times New Roman"/>
          <w:noProof/>
          <w:lang w:val="fr-CA"/>
        </w:rPr>
        <w:t>’</w:t>
      </w:r>
      <w:r w:rsidRPr="00E41E88">
        <w:rPr>
          <w:rFonts w:cs="Times New Roman"/>
          <w:noProof/>
          <w:lang w:val="fr-CA"/>
        </w:rPr>
        <w:t>analyse. Elle invoque l</w:t>
      </w:r>
      <w:r>
        <w:rPr>
          <w:rFonts w:cs="Times New Roman"/>
          <w:noProof/>
          <w:lang w:val="fr-CA"/>
        </w:rPr>
        <w:t>’</w:t>
      </w:r>
      <w:r w:rsidRPr="00E41E88">
        <w:rPr>
          <w:rFonts w:cs="Times New Roman"/>
          <w:noProof/>
          <w:lang w:val="fr-CA"/>
        </w:rPr>
        <w:t xml:space="preserve">arrêt </w:t>
      </w:r>
      <w:r w:rsidRPr="00E41E88">
        <w:rPr>
          <w:rFonts w:cs="Times New Roman"/>
          <w:i/>
          <w:noProof/>
          <w:lang w:val="fr-CA"/>
        </w:rPr>
        <w:t>Singer c. Nordstrong Equipment Limited</w:t>
      </w:r>
      <w:r w:rsidRPr="00E41E88">
        <w:rPr>
          <w:rFonts w:cs="Times New Roman"/>
          <w:noProof/>
          <w:lang w:val="fr-CA"/>
        </w:rPr>
        <w:t>, 2018 ONCA 364,</w:t>
      </w:r>
      <w:r w:rsidRPr="00E41E88">
        <w:rPr>
          <w:rFonts w:cs="Times New Roman"/>
          <w:lang w:val="fr-CA"/>
        </w:rPr>
        <w:t xml:space="preserve"> </w:t>
      </w:r>
      <w:r w:rsidRPr="00E41E88">
        <w:rPr>
          <w:rFonts w:cs="Times New Roman"/>
          <w:noProof/>
          <w:lang w:val="fr-CA"/>
        </w:rPr>
        <w:t>47 C.C.E.L. (4th) 218, dans lequel la Cour d</w:t>
      </w:r>
      <w:r>
        <w:rPr>
          <w:rFonts w:cs="Times New Roman"/>
          <w:noProof/>
          <w:lang w:val="fr-CA"/>
        </w:rPr>
        <w:t>’</w:t>
      </w:r>
      <w:r w:rsidRPr="00E41E88">
        <w:rPr>
          <w:rFonts w:cs="Times New Roman"/>
          <w:noProof/>
          <w:lang w:val="fr-CA"/>
        </w:rPr>
        <w:t>appel de l</w:t>
      </w:r>
      <w:r>
        <w:rPr>
          <w:rFonts w:cs="Times New Roman"/>
          <w:noProof/>
          <w:lang w:val="fr-CA"/>
        </w:rPr>
        <w:t>’</w:t>
      </w:r>
      <w:r w:rsidRPr="00E41E88">
        <w:rPr>
          <w:rFonts w:cs="Times New Roman"/>
          <w:noProof/>
          <w:lang w:val="fr-CA"/>
        </w:rPr>
        <w:t>Ontario, à l</w:t>
      </w:r>
      <w:r>
        <w:rPr>
          <w:rFonts w:cs="Times New Roman"/>
          <w:noProof/>
          <w:lang w:val="fr-CA"/>
        </w:rPr>
        <w:t>’</w:t>
      </w:r>
      <w:r w:rsidRPr="00E41E88">
        <w:rPr>
          <w:rFonts w:cs="Times New Roman"/>
          <w:noProof/>
          <w:lang w:val="fr-CA"/>
        </w:rPr>
        <w:t>étape de la première question, s</w:t>
      </w:r>
      <w:r>
        <w:rPr>
          <w:rFonts w:cs="Times New Roman"/>
          <w:noProof/>
          <w:lang w:val="fr-CA"/>
        </w:rPr>
        <w:t>’</w:t>
      </w:r>
      <w:r w:rsidRPr="00E41E88">
        <w:rPr>
          <w:rFonts w:cs="Times New Roman"/>
          <w:noProof/>
          <w:lang w:val="fr-CA"/>
        </w:rPr>
        <w:t xml:space="preserve">est demandée si la prime </w:t>
      </w:r>
      <w:r w:rsidRPr="00E41E88">
        <w:rPr>
          <w:rFonts w:cs="Times New Roman"/>
          <w:smallCaps/>
          <w:noProof/>
          <w:lang w:val="fr-CA"/>
        </w:rPr>
        <w:t>[traduction] </w:t>
      </w:r>
      <w:r w:rsidRPr="00E41E88">
        <w:rPr>
          <w:rFonts w:cs="Times New Roman"/>
          <w:noProof/>
          <w:lang w:val="fr-CA"/>
        </w:rPr>
        <w:t>« faisait partie intégrante des conditions de rémunération [de l</w:t>
      </w:r>
      <w:r>
        <w:rPr>
          <w:rFonts w:cs="Times New Roman"/>
          <w:noProof/>
          <w:lang w:val="fr-CA"/>
        </w:rPr>
        <w:t>’</w:t>
      </w:r>
      <w:r w:rsidRPr="00E41E88">
        <w:rPr>
          <w:rFonts w:cs="Times New Roman"/>
          <w:noProof/>
          <w:lang w:val="fr-CA"/>
        </w:rPr>
        <w:t>intéressé] » (par. 21). S</w:t>
      </w:r>
      <w:r>
        <w:rPr>
          <w:rFonts w:cs="Times New Roman"/>
          <w:noProof/>
          <w:lang w:val="fr-CA"/>
        </w:rPr>
        <w:t>’</w:t>
      </w:r>
      <w:r w:rsidRPr="00E41E88">
        <w:rPr>
          <w:rFonts w:cs="Times New Roman"/>
          <w:noProof/>
          <w:lang w:val="fr-CA"/>
        </w:rPr>
        <w:t>appuyant sur cette formulation, Ocean prétend que, selon la première étape, la common law</w:t>
      </w:r>
      <w:r w:rsidRPr="00E41E88">
        <w:rPr>
          <w:rFonts w:cs="Times New Roman"/>
          <w:i/>
          <w:noProof/>
          <w:lang w:val="fr-CA"/>
        </w:rPr>
        <w:t xml:space="preserve"> </w:t>
      </w:r>
      <w:r w:rsidRPr="00E41E88">
        <w:rPr>
          <w:rFonts w:cs="Times New Roman"/>
          <w:noProof/>
          <w:lang w:val="fr-CA"/>
        </w:rPr>
        <w:t>confère à M. Matthews le droit de recevoir des dommages</w:t>
      </w:r>
      <w:r w:rsidRPr="00E41E88">
        <w:rPr>
          <w:rFonts w:cs="Times New Roman"/>
          <w:noProof/>
          <w:lang w:val="fr-CA"/>
        </w:rPr>
        <w:noBreakHyphen/>
        <w:t>intérêts pour le salaire et les avantages qui font partie intégrante</w:t>
      </w:r>
      <w:r w:rsidRPr="00E41E88">
        <w:rPr>
          <w:rFonts w:cs="Times New Roman"/>
          <w:i/>
          <w:noProof/>
          <w:lang w:val="fr-CA"/>
        </w:rPr>
        <w:t xml:space="preserve"> </w:t>
      </w:r>
      <w:r w:rsidRPr="00E41E88">
        <w:rPr>
          <w:rFonts w:cs="Times New Roman"/>
          <w:noProof/>
          <w:lang w:val="fr-CA"/>
        </w:rPr>
        <w:t>de sa rémunération. Elle soutient que le paiement prévu par le RILT ne faisait pas partie intégrante de la rémunération de M. Matthews, car ce dernier n</w:t>
      </w:r>
      <w:r>
        <w:rPr>
          <w:rFonts w:cs="Times New Roman"/>
          <w:noProof/>
          <w:lang w:val="fr-CA"/>
        </w:rPr>
        <w:t>’</w:t>
      </w:r>
      <w:r w:rsidRPr="00E41E88">
        <w:rPr>
          <w:rFonts w:cs="Times New Roman"/>
          <w:noProof/>
          <w:lang w:val="fr-CA"/>
        </w:rPr>
        <w:t xml:space="preserve">avait pas un droit acquis sur ce paiement lorsque son emploi a pris fin. </w:t>
      </w:r>
    </w:p>
    <w:p w:rsidR="00DD44E8" w:rsidRPr="00E41E88" w:rsidRDefault="00DD44E8" w:rsidP="00DD44E8">
      <w:pPr>
        <w:pStyle w:val="ParaNoNdepar-AltN"/>
        <w:rPr>
          <w:rFonts w:cs="Times New Roman"/>
          <w:noProof/>
          <w:lang w:val="fr-CA"/>
        </w:rPr>
      </w:pPr>
      <w:r w:rsidRPr="00E41E88">
        <w:rPr>
          <w:rFonts w:cs="Times New Roman"/>
          <w:noProof/>
          <w:lang w:val="fr-CA"/>
        </w:rPr>
        <w:t xml:space="preserve">Le juge de première instance </w:t>
      </w:r>
      <w:r>
        <w:rPr>
          <w:rFonts w:cs="Times New Roman"/>
          <w:noProof/>
          <w:lang w:val="fr-CA"/>
        </w:rPr>
        <w:t>s’est arrêté à</w:t>
      </w:r>
      <w:r w:rsidRPr="00E41E88">
        <w:rPr>
          <w:rFonts w:cs="Times New Roman"/>
          <w:noProof/>
          <w:lang w:val="fr-CA"/>
        </w:rPr>
        <w:t xml:space="preserve"> cet argument et a conclu qu</w:t>
      </w:r>
      <w:r>
        <w:rPr>
          <w:rFonts w:cs="Times New Roman"/>
          <w:noProof/>
          <w:lang w:val="fr-CA"/>
        </w:rPr>
        <w:t>’</w:t>
      </w:r>
      <w:r w:rsidRPr="00E41E88">
        <w:rPr>
          <w:rFonts w:cs="Times New Roman"/>
          <w:noProof/>
          <w:lang w:val="fr-CA"/>
        </w:rPr>
        <w:t>Ocean cherchait à introduire dans l</w:t>
      </w:r>
      <w:r>
        <w:rPr>
          <w:rFonts w:cs="Times New Roman"/>
          <w:noProof/>
          <w:lang w:val="fr-CA"/>
        </w:rPr>
        <w:t>’</w:t>
      </w:r>
      <w:r w:rsidRPr="00E41E88">
        <w:rPr>
          <w:rFonts w:cs="Times New Roman"/>
          <w:noProof/>
          <w:lang w:val="fr-CA"/>
        </w:rPr>
        <w:t>analyse une exigence supplémentaire qui n</w:t>
      </w:r>
      <w:r>
        <w:rPr>
          <w:rFonts w:cs="Times New Roman"/>
          <w:noProof/>
          <w:lang w:val="fr-CA"/>
        </w:rPr>
        <w:t>’</w:t>
      </w:r>
      <w:r w:rsidRPr="00E41E88">
        <w:rPr>
          <w:rFonts w:cs="Times New Roman"/>
          <w:noProof/>
          <w:lang w:val="fr-CA"/>
        </w:rPr>
        <w:t>est pas étayée par la jurisprudence (par. 387). Je suis d</w:t>
      </w:r>
      <w:r>
        <w:rPr>
          <w:rFonts w:cs="Times New Roman"/>
          <w:noProof/>
          <w:lang w:val="fr-CA"/>
        </w:rPr>
        <w:t>’</w:t>
      </w:r>
      <w:r w:rsidRPr="00E41E88">
        <w:rPr>
          <w:rFonts w:cs="Times New Roman"/>
          <w:noProof/>
          <w:lang w:val="fr-CA"/>
        </w:rPr>
        <w:t>accord. Le critère qui consiste à déterminer si un avantage ou une prime fait « partie intégrante » de la rémunération d</w:t>
      </w:r>
      <w:r>
        <w:rPr>
          <w:rFonts w:cs="Times New Roman"/>
          <w:noProof/>
          <w:lang w:val="fr-CA"/>
        </w:rPr>
        <w:t>’</w:t>
      </w:r>
      <w:r w:rsidRPr="00E41E88">
        <w:rPr>
          <w:rFonts w:cs="Times New Roman"/>
          <w:noProof/>
          <w:lang w:val="fr-CA"/>
        </w:rPr>
        <w:t xml:space="preserve">un employé aide à répondre à la question de savoir ce qui aurait été payé à cet employé pendant la période de préavis raisonnable (voir, p. ex., </w:t>
      </w:r>
      <w:r w:rsidRPr="00E41E88">
        <w:rPr>
          <w:rFonts w:cs="Times New Roman"/>
          <w:i/>
          <w:noProof/>
          <w:lang w:val="fr-CA"/>
        </w:rPr>
        <w:t xml:space="preserve">Brock c. Matthews </w:t>
      </w:r>
      <w:r w:rsidRPr="00E41E88">
        <w:rPr>
          <w:rFonts w:cs="Times New Roman"/>
          <w:i/>
          <w:noProof/>
          <w:lang w:val="fr-CA"/>
        </w:rPr>
        <w:lastRenderedPageBreak/>
        <w:t>Group Ltd</w:t>
      </w:r>
      <w:r w:rsidRPr="00E41E88">
        <w:rPr>
          <w:rFonts w:cs="Times New Roman"/>
          <w:noProof/>
          <w:lang w:val="fr-CA"/>
        </w:rPr>
        <w:t xml:space="preserve">. (1988), 20 C.C.E.L. 110 (H.C.J. Ont.), p. 123, conf. par (1991), 34 C.C.E.L. 50 (C.A.); </w:t>
      </w:r>
      <w:r w:rsidRPr="00E41E88">
        <w:rPr>
          <w:rFonts w:cs="Times New Roman"/>
          <w:i/>
          <w:noProof/>
          <w:lang w:val="fr-CA"/>
        </w:rPr>
        <w:t>Paquette</w:t>
      </w:r>
      <w:r w:rsidRPr="00E41E88">
        <w:rPr>
          <w:rFonts w:cs="Times New Roman"/>
          <w:noProof/>
          <w:lang w:val="fr-CA"/>
        </w:rPr>
        <w:t xml:space="preserve">, par. 17). Ainsi, dans les arrêts </w:t>
      </w:r>
      <w:r w:rsidRPr="00E41E88">
        <w:rPr>
          <w:rFonts w:cs="Times New Roman"/>
          <w:i/>
          <w:noProof/>
          <w:lang w:val="fr-CA"/>
        </w:rPr>
        <w:t xml:space="preserve">Paquette </w:t>
      </w:r>
      <w:r w:rsidRPr="00E41E88">
        <w:rPr>
          <w:rFonts w:cs="Times New Roman"/>
          <w:noProof/>
          <w:lang w:val="fr-CA"/>
        </w:rPr>
        <w:t xml:space="preserve">et </w:t>
      </w:r>
      <w:r w:rsidRPr="00E41E88">
        <w:rPr>
          <w:rFonts w:cs="Times New Roman"/>
          <w:i/>
          <w:noProof/>
          <w:lang w:val="fr-CA"/>
        </w:rPr>
        <w:t>Singer</w:t>
      </w:r>
      <w:r w:rsidRPr="00E41E88">
        <w:rPr>
          <w:rFonts w:cs="Times New Roman"/>
          <w:noProof/>
          <w:lang w:val="fr-CA"/>
        </w:rPr>
        <w:t>, où les primes en litige étaient discrétionnaires, la Cour d</w:t>
      </w:r>
      <w:r>
        <w:rPr>
          <w:rFonts w:cs="Times New Roman"/>
          <w:noProof/>
          <w:lang w:val="fr-CA"/>
        </w:rPr>
        <w:t>’</w:t>
      </w:r>
      <w:r w:rsidRPr="00E41E88">
        <w:rPr>
          <w:rFonts w:cs="Times New Roman"/>
          <w:noProof/>
          <w:lang w:val="fr-CA"/>
        </w:rPr>
        <w:t>appel de l</w:t>
      </w:r>
      <w:r>
        <w:rPr>
          <w:rFonts w:cs="Times New Roman"/>
          <w:noProof/>
          <w:lang w:val="fr-CA"/>
        </w:rPr>
        <w:t>’</w:t>
      </w:r>
      <w:r w:rsidRPr="00E41E88">
        <w:rPr>
          <w:rFonts w:cs="Times New Roman"/>
          <w:noProof/>
          <w:lang w:val="fr-CA"/>
        </w:rPr>
        <w:t>Ontario a pris en compte ce critère, dit de la « partie intégrante », car un doute subsistait quant à la question de savoir si l</w:t>
      </w:r>
      <w:r>
        <w:rPr>
          <w:rFonts w:cs="Times New Roman"/>
          <w:noProof/>
          <w:lang w:val="fr-CA"/>
        </w:rPr>
        <w:t>’</w:t>
      </w:r>
      <w:r w:rsidRPr="00E41E88">
        <w:rPr>
          <w:rFonts w:cs="Times New Roman"/>
          <w:noProof/>
          <w:lang w:val="fr-CA"/>
        </w:rPr>
        <w:t xml:space="preserve">employé aurait touché ces primes discrétionnaires pendant la période de préavis raisonnable. </w:t>
      </w:r>
    </w:p>
    <w:p w:rsidR="00DD44E8" w:rsidRPr="00E41E88" w:rsidRDefault="00DD44E8" w:rsidP="00DD44E8">
      <w:pPr>
        <w:pStyle w:val="ParaNoNdepar-AltN"/>
        <w:widowControl w:val="0"/>
        <w:rPr>
          <w:rFonts w:cs="Times New Roman"/>
          <w:noProof/>
          <w:lang w:val="fr-CA"/>
        </w:rPr>
      </w:pPr>
      <w:r w:rsidRPr="00E41E88">
        <w:rPr>
          <w:rFonts w:cs="Times New Roman"/>
          <w:noProof/>
          <w:lang w:val="fr-CA"/>
        </w:rPr>
        <w:t>La présente affaire est différente. Les dommages</w:t>
      </w:r>
      <w:r w:rsidRPr="00E41E88">
        <w:rPr>
          <w:rFonts w:cs="Times New Roman"/>
          <w:noProof/>
          <w:lang w:val="fr-CA"/>
        </w:rPr>
        <w:noBreakHyphen/>
        <w:t>intérêts tenant lieu de préavis raisonnable ont pour objet de rétablir l</w:t>
      </w:r>
      <w:r>
        <w:rPr>
          <w:rFonts w:cs="Times New Roman"/>
          <w:noProof/>
          <w:lang w:val="fr-CA"/>
        </w:rPr>
        <w:t>’</w:t>
      </w:r>
      <w:r w:rsidRPr="00E41E88">
        <w:rPr>
          <w:rFonts w:cs="Times New Roman"/>
          <w:noProof/>
          <w:lang w:val="fr-CA"/>
        </w:rPr>
        <w:t>employé dans la situation où il se serait trouvé s</w:t>
      </w:r>
      <w:r>
        <w:rPr>
          <w:rFonts w:cs="Times New Roman"/>
          <w:noProof/>
          <w:lang w:val="fr-CA"/>
        </w:rPr>
        <w:t>’</w:t>
      </w:r>
      <w:r w:rsidRPr="00E41E88">
        <w:rPr>
          <w:rFonts w:cs="Times New Roman"/>
          <w:noProof/>
          <w:lang w:val="fr-CA"/>
        </w:rPr>
        <w:t>il avait continué de travailler jusqu</w:t>
      </w:r>
      <w:r>
        <w:rPr>
          <w:rFonts w:cs="Times New Roman"/>
          <w:noProof/>
          <w:lang w:val="fr-CA"/>
        </w:rPr>
        <w:t>’</w:t>
      </w:r>
      <w:r w:rsidRPr="00E41E88">
        <w:rPr>
          <w:rFonts w:cs="Times New Roman"/>
          <w:noProof/>
          <w:lang w:val="fr-CA"/>
        </w:rPr>
        <w:t>à la fin de la période de préavis. Il n</w:t>
      </w:r>
      <w:r>
        <w:rPr>
          <w:rFonts w:cs="Times New Roman"/>
          <w:noProof/>
          <w:lang w:val="fr-CA"/>
        </w:rPr>
        <w:t>’</w:t>
      </w:r>
      <w:r w:rsidRPr="00E41E88">
        <w:rPr>
          <w:rFonts w:cs="Times New Roman"/>
          <w:noProof/>
          <w:lang w:val="fr-CA"/>
        </w:rPr>
        <w:t>est pas contesté que l</w:t>
      </w:r>
      <w:r>
        <w:rPr>
          <w:rFonts w:cs="Times New Roman"/>
          <w:noProof/>
          <w:lang w:val="fr-CA"/>
        </w:rPr>
        <w:t>’</w:t>
      </w:r>
      <w:r w:rsidRPr="00E41E88">
        <w:rPr>
          <w:rFonts w:cs="Times New Roman"/>
          <w:noProof/>
          <w:lang w:val="fr-CA"/>
        </w:rPr>
        <w:t>événement déclencheur s</w:t>
      </w:r>
      <w:r>
        <w:rPr>
          <w:rFonts w:cs="Times New Roman"/>
          <w:noProof/>
          <w:lang w:val="fr-CA"/>
        </w:rPr>
        <w:t>’</w:t>
      </w:r>
      <w:r w:rsidRPr="00E41E88">
        <w:rPr>
          <w:rFonts w:cs="Times New Roman"/>
          <w:noProof/>
          <w:lang w:val="fr-CA"/>
        </w:rPr>
        <w:t>est produit pendant cette période. Cependant, n</w:t>
      </w:r>
      <w:r>
        <w:rPr>
          <w:rFonts w:cs="Times New Roman"/>
          <w:noProof/>
          <w:lang w:val="fr-CA"/>
        </w:rPr>
        <w:t>’</w:t>
      </w:r>
      <w:r w:rsidRPr="00E41E88">
        <w:rPr>
          <w:rFonts w:cs="Times New Roman"/>
          <w:noProof/>
          <w:lang w:val="fr-CA"/>
        </w:rPr>
        <w:t xml:space="preserve">eût été son congédiement, </w:t>
      </w:r>
      <w:r>
        <w:rPr>
          <w:rFonts w:cs="Times New Roman"/>
          <w:noProof/>
          <w:lang w:val="fr-CA"/>
        </w:rPr>
        <w:t>M. </w:t>
      </w:r>
      <w:r w:rsidRPr="00E41E88">
        <w:rPr>
          <w:rFonts w:cs="Times New Roman"/>
          <w:noProof/>
          <w:lang w:val="fr-CA"/>
        </w:rPr>
        <w:t xml:space="preserve">Matthews aurait reçu le paiement prévu par le RILT durant cette période. Dans ces circonstances, il est inutile de se demander si ce paiement faisait « partie intégrante » de sa rémunération. </w:t>
      </w:r>
    </w:p>
    <w:p w:rsidR="00DD44E8" w:rsidRPr="00E41E88" w:rsidRDefault="00DD44E8" w:rsidP="00DD44E8">
      <w:pPr>
        <w:pStyle w:val="ParaNoNdepar-AltN"/>
        <w:widowControl w:val="0"/>
        <w:rPr>
          <w:rFonts w:cs="Times New Roman"/>
          <w:noProof/>
          <w:lang w:val="fr-CA"/>
        </w:rPr>
      </w:pPr>
      <w:r w:rsidRPr="00E41E88">
        <w:rPr>
          <w:rFonts w:cs="Times New Roman"/>
          <w:noProof/>
          <w:lang w:val="fr-CA"/>
        </w:rPr>
        <w:t>Qui plus est, en réponse à une question de l</w:t>
      </w:r>
      <w:r>
        <w:rPr>
          <w:rFonts w:cs="Times New Roman"/>
          <w:noProof/>
          <w:lang w:val="fr-CA"/>
        </w:rPr>
        <w:t>’</w:t>
      </w:r>
      <w:r w:rsidRPr="00E41E88">
        <w:rPr>
          <w:rFonts w:cs="Times New Roman"/>
          <w:noProof/>
          <w:lang w:val="fr-CA"/>
        </w:rPr>
        <w:t>un de mes collègues lors de l</w:t>
      </w:r>
      <w:r>
        <w:rPr>
          <w:rFonts w:cs="Times New Roman"/>
          <w:noProof/>
          <w:lang w:val="fr-CA"/>
        </w:rPr>
        <w:t>’</w:t>
      </w:r>
      <w:r w:rsidRPr="00E41E88">
        <w:rPr>
          <w:rFonts w:cs="Times New Roman"/>
          <w:noProof/>
          <w:lang w:val="fr-CA"/>
        </w:rPr>
        <w:t>audience, l</w:t>
      </w:r>
      <w:r>
        <w:rPr>
          <w:rFonts w:cs="Times New Roman"/>
          <w:noProof/>
          <w:lang w:val="fr-CA"/>
        </w:rPr>
        <w:t>’</w:t>
      </w:r>
      <w:r w:rsidRPr="00E41E88">
        <w:rPr>
          <w:rFonts w:cs="Times New Roman"/>
          <w:noProof/>
          <w:lang w:val="fr-CA"/>
        </w:rPr>
        <w:t>avocate d</w:t>
      </w:r>
      <w:r>
        <w:rPr>
          <w:rFonts w:cs="Times New Roman"/>
          <w:noProof/>
          <w:lang w:val="fr-CA"/>
        </w:rPr>
        <w:t>’</w:t>
      </w:r>
      <w:r w:rsidRPr="00E41E88">
        <w:rPr>
          <w:rFonts w:cs="Times New Roman"/>
          <w:noProof/>
          <w:lang w:val="fr-CA"/>
        </w:rPr>
        <w:t>Ocean a reconnu que M.</w:t>
      </w:r>
      <w:r>
        <w:rPr>
          <w:rFonts w:cs="Times New Roman"/>
          <w:noProof/>
          <w:lang w:val="fr-CA"/>
        </w:rPr>
        <w:t> </w:t>
      </w:r>
      <w:r w:rsidRPr="00E41E88">
        <w:rPr>
          <w:rFonts w:cs="Times New Roman"/>
          <w:noProof/>
          <w:lang w:val="fr-CA"/>
        </w:rPr>
        <w:t>Matthews aurait fort bien pu avoir droit au paiement prévu par le RILT en l</w:t>
      </w:r>
      <w:r>
        <w:rPr>
          <w:rFonts w:cs="Times New Roman"/>
          <w:noProof/>
          <w:lang w:val="fr-CA"/>
        </w:rPr>
        <w:t>’</w:t>
      </w:r>
      <w:r w:rsidRPr="00E41E88">
        <w:rPr>
          <w:rFonts w:cs="Times New Roman"/>
          <w:noProof/>
          <w:lang w:val="fr-CA"/>
        </w:rPr>
        <w:t xml:space="preserve">absence des clauses 2.03 et 2.05. Je suis donc convaincu que, au terme de la première étape, </w:t>
      </w:r>
      <w:r>
        <w:rPr>
          <w:rFonts w:cs="Times New Roman"/>
          <w:noProof/>
          <w:lang w:val="fr-CA"/>
        </w:rPr>
        <w:t>M. </w:t>
      </w:r>
      <w:r w:rsidRPr="00E41E88">
        <w:rPr>
          <w:rFonts w:cs="Times New Roman"/>
          <w:noProof/>
          <w:lang w:val="fr-CA"/>
        </w:rPr>
        <w:t>Matthews a droit, à première vue, de recevoir des dommages</w:t>
      </w:r>
      <w:r w:rsidRPr="00E41E88">
        <w:rPr>
          <w:rFonts w:cs="Times New Roman"/>
          <w:noProof/>
          <w:lang w:val="fr-CA"/>
        </w:rPr>
        <w:noBreakHyphen/>
        <w:t>intérêts à titre de dédommagement pour la prime qu</w:t>
      </w:r>
      <w:r>
        <w:rPr>
          <w:rFonts w:cs="Times New Roman"/>
          <w:noProof/>
          <w:lang w:val="fr-CA"/>
        </w:rPr>
        <w:t>’</w:t>
      </w:r>
      <w:r w:rsidRPr="00E41E88">
        <w:rPr>
          <w:rFonts w:cs="Times New Roman"/>
          <w:noProof/>
          <w:lang w:val="fr-CA"/>
        </w:rPr>
        <w:t>il a perdue.</w:t>
      </w:r>
    </w:p>
    <w:p w:rsidR="00DD44E8" w:rsidRPr="00E41E88" w:rsidRDefault="00DD44E8" w:rsidP="00DD44E8">
      <w:pPr>
        <w:pStyle w:val="ParaNoNdepar-AltN"/>
        <w:widowControl w:val="0"/>
        <w:rPr>
          <w:rFonts w:cs="Times New Roman"/>
          <w:noProof/>
          <w:lang w:val="fr-CA"/>
        </w:rPr>
      </w:pPr>
      <w:r w:rsidRPr="00E41E88">
        <w:rPr>
          <w:rFonts w:cs="Times New Roman"/>
          <w:noProof/>
          <w:lang w:val="fr-CA"/>
        </w:rPr>
        <w:t xml:space="preserve">À la deuxième étape, la question consiste à se demander </w:t>
      </w:r>
      <w:r>
        <w:rPr>
          <w:rFonts w:cs="Times New Roman"/>
          <w:noProof/>
          <w:lang w:val="fr-CA"/>
        </w:rPr>
        <w:t xml:space="preserve">si les modalités du </w:t>
      </w:r>
      <w:r w:rsidRPr="00E41E88">
        <w:rPr>
          <w:rFonts w:cs="Times New Roman"/>
          <w:noProof/>
          <w:lang w:val="fr-CA"/>
        </w:rPr>
        <w:t xml:space="preserve">RILT ont pour effet de limiter ou de supprimer clairement le droit que confère la </w:t>
      </w:r>
      <w:r w:rsidRPr="00E41E88">
        <w:rPr>
          <w:rFonts w:cs="Times New Roman"/>
          <w:noProof/>
          <w:lang w:val="fr-CA"/>
        </w:rPr>
        <w:lastRenderedPageBreak/>
        <w:t>common law</w:t>
      </w:r>
      <w:r w:rsidRPr="00E41E88">
        <w:rPr>
          <w:rFonts w:cs="Times New Roman"/>
          <w:i/>
          <w:noProof/>
          <w:lang w:val="fr-CA"/>
        </w:rPr>
        <w:t xml:space="preserve"> </w:t>
      </w:r>
      <w:r w:rsidRPr="00E41E88">
        <w:rPr>
          <w:rFonts w:cs="Times New Roman"/>
          <w:noProof/>
          <w:lang w:val="fr-CA"/>
        </w:rPr>
        <w:t>à M. Matthews. Il convient de mentionner que les parties ont avancé des thèses opposée</w:t>
      </w:r>
      <w:r>
        <w:rPr>
          <w:rFonts w:cs="Times New Roman"/>
          <w:noProof/>
          <w:lang w:val="fr-CA"/>
        </w:rPr>
        <w:t>s</w:t>
      </w:r>
      <w:r w:rsidRPr="00E41E88">
        <w:rPr>
          <w:rFonts w:cs="Times New Roman"/>
          <w:noProof/>
          <w:lang w:val="fr-CA"/>
        </w:rPr>
        <w:t xml:space="preserve"> en ce qui a trait à la norme de contrôle applicable aux questions liées à l</w:t>
      </w:r>
      <w:r>
        <w:rPr>
          <w:rFonts w:cs="Times New Roman"/>
          <w:noProof/>
          <w:lang w:val="fr-CA"/>
        </w:rPr>
        <w:t>’</w:t>
      </w:r>
      <w:r w:rsidRPr="00E41E88">
        <w:rPr>
          <w:rFonts w:cs="Times New Roman"/>
          <w:noProof/>
          <w:lang w:val="fr-CA"/>
        </w:rPr>
        <w:t>interpréta</w:t>
      </w:r>
      <w:r>
        <w:rPr>
          <w:rFonts w:cs="Times New Roman"/>
          <w:noProof/>
          <w:lang w:val="fr-CA"/>
        </w:rPr>
        <w:t xml:space="preserve">tion du </w:t>
      </w:r>
      <w:r w:rsidRPr="00E41E88">
        <w:rPr>
          <w:rFonts w:cs="Times New Roman"/>
          <w:noProof/>
          <w:lang w:val="fr-CA"/>
        </w:rPr>
        <w:t>RILT. Les deux parties ont invoqué l</w:t>
      </w:r>
      <w:r>
        <w:rPr>
          <w:rFonts w:cs="Times New Roman"/>
          <w:noProof/>
          <w:lang w:val="fr-CA"/>
        </w:rPr>
        <w:t>’</w:t>
      </w:r>
      <w:r w:rsidRPr="00E41E88">
        <w:rPr>
          <w:rFonts w:cs="Times New Roman"/>
          <w:noProof/>
          <w:lang w:val="fr-CA"/>
        </w:rPr>
        <w:t>arrêt</w:t>
      </w:r>
      <w:r w:rsidRPr="00E41E88">
        <w:rPr>
          <w:rFonts w:cs="Times New Roman"/>
          <w:i/>
          <w:noProof/>
          <w:lang w:val="fr-CA"/>
        </w:rPr>
        <w:t xml:space="preserve"> Ledcor Construction Ltd. c. Société d</w:t>
      </w:r>
      <w:r>
        <w:rPr>
          <w:rFonts w:cs="Times New Roman"/>
          <w:i/>
          <w:noProof/>
          <w:lang w:val="fr-CA"/>
        </w:rPr>
        <w:t>’</w:t>
      </w:r>
      <w:r w:rsidRPr="00E41E88">
        <w:rPr>
          <w:rFonts w:cs="Times New Roman"/>
          <w:i/>
          <w:noProof/>
          <w:lang w:val="fr-CA"/>
        </w:rPr>
        <w:t>assurance d</w:t>
      </w:r>
      <w:r>
        <w:rPr>
          <w:rFonts w:cs="Times New Roman"/>
          <w:i/>
          <w:noProof/>
          <w:lang w:val="fr-CA"/>
        </w:rPr>
        <w:t>’</w:t>
      </w:r>
      <w:r w:rsidRPr="00E41E88">
        <w:rPr>
          <w:rFonts w:cs="Times New Roman"/>
          <w:i/>
          <w:noProof/>
          <w:lang w:val="fr-CA"/>
        </w:rPr>
        <w:t>indemnisation Northbridge</w:t>
      </w:r>
      <w:r w:rsidRPr="00E41E88">
        <w:rPr>
          <w:rFonts w:cs="Times New Roman"/>
          <w:noProof/>
          <w:lang w:val="fr-CA"/>
        </w:rPr>
        <w:t xml:space="preserve">, 2016 CSC 37, [2016] 2 R.C.S. 23. Pour sa part, </w:t>
      </w:r>
      <w:r>
        <w:rPr>
          <w:rFonts w:cs="Times New Roman"/>
          <w:noProof/>
          <w:lang w:val="fr-CA"/>
        </w:rPr>
        <w:t>M. </w:t>
      </w:r>
      <w:r w:rsidRPr="00E41E88">
        <w:rPr>
          <w:rFonts w:cs="Times New Roman"/>
          <w:noProof/>
          <w:lang w:val="fr-CA"/>
        </w:rPr>
        <w:t>Matthews a plaidé que l</w:t>
      </w:r>
      <w:r>
        <w:rPr>
          <w:rFonts w:cs="Times New Roman"/>
          <w:noProof/>
          <w:lang w:val="fr-CA"/>
        </w:rPr>
        <w:t>’</w:t>
      </w:r>
      <w:r w:rsidRPr="00E41E88">
        <w:rPr>
          <w:rFonts w:cs="Times New Roman"/>
          <w:noProof/>
          <w:lang w:val="fr-CA"/>
        </w:rPr>
        <w:t>interprétation du juge de première instance devait être contrôlée afin de déterminer si elle renferme des erreurs manifestes et déterminantes. À l</w:t>
      </w:r>
      <w:r>
        <w:rPr>
          <w:rFonts w:cs="Times New Roman"/>
          <w:noProof/>
          <w:lang w:val="fr-CA"/>
        </w:rPr>
        <w:t>’</w:t>
      </w:r>
      <w:r w:rsidRPr="00E41E88">
        <w:rPr>
          <w:rFonts w:cs="Times New Roman"/>
          <w:noProof/>
          <w:lang w:val="fr-CA"/>
        </w:rPr>
        <w:t>opposé, s</w:t>
      </w:r>
      <w:r>
        <w:rPr>
          <w:rFonts w:cs="Times New Roman"/>
          <w:noProof/>
          <w:lang w:val="fr-CA"/>
        </w:rPr>
        <w:t>’</w:t>
      </w:r>
      <w:r w:rsidRPr="00E41E88">
        <w:rPr>
          <w:rFonts w:cs="Times New Roman"/>
          <w:noProof/>
          <w:lang w:val="fr-CA"/>
        </w:rPr>
        <w:t>appuyant sur l</w:t>
      </w:r>
      <w:r>
        <w:rPr>
          <w:rFonts w:cs="Times New Roman"/>
          <w:noProof/>
          <w:lang w:val="fr-CA"/>
        </w:rPr>
        <w:t>’</w:t>
      </w:r>
      <w:r w:rsidRPr="00E41E88">
        <w:rPr>
          <w:rFonts w:cs="Times New Roman"/>
          <w:noProof/>
          <w:lang w:val="fr-CA"/>
        </w:rPr>
        <w:t>exception relative au contrat type qui est décrite dans l</w:t>
      </w:r>
      <w:r>
        <w:rPr>
          <w:rFonts w:cs="Times New Roman"/>
          <w:noProof/>
          <w:lang w:val="fr-CA"/>
        </w:rPr>
        <w:t>’</w:t>
      </w:r>
      <w:r w:rsidRPr="00E41E88">
        <w:rPr>
          <w:rFonts w:cs="Times New Roman"/>
          <w:noProof/>
          <w:lang w:val="fr-CA"/>
        </w:rPr>
        <w:t xml:space="preserve">arrêt </w:t>
      </w:r>
      <w:r w:rsidRPr="00E41E88">
        <w:rPr>
          <w:rFonts w:cs="Times New Roman"/>
          <w:i/>
          <w:noProof/>
          <w:lang w:val="fr-CA"/>
        </w:rPr>
        <w:t>Ledcor</w:t>
      </w:r>
      <w:r w:rsidRPr="00E41E88">
        <w:rPr>
          <w:rFonts w:cs="Times New Roman"/>
          <w:noProof/>
          <w:lang w:val="fr-CA"/>
        </w:rPr>
        <w:t>, Ocean a soutenu que la norme de contrôle applicable était celle de la décision correcte. Elle a insisté sur le fait qu</w:t>
      </w:r>
      <w:r>
        <w:rPr>
          <w:rFonts w:cs="Times New Roman"/>
          <w:noProof/>
          <w:lang w:val="fr-CA"/>
        </w:rPr>
        <w:t>’</w:t>
      </w:r>
      <w:r w:rsidRPr="00E41E88">
        <w:rPr>
          <w:rFonts w:cs="Times New Roman"/>
          <w:noProof/>
          <w:lang w:val="fr-CA"/>
        </w:rPr>
        <w:t>il n</w:t>
      </w:r>
      <w:r>
        <w:rPr>
          <w:rFonts w:cs="Times New Roman"/>
          <w:noProof/>
          <w:lang w:val="fr-CA"/>
        </w:rPr>
        <w:t>’</w:t>
      </w:r>
      <w:r w:rsidRPr="00E41E88">
        <w:rPr>
          <w:rFonts w:cs="Times New Roman"/>
          <w:noProof/>
          <w:lang w:val="fr-CA"/>
        </w:rPr>
        <w:t>y a aucune preuve indiquant que M. Matthews aurait négocié les modalités pertinentes du</w:t>
      </w:r>
      <w:r>
        <w:rPr>
          <w:rFonts w:cs="Times New Roman"/>
          <w:noProof/>
          <w:lang w:val="fr-CA"/>
        </w:rPr>
        <w:t xml:space="preserve"> </w:t>
      </w:r>
      <w:r w:rsidRPr="00E41E88">
        <w:rPr>
          <w:rFonts w:cs="Times New Roman"/>
          <w:noProof/>
          <w:lang w:val="fr-CA"/>
        </w:rPr>
        <w:t>RILT, et que ce régime s</w:t>
      </w:r>
      <w:r>
        <w:rPr>
          <w:rFonts w:cs="Times New Roman"/>
          <w:noProof/>
          <w:lang w:val="fr-CA"/>
        </w:rPr>
        <w:t>’</w:t>
      </w:r>
      <w:r w:rsidRPr="00E41E88">
        <w:rPr>
          <w:rFonts w:cs="Times New Roman"/>
          <w:noProof/>
          <w:lang w:val="fr-CA"/>
        </w:rPr>
        <w:t>applique à de nombreux employés.</w:t>
      </w:r>
    </w:p>
    <w:p w:rsidR="00DD44E8" w:rsidRPr="00E41E88" w:rsidRDefault="00DD44E8" w:rsidP="00DD44E8">
      <w:pPr>
        <w:pStyle w:val="ParaNoNdepar-AltN"/>
        <w:widowControl w:val="0"/>
        <w:rPr>
          <w:rFonts w:cs="Times New Roman"/>
          <w:noProof/>
          <w:lang w:val="fr-CA"/>
        </w:rPr>
      </w:pPr>
      <w:r w:rsidRPr="00E41E88">
        <w:rPr>
          <w:rFonts w:cs="Times New Roman"/>
          <w:noProof/>
          <w:lang w:val="fr-CA"/>
        </w:rPr>
        <w:t>Je prends bonne note du fait que le juge de première instance n</w:t>
      </w:r>
      <w:r>
        <w:rPr>
          <w:rFonts w:cs="Times New Roman"/>
          <w:noProof/>
          <w:lang w:val="fr-CA"/>
        </w:rPr>
        <w:t>’</w:t>
      </w:r>
      <w:r w:rsidRPr="00E41E88">
        <w:rPr>
          <w:rFonts w:cs="Times New Roman"/>
          <w:noProof/>
          <w:lang w:val="fr-CA"/>
        </w:rPr>
        <w:t>a pas conclu que le RILT était un contrat type couramment utilisé. Dans l</w:t>
      </w:r>
      <w:r>
        <w:rPr>
          <w:rFonts w:cs="Times New Roman"/>
          <w:noProof/>
          <w:lang w:val="fr-CA"/>
        </w:rPr>
        <w:t>’</w:t>
      </w:r>
      <w:r w:rsidRPr="00E41E88">
        <w:rPr>
          <w:rFonts w:cs="Times New Roman"/>
          <w:noProof/>
          <w:lang w:val="fr-CA"/>
        </w:rPr>
        <w:t xml:space="preserve">arrêt </w:t>
      </w:r>
      <w:r w:rsidRPr="00E41E88">
        <w:rPr>
          <w:rFonts w:cs="Times New Roman"/>
          <w:i/>
          <w:noProof/>
          <w:lang w:val="fr-CA"/>
        </w:rPr>
        <w:t>Ledcor</w:t>
      </w:r>
      <w:r w:rsidRPr="00E41E88">
        <w:rPr>
          <w:rFonts w:cs="Times New Roman"/>
          <w:noProof/>
          <w:lang w:val="fr-CA"/>
        </w:rPr>
        <w:t>, la Cour était appelée à interpréter un contrat type qui est couramment utilisé dans le secteur des assurances, où « la constance [dans l</w:t>
      </w:r>
      <w:r>
        <w:rPr>
          <w:rFonts w:cs="Times New Roman"/>
          <w:noProof/>
          <w:lang w:val="fr-CA"/>
        </w:rPr>
        <w:t>’</w:t>
      </w:r>
      <w:r w:rsidRPr="00E41E88">
        <w:rPr>
          <w:rFonts w:cs="Times New Roman"/>
          <w:noProof/>
          <w:lang w:val="fr-CA"/>
        </w:rPr>
        <w:t>interprétation] revêt une importance particulière » (par. 40). Le juge Wagner a expliqué que, comme les contrats types sont largement utilisés et que « l</w:t>
      </w:r>
      <w:r>
        <w:rPr>
          <w:rFonts w:cs="Times New Roman"/>
          <w:noProof/>
          <w:lang w:val="fr-CA"/>
        </w:rPr>
        <w:t>’</w:t>
      </w:r>
      <w:r w:rsidRPr="00E41E88">
        <w:rPr>
          <w:rFonts w:cs="Times New Roman"/>
          <w:noProof/>
          <w:lang w:val="fr-CA"/>
        </w:rPr>
        <w:t>interprétation du contrat [. . .] peut toucher de nombreuses personnes » (par. 39), il convient d</w:t>
      </w:r>
      <w:r>
        <w:rPr>
          <w:rFonts w:cs="Times New Roman"/>
          <w:noProof/>
          <w:lang w:val="fr-CA"/>
        </w:rPr>
        <w:t>’</w:t>
      </w:r>
      <w:r w:rsidRPr="00E41E88">
        <w:rPr>
          <w:rFonts w:cs="Times New Roman"/>
          <w:noProof/>
          <w:lang w:val="fr-CA"/>
        </w:rPr>
        <w:t>appliquer une exception à l</w:t>
      </w:r>
      <w:r>
        <w:rPr>
          <w:rFonts w:cs="Times New Roman"/>
          <w:noProof/>
          <w:lang w:val="fr-CA"/>
        </w:rPr>
        <w:t>’</w:t>
      </w:r>
      <w:r w:rsidRPr="00E41E88">
        <w:rPr>
          <w:rFonts w:cs="Times New Roman"/>
          <w:noProof/>
          <w:lang w:val="fr-CA"/>
        </w:rPr>
        <w:t>égard des contrats types. La présente affaire est différente : la seule conclusion pertinente qu</w:t>
      </w:r>
      <w:r>
        <w:rPr>
          <w:rFonts w:cs="Times New Roman"/>
          <w:noProof/>
          <w:lang w:val="fr-CA"/>
        </w:rPr>
        <w:t>’</w:t>
      </w:r>
      <w:r w:rsidRPr="00E41E88">
        <w:rPr>
          <w:rFonts w:cs="Times New Roman"/>
          <w:noProof/>
          <w:lang w:val="fr-CA"/>
        </w:rPr>
        <w:t xml:space="preserve">a tirée le juge de première instance sur ce point est </w:t>
      </w:r>
      <w:r w:rsidRPr="00E41E88">
        <w:rPr>
          <w:rFonts w:cs="Times New Roman"/>
          <w:smallCaps/>
          <w:noProof/>
          <w:lang w:val="fr-CA"/>
        </w:rPr>
        <w:t>[traduction]</w:t>
      </w:r>
      <w:r w:rsidRPr="00E41E88">
        <w:rPr>
          <w:rFonts w:cs="Times New Roman"/>
          <w:noProof/>
          <w:lang w:val="fr-CA"/>
        </w:rPr>
        <w:t xml:space="preserve"> « </w:t>
      </w:r>
      <w:r w:rsidR="00A169E5" w:rsidRPr="00E41E88">
        <w:rPr>
          <w:rFonts w:cs="Times New Roman"/>
          <w:smallCaps/>
          <w:noProof/>
          <w:lang w:val="fr-CA"/>
        </w:rPr>
        <w:t>[</w:t>
      </w:r>
      <w:r w:rsidR="00A169E5" w:rsidRPr="00E41E88">
        <w:rPr>
          <w:rFonts w:cs="Times New Roman"/>
          <w:noProof/>
          <w:lang w:val="fr-CA"/>
        </w:rPr>
        <w:t>qu</w:t>
      </w:r>
      <w:r w:rsidR="00A169E5">
        <w:rPr>
          <w:rFonts w:cs="Times New Roman"/>
          <w:noProof/>
          <w:lang w:val="fr-CA"/>
        </w:rPr>
        <w:t>’</w:t>
      </w:r>
      <w:r w:rsidR="00A169E5" w:rsidRPr="00E41E88">
        <w:rPr>
          <w:rFonts w:cs="Times New Roman"/>
          <w:smallCaps/>
          <w:noProof/>
          <w:lang w:val="fr-CA"/>
        </w:rPr>
        <w:t>]</w:t>
      </w:r>
      <w:r w:rsidRPr="00E41E88">
        <w:rPr>
          <w:rFonts w:cs="Times New Roman"/>
          <w:noProof/>
          <w:lang w:val="fr-CA"/>
        </w:rPr>
        <w:t>un nombre limité de cadres supérieurs » étaient visés par le RILT (par. 61). En définitive, cependant, il n</w:t>
      </w:r>
      <w:r>
        <w:rPr>
          <w:rFonts w:cs="Times New Roman"/>
          <w:noProof/>
          <w:lang w:val="fr-CA"/>
        </w:rPr>
        <w:t>’</w:t>
      </w:r>
      <w:r w:rsidRPr="00E41E88">
        <w:rPr>
          <w:rFonts w:cs="Times New Roman"/>
          <w:noProof/>
          <w:lang w:val="fr-CA"/>
        </w:rPr>
        <w:t>est pas nécessaire en l</w:t>
      </w:r>
      <w:r>
        <w:rPr>
          <w:rFonts w:cs="Times New Roman"/>
          <w:noProof/>
          <w:lang w:val="fr-CA"/>
        </w:rPr>
        <w:t>’</w:t>
      </w:r>
      <w:r w:rsidRPr="00E41E88">
        <w:rPr>
          <w:rFonts w:cs="Times New Roman"/>
          <w:noProof/>
          <w:lang w:val="fr-CA"/>
        </w:rPr>
        <w:t>espèce de décider si le</w:t>
      </w:r>
      <w:r>
        <w:rPr>
          <w:rFonts w:cs="Times New Roman"/>
          <w:noProof/>
          <w:lang w:val="fr-CA"/>
        </w:rPr>
        <w:t xml:space="preserve"> </w:t>
      </w:r>
      <w:r w:rsidRPr="00E41E88">
        <w:rPr>
          <w:rFonts w:cs="Times New Roman"/>
          <w:noProof/>
          <w:lang w:val="fr-CA"/>
        </w:rPr>
        <w:t xml:space="preserve">RILT était véritablement un contrat type, </w:t>
      </w:r>
      <w:r w:rsidRPr="00E41E88">
        <w:rPr>
          <w:rFonts w:cs="Times New Roman"/>
          <w:noProof/>
          <w:lang w:val="fr-CA"/>
        </w:rPr>
        <w:lastRenderedPageBreak/>
        <w:t>étant donné que le juge de première instance a omis de tenir compte de l</w:t>
      </w:r>
      <w:r>
        <w:rPr>
          <w:rFonts w:cs="Times New Roman"/>
          <w:noProof/>
          <w:lang w:val="fr-CA"/>
        </w:rPr>
        <w:t>’</w:t>
      </w:r>
      <w:r w:rsidRPr="00E41E88">
        <w:rPr>
          <w:rFonts w:cs="Times New Roman"/>
          <w:noProof/>
          <w:lang w:val="fr-CA"/>
        </w:rPr>
        <w:t>une des deux principales clauses litigieuses dans la présente affaire, soit la clause 2.05, qu</w:t>
      </w:r>
      <w:r>
        <w:rPr>
          <w:rFonts w:cs="Times New Roman"/>
          <w:noProof/>
          <w:lang w:val="fr-CA"/>
        </w:rPr>
        <w:t>’</w:t>
      </w:r>
      <w:r w:rsidRPr="00E41E88">
        <w:rPr>
          <w:rFonts w:cs="Times New Roman"/>
          <w:noProof/>
          <w:lang w:val="fr-CA"/>
        </w:rPr>
        <w:t>il faudra en conséquence interpréter de toute façon.</w:t>
      </w:r>
    </w:p>
    <w:p w:rsidR="00DD44E8" w:rsidRPr="00E41E88" w:rsidRDefault="00DD44E8" w:rsidP="00DD44E8">
      <w:pPr>
        <w:pStyle w:val="ParaNoNdepar-AltN"/>
        <w:widowControl w:val="0"/>
        <w:rPr>
          <w:rFonts w:cs="Times New Roman"/>
          <w:noProof/>
          <w:lang w:val="fr-CA"/>
        </w:rPr>
      </w:pPr>
      <w:r w:rsidRPr="00E41E88">
        <w:rPr>
          <w:rFonts w:cs="Times New Roman"/>
          <w:noProof/>
          <w:lang w:val="fr-CA"/>
        </w:rPr>
        <w:t>Je reviens donc aux principales clauses litigieuses, qui sont rédigées ainsi :</w:t>
      </w:r>
    </w:p>
    <w:p w:rsidR="00DD44E8" w:rsidRPr="00E41E88" w:rsidRDefault="00DD44E8" w:rsidP="00DD44E8">
      <w:pPr>
        <w:pStyle w:val="Citation-AltC"/>
        <w:widowControl w:val="0"/>
        <w:spacing w:after="0"/>
        <w:ind w:left="1168" w:hanging="1168"/>
        <w:contextualSpacing w:val="0"/>
        <w:rPr>
          <w:smallCaps/>
          <w:noProof/>
          <w:lang w:val="fr-CA"/>
        </w:rPr>
      </w:pPr>
      <w:r w:rsidRPr="00E41E88">
        <w:rPr>
          <w:smallCaps/>
          <w:noProof/>
          <w:lang w:val="fr-CA"/>
        </w:rPr>
        <w:tab/>
        <w:t>[traduction]</w:t>
      </w:r>
    </w:p>
    <w:p w:rsidR="00DD44E8" w:rsidRPr="00357CBE" w:rsidRDefault="00DD44E8" w:rsidP="00DD44E8">
      <w:pPr>
        <w:pStyle w:val="Citation-AltC"/>
        <w:widowControl w:val="0"/>
        <w:spacing w:after="240"/>
        <w:ind w:left="1168" w:hanging="1168"/>
        <w:contextualSpacing w:val="0"/>
        <w:rPr>
          <w:noProof/>
          <w:lang w:val="fr-CA"/>
        </w:rPr>
      </w:pPr>
      <w:r w:rsidRPr="00E41E88">
        <w:rPr>
          <w:smallCaps/>
          <w:noProof/>
          <w:lang w:val="fr-CA"/>
        </w:rPr>
        <w:tab/>
      </w:r>
      <w:r w:rsidRPr="00357CBE">
        <w:rPr>
          <w:noProof/>
          <w:lang w:val="fr-CA"/>
        </w:rPr>
        <w:t xml:space="preserve">2.03 CONDITIONS PRÉALABLES </w:t>
      </w:r>
    </w:p>
    <w:p w:rsidR="00DD44E8" w:rsidRPr="00E41E88" w:rsidRDefault="00DD44E8" w:rsidP="00DD44E8">
      <w:pPr>
        <w:pStyle w:val="Citation-AltC"/>
        <w:widowControl w:val="0"/>
        <w:spacing w:after="240"/>
        <w:ind w:left="1168" w:hanging="1168"/>
        <w:contextualSpacing w:val="0"/>
        <w:rPr>
          <w:noProof/>
          <w:lang w:val="fr-CA"/>
        </w:rPr>
      </w:pPr>
      <w:r w:rsidRPr="00E41E88">
        <w:rPr>
          <w:noProof/>
          <w:lang w:val="fr-CA"/>
        </w:rPr>
        <w:tab/>
        <w:t>ONC n</w:t>
      </w:r>
      <w:r>
        <w:rPr>
          <w:noProof/>
          <w:lang w:val="fr-CA"/>
        </w:rPr>
        <w:t>’</w:t>
      </w:r>
      <w:r w:rsidRPr="00E41E88">
        <w:rPr>
          <w:noProof/>
          <w:lang w:val="fr-CA"/>
        </w:rPr>
        <w:t>a, aux termes de la présente entente, aucune obligation envers l</w:t>
      </w:r>
      <w:r>
        <w:rPr>
          <w:noProof/>
          <w:lang w:val="fr-CA"/>
        </w:rPr>
        <w:t>’</w:t>
      </w:r>
      <w:r w:rsidRPr="00E41E88">
        <w:rPr>
          <w:noProof/>
          <w:lang w:val="fr-CA"/>
        </w:rPr>
        <w:t>employé à moins que ce dernier ne soit un employé à temps plein d</w:t>
      </w:r>
      <w:r>
        <w:rPr>
          <w:noProof/>
          <w:lang w:val="fr-CA"/>
        </w:rPr>
        <w:t>’</w:t>
      </w:r>
      <w:r w:rsidRPr="00E41E88">
        <w:rPr>
          <w:noProof/>
          <w:lang w:val="fr-CA"/>
        </w:rPr>
        <w:t>ONC lorsque survient l</w:t>
      </w:r>
      <w:r>
        <w:rPr>
          <w:noProof/>
          <w:lang w:val="fr-CA"/>
        </w:rPr>
        <w:t>’</w:t>
      </w:r>
      <w:r w:rsidRPr="00E41E88">
        <w:rPr>
          <w:noProof/>
          <w:lang w:val="fr-CA"/>
        </w:rPr>
        <w:t>événement déclencheur. Il est entendu que la présente entente est nulle et sans effet si l</w:t>
      </w:r>
      <w:r>
        <w:rPr>
          <w:noProof/>
          <w:lang w:val="fr-CA"/>
        </w:rPr>
        <w:t>’</w:t>
      </w:r>
      <w:r w:rsidRPr="00E41E88">
        <w:rPr>
          <w:noProof/>
          <w:lang w:val="fr-CA"/>
        </w:rPr>
        <w:t>employé cesse d</w:t>
      </w:r>
      <w:r>
        <w:rPr>
          <w:noProof/>
          <w:lang w:val="fr-CA"/>
        </w:rPr>
        <w:t>’</w:t>
      </w:r>
      <w:r w:rsidRPr="00E41E88">
        <w:rPr>
          <w:noProof/>
          <w:lang w:val="fr-CA"/>
        </w:rPr>
        <w:t>être un employé d</w:t>
      </w:r>
      <w:r>
        <w:rPr>
          <w:noProof/>
          <w:lang w:val="fr-CA"/>
        </w:rPr>
        <w:t>’</w:t>
      </w:r>
      <w:r w:rsidRPr="00E41E88">
        <w:rPr>
          <w:noProof/>
          <w:lang w:val="fr-CA"/>
        </w:rPr>
        <w:t>ONC, que ce soit parce qu</w:t>
      </w:r>
      <w:r>
        <w:rPr>
          <w:noProof/>
          <w:lang w:val="fr-CA"/>
        </w:rPr>
        <w:t>’</w:t>
      </w:r>
      <w:r w:rsidRPr="00E41E88">
        <w:rPr>
          <w:noProof/>
          <w:lang w:val="fr-CA"/>
        </w:rPr>
        <w:t>il démissionne ou parce qu</w:t>
      </w:r>
      <w:r>
        <w:rPr>
          <w:noProof/>
          <w:lang w:val="fr-CA"/>
        </w:rPr>
        <w:t>’</w:t>
      </w:r>
      <w:r w:rsidRPr="00E41E88">
        <w:rPr>
          <w:noProof/>
          <w:lang w:val="fr-CA"/>
        </w:rPr>
        <w:t xml:space="preserve">il est congédié, avec ou sans motif. </w:t>
      </w:r>
    </w:p>
    <w:p w:rsidR="00DD44E8" w:rsidRPr="00357CBE" w:rsidRDefault="00DD44E8" w:rsidP="00DD44E8">
      <w:pPr>
        <w:pStyle w:val="Citation-AltC"/>
        <w:widowControl w:val="0"/>
        <w:spacing w:after="240"/>
        <w:ind w:left="1168" w:hanging="1168"/>
        <w:contextualSpacing w:val="0"/>
        <w:rPr>
          <w:noProof/>
          <w:lang w:val="fr-CA"/>
        </w:rPr>
      </w:pPr>
      <w:r w:rsidRPr="00E41E88">
        <w:rPr>
          <w:b/>
          <w:noProof/>
          <w:lang w:val="fr-CA"/>
        </w:rPr>
        <w:tab/>
      </w:r>
      <w:r w:rsidRPr="00357CBE">
        <w:rPr>
          <w:noProof/>
          <w:lang w:val="fr-CA"/>
        </w:rPr>
        <w:t xml:space="preserve">2.05 GÉNÉRALITÉS </w:t>
      </w:r>
    </w:p>
    <w:p w:rsidR="00DD44E8" w:rsidRPr="00E41E88" w:rsidRDefault="00DD44E8" w:rsidP="00DD44E8">
      <w:pPr>
        <w:pStyle w:val="Citation-AltC"/>
        <w:widowControl w:val="0"/>
        <w:ind w:hanging="1166"/>
        <w:rPr>
          <w:noProof/>
          <w:lang w:val="fr-CA"/>
        </w:rPr>
      </w:pPr>
      <w:r w:rsidRPr="00E41E88">
        <w:rPr>
          <w:noProof/>
          <w:lang w:val="fr-CA"/>
        </w:rPr>
        <w:tab/>
        <w:t>Le Régime de primes pour la création de valeur à long terme n</w:t>
      </w:r>
      <w:r>
        <w:rPr>
          <w:noProof/>
          <w:lang w:val="fr-CA"/>
        </w:rPr>
        <w:t>’</w:t>
      </w:r>
      <w:r w:rsidRPr="00E41E88">
        <w:rPr>
          <w:noProof/>
          <w:lang w:val="fr-CA"/>
        </w:rPr>
        <w:t>a aucune valeur actuelle ou future si ce n</w:t>
      </w:r>
      <w:r>
        <w:rPr>
          <w:noProof/>
          <w:lang w:val="fr-CA"/>
        </w:rPr>
        <w:t>’</w:t>
      </w:r>
      <w:r w:rsidRPr="00E41E88">
        <w:rPr>
          <w:noProof/>
          <w:lang w:val="fr-CA"/>
        </w:rPr>
        <w:t>est à la date de l</w:t>
      </w:r>
      <w:r>
        <w:rPr>
          <w:noProof/>
          <w:lang w:val="fr-CA"/>
        </w:rPr>
        <w:t>’</w:t>
      </w:r>
      <w:r w:rsidRPr="00E41E88">
        <w:rPr>
          <w:noProof/>
          <w:lang w:val="fr-CA"/>
        </w:rPr>
        <w:t>événement déclencheur et la prime calculée et versée à l</w:t>
      </w:r>
      <w:r>
        <w:rPr>
          <w:noProof/>
          <w:lang w:val="fr-CA"/>
        </w:rPr>
        <w:t>’</w:t>
      </w:r>
      <w:r w:rsidRPr="00E41E88">
        <w:rPr>
          <w:noProof/>
          <w:lang w:val="fr-CA"/>
        </w:rPr>
        <w:t>employé ne doit pas être considérée comme faisant partie de la rémunération de ce dernier à quelque fin que ce soit, y compris en cas de démission de l</w:t>
      </w:r>
      <w:r>
        <w:rPr>
          <w:noProof/>
          <w:lang w:val="fr-CA"/>
        </w:rPr>
        <w:t>’</w:t>
      </w:r>
      <w:r w:rsidRPr="00E41E88">
        <w:rPr>
          <w:noProof/>
          <w:lang w:val="fr-CA"/>
        </w:rPr>
        <w:t>employé ou de calcul de toute indemnité de départ.</w:t>
      </w:r>
    </w:p>
    <w:p w:rsidR="00DD44E8" w:rsidRPr="00E41E88" w:rsidRDefault="00DD44E8" w:rsidP="00DD44E8">
      <w:pPr>
        <w:pStyle w:val="ParaNoNdepar-AltN"/>
        <w:rPr>
          <w:rFonts w:cs="Times New Roman"/>
          <w:noProof/>
          <w:lang w:val="fr-CA"/>
        </w:rPr>
      </w:pPr>
      <w:r w:rsidRPr="00E41E88">
        <w:rPr>
          <w:rFonts w:cs="Times New Roman"/>
          <w:noProof/>
          <w:lang w:val="fr-CA"/>
        </w:rPr>
        <w:t>Il ne s</w:t>
      </w:r>
      <w:r>
        <w:rPr>
          <w:rFonts w:cs="Times New Roman"/>
          <w:noProof/>
          <w:lang w:val="fr-CA"/>
        </w:rPr>
        <w:t>’</w:t>
      </w:r>
      <w:r w:rsidRPr="00E41E88">
        <w:rPr>
          <w:rFonts w:cs="Times New Roman"/>
          <w:noProof/>
          <w:lang w:val="fr-CA"/>
        </w:rPr>
        <w:t>agit pas de déterminer si ces modalités sont ambiguës, mais de savoir si le texte du régime a pour effet de limiter ou de supprimer clairement les droits que confère la common law</w:t>
      </w:r>
      <w:r w:rsidRPr="00E41E88">
        <w:rPr>
          <w:rFonts w:cs="Times New Roman"/>
          <w:i/>
          <w:noProof/>
          <w:lang w:val="fr-CA"/>
        </w:rPr>
        <w:t xml:space="preserve"> </w:t>
      </w:r>
      <w:r w:rsidRPr="00E41E88">
        <w:rPr>
          <w:rFonts w:cs="Times New Roman"/>
          <w:noProof/>
          <w:lang w:val="fr-CA"/>
        </w:rPr>
        <w:t>à l</w:t>
      </w:r>
      <w:r>
        <w:rPr>
          <w:rFonts w:cs="Times New Roman"/>
          <w:noProof/>
          <w:lang w:val="fr-CA"/>
        </w:rPr>
        <w:t>’</w:t>
      </w:r>
      <w:r w:rsidRPr="00E41E88">
        <w:rPr>
          <w:rFonts w:cs="Times New Roman"/>
          <w:noProof/>
          <w:lang w:val="fr-CA"/>
        </w:rPr>
        <w:t>employé (</w:t>
      </w:r>
      <w:r w:rsidRPr="00E41E88">
        <w:rPr>
          <w:rFonts w:cs="Times New Roman"/>
          <w:i/>
          <w:noProof/>
          <w:lang w:val="fr-CA"/>
        </w:rPr>
        <w:t>Paquette</w:t>
      </w:r>
      <w:r w:rsidRPr="00E41E88">
        <w:rPr>
          <w:rFonts w:cs="Times New Roman"/>
          <w:noProof/>
          <w:lang w:val="fr-CA"/>
        </w:rPr>
        <w:t xml:space="preserve">, par. 31, citant </w:t>
      </w:r>
      <w:r w:rsidRPr="00E41E88">
        <w:rPr>
          <w:rFonts w:cs="Times New Roman"/>
          <w:i/>
          <w:noProof/>
          <w:lang w:val="fr-CA"/>
        </w:rPr>
        <w:t>Taggart</w:t>
      </w:r>
      <w:r w:rsidRPr="00E41E88">
        <w:rPr>
          <w:rFonts w:cs="Times New Roman"/>
          <w:noProof/>
          <w:lang w:val="fr-CA"/>
        </w:rPr>
        <w:t>, par. 12</w:t>
      </w:r>
      <w:r>
        <w:rPr>
          <w:rFonts w:cs="Times New Roman"/>
          <w:noProof/>
          <w:lang w:val="fr-CA"/>
        </w:rPr>
        <w:t xml:space="preserve"> et</w:t>
      </w:r>
      <w:r w:rsidRPr="00E41E88">
        <w:rPr>
          <w:rFonts w:cs="Times New Roman"/>
          <w:noProof/>
          <w:lang w:val="fr-CA"/>
        </w:rPr>
        <w:t xml:space="preserve"> 19</w:t>
      </w:r>
      <w:r w:rsidRPr="00E41E88">
        <w:rPr>
          <w:rFonts w:cs="Times New Roman"/>
          <w:noProof/>
          <w:lang w:val="fr-CA"/>
        </w:rPr>
        <w:noBreakHyphen/>
        <w:t xml:space="preserve">22). Fait important, comme le RILT est un </w:t>
      </w:r>
      <w:r w:rsidRPr="00E41E88">
        <w:rPr>
          <w:rFonts w:cs="Times New Roman"/>
          <w:smallCaps/>
          <w:noProof/>
          <w:lang w:val="fr-CA"/>
        </w:rPr>
        <w:t>[traduction]</w:t>
      </w:r>
      <w:r w:rsidRPr="00E41E88">
        <w:rPr>
          <w:rFonts w:cs="Times New Roman"/>
          <w:noProof/>
          <w:lang w:val="fr-CA"/>
        </w:rPr>
        <w:t xml:space="preserve"> « contrat unilatéral », en ce sens que les parties n</w:t>
      </w:r>
      <w:r>
        <w:rPr>
          <w:rFonts w:cs="Times New Roman"/>
          <w:noProof/>
          <w:lang w:val="fr-CA"/>
        </w:rPr>
        <w:t>’</w:t>
      </w:r>
      <w:r w:rsidRPr="00E41E88">
        <w:rPr>
          <w:rFonts w:cs="Times New Roman"/>
          <w:noProof/>
          <w:lang w:val="fr-CA"/>
        </w:rPr>
        <w:t>ont pas négocié ses modalités, le principe d</w:t>
      </w:r>
      <w:r>
        <w:rPr>
          <w:rFonts w:cs="Times New Roman"/>
          <w:noProof/>
          <w:lang w:val="fr-CA"/>
        </w:rPr>
        <w:t>’</w:t>
      </w:r>
      <w:r w:rsidRPr="00E41E88">
        <w:rPr>
          <w:rFonts w:cs="Times New Roman"/>
          <w:noProof/>
          <w:lang w:val="fr-CA"/>
        </w:rPr>
        <w:t>interprétation des contrats selon lequel les clauses d</w:t>
      </w:r>
      <w:r>
        <w:rPr>
          <w:rFonts w:cs="Times New Roman"/>
          <w:noProof/>
          <w:lang w:val="fr-CA"/>
        </w:rPr>
        <w:t>’</w:t>
      </w:r>
      <w:r w:rsidRPr="00E41E88">
        <w:rPr>
          <w:rFonts w:cs="Times New Roman"/>
          <w:noProof/>
          <w:lang w:val="fr-CA"/>
        </w:rPr>
        <w:t xml:space="preserve">exonération ou de limitation de responsabilité doivent recevoir une interprétation stricte </w:t>
      </w:r>
      <w:r w:rsidRPr="00E41E88">
        <w:rPr>
          <w:rFonts w:cs="Times New Roman"/>
          <w:smallCaps/>
          <w:noProof/>
          <w:lang w:val="fr-CA"/>
        </w:rPr>
        <w:t>[traduction]</w:t>
      </w:r>
      <w:r w:rsidRPr="00E41E88">
        <w:rPr>
          <w:rFonts w:cs="Times New Roman"/>
          <w:noProof/>
          <w:lang w:val="fr-CA"/>
        </w:rPr>
        <w:t xml:space="preserve"> « s</w:t>
      </w:r>
      <w:r>
        <w:rPr>
          <w:rFonts w:cs="Times New Roman"/>
          <w:noProof/>
          <w:lang w:val="fr-CA"/>
        </w:rPr>
        <w:t>’</w:t>
      </w:r>
      <w:r w:rsidRPr="00E41E88">
        <w:rPr>
          <w:rFonts w:cs="Times New Roman"/>
          <w:noProof/>
          <w:lang w:val="fr-CA"/>
        </w:rPr>
        <w:t xml:space="preserve">applique avec une vigueur </w:t>
      </w:r>
      <w:r w:rsidRPr="00E41E88">
        <w:rPr>
          <w:rFonts w:cs="Times New Roman"/>
          <w:noProof/>
          <w:lang w:val="fr-CA"/>
        </w:rPr>
        <w:lastRenderedPageBreak/>
        <w:t>singulière » (</w:t>
      </w:r>
      <w:r w:rsidRPr="00E41E88">
        <w:rPr>
          <w:rFonts w:cs="Times New Roman"/>
          <w:i/>
          <w:noProof/>
          <w:lang w:val="fr-CA"/>
        </w:rPr>
        <w:t>Taggart</w:t>
      </w:r>
      <w:r w:rsidRPr="00E41E88">
        <w:rPr>
          <w:rFonts w:cs="Times New Roman"/>
          <w:noProof/>
          <w:lang w:val="fr-CA"/>
        </w:rPr>
        <w:t xml:space="preserve">, par. 18, citant </w:t>
      </w:r>
      <w:r w:rsidRPr="00E41E88">
        <w:rPr>
          <w:rFonts w:cs="Times New Roman"/>
          <w:i/>
          <w:noProof/>
          <w:lang w:val="fr-CA"/>
        </w:rPr>
        <w:t>Hunter Engineering Co. c. Syncrude Canada Ltée</w:t>
      </w:r>
      <w:r w:rsidRPr="00E41E88">
        <w:rPr>
          <w:rFonts w:cs="Times New Roman"/>
          <w:noProof/>
          <w:lang w:val="fr-CA"/>
        </w:rPr>
        <w:t>, [1989] 1 R.C.S. 426, p. 459). Comme l</w:t>
      </w:r>
      <w:r>
        <w:rPr>
          <w:rFonts w:cs="Times New Roman"/>
          <w:noProof/>
          <w:lang w:val="fr-CA"/>
        </w:rPr>
        <w:t>’</w:t>
      </w:r>
      <w:r w:rsidRPr="00E41E88">
        <w:rPr>
          <w:rFonts w:cs="Times New Roman"/>
          <w:noProof/>
          <w:lang w:val="fr-CA"/>
        </w:rPr>
        <w:t xml:space="preserve">a reconnu notre Cour dans </w:t>
      </w:r>
      <w:r w:rsidRPr="00E41E88">
        <w:rPr>
          <w:rFonts w:cs="Times New Roman"/>
          <w:i/>
          <w:noProof/>
          <w:lang w:val="fr-CA"/>
        </w:rPr>
        <w:t>Tercon Contractors Ltd. c. Colombie‑Britannique (Transports et Voirie)</w:t>
      </w:r>
      <w:r w:rsidRPr="00E41E88">
        <w:rPr>
          <w:rFonts w:cs="Times New Roman"/>
          <w:noProof/>
          <w:lang w:val="fr-CA"/>
        </w:rPr>
        <w:t>, 2010 CSC 4, [2010] 1 R.C.S. 69, par. 73, décision rendue en contexte commercial, et qui est mentionnée en l</w:t>
      </w:r>
      <w:r>
        <w:rPr>
          <w:rFonts w:cs="Times New Roman"/>
          <w:noProof/>
          <w:lang w:val="fr-CA"/>
        </w:rPr>
        <w:t>’</w:t>
      </w:r>
      <w:r w:rsidRPr="00E41E88">
        <w:rPr>
          <w:rFonts w:cs="Times New Roman"/>
          <w:noProof/>
          <w:lang w:val="fr-CA"/>
        </w:rPr>
        <w:t>espèce uniquement pour souligner le point suivant : des parties expérimentées peuvent rédiger des clauses à la fois claires et exhaustives d</w:t>
      </w:r>
      <w:r>
        <w:rPr>
          <w:rFonts w:cs="Times New Roman"/>
          <w:noProof/>
          <w:lang w:val="fr-CA"/>
        </w:rPr>
        <w:t>’</w:t>
      </w:r>
      <w:r w:rsidRPr="00E41E88">
        <w:rPr>
          <w:rFonts w:cs="Times New Roman"/>
          <w:noProof/>
          <w:lang w:val="fr-CA"/>
        </w:rPr>
        <w:t>exonération lorsqu</w:t>
      </w:r>
      <w:r>
        <w:rPr>
          <w:rFonts w:cs="Times New Roman"/>
          <w:noProof/>
          <w:lang w:val="fr-CA"/>
        </w:rPr>
        <w:t>’</w:t>
      </w:r>
      <w:r w:rsidRPr="00E41E88">
        <w:rPr>
          <w:rFonts w:cs="Times New Roman"/>
          <w:noProof/>
          <w:lang w:val="fr-CA"/>
        </w:rPr>
        <w:t>elles entendent le faire.</w:t>
      </w:r>
    </w:p>
    <w:p w:rsidR="00DD44E8" w:rsidRPr="00E41E88" w:rsidRDefault="00DD44E8" w:rsidP="00DD44E8">
      <w:pPr>
        <w:pStyle w:val="ParaNoNdepar-AltN"/>
        <w:rPr>
          <w:rFonts w:cs="Times New Roman"/>
          <w:noProof/>
          <w:lang w:val="fr-CA"/>
        </w:rPr>
      </w:pPr>
      <w:r w:rsidRPr="00E41E88">
        <w:rPr>
          <w:rFonts w:cs="Times New Roman"/>
          <w:noProof/>
          <w:lang w:val="fr-CA"/>
        </w:rPr>
        <w:t>Pour cette raison, les dispositions de l</w:t>
      </w:r>
      <w:r>
        <w:rPr>
          <w:rFonts w:cs="Times New Roman"/>
          <w:noProof/>
          <w:lang w:val="fr-CA"/>
        </w:rPr>
        <w:t>’</w:t>
      </w:r>
      <w:r w:rsidRPr="00E41E88">
        <w:rPr>
          <w:rFonts w:cs="Times New Roman"/>
          <w:noProof/>
          <w:lang w:val="fr-CA"/>
        </w:rPr>
        <w:t>entente doivent être absolument claires et non ambiguës. Ainsi, une disposition exigeant qu</w:t>
      </w:r>
      <w:r>
        <w:rPr>
          <w:rFonts w:cs="Times New Roman"/>
          <w:noProof/>
          <w:lang w:val="fr-CA"/>
        </w:rPr>
        <w:t>’</w:t>
      </w:r>
      <w:r w:rsidRPr="00E41E88">
        <w:rPr>
          <w:rFonts w:cs="Times New Roman"/>
          <w:noProof/>
          <w:lang w:val="fr-CA"/>
        </w:rPr>
        <w:t xml:space="preserve">un employé soit un </w:t>
      </w:r>
      <w:r w:rsidRPr="00E41E88">
        <w:rPr>
          <w:rFonts w:cs="Times New Roman"/>
          <w:smallCaps/>
          <w:noProof/>
          <w:lang w:val="fr-CA"/>
        </w:rPr>
        <w:t xml:space="preserve">[traduction] </w:t>
      </w:r>
      <w:r w:rsidRPr="00E41E88">
        <w:rPr>
          <w:rFonts w:cs="Times New Roman"/>
          <w:noProof/>
          <w:lang w:val="fr-CA"/>
        </w:rPr>
        <w:t>« employé à temps plein » ou un « employé actif » de l</w:t>
      </w:r>
      <w:r>
        <w:rPr>
          <w:rFonts w:cs="Times New Roman"/>
          <w:noProof/>
          <w:lang w:val="fr-CA"/>
        </w:rPr>
        <w:t>’</w:t>
      </w:r>
      <w:r w:rsidRPr="00E41E88">
        <w:rPr>
          <w:rFonts w:cs="Times New Roman"/>
          <w:noProof/>
          <w:lang w:val="fr-CA"/>
        </w:rPr>
        <w:t>entreprise, comme l</w:t>
      </w:r>
      <w:r>
        <w:rPr>
          <w:rFonts w:cs="Times New Roman"/>
          <w:noProof/>
          <w:lang w:val="fr-CA"/>
        </w:rPr>
        <w:t>’</w:t>
      </w:r>
      <w:r w:rsidRPr="00E41E88">
        <w:rPr>
          <w:rFonts w:cs="Times New Roman"/>
          <w:noProof/>
          <w:lang w:val="fr-CA"/>
        </w:rPr>
        <w:t>exige la clause 2.03, ne sera pas suffisante pour supprimer le droit que confère la common law</w:t>
      </w:r>
      <w:r w:rsidRPr="00E41E88">
        <w:rPr>
          <w:rFonts w:cs="Times New Roman"/>
          <w:i/>
          <w:noProof/>
          <w:lang w:val="fr-CA"/>
        </w:rPr>
        <w:t xml:space="preserve"> </w:t>
      </w:r>
      <w:r w:rsidRPr="00E41E88">
        <w:rPr>
          <w:rFonts w:cs="Times New Roman"/>
          <w:noProof/>
          <w:lang w:val="fr-CA"/>
        </w:rPr>
        <w:t>à un employé d</w:t>
      </w:r>
      <w:r>
        <w:rPr>
          <w:rFonts w:cs="Times New Roman"/>
          <w:noProof/>
          <w:lang w:val="fr-CA"/>
        </w:rPr>
        <w:t>’</w:t>
      </w:r>
      <w:r w:rsidRPr="00E41E88">
        <w:rPr>
          <w:rFonts w:cs="Times New Roman"/>
          <w:noProof/>
          <w:lang w:val="fr-CA"/>
        </w:rPr>
        <w:t>obtenir des dommages</w:t>
      </w:r>
      <w:r w:rsidRPr="00E41E88">
        <w:rPr>
          <w:rFonts w:cs="Times New Roman"/>
          <w:noProof/>
          <w:lang w:val="fr-CA"/>
        </w:rPr>
        <w:noBreakHyphen/>
        <w:t>intérêts. Après tout, si un préavis adéquat avait été donné à M. Matthews, ce dernier aurait été un « employé à temps plein » ou un « employé actif » de l</w:t>
      </w:r>
      <w:r>
        <w:rPr>
          <w:rFonts w:cs="Times New Roman"/>
          <w:noProof/>
          <w:lang w:val="fr-CA"/>
        </w:rPr>
        <w:t>’</w:t>
      </w:r>
      <w:r w:rsidRPr="00E41E88">
        <w:rPr>
          <w:rFonts w:cs="Times New Roman"/>
          <w:noProof/>
          <w:lang w:val="fr-CA"/>
        </w:rPr>
        <w:t>entreprise pendant la période de préavis raisonnable (</w:t>
      </w:r>
      <w:r w:rsidRPr="00E41E88">
        <w:rPr>
          <w:rFonts w:cs="Times New Roman"/>
          <w:i/>
          <w:noProof/>
          <w:lang w:val="fr-CA"/>
        </w:rPr>
        <w:t>Paquette</w:t>
      </w:r>
      <w:r w:rsidRPr="00E41E88">
        <w:rPr>
          <w:rFonts w:cs="Times New Roman"/>
          <w:noProof/>
          <w:lang w:val="fr-CA"/>
        </w:rPr>
        <w:t>,</w:t>
      </w:r>
      <w:r w:rsidRPr="00E41E88">
        <w:rPr>
          <w:rFonts w:cs="Times New Roman"/>
          <w:i/>
          <w:noProof/>
          <w:lang w:val="fr-CA"/>
        </w:rPr>
        <w:t xml:space="preserve"> </w:t>
      </w:r>
      <w:r w:rsidRPr="00E41E88">
        <w:rPr>
          <w:rFonts w:cs="Times New Roman"/>
          <w:noProof/>
          <w:lang w:val="fr-CA"/>
        </w:rPr>
        <w:t>par. 33,</w:t>
      </w:r>
      <w:r w:rsidRPr="00E41E88">
        <w:rPr>
          <w:rFonts w:cs="Times New Roman"/>
          <w:lang w:val="fr-CA"/>
        </w:rPr>
        <w:t xml:space="preserve"> </w:t>
      </w:r>
      <w:r w:rsidRPr="00E41E88">
        <w:rPr>
          <w:rFonts w:cs="Times New Roman"/>
          <w:noProof/>
          <w:lang w:val="fr-CA"/>
        </w:rPr>
        <w:t xml:space="preserve">citant </w:t>
      </w:r>
      <w:r w:rsidRPr="00E41E88">
        <w:rPr>
          <w:rFonts w:cs="Times New Roman"/>
          <w:i/>
          <w:noProof/>
          <w:lang w:val="fr-CA"/>
        </w:rPr>
        <w:t>Schumacher c. Toronto</w:t>
      </w:r>
      <w:r w:rsidRPr="00E41E88">
        <w:rPr>
          <w:rFonts w:cs="Times New Roman"/>
          <w:i/>
          <w:noProof/>
          <w:lang w:val="fr-CA"/>
        </w:rPr>
        <w:noBreakHyphen/>
        <w:t>Dominion Bank</w:t>
      </w:r>
      <w:r w:rsidRPr="00E41E88">
        <w:rPr>
          <w:rFonts w:cs="Times New Roman"/>
          <w:noProof/>
          <w:lang w:val="fr-CA"/>
        </w:rPr>
        <w:t xml:space="preserve"> (1997), 147 D.L.R. (4th) 128 (C.J. Ont. (Div. gén.)), p. 184; voir également par.</w:t>
      </w:r>
      <w:r>
        <w:rPr>
          <w:rFonts w:cs="Times New Roman"/>
          <w:noProof/>
          <w:lang w:val="fr-CA"/>
        </w:rPr>
        <w:t xml:space="preserve"> </w:t>
      </w:r>
      <w:r w:rsidRPr="00E41E88">
        <w:rPr>
          <w:rFonts w:cs="Times New Roman"/>
          <w:noProof/>
          <w:lang w:val="fr-CA"/>
        </w:rPr>
        <w:t xml:space="preserve">47; </w:t>
      </w:r>
      <w:r w:rsidRPr="00E41E88">
        <w:rPr>
          <w:rFonts w:cs="Times New Roman"/>
          <w:i/>
          <w:noProof/>
          <w:lang w:val="fr-CA"/>
        </w:rPr>
        <w:t>Lin</w:t>
      </w:r>
      <w:r w:rsidRPr="00E41E88">
        <w:rPr>
          <w:rFonts w:cs="Times New Roman"/>
          <w:noProof/>
          <w:lang w:val="fr-CA"/>
        </w:rPr>
        <w:t>, par. 89). D</w:t>
      </w:r>
      <w:r>
        <w:rPr>
          <w:rFonts w:cs="Times New Roman"/>
          <w:noProof/>
          <w:lang w:val="fr-CA"/>
        </w:rPr>
        <w:t>’</w:t>
      </w:r>
      <w:r w:rsidRPr="00E41E88">
        <w:rPr>
          <w:rFonts w:cs="Times New Roman"/>
          <w:noProof/>
          <w:lang w:val="fr-CA"/>
        </w:rPr>
        <w:t>ailleurs, le juge de première instance et les juges majoritaires de la Cour d</w:t>
      </w:r>
      <w:r>
        <w:rPr>
          <w:rFonts w:cs="Times New Roman"/>
          <w:noProof/>
          <w:lang w:val="fr-CA"/>
        </w:rPr>
        <w:t>’</w:t>
      </w:r>
      <w:r w:rsidRPr="00E41E88">
        <w:rPr>
          <w:rFonts w:cs="Times New Roman"/>
          <w:noProof/>
          <w:lang w:val="fr-CA"/>
        </w:rPr>
        <w:t>appel ont reconnu qu</w:t>
      </w:r>
      <w:r>
        <w:rPr>
          <w:rFonts w:cs="Times New Roman"/>
          <w:noProof/>
          <w:lang w:val="fr-CA"/>
        </w:rPr>
        <w:t>’</w:t>
      </w:r>
      <w:r w:rsidRPr="00E41E88">
        <w:rPr>
          <w:rFonts w:cs="Times New Roman"/>
          <w:noProof/>
          <w:lang w:val="fr-CA"/>
        </w:rPr>
        <w:t>une condition stipulant que l</w:t>
      </w:r>
      <w:r>
        <w:rPr>
          <w:rFonts w:cs="Times New Roman"/>
          <w:noProof/>
          <w:lang w:val="fr-CA"/>
        </w:rPr>
        <w:t>’</w:t>
      </w:r>
      <w:r w:rsidR="00A169E5">
        <w:rPr>
          <w:rFonts w:cs="Times New Roman"/>
          <w:noProof/>
          <w:lang w:val="fr-CA"/>
        </w:rPr>
        <w:t xml:space="preserve">employé soit en situation </w:t>
      </w:r>
      <w:r w:rsidRPr="00E41E88">
        <w:rPr>
          <w:rFonts w:cs="Times New Roman"/>
          <w:smallCaps/>
          <w:noProof/>
          <w:lang w:val="fr-CA"/>
        </w:rPr>
        <w:t xml:space="preserve">[traduction] </w:t>
      </w:r>
      <w:r w:rsidRPr="00E41E88">
        <w:rPr>
          <w:rFonts w:cs="Times New Roman"/>
          <w:noProof/>
          <w:lang w:val="fr-CA"/>
        </w:rPr>
        <w:t>« </w:t>
      </w:r>
      <w:r w:rsidR="00A169E5" w:rsidRPr="00E41E88">
        <w:rPr>
          <w:rFonts w:cs="Times New Roman"/>
          <w:smallCaps/>
          <w:noProof/>
          <w:lang w:val="fr-CA"/>
        </w:rPr>
        <w:t>[</w:t>
      </w:r>
      <w:r w:rsidR="00A169E5">
        <w:rPr>
          <w:rFonts w:cs="Times New Roman"/>
          <w:noProof/>
          <w:lang w:val="fr-CA"/>
        </w:rPr>
        <w:t>d’</w:t>
      </w:r>
      <w:r w:rsidR="00A169E5" w:rsidRPr="00E41E88">
        <w:rPr>
          <w:rFonts w:cs="Times New Roman"/>
          <w:smallCaps/>
          <w:noProof/>
          <w:lang w:val="fr-CA"/>
        </w:rPr>
        <w:t>]</w:t>
      </w:r>
      <w:r w:rsidRPr="00E41E88">
        <w:rPr>
          <w:rFonts w:cs="Times New Roman"/>
          <w:noProof/>
          <w:lang w:val="fr-CA"/>
        </w:rPr>
        <w:t>emploi actif » n</w:t>
      </w:r>
      <w:r>
        <w:rPr>
          <w:rFonts w:cs="Times New Roman"/>
          <w:noProof/>
          <w:lang w:val="fr-CA"/>
        </w:rPr>
        <w:t>’</w:t>
      </w:r>
      <w:r w:rsidRPr="00E41E88">
        <w:rPr>
          <w:rFonts w:cs="Times New Roman"/>
          <w:noProof/>
          <w:lang w:val="fr-CA"/>
        </w:rPr>
        <w:t>est pas suffisante pour limiter les dommages</w:t>
      </w:r>
      <w:r w:rsidRPr="00E41E88">
        <w:rPr>
          <w:rFonts w:cs="Times New Roman"/>
          <w:noProof/>
          <w:lang w:val="fr-CA"/>
        </w:rPr>
        <w:noBreakHyphen/>
        <w:t xml:space="preserve">intérêts auxquels un employé a droit (motifs de première instance, par. 398; motifs </w:t>
      </w:r>
      <w:r>
        <w:rPr>
          <w:rFonts w:cs="Times New Roman"/>
          <w:noProof/>
          <w:lang w:val="fr-CA"/>
        </w:rPr>
        <w:t xml:space="preserve">de la Cour </w:t>
      </w:r>
      <w:r w:rsidRPr="00E41E88">
        <w:rPr>
          <w:rFonts w:cs="Times New Roman"/>
          <w:noProof/>
          <w:lang w:val="fr-CA"/>
        </w:rPr>
        <w:t>d</w:t>
      </w:r>
      <w:r>
        <w:rPr>
          <w:rFonts w:cs="Times New Roman"/>
          <w:noProof/>
          <w:lang w:val="fr-CA"/>
        </w:rPr>
        <w:t>’</w:t>
      </w:r>
      <w:r w:rsidRPr="00E41E88">
        <w:rPr>
          <w:rFonts w:cs="Times New Roman"/>
          <w:noProof/>
          <w:lang w:val="fr-CA"/>
        </w:rPr>
        <w:t xml:space="preserve">appel, par. 66). </w:t>
      </w:r>
    </w:p>
    <w:p w:rsidR="00DD44E8" w:rsidRPr="00E41E88" w:rsidRDefault="00DD44E8" w:rsidP="00DD44E8">
      <w:pPr>
        <w:pStyle w:val="ParaNoNdepar-AltN"/>
        <w:rPr>
          <w:rFonts w:cs="Times New Roman"/>
          <w:noProof/>
          <w:lang w:val="fr-CA"/>
        </w:rPr>
      </w:pPr>
      <w:r w:rsidRPr="00E41E88">
        <w:rPr>
          <w:rFonts w:cs="Times New Roman"/>
          <w:noProof/>
          <w:lang w:val="fr-CA"/>
        </w:rPr>
        <w:lastRenderedPageBreak/>
        <w:t>De même, lorsqu</w:t>
      </w:r>
      <w:r>
        <w:rPr>
          <w:rFonts w:cs="Times New Roman"/>
          <w:noProof/>
          <w:lang w:val="fr-CA"/>
        </w:rPr>
        <w:t>’</w:t>
      </w:r>
      <w:r w:rsidRPr="00E41E88">
        <w:rPr>
          <w:rFonts w:cs="Times New Roman"/>
          <w:noProof/>
          <w:lang w:val="fr-CA"/>
        </w:rPr>
        <w:t>une clause vise à supprimer le droit qu</w:t>
      </w:r>
      <w:r>
        <w:rPr>
          <w:rFonts w:cs="Times New Roman"/>
          <w:noProof/>
          <w:lang w:val="fr-CA"/>
        </w:rPr>
        <w:t>’</w:t>
      </w:r>
      <w:r w:rsidRPr="00E41E88">
        <w:rPr>
          <w:rFonts w:cs="Times New Roman"/>
          <w:noProof/>
          <w:lang w:val="fr-CA"/>
        </w:rPr>
        <w:t>a un employé en vertu de la common law d</w:t>
      </w:r>
      <w:r>
        <w:rPr>
          <w:rFonts w:cs="Times New Roman"/>
          <w:noProof/>
          <w:lang w:val="fr-CA"/>
        </w:rPr>
        <w:t>’</w:t>
      </w:r>
      <w:r w:rsidRPr="00E41E88">
        <w:rPr>
          <w:rFonts w:cs="Times New Roman"/>
          <w:noProof/>
          <w:lang w:val="fr-CA"/>
        </w:rPr>
        <w:t>obtenir des dommages</w:t>
      </w:r>
      <w:r w:rsidRPr="00E41E88">
        <w:rPr>
          <w:rFonts w:cs="Times New Roman"/>
          <w:noProof/>
          <w:lang w:val="fr-CA"/>
        </w:rPr>
        <w:noBreakHyphen/>
        <w:t>intérêts lorsqu</w:t>
      </w:r>
      <w:r>
        <w:rPr>
          <w:rFonts w:cs="Times New Roman"/>
          <w:noProof/>
          <w:lang w:val="fr-CA"/>
        </w:rPr>
        <w:t>’</w:t>
      </w:r>
      <w:r w:rsidRPr="00E41E88">
        <w:rPr>
          <w:rFonts w:cs="Times New Roman"/>
          <w:noProof/>
          <w:lang w:val="fr-CA"/>
        </w:rPr>
        <w:t>il est congédié « avec ou sans motif », comme le prévoit la clause 2.03, une telle disposition ne sera pas suffisante. En l</w:t>
      </w:r>
      <w:r>
        <w:rPr>
          <w:rFonts w:cs="Times New Roman"/>
          <w:noProof/>
          <w:lang w:val="fr-CA"/>
        </w:rPr>
        <w:t>’</w:t>
      </w:r>
      <w:r w:rsidRPr="00E41E88">
        <w:rPr>
          <w:rFonts w:cs="Times New Roman"/>
          <w:noProof/>
          <w:lang w:val="fr-CA"/>
        </w:rPr>
        <w:t>espèce, M. Matthews a fait l</w:t>
      </w:r>
      <w:r>
        <w:rPr>
          <w:rFonts w:cs="Times New Roman"/>
          <w:noProof/>
          <w:lang w:val="fr-CA"/>
        </w:rPr>
        <w:t>’</w:t>
      </w:r>
      <w:r w:rsidRPr="00E41E88">
        <w:rPr>
          <w:rFonts w:cs="Times New Roman"/>
          <w:noProof/>
          <w:lang w:val="fr-CA"/>
        </w:rPr>
        <w:t>objet d</w:t>
      </w:r>
      <w:r>
        <w:rPr>
          <w:rFonts w:cs="Times New Roman"/>
          <w:noProof/>
          <w:lang w:val="fr-CA"/>
        </w:rPr>
        <w:t>’</w:t>
      </w:r>
      <w:r w:rsidRPr="00E41E88">
        <w:rPr>
          <w:rFonts w:cs="Times New Roman"/>
          <w:noProof/>
          <w:lang w:val="fr-CA"/>
        </w:rPr>
        <w:t xml:space="preserve">un congédiement </w:t>
      </w:r>
      <w:r w:rsidRPr="00E41E88">
        <w:rPr>
          <w:rFonts w:cs="Times New Roman"/>
          <w:i/>
          <w:noProof/>
          <w:lang w:val="fr-CA"/>
        </w:rPr>
        <w:t xml:space="preserve">illégal </w:t>
      </w:r>
      <w:r w:rsidRPr="00E41E88">
        <w:rPr>
          <w:rFonts w:cs="Times New Roman"/>
          <w:noProof/>
          <w:lang w:val="fr-CA"/>
        </w:rPr>
        <w:t>étant donné qu</w:t>
      </w:r>
      <w:r>
        <w:rPr>
          <w:rFonts w:cs="Times New Roman"/>
          <w:noProof/>
          <w:lang w:val="fr-CA"/>
        </w:rPr>
        <w:t>’</w:t>
      </w:r>
      <w:r w:rsidRPr="00E41E88">
        <w:rPr>
          <w:rFonts w:cs="Times New Roman"/>
          <w:noProof/>
          <w:lang w:val="fr-CA"/>
        </w:rPr>
        <w:t xml:space="preserve">il a été congédié de manière déguisée sans préavis. Comme </w:t>
      </w:r>
      <w:r>
        <w:rPr>
          <w:rFonts w:cs="Times New Roman"/>
          <w:noProof/>
          <w:lang w:val="fr-CA"/>
        </w:rPr>
        <w:t>l’</w:t>
      </w:r>
      <w:r w:rsidRPr="00E41E88">
        <w:rPr>
          <w:rFonts w:cs="Times New Roman"/>
          <w:noProof/>
          <w:lang w:val="fr-CA"/>
        </w:rPr>
        <w:t>a conclu notre Cour dans l</w:t>
      </w:r>
      <w:r>
        <w:rPr>
          <w:rFonts w:cs="Times New Roman"/>
          <w:noProof/>
          <w:lang w:val="fr-CA"/>
        </w:rPr>
        <w:t>’</w:t>
      </w:r>
      <w:r w:rsidRPr="00E41E88">
        <w:rPr>
          <w:rFonts w:cs="Times New Roman"/>
          <w:noProof/>
          <w:lang w:val="fr-CA"/>
        </w:rPr>
        <w:t xml:space="preserve">arrêt </w:t>
      </w:r>
      <w:r w:rsidRPr="00E41E88">
        <w:rPr>
          <w:rFonts w:cs="Times New Roman"/>
          <w:i/>
          <w:noProof/>
          <w:lang w:val="fr-CA"/>
        </w:rPr>
        <w:t>Bauer c. Banque de Montréal</w:t>
      </w:r>
      <w:r w:rsidRPr="00E41E88">
        <w:rPr>
          <w:rFonts w:cs="Times New Roman"/>
          <w:noProof/>
          <w:lang w:val="fr-CA"/>
        </w:rPr>
        <w:t>, [1980] 2 R.C.S. 102,</w:t>
      </w:r>
      <w:r>
        <w:rPr>
          <w:rFonts w:cs="Times New Roman"/>
          <w:noProof/>
          <w:lang w:val="fr-CA"/>
        </w:rPr>
        <w:t xml:space="preserve"> p. 108,</w:t>
      </w:r>
      <w:r w:rsidRPr="00E41E88">
        <w:rPr>
          <w:rFonts w:cs="Times New Roman"/>
          <w:noProof/>
          <w:lang w:val="fr-CA"/>
        </w:rPr>
        <w:t xml:space="preserve"> « il doit être évident que [les clauses d</w:t>
      </w:r>
      <w:r>
        <w:rPr>
          <w:rFonts w:cs="Times New Roman"/>
          <w:noProof/>
          <w:lang w:val="fr-CA"/>
        </w:rPr>
        <w:t>’</w:t>
      </w:r>
      <w:r w:rsidRPr="00E41E88">
        <w:rPr>
          <w:rFonts w:cs="Times New Roman"/>
          <w:noProof/>
          <w:lang w:val="fr-CA"/>
        </w:rPr>
        <w:t xml:space="preserve">exclusion] vise[nt] les circonstances exactes qui se présentent ». Par conséquent, dans le cas de </w:t>
      </w:r>
      <w:r>
        <w:rPr>
          <w:rFonts w:cs="Times New Roman"/>
          <w:noProof/>
          <w:lang w:val="fr-CA"/>
        </w:rPr>
        <w:t>M. </w:t>
      </w:r>
      <w:r w:rsidRPr="00E41E88">
        <w:rPr>
          <w:rFonts w:cs="Times New Roman"/>
          <w:noProof/>
          <w:lang w:val="fr-CA"/>
        </w:rPr>
        <w:t>Matthews, le juge de première ins</w:t>
      </w:r>
      <w:r w:rsidR="00A169E5">
        <w:rPr>
          <w:rFonts w:cs="Times New Roman"/>
          <w:noProof/>
          <w:lang w:val="fr-CA"/>
        </w:rPr>
        <w:t>tance a reconnu à juste titre</w:t>
      </w:r>
      <w:r w:rsidRPr="00E41E88">
        <w:rPr>
          <w:rFonts w:cs="Times New Roman"/>
          <w:noProof/>
          <w:lang w:val="fr-CA"/>
        </w:rPr>
        <w:t xml:space="preserve"> </w:t>
      </w:r>
      <w:r w:rsidRPr="00E41E88">
        <w:rPr>
          <w:rFonts w:cs="Times New Roman"/>
          <w:smallCaps/>
          <w:noProof/>
          <w:lang w:val="fr-CA"/>
        </w:rPr>
        <w:t xml:space="preserve">[traduction] </w:t>
      </w:r>
      <w:r w:rsidRPr="00E41E88">
        <w:rPr>
          <w:rFonts w:cs="Times New Roman"/>
          <w:noProof/>
          <w:lang w:val="fr-CA"/>
        </w:rPr>
        <w:t>« [</w:t>
      </w:r>
      <w:r w:rsidR="00A169E5">
        <w:rPr>
          <w:rFonts w:cs="Times New Roman"/>
          <w:noProof/>
          <w:lang w:val="fr-CA"/>
        </w:rPr>
        <w:t>q</w:t>
      </w:r>
      <w:r w:rsidRPr="00E41E88">
        <w:rPr>
          <w:rFonts w:cs="Times New Roman"/>
          <w:noProof/>
          <w:lang w:val="fr-CA"/>
        </w:rPr>
        <w:t>u</w:t>
      </w:r>
      <w:r w:rsidR="00A169E5">
        <w:rPr>
          <w:rFonts w:cs="Times New Roman"/>
          <w:noProof/>
          <w:lang w:val="fr-CA"/>
        </w:rPr>
        <w:t>’un]</w:t>
      </w:r>
      <w:r w:rsidRPr="00E41E88">
        <w:rPr>
          <w:rFonts w:cs="Times New Roman"/>
          <w:noProof/>
          <w:lang w:val="fr-CA"/>
        </w:rPr>
        <w:t xml:space="preserve"> congédiement sans motif n</w:t>
      </w:r>
      <w:r>
        <w:rPr>
          <w:rFonts w:cs="Times New Roman"/>
          <w:noProof/>
          <w:lang w:val="fr-CA"/>
        </w:rPr>
        <w:t>’</w:t>
      </w:r>
      <w:r w:rsidRPr="00E41E88">
        <w:rPr>
          <w:rFonts w:cs="Times New Roman"/>
          <w:noProof/>
          <w:lang w:val="fr-CA"/>
        </w:rPr>
        <w:t xml:space="preserve">implique pas un congédiement sans préavis » (par. 399; voir également </w:t>
      </w:r>
      <w:r w:rsidRPr="00E41E88">
        <w:rPr>
          <w:rFonts w:cs="Times New Roman"/>
          <w:i/>
          <w:noProof/>
          <w:lang w:val="fr-CA"/>
        </w:rPr>
        <w:t>Veer c. Dover Corp</w:t>
      </w:r>
      <w:r>
        <w:rPr>
          <w:rFonts w:cs="Times New Roman"/>
          <w:i/>
          <w:noProof/>
          <w:lang w:val="fr-CA"/>
        </w:rPr>
        <w:t>.</w:t>
      </w:r>
      <w:r w:rsidRPr="00E41E88">
        <w:rPr>
          <w:rFonts w:cs="Times New Roman"/>
          <w:i/>
          <w:noProof/>
          <w:lang w:val="fr-CA"/>
        </w:rPr>
        <w:t xml:space="preserve"> (Canada)</w:t>
      </w:r>
      <w:r>
        <w:rPr>
          <w:rFonts w:cs="Times New Roman"/>
          <w:i/>
          <w:noProof/>
          <w:lang w:val="fr-CA"/>
        </w:rPr>
        <w:t xml:space="preserve"> Ltd.</w:t>
      </w:r>
      <w:r w:rsidRPr="00E41E88">
        <w:rPr>
          <w:rFonts w:cs="Times New Roman"/>
          <w:i/>
          <w:noProof/>
          <w:lang w:val="fr-CA"/>
        </w:rPr>
        <w:t xml:space="preserve"> </w:t>
      </w:r>
      <w:r w:rsidRPr="00E41E88">
        <w:rPr>
          <w:rFonts w:cs="Times New Roman"/>
          <w:noProof/>
          <w:lang w:val="fr-CA"/>
        </w:rPr>
        <w:t xml:space="preserve">(1999), 120 O.A.C. 394, par. 14; </w:t>
      </w:r>
      <w:r w:rsidRPr="00E41E88">
        <w:rPr>
          <w:rFonts w:cs="Times New Roman"/>
          <w:i/>
          <w:noProof/>
          <w:lang w:val="fr-CA"/>
        </w:rPr>
        <w:t>Lin</w:t>
      </w:r>
      <w:r w:rsidRPr="00E41E88">
        <w:rPr>
          <w:rFonts w:cs="Times New Roman"/>
          <w:noProof/>
          <w:lang w:val="fr-CA"/>
        </w:rPr>
        <w:t>, par. 91). Or, il convient de répéter que, pour les besoins du calcul du montant des dommages</w:t>
      </w:r>
      <w:r w:rsidRPr="00E41E88">
        <w:rPr>
          <w:rFonts w:cs="Times New Roman"/>
          <w:noProof/>
          <w:lang w:val="fr-CA"/>
        </w:rPr>
        <w:noBreakHyphen/>
        <w:t>intérêts à verser en cas de congédiement injustifié, le contrat de travail est considéré comme étant « résilié » uniquement après l</w:t>
      </w:r>
      <w:r>
        <w:rPr>
          <w:rFonts w:cs="Times New Roman"/>
          <w:noProof/>
          <w:lang w:val="fr-CA"/>
        </w:rPr>
        <w:t>’</w:t>
      </w:r>
      <w:r w:rsidRPr="00E41E88">
        <w:rPr>
          <w:rFonts w:cs="Times New Roman"/>
          <w:noProof/>
          <w:lang w:val="fr-CA"/>
        </w:rPr>
        <w:t>expiration de la période de préavis raisonnable. Par conséquent, même si la clause en question avait fait mention expressément d</w:t>
      </w:r>
      <w:r>
        <w:rPr>
          <w:rFonts w:cs="Times New Roman"/>
          <w:noProof/>
          <w:lang w:val="fr-CA"/>
        </w:rPr>
        <w:t>’</w:t>
      </w:r>
      <w:r w:rsidRPr="00E41E88">
        <w:rPr>
          <w:rFonts w:cs="Times New Roman"/>
          <w:noProof/>
          <w:lang w:val="fr-CA"/>
        </w:rPr>
        <w:t>un congédiement illégal, je suis d</w:t>
      </w:r>
      <w:r>
        <w:rPr>
          <w:rFonts w:cs="Times New Roman"/>
          <w:noProof/>
          <w:lang w:val="fr-CA"/>
        </w:rPr>
        <w:t>’</w:t>
      </w:r>
      <w:r w:rsidRPr="00E41E88">
        <w:rPr>
          <w:rFonts w:cs="Times New Roman"/>
          <w:noProof/>
          <w:lang w:val="fr-CA"/>
        </w:rPr>
        <w:t>avis qu</w:t>
      </w:r>
      <w:r>
        <w:rPr>
          <w:rFonts w:cs="Times New Roman"/>
          <w:noProof/>
          <w:lang w:val="fr-CA"/>
        </w:rPr>
        <w:t>’</w:t>
      </w:r>
      <w:r w:rsidRPr="00E41E88">
        <w:rPr>
          <w:rFonts w:cs="Times New Roman"/>
          <w:noProof/>
          <w:lang w:val="fr-CA"/>
        </w:rPr>
        <w:t>une telle disposition n</w:t>
      </w:r>
      <w:r>
        <w:rPr>
          <w:rFonts w:cs="Times New Roman"/>
          <w:noProof/>
          <w:lang w:val="fr-CA"/>
        </w:rPr>
        <w:t>’</w:t>
      </w:r>
      <w:r w:rsidRPr="00E41E88">
        <w:rPr>
          <w:rFonts w:cs="Times New Roman"/>
          <w:noProof/>
          <w:lang w:val="fr-CA"/>
        </w:rPr>
        <w:t>aurait pas non plus modifié clairement le droit que confère la common law à l</w:t>
      </w:r>
      <w:r>
        <w:rPr>
          <w:rFonts w:cs="Times New Roman"/>
          <w:noProof/>
          <w:lang w:val="fr-CA"/>
        </w:rPr>
        <w:t>’</w:t>
      </w:r>
      <w:r w:rsidRPr="00E41E88">
        <w:rPr>
          <w:rFonts w:cs="Times New Roman"/>
          <w:noProof/>
          <w:lang w:val="fr-CA"/>
        </w:rPr>
        <w:t xml:space="preserve">employé. </w:t>
      </w:r>
    </w:p>
    <w:p w:rsidR="00DD44E8" w:rsidRPr="00E41E88" w:rsidRDefault="00DD44E8" w:rsidP="00DD44E8">
      <w:pPr>
        <w:pStyle w:val="ParaNoNdepar-AltN"/>
        <w:widowControl w:val="0"/>
        <w:rPr>
          <w:rFonts w:cs="Times New Roman"/>
          <w:noProof/>
          <w:lang w:val="fr-CA"/>
        </w:rPr>
      </w:pPr>
      <w:r w:rsidRPr="00E41E88">
        <w:rPr>
          <w:rFonts w:cs="Times New Roman"/>
          <w:noProof/>
          <w:lang w:val="fr-CA"/>
        </w:rPr>
        <w:t>Ainsi, à l</w:t>
      </w:r>
      <w:r>
        <w:rPr>
          <w:rFonts w:cs="Times New Roman"/>
          <w:noProof/>
          <w:lang w:val="fr-CA"/>
        </w:rPr>
        <w:t>’</w:t>
      </w:r>
      <w:r w:rsidRPr="00E41E88">
        <w:rPr>
          <w:rFonts w:cs="Times New Roman"/>
          <w:noProof/>
          <w:lang w:val="fr-CA"/>
        </w:rPr>
        <w:t>instar du juge de première instance, j</w:t>
      </w:r>
      <w:r>
        <w:rPr>
          <w:rFonts w:cs="Times New Roman"/>
          <w:noProof/>
          <w:lang w:val="fr-CA"/>
        </w:rPr>
        <w:t>’</w:t>
      </w:r>
      <w:r w:rsidRPr="00E41E88">
        <w:rPr>
          <w:rFonts w:cs="Times New Roman"/>
          <w:noProof/>
          <w:lang w:val="fr-CA"/>
        </w:rPr>
        <w:t>estime que la clause 2.03 n</w:t>
      </w:r>
      <w:r>
        <w:rPr>
          <w:rFonts w:cs="Times New Roman"/>
          <w:noProof/>
          <w:lang w:val="fr-CA"/>
        </w:rPr>
        <w:t>’</w:t>
      </w:r>
      <w:r w:rsidRPr="00E41E88">
        <w:rPr>
          <w:rFonts w:cs="Times New Roman"/>
          <w:noProof/>
          <w:lang w:val="fr-CA"/>
        </w:rPr>
        <w:t>a pas pour effet de limiter ou de supprimer clairement le droit que confère la common law</w:t>
      </w:r>
      <w:r w:rsidRPr="00E41E88">
        <w:rPr>
          <w:rFonts w:cs="Times New Roman"/>
          <w:i/>
          <w:noProof/>
          <w:lang w:val="fr-CA"/>
        </w:rPr>
        <w:t xml:space="preserve"> </w:t>
      </w:r>
      <w:r w:rsidRPr="00E41E88">
        <w:rPr>
          <w:rFonts w:cs="Times New Roman"/>
          <w:noProof/>
          <w:lang w:val="fr-CA"/>
        </w:rPr>
        <w:t xml:space="preserve">à </w:t>
      </w:r>
      <w:r>
        <w:rPr>
          <w:rFonts w:cs="Times New Roman"/>
          <w:noProof/>
          <w:lang w:val="fr-CA"/>
        </w:rPr>
        <w:t>M. </w:t>
      </w:r>
      <w:r w:rsidRPr="00E41E88">
        <w:rPr>
          <w:rFonts w:cs="Times New Roman"/>
          <w:noProof/>
          <w:lang w:val="fr-CA"/>
        </w:rPr>
        <w:t>Matthews. Je suis respectueusement d</w:t>
      </w:r>
      <w:r>
        <w:rPr>
          <w:rFonts w:cs="Times New Roman"/>
          <w:noProof/>
          <w:lang w:val="fr-CA"/>
        </w:rPr>
        <w:t>’</w:t>
      </w:r>
      <w:r w:rsidRPr="00E41E88">
        <w:rPr>
          <w:rFonts w:cs="Times New Roman"/>
          <w:noProof/>
          <w:lang w:val="fr-CA"/>
        </w:rPr>
        <w:t>avis que les juges majoritaires de la Cour d</w:t>
      </w:r>
      <w:r>
        <w:rPr>
          <w:rFonts w:cs="Times New Roman"/>
          <w:noProof/>
          <w:lang w:val="fr-CA"/>
        </w:rPr>
        <w:t>’</w:t>
      </w:r>
      <w:r w:rsidRPr="00E41E88">
        <w:rPr>
          <w:rFonts w:cs="Times New Roman"/>
          <w:noProof/>
          <w:lang w:val="fr-CA"/>
        </w:rPr>
        <w:t xml:space="preserve">appel ont commis une erreur en tirant une conclusion différente. </w:t>
      </w:r>
    </w:p>
    <w:p w:rsidR="00DD44E8" w:rsidRPr="00E41E88" w:rsidRDefault="00DD44E8" w:rsidP="00DD44E8">
      <w:pPr>
        <w:pStyle w:val="ParaNoNdepar-AltN"/>
        <w:widowControl w:val="0"/>
        <w:rPr>
          <w:rFonts w:cs="Times New Roman"/>
          <w:noProof/>
          <w:lang w:val="fr-CA"/>
        </w:rPr>
      </w:pPr>
      <w:r w:rsidRPr="00E41E88">
        <w:rPr>
          <w:rFonts w:cs="Times New Roman"/>
          <w:noProof/>
          <w:lang w:val="fr-CA"/>
        </w:rPr>
        <w:lastRenderedPageBreak/>
        <w:t>Comme je l</w:t>
      </w:r>
      <w:r>
        <w:rPr>
          <w:rFonts w:cs="Times New Roman"/>
          <w:noProof/>
          <w:lang w:val="fr-CA"/>
        </w:rPr>
        <w:t>’</w:t>
      </w:r>
      <w:r w:rsidRPr="00E41E88">
        <w:rPr>
          <w:rFonts w:cs="Times New Roman"/>
          <w:noProof/>
          <w:lang w:val="fr-CA"/>
        </w:rPr>
        <w:t>ai mentionné, il est vrai que le juge de première instance n</w:t>
      </w:r>
      <w:r>
        <w:rPr>
          <w:rFonts w:cs="Times New Roman"/>
          <w:noProof/>
          <w:lang w:val="fr-CA"/>
        </w:rPr>
        <w:t>’</w:t>
      </w:r>
      <w:r w:rsidRPr="00E41E88">
        <w:rPr>
          <w:rFonts w:cs="Times New Roman"/>
          <w:noProof/>
          <w:lang w:val="fr-CA"/>
        </w:rPr>
        <w:t>a pas explicitement examiné la clause 2.05. Le juge dissident a précisé que cette clause empêche seulement M. Matthews de demander que la prime fasse partie de son indemnité de départ, et non des dommages</w:t>
      </w:r>
      <w:r w:rsidRPr="00E41E88">
        <w:rPr>
          <w:rFonts w:cs="Times New Roman"/>
          <w:noProof/>
          <w:lang w:val="fr-CA"/>
        </w:rPr>
        <w:noBreakHyphen/>
        <w:t>intérêts pour congédiement injustifié qu</w:t>
      </w:r>
      <w:r>
        <w:rPr>
          <w:rFonts w:cs="Times New Roman"/>
          <w:noProof/>
          <w:lang w:val="fr-CA"/>
        </w:rPr>
        <w:t>’</w:t>
      </w:r>
      <w:r w:rsidRPr="00E41E88">
        <w:rPr>
          <w:rFonts w:cs="Times New Roman"/>
          <w:noProof/>
          <w:lang w:val="fr-CA"/>
        </w:rPr>
        <w:t>il réclame. Les juges majoritaires ont exprimé leur désaccord à cet égard, affirmant qu</w:t>
      </w:r>
      <w:r>
        <w:rPr>
          <w:rFonts w:cs="Times New Roman"/>
          <w:noProof/>
          <w:lang w:val="fr-CA"/>
        </w:rPr>
        <w:t>’</w:t>
      </w:r>
      <w:r w:rsidRPr="00E41E88">
        <w:rPr>
          <w:rFonts w:cs="Times New Roman"/>
          <w:noProof/>
          <w:lang w:val="fr-CA"/>
        </w:rPr>
        <w:t>il n</w:t>
      </w:r>
      <w:r>
        <w:rPr>
          <w:rFonts w:cs="Times New Roman"/>
          <w:noProof/>
          <w:lang w:val="fr-CA"/>
        </w:rPr>
        <w:t>’</w:t>
      </w:r>
      <w:r w:rsidRPr="00E41E88">
        <w:rPr>
          <w:rFonts w:cs="Times New Roman"/>
          <w:noProof/>
          <w:lang w:val="fr-CA"/>
        </w:rPr>
        <w:t>existe aucune différence, du point de vue de la fonction, entre une indemnité de départ et des dommages</w:t>
      </w:r>
      <w:r w:rsidRPr="00E41E88">
        <w:rPr>
          <w:rFonts w:cs="Times New Roman"/>
          <w:noProof/>
          <w:lang w:val="fr-CA"/>
        </w:rPr>
        <w:noBreakHyphen/>
        <w:t>intérêts (par. 120</w:t>
      </w:r>
      <w:r w:rsidRPr="00E41E88">
        <w:rPr>
          <w:rFonts w:cs="Times New Roman"/>
          <w:noProof/>
          <w:lang w:val="fr-CA"/>
        </w:rPr>
        <w:noBreakHyphen/>
        <w:t>121).</w:t>
      </w:r>
    </w:p>
    <w:p w:rsidR="00DD44E8" w:rsidRPr="00E41E88" w:rsidRDefault="00DD44E8" w:rsidP="00DD44E8">
      <w:pPr>
        <w:pStyle w:val="ParaNoNdepar-AltN"/>
        <w:rPr>
          <w:rFonts w:cs="Times New Roman"/>
          <w:noProof/>
          <w:lang w:val="fr-CA"/>
        </w:rPr>
      </w:pPr>
      <w:r w:rsidRPr="00E41E88">
        <w:rPr>
          <w:rFonts w:cs="Times New Roman"/>
          <w:noProof/>
          <w:lang w:val="fr-CA"/>
        </w:rPr>
        <w:t>Avec égards, je ne puis me rallier à l</w:t>
      </w:r>
      <w:r>
        <w:rPr>
          <w:rFonts w:cs="Times New Roman"/>
          <w:noProof/>
          <w:lang w:val="fr-CA"/>
        </w:rPr>
        <w:t>’</w:t>
      </w:r>
      <w:r w:rsidRPr="00E41E88">
        <w:rPr>
          <w:rFonts w:cs="Times New Roman"/>
          <w:noProof/>
          <w:lang w:val="fr-CA"/>
        </w:rPr>
        <w:t>opinion des juges majoritaires de la Cour d</w:t>
      </w:r>
      <w:r>
        <w:rPr>
          <w:rFonts w:cs="Times New Roman"/>
          <w:noProof/>
          <w:lang w:val="fr-CA"/>
        </w:rPr>
        <w:t>’</w:t>
      </w:r>
      <w:r w:rsidRPr="00E41E88">
        <w:rPr>
          <w:rFonts w:cs="Times New Roman"/>
          <w:noProof/>
          <w:lang w:val="fr-CA"/>
        </w:rPr>
        <w:t>appel sur ce point. Le juge de première instance n</w:t>
      </w:r>
      <w:r>
        <w:rPr>
          <w:rFonts w:cs="Times New Roman"/>
          <w:noProof/>
          <w:lang w:val="fr-CA"/>
        </w:rPr>
        <w:t>’</w:t>
      </w:r>
      <w:r w:rsidRPr="00E41E88">
        <w:rPr>
          <w:rFonts w:cs="Times New Roman"/>
          <w:noProof/>
          <w:lang w:val="fr-CA"/>
        </w:rPr>
        <w:t>a pas utilisé le RILT pour calculer l</w:t>
      </w:r>
      <w:r>
        <w:rPr>
          <w:rFonts w:cs="Times New Roman"/>
          <w:noProof/>
          <w:lang w:val="fr-CA"/>
        </w:rPr>
        <w:t>’</w:t>
      </w:r>
      <w:r w:rsidRPr="00E41E88">
        <w:rPr>
          <w:rFonts w:cs="Times New Roman"/>
          <w:noProof/>
          <w:lang w:val="fr-CA"/>
        </w:rPr>
        <w:t>indemnité de départ; il a plutôt déterminé le montant des dommages</w:t>
      </w:r>
      <w:r w:rsidRPr="00E41E88">
        <w:rPr>
          <w:rFonts w:cs="Times New Roman"/>
          <w:noProof/>
          <w:lang w:val="fr-CA"/>
        </w:rPr>
        <w:noBreakHyphen/>
        <w:t>intérêts auxquels M. Matthews avait droit en vertu de la common law</w:t>
      </w:r>
      <w:r w:rsidRPr="00E41E88">
        <w:rPr>
          <w:rFonts w:cs="Times New Roman"/>
          <w:i/>
          <w:noProof/>
          <w:lang w:val="fr-CA"/>
        </w:rPr>
        <w:t xml:space="preserve"> </w:t>
      </w:r>
      <w:r w:rsidRPr="00E41E88">
        <w:rPr>
          <w:rFonts w:cs="Times New Roman"/>
          <w:noProof/>
          <w:lang w:val="fr-CA"/>
        </w:rPr>
        <w:t>par suite de son congédiement déguisé. Comme l</w:t>
      </w:r>
      <w:r>
        <w:rPr>
          <w:rFonts w:cs="Times New Roman"/>
          <w:noProof/>
          <w:lang w:val="fr-CA"/>
        </w:rPr>
        <w:t>’</w:t>
      </w:r>
      <w:r w:rsidRPr="00E41E88">
        <w:rPr>
          <w:rFonts w:cs="Times New Roman"/>
          <w:noProof/>
          <w:lang w:val="fr-CA"/>
        </w:rPr>
        <w:t>a expliqué en détail le juge dissident, l</w:t>
      </w:r>
      <w:r>
        <w:rPr>
          <w:rFonts w:cs="Times New Roman"/>
          <w:noProof/>
          <w:lang w:val="fr-CA"/>
        </w:rPr>
        <w:t>’</w:t>
      </w:r>
      <w:r w:rsidRPr="00E41E88">
        <w:rPr>
          <w:rFonts w:cs="Times New Roman"/>
          <w:noProof/>
          <w:lang w:val="fr-CA"/>
        </w:rPr>
        <w:t>indemnité de départ et les dommages</w:t>
      </w:r>
      <w:r w:rsidRPr="00E41E88">
        <w:rPr>
          <w:rFonts w:cs="Times New Roman"/>
          <w:noProof/>
          <w:lang w:val="fr-CA"/>
        </w:rPr>
        <w:noBreakHyphen/>
        <w:t>intérêts sont des concepts juridiques distincts. Le principal objectif d</w:t>
      </w:r>
      <w:r>
        <w:rPr>
          <w:rFonts w:cs="Times New Roman"/>
          <w:noProof/>
          <w:lang w:val="fr-CA"/>
        </w:rPr>
        <w:t>’</w:t>
      </w:r>
      <w:r w:rsidRPr="00E41E88">
        <w:rPr>
          <w:rFonts w:cs="Times New Roman"/>
          <w:noProof/>
          <w:lang w:val="fr-CA"/>
        </w:rPr>
        <w:t>un préavis raisonnable (ou de dommages‑intérêts en tenant lieu) est de protéger l</w:t>
      </w:r>
      <w:r>
        <w:rPr>
          <w:rFonts w:cs="Times New Roman"/>
          <w:noProof/>
          <w:lang w:val="fr-CA"/>
        </w:rPr>
        <w:t>’</w:t>
      </w:r>
      <w:r w:rsidRPr="00E41E88">
        <w:rPr>
          <w:rFonts w:cs="Times New Roman"/>
          <w:noProof/>
          <w:lang w:val="fr-CA"/>
        </w:rPr>
        <w:t>employé en lui fournissant l</w:t>
      </w:r>
      <w:r>
        <w:rPr>
          <w:rFonts w:cs="Times New Roman"/>
          <w:noProof/>
          <w:lang w:val="fr-CA"/>
        </w:rPr>
        <w:t>’</w:t>
      </w:r>
      <w:r w:rsidRPr="00E41E88">
        <w:rPr>
          <w:rFonts w:cs="Times New Roman"/>
          <w:noProof/>
          <w:lang w:val="fr-CA"/>
        </w:rPr>
        <w:t xml:space="preserve">occasion de se chercher un autre emploi (voir </w:t>
      </w:r>
      <w:r w:rsidRPr="00E41E88">
        <w:rPr>
          <w:rFonts w:cs="Times New Roman"/>
          <w:i/>
          <w:noProof/>
          <w:lang w:val="fr-CA"/>
        </w:rPr>
        <w:t>Wallace</w:t>
      </w:r>
      <w:r w:rsidRPr="00E41E88">
        <w:rPr>
          <w:rFonts w:cs="Times New Roman"/>
          <w:noProof/>
          <w:lang w:val="fr-CA"/>
        </w:rPr>
        <w:t>, par. </w:t>
      </w:r>
      <w:r>
        <w:rPr>
          <w:rFonts w:cs="Times New Roman"/>
          <w:noProof/>
          <w:lang w:val="fr-CA"/>
        </w:rPr>
        <w:t xml:space="preserve">120, la juge </w:t>
      </w:r>
      <w:r w:rsidRPr="00E41E88">
        <w:rPr>
          <w:rFonts w:cs="Times New Roman"/>
          <w:noProof/>
          <w:lang w:val="fr-CA"/>
        </w:rPr>
        <w:t>McLachlin (plus tard juge en chef), dissidente, mais non sur ce point). En revanche, l</w:t>
      </w:r>
      <w:r>
        <w:rPr>
          <w:rFonts w:cs="Times New Roman"/>
          <w:noProof/>
          <w:lang w:val="fr-CA"/>
        </w:rPr>
        <w:t>’</w:t>
      </w:r>
      <w:r w:rsidRPr="00E41E88">
        <w:rPr>
          <w:rFonts w:cs="Times New Roman"/>
          <w:noProof/>
          <w:lang w:val="fr-CA"/>
        </w:rPr>
        <w:t>indemnité de cessation d</w:t>
      </w:r>
      <w:r>
        <w:rPr>
          <w:rFonts w:cs="Times New Roman"/>
          <w:noProof/>
          <w:lang w:val="fr-CA"/>
        </w:rPr>
        <w:t>’</w:t>
      </w:r>
      <w:r w:rsidRPr="00E41E88">
        <w:rPr>
          <w:rFonts w:cs="Times New Roman"/>
          <w:noProof/>
          <w:lang w:val="fr-CA"/>
        </w:rPr>
        <w:t>emploi « vient indemniser les employés ayant beaucoup d</w:t>
      </w:r>
      <w:r>
        <w:rPr>
          <w:rFonts w:cs="Times New Roman"/>
          <w:noProof/>
          <w:lang w:val="fr-CA"/>
        </w:rPr>
        <w:t>’</w:t>
      </w:r>
      <w:r w:rsidRPr="00E41E88">
        <w:rPr>
          <w:rFonts w:cs="Times New Roman"/>
          <w:noProof/>
          <w:lang w:val="fr-CA"/>
        </w:rPr>
        <w:t>années de service pour ces années investies dans l</w:t>
      </w:r>
      <w:r>
        <w:rPr>
          <w:rFonts w:cs="Times New Roman"/>
          <w:noProof/>
          <w:lang w:val="fr-CA"/>
        </w:rPr>
        <w:t>’</w:t>
      </w:r>
      <w:r w:rsidRPr="00E41E88">
        <w:rPr>
          <w:rFonts w:cs="Times New Roman"/>
          <w:noProof/>
          <w:lang w:val="fr-CA"/>
        </w:rPr>
        <w:t>entreprise de l</w:t>
      </w:r>
      <w:r>
        <w:rPr>
          <w:rFonts w:cs="Times New Roman"/>
          <w:noProof/>
          <w:lang w:val="fr-CA"/>
        </w:rPr>
        <w:t>’</w:t>
      </w:r>
      <w:r w:rsidRPr="00E41E88">
        <w:rPr>
          <w:rFonts w:cs="Times New Roman"/>
          <w:noProof/>
          <w:lang w:val="fr-CA"/>
        </w:rPr>
        <w:t>employeur et pour les pertes spéciales qu</w:t>
      </w:r>
      <w:r>
        <w:rPr>
          <w:rFonts w:cs="Times New Roman"/>
          <w:noProof/>
          <w:lang w:val="fr-CA"/>
        </w:rPr>
        <w:t>’</w:t>
      </w:r>
      <w:r w:rsidRPr="00E41E88">
        <w:rPr>
          <w:rFonts w:cs="Times New Roman"/>
          <w:noProof/>
          <w:lang w:val="fr-CA"/>
        </w:rPr>
        <w:t>ils subissent lorsqu</w:t>
      </w:r>
      <w:r>
        <w:rPr>
          <w:rFonts w:cs="Times New Roman"/>
          <w:noProof/>
          <w:lang w:val="fr-CA"/>
        </w:rPr>
        <w:t>’</w:t>
      </w:r>
      <w:r w:rsidRPr="00E41E88">
        <w:rPr>
          <w:rFonts w:cs="Times New Roman"/>
          <w:noProof/>
          <w:lang w:val="fr-CA"/>
        </w:rPr>
        <w:t>ils sont licenciés », et elle est souvent prévue dans les lois provinciales sur les normes d</w:t>
      </w:r>
      <w:r>
        <w:rPr>
          <w:rFonts w:cs="Times New Roman"/>
          <w:noProof/>
          <w:lang w:val="fr-CA"/>
        </w:rPr>
        <w:t>’</w:t>
      </w:r>
      <w:r w:rsidRPr="00E41E88">
        <w:rPr>
          <w:rFonts w:cs="Times New Roman"/>
          <w:noProof/>
          <w:lang w:val="fr-CA"/>
        </w:rPr>
        <w:t>emploi (</w:t>
      </w:r>
      <w:r w:rsidRPr="00E41E88">
        <w:rPr>
          <w:rFonts w:cs="Times New Roman"/>
          <w:i/>
          <w:noProof/>
          <w:lang w:val="fr-CA"/>
        </w:rPr>
        <w:t>Rizzo &amp; Rizzo Shoes Ltd. (Re)</w:t>
      </w:r>
      <w:r w:rsidRPr="00E41E88">
        <w:rPr>
          <w:rFonts w:cs="Times New Roman"/>
          <w:noProof/>
          <w:lang w:val="fr-CA"/>
        </w:rPr>
        <w:t>, [1998] 1 R.C.S. 27, par. 26).</w:t>
      </w:r>
    </w:p>
    <w:p w:rsidR="00DD44E8" w:rsidRPr="00E41E88" w:rsidRDefault="00DD44E8" w:rsidP="00DD44E8">
      <w:pPr>
        <w:pStyle w:val="ParaNoNdepar-AltN"/>
        <w:widowControl w:val="0"/>
        <w:rPr>
          <w:rFonts w:cs="Times New Roman"/>
          <w:noProof/>
          <w:lang w:val="fr-CA"/>
        </w:rPr>
      </w:pPr>
      <w:r w:rsidRPr="00E41E88">
        <w:rPr>
          <w:rFonts w:cs="Times New Roman"/>
          <w:noProof/>
          <w:lang w:val="fr-CA"/>
        </w:rPr>
        <w:lastRenderedPageBreak/>
        <w:t>En outre, la clause 2.05 doit être considérée globalement; elle précise également que le RILT « n</w:t>
      </w:r>
      <w:r>
        <w:rPr>
          <w:rFonts w:cs="Times New Roman"/>
          <w:noProof/>
          <w:lang w:val="fr-CA"/>
        </w:rPr>
        <w:t>’</w:t>
      </w:r>
      <w:r w:rsidRPr="00E41E88">
        <w:rPr>
          <w:rFonts w:cs="Times New Roman"/>
          <w:noProof/>
          <w:lang w:val="fr-CA"/>
        </w:rPr>
        <w:t>a aucune valeur actuelle ou future si ce n</w:t>
      </w:r>
      <w:r>
        <w:rPr>
          <w:rFonts w:cs="Times New Roman"/>
          <w:noProof/>
          <w:lang w:val="fr-CA"/>
        </w:rPr>
        <w:t>’</w:t>
      </w:r>
      <w:r w:rsidRPr="00E41E88">
        <w:rPr>
          <w:rFonts w:cs="Times New Roman"/>
          <w:noProof/>
          <w:lang w:val="fr-CA"/>
        </w:rPr>
        <w:t>est à la date de l</w:t>
      </w:r>
      <w:r>
        <w:rPr>
          <w:rFonts w:cs="Times New Roman"/>
          <w:noProof/>
          <w:lang w:val="fr-CA"/>
        </w:rPr>
        <w:t>’</w:t>
      </w:r>
      <w:r w:rsidRPr="00E41E88">
        <w:rPr>
          <w:rFonts w:cs="Times New Roman"/>
          <w:noProof/>
          <w:lang w:val="fr-CA"/>
        </w:rPr>
        <w:t xml:space="preserve">événement déclencheur ». Si </w:t>
      </w:r>
      <w:r>
        <w:rPr>
          <w:rFonts w:cs="Times New Roman"/>
          <w:noProof/>
          <w:lang w:val="fr-CA"/>
        </w:rPr>
        <w:t>M. </w:t>
      </w:r>
      <w:r w:rsidRPr="00E41E88">
        <w:rPr>
          <w:rFonts w:cs="Times New Roman"/>
          <w:noProof/>
          <w:lang w:val="fr-CA"/>
        </w:rPr>
        <w:t>Matthews avait reçu un préavis de congédiement adéquat, il aurait toujours été un employé à temps plein de l</w:t>
      </w:r>
      <w:r>
        <w:rPr>
          <w:rFonts w:cs="Times New Roman"/>
          <w:noProof/>
          <w:lang w:val="fr-CA"/>
        </w:rPr>
        <w:t>’</w:t>
      </w:r>
      <w:r w:rsidRPr="00E41E88">
        <w:rPr>
          <w:rFonts w:cs="Times New Roman"/>
          <w:noProof/>
          <w:lang w:val="fr-CA"/>
        </w:rPr>
        <w:t>entreprise à la date de l</w:t>
      </w:r>
      <w:r>
        <w:rPr>
          <w:rFonts w:cs="Times New Roman"/>
          <w:noProof/>
          <w:lang w:val="fr-CA"/>
        </w:rPr>
        <w:t>’</w:t>
      </w:r>
      <w:r w:rsidRPr="00E41E88">
        <w:rPr>
          <w:rFonts w:cs="Times New Roman"/>
          <w:noProof/>
          <w:lang w:val="fr-CA"/>
        </w:rPr>
        <w:t>événement déclencheur et il aurait alors reçu le paiement prévu par le RILT. Les dommages</w:t>
      </w:r>
      <w:r w:rsidRPr="00E41E88">
        <w:rPr>
          <w:rFonts w:cs="Times New Roman"/>
          <w:noProof/>
          <w:lang w:val="fr-CA"/>
        </w:rPr>
        <w:noBreakHyphen/>
        <w:t>intérêts qui lui ont été accordés tiennent compte de cette occasion manquée.</w:t>
      </w:r>
    </w:p>
    <w:p w:rsidR="00DD44E8" w:rsidRPr="00E41E88" w:rsidRDefault="00DD44E8" w:rsidP="00DD44E8">
      <w:pPr>
        <w:pStyle w:val="ParaNoNdepar-AltN"/>
        <w:widowControl w:val="0"/>
        <w:rPr>
          <w:rFonts w:cs="Times New Roman"/>
          <w:noProof/>
          <w:lang w:val="fr-CA"/>
        </w:rPr>
      </w:pPr>
      <w:r w:rsidRPr="00E41E88">
        <w:rPr>
          <w:rFonts w:cs="Times New Roman"/>
          <w:noProof/>
          <w:lang w:val="fr-CA"/>
        </w:rPr>
        <w:t>Pour arriver à une conclusion différente quant à l</w:t>
      </w:r>
      <w:r>
        <w:rPr>
          <w:rFonts w:cs="Times New Roman"/>
          <w:noProof/>
          <w:lang w:val="fr-CA"/>
        </w:rPr>
        <w:t>’</w:t>
      </w:r>
      <w:r w:rsidRPr="00E41E88">
        <w:rPr>
          <w:rFonts w:cs="Times New Roman"/>
          <w:noProof/>
          <w:lang w:val="fr-CA"/>
        </w:rPr>
        <w:t>interprétation des clauses 2.03 et 2.05, les juges majoritaires se sont appuyés sur l</w:t>
      </w:r>
      <w:r>
        <w:rPr>
          <w:rFonts w:cs="Times New Roman"/>
          <w:noProof/>
          <w:lang w:val="fr-CA"/>
        </w:rPr>
        <w:t>’</w:t>
      </w:r>
      <w:r w:rsidRPr="00E41E88">
        <w:rPr>
          <w:rFonts w:cs="Times New Roman"/>
          <w:noProof/>
          <w:lang w:val="fr-CA"/>
        </w:rPr>
        <w:t xml:space="preserve">arrêt </w:t>
      </w:r>
      <w:r w:rsidRPr="00E41E88">
        <w:rPr>
          <w:rFonts w:cs="Times New Roman"/>
          <w:i/>
          <w:noProof/>
          <w:lang w:val="fr-CA"/>
        </w:rPr>
        <w:t xml:space="preserve">Styles </w:t>
      </w:r>
      <w:r w:rsidRPr="00E41E88">
        <w:rPr>
          <w:rFonts w:cs="Times New Roman"/>
          <w:noProof/>
          <w:lang w:val="fr-CA"/>
        </w:rPr>
        <w:t>de la Cour d</w:t>
      </w:r>
      <w:r>
        <w:rPr>
          <w:rFonts w:cs="Times New Roman"/>
          <w:noProof/>
          <w:lang w:val="fr-CA"/>
        </w:rPr>
        <w:t>’</w:t>
      </w:r>
      <w:r w:rsidRPr="00E41E88">
        <w:rPr>
          <w:rFonts w:cs="Times New Roman"/>
          <w:noProof/>
          <w:lang w:val="fr-CA"/>
        </w:rPr>
        <w:t>appel de l</w:t>
      </w:r>
      <w:r>
        <w:rPr>
          <w:rFonts w:cs="Times New Roman"/>
          <w:noProof/>
          <w:lang w:val="fr-CA"/>
        </w:rPr>
        <w:t>’</w:t>
      </w:r>
      <w:r w:rsidRPr="00E41E88">
        <w:rPr>
          <w:rFonts w:cs="Times New Roman"/>
          <w:noProof/>
          <w:lang w:val="fr-CA"/>
        </w:rPr>
        <w:t>Alberta. Ocean exhorte notre Cour à faire de même. Bien que le présent pourvoi ne soit pas l</w:t>
      </w:r>
      <w:r>
        <w:rPr>
          <w:rFonts w:cs="Times New Roman"/>
          <w:noProof/>
          <w:lang w:val="fr-CA"/>
        </w:rPr>
        <w:t>’</w:t>
      </w:r>
      <w:r w:rsidRPr="00E41E88">
        <w:rPr>
          <w:rFonts w:cs="Times New Roman"/>
          <w:noProof/>
          <w:lang w:val="fr-CA"/>
        </w:rPr>
        <w:t>occasion d</w:t>
      </w:r>
      <w:r>
        <w:rPr>
          <w:rFonts w:cs="Times New Roman"/>
          <w:noProof/>
          <w:lang w:val="fr-CA"/>
        </w:rPr>
        <w:t>’</w:t>
      </w:r>
      <w:r w:rsidRPr="00E41E88">
        <w:rPr>
          <w:rFonts w:cs="Times New Roman"/>
          <w:noProof/>
          <w:lang w:val="fr-CA"/>
        </w:rPr>
        <w:t xml:space="preserve">examiner en profondeur les règles de droit applicables en Alberta, je me permets de faire les observations qui suivent. </w:t>
      </w:r>
    </w:p>
    <w:p w:rsidR="00DD44E8" w:rsidRPr="00E41E88" w:rsidRDefault="00DD44E8" w:rsidP="00DD44E8">
      <w:pPr>
        <w:pStyle w:val="ParaNoNdepar-AltN"/>
        <w:rPr>
          <w:rFonts w:cs="Times New Roman"/>
          <w:noProof/>
          <w:lang w:val="fr-CA"/>
        </w:rPr>
      </w:pPr>
      <w:r w:rsidRPr="00E41E88">
        <w:rPr>
          <w:rFonts w:cs="Times New Roman"/>
          <w:noProof/>
          <w:lang w:val="fr-CA"/>
        </w:rPr>
        <w:t>Dans l</w:t>
      </w:r>
      <w:r>
        <w:rPr>
          <w:rFonts w:cs="Times New Roman"/>
          <w:noProof/>
          <w:lang w:val="fr-CA"/>
        </w:rPr>
        <w:t>’</w:t>
      </w:r>
      <w:r w:rsidRPr="00E41E88">
        <w:rPr>
          <w:rFonts w:cs="Times New Roman"/>
          <w:noProof/>
          <w:lang w:val="fr-CA"/>
        </w:rPr>
        <w:t xml:space="preserve">arrêt </w:t>
      </w:r>
      <w:r w:rsidRPr="00E41E88">
        <w:rPr>
          <w:rFonts w:cs="Times New Roman"/>
          <w:i/>
          <w:noProof/>
          <w:lang w:val="fr-CA"/>
        </w:rPr>
        <w:t>Styles</w:t>
      </w:r>
      <w:r w:rsidRPr="00E41E88">
        <w:rPr>
          <w:rFonts w:cs="Times New Roman"/>
          <w:noProof/>
          <w:lang w:val="fr-CA"/>
        </w:rPr>
        <w:t>, la question en litige était similaire à celle qui se pose en l</w:t>
      </w:r>
      <w:r>
        <w:rPr>
          <w:rFonts w:cs="Times New Roman"/>
          <w:noProof/>
          <w:lang w:val="fr-CA"/>
        </w:rPr>
        <w:t>’</w:t>
      </w:r>
      <w:r w:rsidRPr="00E41E88">
        <w:rPr>
          <w:rFonts w:cs="Times New Roman"/>
          <w:noProof/>
          <w:lang w:val="fr-CA"/>
        </w:rPr>
        <w:t>espèce : après avoir été congédié sans motif, l</w:t>
      </w:r>
      <w:r>
        <w:rPr>
          <w:rFonts w:cs="Times New Roman"/>
          <w:noProof/>
          <w:lang w:val="fr-CA"/>
        </w:rPr>
        <w:t>’</w:t>
      </w:r>
      <w:r w:rsidRPr="00E41E88">
        <w:rPr>
          <w:rFonts w:cs="Times New Roman"/>
          <w:noProof/>
          <w:lang w:val="fr-CA"/>
        </w:rPr>
        <w:t>employé avait</w:t>
      </w:r>
      <w:r w:rsidRPr="00E41E88">
        <w:rPr>
          <w:rFonts w:cs="Times New Roman"/>
          <w:noProof/>
          <w:lang w:val="fr-CA"/>
        </w:rPr>
        <w:noBreakHyphen/>
        <w:t>il le droit de recevoir un paiement en vertu du régime d</w:t>
      </w:r>
      <w:r>
        <w:rPr>
          <w:rFonts w:cs="Times New Roman"/>
          <w:noProof/>
          <w:lang w:val="fr-CA"/>
        </w:rPr>
        <w:t>’</w:t>
      </w:r>
      <w:r w:rsidRPr="00E41E88">
        <w:rPr>
          <w:rFonts w:cs="Times New Roman"/>
          <w:noProof/>
          <w:lang w:val="fr-CA"/>
        </w:rPr>
        <w:t>intéressement à long terme de son employeur? Après le congédiement, l</w:t>
      </w:r>
      <w:r>
        <w:rPr>
          <w:rFonts w:cs="Times New Roman"/>
          <w:noProof/>
          <w:lang w:val="fr-CA"/>
        </w:rPr>
        <w:t>’</w:t>
      </w:r>
      <w:r w:rsidRPr="00E41E88">
        <w:rPr>
          <w:rFonts w:cs="Times New Roman"/>
          <w:noProof/>
          <w:lang w:val="fr-CA"/>
        </w:rPr>
        <w:t>employeur a versé à l</w:t>
      </w:r>
      <w:r>
        <w:rPr>
          <w:rFonts w:cs="Times New Roman"/>
          <w:noProof/>
          <w:lang w:val="fr-CA"/>
        </w:rPr>
        <w:t>’</w:t>
      </w:r>
      <w:r w:rsidRPr="00E41E88">
        <w:rPr>
          <w:rFonts w:cs="Times New Roman"/>
          <w:noProof/>
          <w:lang w:val="fr-CA"/>
        </w:rPr>
        <w:t>employé un paiement forfaitaire correspondant à trois mois de salaire conformément aux modalités de son contrat de travail (</w:t>
      </w:r>
      <w:r w:rsidRPr="00E41E88">
        <w:rPr>
          <w:rFonts w:cs="Times New Roman"/>
          <w:i/>
          <w:noProof/>
          <w:lang w:val="fr-CA"/>
        </w:rPr>
        <w:t>Styles c. Alberta Investment Corp.</w:t>
      </w:r>
      <w:r w:rsidRPr="00E41E88">
        <w:rPr>
          <w:rFonts w:cs="Times New Roman"/>
          <w:noProof/>
          <w:lang w:val="fr-CA"/>
        </w:rPr>
        <w:t>, 2015 ABQB 621, [2016] 4 W.W.R. 593, par. 9 et 27, la juge</w:t>
      </w:r>
      <w:r>
        <w:rPr>
          <w:rFonts w:cs="Times New Roman"/>
          <w:noProof/>
          <w:lang w:val="fr-CA"/>
        </w:rPr>
        <w:t xml:space="preserve"> </w:t>
      </w:r>
      <w:r w:rsidRPr="00E41E88">
        <w:rPr>
          <w:rFonts w:cs="Times New Roman"/>
          <w:noProof/>
          <w:lang w:val="fr-CA"/>
        </w:rPr>
        <w:t>Yungwirth). La prime n</w:t>
      </w:r>
      <w:r>
        <w:rPr>
          <w:rFonts w:cs="Times New Roman"/>
          <w:noProof/>
          <w:lang w:val="fr-CA"/>
        </w:rPr>
        <w:t>’</w:t>
      </w:r>
      <w:r w:rsidRPr="00E41E88">
        <w:rPr>
          <w:rFonts w:cs="Times New Roman"/>
          <w:noProof/>
          <w:lang w:val="fr-CA"/>
        </w:rPr>
        <w:t>aurait été acquise au profit de l</w:t>
      </w:r>
      <w:r>
        <w:rPr>
          <w:rFonts w:cs="Times New Roman"/>
          <w:noProof/>
          <w:lang w:val="fr-CA"/>
        </w:rPr>
        <w:t>’</w:t>
      </w:r>
      <w:r w:rsidRPr="00E41E88">
        <w:rPr>
          <w:rFonts w:cs="Times New Roman"/>
          <w:noProof/>
          <w:lang w:val="fr-CA"/>
        </w:rPr>
        <w:t>employé que plusieurs</w:t>
      </w:r>
      <w:r w:rsidRPr="00E41E88">
        <w:rPr>
          <w:rFonts w:cs="Times New Roman"/>
          <w:i/>
          <w:noProof/>
          <w:lang w:val="fr-CA"/>
        </w:rPr>
        <w:t xml:space="preserve"> années</w:t>
      </w:r>
      <w:r w:rsidRPr="00E41E88">
        <w:rPr>
          <w:rFonts w:cs="Times New Roman"/>
          <w:noProof/>
          <w:lang w:val="fr-CA"/>
        </w:rPr>
        <w:t xml:space="preserve"> après son congédiement (</w:t>
      </w:r>
      <w:r w:rsidRPr="00E41E88">
        <w:rPr>
          <w:rFonts w:cs="Times New Roman"/>
          <w:i/>
          <w:noProof/>
          <w:lang w:val="fr-CA"/>
        </w:rPr>
        <w:t>Styles</w:t>
      </w:r>
      <w:r w:rsidRPr="00E41E88">
        <w:rPr>
          <w:rFonts w:cs="Times New Roman"/>
          <w:noProof/>
          <w:lang w:val="fr-CA"/>
        </w:rPr>
        <w:t xml:space="preserve"> par. 17</w:t>
      </w:r>
      <w:r w:rsidRPr="00E41E88">
        <w:rPr>
          <w:rFonts w:cs="Times New Roman"/>
          <w:noProof/>
          <w:lang w:val="fr-CA"/>
        </w:rPr>
        <w:noBreakHyphen/>
        <w:t>23, la juge Yungwirth). Par conséquent, l</w:t>
      </w:r>
      <w:r>
        <w:rPr>
          <w:rFonts w:cs="Times New Roman"/>
          <w:noProof/>
          <w:lang w:val="fr-CA"/>
        </w:rPr>
        <w:t>’</w:t>
      </w:r>
      <w:r w:rsidRPr="00E41E88">
        <w:rPr>
          <w:rFonts w:cs="Times New Roman"/>
          <w:noProof/>
          <w:lang w:val="fr-CA"/>
        </w:rPr>
        <w:t>employé ne pouvait pas obtenir des dommages</w:t>
      </w:r>
      <w:r w:rsidRPr="00E41E88">
        <w:rPr>
          <w:rFonts w:cs="Times New Roman"/>
          <w:noProof/>
          <w:lang w:val="fr-CA"/>
        </w:rPr>
        <w:noBreakHyphen/>
        <w:t xml:space="preserve">intérêts pour la prime qui lui aurait été versée pendant la période de préavis raisonnable. À tout le moins, </w:t>
      </w:r>
      <w:r w:rsidRPr="00E41E88">
        <w:rPr>
          <w:rFonts w:cs="Times New Roman"/>
          <w:noProof/>
          <w:lang w:val="fr-CA"/>
        </w:rPr>
        <w:lastRenderedPageBreak/>
        <w:t>l</w:t>
      </w:r>
      <w:r>
        <w:rPr>
          <w:rFonts w:cs="Times New Roman"/>
          <w:noProof/>
          <w:lang w:val="fr-CA"/>
        </w:rPr>
        <w:t>’</w:t>
      </w:r>
      <w:r w:rsidRPr="00E41E88">
        <w:rPr>
          <w:rFonts w:cs="Times New Roman"/>
          <w:noProof/>
          <w:lang w:val="fr-CA"/>
        </w:rPr>
        <w:t xml:space="preserve">affaire </w:t>
      </w:r>
      <w:r w:rsidRPr="00E41E88">
        <w:rPr>
          <w:rFonts w:cs="Times New Roman"/>
          <w:i/>
          <w:noProof/>
          <w:lang w:val="fr-CA"/>
        </w:rPr>
        <w:t xml:space="preserve">Styles </w:t>
      </w:r>
      <w:r w:rsidRPr="00E41E88">
        <w:rPr>
          <w:rFonts w:cs="Times New Roman"/>
          <w:noProof/>
          <w:lang w:val="fr-CA"/>
        </w:rPr>
        <w:t xml:space="preserve">se distingue donc de cette façon du cas de </w:t>
      </w:r>
      <w:r>
        <w:rPr>
          <w:rFonts w:cs="Times New Roman"/>
          <w:noProof/>
          <w:lang w:val="fr-CA"/>
        </w:rPr>
        <w:t>M. </w:t>
      </w:r>
      <w:r w:rsidRPr="00E41E88">
        <w:rPr>
          <w:rFonts w:cs="Times New Roman"/>
          <w:noProof/>
          <w:lang w:val="fr-CA"/>
        </w:rPr>
        <w:t>Matthews. En effet, la situation de ce dernier soulève des questions concernant les dommages</w:t>
      </w:r>
      <w:r w:rsidRPr="00E41E88">
        <w:rPr>
          <w:rFonts w:cs="Times New Roman"/>
          <w:noProof/>
          <w:lang w:val="fr-CA"/>
        </w:rPr>
        <w:noBreakHyphen/>
        <w:t>intérêts liés à la période de préavis, alors que ce n</w:t>
      </w:r>
      <w:r>
        <w:rPr>
          <w:rFonts w:cs="Times New Roman"/>
          <w:noProof/>
          <w:lang w:val="fr-CA"/>
        </w:rPr>
        <w:t>’</w:t>
      </w:r>
      <w:r w:rsidRPr="00E41E88">
        <w:rPr>
          <w:rFonts w:cs="Times New Roman"/>
          <w:noProof/>
          <w:lang w:val="fr-CA"/>
        </w:rPr>
        <w:t>est pas le cas dans l</w:t>
      </w:r>
      <w:r>
        <w:rPr>
          <w:rFonts w:cs="Times New Roman"/>
          <w:noProof/>
          <w:lang w:val="fr-CA"/>
        </w:rPr>
        <w:t>’</w:t>
      </w:r>
      <w:r w:rsidRPr="00E41E88">
        <w:rPr>
          <w:rFonts w:cs="Times New Roman"/>
          <w:noProof/>
          <w:lang w:val="fr-CA"/>
        </w:rPr>
        <w:t xml:space="preserve">arrêt </w:t>
      </w:r>
      <w:r w:rsidRPr="00E41E88">
        <w:rPr>
          <w:rFonts w:cs="Times New Roman"/>
          <w:i/>
          <w:noProof/>
          <w:lang w:val="fr-CA"/>
        </w:rPr>
        <w:t>Styles</w:t>
      </w:r>
      <w:r w:rsidRPr="00E41E88">
        <w:rPr>
          <w:rFonts w:cs="Times New Roman"/>
          <w:noProof/>
          <w:lang w:val="fr-CA"/>
        </w:rPr>
        <w:t xml:space="preserve">. </w:t>
      </w:r>
    </w:p>
    <w:p w:rsidR="00DD44E8" w:rsidRPr="00E41E88" w:rsidRDefault="00DD44E8" w:rsidP="00DD44E8">
      <w:pPr>
        <w:pStyle w:val="ParaNoNdepar-AltN"/>
        <w:widowControl w:val="0"/>
        <w:rPr>
          <w:rFonts w:cs="Times New Roman"/>
          <w:noProof/>
          <w:lang w:val="fr-CA"/>
        </w:rPr>
      </w:pPr>
      <w:r w:rsidRPr="00E41E88">
        <w:rPr>
          <w:rFonts w:cs="Times New Roman"/>
          <w:noProof/>
          <w:lang w:val="fr-CA"/>
        </w:rPr>
        <w:t>Il convient également de souligner que la Cour d</w:t>
      </w:r>
      <w:r>
        <w:rPr>
          <w:rFonts w:cs="Times New Roman"/>
          <w:noProof/>
          <w:lang w:val="fr-CA"/>
        </w:rPr>
        <w:t>’</w:t>
      </w:r>
      <w:r w:rsidRPr="00E41E88">
        <w:rPr>
          <w:rFonts w:cs="Times New Roman"/>
          <w:noProof/>
          <w:lang w:val="fr-CA"/>
        </w:rPr>
        <w:t>appel de l</w:t>
      </w:r>
      <w:r>
        <w:rPr>
          <w:rFonts w:cs="Times New Roman"/>
          <w:noProof/>
          <w:lang w:val="fr-CA"/>
        </w:rPr>
        <w:t>’</w:t>
      </w:r>
      <w:r w:rsidRPr="00E41E88">
        <w:rPr>
          <w:rFonts w:cs="Times New Roman"/>
          <w:noProof/>
          <w:lang w:val="fr-CA"/>
        </w:rPr>
        <w:t>Alberta</w:t>
      </w:r>
      <w:r>
        <w:rPr>
          <w:rFonts w:cs="Times New Roman"/>
          <w:noProof/>
          <w:lang w:val="fr-CA"/>
        </w:rPr>
        <w:t>,</w:t>
      </w:r>
      <w:r w:rsidRPr="00E41E88">
        <w:rPr>
          <w:rFonts w:cs="Times New Roman"/>
          <w:noProof/>
          <w:lang w:val="fr-CA"/>
        </w:rPr>
        <w:t xml:space="preserve"> </w:t>
      </w:r>
      <w:r>
        <w:rPr>
          <w:rFonts w:cs="Times New Roman"/>
          <w:noProof/>
          <w:lang w:val="fr-CA"/>
        </w:rPr>
        <w:t xml:space="preserve">dans l’affaire </w:t>
      </w:r>
      <w:r>
        <w:rPr>
          <w:rFonts w:cs="Times New Roman"/>
          <w:i/>
          <w:noProof/>
          <w:lang w:val="fr-CA"/>
        </w:rPr>
        <w:t>Styles</w:t>
      </w:r>
      <w:r>
        <w:rPr>
          <w:rFonts w:cs="Times New Roman"/>
          <w:noProof/>
          <w:lang w:val="fr-CA"/>
        </w:rPr>
        <w:t xml:space="preserve">, </w:t>
      </w:r>
      <w:r w:rsidRPr="00E41E88">
        <w:rPr>
          <w:rFonts w:cs="Times New Roman"/>
          <w:noProof/>
          <w:lang w:val="fr-CA"/>
        </w:rPr>
        <w:t>a indiqué que l</w:t>
      </w:r>
      <w:r>
        <w:rPr>
          <w:rFonts w:cs="Times New Roman"/>
          <w:noProof/>
          <w:lang w:val="fr-CA"/>
        </w:rPr>
        <w:t xml:space="preserve">’arrêt </w:t>
      </w:r>
      <w:r w:rsidRPr="00E41E88">
        <w:rPr>
          <w:rFonts w:cs="Times New Roman"/>
          <w:i/>
          <w:noProof/>
          <w:lang w:val="fr-CA"/>
        </w:rPr>
        <w:t>Paquette</w:t>
      </w:r>
      <w:r w:rsidRPr="00E41E88">
        <w:rPr>
          <w:rFonts w:cs="Times New Roman"/>
          <w:noProof/>
          <w:lang w:val="fr-CA"/>
        </w:rPr>
        <w:t>, l</w:t>
      </w:r>
      <w:r>
        <w:rPr>
          <w:rFonts w:cs="Times New Roman"/>
          <w:noProof/>
          <w:lang w:val="fr-CA"/>
        </w:rPr>
        <w:t>’</w:t>
      </w:r>
      <w:r w:rsidRPr="00E41E88">
        <w:rPr>
          <w:rFonts w:cs="Times New Roman"/>
          <w:noProof/>
          <w:lang w:val="fr-CA"/>
        </w:rPr>
        <w:t>un des arrêts sur lesquels je m</w:t>
      </w:r>
      <w:r>
        <w:rPr>
          <w:rFonts w:cs="Times New Roman"/>
          <w:noProof/>
          <w:lang w:val="fr-CA"/>
        </w:rPr>
        <w:t>’</w:t>
      </w:r>
      <w:r w:rsidRPr="00E41E88">
        <w:rPr>
          <w:rFonts w:cs="Times New Roman"/>
          <w:noProof/>
          <w:lang w:val="fr-CA"/>
        </w:rPr>
        <w:t>appuie en l</w:t>
      </w:r>
      <w:r>
        <w:rPr>
          <w:rFonts w:cs="Times New Roman"/>
          <w:noProof/>
          <w:lang w:val="fr-CA"/>
        </w:rPr>
        <w:t>’</w:t>
      </w:r>
      <w:r w:rsidRPr="00E41E88">
        <w:rPr>
          <w:rFonts w:cs="Times New Roman"/>
          <w:noProof/>
          <w:lang w:val="fr-CA"/>
        </w:rPr>
        <w:t xml:space="preserve">espèce, repose sur une interprétation erronée de la décision de notre Cour dans </w:t>
      </w:r>
      <w:r w:rsidRPr="00E41E88">
        <w:rPr>
          <w:rFonts w:cs="Times New Roman"/>
          <w:i/>
          <w:noProof/>
          <w:lang w:val="fr-CA"/>
        </w:rPr>
        <w:t>Sylvester c. Colombie</w:t>
      </w:r>
      <w:r w:rsidRPr="00E41E88">
        <w:rPr>
          <w:rFonts w:cs="Times New Roman"/>
          <w:i/>
          <w:noProof/>
          <w:lang w:val="fr-CA"/>
        </w:rPr>
        <w:noBreakHyphen/>
        <w:t>Britannique</w:t>
      </w:r>
      <w:r w:rsidRPr="00E41E88">
        <w:rPr>
          <w:rFonts w:cs="Times New Roman"/>
          <w:noProof/>
          <w:lang w:val="fr-CA"/>
        </w:rPr>
        <w:t>, [1997] 2 R.C.S. 315. Dans l</w:t>
      </w:r>
      <w:r>
        <w:rPr>
          <w:rFonts w:cs="Times New Roman"/>
          <w:noProof/>
          <w:lang w:val="fr-CA"/>
        </w:rPr>
        <w:t>’</w:t>
      </w:r>
      <w:r w:rsidRPr="00E41E88">
        <w:rPr>
          <w:rFonts w:cs="Times New Roman"/>
          <w:noProof/>
          <w:lang w:val="fr-CA"/>
        </w:rPr>
        <w:t>arrêt </w:t>
      </w:r>
      <w:r w:rsidRPr="00E41E88">
        <w:rPr>
          <w:rFonts w:cs="Times New Roman"/>
          <w:i/>
          <w:noProof/>
          <w:lang w:val="fr-CA"/>
        </w:rPr>
        <w:t>Styles</w:t>
      </w:r>
      <w:r w:rsidRPr="00E41E88">
        <w:rPr>
          <w:rFonts w:cs="Times New Roman"/>
          <w:noProof/>
          <w:lang w:val="fr-CA"/>
        </w:rPr>
        <w:t>, la Cour d</w:t>
      </w:r>
      <w:r>
        <w:rPr>
          <w:rFonts w:cs="Times New Roman"/>
          <w:noProof/>
          <w:lang w:val="fr-CA"/>
        </w:rPr>
        <w:t>’</w:t>
      </w:r>
      <w:r w:rsidRPr="00E41E88">
        <w:rPr>
          <w:rFonts w:cs="Times New Roman"/>
          <w:noProof/>
          <w:lang w:val="fr-CA"/>
        </w:rPr>
        <w:t xml:space="preserve">appel a fait remarquer </w:t>
      </w:r>
      <w:r w:rsidRPr="00E41E88">
        <w:rPr>
          <w:rFonts w:cs="Times New Roman"/>
          <w:smallCaps/>
          <w:noProof/>
          <w:lang w:val="fr-CA"/>
        </w:rPr>
        <w:t xml:space="preserve">[traduction] </w:t>
      </w:r>
      <w:r w:rsidRPr="00E41E88">
        <w:rPr>
          <w:rFonts w:cs="Times New Roman"/>
          <w:noProof/>
          <w:lang w:val="fr-CA"/>
        </w:rPr>
        <w:t>« [</w:t>
      </w:r>
      <w:r w:rsidR="00A169E5" w:rsidRPr="00E41E88">
        <w:rPr>
          <w:rFonts w:cs="Times New Roman"/>
          <w:noProof/>
          <w:lang w:val="fr-CA"/>
        </w:rPr>
        <w:t>qu</w:t>
      </w:r>
      <w:r w:rsidR="00A169E5">
        <w:rPr>
          <w:rFonts w:cs="Times New Roman"/>
          <w:noProof/>
          <w:lang w:val="fr-CA"/>
        </w:rPr>
        <w:t>’</w:t>
      </w:r>
      <w:r w:rsidRPr="00E41E88">
        <w:rPr>
          <w:rFonts w:cs="Times New Roman"/>
          <w:noProof/>
          <w:lang w:val="fr-CA"/>
        </w:rPr>
        <w:t>i</w:t>
      </w:r>
      <w:r w:rsidR="00A169E5">
        <w:rPr>
          <w:rFonts w:cs="Times New Roman"/>
          <w:noProof/>
          <w:lang w:val="fr-CA"/>
        </w:rPr>
        <w:t>l]</w:t>
      </w:r>
      <w:r w:rsidRPr="00E41E88">
        <w:rPr>
          <w:rFonts w:cs="Times New Roman"/>
          <w:noProof/>
          <w:lang w:val="fr-CA"/>
        </w:rPr>
        <w:t xml:space="preserve"> existe en common law</w:t>
      </w:r>
      <w:r w:rsidRPr="00E41E88">
        <w:rPr>
          <w:rFonts w:cs="Times New Roman"/>
          <w:i/>
          <w:noProof/>
          <w:lang w:val="fr-CA"/>
        </w:rPr>
        <w:t xml:space="preserve"> </w:t>
      </w:r>
      <w:r w:rsidRPr="00E41E88">
        <w:rPr>
          <w:rFonts w:cs="Times New Roman"/>
          <w:noProof/>
          <w:lang w:val="fr-CA"/>
        </w:rPr>
        <w:t>une condition tacite selon laquelle un préavis raisonnable, ou une indemnité en tenant lieu, doit être fourni dans ces circonstances. L</w:t>
      </w:r>
      <w:r>
        <w:rPr>
          <w:rFonts w:cs="Times New Roman"/>
          <w:noProof/>
          <w:lang w:val="fr-CA"/>
        </w:rPr>
        <w:t>’</w:t>
      </w:r>
      <w:r w:rsidRPr="00E41E88">
        <w:rPr>
          <w:rFonts w:cs="Times New Roman"/>
          <w:noProof/>
          <w:lang w:val="fr-CA"/>
        </w:rPr>
        <w:t>indemnité tenant lieu de préavis ra</w:t>
      </w:r>
      <w:r>
        <w:rPr>
          <w:rFonts w:cs="Times New Roman"/>
          <w:noProof/>
          <w:lang w:val="fr-CA"/>
        </w:rPr>
        <w:t>isonnable ne constitue pas des « </w:t>
      </w:r>
      <w:r w:rsidRPr="00E41E88">
        <w:rPr>
          <w:rFonts w:cs="Times New Roman"/>
          <w:noProof/>
          <w:lang w:val="fr-CA"/>
        </w:rPr>
        <w:t>dommages</w:t>
      </w:r>
      <w:r w:rsidRPr="00E41E88">
        <w:rPr>
          <w:rFonts w:cs="Times New Roman"/>
          <w:noProof/>
          <w:lang w:val="fr-CA"/>
        </w:rPr>
        <w:noBreakHyphen/>
      </w:r>
      <w:r>
        <w:rPr>
          <w:rFonts w:cs="Times New Roman"/>
          <w:noProof/>
          <w:lang w:val="fr-CA"/>
        </w:rPr>
        <w:t>intérêts »</w:t>
      </w:r>
      <w:r w:rsidRPr="00E41E88">
        <w:rPr>
          <w:rFonts w:cs="Times New Roman"/>
          <w:noProof/>
          <w:lang w:val="fr-CA"/>
        </w:rPr>
        <w:t xml:space="preserve"> pour violation du contrat, mais plutôt une portion de l</w:t>
      </w:r>
      <w:r>
        <w:rPr>
          <w:rFonts w:cs="Times New Roman"/>
          <w:noProof/>
          <w:lang w:val="fr-CA"/>
        </w:rPr>
        <w:t>’</w:t>
      </w:r>
      <w:r w:rsidRPr="00E41E88">
        <w:rPr>
          <w:rFonts w:cs="Times New Roman"/>
          <w:noProof/>
          <w:lang w:val="fr-CA"/>
        </w:rPr>
        <w:t>indemnité prévue au contrat. Si un employeur ne donne pas un préavis adéquat ou une indemnité en tenant lieu, la violation réside dans le non</w:t>
      </w:r>
      <w:r w:rsidRPr="00E41E88">
        <w:rPr>
          <w:rFonts w:cs="Times New Roman"/>
          <w:noProof/>
          <w:lang w:val="fr-CA"/>
        </w:rPr>
        <w:noBreakHyphen/>
        <w:t>paiement d</w:t>
      </w:r>
      <w:r>
        <w:rPr>
          <w:rFonts w:cs="Times New Roman"/>
          <w:noProof/>
          <w:lang w:val="fr-CA"/>
        </w:rPr>
        <w:t>’</w:t>
      </w:r>
      <w:r w:rsidRPr="00E41E88">
        <w:rPr>
          <w:rFonts w:cs="Times New Roman"/>
          <w:noProof/>
          <w:lang w:val="fr-CA"/>
        </w:rPr>
        <w:t>une indemnité et non dans le congédiement » (</w:t>
      </w:r>
      <w:r>
        <w:rPr>
          <w:rFonts w:cs="Times New Roman"/>
          <w:noProof/>
          <w:lang w:val="fr-CA"/>
        </w:rPr>
        <w:t>p</w:t>
      </w:r>
      <w:r w:rsidRPr="00E41E88">
        <w:rPr>
          <w:rFonts w:cs="Times New Roman"/>
          <w:noProof/>
          <w:lang w:val="fr-CA"/>
        </w:rPr>
        <w:t>. 34 (note en bas de page omise)). La Cour d</w:t>
      </w:r>
      <w:r>
        <w:rPr>
          <w:rFonts w:cs="Times New Roman"/>
          <w:noProof/>
          <w:lang w:val="fr-CA"/>
        </w:rPr>
        <w:t>’</w:t>
      </w:r>
      <w:r w:rsidRPr="00E41E88">
        <w:rPr>
          <w:rFonts w:cs="Times New Roman"/>
          <w:noProof/>
          <w:lang w:val="fr-CA"/>
        </w:rPr>
        <w:t>appel a ensuite souligné que, « [d]ans certaines décisions rendues dans d</w:t>
      </w:r>
      <w:r>
        <w:rPr>
          <w:rFonts w:cs="Times New Roman"/>
          <w:noProof/>
          <w:lang w:val="fr-CA"/>
        </w:rPr>
        <w:t>’</w:t>
      </w:r>
      <w:r w:rsidRPr="00E41E88">
        <w:rPr>
          <w:rFonts w:cs="Times New Roman"/>
          <w:noProof/>
          <w:lang w:val="fr-CA"/>
        </w:rPr>
        <w:t>autres ressorts, le congédiement est considéré comme une violation</w:t>
      </w:r>
      <w:r w:rsidR="00A169E5">
        <w:rPr>
          <w:rFonts w:cs="Times New Roman"/>
          <w:noProof/>
          <w:lang w:val="fr-CA"/>
        </w:rPr>
        <w:t>, mais ces décisions ne reflèt</w:t>
      </w:r>
      <w:r w:rsidRPr="00E41E88">
        <w:rPr>
          <w:rFonts w:cs="Times New Roman"/>
          <w:noProof/>
          <w:lang w:val="fr-CA"/>
        </w:rPr>
        <w:t xml:space="preserve">ent pas le droit albertain : voir, par exemple </w:t>
      </w:r>
      <w:r w:rsidRPr="001661FE">
        <w:rPr>
          <w:rFonts w:cs="Times New Roman"/>
          <w:noProof/>
          <w:lang w:val="fr-CA"/>
        </w:rPr>
        <w:t>[</w:t>
      </w:r>
      <w:r w:rsidRPr="00E41E88">
        <w:rPr>
          <w:rFonts w:cs="Times New Roman"/>
          <w:i/>
          <w:noProof/>
          <w:lang w:val="fr-CA"/>
        </w:rPr>
        <w:t>Paquette</w:t>
      </w:r>
      <w:r>
        <w:rPr>
          <w:rFonts w:cs="Times New Roman"/>
          <w:noProof/>
          <w:lang w:val="fr-CA"/>
        </w:rPr>
        <w:t>]</w:t>
      </w:r>
      <w:r w:rsidRPr="00E41E88">
        <w:rPr>
          <w:rFonts w:cs="Times New Roman"/>
          <w:noProof/>
          <w:lang w:val="fr-CA"/>
        </w:rPr>
        <w:t>. Dans cet arrêt, le tribunal s</w:t>
      </w:r>
      <w:r>
        <w:rPr>
          <w:rFonts w:cs="Times New Roman"/>
          <w:noProof/>
          <w:lang w:val="fr-CA"/>
        </w:rPr>
        <w:t>’</w:t>
      </w:r>
      <w:r w:rsidRPr="00E41E88">
        <w:rPr>
          <w:rFonts w:cs="Times New Roman"/>
          <w:noProof/>
          <w:lang w:val="fr-CA"/>
        </w:rPr>
        <w:t>appuie sur la remarque incidente formulée dans [</w:t>
      </w:r>
      <w:r w:rsidRPr="00E41E88">
        <w:rPr>
          <w:rFonts w:cs="Times New Roman"/>
          <w:i/>
          <w:noProof/>
          <w:lang w:val="fr-CA"/>
        </w:rPr>
        <w:t>Sylvester</w:t>
      </w:r>
      <w:r w:rsidRPr="00E41E88">
        <w:rPr>
          <w:rFonts w:cs="Times New Roman"/>
          <w:noProof/>
          <w:lang w:val="fr-CA"/>
        </w:rPr>
        <w:t xml:space="preserve">], au par. 1, mais le par. 15 de cette décision </w:t>
      </w:r>
      <w:r>
        <w:rPr>
          <w:rFonts w:cs="Times New Roman"/>
          <w:noProof/>
          <w:lang w:val="fr-CA"/>
        </w:rPr>
        <w:t xml:space="preserve">confirme </w:t>
      </w:r>
      <w:r w:rsidRPr="00E41E88">
        <w:rPr>
          <w:rFonts w:cs="Times New Roman"/>
          <w:noProof/>
          <w:lang w:val="fr-CA"/>
        </w:rPr>
        <w:t>que c</w:t>
      </w:r>
      <w:r>
        <w:rPr>
          <w:rFonts w:cs="Times New Roman"/>
          <w:noProof/>
          <w:lang w:val="fr-CA"/>
        </w:rPr>
        <w:t>’</w:t>
      </w:r>
      <w:r w:rsidRPr="00E41E88">
        <w:rPr>
          <w:rFonts w:cs="Times New Roman"/>
          <w:noProof/>
          <w:lang w:val="fr-CA"/>
        </w:rPr>
        <w:t>est le non</w:t>
      </w:r>
      <w:r w:rsidRPr="00E41E88">
        <w:rPr>
          <w:rFonts w:cs="Times New Roman"/>
          <w:noProof/>
          <w:lang w:val="fr-CA"/>
        </w:rPr>
        <w:noBreakHyphen/>
        <w:t xml:space="preserve">paiement qui constitue la violation, </w:t>
      </w:r>
      <w:r>
        <w:rPr>
          <w:rFonts w:cs="Times New Roman"/>
          <w:noProof/>
          <w:lang w:val="fr-CA"/>
        </w:rPr>
        <w:t xml:space="preserve">et </w:t>
      </w:r>
      <w:r w:rsidRPr="00E41E88">
        <w:rPr>
          <w:rFonts w:cs="Times New Roman"/>
          <w:noProof/>
          <w:lang w:val="fr-CA"/>
        </w:rPr>
        <w:t>non le congédiement lui</w:t>
      </w:r>
      <w:r w:rsidRPr="00E41E88">
        <w:rPr>
          <w:rFonts w:cs="Times New Roman"/>
          <w:noProof/>
          <w:lang w:val="fr-CA"/>
        </w:rPr>
        <w:noBreakHyphen/>
        <w:t>même » (</w:t>
      </w:r>
      <w:r w:rsidRPr="00E41E88">
        <w:rPr>
          <w:rFonts w:cs="Times New Roman"/>
          <w:i/>
          <w:noProof/>
          <w:lang w:val="fr-CA"/>
        </w:rPr>
        <w:t>Styles</w:t>
      </w:r>
      <w:r w:rsidRPr="00E41E88">
        <w:rPr>
          <w:rFonts w:cs="Times New Roman"/>
          <w:noProof/>
          <w:lang w:val="fr-CA"/>
        </w:rPr>
        <w:t xml:space="preserve">, par. 34, note 1). </w:t>
      </w:r>
    </w:p>
    <w:p w:rsidR="00DD44E8" w:rsidRPr="00E41E88" w:rsidRDefault="00DD44E8" w:rsidP="00DD44E8">
      <w:pPr>
        <w:pStyle w:val="ParaNoNdepar-AltN"/>
        <w:widowControl w:val="0"/>
        <w:rPr>
          <w:rFonts w:cs="Times New Roman"/>
          <w:noProof/>
          <w:lang w:val="fr-CA"/>
        </w:rPr>
      </w:pPr>
      <w:r w:rsidRPr="00E41E88">
        <w:rPr>
          <w:rFonts w:cs="Times New Roman"/>
          <w:noProof/>
          <w:lang w:val="fr-CA"/>
        </w:rPr>
        <w:t>Selon mon interprétation, notre Cour a confirmé dans l</w:t>
      </w:r>
      <w:r>
        <w:rPr>
          <w:rFonts w:cs="Times New Roman"/>
          <w:noProof/>
          <w:lang w:val="fr-CA"/>
        </w:rPr>
        <w:t>’</w:t>
      </w:r>
      <w:r w:rsidRPr="00E41E88">
        <w:rPr>
          <w:rFonts w:cs="Times New Roman"/>
          <w:noProof/>
          <w:lang w:val="fr-CA"/>
        </w:rPr>
        <w:t xml:space="preserve">arrêt </w:t>
      </w:r>
      <w:r w:rsidRPr="00E41E88">
        <w:rPr>
          <w:rFonts w:cs="Times New Roman"/>
          <w:i/>
          <w:noProof/>
          <w:lang w:val="fr-CA"/>
        </w:rPr>
        <w:t xml:space="preserve">Sylvester </w:t>
      </w:r>
      <w:r w:rsidRPr="00E41E88">
        <w:rPr>
          <w:rFonts w:cs="Times New Roman"/>
          <w:noProof/>
          <w:lang w:val="fr-CA"/>
        </w:rPr>
        <w:t xml:space="preserve">que </w:t>
      </w:r>
      <w:r w:rsidRPr="00E41E88">
        <w:rPr>
          <w:rFonts w:cs="Times New Roman"/>
          <w:noProof/>
          <w:lang w:val="fr-CA"/>
        </w:rPr>
        <w:lastRenderedPageBreak/>
        <w:t>« [l]es dommages</w:t>
      </w:r>
      <w:r w:rsidRPr="00E41E88">
        <w:rPr>
          <w:rFonts w:cs="Times New Roman"/>
          <w:noProof/>
          <w:lang w:val="fr-CA"/>
        </w:rPr>
        <w:noBreakHyphen/>
        <w:t>intérêts versés pour congédiement injustifié visent à indemniser l</w:t>
      </w:r>
      <w:r>
        <w:rPr>
          <w:rFonts w:cs="Times New Roman"/>
          <w:noProof/>
          <w:lang w:val="fr-CA"/>
        </w:rPr>
        <w:t>’</w:t>
      </w:r>
      <w:r w:rsidRPr="00E41E88">
        <w:rPr>
          <w:rFonts w:cs="Times New Roman"/>
          <w:noProof/>
          <w:lang w:val="fr-CA"/>
        </w:rPr>
        <w:t xml:space="preserve">employé </w:t>
      </w:r>
      <w:r w:rsidRPr="00E41E88">
        <w:rPr>
          <w:rFonts w:cs="Times New Roman"/>
          <w:noProof/>
          <w:u w:val="single"/>
          <w:lang w:val="fr-CA"/>
        </w:rPr>
        <w:t>à l</w:t>
      </w:r>
      <w:r>
        <w:rPr>
          <w:rFonts w:cs="Times New Roman"/>
          <w:noProof/>
          <w:u w:val="single"/>
          <w:lang w:val="fr-CA"/>
        </w:rPr>
        <w:t>’</w:t>
      </w:r>
      <w:r w:rsidRPr="00E41E88">
        <w:rPr>
          <w:rFonts w:cs="Times New Roman"/>
          <w:noProof/>
          <w:u w:val="single"/>
          <w:lang w:val="fr-CA"/>
        </w:rPr>
        <w:t>égard de la violation par l</w:t>
      </w:r>
      <w:r>
        <w:rPr>
          <w:rFonts w:cs="Times New Roman"/>
          <w:noProof/>
          <w:u w:val="single"/>
          <w:lang w:val="fr-CA"/>
        </w:rPr>
        <w:t>’</w:t>
      </w:r>
      <w:r w:rsidRPr="00E41E88">
        <w:rPr>
          <w:rFonts w:cs="Times New Roman"/>
          <w:noProof/>
          <w:u w:val="single"/>
          <w:lang w:val="fr-CA"/>
        </w:rPr>
        <w:t>employeur de la condition implicite du contrat d</w:t>
      </w:r>
      <w:r>
        <w:rPr>
          <w:rFonts w:cs="Times New Roman"/>
          <w:noProof/>
          <w:u w:val="single"/>
          <w:lang w:val="fr-CA"/>
        </w:rPr>
        <w:t>’</w:t>
      </w:r>
      <w:r w:rsidRPr="00E41E88">
        <w:rPr>
          <w:rFonts w:cs="Times New Roman"/>
          <w:noProof/>
          <w:u w:val="single"/>
          <w:lang w:val="fr-CA"/>
        </w:rPr>
        <w:t>emploi selon laquelle ce dernier doit donner à l</w:t>
      </w:r>
      <w:r>
        <w:rPr>
          <w:rFonts w:cs="Times New Roman"/>
          <w:noProof/>
          <w:u w:val="single"/>
          <w:lang w:val="fr-CA"/>
        </w:rPr>
        <w:t>’</w:t>
      </w:r>
      <w:r w:rsidRPr="00E41E88">
        <w:rPr>
          <w:rFonts w:cs="Times New Roman"/>
          <w:noProof/>
          <w:u w:val="single"/>
          <w:lang w:val="fr-CA"/>
        </w:rPr>
        <w:t>employé un préavis raisonnable de cessation d</w:t>
      </w:r>
      <w:r>
        <w:rPr>
          <w:rFonts w:cs="Times New Roman"/>
          <w:noProof/>
          <w:u w:val="single"/>
          <w:lang w:val="fr-CA"/>
        </w:rPr>
        <w:t>’</w:t>
      </w:r>
      <w:r w:rsidRPr="00E41E88">
        <w:rPr>
          <w:rFonts w:cs="Times New Roman"/>
          <w:noProof/>
          <w:u w:val="single"/>
          <w:lang w:val="fr-CA"/>
        </w:rPr>
        <w:t>emploi</w:t>
      </w:r>
      <w:r w:rsidRPr="00E41E88">
        <w:rPr>
          <w:rFonts w:cs="Times New Roman"/>
          <w:noProof/>
          <w:lang w:val="fr-CA"/>
        </w:rPr>
        <w:t> » (par. 15 (je souligne)). Cette même idée est d</w:t>
      </w:r>
      <w:r>
        <w:rPr>
          <w:rFonts w:cs="Times New Roman"/>
          <w:noProof/>
          <w:lang w:val="fr-CA"/>
        </w:rPr>
        <w:t>’</w:t>
      </w:r>
      <w:r w:rsidRPr="00E41E88">
        <w:rPr>
          <w:rFonts w:cs="Times New Roman"/>
          <w:noProof/>
          <w:lang w:val="fr-CA"/>
        </w:rPr>
        <w:t>ailleurs confirmée par d</w:t>
      </w:r>
      <w:r>
        <w:rPr>
          <w:rFonts w:cs="Times New Roman"/>
          <w:noProof/>
          <w:lang w:val="fr-CA"/>
        </w:rPr>
        <w:t>’</w:t>
      </w:r>
      <w:r w:rsidRPr="00E41E88">
        <w:rPr>
          <w:rFonts w:cs="Times New Roman"/>
          <w:noProof/>
          <w:lang w:val="fr-CA"/>
        </w:rPr>
        <w:t>autres sources dans d</w:t>
      </w:r>
      <w:r>
        <w:rPr>
          <w:rFonts w:cs="Times New Roman"/>
          <w:noProof/>
          <w:lang w:val="fr-CA"/>
        </w:rPr>
        <w:t>’</w:t>
      </w:r>
      <w:r w:rsidRPr="00E41E88">
        <w:rPr>
          <w:rFonts w:cs="Times New Roman"/>
          <w:noProof/>
          <w:lang w:val="fr-CA"/>
        </w:rPr>
        <w:t>autres ressorts : le contrat ne comporte aucune condition implicite selon laquelle l</w:t>
      </w:r>
      <w:r>
        <w:rPr>
          <w:rFonts w:cs="Times New Roman"/>
          <w:noProof/>
          <w:lang w:val="fr-CA"/>
        </w:rPr>
        <w:t>’</w:t>
      </w:r>
      <w:r w:rsidRPr="00E41E88">
        <w:rPr>
          <w:rFonts w:cs="Times New Roman"/>
          <w:noProof/>
          <w:lang w:val="fr-CA"/>
        </w:rPr>
        <w:t xml:space="preserve">employeur doit verser une indemnité tenant lieu de préavis (voir, p. ex., </w:t>
      </w:r>
      <w:r w:rsidRPr="00E41E88">
        <w:rPr>
          <w:rFonts w:cs="Times New Roman"/>
          <w:i/>
          <w:noProof/>
          <w:lang w:val="fr-CA"/>
        </w:rPr>
        <w:t>Love c. Acuity Investment Management Inc</w:t>
      </w:r>
      <w:r w:rsidRPr="00E41E88">
        <w:rPr>
          <w:rFonts w:cs="Times New Roman"/>
          <w:noProof/>
          <w:lang w:val="fr-CA"/>
        </w:rPr>
        <w:t>., 2011 ONCA 130, 277 O.A.C. 15, par. 44)</w:t>
      </w:r>
      <w:r w:rsidR="0051555B">
        <w:rPr>
          <w:rStyle w:val="FootnoteReference"/>
          <w:rFonts w:cs="Times New Roman"/>
          <w:noProof/>
          <w:lang w:val="fr-CA"/>
        </w:rPr>
        <w:footnoteReference w:id="3"/>
      </w:r>
      <w:r w:rsidRPr="00E41E88">
        <w:rPr>
          <w:rFonts w:cs="Times New Roman"/>
          <w:noProof/>
          <w:lang w:val="fr-CA"/>
        </w:rPr>
        <w:t xml:space="preserve">. </w:t>
      </w:r>
    </w:p>
    <w:p w:rsidR="00DD44E8" w:rsidRPr="00E41E88" w:rsidRDefault="00DD44E8" w:rsidP="00DD44E8">
      <w:pPr>
        <w:pStyle w:val="ParaNoNdepar-AltN"/>
        <w:widowControl w:val="0"/>
        <w:rPr>
          <w:rFonts w:cs="Times New Roman"/>
          <w:noProof/>
          <w:lang w:val="fr-CA"/>
        </w:rPr>
      </w:pPr>
      <w:r w:rsidRPr="00E41E88">
        <w:rPr>
          <w:rFonts w:cs="Times New Roman"/>
          <w:noProof/>
          <w:lang w:val="fr-CA"/>
        </w:rPr>
        <w:t>Comme l</w:t>
      </w:r>
      <w:r>
        <w:rPr>
          <w:rFonts w:cs="Times New Roman"/>
          <w:noProof/>
          <w:lang w:val="fr-CA"/>
        </w:rPr>
        <w:t>’</w:t>
      </w:r>
      <w:r w:rsidRPr="00E41E88">
        <w:rPr>
          <w:rFonts w:cs="Times New Roman"/>
          <w:noProof/>
          <w:lang w:val="fr-CA"/>
        </w:rPr>
        <w:t>a expliqué la Cour d</w:t>
      </w:r>
      <w:r>
        <w:rPr>
          <w:rFonts w:cs="Times New Roman"/>
          <w:noProof/>
          <w:lang w:val="fr-CA"/>
        </w:rPr>
        <w:t>’</w:t>
      </w:r>
      <w:r w:rsidRPr="00E41E88">
        <w:rPr>
          <w:rFonts w:cs="Times New Roman"/>
          <w:noProof/>
          <w:lang w:val="fr-CA"/>
        </w:rPr>
        <w:t>appel de la Colombie</w:t>
      </w:r>
      <w:r w:rsidRPr="00E41E88">
        <w:rPr>
          <w:rFonts w:cs="Times New Roman"/>
          <w:noProof/>
          <w:lang w:val="fr-CA"/>
        </w:rPr>
        <w:noBreakHyphen/>
        <w:t>Britannique dans l</w:t>
      </w:r>
      <w:r>
        <w:rPr>
          <w:rFonts w:cs="Times New Roman"/>
          <w:noProof/>
          <w:lang w:val="fr-CA"/>
        </w:rPr>
        <w:t xml:space="preserve">’arrêt </w:t>
      </w:r>
      <w:r w:rsidRPr="00E41E88">
        <w:rPr>
          <w:rFonts w:cs="Times New Roman"/>
          <w:i/>
          <w:noProof/>
          <w:lang w:val="fr-CA"/>
        </w:rPr>
        <w:t>Dunlop c. B</w:t>
      </w:r>
      <w:r>
        <w:rPr>
          <w:rFonts w:cs="Times New Roman"/>
          <w:i/>
          <w:noProof/>
          <w:lang w:val="fr-CA"/>
        </w:rPr>
        <w:t>.</w:t>
      </w:r>
      <w:r w:rsidRPr="00E41E88">
        <w:rPr>
          <w:rFonts w:cs="Times New Roman"/>
          <w:i/>
          <w:noProof/>
          <w:lang w:val="fr-CA"/>
        </w:rPr>
        <w:t>C</w:t>
      </w:r>
      <w:r>
        <w:rPr>
          <w:rFonts w:cs="Times New Roman"/>
          <w:i/>
          <w:noProof/>
          <w:lang w:val="fr-CA"/>
        </w:rPr>
        <w:t xml:space="preserve">. </w:t>
      </w:r>
      <w:r w:rsidRPr="00E41E88">
        <w:rPr>
          <w:rFonts w:cs="Times New Roman"/>
          <w:i/>
          <w:noProof/>
          <w:lang w:val="fr-CA"/>
        </w:rPr>
        <w:t xml:space="preserve">Hydro </w:t>
      </w:r>
      <w:r>
        <w:rPr>
          <w:rFonts w:cs="Times New Roman"/>
          <w:i/>
          <w:noProof/>
          <w:lang w:val="fr-CA"/>
        </w:rPr>
        <w:t>&amp;</w:t>
      </w:r>
      <w:r w:rsidRPr="00E41E88">
        <w:rPr>
          <w:rFonts w:cs="Times New Roman"/>
          <w:i/>
          <w:noProof/>
          <w:lang w:val="fr-CA"/>
        </w:rPr>
        <w:t xml:space="preserve"> Power Authority </w:t>
      </w:r>
      <w:r w:rsidRPr="00E41E88">
        <w:rPr>
          <w:rFonts w:cs="Times New Roman"/>
          <w:noProof/>
          <w:lang w:val="fr-CA"/>
        </w:rPr>
        <w:t>(1988), 32</w:t>
      </w:r>
      <w:r>
        <w:rPr>
          <w:rFonts w:cs="Times New Roman"/>
          <w:noProof/>
          <w:lang w:val="fr-CA"/>
        </w:rPr>
        <w:t xml:space="preserve"> </w:t>
      </w:r>
      <w:r w:rsidRPr="00E41E88">
        <w:rPr>
          <w:rFonts w:cs="Times New Roman"/>
          <w:noProof/>
          <w:lang w:val="fr-CA"/>
        </w:rPr>
        <w:t>B.C.L.R.</w:t>
      </w:r>
      <w:r>
        <w:rPr>
          <w:rFonts w:cs="Times New Roman"/>
          <w:noProof/>
          <w:lang w:val="fr-CA"/>
        </w:rPr>
        <w:t xml:space="preserve"> </w:t>
      </w:r>
      <w:r w:rsidRPr="00E41E88">
        <w:rPr>
          <w:rFonts w:cs="Times New Roman"/>
          <w:noProof/>
          <w:lang w:val="fr-CA"/>
        </w:rPr>
        <w:t>(2d) 334, p. 338</w:t>
      </w:r>
      <w:r w:rsidRPr="00E41E88">
        <w:rPr>
          <w:rFonts w:cs="Times New Roman"/>
          <w:noProof/>
          <w:lang w:val="fr-CA"/>
        </w:rPr>
        <w:noBreakHyphen/>
        <w:t>3</w:t>
      </w:r>
      <w:r>
        <w:rPr>
          <w:rFonts w:cs="Times New Roman"/>
          <w:noProof/>
          <w:lang w:val="fr-CA"/>
        </w:rPr>
        <w:t>39</w:t>
      </w:r>
      <w:r w:rsidRPr="00E41E88">
        <w:rPr>
          <w:rFonts w:cs="Times New Roman"/>
          <w:noProof/>
          <w:lang w:val="fr-CA"/>
        </w:rPr>
        <w:t>, il y a trois raisons principales pour lesquelles cette distinction est importante. Premièrement, il existe des difficultés liées à la complexité d</w:t>
      </w:r>
      <w:r>
        <w:rPr>
          <w:rFonts w:cs="Times New Roman"/>
          <w:noProof/>
          <w:lang w:val="fr-CA"/>
        </w:rPr>
        <w:t>’</w:t>
      </w:r>
      <w:r w:rsidRPr="00E41E88">
        <w:rPr>
          <w:rFonts w:cs="Times New Roman"/>
          <w:noProof/>
          <w:lang w:val="fr-CA"/>
        </w:rPr>
        <w:t>une condition implicite prévoyant le versement du salaire en lieu et place d</w:t>
      </w:r>
      <w:r>
        <w:rPr>
          <w:rFonts w:cs="Times New Roman"/>
          <w:noProof/>
          <w:lang w:val="fr-CA"/>
        </w:rPr>
        <w:t>’</w:t>
      </w:r>
      <w:r w:rsidRPr="00E41E88">
        <w:rPr>
          <w:rFonts w:cs="Times New Roman"/>
          <w:noProof/>
          <w:lang w:val="fr-CA"/>
        </w:rPr>
        <w:t xml:space="preserve">un préavis, et </w:t>
      </w:r>
      <w:r>
        <w:rPr>
          <w:rFonts w:cs="Times New Roman"/>
          <w:noProof/>
          <w:lang w:val="fr-CA"/>
        </w:rPr>
        <w:t>à</w:t>
      </w:r>
      <w:r w:rsidRPr="00E41E88">
        <w:rPr>
          <w:rFonts w:cs="Times New Roman"/>
          <w:noProof/>
          <w:lang w:val="fr-CA"/>
        </w:rPr>
        <w:t xml:space="preserve"> la question de savoir s</w:t>
      </w:r>
      <w:r>
        <w:rPr>
          <w:rFonts w:cs="Times New Roman"/>
          <w:noProof/>
          <w:lang w:val="fr-CA"/>
        </w:rPr>
        <w:t>’</w:t>
      </w:r>
      <w:r w:rsidRPr="00E41E88">
        <w:rPr>
          <w:rFonts w:cs="Times New Roman"/>
          <w:noProof/>
          <w:lang w:val="fr-CA"/>
        </w:rPr>
        <w:t>il est facile de dégager implicitement une telle condition d</w:t>
      </w:r>
      <w:r>
        <w:rPr>
          <w:rFonts w:cs="Times New Roman"/>
          <w:noProof/>
          <w:lang w:val="fr-CA"/>
        </w:rPr>
        <w:t>’</w:t>
      </w:r>
      <w:r w:rsidRPr="00E41E88">
        <w:rPr>
          <w:rFonts w:cs="Times New Roman"/>
          <w:noProof/>
          <w:lang w:val="fr-CA"/>
        </w:rPr>
        <w:t>un contrat de travail. Deuxièmement, le fait de dégager l</w:t>
      </w:r>
      <w:r>
        <w:rPr>
          <w:rFonts w:cs="Times New Roman"/>
          <w:noProof/>
          <w:lang w:val="fr-CA"/>
        </w:rPr>
        <w:t>’</w:t>
      </w:r>
      <w:r w:rsidRPr="00E41E88">
        <w:rPr>
          <w:rFonts w:cs="Times New Roman"/>
          <w:noProof/>
          <w:lang w:val="fr-CA"/>
        </w:rPr>
        <w:t>existence d</w:t>
      </w:r>
      <w:r>
        <w:rPr>
          <w:rFonts w:cs="Times New Roman"/>
          <w:noProof/>
          <w:lang w:val="fr-CA"/>
        </w:rPr>
        <w:t>’</w:t>
      </w:r>
      <w:r w:rsidRPr="00E41E88">
        <w:rPr>
          <w:rFonts w:cs="Times New Roman"/>
          <w:noProof/>
          <w:lang w:val="fr-CA"/>
        </w:rPr>
        <w:t xml:space="preserve">une telle condition implicite </w:t>
      </w:r>
      <w:r w:rsidRPr="00E41E88">
        <w:rPr>
          <w:rFonts w:cs="Times New Roman"/>
          <w:smallCaps/>
          <w:noProof/>
          <w:lang w:val="fr-CA"/>
        </w:rPr>
        <w:t xml:space="preserve">[traduction] </w:t>
      </w:r>
      <w:r w:rsidRPr="00E41E88">
        <w:rPr>
          <w:rFonts w:cs="Times New Roman"/>
          <w:noProof/>
          <w:lang w:val="fr-CA"/>
        </w:rPr>
        <w:t>« signifierait que, si un employeur choisissait de verser le salaire au lieu de donner un préavis, il respecterait alors le contrat et ne le violerait pas », et, pour cette raison, « le contrat exigerait le plein paiement du salaire immédiatement ». Troisièmement, si l</w:t>
      </w:r>
      <w:r>
        <w:rPr>
          <w:rFonts w:cs="Times New Roman"/>
          <w:noProof/>
          <w:lang w:val="fr-CA"/>
        </w:rPr>
        <w:t>’</w:t>
      </w:r>
      <w:r w:rsidRPr="00E41E88">
        <w:rPr>
          <w:rFonts w:cs="Times New Roman"/>
          <w:noProof/>
          <w:lang w:val="fr-CA"/>
        </w:rPr>
        <w:t>employeur choisissait d</w:t>
      </w:r>
      <w:r>
        <w:rPr>
          <w:rFonts w:cs="Times New Roman"/>
          <w:noProof/>
          <w:lang w:val="fr-CA"/>
        </w:rPr>
        <w:t>’</w:t>
      </w:r>
      <w:r w:rsidRPr="00E41E88">
        <w:rPr>
          <w:rFonts w:cs="Times New Roman"/>
          <w:noProof/>
          <w:lang w:val="fr-CA"/>
        </w:rPr>
        <w:t>appliquer une telle condition implicite et ne donnait pas de préavis de cessation d</w:t>
      </w:r>
      <w:r>
        <w:rPr>
          <w:rFonts w:cs="Times New Roman"/>
          <w:noProof/>
          <w:lang w:val="fr-CA"/>
        </w:rPr>
        <w:t>’</w:t>
      </w:r>
      <w:r w:rsidRPr="00E41E88">
        <w:rPr>
          <w:rFonts w:cs="Times New Roman"/>
          <w:noProof/>
          <w:lang w:val="fr-CA"/>
        </w:rPr>
        <w:t>emploi, « l</w:t>
      </w:r>
      <w:r>
        <w:rPr>
          <w:rFonts w:cs="Times New Roman"/>
          <w:noProof/>
          <w:lang w:val="fr-CA"/>
        </w:rPr>
        <w:t>’</w:t>
      </w:r>
      <w:r w:rsidRPr="00E41E88">
        <w:rPr>
          <w:rFonts w:cs="Times New Roman"/>
          <w:noProof/>
          <w:lang w:val="fr-CA"/>
        </w:rPr>
        <w:t xml:space="preserve">employé ne serait pas tenu de </w:t>
      </w:r>
      <w:r w:rsidRPr="00E41E88">
        <w:rPr>
          <w:rFonts w:cs="Times New Roman"/>
          <w:noProof/>
          <w:lang w:val="fr-CA"/>
        </w:rPr>
        <w:lastRenderedPageBreak/>
        <w:t>limiter son préjudice en cherchant un autre emploi », étant donné que cette condition requiert le plein paiement du salaire sans égard aux pertes réelles subies par l</w:t>
      </w:r>
      <w:r>
        <w:rPr>
          <w:rFonts w:cs="Times New Roman"/>
          <w:noProof/>
          <w:lang w:val="fr-CA"/>
        </w:rPr>
        <w:t>’</w:t>
      </w:r>
      <w:r w:rsidRPr="00E41E88">
        <w:rPr>
          <w:rFonts w:cs="Times New Roman"/>
          <w:noProof/>
          <w:lang w:val="fr-CA"/>
        </w:rPr>
        <w:t>employé. Il est donc important que les tribunaux et les parties comprennent bien cette distinction, car elle peut affecter profondément la situation financière des employés. Dans la mesure où certaines décisions suggèrent le contraire, je dois, avec égards, exprimer mon désaccord.</w:t>
      </w:r>
    </w:p>
    <w:p w:rsidR="00DD44E8" w:rsidRPr="00E41E88" w:rsidRDefault="00DD44E8" w:rsidP="00DD44E8">
      <w:pPr>
        <w:pStyle w:val="ParaNoNdepar-AltN"/>
        <w:rPr>
          <w:rFonts w:cs="Times New Roman"/>
          <w:noProof/>
          <w:lang w:val="fr-CA"/>
        </w:rPr>
      </w:pPr>
      <w:r w:rsidRPr="00E41E88">
        <w:rPr>
          <w:rFonts w:cs="Times New Roman"/>
          <w:noProof/>
          <w:lang w:val="fr-CA"/>
        </w:rPr>
        <w:t>Enfin, à cette étape de l</w:t>
      </w:r>
      <w:r>
        <w:rPr>
          <w:rFonts w:cs="Times New Roman"/>
          <w:noProof/>
          <w:lang w:val="fr-CA"/>
        </w:rPr>
        <w:t>’</w:t>
      </w:r>
      <w:r w:rsidRPr="00E41E88">
        <w:rPr>
          <w:rFonts w:cs="Times New Roman"/>
          <w:noProof/>
          <w:lang w:val="fr-CA"/>
        </w:rPr>
        <w:t>analyse, il peut également être opportun, dans certains cas, de se demander si les clauses visant à limiter ou supprimer le droit que confère la common law</w:t>
      </w:r>
      <w:r w:rsidRPr="00E41E88">
        <w:rPr>
          <w:rFonts w:cs="Times New Roman"/>
          <w:i/>
          <w:noProof/>
          <w:lang w:val="fr-CA"/>
        </w:rPr>
        <w:t xml:space="preserve"> </w:t>
      </w:r>
      <w:r w:rsidRPr="00E41E88">
        <w:rPr>
          <w:rFonts w:cs="Times New Roman"/>
          <w:noProof/>
          <w:lang w:val="fr-CA"/>
        </w:rPr>
        <w:t>à un employé ont été adéquatement portées à son attention (</w:t>
      </w:r>
      <w:r w:rsidRPr="00E41E88">
        <w:rPr>
          <w:rFonts w:cs="Times New Roman"/>
          <w:i/>
          <w:noProof/>
          <w:lang w:val="fr-CA"/>
        </w:rPr>
        <w:t>Paquette</w:t>
      </w:r>
      <w:r w:rsidRPr="00E41E88">
        <w:rPr>
          <w:rFonts w:cs="Times New Roman"/>
          <w:noProof/>
          <w:lang w:val="fr-CA"/>
        </w:rPr>
        <w:t xml:space="preserve">, par. 18; </w:t>
      </w:r>
      <w:r w:rsidRPr="00E41E88">
        <w:rPr>
          <w:rFonts w:cs="Times New Roman"/>
          <w:i/>
          <w:noProof/>
          <w:lang w:val="fr-CA"/>
        </w:rPr>
        <w:t>Taggart</w:t>
      </w:r>
      <w:r w:rsidRPr="00E41E88">
        <w:rPr>
          <w:rFonts w:cs="Times New Roman"/>
          <w:noProof/>
          <w:lang w:val="fr-CA"/>
        </w:rPr>
        <w:t>, par. 20</w:t>
      </w:r>
      <w:r w:rsidRPr="00E41E88">
        <w:rPr>
          <w:rFonts w:cs="Times New Roman"/>
          <w:noProof/>
          <w:lang w:val="fr-CA"/>
        </w:rPr>
        <w:noBreakHyphen/>
        <w:t xml:space="preserve">23; </w:t>
      </w:r>
      <w:r w:rsidRPr="00E41E88">
        <w:rPr>
          <w:rFonts w:cs="Times New Roman"/>
          <w:i/>
          <w:noProof/>
          <w:lang w:val="fr-CA"/>
        </w:rPr>
        <w:t>Poole c. Whirlpool Corp</w:t>
      </w:r>
      <w:r w:rsidRPr="00434C37">
        <w:rPr>
          <w:rFonts w:cs="Times New Roman"/>
          <w:i/>
          <w:noProof/>
          <w:lang w:val="fr-CA"/>
        </w:rPr>
        <w:t>.</w:t>
      </w:r>
      <w:r w:rsidRPr="00E41E88">
        <w:rPr>
          <w:rFonts w:cs="Times New Roman"/>
          <w:noProof/>
          <w:lang w:val="fr-CA"/>
        </w:rPr>
        <w:t>, 2011 ONCA 808, 97 C.C.E.L. (3d) 20, par. 5</w:t>
      </w:r>
      <w:r w:rsidRPr="00E41E88">
        <w:rPr>
          <w:rFonts w:cs="Times New Roman"/>
          <w:noProof/>
          <w:lang w:val="fr-CA"/>
        </w:rPr>
        <w:noBreakHyphen/>
        <w:t>6). Toutefois, cette question ne se soulève pas en l</w:t>
      </w:r>
      <w:r>
        <w:rPr>
          <w:rFonts w:cs="Times New Roman"/>
          <w:noProof/>
          <w:lang w:val="fr-CA"/>
        </w:rPr>
        <w:t>’</w:t>
      </w:r>
      <w:r w:rsidRPr="00E41E88">
        <w:rPr>
          <w:rFonts w:cs="Times New Roman"/>
          <w:noProof/>
          <w:lang w:val="fr-CA"/>
        </w:rPr>
        <w:t>espèce. De plus, comme l</w:t>
      </w:r>
      <w:r>
        <w:rPr>
          <w:rFonts w:cs="Times New Roman"/>
          <w:noProof/>
          <w:lang w:val="fr-CA"/>
        </w:rPr>
        <w:t>’</w:t>
      </w:r>
      <w:r w:rsidRPr="00E41E88">
        <w:rPr>
          <w:rFonts w:cs="Times New Roman"/>
          <w:noProof/>
          <w:lang w:val="fr-CA"/>
        </w:rPr>
        <w:t>ont fait remarquer plusieurs intervenants dans le cadre du présent pourvoi, il peut être approprié de se demander si la clause en litige est compatible avec les normes d</w:t>
      </w:r>
      <w:r>
        <w:rPr>
          <w:rFonts w:cs="Times New Roman"/>
          <w:noProof/>
          <w:lang w:val="fr-CA"/>
        </w:rPr>
        <w:t>’</w:t>
      </w:r>
      <w:r w:rsidRPr="00E41E88">
        <w:rPr>
          <w:rFonts w:cs="Times New Roman"/>
          <w:noProof/>
          <w:lang w:val="fr-CA"/>
        </w:rPr>
        <w:t>emploi minimales (</w:t>
      </w:r>
      <w:r w:rsidRPr="00E41E88">
        <w:rPr>
          <w:rFonts w:cs="Times New Roman"/>
          <w:i/>
          <w:noProof/>
          <w:lang w:val="fr-CA"/>
        </w:rPr>
        <w:t>Machtinger</w:t>
      </w:r>
      <w:r w:rsidRPr="00E41E88">
        <w:rPr>
          <w:rFonts w:cs="Times New Roman"/>
          <w:noProof/>
          <w:lang w:val="fr-CA"/>
        </w:rPr>
        <w:t>, p. 1004). Cette question n</w:t>
      </w:r>
      <w:r>
        <w:rPr>
          <w:rFonts w:cs="Times New Roman"/>
          <w:noProof/>
          <w:lang w:val="fr-CA"/>
        </w:rPr>
        <w:t>’</w:t>
      </w:r>
      <w:r w:rsidRPr="00E41E88">
        <w:rPr>
          <w:rFonts w:cs="Times New Roman"/>
          <w:noProof/>
          <w:lang w:val="fr-CA"/>
        </w:rPr>
        <w:t>a pas été examinée par les juridictions inférieures et, dans les circonstances de l</w:t>
      </w:r>
      <w:r>
        <w:rPr>
          <w:rFonts w:cs="Times New Roman"/>
          <w:noProof/>
          <w:lang w:val="fr-CA"/>
        </w:rPr>
        <w:t>’</w:t>
      </w:r>
      <w:r w:rsidRPr="00E41E88">
        <w:rPr>
          <w:rFonts w:cs="Times New Roman"/>
          <w:noProof/>
          <w:lang w:val="fr-CA"/>
        </w:rPr>
        <w:t>espèce, il n</w:t>
      </w:r>
      <w:r>
        <w:rPr>
          <w:rFonts w:cs="Times New Roman"/>
          <w:noProof/>
          <w:lang w:val="fr-CA"/>
        </w:rPr>
        <w:t>’</w:t>
      </w:r>
      <w:r w:rsidRPr="00E41E88">
        <w:rPr>
          <w:rFonts w:cs="Times New Roman"/>
          <w:noProof/>
          <w:lang w:val="fr-CA"/>
        </w:rPr>
        <w:t>est pas nécessaire de s</w:t>
      </w:r>
      <w:r>
        <w:rPr>
          <w:rFonts w:cs="Times New Roman"/>
          <w:noProof/>
          <w:lang w:val="fr-CA"/>
        </w:rPr>
        <w:t>’</w:t>
      </w:r>
      <w:r w:rsidRPr="00E41E88">
        <w:rPr>
          <w:rFonts w:cs="Times New Roman"/>
          <w:noProof/>
          <w:lang w:val="fr-CA"/>
        </w:rPr>
        <w:t xml:space="preserve">y attarder davantage. </w:t>
      </w:r>
    </w:p>
    <w:p w:rsidR="00DD44E8" w:rsidRPr="00E41E88" w:rsidRDefault="00DD44E8" w:rsidP="00DD44E8">
      <w:pPr>
        <w:pStyle w:val="ParaNoNdepar-AltN"/>
        <w:widowControl w:val="0"/>
        <w:rPr>
          <w:rFonts w:cs="Times New Roman"/>
          <w:noProof/>
          <w:lang w:val="fr-CA"/>
        </w:rPr>
      </w:pPr>
      <w:r w:rsidRPr="00E41E88">
        <w:rPr>
          <w:rFonts w:cs="Times New Roman"/>
          <w:noProof/>
          <w:lang w:val="fr-CA"/>
        </w:rPr>
        <w:t>En résumé, je suis d</w:t>
      </w:r>
      <w:r>
        <w:rPr>
          <w:rFonts w:cs="Times New Roman"/>
          <w:noProof/>
          <w:lang w:val="fr-CA"/>
        </w:rPr>
        <w:t>’</w:t>
      </w:r>
      <w:r w:rsidRPr="00E41E88">
        <w:rPr>
          <w:rFonts w:cs="Times New Roman"/>
          <w:noProof/>
          <w:lang w:val="fr-CA"/>
        </w:rPr>
        <w:t>accord avec le juge de première instance pour conclure que M. Matthews a droit à des dommages</w:t>
      </w:r>
      <w:r w:rsidRPr="00E41E88">
        <w:rPr>
          <w:rFonts w:cs="Times New Roman"/>
          <w:noProof/>
          <w:lang w:val="fr-CA"/>
        </w:rPr>
        <w:noBreakHyphen/>
        <w:t>intérêts correspondant au paiement qu</w:t>
      </w:r>
      <w:r>
        <w:rPr>
          <w:rFonts w:cs="Times New Roman"/>
          <w:noProof/>
          <w:lang w:val="fr-CA"/>
        </w:rPr>
        <w:t>’</w:t>
      </w:r>
      <w:r w:rsidRPr="00E41E88">
        <w:rPr>
          <w:rFonts w:cs="Times New Roman"/>
          <w:noProof/>
          <w:lang w:val="fr-CA"/>
        </w:rPr>
        <w:t>il aurait reçu en vertu du RILT, déduction faite des sommes découlant de l</w:t>
      </w:r>
      <w:r>
        <w:rPr>
          <w:rFonts w:cs="Times New Roman"/>
          <w:noProof/>
          <w:lang w:val="fr-CA"/>
        </w:rPr>
        <w:t>’</w:t>
      </w:r>
      <w:r w:rsidRPr="00E41E88">
        <w:rPr>
          <w:rFonts w:cs="Times New Roman"/>
          <w:noProof/>
          <w:lang w:val="fr-CA"/>
        </w:rPr>
        <w:t xml:space="preserve">atténuation des dommages. </w:t>
      </w:r>
    </w:p>
    <w:p w:rsidR="00DD44E8" w:rsidRPr="00E41E88" w:rsidRDefault="00DD44E8" w:rsidP="00DD44E8">
      <w:pPr>
        <w:pStyle w:val="Title3LevelTitre3Niveau"/>
        <w:keepNext w:val="0"/>
        <w:rPr>
          <w:rFonts w:cs="Times New Roman"/>
          <w:noProof/>
          <w:lang w:val="fr-CA"/>
        </w:rPr>
      </w:pPr>
      <w:r w:rsidRPr="00E41E88">
        <w:rPr>
          <w:rFonts w:cs="Times New Roman"/>
          <w:noProof/>
          <w:lang w:val="fr-CA"/>
        </w:rPr>
        <w:t>Bonne foi</w:t>
      </w:r>
    </w:p>
    <w:p w:rsidR="00DD44E8" w:rsidRPr="00E41E88" w:rsidRDefault="00DD44E8" w:rsidP="00DD44E8">
      <w:pPr>
        <w:pStyle w:val="ParaNoNdepar-AltN"/>
        <w:tabs>
          <w:tab w:val="clear" w:pos="1152"/>
          <w:tab w:val="left" w:pos="1166"/>
        </w:tabs>
        <w:rPr>
          <w:rFonts w:cs="Times New Roman"/>
          <w:noProof/>
          <w:lang w:val="fr-CA"/>
        </w:rPr>
      </w:pPr>
      <w:r w:rsidRPr="00E41E88">
        <w:rPr>
          <w:rFonts w:cs="Times New Roman"/>
          <w:noProof/>
          <w:lang w:val="fr-CA"/>
        </w:rPr>
        <w:lastRenderedPageBreak/>
        <w:t xml:space="preserve">Une fois de plus, je tiens à souligner, toujours avec égards, que les arguments des parties sur la bonne foi étaient déroutants lorsque considérés côte à côte. En effet, </w:t>
      </w:r>
      <w:r>
        <w:rPr>
          <w:rFonts w:cs="Times New Roman"/>
          <w:noProof/>
          <w:lang w:val="fr-CA"/>
        </w:rPr>
        <w:t>M. </w:t>
      </w:r>
      <w:r w:rsidRPr="00E41E88">
        <w:rPr>
          <w:rFonts w:cs="Times New Roman"/>
          <w:noProof/>
          <w:lang w:val="fr-CA"/>
        </w:rPr>
        <w:t>Matthews s</w:t>
      </w:r>
      <w:r>
        <w:rPr>
          <w:rFonts w:cs="Times New Roman"/>
          <w:noProof/>
          <w:lang w:val="fr-CA"/>
        </w:rPr>
        <w:t>’</w:t>
      </w:r>
      <w:r w:rsidRPr="00E41E88">
        <w:rPr>
          <w:rFonts w:cs="Times New Roman"/>
          <w:noProof/>
          <w:lang w:val="fr-CA"/>
        </w:rPr>
        <w:t>est essentiellement attaché à l</w:t>
      </w:r>
      <w:r>
        <w:rPr>
          <w:rFonts w:cs="Times New Roman"/>
          <w:noProof/>
          <w:lang w:val="fr-CA"/>
        </w:rPr>
        <w:t>’</w:t>
      </w:r>
      <w:r w:rsidRPr="00E41E88">
        <w:rPr>
          <w:rFonts w:cs="Times New Roman"/>
          <w:noProof/>
          <w:lang w:val="fr-CA"/>
        </w:rPr>
        <w:t>obligation d</w:t>
      </w:r>
      <w:r>
        <w:rPr>
          <w:rFonts w:cs="Times New Roman"/>
          <w:noProof/>
          <w:lang w:val="fr-CA"/>
        </w:rPr>
        <w:t>’</w:t>
      </w:r>
      <w:r w:rsidRPr="00E41E88">
        <w:rPr>
          <w:rFonts w:cs="Times New Roman"/>
          <w:noProof/>
          <w:lang w:val="fr-CA"/>
        </w:rPr>
        <w:t>exécution honnête, et il a confirmé, lors de l</w:t>
      </w:r>
      <w:r>
        <w:rPr>
          <w:rFonts w:cs="Times New Roman"/>
          <w:noProof/>
          <w:lang w:val="fr-CA"/>
        </w:rPr>
        <w:t>’</w:t>
      </w:r>
      <w:r w:rsidRPr="00E41E88">
        <w:rPr>
          <w:rFonts w:cs="Times New Roman"/>
          <w:noProof/>
          <w:lang w:val="fr-CA"/>
        </w:rPr>
        <w:t>audience, qu</w:t>
      </w:r>
      <w:r>
        <w:rPr>
          <w:rFonts w:cs="Times New Roman"/>
          <w:noProof/>
          <w:lang w:val="fr-CA"/>
        </w:rPr>
        <w:t>’</w:t>
      </w:r>
      <w:r w:rsidRPr="00E41E88">
        <w:rPr>
          <w:rFonts w:cs="Times New Roman"/>
          <w:noProof/>
          <w:lang w:val="fr-CA"/>
        </w:rPr>
        <w:t>il ne réclame pas de dommages</w:t>
      </w:r>
      <w:r w:rsidRPr="00E41E88">
        <w:rPr>
          <w:rFonts w:cs="Times New Roman"/>
          <w:noProof/>
          <w:lang w:val="fr-CA"/>
        </w:rPr>
        <w:noBreakHyphen/>
        <w:t>intérêts pour les souffrances morales susceptibles de découler d</w:t>
      </w:r>
      <w:r>
        <w:rPr>
          <w:rFonts w:cs="Times New Roman"/>
          <w:noProof/>
          <w:lang w:val="fr-CA"/>
        </w:rPr>
        <w:t>’</w:t>
      </w:r>
      <w:r w:rsidRPr="00E41E88">
        <w:rPr>
          <w:rFonts w:cs="Times New Roman"/>
          <w:noProof/>
          <w:lang w:val="fr-CA"/>
        </w:rPr>
        <w:t>un manquement à l</w:t>
      </w:r>
      <w:r>
        <w:rPr>
          <w:rFonts w:cs="Times New Roman"/>
          <w:noProof/>
          <w:lang w:val="fr-CA"/>
        </w:rPr>
        <w:t>’</w:t>
      </w:r>
      <w:r w:rsidRPr="00E41E88">
        <w:rPr>
          <w:rFonts w:cs="Times New Roman"/>
          <w:noProof/>
          <w:lang w:val="fr-CA"/>
        </w:rPr>
        <w:t>obligation d</w:t>
      </w:r>
      <w:r>
        <w:rPr>
          <w:rFonts w:cs="Times New Roman"/>
          <w:noProof/>
          <w:lang w:val="fr-CA"/>
        </w:rPr>
        <w:t>’</w:t>
      </w:r>
      <w:r w:rsidRPr="00E41E88">
        <w:rPr>
          <w:rFonts w:cs="Times New Roman"/>
          <w:noProof/>
          <w:lang w:val="fr-CA"/>
        </w:rPr>
        <w:t xml:space="preserve">agir de bonne foi dans la façon de procéder à un congédiement, faisant remarquer que cela </w:t>
      </w:r>
      <w:r>
        <w:rPr>
          <w:rFonts w:cs="Times New Roman"/>
          <w:smallCaps/>
          <w:noProof/>
          <w:lang w:val="fr-CA"/>
        </w:rPr>
        <w:t xml:space="preserve">[traduction] </w:t>
      </w:r>
      <w:r w:rsidRPr="00E41E88">
        <w:rPr>
          <w:rFonts w:cs="Times New Roman"/>
          <w:noProof/>
          <w:lang w:val="fr-CA"/>
        </w:rPr>
        <w:t>« ne le rapproche tout simplement pas de son objectif » en ce qui concerne le RILT (</w:t>
      </w:r>
      <w:r w:rsidRPr="00E41E88">
        <w:rPr>
          <w:rFonts w:cs="Times New Roman"/>
          <w:lang w:val="fr-CA"/>
        </w:rPr>
        <w:t>transcription, p. 17).</w:t>
      </w:r>
      <w:r w:rsidRPr="00E41E88">
        <w:rPr>
          <w:rFonts w:cs="Times New Roman"/>
          <w:noProof/>
          <w:lang w:val="fr-CA"/>
        </w:rPr>
        <w:t xml:space="preserve"> Ocean, quant à elle, a défendu la conclusion de la Cour d</w:t>
      </w:r>
      <w:r>
        <w:rPr>
          <w:rFonts w:cs="Times New Roman"/>
          <w:noProof/>
          <w:lang w:val="fr-CA"/>
        </w:rPr>
        <w:t>’</w:t>
      </w:r>
      <w:r w:rsidRPr="00E41E88">
        <w:rPr>
          <w:rFonts w:cs="Times New Roman"/>
          <w:noProof/>
          <w:lang w:val="fr-CA"/>
        </w:rPr>
        <w:t xml:space="preserve">appel selon laquelle </w:t>
      </w:r>
      <w:r w:rsidRPr="00E41E88">
        <w:rPr>
          <w:rFonts w:cs="Times New Roman"/>
          <w:smallCaps/>
          <w:noProof/>
          <w:lang w:val="fr-CA"/>
        </w:rPr>
        <w:t>[traduction]</w:t>
      </w:r>
      <w:r>
        <w:rPr>
          <w:rFonts w:cs="Times New Roman"/>
          <w:smallCaps/>
          <w:noProof/>
          <w:lang w:val="fr-CA"/>
        </w:rPr>
        <w:t xml:space="preserve"> </w:t>
      </w:r>
      <w:r w:rsidRPr="00E41E88">
        <w:rPr>
          <w:rFonts w:cs="Times New Roman"/>
          <w:smallCaps/>
          <w:noProof/>
          <w:lang w:val="fr-CA"/>
        </w:rPr>
        <w:t>« </w:t>
      </w:r>
      <w:r w:rsidRPr="00E41E88">
        <w:rPr>
          <w:rFonts w:cs="Times New Roman"/>
          <w:noProof/>
          <w:lang w:val="fr-CA"/>
        </w:rPr>
        <w:t xml:space="preserve">la manière dont </w:t>
      </w:r>
      <w:r w:rsidRPr="00E41E88">
        <w:rPr>
          <w:rFonts w:cs="Times New Roman"/>
          <w:lang w:val="fr-CA"/>
        </w:rPr>
        <w:t>[M. Matthews] avait</w:t>
      </w:r>
      <w:r w:rsidRPr="00E41E88">
        <w:rPr>
          <w:rFonts w:cs="Times New Roman"/>
          <w:noProof/>
          <w:lang w:val="fr-CA"/>
        </w:rPr>
        <w:t xml:space="preserve"> été traité » n</w:t>
      </w:r>
      <w:r>
        <w:rPr>
          <w:rFonts w:cs="Times New Roman"/>
          <w:noProof/>
          <w:lang w:val="fr-CA"/>
        </w:rPr>
        <w:t>’</w:t>
      </w:r>
      <w:r w:rsidRPr="00E41E88">
        <w:rPr>
          <w:rFonts w:cs="Times New Roman"/>
          <w:noProof/>
          <w:lang w:val="fr-CA"/>
        </w:rPr>
        <w:t>avait été entachée d</w:t>
      </w:r>
      <w:r>
        <w:rPr>
          <w:rFonts w:cs="Times New Roman"/>
          <w:noProof/>
          <w:lang w:val="fr-CA"/>
        </w:rPr>
        <w:t>’</w:t>
      </w:r>
      <w:r w:rsidRPr="00E41E88">
        <w:rPr>
          <w:rFonts w:cs="Times New Roman"/>
          <w:noProof/>
          <w:lang w:val="fr-CA"/>
        </w:rPr>
        <w:t>« aucune mauvaise foi », rappelant précisément la conclusion du juge de première instance portant que M. Matthews n</w:t>
      </w:r>
      <w:r>
        <w:rPr>
          <w:rFonts w:cs="Times New Roman"/>
          <w:noProof/>
          <w:lang w:val="fr-CA"/>
        </w:rPr>
        <w:t>’</w:t>
      </w:r>
      <w:r w:rsidRPr="00E41E88">
        <w:rPr>
          <w:rFonts w:cs="Times New Roman"/>
          <w:noProof/>
          <w:lang w:val="fr-CA"/>
        </w:rPr>
        <w:t>avait pas été en mesure d</w:t>
      </w:r>
      <w:r>
        <w:rPr>
          <w:rFonts w:cs="Times New Roman"/>
          <w:noProof/>
          <w:lang w:val="fr-CA"/>
        </w:rPr>
        <w:t>’</w:t>
      </w:r>
      <w:r w:rsidRPr="00E41E88">
        <w:rPr>
          <w:rFonts w:cs="Times New Roman"/>
          <w:noProof/>
          <w:lang w:val="fr-CA"/>
        </w:rPr>
        <w:t>établir qu</w:t>
      </w:r>
      <w:r>
        <w:rPr>
          <w:rFonts w:cs="Times New Roman"/>
          <w:noProof/>
          <w:lang w:val="fr-CA"/>
        </w:rPr>
        <w:t>’</w:t>
      </w:r>
      <w:r w:rsidRPr="00E41E88">
        <w:rPr>
          <w:rFonts w:cs="Times New Roman"/>
          <w:noProof/>
          <w:lang w:val="fr-CA"/>
        </w:rPr>
        <w:t>Ocean avait planifié son renvoi afin de le priver de son droit au pa</w:t>
      </w:r>
      <w:r w:rsidR="00434C37">
        <w:rPr>
          <w:rFonts w:cs="Times New Roman"/>
          <w:noProof/>
          <w:lang w:val="fr-CA"/>
        </w:rPr>
        <w:t>iement prévu par le RILT (voir</w:t>
      </w:r>
      <w:r w:rsidRPr="00E41E88">
        <w:rPr>
          <w:rFonts w:cs="Times New Roman"/>
          <w:noProof/>
          <w:lang w:val="fr-CA"/>
        </w:rPr>
        <w:t xml:space="preserve"> par. 122).</w:t>
      </w:r>
    </w:p>
    <w:p w:rsidR="00DD44E8" w:rsidRPr="00E41E88" w:rsidRDefault="00DD44E8" w:rsidP="00DD44E8">
      <w:pPr>
        <w:pStyle w:val="ParaNoNdepar-AltN"/>
        <w:rPr>
          <w:rFonts w:cs="Times New Roman"/>
          <w:noProof/>
          <w:lang w:val="fr-CA"/>
        </w:rPr>
      </w:pPr>
      <w:r w:rsidRPr="00E41E88">
        <w:rPr>
          <w:rFonts w:cs="Times New Roman"/>
          <w:noProof/>
          <w:lang w:val="fr-CA"/>
        </w:rPr>
        <w:t>Il ne fait aucun doute qu</w:t>
      </w:r>
      <w:r>
        <w:rPr>
          <w:rFonts w:cs="Times New Roman"/>
          <w:noProof/>
          <w:lang w:val="fr-CA"/>
        </w:rPr>
        <w:t>’</w:t>
      </w:r>
      <w:r w:rsidRPr="00E41E88">
        <w:rPr>
          <w:rFonts w:cs="Times New Roman"/>
          <w:noProof/>
          <w:lang w:val="fr-CA"/>
        </w:rPr>
        <w:t>Ocean a raison sur ce tout dernier point. Cela dit, contrairement à la conclusion succincte des juges majoritaires de la Cour d</w:t>
      </w:r>
      <w:r>
        <w:rPr>
          <w:rFonts w:cs="Times New Roman"/>
          <w:noProof/>
          <w:lang w:val="fr-CA"/>
        </w:rPr>
        <w:t>’</w:t>
      </w:r>
      <w:r w:rsidRPr="00E41E88">
        <w:rPr>
          <w:rFonts w:cs="Times New Roman"/>
          <w:noProof/>
          <w:lang w:val="fr-CA"/>
        </w:rPr>
        <w:t>appel, je partage l</w:t>
      </w:r>
      <w:r>
        <w:rPr>
          <w:rFonts w:cs="Times New Roman"/>
          <w:noProof/>
          <w:lang w:val="fr-CA"/>
        </w:rPr>
        <w:t>’</w:t>
      </w:r>
      <w:r w:rsidRPr="00E41E88">
        <w:rPr>
          <w:rFonts w:cs="Times New Roman"/>
          <w:noProof/>
          <w:lang w:val="fr-CA"/>
        </w:rPr>
        <w:t xml:space="preserve">opinion de </w:t>
      </w:r>
      <w:r>
        <w:rPr>
          <w:rFonts w:cs="Times New Roman"/>
          <w:noProof/>
          <w:lang w:val="fr-CA"/>
        </w:rPr>
        <w:t>M. </w:t>
      </w:r>
      <w:r w:rsidRPr="00E41E88">
        <w:rPr>
          <w:rFonts w:cs="Times New Roman"/>
          <w:noProof/>
          <w:lang w:val="fr-CA"/>
        </w:rPr>
        <w:t>Matthews selon laquelle le juge de première instance a très clairement indiqué que la façon dont il a été traité de 2007 jusqu</w:t>
      </w:r>
      <w:r>
        <w:rPr>
          <w:rFonts w:cs="Times New Roman"/>
          <w:noProof/>
          <w:lang w:val="fr-CA"/>
        </w:rPr>
        <w:t>’</w:t>
      </w:r>
      <w:r w:rsidRPr="00E41E88">
        <w:rPr>
          <w:rFonts w:cs="Times New Roman"/>
          <w:noProof/>
          <w:lang w:val="fr-CA"/>
        </w:rPr>
        <w:t>au moment de son départ constituait une conduite malhonnête de la part d</w:t>
      </w:r>
      <w:r>
        <w:rPr>
          <w:rFonts w:cs="Times New Roman"/>
          <w:noProof/>
          <w:lang w:val="fr-CA"/>
        </w:rPr>
        <w:t>’</w:t>
      </w:r>
      <w:r w:rsidRPr="00E41E88">
        <w:rPr>
          <w:rFonts w:cs="Times New Roman"/>
          <w:noProof/>
          <w:lang w:val="fr-CA"/>
        </w:rPr>
        <w:t>Ocean. Le juge a tiré une conclusion de fait portant que le cadre supérieur d</w:t>
      </w:r>
      <w:r>
        <w:rPr>
          <w:rFonts w:cs="Times New Roman"/>
          <w:noProof/>
          <w:lang w:val="fr-CA"/>
        </w:rPr>
        <w:t>’</w:t>
      </w:r>
      <w:r w:rsidRPr="00E41E88">
        <w:rPr>
          <w:rFonts w:cs="Times New Roman"/>
          <w:noProof/>
          <w:lang w:val="fr-CA"/>
        </w:rPr>
        <w:t xml:space="preserve">Ocean avait mené </w:t>
      </w:r>
      <w:r>
        <w:rPr>
          <w:rFonts w:cs="Times New Roman"/>
          <w:noProof/>
          <w:lang w:val="fr-CA"/>
        </w:rPr>
        <w:t xml:space="preserve">pendant quatre </w:t>
      </w:r>
      <w:r w:rsidRPr="00E41E88">
        <w:rPr>
          <w:rFonts w:cs="Times New Roman"/>
          <w:noProof/>
          <w:lang w:val="fr-CA"/>
        </w:rPr>
        <w:t>ans une « campagne » afin d</w:t>
      </w:r>
      <w:r>
        <w:rPr>
          <w:rFonts w:cs="Times New Roman"/>
          <w:noProof/>
          <w:lang w:val="fr-CA"/>
        </w:rPr>
        <w:t>’</w:t>
      </w:r>
      <w:r w:rsidRPr="00E41E88">
        <w:rPr>
          <w:rFonts w:cs="Times New Roman"/>
          <w:noProof/>
          <w:lang w:val="fr-CA"/>
        </w:rPr>
        <w:t>écarter M. Matthews des opérations et que cette période avait été marquée par la malhonnêteté e</w:t>
      </w:r>
      <w:r w:rsidR="00045C20">
        <w:rPr>
          <w:rFonts w:cs="Times New Roman"/>
          <w:noProof/>
          <w:lang w:val="fr-CA"/>
        </w:rPr>
        <w:t>t le mensonge (voir, p. ex.,</w:t>
      </w:r>
      <w:r w:rsidRPr="00E41E88">
        <w:rPr>
          <w:rFonts w:cs="Times New Roman"/>
          <w:noProof/>
          <w:lang w:val="fr-CA"/>
        </w:rPr>
        <w:t xml:space="preserve"> par. 294, 296, 298 et 301). </w:t>
      </w:r>
    </w:p>
    <w:p w:rsidR="00DD44E8" w:rsidRPr="00E41E88" w:rsidRDefault="00DD44E8" w:rsidP="00DD44E8">
      <w:pPr>
        <w:pStyle w:val="ParaNoNdepar-AltN"/>
        <w:rPr>
          <w:rFonts w:cs="Times New Roman"/>
          <w:lang w:val="fr-CA"/>
        </w:rPr>
      </w:pPr>
      <w:r w:rsidRPr="00E41E88">
        <w:rPr>
          <w:rFonts w:cs="Times New Roman"/>
          <w:noProof/>
          <w:lang w:val="fr-CA"/>
        </w:rPr>
        <w:lastRenderedPageBreak/>
        <w:t>Le juge de première instance n</w:t>
      </w:r>
      <w:r>
        <w:rPr>
          <w:rFonts w:cs="Times New Roman"/>
          <w:noProof/>
          <w:lang w:val="fr-CA"/>
        </w:rPr>
        <w:t>’</w:t>
      </w:r>
      <w:r w:rsidRPr="00E41E88">
        <w:rPr>
          <w:rFonts w:cs="Times New Roman"/>
          <w:noProof/>
          <w:lang w:val="fr-CA"/>
        </w:rPr>
        <w:t>a toutefois pas conclu explicitement que cette malhonnêteté avait entraîné une violation du contrat.</w:t>
      </w:r>
      <w:r w:rsidRPr="00E41E88">
        <w:rPr>
          <w:rFonts w:cs="Times New Roman"/>
          <w:lang w:val="fr-CA"/>
        </w:rPr>
        <w:t xml:space="preserve"> Il n</w:t>
      </w:r>
      <w:r>
        <w:rPr>
          <w:rFonts w:cs="Times New Roman"/>
          <w:lang w:val="fr-CA"/>
        </w:rPr>
        <w:t>’</w:t>
      </w:r>
      <w:r w:rsidRPr="00E41E88">
        <w:rPr>
          <w:rFonts w:cs="Times New Roman"/>
          <w:lang w:val="fr-CA"/>
        </w:rPr>
        <w:t>a pas traité de l</w:t>
      </w:r>
      <w:r>
        <w:rPr>
          <w:rFonts w:cs="Times New Roman"/>
          <w:lang w:val="fr-CA"/>
        </w:rPr>
        <w:t>’</w:t>
      </w:r>
      <w:r w:rsidRPr="00E41E88">
        <w:rPr>
          <w:rFonts w:cs="Times New Roman"/>
          <w:lang w:val="fr-CA"/>
        </w:rPr>
        <w:t>obligation</w:t>
      </w:r>
      <w:r w:rsidRPr="00E41E88">
        <w:rPr>
          <w:rFonts w:cs="Times New Roman"/>
          <w:noProof/>
          <w:lang w:val="fr-CA"/>
        </w:rPr>
        <w:t xml:space="preserve"> d</w:t>
      </w:r>
      <w:r>
        <w:rPr>
          <w:rFonts w:cs="Times New Roman"/>
          <w:noProof/>
          <w:lang w:val="fr-CA"/>
        </w:rPr>
        <w:t>’</w:t>
      </w:r>
      <w:r w:rsidRPr="00E41E88">
        <w:rPr>
          <w:rFonts w:cs="Times New Roman"/>
          <w:noProof/>
          <w:lang w:val="fr-CA"/>
        </w:rPr>
        <w:t>exécution honnête, vraisemblablement parce que — comme les premiers actes de procédure ont été déposés avant que l</w:t>
      </w:r>
      <w:r>
        <w:rPr>
          <w:rFonts w:cs="Times New Roman"/>
          <w:noProof/>
          <w:lang w:val="fr-CA"/>
        </w:rPr>
        <w:t>’</w:t>
      </w:r>
      <w:r w:rsidRPr="00E41E88">
        <w:rPr>
          <w:rFonts w:cs="Times New Roman"/>
          <w:noProof/>
          <w:lang w:val="fr-CA"/>
        </w:rPr>
        <w:t xml:space="preserve">arrêt </w:t>
      </w:r>
      <w:r w:rsidRPr="00E41E88">
        <w:rPr>
          <w:rFonts w:cs="Times New Roman"/>
          <w:i/>
          <w:noProof/>
          <w:lang w:val="fr-CA"/>
        </w:rPr>
        <w:t>Bhasin</w:t>
      </w:r>
      <w:r w:rsidRPr="00E41E88">
        <w:rPr>
          <w:rFonts w:cs="Times New Roman"/>
          <w:noProof/>
          <w:lang w:val="fr-CA"/>
        </w:rPr>
        <w:t xml:space="preserve"> ne soit rendu — cette décision n</w:t>
      </w:r>
      <w:r>
        <w:rPr>
          <w:rFonts w:cs="Times New Roman"/>
          <w:noProof/>
          <w:lang w:val="fr-CA"/>
        </w:rPr>
        <w:t>’</w:t>
      </w:r>
      <w:r w:rsidRPr="00E41E88">
        <w:rPr>
          <w:rFonts w:cs="Times New Roman"/>
          <w:noProof/>
          <w:lang w:val="fr-CA"/>
        </w:rPr>
        <w:t>a pas été plaidée au procès. Le juge de première instance n</w:t>
      </w:r>
      <w:r>
        <w:rPr>
          <w:rFonts w:cs="Times New Roman"/>
          <w:noProof/>
          <w:lang w:val="fr-CA"/>
        </w:rPr>
        <w:t>’</w:t>
      </w:r>
      <w:r w:rsidRPr="00E41E88">
        <w:rPr>
          <w:rFonts w:cs="Times New Roman"/>
          <w:noProof/>
          <w:lang w:val="fr-CA"/>
        </w:rPr>
        <w:t>a pas non plus procédé</w:t>
      </w:r>
      <w:r w:rsidRPr="00E41E88">
        <w:rPr>
          <w:rFonts w:cs="Times New Roman"/>
          <w:lang w:val="fr-CA"/>
        </w:rPr>
        <w:t xml:space="preserve">, sur la base des arrêts </w:t>
      </w:r>
      <w:r w:rsidRPr="00E41E88">
        <w:rPr>
          <w:rFonts w:cs="Times New Roman"/>
          <w:i/>
          <w:lang w:val="fr-CA"/>
        </w:rPr>
        <w:t>Wallace</w:t>
      </w:r>
      <w:r w:rsidRPr="00E41E88">
        <w:rPr>
          <w:rFonts w:cs="Times New Roman"/>
          <w:lang w:val="fr-CA"/>
        </w:rPr>
        <w:t xml:space="preserve"> et </w:t>
      </w:r>
      <w:r w:rsidRPr="00E41E88">
        <w:rPr>
          <w:rFonts w:cs="Times New Roman"/>
          <w:i/>
          <w:lang w:val="fr-CA"/>
        </w:rPr>
        <w:t>Keays</w:t>
      </w:r>
      <w:r w:rsidRPr="00E41E88">
        <w:rPr>
          <w:rFonts w:cs="Times New Roman"/>
          <w:lang w:val="fr-CA"/>
        </w:rPr>
        <w:t>, à une analyse en vue de déterminer si cette conduite malhonnête constituait un manquement à l</w:t>
      </w:r>
      <w:r>
        <w:rPr>
          <w:rFonts w:cs="Times New Roman"/>
          <w:lang w:val="fr-CA"/>
        </w:rPr>
        <w:t>’</w:t>
      </w:r>
      <w:r w:rsidRPr="00E41E88">
        <w:rPr>
          <w:rFonts w:cs="Times New Roman"/>
          <w:lang w:val="fr-CA"/>
        </w:rPr>
        <w:t>obligation d</w:t>
      </w:r>
      <w:r>
        <w:rPr>
          <w:rFonts w:cs="Times New Roman"/>
          <w:lang w:val="fr-CA"/>
        </w:rPr>
        <w:t>’</w:t>
      </w:r>
      <w:r w:rsidRPr="00E41E88">
        <w:rPr>
          <w:rFonts w:cs="Times New Roman"/>
          <w:lang w:val="fr-CA"/>
        </w:rPr>
        <w:t>agir de bonne foi dans la façon de procéder au congédiement. On peut supposer que cela découle de la teneur des actes de procédure, en ce qu</w:t>
      </w:r>
      <w:r>
        <w:rPr>
          <w:rFonts w:cs="Times New Roman"/>
          <w:lang w:val="fr-CA"/>
        </w:rPr>
        <w:t>’</w:t>
      </w:r>
      <w:r w:rsidRPr="00E41E88">
        <w:rPr>
          <w:rFonts w:cs="Times New Roman"/>
          <w:lang w:val="fr-CA"/>
        </w:rPr>
        <w:t>aucune demande de dommages</w:t>
      </w:r>
      <w:r w:rsidRPr="00E41E88">
        <w:rPr>
          <w:rFonts w:cs="Times New Roman"/>
          <w:lang w:val="fr-CA"/>
        </w:rPr>
        <w:noBreakHyphen/>
        <w:t>intérêts compensatoires n</w:t>
      </w:r>
      <w:r>
        <w:rPr>
          <w:rFonts w:cs="Times New Roman"/>
          <w:lang w:val="fr-CA"/>
        </w:rPr>
        <w:t>’</w:t>
      </w:r>
      <w:r w:rsidRPr="00E41E88">
        <w:rPr>
          <w:rFonts w:cs="Times New Roman"/>
          <w:lang w:val="fr-CA"/>
        </w:rPr>
        <w:t>a été présentée pour les souffrances morales découlant du traitement réservé à M. Matthews par suite de la façon dont il a été congédié.</w:t>
      </w:r>
    </w:p>
    <w:p w:rsidR="00DD44E8" w:rsidRPr="00E41E88" w:rsidRDefault="00DD44E8" w:rsidP="00DD44E8">
      <w:pPr>
        <w:pStyle w:val="ParaNoNdepar-AltN"/>
        <w:rPr>
          <w:rFonts w:cs="Times New Roman"/>
          <w:noProof/>
          <w:lang w:val="fr-CA" w:eastAsia="fr-CA"/>
        </w:rPr>
      </w:pPr>
      <w:r w:rsidRPr="00E41E88">
        <w:rPr>
          <w:rFonts w:cs="Times New Roman"/>
          <w:lang w:val="fr-CA"/>
        </w:rPr>
        <w:t>Relativement à ce dernier point, je profite de l</w:t>
      </w:r>
      <w:r>
        <w:rPr>
          <w:rFonts w:cs="Times New Roman"/>
          <w:lang w:val="fr-CA"/>
        </w:rPr>
        <w:t>’</w:t>
      </w:r>
      <w:r w:rsidRPr="00E41E88">
        <w:rPr>
          <w:rFonts w:cs="Times New Roman"/>
          <w:lang w:val="fr-CA"/>
        </w:rPr>
        <w:t>occasion pour rappeler que, si la question avait été soumise adéquatement au juge de première instance, il lui aurait certes été loisible de rattacher les gestes malhonnêtes survenus au cours de la période de quatre ans aux « circonstances du congédiement ».</w:t>
      </w:r>
      <w:r w:rsidRPr="00E41E88">
        <w:rPr>
          <w:rFonts w:cs="Times New Roman"/>
          <w:noProof/>
          <w:lang w:val="fr-CA"/>
        </w:rPr>
        <w:t xml:space="preserve"> Compte tenu des circonstances dans lesquelles les arrêts </w:t>
      </w:r>
      <w:r w:rsidRPr="00E41E88">
        <w:rPr>
          <w:rFonts w:cs="Times New Roman"/>
          <w:i/>
          <w:noProof/>
          <w:lang w:val="fr-CA"/>
        </w:rPr>
        <w:t xml:space="preserve">Wallace </w:t>
      </w:r>
      <w:r w:rsidRPr="00E41E88">
        <w:rPr>
          <w:rFonts w:cs="Times New Roman"/>
          <w:noProof/>
          <w:lang w:val="fr-CA"/>
        </w:rPr>
        <w:t>et </w:t>
      </w:r>
      <w:r w:rsidRPr="00E41E88">
        <w:rPr>
          <w:rFonts w:cs="Times New Roman"/>
          <w:i/>
          <w:noProof/>
          <w:lang w:val="fr-CA"/>
        </w:rPr>
        <w:t xml:space="preserve">Keays </w:t>
      </w:r>
      <w:r w:rsidRPr="00E41E88">
        <w:rPr>
          <w:rFonts w:cs="Times New Roman"/>
          <w:noProof/>
          <w:lang w:val="fr-CA"/>
        </w:rPr>
        <w:t>ont été rendus, l</w:t>
      </w:r>
      <w:r>
        <w:rPr>
          <w:rFonts w:cs="Times New Roman"/>
          <w:noProof/>
          <w:lang w:val="fr-CA"/>
        </w:rPr>
        <w:t>’</w:t>
      </w:r>
      <w:r w:rsidRPr="00E41E88">
        <w:rPr>
          <w:rFonts w:cs="Times New Roman"/>
          <w:noProof/>
          <w:lang w:val="fr-CA"/>
        </w:rPr>
        <w:t xml:space="preserve">expression « circonstances du congédiement » a initialement été interprétée comme visant le </w:t>
      </w:r>
      <w:r w:rsidRPr="00E41E88">
        <w:rPr>
          <w:rFonts w:cs="Times New Roman"/>
          <w:i/>
          <w:noProof/>
          <w:lang w:val="fr-CA"/>
        </w:rPr>
        <w:t xml:space="preserve">moment </w:t>
      </w:r>
      <w:r w:rsidRPr="00E41E88">
        <w:rPr>
          <w:rFonts w:cs="Times New Roman"/>
          <w:noProof/>
          <w:lang w:val="fr-CA"/>
        </w:rPr>
        <w:t>du congédiement, ce qui tendait dans une certaine mesure à suggérer que la bonne foi était requise uniquement à la toute fin de la relation d</w:t>
      </w:r>
      <w:r>
        <w:rPr>
          <w:rFonts w:cs="Times New Roman"/>
          <w:noProof/>
          <w:lang w:val="fr-CA"/>
        </w:rPr>
        <w:t>’</w:t>
      </w:r>
      <w:r w:rsidRPr="00E41E88">
        <w:rPr>
          <w:rFonts w:cs="Times New Roman"/>
          <w:noProof/>
          <w:lang w:val="fr-CA"/>
        </w:rPr>
        <w:t>emploi. Or, les situations de congédiement déguisé montrent que cette conception doit parfois être élargie. À la suite de l</w:t>
      </w:r>
      <w:r>
        <w:rPr>
          <w:rFonts w:cs="Times New Roman"/>
          <w:noProof/>
          <w:lang w:val="fr-CA"/>
        </w:rPr>
        <w:t xml:space="preserve">’arrêt </w:t>
      </w:r>
      <w:r w:rsidRPr="00E41E88">
        <w:rPr>
          <w:rFonts w:cs="Times New Roman"/>
          <w:i/>
          <w:noProof/>
          <w:lang w:val="fr-CA"/>
        </w:rPr>
        <w:t>Potter</w:t>
      </w:r>
      <w:r w:rsidRPr="00E41E88">
        <w:rPr>
          <w:rFonts w:cs="Times New Roman"/>
          <w:noProof/>
          <w:lang w:val="fr-CA"/>
        </w:rPr>
        <w:t>, il est sans doute plus juste de considérer le congédiement déguisé d</w:t>
      </w:r>
      <w:r>
        <w:rPr>
          <w:rFonts w:cs="Times New Roman"/>
          <w:noProof/>
          <w:lang w:val="fr-CA"/>
        </w:rPr>
        <w:t>’</w:t>
      </w:r>
      <w:r w:rsidRPr="00E41E88">
        <w:rPr>
          <w:rFonts w:cs="Times New Roman"/>
          <w:noProof/>
          <w:lang w:val="fr-CA"/>
        </w:rPr>
        <w:t>un employé comme étant la conséquence d</w:t>
      </w:r>
      <w:r>
        <w:rPr>
          <w:rFonts w:cs="Times New Roman"/>
          <w:noProof/>
          <w:lang w:val="fr-CA"/>
        </w:rPr>
        <w:t>’</w:t>
      </w:r>
      <w:r w:rsidRPr="00E41E88">
        <w:rPr>
          <w:rFonts w:cs="Times New Roman"/>
          <w:noProof/>
          <w:lang w:val="fr-CA"/>
        </w:rPr>
        <w:t>une série d</w:t>
      </w:r>
      <w:r>
        <w:rPr>
          <w:rFonts w:cs="Times New Roman"/>
          <w:noProof/>
          <w:lang w:val="fr-CA"/>
        </w:rPr>
        <w:t>’</w:t>
      </w:r>
      <w:r w:rsidRPr="00E41E88">
        <w:rPr>
          <w:rFonts w:cs="Times New Roman"/>
          <w:noProof/>
          <w:lang w:val="fr-CA"/>
        </w:rPr>
        <w:t xml:space="preserve">événements échelonnés dans le </w:t>
      </w:r>
      <w:r w:rsidRPr="00E41E88">
        <w:rPr>
          <w:rFonts w:cs="Times New Roman"/>
          <w:noProof/>
          <w:lang w:val="fr-CA"/>
        </w:rPr>
        <w:lastRenderedPageBreak/>
        <w:t>temps plutôt que comme un seul et unique moment décisif. D</w:t>
      </w:r>
      <w:r>
        <w:rPr>
          <w:rFonts w:cs="Times New Roman"/>
          <w:noProof/>
          <w:lang w:val="fr-CA"/>
        </w:rPr>
        <w:t>’</w:t>
      </w:r>
      <w:r w:rsidRPr="00E41E88">
        <w:rPr>
          <w:rFonts w:cs="Times New Roman"/>
          <w:noProof/>
          <w:lang w:val="fr-CA"/>
        </w:rPr>
        <w:t>après cette interprétation, l</w:t>
      </w:r>
      <w:r>
        <w:rPr>
          <w:rFonts w:cs="Times New Roman"/>
          <w:noProof/>
          <w:lang w:val="fr-CA"/>
        </w:rPr>
        <w:t>’</w:t>
      </w:r>
      <w:r w:rsidRPr="00E41E88">
        <w:rPr>
          <w:rFonts w:cs="Times New Roman"/>
          <w:noProof/>
          <w:lang w:val="fr-CA"/>
        </w:rPr>
        <w:t>arrêt </w:t>
      </w:r>
      <w:r w:rsidRPr="00E41E88">
        <w:rPr>
          <w:rFonts w:cs="Times New Roman"/>
          <w:i/>
          <w:noProof/>
          <w:lang w:val="fr-CA"/>
        </w:rPr>
        <w:t xml:space="preserve">Potter </w:t>
      </w:r>
      <w:r w:rsidRPr="00E41E88">
        <w:rPr>
          <w:rFonts w:cs="Times New Roman"/>
          <w:noProof/>
          <w:lang w:val="fr-CA"/>
        </w:rPr>
        <w:t>élargit la notion de « circonstances du congédiement » aux situations où une cessation d</w:t>
      </w:r>
      <w:r>
        <w:rPr>
          <w:rFonts w:cs="Times New Roman"/>
          <w:noProof/>
          <w:lang w:val="fr-CA"/>
        </w:rPr>
        <w:t>’</w:t>
      </w:r>
      <w:r w:rsidRPr="00E41E88">
        <w:rPr>
          <w:rFonts w:cs="Times New Roman"/>
          <w:noProof/>
          <w:lang w:val="fr-CA"/>
        </w:rPr>
        <w:t>emploi découle de la décision d</w:t>
      </w:r>
      <w:r>
        <w:rPr>
          <w:rFonts w:cs="Times New Roman"/>
          <w:noProof/>
          <w:lang w:val="fr-CA"/>
        </w:rPr>
        <w:t>’</w:t>
      </w:r>
      <w:r w:rsidRPr="00E41E88">
        <w:rPr>
          <w:rFonts w:cs="Times New Roman"/>
          <w:noProof/>
          <w:lang w:val="fr-CA"/>
        </w:rPr>
        <w:t>un employé de quitter son emploi en raison d</w:t>
      </w:r>
      <w:r>
        <w:rPr>
          <w:rFonts w:cs="Times New Roman"/>
          <w:noProof/>
          <w:lang w:val="fr-CA"/>
        </w:rPr>
        <w:t>’</w:t>
      </w:r>
      <w:r w:rsidRPr="00E41E88">
        <w:rPr>
          <w:rFonts w:cs="Times New Roman"/>
          <w:noProof/>
          <w:lang w:val="fr-CA"/>
        </w:rPr>
        <w:t>une suite d</w:t>
      </w:r>
      <w:r>
        <w:rPr>
          <w:rFonts w:cs="Times New Roman"/>
          <w:noProof/>
          <w:lang w:val="fr-CA"/>
        </w:rPr>
        <w:t>’</w:t>
      </w:r>
      <w:r w:rsidRPr="00E41E88">
        <w:rPr>
          <w:rFonts w:cs="Times New Roman"/>
          <w:noProof/>
          <w:lang w:val="fr-CA"/>
        </w:rPr>
        <w:t>événements survenus avant le moment concret où la relation employeur</w:t>
      </w:r>
      <w:r w:rsidRPr="00E41E88">
        <w:rPr>
          <w:rFonts w:cs="Times New Roman"/>
          <w:noProof/>
          <w:lang w:val="fr-CA"/>
        </w:rPr>
        <w:noBreakHyphen/>
        <w:t>employé a été rompue, comme c</w:t>
      </w:r>
      <w:r>
        <w:rPr>
          <w:rFonts w:cs="Times New Roman"/>
          <w:noProof/>
          <w:lang w:val="fr-CA"/>
        </w:rPr>
        <w:t>’</w:t>
      </w:r>
      <w:r w:rsidRPr="00E41E88">
        <w:rPr>
          <w:rFonts w:cs="Times New Roman"/>
          <w:noProof/>
          <w:lang w:val="fr-CA"/>
        </w:rPr>
        <w:t>est le cas en l</w:t>
      </w:r>
      <w:r>
        <w:rPr>
          <w:rFonts w:cs="Times New Roman"/>
          <w:noProof/>
          <w:lang w:val="fr-CA"/>
        </w:rPr>
        <w:t>’</w:t>
      </w:r>
      <w:r w:rsidRPr="00E41E88">
        <w:rPr>
          <w:rFonts w:cs="Times New Roman"/>
          <w:noProof/>
          <w:lang w:val="fr-CA"/>
        </w:rPr>
        <w:t>espèce (par. 31</w:t>
      </w:r>
      <w:r w:rsidRPr="00E41E88">
        <w:rPr>
          <w:rFonts w:cs="Times New Roman"/>
          <w:noProof/>
          <w:lang w:val="fr-CA"/>
        </w:rPr>
        <w:noBreakHyphen/>
        <w:t>35). Il peut arriver que, selon les faits propres à une affaire donnée, le congédiement déguisé reflète la décision d</w:t>
      </w:r>
      <w:r>
        <w:rPr>
          <w:rFonts w:cs="Times New Roman"/>
          <w:noProof/>
          <w:lang w:val="fr-CA"/>
        </w:rPr>
        <w:t>’</w:t>
      </w:r>
      <w:r w:rsidRPr="00E41E88">
        <w:rPr>
          <w:rFonts w:cs="Times New Roman"/>
          <w:noProof/>
          <w:lang w:val="fr-CA"/>
        </w:rPr>
        <w:t>un employé de quitter son emploi en raison de nombreuses modifications apportées aux conditions de son emploi au fil du temps, sans qu</w:t>
      </w:r>
      <w:r>
        <w:rPr>
          <w:rFonts w:cs="Times New Roman"/>
          <w:noProof/>
          <w:lang w:val="fr-CA"/>
        </w:rPr>
        <w:t>’</w:t>
      </w:r>
      <w:r w:rsidRPr="00E41E88">
        <w:rPr>
          <w:rFonts w:cs="Times New Roman"/>
          <w:noProof/>
          <w:lang w:val="fr-CA"/>
        </w:rPr>
        <w:t>il y ait eu de conduite répréhensible. Par ailleurs, un congédiement déguisé peut également refléter la décision d</w:t>
      </w:r>
      <w:r>
        <w:rPr>
          <w:rFonts w:cs="Times New Roman"/>
          <w:noProof/>
          <w:lang w:val="fr-CA"/>
        </w:rPr>
        <w:t>’</w:t>
      </w:r>
      <w:r w:rsidRPr="00E41E88">
        <w:rPr>
          <w:rFonts w:cs="Times New Roman"/>
          <w:noProof/>
          <w:lang w:val="fr-CA"/>
        </w:rPr>
        <w:t>un employé de quitter son travail lorsqu</w:t>
      </w:r>
      <w:r>
        <w:rPr>
          <w:rFonts w:cs="Times New Roman"/>
          <w:noProof/>
          <w:lang w:val="fr-CA"/>
        </w:rPr>
        <w:t>’</w:t>
      </w:r>
      <w:r w:rsidRPr="00E41E88">
        <w:rPr>
          <w:rFonts w:cs="Times New Roman"/>
          <w:noProof/>
          <w:lang w:val="fr-CA"/>
        </w:rPr>
        <w:t>une conduite malhonnête ou une autre action répréhensible l</w:t>
      </w:r>
      <w:r>
        <w:rPr>
          <w:rFonts w:cs="Times New Roman"/>
          <w:noProof/>
          <w:lang w:val="fr-CA"/>
        </w:rPr>
        <w:t>’</w:t>
      </w:r>
      <w:r w:rsidRPr="00E41E88">
        <w:rPr>
          <w:rFonts w:cs="Times New Roman"/>
          <w:noProof/>
          <w:lang w:val="fr-CA"/>
        </w:rPr>
        <w:t>a finalement poussé à le faire. Dans ce dernier cas, on pourrait croire que, rétrospectivement à tout le moins, l</w:t>
      </w:r>
      <w:r>
        <w:rPr>
          <w:rFonts w:cs="Times New Roman"/>
          <w:noProof/>
          <w:lang w:val="fr-CA"/>
        </w:rPr>
        <w:t>’</w:t>
      </w:r>
      <w:r w:rsidRPr="00E41E88">
        <w:rPr>
          <w:rFonts w:cs="Times New Roman"/>
          <w:noProof/>
          <w:lang w:val="fr-CA"/>
        </w:rPr>
        <w:t>obligation s</w:t>
      </w:r>
      <w:r>
        <w:rPr>
          <w:rFonts w:cs="Times New Roman"/>
          <w:noProof/>
          <w:lang w:val="fr-CA"/>
        </w:rPr>
        <w:t>’</w:t>
      </w:r>
      <w:r w:rsidRPr="00E41E88">
        <w:rPr>
          <w:rFonts w:cs="Times New Roman"/>
          <w:noProof/>
          <w:lang w:val="fr-CA"/>
        </w:rPr>
        <w:t>applique à l</w:t>
      </w:r>
      <w:r>
        <w:rPr>
          <w:rFonts w:cs="Times New Roman"/>
          <w:noProof/>
          <w:lang w:val="fr-CA"/>
        </w:rPr>
        <w:t>’</w:t>
      </w:r>
      <w:r w:rsidRPr="00E41E88">
        <w:rPr>
          <w:rFonts w:cs="Times New Roman"/>
          <w:noProof/>
          <w:lang w:val="fr-CA"/>
        </w:rPr>
        <w:t>exécution du contrat avant sa résiliation. De fait, il n</w:t>
      </w:r>
      <w:r>
        <w:rPr>
          <w:rFonts w:cs="Times New Roman"/>
          <w:noProof/>
          <w:lang w:val="fr-CA"/>
        </w:rPr>
        <w:t>’</w:t>
      </w:r>
      <w:r w:rsidRPr="00E41E88">
        <w:rPr>
          <w:rFonts w:cs="Times New Roman"/>
          <w:noProof/>
          <w:lang w:val="fr-CA"/>
        </w:rPr>
        <w:t>existe aucune raison cohérente pour que la conduite répréhensible ne puisse pas être considérée rétrospectivement dans les affaires de congédiement injustifié, [</w:t>
      </w:r>
      <w:r w:rsidRPr="00E41E88">
        <w:rPr>
          <w:rFonts w:cs="Times New Roman"/>
          <w:smallCaps/>
          <w:noProof/>
          <w:lang w:val="fr-CA"/>
        </w:rPr>
        <w:t>traduction</w:t>
      </w:r>
      <w:r w:rsidRPr="00E41E88">
        <w:rPr>
          <w:rFonts w:cs="Times New Roman"/>
          <w:noProof/>
          <w:lang w:val="fr-CA"/>
        </w:rPr>
        <w:t>] « pourvu qu</w:t>
      </w:r>
      <w:r>
        <w:rPr>
          <w:rFonts w:cs="Times New Roman"/>
          <w:noProof/>
          <w:lang w:val="fr-CA"/>
        </w:rPr>
        <w:t>’</w:t>
      </w:r>
      <w:r w:rsidRPr="00E41E88">
        <w:rPr>
          <w:rFonts w:cs="Times New Roman"/>
          <w:noProof/>
          <w:lang w:val="fr-CA"/>
        </w:rPr>
        <w:t>elle constitue un “aspect des circonstances du congédiement” » de l</w:t>
      </w:r>
      <w:r>
        <w:rPr>
          <w:rFonts w:cs="Times New Roman"/>
          <w:noProof/>
          <w:lang w:val="fr-CA"/>
        </w:rPr>
        <w:t>’</w:t>
      </w:r>
      <w:r w:rsidRPr="00E41E88">
        <w:rPr>
          <w:rFonts w:cs="Times New Roman"/>
          <w:noProof/>
          <w:lang w:val="fr-CA"/>
        </w:rPr>
        <w:t>employé (</w:t>
      </w:r>
      <w:r w:rsidRPr="00E41E88">
        <w:rPr>
          <w:rFonts w:cs="Times New Roman"/>
          <w:i/>
          <w:noProof/>
          <w:lang w:val="fr-CA"/>
        </w:rPr>
        <w:t>Doyle c. Zochem</w:t>
      </w:r>
      <w:r>
        <w:rPr>
          <w:rFonts w:cs="Times New Roman"/>
          <w:i/>
          <w:noProof/>
          <w:lang w:val="fr-CA"/>
        </w:rPr>
        <w:t xml:space="preserve"> Inc.</w:t>
      </w:r>
      <w:r w:rsidRPr="00E41E88">
        <w:rPr>
          <w:rFonts w:cs="Times New Roman"/>
          <w:noProof/>
          <w:lang w:val="fr-CA"/>
        </w:rPr>
        <w:t>, 2017 ONCA 130,</w:t>
      </w:r>
      <w:r w:rsidRPr="00E41E88">
        <w:rPr>
          <w:rFonts w:cs="Times New Roman"/>
          <w:lang w:val="fr-CA"/>
        </w:rPr>
        <w:t xml:space="preserve"> </w:t>
      </w:r>
      <w:r w:rsidRPr="00E41E88">
        <w:rPr>
          <w:rFonts w:cs="Times New Roman"/>
          <w:noProof/>
          <w:lang w:val="fr-CA"/>
        </w:rPr>
        <w:t xml:space="preserve">31 C.C.P.B. (2nd) 200, par. 13, citant </w:t>
      </w:r>
      <w:r w:rsidRPr="00E41E88">
        <w:rPr>
          <w:rFonts w:cs="Times New Roman"/>
          <w:i/>
          <w:noProof/>
          <w:lang w:val="fr-CA"/>
        </w:rPr>
        <w:t xml:space="preserve">Gismondi </w:t>
      </w:r>
      <w:r w:rsidR="001F483E">
        <w:rPr>
          <w:rFonts w:cs="Times New Roman"/>
          <w:i/>
          <w:noProof/>
          <w:lang w:val="fr-CA"/>
        </w:rPr>
        <w:t>c</w:t>
      </w:r>
      <w:r w:rsidRPr="00E41E88">
        <w:rPr>
          <w:rFonts w:cs="Times New Roman"/>
          <w:i/>
          <w:noProof/>
          <w:lang w:val="fr-CA"/>
        </w:rPr>
        <w:t>. Toronto (City)</w:t>
      </w:r>
      <w:r w:rsidRPr="00E41E88">
        <w:rPr>
          <w:rFonts w:cs="Times New Roman"/>
          <w:noProof/>
          <w:lang w:val="fr-CA"/>
        </w:rPr>
        <w:t xml:space="preserve"> (2003), 64 O.R. (3d) 688 (C.A.), par. </w:t>
      </w:r>
      <w:r>
        <w:rPr>
          <w:rFonts w:cs="Times New Roman"/>
          <w:noProof/>
          <w:lang w:val="fr-CA"/>
        </w:rPr>
        <w:t>2</w:t>
      </w:r>
      <w:r w:rsidRPr="00E41E88">
        <w:rPr>
          <w:rFonts w:cs="Times New Roman"/>
          <w:noProof/>
          <w:lang w:val="fr-CA"/>
        </w:rPr>
        <w:t>3).</w:t>
      </w:r>
      <w:r w:rsidRPr="00E41E88">
        <w:rPr>
          <w:rFonts w:cs="Times New Roman"/>
          <w:noProof/>
          <w:lang w:val="fr-CA" w:eastAsia="fr-CA"/>
        </w:rPr>
        <w:t xml:space="preserve"> </w:t>
      </w:r>
    </w:p>
    <w:p w:rsidR="00DD44E8" w:rsidRPr="00E41E88" w:rsidRDefault="00DD44E8" w:rsidP="00DD44E8">
      <w:pPr>
        <w:pStyle w:val="ParaNoNdepar-AltN"/>
        <w:rPr>
          <w:rFonts w:cs="Times New Roman"/>
          <w:noProof/>
          <w:lang w:val="fr-CA" w:eastAsia="fr-CA"/>
        </w:rPr>
      </w:pPr>
      <w:r w:rsidRPr="00E41E88">
        <w:rPr>
          <w:rFonts w:cs="Times New Roman"/>
          <w:noProof/>
          <w:lang w:val="fr-CA"/>
        </w:rPr>
        <w:t>En reconnaissant ceci dans l</w:t>
      </w:r>
      <w:r>
        <w:rPr>
          <w:rFonts w:cs="Times New Roman"/>
          <w:noProof/>
          <w:lang w:val="fr-CA"/>
        </w:rPr>
        <w:t>’</w:t>
      </w:r>
      <w:r w:rsidRPr="00E41E88">
        <w:rPr>
          <w:rFonts w:cs="Times New Roman"/>
          <w:noProof/>
          <w:lang w:val="fr-CA"/>
        </w:rPr>
        <w:t>arrêt </w:t>
      </w:r>
      <w:r w:rsidRPr="00E41E88">
        <w:rPr>
          <w:rFonts w:cs="Times New Roman"/>
          <w:i/>
          <w:noProof/>
          <w:lang w:val="fr-CA"/>
        </w:rPr>
        <w:t>Potter</w:t>
      </w:r>
      <w:r w:rsidRPr="00E41E88">
        <w:rPr>
          <w:rFonts w:cs="Times New Roman"/>
          <w:noProof/>
          <w:lang w:val="fr-CA"/>
        </w:rPr>
        <w:t>, la Cour a confirmé ce que les tribunaux faisaient déjà, en ce qu</w:t>
      </w:r>
      <w:r>
        <w:rPr>
          <w:rFonts w:cs="Times New Roman"/>
          <w:noProof/>
          <w:lang w:val="fr-CA"/>
        </w:rPr>
        <w:t>’</w:t>
      </w:r>
      <w:r w:rsidRPr="00E41E88">
        <w:rPr>
          <w:rFonts w:cs="Times New Roman"/>
          <w:noProof/>
          <w:lang w:val="fr-CA"/>
        </w:rPr>
        <w:t>ils examinaient la relation d</w:t>
      </w:r>
      <w:r>
        <w:rPr>
          <w:rFonts w:cs="Times New Roman"/>
          <w:noProof/>
          <w:lang w:val="fr-CA"/>
        </w:rPr>
        <w:t>’</w:t>
      </w:r>
      <w:r w:rsidRPr="00E41E88">
        <w:rPr>
          <w:rFonts w:cs="Times New Roman"/>
          <w:noProof/>
          <w:lang w:val="fr-CA"/>
        </w:rPr>
        <w:t>emploi de façon rétrospective et concluaient ainsi implicitement que l</w:t>
      </w:r>
      <w:r>
        <w:rPr>
          <w:rFonts w:cs="Times New Roman"/>
          <w:noProof/>
          <w:lang w:val="fr-CA"/>
        </w:rPr>
        <w:t>’</w:t>
      </w:r>
      <w:r w:rsidRPr="00E41E88">
        <w:rPr>
          <w:rFonts w:cs="Times New Roman"/>
          <w:noProof/>
          <w:lang w:val="fr-CA"/>
        </w:rPr>
        <w:t>obligation d</w:t>
      </w:r>
      <w:r>
        <w:rPr>
          <w:rFonts w:cs="Times New Roman"/>
          <w:noProof/>
          <w:lang w:val="fr-CA"/>
        </w:rPr>
        <w:t>’</w:t>
      </w:r>
      <w:r w:rsidRPr="00E41E88">
        <w:rPr>
          <w:rFonts w:cs="Times New Roman"/>
          <w:noProof/>
          <w:lang w:val="fr-CA"/>
        </w:rPr>
        <w:t>agir de bonne foi ne s</w:t>
      </w:r>
      <w:r>
        <w:rPr>
          <w:rFonts w:cs="Times New Roman"/>
          <w:noProof/>
          <w:lang w:val="fr-CA"/>
        </w:rPr>
        <w:t>’</w:t>
      </w:r>
      <w:r w:rsidRPr="00E41E88">
        <w:rPr>
          <w:rFonts w:cs="Times New Roman"/>
          <w:noProof/>
          <w:lang w:val="fr-CA"/>
        </w:rPr>
        <w:t>applique pas uniquement à la toute fin de la relation. Comme l</w:t>
      </w:r>
      <w:r>
        <w:rPr>
          <w:rFonts w:cs="Times New Roman"/>
          <w:noProof/>
          <w:lang w:val="fr-CA"/>
        </w:rPr>
        <w:t xml:space="preserve">’a fait observer le </w:t>
      </w:r>
      <w:r>
        <w:rPr>
          <w:rFonts w:cs="Times New Roman"/>
          <w:noProof/>
          <w:lang w:val="fr-CA"/>
        </w:rPr>
        <w:lastRenderedPageBreak/>
        <w:t xml:space="preserve">professeur </w:t>
      </w:r>
      <w:r w:rsidRPr="00E41E88">
        <w:rPr>
          <w:rFonts w:cs="Times New Roman"/>
          <w:noProof/>
          <w:lang w:val="fr-CA"/>
        </w:rPr>
        <w:t>England, les tribunaux sont souvent appelés à se demander, dans les cas de congédiement déguisé, si les employeurs ont traité leurs employés de bonne foi, par exemple en veillant à ce que ceux</w:t>
      </w:r>
      <w:r w:rsidRPr="00E41E88">
        <w:rPr>
          <w:rFonts w:cs="Times New Roman"/>
          <w:noProof/>
          <w:lang w:val="fr-CA"/>
        </w:rPr>
        <w:noBreakHyphen/>
        <w:t>ci ne soient pas victimes d</w:t>
      </w:r>
      <w:r>
        <w:rPr>
          <w:rFonts w:cs="Times New Roman"/>
          <w:noProof/>
          <w:lang w:val="fr-CA"/>
        </w:rPr>
        <w:t>’</w:t>
      </w:r>
      <w:r w:rsidRPr="00E41E88">
        <w:rPr>
          <w:rFonts w:cs="Times New Roman"/>
          <w:noProof/>
          <w:lang w:val="fr-CA"/>
        </w:rPr>
        <w:t>intimidation ou de harcèlement de la part de gestionnaires ou de collègues (</w:t>
      </w:r>
      <w:r w:rsidRPr="00E41E88">
        <w:rPr>
          <w:rFonts w:cs="Times New Roman"/>
          <w:i/>
          <w:noProof/>
          <w:lang w:val="fr-CA"/>
        </w:rPr>
        <w:t>Individual Employment Law</w:t>
      </w:r>
      <w:r w:rsidRPr="00E41E88">
        <w:rPr>
          <w:rFonts w:cs="Times New Roman"/>
          <w:noProof/>
          <w:lang w:val="fr-CA"/>
        </w:rPr>
        <w:t xml:space="preserve"> (2</w:t>
      </w:r>
      <w:r w:rsidRPr="00E41E88">
        <w:rPr>
          <w:rFonts w:cs="Times New Roman"/>
          <w:noProof/>
          <w:vertAlign w:val="superscript"/>
          <w:lang w:val="fr-CA"/>
        </w:rPr>
        <w:t>e</w:t>
      </w:r>
      <w:r w:rsidRPr="00E41E88">
        <w:rPr>
          <w:rFonts w:cs="Times New Roman"/>
          <w:noProof/>
          <w:lang w:val="fr-CA"/>
        </w:rPr>
        <w:t> éd. 2008), p. 92</w:t>
      </w:r>
      <w:r w:rsidRPr="00E41E88">
        <w:rPr>
          <w:rFonts w:cs="Times New Roman"/>
          <w:noProof/>
          <w:lang w:val="fr-CA"/>
        </w:rPr>
        <w:noBreakHyphen/>
        <w:t xml:space="preserve">93). Cet élargissement dans </w:t>
      </w:r>
      <w:r w:rsidRPr="00E41E88">
        <w:rPr>
          <w:rFonts w:cs="Times New Roman"/>
          <w:i/>
          <w:noProof/>
          <w:lang w:val="fr-CA"/>
        </w:rPr>
        <w:t>Potter</w:t>
      </w:r>
      <w:r w:rsidRPr="00E41E88">
        <w:rPr>
          <w:rFonts w:cs="Times New Roman"/>
          <w:noProof/>
          <w:lang w:val="fr-CA"/>
        </w:rPr>
        <w:t xml:space="preserve"> des principes applicables a donc accordé plus de souplesse en étendant l</w:t>
      </w:r>
      <w:r>
        <w:rPr>
          <w:rFonts w:cs="Times New Roman"/>
          <w:noProof/>
          <w:lang w:val="fr-CA"/>
        </w:rPr>
        <w:t>’</w:t>
      </w:r>
      <w:r w:rsidRPr="00E41E88">
        <w:rPr>
          <w:rFonts w:cs="Times New Roman"/>
          <w:noProof/>
          <w:lang w:val="fr-CA"/>
        </w:rPr>
        <w:t>appréciation de la conduite à la période précédant le moment concret où le contrat de travail a été résilié</w:t>
      </w:r>
      <w:r w:rsidR="00EB052C">
        <w:rPr>
          <w:rStyle w:val="FootnoteReference"/>
          <w:rFonts w:cs="Times New Roman"/>
          <w:noProof/>
          <w:lang w:val="fr-CA"/>
        </w:rPr>
        <w:footnoteReference w:id="4"/>
      </w:r>
      <w:r w:rsidRPr="00E41E88">
        <w:rPr>
          <w:rFonts w:cs="Times New Roman"/>
          <w:noProof/>
          <w:lang w:val="fr-CA"/>
        </w:rPr>
        <w:t>.</w:t>
      </w:r>
      <w:r w:rsidRPr="00E41E88">
        <w:rPr>
          <w:rFonts w:cs="Times New Roman"/>
          <w:noProof/>
          <w:lang w:val="fr-CA" w:eastAsia="fr-CA"/>
        </w:rPr>
        <w:t xml:space="preserve"> </w:t>
      </w:r>
    </w:p>
    <w:p w:rsidR="00DD44E8" w:rsidRPr="00E41E88" w:rsidRDefault="00DD44E8" w:rsidP="00DD44E8">
      <w:pPr>
        <w:pStyle w:val="ParaNoNdepar-AltN"/>
        <w:widowControl w:val="0"/>
        <w:tabs>
          <w:tab w:val="clear" w:pos="1152"/>
          <w:tab w:val="left" w:pos="1166"/>
        </w:tabs>
        <w:rPr>
          <w:rFonts w:cs="Times New Roman"/>
          <w:lang w:val="fr-CA"/>
        </w:rPr>
      </w:pPr>
      <w:r w:rsidRPr="00E41E88">
        <w:rPr>
          <w:rFonts w:cs="Times New Roman"/>
          <w:lang w:val="fr-CA"/>
        </w:rPr>
        <w:t>Je ne me prononcerai toutefois pas davantage sur la manière dont l</w:t>
      </w:r>
      <w:r>
        <w:rPr>
          <w:rFonts w:cs="Times New Roman"/>
          <w:lang w:val="fr-CA"/>
        </w:rPr>
        <w:t>’</w:t>
      </w:r>
      <w:r w:rsidRPr="00E41E88">
        <w:rPr>
          <w:rFonts w:cs="Times New Roman"/>
          <w:lang w:val="fr-CA"/>
        </w:rPr>
        <w:t xml:space="preserve">arrêt </w:t>
      </w:r>
      <w:r w:rsidRPr="00E41E88">
        <w:rPr>
          <w:rFonts w:cs="Times New Roman"/>
          <w:i/>
          <w:lang w:val="fr-CA"/>
        </w:rPr>
        <w:t>Bhasin</w:t>
      </w:r>
      <w:r w:rsidRPr="00E41E88">
        <w:rPr>
          <w:rFonts w:cs="Times New Roman"/>
          <w:lang w:val="fr-CA"/>
        </w:rPr>
        <w:t>, d</w:t>
      </w:r>
      <w:r>
        <w:rPr>
          <w:rFonts w:cs="Times New Roman"/>
          <w:lang w:val="fr-CA"/>
        </w:rPr>
        <w:t>’</w:t>
      </w:r>
      <w:r w:rsidRPr="00E41E88">
        <w:rPr>
          <w:rFonts w:cs="Times New Roman"/>
          <w:lang w:val="fr-CA"/>
        </w:rPr>
        <w:t xml:space="preserve">une part, et les arrêts </w:t>
      </w:r>
      <w:r w:rsidRPr="00E41E88">
        <w:rPr>
          <w:rFonts w:cs="Times New Roman"/>
          <w:i/>
          <w:lang w:val="fr-CA"/>
        </w:rPr>
        <w:t xml:space="preserve">Wallace </w:t>
      </w:r>
      <w:r w:rsidRPr="00E41E88">
        <w:rPr>
          <w:rFonts w:cs="Times New Roman"/>
          <w:lang w:val="fr-CA"/>
        </w:rPr>
        <w:t xml:space="preserve">et </w:t>
      </w:r>
      <w:r w:rsidRPr="00E41E88">
        <w:rPr>
          <w:rFonts w:cs="Times New Roman"/>
          <w:i/>
          <w:lang w:val="fr-CA"/>
        </w:rPr>
        <w:t>Keays</w:t>
      </w:r>
      <w:r w:rsidRPr="00E41E88">
        <w:rPr>
          <w:rFonts w:cs="Times New Roman"/>
          <w:lang w:val="fr-CA"/>
        </w:rPr>
        <w:t>, d</w:t>
      </w:r>
      <w:r>
        <w:rPr>
          <w:rFonts w:cs="Times New Roman"/>
          <w:lang w:val="fr-CA"/>
        </w:rPr>
        <w:t>’</w:t>
      </w:r>
      <w:r w:rsidRPr="00E41E88">
        <w:rPr>
          <w:rFonts w:cs="Times New Roman"/>
          <w:lang w:val="fr-CA"/>
        </w:rPr>
        <w:t>autre part, s</w:t>
      </w:r>
      <w:r>
        <w:rPr>
          <w:rFonts w:cs="Times New Roman"/>
          <w:lang w:val="fr-CA"/>
        </w:rPr>
        <w:t>’</w:t>
      </w:r>
      <w:r w:rsidRPr="00E41E88">
        <w:rPr>
          <w:rFonts w:cs="Times New Roman"/>
          <w:lang w:val="fr-CA"/>
        </w:rPr>
        <w:t>appliquent à la présente espèce. Qu</w:t>
      </w:r>
      <w:r>
        <w:rPr>
          <w:rFonts w:cs="Times New Roman"/>
          <w:lang w:val="fr-CA"/>
        </w:rPr>
        <w:t>’</w:t>
      </w:r>
      <w:r w:rsidRPr="00E41E88">
        <w:rPr>
          <w:rFonts w:cs="Times New Roman"/>
          <w:lang w:val="fr-CA"/>
        </w:rPr>
        <w:t>il suffise de dire qu</w:t>
      </w:r>
      <w:r>
        <w:rPr>
          <w:rFonts w:cs="Times New Roman"/>
          <w:lang w:val="fr-CA"/>
        </w:rPr>
        <w:t>’</w:t>
      </w:r>
      <w:r w:rsidRPr="00E41E88">
        <w:rPr>
          <w:rFonts w:cs="Times New Roman"/>
          <w:lang w:val="fr-CA"/>
        </w:rPr>
        <w:t>un manquement à l</w:t>
      </w:r>
      <w:r>
        <w:rPr>
          <w:rFonts w:cs="Times New Roman"/>
          <w:lang w:val="fr-CA"/>
        </w:rPr>
        <w:t>’</w:t>
      </w:r>
      <w:r w:rsidRPr="00E41E88">
        <w:rPr>
          <w:rFonts w:cs="Times New Roman"/>
          <w:lang w:val="fr-CA"/>
        </w:rPr>
        <w:t>obligation contractuelle d</w:t>
      </w:r>
      <w:r>
        <w:rPr>
          <w:rFonts w:cs="Times New Roman"/>
          <w:lang w:val="fr-CA"/>
        </w:rPr>
        <w:t>’</w:t>
      </w:r>
      <w:r w:rsidRPr="00E41E88">
        <w:rPr>
          <w:rFonts w:cs="Times New Roman"/>
          <w:lang w:val="fr-CA"/>
        </w:rPr>
        <w:t>agir de bonne foi repose sur des fondements entièrement distincts de ceux liés à l</w:t>
      </w:r>
      <w:r>
        <w:rPr>
          <w:rFonts w:cs="Times New Roman"/>
          <w:lang w:val="fr-CA"/>
        </w:rPr>
        <w:t>’</w:t>
      </w:r>
      <w:r w:rsidRPr="00E41E88">
        <w:rPr>
          <w:rFonts w:cs="Times New Roman"/>
          <w:lang w:val="fr-CA"/>
        </w:rPr>
        <w:t xml:space="preserve">omission </w:t>
      </w:r>
      <w:r w:rsidRPr="00E41E88">
        <w:rPr>
          <w:rFonts w:cs="Times New Roman"/>
          <w:noProof/>
          <w:lang w:val="fr-CA"/>
        </w:rPr>
        <w:t>de donner un préavis raisonnable.</w:t>
      </w:r>
      <w:r w:rsidRPr="00E41E88">
        <w:rPr>
          <w:rFonts w:cs="Times New Roman"/>
          <w:lang w:val="fr-CA"/>
        </w:rPr>
        <w:t xml:space="preserve"> J</w:t>
      </w:r>
      <w:r>
        <w:rPr>
          <w:rFonts w:cs="Times New Roman"/>
          <w:lang w:val="fr-CA"/>
        </w:rPr>
        <w:t>’</w:t>
      </w:r>
      <w:r w:rsidRPr="00E41E88">
        <w:rPr>
          <w:rFonts w:cs="Times New Roman"/>
          <w:lang w:val="fr-CA"/>
        </w:rPr>
        <w:t>affirme cela en m</w:t>
      </w:r>
      <w:r>
        <w:rPr>
          <w:rFonts w:cs="Times New Roman"/>
          <w:lang w:val="fr-CA"/>
        </w:rPr>
        <w:t>’</w:t>
      </w:r>
      <w:r w:rsidRPr="00E41E88">
        <w:rPr>
          <w:rFonts w:cs="Times New Roman"/>
          <w:lang w:val="fr-CA"/>
        </w:rPr>
        <w:t>appuyant sur la conclusion que j</w:t>
      </w:r>
      <w:r>
        <w:rPr>
          <w:rFonts w:cs="Times New Roman"/>
          <w:lang w:val="fr-CA"/>
        </w:rPr>
        <w:t>’</w:t>
      </w:r>
      <w:r w:rsidRPr="00E41E88">
        <w:rPr>
          <w:rFonts w:cs="Times New Roman"/>
          <w:lang w:val="fr-CA"/>
        </w:rPr>
        <w:t>ai proposé</w:t>
      </w:r>
      <w:r>
        <w:rPr>
          <w:rFonts w:cs="Times New Roman"/>
          <w:lang w:val="fr-CA"/>
        </w:rPr>
        <w:t>e</w:t>
      </w:r>
      <w:r w:rsidRPr="00E41E88">
        <w:rPr>
          <w:rFonts w:cs="Times New Roman"/>
          <w:lang w:val="fr-CA"/>
        </w:rPr>
        <w:t xml:space="preserve"> précédemment à l</w:t>
      </w:r>
      <w:r>
        <w:rPr>
          <w:rFonts w:cs="Times New Roman"/>
          <w:lang w:val="fr-CA"/>
        </w:rPr>
        <w:t>’</w:t>
      </w:r>
      <w:r w:rsidRPr="00E41E88">
        <w:rPr>
          <w:rFonts w:cs="Times New Roman"/>
          <w:lang w:val="fr-CA"/>
        </w:rPr>
        <w:t xml:space="preserve">égard de </w:t>
      </w:r>
      <w:r w:rsidRPr="00E41E88">
        <w:rPr>
          <w:rFonts w:cs="Times New Roman"/>
          <w:noProof/>
          <w:lang w:val="fr-CA"/>
        </w:rPr>
        <w:t>la demande de réparation pécuniaire présentée par M. Matthews pour manquement à l</w:t>
      </w:r>
      <w:r>
        <w:rPr>
          <w:rFonts w:cs="Times New Roman"/>
          <w:noProof/>
          <w:lang w:val="fr-CA"/>
        </w:rPr>
        <w:t>’</w:t>
      </w:r>
      <w:r w:rsidRPr="00E41E88">
        <w:rPr>
          <w:rFonts w:cs="Times New Roman"/>
          <w:noProof/>
          <w:lang w:val="fr-CA"/>
        </w:rPr>
        <w:t>obligation tacite de donner un préavis raisonnable</w:t>
      </w:r>
      <w:r w:rsidRPr="00E41E88">
        <w:rPr>
          <w:rFonts w:cs="Times New Roman"/>
          <w:lang w:val="fr-CA"/>
        </w:rPr>
        <w:t xml:space="preserve">. </w:t>
      </w:r>
      <w:r w:rsidRPr="00E41E88">
        <w:rPr>
          <w:rFonts w:cs="Times New Roman"/>
          <w:noProof/>
          <w:lang w:val="fr-CA"/>
        </w:rPr>
        <w:t>À l</w:t>
      </w:r>
      <w:r>
        <w:rPr>
          <w:rFonts w:cs="Times New Roman"/>
          <w:noProof/>
          <w:lang w:val="fr-CA"/>
        </w:rPr>
        <w:t>’</w:t>
      </w:r>
      <w:r w:rsidRPr="00E41E88">
        <w:rPr>
          <w:rFonts w:cs="Times New Roman"/>
          <w:noProof/>
          <w:lang w:val="fr-CA"/>
        </w:rPr>
        <w:t>audience, l</w:t>
      </w:r>
      <w:r>
        <w:rPr>
          <w:rFonts w:cs="Times New Roman"/>
          <w:noProof/>
          <w:lang w:val="fr-CA"/>
        </w:rPr>
        <w:t>’</w:t>
      </w:r>
      <w:r w:rsidRPr="00E41E88">
        <w:rPr>
          <w:rFonts w:cs="Times New Roman"/>
          <w:noProof/>
          <w:lang w:val="fr-CA"/>
        </w:rPr>
        <w:t>avocat de M. Matthews a reconnu que, si les dommages</w:t>
      </w:r>
      <w:r w:rsidRPr="00E41E88">
        <w:rPr>
          <w:rFonts w:cs="Times New Roman"/>
          <w:noProof/>
          <w:lang w:val="fr-CA"/>
        </w:rPr>
        <w:noBreakHyphen/>
        <w:t>intérêts qui sont accordés à ce dernier pour l</w:t>
      </w:r>
      <w:r>
        <w:rPr>
          <w:rFonts w:cs="Times New Roman"/>
          <w:noProof/>
          <w:lang w:val="fr-CA"/>
        </w:rPr>
        <w:t>’</w:t>
      </w:r>
      <w:r w:rsidRPr="00E41E88">
        <w:rPr>
          <w:rFonts w:cs="Times New Roman"/>
          <w:noProof/>
          <w:lang w:val="fr-CA"/>
        </w:rPr>
        <w:t>absence de préavis r</w:t>
      </w:r>
      <w:r>
        <w:rPr>
          <w:rFonts w:cs="Times New Roman"/>
          <w:noProof/>
          <w:lang w:val="fr-CA"/>
        </w:rPr>
        <w:t>a</w:t>
      </w:r>
      <w:r w:rsidRPr="00E41E88">
        <w:rPr>
          <w:rFonts w:cs="Times New Roman"/>
          <w:noProof/>
          <w:lang w:val="fr-CA"/>
        </w:rPr>
        <w:t>isonnable incluent des dommages</w:t>
      </w:r>
      <w:r w:rsidRPr="00E41E88">
        <w:rPr>
          <w:rFonts w:cs="Times New Roman"/>
          <w:noProof/>
          <w:lang w:val="fr-CA"/>
        </w:rPr>
        <w:noBreakHyphen/>
        <w:t>intérêts le compensant pour la perte du paiement prévu par le RILT, M. Matthews ne saurait réclamer maintenant ce même paiement suivant le principe établi dans l</w:t>
      </w:r>
      <w:r>
        <w:rPr>
          <w:rFonts w:cs="Times New Roman"/>
          <w:noProof/>
          <w:lang w:val="fr-CA"/>
        </w:rPr>
        <w:t xml:space="preserve">’arrêt </w:t>
      </w:r>
      <w:r w:rsidRPr="00E41E88">
        <w:rPr>
          <w:rFonts w:cs="Times New Roman"/>
          <w:i/>
          <w:noProof/>
          <w:lang w:val="fr-CA"/>
        </w:rPr>
        <w:t>Hadley</w:t>
      </w:r>
      <w:r w:rsidRPr="00E41E88">
        <w:rPr>
          <w:rFonts w:cs="Times New Roman"/>
          <w:noProof/>
          <w:lang w:val="fr-CA"/>
        </w:rPr>
        <w:t>. Bien qu</w:t>
      </w:r>
      <w:r>
        <w:rPr>
          <w:rFonts w:cs="Times New Roman"/>
          <w:noProof/>
          <w:lang w:val="fr-CA"/>
        </w:rPr>
        <w:t>’</w:t>
      </w:r>
      <w:r w:rsidRPr="00E41E88">
        <w:rPr>
          <w:rFonts w:cs="Times New Roman"/>
          <w:noProof/>
          <w:lang w:val="fr-CA"/>
        </w:rPr>
        <w:t>il s</w:t>
      </w:r>
      <w:r>
        <w:rPr>
          <w:rFonts w:cs="Times New Roman"/>
          <w:noProof/>
          <w:lang w:val="fr-CA"/>
        </w:rPr>
        <w:t>’</w:t>
      </w:r>
      <w:r w:rsidRPr="00E41E88">
        <w:rPr>
          <w:rFonts w:cs="Times New Roman"/>
          <w:noProof/>
          <w:lang w:val="fr-CA"/>
        </w:rPr>
        <w:t xml:space="preserve">agisse de violations de contrat distinctes, elles ne peuvent être appliquées pour accorder une réparation qui </w:t>
      </w:r>
      <w:r w:rsidRPr="00E41E88">
        <w:rPr>
          <w:rFonts w:cs="Times New Roman"/>
          <w:noProof/>
          <w:lang w:val="fr-CA"/>
        </w:rPr>
        <w:lastRenderedPageBreak/>
        <w:t>équivaudrait à une double indemnité. Qui plus est, si M. Matthews a attiré l</w:t>
      </w:r>
      <w:r>
        <w:rPr>
          <w:rFonts w:cs="Times New Roman"/>
          <w:noProof/>
          <w:lang w:val="fr-CA"/>
        </w:rPr>
        <w:t>’</w:t>
      </w:r>
      <w:r w:rsidRPr="00E41E88">
        <w:rPr>
          <w:rFonts w:cs="Times New Roman"/>
          <w:noProof/>
          <w:lang w:val="fr-CA"/>
        </w:rPr>
        <w:t>attention de notre Cour sur l</w:t>
      </w:r>
      <w:r>
        <w:rPr>
          <w:rFonts w:cs="Times New Roman"/>
          <w:noProof/>
          <w:lang w:val="fr-CA"/>
        </w:rPr>
        <w:t>’</w:t>
      </w:r>
      <w:r w:rsidRPr="00E41E88">
        <w:rPr>
          <w:rFonts w:cs="Times New Roman"/>
          <w:noProof/>
          <w:lang w:val="fr-CA"/>
        </w:rPr>
        <w:t>angoisse causée par Ocean, il n</w:t>
      </w:r>
      <w:r>
        <w:rPr>
          <w:rFonts w:cs="Times New Roman"/>
          <w:noProof/>
          <w:lang w:val="fr-CA"/>
        </w:rPr>
        <w:t>’</w:t>
      </w:r>
      <w:r w:rsidRPr="00E41E88">
        <w:rPr>
          <w:rFonts w:cs="Times New Roman"/>
          <w:noProof/>
          <w:lang w:val="fr-CA"/>
        </w:rPr>
        <w:t>a pas demandé de dommages</w:t>
      </w:r>
      <w:r w:rsidRPr="00E41E88">
        <w:rPr>
          <w:rFonts w:cs="Times New Roman"/>
          <w:noProof/>
          <w:lang w:val="fr-CA"/>
        </w:rPr>
        <w:noBreakHyphen/>
        <w:t>intérêts pour souffrances morales.</w:t>
      </w:r>
      <w:r w:rsidRPr="00E41E88">
        <w:rPr>
          <w:rFonts w:cs="Times New Roman"/>
          <w:lang w:val="fr-CA"/>
        </w:rPr>
        <w:t xml:space="preserve"> Comme il a été mentionné plus tôt, quoique </w:t>
      </w:r>
      <w:r>
        <w:rPr>
          <w:rFonts w:cs="Times New Roman"/>
          <w:noProof/>
          <w:lang w:val="fr-CA"/>
        </w:rPr>
        <w:t>M. </w:t>
      </w:r>
      <w:r w:rsidRPr="00E41E88">
        <w:rPr>
          <w:rFonts w:cs="Times New Roman"/>
          <w:noProof/>
          <w:lang w:val="fr-CA"/>
        </w:rPr>
        <w:t>Matthews</w:t>
      </w:r>
      <w:r w:rsidRPr="00E41E88">
        <w:rPr>
          <w:rFonts w:cs="Times New Roman"/>
          <w:lang w:val="fr-CA"/>
        </w:rPr>
        <w:t xml:space="preserve"> ait initialement réclamé des </w:t>
      </w:r>
      <w:r w:rsidRPr="00E41E88">
        <w:rPr>
          <w:rFonts w:cs="Times New Roman"/>
          <w:noProof/>
          <w:lang w:val="fr-CA"/>
        </w:rPr>
        <w:t>dommages</w:t>
      </w:r>
      <w:r w:rsidRPr="00E41E88">
        <w:rPr>
          <w:rFonts w:cs="Times New Roman"/>
          <w:noProof/>
          <w:lang w:val="fr-CA"/>
        </w:rPr>
        <w:noBreakHyphen/>
        <w:t>intérêts punitifs au procès, il n</w:t>
      </w:r>
      <w:r>
        <w:rPr>
          <w:rFonts w:cs="Times New Roman"/>
          <w:noProof/>
          <w:lang w:val="fr-CA"/>
        </w:rPr>
        <w:t>’</w:t>
      </w:r>
      <w:r w:rsidRPr="00E41E88">
        <w:rPr>
          <w:rFonts w:cs="Times New Roman"/>
          <w:noProof/>
          <w:lang w:val="fr-CA"/>
        </w:rPr>
        <w:t xml:space="preserve">a pas fait valoir ce chef de réclamation en appel. Étant donné que </w:t>
      </w:r>
      <w:r>
        <w:rPr>
          <w:rFonts w:cs="Times New Roman"/>
          <w:noProof/>
          <w:lang w:val="fr-CA"/>
        </w:rPr>
        <w:t>M. </w:t>
      </w:r>
      <w:r w:rsidRPr="00E41E88">
        <w:rPr>
          <w:rFonts w:cs="Times New Roman"/>
          <w:noProof/>
          <w:lang w:val="fr-CA"/>
        </w:rPr>
        <w:t>Matthews n</w:t>
      </w:r>
      <w:r>
        <w:rPr>
          <w:rFonts w:cs="Times New Roman"/>
          <w:noProof/>
          <w:lang w:val="fr-CA"/>
        </w:rPr>
        <w:t>’</w:t>
      </w:r>
      <w:r w:rsidRPr="00E41E88">
        <w:rPr>
          <w:rFonts w:cs="Times New Roman"/>
          <w:noProof/>
          <w:lang w:val="fr-CA"/>
        </w:rPr>
        <w:t>a pas fourni de détails ou d</w:t>
      </w:r>
      <w:r>
        <w:rPr>
          <w:rFonts w:cs="Times New Roman"/>
          <w:noProof/>
          <w:lang w:val="fr-CA"/>
        </w:rPr>
        <w:t>’</w:t>
      </w:r>
      <w:r w:rsidRPr="00E41E88">
        <w:rPr>
          <w:rFonts w:cs="Times New Roman"/>
          <w:noProof/>
          <w:lang w:val="fr-CA"/>
        </w:rPr>
        <w:t>arguments supplémentaires à cet égard, même lorsqu</w:t>
      </w:r>
      <w:r>
        <w:rPr>
          <w:rFonts w:cs="Times New Roman"/>
          <w:noProof/>
          <w:lang w:val="fr-CA"/>
        </w:rPr>
        <w:t>’</w:t>
      </w:r>
      <w:r w:rsidRPr="00E41E88">
        <w:rPr>
          <w:rFonts w:cs="Times New Roman"/>
          <w:noProof/>
          <w:lang w:val="fr-CA"/>
        </w:rPr>
        <w:t>il a été interrogé sur ce point par des juges de notre Cour, il n</w:t>
      </w:r>
      <w:r>
        <w:rPr>
          <w:rFonts w:cs="Times New Roman"/>
          <w:noProof/>
          <w:lang w:val="fr-CA"/>
        </w:rPr>
        <w:t>’</w:t>
      </w:r>
      <w:r w:rsidRPr="00E41E88">
        <w:rPr>
          <w:rFonts w:cs="Times New Roman"/>
          <w:noProof/>
          <w:lang w:val="fr-CA"/>
        </w:rPr>
        <w:t>est pas nécessaire que je m</w:t>
      </w:r>
      <w:r>
        <w:rPr>
          <w:rFonts w:cs="Times New Roman"/>
          <w:noProof/>
          <w:lang w:val="fr-CA"/>
        </w:rPr>
        <w:t>’</w:t>
      </w:r>
      <w:r w:rsidRPr="00E41E88">
        <w:rPr>
          <w:rFonts w:cs="Times New Roman"/>
          <w:noProof/>
          <w:lang w:val="fr-CA"/>
        </w:rPr>
        <w:t>y attarde davantage pour décider s</w:t>
      </w:r>
      <w:r>
        <w:rPr>
          <w:rFonts w:cs="Times New Roman"/>
          <w:noProof/>
          <w:lang w:val="fr-CA"/>
        </w:rPr>
        <w:t>’</w:t>
      </w:r>
      <w:r w:rsidRPr="00E41E88">
        <w:rPr>
          <w:rFonts w:cs="Times New Roman"/>
          <w:noProof/>
          <w:lang w:val="fr-CA"/>
        </w:rPr>
        <w:t>il y a eu manquement à une obligation de bonne foi, aucune réparation additionnelle n</w:t>
      </w:r>
      <w:r>
        <w:rPr>
          <w:rFonts w:cs="Times New Roman"/>
          <w:noProof/>
          <w:lang w:val="fr-CA"/>
        </w:rPr>
        <w:t>’</w:t>
      </w:r>
      <w:r w:rsidRPr="00E41E88">
        <w:rPr>
          <w:rFonts w:cs="Times New Roman"/>
          <w:noProof/>
          <w:lang w:val="fr-CA"/>
        </w:rPr>
        <w:t>étant réclamée.</w:t>
      </w:r>
    </w:p>
    <w:p w:rsidR="00DD44E8" w:rsidRPr="00E41E88" w:rsidRDefault="00DD44E8" w:rsidP="00DD44E8">
      <w:pPr>
        <w:pStyle w:val="ParaNoNdepar-AltN"/>
        <w:rPr>
          <w:rFonts w:cs="Times New Roman"/>
          <w:noProof/>
          <w:lang w:val="fr-CA" w:eastAsia="fr-CA"/>
        </w:rPr>
      </w:pPr>
      <w:r w:rsidRPr="00E41E88">
        <w:rPr>
          <w:rFonts w:cs="Times New Roman"/>
          <w:noProof/>
          <w:lang w:val="fr-CA"/>
        </w:rPr>
        <w:t xml:space="preserve">De plus, je souligne que </w:t>
      </w:r>
      <w:r>
        <w:rPr>
          <w:rFonts w:cs="Times New Roman"/>
          <w:noProof/>
          <w:lang w:val="fr-CA"/>
        </w:rPr>
        <w:t>M. </w:t>
      </w:r>
      <w:r w:rsidRPr="00E41E88">
        <w:rPr>
          <w:rFonts w:cs="Times New Roman"/>
          <w:noProof/>
          <w:lang w:val="fr-CA"/>
        </w:rPr>
        <w:t>Matthews et plusieurs intervenants prétendent que le principe directeur général de bonne foi décrit dans l</w:t>
      </w:r>
      <w:r>
        <w:rPr>
          <w:rFonts w:cs="Times New Roman"/>
          <w:noProof/>
          <w:lang w:val="fr-CA"/>
        </w:rPr>
        <w:t>’</w:t>
      </w:r>
      <w:r w:rsidRPr="00E41E88">
        <w:rPr>
          <w:rFonts w:cs="Times New Roman"/>
          <w:noProof/>
          <w:lang w:val="fr-CA"/>
        </w:rPr>
        <w:t xml:space="preserve">arrêt </w:t>
      </w:r>
      <w:r w:rsidRPr="00E41E88">
        <w:rPr>
          <w:rFonts w:cs="Times New Roman"/>
          <w:i/>
          <w:noProof/>
          <w:lang w:val="fr-CA"/>
        </w:rPr>
        <w:t xml:space="preserve">Bhasin </w:t>
      </w:r>
      <w:r w:rsidRPr="00E41E88">
        <w:rPr>
          <w:rFonts w:cs="Times New Roman"/>
          <w:noProof/>
          <w:lang w:val="fr-CA"/>
        </w:rPr>
        <w:t>se manifeste de diverses façons tout au long de l</w:t>
      </w:r>
      <w:r>
        <w:rPr>
          <w:rFonts w:cs="Times New Roman"/>
          <w:noProof/>
          <w:lang w:val="fr-CA"/>
        </w:rPr>
        <w:t>’</w:t>
      </w:r>
      <w:r w:rsidRPr="00E41E88">
        <w:rPr>
          <w:rFonts w:cs="Times New Roman"/>
          <w:noProof/>
          <w:lang w:val="fr-CA"/>
        </w:rPr>
        <w:t>exécution du contrat. Pour sa part, Ocean affirme que tout élargissement de l</w:t>
      </w:r>
      <w:r>
        <w:rPr>
          <w:rFonts w:cs="Times New Roman"/>
          <w:noProof/>
          <w:lang w:val="fr-CA"/>
        </w:rPr>
        <w:t>’</w:t>
      </w:r>
      <w:r w:rsidRPr="00E41E88">
        <w:rPr>
          <w:rFonts w:cs="Times New Roman"/>
          <w:noProof/>
          <w:lang w:val="fr-CA"/>
        </w:rPr>
        <w:t>obligation de bonne foi créerait un précédent peu facile à appliquer.</w:t>
      </w:r>
      <w:r w:rsidRPr="00E41E88">
        <w:rPr>
          <w:rFonts w:cs="Times New Roman"/>
          <w:noProof/>
          <w:lang w:val="fr-CA" w:eastAsia="fr-CA"/>
        </w:rPr>
        <w:t xml:space="preserve"> </w:t>
      </w:r>
    </w:p>
    <w:p w:rsidR="00DD44E8" w:rsidRPr="00E41E88" w:rsidRDefault="00DD44E8" w:rsidP="00DD44E8">
      <w:pPr>
        <w:pStyle w:val="ParaNoNdepar-AltN"/>
        <w:widowControl w:val="0"/>
        <w:tabs>
          <w:tab w:val="clear" w:pos="1152"/>
          <w:tab w:val="left" w:pos="1166"/>
        </w:tabs>
        <w:rPr>
          <w:rFonts w:cs="Times New Roman"/>
          <w:lang w:val="fr-CA"/>
        </w:rPr>
      </w:pPr>
      <w:r w:rsidRPr="00E41E88">
        <w:rPr>
          <w:rFonts w:cs="Times New Roman"/>
          <w:noProof/>
          <w:lang w:val="fr-CA"/>
        </w:rPr>
        <w:t>L</w:t>
      </w:r>
      <w:r>
        <w:rPr>
          <w:rFonts w:cs="Times New Roman"/>
          <w:noProof/>
          <w:lang w:val="fr-CA"/>
        </w:rPr>
        <w:t>’</w:t>
      </w:r>
      <w:r w:rsidRPr="00E41E88">
        <w:rPr>
          <w:rFonts w:cs="Times New Roman"/>
          <w:noProof/>
          <w:lang w:val="fr-CA"/>
        </w:rPr>
        <w:t xml:space="preserve">argument de </w:t>
      </w:r>
      <w:r>
        <w:rPr>
          <w:rFonts w:cs="Times New Roman"/>
          <w:noProof/>
          <w:lang w:val="fr-CA"/>
        </w:rPr>
        <w:t>M. </w:t>
      </w:r>
      <w:r w:rsidRPr="00E41E88">
        <w:rPr>
          <w:rFonts w:cs="Times New Roman"/>
          <w:noProof/>
          <w:lang w:val="fr-CA"/>
        </w:rPr>
        <w:t xml:space="preserve">Matthews est important. Le traitement incorrect réservé à un employé par son employeur ne </w:t>
      </w:r>
      <w:r>
        <w:rPr>
          <w:rFonts w:cs="Times New Roman"/>
          <w:noProof/>
          <w:lang w:val="fr-CA"/>
        </w:rPr>
        <w:t xml:space="preserve">se </w:t>
      </w:r>
      <w:r w:rsidRPr="00E41E88">
        <w:rPr>
          <w:rFonts w:cs="Times New Roman"/>
          <w:noProof/>
          <w:lang w:val="fr-CA"/>
        </w:rPr>
        <w:t>traduit pas dans tous les cas par un congédiement déguisé — il peut arriver que, pour des raisons financières ou autres, l</w:t>
      </w:r>
      <w:r>
        <w:rPr>
          <w:rFonts w:cs="Times New Roman"/>
          <w:noProof/>
          <w:lang w:val="fr-CA"/>
        </w:rPr>
        <w:t>’</w:t>
      </w:r>
      <w:r w:rsidRPr="00E41E88">
        <w:rPr>
          <w:rFonts w:cs="Times New Roman"/>
          <w:noProof/>
          <w:lang w:val="fr-CA"/>
        </w:rPr>
        <w:t>employé concerné décide de ne pas quitter son emploi. Il se pourrait, comme l</w:t>
      </w:r>
      <w:r>
        <w:rPr>
          <w:rFonts w:cs="Times New Roman"/>
          <w:noProof/>
          <w:lang w:val="fr-CA"/>
        </w:rPr>
        <w:t>’</w:t>
      </w:r>
      <w:r w:rsidRPr="00E41E88">
        <w:rPr>
          <w:rFonts w:cs="Times New Roman"/>
          <w:noProof/>
          <w:lang w:val="fr-CA"/>
        </w:rPr>
        <w:t>ont soutenu diverses parties au présent pourvoi, que les employeurs soient un jour tenus pendant la durée du contrat de travail à un devoir de bonne foi basé sur une obligation mutuelle de loyauté, au sens non fiduciaire de ce terme, devoir liant réciproquement l</w:t>
      </w:r>
      <w:r>
        <w:rPr>
          <w:rFonts w:cs="Times New Roman"/>
          <w:noProof/>
          <w:lang w:val="fr-CA"/>
        </w:rPr>
        <w:t>’</w:t>
      </w:r>
      <w:r w:rsidRPr="00E41E88">
        <w:rPr>
          <w:rFonts w:cs="Times New Roman"/>
          <w:noProof/>
          <w:lang w:val="fr-CA"/>
        </w:rPr>
        <w:t xml:space="preserve">employeur </w:t>
      </w:r>
      <w:r w:rsidRPr="00E41E88">
        <w:rPr>
          <w:rFonts w:cs="Times New Roman"/>
          <w:noProof/>
          <w:lang w:val="fr-CA"/>
        </w:rPr>
        <w:lastRenderedPageBreak/>
        <w:t>et l</w:t>
      </w:r>
      <w:r>
        <w:rPr>
          <w:rFonts w:cs="Times New Roman"/>
          <w:noProof/>
          <w:lang w:val="fr-CA"/>
        </w:rPr>
        <w:t>’</w:t>
      </w:r>
      <w:r w:rsidRPr="00E41E88">
        <w:rPr>
          <w:rFonts w:cs="Times New Roman"/>
          <w:noProof/>
          <w:lang w:val="fr-CA"/>
        </w:rPr>
        <w:t>employé. Je reconnais toutefois que la question de savoir si ce principe devrait être reconnu en droit suscite des débats légitimes.</w:t>
      </w:r>
    </w:p>
    <w:p w:rsidR="00DD44E8" w:rsidRPr="00E41E88" w:rsidRDefault="00DD44E8" w:rsidP="00DD44E8">
      <w:pPr>
        <w:pStyle w:val="ParaNoNdepar-AltN"/>
        <w:rPr>
          <w:rFonts w:cs="Times New Roman"/>
          <w:noProof/>
          <w:lang w:val="fr-CA"/>
        </w:rPr>
      </w:pPr>
      <w:r w:rsidRPr="00E41E88">
        <w:rPr>
          <w:rFonts w:cs="Times New Roman"/>
          <w:noProof/>
          <w:lang w:val="fr-CA"/>
        </w:rPr>
        <w:t>Il s</w:t>
      </w:r>
      <w:r>
        <w:rPr>
          <w:rFonts w:cs="Times New Roman"/>
          <w:noProof/>
          <w:lang w:val="fr-CA"/>
        </w:rPr>
        <w:t>’</w:t>
      </w:r>
      <w:r w:rsidRPr="00E41E88">
        <w:rPr>
          <w:rFonts w:cs="Times New Roman"/>
          <w:noProof/>
          <w:lang w:val="fr-CA"/>
        </w:rPr>
        <w:t>agit en l</w:t>
      </w:r>
      <w:r>
        <w:rPr>
          <w:rFonts w:cs="Times New Roman"/>
          <w:noProof/>
          <w:lang w:val="fr-CA"/>
        </w:rPr>
        <w:t>’</w:t>
      </w:r>
      <w:r w:rsidRPr="00E41E88">
        <w:rPr>
          <w:rFonts w:cs="Times New Roman"/>
          <w:noProof/>
          <w:lang w:val="fr-CA"/>
        </w:rPr>
        <w:t>espèce d</w:t>
      </w:r>
      <w:r>
        <w:rPr>
          <w:rFonts w:cs="Times New Roman"/>
          <w:noProof/>
          <w:lang w:val="fr-CA"/>
        </w:rPr>
        <w:t>’</w:t>
      </w:r>
      <w:r w:rsidRPr="00E41E88">
        <w:rPr>
          <w:rFonts w:cs="Times New Roman"/>
          <w:noProof/>
          <w:lang w:val="fr-CA"/>
        </w:rPr>
        <w:t>une affaire de congédiement. Compte tenu de l</w:t>
      </w:r>
      <w:r>
        <w:rPr>
          <w:rFonts w:cs="Times New Roman"/>
          <w:noProof/>
          <w:lang w:val="fr-CA"/>
        </w:rPr>
        <w:t>’</w:t>
      </w:r>
      <w:r w:rsidRPr="00E41E88">
        <w:rPr>
          <w:rFonts w:cs="Times New Roman"/>
          <w:noProof/>
          <w:lang w:val="fr-CA"/>
        </w:rPr>
        <w:t>observation formulée dans l</w:t>
      </w:r>
      <w:r>
        <w:rPr>
          <w:rFonts w:cs="Times New Roman"/>
          <w:noProof/>
          <w:lang w:val="fr-CA"/>
        </w:rPr>
        <w:t>’</w:t>
      </w:r>
      <w:r w:rsidRPr="00E41E88">
        <w:rPr>
          <w:rFonts w:cs="Times New Roman"/>
          <w:noProof/>
          <w:lang w:val="fr-CA"/>
        </w:rPr>
        <w:t xml:space="preserve">arrêt </w:t>
      </w:r>
      <w:r w:rsidRPr="00E41E88">
        <w:rPr>
          <w:rFonts w:cs="Times New Roman"/>
          <w:i/>
          <w:noProof/>
          <w:lang w:val="fr-CA"/>
        </w:rPr>
        <w:t>Bhasin</w:t>
      </w:r>
      <w:r w:rsidRPr="00E41E88">
        <w:rPr>
          <w:rFonts w:cs="Times New Roman"/>
          <w:noProof/>
          <w:lang w:val="fr-CA"/>
        </w:rPr>
        <w:t xml:space="preserve"> (par. 40) selon laquelle la common law doit évoluer de manière progressive, je m</w:t>
      </w:r>
      <w:r>
        <w:rPr>
          <w:rFonts w:cs="Times New Roman"/>
          <w:noProof/>
          <w:lang w:val="fr-CA"/>
        </w:rPr>
        <w:t>’</w:t>
      </w:r>
      <w:r w:rsidRPr="00E41E88">
        <w:rPr>
          <w:rFonts w:cs="Times New Roman"/>
          <w:noProof/>
          <w:lang w:val="fr-CA"/>
        </w:rPr>
        <w:t>abstiens, en l</w:t>
      </w:r>
      <w:r>
        <w:rPr>
          <w:rFonts w:cs="Times New Roman"/>
          <w:noProof/>
          <w:lang w:val="fr-CA"/>
        </w:rPr>
        <w:t>’</w:t>
      </w:r>
      <w:r w:rsidRPr="00E41E88">
        <w:rPr>
          <w:rFonts w:cs="Times New Roman"/>
          <w:noProof/>
          <w:lang w:val="fr-CA"/>
        </w:rPr>
        <w:t>absence d</w:t>
      </w:r>
      <w:r>
        <w:rPr>
          <w:rFonts w:cs="Times New Roman"/>
          <w:noProof/>
          <w:lang w:val="fr-CA"/>
        </w:rPr>
        <w:t>’</w:t>
      </w:r>
      <w:r w:rsidRPr="00E41E88">
        <w:rPr>
          <w:rFonts w:cs="Times New Roman"/>
          <w:noProof/>
          <w:lang w:val="fr-CA"/>
        </w:rPr>
        <w:t>un dossier factuel adéquat, de me prononcer sur l</w:t>
      </w:r>
      <w:r>
        <w:rPr>
          <w:rFonts w:cs="Times New Roman"/>
          <w:noProof/>
          <w:lang w:val="fr-CA"/>
        </w:rPr>
        <w:t>’</w:t>
      </w:r>
      <w:r w:rsidRPr="00E41E88">
        <w:rPr>
          <w:rFonts w:cs="Times New Roman"/>
          <w:noProof/>
          <w:lang w:val="fr-CA"/>
        </w:rPr>
        <w:t>existence d</w:t>
      </w:r>
      <w:r>
        <w:rPr>
          <w:rFonts w:cs="Times New Roman"/>
          <w:noProof/>
          <w:lang w:val="fr-CA"/>
        </w:rPr>
        <w:t>’</w:t>
      </w:r>
      <w:r w:rsidRPr="00E41E88">
        <w:rPr>
          <w:rFonts w:cs="Times New Roman"/>
          <w:noProof/>
          <w:lang w:val="fr-CA"/>
        </w:rPr>
        <w:t>une obligation de portée plus large pendant la durée du contrat de travail.</w:t>
      </w:r>
    </w:p>
    <w:p w:rsidR="00DD44E8" w:rsidRPr="00E41E88" w:rsidRDefault="00DD44E8" w:rsidP="00DD44E8">
      <w:pPr>
        <w:pStyle w:val="ParaNoNdepar-AltN"/>
        <w:rPr>
          <w:rFonts w:cs="Times New Roman"/>
          <w:noProof/>
          <w:lang w:val="fr-CA" w:eastAsia="fr-CA"/>
        </w:rPr>
      </w:pPr>
      <w:r w:rsidRPr="00E41E88">
        <w:rPr>
          <w:rFonts w:cs="Times New Roman"/>
          <w:noProof/>
          <w:lang w:val="fr-CA"/>
        </w:rPr>
        <w:t xml:space="preserve">Enfin, je rappelle que, dans sa demande initiale, </w:t>
      </w:r>
      <w:r>
        <w:rPr>
          <w:rFonts w:cs="Times New Roman"/>
          <w:noProof/>
          <w:lang w:val="fr-CA"/>
        </w:rPr>
        <w:t>M. </w:t>
      </w:r>
      <w:r w:rsidRPr="00E41E88">
        <w:rPr>
          <w:rFonts w:cs="Times New Roman"/>
          <w:noProof/>
          <w:lang w:val="fr-CA"/>
        </w:rPr>
        <w:t xml:space="preserve">Matthews sollicitait une déclaration </w:t>
      </w:r>
      <w:r>
        <w:rPr>
          <w:rFonts w:cs="Times New Roman"/>
          <w:noProof/>
          <w:lang w:val="fr-CA"/>
        </w:rPr>
        <w:t>indiquant</w:t>
      </w:r>
      <w:r w:rsidRPr="00E41E88">
        <w:rPr>
          <w:rFonts w:cs="Times New Roman"/>
          <w:noProof/>
          <w:lang w:val="fr-CA"/>
        </w:rPr>
        <w:t xml:space="preserve"> que la cessation de son emploi résultait de la conduite abusive et injuste d</w:t>
      </w:r>
      <w:r>
        <w:rPr>
          <w:rFonts w:cs="Times New Roman"/>
          <w:noProof/>
          <w:lang w:val="fr-CA"/>
        </w:rPr>
        <w:t>’</w:t>
      </w:r>
      <w:r w:rsidRPr="00E41E88">
        <w:rPr>
          <w:rFonts w:cs="Times New Roman"/>
          <w:noProof/>
          <w:lang w:val="fr-CA"/>
        </w:rPr>
        <w:t xml:space="preserve">Ocean à son endroit, et que son congédiement avait été </w:t>
      </w:r>
      <w:r w:rsidRPr="00E41E88">
        <w:rPr>
          <w:rFonts w:cs="Times New Roman"/>
          <w:smallCaps/>
          <w:noProof/>
          <w:lang w:val="fr-CA"/>
        </w:rPr>
        <w:t>[traduction]</w:t>
      </w:r>
      <w:r w:rsidRPr="00E41E88">
        <w:rPr>
          <w:rFonts w:cs="Times New Roman"/>
          <w:noProof/>
          <w:lang w:val="fr-CA"/>
        </w:rPr>
        <w:t xml:space="preserve"> « effectué de mauvaise foi au sens de la loi </w:t>
      </w:r>
      <w:r>
        <w:rPr>
          <w:rFonts w:cs="Times New Roman"/>
          <w:noProof/>
          <w:lang w:val="fr-CA"/>
        </w:rPr>
        <w:t xml:space="preserve">et </w:t>
      </w:r>
      <w:r w:rsidRPr="00E41E88">
        <w:rPr>
          <w:rFonts w:cs="Times New Roman"/>
          <w:noProof/>
          <w:lang w:val="fr-CA"/>
        </w:rPr>
        <w:t>en contravention à l</w:t>
      </w:r>
      <w:r>
        <w:rPr>
          <w:rFonts w:cs="Times New Roman"/>
          <w:noProof/>
          <w:lang w:val="fr-CA"/>
        </w:rPr>
        <w:t>’</w:t>
      </w:r>
      <w:r w:rsidRPr="00E41E88">
        <w:rPr>
          <w:rFonts w:cs="Times New Roman"/>
          <w:noProof/>
          <w:lang w:val="fr-CA"/>
        </w:rPr>
        <w:t>obligation [d</w:t>
      </w:r>
      <w:r>
        <w:rPr>
          <w:rFonts w:cs="Times New Roman"/>
          <w:noProof/>
          <w:lang w:val="fr-CA"/>
        </w:rPr>
        <w:t>’Ocean</w:t>
      </w:r>
      <w:r w:rsidRPr="00E41E88">
        <w:rPr>
          <w:rFonts w:cs="Times New Roman"/>
          <w:noProof/>
          <w:lang w:val="fr-CA"/>
        </w:rPr>
        <w:t>] d</w:t>
      </w:r>
      <w:r>
        <w:rPr>
          <w:rFonts w:cs="Times New Roman"/>
          <w:noProof/>
          <w:lang w:val="fr-CA"/>
        </w:rPr>
        <w:t>’</w:t>
      </w:r>
      <w:r w:rsidRPr="00E41E88">
        <w:rPr>
          <w:rFonts w:cs="Times New Roman"/>
          <w:noProof/>
          <w:lang w:val="fr-CA"/>
        </w:rPr>
        <w:t>agir de bonne foi ». Je reconnais que, de manière générale, les souffrances morales que pourrait éprouver un employé en raison de la conduite malhonnête de l</w:t>
      </w:r>
      <w:r>
        <w:rPr>
          <w:rFonts w:cs="Times New Roman"/>
          <w:noProof/>
          <w:lang w:val="fr-CA"/>
        </w:rPr>
        <w:t>’</w:t>
      </w:r>
      <w:r w:rsidRPr="00E41E88">
        <w:rPr>
          <w:rFonts w:cs="Times New Roman"/>
          <w:noProof/>
          <w:lang w:val="fr-CA"/>
        </w:rPr>
        <w:t>employeur se traduisent en droit, sur le plan financier, par des dommages</w:t>
      </w:r>
      <w:r w:rsidRPr="00E41E88">
        <w:rPr>
          <w:rFonts w:cs="Times New Roman"/>
          <w:noProof/>
          <w:lang w:val="fr-CA"/>
        </w:rPr>
        <w:noBreakHyphen/>
        <w:t xml:space="preserve">intérêts, et que, en outre, </w:t>
      </w:r>
      <w:r>
        <w:rPr>
          <w:rFonts w:cs="Times New Roman"/>
          <w:noProof/>
          <w:lang w:val="fr-CA"/>
        </w:rPr>
        <w:t>M. </w:t>
      </w:r>
      <w:r w:rsidRPr="00E41E88">
        <w:rPr>
          <w:rFonts w:cs="Times New Roman"/>
          <w:noProof/>
          <w:lang w:val="fr-CA"/>
        </w:rPr>
        <w:t>Matthews s</w:t>
      </w:r>
      <w:r>
        <w:rPr>
          <w:rFonts w:cs="Times New Roman"/>
          <w:noProof/>
          <w:lang w:val="fr-CA"/>
        </w:rPr>
        <w:t>’</w:t>
      </w:r>
      <w:r w:rsidRPr="00E41E88">
        <w:rPr>
          <w:rFonts w:cs="Times New Roman"/>
          <w:noProof/>
          <w:lang w:val="fr-CA"/>
        </w:rPr>
        <w:t>est abstenu de réclamer de tels dommages</w:t>
      </w:r>
      <w:r w:rsidRPr="00E41E88">
        <w:rPr>
          <w:rFonts w:cs="Times New Roman"/>
          <w:noProof/>
          <w:lang w:val="fr-CA"/>
        </w:rPr>
        <w:noBreakHyphen/>
        <w:t>intérêts en l</w:t>
      </w:r>
      <w:r>
        <w:rPr>
          <w:rFonts w:cs="Times New Roman"/>
          <w:noProof/>
          <w:lang w:val="fr-CA"/>
        </w:rPr>
        <w:t>’</w:t>
      </w:r>
      <w:r w:rsidRPr="00E41E88">
        <w:rPr>
          <w:rFonts w:cs="Times New Roman"/>
          <w:noProof/>
          <w:lang w:val="fr-CA"/>
        </w:rPr>
        <w:t>espèce. Néanmoins, une reconnaissance formelle que la conduite d</w:t>
      </w:r>
      <w:r>
        <w:rPr>
          <w:rFonts w:cs="Times New Roman"/>
          <w:noProof/>
          <w:lang w:val="fr-CA"/>
        </w:rPr>
        <w:t>’</w:t>
      </w:r>
      <w:r w:rsidRPr="00E41E88">
        <w:rPr>
          <w:rFonts w:cs="Times New Roman"/>
          <w:noProof/>
          <w:lang w:val="fr-CA"/>
        </w:rPr>
        <w:t xml:space="preserve">un employeur a contrevenu à la norme </w:t>
      </w:r>
      <w:r>
        <w:rPr>
          <w:rFonts w:cs="Times New Roman"/>
          <w:noProof/>
          <w:lang w:val="fr-CA"/>
        </w:rPr>
        <w:t xml:space="preserve">de </w:t>
      </w:r>
      <w:r w:rsidRPr="00E41E88">
        <w:rPr>
          <w:rFonts w:cs="Times New Roman"/>
          <w:noProof/>
          <w:lang w:val="fr-CA"/>
        </w:rPr>
        <w:t>la bonne foi attendue peut transcender la présentation d</w:t>
      </w:r>
      <w:r>
        <w:rPr>
          <w:rFonts w:cs="Times New Roman"/>
          <w:noProof/>
          <w:lang w:val="fr-CA"/>
        </w:rPr>
        <w:t>’</w:t>
      </w:r>
      <w:r w:rsidRPr="00E41E88">
        <w:rPr>
          <w:rFonts w:cs="Times New Roman"/>
          <w:noProof/>
          <w:lang w:val="fr-CA"/>
        </w:rPr>
        <w:t>une demande en dommages</w:t>
      </w:r>
      <w:r w:rsidRPr="00E41E88">
        <w:rPr>
          <w:rFonts w:cs="Times New Roman"/>
          <w:noProof/>
          <w:lang w:val="fr-CA"/>
        </w:rPr>
        <w:noBreakHyphen/>
        <w:t>intérêts, et pourrait avoir pour l</w:t>
      </w:r>
      <w:r>
        <w:rPr>
          <w:rFonts w:cs="Times New Roman"/>
          <w:noProof/>
          <w:lang w:val="fr-CA"/>
        </w:rPr>
        <w:t>’</w:t>
      </w:r>
      <w:r w:rsidRPr="00E41E88">
        <w:rPr>
          <w:rFonts w:cs="Times New Roman"/>
          <w:noProof/>
          <w:lang w:val="fr-CA"/>
        </w:rPr>
        <w:t>employé concerné une valeur significative que ne saurait avoir à ses yeux une simple conclusion qu</w:t>
      </w:r>
      <w:r>
        <w:rPr>
          <w:rFonts w:cs="Times New Roman"/>
          <w:noProof/>
          <w:lang w:val="fr-CA"/>
        </w:rPr>
        <w:t>’</w:t>
      </w:r>
      <w:r w:rsidRPr="00E41E88">
        <w:rPr>
          <w:rFonts w:cs="Times New Roman"/>
          <w:noProof/>
          <w:lang w:val="fr-CA"/>
        </w:rPr>
        <w:t>un préavis raisonnable a été donné.</w:t>
      </w:r>
      <w:r w:rsidRPr="00E41E88">
        <w:rPr>
          <w:rFonts w:cs="Times New Roman"/>
          <w:noProof/>
          <w:lang w:val="fr-CA" w:eastAsia="fr-CA"/>
        </w:rPr>
        <w:t xml:space="preserve"> Cela découle notamment de la </w:t>
      </w:r>
      <w:r w:rsidRPr="00E41E88">
        <w:rPr>
          <w:rFonts w:cs="Times New Roman"/>
          <w:noProof/>
          <w:lang w:val="fr-CA"/>
        </w:rPr>
        <w:t>dignité à laquelle aspirent les employés au sein de leur milieu de travail et de la valeur non financière qu</w:t>
      </w:r>
      <w:r>
        <w:rPr>
          <w:rFonts w:cs="Times New Roman"/>
          <w:noProof/>
          <w:lang w:val="fr-CA"/>
        </w:rPr>
        <w:t>’</w:t>
      </w:r>
      <w:r w:rsidRPr="00E41E88">
        <w:rPr>
          <w:rFonts w:cs="Times New Roman"/>
          <w:noProof/>
          <w:lang w:val="fr-CA"/>
        </w:rPr>
        <w:t>ils associent au fait d</w:t>
      </w:r>
      <w:r>
        <w:rPr>
          <w:rFonts w:cs="Times New Roman"/>
          <w:noProof/>
          <w:lang w:val="fr-CA"/>
        </w:rPr>
        <w:t>’</w:t>
      </w:r>
      <w:r w:rsidRPr="00E41E88">
        <w:rPr>
          <w:rFonts w:cs="Times New Roman"/>
          <w:noProof/>
          <w:lang w:val="fr-CA"/>
        </w:rPr>
        <w:t xml:space="preserve">être </w:t>
      </w:r>
      <w:r w:rsidRPr="00E41E88">
        <w:rPr>
          <w:rFonts w:cs="Times New Roman"/>
          <w:noProof/>
          <w:lang w:val="fr-CA"/>
        </w:rPr>
        <w:lastRenderedPageBreak/>
        <w:t>traités équitablement en cas de congédiement (J. Fudge,</w:t>
      </w:r>
      <w:r w:rsidRPr="00E41E88">
        <w:rPr>
          <w:rFonts w:cs="Times New Roman"/>
          <w:lang w:val="fr-CA"/>
        </w:rPr>
        <w:t xml:space="preserve"> « The Limits of Good Faith in the Contract of Employment</w:t>
      </w:r>
      <w:r w:rsidR="00EB052C">
        <w:rPr>
          <w:rFonts w:cs="Times New Roman"/>
          <w:lang w:val="fr-CA"/>
        </w:rPr>
        <w:t> </w:t>
      </w:r>
      <w:r w:rsidRPr="00E41E88">
        <w:rPr>
          <w:rFonts w:cs="Times New Roman"/>
          <w:lang w:val="fr-CA"/>
        </w:rPr>
        <w:t xml:space="preserve">: From </w:t>
      </w:r>
      <w:r w:rsidRPr="00E41E88">
        <w:rPr>
          <w:rFonts w:cs="Times New Roman"/>
          <w:i/>
          <w:lang w:val="fr-CA"/>
        </w:rPr>
        <w:t>Addis</w:t>
      </w:r>
      <w:r w:rsidRPr="00E41E88">
        <w:rPr>
          <w:rFonts w:cs="Times New Roman"/>
          <w:lang w:val="fr-CA"/>
        </w:rPr>
        <w:t xml:space="preserve"> to </w:t>
      </w:r>
      <w:r w:rsidRPr="00E41E88">
        <w:rPr>
          <w:rFonts w:cs="Times New Roman"/>
          <w:i/>
          <w:lang w:val="fr-CA"/>
        </w:rPr>
        <w:t>Vorvis</w:t>
      </w:r>
      <w:r w:rsidRPr="00E41E88">
        <w:rPr>
          <w:rFonts w:cs="Times New Roman"/>
          <w:lang w:val="fr-CA"/>
        </w:rPr>
        <w:t xml:space="preserve"> to </w:t>
      </w:r>
      <w:r w:rsidRPr="00E41E88">
        <w:rPr>
          <w:rFonts w:cs="Times New Roman"/>
          <w:i/>
          <w:lang w:val="fr-CA"/>
        </w:rPr>
        <w:t>Wallace</w:t>
      </w:r>
      <w:r w:rsidRPr="00E41E88">
        <w:rPr>
          <w:rFonts w:cs="Times New Roman"/>
          <w:lang w:val="fr-CA"/>
        </w:rPr>
        <w:t xml:space="preserve"> and Back Again? » </w:t>
      </w:r>
      <w:r w:rsidRPr="00E41E88">
        <w:rPr>
          <w:rFonts w:cs="Times New Roman"/>
          <w:lang w:val="en-US"/>
        </w:rPr>
        <w:t xml:space="preserve">(2007), 32 </w:t>
      </w:r>
      <w:r w:rsidRPr="00E41E88">
        <w:rPr>
          <w:rFonts w:cs="Times New Roman"/>
          <w:i/>
          <w:lang w:val="en-US"/>
        </w:rPr>
        <w:t>Queen</w:t>
      </w:r>
      <w:r>
        <w:rPr>
          <w:rFonts w:cs="Times New Roman"/>
          <w:i/>
          <w:lang w:val="en-US"/>
        </w:rPr>
        <w:t>’</w:t>
      </w:r>
      <w:r w:rsidRPr="00E41E88">
        <w:rPr>
          <w:rFonts w:cs="Times New Roman"/>
          <w:i/>
          <w:lang w:val="en-US"/>
        </w:rPr>
        <w:t>s L.J.</w:t>
      </w:r>
      <w:r w:rsidRPr="00E41E88">
        <w:rPr>
          <w:rFonts w:cs="Times New Roman"/>
          <w:lang w:val="en-US"/>
        </w:rPr>
        <w:t xml:space="preserve"> 529, p. 548</w:t>
      </w:r>
      <w:r w:rsidRPr="00E41E88">
        <w:rPr>
          <w:rFonts w:cs="Times New Roman"/>
          <w:noProof/>
          <w:lang w:val="en-US"/>
        </w:rPr>
        <w:t>; G</w:t>
      </w:r>
      <w:r>
        <w:rPr>
          <w:rFonts w:cs="Times New Roman"/>
          <w:noProof/>
          <w:lang w:val="en-US"/>
        </w:rPr>
        <w:t>. </w:t>
      </w:r>
      <w:r w:rsidRPr="00E41E88">
        <w:rPr>
          <w:rFonts w:cs="Times New Roman"/>
          <w:noProof/>
          <w:lang w:val="en-US"/>
        </w:rPr>
        <w:t>Anderson</w:t>
      </w:r>
      <w:r>
        <w:rPr>
          <w:rFonts w:cs="Times New Roman"/>
          <w:noProof/>
          <w:lang w:val="en-US"/>
        </w:rPr>
        <w:t>, D. Brodie et J. </w:t>
      </w:r>
      <w:r w:rsidRPr="00E41E88">
        <w:rPr>
          <w:rFonts w:cs="Times New Roman"/>
          <w:noProof/>
          <w:lang w:val="en-US"/>
        </w:rPr>
        <w:t xml:space="preserve">Riley, </w:t>
      </w:r>
      <w:r w:rsidRPr="00E41E88">
        <w:rPr>
          <w:rFonts w:cs="Times New Roman"/>
          <w:i/>
          <w:noProof/>
          <w:lang w:val="en-US"/>
        </w:rPr>
        <w:t>The Common Law Employment Relationship</w:t>
      </w:r>
      <w:r w:rsidR="00EB052C">
        <w:rPr>
          <w:rFonts w:cs="Times New Roman"/>
          <w:i/>
          <w:noProof/>
          <w:lang w:val="en-US"/>
        </w:rPr>
        <w:t> </w:t>
      </w:r>
      <w:r w:rsidRPr="00E41E88">
        <w:rPr>
          <w:rFonts w:cs="Times New Roman"/>
          <w:i/>
          <w:noProof/>
          <w:lang w:val="en-US"/>
        </w:rPr>
        <w:t xml:space="preserve">: A Comparative Study </w:t>
      </w:r>
      <w:r w:rsidRPr="00E41E88">
        <w:rPr>
          <w:rFonts w:cs="Times New Roman"/>
          <w:noProof/>
          <w:lang w:val="en-US"/>
        </w:rPr>
        <w:t>(2017), ch. 11).</w:t>
      </w:r>
      <w:r w:rsidRPr="00E41E88">
        <w:rPr>
          <w:rFonts w:cs="Times New Roman"/>
          <w:noProof/>
          <w:lang w:val="en-US" w:eastAsia="fr-CA"/>
        </w:rPr>
        <w:t xml:space="preserve"> </w:t>
      </w:r>
      <w:r w:rsidRPr="00E41E88">
        <w:rPr>
          <w:rFonts w:cs="Times New Roman"/>
          <w:noProof/>
          <w:lang w:val="fr-CA" w:eastAsia="fr-CA"/>
        </w:rPr>
        <w:t>D</w:t>
      </w:r>
      <w:r>
        <w:rPr>
          <w:rFonts w:cs="Times New Roman"/>
          <w:noProof/>
          <w:lang w:val="fr-CA" w:eastAsia="fr-CA"/>
        </w:rPr>
        <w:t>’</w:t>
      </w:r>
      <w:r w:rsidRPr="00E41E88">
        <w:rPr>
          <w:rFonts w:cs="Times New Roman"/>
          <w:noProof/>
          <w:lang w:val="fr-CA" w:eastAsia="fr-CA"/>
        </w:rPr>
        <w:t>ailleurs, n</w:t>
      </w:r>
      <w:r w:rsidRPr="00E41E88">
        <w:rPr>
          <w:rFonts w:cs="Times New Roman"/>
          <w:noProof/>
          <w:lang w:val="fr-CA"/>
        </w:rPr>
        <w:t>otre Cour a clairement reconnu qu</w:t>
      </w:r>
      <w:r>
        <w:rPr>
          <w:rFonts w:cs="Times New Roman"/>
          <w:noProof/>
          <w:lang w:val="fr-CA"/>
        </w:rPr>
        <w:t>’</w:t>
      </w:r>
      <w:r w:rsidRPr="00E41E88">
        <w:rPr>
          <w:rFonts w:cs="Times New Roman"/>
          <w:noProof/>
          <w:lang w:val="fr-CA"/>
        </w:rPr>
        <w:t>en plus de la dimension financière qu</w:t>
      </w:r>
      <w:r>
        <w:rPr>
          <w:rFonts w:cs="Times New Roman"/>
          <w:noProof/>
          <w:lang w:val="fr-CA"/>
        </w:rPr>
        <w:t>’</w:t>
      </w:r>
      <w:r w:rsidRPr="00E41E88">
        <w:rPr>
          <w:rFonts w:cs="Times New Roman"/>
          <w:noProof/>
          <w:lang w:val="fr-CA"/>
        </w:rPr>
        <w:t>il présente, l</w:t>
      </w:r>
      <w:r>
        <w:rPr>
          <w:rFonts w:cs="Times New Roman"/>
          <w:noProof/>
          <w:lang w:val="fr-CA"/>
        </w:rPr>
        <w:t>’</w:t>
      </w:r>
      <w:r w:rsidRPr="00E41E88">
        <w:rPr>
          <w:rFonts w:cs="Times New Roman"/>
          <w:noProof/>
          <w:lang w:val="fr-CA"/>
        </w:rPr>
        <w:t>emploi est « une composante essentielle du sens de l</w:t>
      </w:r>
      <w:r>
        <w:rPr>
          <w:rFonts w:cs="Times New Roman"/>
          <w:noProof/>
          <w:lang w:val="fr-CA"/>
        </w:rPr>
        <w:t>’</w:t>
      </w:r>
      <w:r w:rsidRPr="00E41E88">
        <w:rPr>
          <w:rFonts w:cs="Times New Roman"/>
          <w:noProof/>
          <w:lang w:val="fr-CA"/>
        </w:rPr>
        <w:t>identité d</w:t>
      </w:r>
      <w:r>
        <w:rPr>
          <w:rFonts w:cs="Times New Roman"/>
          <w:noProof/>
          <w:lang w:val="fr-CA"/>
        </w:rPr>
        <w:t>’</w:t>
      </w:r>
      <w:r w:rsidRPr="00E41E88">
        <w:rPr>
          <w:rFonts w:cs="Times New Roman"/>
          <w:noProof/>
          <w:lang w:val="fr-CA"/>
        </w:rPr>
        <w:t>une personne, de sa valorisation et de son bien</w:t>
      </w:r>
      <w:r w:rsidRPr="00E41E88">
        <w:rPr>
          <w:rFonts w:cs="Times New Roman"/>
          <w:noProof/>
          <w:lang w:val="fr-CA"/>
        </w:rPr>
        <w:noBreakHyphen/>
        <w:t>être sur le plan émotionnel »</w:t>
      </w:r>
      <w:r w:rsidRPr="00E41E88">
        <w:rPr>
          <w:rFonts w:cs="Times New Roman"/>
          <w:i/>
          <w:iCs/>
          <w:noProof/>
          <w:lang w:val="fr-CA"/>
        </w:rPr>
        <w:t xml:space="preserve"> </w:t>
      </w:r>
      <w:r w:rsidRPr="00E41E88">
        <w:rPr>
          <w:rFonts w:cs="Times New Roman"/>
          <w:iCs/>
          <w:noProof/>
          <w:lang w:val="fr-CA"/>
        </w:rPr>
        <w:t>(</w:t>
      </w:r>
      <w:r w:rsidRPr="00E41E88">
        <w:rPr>
          <w:rFonts w:cs="Times New Roman"/>
          <w:i/>
          <w:iCs/>
          <w:noProof/>
          <w:lang w:val="fr-CA"/>
        </w:rPr>
        <w:t>Renvoi relatif à la Public Service Employee Relations Act (Alb.)</w:t>
      </w:r>
      <w:r w:rsidRPr="00E41E88">
        <w:rPr>
          <w:rStyle w:val="reflex3-block"/>
          <w:rFonts w:cs="Times New Roman"/>
          <w:noProof/>
          <w:lang w:val="fr-CA"/>
        </w:rPr>
        <w:t>, [1987] 1 R.C.S. 313, p. 368)</w:t>
      </w:r>
      <w:r w:rsidRPr="00E41E88">
        <w:rPr>
          <w:rFonts w:cs="Times New Roman"/>
          <w:noProof/>
          <w:spacing w:val="-3"/>
          <w:lang w:val="fr-CA" w:eastAsia="fr-CA"/>
        </w:rPr>
        <w:t>.</w:t>
      </w:r>
      <w:r w:rsidRPr="00E41E88">
        <w:rPr>
          <w:rFonts w:cs="Times New Roman"/>
          <w:noProof/>
          <w:lang w:val="fr-CA"/>
        </w:rPr>
        <w:t xml:space="preserve"> Pour cette raison, il est compréhensible que des employés demandent qu</w:t>
      </w:r>
      <w:r>
        <w:rPr>
          <w:rFonts w:cs="Times New Roman"/>
          <w:noProof/>
          <w:lang w:val="fr-CA"/>
        </w:rPr>
        <w:t>’</w:t>
      </w:r>
      <w:r w:rsidRPr="00E41E88">
        <w:rPr>
          <w:rFonts w:cs="Times New Roman"/>
          <w:noProof/>
          <w:lang w:val="fr-CA"/>
        </w:rPr>
        <w:t>on reconnaisse qu</w:t>
      </w:r>
      <w:r>
        <w:rPr>
          <w:rFonts w:cs="Times New Roman"/>
          <w:noProof/>
          <w:lang w:val="fr-CA"/>
        </w:rPr>
        <w:t>’</w:t>
      </w:r>
      <w:r w:rsidRPr="00E41E88">
        <w:rPr>
          <w:rFonts w:cs="Times New Roman"/>
          <w:noProof/>
          <w:lang w:val="fr-CA"/>
        </w:rPr>
        <w:t>ils ont été traités de façon incorrecte, ce qui reflète le fait qu</w:t>
      </w:r>
      <w:r>
        <w:rPr>
          <w:rFonts w:cs="Times New Roman"/>
          <w:noProof/>
          <w:lang w:val="fr-CA"/>
        </w:rPr>
        <w:t>’</w:t>
      </w:r>
      <w:r w:rsidRPr="00E41E88">
        <w:rPr>
          <w:rFonts w:cs="Times New Roman"/>
          <w:noProof/>
          <w:lang w:val="fr-CA"/>
        </w:rPr>
        <w:t>ils estiment injuste, indépendamment des aspects financiers d</w:t>
      </w:r>
      <w:r>
        <w:rPr>
          <w:rFonts w:cs="Times New Roman"/>
          <w:noProof/>
          <w:lang w:val="fr-CA"/>
        </w:rPr>
        <w:t>’</w:t>
      </w:r>
      <w:r w:rsidRPr="00E41E88">
        <w:rPr>
          <w:rFonts w:cs="Times New Roman"/>
          <w:noProof/>
          <w:lang w:val="fr-CA"/>
        </w:rPr>
        <w:t>une telle si</w:t>
      </w:r>
      <w:r w:rsidR="00EB052C">
        <w:rPr>
          <w:rFonts w:cs="Times New Roman"/>
          <w:noProof/>
          <w:lang w:val="fr-CA"/>
        </w:rPr>
        <w:t>t</w:t>
      </w:r>
      <w:r w:rsidRPr="00E41E88">
        <w:rPr>
          <w:rFonts w:cs="Times New Roman"/>
          <w:noProof/>
          <w:lang w:val="fr-CA"/>
        </w:rPr>
        <w:t>uation, d</w:t>
      </w:r>
      <w:r>
        <w:rPr>
          <w:rFonts w:cs="Times New Roman"/>
          <w:noProof/>
          <w:lang w:val="fr-CA"/>
        </w:rPr>
        <w:t>’</w:t>
      </w:r>
      <w:r w:rsidRPr="00E41E88">
        <w:rPr>
          <w:rFonts w:cs="Times New Roman"/>
          <w:noProof/>
          <w:lang w:val="fr-CA"/>
        </w:rPr>
        <w:t>avoir été forcés de quitter leur emploi en pareilles circonstances.</w:t>
      </w:r>
    </w:p>
    <w:p w:rsidR="00DD44E8" w:rsidRPr="00E41E88" w:rsidRDefault="00DD44E8" w:rsidP="00DD44E8">
      <w:pPr>
        <w:pStyle w:val="ParaNoNdepar-AltN"/>
        <w:rPr>
          <w:rFonts w:cs="Times New Roman"/>
          <w:noProof/>
          <w:lang w:val="fr-CA" w:eastAsia="fr-CA"/>
        </w:rPr>
      </w:pPr>
      <w:r w:rsidRPr="00E41E88">
        <w:rPr>
          <w:rFonts w:cs="Times New Roman"/>
          <w:noProof/>
          <w:lang w:val="fr-CA"/>
        </w:rPr>
        <w:t xml:space="preserve">Malheureusement, </w:t>
      </w:r>
      <w:r>
        <w:rPr>
          <w:rFonts w:cs="Times New Roman"/>
          <w:noProof/>
          <w:lang w:val="fr-CA"/>
        </w:rPr>
        <w:t>M. </w:t>
      </w:r>
      <w:r w:rsidRPr="00E41E88">
        <w:rPr>
          <w:rFonts w:cs="Times New Roman"/>
          <w:noProof/>
          <w:lang w:val="fr-CA"/>
        </w:rPr>
        <w:t>Matthews n</w:t>
      </w:r>
      <w:r>
        <w:rPr>
          <w:rFonts w:cs="Times New Roman"/>
          <w:noProof/>
          <w:lang w:val="fr-CA"/>
        </w:rPr>
        <w:t>’</w:t>
      </w:r>
      <w:r w:rsidRPr="00E41E88">
        <w:rPr>
          <w:rFonts w:cs="Times New Roman"/>
          <w:noProof/>
          <w:lang w:val="fr-CA"/>
        </w:rPr>
        <w:t>a pas expliqué sur quel fondement notre Cour devrait s</w:t>
      </w:r>
      <w:r>
        <w:rPr>
          <w:rFonts w:cs="Times New Roman"/>
          <w:noProof/>
          <w:lang w:val="fr-CA"/>
        </w:rPr>
        <w:t>’</w:t>
      </w:r>
      <w:r w:rsidRPr="00E41E88">
        <w:rPr>
          <w:rFonts w:cs="Times New Roman"/>
          <w:noProof/>
          <w:lang w:val="fr-CA"/>
        </w:rPr>
        <w:t>appuyer pour prononcer une déclaration formelle dans les présentes circonstances. Je m</w:t>
      </w:r>
      <w:r>
        <w:rPr>
          <w:rFonts w:cs="Times New Roman"/>
          <w:noProof/>
          <w:lang w:val="fr-CA"/>
        </w:rPr>
        <w:t>’</w:t>
      </w:r>
      <w:r w:rsidRPr="00E41E88">
        <w:rPr>
          <w:rFonts w:cs="Times New Roman"/>
          <w:noProof/>
          <w:lang w:val="fr-CA"/>
        </w:rPr>
        <w:t>abstiendrais donc de prononcer formellement une déclaration portant qu</w:t>
      </w:r>
      <w:r>
        <w:rPr>
          <w:rFonts w:cs="Times New Roman"/>
          <w:noProof/>
          <w:lang w:val="fr-CA"/>
        </w:rPr>
        <w:t>’</w:t>
      </w:r>
      <w:r w:rsidRPr="00E41E88">
        <w:rPr>
          <w:rFonts w:cs="Times New Roman"/>
          <w:noProof/>
          <w:lang w:val="fr-CA"/>
        </w:rPr>
        <w:t>il y a eu manquement à l</w:t>
      </w:r>
      <w:r>
        <w:rPr>
          <w:rFonts w:cs="Times New Roman"/>
          <w:noProof/>
          <w:lang w:val="fr-CA"/>
        </w:rPr>
        <w:t>’</w:t>
      </w:r>
      <w:r w:rsidRPr="00E41E88">
        <w:rPr>
          <w:rFonts w:cs="Times New Roman"/>
          <w:noProof/>
          <w:lang w:val="fr-CA"/>
        </w:rPr>
        <w:t>obligation contractuelle d</w:t>
      </w:r>
      <w:r>
        <w:rPr>
          <w:rFonts w:cs="Times New Roman"/>
          <w:noProof/>
          <w:lang w:val="fr-CA"/>
        </w:rPr>
        <w:t>’</w:t>
      </w:r>
      <w:r w:rsidRPr="00E41E88">
        <w:rPr>
          <w:rFonts w:cs="Times New Roman"/>
          <w:noProof/>
          <w:lang w:val="fr-CA"/>
        </w:rPr>
        <w:t>agir de bonne foi.</w:t>
      </w:r>
      <w:r w:rsidRPr="00E41E88">
        <w:rPr>
          <w:rFonts w:eastAsia="Times New Roman" w:cs="Times New Roman"/>
          <w:noProof/>
          <w:lang w:val="fr-CA"/>
        </w:rPr>
        <w:t xml:space="preserve"> Je ferais néanmoins observer</w:t>
      </w:r>
      <w:r w:rsidRPr="00E41E88">
        <w:rPr>
          <w:rFonts w:cs="Times New Roman"/>
          <w:noProof/>
          <w:lang w:val="fr-CA"/>
        </w:rPr>
        <w:t xml:space="preserve"> qu</w:t>
      </w:r>
      <w:r>
        <w:rPr>
          <w:rFonts w:cs="Times New Roman"/>
          <w:noProof/>
          <w:lang w:val="fr-CA"/>
        </w:rPr>
        <w:t>’</w:t>
      </w:r>
      <w:r w:rsidRPr="00E41E88">
        <w:rPr>
          <w:rFonts w:cs="Times New Roman"/>
          <w:noProof/>
          <w:lang w:val="fr-CA"/>
        </w:rPr>
        <w:t>il ressort clairement des conclusions tirées au procès que M. Matthews a été traité de façon incorrecte et qu</w:t>
      </w:r>
      <w:r>
        <w:rPr>
          <w:rFonts w:cs="Times New Roman"/>
          <w:noProof/>
          <w:lang w:val="fr-CA"/>
        </w:rPr>
        <w:t>’</w:t>
      </w:r>
      <w:r w:rsidRPr="00E41E88">
        <w:rPr>
          <w:rFonts w:cs="Times New Roman"/>
          <w:noProof/>
          <w:lang w:val="fr-CA"/>
        </w:rPr>
        <w:t>on lui a menti à l</w:t>
      </w:r>
      <w:r>
        <w:rPr>
          <w:rFonts w:cs="Times New Roman"/>
          <w:noProof/>
          <w:lang w:val="fr-CA"/>
        </w:rPr>
        <w:t>’</w:t>
      </w:r>
      <w:r w:rsidRPr="00E41E88">
        <w:rPr>
          <w:rFonts w:cs="Times New Roman"/>
          <w:noProof/>
          <w:lang w:val="fr-CA"/>
        </w:rPr>
        <w:t>égard de sa sécurité d</w:t>
      </w:r>
      <w:r>
        <w:rPr>
          <w:rFonts w:cs="Times New Roman"/>
          <w:noProof/>
          <w:lang w:val="fr-CA"/>
        </w:rPr>
        <w:t>’</w:t>
      </w:r>
      <w:r w:rsidRPr="00E41E88">
        <w:rPr>
          <w:rFonts w:cs="Times New Roman"/>
          <w:noProof/>
          <w:lang w:val="fr-CA"/>
        </w:rPr>
        <w:t>emploi future dans l</w:t>
      </w:r>
      <w:r>
        <w:rPr>
          <w:rFonts w:cs="Times New Roman"/>
          <w:noProof/>
          <w:lang w:val="fr-CA"/>
        </w:rPr>
        <w:t>’</w:t>
      </w:r>
      <w:r w:rsidRPr="00E41E88">
        <w:rPr>
          <w:rFonts w:cs="Times New Roman"/>
          <w:noProof/>
          <w:lang w:val="fr-CA"/>
        </w:rPr>
        <w:t>entreprise au cours des années ayant précédé son congédiement déguisé, et ce, d</w:t>
      </w:r>
      <w:r>
        <w:rPr>
          <w:rFonts w:cs="Times New Roman"/>
          <w:noProof/>
          <w:lang w:val="fr-CA"/>
        </w:rPr>
        <w:t>’</w:t>
      </w:r>
      <w:r w:rsidRPr="00E41E88">
        <w:rPr>
          <w:rFonts w:cs="Times New Roman"/>
          <w:noProof/>
          <w:lang w:val="fr-CA"/>
        </w:rPr>
        <w:t>une manière qui a contribué à créer une situation intolérable pour lui au travail. La rémunération versée pendant la période de préavis raisonnable ne tient pas compte de cela. Bien que l</w:t>
      </w:r>
      <w:r>
        <w:rPr>
          <w:rFonts w:cs="Times New Roman"/>
          <w:noProof/>
          <w:lang w:val="fr-CA"/>
        </w:rPr>
        <w:t>’</w:t>
      </w:r>
      <w:r w:rsidRPr="00E41E88">
        <w:rPr>
          <w:rFonts w:cs="Times New Roman"/>
          <w:noProof/>
          <w:lang w:val="fr-CA"/>
        </w:rPr>
        <w:t xml:space="preserve">observation susmentionnée ne se traduise pas par une </w:t>
      </w:r>
      <w:r w:rsidRPr="00E41E88">
        <w:rPr>
          <w:rFonts w:cs="Times New Roman"/>
          <w:noProof/>
          <w:lang w:val="fr-CA"/>
        </w:rPr>
        <w:lastRenderedPageBreak/>
        <w:t>réparation additionnelle en l</w:t>
      </w:r>
      <w:r>
        <w:rPr>
          <w:rFonts w:cs="Times New Roman"/>
          <w:noProof/>
          <w:lang w:val="fr-CA"/>
        </w:rPr>
        <w:t>’</w:t>
      </w:r>
      <w:r w:rsidRPr="00E41E88">
        <w:rPr>
          <w:rFonts w:cs="Times New Roman"/>
          <w:noProof/>
          <w:lang w:val="fr-CA"/>
        </w:rPr>
        <w:t>espèce, il n</w:t>
      </w:r>
      <w:r>
        <w:rPr>
          <w:rFonts w:cs="Times New Roman"/>
          <w:noProof/>
          <w:lang w:val="fr-CA"/>
        </w:rPr>
        <w:t>’</w:t>
      </w:r>
      <w:r w:rsidRPr="00E41E88">
        <w:rPr>
          <w:rFonts w:cs="Times New Roman"/>
          <w:noProof/>
          <w:lang w:val="fr-CA"/>
        </w:rPr>
        <w:t>est pas inapproprié de rappeler que</w:t>
      </w:r>
      <w:r w:rsidRPr="00E41E88">
        <w:rPr>
          <w:rFonts w:eastAsia="Times New Roman" w:cs="Times New Roman"/>
          <w:noProof/>
          <w:lang w:val="fr-CA"/>
        </w:rPr>
        <w:t xml:space="preserve"> « l</w:t>
      </w:r>
      <w:r>
        <w:rPr>
          <w:rFonts w:eastAsia="Times New Roman" w:cs="Times New Roman"/>
          <w:noProof/>
          <w:lang w:val="fr-CA"/>
        </w:rPr>
        <w:t>’</w:t>
      </w:r>
      <w:r w:rsidRPr="00E41E88">
        <w:rPr>
          <w:rFonts w:eastAsia="Times New Roman" w:cs="Times New Roman"/>
          <w:noProof/>
          <w:lang w:val="fr-CA"/>
        </w:rPr>
        <w:t xml:space="preserve">avantage non pécuniaire » </w:t>
      </w:r>
      <w:r w:rsidRPr="00E41E88">
        <w:rPr>
          <w:rFonts w:cs="Times New Roman"/>
          <w:lang w:val="fr-CA"/>
        </w:rPr>
        <w:t>(</w:t>
      </w:r>
      <w:r w:rsidRPr="00E41E88">
        <w:rPr>
          <w:rFonts w:cs="Times New Roman"/>
          <w:i/>
          <w:lang w:val="fr-CA"/>
        </w:rPr>
        <w:t>Potter</w:t>
      </w:r>
      <w:r w:rsidRPr="00E41E88">
        <w:rPr>
          <w:rFonts w:cs="Times New Roman"/>
          <w:lang w:val="fr-CA"/>
        </w:rPr>
        <w:t xml:space="preserve">, par. 84) </w:t>
      </w:r>
      <w:r w:rsidRPr="00E41E88">
        <w:rPr>
          <w:rFonts w:eastAsia="Times New Roman" w:cs="Times New Roman"/>
          <w:noProof/>
          <w:lang w:val="fr-CA"/>
        </w:rPr>
        <w:t>qu</w:t>
      </w:r>
      <w:r>
        <w:rPr>
          <w:rFonts w:eastAsia="Times New Roman" w:cs="Times New Roman"/>
          <w:noProof/>
          <w:lang w:val="fr-CA"/>
        </w:rPr>
        <w:t>’</w:t>
      </w:r>
      <w:r w:rsidRPr="00E41E88">
        <w:rPr>
          <w:rFonts w:eastAsia="Times New Roman" w:cs="Times New Roman"/>
          <w:noProof/>
          <w:lang w:val="fr-CA"/>
        </w:rPr>
        <w:t>un salarié tire de l</w:t>
      </w:r>
      <w:r>
        <w:rPr>
          <w:rFonts w:eastAsia="Times New Roman" w:cs="Times New Roman"/>
          <w:noProof/>
          <w:lang w:val="fr-CA"/>
        </w:rPr>
        <w:t>’</w:t>
      </w:r>
      <w:r w:rsidRPr="00E41E88">
        <w:rPr>
          <w:rFonts w:eastAsia="Times New Roman" w:cs="Times New Roman"/>
          <w:noProof/>
          <w:lang w:val="fr-CA"/>
        </w:rPr>
        <w:t>exécution de son travail peut lui être retiré injustement si, en cas de congédiement, on lui ment et on le trompe quant aux raisons pour lesquelles on met fin à son emploi.</w:t>
      </w:r>
    </w:p>
    <w:p w:rsidR="00DD44E8" w:rsidRPr="00E41E88" w:rsidRDefault="00DD44E8" w:rsidP="00DD44E8">
      <w:pPr>
        <w:pStyle w:val="Title1LevelTitre1Niveau-AltL"/>
        <w:keepNext w:val="0"/>
        <w:rPr>
          <w:rFonts w:cs="Times New Roman"/>
          <w:noProof/>
          <w:lang w:val="fr-CA"/>
        </w:rPr>
      </w:pPr>
      <w:r w:rsidRPr="00E41E88">
        <w:rPr>
          <w:rFonts w:cs="Times New Roman"/>
          <w:noProof/>
          <w:lang w:val="fr-CA"/>
        </w:rPr>
        <w:t xml:space="preserve">Conclusion </w:t>
      </w:r>
    </w:p>
    <w:p w:rsidR="00DD44E8" w:rsidRPr="00D43EB7" w:rsidRDefault="00DD44E8" w:rsidP="00DD44E8">
      <w:pPr>
        <w:pStyle w:val="ParaNoNdepar-AltN"/>
        <w:widowControl w:val="0"/>
        <w:rPr>
          <w:rFonts w:cs="Times New Roman"/>
          <w:noProof/>
          <w:lang w:val="fr-CA"/>
        </w:rPr>
      </w:pPr>
      <w:r w:rsidRPr="00E41E88">
        <w:rPr>
          <w:rFonts w:cs="Times New Roman"/>
          <w:noProof/>
          <w:lang w:val="fr-CA"/>
        </w:rPr>
        <w:t>Pour les motifs qui précèdent, je suis d</w:t>
      </w:r>
      <w:r>
        <w:rPr>
          <w:rFonts w:cs="Times New Roman"/>
          <w:noProof/>
          <w:lang w:val="fr-CA"/>
        </w:rPr>
        <w:t>’</w:t>
      </w:r>
      <w:r w:rsidRPr="00E41E88">
        <w:rPr>
          <w:rFonts w:cs="Times New Roman"/>
          <w:noProof/>
          <w:lang w:val="fr-CA"/>
        </w:rPr>
        <w:t>avis d</w:t>
      </w:r>
      <w:r>
        <w:rPr>
          <w:rFonts w:cs="Times New Roman"/>
          <w:noProof/>
          <w:lang w:val="fr-CA"/>
        </w:rPr>
        <w:t>’</w:t>
      </w:r>
      <w:r w:rsidRPr="00E41E88">
        <w:rPr>
          <w:rFonts w:cs="Times New Roman"/>
          <w:noProof/>
          <w:lang w:val="fr-CA"/>
        </w:rPr>
        <w:t>accueillir le pourvoi, d</w:t>
      </w:r>
      <w:r>
        <w:rPr>
          <w:rFonts w:cs="Times New Roman"/>
          <w:noProof/>
          <w:lang w:val="fr-CA"/>
        </w:rPr>
        <w:t>’</w:t>
      </w:r>
      <w:r w:rsidRPr="00E41E88">
        <w:rPr>
          <w:rFonts w:cs="Times New Roman"/>
          <w:noProof/>
          <w:lang w:val="fr-CA"/>
        </w:rPr>
        <w:t>écarter l</w:t>
      </w:r>
      <w:r>
        <w:rPr>
          <w:rFonts w:cs="Times New Roman"/>
          <w:noProof/>
          <w:lang w:val="fr-CA"/>
        </w:rPr>
        <w:t>’</w:t>
      </w:r>
      <w:r w:rsidRPr="00E41E88">
        <w:rPr>
          <w:rFonts w:cs="Times New Roman"/>
          <w:noProof/>
          <w:lang w:val="fr-CA"/>
        </w:rPr>
        <w:t>arrêt de la Cour d</w:t>
      </w:r>
      <w:r>
        <w:rPr>
          <w:rFonts w:cs="Times New Roman"/>
          <w:noProof/>
          <w:lang w:val="fr-CA"/>
        </w:rPr>
        <w:t>’</w:t>
      </w:r>
      <w:r w:rsidRPr="00E41E88">
        <w:rPr>
          <w:rFonts w:cs="Times New Roman"/>
          <w:noProof/>
          <w:lang w:val="fr-CA"/>
        </w:rPr>
        <w:t>appel et de rétablir le jugement de la Cour suprême de la Nouvelle</w:t>
      </w:r>
      <w:r w:rsidRPr="00E41E88">
        <w:rPr>
          <w:rFonts w:cs="Times New Roman"/>
          <w:noProof/>
          <w:lang w:val="fr-CA"/>
        </w:rPr>
        <w:noBreakHyphen/>
        <w:t>Écosse, le tout avec dépens devant toutes les cours.</w:t>
      </w:r>
    </w:p>
    <w:p w:rsidR="004D7D95" w:rsidRPr="006B687C" w:rsidRDefault="004D7D95" w:rsidP="00FA46AF">
      <w:pPr>
        <w:pStyle w:val="SCCNormalDoubleSpacing"/>
        <w:spacing w:after="480"/>
        <w:rPr>
          <w:i/>
          <w:lang w:val="fr-CA"/>
        </w:rPr>
      </w:pPr>
      <w:r w:rsidRPr="00DD44E8">
        <w:rPr>
          <w:lang w:val="fr-CA"/>
        </w:rPr>
        <w:tab/>
      </w:r>
      <w:r w:rsidR="00FA46AF" w:rsidRPr="006B687C">
        <w:rPr>
          <w:i/>
          <w:lang w:val="fr-CA"/>
        </w:rPr>
        <w:t>Pourvoi accueilli</w:t>
      </w:r>
      <w:r w:rsidR="00C23867" w:rsidRPr="006B687C">
        <w:rPr>
          <w:i/>
          <w:lang w:val="fr-CA"/>
        </w:rPr>
        <w:t xml:space="preserve"> avec dépens dans toutes les cours</w:t>
      </w:r>
      <w:r w:rsidR="00FA46AF" w:rsidRPr="006B687C">
        <w:rPr>
          <w:i/>
          <w:lang w:val="fr-CA"/>
        </w:rPr>
        <w:t>.</w:t>
      </w:r>
    </w:p>
    <w:p w:rsidR="00051344" w:rsidRPr="006B687C" w:rsidRDefault="00A90F0C" w:rsidP="00FA46AF">
      <w:pPr>
        <w:pStyle w:val="SCCLawFirm"/>
        <w:spacing w:after="480"/>
        <w:rPr>
          <w:lang w:val="fr-CA"/>
        </w:rPr>
      </w:pPr>
      <w:r w:rsidRPr="006B687C">
        <w:rPr>
          <w:lang w:val="fr-CA"/>
        </w:rPr>
        <w:tab/>
        <w:t>Procureurs de l</w:t>
      </w:r>
      <w:r w:rsidR="00FC7BCD" w:rsidRPr="006B687C">
        <w:rPr>
          <w:lang w:val="fr-CA"/>
        </w:rPr>
        <w:t>’</w:t>
      </w:r>
      <w:r w:rsidR="004E6F83" w:rsidRPr="006B687C">
        <w:rPr>
          <w:lang w:val="fr-CA"/>
        </w:rPr>
        <w:t>appelant</w:t>
      </w:r>
      <w:r w:rsidR="006B687C">
        <w:rPr>
          <w:lang w:val="fr-CA"/>
        </w:rPr>
        <w:t> :</w:t>
      </w:r>
      <w:r w:rsidR="00BC7C94" w:rsidRPr="006B687C">
        <w:rPr>
          <w:lang w:val="fr-CA"/>
        </w:rPr>
        <w:t> </w:t>
      </w:r>
      <w:r w:rsidRPr="006B687C">
        <w:rPr>
          <w:lang w:val="fr-CA"/>
        </w:rPr>
        <w:t>Levitt, Toronto; Mitchell &amp; Ferguson</w:t>
      </w:r>
      <w:r w:rsidR="00541212" w:rsidRPr="006B687C">
        <w:rPr>
          <w:lang w:val="fr-CA"/>
        </w:rPr>
        <w:t>,</w:t>
      </w:r>
      <w:r w:rsidRPr="006B687C">
        <w:rPr>
          <w:lang w:val="fr-CA"/>
        </w:rPr>
        <w:t xml:space="preserve"> Associates, Halifax.</w:t>
      </w:r>
    </w:p>
    <w:p w:rsidR="00051344" w:rsidRPr="006B687C" w:rsidRDefault="00A90F0C" w:rsidP="00FA46AF">
      <w:pPr>
        <w:pStyle w:val="SCCLawFirm"/>
        <w:spacing w:after="480"/>
        <w:rPr>
          <w:lang w:val="fr-CA"/>
        </w:rPr>
      </w:pPr>
      <w:r w:rsidRPr="006B687C">
        <w:rPr>
          <w:lang w:val="fr-CA"/>
        </w:rPr>
        <w:tab/>
        <w:t>Procureurs de l</w:t>
      </w:r>
      <w:r w:rsidR="00FC7BCD" w:rsidRPr="006B687C">
        <w:rPr>
          <w:lang w:val="fr-CA"/>
        </w:rPr>
        <w:t>’</w:t>
      </w:r>
      <w:r w:rsidRPr="006B687C">
        <w:rPr>
          <w:lang w:val="fr-CA"/>
        </w:rPr>
        <w:t>intimée</w:t>
      </w:r>
      <w:r w:rsidR="006B687C">
        <w:rPr>
          <w:lang w:val="fr-CA"/>
        </w:rPr>
        <w:t> :</w:t>
      </w:r>
      <w:r w:rsidR="00BC7C94" w:rsidRPr="006B687C">
        <w:rPr>
          <w:lang w:val="fr-CA"/>
        </w:rPr>
        <w:t> </w:t>
      </w:r>
      <w:r w:rsidRPr="006B687C">
        <w:rPr>
          <w:lang w:val="fr-CA"/>
        </w:rPr>
        <w:t>Barteaux Durnford, Halifax.</w:t>
      </w:r>
    </w:p>
    <w:p w:rsidR="00051344" w:rsidRPr="006B687C" w:rsidRDefault="00A90F0C" w:rsidP="00FA46AF">
      <w:pPr>
        <w:pStyle w:val="SCCLawFirm"/>
        <w:spacing w:after="480"/>
        <w:rPr>
          <w:lang w:val="fr-CA"/>
        </w:rPr>
      </w:pPr>
      <w:r w:rsidRPr="006B687C">
        <w:rPr>
          <w:lang w:val="fr-CA"/>
        </w:rPr>
        <w:tab/>
        <w:t>Procureurs de l</w:t>
      </w:r>
      <w:r w:rsidR="00FC7BCD" w:rsidRPr="006B687C">
        <w:rPr>
          <w:lang w:val="fr-CA"/>
        </w:rPr>
        <w:t>’</w:t>
      </w:r>
      <w:r w:rsidRPr="006B687C">
        <w:rPr>
          <w:lang w:val="fr-CA"/>
        </w:rPr>
        <w:t>intervenante Canadian Association for Non</w:t>
      </w:r>
      <w:r w:rsidR="006B687C">
        <w:rPr>
          <w:lang w:val="fr-CA"/>
        </w:rPr>
        <w:noBreakHyphen/>
      </w:r>
      <w:r w:rsidRPr="006B687C">
        <w:rPr>
          <w:lang w:val="fr-CA"/>
        </w:rPr>
        <w:t>Organized Employees</w:t>
      </w:r>
      <w:r w:rsidR="006B687C">
        <w:rPr>
          <w:lang w:val="fr-CA"/>
        </w:rPr>
        <w:t> :</w:t>
      </w:r>
      <w:r w:rsidR="00BC7C94" w:rsidRPr="006B687C">
        <w:rPr>
          <w:lang w:val="fr-CA"/>
        </w:rPr>
        <w:t> </w:t>
      </w:r>
      <w:r w:rsidRPr="006B687C">
        <w:rPr>
          <w:lang w:val="fr-CA"/>
        </w:rPr>
        <w:t>Ball Professional Corporation, Toronto; CSuite Law, Toronto; SJO Legal</w:t>
      </w:r>
      <w:r w:rsidR="00B34E60" w:rsidRPr="006B687C">
        <w:rPr>
          <w:lang w:val="fr-CA"/>
        </w:rPr>
        <w:t xml:space="preserve"> Professional Corporation</w:t>
      </w:r>
      <w:r w:rsidRPr="006B687C">
        <w:rPr>
          <w:lang w:val="fr-CA"/>
        </w:rPr>
        <w:t>, Toronto.</w:t>
      </w:r>
    </w:p>
    <w:p w:rsidR="00051344" w:rsidRPr="006B687C" w:rsidRDefault="00A90F0C" w:rsidP="00FA46AF">
      <w:pPr>
        <w:pStyle w:val="SCCLawFirm"/>
        <w:spacing w:after="480"/>
        <w:rPr>
          <w:lang w:val="fr-CA"/>
        </w:rPr>
      </w:pPr>
      <w:r w:rsidRPr="006B687C">
        <w:rPr>
          <w:lang w:val="fr-CA"/>
        </w:rPr>
        <w:tab/>
        <w:t>Procureurs de l</w:t>
      </w:r>
      <w:r w:rsidR="00FC7BCD" w:rsidRPr="006B687C">
        <w:rPr>
          <w:lang w:val="fr-CA"/>
        </w:rPr>
        <w:t>’</w:t>
      </w:r>
      <w:r w:rsidRPr="006B687C">
        <w:rPr>
          <w:lang w:val="fr-CA"/>
        </w:rPr>
        <w:t>intervenant Don Valley Community Legal Services</w:t>
      </w:r>
      <w:r w:rsidR="006B687C">
        <w:rPr>
          <w:lang w:val="fr-CA"/>
        </w:rPr>
        <w:t> :</w:t>
      </w:r>
      <w:r w:rsidR="00BC7C94" w:rsidRPr="006B687C">
        <w:rPr>
          <w:lang w:val="fr-CA"/>
        </w:rPr>
        <w:t> </w:t>
      </w:r>
      <w:r w:rsidRPr="006B687C">
        <w:rPr>
          <w:lang w:val="fr-CA"/>
        </w:rPr>
        <w:t>Monkhouse Law, Toronto.</w:t>
      </w:r>
    </w:p>
    <w:p w:rsidR="00051344" w:rsidRPr="006B687C" w:rsidRDefault="00A90F0C" w:rsidP="00FA46AF">
      <w:pPr>
        <w:pStyle w:val="SCCLawFirm"/>
        <w:spacing w:after="480"/>
        <w:rPr>
          <w:lang w:val="fr-CA"/>
        </w:rPr>
      </w:pPr>
      <w:r w:rsidRPr="006B687C">
        <w:rPr>
          <w:lang w:val="fr-CA"/>
        </w:rPr>
        <w:lastRenderedPageBreak/>
        <w:tab/>
        <w:t>Procureurs de l</w:t>
      </w:r>
      <w:r w:rsidR="00FC7BCD" w:rsidRPr="006B687C">
        <w:rPr>
          <w:lang w:val="fr-CA"/>
        </w:rPr>
        <w:t>’</w:t>
      </w:r>
      <w:r w:rsidRPr="006B687C">
        <w:rPr>
          <w:lang w:val="fr-CA"/>
        </w:rPr>
        <w:t>intervenant Law Students</w:t>
      </w:r>
      <w:r w:rsidR="00B34E60" w:rsidRPr="006B687C">
        <w:rPr>
          <w:lang w:val="fr-CA"/>
        </w:rPr>
        <w:t>’</w:t>
      </w:r>
      <w:r w:rsidRPr="006B687C">
        <w:rPr>
          <w:lang w:val="fr-CA"/>
        </w:rPr>
        <w:t xml:space="preserve"> Legal Advice Program</w:t>
      </w:r>
      <w:r w:rsidR="006B687C">
        <w:rPr>
          <w:lang w:val="fr-CA"/>
        </w:rPr>
        <w:t> :</w:t>
      </w:r>
      <w:r w:rsidR="00BC7C94" w:rsidRPr="006B687C">
        <w:rPr>
          <w:lang w:val="fr-CA"/>
        </w:rPr>
        <w:t> </w:t>
      </w:r>
      <w:r w:rsidRPr="006B687C">
        <w:rPr>
          <w:lang w:val="fr-CA"/>
        </w:rPr>
        <w:t>Tevlin Gleadle Curtis</w:t>
      </w:r>
      <w:r w:rsidR="00B34E60" w:rsidRPr="006B687C">
        <w:rPr>
          <w:lang w:val="fr-CA"/>
        </w:rPr>
        <w:t xml:space="preserve"> Employment Law Strategies</w:t>
      </w:r>
      <w:r w:rsidRPr="006B687C">
        <w:rPr>
          <w:lang w:val="fr-CA"/>
        </w:rPr>
        <w:t>, Vancouver.</w:t>
      </w:r>
    </w:p>
    <w:p w:rsidR="00051344" w:rsidRPr="006B687C" w:rsidRDefault="00A90F0C" w:rsidP="00FA46AF">
      <w:pPr>
        <w:pStyle w:val="SCCLawFirm"/>
        <w:spacing w:after="480"/>
        <w:rPr>
          <w:lang w:val="fr-CA"/>
        </w:rPr>
      </w:pPr>
      <w:r w:rsidRPr="006B687C">
        <w:rPr>
          <w:lang w:val="fr-CA"/>
        </w:rPr>
        <w:tab/>
        <w:t>Procureurs de l</w:t>
      </w:r>
      <w:r w:rsidR="00FC7BCD" w:rsidRPr="006B687C">
        <w:rPr>
          <w:lang w:val="fr-CA"/>
        </w:rPr>
        <w:t>’</w:t>
      </w:r>
      <w:r w:rsidRPr="006B687C">
        <w:rPr>
          <w:lang w:val="fr-CA"/>
        </w:rPr>
        <w:t>intervenante l’Association canadienne des avocats d</w:t>
      </w:r>
      <w:r w:rsidR="00FC7BCD" w:rsidRPr="006B687C">
        <w:rPr>
          <w:lang w:val="fr-CA"/>
        </w:rPr>
        <w:t>’</w:t>
      </w:r>
      <w:r w:rsidRPr="006B687C">
        <w:rPr>
          <w:lang w:val="fr-CA"/>
        </w:rPr>
        <w:t>employeurs</w:t>
      </w:r>
      <w:r w:rsidR="006B687C">
        <w:rPr>
          <w:lang w:val="fr-CA"/>
        </w:rPr>
        <w:t> :</w:t>
      </w:r>
      <w:r w:rsidR="00BC7C94" w:rsidRPr="006B687C">
        <w:rPr>
          <w:lang w:val="fr-CA"/>
        </w:rPr>
        <w:t> </w:t>
      </w:r>
      <w:r w:rsidRPr="006B687C">
        <w:rPr>
          <w:lang w:val="fr-CA"/>
        </w:rPr>
        <w:t>McCarthy Tétrault, Toronto.</w:t>
      </w:r>
    </w:p>
    <w:p w:rsidR="00051344" w:rsidRPr="006B687C" w:rsidRDefault="00A90F0C" w:rsidP="00FA46AF">
      <w:pPr>
        <w:pStyle w:val="SCCLawFirm"/>
        <w:spacing w:after="480"/>
      </w:pPr>
      <w:r w:rsidRPr="006B687C">
        <w:rPr>
          <w:lang w:val="fr-CA"/>
        </w:rPr>
        <w:tab/>
      </w:r>
      <w:r w:rsidRPr="006B687C">
        <w:t>Procureurs de l</w:t>
      </w:r>
      <w:r w:rsidR="00FC7BCD" w:rsidRPr="006B687C">
        <w:t>’</w:t>
      </w:r>
      <w:r w:rsidRPr="006B687C">
        <w:t>intervenant Parkdale Community Legal Services</w:t>
      </w:r>
      <w:r w:rsidR="006B687C">
        <w:t> :</w:t>
      </w:r>
      <w:r w:rsidR="00BC7C94" w:rsidRPr="006B687C">
        <w:t> </w:t>
      </w:r>
      <w:r w:rsidRPr="006B687C">
        <w:t>Nelligan O’Brien Payne, Ottawa; Parkdale Community Legal Services, Toronto.</w:t>
      </w:r>
    </w:p>
    <w:sectPr w:rsidR="00051344" w:rsidRPr="006B687C"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8A0" w:rsidRDefault="001118A0">
      <w:r>
        <w:separator/>
      </w:r>
    </w:p>
  </w:endnote>
  <w:endnote w:type="continuationSeparator" w:id="0">
    <w:p w:rsidR="001118A0" w:rsidRDefault="00111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A31" w:rsidRDefault="00C07A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A31" w:rsidRDefault="00C07A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A31" w:rsidRDefault="00C07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8A0" w:rsidRDefault="001118A0">
      <w:r>
        <w:separator/>
      </w:r>
    </w:p>
  </w:footnote>
  <w:footnote w:type="continuationSeparator" w:id="0">
    <w:p w:rsidR="001118A0" w:rsidRDefault="001118A0">
      <w:r>
        <w:continuationSeparator/>
      </w:r>
    </w:p>
  </w:footnote>
  <w:footnote w:id="1">
    <w:p w:rsidR="00172A98" w:rsidRPr="00172A98" w:rsidRDefault="00172A98">
      <w:pPr>
        <w:pStyle w:val="FootnoteText"/>
        <w:rPr>
          <w:lang w:val="fr-CA"/>
        </w:rPr>
      </w:pPr>
      <w:r>
        <w:rPr>
          <w:rStyle w:val="FootnoteReference"/>
        </w:rPr>
        <w:footnoteRef/>
      </w:r>
      <w:r w:rsidRPr="00172A98">
        <w:rPr>
          <w:lang w:val="fr-CA"/>
        </w:rPr>
        <w:t xml:space="preserve"> </w:t>
      </w:r>
      <w:r w:rsidR="00CB47ED">
        <w:rPr>
          <w:lang w:val="fr-CA"/>
        </w:rPr>
        <w:t xml:space="preserve"> </w:t>
      </w:r>
      <w:r w:rsidRPr="00260012">
        <w:rPr>
          <w:lang w:val="fr-CA"/>
        </w:rPr>
        <w:t xml:space="preserve">L’expression </w:t>
      </w:r>
      <w:r w:rsidRPr="00260012">
        <w:rPr>
          <w:smallCaps/>
          <w:noProof/>
          <w:lang w:val="fr-CA"/>
        </w:rPr>
        <w:t>[traduction]</w:t>
      </w:r>
      <w:r w:rsidRPr="00260012">
        <w:rPr>
          <w:lang w:val="fr-CA"/>
        </w:rPr>
        <w:t xml:space="preserve"> « dommages-intérêts majorés » a été employée à l’occasion par les deux parties tout au long</w:t>
      </w:r>
      <w:r w:rsidRPr="007016EB">
        <w:rPr>
          <w:lang w:val="fr-CA"/>
        </w:rPr>
        <w:t xml:space="preserve"> du présent pourvoi. Je fais remarquer toutefois que</w:t>
      </w:r>
      <w:r>
        <w:rPr>
          <w:lang w:val="fr-CA"/>
        </w:rPr>
        <w:t>,</w:t>
      </w:r>
      <w:r w:rsidRPr="007016EB">
        <w:rPr>
          <w:lang w:val="fr-CA"/>
        </w:rPr>
        <w:t xml:space="preserve"> dans l</w:t>
      </w:r>
      <w:r>
        <w:rPr>
          <w:lang w:val="fr-CA"/>
        </w:rPr>
        <w:t>’</w:t>
      </w:r>
      <w:r w:rsidRPr="007016EB">
        <w:rPr>
          <w:lang w:val="fr-CA"/>
        </w:rPr>
        <w:t xml:space="preserve">arrêt </w:t>
      </w:r>
      <w:r w:rsidRPr="007016EB">
        <w:rPr>
          <w:i/>
          <w:lang w:val="fr-CA"/>
        </w:rPr>
        <w:t>Fidler c. Sun Life du Canada, compagnie d</w:t>
      </w:r>
      <w:r>
        <w:rPr>
          <w:i/>
          <w:lang w:val="fr-CA"/>
        </w:rPr>
        <w:t>’</w:t>
      </w:r>
      <w:r w:rsidRPr="007016EB">
        <w:rPr>
          <w:i/>
          <w:lang w:val="fr-CA"/>
        </w:rPr>
        <w:t>assurance-vie</w:t>
      </w:r>
      <w:r w:rsidRPr="007016EB">
        <w:rPr>
          <w:lang w:val="fr-CA"/>
        </w:rPr>
        <w:t xml:space="preserve">, 2006 CSC 30, </w:t>
      </w:r>
      <w:r>
        <w:rPr>
          <w:lang w:val="fr-CA"/>
        </w:rPr>
        <w:t xml:space="preserve">[2006] 2 R.C.S. 3, </w:t>
      </w:r>
      <w:r w:rsidRPr="007016EB">
        <w:rPr>
          <w:lang w:val="fr-CA"/>
        </w:rPr>
        <w:t xml:space="preserve">par. 52-54, </w:t>
      </w:r>
      <w:r>
        <w:rPr>
          <w:lang w:val="fr-CA"/>
        </w:rPr>
        <w:t>notre</w:t>
      </w:r>
      <w:r w:rsidRPr="007016EB">
        <w:rPr>
          <w:lang w:val="fr-CA"/>
        </w:rPr>
        <w:t xml:space="preserve"> Cour a expliqué </w:t>
      </w:r>
      <w:r>
        <w:rPr>
          <w:lang w:val="fr-CA"/>
        </w:rPr>
        <w:t>que cette expression est en grande partie inexacte</w:t>
      </w:r>
      <w:r w:rsidRPr="007016EB">
        <w:rPr>
          <w:lang w:val="fr-CA"/>
        </w:rPr>
        <w:t xml:space="preserve">, </w:t>
      </w:r>
      <w:r>
        <w:rPr>
          <w:lang w:val="fr-CA"/>
        </w:rPr>
        <w:t>et que les dommages-intérêts comp</w:t>
      </w:r>
      <w:r w:rsidRPr="007016EB">
        <w:rPr>
          <w:lang w:val="fr-CA"/>
        </w:rPr>
        <w:t>ensato</w:t>
      </w:r>
      <w:r>
        <w:rPr>
          <w:lang w:val="fr-CA"/>
        </w:rPr>
        <w:t>ires accordés pour le manquement à l’obligation contractuelle d’agir de bonne foi</w:t>
      </w:r>
      <w:r w:rsidRPr="00BB7439">
        <w:rPr>
          <w:lang w:val="fr-CA"/>
        </w:rPr>
        <w:t xml:space="preserve"> </w:t>
      </w:r>
      <w:r>
        <w:rPr>
          <w:lang w:val="fr-CA"/>
        </w:rPr>
        <w:t>dont il a été question dans l’arrêt</w:t>
      </w:r>
      <w:r w:rsidRPr="007016EB">
        <w:rPr>
          <w:lang w:val="fr-CA"/>
        </w:rPr>
        <w:t xml:space="preserve"> </w:t>
      </w:r>
      <w:r w:rsidRPr="007016EB">
        <w:rPr>
          <w:i/>
          <w:lang w:val="fr-CA"/>
        </w:rPr>
        <w:t>Wallace</w:t>
      </w:r>
      <w:r>
        <w:rPr>
          <w:lang w:val="fr-CA"/>
        </w:rPr>
        <w:t xml:space="preserve"> « </w:t>
      </w:r>
      <w:r w:rsidRPr="007016EB">
        <w:rPr>
          <w:lang w:val="fr-CA"/>
        </w:rPr>
        <w:t>sont fondés sur ce que les parties pouvaient raisonnablement envisager au moment de la formation du contrat</w:t>
      </w:r>
      <w:r>
        <w:rPr>
          <w:lang w:val="fr-CA"/>
        </w:rPr>
        <w:t> ».</w:t>
      </w:r>
    </w:p>
  </w:footnote>
  <w:footnote w:id="2">
    <w:p w:rsidR="00004D10" w:rsidRPr="00004D10" w:rsidRDefault="00004D10">
      <w:pPr>
        <w:pStyle w:val="FootnoteText"/>
        <w:rPr>
          <w:lang w:val="en-US"/>
        </w:rPr>
      </w:pPr>
      <w:r>
        <w:rPr>
          <w:rStyle w:val="FootnoteReference"/>
        </w:rPr>
        <w:footnoteRef/>
      </w:r>
      <w:r>
        <w:t xml:space="preserve"> </w:t>
      </w:r>
      <w:r w:rsidR="00CB47ED">
        <w:t xml:space="preserve"> </w:t>
      </w:r>
      <w:r>
        <w:rPr>
          <w:lang w:val="en-US"/>
        </w:rPr>
        <w:t>K.</w:t>
      </w:r>
      <w:r w:rsidRPr="00817AE4">
        <w:rPr>
          <w:lang w:val="en-US"/>
        </w:rPr>
        <w:t> Banks, « Progre</w:t>
      </w:r>
      <w:r>
        <w:rPr>
          <w:lang w:val="en-US"/>
        </w:rPr>
        <w:t>ss and Paradox</w:t>
      </w:r>
      <w:r w:rsidR="003F0420">
        <w:rPr>
          <w:lang w:val="en-US"/>
        </w:rPr>
        <w:t> </w:t>
      </w:r>
      <w:r>
        <w:rPr>
          <w:lang w:val="en-US"/>
        </w:rPr>
        <w:t>: The Remarkable y</w:t>
      </w:r>
      <w:r w:rsidRPr="00817AE4">
        <w:rPr>
          <w:lang w:val="en-US"/>
        </w:rPr>
        <w:t>et Limited Advance of Employer Good Faith Duties in Canadian Common Law » (2011), 32 </w:t>
      </w:r>
      <w:r w:rsidRPr="00817AE4">
        <w:rPr>
          <w:i/>
          <w:lang w:val="en-US"/>
        </w:rPr>
        <w:t>Comp. Lab</w:t>
      </w:r>
      <w:r>
        <w:rPr>
          <w:i/>
          <w:lang w:val="en-US"/>
        </w:rPr>
        <w:t>.</w:t>
      </w:r>
      <w:r w:rsidRPr="00817AE4">
        <w:rPr>
          <w:i/>
          <w:lang w:val="en-US"/>
        </w:rPr>
        <w:t xml:space="preserve"> L</w:t>
      </w:r>
      <w:r>
        <w:rPr>
          <w:i/>
          <w:lang w:val="en-US"/>
        </w:rPr>
        <w:t>.</w:t>
      </w:r>
      <w:r w:rsidRPr="00817AE4">
        <w:rPr>
          <w:i/>
          <w:lang w:val="en-US"/>
        </w:rPr>
        <w:t xml:space="preserve"> &amp; Pol</w:t>
      </w:r>
      <w:r>
        <w:rPr>
          <w:i/>
          <w:lang w:val="en-US"/>
        </w:rPr>
        <w:t>’y</w:t>
      </w:r>
      <w:r w:rsidRPr="00817AE4">
        <w:rPr>
          <w:i/>
          <w:lang w:val="en-US"/>
        </w:rPr>
        <w:t xml:space="preserve"> J. </w:t>
      </w:r>
      <w:r w:rsidRPr="00817AE4">
        <w:rPr>
          <w:lang w:val="en-US"/>
        </w:rPr>
        <w:t>547, p. 561</w:t>
      </w:r>
      <w:r w:rsidRPr="00817AE4">
        <w:rPr>
          <w:lang w:val="en-US"/>
        </w:rPr>
        <w:noBreakHyphen/>
        <w:t>562.</w:t>
      </w:r>
    </w:p>
  </w:footnote>
  <w:footnote w:id="3">
    <w:p w:rsidR="0051555B" w:rsidRPr="0051555B" w:rsidRDefault="0051555B" w:rsidP="00CB47ED">
      <w:pPr>
        <w:pStyle w:val="FootnoteText"/>
        <w:tabs>
          <w:tab w:val="clear" w:pos="180"/>
        </w:tabs>
        <w:ind w:left="270" w:hanging="270"/>
        <w:rPr>
          <w:lang w:val="en-US"/>
        </w:rPr>
      </w:pPr>
      <w:r>
        <w:rPr>
          <w:rStyle w:val="FootnoteReference"/>
        </w:rPr>
        <w:footnoteRef/>
      </w:r>
      <w:r>
        <w:t xml:space="preserve"> </w:t>
      </w:r>
      <w:r>
        <w:rPr>
          <w:lang w:val="en-US"/>
        </w:rPr>
        <w:t>Voir D. D</w:t>
      </w:r>
      <w:r w:rsidRPr="00817AE4">
        <w:rPr>
          <w:lang w:val="en-US"/>
        </w:rPr>
        <w:t>. Buchanan, « Defining Wrongful Dismissal</w:t>
      </w:r>
      <w:r>
        <w:rPr>
          <w:lang w:val="en-US"/>
        </w:rPr>
        <w:t> </w:t>
      </w:r>
      <w:r w:rsidRPr="00817AE4">
        <w:rPr>
          <w:lang w:val="en-US"/>
        </w:rPr>
        <w:t>: The Alberta Schism » (2019), 57 </w:t>
      </w:r>
      <w:r w:rsidRPr="00817AE4">
        <w:rPr>
          <w:i/>
          <w:lang w:val="en-US"/>
        </w:rPr>
        <w:t>Alta. L. R</w:t>
      </w:r>
      <w:r>
        <w:rPr>
          <w:i/>
          <w:lang w:val="en-US"/>
        </w:rPr>
        <w:t>ev</w:t>
      </w:r>
      <w:r w:rsidRPr="00817AE4">
        <w:rPr>
          <w:i/>
          <w:lang w:val="en-US"/>
        </w:rPr>
        <w:t>. </w:t>
      </w:r>
      <w:r>
        <w:rPr>
          <w:lang w:val="en-US"/>
        </w:rPr>
        <w:t>95</w:t>
      </w:r>
      <w:r w:rsidRPr="00817AE4">
        <w:rPr>
          <w:lang w:val="en-US"/>
        </w:rPr>
        <w:t>.</w:t>
      </w:r>
    </w:p>
  </w:footnote>
  <w:footnote w:id="4">
    <w:p w:rsidR="00EB052C" w:rsidRPr="00EB052C" w:rsidRDefault="00EB052C">
      <w:pPr>
        <w:pStyle w:val="FootnoteText"/>
        <w:rPr>
          <w:lang w:val="en-US"/>
        </w:rPr>
      </w:pPr>
      <w:r>
        <w:rPr>
          <w:rStyle w:val="FootnoteReference"/>
        </w:rPr>
        <w:footnoteRef/>
      </w:r>
      <w:r>
        <w:t xml:space="preserve"> </w:t>
      </w:r>
      <w:r w:rsidR="00CB47ED">
        <w:t xml:space="preserve"> </w:t>
      </w:r>
      <w:r w:rsidRPr="00817AE4">
        <w:rPr>
          <w:lang w:val="en-US"/>
        </w:rPr>
        <w:t>Voir C</w:t>
      </w:r>
      <w:r>
        <w:rPr>
          <w:lang w:val="en-US"/>
        </w:rPr>
        <w:t>.</w:t>
      </w:r>
      <w:r w:rsidRPr="00817AE4">
        <w:rPr>
          <w:lang w:val="en-US"/>
        </w:rPr>
        <w:t> M</w:t>
      </w:r>
      <w:r>
        <w:rPr>
          <w:lang w:val="en-US"/>
        </w:rPr>
        <w:t>ummé</w:t>
      </w:r>
      <w:r w:rsidRPr="00817AE4">
        <w:rPr>
          <w:lang w:val="en-US"/>
        </w:rPr>
        <w:t>, « </w:t>
      </w:r>
      <w:r w:rsidRPr="00817AE4">
        <w:rPr>
          <w:i/>
          <w:lang w:val="en-US"/>
        </w:rPr>
        <w:t>Bhasin v. Hrynew</w:t>
      </w:r>
      <w:r>
        <w:rPr>
          <w:i/>
          <w:lang w:val="en-US"/>
        </w:rPr>
        <w:t> </w:t>
      </w:r>
      <w:r w:rsidRPr="00817AE4">
        <w:rPr>
          <w:lang w:val="en-US"/>
        </w:rPr>
        <w:t xml:space="preserve">: A New Era for Good Faith in Canadian Employment Law, or Just Tinkering at the Margins? » </w:t>
      </w:r>
      <w:r w:rsidRPr="00C827C0">
        <w:rPr>
          <w:lang w:val="en-US"/>
        </w:rPr>
        <w:t xml:space="preserve">(2016), </w:t>
      </w:r>
      <w:r>
        <w:rPr>
          <w:lang w:val="en-US"/>
        </w:rPr>
        <w:t xml:space="preserve">32 </w:t>
      </w:r>
      <w:r w:rsidRPr="00C827C0">
        <w:rPr>
          <w:i/>
          <w:lang w:val="en-US"/>
        </w:rPr>
        <w:t>Int</w:t>
      </w:r>
      <w:r>
        <w:rPr>
          <w:i/>
          <w:lang w:val="en-US"/>
        </w:rPr>
        <w:t>’l</w:t>
      </w:r>
      <w:r w:rsidRPr="00C827C0">
        <w:rPr>
          <w:i/>
          <w:lang w:val="en-US"/>
        </w:rPr>
        <w:t xml:space="preserve"> J. Comp. Lab</w:t>
      </w:r>
      <w:r>
        <w:rPr>
          <w:i/>
          <w:lang w:val="en-US"/>
        </w:rPr>
        <w:t>.</w:t>
      </w:r>
      <w:r w:rsidRPr="00C827C0">
        <w:rPr>
          <w:i/>
          <w:lang w:val="en-US"/>
        </w:rPr>
        <w:t xml:space="preserve"> L.</w:t>
      </w:r>
      <w:r>
        <w:rPr>
          <w:i/>
          <w:lang w:val="en-US"/>
        </w:rPr>
        <w:t xml:space="preserve"> &amp; Ind. Rel.</w:t>
      </w:r>
      <w:r w:rsidRPr="00C827C0">
        <w:rPr>
          <w:lang w:val="en-US"/>
        </w:rPr>
        <w:t xml:space="preserve"> 117, p. 122.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A31" w:rsidRDefault="00C07A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A31" w:rsidRDefault="00C07A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03130A"/>
    <w:multiLevelType w:val="multilevel"/>
    <w:tmpl w:val="57642F48"/>
    <w:lvl w:ilvl="0">
      <w:start w:val="1"/>
      <w:numFmt w:val="upperRoman"/>
      <w:pStyle w:val="Title1LevelTitre1Niveau-AltL"/>
      <w:lvlText w:val="%1."/>
      <w:lvlJc w:val="left"/>
      <w:pPr>
        <w:tabs>
          <w:tab w:val="num" w:pos="2277"/>
        </w:tabs>
        <w:ind w:left="2277"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4283EE8"/>
    <w:multiLevelType w:val="multilevel"/>
    <w:tmpl w:val="467EC14C"/>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DEA708C"/>
    <w:multiLevelType w:val="hybridMultilevel"/>
    <w:tmpl w:val="807C8CF4"/>
    <w:lvl w:ilvl="0" w:tplc="88C80858">
      <w:start w:val="1"/>
      <w:numFmt w:val="upp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 w:numId="8">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4D10"/>
    <w:rsid w:val="00023FC7"/>
    <w:rsid w:val="00025198"/>
    <w:rsid w:val="00045C20"/>
    <w:rsid w:val="00051344"/>
    <w:rsid w:val="000578A3"/>
    <w:rsid w:val="000648CC"/>
    <w:rsid w:val="00094D8E"/>
    <w:rsid w:val="000A5CC7"/>
    <w:rsid w:val="000C2F02"/>
    <w:rsid w:val="000C59B8"/>
    <w:rsid w:val="000C6AF0"/>
    <w:rsid w:val="000D0A77"/>
    <w:rsid w:val="000D24DC"/>
    <w:rsid w:val="000D6F85"/>
    <w:rsid w:val="000E36ED"/>
    <w:rsid w:val="000F5DBF"/>
    <w:rsid w:val="000F5F0A"/>
    <w:rsid w:val="000F7993"/>
    <w:rsid w:val="00101C02"/>
    <w:rsid w:val="00104F33"/>
    <w:rsid w:val="001118A0"/>
    <w:rsid w:val="00111DE2"/>
    <w:rsid w:val="00116B38"/>
    <w:rsid w:val="00135406"/>
    <w:rsid w:val="00135972"/>
    <w:rsid w:val="001426A9"/>
    <w:rsid w:val="00154D7C"/>
    <w:rsid w:val="001570B0"/>
    <w:rsid w:val="0015752C"/>
    <w:rsid w:val="00157737"/>
    <w:rsid w:val="00165277"/>
    <w:rsid w:val="00170592"/>
    <w:rsid w:val="001720F7"/>
    <w:rsid w:val="00172A98"/>
    <w:rsid w:val="0019380D"/>
    <w:rsid w:val="00195D83"/>
    <w:rsid w:val="001A00C1"/>
    <w:rsid w:val="001B33E0"/>
    <w:rsid w:val="001B4573"/>
    <w:rsid w:val="001B6CBE"/>
    <w:rsid w:val="001C6A8E"/>
    <w:rsid w:val="001C779F"/>
    <w:rsid w:val="001D2AC1"/>
    <w:rsid w:val="001D2B36"/>
    <w:rsid w:val="001D4E88"/>
    <w:rsid w:val="001E6E0B"/>
    <w:rsid w:val="001F483E"/>
    <w:rsid w:val="00210E3B"/>
    <w:rsid w:val="00220FC2"/>
    <w:rsid w:val="002222F4"/>
    <w:rsid w:val="00224FC0"/>
    <w:rsid w:val="00225EA4"/>
    <w:rsid w:val="00226EAF"/>
    <w:rsid w:val="00231F3A"/>
    <w:rsid w:val="002406EE"/>
    <w:rsid w:val="00243EC8"/>
    <w:rsid w:val="00270D93"/>
    <w:rsid w:val="002745CC"/>
    <w:rsid w:val="00296180"/>
    <w:rsid w:val="002B6FBE"/>
    <w:rsid w:val="002B7924"/>
    <w:rsid w:val="002C10A6"/>
    <w:rsid w:val="002C3014"/>
    <w:rsid w:val="002C5C23"/>
    <w:rsid w:val="002D0AC4"/>
    <w:rsid w:val="002D2473"/>
    <w:rsid w:val="002D28C3"/>
    <w:rsid w:val="002D39A4"/>
    <w:rsid w:val="002E6705"/>
    <w:rsid w:val="0030329A"/>
    <w:rsid w:val="0031086F"/>
    <w:rsid w:val="0031414C"/>
    <w:rsid w:val="00314E01"/>
    <w:rsid w:val="0032089D"/>
    <w:rsid w:val="003310DE"/>
    <w:rsid w:val="003323B0"/>
    <w:rsid w:val="0033345C"/>
    <w:rsid w:val="00340A49"/>
    <w:rsid w:val="00341C67"/>
    <w:rsid w:val="0035169A"/>
    <w:rsid w:val="0035259D"/>
    <w:rsid w:val="00353B01"/>
    <w:rsid w:val="00364B18"/>
    <w:rsid w:val="00364E54"/>
    <w:rsid w:val="00375C98"/>
    <w:rsid w:val="003A125D"/>
    <w:rsid w:val="003A4C70"/>
    <w:rsid w:val="003B215F"/>
    <w:rsid w:val="003C799C"/>
    <w:rsid w:val="003D0399"/>
    <w:rsid w:val="003E1C71"/>
    <w:rsid w:val="003F0420"/>
    <w:rsid w:val="003F327B"/>
    <w:rsid w:val="00406166"/>
    <w:rsid w:val="0040704B"/>
    <w:rsid w:val="00410A55"/>
    <w:rsid w:val="00411300"/>
    <w:rsid w:val="00413F17"/>
    <w:rsid w:val="00415417"/>
    <w:rsid w:val="00426659"/>
    <w:rsid w:val="00434C37"/>
    <w:rsid w:val="004365A7"/>
    <w:rsid w:val="00450352"/>
    <w:rsid w:val="00454BDB"/>
    <w:rsid w:val="00465132"/>
    <w:rsid w:val="00480C90"/>
    <w:rsid w:val="0048396F"/>
    <w:rsid w:val="00493C18"/>
    <w:rsid w:val="004A600C"/>
    <w:rsid w:val="004A6118"/>
    <w:rsid w:val="004C478D"/>
    <w:rsid w:val="004D3FF2"/>
    <w:rsid w:val="004D7D95"/>
    <w:rsid w:val="004E2C26"/>
    <w:rsid w:val="004E6F83"/>
    <w:rsid w:val="00506197"/>
    <w:rsid w:val="00511950"/>
    <w:rsid w:val="005125A8"/>
    <w:rsid w:val="0051555B"/>
    <w:rsid w:val="00516D2B"/>
    <w:rsid w:val="00517549"/>
    <w:rsid w:val="00520ABC"/>
    <w:rsid w:val="00521AE8"/>
    <w:rsid w:val="00527180"/>
    <w:rsid w:val="00541212"/>
    <w:rsid w:val="00555291"/>
    <w:rsid w:val="00566AD1"/>
    <w:rsid w:val="00583EDE"/>
    <w:rsid w:val="00592A90"/>
    <w:rsid w:val="005A6079"/>
    <w:rsid w:val="005E4698"/>
    <w:rsid w:val="005F2963"/>
    <w:rsid w:val="00603924"/>
    <w:rsid w:val="00610539"/>
    <w:rsid w:val="00613969"/>
    <w:rsid w:val="00625C35"/>
    <w:rsid w:val="00627782"/>
    <w:rsid w:val="00647E49"/>
    <w:rsid w:val="00652163"/>
    <w:rsid w:val="00656313"/>
    <w:rsid w:val="006565F4"/>
    <w:rsid w:val="006775C2"/>
    <w:rsid w:val="00684EEA"/>
    <w:rsid w:val="0069689B"/>
    <w:rsid w:val="006B2513"/>
    <w:rsid w:val="006B5FF5"/>
    <w:rsid w:val="006B687C"/>
    <w:rsid w:val="006E3996"/>
    <w:rsid w:val="006F30AF"/>
    <w:rsid w:val="00701759"/>
    <w:rsid w:val="007025F8"/>
    <w:rsid w:val="00705C15"/>
    <w:rsid w:val="0070658C"/>
    <w:rsid w:val="007110F6"/>
    <w:rsid w:val="007208D1"/>
    <w:rsid w:val="00744518"/>
    <w:rsid w:val="00747288"/>
    <w:rsid w:val="00747DD3"/>
    <w:rsid w:val="007549C8"/>
    <w:rsid w:val="00764F1F"/>
    <w:rsid w:val="00766D14"/>
    <w:rsid w:val="00767A0F"/>
    <w:rsid w:val="00791272"/>
    <w:rsid w:val="007A05F6"/>
    <w:rsid w:val="007B56F8"/>
    <w:rsid w:val="007B6F4A"/>
    <w:rsid w:val="007D1B2D"/>
    <w:rsid w:val="007D3220"/>
    <w:rsid w:val="007E1C47"/>
    <w:rsid w:val="007E337A"/>
    <w:rsid w:val="007E5C70"/>
    <w:rsid w:val="007E646A"/>
    <w:rsid w:val="007F2FF5"/>
    <w:rsid w:val="007F3F08"/>
    <w:rsid w:val="00804CC6"/>
    <w:rsid w:val="00812599"/>
    <w:rsid w:val="00817190"/>
    <w:rsid w:val="008260E2"/>
    <w:rsid w:val="008322BD"/>
    <w:rsid w:val="00834F73"/>
    <w:rsid w:val="00846B15"/>
    <w:rsid w:val="00864C8A"/>
    <w:rsid w:val="00864CF8"/>
    <w:rsid w:val="00874914"/>
    <w:rsid w:val="00881912"/>
    <w:rsid w:val="00891422"/>
    <w:rsid w:val="00892E1A"/>
    <w:rsid w:val="008B60E8"/>
    <w:rsid w:val="008B660A"/>
    <w:rsid w:val="008C01DA"/>
    <w:rsid w:val="008F1628"/>
    <w:rsid w:val="008F2674"/>
    <w:rsid w:val="008F4A57"/>
    <w:rsid w:val="008F78E9"/>
    <w:rsid w:val="009179F9"/>
    <w:rsid w:val="00917C7A"/>
    <w:rsid w:val="00930BFD"/>
    <w:rsid w:val="00933E5E"/>
    <w:rsid w:val="00935218"/>
    <w:rsid w:val="00937C52"/>
    <w:rsid w:val="009403F3"/>
    <w:rsid w:val="009463B5"/>
    <w:rsid w:val="009555B7"/>
    <w:rsid w:val="009567AA"/>
    <w:rsid w:val="009567D5"/>
    <w:rsid w:val="009602C9"/>
    <w:rsid w:val="00967374"/>
    <w:rsid w:val="0099754C"/>
    <w:rsid w:val="009A343A"/>
    <w:rsid w:val="009B2F23"/>
    <w:rsid w:val="009B57B3"/>
    <w:rsid w:val="009D2920"/>
    <w:rsid w:val="009D5AEB"/>
    <w:rsid w:val="009E1F9C"/>
    <w:rsid w:val="009F0E33"/>
    <w:rsid w:val="00A149DF"/>
    <w:rsid w:val="00A169E5"/>
    <w:rsid w:val="00A1755C"/>
    <w:rsid w:val="00A21B90"/>
    <w:rsid w:val="00A22AAC"/>
    <w:rsid w:val="00A41805"/>
    <w:rsid w:val="00A51882"/>
    <w:rsid w:val="00A52AFB"/>
    <w:rsid w:val="00A548CB"/>
    <w:rsid w:val="00A5521C"/>
    <w:rsid w:val="00A625DB"/>
    <w:rsid w:val="00A643E7"/>
    <w:rsid w:val="00A73917"/>
    <w:rsid w:val="00A73C38"/>
    <w:rsid w:val="00A87F26"/>
    <w:rsid w:val="00A90F0C"/>
    <w:rsid w:val="00A921A7"/>
    <w:rsid w:val="00AB670D"/>
    <w:rsid w:val="00AD39A5"/>
    <w:rsid w:val="00AE4649"/>
    <w:rsid w:val="00AE719D"/>
    <w:rsid w:val="00AF03C5"/>
    <w:rsid w:val="00B000D8"/>
    <w:rsid w:val="00B00F75"/>
    <w:rsid w:val="00B04EBE"/>
    <w:rsid w:val="00B145B6"/>
    <w:rsid w:val="00B279EB"/>
    <w:rsid w:val="00B30051"/>
    <w:rsid w:val="00B34E60"/>
    <w:rsid w:val="00B50C81"/>
    <w:rsid w:val="00B557F8"/>
    <w:rsid w:val="00B6101F"/>
    <w:rsid w:val="00B815FC"/>
    <w:rsid w:val="00B93FBC"/>
    <w:rsid w:val="00BA7DA0"/>
    <w:rsid w:val="00BB08A7"/>
    <w:rsid w:val="00BB2EE4"/>
    <w:rsid w:val="00BB4C92"/>
    <w:rsid w:val="00BC2108"/>
    <w:rsid w:val="00BC7C94"/>
    <w:rsid w:val="00BD0E9E"/>
    <w:rsid w:val="00BD1BEC"/>
    <w:rsid w:val="00BD32FF"/>
    <w:rsid w:val="00BD556E"/>
    <w:rsid w:val="00BF6FE9"/>
    <w:rsid w:val="00C02092"/>
    <w:rsid w:val="00C07A31"/>
    <w:rsid w:val="00C16821"/>
    <w:rsid w:val="00C23867"/>
    <w:rsid w:val="00C24D91"/>
    <w:rsid w:val="00C26DB2"/>
    <w:rsid w:val="00C47EF0"/>
    <w:rsid w:val="00C53F14"/>
    <w:rsid w:val="00C600CF"/>
    <w:rsid w:val="00C6084F"/>
    <w:rsid w:val="00C62A66"/>
    <w:rsid w:val="00C658AB"/>
    <w:rsid w:val="00C66359"/>
    <w:rsid w:val="00C71458"/>
    <w:rsid w:val="00C77613"/>
    <w:rsid w:val="00C828E7"/>
    <w:rsid w:val="00C82E73"/>
    <w:rsid w:val="00C84135"/>
    <w:rsid w:val="00C86719"/>
    <w:rsid w:val="00C921DD"/>
    <w:rsid w:val="00CA6391"/>
    <w:rsid w:val="00CB47ED"/>
    <w:rsid w:val="00CE036E"/>
    <w:rsid w:val="00CE3171"/>
    <w:rsid w:val="00CF1601"/>
    <w:rsid w:val="00D0172F"/>
    <w:rsid w:val="00D01E33"/>
    <w:rsid w:val="00D068A7"/>
    <w:rsid w:val="00D17476"/>
    <w:rsid w:val="00D17B0E"/>
    <w:rsid w:val="00D20ADA"/>
    <w:rsid w:val="00D32086"/>
    <w:rsid w:val="00D37A3F"/>
    <w:rsid w:val="00D43EB7"/>
    <w:rsid w:val="00D4431D"/>
    <w:rsid w:val="00D4594B"/>
    <w:rsid w:val="00D4667A"/>
    <w:rsid w:val="00D50341"/>
    <w:rsid w:val="00D63A1C"/>
    <w:rsid w:val="00D64689"/>
    <w:rsid w:val="00D7516F"/>
    <w:rsid w:val="00D95F8E"/>
    <w:rsid w:val="00DA0590"/>
    <w:rsid w:val="00DA1BD0"/>
    <w:rsid w:val="00DC1739"/>
    <w:rsid w:val="00DC1788"/>
    <w:rsid w:val="00DC2C6A"/>
    <w:rsid w:val="00DD44E8"/>
    <w:rsid w:val="00DE2621"/>
    <w:rsid w:val="00DE319C"/>
    <w:rsid w:val="00DF0CA8"/>
    <w:rsid w:val="00DF2B48"/>
    <w:rsid w:val="00DF49A7"/>
    <w:rsid w:val="00E07EE2"/>
    <w:rsid w:val="00E07FD1"/>
    <w:rsid w:val="00E172D2"/>
    <w:rsid w:val="00E24573"/>
    <w:rsid w:val="00E25E1E"/>
    <w:rsid w:val="00E27EE7"/>
    <w:rsid w:val="00E35404"/>
    <w:rsid w:val="00E45109"/>
    <w:rsid w:val="00E47B7A"/>
    <w:rsid w:val="00E56A44"/>
    <w:rsid w:val="00E60269"/>
    <w:rsid w:val="00E81A1C"/>
    <w:rsid w:val="00E93799"/>
    <w:rsid w:val="00E94968"/>
    <w:rsid w:val="00E97830"/>
    <w:rsid w:val="00EA69E0"/>
    <w:rsid w:val="00EB052C"/>
    <w:rsid w:val="00ED4DE7"/>
    <w:rsid w:val="00EE0830"/>
    <w:rsid w:val="00EE6CB8"/>
    <w:rsid w:val="00EF0683"/>
    <w:rsid w:val="00F0070C"/>
    <w:rsid w:val="00F00EB7"/>
    <w:rsid w:val="00F36AB6"/>
    <w:rsid w:val="00F37A09"/>
    <w:rsid w:val="00F409CE"/>
    <w:rsid w:val="00F4379D"/>
    <w:rsid w:val="00F50D2D"/>
    <w:rsid w:val="00F56C8B"/>
    <w:rsid w:val="00F62639"/>
    <w:rsid w:val="00F6520C"/>
    <w:rsid w:val="00F66810"/>
    <w:rsid w:val="00F84DF4"/>
    <w:rsid w:val="00F85C97"/>
    <w:rsid w:val="00F95240"/>
    <w:rsid w:val="00FA46AF"/>
    <w:rsid w:val="00FB37D2"/>
    <w:rsid w:val="00FC314B"/>
    <w:rsid w:val="00FC4EFB"/>
    <w:rsid w:val="00FC7BCD"/>
    <w:rsid w:val="00FD068D"/>
    <w:rsid w:val="00FD4F28"/>
    <w:rsid w:val="00FE6784"/>
    <w:rsid w:val="00FE7A8B"/>
    <w:rsid w:val="00FF1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2D2"/>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reflex3-block">
    <w:name w:val="reflex3-block"/>
    <w:basedOn w:val="DefaultParagraphFont"/>
    <w:rsid w:val="00101C02"/>
  </w:style>
  <w:style w:type="paragraph" w:customStyle="1" w:styleId="SCCLsocOtherPartyRoleSeparator">
    <w:name w:val="SCC.Lsoc.OtherPartyRoleSeparator"/>
    <w:basedOn w:val="Normal"/>
    <w:next w:val="Normal"/>
    <w:link w:val="SCCLsocOtherPartyRoleSeparatorChar"/>
    <w:rsid w:val="00DD44E8"/>
    <w:pPr>
      <w:spacing w:after="480"/>
    </w:pPr>
    <w:rPr>
      <w:rFonts w:eastAsiaTheme="minorHAnsi" w:cstheme="minorBidi"/>
      <w:szCs w:val="22"/>
      <w:lang w:eastAsia="en-US"/>
    </w:rPr>
  </w:style>
  <w:style w:type="paragraph" w:customStyle="1" w:styleId="SCCCoram">
    <w:name w:val="SCC.Coram"/>
    <w:basedOn w:val="Normal"/>
    <w:next w:val="Normal"/>
    <w:link w:val="SCCCoramChar"/>
    <w:rsid w:val="00DD44E8"/>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DD44E8"/>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DD44E8"/>
    <w:rPr>
      <w:rFonts w:eastAsiaTheme="minorHAnsi" w:cstheme="minorBidi"/>
      <w:sz w:val="24"/>
      <w:szCs w:val="22"/>
      <w:lang w:eastAsia="en-US"/>
    </w:rPr>
  </w:style>
  <w:style w:type="character" w:customStyle="1" w:styleId="SCCBanSummaryChar">
    <w:name w:val="SCC.BanSummary Char"/>
    <w:basedOn w:val="DefaultParagraphFont"/>
    <w:link w:val="SCCBanSummary"/>
    <w:rsid w:val="00DD44E8"/>
    <w:rPr>
      <w:b/>
      <w:sz w:val="24"/>
    </w:rPr>
  </w:style>
  <w:style w:type="table" w:styleId="TableGrid">
    <w:name w:val="Table Grid"/>
    <w:basedOn w:val="TableNormal"/>
    <w:uiPriority w:val="59"/>
    <w:rsid w:val="00DD44E8"/>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DD44E8"/>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DD44E8"/>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DD44E8"/>
    <w:pPr>
      <w:tabs>
        <w:tab w:val="left" w:pos="1166"/>
      </w:tabs>
      <w:spacing w:after="480" w:line="480" w:lineRule="auto"/>
    </w:pPr>
    <w:rPr>
      <w:smallCaps/>
      <w:sz w:val="24"/>
      <w:szCs w:val="24"/>
    </w:rPr>
  </w:style>
  <w:style w:type="paragraph" w:customStyle="1" w:styleId="ParaNoNdepar-AltN">
    <w:name w:val="Para. No. / Nº de par. - Alt N"/>
    <w:qFormat/>
    <w:rsid w:val="00DD44E8"/>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DD44E8"/>
    <w:pPr>
      <w:keepNext/>
      <w:numPr>
        <w:numId w:val="7"/>
      </w:numPr>
      <w:tabs>
        <w:tab w:val="clear" w:pos="2277"/>
        <w:tab w:val="num" w:pos="576"/>
      </w:tabs>
      <w:spacing w:before="480" w:after="720"/>
      <w:ind w:left="576"/>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DD44E8"/>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DD44E8"/>
    <w:pPr>
      <w:numPr>
        <w:ilvl w:val="2"/>
      </w:numPr>
      <w:outlineLvl w:val="2"/>
    </w:pPr>
  </w:style>
  <w:style w:type="paragraph" w:customStyle="1" w:styleId="Title4LevelTitre4Niveau">
    <w:name w:val="Title 4 Level / Titre 4 Niveau"/>
    <w:basedOn w:val="Title3LevelTitre3Niveau"/>
    <w:next w:val="ParaNoNdepar-AltN"/>
    <w:uiPriority w:val="4"/>
    <w:qFormat/>
    <w:rsid w:val="00DD44E8"/>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DD44E8"/>
    <w:pPr>
      <w:numPr>
        <w:ilvl w:val="4"/>
      </w:numPr>
      <w:outlineLvl w:val="4"/>
    </w:pPr>
  </w:style>
  <w:style w:type="paragraph" w:styleId="TOC1">
    <w:name w:val="toc 1"/>
    <w:basedOn w:val="Normal"/>
    <w:next w:val="Normal"/>
    <w:autoRedefine/>
    <w:uiPriority w:val="39"/>
    <w:unhideWhenUsed/>
    <w:rsid w:val="00DD44E8"/>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DD44E8"/>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DD44E8"/>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DD44E8"/>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DD44E8"/>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DD44E8"/>
    <w:pPr>
      <w:tabs>
        <w:tab w:val="left" w:pos="2160"/>
        <w:tab w:val="right" w:leader="dot" w:pos="8270"/>
      </w:tabs>
      <w:spacing w:after="100"/>
      <w:ind w:left="1800"/>
    </w:pPr>
    <w:rPr>
      <w:noProof/>
    </w:rPr>
  </w:style>
  <w:style w:type="table" w:customStyle="1" w:styleId="TableGrid1">
    <w:name w:val="Table Grid1"/>
    <w:basedOn w:val="TableNormal"/>
    <w:uiPriority w:val="59"/>
    <w:rsid w:val="00DD44E8"/>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DD44E8"/>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DD44E8"/>
    <w:pPr>
      <w:numPr>
        <w:ilvl w:val="5"/>
      </w:numPr>
      <w:outlineLvl w:val="5"/>
    </w:pPr>
    <w:rPr>
      <w:i/>
      <w:u w:val="none"/>
    </w:rPr>
  </w:style>
  <w:style w:type="paragraph" w:styleId="FootnoteText">
    <w:name w:val="footnote text"/>
    <w:basedOn w:val="Normal"/>
    <w:link w:val="FootnoteTextChar"/>
    <w:uiPriority w:val="99"/>
    <w:unhideWhenUsed/>
    <w:rsid w:val="00DD44E8"/>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DD44E8"/>
  </w:style>
  <w:style w:type="character" w:styleId="FootnoteReference">
    <w:name w:val="footnote reference"/>
    <w:basedOn w:val="DefaultParagraphFont"/>
    <w:uiPriority w:val="99"/>
    <w:semiHidden/>
    <w:unhideWhenUsed/>
    <w:rsid w:val="00DD44E8"/>
    <w:rPr>
      <w:vertAlign w:val="superscript"/>
    </w:rPr>
  </w:style>
  <w:style w:type="paragraph" w:customStyle="1" w:styleId="reasonsnumberedparagraph">
    <w:name w:val="reasonsnumberedparagraph"/>
    <w:basedOn w:val="Normal"/>
    <w:rsid w:val="00DD44E8"/>
    <w:pPr>
      <w:spacing w:before="100" w:beforeAutospacing="1" w:after="100" w:afterAutospacing="1"/>
    </w:pPr>
    <w:rPr>
      <w:szCs w:val="24"/>
      <w:lang w:val="en-US" w:eastAsia="en-US"/>
    </w:rPr>
  </w:style>
  <w:style w:type="paragraph" w:customStyle="1" w:styleId="reasonsquotelevel1">
    <w:name w:val="reasonsquotelevel1"/>
    <w:basedOn w:val="Normal"/>
    <w:rsid w:val="00DD44E8"/>
    <w:pPr>
      <w:spacing w:before="100" w:beforeAutospacing="1" w:after="100" w:afterAutospacing="1"/>
    </w:pPr>
    <w:rPr>
      <w:szCs w:val="24"/>
      <w:lang w:val="en-US" w:eastAsia="en-US"/>
    </w:rPr>
  </w:style>
  <w:style w:type="paragraph" w:customStyle="1" w:styleId="reasonsunnumberedparagraph">
    <w:name w:val="reasonsunnumberedparagraph"/>
    <w:basedOn w:val="Normal"/>
    <w:rsid w:val="00DD44E8"/>
    <w:pPr>
      <w:spacing w:before="100" w:beforeAutospacing="1" w:after="100" w:afterAutospacing="1"/>
    </w:pPr>
    <w:rPr>
      <w:szCs w:val="24"/>
      <w:lang w:val="en-US" w:eastAsia="en-US"/>
    </w:rPr>
  </w:style>
  <w:style w:type="character" w:styleId="Hyperlink">
    <w:name w:val="Hyperlink"/>
    <w:basedOn w:val="DefaultParagraphFont"/>
    <w:uiPriority w:val="99"/>
    <w:unhideWhenUsed/>
    <w:rsid w:val="00DD44E8"/>
    <w:rPr>
      <w:color w:val="0000FF"/>
      <w:u w:val="single"/>
    </w:rPr>
  </w:style>
  <w:style w:type="character" w:customStyle="1" w:styleId="reflex3-alt">
    <w:name w:val="reflex3-alt"/>
    <w:basedOn w:val="DefaultParagraphFont"/>
    <w:rsid w:val="00DD44E8"/>
  </w:style>
  <w:style w:type="character" w:styleId="Emphasis">
    <w:name w:val="Emphasis"/>
    <w:basedOn w:val="DefaultParagraphFont"/>
    <w:uiPriority w:val="20"/>
    <w:qFormat/>
    <w:rsid w:val="00DD44E8"/>
    <w:rPr>
      <w:i/>
      <w:iCs/>
    </w:rPr>
  </w:style>
  <w:style w:type="character" w:styleId="CommentReference">
    <w:name w:val="annotation reference"/>
    <w:basedOn w:val="DefaultParagraphFont"/>
    <w:uiPriority w:val="99"/>
    <w:semiHidden/>
    <w:unhideWhenUsed/>
    <w:rsid w:val="00DD44E8"/>
    <w:rPr>
      <w:sz w:val="16"/>
      <w:szCs w:val="16"/>
    </w:rPr>
  </w:style>
  <w:style w:type="paragraph" w:styleId="CommentText">
    <w:name w:val="annotation text"/>
    <w:basedOn w:val="Normal"/>
    <w:link w:val="CommentTextChar"/>
    <w:uiPriority w:val="99"/>
    <w:unhideWhenUsed/>
    <w:rsid w:val="00DD44E8"/>
    <w:rPr>
      <w:sz w:val="20"/>
      <w:lang w:val="fr-CA"/>
    </w:rPr>
  </w:style>
  <w:style w:type="character" w:customStyle="1" w:styleId="CommentTextChar">
    <w:name w:val="Comment Text Char"/>
    <w:basedOn w:val="DefaultParagraphFont"/>
    <w:link w:val="CommentText"/>
    <w:uiPriority w:val="99"/>
    <w:rsid w:val="00DD44E8"/>
    <w:rPr>
      <w:lang w:val="fr-CA"/>
    </w:rPr>
  </w:style>
  <w:style w:type="paragraph" w:styleId="CommentSubject">
    <w:name w:val="annotation subject"/>
    <w:basedOn w:val="CommentText"/>
    <w:next w:val="CommentText"/>
    <w:link w:val="CommentSubjectChar"/>
    <w:uiPriority w:val="99"/>
    <w:semiHidden/>
    <w:unhideWhenUsed/>
    <w:rsid w:val="00DD44E8"/>
    <w:rPr>
      <w:b/>
      <w:bCs/>
    </w:rPr>
  </w:style>
  <w:style w:type="character" w:customStyle="1" w:styleId="CommentSubjectChar">
    <w:name w:val="Comment Subject Char"/>
    <w:basedOn w:val="CommentTextChar"/>
    <w:link w:val="CommentSubject"/>
    <w:uiPriority w:val="99"/>
    <w:semiHidden/>
    <w:rsid w:val="00DD44E8"/>
    <w:rPr>
      <w:b/>
      <w:bCs/>
      <w:lang w:val="fr-CA"/>
    </w:rPr>
  </w:style>
  <w:style w:type="paragraph" w:customStyle="1" w:styleId="dec10nameofjudge">
    <w:name w:val="dec10nameofjudge"/>
    <w:basedOn w:val="Normal"/>
    <w:rsid w:val="00DD44E8"/>
    <w:pPr>
      <w:spacing w:before="100" w:beforeAutospacing="1" w:after="100" w:afterAutospacing="1"/>
    </w:pPr>
    <w:rPr>
      <w:szCs w:val="24"/>
      <w:lang w:val="fr-CA" w:eastAsia="fr-CA"/>
    </w:rPr>
  </w:style>
  <w:style w:type="character" w:customStyle="1" w:styleId="solexhl">
    <w:name w:val="solexhl"/>
    <w:basedOn w:val="DefaultParagraphFont"/>
    <w:rsid w:val="00DD44E8"/>
  </w:style>
  <w:style w:type="character" w:customStyle="1" w:styleId="label-section">
    <w:name w:val="label-section"/>
    <w:basedOn w:val="DefaultParagraphFont"/>
    <w:rsid w:val="00DD44E8"/>
  </w:style>
  <w:style w:type="character" w:customStyle="1" w:styleId="texte-courant">
    <w:name w:val="texte-courant"/>
    <w:basedOn w:val="DefaultParagraphFont"/>
    <w:rsid w:val="00DD44E8"/>
  </w:style>
  <w:style w:type="paragraph" w:customStyle="1" w:styleId="aparanumbering">
    <w:name w:val="aparanumbering"/>
    <w:basedOn w:val="Normal"/>
    <w:rsid w:val="00DD44E8"/>
    <w:pPr>
      <w:spacing w:before="100" w:beforeAutospacing="1" w:after="100" w:afterAutospacing="1"/>
    </w:pPr>
    <w:rPr>
      <w:szCs w:val="24"/>
      <w:lang w:val="fr-CA" w:eastAsia="fr-CA"/>
    </w:rPr>
  </w:style>
  <w:style w:type="paragraph" w:customStyle="1" w:styleId="cquote">
    <w:name w:val="cquote"/>
    <w:basedOn w:val="Normal"/>
    <w:rsid w:val="00DD44E8"/>
    <w:pPr>
      <w:spacing w:before="100" w:beforeAutospacing="1" w:after="100" w:afterAutospacing="1"/>
    </w:pPr>
    <w:rPr>
      <w:szCs w:val="24"/>
      <w:lang w:val="fr-CA" w:eastAsia="fr-CA"/>
    </w:rPr>
  </w:style>
  <w:style w:type="character" w:customStyle="1" w:styleId="ssbf">
    <w:name w:val="ss_bf"/>
    <w:basedOn w:val="DefaultParagraphFont"/>
    <w:rsid w:val="00DD44E8"/>
  </w:style>
  <w:style w:type="character" w:customStyle="1" w:styleId="reflex">
    <w:name w:val="reflex"/>
    <w:basedOn w:val="DefaultParagraphFont"/>
    <w:rsid w:val="00DD44E8"/>
  </w:style>
  <w:style w:type="character" w:styleId="FollowedHyperlink">
    <w:name w:val="FollowedHyperlink"/>
    <w:basedOn w:val="DefaultParagraphFont"/>
    <w:uiPriority w:val="99"/>
    <w:semiHidden/>
    <w:unhideWhenUsed/>
    <w:rsid w:val="00DD44E8"/>
    <w:rPr>
      <w:color w:val="800080" w:themeColor="followedHyperlink"/>
      <w:u w:val="single"/>
    </w:rPr>
  </w:style>
  <w:style w:type="paragraph" w:styleId="Revision">
    <w:name w:val="Revision"/>
    <w:hidden/>
    <w:uiPriority w:val="99"/>
    <w:semiHidden/>
    <w:rsid w:val="00DD44E8"/>
    <w:rPr>
      <w:sz w:val="24"/>
      <w:szCs w:val="24"/>
    </w:rPr>
  </w:style>
  <w:style w:type="paragraph" w:customStyle="1" w:styleId="ssindentfirstline">
    <w:name w:val="ss_indentfirstline"/>
    <w:basedOn w:val="Normal"/>
    <w:rsid w:val="00DD44E8"/>
    <w:pPr>
      <w:spacing w:before="100" w:beforeAutospacing="1" w:after="100" w:afterAutospacing="1"/>
    </w:pPr>
    <w:rPr>
      <w:szCs w:val="24"/>
      <w:lang w:val="fr-CA" w:eastAsia="fr-CA"/>
    </w:rPr>
  </w:style>
  <w:style w:type="table" w:customStyle="1" w:styleId="TableGrid2">
    <w:name w:val="Table Grid2"/>
    <w:basedOn w:val="TableNormal"/>
    <w:next w:val="TableGrid"/>
    <w:uiPriority w:val="59"/>
    <w:rsid w:val="00DD44E8"/>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CC02B-CB5A-46AC-A856-2BA01955F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14892</Words>
  <Characters>81908</Characters>
  <Application>Microsoft Office Word</Application>
  <DocSecurity>0</DocSecurity>
  <Lines>682</Lines>
  <Paragraphs>193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2021-05-19T12:07:00Z</dcterms:created>
  <dcterms:modified xsi:type="dcterms:W3CDTF">2023-07-24T21:35:00Z</dcterms:modified>
</cp:coreProperties>
</file>