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2"/>
        <w:gridCol w:w="1696"/>
        <w:gridCol w:w="3553"/>
        <w:gridCol w:w="19"/>
      </w:tblGrid>
      <w:tr w:rsidR="00AC50EB" w:rsidRPr="00B6491F" w14:paraId="7A0C2B4A" w14:textId="77777777" w:rsidTr="00F17C6B">
        <w:trPr>
          <w:trHeight w:val="1786"/>
        </w:trPr>
        <w:tc>
          <w:tcPr>
            <w:tcW w:w="5000" w:type="pct"/>
            <w:gridSpan w:val="4"/>
          </w:tcPr>
          <w:p w14:paraId="05DC58D2" w14:textId="77777777" w:rsidR="00AC50EB" w:rsidRPr="00B6491F" w:rsidRDefault="00AC50EB" w:rsidP="00F17C6B">
            <w:pPr>
              <w:jc w:val="center"/>
            </w:pPr>
            <w:r w:rsidRPr="00B6491F">
              <w:rPr>
                <w:rFonts w:eastAsia="Calibri"/>
              </w:rPr>
              <w:object w:dxaOrig="1365" w:dyaOrig="1440" w14:anchorId="54FCE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4.8pt" o:ole="">
                  <v:imagedata r:id="rId6" o:title=""/>
                </v:shape>
                <o:OLEObject Type="Embed" ProgID="Presentations.Drawing.15" ShapeID="_x0000_i1025" DrawAspect="Content" ObjectID="_1760179117" r:id="rId7"/>
              </w:object>
            </w:r>
          </w:p>
          <w:p w14:paraId="71483452" w14:textId="77777777" w:rsidR="00AC50EB" w:rsidRPr="00B6491F" w:rsidRDefault="00AC50EB" w:rsidP="00F17C6B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B6491F">
              <w:rPr>
                <w:rFonts w:eastAsia="Calibri"/>
                <w:b/>
              </w:rPr>
              <w:t>COUR SUPRÊME DU CANADA</w:t>
            </w:r>
          </w:p>
        </w:tc>
      </w:tr>
      <w:tr w:rsidR="00AC50EB" w:rsidRPr="00B6491F" w14:paraId="2600CE8C" w14:textId="77777777" w:rsidTr="00F17C6B">
        <w:trPr>
          <w:gridAfter w:val="1"/>
          <w:wAfter w:w="10" w:type="pct"/>
        </w:trPr>
        <w:tc>
          <w:tcPr>
            <w:tcW w:w="2186" w:type="pct"/>
            <w:tcMar>
              <w:top w:w="284" w:type="dxa"/>
            </w:tcMar>
          </w:tcPr>
          <w:p w14:paraId="3FE5BFAD" w14:textId="14F73E20" w:rsidR="00AC50EB" w:rsidRPr="00B6491F" w:rsidRDefault="00AC50EB" w:rsidP="00F17C6B">
            <w:pPr>
              <w:spacing w:before="100" w:beforeAutospacing="1"/>
              <w:rPr>
                <w:rFonts w:eastAsia="Calibri"/>
              </w:rPr>
            </w:pPr>
            <w:r w:rsidRPr="00B6491F">
              <w:rPr>
                <w:b/>
                <w:smallCaps/>
              </w:rPr>
              <w:t>Référence :</w:t>
            </w:r>
            <w:r w:rsidRPr="00B6491F">
              <w:t xml:space="preserve"> </w:t>
            </w:r>
            <w:r>
              <w:t xml:space="preserve">R. </w:t>
            </w:r>
            <w:r w:rsidRPr="00C16E2D">
              <w:rPr>
                <w:i/>
              </w:rPr>
              <w:t>c</w:t>
            </w:r>
            <w:r>
              <w:t>. Langan, 2020 CSC 33</w:t>
            </w:r>
            <w:r>
              <w:t>, [2020] 3 R.C.S. 499</w:t>
            </w:r>
          </w:p>
        </w:tc>
        <w:tc>
          <w:tcPr>
            <w:tcW w:w="906" w:type="pct"/>
          </w:tcPr>
          <w:p w14:paraId="6BF72B2F" w14:textId="77777777" w:rsidR="00AC50EB" w:rsidRPr="00B6491F" w:rsidRDefault="00AC50EB" w:rsidP="00F17C6B">
            <w:pPr>
              <w:rPr>
                <w:b/>
                <w:smallCaps/>
              </w:rPr>
            </w:pPr>
          </w:p>
        </w:tc>
        <w:tc>
          <w:tcPr>
            <w:tcW w:w="1898" w:type="pct"/>
            <w:tcMar>
              <w:top w:w="284" w:type="dxa"/>
            </w:tcMar>
          </w:tcPr>
          <w:p w14:paraId="04409407" w14:textId="77777777" w:rsidR="00AC50EB" w:rsidRDefault="00AC50EB" w:rsidP="00F17C6B">
            <w:pPr>
              <w:ind w:left="14" w:hanging="14"/>
            </w:pPr>
            <w:r>
              <w:rPr>
                <w:b/>
                <w:smallCaps/>
              </w:rPr>
              <w:t>Appel entendu :</w:t>
            </w:r>
            <w:r w:rsidRPr="001E12E2">
              <w:t xml:space="preserve"> </w:t>
            </w:r>
            <w:r>
              <w:t>5 novembre 2020</w:t>
            </w:r>
          </w:p>
          <w:p w14:paraId="3C7B7E06" w14:textId="77777777" w:rsidR="00AC50EB" w:rsidRPr="00C16E2D" w:rsidRDefault="00AC50EB" w:rsidP="00F17C6B">
            <w:pPr>
              <w:ind w:left="14" w:hanging="14"/>
            </w:pPr>
            <w:r>
              <w:rPr>
                <w:b/>
                <w:smallCaps/>
              </w:rPr>
              <w:t>Jugement rendu </w:t>
            </w:r>
            <w:r>
              <w:t>: 5 novembre 2020</w:t>
            </w:r>
          </w:p>
          <w:p w14:paraId="689E8FD5" w14:textId="77777777" w:rsidR="00AC50EB" w:rsidRPr="00B6491F" w:rsidRDefault="00AC50EB" w:rsidP="00F17C6B">
            <w:pPr>
              <w:rPr>
                <w:rFonts w:eastAsia="Calibri"/>
              </w:rPr>
            </w:pPr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39019</w:t>
            </w: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39"/>
        <w:gridCol w:w="7100"/>
        <w:gridCol w:w="21"/>
      </w:tblGrid>
      <w:tr w:rsidR="00AC50EB" w:rsidRPr="00B6491F" w14:paraId="122753EB" w14:textId="77777777" w:rsidTr="00F17C6B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14:paraId="0800A77B" w14:textId="77777777" w:rsidR="00AC50EB" w:rsidRPr="00DE534C" w:rsidRDefault="00AC50EB" w:rsidP="00F17C6B">
            <w:pPr>
              <w:rPr>
                <w:rFonts w:eastAsiaTheme="minorHAnsi" w:cstheme="minorBidi"/>
                <w:b/>
                <w:smallCaps/>
              </w:rPr>
            </w:pPr>
            <w:r>
              <w:rPr>
                <w:rFonts w:eastAsiaTheme="minorHAnsi" w:cstheme="minorBidi"/>
                <w:b/>
                <w:smallCaps/>
              </w:rPr>
              <w:t>Entre </w:t>
            </w:r>
            <w:r w:rsidRPr="00DE534C">
              <w:rPr>
                <w:rFonts w:eastAsiaTheme="minorHAnsi" w:cstheme="minorBidi"/>
                <w:b/>
                <w:smallCaps/>
              </w:rPr>
              <w:t>:</w:t>
            </w:r>
          </w:p>
          <w:p w14:paraId="1C25CC43" w14:textId="77777777" w:rsidR="00AC50EB" w:rsidRPr="00DE534C" w:rsidRDefault="00AC50EB" w:rsidP="00F17C6B">
            <w:pPr>
              <w:rPr>
                <w:rFonts w:eastAsiaTheme="minorHAnsi" w:cstheme="minorBidi"/>
              </w:rPr>
            </w:pPr>
          </w:p>
          <w:p w14:paraId="7119F11E" w14:textId="77777777" w:rsidR="00AC50EB" w:rsidRDefault="00AC50EB" w:rsidP="00F17C6B">
            <w:pPr>
              <w:pStyle w:val="SCCLsocParty"/>
            </w:pPr>
            <w:r>
              <w:t>Sa Majesté la Reine</w:t>
            </w:r>
          </w:p>
          <w:p w14:paraId="0B43F061" w14:textId="77777777" w:rsidR="00AC50EB" w:rsidRDefault="00AC50EB" w:rsidP="00F17C6B">
            <w:pPr>
              <w:pStyle w:val="SCCLsocPartyRole"/>
            </w:pPr>
            <w:r>
              <w:t>Appelante</w:t>
            </w:r>
          </w:p>
          <w:p w14:paraId="4869830B" w14:textId="77777777" w:rsidR="00AC50EB" w:rsidRPr="00D7194C" w:rsidRDefault="00AC50EB" w:rsidP="00F17C6B">
            <w:pPr>
              <w:jc w:val="center"/>
            </w:pPr>
          </w:p>
          <w:p w14:paraId="12D5139E" w14:textId="77777777" w:rsidR="00AC50EB" w:rsidRDefault="00AC50EB" w:rsidP="00F17C6B">
            <w:pPr>
              <w:pStyle w:val="SCCLsocVersus"/>
            </w:pPr>
            <w:r>
              <w:t>et</w:t>
            </w:r>
          </w:p>
          <w:p w14:paraId="135E46FA" w14:textId="77777777" w:rsidR="00AC50EB" w:rsidRPr="00D7194C" w:rsidRDefault="00AC50EB" w:rsidP="00F17C6B">
            <w:pPr>
              <w:pStyle w:val="SCCLsocParty"/>
              <w:rPr>
                <w:b w:val="0"/>
              </w:rPr>
            </w:pPr>
          </w:p>
          <w:p w14:paraId="22D5AF9A" w14:textId="77777777" w:rsidR="00AC50EB" w:rsidRDefault="00AC50EB" w:rsidP="00F17C6B">
            <w:pPr>
              <w:pStyle w:val="SCCLsocParty"/>
            </w:pPr>
            <w:r>
              <w:t>David Roy Langan</w:t>
            </w:r>
          </w:p>
          <w:p w14:paraId="7ABE650F" w14:textId="77777777" w:rsidR="00AC50EB" w:rsidRDefault="00AC50EB" w:rsidP="00F17C6B">
            <w:pPr>
              <w:pStyle w:val="SCCLsocPartyRole"/>
            </w:pPr>
            <w:r>
              <w:t>Intimé</w:t>
            </w:r>
          </w:p>
          <w:p w14:paraId="7537E08A" w14:textId="77777777" w:rsidR="00AC50EB" w:rsidRPr="005645AF" w:rsidRDefault="00AC50EB" w:rsidP="00F17C6B"/>
          <w:p w14:paraId="7BAE0424" w14:textId="77777777" w:rsidR="00AC50EB" w:rsidRDefault="00AC50EB" w:rsidP="00F17C6B">
            <w:pPr>
              <w:pStyle w:val="SCCLsocOtherPartySeparator"/>
            </w:pPr>
            <w:r>
              <w:t>- et -</w:t>
            </w:r>
          </w:p>
          <w:p w14:paraId="5DE1DC93" w14:textId="77777777" w:rsidR="00AC50EB" w:rsidRPr="00D7194C" w:rsidRDefault="00AC50EB" w:rsidP="00F17C6B">
            <w:pPr>
              <w:pStyle w:val="SCCLsocParty"/>
              <w:rPr>
                <w:b w:val="0"/>
              </w:rPr>
            </w:pPr>
          </w:p>
          <w:p w14:paraId="3CD7EB37" w14:textId="77777777" w:rsidR="00AC50EB" w:rsidRDefault="00AC50EB" w:rsidP="00F17C6B">
            <w:pPr>
              <w:pStyle w:val="SCCLsocParty"/>
            </w:pPr>
            <w:r>
              <w:t>Procureur général de l’Ontario, Criminal Lawyers’ Association (Ontario), Independent Criminal Defence Advocacy Society et Association canadienne pour l’égalité</w:t>
            </w:r>
          </w:p>
          <w:p w14:paraId="42676177" w14:textId="77777777" w:rsidR="00AC50EB" w:rsidRDefault="00AC50EB" w:rsidP="00F17C6B">
            <w:pPr>
              <w:pStyle w:val="SCCLsocPartyRole"/>
            </w:pPr>
            <w:r>
              <w:t>Intervenants</w:t>
            </w:r>
          </w:p>
          <w:p w14:paraId="1312ECD2" w14:textId="77777777" w:rsidR="00AC50EB" w:rsidRPr="00D33C4B" w:rsidRDefault="00AC50EB" w:rsidP="00F17C6B">
            <w:pPr>
              <w:rPr>
                <w:rFonts w:eastAsiaTheme="minorHAnsi" w:cstheme="minorBidi"/>
              </w:rPr>
            </w:pPr>
          </w:p>
          <w:p w14:paraId="5813FEEB" w14:textId="77777777" w:rsidR="00AC50EB" w:rsidRPr="00B6491F" w:rsidRDefault="00AC50EB" w:rsidP="00F17C6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Traduction française o</w:t>
            </w:r>
            <w:r w:rsidRPr="001E12E2">
              <w:rPr>
                <w:b/>
                <w:smallCaps/>
              </w:rPr>
              <w:t>ffici</w:t>
            </w:r>
            <w:r>
              <w:rPr>
                <w:b/>
                <w:smallCaps/>
              </w:rPr>
              <w:t>elle</w:t>
            </w:r>
          </w:p>
        </w:tc>
      </w:tr>
      <w:tr w:rsidR="00AC50EB" w:rsidRPr="00B6491F" w14:paraId="457856BC" w14:textId="77777777" w:rsidTr="00F17C6B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14:paraId="09CB09FC" w14:textId="77777777" w:rsidR="00AC50EB" w:rsidRPr="00B6491F" w:rsidRDefault="00AC50EB" w:rsidP="00F17C6B">
            <w:r w:rsidRPr="00B6491F">
              <w:rPr>
                <w:b/>
                <w:smallCaps/>
              </w:rPr>
              <w:t>Coram :</w:t>
            </w:r>
            <w:r w:rsidRPr="00B6491F">
              <w:t xml:space="preserve"> </w:t>
            </w:r>
            <w:r>
              <w:t>Les juges Abella, Côté, Brown, Martin et Kasirer</w:t>
            </w:r>
          </w:p>
          <w:p w14:paraId="4D4AB115" w14:textId="77777777" w:rsidR="00AC50EB" w:rsidRPr="00B6491F" w:rsidRDefault="00AC50EB" w:rsidP="00F17C6B"/>
        </w:tc>
      </w:tr>
      <w:tr w:rsidR="00AC50EB" w:rsidRPr="00744F09" w14:paraId="362CAE48" w14:textId="77777777" w:rsidTr="00F17C6B">
        <w:trPr>
          <w:gridAfter w:val="1"/>
          <w:wAfter w:w="11" w:type="pct"/>
          <w:cantSplit/>
        </w:trPr>
        <w:tc>
          <w:tcPr>
            <w:tcW w:w="1196" w:type="pct"/>
            <w:tcMar>
              <w:top w:w="284" w:type="dxa"/>
              <w:bottom w:w="57" w:type="dxa"/>
            </w:tcMar>
            <w:vAlign w:val="center"/>
          </w:tcPr>
          <w:p w14:paraId="34A4378D" w14:textId="77777777" w:rsidR="00AC50EB" w:rsidRPr="00982D32" w:rsidRDefault="00AC50EB" w:rsidP="00F17C6B">
            <w:pPr>
              <w:rPr>
                <w:b/>
                <w:smallCaps/>
              </w:rPr>
            </w:pPr>
            <w:r w:rsidRPr="00982D32">
              <w:rPr>
                <w:b/>
                <w:smallCaps/>
              </w:rPr>
              <w:t xml:space="preserve">Jugement lu par : </w:t>
            </w:r>
          </w:p>
          <w:p w14:paraId="1AF3DA1E" w14:textId="77777777" w:rsidR="00AC50EB" w:rsidRPr="00982D32" w:rsidRDefault="00AC50EB" w:rsidP="00F17C6B">
            <w:pPr>
              <w:rPr>
                <w:b/>
                <w:smallCaps/>
              </w:rPr>
            </w:pPr>
            <w:r w:rsidRPr="00982D32">
              <w:t>(par. 1)</w:t>
            </w:r>
          </w:p>
        </w:tc>
        <w:tc>
          <w:tcPr>
            <w:tcW w:w="3793" w:type="pct"/>
            <w:tcMar>
              <w:top w:w="284" w:type="dxa"/>
            </w:tcMar>
            <w:vAlign w:val="center"/>
          </w:tcPr>
          <w:p w14:paraId="180365BA" w14:textId="77777777" w:rsidR="00AC50EB" w:rsidRPr="00262E3D" w:rsidRDefault="00AC50EB" w:rsidP="00F17C6B">
            <w:r>
              <w:t>La juge Abella</w:t>
            </w:r>
          </w:p>
          <w:p w14:paraId="55624638" w14:textId="77777777" w:rsidR="00AC50EB" w:rsidRPr="007B3D74" w:rsidRDefault="00AC50EB" w:rsidP="00F17C6B">
            <w:pPr>
              <w:rPr>
                <w:b/>
                <w:smallCaps/>
              </w:rPr>
            </w:pPr>
          </w:p>
        </w:tc>
      </w:tr>
      <w:tr w:rsidR="00AC50EB" w:rsidRPr="00202C25" w14:paraId="46A71645" w14:textId="77777777" w:rsidTr="00F17C6B">
        <w:trPr>
          <w:gridAfter w:val="1"/>
          <w:wAfter w:w="11" w:type="pct"/>
          <w:cantSplit/>
        </w:trPr>
        <w:tc>
          <w:tcPr>
            <w:tcW w:w="1196" w:type="pct"/>
            <w:tcMar>
              <w:top w:w="284" w:type="dxa"/>
              <w:bottom w:w="57" w:type="dxa"/>
            </w:tcMar>
            <w:vAlign w:val="center"/>
          </w:tcPr>
          <w:p w14:paraId="6B26D51F" w14:textId="77777777" w:rsidR="00AC50EB" w:rsidRPr="007B3D74" w:rsidRDefault="00AC50EB" w:rsidP="00F17C6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Majorité :</w:t>
            </w:r>
          </w:p>
        </w:tc>
        <w:tc>
          <w:tcPr>
            <w:tcW w:w="3793" w:type="pct"/>
            <w:tcMar>
              <w:top w:w="284" w:type="dxa"/>
            </w:tcMar>
            <w:vAlign w:val="center"/>
          </w:tcPr>
          <w:p w14:paraId="4BCB05B7" w14:textId="77777777" w:rsidR="00AC50EB" w:rsidRDefault="00AC50EB" w:rsidP="00F17C6B">
            <w:r w:rsidRPr="00262E3D">
              <w:t xml:space="preserve">Les juges Abella, </w:t>
            </w:r>
            <w:r>
              <w:t>Martin et Kasirer</w:t>
            </w:r>
          </w:p>
        </w:tc>
      </w:tr>
      <w:tr w:rsidR="00AC50EB" w:rsidRPr="00202C25" w14:paraId="24125D5D" w14:textId="77777777" w:rsidTr="00F17C6B">
        <w:trPr>
          <w:gridAfter w:val="1"/>
          <w:wAfter w:w="11" w:type="pct"/>
          <w:cantSplit/>
        </w:trPr>
        <w:tc>
          <w:tcPr>
            <w:tcW w:w="1196" w:type="pct"/>
            <w:tcMar>
              <w:top w:w="284" w:type="dxa"/>
              <w:bottom w:w="57" w:type="dxa"/>
            </w:tcMar>
            <w:vAlign w:val="center"/>
          </w:tcPr>
          <w:p w14:paraId="130E3846" w14:textId="77777777" w:rsidR="00AC50EB" w:rsidRDefault="00AC50EB" w:rsidP="00F17C6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Dissidence :</w:t>
            </w:r>
          </w:p>
        </w:tc>
        <w:tc>
          <w:tcPr>
            <w:tcW w:w="3793" w:type="pct"/>
            <w:tcMar>
              <w:top w:w="284" w:type="dxa"/>
            </w:tcMar>
            <w:vAlign w:val="center"/>
          </w:tcPr>
          <w:p w14:paraId="23919BCA" w14:textId="77777777" w:rsidR="00AC50EB" w:rsidRDefault="00AC50EB" w:rsidP="00F17C6B">
            <w:r w:rsidRPr="00262E3D">
              <w:t xml:space="preserve">Les juges </w:t>
            </w:r>
            <w:r>
              <w:t>Côté</w:t>
            </w:r>
            <w:r w:rsidRPr="00262E3D">
              <w:t xml:space="preserve"> </w:t>
            </w:r>
            <w:r>
              <w:t>et Brown</w:t>
            </w:r>
          </w:p>
        </w:tc>
      </w:tr>
    </w:tbl>
    <w:p w14:paraId="31511B3B" w14:textId="6C170F4A" w:rsidR="00AC50EB" w:rsidRPr="00B6491F" w:rsidRDefault="00AC50EB" w:rsidP="00AC50E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AC50EB" w:rsidRPr="00B6491F" w14:paraId="2D8E3910" w14:textId="77777777" w:rsidTr="00F17C6B">
        <w:tc>
          <w:tcPr>
            <w:tcW w:w="1500" w:type="pct"/>
            <w:tcMar>
              <w:top w:w="284" w:type="dxa"/>
            </w:tcMar>
          </w:tcPr>
          <w:p w14:paraId="0F8E6D18" w14:textId="77777777" w:rsidR="00AC50EB" w:rsidRPr="00B6491F" w:rsidRDefault="00AC50EB" w:rsidP="00F17C6B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14:paraId="65FBF035" w14:textId="77777777" w:rsidR="00AC50EB" w:rsidRPr="00B6491F" w:rsidRDefault="00AC50EB" w:rsidP="00F17C6B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14:paraId="0D3B0DD4" w14:textId="77777777" w:rsidR="00AC50EB" w:rsidRPr="00B6491F" w:rsidRDefault="00AC50EB" w:rsidP="00F17C6B">
            <w:pPr>
              <w:rPr>
                <w:rFonts w:eastAsia="Calibri"/>
              </w:rPr>
            </w:pPr>
          </w:p>
        </w:tc>
      </w:tr>
    </w:tbl>
    <w:p w14:paraId="4901C2E3" w14:textId="77777777" w:rsidR="00AC50EB" w:rsidRDefault="00AC50EB">
      <w:pPr>
        <w:rPr>
          <w:rFonts w:eastAsia="Times New Roman" w:cs="Times New Roman"/>
          <w:b/>
          <w:szCs w:val="20"/>
          <w:lang w:eastAsia="en-CA"/>
        </w:rPr>
      </w:pPr>
      <w:r>
        <w:rPr>
          <w:rFonts w:eastAsia="Times New Roman" w:cs="Times New Roman"/>
          <w:b/>
          <w:szCs w:val="20"/>
          <w:lang w:eastAsia="en-CA"/>
        </w:rPr>
        <w:br w:type="page"/>
      </w:r>
    </w:p>
    <w:p w14:paraId="5B9B17A6" w14:textId="368936A2" w:rsidR="00175600" w:rsidRPr="00175600" w:rsidRDefault="00175600" w:rsidP="00175600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175600">
        <w:rPr>
          <w:rFonts w:eastAsia="Times New Roman" w:cs="Times New Roman"/>
          <w:b/>
          <w:szCs w:val="20"/>
          <w:lang w:eastAsia="en-CA"/>
        </w:rPr>
        <w:lastRenderedPageBreak/>
        <w:t>Sa Majesté la Reine</w:t>
      </w:r>
      <w:r w:rsidRPr="00175600">
        <w:rPr>
          <w:rFonts w:eastAsia="Times New Roman" w:cs="Times New Roman"/>
          <w:i/>
          <w:szCs w:val="20"/>
          <w:lang w:eastAsia="en-CA"/>
        </w:rPr>
        <w:tab/>
        <w:t>Appelante</w:t>
      </w:r>
    </w:p>
    <w:p w14:paraId="67E71EBB" w14:textId="77777777" w:rsidR="00175600" w:rsidRPr="00175600" w:rsidRDefault="00175600" w:rsidP="00175600">
      <w:pPr>
        <w:spacing w:after="720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>c.</w:t>
      </w:r>
    </w:p>
    <w:p w14:paraId="2892ED90" w14:textId="77777777" w:rsidR="00175600" w:rsidRPr="00175600" w:rsidRDefault="00175600" w:rsidP="00175600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175600">
        <w:rPr>
          <w:rFonts w:eastAsia="Times New Roman" w:cs="Times New Roman"/>
          <w:b/>
          <w:szCs w:val="20"/>
          <w:lang w:eastAsia="en-CA"/>
        </w:rPr>
        <w:t>David Roy Langan</w:t>
      </w:r>
      <w:r w:rsidRPr="00175600">
        <w:rPr>
          <w:rFonts w:eastAsia="Times New Roman" w:cs="Times New Roman"/>
          <w:i/>
          <w:szCs w:val="20"/>
          <w:lang w:eastAsia="en-CA"/>
        </w:rPr>
        <w:tab/>
        <w:t>Intimé</w:t>
      </w:r>
    </w:p>
    <w:p w14:paraId="27B069EE" w14:textId="77777777" w:rsidR="00175600" w:rsidRPr="00175600" w:rsidRDefault="00175600" w:rsidP="00175600">
      <w:pPr>
        <w:spacing w:after="720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>et</w:t>
      </w:r>
    </w:p>
    <w:p w14:paraId="35DCA747" w14:textId="77777777" w:rsidR="00175600" w:rsidRPr="00175600" w:rsidRDefault="00175600" w:rsidP="00175600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r w:rsidRPr="00175600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Procureur général de l’Ontario, </w:t>
      </w:r>
    </w:p>
    <w:p w14:paraId="6D0A2422" w14:textId="77777777" w:rsidR="00175600" w:rsidRPr="00175600" w:rsidRDefault="00175600" w:rsidP="00175600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r w:rsidRPr="00175600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Criminal Lawyers’ Association (Ontario), </w:t>
      </w:r>
    </w:p>
    <w:p w14:paraId="39192849" w14:textId="77777777" w:rsidR="00175600" w:rsidRPr="00175600" w:rsidRDefault="00175600" w:rsidP="00175600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val="en-US" w:eastAsia="en-CA"/>
        </w:rPr>
      </w:pPr>
      <w:r w:rsidRPr="00175600">
        <w:rPr>
          <w:rFonts w:eastAsia="Times New Roman" w:cs="Times New Roman"/>
          <w:b/>
          <w:bCs/>
          <w:color w:val="000000"/>
          <w:szCs w:val="20"/>
          <w:lang w:val="en-US" w:eastAsia="en-CA"/>
        </w:rPr>
        <w:t xml:space="preserve">Independent Criminal Defence Advocacy Society et </w:t>
      </w:r>
    </w:p>
    <w:p w14:paraId="152B3CC8" w14:textId="77777777" w:rsidR="00175600" w:rsidRPr="00175600" w:rsidRDefault="00175600" w:rsidP="00175600">
      <w:pPr>
        <w:tabs>
          <w:tab w:val="right" w:pos="8222"/>
        </w:tabs>
        <w:rPr>
          <w:rFonts w:eastAsia="Times New Roman" w:cs="Times New Roman"/>
          <w:b/>
          <w:szCs w:val="20"/>
          <w:lang w:eastAsia="en-CA"/>
        </w:rPr>
      </w:pPr>
      <w:r w:rsidRPr="00175600">
        <w:rPr>
          <w:rFonts w:eastAsia="Times New Roman" w:cs="Times New Roman"/>
          <w:b/>
          <w:bCs/>
          <w:color w:val="000000"/>
          <w:szCs w:val="20"/>
          <w:lang w:eastAsia="en-CA"/>
        </w:rPr>
        <w:t>Association canadienne pour l’égalité</w:t>
      </w:r>
      <w:r w:rsidRPr="00175600">
        <w:rPr>
          <w:rFonts w:eastAsia="Times New Roman" w:cs="Times New Roman"/>
          <w:i/>
          <w:szCs w:val="20"/>
          <w:lang w:eastAsia="en-CA"/>
        </w:rPr>
        <w:tab/>
        <w:t>Intervenants</w:t>
      </w:r>
    </w:p>
    <w:p w14:paraId="36C78A57" w14:textId="77777777" w:rsidR="00175600" w:rsidRPr="00175600" w:rsidRDefault="00175600" w:rsidP="00175600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</w:p>
    <w:p w14:paraId="20130299" w14:textId="77777777" w:rsidR="00175600" w:rsidRPr="00175600" w:rsidRDefault="00175600" w:rsidP="00175600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b/>
          <w:szCs w:val="20"/>
          <w:lang w:eastAsia="en-CA"/>
        </w:rPr>
        <w:t xml:space="preserve">Répertorié : R. </w:t>
      </w:r>
      <w:r w:rsidRPr="00175600">
        <w:rPr>
          <w:rFonts w:eastAsia="Times New Roman" w:cs="Times New Roman"/>
          <w:b/>
          <w:i/>
          <w:szCs w:val="20"/>
          <w:lang w:eastAsia="en-CA"/>
        </w:rPr>
        <w:t>c.</w:t>
      </w:r>
      <w:r w:rsidRPr="00175600">
        <w:rPr>
          <w:rFonts w:eastAsia="Times New Roman" w:cs="Times New Roman"/>
          <w:b/>
          <w:szCs w:val="20"/>
          <w:lang w:eastAsia="en-CA"/>
        </w:rPr>
        <w:t xml:space="preserve"> Langan</w:t>
      </w:r>
    </w:p>
    <w:p w14:paraId="14577D01" w14:textId="77777777" w:rsidR="00175600" w:rsidRPr="00175600" w:rsidRDefault="00175600" w:rsidP="00175600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175600">
        <w:rPr>
          <w:rFonts w:eastAsia="Times New Roman" w:cs="Times New Roman"/>
          <w:b/>
          <w:szCs w:val="20"/>
          <w:lang w:eastAsia="en-CA"/>
        </w:rPr>
        <w:t>2020 CSC 33</w:t>
      </w:r>
    </w:p>
    <w:p w14:paraId="7B634588" w14:textId="77777777" w:rsidR="00175600" w:rsidRPr="00175600" w:rsidRDefault="00175600" w:rsidP="00175600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>N</w:t>
      </w:r>
      <w:r w:rsidRPr="00175600">
        <w:rPr>
          <w:rFonts w:eastAsia="Times New Roman" w:cs="Times New Roman"/>
          <w:szCs w:val="20"/>
          <w:vertAlign w:val="superscript"/>
          <w:lang w:eastAsia="en-CA"/>
        </w:rPr>
        <w:t>o</w:t>
      </w:r>
      <w:r w:rsidRPr="00175600">
        <w:rPr>
          <w:rFonts w:eastAsia="Times New Roman" w:cs="Times New Roman"/>
          <w:szCs w:val="20"/>
          <w:lang w:eastAsia="en-CA"/>
        </w:rPr>
        <w:t xml:space="preserve"> du greffe : 39019.</w:t>
      </w:r>
    </w:p>
    <w:p w14:paraId="2A6F7F20" w14:textId="77777777" w:rsidR="00175600" w:rsidRPr="00175600" w:rsidRDefault="00175600" w:rsidP="00175600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>2020 : 5 novembre.</w:t>
      </w:r>
    </w:p>
    <w:p w14:paraId="126CA6E6" w14:textId="77777777" w:rsidR="00175600" w:rsidRPr="00175600" w:rsidRDefault="00175600" w:rsidP="00175600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>Présents : Les juges Abella, Côté, Brown, Martin et Kasirer.</w:t>
      </w:r>
    </w:p>
    <w:p w14:paraId="6D4B88D6" w14:textId="77777777" w:rsidR="00175600" w:rsidRPr="00175600" w:rsidRDefault="00175600" w:rsidP="00175600">
      <w:pPr>
        <w:tabs>
          <w:tab w:val="left" w:pos="1168"/>
        </w:tabs>
        <w:spacing w:after="720"/>
        <w:jc w:val="both"/>
        <w:rPr>
          <w:rFonts w:eastAsia="Times New Roman" w:cs="Times New Roman"/>
          <w:smallCaps/>
          <w:szCs w:val="20"/>
          <w:lang w:eastAsia="en-CA"/>
        </w:rPr>
      </w:pPr>
      <w:r w:rsidRPr="00175600">
        <w:rPr>
          <w:rFonts w:eastAsia="Times New Roman" w:cs="Times New Roman"/>
          <w:smallCaps/>
          <w:szCs w:val="20"/>
          <w:lang w:eastAsia="en-CA"/>
        </w:rPr>
        <w:t>en appel de la cour d’appel de la colombie-britannique</w:t>
      </w:r>
    </w:p>
    <w:p w14:paraId="05CD7E4B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ab/>
      </w:r>
      <w:r w:rsidRPr="00175600">
        <w:rPr>
          <w:rFonts w:eastAsia="Times New Roman" w:cs="Times New Roman"/>
          <w:i/>
          <w:szCs w:val="20"/>
          <w:lang w:eastAsia="en-CA"/>
        </w:rPr>
        <w:t xml:space="preserve">Droit criminel — Preuve — Admissibilité </w:t>
      </w:r>
      <w:r w:rsidRPr="00175600">
        <w:rPr>
          <w:rFonts w:eastAsia="Times New Roman" w:cs="Times New Roman"/>
          <w:szCs w:val="20"/>
          <w:lang w:eastAsia="en-CA"/>
        </w:rPr>
        <w:t xml:space="preserve">— </w:t>
      </w:r>
      <w:r w:rsidRPr="00175600">
        <w:rPr>
          <w:rFonts w:eastAsia="Times New Roman" w:cs="Times New Roman"/>
          <w:i/>
          <w:szCs w:val="20"/>
          <w:lang w:eastAsia="en-CA"/>
        </w:rPr>
        <w:t>Appréciation</w:t>
      </w:r>
      <w:r w:rsidRPr="00175600">
        <w:rPr>
          <w:rFonts w:eastAsia="Times New Roman" w:cs="Times New Roman"/>
          <w:szCs w:val="20"/>
          <w:lang w:eastAsia="en-CA"/>
        </w:rPr>
        <w:t xml:space="preserve"> — </w:t>
      </w:r>
      <w:r w:rsidRPr="00175600">
        <w:rPr>
          <w:rFonts w:eastAsia="Times New Roman" w:cs="Times New Roman"/>
          <w:i/>
          <w:szCs w:val="20"/>
          <w:lang w:eastAsia="en-CA"/>
        </w:rPr>
        <w:t xml:space="preserve">Déclarations antérieures compatibles — Messages textes échangés par la plaignante et l’accusé avant et après </w:t>
      </w:r>
      <w:r w:rsidRPr="00175600">
        <w:rPr>
          <w:rFonts w:eastAsia="Times New Roman" w:cs="Times New Roman"/>
          <w:i/>
          <w:szCs w:val="20"/>
          <w:lang w:eastAsia="en-CA"/>
        </w:rPr>
        <w:lastRenderedPageBreak/>
        <w:t xml:space="preserve">l’infraction reprochée admis en preuve lors du procès de l’accusé pour agression sexuelle — Accusé déclaré coupable — Arrêt majoritaire de la Cour d’appel portant que le juge du procès a commis une erreur en utilisant les messages textes en tant que déclarations antérieures compatibles afin de corroborer le témoignage de la plaignante, en omettant de tenir un voir-dire pour déterminer la pertinence des messages textes, et dans son approche relative à l’analyse énoncée dans l’arrêt W.(D.) — Juges majoritaires annulant la déclaration de culpabilité et ordonnant un nouveau procès — Juge dissident concluant que les motifs du juge du procès ne comportaient aucune erreur de droit — Déclaration de culpabilité rétablie. </w:t>
      </w:r>
    </w:p>
    <w:p w14:paraId="3772C329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48B5D369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ab/>
        <w:t>POURVOI contre un arrêt de la Cour d’appel de la Colombie-Britannique (le juge en chef Bauman et les juges MacKenzie et Stromberg-Stein), 2019 BCCA 467, 383 C.C.C. (3d) 516, 452 D.L.R. (4th) 178, [2019] B.C.J. No. 2450 (QL), 2019 CarswellBC 3744 (WL Can.), qui a annulé la déclaration de culpabilité pour agression sexuelle prononcée contre l’accusé et ordonné la tenue d’un nouveau procès. Pourvoi accueilli, les juges Côté et Brown sont dissidents.</w:t>
      </w:r>
    </w:p>
    <w:p w14:paraId="027C42FB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742256DF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ab/>
      </w:r>
      <w:r w:rsidRPr="00175600">
        <w:rPr>
          <w:rFonts w:eastAsia="Times New Roman" w:cs="Times New Roman"/>
          <w:i/>
          <w:iCs/>
          <w:color w:val="000000"/>
          <w:szCs w:val="20"/>
          <w:lang w:eastAsia="en-CA"/>
        </w:rPr>
        <w:t>C. Geoff Baragar</w:t>
      </w:r>
      <w:r w:rsidRPr="00175600">
        <w:rPr>
          <w:rFonts w:eastAsia="Times New Roman" w:cs="Times New Roman"/>
          <w:color w:val="000000"/>
          <w:szCs w:val="20"/>
          <w:lang w:eastAsia="en-CA"/>
        </w:rPr>
        <w:t>,</w:t>
      </w:r>
      <w:r w:rsidRPr="00175600">
        <w:rPr>
          <w:rFonts w:eastAsia="Times New Roman" w:cs="Times New Roman"/>
          <w:i/>
          <w:iCs/>
        </w:rPr>
        <w:t> c.r.</w:t>
      </w:r>
      <w:r w:rsidRPr="00175600">
        <w:rPr>
          <w:rFonts w:eastAsia="Times New Roman" w:cs="Times New Roman"/>
          <w:color w:val="000000"/>
          <w:szCs w:val="20"/>
          <w:lang w:eastAsia="en-CA"/>
        </w:rPr>
        <w:t>, et </w:t>
      </w:r>
      <w:r w:rsidRPr="00175600">
        <w:rPr>
          <w:rFonts w:eastAsia="Times New Roman" w:cs="Times New Roman"/>
          <w:i/>
          <w:iCs/>
        </w:rPr>
        <w:t>Lauren A. Chu</w:t>
      </w:r>
      <w:r w:rsidRPr="00175600">
        <w:rPr>
          <w:rFonts w:eastAsia="Times New Roman" w:cs="Times New Roman"/>
          <w:szCs w:val="20"/>
          <w:lang w:eastAsia="en-CA"/>
        </w:rPr>
        <w:t>, pour l’appelante.</w:t>
      </w:r>
    </w:p>
    <w:p w14:paraId="646B91FD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0DCC73C0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</w:r>
      <w:r w:rsidRPr="00175600">
        <w:rPr>
          <w:rFonts w:eastAsia="Times New Roman" w:cs="Times New Roman"/>
          <w:i/>
          <w:iCs/>
          <w:color w:val="000000"/>
          <w:szCs w:val="20"/>
          <w:lang w:eastAsia="en-CA"/>
        </w:rPr>
        <w:t>Jerry Steele </w:t>
      </w:r>
      <w:r w:rsidRPr="00175600">
        <w:rPr>
          <w:rFonts w:eastAsia="Times New Roman" w:cs="Times New Roman"/>
          <w:color w:val="000000"/>
          <w:szCs w:val="20"/>
          <w:lang w:eastAsia="en-CA"/>
        </w:rPr>
        <w:t>et </w:t>
      </w:r>
      <w:r w:rsidRPr="00175600">
        <w:rPr>
          <w:rFonts w:eastAsia="Times New Roman" w:cs="Times New Roman"/>
          <w:i/>
          <w:iCs/>
        </w:rPr>
        <w:t>Elliot Holzman</w:t>
      </w:r>
      <w:r w:rsidRPr="00175600">
        <w:rPr>
          <w:rFonts w:eastAsia="Times New Roman" w:cs="Times New Roman"/>
          <w:szCs w:val="20"/>
          <w:lang w:eastAsia="en-CA"/>
        </w:rPr>
        <w:t>, pour l’intimé.</w:t>
      </w:r>
    </w:p>
    <w:p w14:paraId="7781423F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34D75F40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</w:r>
      <w:r w:rsidRPr="00175600">
        <w:rPr>
          <w:rFonts w:eastAsia="Times New Roman" w:cs="Times New Roman"/>
          <w:i/>
          <w:iCs/>
          <w:color w:val="000000"/>
          <w:szCs w:val="20"/>
          <w:lang w:eastAsia="en-CA"/>
        </w:rPr>
        <w:t>Christine Bartlett-Hugues</w:t>
      </w:r>
      <w:r w:rsidRPr="00175600">
        <w:rPr>
          <w:rFonts w:eastAsia="Times New Roman" w:cs="Times New Roman"/>
          <w:szCs w:val="20"/>
          <w:lang w:eastAsia="en-CA"/>
        </w:rPr>
        <w:t>, pour l’intervenant le procureur général de l’Ontario.</w:t>
      </w:r>
    </w:p>
    <w:p w14:paraId="456DF789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26BE2215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</w:r>
      <w:r w:rsidRPr="00175600">
        <w:rPr>
          <w:rFonts w:eastAsia="Times New Roman" w:cs="Times New Roman"/>
          <w:i/>
          <w:iCs/>
          <w:color w:val="000000"/>
          <w:szCs w:val="20"/>
          <w:lang w:eastAsia="en-CA"/>
        </w:rPr>
        <w:t>Adam Weisberg</w:t>
      </w:r>
      <w:r w:rsidRPr="00175600">
        <w:rPr>
          <w:rFonts w:eastAsia="Times New Roman" w:cs="Times New Roman"/>
          <w:szCs w:val="20"/>
          <w:lang w:eastAsia="en-CA"/>
        </w:rPr>
        <w:t xml:space="preserve">, pour l’intervenante </w:t>
      </w:r>
      <w:r w:rsidRPr="00175600">
        <w:rPr>
          <w:rFonts w:eastAsia="Times New Roman" w:cs="Times New Roman"/>
          <w:color w:val="000000"/>
          <w:szCs w:val="20"/>
          <w:lang w:eastAsia="en-CA"/>
        </w:rPr>
        <w:t>Criminal Lawyers’ Association (Ontario)</w:t>
      </w:r>
      <w:r w:rsidRPr="00175600">
        <w:rPr>
          <w:rFonts w:eastAsia="Times New Roman" w:cs="Times New Roman"/>
          <w:szCs w:val="20"/>
          <w:lang w:eastAsia="en-CA"/>
        </w:rPr>
        <w:t>.</w:t>
      </w:r>
    </w:p>
    <w:p w14:paraId="672E34E7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72B06160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lastRenderedPageBreak/>
        <w:tab/>
      </w:r>
      <w:r w:rsidRPr="00175600">
        <w:rPr>
          <w:rFonts w:eastAsia="Times New Roman" w:cs="Times New Roman"/>
          <w:i/>
          <w:iCs/>
          <w:color w:val="000000"/>
          <w:szCs w:val="20"/>
          <w:lang w:eastAsia="en-CA"/>
        </w:rPr>
        <w:t>Eric Purtzki</w:t>
      </w:r>
      <w:r w:rsidRPr="00175600">
        <w:rPr>
          <w:rFonts w:eastAsia="Times New Roman" w:cs="Times New Roman"/>
          <w:szCs w:val="20"/>
          <w:lang w:eastAsia="en-CA"/>
        </w:rPr>
        <w:t xml:space="preserve">, pour l’intervenante </w:t>
      </w:r>
      <w:r w:rsidRPr="00175600">
        <w:rPr>
          <w:rFonts w:eastAsia="Times New Roman" w:cs="Times New Roman"/>
          <w:color w:val="000000"/>
          <w:szCs w:val="20"/>
          <w:lang w:eastAsia="en-CA"/>
        </w:rPr>
        <w:t>Independent Criminal Defence Advocacy Society</w:t>
      </w:r>
      <w:r w:rsidRPr="00175600">
        <w:rPr>
          <w:rFonts w:eastAsia="Times New Roman" w:cs="Times New Roman"/>
          <w:szCs w:val="20"/>
          <w:lang w:eastAsia="en-CA"/>
        </w:rPr>
        <w:t>.</w:t>
      </w:r>
    </w:p>
    <w:p w14:paraId="73948972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2469D812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</w:r>
      <w:r w:rsidRPr="00175600">
        <w:rPr>
          <w:rFonts w:eastAsia="Times New Roman" w:cs="Times New Roman"/>
          <w:i/>
          <w:iCs/>
          <w:color w:val="000000"/>
          <w:szCs w:val="20"/>
          <w:lang w:eastAsia="en-CA"/>
        </w:rPr>
        <w:t>Daniel P. Sommers</w:t>
      </w:r>
      <w:r w:rsidRPr="00175600">
        <w:rPr>
          <w:rFonts w:eastAsia="Times New Roman" w:cs="Times New Roman"/>
          <w:szCs w:val="20"/>
          <w:lang w:eastAsia="en-CA"/>
        </w:rPr>
        <w:t xml:space="preserve">, pour l’intervenante l’Association </w:t>
      </w:r>
      <w:r w:rsidRPr="00175600">
        <w:rPr>
          <w:rFonts w:eastAsia="Times New Roman" w:cs="Times New Roman"/>
          <w:bCs/>
          <w:color w:val="000000"/>
          <w:szCs w:val="20"/>
          <w:lang w:eastAsia="en-CA"/>
        </w:rPr>
        <w:t>canadienne pour l’égalité</w:t>
      </w:r>
      <w:r w:rsidRPr="00175600">
        <w:rPr>
          <w:rFonts w:eastAsia="Times New Roman" w:cs="Times New Roman"/>
          <w:szCs w:val="20"/>
          <w:lang w:eastAsia="en-CA"/>
        </w:rPr>
        <w:t>.</w:t>
      </w:r>
    </w:p>
    <w:p w14:paraId="1FE2A885" w14:textId="77777777" w:rsidR="00175600" w:rsidRPr="00175600" w:rsidRDefault="00175600" w:rsidP="00175600">
      <w:pPr>
        <w:tabs>
          <w:tab w:val="left" w:pos="1168"/>
        </w:tabs>
        <w:spacing w:before="480"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ab/>
        <w:t>Version française du jugement de la Cour rendu oralement par</w:t>
      </w:r>
    </w:p>
    <w:p w14:paraId="5567B3AF" w14:textId="77777777" w:rsidR="00175600" w:rsidRPr="00175600" w:rsidRDefault="00175600" w:rsidP="00175600">
      <w:pPr>
        <w:tabs>
          <w:tab w:val="num" w:pos="1152"/>
        </w:tabs>
        <w:spacing w:before="480" w:after="480" w:line="480" w:lineRule="auto"/>
        <w:jc w:val="both"/>
        <w:rPr>
          <w:rFonts w:eastAsiaTheme="minorEastAsia"/>
        </w:rPr>
      </w:pPr>
      <w:r w:rsidRPr="00175600">
        <w:rPr>
          <w:rFonts w:eastAsiaTheme="minorEastAsia"/>
          <w:smallCaps/>
          <w:color w:val="000000"/>
        </w:rPr>
        <w:t>[1]</w:t>
      </w:r>
      <w:r w:rsidRPr="00175600">
        <w:rPr>
          <w:rFonts w:eastAsiaTheme="minorEastAsia"/>
          <w:smallCaps/>
          <w:color w:val="000000"/>
        </w:rPr>
        <w:tab/>
        <w:t>La juge Abella</w:t>
      </w:r>
      <w:r w:rsidRPr="00175600">
        <w:rPr>
          <w:rFonts w:eastAsiaTheme="minorEastAsia"/>
          <w:color w:val="000000"/>
        </w:rPr>
        <w:t> — Nous sommes d’avis, à la majorité, d’accueillir l’appel pour les motifs rédigés par le juge en chef Bauman. Les juges Côté et Brown rejetteraient l’appel, essentiellement pour les motifs exposés par la juge Stromberg-Stein.</w:t>
      </w:r>
    </w:p>
    <w:p w14:paraId="0665115A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ab/>
      </w:r>
      <w:r w:rsidRPr="00175600">
        <w:rPr>
          <w:rFonts w:eastAsia="Times New Roman" w:cs="Times New Roman"/>
          <w:i/>
          <w:szCs w:val="20"/>
          <w:lang w:eastAsia="en-CA"/>
        </w:rPr>
        <w:t>Jugement en conséquence.</w:t>
      </w:r>
    </w:p>
    <w:p w14:paraId="6E5755D3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14:paraId="27847F55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szCs w:val="20"/>
          <w:lang w:eastAsia="en-CA"/>
        </w:rPr>
        <w:tab/>
      </w:r>
      <w:r w:rsidRPr="00175600">
        <w:rPr>
          <w:rFonts w:eastAsia="Times New Roman" w:cs="Times New Roman"/>
          <w:i/>
          <w:szCs w:val="20"/>
          <w:lang w:eastAsia="en-CA"/>
        </w:rPr>
        <w:t>Procureur de l’appelante : Procureur général de la Colombie-Britannique, Vancouver.</w:t>
      </w:r>
    </w:p>
    <w:p w14:paraId="2115A723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14:paraId="56B9B996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  <w:t>Procureurs de l’intimé : Steele Law Corporation, Victoria.</w:t>
      </w:r>
    </w:p>
    <w:p w14:paraId="2E11A176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756BE9E8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  <w:t>Procureur de l’intervenant le procureur général de l’Ontario : Procureur général de l’Ontario, Toronto.</w:t>
      </w:r>
    </w:p>
    <w:p w14:paraId="47F95268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42DB33A0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  <w:t xml:space="preserve">Procureurs de l’intervenante </w:t>
      </w:r>
      <w:r w:rsidRPr="00175600">
        <w:rPr>
          <w:rFonts w:eastAsia="Times New Roman" w:cs="Times New Roman"/>
          <w:i/>
          <w:color w:val="000000"/>
          <w:szCs w:val="20"/>
          <w:lang w:eastAsia="en-CA"/>
        </w:rPr>
        <w:t>Criminal Lawyers’ Association (Ontario)</w:t>
      </w:r>
      <w:r w:rsidRPr="00175600">
        <w:rPr>
          <w:rFonts w:eastAsia="Times New Roman" w:cs="Times New Roman"/>
          <w:i/>
          <w:szCs w:val="20"/>
          <w:lang w:eastAsia="en-CA"/>
        </w:rPr>
        <w:t> : Weisberg Law, Toronto.</w:t>
      </w:r>
    </w:p>
    <w:p w14:paraId="6E5864C7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501F1676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lastRenderedPageBreak/>
        <w:tab/>
        <w:t xml:space="preserve">Procureurs de l’intervenante </w:t>
      </w:r>
      <w:r w:rsidRPr="00175600">
        <w:rPr>
          <w:rFonts w:eastAsia="Times New Roman" w:cs="Times New Roman"/>
          <w:i/>
          <w:color w:val="000000"/>
          <w:szCs w:val="20"/>
          <w:lang w:eastAsia="en-CA"/>
        </w:rPr>
        <w:t>Independent Criminal Defence Advocacy Society</w:t>
      </w:r>
      <w:r w:rsidRPr="00175600">
        <w:rPr>
          <w:rFonts w:eastAsia="Times New Roman" w:cs="Times New Roman"/>
          <w:i/>
          <w:szCs w:val="20"/>
          <w:lang w:eastAsia="en-CA"/>
        </w:rPr>
        <w:t> : Melville Law Chambers, Vancouver.</w:t>
      </w:r>
    </w:p>
    <w:p w14:paraId="53AD838F" w14:textId="77777777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14:paraId="435C473D" w14:textId="18049295" w:rsidR="00175600" w:rsidRPr="00175600" w:rsidRDefault="00175600" w:rsidP="00175600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175600">
        <w:rPr>
          <w:rFonts w:eastAsia="Times New Roman" w:cs="Times New Roman"/>
          <w:i/>
          <w:szCs w:val="20"/>
          <w:lang w:eastAsia="en-CA"/>
        </w:rPr>
        <w:tab/>
        <w:t xml:space="preserve">Procureurs de l’intervenante l’Association </w:t>
      </w:r>
      <w:r w:rsidRPr="00175600">
        <w:rPr>
          <w:rFonts w:eastAsia="Times New Roman" w:cs="Times New Roman"/>
          <w:bCs/>
          <w:i/>
          <w:color w:val="000000"/>
          <w:szCs w:val="20"/>
          <w:lang w:eastAsia="en-CA"/>
        </w:rPr>
        <w:t>canadienne pour l’égalité</w:t>
      </w:r>
      <w:r w:rsidRPr="00175600">
        <w:rPr>
          <w:rFonts w:eastAsia="Times New Roman" w:cs="Times New Roman"/>
          <w:i/>
          <w:szCs w:val="20"/>
          <w:lang w:eastAsia="en-CA"/>
        </w:rPr>
        <w:t> : Da Cruz Sommers, Toronto.</w:t>
      </w:r>
    </w:p>
    <w:sectPr w:rsidR="00175600" w:rsidRPr="00175600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E808C" w14:textId="77777777" w:rsidR="006018E5" w:rsidRDefault="006018E5" w:rsidP="00F72014">
      <w:r>
        <w:separator/>
      </w:r>
    </w:p>
  </w:endnote>
  <w:endnote w:type="continuationSeparator" w:id="0">
    <w:p w14:paraId="43EC0DBE" w14:textId="77777777" w:rsidR="006018E5" w:rsidRDefault="006018E5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004CE" w14:textId="77777777" w:rsidR="006018E5" w:rsidRDefault="006018E5" w:rsidP="00F72014">
      <w:r>
        <w:separator/>
      </w:r>
    </w:p>
  </w:footnote>
  <w:footnote w:type="continuationSeparator" w:id="0">
    <w:p w14:paraId="7300E4F0" w14:textId="77777777" w:rsidR="006018E5" w:rsidRDefault="006018E5" w:rsidP="00F7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46664"/>
    <w:rsid w:val="00052FC1"/>
    <w:rsid w:val="0008151E"/>
    <w:rsid w:val="000E0ED7"/>
    <w:rsid w:val="000E2428"/>
    <w:rsid w:val="000F4467"/>
    <w:rsid w:val="001311DA"/>
    <w:rsid w:val="00175600"/>
    <w:rsid w:val="00196882"/>
    <w:rsid w:val="001D6B8C"/>
    <w:rsid w:val="001E12E2"/>
    <w:rsid w:val="001E5B5A"/>
    <w:rsid w:val="001F1F83"/>
    <w:rsid w:val="001F44F1"/>
    <w:rsid w:val="00232765"/>
    <w:rsid w:val="002567BF"/>
    <w:rsid w:val="00256B56"/>
    <w:rsid w:val="002660F2"/>
    <w:rsid w:val="0027697B"/>
    <w:rsid w:val="0028675F"/>
    <w:rsid w:val="002A177E"/>
    <w:rsid w:val="002F0B6C"/>
    <w:rsid w:val="00355967"/>
    <w:rsid w:val="0036772A"/>
    <w:rsid w:val="00374356"/>
    <w:rsid w:val="00384384"/>
    <w:rsid w:val="003B2BE1"/>
    <w:rsid w:val="003B3C63"/>
    <w:rsid w:val="004100B5"/>
    <w:rsid w:val="00435B1B"/>
    <w:rsid w:val="004510EE"/>
    <w:rsid w:val="00460AFC"/>
    <w:rsid w:val="004E69EC"/>
    <w:rsid w:val="004F090E"/>
    <w:rsid w:val="0053096F"/>
    <w:rsid w:val="00535189"/>
    <w:rsid w:val="00561E86"/>
    <w:rsid w:val="005645AF"/>
    <w:rsid w:val="00582136"/>
    <w:rsid w:val="0058383C"/>
    <w:rsid w:val="005C0397"/>
    <w:rsid w:val="005E1AE3"/>
    <w:rsid w:val="006018E5"/>
    <w:rsid w:val="006034F1"/>
    <w:rsid w:val="006936F1"/>
    <w:rsid w:val="006D697E"/>
    <w:rsid w:val="00701ABD"/>
    <w:rsid w:val="007740CA"/>
    <w:rsid w:val="00786834"/>
    <w:rsid w:val="007A760E"/>
    <w:rsid w:val="00803557"/>
    <w:rsid w:val="00842677"/>
    <w:rsid w:val="008714CB"/>
    <w:rsid w:val="00880B14"/>
    <w:rsid w:val="008B5797"/>
    <w:rsid w:val="008C75A4"/>
    <w:rsid w:val="008F4691"/>
    <w:rsid w:val="00904937"/>
    <w:rsid w:val="00996510"/>
    <w:rsid w:val="009A47CD"/>
    <w:rsid w:val="009F0F2D"/>
    <w:rsid w:val="00A51D10"/>
    <w:rsid w:val="00A51F0A"/>
    <w:rsid w:val="00AB2201"/>
    <w:rsid w:val="00AC50EB"/>
    <w:rsid w:val="00AE492C"/>
    <w:rsid w:val="00B83ABD"/>
    <w:rsid w:val="00B87C1F"/>
    <w:rsid w:val="00BD4217"/>
    <w:rsid w:val="00C16E2D"/>
    <w:rsid w:val="00C34D53"/>
    <w:rsid w:val="00C56A73"/>
    <w:rsid w:val="00CA3730"/>
    <w:rsid w:val="00D030DA"/>
    <w:rsid w:val="00D7194C"/>
    <w:rsid w:val="00D751FC"/>
    <w:rsid w:val="00D76BDF"/>
    <w:rsid w:val="00D96F97"/>
    <w:rsid w:val="00DE6C98"/>
    <w:rsid w:val="00E356C7"/>
    <w:rsid w:val="00E53ED9"/>
    <w:rsid w:val="00E6329F"/>
    <w:rsid w:val="00E64FA7"/>
    <w:rsid w:val="00E770CB"/>
    <w:rsid w:val="00F01FC5"/>
    <w:rsid w:val="00F25646"/>
    <w:rsid w:val="00F72014"/>
    <w:rsid w:val="00F91299"/>
    <w:rsid w:val="00F9518C"/>
    <w:rsid w:val="00FA59EF"/>
    <w:rsid w:val="00FE57D3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EF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1F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F1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F1"/>
    <w:rPr>
      <w:b/>
      <w:bCs/>
      <w:sz w:val="20"/>
      <w:szCs w:val="20"/>
      <w:lang w:val="fr-CA"/>
    </w:rPr>
  </w:style>
  <w:style w:type="table" w:customStyle="1" w:styleId="TableGrid2">
    <w:name w:val="Table Grid2"/>
    <w:basedOn w:val="TableNormal"/>
    <w:next w:val="TableGrid"/>
    <w:uiPriority w:val="59"/>
    <w:rsid w:val="00175600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2022-06-27T19:38:00Z</dcterms:created>
  <dcterms:modified xsi:type="dcterms:W3CDTF">2023-10-30T17:52:00Z</dcterms:modified>
</cp:coreProperties>
</file>