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91"/>
        <w:gridCol w:w="1630"/>
        <w:gridCol w:w="3141"/>
        <w:gridCol w:w="18"/>
      </w:tblGrid>
      <w:tr w:rsidR="006A0983" w:rsidRPr="006A0983" w14:paraId="0E3FCCD6" w14:textId="77777777" w:rsidTr="006A0983">
        <w:trPr>
          <w:trHeight w:val="1786"/>
        </w:trPr>
        <w:tc>
          <w:tcPr>
            <w:tcW w:w="5000" w:type="pct"/>
            <w:gridSpan w:val="4"/>
            <w:hideMark/>
          </w:tcPr>
          <w:p w14:paraId="647A5EEE" w14:textId="77777777" w:rsidR="006A0983" w:rsidRPr="006A0983" w:rsidRDefault="006A0983" w:rsidP="006A0983">
            <w:pPr>
              <w:jc w:val="center"/>
            </w:pPr>
            <w:r w:rsidRPr="006A0983">
              <w:rPr>
                <w:rFonts w:eastAsia="Calibri"/>
                <w:szCs w:val="24"/>
                <w:lang w:eastAsia="en-US"/>
              </w:rPr>
              <w:object w:dxaOrig="1236" w:dyaOrig="1296" w14:anchorId="1414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8pt;height:64.8pt" o:ole="">
                  <v:imagedata r:id="rId8" o:title=""/>
                </v:shape>
                <o:OLEObject Type="Embed" ProgID="Presentations.Drawing.15" ShapeID="_x0000_i1031" DrawAspect="Content" ObjectID="_1760192294" r:id="rId9"/>
              </w:object>
            </w:r>
          </w:p>
          <w:p w14:paraId="4598B40A" w14:textId="77777777" w:rsidR="006A0983" w:rsidRPr="006A0983" w:rsidRDefault="006A0983" w:rsidP="006A0983">
            <w:pPr>
              <w:spacing w:before="120" w:after="100" w:afterAutospacing="1"/>
              <w:jc w:val="center"/>
              <w:rPr>
                <w:rFonts w:eastAsia="Calibri"/>
              </w:rPr>
            </w:pPr>
            <w:r w:rsidRPr="006A0983">
              <w:rPr>
                <w:rFonts w:eastAsia="Calibri"/>
                <w:b/>
                <w:szCs w:val="24"/>
                <w:lang w:eastAsia="en-US"/>
              </w:rPr>
              <w:t>COUR SUPRÊME DU CANADA</w:t>
            </w:r>
          </w:p>
        </w:tc>
      </w:tr>
      <w:tr w:rsidR="006A0983" w:rsidRPr="006A0983" w14:paraId="4579B8CD" w14:textId="77777777" w:rsidTr="006A0983">
        <w:trPr>
          <w:gridAfter w:val="1"/>
          <w:wAfter w:w="11" w:type="pct"/>
        </w:trPr>
        <w:tc>
          <w:tcPr>
            <w:tcW w:w="2108" w:type="pct"/>
            <w:tcMar>
              <w:top w:w="284" w:type="dxa"/>
              <w:left w:w="57" w:type="dxa"/>
              <w:bottom w:w="57" w:type="dxa"/>
              <w:right w:w="57" w:type="dxa"/>
            </w:tcMar>
            <w:hideMark/>
          </w:tcPr>
          <w:p w14:paraId="40A1E21E" w14:textId="1809A4EB" w:rsidR="006A0983" w:rsidRPr="006A0983" w:rsidRDefault="006A0983" w:rsidP="006A0983">
            <w:pPr>
              <w:spacing w:before="100" w:beforeAutospacing="1"/>
              <w:rPr>
                <w:rFonts w:eastAsia="Calibri"/>
                <w:lang w:val="fr-CA"/>
              </w:rPr>
            </w:pPr>
            <w:r w:rsidRPr="006A0983">
              <w:rPr>
                <w:b/>
                <w:smallCaps/>
                <w:lang w:val="fr-CA"/>
              </w:rPr>
              <w:t>Référence :</w:t>
            </w:r>
            <w:r w:rsidRPr="006A0983">
              <w:rPr>
                <w:lang w:val="fr-CA"/>
              </w:rPr>
              <w:t xml:space="preserve"> R. </w:t>
            </w:r>
            <w:r w:rsidRPr="006A0983">
              <w:rPr>
                <w:i/>
                <w:lang w:val="fr-CA"/>
              </w:rPr>
              <w:t>c</w:t>
            </w:r>
            <w:r w:rsidRPr="006A0983">
              <w:rPr>
                <w:lang w:val="fr-CA"/>
              </w:rPr>
              <w:t>. Slatter, 2020 CSC 36</w:t>
            </w:r>
            <w:r>
              <w:rPr>
                <w:lang w:val="fr-CA"/>
              </w:rPr>
              <w:t>, [2020] 3 R.C.S. 592</w:t>
            </w:r>
            <w:bookmarkStart w:id="0" w:name="_GoBack"/>
            <w:bookmarkEnd w:id="0"/>
          </w:p>
        </w:tc>
        <w:tc>
          <w:tcPr>
            <w:tcW w:w="984" w:type="pct"/>
          </w:tcPr>
          <w:p w14:paraId="1D6C7177" w14:textId="77777777" w:rsidR="006A0983" w:rsidRPr="006A0983" w:rsidRDefault="006A0983" w:rsidP="006A0983">
            <w:pPr>
              <w:rPr>
                <w:b/>
                <w:smallCaps/>
                <w:lang w:val="fr-CA"/>
              </w:rPr>
            </w:pPr>
          </w:p>
        </w:tc>
        <w:tc>
          <w:tcPr>
            <w:tcW w:w="1897" w:type="pct"/>
            <w:tcMar>
              <w:top w:w="284" w:type="dxa"/>
              <w:left w:w="57" w:type="dxa"/>
              <w:bottom w:w="57" w:type="dxa"/>
              <w:right w:w="57" w:type="dxa"/>
            </w:tcMar>
            <w:hideMark/>
          </w:tcPr>
          <w:p w14:paraId="6449B087" w14:textId="77777777" w:rsidR="006A0983" w:rsidRPr="006A0983" w:rsidRDefault="006A0983" w:rsidP="006A0983">
            <w:pPr>
              <w:rPr>
                <w:lang w:val="fr-CA"/>
              </w:rPr>
            </w:pPr>
            <w:r w:rsidRPr="006A0983">
              <w:rPr>
                <w:b/>
                <w:smallCaps/>
                <w:lang w:val="fr-CA"/>
              </w:rPr>
              <w:t>Appel entendu :</w:t>
            </w:r>
            <w:r w:rsidRPr="006A0983">
              <w:rPr>
                <w:lang w:val="fr-CA"/>
              </w:rPr>
              <w:t xml:space="preserve"> </w:t>
            </w:r>
            <w:r w:rsidRPr="006A0983">
              <w:rPr>
                <w:rFonts w:eastAsia="Calibri"/>
                <w:szCs w:val="24"/>
                <w:lang w:val="fr-CA" w:eastAsia="en-US"/>
              </w:rPr>
              <w:t>6 novembre 2020</w:t>
            </w:r>
          </w:p>
          <w:p w14:paraId="7A062420" w14:textId="77777777" w:rsidR="006A0983" w:rsidRPr="006A0983" w:rsidRDefault="006A0983" w:rsidP="006A0983">
            <w:pPr>
              <w:rPr>
                <w:smallCaps/>
                <w:lang w:val="fr-CA"/>
              </w:rPr>
            </w:pPr>
            <w:r w:rsidRPr="006A0983">
              <w:rPr>
                <w:b/>
                <w:smallCaps/>
                <w:lang w:val="fr-CA"/>
              </w:rPr>
              <w:t xml:space="preserve">Jugement rendu : </w:t>
            </w:r>
            <w:r w:rsidRPr="006A0983">
              <w:rPr>
                <w:rFonts w:eastAsia="Calibri"/>
                <w:szCs w:val="24"/>
                <w:lang w:val="fr-CA" w:eastAsia="en-US"/>
              </w:rPr>
              <w:t>6 novembre 2020</w:t>
            </w:r>
          </w:p>
          <w:p w14:paraId="58A4CDD8" w14:textId="77777777" w:rsidR="006A0983" w:rsidRPr="006A0983" w:rsidRDefault="006A0983" w:rsidP="006A0983">
            <w:pPr>
              <w:rPr>
                <w:rFonts w:eastAsia="Calibri"/>
                <w:lang w:val="fr-CA"/>
              </w:rPr>
            </w:pPr>
            <w:r w:rsidRPr="006A0983">
              <w:rPr>
                <w:b/>
                <w:smallCaps/>
                <w:lang w:val="fr-CA"/>
              </w:rPr>
              <w:t>Dossier :</w:t>
            </w:r>
            <w:r w:rsidRPr="006A0983">
              <w:rPr>
                <w:lang w:val="fr-CA"/>
              </w:rPr>
              <w:t xml:space="preserve"> </w:t>
            </w:r>
            <w:r w:rsidRPr="006A0983">
              <w:t>38870</w:t>
            </w:r>
          </w:p>
        </w:tc>
      </w:tr>
      <w:tr w:rsidR="006A0983" w:rsidRPr="006A0983" w14:paraId="70ACDAEB" w14:textId="77777777" w:rsidTr="006A0983">
        <w:tc>
          <w:tcPr>
            <w:tcW w:w="5000" w:type="pct"/>
            <w:gridSpan w:val="4"/>
          </w:tcPr>
          <w:p w14:paraId="69B36870" w14:textId="77777777" w:rsidR="006A0983" w:rsidRPr="006A0983" w:rsidRDefault="006A0983" w:rsidP="006A0983">
            <w:pPr>
              <w:rPr>
                <w:rFonts w:eastAsia="Calibri"/>
                <w:szCs w:val="24"/>
                <w:lang w:val="fr-CA" w:eastAsia="en-US"/>
              </w:rPr>
            </w:pPr>
          </w:p>
          <w:p w14:paraId="22BA73F8" w14:textId="77777777" w:rsidR="006A0983" w:rsidRPr="006A0983" w:rsidRDefault="006A0983" w:rsidP="006A0983">
            <w:pPr>
              <w:rPr>
                <w:b/>
                <w:smallCaps/>
                <w:lang w:val="fr-CA"/>
              </w:rPr>
            </w:pPr>
            <w:r w:rsidRPr="006A0983">
              <w:rPr>
                <w:b/>
                <w:smallCaps/>
                <w:lang w:val="fr-CA"/>
              </w:rPr>
              <w:t>Entre :</w:t>
            </w:r>
          </w:p>
          <w:p w14:paraId="65FFBE6B" w14:textId="77777777" w:rsidR="006A0983" w:rsidRPr="006A0983" w:rsidRDefault="006A0983" w:rsidP="006A0983">
            <w:pPr>
              <w:rPr>
                <w:rFonts w:eastAsia="Calibri"/>
                <w:szCs w:val="24"/>
                <w:lang w:val="fr-CA" w:eastAsia="en-US"/>
              </w:rPr>
            </w:pPr>
          </w:p>
          <w:p w14:paraId="1F38FA19" w14:textId="77777777" w:rsidR="006A0983" w:rsidRPr="006A0983" w:rsidRDefault="006A0983" w:rsidP="006A0983">
            <w:pPr>
              <w:jc w:val="center"/>
              <w:rPr>
                <w:rFonts w:eastAsia="Calibri"/>
                <w:b/>
                <w:szCs w:val="24"/>
                <w:lang w:val="fr-CA" w:eastAsia="en-US"/>
              </w:rPr>
            </w:pPr>
            <w:r w:rsidRPr="006A0983">
              <w:rPr>
                <w:rFonts w:eastAsia="Calibri"/>
                <w:b/>
                <w:szCs w:val="24"/>
                <w:lang w:val="fr-CA" w:eastAsia="en-US"/>
              </w:rPr>
              <w:t>Sa Majesté la Reine</w:t>
            </w:r>
          </w:p>
          <w:p w14:paraId="67DF41C9" w14:textId="77777777" w:rsidR="006A0983" w:rsidRPr="006A0983" w:rsidRDefault="006A0983" w:rsidP="006A0983">
            <w:pPr>
              <w:jc w:val="center"/>
              <w:rPr>
                <w:rFonts w:eastAsia="Calibri"/>
                <w:szCs w:val="24"/>
                <w:lang w:val="fr-CA" w:eastAsia="en-US"/>
              </w:rPr>
            </w:pPr>
            <w:r w:rsidRPr="006A0983">
              <w:rPr>
                <w:rFonts w:eastAsia="Calibri"/>
                <w:szCs w:val="24"/>
                <w:lang w:val="fr-CA" w:eastAsia="en-US"/>
              </w:rPr>
              <w:t>Appelante</w:t>
            </w:r>
          </w:p>
          <w:p w14:paraId="7AEB9867" w14:textId="77777777" w:rsidR="006A0983" w:rsidRPr="006A0983" w:rsidRDefault="006A0983" w:rsidP="006A0983">
            <w:pPr>
              <w:jc w:val="center"/>
              <w:rPr>
                <w:rFonts w:eastAsia="Calibri"/>
                <w:szCs w:val="24"/>
                <w:lang w:val="fr-CA" w:eastAsia="en-US"/>
              </w:rPr>
            </w:pPr>
          </w:p>
          <w:p w14:paraId="3B42A632" w14:textId="77777777" w:rsidR="006A0983" w:rsidRPr="006A0983" w:rsidRDefault="006A0983" w:rsidP="006A0983">
            <w:pPr>
              <w:jc w:val="center"/>
              <w:rPr>
                <w:rFonts w:eastAsia="Calibri"/>
                <w:szCs w:val="24"/>
                <w:lang w:val="fr-CA" w:eastAsia="en-US"/>
              </w:rPr>
            </w:pPr>
            <w:r w:rsidRPr="006A0983">
              <w:rPr>
                <w:rFonts w:eastAsia="Calibri"/>
                <w:szCs w:val="24"/>
                <w:lang w:val="fr-CA" w:eastAsia="en-US"/>
              </w:rPr>
              <w:t>et</w:t>
            </w:r>
          </w:p>
          <w:p w14:paraId="06EEB2E5" w14:textId="77777777" w:rsidR="006A0983" w:rsidRPr="006A0983" w:rsidRDefault="006A0983" w:rsidP="006A0983">
            <w:pPr>
              <w:jc w:val="center"/>
              <w:rPr>
                <w:rFonts w:eastAsia="Calibri"/>
                <w:szCs w:val="24"/>
                <w:lang w:val="fr-CA" w:eastAsia="en-US"/>
              </w:rPr>
            </w:pPr>
          </w:p>
          <w:p w14:paraId="0E51AFCB" w14:textId="77777777" w:rsidR="006A0983" w:rsidRPr="006A0983" w:rsidRDefault="006A0983" w:rsidP="006A0983">
            <w:pPr>
              <w:jc w:val="center"/>
              <w:rPr>
                <w:rFonts w:eastAsia="Calibri"/>
                <w:b/>
                <w:szCs w:val="24"/>
                <w:lang w:val="fr-CA" w:eastAsia="en-US"/>
              </w:rPr>
            </w:pPr>
            <w:r w:rsidRPr="006A0983">
              <w:rPr>
                <w:rFonts w:eastAsia="Calibri"/>
                <w:b/>
                <w:szCs w:val="24"/>
                <w:lang w:val="fr-CA" w:eastAsia="en-US"/>
              </w:rPr>
              <w:t>Thomas Slatter</w:t>
            </w:r>
          </w:p>
          <w:p w14:paraId="6ED1C5DA" w14:textId="77777777" w:rsidR="006A0983" w:rsidRPr="006A0983" w:rsidRDefault="006A0983" w:rsidP="006A0983">
            <w:pPr>
              <w:jc w:val="center"/>
              <w:rPr>
                <w:rFonts w:eastAsia="Calibri"/>
                <w:szCs w:val="24"/>
                <w:lang w:val="fr-CA" w:eastAsia="en-US"/>
              </w:rPr>
            </w:pPr>
            <w:r w:rsidRPr="006A0983">
              <w:rPr>
                <w:rFonts w:eastAsia="Calibri"/>
                <w:szCs w:val="24"/>
                <w:lang w:val="fr-CA" w:eastAsia="en-US"/>
              </w:rPr>
              <w:t>Intimé</w:t>
            </w:r>
          </w:p>
          <w:p w14:paraId="00A02480" w14:textId="77777777" w:rsidR="006A0983" w:rsidRPr="006A0983" w:rsidRDefault="006A0983" w:rsidP="006A0983">
            <w:pPr>
              <w:rPr>
                <w:rFonts w:eastAsia="Calibri"/>
                <w:szCs w:val="24"/>
                <w:lang w:val="fr-CA" w:eastAsia="en-US"/>
              </w:rPr>
            </w:pPr>
          </w:p>
          <w:p w14:paraId="1AA4EFFC" w14:textId="77777777" w:rsidR="006A0983" w:rsidRPr="006A0983" w:rsidRDefault="006A0983" w:rsidP="006A0983">
            <w:pPr>
              <w:jc w:val="center"/>
              <w:rPr>
                <w:lang w:val="fr-CA"/>
              </w:rPr>
            </w:pPr>
            <w:r w:rsidRPr="006A0983">
              <w:rPr>
                <w:lang w:val="fr-CA"/>
              </w:rPr>
              <w:t>- et -</w:t>
            </w:r>
          </w:p>
          <w:p w14:paraId="449753D7" w14:textId="77777777" w:rsidR="006A0983" w:rsidRPr="006A0983" w:rsidRDefault="006A0983" w:rsidP="006A0983">
            <w:pPr>
              <w:jc w:val="center"/>
              <w:rPr>
                <w:lang w:val="fr-CA"/>
              </w:rPr>
            </w:pPr>
          </w:p>
          <w:p w14:paraId="7C783468" w14:textId="77777777" w:rsidR="006A0983" w:rsidRPr="006A0983" w:rsidRDefault="006A0983" w:rsidP="006A0983">
            <w:pPr>
              <w:tabs>
                <w:tab w:val="right" w:pos="8222"/>
              </w:tabs>
              <w:jc w:val="center"/>
              <w:rPr>
                <w:b/>
                <w:lang w:val="fr-CA"/>
              </w:rPr>
            </w:pPr>
            <w:r w:rsidRPr="006A0983">
              <w:rPr>
                <w:b/>
                <w:lang w:val="fr-CA"/>
              </w:rPr>
              <w:t>Inclusion Canada (anciennement connue sous le nom d’Association canadienne pour l’intégration communautaire), Fonds d’action et d’éducation juridiques pour les femmes,</w:t>
            </w:r>
          </w:p>
          <w:p w14:paraId="2A7F8573" w14:textId="77777777" w:rsidR="006A0983" w:rsidRPr="006A0983" w:rsidRDefault="006A0983" w:rsidP="006A0983">
            <w:pPr>
              <w:tabs>
                <w:tab w:val="right" w:pos="8222"/>
              </w:tabs>
              <w:jc w:val="center"/>
              <w:rPr>
                <w:b/>
                <w:lang w:val="fr-CA"/>
              </w:rPr>
            </w:pPr>
            <w:r w:rsidRPr="006A0983">
              <w:rPr>
                <w:b/>
                <w:lang w:val="fr-CA"/>
              </w:rPr>
              <w:t>Réseau d’action des femmes handicapées, ARCH Disability Law Centre,</w:t>
            </w:r>
          </w:p>
          <w:p w14:paraId="792F566E" w14:textId="77777777" w:rsidR="006A0983" w:rsidRPr="006A0983" w:rsidRDefault="006A0983" w:rsidP="006A0983">
            <w:pPr>
              <w:tabs>
                <w:tab w:val="right" w:pos="8222"/>
              </w:tabs>
              <w:jc w:val="center"/>
              <w:rPr>
                <w:b/>
              </w:rPr>
            </w:pPr>
            <w:r w:rsidRPr="006A0983">
              <w:rPr>
                <w:b/>
              </w:rPr>
              <w:t>Barbra Schlifer Commemorative Clinic et Criminal Lawyers’ Association of Ontario</w:t>
            </w:r>
          </w:p>
          <w:p w14:paraId="2813A902" w14:textId="77777777" w:rsidR="006A0983" w:rsidRPr="006A0983" w:rsidRDefault="006A0983" w:rsidP="006A0983">
            <w:pPr>
              <w:jc w:val="center"/>
            </w:pPr>
            <w:r w:rsidRPr="006A0983">
              <w:t>Intervenants</w:t>
            </w:r>
          </w:p>
          <w:p w14:paraId="15476CB3" w14:textId="77777777" w:rsidR="006A0983" w:rsidRPr="006A0983" w:rsidRDefault="006A0983" w:rsidP="006A0983"/>
          <w:p w14:paraId="7021C0A1" w14:textId="77777777" w:rsidR="006A0983" w:rsidRPr="006A0983" w:rsidRDefault="006A0983" w:rsidP="006A0983">
            <w:pPr>
              <w:rPr>
                <w:rFonts w:eastAsia="Calibri"/>
                <w:szCs w:val="24"/>
                <w:lang w:val="fr-CA" w:eastAsia="en-US"/>
              </w:rPr>
            </w:pPr>
          </w:p>
          <w:p w14:paraId="59E7C3C4" w14:textId="77777777" w:rsidR="006A0983" w:rsidRPr="006A0983" w:rsidRDefault="006A0983" w:rsidP="006A0983">
            <w:pPr>
              <w:rPr>
                <w:rFonts w:eastAsia="Calibri"/>
                <w:szCs w:val="24"/>
                <w:lang w:val="fr-CA" w:eastAsia="en-US"/>
              </w:rPr>
            </w:pPr>
          </w:p>
          <w:p w14:paraId="2B4E29F8" w14:textId="77777777" w:rsidR="006A0983" w:rsidRPr="006A0983" w:rsidRDefault="006A0983" w:rsidP="006A0983">
            <w:pPr>
              <w:jc w:val="center"/>
              <w:rPr>
                <w:rFonts w:eastAsia="Calibri"/>
                <w:b/>
                <w:smallCaps/>
                <w:szCs w:val="24"/>
                <w:lang w:val="fr-CA" w:eastAsia="en-US"/>
              </w:rPr>
            </w:pPr>
            <w:r w:rsidRPr="006A0983">
              <w:rPr>
                <w:rFonts w:eastAsia="Calibri"/>
                <w:b/>
                <w:smallCaps/>
                <w:szCs w:val="24"/>
                <w:lang w:val="fr-CA" w:eastAsia="en-US"/>
              </w:rPr>
              <w:t>Traduction française officielle</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560"/>
        <w:gridCol w:w="5702"/>
        <w:gridCol w:w="18"/>
      </w:tblGrid>
      <w:tr w:rsidR="006A0983" w:rsidRPr="006A0983" w14:paraId="5D718A0C" w14:textId="77777777" w:rsidTr="006A0983">
        <w:trPr>
          <w:cantSplit/>
          <w:trHeight w:val="508"/>
        </w:trPr>
        <w:tc>
          <w:tcPr>
            <w:tcW w:w="5000" w:type="pct"/>
            <w:gridSpan w:val="3"/>
            <w:tcMar>
              <w:top w:w="284" w:type="dxa"/>
              <w:left w:w="58" w:type="dxa"/>
              <w:bottom w:w="57" w:type="dxa"/>
              <w:right w:w="58" w:type="dxa"/>
            </w:tcMar>
            <w:vAlign w:val="center"/>
            <w:hideMark/>
          </w:tcPr>
          <w:p w14:paraId="325762AE" w14:textId="77777777" w:rsidR="006A0983" w:rsidRPr="006A0983" w:rsidRDefault="006A0983" w:rsidP="006A0983">
            <w:pPr>
              <w:rPr>
                <w:b/>
                <w:smallCaps/>
                <w:lang w:val="fr-CA"/>
              </w:rPr>
            </w:pPr>
            <w:r w:rsidRPr="006A0983">
              <w:rPr>
                <w:b/>
                <w:smallCaps/>
                <w:lang w:val="fr-CA"/>
              </w:rPr>
              <w:t>Coram :</w:t>
            </w:r>
            <w:r w:rsidRPr="006A0983">
              <w:rPr>
                <w:lang w:val="fr-CA"/>
              </w:rPr>
              <w:t xml:space="preserve"> Le juge en chef Wagner et les juges Moldaver, Karakatsanis, Brown, Rowe, Martin et Kasirer</w:t>
            </w:r>
          </w:p>
        </w:tc>
      </w:tr>
      <w:tr w:rsidR="006A0983" w:rsidRPr="006A0983" w14:paraId="409B7212" w14:textId="77777777" w:rsidTr="006A0983">
        <w:trPr>
          <w:gridAfter w:val="1"/>
          <w:wAfter w:w="11" w:type="pct"/>
          <w:cantSplit/>
        </w:trPr>
        <w:tc>
          <w:tcPr>
            <w:tcW w:w="1546" w:type="pct"/>
            <w:tcMar>
              <w:top w:w="284" w:type="dxa"/>
              <w:left w:w="58" w:type="dxa"/>
              <w:bottom w:w="57" w:type="dxa"/>
              <w:right w:w="58" w:type="dxa"/>
            </w:tcMar>
            <w:vAlign w:val="center"/>
            <w:hideMark/>
          </w:tcPr>
          <w:p w14:paraId="67C9CA38" w14:textId="77777777" w:rsidR="006A0983" w:rsidRPr="006A0983" w:rsidRDefault="006A0983" w:rsidP="006A0983">
            <w:pPr>
              <w:rPr>
                <w:b/>
                <w:smallCaps/>
                <w:lang w:val="fr-CA"/>
              </w:rPr>
            </w:pPr>
            <w:r w:rsidRPr="006A0983">
              <w:rPr>
                <w:b/>
                <w:smallCaps/>
                <w:lang w:val="fr-CA"/>
              </w:rPr>
              <w:t xml:space="preserve">Jugement unanime lu par : </w:t>
            </w:r>
          </w:p>
          <w:p w14:paraId="435FBAB5" w14:textId="77777777" w:rsidR="006A0983" w:rsidRPr="006A0983" w:rsidRDefault="006A0983" w:rsidP="006A0983">
            <w:pPr>
              <w:rPr>
                <w:lang w:val="fr-CA"/>
              </w:rPr>
            </w:pPr>
            <w:r w:rsidRPr="006A0983">
              <w:rPr>
                <w:lang w:val="fr-CA"/>
              </w:rPr>
              <w:t>(par. 1 à 3)</w:t>
            </w:r>
          </w:p>
        </w:tc>
        <w:tc>
          <w:tcPr>
            <w:tcW w:w="3443" w:type="pct"/>
            <w:tcMar>
              <w:top w:w="284" w:type="dxa"/>
              <w:left w:w="58" w:type="dxa"/>
              <w:bottom w:w="58" w:type="dxa"/>
              <w:right w:w="58" w:type="dxa"/>
            </w:tcMar>
            <w:vAlign w:val="center"/>
            <w:hideMark/>
          </w:tcPr>
          <w:p w14:paraId="4A8A8EF7" w14:textId="77777777" w:rsidR="006A0983" w:rsidRPr="006A0983" w:rsidRDefault="006A0983" w:rsidP="006A0983">
            <w:pPr>
              <w:rPr>
                <w:lang w:val="fr-CA"/>
              </w:rPr>
            </w:pPr>
            <w:r w:rsidRPr="006A0983">
              <w:t>Le juge Moldaver</w:t>
            </w:r>
          </w:p>
        </w:tc>
      </w:tr>
    </w:tbl>
    <w:p w14:paraId="2673FC4D" w14:textId="77777777" w:rsidR="006A0983" w:rsidRPr="006A0983" w:rsidRDefault="006A0983" w:rsidP="006A0983">
      <w:pPr>
        <w:spacing w:before="100" w:beforeAutospacing="1"/>
        <w:rPr>
          <w:rFonts w:eastAsia="Calibri"/>
          <w:b/>
          <w:smallCaps/>
          <w:szCs w:val="24"/>
          <w:lang w:val="fr-CA" w:eastAsia="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6A0983" w:rsidRPr="006A0983" w14:paraId="0E22EE6B" w14:textId="77777777" w:rsidTr="006A0983">
        <w:tc>
          <w:tcPr>
            <w:tcW w:w="1500" w:type="pct"/>
            <w:tcMar>
              <w:top w:w="284" w:type="dxa"/>
              <w:left w:w="108" w:type="dxa"/>
              <w:bottom w:w="0" w:type="dxa"/>
              <w:right w:w="108" w:type="dxa"/>
            </w:tcMar>
          </w:tcPr>
          <w:p w14:paraId="62E04965" w14:textId="77777777" w:rsidR="006A0983" w:rsidRPr="006A0983" w:rsidRDefault="006A0983" w:rsidP="006A0983">
            <w:pPr>
              <w:rPr>
                <w:rFonts w:eastAsia="Calibri"/>
                <w:szCs w:val="24"/>
                <w:lang w:val="fr-CA" w:eastAsia="en-US"/>
              </w:rPr>
            </w:pPr>
          </w:p>
        </w:tc>
        <w:tc>
          <w:tcPr>
            <w:tcW w:w="2000" w:type="pct"/>
            <w:tcBorders>
              <w:top w:val="nil"/>
              <w:left w:val="nil"/>
              <w:bottom w:val="single" w:sz="4" w:space="0" w:color="auto"/>
              <w:right w:val="nil"/>
            </w:tcBorders>
            <w:tcMar>
              <w:top w:w="284" w:type="dxa"/>
              <w:left w:w="108" w:type="dxa"/>
              <w:bottom w:w="0" w:type="dxa"/>
              <w:right w:w="108" w:type="dxa"/>
            </w:tcMar>
          </w:tcPr>
          <w:p w14:paraId="516C9383" w14:textId="77777777" w:rsidR="006A0983" w:rsidRPr="006A0983" w:rsidRDefault="006A0983" w:rsidP="006A0983">
            <w:pPr>
              <w:rPr>
                <w:rFonts w:eastAsia="Calibri"/>
                <w:szCs w:val="24"/>
                <w:lang w:val="fr-CA" w:eastAsia="en-US"/>
              </w:rPr>
            </w:pPr>
          </w:p>
        </w:tc>
        <w:tc>
          <w:tcPr>
            <w:tcW w:w="1500" w:type="pct"/>
            <w:tcMar>
              <w:top w:w="284" w:type="dxa"/>
              <w:left w:w="108" w:type="dxa"/>
              <w:bottom w:w="0" w:type="dxa"/>
              <w:right w:w="108" w:type="dxa"/>
            </w:tcMar>
          </w:tcPr>
          <w:p w14:paraId="4D63F10A" w14:textId="77777777" w:rsidR="006A0983" w:rsidRPr="006A0983" w:rsidRDefault="006A0983" w:rsidP="006A0983">
            <w:pPr>
              <w:rPr>
                <w:rFonts w:eastAsia="Calibri"/>
                <w:szCs w:val="24"/>
                <w:lang w:val="fr-CA" w:eastAsia="en-US"/>
              </w:rPr>
            </w:pPr>
          </w:p>
        </w:tc>
      </w:tr>
    </w:tbl>
    <w:p w14:paraId="39A63B90" w14:textId="56F6A88D" w:rsidR="003E06F8" w:rsidRPr="00BB6C9C" w:rsidRDefault="003E06F8" w:rsidP="003E06F8">
      <w:pPr>
        <w:spacing w:after="720"/>
        <w:jc w:val="both"/>
        <w:rPr>
          <w:smallCaps/>
          <w:lang w:val="fr-CA"/>
        </w:rPr>
      </w:pPr>
    </w:p>
    <w:p w14:paraId="3947CEB1" w14:textId="77777777" w:rsidR="003B3078" w:rsidRPr="003E06F8" w:rsidRDefault="003E06F8" w:rsidP="003B3078">
      <w:pPr>
        <w:pStyle w:val="SCCLsocLastPartyInRole"/>
        <w:rPr>
          <w:lang w:val="fr-CA"/>
        </w:rPr>
      </w:pPr>
      <w:r>
        <w:rPr>
          <w:lang w:val="fr-CA"/>
        </w:rPr>
        <w:t>Sa Majesté la Reine</w:t>
      </w:r>
      <w:r>
        <w:rPr>
          <w:rStyle w:val="SCCLsocPartyRole"/>
          <w:lang w:val="fr-CA"/>
        </w:rPr>
        <w:tab/>
        <w:t>Appelante</w:t>
      </w:r>
    </w:p>
    <w:p w14:paraId="12D12BCE" w14:textId="77777777" w:rsidR="003B3078" w:rsidRPr="001F730C" w:rsidRDefault="003B3078" w:rsidP="003B3078">
      <w:pPr>
        <w:pStyle w:val="SCCLsocVersus"/>
        <w:rPr>
          <w:lang w:val="fr-CA"/>
        </w:rPr>
      </w:pPr>
      <w:r w:rsidRPr="001F730C">
        <w:rPr>
          <w:lang w:val="fr-CA"/>
        </w:rPr>
        <w:t>c.</w:t>
      </w:r>
    </w:p>
    <w:p w14:paraId="7D8A2698" w14:textId="77777777" w:rsidR="003B3078" w:rsidRPr="001F730C" w:rsidRDefault="003E06F8" w:rsidP="003B3078">
      <w:pPr>
        <w:pStyle w:val="SCCLsocLastPartyInRole"/>
        <w:rPr>
          <w:lang w:val="fr-CA"/>
        </w:rPr>
      </w:pPr>
      <w:r>
        <w:rPr>
          <w:lang w:val="fr-CA"/>
        </w:rPr>
        <w:t>Thomas Slatter</w:t>
      </w:r>
      <w:r>
        <w:rPr>
          <w:rStyle w:val="SCCLsocPartyRole"/>
          <w:lang w:val="fr-CA"/>
        </w:rPr>
        <w:tab/>
        <w:t>Intimé</w:t>
      </w:r>
    </w:p>
    <w:p w14:paraId="37F78E3B" w14:textId="77777777" w:rsidR="004D7D95" w:rsidRPr="001D666D" w:rsidRDefault="00F144FD" w:rsidP="001D666D">
      <w:pPr>
        <w:pStyle w:val="SCCLsocVersus"/>
        <w:rPr>
          <w:i w:val="0"/>
          <w:lang w:val="fr-CA"/>
        </w:rPr>
      </w:pPr>
      <w:r>
        <w:rPr>
          <w:i w:val="0"/>
          <w:lang w:val="fr-CA"/>
        </w:rPr>
        <w:t>et</w:t>
      </w:r>
    </w:p>
    <w:p w14:paraId="2F182E66" w14:textId="77777777" w:rsidR="00A52849" w:rsidRPr="00A52849" w:rsidRDefault="00A52849" w:rsidP="00A52849">
      <w:pPr>
        <w:pStyle w:val="SCCLsocParty"/>
        <w:rPr>
          <w:lang w:val="fr-CA"/>
        </w:rPr>
      </w:pPr>
      <w:r>
        <w:rPr>
          <w:lang w:val="fr-CA"/>
        </w:rPr>
        <w:t>Inclusion Canada (anciennement connue sous le nom d</w:t>
      </w:r>
      <w:r w:rsidR="00122F4E">
        <w:rPr>
          <w:lang w:val="fr-CA"/>
        </w:rPr>
        <w:t>’</w:t>
      </w:r>
      <w:r>
        <w:rPr>
          <w:lang w:val="fr-CA"/>
        </w:rPr>
        <w:t>Association canadienne pour l</w:t>
      </w:r>
      <w:r w:rsidR="00122F4E">
        <w:rPr>
          <w:lang w:val="fr-CA"/>
        </w:rPr>
        <w:t>’</w:t>
      </w:r>
      <w:r>
        <w:rPr>
          <w:lang w:val="fr-CA"/>
        </w:rPr>
        <w:t>intégration communautaire),</w:t>
      </w:r>
    </w:p>
    <w:p w14:paraId="4DB8C50A" w14:textId="77777777" w:rsidR="00A52849" w:rsidRPr="00A52849" w:rsidRDefault="00A52849" w:rsidP="00A52849">
      <w:pPr>
        <w:pStyle w:val="SCCLsocParty"/>
        <w:rPr>
          <w:lang w:val="fr-CA"/>
        </w:rPr>
      </w:pPr>
      <w:r w:rsidRPr="00A52849">
        <w:rPr>
          <w:lang w:val="fr-CA"/>
        </w:rPr>
        <w:t>Fonds d</w:t>
      </w:r>
      <w:r w:rsidR="00122F4E">
        <w:rPr>
          <w:lang w:val="fr-CA"/>
        </w:rPr>
        <w:t>’</w:t>
      </w:r>
      <w:r w:rsidRPr="00A52849">
        <w:rPr>
          <w:lang w:val="fr-CA"/>
        </w:rPr>
        <w:t>action et d</w:t>
      </w:r>
      <w:r w:rsidR="00122F4E">
        <w:rPr>
          <w:lang w:val="fr-CA"/>
        </w:rPr>
        <w:t>’</w:t>
      </w:r>
      <w:r w:rsidRPr="00A52849">
        <w:rPr>
          <w:lang w:val="fr-CA"/>
        </w:rPr>
        <w:t>éducation juridique</w:t>
      </w:r>
      <w:r w:rsidR="00623E51">
        <w:rPr>
          <w:lang w:val="fr-CA"/>
        </w:rPr>
        <w:t>s</w:t>
      </w:r>
      <w:r w:rsidRPr="00A52849">
        <w:rPr>
          <w:lang w:val="fr-CA"/>
        </w:rPr>
        <w:t xml:space="preserve"> pour les femmes,</w:t>
      </w:r>
    </w:p>
    <w:p w14:paraId="446BDD22" w14:textId="77777777" w:rsidR="00A52849" w:rsidRPr="00A52849" w:rsidRDefault="00A52849" w:rsidP="00A52849">
      <w:pPr>
        <w:pStyle w:val="SCCLsocParty"/>
        <w:rPr>
          <w:lang w:val="fr-CA"/>
        </w:rPr>
      </w:pPr>
      <w:r w:rsidRPr="00A52849">
        <w:rPr>
          <w:lang w:val="fr-CA"/>
        </w:rPr>
        <w:t>Réseau d</w:t>
      </w:r>
      <w:r w:rsidR="00122F4E">
        <w:rPr>
          <w:lang w:val="fr-CA"/>
        </w:rPr>
        <w:t>’</w:t>
      </w:r>
      <w:r w:rsidRPr="00A52849">
        <w:rPr>
          <w:lang w:val="fr-CA"/>
        </w:rPr>
        <w:t>action des femmes handicapées,</w:t>
      </w:r>
    </w:p>
    <w:p w14:paraId="790F4CA5" w14:textId="77777777" w:rsidR="00A52849" w:rsidRDefault="00A52849" w:rsidP="00A52849">
      <w:pPr>
        <w:pStyle w:val="SCCLsocParty"/>
      </w:pPr>
      <w:r>
        <w:t>ARCH Disability Law Centre,</w:t>
      </w:r>
    </w:p>
    <w:p w14:paraId="5AFC5A57" w14:textId="77777777" w:rsidR="00A52849" w:rsidRDefault="00A52849" w:rsidP="00A52849">
      <w:pPr>
        <w:pStyle w:val="SCCLsocParty"/>
      </w:pPr>
      <w:r>
        <w:t>Barbra Schlifer Commemorative Clinic et</w:t>
      </w:r>
    </w:p>
    <w:p w14:paraId="1E2293F3" w14:textId="77777777" w:rsidR="00C1073B" w:rsidRPr="00A52849" w:rsidRDefault="00122F4E" w:rsidP="00A52849">
      <w:pPr>
        <w:pStyle w:val="SCCLsocLastPartyInRole"/>
        <w:rPr>
          <w:lang w:val="en-US"/>
        </w:rPr>
      </w:pPr>
      <w:r>
        <w:rPr>
          <w:lang w:val="en-US"/>
        </w:rPr>
        <w:t>Criminal Lawyers’</w:t>
      </w:r>
      <w:r w:rsidR="00A52849" w:rsidRPr="00A52849">
        <w:rPr>
          <w:lang w:val="en-US"/>
        </w:rPr>
        <w:t xml:space="preserve"> Association of Ontario</w:t>
      </w:r>
      <w:r w:rsidR="001F730C" w:rsidRPr="00A52849">
        <w:rPr>
          <w:rStyle w:val="SCCLsocPartyRole"/>
          <w:lang w:val="en-US"/>
        </w:rPr>
        <w:tab/>
      </w:r>
      <w:r w:rsidR="003E06F8" w:rsidRPr="00A52849">
        <w:rPr>
          <w:rStyle w:val="SCCLsocPartyRole"/>
          <w:lang w:val="en-US"/>
        </w:rPr>
        <w:t>Intervenants</w:t>
      </w:r>
    </w:p>
    <w:p w14:paraId="2F928AAC" w14:textId="77777777" w:rsidR="004D7D95" w:rsidRPr="00A52849" w:rsidRDefault="00A52849" w:rsidP="00435319">
      <w:pPr>
        <w:spacing w:after="720"/>
        <w:jc w:val="both"/>
        <w:rPr>
          <w:lang w:val="fr-CA"/>
        </w:rPr>
      </w:pPr>
      <w:r>
        <w:rPr>
          <w:b/>
          <w:lang w:val="fr-CA"/>
        </w:rPr>
        <w:t xml:space="preserve">Répertorié : R. </w:t>
      </w:r>
      <w:r>
        <w:rPr>
          <w:b/>
          <w:i/>
          <w:lang w:val="fr-CA"/>
        </w:rPr>
        <w:t>c.</w:t>
      </w:r>
      <w:r>
        <w:rPr>
          <w:b/>
          <w:lang w:val="fr-CA"/>
        </w:rPr>
        <w:t xml:space="preserve"> Slatter</w:t>
      </w:r>
    </w:p>
    <w:p w14:paraId="23DEC792" w14:textId="77777777" w:rsidR="004D7D95" w:rsidRPr="001F730C" w:rsidRDefault="00D17B0E" w:rsidP="00435319">
      <w:pPr>
        <w:pStyle w:val="SCCSystemYear"/>
        <w:spacing w:after="720"/>
        <w:jc w:val="both"/>
        <w:rPr>
          <w:lang w:val="fr-CA"/>
        </w:rPr>
      </w:pPr>
      <w:r w:rsidRPr="001F730C">
        <w:rPr>
          <w:lang w:val="fr-CA"/>
        </w:rPr>
        <w:t>20</w:t>
      </w:r>
      <w:r w:rsidR="00F144FD">
        <w:rPr>
          <w:lang w:val="fr-CA"/>
        </w:rPr>
        <w:t>20</w:t>
      </w:r>
      <w:r w:rsidR="00A52849">
        <w:rPr>
          <w:lang w:val="fr-CA"/>
        </w:rPr>
        <w:t xml:space="preserve"> CSC 36</w:t>
      </w:r>
    </w:p>
    <w:p w14:paraId="349AF2C6" w14:textId="77777777" w:rsidR="004D7D95" w:rsidRPr="001F730C" w:rsidRDefault="004D7D95" w:rsidP="00435319">
      <w:pPr>
        <w:spacing w:after="720"/>
        <w:jc w:val="both"/>
        <w:rPr>
          <w:lang w:val="fr-CA"/>
        </w:rPr>
      </w:pPr>
      <w:r w:rsidRPr="001F730C">
        <w:rPr>
          <w:lang w:val="fr-CA"/>
        </w:rPr>
        <w:t>N</w:t>
      </w:r>
      <w:r w:rsidRPr="001F730C">
        <w:rPr>
          <w:vertAlign w:val="superscript"/>
          <w:lang w:val="fr-CA"/>
        </w:rPr>
        <w:t>o</w:t>
      </w:r>
      <w:r w:rsidR="00A52849">
        <w:rPr>
          <w:lang w:val="fr-CA"/>
        </w:rPr>
        <w:t xml:space="preserve"> du greffe : 38870</w:t>
      </w:r>
      <w:r w:rsidR="00F06F87">
        <w:rPr>
          <w:lang w:val="fr-CA"/>
        </w:rPr>
        <w:t>.</w:t>
      </w:r>
    </w:p>
    <w:p w14:paraId="37605B64" w14:textId="77777777" w:rsidR="004D7D95" w:rsidRPr="001F730C" w:rsidRDefault="00F144FD" w:rsidP="00F96C55">
      <w:pPr>
        <w:spacing w:after="720"/>
        <w:jc w:val="both"/>
        <w:rPr>
          <w:lang w:val="fr-CA"/>
        </w:rPr>
      </w:pPr>
      <w:r>
        <w:rPr>
          <w:lang w:val="fr-CA"/>
        </w:rPr>
        <w:t>2020</w:t>
      </w:r>
      <w:r w:rsidR="00A52849">
        <w:rPr>
          <w:lang w:val="fr-CA"/>
        </w:rPr>
        <w:t xml:space="preserve"> : 6 novembre.</w:t>
      </w:r>
    </w:p>
    <w:p w14:paraId="069ECD6B" w14:textId="77777777" w:rsidR="00C1073B" w:rsidRPr="001F730C" w:rsidRDefault="004D7D95" w:rsidP="00B00F36">
      <w:pPr>
        <w:spacing w:after="720"/>
        <w:jc w:val="both"/>
        <w:rPr>
          <w:lang w:val="fr-CA"/>
        </w:rPr>
      </w:pPr>
      <w:r w:rsidRPr="00A52849">
        <w:rPr>
          <w:lang w:val="fr-CA"/>
        </w:rPr>
        <w:t>Présents : </w:t>
      </w:r>
      <w:r w:rsidR="00AF6E72" w:rsidRPr="00A52849">
        <w:rPr>
          <w:lang w:val="fr-CA"/>
        </w:rPr>
        <w:t>Le j</w:t>
      </w:r>
      <w:r w:rsidR="00454785">
        <w:rPr>
          <w:lang w:val="fr-CA"/>
        </w:rPr>
        <w:t xml:space="preserve">uge en chef Wagner et les juges Moldaver, Karakatsanis, </w:t>
      </w:r>
      <w:r w:rsidR="00AF6E72" w:rsidRPr="00A52849">
        <w:rPr>
          <w:lang w:val="fr-CA"/>
        </w:rPr>
        <w:t>Brown, Rowe, Martin et Kasirer</w:t>
      </w:r>
      <w:r w:rsidRPr="00A52849">
        <w:rPr>
          <w:lang w:val="fr-CA"/>
        </w:rPr>
        <w:t>.</w:t>
      </w:r>
    </w:p>
    <w:p w14:paraId="153B3D4B" w14:textId="77777777" w:rsidR="00EC0E55" w:rsidRDefault="004D7D95" w:rsidP="00B00F36">
      <w:pPr>
        <w:pStyle w:val="SCCLowerCourtNameLowercase"/>
        <w:spacing w:after="720" w:line="240" w:lineRule="auto"/>
        <w:rPr>
          <w:lang w:val="fr-CA"/>
        </w:rPr>
      </w:pPr>
      <w:r w:rsidRPr="00EC0E55">
        <w:rPr>
          <w:lang w:val="fr-CA"/>
        </w:rPr>
        <w:t xml:space="preserve">en appel de la </w:t>
      </w:r>
      <w:r w:rsidR="00EC0E55">
        <w:rPr>
          <w:lang w:val="fr-CA"/>
        </w:rPr>
        <w:t>cour d</w:t>
      </w:r>
      <w:r w:rsidR="00122F4E">
        <w:rPr>
          <w:lang w:val="fr-CA"/>
        </w:rPr>
        <w:t>’</w:t>
      </w:r>
      <w:r w:rsidR="00454785">
        <w:rPr>
          <w:lang w:val="fr-CA"/>
        </w:rPr>
        <w:t>appel de l</w:t>
      </w:r>
      <w:r w:rsidR="00122F4E">
        <w:rPr>
          <w:lang w:val="fr-CA"/>
        </w:rPr>
        <w:t>’</w:t>
      </w:r>
      <w:r w:rsidR="00454785">
        <w:rPr>
          <w:lang w:val="fr-CA"/>
        </w:rPr>
        <w:t>ontario</w:t>
      </w:r>
    </w:p>
    <w:p w14:paraId="294A7B38" w14:textId="47D23644" w:rsidR="00327CC8" w:rsidRPr="00E33014" w:rsidRDefault="00AF6E72" w:rsidP="00327CC8">
      <w:pPr>
        <w:pStyle w:val="SCCNormalDoubleSpacing"/>
        <w:rPr>
          <w:i/>
          <w:lang w:val="fr-CA"/>
        </w:rPr>
      </w:pPr>
      <w:r>
        <w:rPr>
          <w:lang w:val="fr-CA"/>
        </w:rPr>
        <w:lastRenderedPageBreak/>
        <w:tab/>
      </w:r>
      <w:r w:rsidR="00327CC8" w:rsidRPr="00E33014">
        <w:rPr>
          <w:i/>
          <w:lang w:val="fr-CA"/>
        </w:rPr>
        <w:t>Droit criminel — Procès — Jugements — Motifs de jugement — Caractère suffisant des motifs — Preuve — Fiabilité et crédibilité — Témoin ayant une déficience intellectuelle ou développementale — Accusé déclaré coupable au procès d’avoir agressé sexuellement une plaignante ayant une déficience intellectuelle et développementale</w:t>
      </w:r>
      <w:r w:rsidR="00327CC8">
        <w:rPr>
          <w:i/>
          <w:lang w:val="fr-CA"/>
        </w:rPr>
        <w:t xml:space="preserve"> </w:t>
      </w:r>
      <w:r w:rsidR="00327CC8" w:rsidRPr="000F676D">
        <w:rPr>
          <w:i/>
          <w:lang w:val="fr-CA"/>
        </w:rPr>
        <w:t>— Décision majoritaire de la Cour d’appel concluant à l’insuffisance des motifs parce qu’ils ne traitaient pas de la fiabilité du témoignage de la plaignante eu égard à la preuve d’expert concernant sa suggestibilité et qu’ils n’expos</w:t>
      </w:r>
      <w:r w:rsidR="00327CC8">
        <w:rPr>
          <w:i/>
          <w:lang w:val="fr-CA"/>
        </w:rPr>
        <w:t>ai</w:t>
      </w:r>
      <w:r w:rsidR="00327CC8" w:rsidRPr="000F676D">
        <w:rPr>
          <w:i/>
          <w:lang w:val="fr-CA"/>
        </w:rPr>
        <w:t>ent pas les raisons du rejet de la preuve de la défense —</w:t>
      </w:r>
      <w:r w:rsidR="00786A8F">
        <w:rPr>
          <w:i/>
          <w:lang w:val="fr-CA"/>
        </w:rPr>
        <w:t xml:space="preserve"> </w:t>
      </w:r>
      <w:r w:rsidR="00327CC8" w:rsidRPr="000F676D">
        <w:rPr>
          <w:i/>
          <w:lang w:val="fr-CA"/>
        </w:rPr>
        <w:t>Décision major</w:t>
      </w:r>
      <w:r w:rsidR="00327CC8" w:rsidRPr="00E33014">
        <w:rPr>
          <w:i/>
          <w:lang w:val="fr-CA"/>
        </w:rPr>
        <w:t>itaire de la Cour d’appel écartant la d</w:t>
      </w:r>
      <w:r w:rsidR="00327CC8">
        <w:rPr>
          <w:i/>
          <w:lang w:val="fr-CA"/>
        </w:rPr>
        <w:t>é</w:t>
      </w:r>
      <w:r w:rsidR="00327CC8" w:rsidRPr="00E33014">
        <w:rPr>
          <w:i/>
          <w:lang w:val="fr-CA"/>
        </w:rPr>
        <w:t>claration de culpabilité et or</w:t>
      </w:r>
      <w:r w:rsidR="00327CC8">
        <w:rPr>
          <w:i/>
          <w:lang w:val="fr-CA"/>
        </w:rPr>
        <w:t>donnant la tenue d’un nouveau procès</w:t>
      </w:r>
      <w:r w:rsidR="00327CC8" w:rsidRPr="00E33014">
        <w:rPr>
          <w:i/>
          <w:lang w:val="fr-CA"/>
        </w:rPr>
        <w:t xml:space="preserve"> — D</w:t>
      </w:r>
      <w:r w:rsidR="00327CC8">
        <w:rPr>
          <w:i/>
          <w:lang w:val="fr-CA"/>
        </w:rPr>
        <w:t xml:space="preserve">écision de la juge dissidente portant que les motifs du juge du procès permettaient un véritable examen en appel parce qu’ils traitaient adéquatement de la fiabilité du témoignage de la plaignante et parce que le rejet par le juge du procès de la preuve de la défense ressortait implicitement de </w:t>
      </w:r>
      <w:r w:rsidR="00327CC8" w:rsidRPr="0078266D">
        <w:rPr>
          <w:i/>
          <w:lang w:val="fr-CA"/>
        </w:rPr>
        <w:t>son acceptation</w:t>
      </w:r>
      <w:r w:rsidR="00327CC8">
        <w:rPr>
          <w:i/>
          <w:lang w:val="fr-CA"/>
        </w:rPr>
        <w:t xml:space="preserve"> raisonnée du témoignage de la plaignante</w:t>
      </w:r>
      <w:r w:rsidR="00327CC8" w:rsidRPr="00E33014">
        <w:rPr>
          <w:i/>
          <w:lang w:val="fr-CA"/>
        </w:rPr>
        <w:t xml:space="preserve"> — Déclaration de culpabilité rétablie.</w:t>
      </w:r>
    </w:p>
    <w:p w14:paraId="6B42FD29" w14:textId="1242D74E" w:rsidR="00AF6E72" w:rsidRPr="004D7D95" w:rsidRDefault="00AF6E72" w:rsidP="00AF6E72">
      <w:pPr>
        <w:pStyle w:val="SCCNormalDoubleSpacing"/>
        <w:rPr>
          <w:lang w:val="fr-CA"/>
        </w:rPr>
      </w:pPr>
    </w:p>
    <w:p w14:paraId="03F703D6" w14:textId="33F95453" w:rsidR="009A7F24" w:rsidRPr="00BB6C9C" w:rsidRDefault="00425824" w:rsidP="009A7F24">
      <w:pPr>
        <w:pStyle w:val="SCCNormalDoubleSpacing"/>
        <w:rPr>
          <w:lang w:val="fr-CA"/>
        </w:rPr>
      </w:pPr>
      <w:r w:rsidRPr="003D3684">
        <w:rPr>
          <w:lang w:val="fr-CA"/>
        </w:rPr>
        <w:tab/>
      </w:r>
      <w:r w:rsidR="004D7D95" w:rsidRPr="004D7D95">
        <w:rPr>
          <w:lang w:val="fr-CA"/>
        </w:rPr>
        <w:t>POURVO</w:t>
      </w:r>
      <w:r w:rsidR="004D7D95" w:rsidRPr="00817D4B">
        <w:rPr>
          <w:lang w:val="fr-CA"/>
        </w:rPr>
        <w:t>I</w:t>
      </w:r>
      <w:r w:rsidR="004D7D95" w:rsidRPr="004D7D95">
        <w:rPr>
          <w:lang w:val="fr-CA"/>
        </w:rPr>
        <w:t xml:space="preserve"> contre un arrêt de la </w:t>
      </w:r>
      <w:r>
        <w:rPr>
          <w:lang w:val="fr-CA"/>
        </w:rPr>
        <w:t>Cour d</w:t>
      </w:r>
      <w:r w:rsidR="00122F4E">
        <w:rPr>
          <w:lang w:val="fr-CA"/>
        </w:rPr>
        <w:t>’</w:t>
      </w:r>
      <w:r w:rsidR="00BB6C9C">
        <w:rPr>
          <w:lang w:val="fr-CA"/>
        </w:rPr>
        <w:t>appel de l</w:t>
      </w:r>
      <w:r w:rsidR="00122F4E">
        <w:rPr>
          <w:lang w:val="fr-CA"/>
        </w:rPr>
        <w:t>’</w:t>
      </w:r>
      <w:r w:rsidR="00BB6C9C">
        <w:rPr>
          <w:lang w:val="fr-CA"/>
        </w:rPr>
        <w:t xml:space="preserve">Ontario (les juges Doherty, Pepall et Trotter), </w:t>
      </w:r>
      <w:r w:rsidR="00BB6C9C" w:rsidRPr="00BB6C9C">
        <w:rPr>
          <w:lang w:val="fr-CA"/>
        </w:rPr>
        <w:t xml:space="preserve">2019 ONCA 807, 148 O.R. (3d) 81, </w:t>
      </w:r>
      <w:r w:rsidR="001F23A1">
        <w:rPr>
          <w:lang w:val="fr-CA"/>
        </w:rPr>
        <w:t xml:space="preserve">452 D.L.R. (4th) 4, </w:t>
      </w:r>
      <w:r w:rsidR="00BB6C9C" w:rsidRPr="00BB6C9C">
        <w:rPr>
          <w:lang w:val="fr-CA"/>
        </w:rPr>
        <w:t>58 C.R. (7th) 18, 382 C.C.C. (3d) 245, [2019] O.J. No. 5073 (QL), 2019 CarswellOnt 16055 (WL Can</w:t>
      </w:r>
      <w:r w:rsidR="00BB6C9C" w:rsidRPr="00337925">
        <w:rPr>
          <w:lang w:val="fr-CA"/>
        </w:rPr>
        <w:t>.), qui a annulé la déclaration de culpabilité pour agression sexuelle prononcée contre l</w:t>
      </w:r>
      <w:r w:rsidR="00122F4E" w:rsidRPr="00337925">
        <w:rPr>
          <w:lang w:val="fr-CA"/>
        </w:rPr>
        <w:t>’</w:t>
      </w:r>
      <w:r w:rsidR="00BB6C9C" w:rsidRPr="00337925">
        <w:rPr>
          <w:lang w:val="fr-CA"/>
        </w:rPr>
        <w:t xml:space="preserve">accusé et ordonné </w:t>
      </w:r>
      <w:r w:rsidR="00337925" w:rsidRPr="00337925">
        <w:rPr>
          <w:lang w:val="fr-CA"/>
        </w:rPr>
        <w:t>la tenue d’</w:t>
      </w:r>
      <w:r w:rsidR="00BB6C9C" w:rsidRPr="00337925">
        <w:rPr>
          <w:lang w:val="fr-CA"/>
        </w:rPr>
        <w:t>un nouveau procès. Pourvoi accueilli.</w:t>
      </w:r>
    </w:p>
    <w:p w14:paraId="365AD89F" w14:textId="77777777" w:rsidR="004D7D95" w:rsidRPr="004D7D95" w:rsidRDefault="004D7D95" w:rsidP="004D7D95">
      <w:pPr>
        <w:pStyle w:val="SCCNormalDoubleSpacing"/>
        <w:rPr>
          <w:lang w:val="fr-CA"/>
        </w:rPr>
      </w:pPr>
    </w:p>
    <w:p w14:paraId="56352839" w14:textId="77777777" w:rsidR="006772DB" w:rsidRPr="006772DB" w:rsidRDefault="006772DB" w:rsidP="006772DB">
      <w:pPr>
        <w:pStyle w:val="SCCNormalDoubleSpacing"/>
        <w:rPr>
          <w:lang w:val="fr-CA"/>
        </w:rPr>
      </w:pPr>
      <w:r w:rsidRPr="007948E4">
        <w:rPr>
          <w:lang w:val="fr-CA"/>
        </w:rPr>
        <w:tab/>
      </w:r>
      <w:r w:rsidR="003258BB" w:rsidRPr="003258BB">
        <w:rPr>
          <w:i/>
          <w:lang w:val="fr-CA"/>
        </w:rPr>
        <w:t xml:space="preserve">Jamie Klukach </w:t>
      </w:r>
      <w:r w:rsidR="003258BB" w:rsidRPr="003258BB">
        <w:rPr>
          <w:lang w:val="fr-CA"/>
        </w:rPr>
        <w:t xml:space="preserve">et </w:t>
      </w:r>
      <w:r w:rsidR="003258BB" w:rsidRPr="003258BB">
        <w:rPr>
          <w:rStyle w:val="SCCCounselNameChar"/>
          <w:lang w:val="fr-CA"/>
        </w:rPr>
        <w:t>Caitlin Sharawy</w:t>
      </w:r>
      <w:r w:rsidR="003258BB">
        <w:rPr>
          <w:lang w:val="fr-CA"/>
        </w:rPr>
        <w:t>, pour l</w:t>
      </w:r>
      <w:r w:rsidR="00122F4E">
        <w:rPr>
          <w:lang w:val="fr-CA"/>
        </w:rPr>
        <w:t>’</w:t>
      </w:r>
      <w:r w:rsidR="003258BB">
        <w:rPr>
          <w:lang w:val="fr-CA"/>
        </w:rPr>
        <w:t>appelante.</w:t>
      </w:r>
    </w:p>
    <w:p w14:paraId="5054F217" w14:textId="77777777" w:rsidR="006772DB" w:rsidRPr="006772DB" w:rsidRDefault="006772DB" w:rsidP="006772DB">
      <w:pPr>
        <w:pStyle w:val="SCCNormalDoubleSpacing"/>
        <w:rPr>
          <w:lang w:val="fr-CA"/>
        </w:rPr>
      </w:pPr>
    </w:p>
    <w:p w14:paraId="65D83EF6" w14:textId="77777777" w:rsidR="004762A1" w:rsidRDefault="006772DB" w:rsidP="00100075">
      <w:pPr>
        <w:pStyle w:val="SCCNormalDoubleSpacing"/>
        <w:rPr>
          <w:rStyle w:val="SCCCounselPartyRoleChar"/>
          <w:lang w:val="fr-CA"/>
        </w:rPr>
      </w:pPr>
      <w:r w:rsidRPr="006772DB">
        <w:rPr>
          <w:rStyle w:val="SCCCounselNameChar"/>
          <w:lang w:val="fr-CA"/>
        </w:rPr>
        <w:tab/>
      </w:r>
      <w:r w:rsidR="003258BB" w:rsidRPr="003258BB">
        <w:rPr>
          <w:rStyle w:val="SCCCounselNameChar"/>
          <w:lang w:val="fr-CA"/>
        </w:rPr>
        <w:t>Robert J. Reynolds</w:t>
      </w:r>
      <w:r w:rsidR="003258BB" w:rsidRPr="003258BB">
        <w:rPr>
          <w:rStyle w:val="SCCCounselSeparatorChar"/>
          <w:lang w:val="fr-CA"/>
        </w:rPr>
        <w:t xml:space="preserve"> et </w:t>
      </w:r>
      <w:r w:rsidR="003258BB" w:rsidRPr="003258BB">
        <w:rPr>
          <w:rStyle w:val="SCCCounselNameChar"/>
          <w:lang w:val="fr-CA"/>
        </w:rPr>
        <w:t>Mike Pretsell</w:t>
      </w:r>
      <w:r w:rsidRPr="006772DB">
        <w:rPr>
          <w:rStyle w:val="SCCCounselPartyRoleChar"/>
          <w:lang w:val="fr-CA"/>
        </w:rPr>
        <w:t xml:space="preserve">, </w:t>
      </w:r>
      <w:r w:rsidR="003258BB">
        <w:rPr>
          <w:rStyle w:val="SCCCounselPartyRoleChar"/>
          <w:lang w:val="fr-CA"/>
        </w:rPr>
        <w:t>pour l</w:t>
      </w:r>
      <w:r w:rsidR="00122F4E">
        <w:rPr>
          <w:rStyle w:val="SCCCounselPartyRoleChar"/>
          <w:lang w:val="fr-CA"/>
        </w:rPr>
        <w:t>’</w:t>
      </w:r>
      <w:r w:rsidR="003258BB">
        <w:rPr>
          <w:rStyle w:val="SCCCounselPartyRoleChar"/>
          <w:lang w:val="fr-CA"/>
        </w:rPr>
        <w:t>intimé.</w:t>
      </w:r>
    </w:p>
    <w:p w14:paraId="33F43EB5" w14:textId="77777777" w:rsidR="00E5170F" w:rsidRDefault="00E5170F" w:rsidP="00100075">
      <w:pPr>
        <w:pStyle w:val="SCCNormalDoubleSpacing"/>
        <w:rPr>
          <w:rStyle w:val="SCCCounselPartyRoleChar"/>
          <w:lang w:val="fr-CA"/>
        </w:rPr>
      </w:pPr>
    </w:p>
    <w:p w14:paraId="3C166957" w14:textId="77777777" w:rsidR="00E5170F" w:rsidRDefault="00E5170F" w:rsidP="00E5170F">
      <w:pPr>
        <w:pStyle w:val="SCCNormalDoubleSpacing"/>
        <w:rPr>
          <w:lang w:val="fr-CA"/>
        </w:rPr>
      </w:pPr>
      <w:r w:rsidRPr="006772DB">
        <w:rPr>
          <w:rStyle w:val="SCCCounselNameChar"/>
          <w:lang w:val="fr-CA"/>
        </w:rPr>
        <w:tab/>
      </w:r>
      <w:r w:rsidR="003258BB" w:rsidRPr="003258BB">
        <w:rPr>
          <w:rStyle w:val="SCCCounselNameChar"/>
          <w:lang w:val="fr-CA"/>
        </w:rPr>
        <w:t>Janine Benedet</w:t>
      </w:r>
      <w:r w:rsidRPr="006772DB">
        <w:rPr>
          <w:rStyle w:val="SCCCounselPartyRoleChar"/>
          <w:lang w:val="fr-CA"/>
        </w:rPr>
        <w:t xml:space="preserve">, </w:t>
      </w:r>
      <w:r w:rsidR="00E10705">
        <w:rPr>
          <w:rStyle w:val="SCCCounselPartyRoleChar"/>
          <w:lang w:val="fr-CA"/>
        </w:rPr>
        <w:t>pour l</w:t>
      </w:r>
      <w:r w:rsidR="00122F4E">
        <w:rPr>
          <w:rStyle w:val="SCCCounselPartyRoleChar"/>
          <w:lang w:val="fr-CA"/>
        </w:rPr>
        <w:t>’</w:t>
      </w:r>
      <w:r w:rsidR="00E10705">
        <w:rPr>
          <w:rStyle w:val="SCCCounselPartyRoleChar"/>
          <w:lang w:val="fr-CA"/>
        </w:rPr>
        <w:t xml:space="preserve">intervenante </w:t>
      </w:r>
      <w:r w:rsidR="003258BB" w:rsidRPr="003258BB">
        <w:rPr>
          <w:lang w:val="fr-CA"/>
        </w:rPr>
        <w:t>Inclusion Canada</w:t>
      </w:r>
      <w:r w:rsidR="003258BB">
        <w:rPr>
          <w:lang w:val="fr-CA"/>
        </w:rPr>
        <w:t xml:space="preserve"> (anciennement </w:t>
      </w:r>
      <w:r w:rsidR="003258BB" w:rsidRPr="003258BB">
        <w:rPr>
          <w:lang w:val="fr-CA"/>
        </w:rPr>
        <w:t>connue sous le nom d</w:t>
      </w:r>
      <w:r w:rsidR="00122F4E">
        <w:rPr>
          <w:lang w:val="fr-CA"/>
        </w:rPr>
        <w:t>’</w:t>
      </w:r>
      <w:r w:rsidR="003258BB" w:rsidRPr="003258BB">
        <w:rPr>
          <w:lang w:val="fr-CA"/>
        </w:rPr>
        <w:t>Association canadienne pour l</w:t>
      </w:r>
      <w:r w:rsidR="00122F4E">
        <w:rPr>
          <w:lang w:val="fr-CA"/>
        </w:rPr>
        <w:t>’</w:t>
      </w:r>
      <w:r w:rsidR="003258BB" w:rsidRPr="003258BB">
        <w:rPr>
          <w:lang w:val="fr-CA"/>
        </w:rPr>
        <w:t>intégration communautaire)</w:t>
      </w:r>
      <w:r w:rsidR="003258BB">
        <w:rPr>
          <w:lang w:val="fr-CA"/>
        </w:rPr>
        <w:t>.</w:t>
      </w:r>
    </w:p>
    <w:p w14:paraId="42D4024D" w14:textId="77777777" w:rsidR="003258BB" w:rsidRDefault="003258BB" w:rsidP="00E5170F">
      <w:pPr>
        <w:pStyle w:val="SCCNormalDoubleSpacing"/>
        <w:rPr>
          <w:lang w:val="fr-CA"/>
        </w:rPr>
      </w:pPr>
    </w:p>
    <w:p w14:paraId="5A6919B0" w14:textId="4E063024" w:rsidR="003258BB" w:rsidRDefault="003258BB" w:rsidP="00E5170F">
      <w:pPr>
        <w:pStyle w:val="SCCNormalDoubleSpacing"/>
        <w:rPr>
          <w:rStyle w:val="SCCCounselPartyRoleChar"/>
          <w:lang w:val="fr-CA"/>
        </w:rPr>
      </w:pPr>
      <w:r>
        <w:rPr>
          <w:lang w:val="fr-CA"/>
        </w:rPr>
        <w:tab/>
      </w:r>
      <w:r w:rsidRPr="003258BB">
        <w:rPr>
          <w:rStyle w:val="SCCCounselNameChar"/>
          <w:lang w:val="fr-CA"/>
        </w:rPr>
        <w:t>Suzan E. Fraser</w:t>
      </w:r>
      <w:r>
        <w:rPr>
          <w:rStyle w:val="SCCCounselNameChar"/>
          <w:i w:val="0"/>
          <w:lang w:val="fr-CA"/>
        </w:rPr>
        <w:t>, pour les intervenants Fonds d</w:t>
      </w:r>
      <w:r w:rsidR="00122F4E">
        <w:rPr>
          <w:rStyle w:val="SCCCounselNameChar"/>
          <w:i w:val="0"/>
          <w:lang w:val="fr-CA"/>
        </w:rPr>
        <w:t>’</w:t>
      </w:r>
      <w:r>
        <w:rPr>
          <w:rStyle w:val="SCCCounselNameChar"/>
          <w:i w:val="0"/>
          <w:lang w:val="fr-CA"/>
        </w:rPr>
        <w:t>action et d</w:t>
      </w:r>
      <w:r w:rsidR="00122F4E">
        <w:rPr>
          <w:rStyle w:val="SCCCounselNameChar"/>
          <w:i w:val="0"/>
          <w:lang w:val="fr-CA"/>
        </w:rPr>
        <w:t>’</w:t>
      </w:r>
      <w:r>
        <w:rPr>
          <w:rStyle w:val="SCCCounselNameChar"/>
          <w:i w:val="0"/>
          <w:lang w:val="fr-CA"/>
        </w:rPr>
        <w:t>éducation juridique</w:t>
      </w:r>
      <w:r w:rsidR="00337925">
        <w:rPr>
          <w:rStyle w:val="SCCCounselNameChar"/>
          <w:i w:val="0"/>
          <w:lang w:val="fr-CA"/>
        </w:rPr>
        <w:t>s</w:t>
      </w:r>
      <w:r>
        <w:rPr>
          <w:rStyle w:val="SCCCounselNameChar"/>
          <w:i w:val="0"/>
          <w:lang w:val="fr-CA"/>
        </w:rPr>
        <w:t xml:space="preserve"> pour les femmes, Réseau d</w:t>
      </w:r>
      <w:r w:rsidR="00122F4E">
        <w:rPr>
          <w:rStyle w:val="SCCCounselNameChar"/>
          <w:i w:val="0"/>
          <w:lang w:val="fr-CA"/>
        </w:rPr>
        <w:t>’</w:t>
      </w:r>
      <w:r>
        <w:rPr>
          <w:rStyle w:val="SCCCounselNameChar"/>
          <w:i w:val="0"/>
          <w:lang w:val="fr-CA"/>
        </w:rPr>
        <w:t xml:space="preserve">action des femmes handicapées et </w:t>
      </w:r>
      <w:r w:rsidRPr="003258BB">
        <w:rPr>
          <w:rStyle w:val="SCCCounselPartyRoleChar"/>
          <w:lang w:val="fr-CA"/>
        </w:rPr>
        <w:t>ARCH Disability Law Centre.</w:t>
      </w:r>
    </w:p>
    <w:p w14:paraId="0D0B6D5A" w14:textId="77777777" w:rsidR="003258BB" w:rsidRDefault="003258BB" w:rsidP="00E5170F">
      <w:pPr>
        <w:pStyle w:val="SCCNormalDoubleSpacing"/>
        <w:rPr>
          <w:rStyle w:val="SCCCounselPartyRoleChar"/>
          <w:lang w:val="fr-CA"/>
        </w:rPr>
      </w:pPr>
    </w:p>
    <w:p w14:paraId="0A6EC534" w14:textId="77777777" w:rsidR="003258BB" w:rsidRPr="00BB6C9C" w:rsidRDefault="003258BB" w:rsidP="00E5170F">
      <w:pPr>
        <w:pStyle w:val="SCCNormalDoubleSpacing"/>
        <w:rPr>
          <w:lang w:val="fr-CA"/>
        </w:rPr>
      </w:pPr>
      <w:r>
        <w:rPr>
          <w:rStyle w:val="SCCCounselPartyRoleChar"/>
          <w:lang w:val="fr-CA"/>
        </w:rPr>
        <w:tab/>
      </w:r>
      <w:r w:rsidRPr="00BB6C9C">
        <w:rPr>
          <w:i/>
          <w:lang w:val="fr-CA"/>
        </w:rPr>
        <w:t>Deepa Mattoo</w:t>
      </w:r>
      <w:r w:rsidRPr="00BB6C9C">
        <w:rPr>
          <w:lang w:val="fr-CA"/>
        </w:rPr>
        <w:t>, pour l</w:t>
      </w:r>
      <w:r w:rsidR="00122F4E">
        <w:rPr>
          <w:lang w:val="fr-CA"/>
        </w:rPr>
        <w:t>’</w:t>
      </w:r>
      <w:r w:rsidRPr="00BB6C9C">
        <w:rPr>
          <w:lang w:val="fr-CA"/>
        </w:rPr>
        <w:t>intervenante Barbra Schlifer Commemorative Clinic.</w:t>
      </w:r>
    </w:p>
    <w:p w14:paraId="56901582" w14:textId="77777777" w:rsidR="003258BB" w:rsidRPr="00BB6C9C" w:rsidRDefault="003258BB" w:rsidP="00E5170F">
      <w:pPr>
        <w:pStyle w:val="SCCNormalDoubleSpacing"/>
        <w:rPr>
          <w:lang w:val="fr-CA"/>
        </w:rPr>
      </w:pPr>
    </w:p>
    <w:p w14:paraId="70961037" w14:textId="77777777" w:rsidR="003258BB" w:rsidRPr="00BB6C9C" w:rsidRDefault="003258BB" w:rsidP="00E5170F">
      <w:pPr>
        <w:pStyle w:val="SCCNormalDoubleSpacing"/>
        <w:rPr>
          <w:rStyle w:val="SCCCounselPartyRoleChar"/>
          <w:lang w:val="fr-CA"/>
        </w:rPr>
      </w:pPr>
      <w:r w:rsidRPr="00BB6C9C">
        <w:rPr>
          <w:rStyle w:val="SCCCounselPartyRoleChar"/>
          <w:lang w:val="fr-CA"/>
        </w:rPr>
        <w:tab/>
      </w:r>
      <w:r w:rsidRPr="00BB6C9C">
        <w:rPr>
          <w:i/>
          <w:lang w:val="fr-CA"/>
        </w:rPr>
        <w:t>Matthew R. Gourlay</w:t>
      </w:r>
      <w:r w:rsidRPr="00BB6C9C">
        <w:rPr>
          <w:lang w:val="fr-CA"/>
        </w:rPr>
        <w:t>, pour l</w:t>
      </w:r>
      <w:r w:rsidR="00122F4E">
        <w:rPr>
          <w:lang w:val="fr-CA"/>
        </w:rPr>
        <w:t>’</w:t>
      </w:r>
      <w:r w:rsidRPr="00BB6C9C">
        <w:rPr>
          <w:lang w:val="fr-CA"/>
        </w:rPr>
        <w:t>intervenante Criminal Lawyers</w:t>
      </w:r>
      <w:r w:rsidR="00122F4E">
        <w:rPr>
          <w:lang w:val="fr-CA"/>
        </w:rPr>
        <w:t>’</w:t>
      </w:r>
      <w:r w:rsidRPr="00BB6C9C">
        <w:rPr>
          <w:lang w:val="fr-CA"/>
        </w:rPr>
        <w:t xml:space="preserve"> Association of Ontario.</w:t>
      </w:r>
    </w:p>
    <w:p w14:paraId="33EAA924" w14:textId="77777777" w:rsidR="00024474" w:rsidRDefault="00024474" w:rsidP="00024474">
      <w:pPr>
        <w:pStyle w:val="SCCNormalDoubleSpacing"/>
        <w:spacing w:before="480" w:after="480"/>
        <w:rPr>
          <w:lang w:val="fr-CA"/>
        </w:rPr>
      </w:pPr>
      <w:r w:rsidRPr="00BB6C9C">
        <w:rPr>
          <w:lang w:val="fr-CA"/>
        </w:rPr>
        <w:tab/>
      </w:r>
      <w:r w:rsidRPr="00827A82">
        <w:rPr>
          <w:lang w:val="fr-CA"/>
        </w:rPr>
        <w:t>Version française d</w:t>
      </w:r>
      <w:r w:rsidR="00063F6C" w:rsidRPr="00827A82">
        <w:rPr>
          <w:lang w:val="fr-CA"/>
        </w:rPr>
        <w:t>u</w:t>
      </w:r>
      <w:r w:rsidRPr="00827A82">
        <w:rPr>
          <w:lang w:val="fr-CA"/>
        </w:rPr>
        <w:t xml:space="preserve"> jugement de la Cour rendu oralement par</w:t>
      </w:r>
    </w:p>
    <w:p w14:paraId="4C678891" w14:textId="7133F35E" w:rsidR="004300CF" w:rsidRPr="004300CF" w:rsidRDefault="004300CF" w:rsidP="00E719B5">
      <w:pPr>
        <w:pStyle w:val="SCCNormalDoubleSpacing"/>
        <w:spacing w:before="480" w:after="480"/>
        <w:rPr>
          <w:color w:val="000000"/>
          <w:szCs w:val="24"/>
          <w:lang w:val="fr-CA" w:eastAsia="en-US"/>
        </w:rPr>
      </w:pPr>
      <w:r w:rsidRPr="004300CF">
        <w:rPr>
          <w:szCs w:val="24"/>
          <w:lang w:val="fr-CA"/>
        </w:rPr>
        <w:t>[</w:t>
      </w:r>
      <w:r w:rsidR="00E719B5">
        <w:rPr>
          <w:szCs w:val="24"/>
          <w:lang w:val="fr-CA"/>
        </w:rPr>
        <w:t>1]</w:t>
      </w:r>
      <w:r w:rsidR="00E719B5" w:rsidRPr="00E719B5">
        <w:rPr>
          <w:lang w:val="fr-CA"/>
        </w:rPr>
        <w:tab/>
      </w:r>
      <w:r w:rsidRPr="004300CF">
        <w:rPr>
          <w:smallCaps/>
          <w:color w:val="000000"/>
          <w:szCs w:val="24"/>
          <w:lang w:val="fr-CA" w:eastAsia="en-US"/>
        </w:rPr>
        <w:t>Le juge Moldaver</w:t>
      </w:r>
      <w:r w:rsidRPr="004300CF">
        <w:rPr>
          <w:color w:val="000000"/>
          <w:szCs w:val="24"/>
          <w:lang w:val="fr-CA" w:eastAsia="en-US"/>
        </w:rPr>
        <w:t> — Nous sommes tous et toutes d’avis que l’appel doit être accueilli, pour les motifs exposés par la juge Pepall, auxquels nous souscrivons.</w:t>
      </w:r>
    </w:p>
    <w:p w14:paraId="0028C54C" w14:textId="64555BA2" w:rsidR="004300CF" w:rsidRPr="004300CF" w:rsidRDefault="004300CF" w:rsidP="00E719B5">
      <w:pPr>
        <w:pStyle w:val="SCCNormalDoubleSpacing"/>
        <w:spacing w:before="480" w:after="480"/>
        <w:rPr>
          <w:color w:val="000000"/>
          <w:szCs w:val="24"/>
          <w:lang w:val="fr-CA" w:eastAsia="en-US"/>
        </w:rPr>
      </w:pPr>
      <w:r w:rsidRPr="004300CF">
        <w:rPr>
          <w:color w:val="000000"/>
          <w:szCs w:val="24"/>
          <w:lang w:val="fr-CA" w:eastAsia="en-US"/>
        </w:rPr>
        <w:t>[</w:t>
      </w:r>
      <w:r w:rsidR="00E719B5">
        <w:rPr>
          <w:color w:val="000000"/>
          <w:szCs w:val="24"/>
          <w:lang w:val="fr-CA" w:eastAsia="en-US"/>
        </w:rPr>
        <w:t>2]</w:t>
      </w:r>
      <w:r w:rsidR="00E719B5">
        <w:rPr>
          <w:color w:val="000000"/>
          <w:szCs w:val="24"/>
          <w:lang w:val="fr-CA" w:eastAsia="en-US"/>
        </w:rPr>
        <w:tab/>
      </w:r>
      <w:r w:rsidRPr="004300CF">
        <w:rPr>
          <w:color w:val="000000"/>
          <w:szCs w:val="24"/>
          <w:lang w:val="fr-CA" w:eastAsia="en-US"/>
        </w:rPr>
        <w:t>Nous tenons simplement à souligner que, lorsque les tribunaux sont appelés à apprécier la crédibilité et la fiabilité du témoignage d’une personne ayant une déficience intellectuelle ou développementale, ils doivent hésiter à privilégier un témoignage d’expert attribuant des caractéristiques générales à cette personne, plutôt qu’à s’attacher à sa véracité et à ses capacités réelles démontrées par son aptitude à percevoir les événements en litige, à s’en rappeler et à les relater, à la lumière de l’ensemble de la preuve. Le fait d’accorder une trop grande importance à des généralisations risque de perpétuer des mythes et stéréotypes préjudiciables au sujet des personnes ayant des déficiences, situation qui est peu propice au processus de recherche de la vérité et qui crée des obstacles additionnels pour les gens qui demandent accès à la justice.</w:t>
      </w:r>
    </w:p>
    <w:p w14:paraId="3B719CDF" w14:textId="5197B4D8" w:rsidR="004300CF" w:rsidRPr="004300CF" w:rsidRDefault="001F23A1" w:rsidP="00E719B5">
      <w:pPr>
        <w:pStyle w:val="SCCNormalDoubleSpacing"/>
        <w:spacing w:before="480" w:after="480"/>
        <w:rPr>
          <w:color w:val="000000"/>
          <w:szCs w:val="24"/>
          <w:lang w:val="fr-CA" w:eastAsia="en-US"/>
        </w:rPr>
      </w:pPr>
      <w:r>
        <w:rPr>
          <w:color w:val="000000"/>
          <w:szCs w:val="24"/>
          <w:lang w:val="fr-CA" w:eastAsia="en-US"/>
        </w:rPr>
        <w:t>[3]</w:t>
      </w:r>
      <w:r w:rsidR="00E719B5">
        <w:rPr>
          <w:color w:val="000000"/>
          <w:szCs w:val="24"/>
          <w:lang w:val="fr-CA" w:eastAsia="en-US"/>
        </w:rPr>
        <w:tab/>
      </w:r>
      <w:r w:rsidR="004300CF" w:rsidRPr="004300CF">
        <w:rPr>
          <w:color w:val="000000"/>
          <w:szCs w:val="24"/>
          <w:lang w:val="fr-CA" w:eastAsia="en-US"/>
        </w:rPr>
        <w:t>En conséquence, nous accueillons l’appel et rétablissons la déclaration de culpabilité.</w:t>
      </w:r>
    </w:p>
    <w:p w14:paraId="49C9E8FD" w14:textId="77777777" w:rsidR="004D7D95" w:rsidRDefault="004D7D95" w:rsidP="004D7D95">
      <w:pPr>
        <w:pStyle w:val="SCCNormalDoubleSpacing"/>
        <w:rPr>
          <w:i/>
          <w:lang w:val="fr-CA"/>
        </w:rPr>
      </w:pPr>
      <w:r w:rsidRPr="006772DB">
        <w:rPr>
          <w:lang w:val="fr-CA"/>
        </w:rPr>
        <w:tab/>
      </w:r>
      <w:r w:rsidR="004762A1" w:rsidRPr="002A2088">
        <w:rPr>
          <w:i/>
          <w:lang w:val="fr-CA"/>
        </w:rPr>
        <w:t>Jugement</w:t>
      </w:r>
      <w:r w:rsidR="004762A1" w:rsidRPr="004762A1">
        <w:rPr>
          <w:i/>
          <w:lang w:val="fr-CA"/>
        </w:rPr>
        <w:t xml:space="preserve"> en conséquence.</w:t>
      </w:r>
    </w:p>
    <w:p w14:paraId="61FC02C2" w14:textId="77777777" w:rsidR="00024474" w:rsidRPr="004762A1" w:rsidRDefault="00024474" w:rsidP="004D7D95">
      <w:pPr>
        <w:pStyle w:val="SCCNormalDoubleSpacing"/>
        <w:rPr>
          <w:i/>
          <w:lang w:val="fr-CA"/>
        </w:rPr>
      </w:pPr>
    </w:p>
    <w:p w14:paraId="1C02A5F2" w14:textId="77777777" w:rsidR="004D7D95" w:rsidRPr="00AA12B1" w:rsidRDefault="00AA12B1" w:rsidP="004D7D95">
      <w:pPr>
        <w:pStyle w:val="SCCNormalDoubleSpacing"/>
        <w:rPr>
          <w:i/>
          <w:lang w:val="fr-CA"/>
        </w:rPr>
      </w:pPr>
      <w:r>
        <w:rPr>
          <w:lang w:val="fr-CA"/>
        </w:rPr>
        <w:tab/>
      </w:r>
      <w:r w:rsidR="00E10705">
        <w:rPr>
          <w:i/>
          <w:lang w:val="fr-CA"/>
        </w:rPr>
        <w:t>Procureur de l</w:t>
      </w:r>
      <w:r w:rsidR="00122F4E">
        <w:rPr>
          <w:i/>
          <w:lang w:val="fr-CA"/>
        </w:rPr>
        <w:t>’</w:t>
      </w:r>
      <w:r w:rsidR="00E10705">
        <w:rPr>
          <w:i/>
          <w:lang w:val="fr-CA"/>
        </w:rPr>
        <w:t>appelante : Procureur général de l</w:t>
      </w:r>
      <w:r w:rsidR="00122F4E">
        <w:rPr>
          <w:i/>
          <w:lang w:val="fr-CA"/>
        </w:rPr>
        <w:t>’</w:t>
      </w:r>
      <w:r w:rsidR="00E10705">
        <w:rPr>
          <w:i/>
          <w:lang w:val="fr-CA"/>
        </w:rPr>
        <w:t>Ontario, Toronto.</w:t>
      </w:r>
    </w:p>
    <w:p w14:paraId="2CA4E3BF" w14:textId="77777777" w:rsidR="00C1073B" w:rsidRPr="001F730C" w:rsidRDefault="00C1073B">
      <w:pPr>
        <w:pStyle w:val="SCCLawFirm"/>
        <w:rPr>
          <w:lang w:val="fr-CA"/>
        </w:rPr>
      </w:pPr>
    </w:p>
    <w:p w14:paraId="4CC1DE05" w14:textId="7B69D2B3" w:rsidR="00C1073B" w:rsidRPr="00E10705" w:rsidRDefault="0010723F">
      <w:pPr>
        <w:pStyle w:val="SCCLawFirm"/>
        <w:rPr>
          <w:lang w:val="fr-CA"/>
        </w:rPr>
      </w:pPr>
      <w:r>
        <w:rPr>
          <w:lang w:val="fr-CA"/>
        </w:rPr>
        <w:tab/>
      </w:r>
      <w:r w:rsidR="00E10705">
        <w:rPr>
          <w:lang w:val="fr-CA"/>
        </w:rPr>
        <w:t>Procureur</w:t>
      </w:r>
      <w:r w:rsidR="00F06F87">
        <w:rPr>
          <w:lang w:val="fr-CA"/>
        </w:rPr>
        <w:t>s</w:t>
      </w:r>
      <w:r w:rsidR="00CB4026">
        <w:rPr>
          <w:lang w:val="fr-CA"/>
        </w:rPr>
        <w:t xml:space="preserve"> de l</w:t>
      </w:r>
      <w:r w:rsidR="00122F4E">
        <w:rPr>
          <w:lang w:val="fr-CA"/>
        </w:rPr>
        <w:t>’</w:t>
      </w:r>
      <w:r w:rsidR="00CB4026">
        <w:rPr>
          <w:lang w:val="fr-CA"/>
        </w:rPr>
        <w:t>intimé</w:t>
      </w:r>
      <w:r w:rsidR="00E10705">
        <w:rPr>
          <w:lang w:val="fr-CA"/>
        </w:rPr>
        <w:t> : Reynolds O</w:t>
      </w:r>
      <w:r w:rsidR="00122F4E">
        <w:rPr>
          <w:lang w:val="fr-CA"/>
        </w:rPr>
        <w:t>’</w:t>
      </w:r>
      <w:r w:rsidR="00E10705">
        <w:rPr>
          <w:lang w:val="fr-CA"/>
        </w:rPr>
        <w:t>Brien</w:t>
      </w:r>
      <w:r w:rsidR="00E10705" w:rsidRPr="00E10705">
        <w:rPr>
          <w:lang w:val="fr-CA"/>
        </w:rPr>
        <w:t>, Belleville</w:t>
      </w:r>
      <w:r w:rsidR="00F61040" w:rsidRPr="00F61040">
        <w:rPr>
          <w:lang w:val="fr-CA"/>
        </w:rPr>
        <w:t>; Pretsell, Davies, Thompson, Benton, Belleville</w:t>
      </w:r>
      <w:r w:rsidR="00E10705" w:rsidRPr="00E10705">
        <w:rPr>
          <w:lang w:val="fr-CA"/>
        </w:rPr>
        <w:t>.</w:t>
      </w:r>
    </w:p>
    <w:p w14:paraId="446F322B" w14:textId="77777777" w:rsidR="00CB4026" w:rsidRDefault="00CB4026" w:rsidP="00CB4026">
      <w:pPr>
        <w:pStyle w:val="SCCNormalDoubleSpacing"/>
        <w:rPr>
          <w:lang w:val="fr-CA"/>
        </w:rPr>
      </w:pPr>
    </w:p>
    <w:p w14:paraId="78E478FB" w14:textId="77777777" w:rsidR="00CB4026" w:rsidRPr="008663F0" w:rsidRDefault="00CB4026" w:rsidP="00CB4026">
      <w:pPr>
        <w:pStyle w:val="SCCLawFirm"/>
        <w:rPr>
          <w:lang w:val="fr-CA"/>
        </w:rPr>
      </w:pPr>
      <w:r>
        <w:rPr>
          <w:lang w:val="fr-CA"/>
        </w:rPr>
        <w:tab/>
        <w:t>Procureur</w:t>
      </w:r>
      <w:r w:rsidR="00E10705">
        <w:rPr>
          <w:lang w:val="fr-CA"/>
        </w:rPr>
        <w:t xml:space="preserve"> de l</w:t>
      </w:r>
      <w:r w:rsidR="00122F4E">
        <w:rPr>
          <w:lang w:val="fr-CA"/>
        </w:rPr>
        <w:t>’</w:t>
      </w:r>
      <w:r w:rsidR="00E10705">
        <w:rPr>
          <w:lang w:val="fr-CA"/>
        </w:rPr>
        <w:t xml:space="preserve">intervenante </w:t>
      </w:r>
      <w:r w:rsidR="00E10705" w:rsidRPr="00E10705">
        <w:rPr>
          <w:lang w:val="fr-CA"/>
        </w:rPr>
        <w:t>Inclusion Canada (anciennement connue sous le nom d</w:t>
      </w:r>
      <w:r w:rsidR="00122F4E">
        <w:rPr>
          <w:lang w:val="fr-CA"/>
        </w:rPr>
        <w:t>’</w:t>
      </w:r>
      <w:r w:rsidR="00E10705" w:rsidRPr="00E10705">
        <w:rPr>
          <w:lang w:val="fr-CA"/>
        </w:rPr>
        <w:t>Association canadienne pour l</w:t>
      </w:r>
      <w:r w:rsidR="00122F4E">
        <w:rPr>
          <w:lang w:val="fr-CA"/>
        </w:rPr>
        <w:t>’</w:t>
      </w:r>
      <w:r w:rsidR="00E10705" w:rsidRPr="00E10705">
        <w:rPr>
          <w:lang w:val="fr-CA"/>
        </w:rPr>
        <w:t>intégration communautaire)</w:t>
      </w:r>
      <w:r w:rsidR="00E10705">
        <w:rPr>
          <w:lang w:val="fr-CA"/>
        </w:rPr>
        <w:t> : Université de la Colombie-Britannique, Vancouver.</w:t>
      </w:r>
    </w:p>
    <w:p w14:paraId="70021B75" w14:textId="77777777" w:rsidR="00CB4026" w:rsidRDefault="00CB4026" w:rsidP="00CB4026">
      <w:pPr>
        <w:pStyle w:val="SCCNormalDoubleSpacing"/>
        <w:rPr>
          <w:lang w:val="fr-CA"/>
        </w:rPr>
      </w:pPr>
    </w:p>
    <w:p w14:paraId="1BE45576" w14:textId="5E71A506" w:rsidR="0022321D" w:rsidRDefault="0022321D" w:rsidP="00CB4026">
      <w:pPr>
        <w:pStyle w:val="SCCNormalDoubleSpacing"/>
        <w:rPr>
          <w:i/>
          <w:lang w:val="fr-CA"/>
        </w:rPr>
      </w:pPr>
      <w:r>
        <w:rPr>
          <w:lang w:val="fr-CA"/>
        </w:rPr>
        <w:tab/>
      </w:r>
      <w:r w:rsidRPr="0022321D">
        <w:rPr>
          <w:i/>
          <w:lang w:val="fr-CA"/>
        </w:rPr>
        <w:t>Procureurs des intervenants</w:t>
      </w:r>
      <w:r>
        <w:rPr>
          <w:i/>
          <w:lang w:val="fr-CA"/>
        </w:rPr>
        <w:t xml:space="preserve"> </w:t>
      </w:r>
      <w:r w:rsidRPr="0022321D">
        <w:rPr>
          <w:rStyle w:val="SCCCounselNameChar"/>
          <w:lang w:val="fr-CA"/>
        </w:rPr>
        <w:t>Fonds d</w:t>
      </w:r>
      <w:r w:rsidR="00122F4E">
        <w:rPr>
          <w:rStyle w:val="SCCCounselNameChar"/>
          <w:lang w:val="fr-CA"/>
        </w:rPr>
        <w:t>’</w:t>
      </w:r>
      <w:r w:rsidRPr="0022321D">
        <w:rPr>
          <w:rStyle w:val="SCCCounselNameChar"/>
          <w:lang w:val="fr-CA"/>
        </w:rPr>
        <w:t>action et d</w:t>
      </w:r>
      <w:r w:rsidR="00122F4E">
        <w:rPr>
          <w:rStyle w:val="SCCCounselNameChar"/>
          <w:lang w:val="fr-CA"/>
        </w:rPr>
        <w:t>’</w:t>
      </w:r>
      <w:r w:rsidRPr="0022321D">
        <w:rPr>
          <w:rStyle w:val="SCCCounselNameChar"/>
          <w:lang w:val="fr-CA"/>
        </w:rPr>
        <w:t>éducation juridique</w:t>
      </w:r>
      <w:r w:rsidR="00337925">
        <w:rPr>
          <w:rStyle w:val="SCCCounselNameChar"/>
          <w:lang w:val="fr-CA"/>
        </w:rPr>
        <w:t>s</w:t>
      </w:r>
      <w:r w:rsidRPr="0022321D">
        <w:rPr>
          <w:rStyle w:val="SCCCounselNameChar"/>
          <w:lang w:val="fr-CA"/>
        </w:rPr>
        <w:t xml:space="preserve"> pour les femmes, Réseau d</w:t>
      </w:r>
      <w:r w:rsidR="00122F4E">
        <w:rPr>
          <w:rStyle w:val="SCCCounselNameChar"/>
          <w:lang w:val="fr-CA"/>
        </w:rPr>
        <w:t>’</w:t>
      </w:r>
      <w:r w:rsidRPr="0022321D">
        <w:rPr>
          <w:rStyle w:val="SCCCounselNameChar"/>
          <w:lang w:val="fr-CA"/>
        </w:rPr>
        <w:t>action des femmes handicapées</w:t>
      </w:r>
      <w:r w:rsidRPr="0022321D">
        <w:rPr>
          <w:lang w:val="fr-CA"/>
        </w:rPr>
        <w:t xml:space="preserve"> et</w:t>
      </w:r>
      <w:r>
        <w:rPr>
          <w:i/>
          <w:lang w:val="fr-CA"/>
        </w:rPr>
        <w:t xml:space="preserve"> ARCH Disability Law Centre : </w:t>
      </w:r>
      <w:r w:rsidRPr="0022321D">
        <w:rPr>
          <w:i/>
          <w:lang w:val="fr-CA"/>
        </w:rPr>
        <w:t>Fraser Advocacy, Toronto.</w:t>
      </w:r>
    </w:p>
    <w:p w14:paraId="21AF5062" w14:textId="77777777" w:rsidR="0022321D" w:rsidRDefault="0022321D" w:rsidP="00CB4026">
      <w:pPr>
        <w:pStyle w:val="SCCNormalDoubleSpacing"/>
        <w:rPr>
          <w:i/>
          <w:lang w:val="fr-CA"/>
        </w:rPr>
      </w:pPr>
    </w:p>
    <w:p w14:paraId="5DAB8223" w14:textId="77777777" w:rsidR="0022321D" w:rsidRDefault="0022321D" w:rsidP="00CB4026">
      <w:pPr>
        <w:pStyle w:val="SCCNormalDoubleSpacing"/>
        <w:rPr>
          <w:i/>
          <w:lang w:val="fr-CA"/>
        </w:rPr>
      </w:pPr>
      <w:r>
        <w:rPr>
          <w:i/>
          <w:lang w:val="fr-CA"/>
        </w:rPr>
        <w:tab/>
      </w:r>
      <w:r w:rsidRPr="0022321D">
        <w:rPr>
          <w:i/>
          <w:lang w:val="fr-CA"/>
        </w:rPr>
        <w:t>Procureur de l</w:t>
      </w:r>
      <w:r w:rsidR="00122F4E">
        <w:rPr>
          <w:i/>
          <w:lang w:val="fr-CA"/>
        </w:rPr>
        <w:t>’</w:t>
      </w:r>
      <w:r w:rsidRPr="0022321D">
        <w:rPr>
          <w:i/>
          <w:lang w:val="fr-CA"/>
        </w:rPr>
        <w:t>intervenante Barbr</w:t>
      </w:r>
      <w:r>
        <w:rPr>
          <w:i/>
          <w:lang w:val="fr-CA"/>
        </w:rPr>
        <w:t xml:space="preserve">a Schlifer Commemorative Clinic : </w:t>
      </w:r>
      <w:r w:rsidRPr="0022321D">
        <w:rPr>
          <w:i/>
          <w:lang w:val="fr-CA"/>
        </w:rPr>
        <w:t>Barbra Schlifer Commemorative Clinic, Toronto.</w:t>
      </w:r>
    </w:p>
    <w:p w14:paraId="17AC5DF2" w14:textId="77777777" w:rsidR="0022321D" w:rsidRDefault="0022321D" w:rsidP="00CB4026">
      <w:pPr>
        <w:pStyle w:val="SCCNormalDoubleSpacing"/>
        <w:rPr>
          <w:i/>
          <w:lang w:val="fr-CA"/>
        </w:rPr>
      </w:pPr>
    </w:p>
    <w:p w14:paraId="4A9CCF9A" w14:textId="77777777" w:rsidR="0022321D" w:rsidRPr="0022321D" w:rsidRDefault="0022321D" w:rsidP="00CB4026">
      <w:pPr>
        <w:pStyle w:val="SCCNormalDoubleSpacing"/>
        <w:rPr>
          <w:lang w:val="fr-CA"/>
        </w:rPr>
      </w:pPr>
      <w:r>
        <w:rPr>
          <w:i/>
          <w:lang w:val="fr-CA"/>
        </w:rPr>
        <w:tab/>
      </w:r>
      <w:r w:rsidRPr="0022321D">
        <w:rPr>
          <w:i/>
          <w:lang w:val="fr-CA"/>
        </w:rPr>
        <w:t>Procureur</w:t>
      </w:r>
      <w:r w:rsidR="001B0045">
        <w:rPr>
          <w:i/>
          <w:lang w:val="fr-CA"/>
        </w:rPr>
        <w:t>s</w:t>
      </w:r>
      <w:r w:rsidRPr="0022321D">
        <w:rPr>
          <w:i/>
          <w:lang w:val="fr-CA"/>
        </w:rPr>
        <w:t xml:space="preserve"> de l</w:t>
      </w:r>
      <w:r w:rsidR="00122F4E">
        <w:rPr>
          <w:i/>
          <w:lang w:val="fr-CA"/>
        </w:rPr>
        <w:t>’</w:t>
      </w:r>
      <w:r w:rsidRPr="0022321D">
        <w:rPr>
          <w:i/>
          <w:lang w:val="fr-CA"/>
        </w:rPr>
        <w:t>intervenante</w:t>
      </w:r>
      <w:r>
        <w:rPr>
          <w:i/>
          <w:lang w:val="fr-CA"/>
        </w:rPr>
        <w:t xml:space="preserve"> </w:t>
      </w:r>
      <w:r w:rsidRPr="0022321D">
        <w:rPr>
          <w:i/>
        </w:rPr>
        <w:t>Criminal Lawyers</w:t>
      </w:r>
      <w:r w:rsidR="00122F4E">
        <w:rPr>
          <w:i/>
        </w:rPr>
        <w:t>’</w:t>
      </w:r>
      <w:r w:rsidRPr="0022321D">
        <w:rPr>
          <w:i/>
        </w:rPr>
        <w:t xml:space="preserve"> Association of </w:t>
      </w:r>
      <w:r w:rsidRPr="0022321D">
        <w:rPr>
          <w:i/>
          <w:lang w:val="fr-CA"/>
        </w:rPr>
        <w:t>Ontario</w:t>
      </w:r>
      <w:r>
        <w:rPr>
          <w:i/>
          <w:lang w:val="fr-CA"/>
        </w:rPr>
        <w:t xml:space="preserve"> : </w:t>
      </w:r>
      <w:r w:rsidRPr="0022321D">
        <w:rPr>
          <w:i/>
          <w:lang w:val="fr-CA"/>
        </w:rPr>
        <w:t>Henein</w:t>
      </w:r>
      <w:r w:rsidRPr="0022321D">
        <w:rPr>
          <w:i/>
        </w:rPr>
        <w:t xml:space="preserve"> Hutchison, Toronto.</w:t>
      </w:r>
    </w:p>
    <w:sectPr w:rsidR="0022321D" w:rsidRPr="0022321D"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4AE96" w14:textId="77777777" w:rsidR="008675B1" w:rsidRDefault="008675B1">
      <w:r>
        <w:separator/>
      </w:r>
    </w:p>
  </w:endnote>
  <w:endnote w:type="continuationSeparator" w:id="0">
    <w:p w14:paraId="4100AF84" w14:textId="77777777" w:rsidR="008675B1" w:rsidRDefault="0086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3ED8D" w14:textId="77777777" w:rsidR="008675B1" w:rsidRDefault="008675B1">
      <w:r>
        <w:separator/>
      </w:r>
    </w:p>
  </w:footnote>
  <w:footnote w:type="continuationSeparator" w:id="0">
    <w:p w14:paraId="2112C94F" w14:textId="77777777" w:rsidR="008675B1" w:rsidRDefault="00867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5F0A"/>
    <w:multiLevelType w:val="hybridMultilevel"/>
    <w:tmpl w:val="87DC71A6"/>
    <w:lvl w:ilvl="0" w:tplc="BD564518">
      <w:start w:val="1"/>
      <w:numFmt w:val="decimal"/>
      <w:lvlText w:val="[%1]"/>
      <w:lvlJc w:val="left"/>
      <w:pPr>
        <w:ind w:left="675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5D27E0D"/>
    <w:multiLevelType w:val="hybridMultilevel"/>
    <w:tmpl w:val="A4CA5E8A"/>
    <w:lvl w:ilvl="0" w:tplc="B42C7A7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4474"/>
    <w:rsid w:val="00025198"/>
    <w:rsid w:val="000578A3"/>
    <w:rsid w:val="00063F6C"/>
    <w:rsid w:val="000648CC"/>
    <w:rsid w:val="000663AA"/>
    <w:rsid w:val="00081864"/>
    <w:rsid w:val="00091D69"/>
    <w:rsid w:val="000B58AD"/>
    <w:rsid w:val="000C59B8"/>
    <w:rsid w:val="000C6AF0"/>
    <w:rsid w:val="000D0A77"/>
    <w:rsid w:val="000F7993"/>
    <w:rsid w:val="00100075"/>
    <w:rsid w:val="00104F33"/>
    <w:rsid w:val="001068B3"/>
    <w:rsid w:val="0010723F"/>
    <w:rsid w:val="00111DE2"/>
    <w:rsid w:val="00116B38"/>
    <w:rsid w:val="00122F4E"/>
    <w:rsid w:val="00135406"/>
    <w:rsid w:val="00135972"/>
    <w:rsid w:val="001426A9"/>
    <w:rsid w:val="00154D7C"/>
    <w:rsid w:val="001570B0"/>
    <w:rsid w:val="0015752C"/>
    <w:rsid w:val="00157737"/>
    <w:rsid w:val="00165277"/>
    <w:rsid w:val="00170592"/>
    <w:rsid w:val="001720F7"/>
    <w:rsid w:val="00195D83"/>
    <w:rsid w:val="001A00C1"/>
    <w:rsid w:val="001B0045"/>
    <w:rsid w:val="001B33E0"/>
    <w:rsid w:val="001B4573"/>
    <w:rsid w:val="001C779F"/>
    <w:rsid w:val="001D2AC1"/>
    <w:rsid w:val="001D4E88"/>
    <w:rsid w:val="001D666D"/>
    <w:rsid w:val="001F0BDF"/>
    <w:rsid w:val="001F23A1"/>
    <w:rsid w:val="001F730C"/>
    <w:rsid w:val="00215874"/>
    <w:rsid w:val="00220FC2"/>
    <w:rsid w:val="002222F4"/>
    <w:rsid w:val="0022321D"/>
    <w:rsid w:val="00224FC0"/>
    <w:rsid w:val="00225EA4"/>
    <w:rsid w:val="00226EAF"/>
    <w:rsid w:val="00231F3A"/>
    <w:rsid w:val="00235FC9"/>
    <w:rsid w:val="002406EE"/>
    <w:rsid w:val="00243EC8"/>
    <w:rsid w:val="00270D93"/>
    <w:rsid w:val="002745CC"/>
    <w:rsid w:val="002949AB"/>
    <w:rsid w:val="002A2088"/>
    <w:rsid w:val="002B6FBE"/>
    <w:rsid w:val="002B7924"/>
    <w:rsid w:val="002C10A6"/>
    <w:rsid w:val="002C42EC"/>
    <w:rsid w:val="002D28C3"/>
    <w:rsid w:val="002D39A4"/>
    <w:rsid w:val="002E6705"/>
    <w:rsid w:val="002F0AFA"/>
    <w:rsid w:val="0030329A"/>
    <w:rsid w:val="0031086F"/>
    <w:rsid w:val="0031414C"/>
    <w:rsid w:val="00314E01"/>
    <w:rsid w:val="0032089D"/>
    <w:rsid w:val="00324D13"/>
    <w:rsid w:val="003258BB"/>
    <w:rsid w:val="00327CC8"/>
    <w:rsid w:val="003310DE"/>
    <w:rsid w:val="003323B0"/>
    <w:rsid w:val="00337925"/>
    <w:rsid w:val="00340A49"/>
    <w:rsid w:val="0035169A"/>
    <w:rsid w:val="0035259D"/>
    <w:rsid w:val="00364B18"/>
    <w:rsid w:val="003728A0"/>
    <w:rsid w:val="003A125D"/>
    <w:rsid w:val="003A4C70"/>
    <w:rsid w:val="003B215F"/>
    <w:rsid w:val="003B3078"/>
    <w:rsid w:val="003C799C"/>
    <w:rsid w:val="003D0399"/>
    <w:rsid w:val="003D3684"/>
    <w:rsid w:val="003E06C1"/>
    <w:rsid w:val="003E06F8"/>
    <w:rsid w:val="003E1C71"/>
    <w:rsid w:val="003F327B"/>
    <w:rsid w:val="00406166"/>
    <w:rsid w:val="0040704B"/>
    <w:rsid w:val="00410A55"/>
    <w:rsid w:val="00411300"/>
    <w:rsid w:val="00413F17"/>
    <w:rsid w:val="00415417"/>
    <w:rsid w:val="00425824"/>
    <w:rsid w:val="00426659"/>
    <w:rsid w:val="004300CF"/>
    <w:rsid w:val="00435319"/>
    <w:rsid w:val="00450352"/>
    <w:rsid w:val="00454785"/>
    <w:rsid w:val="00454BDB"/>
    <w:rsid w:val="00465132"/>
    <w:rsid w:val="00470720"/>
    <w:rsid w:val="004762A1"/>
    <w:rsid w:val="00480C90"/>
    <w:rsid w:val="0048396F"/>
    <w:rsid w:val="00493C18"/>
    <w:rsid w:val="004A600C"/>
    <w:rsid w:val="004A6118"/>
    <w:rsid w:val="004C478D"/>
    <w:rsid w:val="004D7D95"/>
    <w:rsid w:val="004E2C26"/>
    <w:rsid w:val="005125A8"/>
    <w:rsid w:val="00515D86"/>
    <w:rsid w:val="00517549"/>
    <w:rsid w:val="00520ABC"/>
    <w:rsid w:val="00521AE8"/>
    <w:rsid w:val="00527180"/>
    <w:rsid w:val="00543F2F"/>
    <w:rsid w:val="00555291"/>
    <w:rsid w:val="005622CC"/>
    <w:rsid w:val="00566AD1"/>
    <w:rsid w:val="00583EDE"/>
    <w:rsid w:val="0059383B"/>
    <w:rsid w:val="005A6079"/>
    <w:rsid w:val="005E2679"/>
    <w:rsid w:val="005E4698"/>
    <w:rsid w:val="00603924"/>
    <w:rsid w:val="00610539"/>
    <w:rsid w:val="00613969"/>
    <w:rsid w:val="00623E51"/>
    <w:rsid w:val="00625C35"/>
    <w:rsid w:val="00636874"/>
    <w:rsid w:val="00647E49"/>
    <w:rsid w:val="00656313"/>
    <w:rsid w:val="006565F4"/>
    <w:rsid w:val="006772DB"/>
    <w:rsid w:val="00680A8B"/>
    <w:rsid w:val="00684EEA"/>
    <w:rsid w:val="00691277"/>
    <w:rsid w:val="0069689B"/>
    <w:rsid w:val="006974F8"/>
    <w:rsid w:val="006A0983"/>
    <w:rsid w:val="006B5FF5"/>
    <w:rsid w:val="006F30AF"/>
    <w:rsid w:val="00701759"/>
    <w:rsid w:val="00705C15"/>
    <w:rsid w:val="00707F83"/>
    <w:rsid w:val="007110F6"/>
    <w:rsid w:val="007208D1"/>
    <w:rsid w:val="00744518"/>
    <w:rsid w:val="00747288"/>
    <w:rsid w:val="00747DD3"/>
    <w:rsid w:val="007549C8"/>
    <w:rsid w:val="00766D14"/>
    <w:rsid w:val="00767A0F"/>
    <w:rsid w:val="00786A8F"/>
    <w:rsid w:val="00791272"/>
    <w:rsid w:val="007948E4"/>
    <w:rsid w:val="007A05F6"/>
    <w:rsid w:val="007B6F4A"/>
    <w:rsid w:val="007E1C47"/>
    <w:rsid w:val="007E337A"/>
    <w:rsid w:val="007E5C70"/>
    <w:rsid w:val="007F2FF5"/>
    <w:rsid w:val="007F3F08"/>
    <w:rsid w:val="00804CC6"/>
    <w:rsid w:val="00817190"/>
    <w:rsid w:val="00817D4B"/>
    <w:rsid w:val="008260E2"/>
    <w:rsid w:val="00827A82"/>
    <w:rsid w:val="008322BD"/>
    <w:rsid w:val="00834F73"/>
    <w:rsid w:val="00864C8A"/>
    <w:rsid w:val="00864CF8"/>
    <w:rsid w:val="008663F0"/>
    <w:rsid w:val="008675B1"/>
    <w:rsid w:val="00874914"/>
    <w:rsid w:val="00881BBF"/>
    <w:rsid w:val="00891422"/>
    <w:rsid w:val="00892E1A"/>
    <w:rsid w:val="008B559C"/>
    <w:rsid w:val="008B660A"/>
    <w:rsid w:val="008C01DA"/>
    <w:rsid w:val="008F2674"/>
    <w:rsid w:val="008F78E9"/>
    <w:rsid w:val="009179F9"/>
    <w:rsid w:val="00917C7A"/>
    <w:rsid w:val="00924825"/>
    <w:rsid w:val="00933E5E"/>
    <w:rsid w:val="00935218"/>
    <w:rsid w:val="00937C52"/>
    <w:rsid w:val="009403F3"/>
    <w:rsid w:val="009555B7"/>
    <w:rsid w:val="009567AA"/>
    <w:rsid w:val="009602C9"/>
    <w:rsid w:val="00967374"/>
    <w:rsid w:val="009A343A"/>
    <w:rsid w:val="009A4576"/>
    <w:rsid w:val="009A7F24"/>
    <w:rsid w:val="009B2F23"/>
    <w:rsid w:val="009B57B3"/>
    <w:rsid w:val="009C6730"/>
    <w:rsid w:val="009D2920"/>
    <w:rsid w:val="009D5AEB"/>
    <w:rsid w:val="009F0E33"/>
    <w:rsid w:val="009F1E10"/>
    <w:rsid w:val="00A149DF"/>
    <w:rsid w:val="00A1755C"/>
    <w:rsid w:val="00A21B90"/>
    <w:rsid w:val="00A22AAC"/>
    <w:rsid w:val="00A41805"/>
    <w:rsid w:val="00A42981"/>
    <w:rsid w:val="00A51882"/>
    <w:rsid w:val="00A52849"/>
    <w:rsid w:val="00A52AFB"/>
    <w:rsid w:val="00A548CB"/>
    <w:rsid w:val="00A5521C"/>
    <w:rsid w:val="00A643E7"/>
    <w:rsid w:val="00A73C38"/>
    <w:rsid w:val="00A921A7"/>
    <w:rsid w:val="00AA12B1"/>
    <w:rsid w:val="00AB2B70"/>
    <w:rsid w:val="00AB670D"/>
    <w:rsid w:val="00AF03C5"/>
    <w:rsid w:val="00AF6E72"/>
    <w:rsid w:val="00B000D8"/>
    <w:rsid w:val="00B00F36"/>
    <w:rsid w:val="00B00F75"/>
    <w:rsid w:val="00B073C8"/>
    <w:rsid w:val="00B145B6"/>
    <w:rsid w:val="00B15B06"/>
    <w:rsid w:val="00B279EB"/>
    <w:rsid w:val="00B50C81"/>
    <w:rsid w:val="00B557F8"/>
    <w:rsid w:val="00B6403C"/>
    <w:rsid w:val="00B815FC"/>
    <w:rsid w:val="00B93FBC"/>
    <w:rsid w:val="00BA7DA0"/>
    <w:rsid w:val="00BB2EE4"/>
    <w:rsid w:val="00BB4C92"/>
    <w:rsid w:val="00BB6C9C"/>
    <w:rsid w:val="00BC2108"/>
    <w:rsid w:val="00BC37C8"/>
    <w:rsid w:val="00BD0E9E"/>
    <w:rsid w:val="00BD1BEC"/>
    <w:rsid w:val="00BD2D43"/>
    <w:rsid w:val="00BD32FF"/>
    <w:rsid w:val="00BF6FE9"/>
    <w:rsid w:val="00C02092"/>
    <w:rsid w:val="00C1073B"/>
    <w:rsid w:val="00C17791"/>
    <w:rsid w:val="00C24D91"/>
    <w:rsid w:val="00C251DD"/>
    <w:rsid w:val="00C26DB2"/>
    <w:rsid w:val="00C53F14"/>
    <w:rsid w:val="00C600CF"/>
    <w:rsid w:val="00C6084F"/>
    <w:rsid w:val="00C62A66"/>
    <w:rsid w:val="00C66359"/>
    <w:rsid w:val="00C71458"/>
    <w:rsid w:val="00C76F8E"/>
    <w:rsid w:val="00C77613"/>
    <w:rsid w:val="00C828E7"/>
    <w:rsid w:val="00C86719"/>
    <w:rsid w:val="00C921DD"/>
    <w:rsid w:val="00CA6391"/>
    <w:rsid w:val="00CB4026"/>
    <w:rsid w:val="00CE036E"/>
    <w:rsid w:val="00CE3171"/>
    <w:rsid w:val="00CF1601"/>
    <w:rsid w:val="00D0172F"/>
    <w:rsid w:val="00D01E33"/>
    <w:rsid w:val="00D05CFD"/>
    <w:rsid w:val="00D068A7"/>
    <w:rsid w:val="00D17476"/>
    <w:rsid w:val="00D17B0E"/>
    <w:rsid w:val="00D32086"/>
    <w:rsid w:val="00D37002"/>
    <w:rsid w:val="00D37A3F"/>
    <w:rsid w:val="00D4431D"/>
    <w:rsid w:val="00D4667A"/>
    <w:rsid w:val="00D63A1C"/>
    <w:rsid w:val="00D7516F"/>
    <w:rsid w:val="00D95F8E"/>
    <w:rsid w:val="00DA0590"/>
    <w:rsid w:val="00DC1739"/>
    <w:rsid w:val="00DC1788"/>
    <w:rsid w:val="00DE319C"/>
    <w:rsid w:val="00DF0CA8"/>
    <w:rsid w:val="00DF2B48"/>
    <w:rsid w:val="00DF49A7"/>
    <w:rsid w:val="00E07EE2"/>
    <w:rsid w:val="00E07FD1"/>
    <w:rsid w:val="00E10705"/>
    <w:rsid w:val="00E24573"/>
    <w:rsid w:val="00E25E1E"/>
    <w:rsid w:val="00E27EE7"/>
    <w:rsid w:val="00E32C4D"/>
    <w:rsid w:val="00E35404"/>
    <w:rsid w:val="00E45109"/>
    <w:rsid w:val="00E47B7A"/>
    <w:rsid w:val="00E5170F"/>
    <w:rsid w:val="00E56A44"/>
    <w:rsid w:val="00E60269"/>
    <w:rsid w:val="00E719B5"/>
    <w:rsid w:val="00E97830"/>
    <w:rsid w:val="00EC0E55"/>
    <w:rsid w:val="00EE0830"/>
    <w:rsid w:val="00EE3849"/>
    <w:rsid w:val="00EE6CB8"/>
    <w:rsid w:val="00EF0683"/>
    <w:rsid w:val="00EF1B8A"/>
    <w:rsid w:val="00F0070C"/>
    <w:rsid w:val="00F00EB7"/>
    <w:rsid w:val="00F06F87"/>
    <w:rsid w:val="00F144FD"/>
    <w:rsid w:val="00F36AB6"/>
    <w:rsid w:val="00F37A09"/>
    <w:rsid w:val="00F409CE"/>
    <w:rsid w:val="00F4379D"/>
    <w:rsid w:val="00F50D2D"/>
    <w:rsid w:val="00F56C8B"/>
    <w:rsid w:val="00F61040"/>
    <w:rsid w:val="00F62639"/>
    <w:rsid w:val="00F66810"/>
    <w:rsid w:val="00F84DF4"/>
    <w:rsid w:val="00F85C97"/>
    <w:rsid w:val="00F96C55"/>
    <w:rsid w:val="00FB37D2"/>
    <w:rsid w:val="00FC4EFB"/>
    <w:rsid w:val="00FD068D"/>
    <w:rsid w:val="00FD4F28"/>
    <w:rsid w:val="00FE6784"/>
    <w:rsid w:val="00FE7A8B"/>
    <w:rsid w:val="00FF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195BBA"/>
  <w15:docId w15:val="{E6429550-7B26-4909-AA2D-C2259A65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425824"/>
    <w:pPr>
      <w:ind w:left="720"/>
      <w:contextualSpacing/>
    </w:pPr>
  </w:style>
  <w:style w:type="character" w:styleId="CommentReference">
    <w:name w:val="annotation reference"/>
    <w:basedOn w:val="DefaultParagraphFont"/>
    <w:uiPriority w:val="99"/>
    <w:semiHidden/>
    <w:unhideWhenUsed/>
    <w:rsid w:val="001F23A1"/>
    <w:rPr>
      <w:sz w:val="16"/>
      <w:szCs w:val="16"/>
    </w:rPr>
  </w:style>
  <w:style w:type="paragraph" w:styleId="CommentText">
    <w:name w:val="annotation text"/>
    <w:basedOn w:val="Normal"/>
    <w:link w:val="CommentTextChar"/>
    <w:uiPriority w:val="99"/>
    <w:semiHidden/>
    <w:unhideWhenUsed/>
    <w:rsid w:val="001F23A1"/>
    <w:rPr>
      <w:sz w:val="20"/>
    </w:rPr>
  </w:style>
  <w:style w:type="character" w:customStyle="1" w:styleId="CommentTextChar">
    <w:name w:val="Comment Text Char"/>
    <w:basedOn w:val="DefaultParagraphFont"/>
    <w:link w:val="CommentText"/>
    <w:uiPriority w:val="99"/>
    <w:semiHidden/>
    <w:rsid w:val="001F23A1"/>
  </w:style>
  <w:style w:type="paragraph" w:styleId="CommentSubject">
    <w:name w:val="annotation subject"/>
    <w:basedOn w:val="CommentText"/>
    <w:next w:val="CommentText"/>
    <w:link w:val="CommentSubjectChar"/>
    <w:uiPriority w:val="99"/>
    <w:semiHidden/>
    <w:unhideWhenUsed/>
    <w:rsid w:val="001F23A1"/>
    <w:rPr>
      <w:b/>
      <w:bCs/>
    </w:rPr>
  </w:style>
  <w:style w:type="character" w:customStyle="1" w:styleId="CommentSubjectChar">
    <w:name w:val="Comment Subject Char"/>
    <w:basedOn w:val="CommentTextChar"/>
    <w:link w:val="CommentSubject"/>
    <w:uiPriority w:val="99"/>
    <w:semiHidden/>
    <w:rsid w:val="001F23A1"/>
    <w:rPr>
      <w:b/>
      <w:bCs/>
    </w:rPr>
  </w:style>
  <w:style w:type="table" w:styleId="TableGrid">
    <w:name w:val="Table Grid"/>
    <w:basedOn w:val="TableNormal"/>
    <w:uiPriority w:val="59"/>
    <w:rsid w:val="00515D86"/>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15D86"/>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HearingJudgmentDatesText">
    <w:name w:val="SCC.HearingJudgmentDatesText"/>
    <w:basedOn w:val="Normal"/>
    <w:next w:val="Normal"/>
    <w:link w:val="SCCHearingJudgmentDatesTextChar"/>
    <w:rsid w:val="00515D86"/>
    <w:rPr>
      <w:rFonts w:eastAsiaTheme="minorHAnsi" w:cstheme="minorBidi"/>
      <w:szCs w:val="24"/>
      <w:lang w:val="fr-CA" w:eastAsia="en-US"/>
    </w:rPr>
  </w:style>
  <w:style w:type="character" w:customStyle="1" w:styleId="SCCHearingJudgmentDatesTextChar">
    <w:name w:val="SCC.HearingJudgmentDatesText Char"/>
    <w:basedOn w:val="DefaultParagraphFont"/>
    <w:link w:val="SCCHearingJudgmentDatesText"/>
    <w:rsid w:val="00515D86"/>
    <w:rPr>
      <w:rFonts w:eastAsiaTheme="minorHAnsi" w:cstheme="minorBidi"/>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8215">
      <w:bodyDiv w:val="1"/>
      <w:marLeft w:val="0"/>
      <w:marRight w:val="0"/>
      <w:marTop w:val="0"/>
      <w:marBottom w:val="0"/>
      <w:divBdr>
        <w:top w:val="none" w:sz="0" w:space="0" w:color="auto"/>
        <w:left w:val="none" w:sz="0" w:space="0" w:color="auto"/>
        <w:bottom w:val="none" w:sz="0" w:space="0" w:color="auto"/>
        <w:right w:val="none" w:sz="0" w:space="0" w:color="auto"/>
      </w:divBdr>
    </w:div>
    <w:div w:id="1615289035">
      <w:bodyDiv w:val="1"/>
      <w:marLeft w:val="0"/>
      <w:marRight w:val="0"/>
      <w:marTop w:val="0"/>
      <w:marBottom w:val="0"/>
      <w:divBdr>
        <w:top w:val="none" w:sz="0" w:space="0" w:color="auto"/>
        <w:left w:val="none" w:sz="0" w:space="0" w:color="auto"/>
        <w:bottom w:val="none" w:sz="0" w:space="0" w:color="auto"/>
        <w:right w:val="none" w:sz="0" w:space="0" w:color="auto"/>
      </w:divBdr>
    </w:div>
    <w:div w:id="17397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EDF0-9838-40DE-B1D7-823579EB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O'Doherty Peter</dc:creator>
  <cp:lastModifiedBy>O'Doherty Peter</cp:lastModifiedBy>
  <cp:revision>3</cp:revision>
  <dcterms:created xsi:type="dcterms:W3CDTF">2022-06-27T19:44:00Z</dcterms:created>
  <dcterms:modified xsi:type="dcterms:W3CDTF">2023-10-30T21:31:00Z</dcterms:modified>
</cp:coreProperties>
</file>