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870"/>
        <w:gridCol w:w="1807"/>
        <w:gridCol w:w="3483"/>
        <w:gridCol w:w="20"/>
      </w:tblGrid>
      <w:tr w:rsidR="00DB0E6F" w14:paraId="4672A3D0" w14:textId="77777777" w:rsidTr="00DB0E6F">
        <w:trPr>
          <w:trHeight w:val="1786"/>
        </w:trPr>
        <w:tc>
          <w:tcPr>
            <w:tcW w:w="5000" w:type="pct"/>
            <w:gridSpan w:val="4"/>
            <w:hideMark/>
          </w:tcPr>
          <w:p w14:paraId="09F5D642" w14:textId="77777777" w:rsidR="00DB0E6F" w:rsidRDefault="00DB0E6F">
            <w:pPr>
              <w:jc w:val="center"/>
            </w:pPr>
            <w:r>
              <w:rPr>
                <w:rFonts w:eastAsia="Calibri"/>
                <w:szCs w:val="24"/>
                <w:lang w:eastAsia="en-US"/>
              </w:rPr>
              <w:object w:dxaOrig="1236" w:dyaOrig="1296" w14:anchorId="07E57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5" ShapeID="_x0000_i1025" DrawAspect="Content" ObjectID="_1760194386" r:id="rId9"/>
              </w:object>
            </w:r>
          </w:p>
          <w:p w14:paraId="37294CC3" w14:textId="77777777" w:rsidR="00DB0E6F" w:rsidRDefault="00DB0E6F">
            <w:pPr>
              <w:spacing w:before="120" w:after="100" w:afterAutospacing="1"/>
              <w:jc w:val="center"/>
              <w:rPr>
                <w:rFonts w:eastAsia="Calibri"/>
              </w:rPr>
            </w:pPr>
            <w:r>
              <w:rPr>
                <w:rFonts w:eastAsia="Calibri"/>
                <w:b/>
                <w:szCs w:val="24"/>
                <w:lang w:eastAsia="en-US"/>
              </w:rPr>
              <w:t>COUR SUPRÊME DU CANADA</w:t>
            </w:r>
          </w:p>
        </w:tc>
      </w:tr>
      <w:tr w:rsidR="00DB0E6F" w14:paraId="6C98A0D7" w14:textId="77777777" w:rsidTr="00DB0E6F">
        <w:trPr>
          <w:gridAfter w:val="1"/>
          <w:wAfter w:w="11" w:type="pct"/>
        </w:trPr>
        <w:tc>
          <w:tcPr>
            <w:tcW w:w="2108" w:type="pct"/>
            <w:tcMar>
              <w:top w:w="284" w:type="dxa"/>
              <w:left w:w="57" w:type="dxa"/>
              <w:bottom w:w="57" w:type="dxa"/>
              <w:right w:w="57" w:type="dxa"/>
            </w:tcMar>
            <w:hideMark/>
          </w:tcPr>
          <w:p w14:paraId="37034DA3" w14:textId="6231D9DA" w:rsidR="00DB0E6F" w:rsidRDefault="00DB0E6F">
            <w:pPr>
              <w:spacing w:before="100" w:beforeAutospacing="1"/>
              <w:rPr>
                <w:rFonts w:eastAsia="Calibri"/>
                <w:lang w:val="fr-CA"/>
              </w:rPr>
            </w:pPr>
            <w:r>
              <w:rPr>
                <w:b/>
                <w:smallCaps/>
                <w:lang w:val="fr-CA"/>
              </w:rPr>
              <w:t>Référence :</w:t>
            </w:r>
            <w:r>
              <w:rPr>
                <w:lang w:val="fr-CA"/>
              </w:rPr>
              <w:t xml:space="preserve"> R. </w:t>
            </w:r>
            <w:r>
              <w:rPr>
                <w:i/>
                <w:lang w:val="fr-CA"/>
              </w:rPr>
              <w:t>c.</w:t>
            </w:r>
            <w:r>
              <w:rPr>
                <w:lang w:val="fr-CA"/>
              </w:rPr>
              <w:t xml:space="preserve"> Delmas, 2020 CSC 39</w:t>
            </w:r>
            <w:r>
              <w:rPr>
                <w:lang w:val="fr-CA"/>
              </w:rPr>
              <w:t>, [2020] 3 R.C.S. 780</w:t>
            </w:r>
          </w:p>
        </w:tc>
        <w:tc>
          <w:tcPr>
            <w:tcW w:w="984" w:type="pct"/>
          </w:tcPr>
          <w:p w14:paraId="14C62F59" w14:textId="77777777" w:rsidR="00DB0E6F" w:rsidRDefault="00DB0E6F">
            <w:pPr>
              <w:rPr>
                <w:b/>
                <w:smallCaps/>
                <w:lang w:val="fr-CA"/>
              </w:rPr>
            </w:pPr>
          </w:p>
        </w:tc>
        <w:tc>
          <w:tcPr>
            <w:tcW w:w="1897" w:type="pct"/>
            <w:tcMar>
              <w:top w:w="284" w:type="dxa"/>
              <w:left w:w="57" w:type="dxa"/>
              <w:bottom w:w="57" w:type="dxa"/>
              <w:right w:w="57" w:type="dxa"/>
            </w:tcMar>
            <w:hideMark/>
          </w:tcPr>
          <w:p w14:paraId="1213279A" w14:textId="77777777" w:rsidR="00DB0E6F" w:rsidRDefault="00DB0E6F">
            <w:pPr>
              <w:rPr>
                <w:lang w:val="fr-CA"/>
              </w:rPr>
            </w:pPr>
            <w:r>
              <w:rPr>
                <w:b/>
                <w:smallCaps/>
                <w:lang w:val="fr-CA"/>
              </w:rPr>
              <w:t>Appel entendu :</w:t>
            </w:r>
            <w:r>
              <w:rPr>
                <w:lang w:val="fr-CA"/>
              </w:rPr>
              <w:t xml:space="preserve"> 2 décembre 2020</w:t>
            </w:r>
          </w:p>
          <w:p w14:paraId="03E2F041" w14:textId="77777777" w:rsidR="00DB0E6F" w:rsidRDefault="00DB0E6F">
            <w:pPr>
              <w:rPr>
                <w:smallCaps/>
                <w:lang w:val="fr-CA"/>
              </w:rPr>
            </w:pPr>
            <w:r>
              <w:rPr>
                <w:b/>
                <w:smallCaps/>
                <w:lang w:val="fr-CA"/>
              </w:rPr>
              <w:t xml:space="preserve">Jugement rendu : </w:t>
            </w:r>
            <w:r>
              <w:rPr>
                <w:lang w:val="fr-CA"/>
              </w:rPr>
              <w:t>2 décembre 2020</w:t>
            </w:r>
          </w:p>
          <w:p w14:paraId="34278EA8" w14:textId="77777777" w:rsidR="00DB0E6F" w:rsidRDefault="00DB0E6F">
            <w:pPr>
              <w:rPr>
                <w:rFonts w:eastAsia="Calibri"/>
                <w:lang w:val="fr-CA"/>
              </w:rPr>
            </w:pPr>
            <w:r>
              <w:rPr>
                <w:b/>
                <w:smallCaps/>
                <w:lang w:val="fr-CA"/>
              </w:rPr>
              <w:t>Dossier :</w:t>
            </w:r>
            <w:r>
              <w:rPr>
                <w:lang w:val="fr-CA"/>
              </w:rPr>
              <w:t xml:space="preserve"> 39163</w:t>
            </w:r>
          </w:p>
        </w:tc>
      </w:tr>
      <w:tr w:rsidR="00DB0E6F" w14:paraId="5EF0EB19" w14:textId="77777777" w:rsidTr="00DB0E6F">
        <w:tc>
          <w:tcPr>
            <w:tcW w:w="5000" w:type="pct"/>
            <w:gridSpan w:val="4"/>
          </w:tcPr>
          <w:p w14:paraId="365F41D5" w14:textId="77777777" w:rsidR="00DB0E6F" w:rsidRDefault="00DB0E6F">
            <w:pPr>
              <w:rPr>
                <w:rFonts w:eastAsiaTheme="minorHAnsi" w:cstheme="minorBidi"/>
                <w:szCs w:val="24"/>
                <w:lang w:val="fr-CA" w:eastAsia="en-US"/>
              </w:rPr>
            </w:pPr>
          </w:p>
          <w:p w14:paraId="7F6D473D" w14:textId="77777777" w:rsidR="00DB0E6F" w:rsidRDefault="00DB0E6F">
            <w:pPr>
              <w:rPr>
                <w:b/>
                <w:smallCaps/>
                <w:lang w:val="fr-CA"/>
              </w:rPr>
            </w:pPr>
            <w:r>
              <w:rPr>
                <w:b/>
                <w:smallCaps/>
                <w:lang w:val="fr-CA"/>
              </w:rPr>
              <w:t xml:space="preserve">Entre : </w:t>
            </w:r>
          </w:p>
          <w:p w14:paraId="1E52FE93" w14:textId="77777777" w:rsidR="00DB0E6F" w:rsidRDefault="00DB0E6F">
            <w:pPr>
              <w:rPr>
                <w:rFonts w:eastAsiaTheme="minorHAnsi" w:cstheme="minorBidi"/>
                <w:szCs w:val="24"/>
                <w:lang w:val="fr-CA" w:eastAsia="en-US"/>
              </w:rPr>
            </w:pPr>
          </w:p>
          <w:p w14:paraId="70FD1A5A" w14:textId="77777777" w:rsidR="00DB0E6F" w:rsidRDefault="00DB0E6F">
            <w:pPr>
              <w:jc w:val="center"/>
              <w:rPr>
                <w:rFonts w:eastAsiaTheme="minorHAnsi" w:cstheme="minorBidi"/>
                <w:b/>
                <w:szCs w:val="24"/>
                <w:lang w:val="fr-CA" w:eastAsia="en-US"/>
              </w:rPr>
            </w:pPr>
            <w:r>
              <w:rPr>
                <w:rFonts w:eastAsiaTheme="minorHAnsi" w:cstheme="minorBidi"/>
                <w:b/>
                <w:szCs w:val="24"/>
                <w:lang w:val="fr-CA" w:eastAsia="en-US"/>
              </w:rPr>
              <w:t>Michael Christopher Delmas</w:t>
            </w:r>
          </w:p>
          <w:p w14:paraId="38E8DD71" w14:textId="77777777" w:rsidR="00DB0E6F" w:rsidRDefault="00DB0E6F">
            <w:pPr>
              <w:jc w:val="center"/>
              <w:rPr>
                <w:rFonts w:eastAsiaTheme="minorHAnsi" w:cstheme="minorBidi"/>
                <w:szCs w:val="24"/>
                <w:lang w:val="fr-CA" w:eastAsia="en-US"/>
              </w:rPr>
            </w:pPr>
            <w:r>
              <w:rPr>
                <w:rFonts w:eastAsiaTheme="minorHAnsi" w:cstheme="minorBidi"/>
                <w:szCs w:val="24"/>
                <w:lang w:val="fr-CA" w:eastAsia="en-US"/>
              </w:rPr>
              <w:t>Appelant</w:t>
            </w:r>
          </w:p>
          <w:p w14:paraId="5883FD82" w14:textId="77777777" w:rsidR="00DB0E6F" w:rsidRDefault="00DB0E6F">
            <w:pPr>
              <w:jc w:val="center"/>
              <w:rPr>
                <w:rFonts w:eastAsiaTheme="minorHAnsi" w:cstheme="minorBidi"/>
                <w:szCs w:val="24"/>
                <w:lang w:val="fr-CA" w:eastAsia="en-US"/>
              </w:rPr>
            </w:pPr>
          </w:p>
          <w:p w14:paraId="5AA14CAD" w14:textId="77777777" w:rsidR="00DB0E6F" w:rsidRDefault="00DB0E6F">
            <w:pPr>
              <w:jc w:val="center"/>
              <w:rPr>
                <w:rFonts w:eastAsiaTheme="minorHAnsi" w:cstheme="minorBidi"/>
                <w:szCs w:val="24"/>
                <w:lang w:val="fr-CA" w:eastAsia="en-US"/>
              </w:rPr>
            </w:pPr>
            <w:r>
              <w:rPr>
                <w:rFonts w:eastAsiaTheme="minorHAnsi" w:cstheme="minorBidi"/>
                <w:szCs w:val="24"/>
                <w:lang w:val="fr-CA" w:eastAsia="en-US"/>
              </w:rPr>
              <w:t>et</w:t>
            </w:r>
          </w:p>
          <w:p w14:paraId="79076AA0" w14:textId="77777777" w:rsidR="00DB0E6F" w:rsidRDefault="00DB0E6F">
            <w:pPr>
              <w:jc w:val="center"/>
              <w:rPr>
                <w:rFonts w:eastAsiaTheme="minorHAnsi" w:cstheme="minorBidi"/>
                <w:szCs w:val="24"/>
                <w:lang w:val="fr-CA" w:eastAsia="en-US"/>
              </w:rPr>
            </w:pPr>
          </w:p>
          <w:p w14:paraId="2C927DE7" w14:textId="77777777" w:rsidR="00DB0E6F" w:rsidRDefault="00DB0E6F">
            <w:pPr>
              <w:jc w:val="center"/>
              <w:rPr>
                <w:rFonts w:eastAsiaTheme="minorHAnsi" w:cstheme="minorBidi"/>
                <w:b/>
                <w:szCs w:val="24"/>
                <w:lang w:val="fr-CA" w:eastAsia="en-US"/>
              </w:rPr>
            </w:pPr>
            <w:r>
              <w:rPr>
                <w:rFonts w:eastAsiaTheme="minorHAnsi" w:cstheme="minorBidi"/>
                <w:b/>
                <w:szCs w:val="24"/>
                <w:lang w:val="fr-CA" w:eastAsia="en-US"/>
              </w:rPr>
              <w:t>Sa Majesté la Reine</w:t>
            </w:r>
          </w:p>
          <w:p w14:paraId="0AF4D17A" w14:textId="77777777" w:rsidR="00DB0E6F" w:rsidRDefault="00DB0E6F">
            <w:pPr>
              <w:jc w:val="center"/>
              <w:rPr>
                <w:rFonts w:eastAsiaTheme="minorHAnsi" w:cstheme="minorBidi"/>
                <w:szCs w:val="24"/>
                <w:lang w:val="fr-CA" w:eastAsia="en-US"/>
              </w:rPr>
            </w:pPr>
            <w:r>
              <w:rPr>
                <w:rFonts w:eastAsiaTheme="minorHAnsi" w:cstheme="minorBidi"/>
                <w:szCs w:val="24"/>
                <w:lang w:val="fr-CA" w:eastAsia="en-US"/>
              </w:rPr>
              <w:t>Intimée</w:t>
            </w:r>
          </w:p>
          <w:p w14:paraId="6D14DE87" w14:textId="77777777" w:rsidR="00DB0E6F" w:rsidRDefault="00DB0E6F">
            <w:pPr>
              <w:jc w:val="center"/>
              <w:rPr>
                <w:rFonts w:eastAsiaTheme="minorHAnsi" w:cstheme="minorBidi"/>
                <w:szCs w:val="24"/>
                <w:lang w:val="fr-CA" w:eastAsia="en-US"/>
              </w:rPr>
            </w:pPr>
          </w:p>
          <w:p w14:paraId="54A9DD7F" w14:textId="77777777" w:rsidR="00DB0E6F" w:rsidRDefault="00DB0E6F">
            <w:pPr>
              <w:jc w:val="center"/>
              <w:rPr>
                <w:lang w:val="fr-CA"/>
              </w:rPr>
            </w:pPr>
            <w:r>
              <w:rPr>
                <w:lang w:val="fr-CA"/>
              </w:rPr>
              <w:t>- et -</w:t>
            </w:r>
          </w:p>
          <w:p w14:paraId="13A3461A" w14:textId="77777777" w:rsidR="00DB0E6F" w:rsidRDefault="00DB0E6F">
            <w:pPr>
              <w:jc w:val="center"/>
              <w:rPr>
                <w:rFonts w:eastAsiaTheme="minorHAnsi" w:cstheme="minorBidi"/>
                <w:szCs w:val="24"/>
                <w:lang w:val="fr-CA" w:eastAsia="en-US"/>
              </w:rPr>
            </w:pPr>
          </w:p>
          <w:p w14:paraId="79C51BAC" w14:textId="77777777" w:rsidR="00DB0E6F" w:rsidRDefault="00DB0E6F">
            <w:pPr>
              <w:jc w:val="center"/>
              <w:rPr>
                <w:rFonts w:eastAsiaTheme="minorHAnsi" w:cstheme="minorBidi"/>
                <w:b/>
                <w:szCs w:val="24"/>
                <w:lang w:val="fr-CA" w:eastAsia="en-US"/>
              </w:rPr>
            </w:pPr>
            <w:r>
              <w:rPr>
                <w:rFonts w:eastAsiaTheme="minorHAnsi" w:cstheme="minorBidi"/>
                <w:b/>
                <w:szCs w:val="24"/>
                <w:lang w:val="fr-CA" w:eastAsia="en-US"/>
              </w:rPr>
              <w:t>Procureur général de l’Ontario</w:t>
            </w:r>
          </w:p>
          <w:p w14:paraId="19C39996" w14:textId="77777777" w:rsidR="00DB0E6F" w:rsidRDefault="00DB0E6F">
            <w:pPr>
              <w:jc w:val="center"/>
              <w:rPr>
                <w:rFonts w:eastAsiaTheme="minorHAnsi" w:cstheme="minorBidi"/>
                <w:szCs w:val="24"/>
                <w:lang w:val="fr-CA" w:eastAsia="en-US"/>
              </w:rPr>
            </w:pPr>
            <w:r>
              <w:rPr>
                <w:rFonts w:eastAsiaTheme="minorHAnsi" w:cstheme="minorBidi"/>
                <w:szCs w:val="24"/>
                <w:lang w:val="fr-CA" w:eastAsia="en-US"/>
              </w:rPr>
              <w:t>Intervenant</w:t>
            </w:r>
          </w:p>
          <w:p w14:paraId="7FE7CBF5" w14:textId="77777777" w:rsidR="00DB0E6F" w:rsidRDefault="00DB0E6F">
            <w:pPr>
              <w:rPr>
                <w:rFonts w:eastAsiaTheme="minorHAnsi" w:cstheme="minorBidi"/>
                <w:szCs w:val="24"/>
                <w:lang w:val="fr-CA" w:eastAsia="en-US"/>
              </w:rPr>
            </w:pPr>
          </w:p>
          <w:p w14:paraId="7A88663E" w14:textId="77777777" w:rsidR="00DB0E6F" w:rsidRDefault="00DB0E6F">
            <w:pPr>
              <w:rPr>
                <w:rFonts w:eastAsiaTheme="minorHAnsi" w:cstheme="minorBidi"/>
                <w:szCs w:val="24"/>
                <w:lang w:val="fr-CA" w:eastAsia="en-US"/>
              </w:rPr>
            </w:pPr>
          </w:p>
          <w:p w14:paraId="5DC75C9F" w14:textId="77777777" w:rsidR="00DB0E6F" w:rsidRDefault="00DB0E6F">
            <w:pPr>
              <w:rPr>
                <w:rFonts w:eastAsiaTheme="minorHAnsi" w:cstheme="minorBidi"/>
                <w:szCs w:val="24"/>
                <w:lang w:val="fr-CA" w:eastAsia="en-US"/>
              </w:rPr>
            </w:pPr>
          </w:p>
          <w:p w14:paraId="44392298" w14:textId="77777777" w:rsidR="00DB0E6F" w:rsidRDefault="00DB0E6F">
            <w:pPr>
              <w:jc w:val="center"/>
              <w:rPr>
                <w:rFonts w:eastAsiaTheme="minorHAnsi" w:cstheme="minorBidi"/>
                <w:b/>
                <w:smallCaps/>
                <w:szCs w:val="24"/>
                <w:lang w:val="fr-CA" w:eastAsia="en-US"/>
              </w:rPr>
            </w:pPr>
            <w:r>
              <w:rPr>
                <w:rFonts w:eastAsiaTheme="minorHAnsi" w:cstheme="minorBidi"/>
                <w:b/>
                <w:smallCaps/>
                <w:szCs w:val="24"/>
                <w:lang w:val="fr-CA" w:eastAsia="en-US"/>
              </w:rPr>
              <w:t>Traduction française officielle</w:t>
            </w: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2194"/>
        <w:gridCol w:w="6966"/>
        <w:gridCol w:w="20"/>
      </w:tblGrid>
      <w:tr w:rsidR="00DB0E6F" w14:paraId="24FEA3F1" w14:textId="77777777" w:rsidTr="00DB0E6F">
        <w:trPr>
          <w:cantSplit/>
          <w:trHeight w:val="508"/>
        </w:trPr>
        <w:tc>
          <w:tcPr>
            <w:tcW w:w="5000" w:type="pct"/>
            <w:gridSpan w:val="3"/>
            <w:tcMar>
              <w:top w:w="284" w:type="dxa"/>
              <w:left w:w="58" w:type="dxa"/>
              <w:bottom w:w="57" w:type="dxa"/>
              <w:right w:w="58" w:type="dxa"/>
            </w:tcMar>
            <w:vAlign w:val="center"/>
            <w:hideMark/>
          </w:tcPr>
          <w:p w14:paraId="5B77FBAB" w14:textId="77777777" w:rsidR="00DB0E6F" w:rsidRDefault="00DB0E6F">
            <w:pPr>
              <w:rPr>
                <w:b/>
                <w:smallCaps/>
                <w:lang w:val="fr-CA"/>
              </w:rPr>
            </w:pPr>
            <w:r>
              <w:rPr>
                <w:b/>
                <w:smallCaps/>
                <w:lang w:val="fr-CA"/>
              </w:rPr>
              <w:t>Coram :</w:t>
            </w:r>
            <w:r>
              <w:rPr>
                <w:lang w:val="fr-CA"/>
              </w:rPr>
              <w:t xml:space="preserve"> Les juges Abella, Moldaver, Karakatsanis, Côté, Brown, Martin et Kasirer</w:t>
            </w:r>
          </w:p>
        </w:tc>
      </w:tr>
      <w:tr w:rsidR="00DB0E6F" w14:paraId="37DEDBD0" w14:textId="77777777" w:rsidTr="00DB0E6F">
        <w:trPr>
          <w:gridAfter w:val="1"/>
          <w:wAfter w:w="11" w:type="pct"/>
          <w:cantSplit/>
        </w:trPr>
        <w:tc>
          <w:tcPr>
            <w:tcW w:w="1195" w:type="pct"/>
            <w:tcMar>
              <w:top w:w="284" w:type="dxa"/>
              <w:left w:w="58" w:type="dxa"/>
              <w:bottom w:w="57" w:type="dxa"/>
              <w:right w:w="58" w:type="dxa"/>
            </w:tcMar>
            <w:vAlign w:val="center"/>
            <w:hideMark/>
          </w:tcPr>
          <w:p w14:paraId="57E41FB4" w14:textId="77777777" w:rsidR="00DB0E6F" w:rsidRDefault="00DB0E6F">
            <w:pPr>
              <w:rPr>
                <w:b/>
                <w:smallCaps/>
                <w:lang w:val="fr-CA"/>
              </w:rPr>
            </w:pPr>
            <w:r>
              <w:rPr>
                <w:b/>
                <w:smallCaps/>
                <w:lang w:val="fr-CA"/>
              </w:rPr>
              <w:t xml:space="preserve">Jugement lu par : </w:t>
            </w:r>
          </w:p>
          <w:p w14:paraId="65A11D59" w14:textId="77777777" w:rsidR="00DB0E6F" w:rsidRDefault="00DB0E6F">
            <w:pPr>
              <w:rPr>
                <w:lang w:val="fr-CA"/>
              </w:rPr>
            </w:pPr>
            <w:r>
              <w:rPr>
                <w:lang w:val="fr-CA"/>
              </w:rPr>
              <w:t>(par. 1 à 2)</w:t>
            </w:r>
          </w:p>
        </w:tc>
        <w:tc>
          <w:tcPr>
            <w:tcW w:w="3794" w:type="pct"/>
            <w:tcMar>
              <w:top w:w="284" w:type="dxa"/>
              <w:left w:w="58" w:type="dxa"/>
              <w:bottom w:w="58" w:type="dxa"/>
              <w:right w:w="58" w:type="dxa"/>
            </w:tcMar>
            <w:vAlign w:val="center"/>
            <w:hideMark/>
          </w:tcPr>
          <w:p w14:paraId="70EFBAD1" w14:textId="77777777" w:rsidR="00DB0E6F" w:rsidRDefault="00DB0E6F">
            <w:pPr>
              <w:rPr>
                <w:lang w:val="fr-CA"/>
              </w:rPr>
            </w:pPr>
            <w:r>
              <w:rPr>
                <w:lang w:val="fr-CA"/>
              </w:rPr>
              <w:t>Le juge Moldaver</w:t>
            </w:r>
          </w:p>
        </w:tc>
      </w:tr>
      <w:tr w:rsidR="00DB0E6F" w14:paraId="34DDB1E3" w14:textId="77777777" w:rsidTr="00DB0E6F">
        <w:trPr>
          <w:gridAfter w:val="1"/>
          <w:wAfter w:w="11" w:type="pct"/>
          <w:cantSplit/>
        </w:trPr>
        <w:tc>
          <w:tcPr>
            <w:tcW w:w="1195" w:type="pct"/>
            <w:tcMar>
              <w:top w:w="284" w:type="dxa"/>
              <w:left w:w="58" w:type="dxa"/>
              <w:bottom w:w="57" w:type="dxa"/>
              <w:right w:w="58" w:type="dxa"/>
            </w:tcMar>
            <w:vAlign w:val="center"/>
            <w:hideMark/>
          </w:tcPr>
          <w:p w14:paraId="7BA38603" w14:textId="77777777" w:rsidR="00DB0E6F" w:rsidRDefault="00DB0E6F">
            <w:pPr>
              <w:rPr>
                <w:b/>
                <w:smallCaps/>
                <w:lang w:val="fr-CA"/>
              </w:rPr>
            </w:pPr>
            <w:r>
              <w:rPr>
                <w:b/>
                <w:smallCaps/>
                <w:lang w:val="fr-CA"/>
              </w:rPr>
              <w:t>Majorité :</w:t>
            </w:r>
          </w:p>
        </w:tc>
        <w:tc>
          <w:tcPr>
            <w:tcW w:w="3794" w:type="pct"/>
            <w:tcMar>
              <w:top w:w="284" w:type="dxa"/>
              <w:left w:w="58" w:type="dxa"/>
              <w:bottom w:w="58" w:type="dxa"/>
              <w:right w:w="58" w:type="dxa"/>
            </w:tcMar>
            <w:vAlign w:val="center"/>
            <w:hideMark/>
          </w:tcPr>
          <w:p w14:paraId="4B591DEC" w14:textId="77777777" w:rsidR="00DB0E6F" w:rsidRDefault="00DB0E6F">
            <w:pPr>
              <w:rPr>
                <w:lang w:val="fr-CA"/>
              </w:rPr>
            </w:pPr>
            <w:r>
              <w:rPr>
                <w:lang w:val="fr-CA"/>
              </w:rPr>
              <w:t>Les juges Abella, Moldaver, Karakatsanis, Brown, Martin et Kasirer</w:t>
            </w:r>
          </w:p>
        </w:tc>
      </w:tr>
      <w:tr w:rsidR="00DB0E6F" w14:paraId="33B06EBB" w14:textId="77777777" w:rsidTr="00DB0E6F">
        <w:trPr>
          <w:gridAfter w:val="1"/>
          <w:wAfter w:w="11" w:type="pct"/>
          <w:cantSplit/>
        </w:trPr>
        <w:tc>
          <w:tcPr>
            <w:tcW w:w="1195" w:type="pct"/>
            <w:tcMar>
              <w:top w:w="284" w:type="dxa"/>
              <w:left w:w="58" w:type="dxa"/>
              <w:bottom w:w="57" w:type="dxa"/>
              <w:right w:w="58" w:type="dxa"/>
            </w:tcMar>
            <w:vAlign w:val="center"/>
            <w:hideMark/>
          </w:tcPr>
          <w:p w14:paraId="37FE326C" w14:textId="77777777" w:rsidR="00DB0E6F" w:rsidRDefault="00DB0E6F">
            <w:pPr>
              <w:rPr>
                <w:b/>
                <w:smallCaps/>
                <w:lang w:val="fr-CA"/>
              </w:rPr>
            </w:pPr>
            <w:r>
              <w:rPr>
                <w:b/>
                <w:smallCaps/>
                <w:lang w:val="fr-CA"/>
              </w:rPr>
              <w:t>Dissidence :</w:t>
            </w:r>
          </w:p>
        </w:tc>
        <w:tc>
          <w:tcPr>
            <w:tcW w:w="3794" w:type="pct"/>
            <w:tcMar>
              <w:top w:w="284" w:type="dxa"/>
              <w:left w:w="58" w:type="dxa"/>
              <w:bottom w:w="58" w:type="dxa"/>
              <w:right w:w="58" w:type="dxa"/>
            </w:tcMar>
            <w:vAlign w:val="center"/>
            <w:hideMark/>
          </w:tcPr>
          <w:p w14:paraId="2DE134B9" w14:textId="77777777" w:rsidR="00DB0E6F" w:rsidRDefault="00DB0E6F">
            <w:pPr>
              <w:rPr>
                <w:smallCaps/>
                <w:lang w:val="fr-CA"/>
              </w:rPr>
            </w:pPr>
            <w:r>
              <w:rPr>
                <w:lang w:val="fr-CA"/>
              </w:rPr>
              <w:t>La juge Côté</w:t>
            </w:r>
          </w:p>
        </w:tc>
      </w:tr>
    </w:tbl>
    <w:p w14:paraId="1294C764" w14:textId="77777777" w:rsidR="00DB0E6F" w:rsidRDefault="00DB0E6F" w:rsidP="00DB0E6F">
      <w:pPr>
        <w:spacing w:before="100" w:beforeAutospacing="1"/>
        <w:rPr>
          <w:rFonts w:eastAsia="Calibri"/>
          <w:b/>
          <w:smallCaps/>
          <w:szCs w:val="24"/>
          <w:lang w:val="fr-CA" w:eastAsia="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3672"/>
        <w:gridCol w:w="2754"/>
      </w:tblGrid>
      <w:tr w:rsidR="00DB0E6F" w14:paraId="124E611D" w14:textId="77777777" w:rsidTr="00DB0E6F">
        <w:tc>
          <w:tcPr>
            <w:tcW w:w="1500" w:type="pct"/>
            <w:tcMar>
              <w:top w:w="284" w:type="dxa"/>
              <w:left w:w="108" w:type="dxa"/>
              <w:bottom w:w="0" w:type="dxa"/>
              <w:right w:w="108" w:type="dxa"/>
            </w:tcMar>
          </w:tcPr>
          <w:p w14:paraId="766E2853" w14:textId="77777777" w:rsidR="00DB0E6F" w:rsidRDefault="00DB0E6F">
            <w:pPr>
              <w:rPr>
                <w:rFonts w:eastAsia="Calibri"/>
                <w:szCs w:val="24"/>
                <w:lang w:val="fr-CA" w:eastAsia="en-US"/>
              </w:rPr>
            </w:pPr>
          </w:p>
        </w:tc>
        <w:tc>
          <w:tcPr>
            <w:tcW w:w="2000" w:type="pct"/>
            <w:tcBorders>
              <w:top w:val="nil"/>
              <w:left w:val="nil"/>
              <w:bottom w:val="single" w:sz="4" w:space="0" w:color="auto"/>
              <w:right w:val="nil"/>
            </w:tcBorders>
            <w:tcMar>
              <w:top w:w="284" w:type="dxa"/>
              <w:left w:w="108" w:type="dxa"/>
              <w:bottom w:w="0" w:type="dxa"/>
              <w:right w:w="108" w:type="dxa"/>
            </w:tcMar>
          </w:tcPr>
          <w:p w14:paraId="7B0DF19C" w14:textId="77777777" w:rsidR="00DB0E6F" w:rsidRDefault="00DB0E6F">
            <w:pPr>
              <w:rPr>
                <w:rFonts w:eastAsia="Calibri"/>
                <w:szCs w:val="24"/>
                <w:lang w:val="fr-CA" w:eastAsia="en-US"/>
              </w:rPr>
            </w:pPr>
          </w:p>
        </w:tc>
        <w:tc>
          <w:tcPr>
            <w:tcW w:w="1500" w:type="pct"/>
            <w:tcMar>
              <w:top w:w="284" w:type="dxa"/>
              <w:left w:w="108" w:type="dxa"/>
              <w:bottom w:w="0" w:type="dxa"/>
              <w:right w:w="108" w:type="dxa"/>
            </w:tcMar>
          </w:tcPr>
          <w:p w14:paraId="60FAD871" w14:textId="77777777" w:rsidR="00DB0E6F" w:rsidRDefault="00DB0E6F">
            <w:pPr>
              <w:rPr>
                <w:rFonts w:eastAsia="Calibri"/>
                <w:szCs w:val="24"/>
                <w:lang w:val="fr-CA" w:eastAsia="en-US"/>
              </w:rPr>
            </w:pPr>
          </w:p>
        </w:tc>
      </w:tr>
    </w:tbl>
    <w:p w14:paraId="63F044E3" w14:textId="77777777" w:rsidR="00DB0E6F" w:rsidRDefault="00DB0E6F" w:rsidP="00DB0E6F">
      <w:pPr>
        <w:rPr>
          <w:rFonts w:eastAsia="Calibri"/>
          <w:szCs w:val="24"/>
          <w:lang w:val="fr-CA" w:eastAsia="en-US"/>
        </w:rPr>
      </w:pPr>
      <w:r>
        <w:rPr>
          <w:rFonts w:eastAsia="Calibri"/>
          <w:szCs w:val="24"/>
          <w:lang w:val="fr-CA" w:eastAsia="en-US"/>
        </w:rPr>
        <w:br w:type="page"/>
      </w:r>
    </w:p>
    <w:p w14:paraId="06037913" w14:textId="06C4ADDA" w:rsidR="003B3078" w:rsidRPr="00F144FD" w:rsidRDefault="00452652" w:rsidP="00B51DB3">
      <w:pPr>
        <w:pStyle w:val="SCCLsocLastPartyInRole"/>
        <w:tabs>
          <w:tab w:val="clear" w:pos="8222"/>
          <w:tab w:val="right" w:pos="8280"/>
        </w:tabs>
        <w:rPr>
          <w:lang w:val="fr-CA"/>
        </w:rPr>
      </w:pPr>
      <w:bookmarkStart w:id="0" w:name="_GoBack"/>
      <w:bookmarkEnd w:id="0"/>
      <w:r>
        <w:rPr>
          <w:bCs/>
          <w:color w:val="000000"/>
          <w:lang w:val="fr-CA"/>
        </w:rPr>
        <w:lastRenderedPageBreak/>
        <w:t>Michael Christopher Delmas</w:t>
      </w:r>
      <w:r w:rsidR="003B3078" w:rsidRPr="00F144FD">
        <w:rPr>
          <w:rStyle w:val="SCCLsocPartyRole"/>
          <w:lang w:val="fr-CA"/>
        </w:rPr>
        <w:tab/>
        <w:t>Appelant</w:t>
      </w:r>
    </w:p>
    <w:p w14:paraId="4E487786" w14:textId="77777777" w:rsidR="003B3078" w:rsidRPr="001F730C" w:rsidRDefault="003B3078" w:rsidP="00B51DB3">
      <w:pPr>
        <w:pStyle w:val="SCCLsocVersus"/>
        <w:tabs>
          <w:tab w:val="right" w:pos="8280"/>
        </w:tabs>
        <w:rPr>
          <w:lang w:val="fr-CA"/>
        </w:rPr>
      </w:pPr>
      <w:r w:rsidRPr="001F730C">
        <w:rPr>
          <w:lang w:val="fr-CA"/>
        </w:rPr>
        <w:t>c.</w:t>
      </w:r>
    </w:p>
    <w:p w14:paraId="4D1E38EA" w14:textId="77777777" w:rsidR="003B3078" w:rsidRPr="001F730C" w:rsidRDefault="003219D4" w:rsidP="00B51DB3">
      <w:pPr>
        <w:pStyle w:val="SCCLsocLastPartyInRole"/>
        <w:tabs>
          <w:tab w:val="right" w:pos="8280"/>
        </w:tabs>
        <w:rPr>
          <w:lang w:val="fr-CA"/>
        </w:rPr>
      </w:pPr>
      <w:r>
        <w:rPr>
          <w:lang w:val="fr-CA"/>
        </w:rPr>
        <w:t>Sa Majesté la Reine</w:t>
      </w:r>
      <w:r w:rsidR="00F144FD">
        <w:rPr>
          <w:rStyle w:val="SCCLsocPartyRole"/>
          <w:lang w:val="fr-CA"/>
        </w:rPr>
        <w:tab/>
        <w:t>Intimé</w:t>
      </w:r>
      <w:r w:rsidRPr="003219D4">
        <w:rPr>
          <w:rStyle w:val="SCCLsocPartyRole"/>
          <w:lang w:val="fr-CA"/>
        </w:rPr>
        <w:t>e</w:t>
      </w:r>
    </w:p>
    <w:p w14:paraId="1B7A5A74" w14:textId="77777777" w:rsidR="004D7D95" w:rsidRPr="001D666D" w:rsidRDefault="00F144FD" w:rsidP="00B51DB3">
      <w:pPr>
        <w:pStyle w:val="SCCLsocVersus"/>
        <w:tabs>
          <w:tab w:val="right" w:pos="8280"/>
        </w:tabs>
        <w:rPr>
          <w:i w:val="0"/>
          <w:lang w:val="fr-CA"/>
        </w:rPr>
      </w:pPr>
      <w:r>
        <w:rPr>
          <w:i w:val="0"/>
          <w:lang w:val="fr-CA"/>
        </w:rPr>
        <w:t>et</w:t>
      </w:r>
    </w:p>
    <w:p w14:paraId="3FECC7C4" w14:textId="77777777" w:rsidR="00C1073B" w:rsidRPr="001F730C" w:rsidRDefault="003219D4" w:rsidP="00B51DB3">
      <w:pPr>
        <w:pStyle w:val="SCCLsocLastPartyInRole"/>
        <w:tabs>
          <w:tab w:val="right" w:pos="8280"/>
        </w:tabs>
        <w:rPr>
          <w:lang w:val="fr-CA"/>
        </w:rPr>
      </w:pPr>
      <w:r>
        <w:rPr>
          <w:lang w:val="fr-CA"/>
        </w:rPr>
        <w:t>Procureur général de l’Ontario</w:t>
      </w:r>
      <w:r w:rsidR="001F730C" w:rsidRPr="001F730C">
        <w:rPr>
          <w:rStyle w:val="SCCLsocPartyRole"/>
          <w:lang w:val="fr-CA"/>
        </w:rPr>
        <w:tab/>
      </w:r>
      <w:r w:rsidR="00F144FD">
        <w:rPr>
          <w:rStyle w:val="SCCLsocPartyRole"/>
          <w:lang w:val="fr-CA"/>
        </w:rPr>
        <w:t>Intervenant</w:t>
      </w:r>
    </w:p>
    <w:p w14:paraId="79B889CF" w14:textId="77777777" w:rsidR="004D7D95" w:rsidRPr="001F730C" w:rsidRDefault="004D7D95" w:rsidP="00435319">
      <w:pPr>
        <w:spacing w:after="720"/>
        <w:jc w:val="both"/>
        <w:rPr>
          <w:lang w:val="fr-CA"/>
        </w:rPr>
      </w:pPr>
      <w:r w:rsidRPr="00BB4C92">
        <w:rPr>
          <w:b/>
          <w:lang w:val="fr-CA"/>
        </w:rPr>
        <w:t>Répertorié : </w:t>
      </w:r>
      <w:r w:rsidR="003219D4" w:rsidRPr="003219D4">
        <w:rPr>
          <w:b/>
          <w:color w:val="000000"/>
          <w:lang w:val="fr-CA"/>
        </w:rPr>
        <w:t>R. </w:t>
      </w:r>
      <w:r w:rsidR="003219D4" w:rsidRPr="003219D4">
        <w:rPr>
          <w:b/>
          <w:i/>
          <w:color w:val="000000"/>
          <w:lang w:val="fr-CA"/>
        </w:rPr>
        <w:t>c</w:t>
      </w:r>
      <w:r w:rsidR="003219D4" w:rsidRPr="003219D4">
        <w:rPr>
          <w:b/>
          <w:i/>
          <w:iCs/>
          <w:color w:val="000000"/>
          <w:lang w:val="fr-CA"/>
        </w:rPr>
        <w:t>.</w:t>
      </w:r>
      <w:r w:rsidR="003219D4" w:rsidRPr="003219D4">
        <w:rPr>
          <w:b/>
          <w:color w:val="000000"/>
          <w:lang w:val="fr-CA"/>
        </w:rPr>
        <w:t> Delmas</w:t>
      </w:r>
    </w:p>
    <w:p w14:paraId="378BC1B6" w14:textId="77777777" w:rsidR="004D7D95" w:rsidRPr="001F730C" w:rsidRDefault="00D17B0E" w:rsidP="00435319">
      <w:pPr>
        <w:pStyle w:val="SCCSystemYear"/>
        <w:spacing w:after="720"/>
        <w:jc w:val="both"/>
        <w:rPr>
          <w:lang w:val="fr-CA"/>
        </w:rPr>
      </w:pPr>
      <w:r w:rsidRPr="001F730C">
        <w:rPr>
          <w:lang w:val="fr-CA"/>
        </w:rPr>
        <w:t>20</w:t>
      </w:r>
      <w:r w:rsidR="00F144FD">
        <w:rPr>
          <w:lang w:val="fr-CA"/>
        </w:rPr>
        <w:t>20</w:t>
      </w:r>
      <w:r w:rsidR="004D7D95" w:rsidRPr="001F730C">
        <w:rPr>
          <w:lang w:val="fr-CA"/>
        </w:rPr>
        <w:t xml:space="preserve"> CSC </w:t>
      </w:r>
      <w:r w:rsidR="003219D4" w:rsidRPr="003219D4">
        <w:rPr>
          <w:lang w:val="fr-CA"/>
        </w:rPr>
        <w:t>39</w:t>
      </w:r>
    </w:p>
    <w:p w14:paraId="0793322C" w14:textId="77777777" w:rsidR="004D7D95" w:rsidRPr="001F730C" w:rsidRDefault="004D7D95" w:rsidP="00435319">
      <w:pPr>
        <w:spacing w:after="720"/>
        <w:jc w:val="both"/>
        <w:rPr>
          <w:lang w:val="fr-CA"/>
        </w:rPr>
      </w:pPr>
      <w:r w:rsidRPr="001F730C">
        <w:rPr>
          <w:lang w:val="fr-CA"/>
        </w:rPr>
        <w:t>N</w:t>
      </w:r>
      <w:r w:rsidRPr="001F730C">
        <w:rPr>
          <w:vertAlign w:val="superscript"/>
          <w:lang w:val="fr-CA"/>
        </w:rPr>
        <w:t>o</w:t>
      </w:r>
      <w:r w:rsidRPr="001F730C">
        <w:rPr>
          <w:lang w:val="fr-CA"/>
        </w:rPr>
        <w:t xml:space="preserve"> du greffe : </w:t>
      </w:r>
      <w:r w:rsidR="003219D4" w:rsidRPr="00D204B4">
        <w:rPr>
          <w:color w:val="000000"/>
          <w:lang w:val="fr-CA"/>
        </w:rPr>
        <w:t>39163</w:t>
      </w:r>
      <w:r w:rsidRPr="001F730C">
        <w:rPr>
          <w:lang w:val="fr-CA"/>
        </w:rPr>
        <w:t>.</w:t>
      </w:r>
    </w:p>
    <w:p w14:paraId="34F8674D" w14:textId="77777777" w:rsidR="004D7D95" w:rsidRPr="001F730C" w:rsidRDefault="00F144FD" w:rsidP="00F96C55">
      <w:pPr>
        <w:spacing w:after="720"/>
        <w:jc w:val="both"/>
        <w:rPr>
          <w:lang w:val="fr-CA"/>
        </w:rPr>
      </w:pPr>
      <w:r>
        <w:rPr>
          <w:lang w:val="fr-CA"/>
        </w:rPr>
        <w:t>2020</w:t>
      </w:r>
      <w:r w:rsidR="00D17B0E" w:rsidRPr="001F730C">
        <w:rPr>
          <w:lang w:val="fr-CA"/>
        </w:rPr>
        <w:t xml:space="preserve"> : </w:t>
      </w:r>
      <w:r w:rsidR="003219D4">
        <w:rPr>
          <w:lang w:val="fr-CA"/>
        </w:rPr>
        <w:t>2 décembre</w:t>
      </w:r>
      <w:r w:rsidR="004D7D95" w:rsidRPr="001F730C">
        <w:rPr>
          <w:lang w:val="fr-CA"/>
        </w:rPr>
        <w:t>.</w:t>
      </w:r>
    </w:p>
    <w:p w14:paraId="389FB9FB" w14:textId="77777777" w:rsidR="00C1073B" w:rsidRPr="001F730C" w:rsidRDefault="004D7D95" w:rsidP="00B00F36">
      <w:pPr>
        <w:spacing w:after="720"/>
        <w:jc w:val="both"/>
        <w:rPr>
          <w:lang w:val="fr-CA"/>
        </w:rPr>
      </w:pPr>
      <w:r w:rsidRPr="00D204B4">
        <w:rPr>
          <w:lang w:val="fr-CA"/>
        </w:rPr>
        <w:t>Présents : </w:t>
      </w:r>
      <w:r w:rsidR="00AF6E72" w:rsidRPr="00D204B4">
        <w:rPr>
          <w:lang w:val="fr-CA"/>
        </w:rPr>
        <w:t>Les juges Abella, Molda</w:t>
      </w:r>
      <w:r w:rsidR="00D204B4" w:rsidRPr="00D204B4">
        <w:rPr>
          <w:lang w:val="fr-CA"/>
        </w:rPr>
        <w:t>ver, Karakatsanis, Côté, Brown</w:t>
      </w:r>
      <w:r w:rsidR="00AF6E72" w:rsidRPr="00D204B4">
        <w:rPr>
          <w:lang w:val="fr-CA"/>
        </w:rPr>
        <w:t>, Martin et Kasirer</w:t>
      </w:r>
      <w:r w:rsidRPr="00D204B4">
        <w:rPr>
          <w:lang w:val="fr-CA"/>
        </w:rPr>
        <w:t>.</w:t>
      </w:r>
    </w:p>
    <w:p w14:paraId="62AEB72F" w14:textId="77777777" w:rsidR="00EC0E55" w:rsidRDefault="004D7D95" w:rsidP="00B00F36">
      <w:pPr>
        <w:pStyle w:val="SCCLowerCourtNameLowercase"/>
        <w:spacing w:after="720" w:line="240" w:lineRule="auto"/>
        <w:rPr>
          <w:lang w:val="fr-CA"/>
        </w:rPr>
      </w:pPr>
      <w:r w:rsidRPr="00EC0E55">
        <w:rPr>
          <w:lang w:val="fr-CA"/>
        </w:rPr>
        <w:t xml:space="preserve">en appel de la </w:t>
      </w:r>
      <w:r w:rsidR="00EC0E55">
        <w:rPr>
          <w:lang w:val="fr-CA"/>
        </w:rPr>
        <w:t>cour d’</w:t>
      </w:r>
      <w:r w:rsidRPr="00EC0E55">
        <w:rPr>
          <w:lang w:val="fr-CA"/>
        </w:rPr>
        <w:t xml:space="preserve">appel de </w:t>
      </w:r>
      <w:r w:rsidR="00D204B4">
        <w:rPr>
          <w:lang w:val="fr-CA"/>
        </w:rPr>
        <w:t>l’alberta</w:t>
      </w:r>
    </w:p>
    <w:p w14:paraId="63B68095" w14:textId="2B0FE62C" w:rsidR="00AF6E72" w:rsidRPr="004D7D95" w:rsidRDefault="00AF6E72" w:rsidP="00AF6E72">
      <w:pPr>
        <w:pStyle w:val="SCCNormalDoubleSpacing"/>
        <w:rPr>
          <w:lang w:val="fr-CA"/>
        </w:rPr>
      </w:pPr>
      <w:r>
        <w:rPr>
          <w:lang w:val="fr-CA"/>
        </w:rPr>
        <w:tab/>
      </w:r>
      <w:r w:rsidR="00E74C9C" w:rsidRPr="00E74C9C">
        <w:rPr>
          <w:i/>
          <w:lang w:val="fr-CA"/>
        </w:rPr>
        <w:t>Droit criminel — Preuve — Appréciation — Généralisations et stéréotypes — Admissibilité — Activité sexuelle de la plaignante — Accusé déclaré coupable d’agressi</w:t>
      </w:r>
      <w:r w:rsidR="00E74C9C">
        <w:rPr>
          <w:i/>
          <w:lang w:val="fr-CA"/>
        </w:rPr>
        <w:t xml:space="preserve">on sexuelle au terme du procès </w:t>
      </w:r>
      <w:r w:rsidR="00E74C9C" w:rsidRPr="00E74C9C">
        <w:rPr>
          <w:i/>
          <w:lang w:val="fr-CA"/>
        </w:rPr>
        <w:t>—</w:t>
      </w:r>
      <w:r w:rsidR="00E74C9C">
        <w:rPr>
          <w:i/>
          <w:lang w:val="fr-CA"/>
        </w:rPr>
        <w:t xml:space="preserve"> </w:t>
      </w:r>
      <w:r w:rsidR="00E74C9C" w:rsidRPr="00E74C9C">
        <w:rPr>
          <w:i/>
          <w:lang w:val="fr-CA"/>
        </w:rPr>
        <w:t xml:space="preserve">Le juge du procès n’a pas </w:t>
      </w:r>
      <w:r w:rsidR="00E74C9C" w:rsidRPr="00E74C9C">
        <w:rPr>
          <w:i/>
          <w:iCs/>
          <w:lang w:val="fr-CA"/>
        </w:rPr>
        <w:t xml:space="preserve">recouru à des </w:t>
      </w:r>
      <w:r w:rsidR="00E74C9C" w:rsidRPr="00E74C9C">
        <w:rPr>
          <w:i/>
          <w:lang w:val="fr-CA"/>
        </w:rPr>
        <w:t>stéréotypes dans l’appréciation du témoignage de l’accusé — L’erreur qu’a commise le juge du procès en ne tenant pas de voir</w:t>
      </w:r>
      <w:r w:rsidR="001F2908">
        <w:rPr>
          <w:i/>
          <w:lang w:val="fr-CA"/>
        </w:rPr>
        <w:t>-</w:t>
      </w:r>
      <w:r w:rsidR="00E74C9C" w:rsidRPr="00E74C9C">
        <w:rPr>
          <w:i/>
          <w:lang w:val="fr-CA"/>
        </w:rPr>
        <w:t xml:space="preserve">dire relativement au témoignage de la plaignante concernant des rapports </w:t>
      </w:r>
      <w:r w:rsidR="00E74C9C" w:rsidRPr="00E74C9C">
        <w:rPr>
          <w:i/>
          <w:lang w:val="fr-CA"/>
        </w:rPr>
        <w:lastRenderedPageBreak/>
        <w:t xml:space="preserve">sexuels antérieurs avec l’accusé </w:t>
      </w:r>
      <w:r w:rsidR="00E74C9C" w:rsidRPr="00E74C9C">
        <w:rPr>
          <w:i/>
          <w:iCs/>
          <w:lang w:val="fr-CA"/>
        </w:rPr>
        <w:t xml:space="preserve">n’a pas entraîné de tort important ou d’erreur judiciaire grave </w:t>
      </w:r>
      <w:r w:rsidR="00E74C9C" w:rsidRPr="00E74C9C">
        <w:rPr>
          <w:i/>
          <w:lang w:val="fr-CA"/>
        </w:rPr>
        <w:t>— Déclaration de culpabilité confirmée</w:t>
      </w:r>
      <w:r w:rsidR="00E74C9C">
        <w:rPr>
          <w:i/>
          <w:lang w:val="fr-CA"/>
        </w:rPr>
        <w:t>.</w:t>
      </w:r>
    </w:p>
    <w:p w14:paraId="1BD29B98" w14:textId="77777777" w:rsidR="00AF6E72" w:rsidRPr="004D7D95" w:rsidRDefault="00AF6E72" w:rsidP="00AF6E72">
      <w:pPr>
        <w:pStyle w:val="SCCNormalDoubleSpacing"/>
        <w:rPr>
          <w:lang w:val="fr-CA"/>
        </w:rPr>
      </w:pPr>
    </w:p>
    <w:p w14:paraId="12FC7A06" w14:textId="77777777" w:rsidR="009B0AE4" w:rsidRPr="00781A29" w:rsidRDefault="00AF6E72" w:rsidP="009B0AE4">
      <w:pPr>
        <w:pStyle w:val="SCCNormalDoubleSpacing"/>
        <w:rPr>
          <w:lang w:val="fr-CA"/>
        </w:rPr>
      </w:pPr>
      <w:r w:rsidRPr="004D7D95">
        <w:rPr>
          <w:b/>
          <w:lang w:val="fr-CA"/>
        </w:rPr>
        <w:t>Lois et règlements cités</w:t>
      </w:r>
    </w:p>
    <w:p w14:paraId="7AE1E150" w14:textId="77777777" w:rsidR="009B0AE4" w:rsidRPr="00781A29" w:rsidRDefault="009B0AE4" w:rsidP="009B0AE4">
      <w:pPr>
        <w:pStyle w:val="SCCNormalDoubleSpacing"/>
        <w:spacing w:line="240" w:lineRule="auto"/>
        <w:ind w:left="540" w:hanging="540"/>
        <w:rPr>
          <w:lang w:val="fr-CA"/>
        </w:rPr>
      </w:pPr>
    </w:p>
    <w:p w14:paraId="2D87A3E5" w14:textId="7849D8FA" w:rsidR="007870DE" w:rsidRPr="009B0AE4" w:rsidRDefault="007870DE" w:rsidP="009B0AE4">
      <w:pPr>
        <w:pStyle w:val="SCCNormalDoubleSpacing"/>
        <w:spacing w:line="240" w:lineRule="auto"/>
        <w:rPr>
          <w:b/>
          <w:lang w:val="fr-CA"/>
        </w:rPr>
      </w:pPr>
      <w:r>
        <w:rPr>
          <w:i/>
          <w:lang w:val="fr-CA"/>
        </w:rPr>
        <w:t>Code criminel</w:t>
      </w:r>
      <w:r>
        <w:rPr>
          <w:lang w:val="fr-CA"/>
        </w:rPr>
        <w:t>, L.R.C.</w:t>
      </w:r>
      <w:r w:rsidRPr="007A4258">
        <w:rPr>
          <w:lang w:val="fr-CA"/>
        </w:rPr>
        <w:t xml:space="preserve"> 1985</w:t>
      </w:r>
      <w:r>
        <w:rPr>
          <w:lang w:val="fr-CA"/>
        </w:rPr>
        <w:t>, c. C-46, art. 276.</w:t>
      </w:r>
    </w:p>
    <w:p w14:paraId="47A760E8" w14:textId="77777777" w:rsidR="00AF6E72" w:rsidRPr="004D7D95" w:rsidRDefault="00AF6E72" w:rsidP="00AF6E72">
      <w:pPr>
        <w:pStyle w:val="SCCNormalDoubleSpacing"/>
        <w:spacing w:line="240" w:lineRule="auto"/>
        <w:ind w:left="540" w:hanging="540"/>
        <w:rPr>
          <w:lang w:val="fr-CA"/>
        </w:rPr>
      </w:pPr>
    </w:p>
    <w:p w14:paraId="1A05B070" w14:textId="77777777" w:rsidR="00AF6E72" w:rsidRPr="00E26A1E" w:rsidRDefault="00AF6E72" w:rsidP="00AF6E72">
      <w:pPr>
        <w:pStyle w:val="SCCNormalDoubleSpacing"/>
        <w:spacing w:line="240" w:lineRule="auto"/>
        <w:rPr>
          <w:lang w:val="fr-CA"/>
        </w:rPr>
      </w:pPr>
    </w:p>
    <w:p w14:paraId="674E8A22" w14:textId="471E08F7" w:rsidR="009A7F24" w:rsidRPr="003071A8" w:rsidRDefault="00425824" w:rsidP="009A7F24">
      <w:pPr>
        <w:pStyle w:val="SCCNormalDoubleSpacing"/>
        <w:rPr>
          <w:lang w:val="fr-CA"/>
        </w:rPr>
      </w:pPr>
      <w:r w:rsidRPr="003D3684">
        <w:rPr>
          <w:lang w:val="fr-CA"/>
        </w:rPr>
        <w:tab/>
      </w:r>
      <w:r w:rsidR="004D7D95" w:rsidRPr="004D7D95">
        <w:rPr>
          <w:lang w:val="fr-CA"/>
        </w:rPr>
        <w:t>POURVO</w:t>
      </w:r>
      <w:r w:rsidR="004D7D95" w:rsidRPr="00817D4B">
        <w:rPr>
          <w:lang w:val="fr-CA"/>
        </w:rPr>
        <w:t>I</w:t>
      </w:r>
      <w:r w:rsidR="004D7D95" w:rsidRPr="004D7D95">
        <w:rPr>
          <w:lang w:val="fr-CA"/>
        </w:rPr>
        <w:t xml:space="preserve"> contre un arrêt de la </w:t>
      </w:r>
      <w:r>
        <w:rPr>
          <w:lang w:val="fr-CA"/>
        </w:rPr>
        <w:t>Cour d’</w:t>
      </w:r>
      <w:r w:rsidR="003219D4">
        <w:rPr>
          <w:lang w:val="fr-CA"/>
        </w:rPr>
        <w:t>appel de l’Alberta (</w:t>
      </w:r>
      <w:r w:rsidR="003071A8">
        <w:rPr>
          <w:lang w:val="fr-CA"/>
        </w:rPr>
        <w:t xml:space="preserve">les juges </w:t>
      </w:r>
      <w:r w:rsidR="003071A8" w:rsidRPr="003071A8">
        <w:rPr>
          <w:lang w:val="fr-CA"/>
        </w:rPr>
        <w:t xml:space="preserve">O’Ferrall, Hughes </w:t>
      </w:r>
      <w:r w:rsidR="003071A8">
        <w:rPr>
          <w:lang w:val="fr-CA"/>
        </w:rPr>
        <w:t>et</w:t>
      </w:r>
      <w:r w:rsidR="003071A8" w:rsidRPr="003071A8">
        <w:rPr>
          <w:lang w:val="fr-CA"/>
        </w:rPr>
        <w:t xml:space="preserve"> Feehan</w:t>
      </w:r>
      <w:r w:rsidR="003071A8">
        <w:rPr>
          <w:lang w:val="fr-CA"/>
        </w:rPr>
        <w:t xml:space="preserve">), </w:t>
      </w:r>
      <w:r w:rsidR="003071A8" w:rsidRPr="003071A8">
        <w:rPr>
          <w:color w:val="000000"/>
          <w:lang w:val="fr-CA"/>
        </w:rPr>
        <w:t xml:space="preserve">2020 ABCA 152, 64 C.R. (7th) 71, [2020] A.J. No. 471 (QL), 2020 </w:t>
      </w:r>
      <w:r w:rsidR="003071A8" w:rsidRPr="00E26A1E">
        <w:rPr>
          <w:color w:val="000000"/>
          <w:lang w:val="fr-CA"/>
        </w:rPr>
        <w:t xml:space="preserve">CarswellAlta 737 (WL Can.), </w:t>
      </w:r>
      <w:r w:rsidR="00E26A1E">
        <w:rPr>
          <w:color w:val="000000"/>
          <w:lang w:val="fr-CA"/>
        </w:rPr>
        <w:t>qui a confirmé la déclaration de culpabilité pour agression sexuelle prononcée contre l’accusé.</w:t>
      </w:r>
      <w:r w:rsidR="003071A8" w:rsidRPr="00E26A1E">
        <w:rPr>
          <w:color w:val="000000"/>
          <w:lang w:val="fr-CA"/>
        </w:rPr>
        <w:t xml:space="preserve"> Pourvoi </w:t>
      </w:r>
      <w:r w:rsidR="00E26A1E">
        <w:rPr>
          <w:color w:val="000000"/>
          <w:lang w:val="fr-CA"/>
        </w:rPr>
        <w:t>rejeté, la juge Côté est dissidente</w:t>
      </w:r>
      <w:r w:rsidR="003071A8" w:rsidRPr="00E26A1E">
        <w:rPr>
          <w:color w:val="000000"/>
          <w:lang w:val="fr-CA"/>
        </w:rPr>
        <w:t>.</w:t>
      </w:r>
    </w:p>
    <w:p w14:paraId="4B162533" w14:textId="77777777" w:rsidR="004D7D95" w:rsidRPr="004D7D95" w:rsidRDefault="004D7D95" w:rsidP="004D7D95">
      <w:pPr>
        <w:pStyle w:val="SCCNormalDoubleSpacing"/>
        <w:rPr>
          <w:lang w:val="fr-CA"/>
        </w:rPr>
      </w:pPr>
    </w:p>
    <w:p w14:paraId="2B9DF01E" w14:textId="77777777" w:rsidR="006772DB" w:rsidRPr="00871A9C" w:rsidRDefault="006772DB" w:rsidP="006772DB">
      <w:pPr>
        <w:pStyle w:val="SCCNormalDoubleSpacing"/>
        <w:rPr>
          <w:lang w:val="fr-CA"/>
        </w:rPr>
      </w:pPr>
      <w:r w:rsidRPr="007948E4">
        <w:rPr>
          <w:lang w:val="fr-CA"/>
        </w:rPr>
        <w:tab/>
      </w:r>
      <w:r w:rsidR="00871A9C" w:rsidRPr="00871A9C">
        <w:rPr>
          <w:i/>
          <w:iCs/>
          <w:color w:val="000000"/>
          <w:lang w:val="fr-CA"/>
        </w:rPr>
        <w:t xml:space="preserve">Andrea </w:t>
      </w:r>
      <w:r w:rsidR="00871A9C" w:rsidRPr="00183825">
        <w:rPr>
          <w:i/>
          <w:iCs/>
          <w:color w:val="000000"/>
          <w:lang w:val="fr-CA"/>
        </w:rPr>
        <w:t>L.</w:t>
      </w:r>
      <w:r w:rsidR="00871A9C" w:rsidRPr="00871A9C">
        <w:rPr>
          <w:i/>
          <w:iCs/>
          <w:color w:val="000000"/>
          <w:lang w:val="fr-CA"/>
        </w:rPr>
        <w:t xml:space="preserve"> Serink</w:t>
      </w:r>
      <w:r w:rsidR="00871A9C" w:rsidRPr="00871A9C">
        <w:rPr>
          <w:color w:val="000000"/>
          <w:lang w:val="fr-CA"/>
        </w:rPr>
        <w:t> et </w:t>
      </w:r>
      <w:r w:rsidR="00871A9C" w:rsidRPr="00871A9C">
        <w:rPr>
          <w:i/>
          <w:iCs/>
          <w:color w:val="000000"/>
          <w:lang w:val="fr-CA"/>
        </w:rPr>
        <w:t>Alias A. Sanders</w:t>
      </w:r>
      <w:r w:rsidR="00E5170F" w:rsidRPr="00871A9C">
        <w:rPr>
          <w:lang w:val="fr-CA"/>
        </w:rPr>
        <w:t>, pour l’appelant.</w:t>
      </w:r>
    </w:p>
    <w:p w14:paraId="65117986" w14:textId="77777777" w:rsidR="006772DB" w:rsidRPr="00871A9C" w:rsidRDefault="006772DB" w:rsidP="006772DB">
      <w:pPr>
        <w:pStyle w:val="SCCNormalDoubleSpacing"/>
        <w:rPr>
          <w:lang w:val="fr-CA"/>
        </w:rPr>
      </w:pPr>
    </w:p>
    <w:p w14:paraId="6A700695" w14:textId="77777777" w:rsidR="004762A1" w:rsidRDefault="006772DB" w:rsidP="00100075">
      <w:pPr>
        <w:pStyle w:val="SCCNormalDoubleSpacing"/>
        <w:rPr>
          <w:rStyle w:val="SCCCounselPartyRoleChar"/>
          <w:lang w:val="fr-CA"/>
        </w:rPr>
      </w:pPr>
      <w:r w:rsidRPr="00871A9C">
        <w:rPr>
          <w:rStyle w:val="SCCCounselNameChar"/>
          <w:lang w:val="fr-CA"/>
        </w:rPr>
        <w:tab/>
      </w:r>
      <w:r w:rsidR="00871A9C" w:rsidRPr="00871A9C">
        <w:rPr>
          <w:i/>
          <w:iCs/>
          <w:color w:val="000000"/>
          <w:lang w:val="fr-CA"/>
        </w:rPr>
        <w:t>Sarah Clive</w:t>
      </w:r>
      <w:r w:rsidRPr="006772DB">
        <w:rPr>
          <w:rStyle w:val="SCCCounselPartyRoleChar"/>
          <w:lang w:val="fr-CA"/>
        </w:rPr>
        <w:t xml:space="preserve">, </w:t>
      </w:r>
      <w:r>
        <w:rPr>
          <w:rStyle w:val="SCCCounselPartyRoleChar"/>
          <w:lang w:val="fr-CA"/>
        </w:rPr>
        <w:t>pour l’intimé</w:t>
      </w:r>
      <w:r w:rsidRPr="00871A9C">
        <w:rPr>
          <w:rStyle w:val="SCCCounselPartyRoleChar"/>
          <w:lang w:val="fr-CA"/>
        </w:rPr>
        <w:t>e</w:t>
      </w:r>
      <w:r w:rsidRPr="006772DB">
        <w:rPr>
          <w:rStyle w:val="SCCCounselPartyRoleChar"/>
          <w:lang w:val="fr-CA"/>
        </w:rPr>
        <w:t>.</w:t>
      </w:r>
    </w:p>
    <w:p w14:paraId="66B97A76" w14:textId="77777777" w:rsidR="00E5170F" w:rsidRDefault="00E5170F" w:rsidP="00100075">
      <w:pPr>
        <w:pStyle w:val="SCCNormalDoubleSpacing"/>
        <w:rPr>
          <w:rStyle w:val="SCCCounselPartyRoleChar"/>
          <w:lang w:val="fr-CA"/>
        </w:rPr>
      </w:pPr>
    </w:p>
    <w:p w14:paraId="1E3E3418" w14:textId="664AD980" w:rsidR="00E5170F" w:rsidRDefault="00E5170F" w:rsidP="00100075">
      <w:pPr>
        <w:pStyle w:val="SCCNormalDoubleSpacing"/>
        <w:rPr>
          <w:rStyle w:val="SCCCounselPartyRoleChar"/>
          <w:lang w:val="fr-CA"/>
        </w:rPr>
      </w:pPr>
      <w:r w:rsidRPr="006772DB">
        <w:rPr>
          <w:rStyle w:val="SCCCounselNameChar"/>
          <w:lang w:val="fr-CA"/>
        </w:rPr>
        <w:tab/>
      </w:r>
      <w:r w:rsidR="00871A9C" w:rsidRPr="00871A9C">
        <w:rPr>
          <w:i/>
          <w:iCs/>
          <w:color w:val="000000"/>
          <w:lang w:val="fr-CA"/>
        </w:rPr>
        <w:t>Mabel Lai</w:t>
      </w:r>
      <w:r w:rsidRPr="006772DB">
        <w:rPr>
          <w:rStyle w:val="SCCCounselPartyRoleChar"/>
          <w:lang w:val="fr-CA"/>
        </w:rPr>
        <w:t xml:space="preserve">, </w:t>
      </w:r>
      <w:r>
        <w:rPr>
          <w:rStyle w:val="SCCCounselPartyRoleChar"/>
          <w:lang w:val="fr-CA"/>
        </w:rPr>
        <w:t>pour l’intervenant</w:t>
      </w:r>
      <w:r w:rsidRPr="006772DB">
        <w:rPr>
          <w:rStyle w:val="SCCCounselPartyRoleChar"/>
          <w:lang w:val="fr-CA"/>
        </w:rPr>
        <w:t>.</w:t>
      </w:r>
    </w:p>
    <w:p w14:paraId="41DEB7CE" w14:textId="77777777" w:rsidR="008D083C" w:rsidRPr="00781A29" w:rsidRDefault="008D083C" w:rsidP="008D083C">
      <w:pPr>
        <w:pStyle w:val="SCCNormalDoubleSpacing"/>
        <w:rPr>
          <w:rStyle w:val="SCCCounselPartyRoleChar"/>
          <w:lang w:val="fr-CA"/>
        </w:rPr>
      </w:pPr>
    </w:p>
    <w:p w14:paraId="536149F8" w14:textId="504AA1E3" w:rsidR="00024474" w:rsidRDefault="008D083C" w:rsidP="008D083C">
      <w:pPr>
        <w:pStyle w:val="SCCNormalDoubleSpacing"/>
        <w:rPr>
          <w:lang w:val="fr-CA"/>
        </w:rPr>
      </w:pPr>
      <w:r w:rsidRPr="00781A29">
        <w:rPr>
          <w:lang w:val="fr-CA"/>
        </w:rPr>
        <w:tab/>
      </w:r>
      <w:r w:rsidR="00024474" w:rsidRPr="00781A29">
        <w:rPr>
          <w:lang w:val="fr-CA"/>
        </w:rPr>
        <w:t>Version française d</w:t>
      </w:r>
      <w:r w:rsidR="00063F6C" w:rsidRPr="00781A29">
        <w:rPr>
          <w:lang w:val="fr-CA"/>
        </w:rPr>
        <w:t>u</w:t>
      </w:r>
      <w:r w:rsidR="00024474" w:rsidRPr="00781A29">
        <w:rPr>
          <w:lang w:val="fr-CA"/>
        </w:rPr>
        <w:t xml:space="preserve"> jugement de la Cour rendu oralement par</w:t>
      </w:r>
    </w:p>
    <w:p w14:paraId="5A315A41" w14:textId="77777777" w:rsidR="008D083C" w:rsidRDefault="008D083C" w:rsidP="008D083C">
      <w:pPr>
        <w:pStyle w:val="SCCNormalDoubleSpacing"/>
        <w:rPr>
          <w:lang w:val="fr-CA"/>
        </w:rPr>
      </w:pPr>
    </w:p>
    <w:p w14:paraId="6C75B488" w14:textId="78D94401" w:rsidR="00B074C2" w:rsidRPr="00B074C2" w:rsidRDefault="00E26A1E" w:rsidP="00042620">
      <w:pPr>
        <w:spacing w:line="480" w:lineRule="auto"/>
        <w:jc w:val="both"/>
        <w:rPr>
          <w:color w:val="000000"/>
          <w:szCs w:val="27"/>
          <w:lang w:val="fr-CA"/>
        </w:rPr>
      </w:pPr>
      <w:r>
        <w:rPr>
          <w:smallCaps/>
          <w:color w:val="000000"/>
          <w:szCs w:val="27"/>
          <w:lang w:val="fr-CA"/>
        </w:rPr>
        <w:t>[1]</w:t>
      </w:r>
      <w:r w:rsidRPr="00E26A1E">
        <w:rPr>
          <w:smallCaps/>
          <w:color w:val="000000"/>
          <w:szCs w:val="27"/>
          <w:lang w:val="fr-CA" w:eastAsia="en-US"/>
        </w:rPr>
        <w:tab/>
      </w:r>
      <w:r w:rsidR="00B074C2" w:rsidRPr="00B074C2">
        <w:rPr>
          <w:smallCaps/>
          <w:color w:val="000000"/>
          <w:szCs w:val="27"/>
          <w:lang w:val="fr-CA"/>
        </w:rPr>
        <w:t>Le juge Moldaver</w:t>
      </w:r>
      <w:r w:rsidR="00B074C2" w:rsidRPr="00B074C2">
        <w:rPr>
          <w:color w:val="000000"/>
          <w:szCs w:val="27"/>
          <w:lang w:val="fr-CA"/>
        </w:rPr>
        <w:t xml:space="preserve"> — La Cour est majoritairement d’avis de rejeter l’appel. Le juge de première instance n’a pas appliqué de raisonnement stéréotypé dans son appréciation du témoignage de l’appelant. Dans la mesure où le juge a pu commettre une erreur en tirant une inférence illogique au sujet de l’improbabilité que l’appelant ait eu des rapports sexuels avec la plaignante alors qu’il était engagé dans une relation avec une autre femme, nous estimons à la majorité que cette erreur était inoffensive compte tenu de l’ensemble de ses motifs, et qu’elle n’a </w:t>
      </w:r>
      <w:r w:rsidR="00B074C2" w:rsidRPr="00B074C2">
        <w:rPr>
          <w:color w:val="000000"/>
          <w:szCs w:val="27"/>
          <w:lang w:val="fr-CA"/>
        </w:rPr>
        <w:lastRenderedPageBreak/>
        <w:t>entraîné aucun tort ou erreur judiciaire. De même, bien que le fait de ne pas avoir tenu de voir</w:t>
      </w:r>
      <w:r w:rsidR="001F2908">
        <w:rPr>
          <w:color w:val="000000"/>
          <w:szCs w:val="27"/>
          <w:lang w:val="fr-CA"/>
        </w:rPr>
        <w:t>-</w:t>
      </w:r>
      <w:r w:rsidR="00B074C2" w:rsidRPr="00B074C2">
        <w:rPr>
          <w:color w:val="000000"/>
          <w:szCs w:val="27"/>
          <w:lang w:val="fr-CA"/>
        </w:rPr>
        <w:t xml:space="preserve">dire conformément à l’art. 276 </w:t>
      </w:r>
      <w:r w:rsidR="00B074C2" w:rsidRPr="00B074C2">
        <w:rPr>
          <w:szCs w:val="27"/>
          <w:lang w:val="fr-CA"/>
        </w:rPr>
        <w:t>(</w:t>
      </w:r>
      <w:r w:rsidR="00B074C2" w:rsidRPr="00B074C2">
        <w:rPr>
          <w:rFonts w:eastAsiaTheme="majorEastAsia"/>
          <w:i/>
          <w:iCs/>
          <w:szCs w:val="27"/>
          <w:lang w:val="fr-CA"/>
        </w:rPr>
        <w:t>Code criminel</w:t>
      </w:r>
      <w:r w:rsidR="00B074C2" w:rsidRPr="00B074C2">
        <w:rPr>
          <w:rFonts w:eastAsiaTheme="majorEastAsia"/>
          <w:szCs w:val="27"/>
          <w:lang w:val="fr-CA"/>
        </w:rPr>
        <w:t>, L.R.C. 1985, c. C</w:t>
      </w:r>
      <w:r w:rsidR="00B074C2" w:rsidRPr="00B074C2">
        <w:rPr>
          <w:rFonts w:eastAsiaTheme="majorEastAsia"/>
          <w:szCs w:val="27"/>
          <w:lang w:val="fr-CA"/>
        </w:rPr>
        <w:noBreakHyphen/>
        <w:t>46</w:t>
      </w:r>
      <w:r w:rsidR="00B074C2" w:rsidRPr="00B074C2">
        <w:rPr>
          <w:szCs w:val="27"/>
          <w:lang w:val="fr-CA"/>
        </w:rPr>
        <w:t xml:space="preserve">) </w:t>
      </w:r>
      <w:r w:rsidR="00B074C2" w:rsidRPr="00B074C2">
        <w:rPr>
          <w:color w:val="000000"/>
          <w:szCs w:val="27"/>
          <w:lang w:val="fr-CA"/>
        </w:rPr>
        <w:t>relativement au témoignage de la plaignante concernant des rapports sexuels antérieurs avec l’appelant ait constitué une erreur, cette erreur n’a entraîné aucun tort important ni erreur judiciaire grave.</w:t>
      </w:r>
    </w:p>
    <w:p w14:paraId="7A9BA78F" w14:textId="77777777" w:rsidR="00B074C2" w:rsidRPr="00B074C2" w:rsidRDefault="00B074C2" w:rsidP="00042620">
      <w:pPr>
        <w:spacing w:line="480" w:lineRule="auto"/>
        <w:jc w:val="both"/>
        <w:rPr>
          <w:color w:val="000000"/>
          <w:szCs w:val="27"/>
          <w:lang w:val="fr-CA"/>
        </w:rPr>
      </w:pPr>
      <w:r w:rsidRPr="00B074C2">
        <w:rPr>
          <w:color w:val="000000"/>
          <w:szCs w:val="27"/>
          <w:lang w:val="fr-CA"/>
        </w:rPr>
        <w:t> </w:t>
      </w:r>
    </w:p>
    <w:p w14:paraId="0F45E5FB" w14:textId="07B4257C" w:rsidR="00E26A1E" w:rsidRDefault="00E26A1E" w:rsidP="00E26A1E">
      <w:pPr>
        <w:spacing w:line="480" w:lineRule="auto"/>
        <w:jc w:val="both"/>
        <w:rPr>
          <w:color w:val="000000"/>
          <w:szCs w:val="27"/>
          <w:lang w:val="fr-CA"/>
        </w:rPr>
      </w:pPr>
      <w:r>
        <w:rPr>
          <w:color w:val="000000"/>
          <w:szCs w:val="27"/>
          <w:lang w:val="fr-CA"/>
        </w:rPr>
        <w:t>[2]</w:t>
      </w:r>
      <w:r w:rsidRPr="00E26A1E">
        <w:rPr>
          <w:smallCaps/>
          <w:color w:val="000000"/>
          <w:szCs w:val="27"/>
          <w:lang w:val="fr-CA" w:eastAsia="en-US"/>
        </w:rPr>
        <w:tab/>
      </w:r>
      <w:r w:rsidR="00B074C2" w:rsidRPr="00B074C2">
        <w:rPr>
          <w:color w:val="000000"/>
          <w:szCs w:val="27"/>
          <w:lang w:val="fr-CA"/>
        </w:rPr>
        <w:t>La juge Côté, dissidente, accueillerait l’appel, essentiellement pour les motifs exposés par le juge d’appel O’Ferrall. Elle n’appliquerait pas la disposition réparatrice, car elle n’est pas persuadée qu’il n’y a pas eu tort important ou erreur judiciaire grave en l’espèce.</w:t>
      </w:r>
    </w:p>
    <w:p w14:paraId="565F9359" w14:textId="22F7A003" w:rsidR="004D7D95" w:rsidRPr="00E26A1E" w:rsidRDefault="004D7D95" w:rsidP="00E26A1E">
      <w:pPr>
        <w:spacing w:line="480" w:lineRule="auto"/>
        <w:jc w:val="both"/>
        <w:rPr>
          <w:color w:val="000000"/>
          <w:szCs w:val="27"/>
          <w:lang w:val="fr-CA"/>
        </w:rPr>
      </w:pPr>
    </w:p>
    <w:p w14:paraId="2BA49885" w14:textId="3239100E" w:rsidR="00024474" w:rsidRDefault="00E26A1E" w:rsidP="004D7D95">
      <w:pPr>
        <w:pStyle w:val="SCCNormalDoubleSpacing"/>
        <w:rPr>
          <w:i/>
          <w:lang w:val="fr-CA"/>
        </w:rPr>
      </w:pPr>
      <w:r>
        <w:rPr>
          <w:i/>
          <w:lang w:val="fr-CA"/>
        </w:rPr>
        <w:tab/>
      </w:r>
      <w:r w:rsidRPr="002A2088">
        <w:rPr>
          <w:i/>
          <w:lang w:val="fr-CA"/>
        </w:rPr>
        <w:t>Jugement</w:t>
      </w:r>
      <w:r w:rsidRPr="004762A1">
        <w:rPr>
          <w:i/>
          <w:lang w:val="fr-CA"/>
        </w:rPr>
        <w:t xml:space="preserve"> en conséquence.</w:t>
      </w:r>
    </w:p>
    <w:p w14:paraId="5229A6FA" w14:textId="77777777" w:rsidR="00E26A1E" w:rsidRPr="004762A1" w:rsidRDefault="00E26A1E" w:rsidP="004D7D95">
      <w:pPr>
        <w:pStyle w:val="SCCNormalDoubleSpacing"/>
        <w:rPr>
          <w:i/>
          <w:lang w:val="fr-CA"/>
        </w:rPr>
      </w:pPr>
    </w:p>
    <w:p w14:paraId="647C0254" w14:textId="4ED080F6" w:rsidR="004D7D95" w:rsidRPr="00AA12B1" w:rsidRDefault="00AA12B1" w:rsidP="004D7D95">
      <w:pPr>
        <w:pStyle w:val="SCCNormalDoubleSpacing"/>
        <w:rPr>
          <w:i/>
          <w:lang w:val="fr-CA"/>
        </w:rPr>
      </w:pPr>
      <w:r>
        <w:rPr>
          <w:lang w:val="fr-CA"/>
        </w:rPr>
        <w:tab/>
      </w:r>
      <w:r w:rsidR="00B15B06">
        <w:rPr>
          <w:i/>
          <w:lang w:val="fr-CA"/>
        </w:rPr>
        <w:t>Procureur</w:t>
      </w:r>
      <w:r w:rsidR="00871A9C" w:rsidRPr="00871A9C">
        <w:rPr>
          <w:i/>
          <w:lang w:val="fr-CA"/>
        </w:rPr>
        <w:t>s</w:t>
      </w:r>
      <w:r w:rsidRPr="00AA12B1">
        <w:rPr>
          <w:i/>
          <w:lang w:val="fr-CA"/>
        </w:rPr>
        <w:t xml:space="preserve"> de l’appelant</w:t>
      </w:r>
      <w:r w:rsidR="00CB4026">
        <w:rPr>
          <w:i/>
          <w:lang w:val="fr-CA"/>
        </w:rPr>
        <w:t> </w:t>
      </w:r>
      <w:r w:rsidRPr="00AA12B1">
        <w:rPr>
          <w:i/>
          <w:lang w:val="fr-CA"/>
        </w:rPr>
        <w:t xml:space="preserve">: </w:t>
      </w:r>
      <w:r w:rsidR="00871A9C" w:rsidRPr="00815081">
        <w:rPr>
          <w:i/>
          <w:lang w:val="fr-CA"/>
        </w:rPr>
        <w:t>Serink Law Office, Calgary</w:t>
      </w:r>
      <w:r w:rsidR="009F4641" w:rsidRPr="00781A29">
        <w:rPr>
          <w:i/>
          <w:lang w:val="fr-CA"/>
        </w:rPr>
        <w:t xml:space="preserve">; Alias A. Sanders </w:t>
      </w:r>
      <w:r w:rsidR="009F4641" w:rsidRPr="00C76C38">
        <w:rPr>
          <w:i/>
          <w:lang w:val="fr-CA"/>
        </w:rPr>
        <w:t>Barrister &amp; Solicitor</w:t>
      </w:r>
      <w:r w:rsidR="009F4641" w:rsidRPr="00781A29">
        <w:rPr>
          <w:i/>
          <w:lang w:val="fr-CA"/>
        </w:rPr>
        <w:t>, Calgary</w:t>
      </w:r>
      <w:r w:rsidRPr="00AA12B1">
        <w:rPr>
          <w:i/>
          <w:lang w:val="fr-CA"/>
        </w:rPr>
        <w:t>.</w:t>
      </w:r>
    </w:p>
    <w:p w14:paraId="04722C75" w14:textId="77777777" w:rsidR="00C1073B" w:rsidRPr="001F730C" w:rsidRDefault="00C1073B">
      <w:pPr>
        <w:pStyle w:val="SCCLawFirm"/>
        <w:rPr>
          <w:lang w:val="fr-CA"/>
        </w:rPr>
      </w:pPr>
    </w:p>
    <w:p w14:paraId="2B20331C" w14:textId="58E5F2C0" w:rsidR="00C1073B" w:rsidRPr="007C2D6A" w:rsidRDefault="0010723F">
      <w:pPr>
        <w:pStyle w:val="SCCLawFirm"/>
        <w:rPr>
          <w:lang w:val="en-US"/>
        </w:rPr>
      </w:pPr>
      <w:r>
        <w:rPr>
          <w:lang w:val="fr-CA"/>
        </w:rPr>
        <w:tab/>
      </w:r>
      <w:r w:rsidR="00CB4026" w:rsidRPr="007C2D6A">
        <w:rPr>
          <w:lang w:val="en-US"/>
        </w:rPr>
        <w:t>Procureur de l’intimé</w:t>
      </w:r>
      <w:r w:rsidR="00CB4026" w:rsidRPr="007C2D6A">
        <w:rPr>
          <w:rStyle w:val="SCCCounselPartyRoleChar"/>
          <w:lang w:val="en-US"/>
        </w:rPr>
        <w:t>e</w:t>
      </w:r>
      <w:r w:rsidR="001F730C" w:rsidRPr="007C2D6A">
        <w:rPr>
          <w:lang w:val="en-US"/>
        </w:rPr>
        <w:t xml:space="preserve"> : </w:t>
      </w:r>
      <w:r w:rsidR="00B05900" w:rsidRPr="007C2D6A">
        <w:rPr>
          <w:lang w:val="en-US"/>
        </w:rPr>
        <w:t>Justice and Solicitor General</w:t>
      </w:r>
      <w:r w:rsidR="00815081" w:rsidRPr="007C2D6A">
        <w:rPr>
          <w:lang w:val="en-US"/>
        </w:rPr>
        <w:t>,</w:t>
      </w:r>
      <w:r w:rsidR="007C2D6A" w:rsidRPr="007C2D6A">
        <w:t xml:space="preserve"> Appeals, Education &amp; Prosecution Policy Branch,</w:t>
      </w:r>
      <w:r w:rsidR="00815081" w:rsidRPr="007C2D6A">
        <w:rPr>
          <w:lang w:val="en-US"/>
        </w:rPr>
        <w:t xml:space="preserve"> Calgary</w:t>
      </w:r>
      <w:r w:rsidR="0059383B" w:rsidRPr="007C2D6A">
        <w:rPr>
          <w:lang w:val="en-US"/>
        </w:rPr>
        <w:t>.</w:t>
      </w:r>
    </w:p>
    <w:p w14:paraId="0D559244" w14:textId="77777777" w:rsidR="00CB4026" w:rsidRPr="007C2D6A" w:rsidRDefault="00CB4026" w:rsidP="00CB4026">
      <w:pPr>
        <w:pStyle w:val="SCCNormalDoubleSpacing"/>
        <w:rPr>
          <w:lang w:val="en-US"/>
        </w:rPr>
      </w:pPr>
    </w:p>
    <w:p w14:paraId="6B0B0E52" w14:textId="7137D0B3" w:rsidR="00CB4026" w:rsidRPr="00CB4026" w:rsidRDefault="00CB4026" w:rsidP="00952250">
      <w:pPr>
        <w:pStyle w:val="SCCLawFirm"/>
        <w:rPr>
          <w:lang w:val="fr-CA"/>
        </w:rPr>
      </w:pPr>
      <w:r w:rsidRPr="007C2D6A">
        <w:rPr>
          <w:lang w:val="en-US"/>
        </w:rPr>
        <w:tab/>
      </w:r>
      <w:r>
        <w:rPr>
          <w:lang w:val="fr-CA"/>
        </w:rPr>
        <w:t>Procureur de l’intervenant</w:t>
      </w:r>
      <w:r w:rsidRPr="008663F0">
        <w:rPr>
          <w:lang w:val="fr-CA"/>
        </w:rPr>
        <w:t xml:space="preserve"> : </w:t>
      </w:r>
      <w:r w:rsidR="00815081">
        <w:rPr>
          <w:lang w:val="fr-CA"/>
        </w:rPr>
        <w:t>Procureur général de l’Ontario, Toronto</w:t>
      </w:r>
      <w:r w:rsidRPr="008663F0">
        <w:rPr>
          <w:lang w:val="fr-CA"/>
        </w:rPr>
        <w:t>.</w:t>
      </w:r>
    </w:p>
    <w:p w14:paraId="6C69BC1A" w14:textId="77777777" w:rsidR="00B51DB3" w:rsidRPr="00CB4026" w:rsidRDefault="00B51DB3">
      <w:pPr>
        <w:pStyle w:val="SCCLawFirm"/>
        <w:rPr>
          <w:lang w:val="fr-CA"/>
        </w:rPr>
      </w:pPr>
    </w:p>
    <w:sectPr w:rsidR="00B51DB3" w:rsidRPr="00CB4026" w:rsidSect="00B51DB3">
      <w:pgSz w:w="12240" w:h="15840"/>
      <w:pgMar w:top="1267" w:right="12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D14A0" w14:textId="77777777" w:rsidR="003E448B" w:rsidRDefault="003E448B">
      <w:r>
        <w:separator/>
      </w:r>
    </w:p>
  </w:endnote>
  <w:endnote w:type="continuationSeparator" w:id="0">
    <w:p w14:paraId="21F52E47" w14:textId="77777777" w:rsidR="003E448B" w:rsidRDefault="003E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D9311" w14:textId="77777777" w:rsidR="003E448B" w:rsidRDefault="003E448B">
      <w:r>
        <w:separator/>
      </w:r>
    </w:p>
  </w:footnote>
  <w:footnote w:type="continuationSeparator" w:id="0">
    <w:p w14:paraId="036F2AA7" w14:textId="77777777" w:rsidR="003E448B" w:rsidRDefault="003E4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5F0A"/>
    <w:multiLevelType w:val="hybridMultilevel"/>
    <w:tmpl w:val="87DC71A6"/>
    <w:lvl w:ilvl="0" w:tplc="BD564518">
      <w:start w:val="1"/>
      <w:numFmt w:val="decimal"/>
      <w:lvlText w:val="[%1]"/>
      <w:lvlJc w:val="left"/>
      <w:pPr>
        <w:ind w:left="675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5D27E0D"/>
    <w:multiLevelType w:val="hybridMultilevel"/>
    <w:tmpl w:val="A4CA5E8A"/>
    <w:lvl w:ilvl="0" w:tplc="B42C7A7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4474"/>
    <w:rsid w:val="00025198"/>
    <w:rsid w:val="00042620"/>
    <w:rsid w:val="000578A3"/>
    <w:rsid w:val="00063F6C"/>
    <w:rsid w:val="000648CC"/>
    <w:rsid w:val="000663AA"/>
    <w:rsid w:val="00081864"/>
    <w:rsid w:val="00091D69"/>
    <w:rsid w:val="000B58AD"/>
    <w:rsid w:val="000C59B8"/>
    <w:rsid w:val="000C6AF0"/>
    <w:rsid w:val="000D0A77"/>
    <w:rsid w:val="000E29D7"/>
    <w:rsid w:val="000F7993"/>
    <w:rsid w:val="00100075"/>
    <w:rsid w:val="00104F33"/>
    <w:rsid w:val="0010723F"/>
    <w:rsid w:val="00111DE2"/>
    <w:rsid w:val="00116B38"/>
    <w:rsid w:val="00123AFB"/>
    <w:rsid w:val="00135406"/>
    <w:rsid w:val="00135972"/>
    <w:rsid w:val="001426A9"/>
    <w:rsid w:val="00154D7C"/>
    <w:rsid w:val="001570B0"/>
    <w:rsid w:val="0015752C"/>
    <w:rsid w:val="00157737"/>
    <w:rsid w:val="00165277"/>
    <w:rsid w:val="00170592"/>
    <w:rsid w:val="001720F7"/>
    <w:rsid w:val="00183825"/>
    <w:rsid w:val="00195D83"/>
    <w:rsid w:val="001A00C1"/>
    <w:rsid w:val="001B33E0"/>
    <w:rsid w:val="001B4573"/>
    <w:rsid w:val="001C779F"/>
    <w:rsid w:val="001D2AC1"/>
    <w:rsid w:val="001D4E88"/>
    <w:rsid w:val="001D666D"/>
    <w:rsid w:val="001F2908"/>
    <w:rsid w:val="001F730C"/>
    <w:rsid w:val="00215874"/>
    <w:rsid w:val="00220FC2"/>
    <w:rsid w:val="002222F4"/>
    <w:rsid w:val="00224FC0"/>
    <w:rsid w:val="00225EA4"/>
    <w:rsid w:val="00226EAF"/>
    <w:rsid w:val="00231F3A"/>
    <w:rsid w:val="00235FC9"/>
    <w:rsid w:val="002406EE"/>
    <w:rsid w:val="00243EC8"/>
    <w:rsid w:val="00270D93"/>
    <w:rsid w:val="002745CC"/>
    <w:rsid w:val="002949AB"/>
    <w:rsid w:val="002A2088"/>
    <w:rsid w:val="002B6FBE"/>
    <w:rsid w:val="002B7924"/>
    <w:rsid w:val="002C10A6"/>
    <w:rsid w:val="002C42EC"/>
    <w:rsid w:val="002D28C3"/>
    <w:rsid w:val="002D39A4"/>
    <w:rsid w:val="002E6705"/>
    <w:rsid w:val="002F0AFA"/>
    <w:rsid w:val="0030329A"/>
    <w:rsid w:val="00305EEA"/>
    <w:rsid w:val="003071A8"/>
    <w:rsid w:val="0031086F"/>
    <w:rsid w:val="0031414C"/>
    <w:rsid w:val="00314E01"/>
    <w:rsid w:val="0032089D"/>
    <w:rsid w:val="003219D4"/>
    <w:rsid w:val="00324D13"/>
    <w:rsid w:val="003310DE"/>
    <w:rsid w:val="003323B0"/>
    <w:rsid w:val="00340A49"/>
    <w:rsid w:val="0035169A"/>
    <w:rsid w:val="0035259D"/>
    <w:rsid w:val="00364B18"/>
    <w:rsid w:val="003728A0"/>
    <w:rsid w:val="003A125D"/>
    <w:rsid w:val="003A4C70"/>
    <w:rsid w:val="003B215F"/>
    <w:rsid w:val="003B3078"/>
    <w:rsid w:val="003C799C"/>
    <w:rsid w:val="003D0399"/>
    <w:rsid w:val="003D3684"/>
    <w:rsid w:val="003E1C71"/>
    <w:rsid w:val="003E448B"/>
    <w:rsid w:val="003F327B"/>
    <w:rsid w:val="00406166"/>
    <w:rsid w:val="0040704B"/>
    <w:rsid w:val="00410A55"/>
    <w:rsid w:val="00411300"/>
    <w:rsid w:val="00413F17"/>
    <w:rsid w:val="00415417"/>
    <w:rsid w:val="00425824"/>
    <w:rsid w:val="00426659"/>
    <w:rsid w:val="00435319"/>
    <w:rsid w:val="00450352"/>
    <w:rsid w:val="00452652"/>
    <w:rsid w:val="00454BDB"/>
    <w:rsid w:val="00465132"/>
    <w:rsid w:val="004762A1"/>
    <w:rsid w:val="00480C90"/>
    <w:rsid w:val="0048396F"/>
    <w:rsid w:val="00493C18"/>
    <w:rsid w:val="004A600C"/>
    <w:rsid w:val="004A6118"/>
    <w:rsid w:val="004C478D"/>
    <w:rsid w:val="004D7D95"/>
    <w:rsid w:val="004E2C26"/>
    <w:rsid w:val="005125A8"/>
    <w:rsid w:val="00517549"/>
    <w:rsid w:val="00520ABC"/>
    <w:rsid w:val="00521AE8"/>
    <w:rsid w:val="00527180"/>
    <w:rsid w:val="00543F2F"/>
    <w:rsid w:val="00555291"/>
    <w:rsid w:val="005622CC"/>
    <w:rsid w:val="00566AD1"/>
    <w:rsid w:val="00583EDE"/>
    <w:rsid w:val="0059383B"/>
    <w:rsid w:val="005A6079"/>
    <w:rsid w:val="005E4698"/>
    <w:rsid w:val="00603924"/>
    <w:rsid w:val="00610539"/>
    <w:rsid w:val="00613969"/>
    <w:rsid w:val="00625C35"/>
    <w:rsid w:val="00647E49"/>
    <w:rsid w:val="00656313"/>
    <w:rsid w:val="006565F4"/>
    <w:rsid w:val="006772DB"/>
    <w:rsid w:val="00680A8B"/>
    <w:rsid w:val="00684EEA"/>
    <w:rsid w:val="0069689B"/>
    <w:rsid w:val="006B5FF5"/>
    <w:rsid w:val="006F30AF"/>
    <w:rsid w:val="00701759"/>
    <w:rsid w:val="00705C15"/>
    <w:rsid w:val="00707F83"/>
    <w:rsid w:val="007110F6"/>
    <w:rsid w:val="007208D1"/>
    <w:rsid w:val="00744518"/>
    <w:rsid w:val="00747288"/>
    <w:rsid w:val="00747DD3"/>
    <w:rsid w:val="007549C8"/>
    <w:rsid w:val="00766D14"/>
    <w:rsid w:val="00767A0F"/>
    <w:rsid w:val="00781A29"/>
    <w:rsid w:val="007870DE"/>
    <w:rsid w:val="00791272"/>
    <w:rsid w:val="007948E4"/>
    <w:rsid w:val="007A05F6"/>
    <w:rsid w:val="007B6F4A"/>
    <w:rsid w:val="007C2D6A"/>
    <w:rsid w:val="007E1C47"/>
    <w:rsid w:val="007E337A"/>
    <w:rsid w:val="007E5C70"/>
    <w:rsid w:val="007F2FF5"/>
    <w:rsid w:val="007F3F08"/>
    <w:rsid w:val="00804CC6"/>
    <w:rsid w:val="00815081"/>
    <w:rsid w:val="00817190"/>
    <w:rsid w:val="00817D4B"/>
    <w:rsid w:val="008260E2"/>
    <w:rsid w:val="008322BD"/>
    <w:rsid w:val="00834F73"/>
    <w:rsid w:val="00864C8A"/>
    <w:rsid w:val="00864CF8"/>
    <w:rsid w:val="008663F0"/>
    <w:rsid w:val="00871A9C"/>
    <w:rsid w:val="00874914"/>
    <w:rsid w:val="00891422"/>
    <w:rsid w:val="00891689"/>
    <w:rsid w:val="00892E1A"/>
    <w:rsid w:val="008B559C"/>
    <w:rsid w:val="008B660A"/>
    <w:rsid w:val="008C01DA"/>
    <w:rsid w:val="008D083C"/>
    <w:rsid w:val="008F2674"/>
    <w:rsid w:val="008F78E9"/>
    <w:rsid w:val="009179F9"/>
    <w:rsid w:val="00917C7A"/>
    <w:rsid w:val="00933E5E"/>
    <w:rsid w:val="00935218"/>
    <w:rsid w:val="00937C52"/>
    <w:rsid w:val="009403F3"/>
    <w:rsid w:val="00952250"/>
    <w:rsid w:val="009555B7"/>
    <w:rsid w:val="009567AA"/>
    <w:rsid w:val="009602C9"/>
    <w:rsid w:val="00967374"/>
    <w:rsid w:val="009A343A"/>
    <w:rsid w:val="009A7F24"/>
    <w:rsid w:val="009B0AE4"/>
    <w:rsid w:val="009B2F23"/>
    <w:rsid w:val="009B57B3"/>
    <w:rsid w:val="009C6730"/>
    <w:rsid w:val="009D2920"/>
    <w:rsid w:val="009D5AEB"/>
    <w:rsid w:val="009F0E33"/>
    <w:rsid w:val="009F4641"/>
    <w:rsid w:val="00A149DF"/>
    <w:rsid w:val="00A1755C"/>
    <w:rsid w:val="00A21B90"/>
    <w:rsid w:val="00A22AAC"/>
    <w:rsid w:val="00A41805"/>
    <w:rsid w:val="00A42981"/>
    <w:rsid w:val="00A51882"/>
    <w:rsid w:val="00A52AFB"/>
    <w:rsid w:val="00A548CB"/>
    <w:rsid w:val="00A5521C"/>
    <w:rsid w:val="00A643E7"/>
    <w:rsid w:val="00A66951"/>
    <w:rsid w:val="00A73C38"/>
    <w:rsid w:val="00A921A7"/>
    <w:rsid w:val="00AA12B1"/>
    <w:rsid w:val="00AB670D"/>
    <w:rsid w:val="00AF03C5"/>
    <w:rsid w:val="00AF6E72"/>
    <w:rsid w:val="00B000D8"/>
    <w:rsid w:val="00B00F36"/>
    <w:rsid w:val="00B00F75"/>
    <w:rsid w:val="00B05900"/>
    <w:rsid w:val="00B073C8"/>
    <w:rsid w:val="00B074C2"/>
    <w:rsid w:val="00B145B6"/>
    <w:rsid w:val="00B15B06"/>
    <w:rsid w:val="00B279EB"/>
    <w:rsid w:val="00B50C81"/>
    <w:rsid w:val="00B51DB3"/>
    <w:rsid w:val="00B557F8"/>
    <w:rsid w:val="00B6403C"/>
    <w:rsid w:val="00B815FC"/>
    <w:rsid w:val="00B93FBC"/>
    <w:rsid w:val="00BA7DA0"/>
    <w:rsid w:val="00BB2EE4"/>
    <w:rsid w:val="00BB4C92"/>
    <w:rsid w:val="00BC2108"/>
    <w:rsid w:val="00BC37C8"/>
    <w:rsid w:val="00BD0E9E"/>
    <w:rsid w:val="00BD1BEC"/>
    <w:rsid w:val="00BD2D43"/>
    <w:rsid w:val="00BD32FF"/>
    <w:rsid w:val="00BF6FE9"/>
    <w:rsid w:val="00C02092"/>
    <w:rsid w:val="00C1073B"/>
    <w:rsid w:val="00C17791"/>
    <w:rsid w:val="00C24D91"/>
    <w:rsid w:val="00C26DB2"/>
    <w:rsid w:val="00C53F14"/>
    <w:rsid w:val="00C600CF"/>
    <w:rsid w:val="00C6084F"/>
    <w:rsid w:val="00C62A66"/>
    <w:rsid w:val="00C66359"/>
    <w:rsid w:val="00C71458"/>
    <w:rsid w:val="00C76C38"/>
    <w:rsid w:val="00C76F8E"/>
    <w:rsid w:val="00C77613"/>
    <w:rsid w:val="00C828E7"/>
    <w:rsid w:val="00C86719"/>
    <w:rsid w:val="00C921DD"/>
    <w:rsid w:val="00CA6391"/>
    <w:rsid w:val="00CB4026"/>
    <w:rsid w:val="00CE036E"/>
    <w:rsid w:val="00CE3171"/>
    <w:rsid w:val="00CF1601"/>
    <w:rsid w:val="00D0172F"/>
    <w:rsid w:val="00D01E33"/>
    <w:rsid w:val="00D068A7"/>
    <w:rsid w:val="00D17476"/>
    <w:rsid w:val="00D17B0E"/>
    <w:rsid w:val="00D204B4"/>
    <w:rsid w:val="00D26234"/>
    <w:rsid w:val="00D32086"/>
    <w:rsid w:val="00D37002"/>
    <w:rsid w:val="00D37A3F"/>
    <w:rsid w:val="00D4431D"/>
    <w:rsid w:val="00D4667A"/>
    <w:rsid w:val="00D63A1C"/>
    <w:rsid w:val="00D7516F"/>
    <w:rsid w:val="00D95F8E"/>
    <w:rsid w:val="00DA0590"/>
    <w:rsid w:val="00DB0E6F"/>
    <w:rsid w:val="00DC1739"/>
    <w:rsid w:val="00DC1788"/>
    <w:rsid w:val="00DE319C"/>
    <w:rsid w:val="00DF0CA8"/>
    <w:rsid w:val="00DF2B48"/>
    <w:rsid w:val="00DF49A7"/>
    <w:rsid w:val="00E07EE2"/>
    <w:rsid w:val="00E07FD1"/>
    <w:rsid w:val="00E24573"/>
    <w:rsid w:val="00E25E1E"/>
    <w:rsid w:val="00E26A1E"/>
    <w:rsid w:val="00E27EE7"/>
    <w:rsid w:val="00E32C4D"/>
    <w:rsid w:val="00E35404"/>
    <w:rsid w:val="00E45109"/>
    <w:rsid w:val="00E47B7A"/>
    <w:rsid w:val="00E5170F"/>
    <w:rsid w:val="00E56A44"/>
    <w:rsid w:val="00E60269"/>
    <w:rsid w:val="00E74C9C"/>
    <w:rsid w:val="00E97830"/>
    <w:rsid w:val="00EC0E55"/>
    <w:rsid w:val="00EE0830"/>
    <w:rsid w:val="00EE3849"/>
    <w:rsid w:val="00EE6CB8"/>
    <w:rsid w:val="00EF0683"/>
    <w:rsid w:val="00EF1B8A"/>
    <w:rsid w:val="00F0070C"/>
    <w:rsid w:val="00F00EB7"/>
    <w:rsid w:val="00F144FD"/>
    <w:rsid w:val="00F36AB6"/>
    <w:rsid w:val="00F37A09"/>
    <w:rsid w:val="00F409CE"/>
    <w:rsid w:val="00F4379D"/>
    <w:rsid w:val="00F50D2D"/>
    <w:rsid w:val="00F56C8B"/>
    <w:rsid w:val="00F62639"/>
    <w:rsid w:val="00F66810"/>
    <w:rsid w:val="00F84DF4"/>
    <w:rsid w:val="00F85C97"/>
    <w:rsid w:val="00F96C55"/>
    <w:rsid w:val="00FB37D2"/>
    <w:rsid w:val="00FC4EFB"/>
    <w:rsid w:val="00FD068D"/>
    <w:rsid w:val="00FD4F28"/>
    <w:rsid w:val="00FE6784"/>
    <w:rsid w:val="00FE7A8B"/>
    <w:rsid w:val="00FF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F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ListParagraph">
    <w:name w:val="List Paragraph"/>
    <w:basedOn w:val="Normal"/>
    <w:uiPriority w:val="34"/>
    <w:qFormat/>
    <w:rsid w:val="00425824"/>
    <w:pPr>
      <w:ind w:left="720"/>
      <w:contextualSpacing/>
    </w:pPr>
  </w:style>
  <w:style w:type="character" w:styleId="CommentReference">
    <w:name w:val="annotation reference"/>
    <w:basedOn w:val="DefaultParagraphFont"/>
    <w:uiPriority w:val="99"/>
    <w:semiHidden/>
    <w:unhideWhenUsed/>
    <w:rsid w:val="00871A9C"/>
    <w:rPr>
      <w:sz w:val="16"/>
      <w:szCs w:val="16"/>
    </w:rPr>
  </w:style>
  <w:style w:type="paragraph" w:styleId="CommentText">
    <w:name w:val="annotation text"/>
    <w:basedOn w:val="Normal"/>
    <w:link w:val="CommentTextChar"/>
    <w:uiPriority w:val="99"/>
    <w:semiHidden/>
    <w:unhideWhenUsed/>
    <w:rsid w:val="00871A9C"/>
    <w:rPr>
      <w:sz w:val="20"/>
    </w:rPr>
  </w:style>
  <w:style w:type="character" w:customStyle="1" w:styleId="CommentTextChar">
    <w:name w:val="Comment Text Char"/>
    <w:basedOn w:val="DefaultParagraphFont"/>
    <w:link w:val="CommentText"/>
    <w:uiPriority w:val="99"/>
    <w:semiHidden/>
    <w:rsid w:val="00871A9C"/>
  </w:style>
  <w:style w:type="paragraph" w:styleId="CommentSubject">
    <w:name w:val="annotation subject"/>
    <w:basedOn w:val="CommentText"/>
    <w:next w:val="CommentText"/>
    <w:link w:val="CommentSubjectChar"/>
    <w:uiPriority w:val="99"/>
    <w:semiHidden/>
    <w:unhideWhenUsed/>
    <w:rsid w:val="00871A9C"/>
    <w:rPr>
      <w:b/>
      <w:bCs/>
    </w:rPr>
  </w:style>
  <w:style w:type="character" w:customStyle="1" w:styleId="CommentSubjectChar">
    <w:name w:val="Comment Subject Char"/>
    <w:basedOn w:val="CommentTextChar"/>
    <w:link w:val="CommentSubject"/>
    <w:uiPriority w:val="99"/>
    <w:semiHidden/>
    <w:rsid w:val="00871A9C"/>
    <w:rPr>
      <w:b/>
      <w:bCs/>
    </w:rPr>
  </w:style>
  <w:style w:type="character" w:styleId="Hyperlink">
    <w:name w:val="Hyperlink"/>
    <w:basedOn w:val="DefaultParagraphFont"/>
    <w:uiPriority w:val="99"/>
    <w:unhideWhenUsed/>
    <w:rsid w:val="00871A9C"/>
    <w:rPr>
      <w:color w:val="0000FF" w:themeColor="hyperlink"/>
      <w:u w:val="single"/>
    </w:rPr>
  </w:style>
  <w:style w:type="character" w:customStyle="1" w:styleId="decisia-reflex2-icon">
    <w:name w:val="decisia-reflex2-icon"/>
    <w:basedOn w:val="DefaultParagraphFont"/>
    <w:rsid w:val="00B074C2"/>
  </w:style>
  <w:style w:type="table" w:styleId="TableGrid">
    <w:name w:val="Table Grid"/>
    <w:basedOn w:val="TableNormal"/>
    <w:uiPriority w:val="59"/>
    <w:rsid w:val="00B51DB3"/>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51DB3"/>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874567">
      <w:bodyDiv w:val="1"/>
      <w:marLeft w:val="0"/>
      <w:marRight w:val="0"/>
      <w:marTop w:val="0"/>
      <w:marBottom w:val="0"/>
      <w:divBdr>
        <w:top w:val="none" w:sz="0" w:space="0" w:color="auto"/>
        <w:left w:val="none" w:sz="0" w:space="0" w:color="auto"/>
        <w:bottom w:val="none" w:sz="0" w:space="0" w:color="auto"/>
        <w:right w:val="none" w:sz="0" w:space="0" w:color="auto"/>
      </w:divBdr>
    </w:div>
    <w:div w:id="1191648946">
      <w:bodyDiv w:val="1"/>
      <w:marLeft w:val="0"/>
      <w:marRight w:val="0"/>
      <w:marTop w:val="0"/>
      <w:marBottom w:val="0"/>
      <w:divBdr>
        <w:top w:val="none" w:sz="0" w:space="0" w:color="auto"/>
        <w:left w:val="none" w:sz="0" w:space="0" w:color="auto"/>
        <w:bottom w:val="none" w:sz="0" w:space="0" w:color="auto"/>
        <w:right w:val="none" w:sz="0" w:space="0" w:color="auto"/>
      </w:divBdr>
    </w:div>
    <w:div w:id="13453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73B6-BF76-477F-AECA-CC26939B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2021-05-19T12:14:00Z</dcterms:created>
  <dcterms:modified xsi:type="dcterms:W3CDTF">2023-10-30T22:05:00Z</dcterms:modified>
</cp:coreProperties>
</file>