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946"/>
        <w:gridCol w:w="1973"/>
        <w:gridCol w:w="3420"/>
        <w:gridCol w:w="21"/>
      </w:tblGrid>
      <w:tr w:rsidR="00177E17" w:rsidTr="00177E17">
        <w:trPr>
          <w:trHeight w:val="1786"/>
        </w:trPr>
        <w:tc>
          <w:tcPr>
            <w:tcW w:w="5000" w:type="pct"/>
            <w:gridSpan w:val="4"/>
            <w:hideMark/>
          </w:tcPr>
          <w:p w:rsidR="00177E17" w:rsidRDefault="00177E17">
            <w:pPr>
              <w:jc w:val="center"/>
            </w:pPr>
            <w:r>
              <w:rPr>
                <w:rFonts w:eastAsia="Calibri"/>
                <w:szCs w:val="24"/>
                <w:lang w:eastAsia="en-US"/>
              </w:rPr>
              <w:object w:dxaOrig="1248" w:dyaOrig="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65.4pt" o:ole="">
                  <v:imagedata r:id="rId8" o:title=""/>
                </v:shape>
                <o:OLEObject Type="Embed" ProgID="Presentations.Drawing.15" ShapeID="_x0000_i1025" DrawAspect="Content" ObjectID="_1760194617" r:id="rId9"/>
              </w:object>
            </w:r>
          </w:p>
          <w:p w:rsidR="00177E17" w:rsidRDefault="00177E17">
            <w:pPr>
              <w:spacing w:before="120" w:after="100" w:afterAutospacing="1"/>
              <w:jc w:val="center"/>
              <w:rPr>
                <w:rFonts w:eastAsia="Calibri"/>
              </w:rPr>
            </w:pPr>
            <w:r>
              <w:rPr>
                <w:rFonts w:eastAsia="Calibri"/>
                <w:b/>
                <w:szCs w:val="24"/>
                <w:lang w:eastAsia="en-US"/>
              </w:rPr>
              <w:t>COUR SUPRÊME DU CANADA</w:t>
            </w:r>
          </w:p>
        </w:tc>
      </w:tr>
      <w:tr w:rsidR="00177E17" w:rsidTr="00177E17">
        <w:trPr>
          <w:gridAfter w:val="1"/>
          <w:wAfter w:w="10" w:type="pct"/>
        </w:trPr>
        <w:tc>
          <w:tcPr>
            <w:tcW w:w="2108" w:type="pct"/>
            <w:tcMar>
              <w:top w:w="284" w:type="dxa"/>
              <w:left w:w="57" w:type="dxa"/>
              <w:bottom w:w="57" w:type="dxa"/>
              <w:right w:w="57" w:type="dxa"/>
            </w:tcMar>
            <w:hideMark/>
          </w:tcPr>
          <w:p w:rsidR="00177E17" w:rsidRDefault="00177E17">
            <w:pPr>
              <w:spacing w:before="100" w:beforeAutospacing="1"/>
              <w:rPr>
                <w:rFonts w:eastAsia="Calibri"/>
                <w:lang w:val="fr-CA"/>
              </w:rPr>
            </w:pPr>
            <w:r>
              <w:rPr>
                <w:b/>
                <w:smallCaps/>
                <w:lang w:val="fr-CA"/>
              </w:rPr>
              <w:t>Référence :</w:t>
            </w:r>
            <w:r>
              <w:rPr>
                <w:lang w:val="fr-CA"/>
              </w:rPr>
              <w:t xml:space="preserve"> R. </w:t>
            </w:r>
            <w:r>
              <w:rPr>
                <w:i/>
                <w:lang w:val="fr-CA"/>
              </w:rPr>
              <w:t>c.</w:t>
            </w:r>
            <w:r>
              <w:rPr>
                <w:lang w:val="fr-CA"/>
              </w:rPr>
              <w:t xml:space="preserve"> Mehari, 2020 CSC 40</w:t>
            </w:r>
            <w:r>
              <w:rPr>
                <w:lang w:val="fr-CA"/>
              </w:rPr>
              <w:t>, [2020] 3 R.C.S. 782</w:t>
            </w:r>
            <w:bookmarkStart w:id="0" w:name="_GoBack"/>
            <w:bookmarkEnd w:id="0"/>
          </w:p>
        </w:tc>
        <w:tc>
          <w:tcPr>
            <w:tcW w:w="1054" w:type="pct"/>
          </w:tcPr>
          <w:p w:rsidR="00177E17" w:rsidRDefault="00177E17">
            <w:pPr>
              <w:rPr>
                <w:b/>
                <w:smallCaps/>
                <w:lang w:val="fr-CA"/>
              </w:rPr>
            </w:pPr>
          </w:p>
        </w:tc>
        <w:tc>
          <w:tcPr>
            <w:tcW w:w="1827" w:type="pct"/>
            <w:tcMar>
              <w:top w:w="284" w:type="dxa"/>
              <w:left w:w="57" w:type="dxa"/>
              <w:bottom w:w="57" w:type="dxa"/>
              <w:right w:w="57" w:type="dxa"/>
            </w:tcMar>
            <w:hideMark/>
          </w:tcPr>
          <w:p w:rsidR="00177E17" w:rsidRDefault="00177E17">
            <w:pPr>
              <w:rPr>
                <w:lang w:val="fr-CA"/>
              </w:rPr>
            </w:pPr>
            <w:r>
              <w:rPr>
                <w:b/>
                <w:smallCaps/>
                <w:lang w:val="fr-CA"/>
              </w:rPr>
              <w:t>Appel entendu :</w:t>
            </w:r>
            <w:r>
              <w:rPr>
                <w:lang w:val="fr-CA"/>
              </w:rPr>
              <w:t xml:space="preserve"> 4 décembre 2020</w:t>
            </w:r>
          </w:p>
          <w:p w:rsidR="00177E17" w:rsidRDefault="00177E17">
            <w:pPr>
              <w:rPr>
                <w:smallCaps/>
                <w:lang w:val="fr-CA"/>
              </w:rPr>
            </w:pPr>
            <w:r>
              <w:rPr>
                <w:b/>
                <w:smallCaps/>
                <w:lang w:val="fr-CA"/>
              </w:rPr>
              <w:t xml:space="preserve">Jugement rendu : </w:t>
            </w:r>
            <w:r>
              <w:rPr>
                <w:lang w:val="fr-CA"/>
              </w:rPr>
              <w:t>4 décembre 2020</w:t>
            </w:r>
          </w:p>
          <w:p w:rsidR="00177E17" w:rsidRDefault="00177E17">
            <w:pPr>
              <w:rPr>
                <w:rFonts w:eastAsia="Calibri"/>
                <w:lang w:val="fr-CA"/>
              </w:rPr>
            </w:pPr>
            <w:r>
              <w:rPr>
                <w:b/>
                <w:smallCaps/>
                <w:lang w:val="fr-CA"/>
              </w:rPr>
              <w:t>Dossier :</w:t>
            </w:r>
            <w:r>
              <w:rPr>
                <w:lang w:val="fr-CA"/>
              </w:rPr>
              <w:t xml:space="preserve"> 39109</w:t>
            </w:r>
          </w:p>
        </w:tc>
      </w:tr>
      <w:tr w:rsidR="00177E17" w:rsidTr="00177E17">
        <w:tc>
          <w:tcPr>
            <w:tcW w:w="5000" w:type="pct"/>
            <w:gridSpan w:val="4"/>
          </w:tcPr>
          <w:p w:rsidR="00177E17" w:rsidRDefault="00177E17">
            <w:pPr>
              <w:rPr>
                <w:rFonts w:eastAsiaTheme="minorHAnsi" w:cstheme="minorBidi"/>
                <w:szCs w:val="24"/>
                <w:lang w:val="fr-CA" w:eastAsia="en-US"/>
              </w:rPr>
            </w:pPr>
          </w:p>
          <w:p w:rsidR="00177E17" w:rsidRDefault="00177E17">
            <w:pPr>
              <w:rPr>
                <w:b/>
                <w:smallCaps/>
                <w:lang w:val="fr-CA"/>
              </w:rPr>
            </w:pPr>
            <w:r>
              <w:rPr>
                <w:b/>
                <w:smallCaps/>
                <w:lang w:val="fr-CA"/>
              </w:rPr>
              <w:t xml:space="preserve">Entre : </w:t>
            </w:r>
          </w:p>
          <w:p w:rsidR="00177E17" w:rsidRDefault="00177E17">
            <w:pPr>
              <w:rPr>
                <w:rFonts w:eastAsiaTheme="minorHAnsi" w:cstheme="minorBidi"/>
                <w:szCs w:val="24"/>
                <w:lang w:val="fr-CA" w:eastAsia="en-US"/>
              </w:rPr>
            </w:pPr>
          </w:p>
          <w:p w:rsidR="00177E17" w:rsidRDefault="00177E17">
            <w:pPr>
              <w:jc w:val="center"/>
              <w:rPr>
                <w:rFonts w:eastAsiaTheme="minorHAnsi" w:cstheme="minorBidi"/>
                <w:b/>
                <w:szCs w:val="24"/>
                <w:lang w:val="fr-CA" w:eastAsia="en-US"/>
              </w:rPr>
            </w:pPr>
            <w:r>
              <w:rPr>
                <w:rFonts w:eastAsiaTheme="minorHAnsi" w:cstheme="minorBidi"/>
                <w:b/>
                <w:szCs w:val="24"/>
                <w:lang w:val="fr-CA" w:eastAsia="en-US"/>
              </w:rPr>
              <w:t>Sa Majesté la Reine</w:t>
            </w:r>
          </w:p>
          <w:p w:rsidR="00177E17" w:rsidRDefault="00177E17">
            <w:pPr>
              <w:jc w:val="center"/>
              <w:rPr>
                <w:rFonts w:eastAsiaTheme="minorHAnsi" w:cstheme="minorBidi"/>
                <w:szCs w:val="24"/>
                <w:lang w:val="fr-CA" w:eastAsia="en-US"/>
              </w:rPr>
            </w:pPr>
            <w:r>
              <w:rPr>
                <w:rFonts w:eastAsiaTheme="minorHAnsi" w:cstheme="minorBidi"/>
                <w:szCs w:val="24"/>
                <w:lang w:val="fr-CA" w:eastAsia="en-US"/>
              </w:rPr>
              <w:t>Appelante</w:t>
            </w:r>
          </w:p>
          <w:p w:rsidR="00177E17" w:rsidRDefault="00177E17">
            <w:pPr>
              <w:jc w:val="center"/>
              <w:rPr>
                <w:rFonts w:eastAsiaTheme="minorHAnsi" w:cstheme="minorBidi"/>
                <w:szCs w:val="24"/>
                <w:lang w:val="fr-CA" w:eastAsia="en-US"/>
              </w:rPr>
            </w:pPr>
          </w:p>
          <w:p w:rsidR="00177E17" w:rsidRDefault="00177E17">
            <w:pPr>
              <w:jc w:val="center"/>
              <w:rPr>
                <w:rFonts w:eastAsiaTheme="minorHAnsi" w:cstheme="minorBidi"/>
                <w:szCs w:val="24"/>
                <w:lang w:val="fr-CA" w:eastAsia="en-US"/>
              </w:rPr>
            </w:pPr>
            <w:r>
              <w:rPr>
                <w:rFonts w:eastAsiaTheme="minorHAnsi" w:cstheme="minorBidi"/>
                <w:szCs w:val="24"/>
                <w:lang w:val="fr-CA" w:eastAsia="en-US"/>
              </w:rPr>
              <w:t>et</w:t>
            </w:r>
          </w:p>
          <w:p w:rsidR="00177E17" w:rsidRDefault="00177E17">
            <w:pPr>
              <w:jc w:val="center"/>
              <w:rPr>
                <w:rFonts w:eastAsiaTheme="minorHAnsi" w:cstheme="minorBidi"/>
                <w:szCs w:val="24"/>
                <w:lang w:val="fr-CA" w:eastAsia="en-US"/>
              </w:rPr>
            </w:pPr>
          </w:p>
          <w:p w:rsidR="00177E17" w:rsidRDefault="00177E17">
            <w:pPr>
              <w:jc w:val="center"/>
              <w:rPr>
                <w:rFonts w:eastAsiaTheme="minorHAnsi" w:cstheme="minorBidi"/>
                <w:b/>
                <w:szCs w:val="24"/>
                <w:lang w:val="fr-CA" w:eastAsia="en-US"/>
              </w:rPr>
            </w:pPr>
            <w:r>
              <w:rPr>
                <w:rFonts w:eastAsiaTheme="minorHAnsi" w:cstheme="minorBidi"/>
                <w:b/>
                <w:szCs w:val="24"/>
                <w:lang w:val="fr-CA" w:eastAsia="en-US"/>
              </w:rPr>
              <w:t>Awet Mehari</w:t>
            </w:r>
          </w:p>
          <w:p w:rsidR="00177E17" w:rsidRDefault="00177E17">
            <w:pPr>
              <w:jc w:val="center"/>
              <w:rPr>
                <w:rFonts w:eastAsiaTheme="minorHAnsi" w:cstheme="minorBidi"/>
                <w:szCs w:val="24"/>
                <w:lang w:val="fr-CA" w:eastAsia="en-US"/>
              </w:rPr>
            </w:pPr>
            <w:r>
              <w:rPr>
                <w:rFonts w:eastAsiaTheme="minorHAnsi" w:cstheme="minorBidi"/>
                <w:szCs w:val="24"/>
                <w:lang w:val="fr-CA" w:eastAsia="en-US"/>
              </w:rPr>
              <w:t>Intimé</w:t>
            </w:r>
          </w:p>
          <w:p w:rsidR="00177E17" w:rsidRDefault="00177E17">
            <w:pPr>
              <w:rPr>
                <w:rFonts w:eastAsiaTheme="minorHAnsi" w:cstheme="minorBidi"/>
                <w:szCs w:val="24"/>
                <w:lang w:val="fr-CA" w:eastAsia="en-US"/>
              </w:rPr>
            </w:pPr>
          </w:p>
          <w:p w:rsidR="00177E17" w:rsidRDefault="00177E17">
            <w:pPr>
              <w:rPr>
                <w:rFonts w:eastAsiaTheme="minorHAnsi" w:cstheme="minorBidi"/>
                <w:szCs w:val="24"/>
                <w:lang w:val="fr-CA" w:eastAsia="en-US"/>
              </w:rPr>
            </w:pPr>
          </w:p>
          <w:p w:rsidR="00177E17" w:rsidRDefault="00177E17">
            <w:pPr>
              <w:rPr>
                <w:rFonts w:eastAsiaTheme="minorHAnsi" w:cstheme="minorBidi"/>
                <w:szCs w:val="24"/>
                <w:lang w:val="fr-CA" w:eastAsia="en-US"/>
              </w:rPr>
            </w:pPr>
          </w:p>
          <w:p w:rsidR="00177E17" w:rsidRDefault="00177E17">
            <w:pPr>
              <w:jc w:val="center"/>
              <w:rPr>
                <w:rFonts w:eastAsiaTheme="minorHAnsi" w:cstheme="minorBidi"/>
                <w:b/>
                <w:smallCaps/>
                <w:szCs w:val="24"/>
                <w:lang w:val="fr-CA" w:eastAsia="en-US"/>
              </w:rPr>
            </w:pPr>
            <w:r>
              <w:rPr>
                <w:rFonts w:eastAsiaTheme="minorHAnsi" w:cstheme="minorBidi"/>
                <w:b/>
                <w:smallCaps/>
                <w:szCs w:val="24"/>
                <w:lang w:val="fr-CA" w:eastAsia="en-US"/>
              </w:rPr>
              <w:t>Traduction française officielle</w:t>
            </w: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1973"/>
        <w:gridCol w:w="7366"/>
        <w:gridCol w:w="21"/>
      </w:tblGrid>
      <w:tr w:rsidR="00177E17" w:rsidTr="00177E17">
        <w:trPr>
          <w:cantSplit/>
          <w:trHeight w:val="508"/>
        </w:trPr>
        <w:tc>
          <w:tcPr>
            <w:tcW w:w="5000" w:type="pct"/>
            <w:gridSpan w:val="3"/>
            <w:tcMar>
              <w:top w:w="284" w:type="dxa"/>
              <w:left w:w="58" w:type="dxa"/>
              <w:bottom w:w="57" w:type="dxa"/>
              <w:right w:w="58" w:type="dxa"/>
            </w:tcMar>
            <w:vAlign w:val="center"/>
            <w:hideMark/>
          </w:tcPr>
          <w:p w:rsidR="00177E17" w:rsidRDefault="00177E17">
            <w:pPr>
              <w:rPr>
                <w:b/>
                <w:smallCaps/>
                <w:lang w:val="fr-CA"/>
              </w:rPr>
            </w:pPr>
            <w:r>
              <w:rPr>
                <w:b/>
                <w:smallCaps/>
                <w:lang w:val="fr-CA"/>
              </w:rPr>
              <w:t>Coram :</w:t>
            </w:r>
            <w:r>
              <w:rPr>
                <w:lang w:val="fr-CA"/>
              </w:rPr>
              <w:t xml:space="preserve"> Les juges Abella, Brown, Rowe, Martin et Kasirer</w:t>
            </w:r>
          </w:p>
        </w:tc>
      </w:tr>
      <w:tr w:rsidR="00177E17" w:rsidTr="00177E17">
        <w:trPr>
          <w:gridAfter w:val="1"/>
          <w:wAfter w:w="11" w:type="pct"/>
          <w:cantSplit/>
          <w:trHeight w:val="979"/>
        </w:trPr>
        <w:tc>
          <w:tcPr>
            <w:tcW w:w="1054" w:type="pct"/>
            <w:tcMar>
              <w:top w:w="57" w:type="dxa"/>
              <w:left w:w="58" w:type="dxa"/>
              <w:bottom w:w="57" w:type="dxa"/>
              <w:right w:w="58" w:type="dxa"/>
            </w:tcMar>
            <w:vAlign w:val="center"/>
            <w:hideMark/>
          </w:tcPr>
          <w:p w:rsidR="00177E17" w:rsidRDefault="00177E17">
            <w:pPr>
              <w:rPr>
                <w:smallCaps/>
                <w:lang w:val="fr-CA"/>
              </w:rPr>
            </w:pPr>
            <w:r>
              <w:rPr>
                <w:b/>
                <w:smallCaps/>
                <w:lang w:val="fr-CA"/>
              </w:rPr>
              <w:t xml:space="preserve">Jugement unanime lu par : </w:t>
            </w:r>
          </w:p>
          <w:p w:rsidR="00177E17" w:rsidRDefault="00177E17">
            <w:pPr>
              <w:rPr>
                <w:lang w:val="fr-CA"/>
              </w:rPr>
            </w:pPr>
            <w:r>
              <w:rPr>
                <w:lang w:val="fr-CA"/>
              </w:rPr>
              <w:t>(par. 1 à 2)</w:t>
            </w:r>
          </w:p>
        </w:tc>
        <w:tc>
          <w:tcPr>
            <w:tcW w:w="3935" w:type="pct"/>
            <w:tcMar>
              <w:top w:w="57" w:type="dxa"/>
              <w:left w:w="58" w:type="dxa"/>
              <w:bottom w:w="58" w:type="dxa"/>
              <w:right w:w="58" w:type="dxa"/>
            </w:tcMar>
            <w:vAlign w:val="center"/>
          </w:tcPr>
          <w:p w:rsidR="00177E17" w:rsidRDefault="00177E17">
            <w:pPr>
              <w:rPr>
                <w:lang w:val="fr-CA"/>
              </w:rPr>
            </w:pPr>
            <w:r>
              <w:rPr>
                <w:lang w:val="fr-CA"/>
              </w:rPr>
              <w:t>La juge Martin</w:t>
            </w:r>
          </w:p>
          <w:p w:rsidR="00177E17" w:rsidRDefault="00177E17">
            <w:pPr>
              <w:rPr>
                <w:lang w:val="fr-CA"/>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177E17" w:rsidTr="00177E17">
        <w:tc>
          <w:tcPr>
            <w:tcW w:w="1500" w:type="pct"/>
            <w:tcMar>
              <w:top w:w="284" w:type="dxa"/>
              <w:left w:w="108" w:type="dxa"/>
              <w:bottom w:w="0" w:type="dxa"/>
              <w:right w:w="108" w:type="dxa"/>
            </w:tcMar>
          </w:tcPr>
          <w:p w:rsidR="00177E17" w:rsidRDefault="00177E17">
            <w:pPr>
              <w:rPr>
                <w:rFonts w:eastAsia="Calibri"/>
                <w:szCs w:val="24"/>
                <w:lang w:val="fr-CA" w:eastAsia="en-US"/>
              </w:rPr>
            </w:pPr>
          </w:p>
        </w:tc>
        <w:tc>
          <w:tcPr>
            <w:tcW w:w="2000" w:type="pct"/>
            <w:tcBorders>
              <w:top w:val="nil"/>
              <w:left w:val="nil"/>
              <w:bottom w:val="single" w:sz="4" w:space="0" w:color="auto"/>
              <w:right w:val="nil"/>
            </w:tcBorders>
            <w:tcMar>
              <w:top w:w="284" w:type="dxa"/>
              <w:left w:w="108" w:type="dxa"/>
              <w:bottom w:w="0" w:type="dxa"/>
              <w:right w:w="108" w:type="dxa"/>
            </w:tcMar>
          </w:tcPr>
          <w:p w:rsidR="00177E17" w:rsidRDefault="00177E17">
            <w:pPr>
              <w:rPr>
                <w:rFonts w:eastAsia="Calibri"/>
                <w:szCs w:val="24"/>
                <w:lang w:val="fr-CA" w:eastAsia="en-US"/>
              </w:rPr>
            </w:pPr>
          </w:p>
        </w:tc>
        <w:tc>
          <w:tcPr>
            <w:tcW w:w="1500" w:type="pct"/>
            <w:tcMar>
              <w:top w:w="284" w:type="dxa"/>
              <w:left w:w="108" w:type="dxa"/>
              <w:bottom w:w="0" w:type="dxa"/>
              <w:right w:w="108" w:type="dxa"/>
            </w:tcMar>
          </w:tcPr>
          <w:p w:rsidR="00177E17" w:rsidRDefault="00177E17">
            <w:pPr>
              <w:rPr>
                <w:rFonts w:eastAsia="Calibri"/>
                <w:szCs w:val="24"/>
                <w:lang w:val="fr-CA" w:eastAsia="en-US"/>
              </w:rPr>
            </w:pPr>
          </w:p>
        </w:tc>
      </w:tr>
    </w:tbl>
    <w:p w:rsidR="00177E17" w:rsidRDefault="00177E17" w:rsidP="00177E17">
      <w:pPr>
        <w:rPr>
          <w:rFonts w:eastAsia="Calibri"/>
          <w:szCs w:val="24"/>
          <w:lang w:val="fr-CA" w:eastAsia="en-US"/>
        </w:rPr>
        <w:sectPr w:rsidR="00177E17">
          <w:pgSz w:w="12240" w:h="15840"/>
          <w:pgMar w:top="1440" w:right="1440" w:bottom="1440" w:left="1440" w:header="1803" w:footer="720" w:gutter="0"/>
          <w:cols w:space="720"/>
        </w:sectPr>
      </w:pPr>
    </w:p>
    <w:p w:rsidR="00567414" w:rsidRPr="00567414" w:rsidRDefault="00177E17" w:rsidP="00177E17">
      <w:pPr>
        <w:spacing w:after="720"/>
        <w:jc w:val="both"/>
        <w:rPr>
          <w:lang w:val="fr-CA"/>
        </w:rPr>
      </w:pPr>
      <w:r w:rsidRPr="00567414">
        <w:rPr>
          <w:smallCaps/>
          <w:lang w:val="fr-CA"/>
        </w:rPr>
        <w:lastRenderedPageBreak/>
        <w:t xml:space="preserve"> </w:t>
      </w:r>
    </w:p>
    <w:p w:rsidR="00567414" w:rsidRPr="00567414" w:rsidRDefault="00567414" w:rsidP="00567414">
      <w:pPr>
        <w:tabs>
          <w:tab w:val="right" w:pos="8222"/>
        </w:tabs>
        <w:spacing w:after="720"/>
        <w:rPr>
          <w:b/>
          <w:lang w:val="fr-CA"/>
        </w:rPr>
      </w:pPr>
      <w:r w:rsidRPr="00567414">
        <w:rPr>
          <w:b/>
          <w:lang w:val="fr-CA"/>
        </w:rPr>
        <w:t>Sa Majesté la Reine</w:t>
      </w:r>
      <w:r w:rsidRPr="00567414">
        <w:rPr>
          <w:i/>
          <w:lang w:val="fr-CA"/>
        </w:rPr>
        <w:tab/>
        <w:t>Appelante</w:t>
      </w:r>
    </w:p>
    <w:p w:rsidR="00567414" w:rsidRPr="00567414" w:rsidRDefault="00567414" w:rsidP="00567414">
      <w:pPr>
        <w:spacing w:after="720"/>
        <w:rPr>
          <w:i/>
          <w:lang w:val="fr-CA"/>
        </w:rPr>
      </w:pPr>
      <w:r w:rsidRPr="00567414">
        <w:rPr>
          <w:i/>
          <w:lang w:val="fr-CA"/>
        </w:rPr>
        <w:t>c.</w:t>
      </w:r>
    </w:p>
    <w:p w:rsidR="00567414" w:rsidRPr="00567414" w:rsidRDefault="00567414" w:rsidP="00567414">
      <w:pPr>
        <w:tabs>
          <w:tab w:val="right" w:pos="8222"/>
        </w:tabs>
        <w:spacing w:after="720"/>
        <w:rPr>
          <w:b/>
          <w:lang w:val="fr-CA"/>
        </w:rPr>
      </w:pPr>
      <w:r w:rsidRPr="00567414">
        <w:rPr>
          <w:b/>
          <w:lang w:val="fr-CA"/>
        </w:rPr>
        <w:t>Awet Mehari</w:t>
      </w:r>
      <w:r w:rsidRPr="00567414">
        <w:rPr>
          <w:i/>
          <w:lang w:val="fr-CA"/>
        </w:rPr>
        <w:tab/>
        <w:t>Intimé</w:t>
      </w:r>
    </w:p>
    <w:p w:rsidR="00567414" w:rsidRPr="00567414" w:rsidRDefault="00567414" w:rsidP="00567414">
      <w:pPr>
        <w:spacing w:after="720"/>
        <w:jc w:val="both"/>
        <w:rPr>
          <w:b/>
          <w:lang w:val="fr-CA"/>
        </w:rPr>
      </w:pPr>
    </w:p>
    <w:p w:rsidR="00567414" w:rsidRPr="00567414" w:rsidRDefault="00567414" w:rsidP="00567414">
      <w:pPr>
        <w:spacing w:after="720"/>
        <w:jc w:val="both"/>
        <w:rPr>
          <w:lang w:val="fr-CA"/>
        </w:rPr>
      </w:pPr>
      <w:r w:rsidRPr="00567414">
        <w:rPr>
          <w:b/>
          <w:lang w:val="fr-CA"/>
        </w:rPr>
        <w:t xml:space="preserve">Répertorié : R. </w:t>
      </w:r>
      <w:r w:rsidRPr="00567414">
        <w:rPr>
          <w:b/>
          <w:i/>
          <w:lang w:val="fr-CA"/>
        </w:rPr>
        <w:t>c.</w:t>
      </w:r>
      <w:r w:rsidRPr="00567414">
        <w:rPr>
          <w:b/>
          <w:lang w:val="fr-CA"/>
        </w:rPr>
        <w:t xml:space="preserve"> Mehari</w:t>
      </w:r>
    </w:p>
    <w:p w:rsidR="00567414" w:rsidRPr="00567414" w:rsidRDefault="00567414" w:rsidP="00567414">
      <w:pPr>
        <w:spacing w:after="720"/>
        <w:jc w:val="both"/>
        <w:rPr>
          <w:b/>
          <w:lang w:val="fr-CA"/>
        </w:rPr>
      </w:pPr>
      <w:r w:rsidRPr="00567414">
        <w:rPr>
          <w:b/>
          <w:lang w:val="fr-CA"/>
        </w:rPr>
        <w:t>2020 CSC 40</w:t>
      </w:r>
    </w:p>
    <w:p w:rsidR="00567414" w:rsidRPr="00567414" w:rsidRDefault="00567414" w:rsidP="00567414">
      <w:pPr>
        <w:spacing w:after="720"/>
        <w:jc w:val="both"/>
        <w:rPr>
          <w:lang w:val="fr-CA"/>
        </w:rPr>
      </w:pPr>
      <w:r w:rsidRPr="00567414">
        <w:rPr>
          <w:lang w:val="fr-CA"/>
        </w:rPr>
        <w:t>N</w:t>
      </w:r>
      <w:r w:rsidRPr="00567414">
        <w:rPr>
          <w:vertAlign w:val="superscript"/>
          <w:lang w:val="fr-CA"/>
        </w:rPr>
        <w:t>o</w:t>
      </w:r>
      <w:r w:rsidRPr="00567414">
        <w:rPr>
          <w:lang w:val="fr-CA"/>
        </w:rPr>
        <w:t xml:space="preserve"> du greffe : </w:t>
      </w:r>
      <w:r w:rsidRPr="00567414">
        <w:rPr>
          <w:color w:val="000000"/>
          <w:lang w:val="fr-CA"/>
        </w:rPr>
        <w:t>39109</w:t>
      </w:r>
      <w:r w:rsidRPr="00567414">
        <w:rPr>
          <w:lang w:val="fr-CA"/>
        </w:rPr>
        <w:t>.</w:t>
      </w:r>
    </w:p>
    <w:p w:rsidR="00567414" w:rsidRPr="00567414" w:rsidRDefault="00567414" w:rsidP="00567414">
      <w:pPr>
        <w:spacing w:after="720"/>
        <w:jc w:val="both"/>
        <w:rPr>
          <w:lang w:val="fr-CA"/>
        </w:rPr>
      </w:pPr>
      <w:r w:rsidRPr="00567414">
        <w:rPr>
          <w:lang w:val="fr-CA"/>
        </w:rPr>
        <w:t>2020 : 4 décembre.</w:t>
      </w:r>
    </w:p>
    <w:p w:rsidR="00567414" w:rsidRPr="00567414" w:rsidRDefault="00567414" w:rsidP="00567414">
      <w:pPr>
        <w:spacing w:after="720"/>
        <w:jc w:val="both"/>
        <w:rPr>
          <w:lang w:val="fr-CA"/>
        </w:rPr>
      </w:pPr>
      <w:r w:rsidRPr="00567414">
        <w:rPr>
          <w:lang w:val="fr-CA"/>
        </w:rPr>
        <w:t>Présents : Les juges Abella, Brown, Rowe, Martin et Kasirer.</w:t>
      </w:r>
    </w:p>
    <w:p w:rsidR="00567414" w:rsidRPr="00567414" w:rsidRDefault="00567414" w:rsidP="00567414">
      <w:pPr>
        <w:tabs>
          <w:tab w:val="left" w:pos="1168"/>
        </w:tabs>
        <w:spacing w:after="720"/>
        <w:jc w:val="both"/>
        <w:rPr>
          <w:smallCaps/>
          <w:lang w:val="fr-CA"/>
        </w:rPr>
      </w:pPr>
      <w:r w:rsidRPr="00567414">
        <w:rPr>
          <w:smallCaps/>
          <w:lang w:val="fr-CA"/>
        </w:rPr>
        <w:t>en appel de la cour d’appel de la saskatchewan</w:t>
      </w:r>
    </w:p>
    <w:p w:rsidR="00567414" w:rsidRPr="00567414" w:rsidRDefault="00567414" w:rsidP="00567414">
      <w:pPr>
        <w:tabs>
          <w:tab w:val="left" w:pos="1168"/>
        </w:tabs>
        <w:spacing w:line="480" w:lineRule="auto"/>
        <w:jc w:val="both"/>
        <w:rPr>
          <w:i/>
          <w:lang w:val="fr-CA"/>
        </w:rPr>
      </w:pPr>
      <w:r w:rsidRPr="00567414">
        <w:rPr>
          <w:lang w:val="fr-CA"/>
        </w:rPr>
        <w:tab/>
      </w:r>
      <w:r w:rsidRPr="00567414">
        <w:rPr>
          <w:i/>
          <w:lang w:val="fr-CA"/>
        </w:rPr>
        <w:t>Droit criminel — Preuve — Appréciation — Crédibilité — Examen inégal — Juge du procès déclarant l’accusé coupable d’agression sexuelle — Arrêt majoritaire de</w:t>
      </w:r>
      <w:r w:rsidRPr="00567414">
        <w:rPr>
          <w:i/>
          <w:iCs/>
          <w:color w:val="000000"/>
          <w:lang w:val="fr-CA"/>
        </w:rPr>
        <w:t xml:space="preserve"> la Cour d’appel portant que</w:t>
      </w:r>
      <w:r w:rsidRPr="00567414">
        <w:rPr>
          <w:i/>
          <w:lang w:val="fr-CA"/>
        </w:rPr>
        <w:t xml:space="preserve"> la juge du procès a commis une erreur dans l’appréciation de la crédibilité en soumettant le témoignage de l’accusé à un degré différent d’examen par rapport au témoignage </w:t>
      </w:r>
      <w:r w:rsidRPr="00567414">
        <w:rPr>
          <w:i/>
          <w:lang w:val="fr-CA"/>
        </w:rPr>
        <w:lastRenderedPageBreak/>
        <w:t>de la plaignante et qu’un nouveau procès doit être ordonné — La juge du procès n’a commis aucune erreur pouvant justifier une intervention en appel — Affaire renvoyée à la Cour d’appel pour qu’elle statue</w:t>
      </w:r>
      <w:r w:rsidR="002E6DD9">
        <w:rPr>
          <w:i/>
          <w:lang w:val="fr-CA"/>
        </w:rPr>
        <w:t xml:space="preserve"> sur les autres moyens d’appel.</w:t>
      </w:r>
    </w:p>
    <w:p w:rsidR="00567414" w:rsidRPr="00567414" w:rsidRDefault="00567414" w:rsidP="00567414">
      <w:pPr>
        <w:tabs>
          <w:tab w:val="left" w:pos="1168"/>
        </w:tabs>
        <w:spacing w:line="480" w:lineRule="auto"/>
        <w:jc w:val="both"/>
        <w:rPr>
          <w:lang w:val="fr-CA"/>
        </w:rPr>
      </w:pPr>
    </w:p>
    <w:p w:rsidR="00567414" w:rsidRPr="00567414" w:rsidRDefault="00567414" w:rsidP="00567414">
      <w:pPr>
        <w:tabs>
          <w:tab w:val="left" w:pos="1168"/>
        </w:tabs>
        <w:spacing w:line="480" w:lineRule="auto"/>
        <w:jc w:val="both"/>
        <w:rPr>
          <w:lang w:val="fr-CA"/>
        </w:rPr>
      </w:pPr>
      <w:r w:rsidRPr="00567414">
        <w:rPr>
          <w:lang w:val="fr-CA"/>
        </w:rPr>
        <w:tab/>
        <w:t xml:space="preserve">POURVOI contre un arrêt de la Cour d’appel de la Saskatchewan (les juges Whitmore, Leurer et Kalmakoff), 2020 SKCA 37, 387 C.C.C. (3d) 147, [2020] S.J. No. 100 (QL), 2020 CarswellSask 136 (WL Can.), qui a annulé la déclaration de culpabilité pour agression sexuelle prononcée contre l’accusé et ordonné la tenue d’un nouveau procès. Pourvoi accueilli. </w:t>
      </w:r>
    </w:p>
    <w:p w:rsidR="00567414" w:rsidRPr="00567414" w:rsidRDefault="00567414" w:rsidP="00567414">
      <w:pPr>
        <w:tabs>
          <w:tab w:val="left" w:pos="1168"/>
        </w:tabs>
        <w:spacing w:line="480" w:lineRule="auto"/>
        <w:jc w:val="both"/>
        <w:rPr>
          <w:lang w:val="fr-CA"/>
        </w:rPr>
      </w:pPr>
    </w:p>
    <w:p w:rsidR="00567414" w:rsidRPr="00567414" w:rsidRDefault="00567414" w:rsidP="00567414">
      <w:pPr>
        <w:tabs>
          <w:tab w:val="left" w:pos="1168"/>
        </w:tabs>
        <w:spacing w:line="480" w:lineRule="auto"/>
        <w:jc w:val="both"/>
        <w:rPr>
          <w:lang w:val="fr-CA"/>
        </w:rPr>
      </w:pPr>
      <w:r w:rsidRPr="00567414">
        <w:rPr>
          <w:lang w:val="fr-CA"/>
        </w:rPr>
        <w:tab/>
      </w:r>
      <w:r w:rsidRPr="00567414">
        <w:rPr>
          <w:i/>
          <w:iCs/>
          <w:color w:val="000000"/>
          <w:lang w:val="fr-CA"/>
        </w:rPr>
        <w:t>W. Dean Sinclair</w:t>
      </w:r>
      <w:r w:rsidRPr="00567414">
        <w:rPr>
          <w:color w:val="000000"/>
          <w:lang w:val="fr-CA"/>
        </w:rPr>
        <w:t>,</w:t>
      </w:r>
      <w:r w:rsidRPr="00567414">
        <w:rPr>
          <w:i/>
          <w:iCs/>
          <w:color w:val="000000"/>
          <w:lang w:val="fr-CA"/>
        </w:rPr>
        <w:t> c.r.</w:t>
      </w:r>
      <w:r w:rsidRPr="00567414">
        <w:rPr>
          <w:lang w:val="fr-CA"/>
        </w:rPr>
        <w:t>, pour l’appelante.</w:t>
      </w:r>
    </w:p>
    <w:p w:rsidR="00567414" w:rsidRPr="00567414" w:rsidRDefault="00567414" w:rsidP="00567414">
      <w:pPr>
        <w:tabs>
          <w:tab w:val="left" w:pos="1168"/>
        </w:tabs>
        <w:spacing w:line="480" w:lineRule="auto"/>
        <w:jc w:val="both"/>
        <w:rPr>
          <w:lang w:val="fr-CA"/>
        </w:rPr>
      </w:pPr>
    </w:p>
    <w:p w:rsidR="00567414" w:rsidRPr="00567414" w:rsidRDefault="00567414" w:rsidP="00567414">
      <w:pPr>
        <w:tabs>
          <w:tab w:val="left" w:pos="1168"/>
        </w:tabs>
        <w:spacing w:line="480" w:lineRule="auto"/>
        <w:jc w:val="both"/>
        <w:rPr>
          <w:lang w:val="fr-CA"/>
        </w:rPr>
      </w:pPr>
      <w:r w:rsidRPr="00567414">
        <w:rPr>
          <w:i/>
          <w:lang w:val="fr-CA"/>
        </w:rPr>
        <w:tab/>
      </w:r>
      <w:r w:rsidRPr="00567414">
        <w:rPr>
          <w:i/>
          <w:iCs/>
          <w:color w:val="000000"/>
          <w:lang w:val="fr-CA"/>
        </w:rPr>
        <w:t>Aaron A. Fox</w:t>
      </w:r>
      <w:r w:rsidRPr="00567414">
        <w:rPr>
          <w:color w:val="000000"/>
          <w:lang w:val="fr-CA"/>
        </w:rPr>
        <w:t>,</w:t>
      </w:r>
      <w:r w:rsidRPr="00567414">
        <w:rPr>
          <w:i/>
          <w:iCs/>
          <w:color w:val="000000"/>
          <w:lang w:val="fr-CA"/>
        </w:rPr>
        <w:t> c.r.</w:t>
      </w:r>
      <w:r w:rsidRPr="00567414">
        <w:rPr>
          <w:color w:val="000000"/>
          <w:lang w:val="fr-CA"/>
        </w:rPr>
        <w:t>, et </w:t>
      </w:r>
      <w:r w:rsidRPr="00567414">
        <w:rPr>
          <w:i/>
          <w:iCs/>
          <w:color w:val="000000"/>
          <w:lang w:val="fr-CA"/>
        </w:rPr>
        <w:t>Darren Kraushaar</w:t>
      </w:r>
      <w:r w:rsidRPr="00567414">
        <w:rPr>
          <w:lang w:val="fr-CA"/>
        </w:rPr>
        <w:t>, pour l’intimé.</w:t>
      </w:r>
    </w:p>
    <w:p w:rsidR="00567414" w:rsidRPr="00B2505A" w:rsidRDefault="00567414" w:rsidP="00567414">
      <w:pPr>
        <w:tabs>
          <w:tab w:val="left" w:pos="1168"/>
        </w:tabs>
        <w:spacing w:before="480" w:after="480" w:line="480" w:lineRule="auto"/>
        <w:jc w:val="both"/>
        <w:rPr>
          <w:lang w:val="fr-CA"/>
        </w:rPr>
      </w:pPr>
      <w:r w:rsidRPr="00567414">
        <w:rPr>
          <w:lang w:val="fr-CA"/>
        </w:rPr>
        <w:tab/>
      </w:r>
      <w:r w:rsidR="00B2505A">
        <w:rPr>
          <w:lang w:val="fr-CA"/>
        </w:rPr>
        <w:t>Version franç</w:t>
      </w:r>
      <w:r w:rsidR="00B2505A" w:rsidRPr="00B2505A">
        <w:rPr>
          <w:lang w:val="fr-CA"/>
        </w:rPr>
        <w:t>aise du jugement rendu oralement par</w:t>
      </w:r>
    </w:p>
    <w:p w:rsidR="00567414" w:rsidRPr="00567414" w:rsidRDefault="00567414" w:rsidP="00567414">
      <w:pPr>
        <w:tabs>
          <w:tab w:val="num" w:pos="1152"/>
        </w:tabs>
        <w:spacing w:before="480" w:after="480" w:line="480" w:lineRule="auto"/>
        <w:jc w:val="both"/>
        <w:rPr>
          <w:rFonts w:eastAsiaTheme="minorEastAsia" w:cstheme="minorBidi"/>
          <w:color w:val="000000"/>
          <w:szCs w:val="27"/>
          <w:lang w:val="fr-CA" w:eastAsia="en-US"/>
        </w:rPr>
      </w:pPr>
      <w:r w:rsidRPr="00567414">
        <w:rPr>
          <w:rFonts w:eastAsiaTheme="minorEastAsia" w:cstheme="minorBidi"/>
          <w:smallCaps/>
          <w:color w:val="000000"/>
          <w:szCs w:val="27"/>
          <w:lang w:val="fr-CA" w:eastAsia="en-US"/>
        </w:rPr>
        <w:t>[1]</w:t>
      </w:r>
      <w:r w:rsidRPr="00567414">
        <w:rPr>
          <w:rFonts w:eastAsiaTheme="minorEastAsia" w:cstheme="minorBidi"/>
          <w:smallCaps/>
          <w:color w:val="000000"/>
          <w:szCs w:val="27"/>
          <w:lang w:val="fr-CA" w:eastAsia="en-US"/>
        </w:rPr>
        <w:tab/>
        <w:t>La Cour</w:t>
      </w:r>
      <w:r w:rsidRPr="00567414">
        <w:rPr>
          <w:rFonts w:eastAsiaTheme="minorEastAsia" w:cstheme="minorBidi"/>
          <w:color w:val="000000"/>
          <w:szCs w:val="27"/>
          <w:lang w:val="fr-CA" w:eastAsia="en-US"/>
        </w:rPr>
        <w:t> — Notre Cour ne s’est pas prononcée sur la question de savoir si un examen inégal, si une telle chose existe, peut constituer un moyen d’appel indépendant ou une erreur de droit séparée et distincte. Quoi qu’il en soit, nous ne relevons à l’égard de cet argument aucune erreur qui justifiait une intervention en appel.</w:t>
      </w:r>
    </w:p>
    <w:p w:rsidR="00567414" w:rsidRPr="00567414" w:rsidRDefault="00567414" w:rsidP="00567414">
      <w:pPr>
        <w:tabs>
          <w:tab w:val="num" w:pos="1152"/>
        </w:tabs>
        <w:spacing w:before="480" w:after="480" w:line="480" w:lineRule="auto"/>
        <w:jc w:val="both"/>
        <w:rPr>
          <w:rFonts w:eastAsiaTheme="minorEastAsia" w:cstheme="minorBidi"/>
          <w:color w:val="000000"/>
          <w:szCs w:val="27"/>
          <w:lang w:val="fr-CA" w:eastAsia="en-US"/>
        </w:rPr>
      </w:pPr>
      <w:r w:rsidRPr="00567414">
        <w:rPr>
          <w:rFonts w:eastAsiaTheme="minorEastAsia" w:cstheme="minorBidi"/>
          <w:color w:val="000000"/>
          <w:szCs w:val="27"/>
          <w:lang w:val="fr-CA" w:eastAsia="en-US"/>
        </w:rPr>
        <w:t>[2]</w:t>
      </w:r>
      <w:r w:rsidRPr="00567414">
        <w:rPr>
          <w:rFonts w:eastAsiaTheme="minorEastAsia" w:cstheme="minorBidi"/>
          <w:color w:val="000000"/>
          <w:szCs w:val="27"/>
          <w:lang w:val="fr-CA" w:eastAsia="en-US"/>
        </w:rPr>
        <w:tab/>
        <w:t>Par conséquent, l’appel est accueilli et l’affaire est renvoyée à la Cour d’appel pour qu’elle statue sur les moyens d’appel que les juges majoritaires n’ont pas examinés.</w:t>
      </w:r>
    </w:p>
    <w:p w:rsidR="00567414" w:rsidRPr="00567414" w:rsidRDefault="00567414" w:rsidP="00567414">
      <w:pPr>
        <w:tabs>
          <w:tab w:val="left" w:pos="1168"/>
        </w:tabs>
        <w:spacing w:line="480" w:lineRule="auto"/>
        <w:jc w:val="both"/>
        <w:rPr>
          <w:i/>
          <w:lang w:val="fr-CA"/>
        </w:rPr>
      </w:pPr>
      <w:r w:rsidRPr="00567414">
        <w:rPr>
          <w:lang w:val="fr-CA"/>
        </w:rPr>
        <w:tab/>
      </w:r>
      <w:r w:rsidRPr="00567414">
        <w:rPr>
          <w:i/>
          <w:lang w:val="fr-CA"/>
        </w:rPr>
        <w:t>Jugement en conséquence.</w:t>
      </w:r>
    </w:p>
    <w:p w:rsidR="00567414" w:rsidRPr="00567414" w:rsidRDefault="00567414" w:rsidP="00567414">
      <w:pPr>
        <w:tabs>
          <w:tab w:val="left" w:pos="1168"/>
        </w:tabs>
        <w:spacing w:line="480" w:lineRule="auto"/>
        <w:jc w:val="both"/>
        <w:rPr>
          <w:i/>
          <w:lang w:val="fr-CA"/>
        </w:rPr>
      </w:pPr>
    </w:p>
    <w:p w:rsidR="00567414" w:rsidRPr="00567414" w:rsidRDefault="00567414" w:rsidP="00567414">
      <w:pPr>
        <w:tabs>
          <w:tab w:val="left" w:pos="1168"/>
        </w:tabs>
        <w:spacing w:line="480" w:lineRule="auto"/>
        <w:jc w:val="both"/>
        <w:rPr>
          <w:i/>
          <w:lang w:val="fr-CA"/>
        </w:rPr>
      </w:pPr>
      <w:r w:rsidRPr="00567414">
        <w:rPr>
          <w:lang w:val="fr-CA"/>
        </w:rPr>
        <w:tab/>
      </w:r>
      <w:r w:rsidRPr="00567414">
        <w:rPr>
          <w:i/>
          <w:lang w:val="fr-CA"/>
        </w:rPr>
        <w:t>Procureur de l’appelante : Procureur général de la Saskatchewan, Regina.</w:t>
      </w:r>
    </w:p>
    <w:p w:rsidR="00567414" w:rsidRPr="00567414" w:rsidRDefault="00567414" w:rsidP="00567414">
      <w:pPr>
        <w:tabs>
          <w:tab w:val="left" w:pos="1168"/>
        </w:tabs>
        <w:spacing w:line="480" w:lineRule="auto"/>
        <w:jc w:val="both"/>
        <w:rPr>
          <w:i/>
          <w:lang w:val="fr-CA"/>
        </w:rPr>
      </w:pPr>
    </w:p>
    <w:p w:rsidR="00567414" w:rsidRPr="00567414" w:rsidRDefault="00567414" w:rsidP="00567414">
      <w:pPr>
        <w:tabs>
          <w:tab w:val="left" w:pos="1168"/>
        </w:tabs>
        <w:spacing w:line="480" w:lineRule="auto"/>
        <w:jc w:val="both"/>
        <w:rPr>
          <w:i/>
          <w:lang w:val="fr-CA"/>
        </w:rPr>
      </w:pPr>
      <w:r w:rsidRPr="00567414">
        <w:rPr>
          <w:i/>
          <w:lang w:val="fr-CA"/>
        </w:rPr>
        <w:tab/>
        <w:t>Procureurs de l’intimé : McDougall Gauley, Regina.</w:t>
      </w:r>
    </w:p>
    <w:sectPr w:rsidR="00567414" w:rsidRPr="00567414" w:rsidSect="00C7392B">
      <w:pgSz w:w="12240" w:h="15840"/>
      <w:pgMar w:top="1440" w:right="1440" w:bottom="1440" w:left="144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0F" w:rsidRDefault="00322B0F">
      <w:r>
        <w:separator/>
      </w:r>
    </w:p>
  </w:endnote>
  <w:endnote w:type="continuationSeparator" w:id="0">
    <w:p w:rsidR="00322B0F" w:rsidRDefault="0032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0F" w:rsidRDefault="00322B0F">
      <w:r>
        <w:separator/>
      </w:r>
    </w:p>
  </w:footnote>
  <w:footnote w:type="continuationSeparator" w:id="0">
    <w:p w:rsidR="00322B0F" w:rsidRDefault="0032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E0E"/>
    <w:rsid w:val="00013781"/>
    <w:rsid w:val="00017885"/>
    <w:rsid w:val="00025198"/>
    <w:rsid w:val="00026467"/>
    <w:rsid w:val="00040D1B"/>
    <w:rsid w:val="00041BDD"/>
    <w:rsid w:val="000434EA"/>
    <w:rsid w:val="000578A3"/>
    <w:rsid w:val="00063E74"/>
    <w:rsid w:val="000648CC"/>
    <w:rsid w:val="00076E46"/>
    <w:rsid w:val="00094FED"/>
    <w:rsid w:val="000B5CFA"/>
    <w:rsid w:val="000B660C"/>
    <w:rsid w:val="000B69B5"/>
    <w:rsid w:val="000C3FCE"/>
    <w:rsid w:val="000C59B8"/>
    <w:rsid w:val="000C6AF0"/>
    <w:rsid w:val="000C78C2"/>
    <w:rsid w:val="000F0995"/>
    <w:rsid w:val="000F2FF1"/>
    <w:rsid w:val="00104F33"/>
    <w:rsid w:val="00106D75"/>
    <w:rsid w:val="00111905"/>
    <w:rsid w:val="00111DE2"/>
    <w:rsid w:val="0011492A"/>
    <w:rsid w:val="0011534F"/>
    <w:rsid w:val="001160DE"/>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77C1"/>
    <w:rsid w:val="00170592"/>
    <w:rsid w:val="00176387"/>
    <w:rsid w:val="00177E17"/>
    <w:rsid w:val="00186351"/>
    <w:rsid w:val="00195D83"/>
    <w:rsid w:val="001977DB"/>
    <w:rsid w:val="001A00C1"/>
    <w:rsid w:val="001A42A4"/>
    <w:rsid w:val="001B33E0"/>
    <w:rsid w:val="001B4573"/>
    <w:rsid w:val="001C779F"/>
    <w:rsid w:val="001D2AC1"/>
    <w:rsid w:val="001D4DDF"/>
    <w:rsid w:val="001D4E88"/>
    <w:rsid w:val="001D65FF"/>
    <w:rsid w:val="001D6E70"/>
    <w:rsid w:val="001E477D"/>
    <w:rsid w:val="00205555"/>
    <w:rsid w:val="00220FC2"/>
    <w:rsid w:val="002222F4"/>
    <w:rsid w:val="00224FC0"/>
    <w:rsid w:val="00225EA4"/>
    <w:rsid w:val="00226EAF"/>
    <w:rsid w:val="002310A2"/>
    <w:rsid w:val="00231F3A"/>
    <w:rsid w:val="00234199"/>
    <w:rsid w:val="00236389"/>
    <w:rsid w:val="00237AFE"/>
    <w:rsid w:val="002406EE"/>
    <w:rsid w:val="00243EC8"/>
    <w:rsid w:val="00244917"/>
    <w:rsid w:val="00256E40"/>
    <w:rsid w:val="0026412B"/>
    <w:rsid w:val="00264B77"/>
    <w:rsid w:val="00270D93"/>
    <w:rsid w:val="002745CC"/>
    <w:rsid w:val="002909F6"/>
    <w:rsid w:val="0029178F"/>
    <w:rsid w:val="002B7924"/>
    <w:rsid w:val="002B7ABA"/>
    <w:rsid w:val="002C6DD5"/>
    <w:rsid w:val="002D2226"/>
    <w:rsid w:val="002D28C3"/>
    <w:rsid w:val="002D294E"/>
    <w:rsid w:val="002D39A4"/>
    <w:rsid w:val="002E6189"/>
    <w:rsid w:val="002E6705"/>
    <w:rsid w:val="002E6DD9"/>
    <w:rsid w:val="00301D08"/>
    <w:rsid w:val="0030329A"/>
    <w:rsid w:val="00303F14"/>
    <w:rsid w:val="00305526"/>
    <w:rsid w:val="0031086F"/>
    <w:rsid w:val="0031414C"/>
    <w:rsid w:val="00314E01"/>
    <w:rsid w:val="00317670"/>
    <w:rsid w:val="0032089D"/>
    <w:rsid w:val="00322B0F"/>
    <w:rsid w:val="00324AE2"/>
    <w:rsid w:val="003310DE"/>
    <w:rsid w:val="003323B0"/>
    <w:rsid w:val="00337C82"/>
    <w:rsid w:val="00342089"/>
    <w:rsid w:val="00347BA4"/>
    <w:rsid w:val="0035169A"/>
    <w:rsid w:val="00351B0F"/>
    <w:rsid w:val="0035259D"/>
    <w:rsid w:val="00353B79"/>
    <w:rsid w:val="00355C66"/>
    <w:rsid w:val="00362ADA"/>
    <w:rsid w:val="00364B18"/>
    <w:rsid w:val="00396BF3"/>
    <w:rsid w:val="003A125D"/>
    <w:rsid w:val="003A4C70"/>
    <w:rsid w:val="003B215F"/>
    <w:rsid w:val="003C2CFF"/>
    <w:rsid w:val="003C799C"/>
    <w:rsid w:val="003D0399"/>
    <w:rsid w:val="003E1C71"/>
    <w:rsid w:val="003E23FA"/>
    <w:rsid w:val="003E2693"/>
    <w:rsid w:val="003E53AC"/>
    <w:rsid w:val="003F327B"/>
    <w:rsid w:val="003F7ACB"/>
    <w:rsid w:val="00400B24"/>
    <w:rsid w:val="00404D28"/>
    <w:rsid w:val="00406166"/>
    <w:rsid w:val="0040704B"/>
    <w:rsid w:val="00407839"/>
    <w:rsid w:val="00410003"/>
    <w:rsid w:val="00410A55"/>
    <w:rsid w:val="00411300"/>
    <w:rsid w:val="00415417"/>
    <w:rsid w:val="00424FE1"/>
    <w:rsid w:val="00426659"/>
    <w:rsid w:val="00426D16"/>
    <w:rsid w:val="00450352"/>
    <w:rsid w:val="00454BDB"/>
    <w:rsid w:val="00454C87"/>
    <w:rsid w:val="00463A7A"/>
    <w:rsid w:val="00464800"/>
    <w:rsid w:val="00464BF6"/>
    <w:rsid w:val="00465132"/>
    <w:rsid w:val="00465EF1"/>
    <w:rsid w:val="004707F9"/>
    <w:rsid w:val="00470DB3"/>
    <w:rsid w:val="004721F0"/>
    <w:rsid w:val="0047411A"/>
    <w:rsid w:val="00480C90"/>
    <w:rsid w:val="0048396F"/>
    <w:rsid w:val="00487275"/>
    <w:rsid w:val="00493C18"/>
    <w:rsid w:val="00495D96"/>
    <w:rsid w:val="004A600C"/>
    <w:rsid w:val="004A6118"/>
    <w:rsid w:val="004C2314"/>
    <w:rsid w:val="004C25EE"/>
    <w:rsid w:val="004C478D"/>
    <w:rsid w:val="004D4FEC"/>
    <w:rsid w:val="004E0D6A"/>
    <w:rsid w:val="004E2C26"/>
    <w:rsid w:val="004E61A7"/>
    <w:rsid w:val="004F36FF"/>
    <w:rsid w:val="005125A8"/>
    <w:rsid w:val="00516DED"/>
    <w:rsid w:val="00521AE8"/>
    <w:rsid w:val="00524449"/>
    <w:rsid w:val="00527180"/>
    <w:rsid w:val="005341CE"/>
    <w:rsid w:val="00534AB2"/>
    <w:rsid w:val="005362F5"/>
    <w:rsid w:val="0054201E"/>
    <w:rsid w:val="00547D98"/>
    <w:rsid w:val="005541DB"/>
    <w:rsid w:val="00555291"/>
    <w:rsid w:val="0056265A"/>
    <w:rsid w:val="00566AD1"/>
    <w:rsid w:val="00567414"/>
    <w:rsid w:val="0057257D"/>
    <w:rsid w:val="00583EDE"/>
    <w:rsid w:val="00586928"/>
    <w:rsid w:val="005966EF"/>
    <w:rsid w:val="005A4F85"/>
    <w:rsid w:val="005A6079"/>
    <w:rsid w:val="005C4CA0"/>
    <w:rsid w:val="005C7840"/>
    <w:rsid w:val="005E4698"/>
    <w:rsid w:val="006003EE"/>
    <w:rsid w:val="00610539"/>
    <w:rsid w:val="00613969"/>
    <w:rsid w:val="0061523C"/>
    <w:rsid w:val="00617208"/>
    <w:rsid w:val="00624705"/>
    <w:rsid w:val="00625C35"/>
    <w:rsid w:val="00626A7D"/>
    <w:rsid w:val="0062787A"/>
    <w:rsid w:val="00635521"/>
    <w:rsid w:val="00641280"/>
    <w:rsid w:val="006468AB"/>
    <w:rsid w:val="00656313"/>
    <w:rsid w:val="006565F4"/>
    <w:rsid w:val="0066108F"/>
    <w:rsid w:val="006763FD"/>
    <w:rsid w:val="00684EEA"/>
    <w:rsid w:val="006908E8"/>
    <w:rsid w:val="0069689B"/>
    <w:rsid w:val="006A1551"/>
    <w:rsid w:val="006A48DB"/>
    <w:rsid w:val="006B5FF5"/>
    <w:rsid w:val="006B7683"/>
    <w:rsid w:val="006D4200"/>
    <w:rsid w:val="006F30AF"/>
    <w:rsid w:val="007009A0"/>
    <w:rsid w:val="00701759"/>
    <w:rsid w:val="00701CF2"/>
    <w:rsid w:val="00705C15"/>
    <w:rsid w:val="00712E55"/>
    <w:rsid w:val="00713025"/>
    <w:rsid w:val="007154A1"/>
    <w:rsid w:val="0071600E"/>
    <w:rsid w:val="007162FD"/>
    <w:rsid w:val="0071662F"/>
    <w:rsid w:val="00717FDC"/>
    <w:rsid w:val="007208D1"/>
    <w:rsid w:val="0072428C"/>
    <w:rsid w:val="00730177"/>
    <w:rsid w:val="00742119"/>
    <w:rsid w:val="00747288"/>
    <w:rsid w:val="00747DD3"/>
    <w:rsid w:val="007549C8"/>
    <w:rsid w:val="00754A0B"/>
    <w:rsid w:val="00766D14"/>
    <w:rsid w:val="00767A0F"/>
    <w:rsid w:val="00771ADE"/>
    <w:rsid w:val="00772C0E"/>
    <w:rsid w:val="00796207"/>
    <w:rsid w:val="007A05F6"/>
    <w:rsid w:val="007B3D74"/>
    <w:rsid w:val="007B6F4A"/>
    <w:rsid w:val="007D097E"/>
    <w:rsid w:val="007E1C47"/>
    <w:rsid w:val="007E337A"/>
    <w:rsid w:val="007E5C70"/>
    <w:rsid w:val="007E7C7D"/>
    <w:rsid w:val="007F2FF5"/>
    <w:rsid w:val="007F3F08"/>
    <w:rsid w:val="00804CC6"/>
    <w:rsid w:val="00813B48"/>
    <w:rsid w:val="00817190"/>
    <w:rsid w:val="00820EE5"/>
    <w:rsid w:val="008244E9"/>
    <w:rsid w:val="00824E57"/>
    <w:rsid w:val="008260E2"/>
    <w:rsid w:val="008322BD"/>
    <w:rsid w:val="008323C4"/>
    <w:rsid w:val="00833E0A"/>
    <w:rsid w:val="00834F73"/>
    <w:rsid w:val="00847F55"/>
    <w:rsid w:val="008544FA"/>
    <w:rsid w:val="008642E9"/>
    <w:rsid w:val="00864CF8"/>
    <w:rsid w:val="00872819"/>
    <w:rsid w:val="00874914"/>
    <w:rsid w:val="00891422"/>
    <w:rsid w:val="00892E1A"/>
    <w:rsid w:val="008A3F29"/>
    <w:rsid w:val="008B660A"/>
    <w:rsid w:val="008B70F9"/>
    <w:rsid w:val="008C01DA"/>
    <w:rsid w:val="008C02C9"/>
    <w:rsid w:val="008C7263"/>
    <w:rsid w:val="008D2104"/>
    <w:rsid w:val="008D66C8"/>
    <w:rsid w:val="008F78E9"/>
    <w:rsid w:val="00903C32"/>
    <w:rsid w:val="00911989"/>
    <w:rsid w:val="009179F9"/>
    <w:rsid w:val="0093031F"/>
    <w:rsid w:val="00931C1C"/>
    <w:rsid w:val="00933E5E"/>
    <w:rsid w:val="00935218"/>
    <w:rsid w:val="009403F3"/>
    <w:rsid w:val="009555B7"/>
    <w:rsid w:val="009567AA"/>
    <w:rsid w:val="0096473A"/>
    <w:rsid w:val="00967374"/>
    <w:rsid w:val="00976EB5"/>
    <w:rsid w:val="00981B4D"/>
    <w:rsid w:val="009A343A"/>
    <w:rsid w:val="009A4E51"/>
    <w:rsid w:val="009A520F"/>
    <w:rsid w:val="009A5E0C"/>
    <w:rsid w:val="009B2F23"/>
    <w:rsid w:val="009B57B3"/>
    <w:rsid w:val="009B6FFE"/>
    <w:rsid w:val="009C284E"/>
    <w:rsid w:val="009C5B92"/>
    <w:rsid w:val="009D2920"/>
    <w:rsid w:val="009D5AEB"/>
    <w:rsid w:val="009D6DBE"/>
    <w:rsid w:val="009F0E33"/>
    <w:rsid w:val="009F1E77"/>
    <w:rsid w:val="00A003F4"/>
    <w:rsid w:val="00A030CE"/>
    <w:rsid w:val="00A149DF"/>
    <w:rsid w:val="00A1755C"/>
    <w:rsid w:val="00A21B90"/>
    <w:rsid w:val="00A41805"/>
    <w:rsid w:val="00A42DCD"/>
    <w:rsid w:val="00A44699"/>
    <w:rsid w:val="00A52AFB"/>
    <w:rsid w:val="00A548CB"/>
    <w:rsid w:val="00A5521C"/>
    <w:rsid w:val="00A557A1"/>
    <w:rsid w:val="00A55CEF"/>
    <w:rsid w:val="00A643E7"/>
    <w:rsid w:val="00A73C38"/>
    <w:rsid w:val="00AA1784"/>
    <w:rsid w:val="00AB670D"/>
    <w:rsid w:val="00AC6FA4"/>
    <w:rsid w:val="00AD2826"/>
    <w:rsid w:val="00AD342F"/>
    <w:rsid w:val="00AE25FE"/>
    <w:rsid w:val="00AE4535"/>
    <w:rsid w:val="00AF03C5"/>
    <w:rsid w:val="00AF0B26"/>
    <w:rsid w:val="00AF1425"/>
    <w:rsid w:val="00B000D8"/>
    <w:rsid w:val="00B00F75"/>
    <w:rsid w:val="00B11735"/>
    <w:rsid w:val="00B1431F"/>
    <w:rsid w:val="00B145B6"/>
    <w:rsid w:val="00B2215E"/>
    <w:rsid w:val="00B2505A"/>
    <w:rsid w:val="00B279EB"/>
    <w:rsid w:val="00B30E18"/>
    <w:rsid w:val="00B32357"/>
    <w:rsid w:val="00B43559"/>
    <w:rsid w:val="00B50C81"/>
    <w:rsid w:val="00B557F8"/>
    <w:rsid w:val="00B56AAF"/>
    <w:rsid w:val="00B67199"/>
    <w:rsid w:val="00B815FC"/>
    <w:rsid w:val="00B93FBC"/>
    <w:rsid w:val="00BA066D"/>
    <w:rsid w:val="00BA7DA0"/>
    <w:rsid w:val="00BB2366"/>
    <w:rsid w:val="00BB2EE4"/>
    <w:rsid w:val="00BB4598"/>
    <w:rsid w:val="00BB5AE6"/>
    <w:rsid w:val="00BC2108"/>
    <w:rsid w:val="00BC5642"/>
    <w:rsid w:val="00BD0E9E"/>
    <w:rsid w:val="00BD1BEC"/>
    <w:rsid w:val="00BD32FF"/>
    <w:rsid w:val="00BD67ED"/>
    <w:rsid w:val="00C02092"/>
    <w:rsid w:val="00C22905"/>
    <w:rsid w:val="00C229CD"/>
    <w:rsid w:val="00C24D91"/>
    <w:rsid w:val="00C31D39"/>
    <w:rsid w:val="00C53F14"/>
    <w:rsid w:val="00C600CF"/>
    <w:rsid w:val="00C6084F"/>
    <w:rsid w:val="00C62A66"/>
    <w:rsid w:val="00C62FD6"/>
    <w:rsid w:val="00C71458"/>
    <w:rsid w:val="00C7392B"/>
    <w:rsid w:val="00C77613"/>
    <w:rsid w:val="00C828E7"/>
    <w:rsid w:val="00C86719"/>
    <w:rsid w:val="00C921DD"/>
    <w:rsid w:val="00C97C71"/>
    <w:rsid w:val="00CA6391"/>
    <w:rsid w:val="00CA7B39"/>
    <w:rsid w:val="00CB5B04"/>
    <w:rsid w:val="00CC34BD"/>
    <w:rsid w:val="00CE161A"/>
    <w:rsid w:val="00CE3171"/>
    <w:rsid w:val="00CF1601"/>
    <w:rsid w:val="00D0172F"/>
    <w:rsid w:val="00D068A7"/>
    <w:rsid w:val="00D173CE"/>
    <w:rsid w:val="00D17476"/>
    <w:rsid w:val="00D22128"/>
    <w:rsid w:val="00D25F6B"/>
    <w:rsid w:val="00D26B67"/>
    <w:rsid w:val="00D32086"/>
    <w:rsid w:val="00D360E6"/>
    <w:rsid w:val="00D37A3F"/>
    <w:rsid w:val="00D4431D"/>
    <w:rsid w:val="00D4667A"/>
    <w:rsid w:val="00D469D5"/>
    <w:rsid w:val="00D47BFC"/>
    <w:rsid w:val="00D614A5"/>
    <w:rsid w:val="00D63A1C"/>
    <w:rsid w:val="00D7516F"/>
    <w:rsid w:val="00D83628"/>
    <w:rsid w:val="00D8579F"/>
    <w:rsid w:val="00D90B9E"/>
    <w:rsid w:val="00D91A89"/>
    <w:rsid w:val="00D95F8E"/>
    <w:rsid w:val="00DA0590"/>
    <w:rsid w:val="00DB7BEA"/>
    <w:rsid w:val="00DC1739"/>
    <w:rsid w:val="00DC1788"/>
    <w:rsid w:val="00DC2F37"/>
    <w:rsid w:val="00DC5DE2"/>
    <w:rsid w:val="00DD105B"/>
    <w:rsid w:val="00DE319C"/>
    <w:rsid w:val="00DE54B0"/>
    <w:rsid w:val="00DF0CA8"/>
    <w:rsid w:val="00DF2B48"/>
    <w:rsid w:val="00DF49A7"/>
    <w:rsid w:val="00E07EE2"/>
    <w:rsid w:val="00E07FD1"/>
    <w:rsid w:val="00E176D8"/>
    <w:rsid w:val="00E24573"/>
    <w:rsid w:val="00E25E1E"/>
    <w:rsid w:val="00E27EE7"/>
    <w:rsid w:val="00E31D67"/>
    <w:rsid w:val="00E3214F"/>
    <w:rsid w:val="00E333F9"/>
    <w:rsid w:val="00E35404"/>
    <w:rsid w:val="00E45109"/>
    <w:rsid w:val="00E47B7A"/>
    <w:rsid w:val="00E56A44"/>
    <w:rsid w:val="00E60269"/>
    <w:rsid w:val="00E653D0"/>
    <w:rsid w:val="00E65A2E"/>
    <w:rsid w:val="00E71951"/>
    <w:rsid w:val="00E77932"/>
    <w:rsid w:val="00E83FDA"/>
    <w:rsid w:val="00E92347"/>
    <w:rsid w:val="00E97830"/>
    <w:rsid w:val="00EA1D3B"/>
    <w:rsid w:val="00ED681A"/>
    <w:rsid w:val="00EE5737"/>
    <w:rsid w:val="00EE643C"/>
    <w:rsid w:val="00EF0683"/>
    <w:rsid w:val="00EF69D2"/>
    <w:rsid w:val="00EF766E"/>
    <w:rsid w:val="00F0070C"/>
    <w:rsid w:val="00F00EB7"/>
    <w:rsid w:val="00F03D8E"/>
    <w:rsid w:val="00F36AB6"/>
    <w:rsid w:val="00F37A09"/>
    <w:rsid w:val="00F409CE"/>
    <w:rsid w:val="00F4379D"/>
    <w:rsid w:val="00F43876"/>
    <w:rsid w:val="00F50635"/>
    <w:rsid w:val="00F50D2D"/>
    <w:rsid w:val="00F56C8B"/>
    <w:rsid w:val="00F66810"/>
    <w:rsid w:val="00F70C8E"/>
    <w:rsid w:val="00F7105C"/>
    <w:rsid w:val="00F846D9"/>
    <w:rsid w:val="00F84DF4"/>
    <w:rsid w:val="00F85C97"/>
    <w:rsid w:val="00F94A57"/>
    <w:rsid w:val="00FA51A0"/>
    <w:rsid w:val="00FB37D2"/>
    <w:rsid w:val="00FB7D08"/>
    <w:rsid w:val="00FC07F2"/>
    <w:rsid w:val="00FC3788"/>
    <w:rsid w:val="00FC4EFB"/>
    <w:rsid w:val="00FD068D"/>
    <w:rsid w:val="00FD4F28"/>
    <w:rsid w:val="00FE0416"/>
    <w:rsid w:val="00FE6784"/>
    <w:rsid w:val="00FF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9C284E"/>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9C284E"/>
    <w:rPr>
      <w:rFonts w:eastAsiaTheme="minorHAnsi" w:cstheme="minorBidi"/>
      <w:b/>
      <w:szCs w:val="22"/>
      <w:lang w:eastAsia="en-US"/>
    </w:rPr>
  </w:style>
  <w:style w:type="character" w:customStyle="1" w:styleId="SCCLsocPrefixChar">
    <w:name w:val="SCC.Lsoc.Prefix Char"/>
    <w:basedOn w:val="DefaultParagraphFont"/>
    <w:link w:val="SCCLsocPrefix"/>
    <w:rsid w:val="009C284E"/>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72812">
      <w:bodyDiv w:val="1"/>
      <w:marLeft w:val="0"/>
      <w:marRight w:val="0"/>
      <w:marTop w:val="0"/>
      <w:marBottom w:val="0"/>
      <w:divBdr>
        <w:top w:val="none" w:sz="0" w:space="0" w:color="auto"/>
        <w:left w:val="none" w:sz="0" w:space="0" w:color="auto"/>
        <w:bottom w:val="none" w:sz="0" w:space="0" w:color="auto"/>
        <w:right w:val="none" w:sz="0" w:space="0" w:color="auto"/>
      </w:divBdr>
    </w:div>
    <w:div w:id="775293808">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44A3-AE5E-451D-8AE6-BFDC52E7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Words>
  <Characters>2057</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2022-06-27T19:54:00Z</dcterms:created>
  <dcterms:modified xsi:type="dcterms:W3CDTF">2023-10-30T22:09:00Z</dcterms:modified>
</cp:coreProperties>
</file>