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7"/>
        <w:gridCol w:w="1733"/>
        <w:gridCol w:w="3680"/>
      </w:tblGrid>
      <w:tr w:rsidR="0005404F" w:rsidRPr="00A12B55" w:rsidTr="008E32ED">
        <w:trPr>
          <w:trHeight w:val="1786"/>
        </w:trPr>
        <w:tc>
          <w:tcPr>
            <w:tcW w:w="5000" w:type="pct"/>
            <w:gridSpan w:val="3"/>
          </w:tcPr>
          <w:p w:rsidR="0005404F" w:rsidRPr="00A12B55" w:rsidRDefault="0005404F" w:rsidP="008E32ED">
            <w:pPr>
              <w:jc w:val="center"/>
            </w:pPr>
            <w:r w:rsidRPr="00A12B55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4.5pt" o:ole="">
                  <v:imagedata r:id="rId8" o:title=""/>
                </v:shape>
                <o:OLEObject Type="Embed" ProgID="Presentations.Drawing.15" ShapeID="_x0000_i1025" DrawAspect="Content" ObjectID="_1766476296" r:id="rId9"/>
              </w:object>
            </w:r>
          </w:p>
          <w:p w:rsidR="0005404F" w:rsidRPr="00A12B55" w:rsidRDefault="0005404F" w:rsidP="008E32ED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A12B55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05404F" w:rsidRPr="00A12B55" w:rsidTr="008E32ED">
        <w:tc>
          <w:tcPr>
            <w:tcW w:w="2108" w:type="pct"/>
            <w:tcMar>
              <w:top w:w="284" w:type="dxa"/>
            </w:tcMar>
          </w:tcPr>
          <w:p w:rsidR="0005404F" w:rsidRPr="00A12B55" w:rsidRDefault="0005404F" w:rsidP="008E32ED">
            <w:pPr>
              <w:spacing w:before="100" w:beforeAutospacing="1"/>
              <w:rPr>
                <w:rFonts w:eastAsia="Calibri"/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>Référence :</w:t>
            </w:r>
            <w:r w:rsidRPr="00A12B55">
              <w:rPr>
                <w:lang w:val="fr-CA"/>
              </w:rPr>
              <w:t xml:space="preserve"> R. </w:t>
            </w:r>
            <w:r w:rsidRPr="00A12B55">
              <w:rPr>
                <w:i/>
                <w:lang w:val="fr-CA"/>
              </w:rPr>
              <w:t xml:space="preserve">c. </w:t>
            </w:r>
            <w:r w:rsidRPr="00A12B55">
              <w:rPr>
                <w:lang w:val="fr-CA"/>
              </w:rPr>
              <w:t>Cortes Rivera, 2020 CSC 44</w:t>
            </w:r>
            <w:r>
              <w:rPr>
                <w:lang w:val="fr-CA"/>
              </w:rPr>
              <w:t>, [2020] 3 R.C.S. 906</w:t>
            </w:r>
          </w:p>
        </w:tc>
        <w:tc>
          <w:tcPr>
            <w:tcW w:w="926" w:type="pct"/>
          </w:tcPr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</w:p>
        </w:tc>
        <w:tc>
          <w:tcPr>
            <w:tcW w:w="1966" w:type="pct"/>
            <w:tcMar>
              <w:top w:w="284" w:type="dxa"/>
            </w:tcMar>
          </w:tcPr>
          <w:p w:rsidR="0005404F" w:rsidRPr="00A12B55" w:rsidRDefault="0005404F" w:rsidP="008E32ED">
            <w:pPr>
              <w:rPr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>Appel entendu :</w:t>
            </w:r>
            <w:r w:rsidRPr="00A12B55">
              <w:rPr>
                <w:lang w:val="fr-CA"/>
              </w:rPr>
              <w:t xml:space="preserve"> 11 décembre 2020</w:t>
            </w:r>
          </w:p>
          <w:p w:rsidR="0005404F" w:rsidRPr="00A12B55" w:rsidRDefault="0005404F" w:rsidP="008E32ED">
            <w:pPr>
              <w:rPr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 xml:space="preserve">Jugement rendu : </w:t>
            </w:r>
            <w:r w:rsidRPr="00A12B55">
              <w:rPr>
                <w:lang w:val="fr-CA"/>
              </w:rPr>
              <w:t>11 décembre 2020</w:t>
            </w:r>
          </w:p>
          <w:p w:rsidR="0005404F" w:rsidRPr="00A12B55" w:rsidRDefault="0005404F" w:rsidP="008E32ED">
            <w:pPr>
              <w:rPr>
                <w:rFonts w:eastAsia="Calibri"/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>Dossier :</w:t>
            </w:r>
            <w:r w:rsidRPr="00A12B55">
              <w:rPr>
                <w:lang w:val="fr-CA"/>
              </w:rPr>
              <w:t xml:space="preserve"> 39084</w:t>
            </w:r>
          </w:p>
        </w:tc>
      </w:tr>
      <w:tr w:rsidR="0005404F" w:rsidRPr="00A12B55" w:rsidTr="008E32ED">
        <w:tc>
          <w:tcPr>
            <w:tcW w:w="5000" w:type="pct"/>
            <w:gridSpan w:val="3"/>
          </w:tcPr>
          <w:p w:rsidR="0005404F" w:rsidRPr="00A12B55" w:rsidRDefault="0005404F" w:rsidP="008E32ED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: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b/>
                <w:szCs w:val="24"/>
                <w:lang w:val="fr-CA" w:eastAsia="en-US"/>
              </w:rPr>
              <w:t>Joaquin Alfredo Cortes Rivera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b/>
                <w:szCs w:val="24"/>
                <w:lang w:val="fr-CA" w:eastAsia="en-US"/>
              </w:rPr>
              <w:t>Sa Majesté la Reine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szCs w:val="24"/>
                <w:lang w:val="fr-CA" w:eastAsia="en-US"/>
              </w:rPr>
              <w:t>Intimée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A12B55">
              <w:rPr>
                <w:rFonts w:eastAsiaTheme="minorHAnsi" w:cstheme="minorBidi"/>
                <w:szCs w:val="24"/>
                <w:lang w:eastAsia="en-US"/>
              </w:rPr>
              <w:t>- et -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A12B55">
              <w:rPr>
                <w:rFonts w:eastAsiaTheme="minorHAnsi" w:cstheme="minorBidi"/>
                <w:b/>
                <w:szCs w:val="24"/>
                <w:lang w:eastAsia="en-US"/>
              </w:rPr>
              <w:t>Criminal Lawyers’ Association of Ontario</w:t>
            </w: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12B55">
              <w:rPr>
                <w:rFonts w:eastAsiaTheme="minorHAnsi" w:cstheme="minorBidi"/>
                <w:szCs w:val="24"/>
                <w:lang w:eastAsia="en-US"/>
              </w:rPr>
              <w:t>Intervenante</w:t>
            </w:r>
          </w:p>
          <w:p w:rsidR="0005404F" w:rsidRPr="00A12B55" w:rsidRDefault="0005404F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05404F" w:rsidRPr="00A12B55" w:rsidRDefault="0005404F" w:rsidP="008E32ED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A12B55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Traduction française officielle</w:t>
            </w:r>
          </w:p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51"/>
        <w:gridCol w:w="6209"/>
      </w:tblGrid>
      <w:tr w:rsidR="0005404F" w:rsidRPr="005577CE" w:rsidTr="008E32ED">
        <w:trPr>
          <w:cantSplit/>
          <w:trHeight w:val="373"/>
        </w:trPr>
        <w:tc>
          <w:tcPr>
            <w:tcW w:w="5000" w:type="pct"/>
            <w:gridSpan w:val="2"/>
            <w:tcMar>
              <w:top w:w="284" w:type="dxa"/>
              <w:bottom w:w="57" w:type="dxa"/>
            </w:tcMar>
            <w:vAlign w:val="center"/>
          </w:tcPr>
          <w:p w:rsidR="0005404F" w:rsidRPr="00A12B55" w:rsidRDefault="0005404F" w:rsidP="008E32ED">
            <w:pPr>
              <w:rPr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>Coram :</w:t>
            </w:r>
            <w:r w:rsidRPr="00A12B55">
              <w:rPr>
                <w:lang w:val="fr-CA"/>
              </w:rPr>
              <w:t xml:space="preserve"> Les juges Abella, Karakatsanis, Rowe, Martin et Kasirer</w:t>
            </w:r>
          </w:p>
        </w:tc>
      </w:tr>
      <w:tr w:rsidR="0005404F" w:rsidRPr="00A12B55" w:rsidTr="008E32ED">
        <w:trPr>
          <w:cantSplit/>
          <w:trHeight w:val="427"/>
        </w:trPr>
        <w:tc>
          <w:tcPr>
            <w:tcW w:w="1683" w:type="pct"/>
            <w:tcMar>
              <w:top w:w="284" w:type="dxa"/>
              <w:bottom w:w="57" w:type="dxa"/>
            </w:tcMar>
            <w:vAlign w:val="center"/>
          </w:tcPr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  <w:r w:rsidRPr="00A12B55">
              <w:rPr>
                <w:b/>
                <w:smallCaps/>
                <w:lang w:val="fr-CA"/>
              </w:rPr>
              <w:t xml:space="preserve">Jugement unanime lu par : </w:t>
            </w:r>
          </w:p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  <w:r w:rsidRPr="00A12B55">
              <w:rPr>
                <w:lang w:val="fr-CA"/>
              </w:rPr>
              <w:t>(par. 1 à 2)</w:t>
            </w:r>
          </w:p>
        </w:tc>
        <w:tc>
          <w:tcPr>
            <w:tcW w:w="3317" w:type="pct"/>
            <w:tcMar>
              <w:top w:w="284" w:type="dxa"/>
            </w:tcMar>
            <w:vAlign w:val="center"/>
          </w:tcPr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  <w:r w:rsidRPr="00A12B55">
              <w:rPr>
                <w:lang w:val="fr-CA"/>
              </w:rPr>
              <w:t>La juge Abella</w:t>
            </w:r>
          </w:p>
          <w:p w:rsidR="0005404F" w:rsidRPr="00A12B55" w:rsidRDefault="0005404F" w:rsidP="008E32ED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5404F" w:rsidRPr="00794BD4" w:rsidTr="008E32ED">
        <w:trPr>
          <w:trHeight w:val="24"/>
        </w:trPr>
        <w:tc>
          <w:tcPr>
            <w:tcW w:w="1500" w:type="pct"/>
            <w:tcMar>
              <w:top w:w="284" w:type="dxa"/>
            </w:tcMar>
          </w:tcPr>
          <w:p w:rsidR="0005404F" w:rsidRPr="00A12B55" w:rsidRDefault="0005404F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5404F" w:rsidRPr="00A12B55" w:rsidRDefault="0005404F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5404F" w:rsidRPr="00A12B55" w:rsidRDefault="0005404F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05404F" w:rsidRDefault="0005404F" w:rsidP="00AF5B32">
      <w:pPr>
        <w:spacing w:after="720"/>
        <w:jc w:val="both"/>
        <w:rPr>
          <w:smallCaps/>
          <w:lang w:val="fr-CA"/>
        </w:rPr>
        <w:sectPr w:rsidR="0005404F" w:rsidSect="00662CFD">
          <w:pgSz w:w="12240" w:h="15840"/>
          <w:pgMar w:top="1440" w:right="1440" w:bottom="1440" w:left="1440" w:header="1802" w:footer="720" w:gutter="0"/>
          <w:cols w:space="720"/>
          <w:docGrid w:linePitch="326"/>
        </w:sectPr>
      </w:pPr>
    </w:p>
    <w:p w:rsidR="00AF5B32" w:rsidRPr="00F144FD" w:rsidRDefault="00AF5B32" w:rsidP="00AF5B32">
      <w:pPr>
        <w:spacing w:after="720"/>
        <w:jc w:val="both"/>
        <w:rPr>
          <w:lang w:val="fr-CA"/>
        </w:rPr>
      </w:pPr>
      <w:bookmarkStart w:id="0" w:name="_GoBack"/>
      <w:bookmarkEnd w:id="0"/>
      <w:r w:rsidRPr="00B03A1A">
        <w:rPr>
          <w:smallCaps/>
          <w:lang w:val="fr-CA"/>
        </w:rPr>
        <w:lastRenderedPageBreak/>
        <w:t xml:space="preserve">r. </w:t>
      </w:r>
      <w:r w:rsidRPr="00B03A1A">
        <w:rPr>
          <w:i/>
          <w:lang w:val="fr-CA"/>
        </w:rPr>
        <w:t>c.</w:t>
      </w:r>
      <w:r w:rsidRPr="00B03A1A">
        <w:rPr>
          <w:lang w:val="fr-CA"/>
        </w:rPr>
        <w:t xml:space="preserve"> </w:t>
      </w:r>
      <w:r w:rsidRPr="00B03A1A">
        <w:rPr>
          <w:smallCaps/>
          <w:lang w:val="fr-CA"/>
        </w:rPr>
        <w:t>cortes rivera</w:t>
      </w:r>
    </w:p>
    <w:p w:rsidR="00AF5B32" w:rsidRPr="00F144FD" w:rsidRDefault="00AF5B32" w:rsidP="00AF5B32">
      <w:pPr>
        <w:pStyle w:val="SCCLsocLastPartyInRole"/>
        <w:rPr>
          <w:lang w:val="fr-CA"/>
        </w:rPr>
      </w:pPr>
      <w:r w:rsidRPr="00F025B8">
        <w:rPr>
          <w:lang w:val="fr-CA"/>
        </w:rPr>
        <w:t>J</w:t>
      </w:r>
      <w:r>
        <w:rPr>
          <w:lang w:val="fr-CA"/>
        </w:rPr>
        <w:t>oaquin Alfredo Cortes Rivera</w:t>
      </w:r>
      <w:r>
        <w:rPr>
          <w:rStyle w:val="SCCLsocPartyRole"/>
          <w:lang w:val="fr-CA"/>
        </w:rPr>
        <w:tab/>
        <w:t>Appelant</w:t>
      </w:r>
    </w:p>
    <w:p w:rsidR="00AF5B32" w:rsidRPr="001F730C" w:rsidRDefault="00AF5B32" w:rsidP="00AF5B32">
      <w:pPr>
        <w:pStyle w:val="SCCLsocVersus"/>
        <w:rPr>
          <w:lang w:val="fr-CA"/>
        </w:rPr>
      </w:pPr>
      <w:r w:rsidRPr="001F730C">
        <w:rPr>
          <w:lang w:val="fr-CA"/>
        </w:rPr>
        <w:t>c.</w:t>
      </w:r>
    </w:p>
    <w:p w:rsidR="00AF5B32" w:rsidRPr="001F730C" w:rsidRDefault="00AF5B32" w:rsidP="00AF5B32">
      <w:pPr>
        <w:pStyle w:val="SCCLsocLastPartyInRole"/>
        <w:rPr>
          <w:lang w:val="fr-CA"/>
        </w:rPr>
      </w:pPr>
      <w:r>
        <w:rPr>
          <w:lang w:val="fr-CA"/>
        </w:rPr>
        <w:t>Sa Majesté la Reine</w:t>
      </w:r>
      <w:r>
        <w:rPr>
          <w:rStyle w:val="SCCLsocPartyRole"/>
          <w:lang w:val="fr-CA"/>
        </w:rPr>
        <w:tab/>
        <w:t>Intimée</w:t>
      </w:r>
    </w:p>
    <w:p w:rsidR="00AF5B32" w:rsidRPr="001D666D" w:rsidRDefault="00AF5B32" w:rsidP="00AF5B32">
      <w:pPr>
        <w:pStyle w:val="SCCLsocVersus"/>
        <w:rPr>
          <w:i w:val="0"/>
          <w:lang w:val="fr-CA"/>
        </w:rPr>
      </w:pPr>
      <w:r>
        <w:rPr>
          <w:i w:val="0"/>
          <w:lang w:val="fr-CA"/>
        </w:rPr>
        <w:t>et</w:t>
      </w:r>
    </w:p>
    <w:p w:rsidR="00AF5B32" w:rsidRPr="00CF76CB" w:rsidRDefault="00AF5B32" w:rsidP="00AF5B32">
      <w:pPr>
        <w:pStyle w:val="SCCLsocLastPartyInRole"/>
        <w:rPr>
          <w:lang w:val="fr-CA"/>
        </w:rPr>
      </w:pPr>
      <w:r w:rsidRPr="00CF76CB">
        <w:rPr>
          <w:lang w:val="fr-CA"/>
        </w:rPr>
        <w:t>Criminal Lawyers’ Association of Ontario</w:t>
      </w:r>
      <w:r w:rsidRPr="00CF76CB">
        <w:rPr>
          <w:rStyle w:val="SCCLsocPartyRole"/>
          <w:lang w:val="fr-CA"/>
        </w:rPr>
        <w:tab/>
        <w:t>Intervenante</w:t>
      </w:r>
    </w:p>
    <w:p w:rsidR="00AF5B32" w:rsidRPr="003B7EA1" w:rsidRDefault="00AF5B32" w:rsidP="00AF5B32">
      <w:pPr>
        <w:spacing w:after="720"/>
        <w:jc w:val="both"/>
        <w:rPr>
          <w:lang w:val="fr-CA"/>
        </w:rPr>
      </w:pPr>
      <w:r w:rsidRPr="00BB4C92">
        <w:rPr>
          <w:b/>
          <w:lang w:val="fr-CA"/>
        </w:rPr>
        <w:t>Répertorié : </w:t>
      </w:r>
      <w:r w:rsidRPr="003B7EA1">
        <w:rPr>
          <w:b/>
          <w:lang w:val="fr-CA"/>
        </w:rPr>
        <w:t xml:space="preserve">R. </w:t>
      </w:r>
      <w:r>
        <w:rPr>
          <w:b/>
          <w:i/>
          <w:lang w:val="fr-CA"/>
        </w:rPr>
        <w:t>c</w:t>
      </w:r>
      <w:r w:rsidRPr="003B7EA1">
        <w:rPr>
          <w:b/>
          <w:i/>
          <w:lang w:val="fr-CA"/>
        </w:rPr>
        <w:t>.</w:t>
      </w:r>
      <w:r>
        <w:rPr>
          <w:b/>
          <w:lang w:val="fr-CA"/>
        </w:rPr>
        <w:t xml:space="preserve"> Cortes </w:t>
      </w:r>
      <w:r w:rsidRPr="003B7EA1">
        <w:rPr>
          <w:b/>
          <w:lang w:val="fr-CA"/>
        </w:rPr>
        <w:t>Rivera</w:t>
      </w:r>
    </w:p>
    <w:p w:rsidR="00AF5B32" w:rsidRPr="001F730C" w:rsidRDefault="00AF5B32" w:rsidP="00AF5B32">
      <w:pPr>
        <w:pStyle w:val="SCCSystemYear"/>
        <w:spacing w:after="720"/>
        <w:jc w:val="both"/>
        <w:rPr>
          <w:lang w:val="fr-CA"/>
        </w:rPr>
      </w:pPr>
      <w:r w:rsidRPr="001F730C">
        <w:rPr>
          <w:lang w:val="fr-CA"/>
        </w:rPr>
        <w:t>20</w:t>
      </w:r>
      <w:r>
        <w:rPr>
          <w:lang w:val="fr-CA"/>
        </w:rPr>
        <w:t>20 CSC 44</w:t>
      </w:r>
    </w:p>
    <w:p w:rsidR="00AF5B32" w:rsidRPr="001F730C" w:rsidRDefault="00AF5B32" w:rsidP="00AF5B32">
      <w:pPr>
        <w:spacing w:after="720"/>
        <w:jc w:val="both"/>
        <w:rPr>
          <w:lang w:val="fr-CA"/>
        </w:rPr>
      </w:pPr>
      <w:r w:rsidRPr="001F730C">
        <w:rPr>
          <w:lang w:val="fr-CA"/>
        </w:rPr>
        <w:t>N</w:t>
      </w:r>
      <w:r w:rsidRPr="001F730C">
        <w:rPr>
          <w:vertAlign w:val="superscript"/>
          <w:lang w:val="fr-CA"/>
        </w:rPr>
        <w:t>o</w:t>
      </w:r>
      <w:r>
        <w:rPr>
          <w:lang w:val="fr-CA"/>
        </w:rPr>
        <w:t xml:space="preserve"> du greffe : 39084.</w:t>
      </w:r>
    </w:p>
    <w:p w:rsidR="00AF5B32" w:rsidRPr="001F730C" w:rsidRDefault="00AF5B32" w:rsidP="00AF5B32">
      <w:pPr>
        <w:spacing w:after="720"/>
        <w:jc w:val="both"/>
        <w:rPr>
          <w:lang w:val="fr-CA"/>
        </w:rPr>
      </w:pPr>
      <w:r>
        <w:rPr>
          <w:lang w:val="fr-CA"/>
        </w:rPr>
        <w:t>2020 : 11 décembre.</w:t>
      </w:r>
    </w:p>
    <w:p w:rsidR="00AF5B32" w:rsidRPr="001F730C" w:rsidRDefault="00AF5B32" w:rsidP="00AF5B32">
      <w:pPr>
        <w:spacing w:after="720"/>
        <w:jc w:val="both"/>
        <w:rPr>
          <w:lang w:val="fr-CA"/>
        </w:rPr>
      </w:pPr>
      <w:r w:rsidRPr="003B7EA1">
        <w:rPr>
          <w:lang w:val="fr-CA"/>
        </w:rPr>
        <w:t>Présents : </w:t>
      </w:r>
      <w:r>
        <w:rPr>
          <w:lang w:val="fr-CA"/>
        </w:rPr>
        <w:t>L</w:t>
      </w:r>
      <w:r w:rsidRPr="003B7EA1">
        <w:rPr>
          <w:lang w:val="fr-CA"/>
        </w:rPr>
        <w:t xml:space="preserve">es </w:t>
      </w:r>
      <w:r>
        <w:rPr>
          <w:lang w:val="fr-CA"/>
        </w:rPr>
        <w:t xml:space="preserve">juges Abella, Karakatsanis, </w:t>
      </w:r>
      <w:r w:rsidRPr="003B7EA1">
        <w:rPr>
          <w:lang w:val="fr-CA"/>
        </w:rPr>
        <w:t>Rowe, Martin et Kasirer.</w:t>
      </w:r>
    </w:p>
    <w:p w:rsidR="00AF5B32" w:rsidRDefault="00AF5B32" w:rsidP="00AF5B32">
      <w:pPr>
        <w:pStyle w:val="SCCLowerCourtNameLowercase"/>
        <w:spacing w:after="720" w:line="240" w:lineRule="auto"/>
        <w:rPr>
          <w:lang w:val="fr-CA"/>
        </w:rPr>
      </w:pPr>
      <w:r w:rsidRPr="00EC0E55">
        <w:rPr>
          <w:lang w:val="fr-CA"/>
        </w:rPr>
        <w:t xml:space="preserve">en appel de la </w:t>
      </w:r>
      <w:r>
        <w:rPr>
          <w:lang w:val="fr-CA"/>
        </w:rPr>
        <w:t>cour d’appel de l’alberta</w:t>
      </w:r>
    </w:p>
    <w:p w:rsidR="00AF5B32" w:rsidRPr="004D7D95" w:rsidRDefault="00AF5B32" w:rsidP="00AF5B32">
      <w:pPr>
        <w:pStyle w:val="SCCNormalDoubleSpacing"/>
        <w:rPr>
          <w:lang w:val="fr-CA"/>
        </w:rPr>
      </w:pPr>
      <w:r>
        <w:rPr>
          <w:lang w:val="fr-CA"/>
        </w:rPr>
        <w:tab/>
      </w:r>
      <w:r w:rsidRPr="007A4703">
        <w:rPr>
          <w:i/>
          <w:lang w:val="fr-CA"/>
        </w:rPr>
        <w:t xml:space="preserve">Droit criminel — Preuve — Admissibilité </w:t>
      </w:r>
      <w:r w:rsidRPr="007A4703">
        <w:rPr>
          <w:i/>
          <w:iCs/>
          <w:lang w:val="fr-CA"/>
        </w:rPr>
        <w:t xml:space="preserve">—Activité sexuelle de la plaignante — Rejet par la juge du procès de la demande présentée par l’accusé en vue de contre-interroger la </w:t>
      </w:r>
      <w:r w:rsidRPr="007A4703">
        <w:rPr>
          <w:i/>
          <w:iCs/>
          <w:lang w:val="fr-CA"/>
        </w:rPr>
        <w:lastRenderedPageBreak/>
        <w:t>plaignante sur son activité sexuelle antérieure — Accusé déclaré coupable d’agression sexuelle — Conclusion de la Cour d’appel portant que la juge du procès a fait erreur en rejetant la demande — Application par les juges majoritaires de la Cour d’appel de la disposition réparatrice pour confirmer la déclaration de culpabilité — Le juge dissident aurait ordonné que le témoignage de la plaignante soit complété — Déclaration de culpabilité confirmée.</w:t>
      </w:r>
    </w:p>
    <w:p w:rsidR="00AF5B32" w:rsidRPr="004D7D95" w:rsidRDefault="00AF5B32" w:rsidP="00AF5B32">
      <w:pPr>
        <w:pStyle w:val="SCCNormalDoubleSpacing"/>
        <w:rPr>
          <w:lang w:val="fr-CA"/>
        </w:rPr>
      </w:pPr>
    </w:p>
    <w:p w:rsidR="00AF5B32" w:rsidRPr="004D7D95" w:rsidRDefault="00AF5B32" w:rsidP="00AF5B32">
      <w:pPr>
        <w:pStyle w:val="SCCNormalDoubleSpacing"/>
        <w:spacing w:line="240" w:lineRule="auto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AF5B32" w:rsidRPr="004D7D95" w:rsidRDefault="00AF5B32" w:rsidP="00AF5B32">
      <w:pPr>
        <w:pStyle w:val="SCCNormalDoubleSpacing"/>
        <w:spacing w:line="240" w:lineRule="auto"/>
        <w:ind w:left="540" w:hanging="540"/>
        <w:rPr>
          <w:lang w:val="fr-CA"/>
        </w:rPr>
      </w:pPr>
    </w:p>
    <w:p w:rsidR="00AF5B32" w:rsidRPr="004D7D95" w:rsidRDefault="00AF5B32" w:rsidP="00AF5B32">
      <w:pPr>
        <w:pStyle w:val="SCCNormalDoubleSpacing"/>
        <w:spacing w:line="240" w:lineRule="auto"/>
        <w:ind w:left="540" w:hanging="540"/>
        <w:rPr>
          <w:lang w:val="fr-CA"/>
        </w:rPr>
      </w:pPr>
      <w:r w:rsidRPr="00383EA1">
        <w:rPr>
          <w:i/>
          <w:lang w:val="fr-CA"/>
        </w:rPr>
        <w:t>Code criminel</w:t>
      </w:r>
      <w:r>
        <w:rPr>
          <w:lang w:val="fr-CA"/>
        </w:rPr>
        <w:t xml:space="preserve">, L.R.C. 1985, c. C-46, </w:t>
      </w:r>
      <w:r w:rsidRPr="00A95BB9">
        <w:rPr>
          <w:lang w:val="fr-CA"/>
        </w:rPr>
        <w:t>art. 276.1</w:t>
      </w:r>
      <w:r w:rsidR="0033004E">
        <w:rPr>
          <w:lang w:val="fr-CA"/>
        </w:rPr>
        <w:t xml:space="preserve">, </w:t>
      </w:r>
      <w:r>
        <w:rPr>
          <w:lang w:val="fr-CA"/>
        </w:rPr>
        <w:t>683(1), 686(1)b).</w:t>
      </w:r>
    </w:p>
    <w:p w:rsidR="00AF5B32" w:rsidRPr="004D7D95" w:rsidRDefault="00AF5B32" w:rsidP="00AF5B32">
      <w:pPr>
        <w:pStyle w:val="SCCNormalDoubleSpacing"/>
        <w:ind w:left="540" w:hanging="540"/>
        <w:rPr>
          <w:lang w:val="fr-CA"/>
        </w:rPr>
      </w:pPr>
    </w:p>
    <w:p w:rsidR="00AF5B32" w:rsidRPr="00057DB0" w:rsidRDefault="00AF5B32" w:rsidP="00AF5B32">
      <w:pPr>
        <w:pStyle w:val="SCCNormalDoubleSpacing"/>
        <w:rPr>
          <w:lang w:val="fr-CA"/>
        </w:rPr>
      </w:pPr>
      <w:r w:rsidRPr="003D3684">
        <w:rPr>
          <w:lang w:val="fr-CA"/>
        </w:rPr>
        <w:tab/>
      </w:r>
      <w:r w:rsidRPr="004D7D95">
        <w:rPr>
          <w:lang w:val="fr-CA"/>
        </w:rPr>
        <w:t>POURVO</w:t>
      </w:r>
      <w:r w:rsidRPr="00817D4B">
        <w:rPr>
          <w:lang w:val="fr-CA"/>
        </w:rPr>
        <w:t>I</w:t>
      </w:r>
      <w:r w:rsidRPr="004D7D95">
        <w:rPr>
          <w:lang w:val="fr-CA"/>
        </w:rPr>
        <w:t xml:space="preserve"> contre un arrêt de la </w:t>
      </w:r>
      <w:r>
        <w:rPr>
          <w:lang w:val="fr-CA"/>
        </w:rPr>
        <w:t xml:space="preserve">Cour d’appel de l’Alberta (les juges Slatter, Bielby et O’Ferrall), </w:t>
      </w:r>
      <w:r w:rsidRPr="003C4059">
        <w:rPr>
          <w:lang w:val="fr-CA"/>
        </w:rPr>
        <w:t xml:space="preserve">2020 ABCA 76, 457 C.R.R. (2d) 223, </w:t>
      </w:r>
      <w:r w:rsidRPr="0069135A">
        <w:rPr>
          <w:lang w:val="fr-CA"/>
        </w:rPr>
        <w:t xml:space="preserve">453 D.L.R. (4th) 387, </w:t>
      </w:r>
      <w:r w:rsidRPr="003C4059">
        <w:rPr>
          <w:lang w:val="fr-CA"/>
        </w:rPr>
        <w:t>[2020] A.J. No. 235 (QL), 2020 CarswellAlta 330 (WL Can.),</w:t>
      </w:r>
      <w:r>
        <w:rPr>
          <w:lang w:val="fr-CA"/>
        </w:rPr>
        <w:t xml:space="preserve"> </w:t>
      </w:r>
      <w:r w:rsidRPr="0069135A">
        <w:rPr>
          <w:lang w:val="fr-CA"/>
        </w:rPr>
        <w:t xml:space="preserve">qui a confirmé </w:t>
      </w:r>
      <w:r w:rsidR="00794BD4" w:rsidRPr="0069135A">
        <w:rPr>
          <w:lang w:val="fr-CA"/>
        </w:rPr>
        <w:t>la déclaration de culpabilité prononcée</w:t>
      </w:r>
      <w:r w:rsidR="00794BD4">
        <w:rPr>
          <w:lang w:val="fr-CA"/>
        </w:rPr>
        <w:t xml:space="preserve"> par la juge Goss, </w:t>
      </w:r>
      <w:r w:rsidR="00794BD4" w:rsidRPr="00DB442D">
        <w:rPr>
          <w:lang w:val="fr-CA"/>
        </w:rPr>
        <w:t>2017 ABQB 593, [2017] A.J. No. 1026 (QL), 2</w:t>
      </w:r>
      <w:r w:rsidR="00794BD4">
        <w:rPr>
          <w:lang w:val="fr-CA"/>
        </w:rPr>
        <w:t>017 CarswellAlta 1808 (WL Can.)</w:t>
      </w:r>
      <w:r w:rsidR="00794BD4" w:rsidRPr="0069135A">
        <w:rPr>
          <w:lang w:val="fr-CA"/>
        </w:rPr>
        <w:t xml:space="preserve">. </w:t>
      </w:r>
      <w:r w:rsidRPr="0069135A">
        <w:rPr>
          <w:lang w:val="fr-CA"/>
        </w:rPr>
        <w:t>Pourvoi rejeté.</w:t>
      </w:r>
    </w:p>
    <w:p w:rsidR="00AF5B32" w:rsidRPr="004D7D95" w:rsidRDefault="00AF5B32" w:rsidP="00AF5B32">
      <w:pPr>
        <w:pStyle w:val="SCCNormalDoubleSpacing"/>
        <w:rPr>
          <w:lang w:val="fr-CA"/>
        </w:rPr>
      </w:pPr>
    </w:p>
    <w:p w:rsidR="00AF5B32" w:rsidRPr="00B43E92" w:rsidRDefault="00AF5B32" w:rsidP="00AF5B32">
      <w:pPr>
        <w:pStyle w:val="SCCNormalDoubleSpacing"/>
        <w:rPr>
          <w:lang w:val="fr-CA"/>
        </w:rPr>
      </w:pPr>
      <w:r w:rsidRPr="007948E4">
        <w:rPr>
          <w:lang w:val="fr-CA"/>
        </w:rPr>
        <w:tab/>
      </w:r>
      <w:r w:rsidRPr="00B43E92">
        <w:rPr>
          <w:i/>
          <w:lang w:val="fr-CA"/>
        </w:rPr>
        <w:t>Deborah R. Hatch</w:t>
      </w:r>
      <w:r w:rsidRPr="00B43E92">
        <w:rPr>
          <w:lang w:val="fr-CA"/>
        </w:rPr>
        <w:t>, pour l’appelant.</w:t>
      </w:r>
    </w:p>
    <w:p w:rsidR="00AF5B32" w:rsidRPr="00B43E92" w:rsidRDefault="00AF5B32" w:rsidP="00AF5B32">
      <w:pPr>
        <w:pStyle w:val="SCCNormalDoubleSpacing"/>
        <w:rPr>
          <w:lang w:val="fr-CA"/>
        </w:rPr>
      </w:pPr>
    </w:p>
    <w:p w:rsidR="00AF5B32" w:rsidRDefault="00AF5B32" w:rsidP="00AF5B32">
      <w:pPr>
        <w:pStyle w:val="SCCNormalDoubleSpacing"/>
        <w:rPr>
          <w:rStyle w:val="SCCCounselPartyRoleChar"/>
          <w:lang w:val="fr-CA"/>
        </w:rPr>
      </w:pPr>
      <w:r w:rsidRPr="00B43E92">
        <w:rPr>
          <w:rStyle w:val="SCCCounselNameChar"/>
          <w:lang w:val="fr-CA"/>
        </w:rPr>
        <w:tab/>
      </w:r>
      <w:r w:rsidRPr="00273BE2">
        <w:rPr>
          <w:rStyle w:val="SCCCounselNameChar"/>
          <w:lang w:val="fr-CA"/>
        </w:rPr>
        <w:t>Keith A. Joyce</w:t>
      </w:r>
      <w:r w:rsidRPr="006772DB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>pour l’intimée.</w:t>
      </w:r>
    </w:p>
    <w:p w:rsidR="00AF5B32" w:rsidRDefault="00AF5B32" w:rsidP="00AF5B32">
      <w:pPr>
        <w:pStyle w:val="SCCNormalDoubleSpacing"/>
        <w:rPr>
          <w:rStyle w:val="SCCCounselPartyRoleChar"/>
          <w:lang w:val="fr-CA"/>
        </w:rPr>
      </w:pPr>
    </w:p>
    <w:p w:rsidR="00AF5B32" w:rsidRDefault="00AF5B32" w:rsidP="00AF5B32">
      <w:pPr>
        <w:pStyle w:val="SCCNormalDoubleSpacing"/>
        <w:rPr>
          <w:rStyle w:val="SCCCounselPartyRoleChar"/>
          <w:lang w:val="fr-CA"/>
        </w:rPr>
      </w:pPr>
      <w:r w:rsidRPr="006772DB">
        <w:rPr>
          <w:rStyle w:val="SCCCounselNameChar"/>
          <w:lang w:val="fr-CA"/>
        </w:rPr>
        <w:tab/>
      </w:r>
      <w:r>
        <w:rPr>
          <w:rStyle w:val="SCCCounselNameChar"/>
          <w:lang w:val="fr-CA"/>
        </w:rPr>
        <w:t>Megan Savard</w:t>
      </w:r>
      <w:r w:rsidRPr="006772DB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>pour l’intervenante.</w:t>
      </w:r>
    </w:p>
    <w:p w:rsidR="00AF5B32" w:rsidRDefault="00AF5B32" w:rsidP="00AF5B32">
      <w:pPr>
        <w:pStyle w:val="SCCNormalDoubleSpacing"/>
        <w:spacing w:before="480" w:after="480"/>
        <w:rPr>
          <w:lang w:val="fr-CA"/>
        </w:rPr>
      </w:pPr>
      <w:r>
        <w:rPr>
          <w:lang w:val="fr-CA"/>
        </w:rPr>
        <w:tab/>
      </w:r>
      <w:r w:rsidRPr="003B74F2">
        <w:rPr>
          <w:lang w:val="fr-CA"/>
        </w:rPr>
        <w:t xml:space="preserve">Version française du jugement rendu </w:t>
      </w:r>
      <w:r>
        <w:rPr>
          <w:lang w:val="fr-CA"/>
        </w:rPr>
        <w:t xml:space="preserve">oralement </w:t>
      </w:r>
      <w:r w:rsidRPr="003B74F2">
        <w:rPr>
          <w:lang w:val="fr-CA"/>
        </w:rPr>
        <w:t>par</w:t>
      </w:r>
    </w:p>
    <w:p w:rsidR="00AF5B32" w:rsidRPr="00B43E92" w:rsidRDefault="00AF5B32" w:rsidP="00AF5B32">
      <w:pPr>
        <w:tabs>
          <w:tab w:val="left" w:pos="1170"/>
        </w:tabs>
        <w:spacing w:line="480" w:lineRule="auto"/>
        <w:jc w:val="both"/>
        <w:rPr>
          <w:szCs w:val="27"/>
          <w:lang w:val="fr-CA" w:eastAsia="en-US"/>
        </w:rPr>
      </w:pPr>
      <w:r>
        <w:rPr>
          <w:smallCaps/>
          <w:szCs w:val="27"/>
          <w:lang w:val="fr-CA" w:eastAsia="en-US"/>
        </w:rPr>
        <w:lastRenderedPageBreak/>
        <w:t>[1]</w:t>
      </w:r>
      <w:r>
        <w:rPr>
          <w:smallCaps/>
          <w:szCs w:val="27"/>
          <w:lang w:val="fr-CA" w:eastAsia="en-US"/>
        </w:rPr>
        <w:tab/>
      </w:r>
      <w:r w:rsidRPr="00B43E92">
        <w:rPr>
          <w:smallCaps/>
          <w:szCs w:val="27"/>
          <w:lang w:val="fr-CA" w:eastAsia="en-US"/>
        </w:rPr>
        <w:t>La Cour</w:t>
      </w:r>
      <w:r w:rsidRPr="00B43E92">
        <w:rPr>
          <w:szCs w:val="27"/>
          <w:lang w:val="fr-CA" w:eastAsia="en-US"/>
        </w:rPr>
        <w:t> — Nous sommes d’avis de rejeter l’appel. Les parties ne contestent pas que la juge du procès a commis une erreur en rejetant la demande présentée par l’accusé en vertu de l’art.</w:t>
      </w:r>
      <w:r>
        <w:rPr>
          <w:szCs w:val="27"/>
          <w:lang w:val="fr-CA" w:eastAsia="en-US"/>
        </w:rPr>
        <w:t> </w:t>
      </w:r>
      <w:r w:rsidRPr="00B43E92">
        <w:rPr>
          <w:szCs w:val="27"/>
          <w:lang w:val="fr-CA" w:eastAsia="en-US"/>
        </w:rPr>
        <w:t>276.1 du </w:t>
      </w:r>
      <w:r w:rsidRPr="00B43E92">
        <w:rPr>
          <w:i/>
          <w:iCs/>
          <w:szCs w:val="27"/>
          <w:lang w:val="fr-CA" w:eastAsia="en-US"/>
        </w:rPr>
        <w:t>Code criminel</w:t>
      </w:r>
      <w:r w:rsidRPr="00B43E92">
        <w:rPr>
          <w:szCs w:val="27"/>
          <w:lang w:val="fr-CA" w:eastAsia="en-US"/>
        </w:rPr>
        <w:t>, L.R.C. 1985, c. C-46, en vue de contre</w:t>
      </w:r>
      <w:r w:rsidRPr="00B43E92">
        <w:rPr>
          <w:szCs w:val="27"/>
          <w:lang w:val="fr-CA" w:eastAsia="en-US"/>
        </w:rPr>
        <w:noBreakHyphen/>
        <w:t>interroger la plaignante. Selon nous, cette erreur n’a pas entraîné d’erreur judiciaire, et elle relève du champ d’application de la disposition réparatrice prévue à l’al.</w:t>
      </w:r>
      <w:r>
        <w:rPr>
          <w:szCs w:val="27"/>
          <w:lang w:val="fr-CA" w:eastAsia="en-US"/>
        </w:rPr>
        <w:t> </w:t>
      </w:r>
      <w:r w:rsidRPr="00B43E92">
        <w:rPr>
          <w:szCs w:val="27"/>
          <w:lang w:val="fr-CA" w:eastAsia="en-US"/>
        </w:rPr>
        <w:t>686(1)b), étant donné que la preuve était par ailleurs accablante et qu’une déclaration de culpabilité était inévitable.</w:t>
      </w:r>
    </w:p>
    <w:p w:rsidR="00AF5B32" w:rsidRPr="00B43E92" w:rsidRDefault="00AF5B32" w:rsidP="00AF5B32">
      <w:pPr>
        <w:spacing w:line="480" w:lineRule="auto"/>
        <w:jc w:val="both"/>
        <w:rPr>
          <w:szCs w:val="27"/>
          <w:lang w:val="fr-CA" w:eastAsia="en-US"/>
        </w:rPr>
      </w:pPr>
      <w:r w:rsidRPr="00B43E92">
        <w:rPr>
          <w:szCs w:val="27"/>
          <w:lang w:val="fr-CA" w:eastAsia="en-US"/>
        </w:rPr>
        <w:t> </w:t>
      </w:r>
    </w:p>
    <w:p w:rsidR="00AF5B32" w:rsidRPr="00B43E92" w:rsidRDefault="00AF5B32" w:rsidP="00AF5B32">
      <w:pPr>
        <w:tabs>
          <w:tab w:val="left" w:pos="1170"/>
        </w:tabs>
        <w:spacing w:line="480" w:lineRule="auto"/>
        <w:jc w:val="both"/>
        <w:rPr>
          <w:szCs w:val="27"/>
          <w:lang w:val="fr-CA" w:eastAsia="en-US"/>
        </w:rPr>
      </w:pPr>
      <w:r>
        <w:rPr>
          <w:szCs w:val="27"/>
          <w:lang w:val="fr-CA" w:eastAsia="en-US"/>
        </w:rPr>
        <w:t>[2]</w:t>
      </w:r>
      <w:r>
        <w:rPr>
          <w:szCs w:val="27"/>
          <w:lang w:val="fr-CA" w:eastAsia="en-US"/>
        </w:rPr>
        <w:tab/>
      </w:r>
      <w:r w:rsidRPr="00B43E92">
        <w:rPr>
          <w:szCs w:val="27"/>
          <w:lang w:val="fr-CA" w:eastAsia="en-US"/>
        </w:rPr>
        <w:t>Nous ne souscrivons pas à l’application qu’a faite le juge d’appel Slatter du par.</w:t>
      </w:r>
      <w:r>
        <w:rPr>
          <w:szCs w:val="27"/>
          <w:lang w:val="fr-CA" w:eastAsia="en-US"/>
        </w:rPr>
        <w:t> </w:t>
      </w:r>
      <w:r w:rsidRPr="00B43E92">
        <w:rPr>
          <w:szCs w:val="27"/>
          <w:lang w:val="fr-CA" w:eastAsia="en-US"/>
        </w:rPr>
        <w:t>683(1). Ni l’une ni l’autre des parties n’ont sollicité cette réparation devant la Cour d’appel et, devant notre Cour, tant les deux parties que l’intervenante nous ont exhortés à rejeter l’approche de ce dernier.</w:t>
      </w:r>
    </w:p>
    <w:p w:rsidR="00AF5B32" w:rsidRDefault="00AF5B32" w:rsidP="00AF5B32">
      <w:pPr>
        <w:pStyle w:val="SCCNormalDoubleSpacing"/>
        <w:rPr>
          <w:lang w:val="fr-CA"/>
        </w:rPr>
      </w:pPr>
    </w:p>
    <w:p w:rsidR="00AF5B32" w:rsidRDefault="00AF5B32" w:rsidP="00AF5B32">
      <w:pPr>
        <w:pStyle w:val="SCCNormalDoubleSpacing"/>
        <w:rPr>
          <w:i/>
          <w:lang w:val="fr-CA"/>
        </w:rPr>
      </w:pPr>
      <w:r>
        <w:rPr>
          <w:lang w:val="fr-CA"/>
        </w:rPr>
        <w:tab/>
      </w:r>
      <w:r w:rsidRPr="002A2088">
        <w:rPr>
          <w:i/>
          <w:lang w:val="fr-CA"/>
        </w:rPr>
        <w:t>Jugement</w:t>
      </w:r>
      <w:r w:rsidRPr="004762A1">
        <w:rPr>
          <w:i/>
          <w:lang w:val="fr-CA"/>
        </w:rPr>
        <w:t xml:space="preserve"> en conséquence.</w:t>
      </w:r>
    </w:p>
    <w:p w:rsidR="00AF5B32" w:rsidRPr="004762A1" w:rsidRDefault="00AF5B32" w:rsidP="00AF5B32">
      <w:pPr>
        <w:pStyle w:val="SCCNormalDoubleSpacing"/>
        <w:rPr>
          <w:i/>
          <w:lang w:val="fr-CA"/>
        </w:rPr>
      </w:pPr>
    </w:p>
    <w:p w:rsidR="00AF5B32" w:rsidRPr="00AA12B1" w:rsidRDefault="00AF5B32" w:rsidP="00AF5B32">
      <w:pPr>
        <w:pStyle w:val="SCCNormalDoubleSpacing"/>
        <w:rPr>
          <w:i/>
          <w:lang w:val="fr-CA"/>
        </w:rPr>
      </w:pPr>
      <w:r>
        <w:rPr>
          <w:lang w:val="fr-CA"/>
        </w:rPr>
        <w:tab/>
      </w:r>
      <w:r w:rsidRPr="00A0589E">
        <w:rPr>
          <w:i/>
          <w:lang w:val="fr-CA"/>
        </w:rPr>
        <w:t>Procureurs</w:t>
      </w:r>
      <w:r>
        <w:rPr>
          <w:i/>
          <w:lang w:val="fr-CA"/>
        </w:rPr>
        <w:t xml:space="preserve"> de l’appelant : </w:t>
      </w:r>
      <w:r w:rsidRPr="00B77D30">
        <w:rPr>
          <w:i/>
          <w:lang w:val="fr-CA"/>
        </w:rPr>
        <w:t xml:space="preserve">Deborah </w:t>
      </w:r>
      <w:r w:rsidRPr="006E6F93">
        <w:rPr>
          <w:i/>
          <w:lang w:val="fr-CA"/>
        </w:rPr>
        <w:t>Hatch Law Office, Edmonton.</w:t>
      </w:r>
    </w:p>
    <w:p w:rsidR="00AF5B32" w:rsidRPr="001F730C" w:rsidRDefault="00AF5B32" w:rsidP="00AF5B32">
      <w:pPr>
        <w:pStyle w:val="SCCLawFirm"/>
        <w:rPr>
          <w:lang w:val="fr-CA"/>
        </w:rPr>
      </w:pPr>
    </w:p>
    <w:p w:rsidR="00AF5B32" w:rsidRDefault="00AF5B32" w:rsidP="00AF5B32">
      <w:pPr>
        <w:pStyle w:val="SCCLawFirm"/>
        <w:rPr>
          <w:lang w:val="fr-CA"/>
        </w:rPr>
      </w:pPr>
      <w:r>
        <w:rPr>
          <w:lang w:val="fr-CA"/>
        </w:rPr>
        <w:tab/>
        <w:t>Procureur de l’intimée :</w:t>
      </w:r>
      <w:r w:rsidRPr="00CB66FB">
        <w:rPr>
          <w:i w:val="0"/>
          <w:lang w:val="fr-CA"/>
        </w:rPr>
        <w:t xml:space="preserve"> </w:t>
      </w:r>
      <w:r w:rsidRPr="00CB66FB">
        <w:rPr>
          <w:lang w:val="fr-CA"/>
        </w:rPr>
        <w:t>Alberta Crown Prosecution Service, Appeals, Education &amp; Prosecution Policy Branch</w:t>
      </w:r>
      <w:r>
        <w:rPr>
          <w:lang w:val="fr-CA"/>
        </w:rPr>
        <w:t>, Edmonton.</w:t>
      </w:r>
    </w:p>
    <w:p w:rsidR="00AF5B32" w:rsidRDefault="00AF5B32" w:rsidP="00AF5B32">
      <w:pPr>
        <w:pStyle w:val="SCCNormalDoubleSpacing"/>
        <w:rPr>
          <w:lang w:val="fr-CA"/>
        </w:rPr>
      </w:pPr>
    </w:p>
    <w:p w:rsidR="00AF5B32" w:rsidRPr="00CB4026" w:rsidRDefault="00AF5B32" w:rsidP="00AF5B32">
      <w:pPr>
        <w:pStyle w:val="SCCLawFirm"/>
        <w:rPr>
          <w:lang w:val="fr-CA"/>
        </w:rPr>
      </w:pPr>
      <w:r>
        <w:rPr>
          <w:lang w:val="fr-CA"/>
        </w:rPr>
        <w:tab/>
        <w:t xml:space="preserve">Procureurs de </w:t>
      </w:r>
      <w:r w:rsidRPr="009178ED">
        <w:rPr>
          <w:lang w:val="fr-CA"/>
        </w:rPr>
        <w:t>l’intervenante : Addario Law Group</w:t>
      </w:r>
      <w:r w:rsidRPr="00C83146">
        <w:rPr>
          <w:lang w:val="fr-CA"/>
        </w:rPr>
        <w:t>, Toronto.</w:t>
      </w:r>
    </w:p>
    <w:p w:rsidR="00C22905" w:rsidRPr="003D06A0" w:rsidRDefault="00C22905" w:rsidP="00AF5B32">
      <w:pPr>
        <w:jc w:val="both"/>
        <w:rPr>
          <w:lang w:val="fr-CA"/>
        </w:rPr>
      </w:pPr>
    </w:p>
    <w:sectPr w:rsidR="00C22905" w:rsidRPr="003D06A0" w:rsidSect="00662CFD">
      <w:pgSz w:w="12240" w:h="15840"/>
      <w:pgMar w:top="1440" w:right="1440" w:bottom="1440" w:left="144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C2" w:rsidRDefault="00AC66C2">
      <w:r>
        <w:separator/>
      </w:r>
    </w:p>
  </w:endnote>
  <w:endnote w:type="continuationSeparator" w:id="0">
    <w:p w:rsidR="00AC66C2" w:rsidRDefault="00A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C2" w:rsidRDefault="00AC66C2">
      <w:r>
        <w:separator/>
      </w:r>
    </w:p>
  </w:footnote>
  <w:footnote w:type="continuationSeparator" w:id="0">
    <w:p w:rsidR="00AC66C2" w:rsidRDefault="00AC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6467"/>
    <w:rsid w:val="00040D1B"/>
    <w:rsid w:val="00041BDD"/>
    <w:rsid w:val="0005404F"/>
    <w:rsid w:val="000578A3"/>
    <w:rsid w:val="000648CC"/>
    <w:rsid w:val="00076E46"/>
    <w:rsid w:val="00094FED"/>
    <w:rsid w:val="000A5797"/>
    <w:rsid w:val="000B5CFA"/>
    <w:rsid w:val="000B69B5"/>
    <w:rsid w:val="000C3FCE"/>
    <w:rsid w:val="000C59B8"/>
    <w:rsid w:val="000C6AF0"/>
    <w:rsid w:val="000C78C2"/>
    <w:rsid w:val="000F0995"/>
    <w:rsid w:val="000F2FF1"/>
    <w:rsid w:val="00102017"/>
    <w:rsid w:val="00104F33"/>
    <w:rsid w:val="00106D75"/>
    <w:rsid w:val="00111905"/>
    <w:rsid w:val="00111DE2"/>
    <w:rsid w:val="0011492A"/>
    <w:rsid w:val="001160DE"/>
    <w:rsid w:val="00116B38"/>
    <w:rsid w:val="00134B20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004E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D06A0"/>
    <w:rsid w:val="003D405B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3D05"/>
    <w:rsid w:val="00415417"/>
    <w:rsid w:val="00422EA0"/>
    <w:rsid w:val="00424FE1"/>
    <w:rsid w:val="00426659"/>
    <w:rsid w:val="00426D16"/>
    <w:rsid w:val="00450352"/>
    <w:rsid w:val="00454BDB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5125A8"/>
    <w:rsid w:val="00516DED"/>
    <w:rsid w:val="00521AE8"/>
    <w:rsid w:val="00524449"/>
    <w:rsid w:val="00527180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966EF"/>
    <w:rsid w:val="005A4F85"/>
    <w:rsid w:val="005A6079"/>
    <w:rsid w:val="005C0E07"/>
    <w:rsid w:val="005C7840"/>
    <w:rsid w:val="005E4698"/>
    <w:rsid w:val="006003EE"/>
    <w:rsid w:val="00610539"/>
    <w:rsid w:val="00613969"/>
    <w:rsid w:val="0061523C"/>
    <w:rsid w:val="00617208"/>
    <w:rsid w:val="00625C35"/>
    <w:rsid w:val="00626A7D"/>
    <w:rsid w:val="0062787A"/>
    <w:rsid w:val="00630D1E"/>
    <w:rsid w:val="00635521"/>
    <w:rsid w:val="006468AB"/>
    <w:rsid w:val="00656313"/>
    <w:rsid w:val="006565F4"/>
    <w:rsid w:val="0066108F"/>
    <w:rsid w:val="00662CFD"/>
    <w:rsid w:val="006763FD"/>
    <w:rsid w:val="00684EEA"/>
    <w:rsid w:val="006908E8"/>
    <w:rsid w:val="0069689B"/>
    <w:rsid w:val="006A1551"/>
    <w:rsid w:val="006A48DB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94BD4"/>
    <w:rsid w:val="00796207"/>
    <w:rsid w:val="007A05F6"/>
    <w:rsid w:val="007B3D74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7190"/>
    <w:rsid w:val="00820EE5"/>
    <w:rsid w:val="008217C7"/>
    <w:rsid w:val="00823A9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09EC"/>
    <w:rsid w:val="00872819"/>
    <w:rsid w:val="00874914"/>
    <w:rsid w:val="0088740C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2B55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87076"/>
    <w:rsid w:val="00A9085B"/>
    <w:rsid w:val="00AB670D"/>
    <w:rsid w:val="00AC66C2"/>
    <w:rsid w:val="00AC6FA4"/>
    <w:rsid w:val="00AD2826"/>
    <w:rsid w:val="00AD342F"/>
    <w:rsid w:val="00AE25FE"/>
    <w:rsid w:val="00AE4535"/>
    <w:rsid w:val="00AF03C5"/>
    <w:rsid w:val="00AF0B26"/>
    <w:rsid w:val="00AF5B32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462F9"/>
    <w:rsid w:val="00B50C81"/>
    <w:rsid w:val="00B557F8"/>
    <w:rsid w:val="00B56AAF"/>
    <w:rsid w:val="00B67199"/>
    <w:rsid w:val="00B815FC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3B41"/>
    <w:rsid w:val="00CB5B04"/>
    <w:rsid w:val="00CC34BD"/>
    <w:rsid w:val="00CE161A"/>
    <w:rsid w:val="00CE3171"/>
    <w:rsid w:val="00CE4281"/>
    <w:rsid w:val="00CF1601"/>
    <w:rsid w:val="00D0172F"/>
    <w:rsid w:val="00D068A7"/>
    <w:rsid w:val="00D173CE"/>
    <w:rsid w:val="00D17476"/>
    <w:rsid w:val="00D22128"/>
    <w:rsid w:val="00D250D6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5DA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1235C"/>
    <w:rsid w:val="00F23BD4"/>
    <w:rsid w:val="00F309A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46D9"/>
    <w:rsid w:val="00F84DF4"/>
    <w:rsid w:val="00F85C97"/>
    <w:rsid w:val="00F93315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3D06A0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3D06A0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D06A0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06EB-D9CB-4392-B687-F075689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2022-06-27T19:49:00Z</dcterms:created>
  <dcterms:modified xsi:type="dcterms:W3CDTF">2024-01-11T16:05:00Z</dcterms:modified>
</cp:coreProperties>
</file>