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7"/>
        <w:gridCol w:w="1204"/>
        <w:gridCol w:w="3141"/>
        <w:gridCol w:w="18"/>
      </w:tblGrid>
      <w:tr w:rsidR="00F8086E" w:rsidTr="008E32ED">
        <w:trPr>
          <w:trHeight w:val="1786"/>
        </w:trPr>
        <w:tc>
          <w:tcPr>
            <w:tcW w:w="5000" w:type="pct"/>
            <w:gridSpan w:val="4"/>
          </w:tcPr>
          <w:p w:rsidR="00F8086E" w:rsidRPr="003B0AE3" w:rsidRDefault="00F8086E" w:rsidP="008E32ED">
            <w:pPr>
              <w:jc w:val="center"/>
              <w:rPr>
                <w:lang w:val="fr-CA"/>
              </w:rPr>
            </w:pPr>
            <w:r w:rsidRPr="003B0AE3">
              <w:rPr>
                <w:rFonts w:eastAsia="Calibri"/>
                <w:szCs w:val="24"/>
                <w:lang w:val="fr-CA" w:eastAsia="en-US"/>
              </w:rPr>
              <w:object w:dxaOrig="136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64.8pt" o:ole="">
                  <v:imagedata r:id="rId8" o:title=""/>
                </v:shape>
                <o:OLEObject Type="Embed" ProgID="Presentations.Drawing.15" ShapeID="_x0000_i1025" DrawAspect="Content" ObjectID="_1766495520" r:id="rId9"/>
              </w:object>
            </w:r>
          </w:p>
          <w:p w:rsidR="00F8086E" w:rsidRPr="003B0AE3" w:rsidRDefault="00F8086E" w:rsidP="008E32ED">
            <w:pPr>
              <w:spacing w:before="120" w:after="100" w:afterAutospacing="1"/>
              <w:jc w:val="center"/>
              <w:rPr>
                <w:rFonts w:eastAsia="Calibri"/>
                <w:lang w:val="fr-CA"/>
              </w:rPr>
            </w:pPr>
            <w:r w:rsidRPr="003B0AE3">
              <w:rPr>
                <w:rFonts w:eastAsia="Calibri"/>
                <w:b/>
                <w:szCs w:val="24"/>
                <w:lang w:val="fr-CA" w:eastAsia="en-US"/>
              </w:rPr>
              <w:t>COUR SUPRÊME DU CANADA</w:t>
            </w:r>
          </w:p>
        </w:tc>
      </w:tr>
      <w:tr w:rsidR="00F8086E" w:rsidRPr="003B0AE3" w:rsidTr="008E32ED">
        <w:trPr>
          <w:gridAfter w:val="1"/>
          <w:wAfter w:w="11" w:type="pct"/>
        </w:trPr>
        <w:tc>
          <w:tcPr>
            <w:tcW w:w="2365" w:type="pct"/>
            <w:tcMar>
              <w:top w:w="284" w:type="dxa"/>
            </w:tcMar>
          </w:tcPr>
          <w:p w:rsidR="00F8086E" w:rsidRPr="002A668D" w:rsidRDefault="00F8086E" w:rsidP="008E32ED">
            <w:pPr>
              <w:spacing w:before="100" w:beforeAutospacing="1"/>
              <w:rPr>
                <w:rFonts w:eastAsia="Calibri"/>
                <w:lang w:val="en-US"/>
              </w:rPr>
            </w:pPr>
            <w:r w:rsidRPr="002A668D">
              <w:rPr>
                <w:b/>
                <w:smallCaps/>
                <w:lang w:val="en-US"/>
              </w:rPr>
              <w:t>Référence :</w:t>
            </w:r>
            <w:r w:rsidRPr="002A668D">
              <w:rPr>
                <w:lang w:val="en-US"/>
              </w:rPr>
              <w:t xml:space="preserve"> Armstrong </w:t>
            </w:r>
            <w:r w:rsidRPr="002A668D">
              <w:rPr>
                <w:i/>
                <w:lang w:val="en-US"/>
              </w:rPr>
              <w:t>c.</w:t>
            </w:r>
            <w:r w:rsidRPr="002A668D">
              <w:rPr>
                <w:lang w:val="en-US"/>
              </w:rPr>
              <w:t xml:space="preserve"> Ward, 2021 CSC 1</w:t>
            </w:r>
            <w:r>
              <w:rPr>
                <w:lang w:val="en-US"/>
              </w:rPr>
              <w:t>, [2021] 1 R.C.S. 3</w:t>
            </w:r>
          </w:p>
        </w:tc>
        <w:tc>
          <w:tcPr>
            <w:tcW w:w="727" w:type="pct"/>
          </w:tcPr>
          <w:p w:rsidR="00F8086E" w:rsidRPr="002A668D" w:rsidRDefault="00F8086E" w:rsidP="008E32ED">
            <w:pPr>
              <w:rPr>
                <w:b/>
                <w:smallCaps/>
                <w:lang w:val="en-US"/>
              </w:rPr>
            </w:pPr>
          </w:p>
        </w:tc>
        <w:tc>
          <w:tcPr>
            <w:tcW w:w="1897" w:type="pct"/>
            <w:tcMar>
              <w:top w:w="284" w:type="dxa"/>
            </w:tcMar>
          </w:tcPr>
          <w:p w:rsidR="00F8086E" w:rsidRPr="003B0AE3" w:rsidRDefault="00F8086E" w:rsidP="008E32ED">
            <w:pPr>
              <w:rPr>
                <w:lang w:val="fr-CA"/>
              </w:rPr>
            </w:pPr>
            <w:r w:rsidRPr="003B0AE3">
              <w:rPr>
                <w:b/>
                <w:smallCaps/>
                <w:lang w:val="fr-CA"/>
              </w:rPr>
              <w:t>Appel entendu :</w:t>
            </w:r>
            <w:r>
              <w:rPr>
                <w:b/>
                <w:smallCaps/>
                <w:lang w:val="fr-CA"/>
              </w:rPr>
              <w:t xml:space="preserve"> </w:t>
            </w:r>
            <w:r w:rsidRPr="003B0AE3">
              <w:rPr>
                <w:lang w:val="fr-CA"/>
              </w:rPr>
              <w:t xml:space="preserve">18 janvier 2021 </w:t>
            </w:r>
          </w:p>
          <w:p w:rsidR="00F8086E" w:rsidRPr="003B0AE3" w:rsidRDefault="00F8086E" w:rsidP="008E32ED">
            <w:pPr>
              <w:rPr>
                <w:b/>
                <w:smallCaps/>
                <w:lang w:val="fr-CA"/>
              </w:rPr>
            </w:pPr>
            <w:r w:rsidRPr="003B0AE3">
              <w:rPr>
                <w:b/>
                <w:smallCaps/>
                <w:lang w:val="fr-CA"/>
              </w:rPr>
              <w:t xml:space="preserve">Jugement rendu : </w:t>
            </w:r>
            <w:r w:rsidRPr="003B0AE3">
              <w:rPr>
                <w:lang w:val="fr-CA"/>
              </w:rPr>
              <w:t>18 janvier 2021</w:t>
            </w:r>
          </w:p>
          <w:p w:rsidR="00F8086E" w:rsidRPr="003B0AE3" w:rsidRDefault="00F8086E" w:rsidP="008E32ED">
            <w:pPr>
              <w:rPr>
                <w:rFonts w:eastAsia="Calibri"/>
                <w:lang w:val="fr-CA"/>
              </w:rPr>
            </w:pPr>
            <w:r w:rsidRPr="003B0AE3">
              <w:rPr>
                <w:b/>
                <w:smallCaps/>
                <w:lang w:val="fr-CA"/>
              </w:rPr>
              <w:t>Dossier :</w:t>
            </w:r>
            <w:r w:rsidRPr="003B0AE3">
              <w:rPr>
                <w:lang w:val="fr-CA"/>
              </w:rPr>
              <w:t xml:space="preserve"> 39049</w:t>
            </w:r>
          </w:p>
        </w:tc>
      </w:tr>
      <w:tr w:rsidR="00F8086E" w:rsidRPr="003B0AE3" w:rsidTr="008E32ED">
        <w:tc>
          <w:tcPr>
            <w:tcW w:w="5000" w:type="pct"/>
            <w:gridSpan w:val="4"/>
          </w:tcPr>
          <w:p w:rsidR="00F8086E" w:rsidRPr="002A668D" w:rsidRDefault="00F8086E" w:rsidP="008E32ED">
            <w:pPr>
              <w:rPr>
                <w:rFonts w:eastAsiaTheme="minorHAnsi" w:cstheme="minorBidi"/>
                <w:b/>
                <w:smallCaps/>
                <w:szCs w:val="24"/>
                <w:lang w:val="en-US" w:eastAsia="en-US"/>
              </w:rPr>
            </w:pPr>
            <w:r w:rsidRPr="002A668D">
              <w:rPr>
                <w:rFonts w:eastAsiaTheme="minorHAnsi" w:cstheme="minorBidi"/>
                <w:b/>
                <w:smallCaps/>
                <w:szCs w:val="24"/>
                <w:lang w:val="en-US" w:eastAsia="en-US"/>
              </w:rPr>
              <w:t>Entre :</w:t>
            </w:r>
          </w:p>
          <w:p w:rsidR="00F8086E" w:rsidRPr="002A668D" w:rsidRDefault="00F8086E" w:rsidP="008E32ED">
            <w:pPr>
              <w:rPr>
                <w:rFonts w:eastAsiaTheme="minorHAnsi" w:cstheme="minorBidi"/>
                <w:smallCaps/>
                <w:szCs w:val="24"/>
                <w:lang w:val="en-US" w:eastAsia="en-US"/>
              </w:rPr>
            </w:pPr>
          </w:p>
          <w:p w:rsidR="00F8086E" w:rsidRPr="002A668D" w:rsidRDefault="00F8086E" w:rsidP="008E32ED">
            <w:pPr>
              <w:jc w:val="center"/>
              <w:rPr>
                <w:rFonts w:eastAsiaTheme="minorHAnsi" w:cstheme="minorBidi"/>
                <w:b/>
                <w:szCs w:val="24"/>
                <w:lang w:val="en-US" w:eastAsia="en-US"/>
              </w:rPr>
            </w:pPr>
            <w:r w:rsidRPr="002A668D">
              <w:rPr>
                <w:rFonts w:eastAsiaTheme="minorHAnsi" w:cstheme="minorBidi"/>
                <w:b/>
                <w:szCs w:val="24"/>
                <w:lang w:val="en-US" w:eastAsia="en-US"/>
              </w:rPr>
              <w:t>Karen Armstrong</w:t>
            </w:r>
          </w:p>
          <w:p w:rsidR="00F8086E" w:rsidRPr="002A668D" w:rsidRDefault="00F8086E" w:rsidP="008E32ED">
            <w:pPr>
              <w:jc w:val="center"/>
              <w:rPr>
                <w:rFonts w:eastAsiaTheme="minorHAnsi" w:cstheme="minorBidi"/>
                <w:szCs w:val="24"/>
                <w:lang w:val="en-US" w:eastAsia="en-US"/>
              </w:rPr>
            </w:pPr>
            <w:r w:rsidRPr="002A668D">
              <w:rPr>
                <w:rFonts w:eastAsiaTheme="minorHAnsi" w:cstheme="minorBidi"/>
                <w:szCs w:val="24"/>
                <w:lang w:val="en-US" w:eastAsia="en-US"/>
              </w:rPr>
              <w:t>Appelante</w:t>
            </w:r>
          </w:p>
          <w:p w:rsidR="00F8086E" w:rsidRPr="002A668D" w:rsidRDefault="00F8086E" w:rsidP="008E32ED">
            <w:pPr>
              <w:jc w:val="center"/>
              <w:rPr>
                <w:rFonts w:eastAsiaTheme="minorHAnsi" w:cstheme="minorBidi"/>
                <w:szCs w:val="24"/>
                <w:lang w:val="en-US" w:eastAsia="en-US"/>
              </w:rPr>
            </w:pPr>
          </w:p>
          <w:p w:rsidR="00F8086E" w:rsidRPr="002A668D" w:rsidRDefault="00F8086E" w:rsidP="008E32ED">
            <w:pPr>
              <w:jc w:val="center"/>
              <w:rPr>
                <w:rFonts w:eastAsiaTheme="minorHAnsi" w:cstheme="minorBidi"/>
                <w:szCs w:val="24"/>
                <w:lang w:val="en-US" w:eastAsia="en-US"/>
              </w:rPr>
            </w:pPr>
            <w:r w:rsidRPr="002A668D">
              <w:rPr>
                <w:rFonts w:eastAsiaTheme="minorHAnsi" w:cstheme="minorBidi"/>
                <w:szCs w:val="24"/>
                <w:lang w:val="en-US" w:eastAsia="en-US"/>
              </w:rPr>
              <w:t>et</w:t>
            </w:r>
          </w:p>
          <w:p w:rsidR="00F8086E" w:rsidRPr="002A668D" w:rsidRDefault="00F8086E" w:rsidP="008E32ED">
            <w:pPr>
              <w:jc w:val="center"/>
              <w:rPr>
                <w:rFonts w:eastAsiaTheme="minorHAnsi" w:cstheme="minorBidi"/>
                <w:szCs w:val="24"/>
                <w:lang w:val="en-US" w:eastAsia="en-US"/>
              </w:rPr>
            </w:pPr>
          </w:p>
          <w:p w:rsidR="00F8086E" w:rsidRPr="002A668D" w:rsidRDefault="00F8086E" w:rsidP="008E32ED">
            <w:pPr>
              <w:jc w:val="center"/>
              <w:rPr>
                <w:rFonts w:eastAsiaTheme="minorHAnsi" w:cstheme="minorBidi"/>
                <w:b/>
                <w:szCs w:val="24"/>
                <w:lang w:val="en-US" w:eastAsia="en-US"/>
              </w:rPr>
            </w:pPr>
            <w:r w:rsidRPr="002A668D">
              <w:rPr>
                <w:rFonts w:eastAsiaTheme="minorHAnsi" w:cstheme="minorBidi"/>
                <w:b/>
                <w:szCs w:val="24"/>
                <w:lang w:val="en-US" w:eastAsia="en-US"/>
              </w:rPr>
              <w:t>Colin Ward</w:t>
            </w:r>
          </w:p>
          <w:p w:rsidR="00F8086E" w:rsidRPr="002A668D" w:rsidRDefault="00F8086E" w:rsidP="008E32ED">
            <w:pPr>
              <w:jc w:val="center"/>
              <w:rPr>
                <w:rFonts w:eastAsiaTheme="minorHAnsi" w:cstheme="minorBidi"/>
                <w:szCs w:val="24"/>
                <w:lang w:val="en-US" w:eastAsia="en-US"/>
              </w:rPr>
            </w:pPr>
            <w:r w:rsidRPr="002A668D">
              <w:rPr>
                <w:rFonts w:eastAsiaTheme="minorHAnsi" w:cstheme="minorBidi"/>
                <w:szCs w:val="24"/>
                <w:lang w:val="en-US" w:eastAsia="en-US"/>
              </w:rPr>
              <w:t>Intimé</w:t>
            </w:r>
          </w:p>
          <w:p w:rsidR="00F8086E" w:rsidRPr="002A668D" w:rsidRDefault="00F8086E" w:rsidP="008E32ED">
            <w:pPr>
              <w:jc w:val="center"/>
              <w:rPr>
                <w:rFonts w:eastAsiaTheme="minorHAnsi" w:cstheme="minorBidi"/>
                <w:szCs w:val="24"/>
                <w:lang w:val="en-US" w:eastAsia="en-US"/>
              </w:rPr>
            </w:pPr>
          </w:p>
          <w:p w:rsidR="00F8086E" w:rsidRPr="002A668D" w:rsidRDefault="00F8086E" w:rsidP="008E32ED">
            <w:pPr>
              <w:jc w:val="center"/>
              <w:rPr>
                <w:rFonts w:eastAsiaTheme="minorHAnsi" w:cstheme="minorBidi"/>
                <w:szCs w:val="24"/>
                <w:lang w:val="en-US" w:eastAsia="en-US"/>
              </w:rPr>
            </w:pPr>
            <w:r w:rsidRPr="002A668D">
              <w:rPr>
                <w:rFonts w:eastAsiaTheme="minorHAnsi" w:cstheme="minorBidi"/>
                <w:szCs w:val="24"/>
                <w:lang w:val="en-US" w:eastAsia="en-US"/>
              </w:rPr>
              <w:t>- et -</w:t>
            </w:r>
          </w:p>
          <w:p w:rsidR="00F8086E" w:rsidRPr="002A668D" w:rsidRDefault="00F8086E" w:rsidP="008E32ED">
            <w:pPr>
              <w:jc w:val="center"/>
              <w:rPr>
                <w:rFonts w:eastAsiaTheme="minorHAnsi" w:cstheme="minorBidi"/>
                <w:szCs w:val="24"/>
                <w:lang w:val="en-US" w:eastAsia="en-US"/>
              </w:rPr>
            </w:pPr>
          </w:p>
          <w:p w:rsidR="00F8086E" w:rsidRPr="002A668D" w:rsidRDefault="00F8086E" w:rsidP="008E32ED">
            <w:pPr>
              <w:jc w:val="center"/>
              <w:rPr>
                <w:rFonts w:eastAsiaTheme="minorHAnsi" w:cstheme="minorBidi"/>
                <w:b/>
                <w:szCs w:val="24"/>
                <w:lang w:val="en-US" w:eastAsia="en-US"/>
              </w:rPr>
            </w:pPr>
            <w:r w:rsidRPr="002A668D">
              <w:rPr>
                <w:rFonts w:eastAsiaTheme="minorHAnsi" w:cstheme="minorBidi"/>
                <w:b/>
                <w:szCs w:val="24"/>
                <w:lang w:val="en-US" w:eastAsia="en-US"/>
              </w:rPr>
              <w:t>Healthcare Insurance Reciprocal of Canada et Ontario Trial Lawyers Association</w:t>
            </w:r>
          </w:p>
          <w:p w:rsidR="00F8086E" w:rsidRPr="003B0AE3" w:rsidRDefault="00F8086E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3B0AE3">
              <w:rPr>
                <w:rFonts w:eastAsiaTheme="minorHAnsi" w:cstheme="minorBidi"/>
                <w:szCs w:val="24"/>
                <w:lang w:val="fr-CA" w:eastAsia="en-US"/>
              </w:rPr>
              <w:t>Intervenantes</w:t>
            </w:r>
          </w:p>
          <w:p w:rsidR="00F8086E" w:rsidRPr="003B0AE3" w:rsidRDefault="00F8086E" w:rsidP="008E32ED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F8086E" w:rsidRPr="003B0AE3" w:rsidRDefault="00F8086E" w:rsidP="008E32ED">
            <w:pPr>
              <w:jc w:val="center"/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  <w:r w:rsidRPr="003B0AE3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Traduction française officielle</w:t>
            </w:r>
          </w:p>
          <w:p w:rsidR="00F8086E" w:rsidRPr="003B0AE3" w:rsidRDefault="00F8086E" w:rsidP="008E32ED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F8086E" w:rsidRPr="003B0AE3" w:rsidRDefault="00F8086E" w:rsidP="008E32ED">
            <w:pPr>
              <w:jc w:val="center"/>
              <w:rPr>
                <w:b/>
                <w:smallCaps/>
                <w:lang w:val="fr-CA"/>
              </w:rPr>
            </w:pP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629"/>
        <w:gridCol w:w="2443"/>
        <w:gridCol w:w="4208"/>
      </w:tblGrid>
      <w:tr w:rsidR="00F8086E" w:rsidRPr="00824C9C" w:rsidTr="008E32ED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F8086E" w:rsidRPr="00CB5B04" w:rsidRDefault="00F8086E" w:rsidP="008E32ED">
            <w:pPr>
              <w:rPr>
                <w:lang w:val="fr-CA"/>
              </w:rPr>
            </w:pPr>
            <w:r w:rsidRPr="00CB5B04">
              <w:rPr>
                <w:b/>
                <w:smallCaps/>
                <w:lang w:val="fr-CA"/>
              </w:rPr>
              <w:t>Coram :</w:t>
            </w:r>
            <w:r w:rsidRPr="00CB5B04">
              <w:rPr>
                <w:lang w:val="fr-CA"/>
              </w:rPr>
              <w:t xml:space="preserve"> Le juge en chef Wagner et les juges Abella, Moldaver, Karakatsanis, Côté, Brown</w:t>
            </w:r>
            <w:r>
              <w:rPr>
                <w:lang w:val="fr-CA"/>
              </w:rPr>
              <w:t xml:space="preserve"> et</w:t>
            </w:r>
            <w:r w:rsidRPr="00CB5B04">
              <w:rPr>
                <w:lang w:val="fr-CA"/>
              </w:rPr>
              <w:t xml:space="preserve"> Rowe</w:t>
            </w:r>
          </w:p>
        </w:tc>
      </w:tr>
      <w:tr w:rsidR="00F8086E" w:rsidRPr="003B0AE3" w:rsidTr="008E32ED">
        <w:trPr>
          <w:gridAfter w:val="1"/>
          <w:wAfter w:w="2541" w:type="pct"/>
          <w:cantSplit/>
        </w:trPr>
        <w:tc>
          <w:tcPr>
            <w:tcW w:w="984" w:type="pct"/>
            <w:tcMar>
              <w:top w:w="284" w:type="dxa"/>
              <w:bottom w:w="57" w:type="dxa"/>
            </w:tcMar>
            <w:vAlign w:val="center"/>
          </w:tcPr>
          <w:p w:rsidR="00F8086E" w:rsidRPr="007B3D74" w:rsidRDefault="00F8086E" w:rsidP="008E32ED">
            <w:pPr>
              <w:rPr>
                <w:b/>
                <w:smallCaps/>
                <w:lang w:val="fr-CA"/>
              </w:rPr>
            </w:pPr>
            <w:r w:rsidRPr="007B3D74">
              <w:rPr>
                <w:b/>
                <w:smallCaps/>
                <w:lang w:val="fr-CA"/>
              </w:rPr>
              <w:t>Jugement</w:t>
            </w:r>
            <w:r>
              <w:rPr>
                <w:b/>
                <w:smallCaps/>
                <w:lang w:val="fr-CA"/>
              </w:rPr>
              <w:t xml:space="preserve"> </w:t>
            </w:r>
            <w:r w:rsidRPr="007B3D74">
              <w:rPr>
                <w:b/>
                <w:smallCaps/>
                <w:lang w:val="fr-CA"/>
              </w:rPr>
              <w:t>unanime lu par:</w:t>
            </w:r>
            <w:r>
              <w:rPr>
                <w:b/>
                <w:smallCaps/>
                <w:lang w:val="fr-CA"/>
              </w:rPr>
              <w:t xml:space="preserve"> </w:t>
            </w:r>
          </w:p>
          <w:p w:rsidR="00F8086E" w:rsidRPr="007B3D74" w:rsidRDefault="00F8086E" w:rsidP="008E32ED">
            <w:pPr>
              <w:rPr>
                <w:b/>
                <w:smallCaps/>
                <w:lang w:val="fr-CA"/>
              </w:rPr>
            </w:pPr>
            <w:r w:rsidRPr="007B3D74">
              <w:rPr>
                <w:lang w:val="fr-CA"/>
              </w:rPr>
              <w:t>(par. 1</w:t>
            </w:r>
            <w:r>
              <w:rPr>
                <w:lang w:val="fr-CA"/>
              </w:rPr>
              <w:t xml:space="preserve"> à 2</w:t>
            </w:r>
            <w:r w:rsidRPr="007B3D74">
              <w:rPr>
                <w:lang w:val="fr-CA"/>
              </w:rPr>
              <w:t>)</w:t>
            </w:r>
          </w:p>
        </w:tc>
        <w:tc>
          <w:tcPr>
            <w:tcW w:w="1475" w:type="pct"/>
            <w:tcMar>
              <w:top w:w="284" w:type="dxa"/>
            </w:tcMar>
            <w:vAlign w:val="center"/>
          </w:tcPr>
          <w:p w:rsidR="00F8086E" w:rsidRDefault="00F8086E" w:rsidP="008E32ED">
            <w:pPr>
              <w:rPr>
                <w:b/>
                <w:smallCaps/>
                <w:lang w:val="fr-CA"/>
              </w:rPr>
            </w:pPr>
            <w:r w:rsidRPr="004707F9">
              <w:rPr>
                <w:lang w:val="fr-CA"/>
              </w:rPr>
              <w:t>Le juge en chef Wagner</w:t>
            </w:r>
          </w:p>
          <w:p w:rsidR="00F8086E" w:rsidRPr="007B3D74" w:rsidRDefault="00F8086E" w:rsidP="008E32ED">
            <w:pPr>
              <w:rPr>
                <w:b/>
                <w:smallCaps/>
                <w:lang w:val="fr-CA"/>
              </w:rPr>
            </w:pPr>
          </w:p>
        </w:tc>
      </w:tr>
    </w:tbl>
    <w:tbl>
      <w:tblPr>
        <w:tblStyle w:val="TableGrid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026"/>
        <w:gridCol w:w="4034"/>
        <w:gridCol w:w="3020"/>
        <w:gridCol w:w="6"/>
      </w:tblGrid>
      <w:tr w:rsidR="00F8086E" w:rsidRPr="00C31D39" w:rsidTr="008E32ED">
        <w:trPr>
          <w:gridAfter w:val="1"/>
          <w:wAfter w:w="6" w:type="dxa"/>
        </w:trPr>
        <w:tc>
          <w:tcPr>
            <w:tcW w:w="10080" w:type="dxa"/>
            <w:gridSpan w:val="3"/>
          </w:tcPr>
          <w:p w:rsidR="00F8086E" w:rsidRPr="003B0AE3" w:rsidRDefault="00F8086E" w:rsidP="008E32ED">
            <w:pPr>
              <w:rPr>
                <w:lang w:val="en-US"/>
              </w:rPr>
            </w:pPr>
          </w:p>
        </w:tc>
      </w:tr>
      <w:tr w:rsidR="00F8086E" w:rsidRPr="00824C9C" w:rsidTr="008E32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6" w:type="dxa"/>
            <w:tcMar>
              <w:top w:w="284" w:type="dxa"/>
            </w:tcMar>
          </w:tcPr>
          <w:p w:rsidR="00F8086E" w:rsidRPr="00A9085B" w:rsidRDefault="00F8086E" w:rsidP="008E32ED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tcMar>
              <w:top w:w="284" w:type="dxa"/>
            </w:tcMar>
          </w:tcPr>
          <w:p w:rsidR="00F8086E" w:rsidRPr="00A9085B" w:rsidRDefault="00F8086E" w:rsidP="008E32ED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3026" w:type="dxa"/>
            <w:gridSpan w:val="2"/>
            <w:tcMar>
              <w:top w:w="284" w:type="dxa"/>
            </w:tcMar>
          </w:tcPr>
          <w:p w:rsidR="00F8086E" w:rsidRPr="00A9085B" w:rsidRDefault="00F8086E" w:rsidP="008E32ED">
            <w:pPr>
              <w:rPr>
                <w:rFonts w:eastAsia="Calibri"/>
                <w:szCs w:val="24"/>
                <w:lang w:val="fr-CA" w:eastAsia="en-US"/>
              </w:rPr>
            </w:pPr>
          </w:p>
        </w:tc>
      </w:tr>
    </w:tbl>
    <w:p w:rsidR="00F8086E" w:rsidRDefault="00F8086E" w:rsidP="005610CC">
      <w:pPr>
        <w:spacing w:after="720"/>
        <w:jc w:val="both"/>
        <w:rPr>
          <w:smallCaps/>
          <w:lang w:val="en-US"/>
        </w:rPr>
        <w:sectPr w:rsidR="00F8086E" w:rsidSect="000648CC">
          <w:pgSz w:w="12240" w:h="15840"/>
          <w:pgMar w:top="1267" w:right="2160" w:bottom="720" w:left="1800" w:header="1802" w:footer="720" w:gutter="0"/>
          <w:cols w:space="720"/>
          <w:docGrid w:linePitch="326"/>
        </w:sectPr>
      </w:pPr>
    </w:p>
    <w:p w:rsidR="005610CC" w:rsidRPr="002C73DE" w:rsidRDefault="005610CC" w:rsidP="005610CC">
      <w:pPr>
        <w:spacing w:after="720"/>
        <w:jc w:val="both"/>
        <w:rPr>
          <w:lang w:val="en-US"/>
        </w:rPr>
      </w:pPr>
      <w:bookmarkStart w:id="0" w:name="_GoBack"/>
      <w:bookmarkEnd w:id="0"/>
      <w:r w:rsidRPr="00AE3A60">
        <w:rPr>
          <w:smallCaps/>
          <w:lang w:val="en-US"/>
        </w:rPr>
        <w:lastRenderedPageBreak/>
        <w:t>armstrong</w:t>
      </w:r>
      <w:r>
        <w:rPr>
          <w:lang w:val="en-US"/>
        </w:rPr>
        <w:t xml:space="preserve"> </w:t>
      </w:r>
      <w:r w:rsidRPr="00AE3A60">
        <w:rPr>
          <w:i/>
          <w:lang w:val="en-US"/>
        </w:rPr>
        <w:t>c.</w:t>
      </w:r>
      <w:r w:rsidRPr="00AE3A60">
        <w:rPr>
          <w:lang w:val="en-US"/>
        </w:rPr>
        <w:t xml:space="preserve"> </w:t>
      </w:r>
      <w:r w:rsidRPr="00AE3A60">
        <w:rPr>
          <w:smallCaps/>
          <w:lang w:val="en-US"/>
        </w:rPr>
        <w:t>ward</w:t>
      </w:r>
    </w:p>
    <w:p w:rsidR="005610CC" w:rsidRPr="002C73DE" w:rsidRDefault="005610CC" w:rsidP="005610CC">
      <w:pPr>
        <w:pStyle w:val="SCCLsocLastPartyInRole"/>
        <w:rPr>
          <w:lang w:val="en-US"/>
        </w:rPr>
      </w:pPr>
      <w:r w:rsidRPr="004735FC">
        <w:rPr>
          <w:bCs/>
        </w:rPr>
        <w:t>Karen Armstrong</w:t>
      </w:r>
      <w:r>
        <w:rPr>
          <w:rStyle w:val="SCCLsocPartyRole"/>
          <w:lang w:val="en-US"/>
        </w:rPr>
        <w:tab/>
        <w:t>Appelante</w:t>
      </w:r>
    </w:p>
    <w:p w:rsidR="005610CC" w:rsidRPr="00CC2D75" w:rsidRDefault="005610CC" w:rsidP="005610CC">
      <w:pPr>
        <w:pStyle w:val="SCCLsocVersus"/>
        <w:rPr>
          <w:lang w:val="en-US"/>
        </w:rPr>
      </w:pPr>
      <w:r w:rsidRPr="00CC2D75">
        <w:rPr>
          <w:lang w:val="en-US"/>
        </w:rPr>
        <w:t>c.</w:t>
      </w:r>
    </w:p>
    <w:p w:rsidR="005610CC" w:rsidRPr="00CC2D75" w:rsidRDefault="005610CC" w:rsidP="005610CC">
      <w:pPr>
        <w:pStyle w:val="SCCLsocLastPartyInRole"/>
        <w:rPr>
          <w:lang w:val="en-US"/>
        </w:rPr>
      </w:pPr>
      <w:r w:rsidRPr="004735FC">
        <w:rPr>
          <w:bCs/>
        </w:rPr>
        <w:t>Colin Ward</w:t>
      </w:r>
      <w:r w:rsidRPr="00CC2D75">
        <w:rPr>
          <w:rStyle w:val="SCCLsocPartyRole"/>
          <w:lang w:val="en-US"/>
        </w:rPr>
        <w:tab/>
        <w:t>Intimé</w:t>
      </w:r>
    </w:p>
    <w:p w:rsidR="005610CC" w:rsidRPr="00F86BD3" w:rsidRDefault="005610CC" w:rsidP="005610CC">
      <w:pPr>
        <w:pStyle w:val="SCCLsocVersus"/>
        <w:rPr>
          <w:i w:val="0"/>
          <w:lang w:val="en-US"/>
        </w:rPr>
      </w:pPr>
      <w:r>
        <w:rPr>
          <w:i w:val="0"/>
          <w:lang w:val="en-US"/>
        </w:rPr>
        <w:t>et</w:t>
      </w:r>
    </w:p>
    <w:p w:rsidR="005610CC" w:rsidRPr="004735FC" w:rsidRDefault="005610CC" w:rsidP="005610CC">
      <w:pPr>
        <w:pStyle w:val="SCCLsocLastPartyInRole"/>
        <w:rPr>
          <w:bCs/>
          <w:color w:val="000000"/>
        </w:rPr>
      </w:pPr>
      <w:r w:rsidRPr="004735FC">
        <w:rPr>
          <w:bCs/>
          <w:color w:val="000000"/>
        </w:rPr>
        <w:t xml:space="preserve">Healthcare Insurance Reciprocal of Canada </w:t>
      </w:r>
      <w:r>
        <w:rPr>
          <w:bCs/>
          <w:color w:val="000000"/>
        </w:rPr>
        <w:t>et</w:t>
      </w:r>
    </w:p>
    <w:p w:rsidR="005610CC" w:rsidRPr="00775F17" w:rsidRDefault="005610CC" w:rsidP="005610CC">
      <w:pPr>
        <w:pStyle w:val="SCCLsocLastPartyInRole"/>
        <w:rPr>
          <w:lang w:val="en-US"/>
        </w:rPr>
      </w:pPr>
      <w:r w:rsidRPr="004735FC">
        <w:rPr>
          <w:bCs/>
        </w:rPr>
        <w:t>Ontario Trial Lawyers Association</w:t>
      </w:r>
      <w:r w:rsidRPr="00775F17">
        <w:rPr>
          <w:rStyle w:val="SCCLsocPartyRole"/>
          <w:lang w:val="en-US"/>
        </w:rPr>
        <w:tab/>
      </w:r>
      <w:r>
        <w:rPr>
          <w:rStyle w:val="SCCLsocPartyRole"/>
          <w:lang w:val="en-US"/>
        </w:rPr>
        <w:t>Intervenantes</w:t>
      </w:r>
    </w:p>
    <w:p w:rsidR="005610CC" w:rsidRPr="00AE3A60" w:rsidRDefault="005610CC" w:rsidP="005610CC">
      <w:pPr>
        <w:spacing w:after="720"/>
        <w:jc w:val="both"/>
        <w:rPr>
          <w:b/>
          <w:lang w:val="en-US"/>
        </w:rPr>
      </w:pPr>
      <w:r>
        <w:rPr>
          <w:b/>
          <w:lang w:val="en-US"/>
        </w:rPr>
        <w:t xml:space="preserve">Répertorié : Armstrong </w:t>
      </w:r>
      <w:r>
        <w:rPr>
          <w:b/>
          <w:i/>
          <w:iCs/>
          <w:lang w:val="en-US"/>
        </w:rPr>
        <w:t>c</w:t>
      </w:r>
      <w:r w:rsidRPr="00AE3A60">
        <w:rPr>
          <w:b/>
          <w:lang w:val="en-US"/>
        </w:rPr>
        <w:t>. Ward</w:t>
      </w:r>
    </w:p>
    <w:p w:rsidR="005610CC" w:rsidRPr="005610CC" w:rsidRDefault="005610CC" w:rsidP="005610CC">
      <w:pPr>
        <w:pStyle w:val="SCCSystemYear"/>
        <w:spacing w:after="720"/>
        <w:jc w:val="both"/>
        <w:rPr>
          <w:lang w:val="fr-CA"/>
        </w:rPr>
      </w:pPr>
      <w:r w:rsidRPr="005610CC">
        <w:rPr>
          <w:lang w:val="fr-CA"/>
        </w:rPr>
        <w:t xml:space="preserve">2021 CSC </w:t>
      </w:r>
      <w:r w:rsidRPr="005610CC">
        <w:rPr>
          <w:color w:val="000000"/>
          <w:lang w:val="fr-CA"/>
        </w:rPr>
        <w:t>1</w:t>
      </w:r>
    </w:p>
    <w:p w:rsidR="005610CC" w:rsidRPr="00AE3A60" w:rsidRDefault="005610CC" w:rsidP="005610CC">
      <w:pPr>
        <w:spacing w:after="720"/>
        <w:jc w:val="both"/>
        <w:rPr>
          <w:lang w:val="fr-CA"/>
        </w:rPr>
      </w:pPr>
      <w:r w:rsidRPr="00AE3A60">
        <w:rPr>
          <w:lang w:val="fr-CA"/>
        </w:rPr>
        <w:t>N</w:t>
      </w:r>
      <w:r w:rsidRPr="00AE3A60">
        <w:rPr>
          <w:vertAlign w:val="superscript"/>
          <w:lang w:val="fr-CA"/>
        </w:rPr>
        <w:t>o</w:t>
      </w:r>
      <w:r>
        <w:rPr>
          <w:lang w:val="fr-CA"/>
        </w:rPr>
        <w:t xml:space="preserve"> du greffe : </w:t>
      </w:r>
      <w:r w:rsidRPr="006517E8">
        <w:rPr>
          <w:color w:val="000000"/>
          <w:lang w:val="fr-CA"/>
        </w:rPr>
        <w:t>39049</w:t>
      </w:r>
      <w:r w:rsidRPr="00AE3A60">
        <w:rPr>
          <w:lang w:val="fr-CA"/>
        </w:rPr>
        <w:t>.</w:t>
      </w:r>
    </w:p>
    <w:p w:rsidR="005610CC" w:rsidRPr="00AE3A60" w:rsidRDefault="005610CC" w:rsidP="005610CC">
      <w:pPr>
        <w:spacing w:after="720"/>
        <w:jc w:val="both"/>
        <w:rPr>
          <w:lang w:val="fr-CA"/>
        </w:rPr>
      </w:pPr>
      <w:r w:rsidRPr="00AE3A60">
        <w:rPr>
          <w:lang w:val="fr-CA"/>
        </w:rPr>
        <w:t>2021</w:t>
      </w:r>
      <w:r>
        <w:rPr>
          <w:lang w:val="fr-CA"/>
        </w:rPr>
        <w:t> </w:t>
      </w:r>
      <w:r w:rsidRPr="00AE3A60">
        <w:rPr>
          <w:lang w:val="fr-CA"/>
        </w:rPr>
        <w:t>:</w:t>
      </w:r>
      <w:r>
        <w:rPr>
          <w:lang w:val="fr-CA"/>
        </w:rPr>
        <w:t xml:space="preserve"> 18 janvier</w:t>
      </w:r>
      <w:r w:rsidRPr="00AE3A60">
        <w:rPr>
          <w:lang w:val="fr-CA"/>
        </w:rPr>
        <w:t>.</w:t>
      </w:r>
    </w:p>
    <w:p w:rsidR="005610CC" w:rsidRPr="006517E8" w:rsidRDefault="005610CC" w:rsidP="005610CC">
      <w:pPr>
        <w:spacing w:after="720"/>
        <w:jc w:val="both"/>
        <w:rPr>
          <w:lang w:val="fr-CA"/>
        </w:rPr>
      </w:pPr>
      <w:r>
        <w:rPr>
          <w:lang w:val="fr-CA"/>
        </w:rPr>
        <w:t xml:space="preserve">Présents : </w:t>
      </w:r>
      <w:r w:rsidRPr="006517E8">
        <w:rPr>
          <w:color w:val="000000"/>
          <w:lang w:val="fr-CA"/>
        </w:rPr>
        <w:t>Le juge en chef Wagner et les juges Abella, Moldaver, Karakatsanis, Côté, Brown et Rowe</w:t>
      </w:r>
      <w:r>
        <w:rPr>
          <w:color w:val="000000"/>
          <w:lang w:val="fr-CA"/>
        </w:rPr>
        <w:t>.</w:t>
      </w:r>
    </w:p>
    <w:p w:rsidR="005610CC" w:rsidRPr="006517E8" w:rsidRDefault="005610CC" w:rsidP="005610CC">
      <w:pPr>
        <w:spacing w:after="720"/>
        <w:jc w:val="both"/>
        <w:rPr>
          <w:smallCaps/>
          <w:lang w:val="fr-CA"/>
        </w:rPr>
      </w:pPr>
      <w:r w:rsidRPr="006517E8">
        <w:rPr>
          <w:smallCaps/>
          <w:lang w:val="fr-CA"/>
        </w:rPr>
        <w:t>en appel de la cour d</w:t>
      </w:r>
      <w:r>
        <w:rPr>
          <w:smallCaps/>
          <w:lang w:val="fr-CA"/>
        </w:rPr>
        <w:t>’</w:t>
      </w:r>
      <w:r w:rsidRPr="006517E8">
        <w:rPr>
          <w:smallCaps/>
          <w:lang w:val="fr-CA"/>
        </w:rPr>
        <w:t>appel de l</w:t>
      </w:r>
      <w:r>
        <w:rPr>
          <w:smallCaps/>
          <w:lang w:val="fr-CA"/>
        </w:rPr>
        <w:t>’</w:t>
      </w:r>
      <w:r w:rsidRPr="006517E8">
        <w:rPr>
          <w:smallCaps/>
          <w:lang w:val="fr-CA"/>
        </w:rPr>
        <w:t>ontario</w:t>
      </w:r>
    </w:p>
    <w:p w:rsidR="005610CC" w:rsidRPr="004D7D95" w:rsidRDefault="005610CC" w:rsidP="005610CC">
      <w:pPr>
        <w:pStyle w:val="SCCNormalDoubleSpacing"/>
        <w:spacing w:after="480"/>
        <w:rPr>
          <w:lang w:val="fr-CA"/>
        </w:rPr>
      </w:pPr>
      <w:r w:rsidRPr="00BB4C92">
        <w:rPr>
          <w:lang w:val="fr-CA"/>
        </w:rPr>
        <w:lastRenderedPageBreak/>
        <w:tab/>
      </w:r>
      <w:r w:rsidRPr="00EE4908">
        <w:rPr>
          <w:i/>
          <w:lang w:val="fr-CA"/>
        </w:rPr>
        <w:t>Responsabilité délictuelle — Négligence — Norme de diligence — Dommages causés à l’uretère gauche d’une patiente durant une colect</w:t>
      </w:r>
      <w:r>
        <w:rPr>
          <w:i/>
          <w:lang w:val="fr-CA"/>
        </w:rPr>
        <w:t>o</w:t>
      </w:r>
      <w:r w:rsidRPr="00EE4908">
        <w:rPr>
          <w:i/>
          <w:lang w:val="fr-CA"/>
        </w:rPr>
        <w:t xml:space="preserve">mie par laparoscopie — Dommages </w:t>
      </w:r>
      <w:r w:rsidRPr="00556C8F">
        <w:rPr>
          <w:i/>
          <w:lang w:val="fr-CA"/>
        </w:rPr>
        <w:t>ayant provoqué un blocage</w:t>
      </w:r>
      <w:r w:rsidRPr="00EE4908">
        <w:rPr>
          <w:i/>
          <w:lang w:val="fr-CA"/>
        </w:rPr>
        <w:t xml:space="preserve"> de l’uretère </w:t>
      </w:r>
      <w:r w:rsidRPr="00556C8F">
        <w:rPr>
          <w:i/>
          <w:lang w:val="fr-CA"/>
        </w:rPr>
        <w:t>qui a entraîné l’ablation du rein gauche — Poursuites intentées par la patiente contre le chirurgien — Décision du juge du procès concluant que le chirurgien a manqué à la norme de diligence et que ce manquement a causé à l’uretère de la patiente des dommages qui ont nécessité l’ablation du rein — Arrêt majoritaire de la Cour d’appel concluant que le juge du procès a fait erreur en droit dans la formulation et l’application de la norme de diligence et infirmant la décision de première instance</w:t>
      </w:r>
      <w:r w:rsidRPr="00EE4908">
        <w:rPr>
          <w:i/>
          <w:lang w:val="fr-CA"/>
        </w:rPr>
        <w:t xml:space="preserve"> — </w:t>
      </w:r>
      <w:r>
        <w:rPr>
          <w:i/>
          <w:lang w:val="fr-CA"/>
        </w:rPr>
        <w:t xml:space="preserve">Motifs de la juge dissidente portant que rien ne </w:t>
      </w:r>
      <w:r w:rsidRPr="006E7C4D">
        <w:rPr>
          <w:i/>
          <w:lang w:val="fr-CA"/>
        </w:rPr>
        <w:t>justifiait</w:t>
      </w:r>
      <w:r>
        <w:rPr>
          <w:i/>
          <w:lang w:val="fr-CA"/>
        </w:rPr>
        <w:t xml:space="preserve"> d’intervenir à l’égard de l’approche suivie par le juge du procès relativement à la norme de diligence et que les conclusions de ce dernier étaien</w:t>
      </w:r>
      <w:r w:rsidRPr="00396BFB">
        <w:rPr>
          <w:i/>
          <w:lang w:val="fr-CA"/>
        </w:rPr>
        <w:t>t pleinement</w:t>
      </w:r>
      <w:r>
        <w:rPr>
          <w:i/>
          <w:lang w:val="fr-CA"/>
        </w:rPr>
        <w:t xml:space="preserve"> appuyées par la preuve</w:t>
      </w:r>
      <w:r w:rsidRPr="00EE4908">
        <w:rPr>
          <w:i/>
          <w:lang w:val="fr-CA"/>
        </w:rPr>
        <w:t xml:space="preserve"> — </w:t>
      </w:r>
      <w:r>
        <w:rPr>
          <w:i/>
          <w:lang w:val="fr-CA"/>
        </w:rPr>
        <w:t>Décision de première instance rétablie</w:t>
      </w:r>
      <w:r w:rsidRPr="00EE4908">
        <w:rPr>
          <w:i/>
          <w:lang w:val="fr-CA"/>
        </w:rPr>
        <w:t>.</w:t>
      </w:r>
    </w:p>
    <w:p w:rsidR="005610CC" w:rsidRPr="006517E8" w:rsidRDefault="005610CC" w:rsidP="005610CC">
      <w:pPr>
        <w:pStyle w:val="SCCNormalDoubleSpacing"/>
        <w:spacing w:after="480"/>
        <w:rPr>
          <w:lang w:val="fr-CA"/>
        </w:rPr>
      </w:pPr>
      <w:r w:rsidRPr="004D7D95">
        <w:rPr>
          <w:lang w:val="fr-CA"/>
        </w:rPr>
        <w:tab/>
        <w:t xml:space="preserve">POURVOI contre un arrêt de la </w:t>
      </w:r>
      <w:r w:rsidRPr="00AE3A60">
        <w:rPr>
          <w:lang w:val="fr-CA"/>
        </w:rPr>
        <w:t>Cour d</w:t>
      </w:r>
      <w:r>
        <w:rPr>
          <w:lang w:val="fr-CA"/>
        </w:rPr>
        <w:t>’</w:t>
      </w:r>
      <w:r w:rsidRPr="00AE3A60">
        <w:rPr>
          <w:lang w:val="fr-CA"/>
        </w:rPr>
        <w:t xml:space="preserve">appel de </w:t>
      </w:r>
      <w:r>
        <w:rPr>
          <w:lang w:val="fr-CA"/>
        </w:rPr>
        <w:t xml:space="preserve">l’Ontario (les juges </w:t>
      </w:r>
      <w:r w:rsidRPr="006517E8">
        <w:rPr>
          <w:lang w:val="fr-CA"/>
        </w:rPr>
        <w:t xml:space="preserve">Juriansz, van Rensburg </w:t>
      </w:r>
      <w:r>
        <w:rPr>
          <w:lang w:val="fr-CA"/>
        </w:rPr>
        <w:t>et</w:t>
      </w:r>
      <w:r w:rsidRPr="006517E8">
        <w:rPr>
          <w:lang w:val="fr-CA"/>
        </w:rPr>
        <w:t xml:space="preserve"> Paciocco</w:t>
      </w:r>
      <w:r>
        <w:rPr>
          <w:lang w:val="fr-CA"/>
        </w:rPr>
        <w:t>),</w:t>
      </w:r>
      <w:r w:rsidRPr="006517E8">
        <w:rPr>
          <w:lang w:val="fr-CA"/>
        </w:rPr>
        <w:t xml:space="preserve"> </w:t>
      </w:r>
      <w:r w:rsidRPr="006517E8">
        <w:rPr>
          <w:color w:val="000000"/>
          <w:lang w:val="fr-CA"/>
        </w:rPr>
        <w:t>2019 ONCA 963</w:t>
      </w:r>
      <w:r>
        <w:rPr>
          <w:color w:val="000000"/>
          <w:lang w:val="fr-CA"/>
        </w:rPr>
        <w:t xml:space="preserve"> </w:t>
      </w:r>
      <w:r w:rsidRPr="00FC56C1">
        <w:rPr>
          <w:bCs/>
          <w:lang w:val="fr-CA"/>
        </w:rPr>
        <w:t>(</w:t>
      </w:r>
      <w:r w:rsidRPr="00FC56C1">
        <w:rPr>
          <w:bCs/>
          <w:i/>
          <w:lang w:val="fr-CA"/>
        </w:rPr>
        <w:t xml:space="preserve">sub nom. </w:t>
      </w:r>
      <w:r w:rsidRPr="00FC56C1">
        <w:rPr>
          <w:i/>
          <w:lang w:val="fr-CA"/>
        </w:rPr>
        <w:t>Armstrong c. Royal Victoria Hospital</w:t>
      </w:r>
      <w:r>
        <w:rPr>
          <w:lang w:val="fr-CA"/>
        </w:rPr>
        <w:t>)</w:t>
      </w:r>
      <w:r w:rsidRPr="006517E8">
        <w:rPr>
          <w:color w:val="000000"/>
          <w:lang w:val="fr-CA"/>
        </w:rPr>
        <w:t>, 452 D.L.R. (4th) 555, 61 C.C.L.T. (4th) 181, [2019] O.J. No. 6187 (QL), 2019 CarswellOnt 19957 (WL Can.),</w:t>
      </w:r>
      <w:r>
        <w:rPr>
          <w:color w:val="000000"/>
          <w:lang w:val="fr-CA"/>
        </w:rPr>
        <w:t xml:space="preserve"> </w:t>
      </w:r>
      <w:r w:rsidRPr="006517E8">
        <w:rPr>
          <w:lang w:val="fr-CA"/>
        </w:rPr>
        <w:t xml:space="preserve">qui a infirmé une décision du juge </w:t>
      </w:r>
      <w:r>
        <w:rPr>
          <w:lang w:val="fr-CA"/>
        </w:rPr>
        <w:t xml:space="preserve">Mulligan, </w:t>
      </w:r>
      <w:r w:rsidRPr="006517E8">
        <w:rPr>
          <w:lang w:val="fr-CA"/>
        </w:rPr>
        <w:t xml:space="preserve">2018 ONSC 2439, </w:t>
      </w:r>
      <w:r w:rsidRPr="006517E8">
        <w:rPr>
          <w:bCs/>
          <w:lang w:val="fr-CA"/>
        </w:rPr>
        <w:t xml:space="preserve">[2018] O.J. No. 2010 (QL). Pourvoi </w:t>
      </w:r>
      <w:r w:rsidRPr="00F3445E">
        <w:rPr>
          <w:color w:val="000000"/>
          <w:lang w:val="fr-CA"/>
        </w:rPr>
        <w:t>accueilli</w:t>
      </w:r>
      <w:r w:rsidRPr="006517E8">
        <w:rPr>
          <w:bCs/>
          <w:lang w:val="fr-CA"/>
        </w:rPr>
        <w:t>.</w:t>
      </w:r>
    </w:p>
    <w:p w:rsidR="005610CC" w:rsidRDefault="005610CC" w:rsidP="005610CC">
      <w:pPr>
        <w:pStyle w:val="SCCNormalDoubleSpacing"/>
        <w:spacing w:after="480"/>
        <w:rPr>
          <w:color w:val="000000"/>
          <w:szCs w:val="24"/>
          <w:lang w:val="fr-CA" w:eastAsia="en-US"/>
        </w:rPr>
      </w:pPr>
      <w:r w:rsidRPr="00F44572">
        <w:rPr>
          <w:lang w:val="fr-CA"/>
        </w:rPr>
        <w:tab/>
      </w:r>
      <w:r w:rsidRPr="0023720E">
        <w:rPr>
          <w:i/>
          <w:iCs/>
          <w:color w:val="000000"/>
          <w:szCs w:val="24"/>
          <w:lang w:val="fr-CA" w:eastAsia="en-US"/>
        </w:rPr>
        <w:t>Ryan Breedon</w:t>
      </w:r>
      <w:r>
        <w:rPr>
          <w:color w:val="000000"/>
          <w:szCs w:val="24"/>
          <w:lang w:val="fr-CA" w:eastAsia="en-US"/>
        </w:rPr>
        <w:t xml:space="preserve"> </w:t>
      </w:r>
      <w:r w:rsidRPr="006517E8">
        <w:rPr>
          <w:color w:val="000000"/>
          <w:szCs w:val="24"/>
          <w:lang w:val="fr-CA" w:eastAsia="en-US"/>
        </w:rPr>
        <w:t>et</w:t>
      </w:r>
      <w:r>
        <w:rPr>
          <w:color w:val="000000"/>
          <w:szCs w:val="24"/>
          <w:lang w:val="fr-CA" w:eastAsia="en-US"/>
        </w:rPr>
        <w:t xml:space="preserve"> </w:t>
      </w:r>
      <w:r w:rsidRPr="0023720E">
        <w:rPr>
          <w:i/>
          <w:iCs/>
          <w:color w:val="000000"/>
          <w:szCs w:val="24"/>
          <w:lang w:val="fr-CA" w:eastAsia="en-US"/>
        </w:rPr>
        <w:t>Jan Marin</w:t>
      </w:r>
      <w:r w:rsidRPr="006517E8">
        <w:rPr>
          <w:color w:val="000000"/>
          <w:szCs w:val="24"/>
          <w:lang w:val="fr-CA" w:eastAsia="en-US"/>
        </w:rPr>
        <w:t>, pour l</w:t>
      </w:r>
      <w:r>
        <w:rPr>
          <w:color w:val="000000"/>
          <w:szCs w:val="24"/>
          <w:lang w:val="fr-CA" w:eastAsia="en-US"/>
        </w:rPr>
        <w:t>’</w:t>
      </w:r>
      <w:r w:rsidRPr="006517E8">
        <w:rPr>
          <w:color w:val="000000"/>
          <w:szCs w:val="24"/>
          <w:lang w:val="fr-CA" w:eastAsia="en-US"/>
        </w:rPr>
        <w:t>appelante.</w:t>
      </w:r>
    </w:p>
    <w:p w:rsidR="005610CC" w:rsidRDefault="005610CC" w:rsidP="005610CC">
      <w:pPr>
        <w:pStyle w:val="SCCNormalDoubleSpacing"/>
        <w:spacing w:after="480"/>
        <w:rPr>
          <w:color w:val="000000"/>
          <w:szCs w:val="24"/>
          <w:lang w:val="fr-CA" w:eastAsia="en-US"/>
        </w:rPr>
      </w:pPr>
      <w:r>
        <w:rPr>
          <w:color w:val="000000"/>
          <w:szCs w:val="24"/>
          <w:lang w:val="fr-CA" w:eastAsia="en-US"/>
        </w:rPr>
        <w:tab/>
      </w:r>
      <w:r w:rsidRPr="0023720E">
        <w:rPr>
          <w:i/>
          <w:iCs/>
          <w:color w:val="000000"/>
          <w:szCs w:val="24"/>
          <w:lang w:val="fr-CA" w:eastAsia="en-US"/>
        </w:rPr>
        <w:t>Mark Veneziano</w:t>
      </w:r>
      <w:r>
        <w:rPr>
          <w:color w:val="000000"/>
          <w:szCs w:val="24"/>
          <w:lang w:val="fr-CA" w:eastAsia="en-US"/>
        </w:rPr>
        <w:t xml:space="preserve"> </w:t>
      </w:r>
      <w:r w:rsidRPr="006517E8">
        <w:rPr>
          <w:color w:val="000000"/>
          <w:szCs w:val="24"/>
          <w:lang w:val="fr-CA" w:eastAsia="en-US"/>
        </w:rPr>
        <w:t>et</w:t>
      </w:r>
      <w:r>
        <w:rPr>
          <w:color w:val="000000"/>
          <w:szCs w:val="24"/>
          <w:lang w:val="fr-CA" w:eastAsia="en-US"/>
        </w:rPr>
        <w:t xml:space="preserve"> </w:t>
      </w:r>
      <w:r w:rsidRPr="0023720E">
        <w:rPr>
          <w:i/>
          <w:iCs/>
          <w:color w:val="000000"/>
          <w:szCs w:val="24"/>
          <w:lang w:val="fr-CA" w:eastAsia="en-US"/>
        </w:rPr>
        <w:t>Jaan Lilles</w:t>
      </w:r>
      <w:r w:rsidRPr="006517E8">
        <w:rPr>
          <w:color w:val="000000"/>
          <w:szCs w:val="24"/>
          <w:lang w:val="fr-CA" w:eastAsia="en-US"/>
        </w:rPr>
        <w:t>, pour l</w:t>
      </w:r>
      <w:r>
        <w:rPr>
          <w:color w:val="000000"/>
          <w:szCs w:val="24"/>
          <w:lang w:val="fr-CA" w:eastAsia="en-US"/>
        </w:rPr>
        <w:t>’</w:t>
      </w:r>
      <w:r w:rsidRPr="006517E8">
        <w:rPr>
          <w:color w:val="000000"/>
          <w:szCs w:val="24"/>
          <w:lang w:val="fr-CA" w:eastAsia="en-US"/>
        </w:rPr>
        <w:t>intimé.</w:t>
      </w:r>
    </w:p>
    <w:p w:rsidR="005610CC" w:rsidRPr="00F86BD3" w:rsidRDefault="005610CC" w:rsidP="005610CC">
      <w:pPr>
        <w:pStyle w:val="SCCNormalDoubleSpacing"/>
        <w:spacing w:after="480"/>
        <w:rPr>
          <w:color w:val="000000"/>
          <w:szCs w:val="24"/>
          <w:lang w:val="en-US" w:eastAsia="en-US"/>
        </w:rPr>
      </w:pPr>
      <w:r>
        <w:rPr>
          <w:color w:val="000000"/>
          <w:szCs w:val="24"/>
          <w:lang w:val="fr-CA" w:eastAsia="en-US"/>
        </w:rPr>
        <w:tab/>
      </w:r>
      <w:r w:rsidRPr="0023720E">
        <w:rPr>
          <w:i/>
          <w:iCs/>
          <w:color w:val="000000"/>
          <w:szCs w:val="24"/>
          <w:lang w:val="en-US" w:eastAsia="en-US"/>
        </w:rPr>
        <w:t>Anna Marrison</w:t>
      </w:r>
      <w:r w:rsidRPr="00F86BD3">
        <w:rPr>
          <w:color w:val="000000"/>
          <w:szCs w:val="24"/>
          <w:lang w:val="en-US" w:eastAsia="en-US"/>
        </w:rPr>
        <w:t>, pour l’intervenante Healthcare Insurance Reciprocal of Canada.</w:t>
      </w:r>
    </w:p>
    <w:p w:rsidR="005610CC" w:rsidRDefault="005610CC" w:rsidP="005610CC">
      <w:pPr>
        <w:pStyle w:val="SCCNormalDoubleSpacing"/>
        <w:spacing w:after="480"/>
        <w:rPr>
          <w:color w:val="000000"/>
          <w:szCs w:val="24"/>
          <w:lang w:val="fr-CA" w:eastAsia="en-US"/>
        </w:rPr>
      </w:pPr>
      <w:r w:rsidRPr="00F86BD3">
        <w:rPr>
          <w:color w:val="000000"/>
          <w:szCs w:val="24"/>
          <w:lang w:val="en-US" w:eastAsia="en-US"/>
        </w:rPr>
        <w:lastRenderedPageBreak/>
        <w:tab/>
      </w:r>
      <w:r w:rsidRPr="0023720E">
        <w:rPr>
          <w:i/>
          <w:iCs/>
          <w:color w:val="000000"/>
          <w:szCs w:val="24"/>
          <w:lang w:val="fr-CA" w:eastAsia="en-US"/>
        </w:rPr>
        <w:t>Barbara Legate</w:t>
      </w:r>
      <w:r w:rsidRPr="006517E8">
        <w:rPr>
          <w:color w:val="000000"/>
          <w:szCs w:val="24"/>
          <w:lang w:val="fr-CA" w:eastAsia="en-US"/>
        </w:rPr>
        <w:t>, pour l</w:t>
      </w:r>
      <w:r>
        <w:rPr>
          <w:color w:val="000000"/>
          <w:szCs w:val="24"/>
          <w:lang w:val="fr-CA" w:eastAsia="en-US"/>
        </w:rPr>
        <w:t>’</w:t>
      </w:r>
      <w:r w:rsidRPr="006517E8">
        <w:rPr>
          <w:color w:val="000000"/>
          <w:szCs w:val="24"/>
          <w:lang w:val="fr-CA" w:eastAsia="en-US"/>
        </w:rPr>
        <w:t>intervenante Ontario Trial Lawyers Association.</w:t>
      </w:r>
    </w:p>
    <w:p w:rsidR="005610CC" w:rsidRDefault="005610CC" w:rsidP="005610CC">
      <w:pPr>
        <w:pStyle w:val="SCCNormalDoubleSpacing"/>
        <w:spacing w:after="480"/>
        <w:rPr>
          <w:color w:val="000000"/>
          <w:lang w:val="fr-CA"/>
        </w:rPr>
      </w:pPr>
      <w:r>
        <w:rPr>
          <w:color w:val="000000"/>
          <w:lang w:val="fr-CA"/>
        </w:rPr>
        <w:tab/>
      </w:r>
      <w:r w:rsidRPr="006517E8">
        <w:rPr>
          <w:color w:val="000000"/>
          <w:lang w:val="fr-CA"/>
        </w:rPr>
        <w:t>Version française du jugement de la Cour rendu oralement par</w:t>
      </w:r>
    </w:p>
    <w:p w:rsidR="005610CC" w:rsidRPr="0092565F" w:rsidRDefault="005610CC" w:rsidP="005610CC">
      <w:pPr>
        <w:pStyle w:val="SCCNormalDoubleSpacing"/>
        <w:spacing w:after="480"/>
        <w:rPr>
          <w:lang w:val="fr-CA" w:eastAsia="en-US"/>
        </w:rPr>
      </w:pPr>
      <w:r>
        <w:rPr>
          <w:lang w:val="fr-CA"/>
        </w:rPr>
        <w:t>[1]</w:t>
      </w:r>
      <w:r>
        <w:rPr>
          <w:lang w:val="fr-CA"/>
        </w:rPr>
        <w:tab/>
      </w:r>
      <w:r w:rsidRPr="009C60BD">
        <w:rPr>
          <w:smallCaps/>
          <w:lang w:val="fr-CA"/>
        </w:rPr>
        <w:t>Le juge en chef</w:t>
      </w:r>
      <w:r w:rsidRPr="00351398">
        <w:rPr>
          <w:lang w:val="fr-CA"/>
        </w:rPr>
        <w:t xml:space="preserve"> — </w:t>
      </w:r>
      <w:r>
        <w:rPr>
          <w:lang w:val="fr-CA"/>
        </w:rPr>
        <w:t>L’appel est accueill</w:t>
      </w:r>
      <w:r w:rsidRPr="0011740F">
        <w:rPr>
          <w:lang w:val="fr-CA"/>
        </w:rPr>
        <w:t>i</w:t>
      </w:r>
      <w:r>
        <w:rPr>
          <w:lang w:val="fr-CA"/>
        </w:rPr>
        <w:t xml:space="preserve"> pour les motifs exposés par la juge van Rensburg, avec dépens devant toutes les cours.</w:t>
      </w:r>
    </w:p>
    <w:p w:rsidR="005610CC" w:rsidRDefault="005610CC" w:rsidP="005610CC">
      <w:pPr>
        <w:pStyle w:val="SCCNormalDoubleSpacing"/>
        <w:spacing w:after="480"/>
        <w:rPr>
          <w:lang w:val="fr-CA"/>
        </w:rPr>
      </w:pPr>
      <w:r>
        <w:rPr>
          <w:lang w:val="fr-CA"/>
        </w:rPr>
        <w:t>[2]</w:t>
      </w:r>
      <w:r>
        <w:rPr>
          <w:lang w:val="fr-CA"/>
        </w:rPr>
        <w:tab/>
      </w:r>
      <w:r w:rsidRPr="00104D20">
        <w:rPr>
          <w:lang w:val="fr-CA"/>
        </w:rPr>
        <w:t>L</w:t>
      </w:r>
      <w:r>
        <w:rPr>
          <w:lang w:val="fr-CA"/>
        </w:rPr>
        <w:t>’</w:t>
      </w:r>
      <w:r w:rsidRPr="00104D20">
        <w:rPr>
          <w:lang w:val="fr-CA"/>
        </w:rPr>
        <w:t>arrêt de la Cour d</w:t>
      </w:r>
      <w:r>
        <w:rPr>
          <w:lang w:val="fr-CA"/>
        </w:rPr>
        <w:t>’</w:t>
      </w:r>
      <w:r w:rsidRPr="00104D20">
        <w:rPr>
          <w:lang w:val="fr-CA"/>
        </w:rPr>
        <w:t>appel est annulé et le jugement de première instance est rétabli.</w:t>
      </w:r>
    </w:p>
    <w:p w:rsidR="005610CC" w:rsidRPr="00AE3A60" w:rsidRDefault="005610CC" w:rsidP="005610CC">
      <w:pPr>
        <w:pStyle w:val="SCCNormalDoubleSpacing"/>
        <w:spacing w:after="480"/>
        <w:rPr>
          <w:lang w:val="fr-CA"/>
        </w:rPr>
      </w:pPr>
      <w:r w:rsidRPr="006517E8">
        <w:rPr>
          <w:lang w:val="fr-CA"/>
        </w:rPr>
        <w:tab/>
      </w:r>
      <w:r w:rsidRPr="006517E8">
        <w:rPr>
          <w:i/>
          <w:iCs/>
          <w:color w:val="000000"/>
          <w:lang w:val="fr-CA"/>
        </w:rPr>
        <w:t>Jugement en conséquence.</w:t>
      </w:r>
    </w:p>
    <w:p w:rsidR="005610CC" w:rsidRPr="0023720E" w:rsidRDefault="005610CC" w:rsidP="005610CC">
      <w:pPr>
        <w:pStyle w:val="SCCNormalDoubleSpacing"/>
        <w:spacing w:after="480"/>
        <w:rPr>
          <w:i/>
          <w:lang w:val="fr-CA"/>
        </w:rPr>
      </w:pPr>
      <w:r>
        <w:rPr>
          <w:lang w:val="fr-CA"/>
        </w:rPr>
        <w:tab/>
      </w:r>
      <w:r w:rsidRPr="0023720E">
        <w:rPr>
          <w:i/>
          <w:lang w:val="fr-CA"/>
        </w:rPr>
        <w:t xml:space="preserve">Procureurs de l’appelante : </w:t>
      </w:r>
      <w:r w:rsidRPr="0023720E">
        <w:rPr>
          <w:bCs/>
          <w:i/>
          <w:lang w:val="fr-CA"/>
        </w:rPr>
        <w:t>Breedon Litigation, Barrie (Ont.); Gluckstein Lawyers</w:t>
      </w:r>
      <w:r w:rsidRPr="0023720E">
        <w:rPr>
          <w:i/>
          <w:lang w:val="fr-CA"/>
        </w:rPr>
        <w:t>, Toronto.</w:t>
      </w:r>
    </w:p>
    <w:p w:rsidR="005610CC" w:rsidRPr="0023720E" w:rsidRDefault="005610CC" w:rsidP="005610CC">
      <w:pPr>
        <w:pStyle w:val="SCCNormalDoubleSpacing"/>
        <w:spacing w:after="480"/>
        <w:rPr>
          <w:i/>
          <w:lang w:val="fr-CA"/>
        </w:rPr>
      </w:pPr>
      <w:r w:rsidRPr="00AE3A60">
        <w:rPr>
          <w:lang w:val="fr-CA"/>
        </w:rPr>
        <w:tab/>
      </w:r>
      <w:r w:rsidRPr="0023720E">
        <w:rPr>
          <w:i/>
          <w:lang w:val="fr-CA"/>
        </w:rPr>
        <w:t xml:space="preserve">Procureurs de l’intimé : </w:t>
      </w:r>
      <w:r w:rsidRPr="0023720E">
        <w:rPr>
          <w:bCs/>
          <w:i/>
          <w:lang w:val="fr-CA"/>
        </w:rPr>
        <w:t>Lenczner</w:t>
      </w:r>
      <w:r w:rsidRPr="0023720E">
        <w:rPr>
          <w:i/>
          <w:lang w:val="fr-CA"/>
        </w:rPr>
        <w:t xml:space="preserve"> Slaght Royce Smith Griffin, Toronto.</w:t>
      </w:r>
    </w:p>
    <w:p w:rsidR="005610CC" w:rsidRPr="0023720E" w:rsidRDefault="005610CC" w:rsidP="005610CC">
      <w:pPr>
        <w:pStyle w:val="SCCNormalDoubleSpacing"/>
        <w:spacing w:after="480"/>
        <w:rPr>
          <w:i/>
          <w:lang w:val="fr-CA"/>
        </w:rPr>
      </w:pPr>
      <w:r>
        <w:rPr>
          <w:lang w:val="fr-CA"/>
        </w:rPr>
        <w:tab/>
      </w:r>
      <w:r w:rsidRPr="0023720E">
        <w:rPr>
          <w:i/>
          <w:lang w:val="fr-CA"/>
        </w:rPr>
        <w:t>Procureurs de</w:t>
      </w:r>
      <w:r w:rsidRPr="0023720E">
        <w:rPr>
          <w:i/>
          <w:color w:val="000000"/>
          <w:szCs w:val="24"/>
          <w:lang w:val="fr-CA" w:eastAsia="en-US"/>
        </w:rPr>
        <w:t xml:space="preserve"> l’intervenante Healthcare Insurance Reciprocal of Canada : </w:t>
      </w:r>
      <w:r w:rsidRPr="0023720E">
        <w:rPr>
          <w:i/>
          <w:lang w:val="fr-CA"/>
        </w:rPr>
        <w:t>Borden Ladner Gervais, Toronto.</w:t>
      </w:r>
    </w:p>
    <w:p w:rsidR="005610CC" w:rsidRPr="0023720E" w:rsidRDefault="005610CC" w:rsidP="005610CC">
      <w:pPr>
        <w:pStyle w:val="SCCNormalDoubleSpacing"/>
        <w:spacing w:after="480"/>
        <w:rPr>
          <w:i/>
          <w:lang w:val="fr-CA"/>
        </w:rPr>
      </w:pPr>
      <w:r>
        <w:rPr>
          <w:lang w:val="fr-CA"/>
        </w:rPr>
        <w:tab/>
      </w:r>
      <w:r w:rsidRPr="0023720E">
        <w:rPr>
          <w:i/>
          <w:lang w:val="fr-CA"/>
        </w:rPr>
        <w:t>Procureurs de</w:t>
      </w:r>
      <w:r w:rsidRPr="0023720E">
        <w:rPr>
          <w:i/>
          <w:color w:val="000000"/>
          <w:szCs w:val="24"/>
          <w:lang w:val="fr-CA" w:eastAsia="en-US"/>
        </w:rPr>
        <w:t xml:space="preserve"> l’intervenante Ontario Trial Lawyers Association : </w:t>
      </w:r>
      <w:r w:rsidRPr="0023720E">
        <w:rPr>
          <w:i/>
          <w:lang w:val="fr-CA"/>
        </w:rPr>
        <w:t>Legate Personal Injury Lawyers, London (Ont.).</w:t>
      </w:r>
    </w:p>
    <w:p w:rsidR="002A668D" w:rsidRPr="002A668D" w:rsidRDefault="002A668D" w:rsidP="005610CC">
      <w:pPr>
        <w:rPr>
          <w:lang w:val="fr-CA"/>
        </w:rPr>
      </w:pPr>
    </w:p>
    <w:sectPr w:rsidR="002A668D" w:rsidRPr="002A668D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FC" w:rsidRDefault="005944FC">
      <w:r>
        <w:separator/>
      </w:r>
    </w:p>
  </w:endnote>
  <w:endnote w:type="continuationSeparator" w:id="0">
    <w:p w:rsidR="005944FC" w:rsidRDefault="0059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FC" w:rsidRDefault="005944FC">
      <w:r>
        <w:separator/>
      </w:r>
    </w:p>
  </w:footnote>
  <w:footnote w:type="continuationSeparator" w:id="0">
    <w:p w:rsidR="005944FC" w:rsidRDefault="0059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6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763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C85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A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83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00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A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B73F21"/>
    <w:multiLevelType w:val="hybridMultilevel"/>
    <w:tmpl w:val="1CA8AB4C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0BA4"/>
    <w:multiLevelType w:val="hybridMultilevel"/>
    <w:tmpl w:val="900CBD0E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B2609"/>
    <w:multiLevelType w:val="hybridMultilevel"/>
    <w:tmpl w:val="B62EB43A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65EB2"/>
    <w:multiLevelType w:val="hybridMultilevel"/>
    <w:tmpl w:val="406E4396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69BE"/>
    <w:multiLevelType w:val="hybridMultilevel"/>
    <w:tmpl w:val="424E113C"/>
    <w:lvl w:ilvl="0" w:tplc="846E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3130A"/>
    <w:multiLevelType w:val="multilevel"/>
    <w:tmpl w:val="9A5EAD4C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8" w15:restartNumberingAfterBreak="0">
    <w:nsid w:val="4AC64FE2"/>
    <w:multiLevelType w:val="hybridMultilevel"/>
    <w:tmpl w:val="0B76EEBC"/>
    <w:lvl w:ilvl="0" w:tplc="434646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 w15:restartNumberingAfterBreak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83EE8"/>
    <w:multiLevelType w:val="multilevel"/>
    <w:tmpl w:val="6138042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2891"/>
    <w:multiLevelType w:val="hybridMultilevel"/>
    <w:tmpl w:val="FAECBADC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D1F9C"/>
    <w:multiLevelType w:val="hybridMultilevel"/>
    <w:tmpl w:val="A1BA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A5550B"/>
    <w:multiLevelType w:val="hybridMultilevel"/>
    <w:tmpl w:val="D9EA6A54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B23C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957F3C"/>
    <w:multiLevelType w:val="hybridMultilevel"/>
    <w:tmpl w:val="A0A41CF8"/>
    <w:lvl w:ilvl="0" w:tplc="D7E61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9"/>
  </w:num>
  <w:num w:numId="5">
    <w:abstractNumId w:val="20"/>
  </w:num>
  <w:num w:numId="6">
    <w:abstractNumId w:val="21"/>
  </w:num>
  <w:num w:numId="7">
    <w:abstractNumId w:val="17"/>
  </w:num>
  <w:num w:numId="8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9">
    <w:abstractNumId w:val="25"/>
  </w:num>
  <w:num w:numId="10">
    <w:abstractNumId w:val="15"/>
  </w:num>
  <w:num w:numId="11">
    <w:abstractNumId w:val="13"/>
  </w:num>
  <w:num w:numId="12">
    <w:abstractNumId w:val="11"/>
  </w:num>
  <w:num w:numId="13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3"/>
  </w:num>
  <w:num w:numId="27">
    <w:abstractNumId w:val="14"/>
  </w:num>
  <w:num w:numId="28">
    <w:abstractNumId w:val="26"/>
  </w:num>
  <w:num w:numId="29">
    <w:abstractNumId w:val="24"/>
  </w:num>
  <w:num w:numId="30">
    <w:abstractNumId w:val="17"/>
    <w:lvlOverride w:ilvl="0">
      <w:startOverride w:val="1"/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startOverride w:val="1"/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removePersonalInformation/>
  <w:removeDateAndTim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3781"/>
    <w:rsid w:val="00017885"/>
    <w:rsid w:val="00025198"/>
    <w:rsid w:val="00026467"/>
    <w:rsid w:val="00040D1B"/>
    <w:rsid w:val="00041BDD"/>
    <w:rsid w:val="000578A3"/>
    <w:rsid w:val="000648CC"/>
    <w:rsid w:val="00076E46"/>
    <w:rsid w:val="00094FED"/>
    <w:rsid w:val="000B5CFA"/>
    <w:rsid w:val="000B69B5"/>
    <w:rsid w:val="000C3FCE"/>
    <w:rsid w:val="000C59B8"/>
    <w:rsid w:val="000C5E67"/>
    <w:rsid w:val="000C6AF0"/>
    <w:rsid w:val="000C78C2"/>
    <w:rsid w:val="000F0995"/>
    <w:rsid w:val="000F2FF1"/>
    <w:rsid w:val="00104F33"/>
    <w:rsid w:val="00106D75"/>
    <w:rsid w:val="00111905"/>
    <w:rsid w:val="00111DE2"/>
    <w:rsid w:val="0011492A"/>
    <w:rsid w:val="001160DE"/>
    <w:rsid w:val="00116B38"/>
    <w:rsid w:val="00134F55"/>
    <w:rsid w:val="00135406"/>
    <w:rsid w:val="00135972"/>
    <w:rsid w:val="00136268"/>
    <w:rsid w:val="00137E61"/>
    <w:rsid w:val="001426A9"/>
    <w:rsid w:val="0014546A"/>
    <w:rsid w:val="00154563"/>
    <w:rsid w:val="00154D7C"/>
    <w:rsid w:val="001570B0"/>
    <w:rsid w:val="0015752C"/>
    <w:rsid w:val="00157737"/>
    <w:rsid w:val="00165277"/>
    <w:rsid w:val="001677C1"/>
    <w:rsid w:val="00170592"/>
    <w:rsid w:val="00186351"/>
    <w:rsid w:val="00195D83"/>
    <w:rsid w:val="001977DB"/>
    <w:rsid w:val="001A00C1"/>
    <w:rsid w:val="001A42A4"/>
    <w:rsid w:val="001B33E0"/>
    <w:rsid w:val="001B4573"/>
    <w:rsid w:val="001C779F"/>
    <w:rsid w:val="001D2AC1"/>
    <w:rsid w:val="001D4DDF"/>
    <w:rsid w:val="001D4E88"/>
    <w:rsid w:val="001D65FF"/>
    <w:rsid w:val="001D6E70"/>
    <w:rsid w:val="001E477D"/>
    <w:rsid w:val="00220FC2"/>
    <w:rsid w:val="002222F4"/>
    <w:rsid w:val="00224FC0"/>
    <w:rsid w:val="00225EA4"/>
    <w:rsid w:val="00226EAF"/>
    <w:rsid w:val="002310A2"/>
    <w:rsid w:val="00231F3A"/>
    <w:rsid w:val="00234199"/>
    <w:rsid w:val="00236389"/>
    <w:rsid w:val="00237AFE"/>
    <w:rsid w:val="002406EE"/>
    <w:rsid w:val="00243EC8"/>
    <w:rsid w:val="0026412B"/>
    <w:rsid w:val="00264B77"/>
    <w:rsid w:val="00270D93"/>
    <w:rsid w:val="002745CC"/>
    <w:rsid w:val="002909F6"/>
    <w:rsid w:val="0029178F"/>
    <w:rsid w:val="002A668D"/>
    <w:rsid w:val="002B7924"/>
    <w:rsid w:val="002B7ABA"/>
    <w:rsid w:val="002D2226"/>
    <w:rsid w:val="002D28C3"/>
    <w:rsid w:val="002D294E"/>
    <w:rsid w:val="002D39A4"/>
    <w:rsid w:val="002E6189"/>
    <w:rsid w:val="002E6705"/>
    <w:rsid w:val="00301D08"/>
    <w:rsid w:val="0030329A"/>
    <w:rsid w:val="00303F14"/>
    <w:rsid w:val="00305526"/>
    <w:rsid w:val="0031086F"/>
    <w:rsid w:val="0031414C"/>
    <w:rsid w:val="00314E01"/>
    <w:rsid w:val="00317670"/>
    <w:rsid w:val="0032089D"/>
    <w:rsid w:val="00324AE2"/>
    <w:rsid w:val="003310DE"/>
    <w:rsid w:val="003323B0"/>
    <w:rsid w:val="00337C82"/>
    <w:rsid w:val="00342089"/>
    <w:rsid w:val="00347BA4"/>
    <w:rsid w:val="0035169A"/>
    <w:rsid w:val="0035259D"/>
    <w:rsid w:val="00353B79"/>
    <w:rsid w:val="00355C66"/>
    <w:rsid w:val="003627B0"/>
    <w:rsid w:val="00362ADA"/>
    <w:rsid w:val="00364B18"/>
    <w:rsid w:val="00386ACD"/>
    <w:rsid w:val="00396BF3"/>
    <w:rsid w:val="003A125D"/>
    <w:rsid w:val="003A4C70"/>
    <w:rsid w:val="003A5D5C"/>
    <w:rsid w:val="003B0AE3"/>
    <w:rsid w:val="003B215F"/>
    <w:rsid w:val="003C2CFF"/>
    <w:rsid w:val="003C799C"/>
    <w:rsid w:val="003D0399"/>
    <w:rsid w:val="003E1C71"/>
    <w:rsid w:val="003E2693"/>
    <w:rsid w:val="003E53AC"/>
    <w:rsid w:val="003F327B"/>
    <w:rsid w:val="003F7ACB"/>
    <w:rsid w:val="00400B24"/>
    <w:rsid w:val="00404D28"/>
    <w:rsid w:val="00406166"/>
    <w:rsid w:val="0040704B"/>
    <w:rsid w:val="00407839"/>
    <w:rsid w:val="00410003"/>
    <w:rsid w:val="00410A55"/>
    <w:rsid w:val="00411300"/>
    <w:rsid w:val="00415417"/>
    <w:rsid w:val="00424FE1"/>
    <w:rsid w:val="00426659"/>
    <w:rsid w:val="00426D16"/>
    <w:rsid w:val="00450352"/>
    <w:rsid w:val="00454BDB"/>
    <w:rsid w:val="0046138B"/>
    <w:rsid w:val="00463A7A"/>
    <w:rsid w:val="00464800"/>
    <w:rsid w:val="00464BF6"/>
    <w:rsid w:val="00465132"/>
    <w:rsid w:val="00465EF1"/>
    <w:rsid w:val="004707F9"/>
    <w:rsid w:val="00470DB3"/>
    <w:rsid w:val="0047411A"/>
    <w:rsid w:val="00480C90"/>
    <w:rsid w:val="0048396F"/>
    <w:rsid w:val="00493C18"/>
    <w:rsid w:val="00495D96"/>
    <w:rsid w:val="004A600C"/>
    <w:rsid w:val="004A6118"/>
    <w:rsid w:val="004C2314"/>
    <w:rsid w:val="004C25EE"/>
    <w:rsid w:val="004C478D"/>
    <w:rsid w:val="004D4FEC"/>
    <w:rsid w:val="004E0D6A"/>
    <w:rsid w:val="004E2C26"/>
    <w:rsid w:val="004E61A7"/>
    <w:rsid w:val="004F36FF"/>
    <w:rsid w:val="005125A8"/>
    <w:rsid w:val="00516DED"/>
    <w:rsid w:val="00521AE8"/>
    <w:rsid w:val="00524449"/>
    <w:rsid w:val="00527180"/>
    <w:rsid w:val="005341CE"/>
    <w:rsid w:val="00534AB2"/>
    <w:rsid w:val="0054201E"/>
    <w:rsid w:val="005541DB"/>
    <w:rsid w:val="00555291"/>
    <w:rsid w:val="005610CC"/>
    <w:rsid w:val="0056265A"/>
    <w:rsid w:val="00566AD1"/>
    <w:rsid w:val="0057257D"/>
    <w:rsid w:val="00583EDE"/>
    <w:rsid w:val="00586928"/>
    <w:rsid w:val="005944FC"/>
    <w:rsid w:val="005966EF"/>
    <w:rsid w:val="005A4F85"/>
    <w:rsid w:val="005A6079"/>
    <w:rsid w:val="005C7840"/>
    <w:rsid w:val="005E4698"/>
    <w:rsid w:val="006003EE"/>
    <w:rsid w:val="00610539"/>
    <w:rsid w:val="00613969"/>
    <w:rsid w:val="0061523C"/>
    <w:rsid w:val="00617208"/>
    <w:rsid w:val="00625C35"/>
    <w:rsid w:val="00626A7D"/>
    <w:rsid w:val="0062787A"/>
    <w:rsid w:val="00635521"/>
    <w:rsid w:val="006468AB"/>
    <w:rsid w:val="00654DB7"/>
    <w:rsid w:val="00656313"/>
    <w:rsid w:val="006565F4"/>
    <w:rsid w:val="0066108F"/>
    <w:rsid w:val="006763FD"/>
    <w:rsid w:val="00684EEA"/>
    <w:rsid w:val="006908E8"/>
    <w:rsid w:val="0069689B"/>
    <w:rsid w:val="006A1551"/>
    <w:rsid w:val="006A48DB"/>
    <w:rsid w:val="006B0C29"/>
    <w:rsid w:val="006B5FF5"/>
    <w:rsid w:val="006B7683"/>
    <w:rsid w:val="006D4200"/>
    <w:rsid w:val="006F30AF"/>
    <w:rsid w:val="007009A0"/>
    <w:rsid w:val="00701759"/>
    <w:rsid w:val="00701CF2"/>
    <w:rsid w:val="00705C15"/>
    <w:rsid w:val="00712E55"/>
    <w:rsid w:val="00713025"/>
    <w:rsid w:val="007154A1"/>
    <w:rsid w:val="0071600E"/>
    <w:rsid w:val="007162FD"/>
    <w:rsid w:val="00717FDC"/>
    <w:rsid w:val="007208D1"/>
    <w:rsid w:val="0072428C"/>
    <w:rsid w:val="00730177"/>
    <w:rsid w:val="00742119"/>
    <w:rsid w:val="00747288"/>
    <w:rsid w:val="00747DD3"/>
    <w:rsid w:val="007549C8"/>
    <w:rsid w:val="00754A0B"/>
    <w:rsid w:val="00766D14"/>
    <w:rsid w:val="00767A0F"/>
    <w:rsid w:val="00796207"/>
    <w:rsid w:val="007A05F6"/>
    <w:rsid w:val="007B3D74"/>
    <w:rsid w:val="007B6F4A"/>
    <w:rsid w:val="007D097E"/>
    <w:rsid w:val="007E1C47"/>
    <w:rsid w:val="007E337A"/>
    <w:rsid w:val="007E5C70"/>
    <w:rsid w:val="007F2FF5"/>
    <w:rsid w:val="007F3F08"/>
    <w:rsid w:val="00804CC6"/>
    <w:rsid w:val="00813B48"/>
    <w:rsid w:val="00817190"/>
    <w:rsid w:val="00820EE5"/>
    <w:rsid w:val="008244E9"/>
    <w:rsid w:val="008260E2"/>
    <w:rsid w:val="008322BD"/>
    <w:rsid w:val="008323C4"/>
    <w:rsid w:val="00833E0A"/>
    <w:rsid w:val="00834F73"/>
    <w:rsid w:val="00847F55"/>
    <w:rsid w:val="008544FA"/>
    <w:rsid w:val="00864CF8"/>
    <w:rsid w:val="00872819"/>
    <w:rsid w:val="00874914"/>
    <w:rsid w:val="00891422"/>
    <w:rsid w:val="00892E1A"/>
    <w:rsid w:val="008A3F29"/>
    <w:rsid w:val="008B660A"/>
    <w:rsid w:val="008B70F9"/>
    <w:rsid w:val="008C01DA"/>
    <w:rsid w:val="008C02C9"/>
    <w:rsid w:val="008C7263"/>
    <w:rsid w:val="008D2104"/>
    <w:rsid w:val="008F78E9"/>
    <w:rsid w:val="00903C32"/>
    <w:rsid w:val="00911989"/>
    <w:rsid w:val="009179F9"/>
    <w:rsid w:val="0093031F"/>
    <w:rsid w:val="00931C1C"/>
    <w:rsid w:val="00933E5E"/>
    <w:rsid w:val="00935218"/>
    <w:rsid w:val="009403F3"/>
    <w:rsid w:val="009555B7"/>
    <w:rsid w:val="009567AA"/>
    <w:rsid w:val="0096473A"/>
    <w:rsid w:val="00967374"/>
    <w:rsid w:val="00976EB5"/>
    <w:rsid w:val="00981B4D"/>
    <w:rsid w:val="009A343A"/>
    <w:rsid w:val="009A4E51"/>
    <w:rsid w:val="009A520F"/>
    <w:rsid w:val="009B2F23"/>
    <w:rsid w:val="009B57B3"/>
    <w:rsid w:val="009B6FFE"/>
    <w:rsid w:val="009C5B92"/>
    <w:rsid w:val="009D2920"/>
    <w:rsid w:val="009D5AEB"/>
    <w:rsid w:val="009F0E33"/>
    <w:rsid w:val="009F1E77"/>
    <w:rsid w:val="00A003F4"/>
    <w:rsid w:val="00A030CE"/>
    <w:rsid w:val="00A149DF"/>
    <w:rsid w:val="00A1755C"/>
    <w:rsid w:val="00A21B90"/>
    <w:rsid w:val="00A41805"/>
    <w:rsid w:val="00A42DCD"/>
    <w:rsid w:val="00A44699"/>
    <w:rsid w:val="00A52AFB"/>
    <w:rsid w:val="00A548CB"/>
    <w:rsid w:val="00A5521C"/>
    <w:rsid w:val="00A557A1"/>
    <w:rsid w:val="00A55CEF"/>
    <w:rsid w:val="00A643E7"/>
    <w:rsid w:val="00A73C38"/>
    <w:rsid w:val="00A9085B"/>
    <w:rsid w:val="00AB670D"/>
    <w:rsid w:val="00AC6FA4"/>
    <w:rsid w:val="00AD2826"/>
    <w:rsid w:val="00AD342F"/>
    <w:rsid w:val="00AE25FE"/>
    <w:rsid w:val="00AE4535"/>
    <w:rsid w:val="00AF03C5"/>
    <w:rsid w:val="00AF0B26"/>
    <w:rsid w:val="00B000D8"/>
    <w:rsid w:val="00B00F75"/>
    <w:rsid w:val="00B11735"/>
    <w:rsid w:val="00B1431F"/>
    <w:rsid w:val="00B145B6"/>
    <w:rsid w:val="00B2215E"/>
    <w:rsid w:val="00B279EB"/>
    <w:rsid w:val="00B30E18"/>
    <w:rsid w:val="00B32357"/>
    <w:rsid w:val="00B43559"/>
    <w:rsid w:val="00B50C81"/>
    <w:rsid w:val="00B557F8"/>
    <w:rsid w:val="00B56AAF"/>
    <w:rsid w:val="00B67199"/>
    <w:rsid w:val="00B815FC"/>
    <w:rsid w:val="00B93FBC"/>
    <w:rsid w:val="00BA066D"/>
    <w:rsid w:val="00BA7DA0"/>
    <w:rsid w:val="00BB2366"/>
    <w:rsid w:val="00BB2EE4"/>
    <w:rsid w:val="00BB5AE6"/>
    <w:rsid w:val="00BC2108"/>
    <w:rsid w:val="00BC5642"/>
    <w:rsid w:val="00BD0E9E"/>
    <w:rsid w:val="00BD1BEC"/>
    <w:rsid w:val="00BD32FF"/>
    <w:rsid w:val="00BD67ED"/>
    <w:rsid w:val="00C02092"/>
    <w:rsid w:val="00C22905"/>
    <w:rsid w:val="00C229CD"/>
    <w:rsid w:val="00C24D91"/>
    <w:rsid w:val="00C31D39"/>
    <w:rsid w:val="00C53F14"/>
    <w:rsid w:val="00C600CF"/>
    <w:rsid w:val="00C6084F"/>
    <w:rsid w:val="00C62A66"/>
    <w:rsid w:val="00C62FD6"/>
    <w:rsid w:val="00C71458"/>
    <w:rsid w:val="00C77613"/>
    <w:rsid w:val="00C828E7"/>
    <w:rsid w:val="00C86719"/>
    <w:rsid w:val="00C921DD"/>
    <w:rsid w:val="00CA6391"/>
    <w:rsid w:val="00CA7B39"/>
    <w:rsid w:val="00CB5B04"/>
    <w:rsid w:val="00CC34BD"/>
    <w:rsid w:val="00CE161A"/>
    <w:rsid w:val="00CE3171"/>
    <w:rsid w:val="00CF1601"/>
    <w:rsid w:val="00D0172F"/>
    <w:rsid w:val="00D068A7"/>
    <w:rsid w:val="00D10E7D"/>
    <w:rsid w:val="00D173CE"/>
    <w:rsid w:val="00D17476"/>
    <w:rsid w:val="00D22128"/>
    <w:rsid w:val="00D25F6B"/>
    <w:rsid w:val="00D26B67"/>
    <w:rsid w:val="00D32086"/>
    <w:rsid w:val="00D360E6"/>
    <w:rsid w:val="00D37A3F"/>
    <w:rsid w:val="00D4431D"/>
    <w:rsid w:val="00D4667A"/>
    <w:rsid w:val="00D469D5"/>
    <w:rsid w:val="00D47BFC"/>
    <w:rsid w:val="00D614A5"/>
    <w:rsid w:val="00D63A1C"/>
    <w:rsid w:val="00D7516F"/>
    <w:rsid w:val="00D83628"/>
    <w:rsid w:val="00D8579F"/>
    <w:rsid w:val="00D90B9E"/>
    <w:rsid w:val="00D91A89"/>
    <w:rsid w:val="00D95F8E"/>
    <w:rsid w:val="00DA0590"/>
    <w:rsid w:val="00DB7BEA"/>
    <w:rsid w:val="00DC1739"/>
    <w:rsid w:val="00DC1788"/>
    <w:rsid w:val="00DC2F37"/>
    <w:rsid w:val="00DD105B"/>
    <w:rsid w:val="00DE319C"/>
    <w:rsid w:val="00DE54B0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1D67"/>
    <w:rsid w:val="00E3214F"/>
    <w:rsid w:val="00E333F9"/>
    <w:rsid w:val="00E35404"/>
    <w:rsid w:val="00E45109"/>
    <w:rsid w:val="00E47B7A"/>
    <w:rsid w:val="00E56A44"/>
    <w:rsid w:val="00E60269"/>
    <w:rsid w:val="00E653D0"/>
    <w:rsid w:val="00E65A2E"/>
    <w:rsid w:val="00E71951"/>
    <w:rsid w:val="00E77932"/>
    <w:rsid w:val="00E83FDA"/>
    <w:rsid w:val="00E92347"/>
    <w:rsid w:val="00E97830"/>
    <w:rsid w:val="00EA1D3B"/>
    <w:rsid w:val="00ED681A"/>
    <w:rsid w:val="00EE5737"/>
    <w:rsid w:val="00EE643C"/>
    <w:rsid w:val="00EF0683"/>
    <w:rsid w:val="00EF69D2"/>
    <w:rsid w:val="00EF766E"/>
    <w:rsid w:val="00F0070C"/>
    <w:rsid w:val="00F00EB7"/>
    <w:rsid w:val="00F03D8E"/>
    <w:rsid w:val="00F36AB6"/>
    <w:rsid w:val="00F37A09"/>
    <w:rsid w:val="00F409CE"/>
    <w:rsid w:val="00F4379D"/>
    <w:rsid w:val="00F43876"/>
    <w:rsid w:val="00F50635"/>
    <w:rsid w:val="00F50D2D"/>
    <w:rsid w:val="00F56C8B"/>
    <w:rsid w:val="00F66810"/>
    <w:rsid w:val="00F8086E"/>
    <w:rsid w:val="00F846D9"/>
    <w:rsid w:val="00F84DF4"/>
    <w:rsid w:val="00F85C97"/>
    <w:rsid w:val="00F94A57"/>
    <w:rsid w:val="00FA51A0"/>
    <w:rsid w:val="00FB37D2"/>
    <w:rsid w:val="00FB7D08"/>
    <w:rsid w:val="00FC3788"/>
    <w:rsid w:val="00FC4EFB"/>
    <w:rsid w:val="00FD068D"/>
    <w:rsid w:val="00FD4F28"/>
    <w:rsid w:val="00FE0416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qFormat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5A2E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0C78C2"/>
  </w:style>
  <w:style w:type="character" w:customStyle="1" w:styleId="Heading3Char">
    <w:name w:val="Heading 3 Char"/>
    <w:basedOn w:val="DefaultParagraphFont"/>
    <w:link w:val="Heading3"/>
    <w:uiPriority w:val="9"/>
    <w:semiHidden/>
    <w:rsid w:val="00C2290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05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05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C22905"/>
    <w:pPr>
      <w:spacing w:after="480"/>
    </w:pPr>
    <w:rPr>
      <w:rFonts w:eastAsiaTheme="minorHAnsi" w:cstheme="minorBidi"/>
      <w:szCs w:val="22"/>
      <w:lang w:val="en-US" w:eastAsia="en-US" w:bidi="en-US"/>
    </w:rPr>
  </w:style>
  <w:style w:type="paragraph" w:customStyle="1" w:styleId="SCCCoram">
    <w:name w:val="SCC.Coram"/>
    <w:basedOn w:val="Normal"/>
    <w:next w:val="Normal"/>
    <w:link w:val="SCCCoramChar"/>
    <w:rsid w:val="00C22905"/>
    <w:pPr>
      <w:pBdr>
        <w:bottom w:val="single" w:sz="4" w:space="1" w:color="auto"/>
      </w:pBdr>
    </w:pPr>
    <w:rPr>
      <w:rFonts w:eastAsiaTheme="minorHAnsi" w:cstheme="minorBidi"/>
      <w:szCs w:val="22"/>
      <w:lang w:val="en-US" w:eastAsia="en-US" w:bidi="en-US"/>
    </w:rPr>
  </w:style>
  <w:style w:type="character" w:customStyle="1" w:styleId="SCCCoramChar">
    <w:name w:val="SCC.Coram Char"/>
    <w:basedOn w:val="DefaultParagraphFont"/>
    <w:link w:val="SCCCoram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BanSummaryChar">
    <w:name w:val="SCC.BanSummary Char"/>
    <w:basedOn w:val="DefaultParagraphFont"/>
    <w:link w:val="SCCBanSummary"/>
    <w:rsid w:val="00C22905"/>
    <w:rPr>
      <w:b/>
      <w:sz w:val="24"/>
    </w:rPr>
  </w:style>
  <w:style w:type="table" w:styleId="TableGrid">
    <w:name w:val="Table Grid"/>
    <w:basedOn w:val="TableNormal"/>
    <w:uiPriority w:val="59"/>
    <w:rsid w:val="00C22905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tion-AltC">
    <w:name w:val="Citation - Alt C"/>
    <w:uiPriority w:val="2"/>
    <w:qFormat/>
    <w:rsid w:val="00C22905"/>
    <w:pPr>
      <w:spacing w:after="720"/>
      <w:ind w:left="1166"/>
      <w:contextualSpacing/>
      <w:jc w:val="both"/>
    </w:pPr>
    <w:rPr>
      <w:sz w:val="24"/>
    </w:rPr>
  </w:style>
  <w:style w:type="paragraph" w:customStyle="1" w:styleId="ContinueParaSuitedupar-AltP">
    <w:name w:val="Continue Para. / Suite du par. - Alt P"/>
    <w:next w:val="ParaNoNdepar-AltN"/>
    <w:uiPriority w:val="1"/>
    <w:qFormat/>
    <w:rsid w:val="00C22905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link w:val="JudgeJugeChar"/>
    <w:uiPriority w:val="3"/>
    <w:rsid w:val="00C22905"/>
    <w:pPr>
      <w:tabs>
        <w:tab w:val="left" w:pos="1260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link w:val="ParaNoNdepar-AltNChar"/>
    <w:qFormat/>
    <w:rsid w:val="00C22905"/>
    <w:pPr>
      <w:numPr>
        <w:numId w:val="6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C22905"/>
    <w:pPr>
      <w:numPr>
        <w:numId w:val="7"/>
      </w:numPr>
      <w:tabs>
        <w:tab w:val="clear" w:pos="576"/>
      </w:tabs>
      <w:spacing w:before="480" w:after="720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C22905"/>
    <w:pPr>
      <w:numPr>
        <w:ilvl w:val="1"/>
      </w:numPr>
      <w:tabs>
        <w:tab w:val="clear" w:pos="576"/>
      </w:tabs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C22905"/>
    <w:pPr>
      <w:numPr>
        <w:ilvl w:val="2"/>
      </w:numPr>
      <w:tabs>
        <w:tab w:val="clear" w:pos="1152"/>
      </w:tabs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C22905"/>
    <w:pPr>
      <w:numPr>
        <w:ilvl w:val="3"/>
      </w:numPr>
      <w:tabs>
        <w:tab w:val="clear" w:pos="1152"/>
      </w:tabs>
      <w:ind w:left="1156" w:hanging="578"/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C22905"/>
    <w:pPr>
      <w:numPr>
        <w:ilvl w:val="4"/>
      </w:numPr>
      <w:tabs>
        <w:tab w:val="clear" w:pos="1728"/>
      </w:tabs>
      <w:ind w:left="1729" w:hanging="578"/>
      <w:outlineLvl w:val="4"/>
    </w:pPr>
  </w:style>
  <w:style w:type="paragraph" w:styleId="TOC1">
    <w:name w:val="toc 1"/>
    <w:basedOn w:val="Normal"/>
    <w:next w:val="Normal"/>
    <w:autoRedefine/>
    <w:uiPriority w:val="39"/>
    <w:unhideWhenUsed/>
    <w:rsid w:val="00C22905"/>
    <w:pPr>
      <w:tabs>
        <w:tab w:val="left" w:pos="360"/>
        <w:tab w:val="right" w:leader="dot" w:pos="8270"/>
      </w:tabs>
      <w:spacing w:before="120" w:after="120"/>
    </w:pPr>
    <w:rPr>
      <w:rFonts w:eastAsiaTheme="minorHAnsi" w:cstheme="minorBidi"/>
      <w:noProof/>
      <w:u w:val="single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22905"/>
    <w:pPr>
      <w:tabs>
        <w:tab w:val="left" w:pos="720"/>
        <w:tab w:val="right" w:leader="dot" w:pos="8270"/>
      </w:tabs>
      <w:spacing w:before="120" w:after="120"/>
      <w:ind w:left="432" w:hanging="432"/>
    </w:pPr>
    <w:rPr>
      <w:rFonts w:eastAsiaTheme="minorHAnsi" w:cstheme="minorBidi"/>
      <w:i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22905"/>
    <w:pPr>
      <w:tabs>
        <w:tab w:val="left" w:pos="1080"/>
        <w:tab w:val="right" w:leader="dot" w:pos="8270"/>
      </w:tabs>
      <w:spacing w:before="120" w:after="120"/>
      <w:ind w:left="864" w:hanging="432"/>
    </w:pPr>
    <w:rPr>
      <w:rFonts w:eastAsiaTheme="minorHAnsi" w:cstheme="minorBidi"/>
      <w:noProof/>
      <w:u w:val="single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22905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22905"/>
    <w:pPr>
      <w:tabs>
        <w:tab w:val="left" w:pos="1440"/>
        <w:tab w:val="right" w:leader="dot" w:pos="8270"/>
      </w:tabs>
      <w:spacing w:before="120" w:after="120"/>
      <w:ind w:left="1454" w:hanging="547"/>
    </w:pPr>
    <w:rPr>
      <w:rFonts w:eastAsiaTheme="minorHAnsi" w:cstheme="minorBidi"/>
      <w:noProof/>
      <w:u w:val="single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C22905"/>
    <w:pPr>
      <w:tabs>
        <w:tab w:val="left" w:pos="2160"/>
        <w:tab w:val="right" w:leader="dot" w:pos="8270"/>
      </w:tabs>
      <w:spacing w:after="100"/>
      <w:ind w:left="1800"/>
    </w:pPr>
    <w:rPr>
      <w:rFonts w:eastAsiaTheme="minorHAnsi" w:cstheme="minorBidi"/>
      <w:noProof/>
      <w:lang w:val="en-US" w:eastAsia="en-US" w:bidi="en-US"/>
    </w:rPr>
  </w:style>
  <w:style w:type="table" w:customStyle="1" w:styleId="TableGrid1">
    <w:name w:val="Table Grid1"/>
    <w:basedOn w:val="TableNormal"/>
    <w:uiPriority w:val="59"/>
    <w:rsid w:val="00C2290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Titre-AltT">
    <w:name w:val="Title / Titre - Alt T"/>
    <w:next w:val="ParaNoNdepar-AltN"/>
    <w:uiPriority w:val="3"/>
    <w:qFormat/>
    <w:rsid w:val="00C22905"/>
    <w:pPr>
      <w:tabs>
        <w:tab w:val="left" w:pos="360"/>
      </w:tabs>
      <w:spacing w:before="480" w:after="720"/>
      <w:ind w:left="360" w:hanging="360"/>
      <w:jc w:val="both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C22905"/>
    <w:pPr>
      <w:numPr>
        <w:ilvl w:val="5"/>
      </w:numPr>
      <w:jc w:val="both"/>
      <w:outlineLvl w:val="5"/>
    </w:pPr>
    <w:rPr>
      <w:i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22905"/>
    <w:pPr>
      <w:tabs>
        <w:tab w:val="left" w:pos="180"/>
      </w:tabs>
      <w:ind w:left="187" w:hanging="18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05"/>
  </w:style>
  <w:style w:type="character" w:styleId="FootnoteReference">
    <w:name w:val="foot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styleId="SubtleEmphasis">
    <w:name w:val="Subtle Emphasis"/>
    <w:basedOn w:val="DefaultParagraphFont"/>
    <w:uiPriority w:val="19"/>
    <w:rsid w:val="00C22905"/>
    <w:rPr>
      <w:i/>
      <w:iCs/>
      <w:color w:val="808080" w:themeColor="text1" w:themeTint="7F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2905"/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05"/>
    <w:rPr>
      <w:rFonts w:eastAsiaTheme="minorHAnsi" w:cstheme="minorBidi"/>
      <w:sz w:val="20"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05"/>
    <w:rPr>
      <w:rFonts w:eastAsiaTheme="minorHAnsi" w:cstheme="minorBidi"/>
      <w:szCs w:val="22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05"/>
    <w:rPr>
      <w:rFonts w:eastAsiaTheme="minorHAnsi" w:cstheme="minorBidi"/>
      <w:b/>
      <w:bCs/>
      <w:szCs w:val="22"/>
      <w:lang w:val="en-US" w:eastAsia="en-US" w:bidi="en-US"/>
    </w:rPr>
  </w:style>
  <w:style w:type="character" w:customStyle="1" w:styleId="JudgeJugeChar">
    <w:name w:val="Judge / Juge Char"/>
    <w:basedOn w:val="DefaultParagraphFont"/>
    <w:link w:val="JudgeJuge"/>
    <w:uiPriority w:val="3"/>
    <w:rsid w:val="00C22905"/>
    <w:rPr>
      <w:smallCaps/>
      <w:sz w:val="24"/>
    </w:rPr>
  </w:style>
  <w:style w:type="paragraph" w:styleId="NoSpacing">
    <w:name w:val="No Spacing"/>
    <w:uiPriority w:val="1"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05"/>
    <w:pPr>
      <w:spacing w:before="480" w:after="0"/>
      <w:ind w:left="0" w:firstLine="0"/>
      <w:outlineLvl w:val="9"/>
    </w:pPr>
    <w:rPr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05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rsid w:val="00C22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C22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2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rsid w:val="00C22905"/>
    <w:rPr>
      <w:i/>
      <w:iCs/>
    </w:rPr>
  </w:style>
  <w:style w:type="paragraph" w:styleId="ListParagraph">
    <w:name w:val="List Paragraph"/>
    <w:basedOn w:val="Normal"/>
    <w:uiPriority w:val="34"/>
    <w:rsid w:val="00C22905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29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05"/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styleId="IntenseEmphasis">
    <w:name w:val="Intense Emphasis"/>
    <w:basedOn w:val="DefaultParagraphFont"/>
    <w:uiPriority w:val="21"/>
    <w:rsid w:val="00C229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229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229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2290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905"/>
    <w:rPr>
      <w:rFonts w:eastAsiaTheme="minorHAnsi" w:cstheme="minorBidi"/>
      <w:sz w:val="20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905"/>
    <w:rPr>
      <w:rFonts w:eastAsiaTheme="minorHAnsi" w:cstheme="minorBidi"/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customStyle="1" w:styleId="reflex3-block">
    <w:name w:val="reflex3-block"/>
    <w:basedOn w:val="DefaultParagraphFont"/>
    <w:rsid w:val="00C22905"/>
  </w:style>
  <w:style w:type="character" w:customStyle="1" w:styleId="reflex3-alt">
    <w:name w:val="reflex3-alt"/>
    <w:basedOn w:val="DefaultParagraphFont"/>
    <w:rsid w:val="00C22905"/>
  </w:style>
  <w:style w:type="character" w:customStyle="1" w:styleId="lawlabel">
    <w:name w:val="lawlabel"/>
    <w:basedOn w:val="DefaultParagraphFont"/>
    <w:rsid w:val="00C22905"/>
  </w:style>
  <w:style w:type="table" w:customStyle="1" w:styleId="TableGrid2">
    <w:name w:val="Table Grid2"/>
    <w:basedOn w:val="TableNormal"/>
    <w:next w:val="TableGrid"/>
    <w:uiPriority w:val="59"/>
    <w:rsid w:val="00C2290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CLsocPartyRoleChar">
    <w:name w:val="SCC.Lsoc.PartyRole Char"/>
    <w:basedOn w:val="DefaultParagraphFont"/>
    <w:rsid w:val="002A668D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2A668D"/>
    <w:rPr>
      <w:rFonts w:eastAsiaTheme="minorHAnsi" w:cstheme="minorBidi"/>
      <w:b/>
      <w:szCs w:val="22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2A668D"/>
    <w:rPr>
      <w:rFonts w:eastAsiaTheme="minorHAnsi" w:cstheme="minorBid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998F-E921-46A0-9074-C366DFBE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2021-01-20T20:35:00Z</dcterms:created>
  <dcterms:modified xsi:type="dcterms:W3CDTF">2024-01-11T21:24:00Z</dcterms:modified>
</cp:coreProperties>
</file>