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492"/>
        <w:gridCol w:w="1861"/>
        <w:gridCol w:w="2910"/>
        <w:gridCol w:w="17"/>
      </w:tblGrid>
      <w:tr w:rsidR="00E337CC" w:rsidTr="008E32ED">
        <w:trPr>
          <w:trHeight w:val="1786"/>
        </w:trPr>
        <w:tc>
          <w:tcPr>
            <w:tcW w:w="5000" w:type="pct"/>
            <w:gridSpan w:val="4"/>
          </w:tcPr>
          <w:p w:rsidR="00E337CC" w:rsidRDefault="00E337CC" w:rsidP="008E32ED">
            <w:pPr>
              <w:jc w:val="center"/>
            </w:pPr>
            <w:r w:rsidRPr="00C22905">
              <w:rPr>
                <w:rFonts w:eastAsia="Calibr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pt;height:63.75pt" o:ole="">
                  <v:imagedata r:id="rId8" o:title=""/>
                </v:shape>
                <o:OLEObject Type="Embed" ProgID="Presentations.Drawing.15" ShapeID="_x0000_i1025" DrawAspect="Content" ObjectID="_1766495650" r:id="rId9"/>
              </w:object>
            </w:r>
          </w:p>
          <w:p w:rsidR="00E337CC" w:rsidRDefault="00E337CC" w:rsidP="008E32ED">
            <w:pPr>
              <w:spacing w:before="120" w:after="100" w:afterAutospacing="1"/>
              <w:jc w:val="center"/>
              <w:rPr>
                <w:rFonts w:eastAsia="Calibri"/>
              </w:rPr>
            </w:pPr>
            <w:r w:rsidRPr="00C22905">
              <w:rPr>
                <w:rFonts w:eastAsia="Calibri"/>
                <w:b/>
                <w:szCs w:val="24"/>
                <w:lang w:eastAsia="en-US"/>
              </w:rPr>
              <w:t>COUR</w:t>
            </w:r>
            <w:r>
              <w:rPr>
                <w:rFonts w:eastAsia="Calibri"/>
                <w:b/>
                <w:szCs w:val="24"/>
                <w:lang w:eastAsia="en-US"/>
              </w:rPr>
              <w:t xml:space="preserve"> SUPRÊME DU</w:t>
            </w:r>
            <w:r w:rsidRPr="00C22905">
              <w:rPr>
                <w:rFonts w:eastAsia="Calibri"/>
                <w:b/>
                <w:szCs w:val="24"/>
                <w:lang w:eastAsia="en-US"/>
              </w:rPr>
              <w:t xml:space="preserve"> CANADA</w:t>
            </w:r>
          </w:p>
        </w:tc>
      </w:tr>
      <w:tr w:rsidR="00E337CC" w:rsidRPr="00684642" w:rsidTr="008E32ED">
        <w:trPr>
          <w:gridAfter w:val="1"/>
          <w:wAfter w:w="10" w:type="pct"/>
        </w:trPr>
        <w:tc>
          <w:tcPr>
            <w:tcW w:w="2109" w:type="pct"/>
            <w:tcMar>
              <w:top w:w="284" w:type="dxa"/>
            </w:tcMar>
          </w:tcPr>
          <w:p w:rsidR="00E337CC" w:rsidRPr="00CB5B04" w:rsidRDefault="00E337CC" w:rsidP="008E32ED">
            <w:pPr>
              <w:spacing w:before="100" w:beforeAutospacing="1"/>
              <w:rPr>
                <w:rFonts w:eastAsia="Calibri"/>
                <w:lang w:val="fr-CA"/>
              </w:rPr>
            </w:pPr>
            <w:r w:rsidRPr="00CB5B04">
              <w:rPr>
                <w:b/>
                <w:smallCaps/>
                <w:lang w:val="fr-CA"/>
              </w:rPr>
              <w:t>Référence :</w:t>
            </w:r>
            <w:r w:rsidRPr="00CB5B04">
              <w:rPr>
                <w:lang w:val="fr-CA"/>
              </w:rPr>
              <w:t xml:space="preserve"> </w:t>
            </w:r>
            <w:r>
              <w:rPr>
                <w:lang w:val="fr-CA"/>
              </w:rPr>
              <w:t xml:space="preserve">R. </w:t>
            </w:r>
            <w:r w:rsidRPr="00684642">
              <w:rPr>
                <w:i/>
                <w:lang w:val="fr-CA"/>
              </w:rPr>
              <w:t>c</w:t>
            </w:r>
            <w:r>
              <w:rPr>
                <w:lang w:val="fr-CA"/>
              </w:rPr>
              <w:t>. Yusuf, 2021 CSC 2, [2021] 1 R.C.S. 5</w:t>
            </w:r>
          </w:p>
        </w:tc>
        <w:tc>
          <w:tcPr>
            <w:tcW w:w="1124" w:type="pct"/>
          </w:tcPr>
          <w:p w:rsidR="00E337CC" w:rsidRPr="00CB5B04" w:rsidRDefault="00E337CC" w:rsidP="008E32ED">
            <w:pPr>
              <w:rPr>
                <w:b/>
                <w:smallCaps/>
                <w:lang w:val="fr-CA"/>
              </w:rPr>
            </w:pPr>
          </w:p>
        </w:tc>
        <w:tc>
          <w:tcPr>
            <w:tcW w:w="1757" w:type="pct"/>
            <w:tcMar>
              <w:top w:w="284" w:type="dxa"/>
            </w:tcMar>
          </w:tcPr>
          <w:p w:rsidR="00E337CC" w:rsidRPr="00CB5B04" w:rsidRDefault="00E337CC" w:rsidP="008E32ED">
            <w:pPr>
              <w:rPr>
                <w:lang w:val="fr-CA"/>
              </w:rPr>
            </w:pPr>
            <w:r w:rsidRPr="00CB5B04">
              <w:rPr>
                <w:b/>
                <w:smallCaps/>
                <w:lang w:val="fr-CA"/>
              </w:rPr>
              <w:t>Appel entendu :</w:t>
            </w:r>
            <w:r w:rsidRPr="00CB5B04">
              <w:rPr>
                <w:lang w:val="fr-CA"/>
              </w:rPr>
              <w:t xml:space="preserve"> </w:t>
            </w:r>
            <w:r>
              <w:rPr>
                <w:lang w:val="fr-CA"/>
              </w:rPr>
              <w:t>19 janvier 2021</w:t>
            </w:r>
          </w:p>
          <w:p w:rsidR="00E337CC" w:rsidRPr="00CB5B04" w:rsidRDefault="00E337CC" w:rsidP="008E32ED">
            <w:pPr>
              <w:rPr>
                <w:b/>
                <w:smallCaps/>
                <w:lang w:val="fr-CA"/>
              </w:rPr>
            </w:pPr>
            <w:r w:rsidRPr="00CB5B04">
              <w:rPr>
                <w:b/>
                <w:smallCaps/>
                <w:lang w:val="fr-CA"/>
              </w:rPr>
              <w:t xml:space="preserve">Jugement rendu : </w:t>
            </w:r>
            <w:r>
              <w:rPr>
                <w:lang w:val="fr-CA"/>
              </w:rPr>
              <w:t>19 janvier 2021</w:t>
            </w:r>
          </w:p>
          <w:p w:rsidR="00E337CC" w:rsidRPr="00A9085B" w:rsidRDefault="00E337CC" w:rsidP="008E32ED">
            <w:pPr>
              <w:rPr>
                <w:rFonts w:eastAsia="Calibri"/>
                <w:lang w:val="fr-CA"/>
              </w:rPr>
            </w:pPr>
            <w:r w:rsidRPr="00A9085B">
              <w:rPr>
                <w:b/>
                <w:smallCaps/>
                <w:lang w:val="fr-CA"/>
              </w:rPr>
              <w:t>Dossier :</w:t>
            </w:r>
            <w:r w:rsidRPr="00A9085B">
              <w:rPr>
                <w:lang w:val="fr-CA"/>
              </w:rPr>
              <w:t xml:space="preserve"> </w:t>
            </w:r>
            <w:r>
              <w:rPr>
                <w:lang w:val="fr-CA"/>
              </w:rPr>
              <w:t>39110</w:t>
            </w:r>
          </w:p>
        </w:tc>
      </w:tr>
      <w:tr w:rsidR="00E337CC" w:rsidTr="008E32ED">
        <w:tc>
          <w:tcPr>
            <w:tcW w:w="5000" w:type="pct"/>
            <w:gridSpan w:val="4"/>
          </w:tcPr>
          <w:p w:rsidR="00E337CC" w:rsidRDefault="00E337CC" w:rsidP="008E32ED">
            <w:pPr>
              <w:rPr>
                <w:rFonts w:eastAsiaTheme="minorHAnsi" w:cstheme="minorBidi"/>
                <w:b/>
                <w:smallCaps/>
                <w:szCs w:val="24"/>
                <w:lang w:val="fr-CA" w:eastAsia="en-US"/>
              </w:rPr>
            </w:pPr>
            <w:r w:rsidRPr="00684642">
              <w:rPr>
                <w:rFonts w:eastAsiaTheme="minorHAnsi" w:cstheme="minorBidi"/>
                <w:b/>
                <w:smallCaps/>
                <w:szCs w:val="24"/>
                <w:lang w:val="fr-CA" w:eastAsia="en-US"/>
              </w:rPr>
              <w:t>E</w:t>
            </w:r>
            <w:r>
              <w:rPr>
                <w:rFonts w:eastAsiaTheme="minorHAnsi" w:cstheme="minorBidi"/>
                <w:b/>
                <w:smallCaps/>
                <w:szCs w:val="24"/>
                <w:lang w:val="fr-CA" w:eastAsia="en-US"/>
              </w:rPr>
              <w:t>ntre</w:t>
            </w:r>
            <w:r w:rsidRPr="00684642">
              <w:rPr>
                <w:rFonts w:eastAsiaTheme="minorHAnsi" w:cstheme="minorBidi"/>
                <w:b/>
                <w:smallCaps/>
                <w:szCs w:val="24"/>
                <w:lang w:val="fr-CA" w:eastAsia="en-US"/>
              </w:rPr>
              <w:t xml:space="preserve"> :</w:t>
            </w:r>
          </w:p>
          <w:p w:rsidR="00E337CC" w:rsidRPr="00684642" w:rsidRDefault="00E337CC" w:rsidP="008E32ED">
            <w:pPr>
              <w:rPr>
                <w:rFonts w:eastAsiaTheme="minorHAnsi" w:cstheme="minorBidi"/>
                <w:b/>
                <w:smallCaps/>
                <w:szCs w:val="24"/>
                <w:lang w:val="fr-CA" w:eastAsia="en-US"/>
              </w:rPr>
            </w:pPr>
          </w:p>
          <w:p w:rsidR="00E337CC" w:rsidRPr="00684642" w:rsidRDefault="00E337CC" w:rsidP="008E32ED">
            <w:pPr>
              <w:jc w:val="center"/>
              <w:rPr>
                <w:rFonts w:eastAsiaTheme="minorHAnsi" w:cstheme="minorBidi"/>
                <w:b/>
                <w:szCs w:val="24"/>
                <w:lang w:val="fr-CA" w:eastAsia="en-US"/>
              </w:rPr>
            </w:pPr>
            <w:proofErr w:type="spellStart"/>
            <w:r w:rsidRPr="00684642">
              <w:rPr>
                <w:rFonts w:eastAsiaTheme="minorHAnsi" w:cstheme="minorBidi"/>
                <w:b/>
                <w:szCs w:val="24"/>
                <w:lang w:val="fr-CA" w:eastAsia="en-US"/>
              </w:rPr>
              <w:t>Jamis</w:t>
            </w:r>
            <w:proofErr w:type="spellEnd"/>
            <w:r w:rsidRPr="00684642">
              <w:rPr>
                <w:rFonts w:eastAsiaTheme="minorHAnsi" w:cstheme="minorBidi"/>
                <w:b/>
                <w:szCs w:val="24"/>
                <w:lang w:val="fr-CA" w:eastAsia="en-US"/>
              </w:rPr>
              <w:t xml:space="preserve"> Yusuf</w:t>
            </w:r>
          </w:p>
          <w:p w:rsidR="00E337CC" w:rsidRDefault="00E337CC" w:rsidP="008E32ED">
            <w:pPr>
              <w:jc w:val="center"/>
              <w:rPr>
                <w:rFonts w:eastAsiaTheme="minorHAnsi" w:cstheme="minorBidi"/>
                <w:szCs w:val="24"/>
                <w:lang w:val="fr-CA" w:eastAsia="en-US"/>
              </w:rPr>
            </w:pPr>
            <w:r>
              <w:rPr>
                <w:rFonts w:eastAsiaTheme="minorHAnsi" w:cstheme="minorBidi"/>
                <w:szCs w:val="24"/>
                <w:lang w:val="fr-CA" w:eastAsia="en-US"/>
              </w:rPr>
              <w:t>Appelant</w:t>
            </w:r>
          </w:p>
          <w:p w:rsidR="00E337CC" w:rsidRPr="00684642" w:rsidRDefault="00E337CC" w:rsidP="008E32ED">
            <w:pPr>
              <w:jc w:val="center"/>
              <w:rPr>
                <w:rFonts w:eastAsiaTheme="minorHAnsi" w:cstheme="minorBidi"/>
                <w:szCs w:val="24"/>
                <w:lang w:val="fr-CA" w:eastAsia="en-US"/>
              </w:rPr>
            </w:pPr>
          </w:p>
          <w:p w:rsidR="00E337CC" w:rsidRDefault="00E337CC" w:rsidP="008E32ED">
            <w:pPr>
              <w:jc w:val="center"/>
              <w:rPr>
                <w:rFonts w:eastAsiaTheme="minorHAnsi" w:cstheme="minorBidi"/>
                <w:szCs w:val="24"/>
                <w:lang w:val="fr-CA" w:eastAsia="en-US"/>
              </w:rPr>
            </w:pPr>
            <w:r>
              <w:rPr>
                <w:rFonts w:eastAsiaTheme="minorHAnsi" w:cstheme="minorBidi"/>
                <w:szCs w:val="24"/>
                <w:lang w:val="fr-CA" w:eastAsia="en-US"/>
              </w:rPr>
              <w:t>et</w:t>
            </w:r>
          </w:p>
          <w:p w:rsidR="00E337CC" w:rsidRPr="00684642" w:rsidRDefault="00E337CC" w:rsidP="008E32ED">
            <w:pPr>
              <w:jc w:val="center"/>
              <w:rPr>
                <w:rFonts w:eastAsiaTheme="minorHAnsi" w:cstheme="minorBidi"/>
                <w:szCs w:val="24"/>
                <w:lang w:val="fr-CA" w:eastAsia="en-US"/>
              </w:rPr>
            </w:pPr>
          </w:p>
          <w:p w:rsidR="00E337CC" w:rsidRPr="00684642" w:rsidRDefault="00E337CC" w:rsidP="008E32ED">
            <w:pPr>
              <w:jc w:val="center"/>
              <w:rPr>
                <w:rFonts w:eastAsiaTheme="minorHAnsi" w:cstheme="minorBidi"/>
                <w:b/>
                <w:szCs w:val="24"/>
                <w:lang w:val="fr-CA" w:eastAsia="en-US"/>
              </w:rPr>
            </w:pPr>
            <w:r w:rsidRPr="00684642">
              <w:rPr>
                <w:rFonts w:eastAsiaTheme="minorHAnsi" w:cstheme="minorBidi"/>
                <w:b/>
                <w:szCs w:val="24"/>
                <w:lang w:val="fr-CA" w:eastAsia="en-US"/>
              </w:rPr>
              <w:t>Sa Majesté la Reine</w:t>
            </w:r>
          </w:p>
          <w:p w:rsidR="00E337CC" w:rsidRDefault="00E337CC" w:rsidP="008E32ED">
            <w:pPr>
              <w:jc w:val="center"/>
              <w:rPr>
                <w:rFonts w:eastAsiaTheme="minorHAnsi" w:cstheme="minorBidi"/>
                <w:szCs w:val="24"/>
                <w:lang w:val="fr-CA" w:eastAsia="en-US"/>
              </w:rPr>
            </w:pPr>
            <w:r>
              <w:rPr>
                <w:rFonts w:eastAsiaTheme="minorHAnsi" w:cstheme="minorBidi"/>
                <w:szCs w:val="24"/>
                <w:lang w:val="fr-CA" w:eastAsia="en-US"/>
              </w:rPr>
              <w:t>Intimée</w:t>
            </w:r>
          </w:p>
          <w:p w:rsidR="00E337CC" w:rsidRPr="00684642" w:rsidRDefault="00E337CC" w:rsidP="008E32ED">
            <w:pPr>
              <w:jc w:val="center"/>
              <w:rPr>
                <w:rFonts w:eastAsiaTheme="minorHAnsi" w:cstheme="minorBidi"/>
                <w:szCs w:val="24"/>
                <w:lang w:val="fr-CA" w:eastAsia="en-US"/>
              </w:rPr>
            </w:pPr>
          </w:p>
          <w:p w:rsidR="00E337CC" w:rsidRDefault="00E337CC" w:rsidP="008E32ED">
            <w:pPr>
              <w:rPr>
                <w:rFonts w:eastAsiaTheme="minorHAnsi" w:cstheme="minorBidi"/>
                <w:b/>
                <w:smallCaps/>
                <w:szCs w:val="24"/>
                <w:lang w:val="fr-CA" w:eastAsia="en-US"/>
              </w:rPr>
            </w:pPr>
            <w:r>
              <w:rPr>
                <w:rFonts w:eastAsiaTheme="minorHAnsi" w:cstheme="minorBidi"/>
                <w:b/>
                <w:smallCaps/>
                <w:szCs w:val="24"/>
                <w:lang w:val="fr-CA" w:eastAsia="en-US"/>
              </w:rPr>
              <w:t>Et entre</w:t>
            </w:r>
            <w:r w:rsidRPr="00684642">
              <w:rPr>
                <w:rFonts w:eastAsiaTheme="minorHAnsi" w:cstheme="minorBidi"/>
                <w:b/>
                <w:smallCaps/>
                <w:szCs w:val="24"/>
                <w:lang w:val="fr-CA" w:eastAsia="en-US"/>
              </w:rPr>
              <w:t xml:space="preserve"> :</w:t>
            </w:r>
          </w:p>
          <w:p w:rsidR="00E337CC" w:rsidRPr="00684642" w:rsidRDefault="00E337CC" w:rsidP="008E32ED">
            <w:pPr>
              <w:rPr>
                <w:rFonts w:eastAsiaTheme="minorHAnsi" w:cstheme="minorBidi"/>
                <w:b/>
                <w:smallCaps/>
                <w:szCs w:val="24"/>
                <w:lang w:val="fr-CA" w:eastAsia="en-US"/>
              </w:rPr>
            </w:pPr>
          </w:p>
          <w:p w:rsidR="00E337CC" w:rsidRPr="00684642" w:rsidRDefault="00E337CC" w:rsidP="008E32ED">
            <w:pPr>
              <w:jc w:val="center"/>
              <w:rPr>
                <w:rFonts w:eastAsiaTheme="minorHAnsi" w:cstheme="minorBidi"/>
                <w:b/>
                <w:szCs w:val="24"/>
                <w:lang w:val="fr-CA" w:eastAsia="en-US"/>
              </w:rPr>
            </w:pPr>
            <w:r w:rsidRPr="00684642">
              <w:rPr>
                <w:rFonts w:eastAsiaTheme="minorHAnsi" w:cstheme="minorBidi"/>
                <w:b/>
                <w:szCs w:val="24"/>
                <w:lang w:val="fr-CA" w:eastAsia="en-US"/>
              </w:rPr>
              <w:t xml:space="preserve">Aziz </w:t>
            </w:r>
            <w:proofErr w:type="spellStart"/>
            <w:r w:rsidRPr="00684642">
              <w:rPr>
                <w:rFonts w:eastAsiaTheme="minorHAnsi" w:cstheme="minorBidi"/>
                <w:b/>
                <w:szCs w:val="24"/>
                <w:lang w:val="fr-CA" w:eastAsia="en-US"/>
              </w:rPr>
              <w:t>Pauls</w:t>
            </w:r>
            <w:proofErr w:type="spellEnd"/>
          </w:p>
          <w:p w:rsidR="00E337CC" w:rsidRDefault="00E337CC" w:rsidP="008E32ED">
            <w:pPr>
              <w:jc w:val="center"/>
              <w:rPr>
                <w:rFonts w:eastAsiaTheme="minorHAnsi" w:cstheme="minorBidi"/>
                <w:szCs w:val="24"/>
                <w:lang w:val="fr-CA" w:eastAsia="en-US"/>
              </w:rPr>
            </w:pPr>
            <w:r>
              <w:rPr>
                <w:rFonts w:eastAsiaTheme="minorHAnsi" w:cstheme="minorBidi"/>
                <w:szCs w:val="24"/>
                <w:lang w:val="fr-CA" w:eastAsia="en-US"/>
              </w:rPr>
              <w:t>Appelant</w:t>
            </w:r>
          </w:p>
          <w:p w:rsidR="00E337CC" w:rsidRPr="00684642" w:rsidRDefault="00E337CC" w:rsidP="008E32ED">
            <w:pPr>
              <w:jc w:val="center"/>
              <w:rPr>
                <w:rFonts w:eastAsiaTheme="minorHAnsi" w:cstheme="minorBidi"/>
                <w:szCs w:val="24"/>
                <w:lang w:val="fr-CA" w:eastAsia="en-US"/>
              </w:rPr>
            </w:pPr>
          </w:p>
          <w:p w:rsidR="00E337CC" w:rsidRDefault="00E337CC" w:rsidP="008E32ED">
            <w:pPr>
              <w:jc w:val="center"/>
              <w:rPr>
                <w:rFonts w:eastAsiaTheme="minorHAnsi" w:cstheme="minorBidi"/>
                <w:szCs w:val="24"/>
                <w:lang w:val="fr-CA" w:eastAsia="en-US"/>
              </w:rPr>
            </w:pPr>
            <w:r>
              <w:rPr>
                <w:rFonts w:eastAsiaTheme="minorHAnsi" w:cstheme="minorBidi"/>
                <w:szCs w:val="24"/>
                <w:lang w:val="fr-CA" w:eastAsia="en-US"/>
              </w:rPr>
              <w:t>et</w:t>
            </w:r>
          </w:p>
          <w:p w:rsidR="00E337CC" w:rsidRPr="00684642" w:rsidRDefault="00E337CC" w:rsidP="008E32ED">
            <w:pPr>
              <w:jc w:val="center"/>
              <w:rPr>
                <w:rFonts w:eastAsiaTheme="minorHAnsi" w:cstheme="minorBidi"/>
                <w:szCs w:val="24"/>
                <w:lang w:val="fr-CA" w:eastAsia="en-US"/>
              </w:rPr>
            </w:pPr>
          </w:p>
          <w:p w:rsidR="00E337CC" w:rsidRPr="00684642" w:rsidRDefault="00E337CC" w:rsidP="008E32ED">
            <w:pPr>
              <w:jc w:val="center"/>
              <w:rPr>
                <w:rFonts w:eastAsiaTheme="minorHAnsi" w:cstheme="minorBidi"/>
                <w:b/>
                <w:szCs w:val="24"/>
                <w:lang w:val="fr-CA" w:eastAsia="en-US"/>
              </w:rPr>
            </w:pPr>
            <w:r w:rsidRPr="00684642">
              <w:rPr>
                <w:rFonts w:eastAsiaTheme="minorHAnsi" w:cstheme="minorBidi"/>
                <w:b/>
                <w:szCs w:val="24"/>
                <w:lang w:val="fr-CA" w:eastAsia="en-US"/>
              </w:rPr>
              <w:t>Sa Majesté la Reine</w:t>
            </w:r>
          </w:p>
          <w:p w:rsidR="00E337CC" w:rsidRDefault="00E337CC" w:rsidP="008E32ED">
            <w:pPr>
              <w:jc w:val="center"/>
              <w:rPr>
                <w:rFonts w:eastAsiaTheme="minorHAnsi" w:cstheme="minorBidi"/>
                <w:szCs w:val="24"/>
                <w:lang w:val="fr-CA" w:eastAsia="en-US"/>
              </w:rPr>
            </w:pPr>
            <w:r>
              <w:rPr>
                <w:rFonts w:eastAsiaTheme="minorHAnsi" w:cstheme="minorBidi"/>
                <w:szCs w:val="24"/>
                <w:lang w:val="fr-CA" w:eastAsia="en-US"/>
              </w:rPr>
              <w:t>Intimée</w:t>
            </w:r>
          </w:p>
          <w:p w:rsidR="00E337CC" w:rsidRPr="00684642" w:rsidRDefault="00E337CC" w:rsidP="008E32ED">
            <w:pPr>
              <w:jc w:val="center"/>
              <w:rPr>
                <w:rFonts w:eastAsiaTheme="minorHAnsi" w:cstheme="minorBidi"/>
                <w:szCs w:val="24"/>
                <w:lang w:val="fr-CA" w:eastAsia="en-US"/>
              </w:rPr>
            </w:pPr>
          </w:p>
          <w:p w:rsidR="00E337CC" w:rsidRDefault="00E337CC" w:rsidP="008E32ED">
            <w:pPr>
              <w:rPr>
                <w:rFonts w:eastAsiaTheme="minorHAnsi" w:cstheme="minorBidi"/>
                <w:b/>
                <w:smallCaps/>
                <w:szCs w:val="24"/>
                <w:lang w:val="fr-CA" w:eastAsia="en-US"/>
              </w:rPr>
            </w:pPr>
            <w:r>
              <w:rPr>
                <w:rFonts w:eastAsiaTheme="minorHAnsi" w:cstheme="minorBidi"/>
                <w:b/>
                <w:smallCaps/>
                <w:szCs w:val="24"/>
                <w:lang w:val="fr-CA" w:eastAsia="en-US"/>
              </w:rPr>
              <w:t>Et entre</w:t>
            </w:r>
            <w:r w:rsidRPr="00684642">
              <w:rPr>
                <w:rFonts w:eastAsiaTheme="minorHAnsi" w:cstheme="minorBidi"/>
                <w:b/>
                <w:smallCaps/>
                <w:szCs w:val="24"/>
                <w:lang w:val="fr-CA" w:eastAsia="en-US"/>
              </w:rPr>
              <w:t xml:space="preserve"> :</w:t>
            </w:r>
          </w:p>
          <w:p w:rsidR="00E337CC" w:rsidRPr="00684642" w:rsidRDefault="00E337CC" w:rsidP="008E32ED">
            <w:pPr>
              <w:rPr>
                <w:rFonts w:eastAsiaTheme="minorHAnsi" w:cstheme="minorBidi"/>
                <w:b/>
                <w:smallCaps/>
                <w:szCs w:val="24"/>
                <w:lang w:val="fr-CA" w:eastAsia="en-US"/>
              </w:rPr>
            </w:pPr>
          </w:p>
          <w:p w:rsidR="00E337CC" w:rsidRPr="00684642" w:rsidRDefault="00E337CC" w:rsidP="008E32ED">
            <w:pPr>
              <w:jc w:val="center"/>
              <w:rPr>
                <w:rFonts w:eastAsiaTheme="minorHAnsi" w:cstheme="minorBidi"/>
                <w:b/>
                <w:szCs w:val="24"/>
                <w:lang w:val="fr-CA" w:eastAsia="en-US"/>
              </w:rPr>
            </w:pPr>
            <w:r w:rsidRPr="00684642">
              <w:rPr>
                <w:rFonts w:eastAsiaTheme="minorHAnsi" w:cstheme="minorBidi"/>
                <w:b/>
                <w:szCs w:val="24"/>
                <w:lang w:val="fr-CA" w:eastAsia="en-US"/>
              </w:rPr>
              <w:t>Jamal Yusuf</w:t>
            </w:r>
          </w:p>
          <w:p w:rsidR="00E337CC" w:rsidRPr="00684642" w:rsidRDefault="00E337CC" w:rsidP="008E32ED">
            <w:pPr>
              <w:jc w:val="center"/>
              <w:rPr>
                <w:rFonts w:eastAsiaTheme="minorHAnsi" w:cstheme="minorBidi"/>
                <w:szCs w:val="24"/>
                <w:lang w:val="fr-CA" w:eastAsia="en-US"/>
              </w:rPr>
            </w:pPr>
            <w:r>
              <w:rPr>
                <w:rFonts w:eastAsiaTheme="minorHAnsi" w:cstheme="minorBidi"/>
                <w:szCs w:val="24"/>
                <w:lang w:val="fr-CA" w:eastAsia="en-US"/>
              </w:rPr>
              <w:t>Appelant</w:t>
            </w:r>
            <w:r>
              <w:rPr>
                <w:rFonts w:eastAsiaTheme="minorHAnsi" w:cstheme="minorBidi"/>
                <w:szCs w:val="24"/>
                <w:lang w:val="fr-CA" w:eastAsia="en-US"/>
              </w:rPr>
              <w:br/>
            </w:r>
          </w:p>
          <w:p w:rsidR="00E337CC" w:rsidRDefault="00E337CC" w:rsidP="008E32ED">
            <w:pPr>
              <w:jc w:val="center"/>
              <w:rPr>
                <w:rFonts w:eastAsiaTheme="minorHAnsi" w:cstheme="minorBidi"/>
                <w:szCs w:val="24"/>
                <w:lang w:val="fr-CA" w:eastAsia="en-US"/>
              </w:rPr>
            </w:pPr>
            <w:r>
              <w:rPr>
                <w:rFonts w:eastAsiaTheme="minorHAnsi" w:cstheme="minorBidi"/>
                <w:szCs w:val="24"/>
                <w:lang w:val="fr-CA" w:eastAsia="en-US"/>
              </w:rPr>
              <w:t>et</w:t>
            </w:r>
          </w:p>
          <w:p w:rsidR="00E337CC" w:rsidRPr="00684642" w:rsidRDefault="00E337CC" w:rsidP="008E32ED">
            <w:pPr>
              <w:jc w:val="center"/>
              <w:rPr>
                <w:rFonts w:eastAsiaTheme="minorHAnsi" w:cstheme="minorBidi"/>
                <w:szCs w:val="24"/>
                <w:lang w:val="fr-CA" w:eastAsia="en-US"/>
              </w:rPr>
            </w:pPr>
          </w:p>
          <w:p w:rsidR="00E337CC" w:rsidRPr="00684642" w:rsidRDefault="00E337CC" w:rsidP="008E32ED">
            <w:pPr>
              <w:jc w:val="center"/>
              <w:rPr>
                <w:rFonts w:eastAsiaTheme="minorHAnsi" w:cstheme="minorBidi"/>
                <w:b/>
                <w:szCs w:val="24"/>
                <w:lang w:val="fr-CA" w:eastAsia="en-US"/>
              </w:rPr>
            </w:pPr>
            <w:r w:rsidRPr="00684642">
              <w:rPr>
                <w:rFonts w:eastAsiaTheme="minorHAnsi" w:cstheme="minorBidi"/>
                <w:b/>
                <w:szCs w:val="24"/>
                <w:lang w:val="fr-CA" w:eastAsia="en-US"/>
              </w:rPr>
              <w:t>Sa Majesté la Reine</w:t>
            </w:r>
          </w:p>
          <w:p w:rsidR="00E337CC" w:rsidRPr="00684642" w:rsidRDefault="00E337CC" w:rsidP="008E32ED">
            <w:pPr>
              <w:jc w:val="center"/>
              <w:rPr>
                <w:rFonts w:eastAsiaTheme="minorHAnsi" w:cstheme="minorBidi"/>
                <w:szCs w:val="24"/>
                <w:lang w:val="fr-CA" w:eastAsia="en-US"/>
              </w:rPr>
            </w:pPr>
            <w:r>
              <w:rPr>
                <w:rFonts w:eastAsiaTheme="minorHAnsi" w:cstheme="minorBidi"/>
                <w:szCs w:val="24"/>
                <w:lang w:val="fr-CA" w:eastAsia="en-US"/>
              </w:rPr>
              <w:t>Intimée</w:t>
            </w:r>
          </w:p>
          <w:p w:rsidR="00E337CC" w:rsidRPr="00684642" w:rsidRDefault="00E337CC" w:rsidP="008E32ED">
            <w:pPr>
              <w:rPr>
                <w:rFonts w:eastAsiaTheme="minorHAnsi" w:cstheme="minorBidi"/>
                <w:szCs w:val="24"/>
                <w:lang w:val="fr-CA" w:eastAsia="en-US"/>
              </w:rPr>
            </w:pPr>
          </w:p>
          <w:p w:rsidR="00E337CC" w:rsidRPr="00684642" w:rsidRDefault="00E337CC" w:rsidP="008E32ED">
            <w:pPr>
              <w:rPr>
                <w:rFonts w:eastAsiaTheme="minorHAnsi" w:cstheme="minorBidi"/>
                <w:szCs w:val="24"/>
                <w:lang w:val="fr-CA" w:eastAsia="en-US"/>
              </w:rPr>
            </w:pPr>
          </w:p>
          <w:p w:rsidR="00E337CC" w:rsidRPr="00684642" w:rsidRDefault="00E337CC" w:rsidP="008E32ED">
            <w:pPr>
              <w:rPr>
                <w:rFonts w:eastAsiaTheme="minorHAnsi" w:cstheme="minorBidi"/>
                <w:szCs w:val="24"/>
                <w:lang w:val="fr-CA" w:eastAsia="en-US"/>
              </w:rPr>
            </w:pPr>
          </w:p>
          <w:p w:rsidR="00E337CC" w:rsidRPr="00CB5B04" w:rsidRDefault="00E337CC" w:rsidP="008E32ED">
            <w:pPr>
              <w:jc w:val="center"/>
              <w:rPr>
                <w:rFonts w:eastAsiaTheme="minorHAnsi" w:cstheme="minorBidi"/>
                <w:b/>
                <w:smallCaps/>
                <w:szCs w:val="24"/>
                <w:lang w:val="fr-CA" w:eastAsia="en-US"/>
              </w:rPr>
            </w:pPr>
            <w:r w:rsidRPr="00CB5B04">
              <w:rPr>
                <w:rFonts w:eastAsiaTheme="minorHAnsi" w:cstheme="minorBidi"/>
                <w:b/>
                <w:smallCaps/>
                <w:szCs w:val="24"/>
                <w:lang w:val="fr-CA" w:eastAsia="en-US"/>
              </w:rPr>
              <w:t>Traduction française officielle</w:t>
            </w:r>
          </w:p>
          <w:p w:rsidR="00E337CC" w:rsidRPr="00C22905" w:rsidRDefault="00E337CC" w:rsidP="008E32ED">
            <w:pPr>
              <w:rPr>
                <w:b/>
                <w:smallCaps/>
              </w:rPr>
            </w:pPr>
          </w:p>
        </w:tc>
      </w:tr>
    </w:tbl>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746"/>
        <w:gridCol w:w="6402"/>
        <w:gridCol w:w="132"/>
      </w:tblGrid>
      <w:tr w:rsidR="00E337CC" w:rsidRPr="00E337CC" w:rsidTr="008E32ED">
        <w:trPr>
          <w:cantSplit/>
          <w:trHeight w:val="508"/>
        </w:trPr>
        <w:tc>
          <w:tcPr>
            <w:tcW w:w="5000" w:type="pct"/>
            <w:gridSpan w:val="3"/>
            <w:tcMar>
              <w:top w:w="284" w:type="dxa"/>
              <w:bottom w:w="57" w:type="dxa"/>
            </w:tcMar>
            <w:vAlign w:val="center"/>
          </w:tcPr>
          <w:p w:rsidR="00E337CC" w:rsidRDefault="00E337CC" w:rsidP="008E32ED">
            <w:pPr>
              <w:rPr>
                <w:lang w:val="fr-CA"/>
              </w:rPr>
            </w:pPr>
            <w:r w:rsidRPr="00CB5B04">
              <w:rPr>
                <w:b/>
                <w:smallCaps/>
                <w:lang w:val="fr-CA"/>
              </w:rPr>
              <w:lastRenderedPageBreak/>
              <w:t>Coram :</w:t>
            </w:r>
            <w:r w:rsidRPr="00CB5B04">
              <w:rPr>
                <w:lang w:val="fr-CA"/>
              </w:rPr>
              <w:t xml:space="preserve"> Le juge en chef Wagner et les juges Abella, </w:t>
            </w:r>
            <w:proofErr w:type="spellStart"/>
            <w:r w:rsidRPr="00CB5B04">
              <w:rPr>
                <w:lang w:val="fr-CA"/>
              </w:rPr>
              <w:t>Moldaver</w:t>
            </w:r>
            <w:proofErr w:type="spellEnd"/>
            <w:r w:rsidRPr="00CB5B04">
              <w:rPr>
                <w:lang w:val="fr-CA"/>
              </w:rPr>
              <w:t xml:space="preserve">, </w:t>
            </w:r>
            <w:proofErr w:type="spellStart"/>
            <w:r w:rsidRPr="00CB5B04">
              <w:rPr>
                <w:lang w:val="fr-CA"/>
              </w:rPr>
              <w:t>Karakatsanis</w:t>
            </w:r>
            <w:proofErr w:type="spellEnd"/>
            <w:r w:rsidRPr="00CB5B04">
              <w:rPr>
                <w:lang w:val="fr-CA"/>
              </w:rPr>
              <w:t xml:space="preserve">, Côté, Brown, Rowe, Martin et </w:t>
            </w:r>
            <w:proofErr w:type="spellStart"/>
            <w:r w:rsidRPr="00CB5B04">
              <w:rPr>
                <w:lang w:val="fr-CA"/>
              </w:rPr>
              <w:t>Kasirer</w:t>
            </w:r>
            <w:proofErr w:type="spellEnd"/>
          </w:p>
          <w:p w:rsidR="00E337CC" w:rsidRPr="00CB5B04" w:rsidRDefault="00E337CC" w:rsidP="008E32ED">
            <w:pPr>
              <w:rPr>
                <w:lang w:val="fr-CA"/>
              </w:rPr>
            </w:pPr>
          </w:p>
        </w:tc>
      </w:tr>
      <w:tr w:rsidR="00E337CC" w:rsidRPr="00684642" w:rsidTr="008E32ED">
        <w:trPr>
          <w:gridAfter w:val="1"/>
          <w:wAfter w:w="80" w:type="pct"/>
          <w:cantSplit/>
        </w:trPr>
        <w:tc>
          <w:tcPr>
            <w:tcW w:w="1054" w:type="pct"/>
            <w:tcMar>
              <w:top w:w="284" w:type="dxa"/>
              <w:bottom w:w="57" w:type="dxa"/>
            </w:tcMar>
            <w:vAlign w:val="center"/>
          </w:tcPr>
          <w:p w:rsidR="00E337CC" w:rsidRPr="008D3FBF" w:rsidRDefault="00E337CC" w:rsidP="008E32ED">
            <w:pPr>
              <w:rPr>
                <w:b/>
                <w:smallCaps/>
                <w:lang w:val="fr-CA"/>
              </w:rPr>
            </w:pPr>
            <w:r w:rsidRPr="008D3FBF">
              <w:rPr>
                <w:b/>
                <w:smallCaps/>
                <w:lang w:val="fr-CA"/>
              </w:rPr>
              <w:t xml:space="preserve">Jugement unanime lu par: </w:t>
            </w:r>
          </w:p>
          <w:p w:rsidR="00E337CC" w:rsidRPr="007B3D74" w:rsidRDefault="00E337CC" w:rsidP="008E32ED">
            <w:pPr>
              <w:rPr>
                <w:b/>
                <w:smallCaps/>
                <w:lang w:val="fr-CA"/>
              </w:rPr>
            </w:pPr>
            <w:r w:rsidRPr="008D3FBF">
              <w:rPr>
                <w:lang w:val="fr-CA"/>
              </w:rPr>
              <w:t>(par. 1 à 5)</w:t>
            </w:r>
          </w:p>
        </w:tc>
        <w:tc>
          <w:tcPr>
            <w:tcW w:w="3866" w:type="pct"/>
            <w:tcMar>
              <w:top w:w="284" w:type="dxa"/>
            </w:tcMar>
            <w:vAlign w:val="center"/>
          </w:tcPr>
          <w:p w:rsidR="00E337CC" w:rsidRDefault="00E337CC" w:rsidP="008E32ED">
            <w:pPr>
              <w:rPr>
                <w:b/>
                <w:smallCaps/>
                <w:lang w:val="fr-CA"/>
              </w:rPr>
            </w:pPr>
            <w:r w:rsidRPr="004707F9">
              <w:rPr>
                <w:lang w:val="fr-CA"/>
              </w:rPr>
              <w:t xml:space="preserve">Le juge </w:t>
            </w:r>
            <w:proofErr w:type="spellStart"/>
            <w:r>
              <w:rPr>
                <w:lang w:val="fr-CA"/>
              </w:rPr>
              <w:t>Moldaver</w:t>
            </w:r>
            <w:proofErr w:type="spellEnd"/>
          </w:p>
          <w:p w:rsidR="00E337CC" w:rsidRPr="007B3D74" w:rsidRDefault="00E337CC" w:rsidP="008E32ED">
            <w:pPr>
              <w:rPr>
                <w:b/>
                <w:smallCaps/>
                <w:lang w:val="fr-CA"/>
              </w:rPr>
            </w:pPr>
          </w:p>
        </w:tc>
      </w:tr>
    </w:tbl>
    <w:tbl>
      <w:tblPr>
        <w:tblStyle w:val="TableGrid"/>
        <w:tblW w:w="10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026"/>
        <w:gridCol w:w="4034"/>
        <w:gridCol w:w="3020"/>
        <w:gridCol w:w="6"/>
      </w:tblGrid>
      <w:tr w:rsidR="00E337CC" w:rsidRPr="00B87E11" w:rsidTr="008E32ED">
        <w:trPr>
          <w:gridAfter w:val="1"/>
          <w:wAfter w:w="6" w:type="dxa"/>
        </w:trPr>
        <w:tc>
          <w:tcPr>
            <w:tcW w:w="10080" w:type="dxa"/>
            <w:gridSpan w:val="3"/>
          </w:tcPr>
          <w:p w:rsidR="00E337CC" w:rsidRPr="008D3FBF" w:rsidRDefault="00E337CC" w:rsidP="008E32ED">
            <w:pPr>
              <w:jc w:val="both"/>
              <w:rPr>
                <w:lang w:val="fr-CA"/>
              </w:rPr>
            </w:pPr>
          </w:p>
        </w:tc>
      </w:tr>
      <w:tr w:rsidR="00E337CC" w:rsidRPr="00405408" w:rsidTr="008E32ED">
        <w:tblPrEx>
          <w:tblCellMar>
            <w:top w:w="0" w:type="dxa"/>
            <w:left w:w="108" w:type="dxa"/>
            <w:bottom w:w="0" w:type="dxa"/>
            <w:right w:w="108" w:type="dxa"/>
          </w:tblCellMar>
        </w:tblPrEx>
        <w:tc>
          <w:tcPr>
            <w:tcW w:w="3026" w:type="dxa"/>
            <w:tcMar>
              <w:top w:w="284" w:type="dxa"/>
            </w:tcMar>
          </w:tcPr>
          <w:p w:rsidR="00E337CC" w:rsidRPr="00A9085B" w:rsidRDefault="00E337CC" w:rsidP="008E32ED">
            <w:pPr>
              <w:rPr>
                <w:rFonts w:eastAsia="Calibri"/>
                <w:szCs w:val="24"/>
                <w:lang w:val="fr-CA" w:eastAsia="en-US"/>
              </w:rPr>
            </w:pPr>
          </w:p>
        </w:tc>
        <w:tc>
          <w:tcPr>
            <w:tcW w:w="4034" w:type="dxa"/>
            <w:tcBorders>
              <w:bottom w:val="single" w:sz="4" w:space="0" w:color="auto"/>
            </w:tcBorders>
            <w:tcMar>
              <w:top w:w="284" w:type="dxa"/>
            </w:tcMar>
          </w:tcPr>
          <w:p w:rsidR="00E337CC" w:rsidRPr="00A9085B" w:rsidRDefault="00E337CC" w:rsidP="008E32ED">
            <w:pPr>
              <w:rPr>
                <w:rFonts w:eastAsia="Calibri"/>
                <w:szCs w:val="24"/>
                <w:lang w:val="fr-CA" w:eastAsia="en-US"/>
              </w:rPr>
            </w:pPr>
          </w:p>
        </w:tc>
        <w:tc>
          <w:tcPr>
            <w:tcW w:w="3026" w:type="dxa"/>
            <w:gridSpan w:val="2"/>
            <w:tcMar>
              <w:top w:w="284" w:type="dxa"/>
            </w:tcMar>
          </w:tcPr>
          <w:p w:rsidR="00E337CC" w:rsidRPr="00A9085B" w:rsidRDefault="00E337CC" w:rsidP="008E32ED">
            <w:pPr>
              <w:rPr>
                <w:rFonts w:eastAsia="Calibri"/>
                <w:szCs w:val="24"/>
                <w:lang w:val="fr-CA" w:eastAsia="en-US"/>
              </w:rPr>
            </w:pPr>
          </w:p>
        </w:tc>
      </w:tr>
    </w:tbl>
    <w:p w:rsidR="00E337CC" w:rsidRDefault="00E337CC" w:rsidP="00960D26">
      <w:pPr>
        <w:spacing w:after="720"/>
        <w:jc w:val="both"/>
        <w:rPr>
          <w:smallCaps/>
          <w:color w:val="000000"/>
          <w:lang w:val="fr-CA"/>
        </w:rPr>
        <w:sectPr w:rsidR="00E337CC" w:rsidSect="000648CC">
          <w:pgSz w:w="12240" w:h="15840"/>
          <w:pgMar w:top="1267" w:right="2160" w:bottom="720" w:left="1800" w:header="1802" w:footer="720" w:gutter="0"/>
          <w:cols w:space="720"/>
          <w:docGrid w:linePitch="326"/>
        </w:sectPr>
      </w:pPr>
    </w:p>
    <w:p w:rsidR="00960D26" w:rsidRPr="00960D26" w:rsidRDefault="00960D26" w:rsidP="00960D26">
      <w:pPr>
        <w:spacing w:after="720"/>
        <w:jc w:val="both"/>
        <w:rPr>
          <w:lang w:val="fr-CA"/>
        </w:rPr>
      </w:pPr>
      <w:bookmarkStart w:id="0" w:name="_GoBack"/>
      <w:bookmarkEnd w:id="0"/>
      <w:r w:rsidRPr="00960D26">
        <w:rPr>
          <w:smallCaps/>
          <w:color w:val="000000"/>
          <w:lang w:val="fr-CA"/>
        </w:rPr>
        <w:lastRenderedPageBreak/>
        <w:t>r.</w:t>
      </w:r>
      <w:r>
        <w:rPr>
          <w:color w:val="000000"/>
          <w:lang w:val="fr-CA"/>
        </w:rPr>
        <w:t xml:space="preserve"> </w:t>
      </w:r>
      <w:r w:rsidRPr="00960D26">
        <w:rPr>
          <w:i/>
          <w:iCs/>
          <w:color w:val="000000"/>
          <w:lang w:val="fr-CA"/>
        </w:rPr>
        <w:t>c</w:t>
      </w:r>
      <w:r w:rsidRPr="00960D26">
        <w:rPr>
          <w:color w:val="000000"/>
          <w:lang w:val="fr-CA"/>
        </w:rPr>
        <w:t xml:space="preserve">. </w:t>
      </w:r>
      <w:proofErr w:type="spellStart"/>
      <w:r w:rsidRPr="00960D26">
        <w:rPr>
          <w:smallCaps/>
          <w:color w:val="000000"/>
          <w:lang w:val="fr-CA"/>
        </w:rPr>
        <w:t>yusuf</w:t>
      </w:r>
      <w:proofErr w:type="spellEnd"/>
    </w:p>
    <w:p w:rsidR="00960D26" w:rsidRPr="00960D26" w:rsidRDefault="00960D26" w:rsidP="00960D26">
      <w:pPr>
        <w:tabs>
          <w:tab w:val="right" w:pos="8222"/>
        </w:tabs>
        <w:spacing w:after="720"/>
        <w:rPr>
          <w:b/>
          <w:lang w:val="fr-CA"/>
        </w:rPr>
      </w:pPr>
      <w:proofErr w:type="spellStart"/>
      <w:r w:rsidRPr="00960D26">
        <w:rPr>
          <w:b/>
          <w:lang w:val="fr-CA"/>
        </w:rPr>
        <w:t>Jamis</w:t>
      </w:r>
      <w:proofErr w:type="spellEnd"/>
      <w:r w:rsidRPr="00960D26">
        <w:rPr>
          <w:b/>
          <w:lang w:val="fr-CA"/>
        </w:rPr>
        <w:t xml:space="preserve"> Yusuf</w:t>
      </w:r>
      <w:r w:rsidRPr="00960D26">
        <w:rPr>
          <w:i/>
          <w:lang w:val="fr-CA"/>
        </w:rPr>
        <w:tab/>
        <w:t>Appelant</w:t>
      </w:r>
    </w:p>
    <w:p w:rsidR="00960D26" w:rsidRPr="00960D26" w:rsidRDefault="00960D26" w:rsidP="00960D26">
      <w:pPr>
        <w:spacing w:after="720"/>
        <w:rPr>
          <w:i/>
          <w:lang w:val="fr-CA"/>
        </w:rPr>
      </w:pPr>
      <w:proofErr w:type="gramStart"/>
      <w:r w:rsidRPr="00960D26">
        <w:rPr>
          <w:i/>
          <w:lang w:val="fr-CA"/>
        </w:rPr>
        <w:t>c</w:t>
      </w:r>
      <w:proofErr w:type="gramEnd"/>
      <w:r w:rsidRPr="00960D26">
        <w:rPr>
          <w:i/>
          <w:lang w:val="fr-CA"/>
        </w:rPr>
        <w:t>.</w:t>
      </w:r>
    </w:p>
    <w:p w:rsidR="00960D26" w:rsidRPr="00960D26" w:rsidRDefault="00960D26" w:rsidP="00960D26">
      <w:pPr>
        <w:tabs>
          <w:tab w:val="right" w:pos="8222"/>
        </w:tabs>
        <w:spacing w:after="720"/>
        <w:rPr>
          <w:b/>
          <w:lang w:val="fr-CA"/>
        </w:rPr>
      </w:pPr>
      <w:r w:rsidRPr="00960D26">
        <w:rPr>
          <w:b/>
          <w:lang w:val="fr-CA"/>
        </w:rPr>
        <w:t>Sa Majesté la Reine</w:t>
      </w:r>
      <w:r w:rsidRPr="00960D26">
        <w:rPr>
          <w:i/>
          <w:lang w:val="fr-CA"/>
        </w:rPr>
        <w:tab/>
        <w:t>Intimée</w:t>
      </w:r>
    </w:p>
    <w:p w:rsidR="00960D26" w:rsidRPr="00960D26" w:rsidRDefault="00960D26" w:rsidP="00960D26">
      <w:pPr>
        <w:spacing w:after="720"/>
        <w:rPr>
          <w:lang w:val="fr-CA"/>
        </w:rPr>
      </w:pPr>
      <w:r>
        <w:rPr>
          <w:lang w:val="fr-CA"/>
        </w:rPr>
        <w:noBreakHyphen/>
      </w:r>
      <w:r w:rsidRPr="00960D26">
        <w:rPr>
          <w:lang w:val="fr-CA"/>
        </w:rPr>
        <w:t xml:space="preserve"> </w:t>
      </w:r>
      <w:proofErr w:type="gramStart"/>
      <w:r w:rsidRPr="00960D26">
        <w:rPr>
          <w:lang w:val="fr-CA"/>
        </w:rPr>
        <w:t>et</w:t>
      </w:r>
      <w:proofErr w:type="gramEnd"/>
      <w:r>
        <w:rPr>
          <w:lang w:val="fr-CA"/>
        </w:rPr>
        <w:t xml:space="preserve"> </w:t>
      </w:r>
      <w:r>
        <w:rPr>
          <w:lang w:val="fr-CA"/>
        </w:rPr>
        <w:noBreakHyphen/>
      </w:r>
    </w:p>
    <w:p w:rsidR="00960D26" w:rsidRPr="00960D26" w:rsidRDefault="00960D26" w:rsidP="00960D26">
      <w:pPr>
        <w:tabs>
          <w:tab w:val="right" w:pos="8222"/>
        </w:tabs>
        <w:spacing w:after="720"/>
        <w:rPr>
          <w:b/>
          <w:lang w:val="fr-CA"/>
        </w:rPr>
      </w:pPr>
      <w:r w:rsidRPr="00960D26">
        <w:rPr>
          <w:b/>
          <w:lang w:val="fr-CA"/>
        </w:rPr>
        <w:t xml:space="preserve">Aziz </w:t>
      </w:r>
      <w:proofErr w:type="spellStart"/>
      <w:r w:rsidRPr="00960D26">
        <w:rPr>
          <w:b/>
          <w:lang w:val="fr-CA"/>
        </w:rPr>
        <w:t>Pauls</w:t>
      </w:r>
      <w:proofErr w:type="spellEnd"/>
      <w:r w:rsidRPr="00960D26">
        <w:rPr>
          <w:i/>
          <w:lang w:val="fr-CA"/>
        </w:rPr>
        <w:tab/>
        <w:t>Appelant</w:t>
      </w:r>
    </w:p>
    <w:p w:rsidR="00960D26" w:rsidRPr="00960D26" w:rsidRDefault="00960D26" w:rsidP="00960D26">
      <w:pPr>
        <w:spacing w:after="720"/>
        <w:rPr>
          <w:i/>
          <w:lang w:val="fr-CA"/>
        </w:rPr>
      </w:pPr>
      <w:proofErr w:type="gramStart"/>
      <w:r w:rsidRPr="00960D26">
        <w:rPr>
          <w:i/>
          <w:lang w:val="fr-CA"/>
        </w:rPr>
        <w:t>c</w:t>
      </w:r>
      <w:proofErr w:type="gramEnd"/>
      <w:r w:rsidRPr="00960D26">
        <w:rPr>
          <w:i/>
          <w:lang w:val="fr-CA"/>
        </w:rPr>
        <w:t>.</w:t>
      </w:r>
    </w:p>
    <w:p w:rsidR="00960D26" w:rsidRPr="00960D26" w:rsidRDefault="00960D26" w:rsidP="00960D26">
      <w:pPr>
        <w:tabs>
          <w:tab w:val="right" w:pos="8222"/>
        </w:tabs>
        <w:spacing w:after="720"/>
        <w:rPr>
          <w:b/>
          <w:lang w:val="fr-CA"/>
        </w:rPr>
      </w:pPr>
      <w:r w:rsidRPr="00960D26">
        <w:rPr>
          <w:b/>
          <w:lang w:val="fr-CA"/>
        </w:rPr>
        <w:t>Sa Majesté la Reine</w:t>
      </w:r>
      <w:r w:rsidRPr="00960D26">
        <w:rPr>
          <w:i/>
          <w:lang w:val="fr-CA"/>
        </w:rPr>
        <w:tab/>
        <w:t>Intimée</w:t>
      </w:r>
    </w:p>
    <w:p w:rsidR="00960D26" w:rsidRPr="00960D26" w:rsidRDefault="00960D26" w:rsidP="00960D26">
      <w:pPr>
        <w:spacing w:after="720"/>
        <w:rPr>
          <w:lang w:val="fr-CA"/>
        </w:rPr>
      </w:pPr>
      <w:r>
        <w:rPr>
          <w:lang w:val="fr-CA"/>
        </w:rPr>
        <w:noBreakHyphen/>
        <w:t xml:space="preserve"> </w:t>
      </w:r>
      <w:proofErr w:type="gramStart"/>
      <w:r>
        <w:rPr>
          <w:lang w:val="fr-CA"/>
        </w:rPr>
        <w:t>et</w:t>
      </w:r>
      <w:proofErr w:type="gramEnd"/>
      <w:r>
        <w:rPr>
          <w:lang w:val="fr-CA"/>
        </w:rPr>
        <w:t xml:space="preserve"> </w:t>
      </w:r>
      <w:r>
        <w:rPr>
          <w:lang w:val="fr-CA"/>
        </w:rPr>
        <w:noBreakHyphen/>
      </w:r>
    </w:p>
    <w:p w:rsidR="00960D26" w:rsidRPr="00960D26" w:rsidRDefault="00960D26" w:rsidP="00960D26">
      <w:pPr>
        <w:tabs>
          <w:tab w:val="right" w:pos="8222"/>
        </w:tabs>
        <w:spacing w:after="720"/>
        <w:rPr>
          <w:b/>
          <w:lang w:val="fr-CA"/>
        </w:rPr>
      </w:pPr>
      <w:r w:rsidRPr="00960D26">
        <w:rPr>
          <w:b/>
          <w:lang w:val="fr-CA"/>
        </w:rPr>
        <w:t>Jamal Yusuf</w:t>
      </w:r>
      <w:r w:rsidRPr="00960D26">
        <w:rPr>
          <w:i/>
          <w:lang w:val="fr-CA"/>
        </w:rPr>
        <w:tab/>
        <w:t>Appelant</w:t>
      </w:r>
    </w:p>
    <w:p w:rsidR="00960D26" w:rsidRPr="00960D26" w:rsidRDefault="00960D26" w:rsidP="00960D26">
      <w:pPr>
        <w:spacing w:after="720"/>
        <w:rPr>
          <w:i/>
          <w:lang w:val="fr-CA"/>
        </w:rPr>
      </w:pPr>
      <w:proofErr w:type="gramStart"/>
      <w:r w:rsidRPr="00960D26">
        <w:rPr>
          <w:i/>
          <w:lang w:val="fr-CA"/>
        </w:rPr>
        <w:t>c</w:t>
      </w:r>
      <w:proofErr w:type="gramEnd"/>
      <w:r w:rsidRPr="00960D26">
        <w:rPr>
          <w:i/>
          <w:lang w:val="fr-CA"/>
        </w:rPr>
        <w:t>.</w:t>
      </w:r>
    </w:p>
    <w:p w:rsidR="00960D26" w:rsidRPr="00960D26" w:rsidRDefault="00960D26" w:rsidP="00960D26">
      <w:pPr>
        <w:tabs>
          <w:tab w:val="right" w:pos="8222"/>
        </w:tabs>
        <w:spacing w:after="720"/>
        <w:rPr>
          <w:b/>
          <w:lang w:val="fr-CA"/>
        </w:rPr>
      </w:pPr>
      <w:r w:rsidRPr="00960D26">
        <w:rPr>
          <w:b/>
          <w:lang w:val="fr-CA"/>
        </w:rPr>
        <w:t>Sa Majesté la Reine</w:t>
      </w:r>
      <w:r w:rsidRPr="00960D26">
        <w:rPr>
          <w:i/>
          <w:lang w:val="fr-CA"/>
        </w:rPr>
        <w:tab/>
        <w:t>Intimée</w:t>
      </w:r>
    </w:p>
    <w:p w:rsidR="00960D26" w:rsidRPr="00960D26" w:rsidRDefault="00960D26" w:rsidP="00960D26">
      <w:pPr>
        <w:spacing w:after="720"/>
        <w:jc w:val="both"/>
        <w:rPr>
          <w:b/>
          <w:lang w:val="fr-CA"/>
        </w:rPr>
      </w:pPr>
      <w:r>
        <w:rPr>
          <w:b/>
          <w:lang w:val="fr-CA"/>
        </w:rPr>
        <w:t xml:space="preserve">Répertorié : R. </w:t>
      </w:r>
      <w:r w:rsidRPr="00960D26">
        <w:rPr>
          <w:b/>
          <w:i/>
          <w:iCs/>
          <w:lang w:val="fr-CA"/>
        </w:rPr>
        <w:t>c</w:t>
      </w:r>
      <w:r w:rsidRPr="00960D26">
        <w:rPr>
          <w:b/>
          <w:lang w:val="fr-CA"/>
        </w:rPr>
        <w:t>. Yusuf</w:t>
      </w:r>
    </w:p>
    <w:p w:rsidR="00960D26" w:rsidRPr="00960D26" w:rsidRDefault="00960D26" w:rsidP="00960D26">
      <w:pPr>
        <w:spacing w:after="720"/>
        <w:jc w:val="both"/>
        <w:rPr>
          <w:b/>
          <w:lang w:val="fr-CA"/>
        </w:rPr>
      </w:pPr>
      <w:r w:rsidRPr="00960D26">
        <w:rPr>
          <w:b/>
          <w:lang w:val="fr-CA"/>
        </w:rPr>
        <w:t>2021</w:t>
      </w:r>
      <w:r>
        <w:rPr>
          <w:b/>
          <w:lang w:val="fr-CA"/>
        </w:rPr>
        <w:t xml:space="preserve"> CSC </w:t>
      </w:r>
      <w:r w:rsidRPr="00960D26">
        <w:rPr>
          <w:b/>
          <w:lang w:val="fr-CA"/>
        </w:rPr>
        <w:t>2</w:t>
      </w:r>
    </w:p>
    <w:p w:rsidR="00960D26" w:rsidRPr="00960D26" w:rsidRDefault="00960D26" w:rsidP="00960D26">
      <w:pPr>
        <w:spacing w:after="720"/>
        <w:jc w:val="both"/>
        <w:rPr>
          <w:lang w:val="fr-CA"/>
        </w:rPr>
      </w:pPr>
      <w:r w:rsidRPr="00960D26">
        <w:rPr>
          <w:lang w:val="fr-CA"/>
        </w:rPr>
        <w:lastRenderedPageBreak/>
        <w:t>N</w:t>
      </w:r>
      <w:r w:rsidRPr="00960D26">
        <w:rPr>
          <w:vertAlign w:val="superscript"/>
          <w:lang w:val="fr-CA"/>
        </w:rPr>
        <w:t>o</w:t>
      </w:r>
      <w:r>
        <w:rPr>
          <w:lang w:val="fr-CA"/>
        </w:rPr>
        <w:t xml:space="preserve"> du greffe : </w:t>
      </w:r>
      <w:r w:rsidRPr="00960D26">
        <w:rPr>
          <w:color w:val="000000"/>
          <w:lang w:val="fr-CA"/>
        </w:rPr>
        <w:t>39110</w:t>
      </w:r>
      <w:r w:rsidRPr="00960D26">
        <w:rPr>
          <w:lang w:val="fr-CA"/>
        </w:rPr>
        <w:t>.</w:t>
      </w:r>
    </w:p>
    <w:p w:rsidR="00960D26" w:rsidRPr="00960D26" w:rsidRDefault="00960D26" w:rsidP="00960D26">
      <w:pPr>
        <w:spacing w:after="720"/>
        <w:jc w:val="both"/>
        <w:rPr>
          <w:lang w:val="fr-CA"/>
        </w:rPr>
      </w:pPr>
      <w:r w:rsidRPr="00960D26">
        <w:rPr>
          <w:lang w:val="fr-CA"/>
        </w:rPr>
        <w:t xml:space="preserve">2021 : </w:t>
      </w:r>
      <w:r w:rsidRPr="00960D26">
        <w:rPr>
          <w:color w:val="000000"/>
          <w:lang w:val="fr-CA"/>
        </w:rPr>
        <w:t>19 janvier</w:t>
      </w:r>
      <w:r w:rsidRPr="00960D26">
        <w:rPr>
          <w:lang w:val="fr-CA"/>
        </w:rPr>
        <w:t>.</w:t>
      </w:r>
    </w:p>
    <w:p w:rsidR="00960D26" w:rsidRPr="00960D26" w:rsidRDefault="00960D26" w:rsidP="00960D26">
      <w:pPr>
        <w:spacing w:after="720"/>
        <w:jc w:val="both"/>
        <w:rPr>
          <w:lang w:val="fr-CA"/>
        </w:rPr>
      </w:pPr>
      <w:r>
        <w:rPr>
          <w:lang w:val="fr-CA"/>
        </w:rPr>
        <w:t xml:space="preserve">Présents : </w:t>
      </w:r>
      <w:r w:rsidRPr="00960D26">
        <w:rPr>
          <w:color w:val="000000"/>
          <w:lang w:val="fr-CA"/>
        </w:rPr>
        <w:t xml:space="preserve">Le juge en chef Wagner et les juges Abella, </w:t>
      </w:r>
      <w:proofErr w:type="spellStart"/>
      <w:r w:rsidRPr="00960D26">
        <w:rPr>
          <w:color w:val="000000"/>
          <w:lang w:val="fr-CA"/>
        </w:rPr>
        <w:t>Moldaver</w:t>
      </w:r>
      <w:proofErr w:type="spellEnd"/>
      <w:r w:rsidRPr="00960D26">
        <w:rPr>
          <w:color w:val="000000"/>
          <w:lang w:val="fr-CA"/>
        </w:rPr>
        <w:t xml:space="preserve">, </w:t>
      </w:r>
      <w:proofErr w:type="spellStart"/>
      <w:r w:rsidRPr="00960D26">
        <w:rPr>
          <w:color w:val="000000"/>
          <w:lang w:val="fr-CA"/>
        </w:rPr>
        <w:t>Karakatsanis</w:t>
      </w:r>
      <w:proofErr w:type="spellEnd"/>
      <w:r w:rsidRPr="00960D26">
        <w:rPr>
          <w:color w:val="000000"/>
          <w:lang w:val="fr-CA"/>
        </w:rPr>
        <w:t xml:space="preserve">, Côté, Brown, Rowe, Martin et </w:t>
      </w:r>
      <w:proofErr w:type="spellStart"/>
      <w:r w:rsidRPr="00960D26">
        <w:rPr>
          <w:color w:val="000000"/>
          <w:lang w:val="fr-CA"/>
        </w:rPr>
        <w:t>Kasirer</w:t>
      </w:r>
      <w:proofErr w:type="spellEnd"/>
      <w:r w:rsidRPr="00960D26">
        <w:rPr>
          <w:lang w:val="fr-CA"/>
        </w:rPr>
        <w:t>.</w:t>
      </w:r>
    </w:p>
    <w:p w:rsidR="00960D26" w:rsidRPr="00960D26" w:rsidRDefault="00960D26" w:rsidP="00960D26">
      <w:pPr>
        <w:spacing w:after="720"/>
        <w:jc w:val="both"/>
        <w:rPr>
          <w:smallCaps/>
          <w:lang w:val="fr-CA"/>
        </w:rPr>
      </w:pPr>
      <w:r w:rsidRPr="00960D26">
        <w:rPr>
          <w:smallCaps/>
          <w:lang w:val="fr-CA"/>
        </w:rPr>
        <w:t xml:space="preserve">en appel de la cour d’appel de </w:t>
      </w:r>
      <w:proofErr w:type="spellStart"/>
      <w:r w:rsidRPr="00960D26">
        <w:rPr>
          <w:smallCaps/>
          <w:lang w:val="fr-CA"/>
        </w:rPr>
        <w:t>l’ontario</w:t>
      </w:r>
      <w:proofErr w:type="spellEnd"/>
    </w:p>
    <w:p w:rsidR="00960D26" w:rsidRPr="00960D26" w:rsidRDefault="00960D26" w:rsidP="00960D26">
      <w:pPr>
        <w:pStyle w:val="SCCNormalDoubleSpacing"/>
        <w:spacing w:after="480"/>
        <w:rPr>
          <w:i/>
          <w:lang w:val="fr-CA"/>
        </w:rPr>
      </w:pPr>
      <w:r w:rsidRPr="00960D26">
        <w:rPr>
          <w:lang w:val="fr-CA"/>
        </w:rPr>
        <w:tab/>
      </w:r>
      <w:r w:rsidRPr="00960D26">
        <w:rPr>
          <w:i/>
          <w:lang w:val="fr-CA"/>
        </w:rPr>
        <w:t xml:space="preserve">Droit constitutionnel — Charte des droits — Procès dans un délai raisonnable — Accusés déclarés coupables de voies de fait causant des lésions corporelles et de séquestration — Arrêt des procédures demandé par les accusés pour cause de violation du droit d’être jugé dans un délai raisonnable que leur garantit l’al. 11b) de la Charte canadienne des droits et libertés — Décision du juge du procès portant que le délai dépassait le plafond présumé </w:t>
      </w:r>
      <w:proofErr w:type="gramStart"/>
      <w:r w:rsidRPr="00960D26">
        <w:rPr>
          <w:i/>
          <w:lang w:val="fr-CA"/>
        </w:rPr>
        <w:t>fixé</w:t>
      </w:r>
      <w:proofErr w:type="gramEnd"/>
      <w:r w:rsidRPr="00960D26">
        <w:rPr>
          <w:i/>
          <w:lang w:val="fr-CA"/>
        </w:rPr>
        <w:t xml:space="preserve"> dans l’arrêt Jordan et ordonnant l’arrêt des procédures — Arrêt de la Cour d’appel concluant que le délai net était inférieur au plafond fixé dans Jordan et annulant l’arrêt des procédures — Arr</w:t>
      </w:r>
      <w:r>
        <w:rPr>
          <w:i/>
          <w:lang w:val="fr-CA"/>
        </w:rPr>
        <w:t>êt de la Cour d’appel confirmé.</w:t>
      </w:r>
    </w:p>
    <w:p w:rsidR="00960D26" w:rsidRPr="00960D26" w:rsidRDefault="00960D26" w:rsidP="00960D26">
      <w:pPr>
        <w:pStyle w:val="SCCNormalDoubleSpacing"/>
        <w:spacing w:after="480"/>
        <w:rPr>
          <w:b/>
          <w:lang w:val="fr-CA"/>
        </w:rPr>
      </w:pPr>
      <w:r w:rsidRPr="00960D26">
        <w:rPr>
          <w:b/>
          <w:lang w:val="fr-CA"/>
        </w:rPr>
        <w:t>Jurisprudence</w:t>
      </w:r>
    </w:p>
    <w:p w:rsidR="00960D26" w:rsidRPr="00960D26" w:rsidRDefault="00960D26" w:rsidP="00960D26">
      <w:pPr>
        <w:pStyle w:val="SCCNormalDoubleSpacing"/>
        <w:spacing w:after="480"/>
        <w:rPr>
          <w:b/>
          <w:lang w:val="fr-CA"/>
        </w:rPr>
      </w:pPr>
      <w:r w:rsidRPr="00960D26">
        <w:rPr>
          <w:lang w:val="fr-CA"/>
        </w:rPr>
        <w:tab/>
      </w:r>
      <w:r w:rsidRPr="00960D26">
        <w:rPr>
          <w:b/>
          <w:lang w:val="fr-CA"/>
        </w:rPr>
        <w:t>Arrêts mentionnés :</w:t>
      </w:r>
      <w:r w:rsidRPr="00960D26">
        <w:rPr>
          <w:lang w:val="fr-CA"/>
        </w:rPr>
        <w:t xml:space="preserve"> </w:t>
      </w:r>
      <w:r w:rsidRPr="00960D26">
        <w:rPr>
          <w:i/>
          <w:iCs/>
          <w:color w:val="000000"/>
          <w:lang w:val="fr-CA"/>
        </w:rPr>
        <w:t>R. c. Jordan</w:t>
      </w:r>
      <w:r w:rsidRPr="00960D26">
        <w:rPr>
          <w:color w:val="000000"/>
          <w:lang w:val="fr-CA"/>
        </w:rPr>
        <w:t xml:space="preserve">, 2016 CSC 27, [2016] 1 R.C.S. 631; </w:t>
      </w:r>
      <w:r w:rsidRPr="00960D26">
        <w:rPr>
          <w:i/>
          <w:iCs/>
          <w:color w:val="000000"/>
          <w:lang w:val="fr-CA"/>
        </w:rPr>
        <w:t>R. c. Cody</w:t>
      </w:r>
      <w:r w:rsidRPr="00960D26">
        <w:rPr>
          <w:color w:val="000000"/>
          <w:lang w:val="fr-CA"/>
        </w:rPr>
        <w:t>, 2017 CSC 31, [2017] 1 R.C.S. 659.</w:t>
      </w:r>
    </w:p>
    <w:p w:rsidR="00960D26" w:rsidRPr="00960D26" w:rsidRDefault="00960D26" w:rsidP="00960D26">
      <w:pPr>
        <w:pStyle w:val="SCCNormalDoubleSpacing"/>
        <w:spacing w:after="480"/>
        <w:rPr>
          <w:b/>
          <w:lang w:val="fr-CA"/>
        </w:rPr>
      </w:pPr>
      <w:r w:rsidRPr="00960D26">
        <w:rPr>
          <w:b/>
          <w:lang w:val="fr-CA"/>
        </w:rPr>
        <w:t>Lois et règlements cités</w:t>
      </w:r>
    </w:p>
    <w:p w:rsidR="00960D26" w:rsidRPr="00960D26" w:rsidRDefault="00960D26" w:rsidP="00960D26">
      <w:pPr>
        <w:pStyle w:val="SCCNormalDoubleSpacing"/>
        <w:spacing w:after="480"/>
        <w:rPr>
          <w:lang w:val="fr-CA"/>
        </w:rPr>
      </w:pPr>
      <w:r w:rsidRPr="00960D26">
        <w:rPr>
          <w:i/>
          <w:lang w:val="fr-CA"/>
        </w:rPr>
        <w:t>Charte canadienne des droits et libertés</w:t>
      </w:r>
      <w:r w:rsidRPr="00960D26">
        <w:rPr>
          <w:lang w:val="fr-CA"/>
        </w:rPr>
        <w:t>, art. 11</w:t>
      </w:r>
      <w:r w:rsidRPr="00960D26">
        <w:rPr>
          <w:i/>
          <w:lang w:val="fr-CA"/>
        </w:rPr>
        <w:t>b</w:t>
      </w:r>
      <w:r w:rsidRPr="00960D26">
        <w:rPr>
          <w:lang w:val="fr-CA"/>
        </w:rPr>
        <w:t>).</w:t>
      </w:r>
    </w:p>
    <w:p w:rsidR="00960D26" w:rsidRPr="00960D26" w:rsidRDefault="00960D26" w:rsidP="00960D26">
      <w:pPr>
        <w:pStyle w:val="SCCNormalDoubleSpacing"/>
        <w:spacing w:after="480"/>
        <w:rPr>
          <w:lang w:val="fr-CA"/>
        </w:rPr>
      </w:pPr>
      <w:r w:rsidRPr="00960D26">
        <w:rPr>
          <w:lang w:val="fr-CA"/>
        </w:rPr>
        <w:lastRenderedPageBreak/>
        <w:tab/>
        <w:t xml:space="preserve">POURVOI contre un arrêt de la Cour d’appel de l’Ontario (les juges Simmons, Watt et Miller), </w:t>
      </w:r>
      <w:r w:rsidRPr="00960D26">
        <w:rPr>
          <w:color w:val="000000"/>
          <w:lang w:val="fr-CA"/>
        </w:rPr>
        <w:t xml:space="preserve">2020 ONCA 220 </w:t>
      </w:r>
      <w:r w:rsidRPr="00960D26">
        <w:rPr>
          <w:lang w:val="fr-CA"/>
        </w:rPr>
        <w:t>(</w:t>
      </w:r>
      <w:proofErr w:type="spellStart"/>
      <w:r w:rsidRPr="00960D26">
        <w:rPr>
          <w:i/>
          <w:lang w:val="fr-CA"/>
        </w:rPr>
        <w:t>sub</w:t>
      </w:r>
      <w:proofErr w:type="spellEnd"/>
      <w:r w:rsidRPr="00960D26">
        <w:rPr>
          <w:i/>
          <w:lang w:val="fr-CA"/>
        </w:rPr>
        <w:t xml:space="preserve"> nom. R. v. </w:t>
      </w:r>
      <w:proofErr w:type="spellStart"/>
      <w:r w:rsidRPr="00960D26">
        <w:rPr>
          <w:i/>
          <w:lang w:val="fr-CA"/>
        </w:rPr>
        <w:t>Pauls</w:t>
      </w:r>
      <w:proofErr w:type="spellEnd"/>
      <w:r w:rsidRPr="00960D26">
        <w:rPr>
          <w:lang w:val="fr-CA"/>
        </w:rPr>
        <w:t>)</w:t>
      </w:r>
      <w:r w:rsidRPr="00960D26">
        <w:rPr>
          <w:color w:val="000000"/>
          <w:lang w:val="fr-CA"/>
        </w:rPr>
        <w:t xml:space="preserve">, 149 O.R. (3d) 609, 453 D.L.R. (4th) 193, 454 C.R.R. (2d) 138, [2020] O.J. No. 1186 (QL), 2020 </w:t>
      </w:r>
      <w:proofErr w:type="spellStart"/>
      <w:r w:rsidRPr="00960D26">
        <w:rPr>
          <w:color w:val="000000"/>
          <w:lang w:val="fr-CA"/>
        </w:rPr>
        <w:t>CarswellOnt</w:t>
      </w:r>
      <w:proofErr w:type="spellEnd"/>
      <w:r w:rsidRPr="00960D26">
        <w:rPr>
          <w:color w:val="000000"/>
          <w:lang w:val="fr-CA"/>
        </w:rPr>
        <w:t xml:space="preserve"> 3744 (WL Can.),</w:t>
      </w:r>
      <w:r w:rsidRPr="00960D26">
        <w:rPr>
          <w:lang w:val="fr-CA"/>
        </w:rPr>
        <w:t xml:space="preserve"> qui a annulé l’arrêt des procédures ordonné par le juge du procès et renvoyé l’affaire pour détermination de la peine. Pourvoi rejeté.</w:t>
      </w:r>
    </w:p>
    <w:p w:rsidR="00960D26" w:rsidRPr="00960D26" w:rsidRDefault="00960D26" w:rsidP="00960D26">
      <w:pPr>
        <w:pStyle w:val="SCCNormalDoubleSpacing"/>
        <w:spacing w:after="480"/>
        <w:rPr>
          <w:lang w:val="fr-CA"/>
        </w:rPr>
      </w:pPr>
      <w:r w:rsidRPr="00960D26">
        <w:rPr>
          <w:lang w:val="fr-CA"/>
        </w:rPr>
        <w:tab/>
      </w:r>
      <w:r w:rsidRPr="00960D26">
        <w:rPr>
          <w:i/>
          <w:iCs/>
          <w:lang w:val="fr-CA"/>
        </w:rPr>
        <w:t xml:space="preserve">Adam </w:t>
      </w:r>
      <w:proofErr w:type="spellStart"/>
      <w:r w:rsidRPr="00960D26">
        <w:rPr>
          <w:i/>
          <w:iCs/>
          <w:lang w:val="fr-CA"/>
        </w:rPr>
        <w:t>Little</w:t>
      </w:r>
      <w:proofErr w:type="spellEnd"/>
      <w:r w:rsidRPr="00960D26">
        <w:rPr>
          <w:lang w:val="fr-CA"/>
        </w:rPr>
        <w:t xml:space="preserve">, </w:t>
      </w:r>
      <w:r w:rsidRPr="00960D26">
        <w:rPr>
          <w:color w:val="000000"/>
          <w:lang w:val="fr-CA"/>
        </w:rPr>
        <w:t xml:space="preserve">pour l’appelant </w:t>
      </w:r>
      <w:proofErr w:type="spellStart"/>
      <w:r w:rsidRPr="00960D26">
        <w:rPr>
          <w:lang w:val="fr-CA"/>
        </w:rPr>
        <w:t>Jamis</w:t>
      </w:r>
      <w:proofErr w:type="spellEnd"/>
      <w:r w:rsidRPr="00960D26">
        <w:rPr>
          <w:lang w:val="fr-CA"/>
        </w:rPr>
        <w:t xml:space="preserve"> Yusuf.</w:t>
      </w:r>
    </w:p>
    <w:p w:rsidR="00960D26" w:rsidRPr="00960D26" w:rsidRDefault="00960D26" w:rsidP="00960D26">
      <w:pPr>
        <w:pStyle w:val="SCCNormalDoubleSpacing"/>
        <w:spacing w:after="480"/>
        <w:rPr>
          <w:lang w:val="fr-CA"/>
        </w:rPr>
      </w:pPr>
      <w:r w:rsidRPr="00960D26">
        <w:rPr>
          <w:lang w:val="fr-CA"/>
        </w:rPr>
        <w:tab/>
      </w:r>
      <w:r w:rsidRPr="00960D26">
        <w:rPr>
          <w:i/>
          <w:iCs/>
          <w:lang w:val="fr-CA"/>
        </w:rPr>
        <w:t xml:space="preserve">Michael W. </w:t>
      </w:r>
      <w:proofErr w:type="spellStart"/>
      <w:r w:rsidRPr="00960D26">
        <w:rPr>
          <w:i/>
          <w:iCs/>
          <w:lang w:val="fr-CA"/>
        </w:rPr>
        <w:t>Lacy</w:t>
      </w:r>
      <w:proofErr w:type="spellEnd"/>
      <w:r>
        <w:rPr>
          <w:lang w:val="fr-CA"/>
        </w:rPr>
        <w:t xml:space="preserve"> </w:t>
      </w:r>
      <w:r w:rsidRPr="00960D26">
        <w:rPr>
          <w:lang w:val="fr-CA"/>
        </w:rPr>
        <w:t>et</w:t>
      </w:r>
      <w:r>
        <w:rPr>
          <w:lang w:val="fr-CA"/>
        </w:rPr>
        <w:t xml:space="preserve"> </w:t>
      </w:r>
      <w:r w:rsidRPr="00960D26">
        <w:rPr>
          <w:i/>
          <w:iCs/>
          <w:lang w:val="fr-CA"/>
        </w:rPr>
        <w:t xml:space="preserve">Bryan </w:t>
      </w:r>
      <w:proofErr w:type="spellStart"/>
      <w:r w:rsidRPr="00960D26">
        <w:rPr>
          <w:i/>
          <w:iCs/>
          <w:lang w:val="fr-CA"/>
        </w:rPr>
        <w:t>Badali</w:t>
      </w:r>
      <w:proofErr w:type="spellEnd"/>
      <w:r w:rsidRPr="00960D26">
        <w:rPr>
          <w:lang w:val="fr-CA"/>
        </w:rPr>
        <w:t xml:space="preserve">, </w:t>
      </w:r>
      <w:r w:rsidRPr="00960D26">
        <w:rPr>
          <w:color w:val="000000"/>
          <w:lang w:val="fr-CA"/>
        </w:rPr>
        <w:t xml:space="preserve">pour l’appelant </w:t>
      </w:r>
      <w:r w:rsidRPr="00960D26">
        <w:rPr>
          <w:lang w:val="fr-CA"/>
        </w:rPr>
        <w:t xml:space="preserve">Aziz </w:t>
      </w:r>
      <w:proofErr w:type="spellStart"/>
      <w:r w:rsidRPr="00960D26">
        <w:rPr>
          <w:lang w:val="fr-CA"/>
        </w:rPr>
        <w:t>Pauls</w:t>
      </w:r>
      <w:proofErr w:type="spellEnd"/>
      <w:r w:rsidRPr="00960D26">
        <w:rPr>
          <w:lang w:val="fr-CA"/>
        </w:rPr>
        <w:t>.</w:t>
      </w:r>
    </w:p>
    <w:p w:rsidR="00960D26" w:rsidRPr="00960D26" w:rsidRDefault="00960D26" w:rsidP="00960D26">
      <w:pPr>
        <w:pStyle w:val="SCCNormalDoubleSpacing"/>
        <w:spacing w:after="480"/>
        <w:rPr>
          <w:lang w:val="fr-CA"/>
        </w:rPr>
      </w:pPr>
      <w:r w:rsidRPr="00960D26">
        <w:rPr>
          <w:lang w:val="fr-CA"/>
        </w:rPr>
        <w:tab/>
      </w:r>
      <w:r w:rsidRPr="00960D26">
        <w:rPr>
          <w:i/>
          <w:iCs/>
          <w:lang w:val="fr-CA"/>
        </w:rPr>
        <w:t xml:space="preserve">Boris </w:t>
      </w:r>
      <w:proofErr w:type="spellStart"/>
      <w:r w:rsidRPr="00960D26">
        <w:rPr>
          <w:i/>
          <w:iCs/>
          <w:lang w:val="fr-CA"/>
        </w:rPr>
        <w:t>Bytensky</w:t>
      </w:r>
      <w:proofErr w:type="spellEnd"/>
      <w:r>
        <w:rPr>
          <w:lang w:val="fr-CA"/>
        </w:rPr>
        <w:t xml:space="preserve"> </w:t>
      </w:r>
      <w:r w:rsidRPr="00960D26">
        <w:rPr>
          <w:lang w:val="fr-CA"/>
        </w:rPr>
        <w:t>et</w:t>
      </w:r>
      <w:r>
        <w:rPr>
          <w:lang w:val="fr-CA"/>
        </w:rPr>
        <w:t xml:space="preserve"> </w:t>
      </w:r>
      <w:r w:rsidRPr="00960D26">
        <w:rPr>
          <w:i/>
          <w:iCs/>
          <w:lang w:val="fr-CA"/>
        </w:rPr>
        <w:t>Brittany Smith</w:t>
      </w:r>
      <w:r w:rsidRPr="00960D26">
        <w:rPr>
          <w:lang w:val="fr-CA"/>
        </w:rPr>
        <w:t xml:space="preserve">, </w:t>
      </w:r>
      <w:r w:rsidRPr="00960D26">
        <w:rPr>
          <w:color w:val="000000"/>
          <w:lang w:val="fr-CA"/>
        </w:rPr>
        <w:t xml:space="preserve">pour l’appelant </w:t>
      </w:r>
      <w:r w:rsidRPr="00960D26">
        <w:rPr>
          <w:lang w:val="fr-CA"/>
        </w:rPr>
        <w:t>Jamal Yusuf.</w:t>
      </w:r>
    </w:p>
    <w:p w:rsidR="00960D26" w:rsidRPr="00960D26" w:rsidRDefault="00960D26" w:rsidP="00960D26">
      <w:pPr>
        <w:pStyle w:val="SCCNormalDoubleSpacing"/>
        <w:spacing w:after="480"/>
        <w:rPr>
          <w:lang w:val="fr-CA"/>
        </w:rPr>
      </w:pPr>
      <w:r w:rsidRPr="00960D26">
        <w:rPr>
          <w:lang w:val="fr-CA"/>
        </w:rPr>
        <w:tab/>
      </w:r>
      <w:r w:rsidRPr="00960D26">
        <w:rPr>
          <w:i/>
          <w:iCs/>
          <w:lang w:val="fr-CA"/>
        </w:rPr>
        <w:t xml:space="preserve">Philippe G. </w:t>
      </w:r>
      <w:proofErr w:type="spellStart"/>
      <w:r w:rsidRPr="00960D26">
        <w:rPr>
          <w:i/>
          <w:iCs/>
          <w:lang w:val="fr-CA"/>
        </w:rPr>
        <w:t>Cowle</w:t>
      </w:r>
      <w:proofErr w:type="spellEnd"/>
      <w:r w:rsidRPr="00960D26">
        <w:rPr>
          <w:lang w:val="fr-CA"/>
        </w:rPr>
        <w:t>,</w:t>
      </w:r>
      <w:r w:rsidRPr="00960D26">
        <w:rPr>
          <w:color w:val="000000"/>
          <w:lang w:val="fr-CA"/>
        </w:rPr>
        <w:t xml:space="preserve"> pour l’intimée</w:t>
      </w:r>
      <w:r w:rsidRPr="00960D26">
        <w:rPr>
          <w:lang w:val="fr-CA"/>
        </w:rPr>
        <w:t>.</w:t>
      </w:r>
    </w:p>
    <w:p w:rsidR="00960D26" w:rsidRPr="00960D26" w:rsidRDefault="00960D26" w:rsidP="00960D26">
      <w:pPr>
        <w:pStyle w:val="SCCNormalDoubleSpacing"/>
        <w:spacing w:after="480"/>
        <w:rPr>
          <w:color w:val="000000"/>
          <w:lang w:val="fr-CA"/>
        </w:rPr>
      </w:pPr>
      <w:r w:rsidRPr="00960D26">
        <w:rPr>
          <w:i/>
          <w:lang w:val="fr-CA"/>
        </w:rPr>
        <w:tab/>
      </w:r>
      <w:r w:rsidRPr="00960D26">
        <w:rPr>
          <w:color w:val="000000"/>
          <w:lang w:val="fr-CA"/>
        </w:rPr>
        <w:t>Version française du jugement de la Cour rendu oralement par</w:t>
      </w:r>
    </w:p>
    <w:p w:rsidR="00960D26" w:rsidRPr="00960D26" w:rsidRDefault="00960D26" w:rsidP="00960D26">
      <w:pPr>
        <w:pStyle w:val="SCCNormalDoubleSpacing"/>
        <w:spacing w:after="480"/>
        <w:rPr>
          <w:lang w:val="fr-CA"/>
        </w:rPr>
      </w:pPr>
      <w:r w:rsidRPr="00960D26">
        <w:rPr>
          <w:color w:val="000000"/>
          <w:lang w:val="fr-CA"/>
        </w:rPr>
        <w:t>[1]</w:t>
      </w:r>
      <w:r w:rsidRPr="00960D26">
        <w:rPr>
          <w:color w:val="000000"/>
          <w:lang w:val="fr-CA"/>
        </w:rPr>
        <w:tab/>
      </w:r>
      <w:r w:rsidRPr="00960D26">
        <w:rPr>
          <w:smallCaps/>
          <w:lang w:val="fr-CA"/>
        </w:rPr>
        <w:t xml:space="preserve">Le juge </w:t>
      </w:r>
      <w:proofErr w:type="spellStart"/>
      <w:r w:rsidRPr="00960D26">
        <w:rPr>
          <w:smallCaps/>
          <w:lang w:val="fr-CA"/>
        </w:rPr>
        <w:t>Moldaver</w:t>
      </w:r>
      <w:proofErr w:type="spellEnd"/>
      <w:r w:rsidRPr="00960D26">
        <w:rPr>
          <w:lang w:val="fr-CA"/>
        </w:rPr>
        <w:t xml:space="preserve"> — Le présent pourvoi a été interjeté de plein droit. Les trois appelants ont, au terme de leur procès, été déclarés coupables de voies de fait causant des lésions corporelles. Deux d’entre eux, MM. </w:t>
      </w:r>
      <w:proofErr w:type="spellStart"/>
      <w:r w:rsidRPr="00960D26">
        <w:rPr>
          <w:lang w:val="fr-CA"/>
        </w:rPr>
        <w:t>Jamis</w:t>
      </w:r>
      <w:proofErr w:type="spellEnd"/>
      <w:r w:rsidRPr="00960D26">
        <w:rPr>
          <w:lang w:val="fr-CA"/>
        </w:rPr>
        <w:t xml:space="preserve"> Yusuf et Jamal Yusuf, ont en outre été déclarés coupables de séquestration.</w:t>
      </w:r>
    </w:p>
    <w:p w:rsidR="00960D26" w:rsidRPr="00960D26" w:rsidRDefault="00960D26" w:rsidP="00960D26">
      <w:pPr>
        <w:pStyle w:val="SCCNormalDoubleSpacing"/>
        <w:spacing w:after="480"/>
        <w:rPr>
          <w:lang w:val="fr-CA"/>
        </w:rPr>
      </w:pPr>
      <w:r w:rsidRPr="00960D26">
        <w:rPr>
          <w:lang w:val="fr-CA"/>
        </w:rPr>
        <w:t>[2]</w:t>
      </w:r>
      <w:r w:rsidRPr="00960D26">
        <w:rPr>
          <w:lang w:val="fr-CA"/>
        </w:rPr>
        <w:tab/>
        <w:t>Après le dépôt des motifs de jugement du juge du procès, les appelants ont demandé un arrêt des procédures pour cause de violation du droit d’être jugé dans un délai raisonnable que leur garantit l’</w:t>
      </w:r>
      <w:r>
        <w:rPr>
          <w:lang w:val="fr-CA"/>
        </w:rPr>
        <w:t>al. </w:t>
      </w:r>
      <w:r w:rsidRPr="00960D26">
        <w:rPr>
          <w:lang w:val="fr-CA"/>
        </w:rPr>
        <w:t>11</w:t>
      </w:r>
      <w:r w:rsidRPr="00960D26">
        <w:rPr>
          <w:i/>
          <w:lang w:val="fr-CA"/>
        </w:rPr>
        <w:t>b</w:t>
      </w:r>
      <w:r w:rsidRPr="00960D26">
        <w:rPr>
          <w:lang w:val="fr-CA"/>
        </w:rPr>
        <w:t xml:space="preserve">) de la </w:t>
      </w:r>
      <w:r w:rsidRPr="00960D26">
        <w:rPr>
          <w:i/>
          <w:lang w:val="fr-CA"/>
        </w:rPr>
        <w:t>Charte canadienne des droits et libertés</w:t>
      </w:r>
      <w:r w:rsidRPr="00960D26">
        <w:rPr>
          <w:lang w:val="fr-CA"/>
        </w:rPr>
        <w:t xml:space="preserve">. Le juge de première instance leur a donné raison et a ordonné l’arrêt des procédures les visant. Le ministère public a fait appel de cette ordonnance et, dans un </w:t>
      </w:r>
      <w:r w:rsidRPr="00960D26">
        <w:rPr>
          <w:lang w:val="fr-CA"/>
        </w:rPr>
        <w:lastRenderedPageBreak/>
        <w:t>arrêt unanime, la Cour d’appel de l’Ontario, appliquant la norme de contrôle appropriée, a accueilli l’appel et rétabli les déclarations de culpabilité.</w:t>
      </w:r>
    </w:p>
    <w:p w:rsidR="00960D26" w:rsidRPr="00960D26" w:rsidRDefault="00960D26" w:rsidP="00960D26">
      <w:pPr>
        <w:pStyle w:val="SCCNormalDoubleSpacing"/>
        <w:spacing w:after="480"/>
        <w:rPr>
          <w:lang w:val="fr-CA"/>
        </w:rPr>
      </w:pPr>
      <w:r w:rsidRPr="00960D26">
        <w:rPr>
          <w:lang w:val="fr-CA"/>
        </w:rPr>
        <w:t>[3]</w:t>
      </w:r>
      <w:r w:rsidRPr="00960D26">
        <w:rPr>
          <w:lang w:val="fr-CA"/>
        </w:rPr>
        <w:tab/>
        <w:t>Nous souscrivons à la décision de la Cour d’appel quant au résultat, et nous sommes en conséquence d’avis de rejeter le pourvoi.</w:t>
      </w:r>
    </w:p>
    <w:p w:rsidR="00960D26" w:rsidRPr="00960D26" w:rsidRDefault="00960D26" w:rsidP="00960D26">
      <w:pPr>
        <w:pStyle w:val="SCCNormalDoubleSpacing"/>
        <w:spacing w:after="480"/>
        <w:rPr>
          <w:lang w:val="fr-CA"/>
        </w:rPr>
      </w:pPr>
      <w:r w:rsidRPr="00960D26">
        <w:rPr>
          <w:lang w:val="fr-CA"/>
        </w:rPr>
        <w:t>[4]</w:t>
      </w:r>
      <w:r w:rsidRPr="00960D26">
        <w:rPr>
          <w:lang w:val="fr-CA"/>
        </w:rPr>
        <w:tab/>
        <w:t xml:space="preserve">Ce faisant, nous avons choisi de reporter à une autre occasion l’examen de diverses questions de droit qui découlent des arrêts </w:t>
      </w:r>
      <w:r w:rsidRPr="00960D26">
        <w:rPr>
          <w:i/>
          <w:lang w:val="fr-CA"/>
        </w:rPr>
        <w:t>R. c. Jordan</w:t>
      </w:r>
      <w:r w:rsidRPr="00960D26">
        <w:rPr>
          <w:lang w:val="fr-CA"/>
        </w:rPr>
        <w:t xml:space="preserve">, 2016 CSC 27, [2016] 1 R.C.S. 631, et </w:t>
      </w:r>
      <w:r w:rsidRPr="00960D26">
        <w:rPr>
          <w:i/>
          <w:lang w:val="fr-CA"/>
        </w:rPr>
        <w:t>R. c. Cody</w:t>
      </w:r>
      <w:r w:rsidRPr="00960D26">
        <w:rPr>
          <w:lang w:val="fr-CA"/>
        </w:rPr>
        <w:t>, 2017 CSC 31, [2017] 1 R.C.S. 659, de notre Cour, notammen</w:t>
      </w:r>
      <w:r>
        <w:rPr>
          <w:lang w:val="fr-CA"/>
        </w:rPr>
        <w:t>t les questions suivantes : Est</w:t>
      </w:r>
      <w:r>
        <w:rPr>
          <w:lang w:val="fr-CA"/>
        </w:rPr>
        <w:noBreakHyphen/>
      </w:r>
      <w:r w:rsidRPr="00960D26">
        <w:rPr>
          <w:lang w:val="fr-CA"/>
        </w:rPr>
        <w:t>ce qu’il faut — et dans l’affirmative, dans quelles circonstances — traiter de multiples accusés collectivement, plutôt qu’individuellement, dans l’appréciation des délais imputables à la défense au regard de l’a</w:t>
      </w:r>
      <w:r>
        <w:rPr>
          <w:lang w:val="fr-CA"/>
        </w:rPr>
        <w:t>l. </w:t>
      </w:r>
      <w:r w:rsidRPr="00960D26">
        <w:rPr>
          <w:lang w:val="fr-CA"/>
        </w:rPr>
        <w:t>11</w:t>
      </w:r>
      <w:r w:rsidRPr="00960D26">
        <w:rPr>
          <w:i/>
          <w:lang w:val="fr-CA"/>
        </w:rPr>
        <w:t>b</w:t>
      </w:r>
      <w:r>
        <w:rPr>
          <w:lang w:val="fr-CA"/>
        </w:rPr>
        <w:t>)? Est</w:t>
      </w:r>
      <w:r>
        <w:rPr>
          <w:lang w:val="fr-CA"/>
        </w:rPr>
        <w:noBreakHyphen/>
      </w:r>
      <w:r w:rsidRPr="00960D26">
        <w:rPr>
          <w:lang w:val="fr-CA"/>
        </w:rPr>
        <w:t xml:space="preserve">ce que des événements distincts au sens de l’arrêt </w:t>
      </w:r>
      <w:r w:rsidRPr="00960D26">
        <w:rPr>
          <w:i/>
          <w:lang w:val="fr-CA"/>
        </w:rPr>
        <w:t>Jordan</w:t>
      </w:r>
      <w:r w:rsidRPr="00960D26">
        <w:rPr>
          <w:lang w:val="fr-CA"/>
        </w:rPr>
        <w:t xml:space="preserve">, qui sont attribuables à un accusé en particulier, doivent entraîner des déductions uniquement à l’égard de l’accusé responsable de ces événements ou également à l’égard des autres </w:t>
      </w:r>
      <w:r>
        <w:rPr>
          <w:lang w:val="fr-CA"/>
        </w:rPr>
        <w:t>coaccusés collectivement? Est</w:t>
      </w:r>
      <w:r>
        <w:rPr>
          <w:lang w:val="fr-CA"/>
        </w:rPr>
        <w:noBreakHyphen/>
      </w:r>
      <w:r w:rsidRPr="00960D26">
        <w:rPr>
          <w:lang w:val="fr-CA"/>
        </w:rPr>
        <w:t>ce qu’une demande fondée sur l’</w:t>
      </w:r>
      <w:r>
        <w:rPr>
          <w:lang w:val="fr-CA"/>
        </w:rPr>
        <w:t>al. </w:t>
      </w:r>
      <w:r w:rsidRPr="00960D26">
        <w:rPr>
          <w:lang w:val="fr-CA"/>
        </w:rPr>
        <w:t>11</w:t>
      </w:r>
      <w:r w:rsidRPr="00960D26">
        <w:rPr>
          <w:i/>
          <w:lang w:val="fr-CA"/>
        </w:rPr>
        <w:t>b</w:t>
      </w:r>
      <w:r w:rsidRPr="00960D26">
        <w:rPr>
          <w:lang w:val="fr-CA"/>
        </w:rPr>
        <w:t>) peut être présentée après la déclaration de culpabilité et, dans l’</w:t>
      </w:r>
      <w:r>
        <w:rPr>
          <w:lang w:val="fr-CA"/>
        </w:rPr>
        <w:t>affirmative, est</w:t>
      </w:r>
      <w:r>
        <w:rPr>
          <w:lang w:val="fr-CA"/>
        </w:rPr>
        <w:noBreakHyphen/>
      </w:r>
      <w:r w:rsidRPr="00960D26">
        <w:rPr>
          <w:lang w:val="fr-CA"/>
        </w:rPr>
        <w:t>ce qu’une réparation autre que l’arrêt des procédures peut être accordée?</w:t>
      </w:r>
    </w:p>
    <w:p w:rsidR="00960D26" w:rsidRPr="00960D26" w:rsidRDefault="00960D26" w:rsidP="00960D26">
      <w:pPr>
        <w:pStyle w:val="SCCNormalDoubleSpacing"/>
        <w:spacing w:after="480"/>
        <w:rPr>
          <w:color w:val="000000"/>
          <w:lang w:val="fr-CA"/>
        </w:rPr>
      </w:pPr>
      <w:r w:rsidRPr="00960D26">
        <w:rPr>
          <w:lang w:val="fr-CA"/>
        </w:rPr>
        <w:t>[5]</w:t>
      </w:r>
      <w:r w:rsidRPr="00960D26">
        <w:rPr>
          <w:lang w:val="fr-CA"/>
        </w:rPr>
        <w:tab/>
        <w:t>En l’espèce, nous sommes d’avis qu’aucune de ces questions de droit, considérées seules ou globalement, n’aurait eu d’incidence sur l’issue du présent pourvoi. Plusieurs considérations nous amènent à reporter à une autre occasion l’examen de ces questions de droit, notamment l’absence d’intervenants susceptibles d’apporter un éclairage à leur égard; le fait qu’il s’agit d’une affaire visée par la période t</w:t>
      </w:r>
      <w:r w:rsidR="001A680B">
        <w:rPr>
          <w:lang w:val="fr-CA"/>
        </w:rPr>
        <w:t>ransitoire et dans laquelle 70 p. 100</w:t>
      </w:r>
      <w:r w:rsidRPr="00960D26">
        <w:rPr>
          <w:lang w:val="fr-CA"/>
        </w:rPr>
        <w:t xml:space="preserve"> du procès avait eu lieu avant le prononcé de l’arrêt </w:t>
      </w:r>
      <w:r w:rsidRPr="00960D26">
        <w:rPr>
          <w:i/>
          <w:lang w:val="fr-CA"/>
        </w:rPr>
        <w:lastRenderedPageBreak/>
        <w:t>Jordan</w:t>
      </w:r>
      <w:r w:rsidRPr="00960D26">
        <w:rPr>
          <w:lang w:val="fr-CA"/>
        </w:rPr>
        <w:t xml:space="preserve">; et l’absence d’efforts utiles de la part des trois accusés pour faire avancer le procès de concert avec le ministère public et le tribunal de première instance. Comme l’a souligné la Cour d’appel, et ce, à juste titre selon nous, le procès qui s’est tenu en l’espèce n’avait absolument rien de compliqué. À la lumière de ce qui précède, appliqué adéquatement, l’arrêt </w:t>
      </w:r>
      <w:r w:rsidRPr="00960D26">
        <w:rPr>
          <w:i/>
          <w:lang w:val="fr-CA"/>
        </w:rPr>
        <w:t>Jordan</w:t>
      </w:r>
      <w:r w:rsidRPr="00960D26">
        <w:rPr>
          <w:lang w:val="fr-CA"/>
        </w:rPr>
        <w:t xml:space="preserve"> ne justifiait d’aucune façon l’octroi d’un arrêt des procédures en l’espèce.</w:t>
      </w:r>
    </w:p>
    <w:p w:rsidR="00960D26" w:rsidRPr="00960D26" w:rsidRDefault="00960D26" w:rsidP="00960D26">
      <w:pPr>
        <w:pStyle w:val="SCCNormalDoubleSpacing"/>
        <w:spacing w:after="480"/>
        <w:rPr>
          <w:lang w:val="fr-CA"/>
        </w:rPr>
      </w:pPr>
      <w:r w:rsidRPr="00960D26">
        <w:rPr>
          <w:lang w:val="fr-CA"/>
        </w:rPr>
        <w:tab/>
      </w:r>
      <w:r w:rsidRPr="00960D26">
        <w:rPr>
          <w:i/>
          <w:iCs/>
          <w:color w:val="000000"/>
          <w:lang w:val="fr-CA"/>
        </w:rPr>
        <w:t>Jugement en conséquence.</w:t>
      </w:r>
    </w:p>
    <w:p w:rsidR="00960D26" w:rsidRPr="00960D26" w:rsidRDefault="00960D26" w:rsidP="00960D26">
      <w:pPr>
        <w:pStyle w:val="SCCNormalDoubleSpacing"/>
        <w:spacing w:after="480"/>
        <w:rPr>
          <w:i/>
          <w:iCs/>
          <w:color w:val="000000"/>
          <w:lang w:val="fr-CA"/>
        </w:rPr>
      </w:pPr>
      <w:r w:rsidRPr="00960D26">
        <w:rPr>
          <w:lang w:val="fr-CA"/>
        </w:rPr>
        <w:tab/>
      </w:r>
      <w:r w:rsidRPr="00960D26">
        <w:rPr>
          <w:i/>
          <w:lang w:val="fr-CA"/>
        </w:rPr>
        <w:t>Procureurs de</w:t>
      </w:r>
      <w:r w:rsidRPr="00960D26">
        <w:rPr>
          <w:lang w:val="fr-CA"/>
        </w:rPr>
        <w:t xml:space="preserve"> </w:t>
      </w:r>
      <w:r w:rsidRPr="00960D26">
        <w:rPr>
          <w:i/>
          <w:iCs/>
          <w:color w:val="000000"/>
          <w:lang w:val="fr-CA"/>
        </w:rPr>
        <w:t xml:space="preserve">l’appelant </w:t>
      </w:r>
      <w:proofErr w:type="spellStart"/>
      <w:r w:rsidRPr="00960D26">
        <w:rPr>
          <w:i/>
          <w:iCs/>
          <w:color w:val="000000"/>
          <w:lang w:val="fr-CA"/>
        </w:rPr>
        <w:t>Jamis</w:t>
      </w:r>
      <w:proofErr w:type="spellEnd"/>
      <w:r w:rsidRPr="00960D26">
        <w:rPr>
          <w:i/>
          <w:iCs/>
          <w:color w:val="000000"/>
          <w:lang w:val="fr-CA"/>
        </w:rPr>
        <w:t xml:space="preserve"> Yusuf : </w:t>
      </w:r>
      <w:proofErr w:type="spellStart"/>
      <w:r w:rsidRPr="00960D26">
        <w:rPr>
          <w:i/>
          <w:iCs/>
          <w:color w:val="000000"/>
          <w:lang w:val="fr-CA"/>
        </w:rPr>
        <w:t>Fedorsen</w:t>
      </w:r>
      <w:proofErr w:type="spellEnd"/>
      <w:r w:rsidRPr="00960D26">
        <w:rPr>
          <w:i/>
          <w:iCs/>
          <w:color w:val="000000"/>
          <w:lang w:val="fr-CA"/>
        </w:rPr>
        <w:t xml:space="preserve"> Law, Toronto.</w:t>
      </w:r>
    </w:p>
    <w:p w:rsidR="00960D26" w:rsidRPr="00960D26" w:rsidRDefault="00960D26" w:rsidP="00960D26">
      <w:pPr>
        <w:pStyle w:val="SCCNormalDoubleSpacing"/>
        <w:spacing w:after="480"/>
        <w:rPr>
          <w:i/>
          <w:iCs/>
          <w:color w:val="000000"/>
          <w:lang w:val="fr-CA"/>
        </w:rPr>
      </w:pPr>
      <w:r w:rsidRPr="00960D26">
        <w:rPr>
          <w:i/>
          <w:iCs/>
          <w:color w:val="000000"/>
          <w:lang w:val="fr-CA"/>
        </w:rPr>
        <w:tab/>
        <w:t xml:space="preserve">Procureurs de l’appelant Aziz </w:t>
      </w:r>
      <w:proofErr w:type="spellStart"/>
      <w:r w:rsidRPr="00960D26">
        <w:rPr>
          <w:i/>
          <w:iCs/>
          <w:color w:val="000000"/>
          <w:lang w:val="fr-CA"/>
        </w:rPr>
        <w:t>Pauls</w:t>
      </w:r>
      <w:proofErr w:type="spellEnd"/>
      <w:r w:rsidRPr="00960D26">
        <w:rPr>
          <w:i/>
          <w:iCs/>
          <w:color w:val="000000"/>
          <w:lang w:val="fr-CA"/>
        </w:rPr>
        <w:t xml:space="preserve"> : </w:t>
      </w:r>
      <w:proofErr w:type="spellStart"/>
      <w:r w:rsidRPr="00960D26">
        <w:rPr>
          <w:i/>
          <w:iCs/>
          <w:color w:val="000000"/>
          <w:lang w:val="fr-CA"/>
        </w:rPr>
        <w:t>Brauti</w:t>
      </w:r>
      <w:proofErr w:type="spellEnd"/>
      <w:r w:rsidRPr="00960D26">
        <w:rPr>
          <w:i/>
          <w:iCs/>
          <w:color w:val="000000"/>
          <w:lang w:val="fr-CA"/>
        </w:rPr>
        <w:t xml:space="preserve"> </w:t>
      </w:r>
      <w:proofErr w:type="spellStart"/>
      <w:r w:rsidRPr="00960D26">
        <w:rPr>
          <w:i/>
          <w:iCs/>
          <w:color w:val="000000"/>
          <w:lang w:val="fr-CA"/>
        </w:rPr>
        <w:t>Thorning</w:t>
      </w:r>
      <w:proofErr w:type="spellEnd"/>
      <w:r w:rsidRPr="00960D26">
        <w:rPr>
          <w:i/>
          <w:iCs/>
          <w:color w:val="000000"/>
          <w:lang w:val="fr-CA"/>
        </w:rPr>
        <w:t>, Toronto.</w:t>
      </w:r>
    </w:p>
    <w:p w:rsidR="00960D26" w:rsidRPr="00960D26" w:rsidRDefault="00960D26" w:rsidP="00960D26">
      <w:pPr>
        <w:pStyle w:val="SCCNormalDoubleSpacing"/>
        <w:spacing w:after="480"/>
        <w:rPr>
          <w:i/>
          <w:iCs/>
          <w:color w:val="000000"/>
          <w:lang w:val="fr-CA"/>
        </w:rPr>
      </w:pPr>
      <w:r w:rsidRPr="00960D26">
        <w:rPr>
          <w:i/>
          <w:iCs/>
          <w:color w:val="000000"/>
          <w:lang w:val="fr-CA"/>
        </w:rPr>
        <w:tab/>
        <w:t xml:space="preserve">Procureurs de l’appelant Jamal Yusuf : </w:t>
      </w:r>
      <w:proofErr w:type="spellStart"/>
      <w:r w:rsidRPr="00960D26">
        <w:rPr>
          <w:i/>
          <w:iCs/>
          <w:color w:val="000000"/>
          <w:lang w:val="fr-CA"/>
        </w:rPr>
        <w:t>Bytensky</w:t>
      </w:r>
      <w:proofErr w:type="spellEnd"/>
      <w:r w:rsidRPr="00960D26">
        <w:rPr>
          <w:i/>
          <w:iCs/>
          <w:color w:val="000000"/>
          <w:lang w:val="fr-CA"/>
        </w:rPr>
        <w:t xml:space="preserve"> </w:t>
      </w:r>
      <w:proofErr w:type="spellStart"/>
      <w:r w:rsidRPr="00960D26">
        <w:rPr>
          <w:i/>
          <w:iCs/>
          <w:color w:val="000000"/>
          <w:lang w:val="fr-CA"/>
        </w:rPr>
        <w:t>Shikhman</w:t>
      </w:r>
      <w:proofErr w:type="spellEnd"/>
      <w:r w:rsidRPr="00960D26">
        <w:rPr>
          <w:i/>
          <w:iCs/>
          <w:color w:val="000000"/>
          <w:lang w:val="fr-CA"/>
        </w:rPr>
        <w:t>, Toronto.</w:t>
      </w:r>
    </w:p>
    <w:p w:rsidR="00960D26" w:rsidRPr="00960D26" w:rsidRDefault="00960D26" w:rsidP="00960D26">
      <w:pPr>
        <w:pStyle w:val="SCCNormalDoubleSpacing"/>
        <w:spacing w:after="480"/>
        <w:rPr>
          <w:lang w:val="fr-CA"/>
        </w:rPr>
      </w:pPr>
      <w:r w:rsidRPr="00960D26">
        <w:rPr>
          <w:i/>
          <w:iCs/>
          <w:color w:val="000000"/>
          <w:lang w:val="fr-CA"/>
        </w:rPr>
        <w:tab/>
        <w:t>Procureur de l’intimée :</w:t>
      </w:r>
      <w:r w:rsidRPr="00960D26">
        <w:rPr>
          <w:lang w:val="fr-CA"/>
        </w:rPr>
        <w:t xml:space="preserve"> </w:t>
      </w:r>
      <w:r w:rsidRPr="00960D26">
        <w:rPr>
          <w:i/>
          <w:lang w:val="fr-CA"/>
        </w:rPr>
        <w:t>Procureur général de l’Ontario, Toronto.</w:t>
      </w:r>
    </w:p>
    <w:sectPr w:rsidR="00960D26" w:rsidRPr="00960D26"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D2F" w:rsidRDefault="00427D2F">
      <w:r>
        <w:separator/>
      </w:r>
    </w:p>
  </w:endnote>
  <w:endnote w:type="continuationSeparator" w:id="0">
    <w:p w:rsidR="00427D2F" w:rsidRDefault="00427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D2F" w:rsidRDefault="00427D2F">
      <w:r>
        <w:separator/>
      </w:r>
    </w:p>
  </w:footnote>
  <w:footnote w:type="continuationSeparator" w:id="0">
    <w:p w:rsidR="00427D2F" w:rsidRDefault="00427D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64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8763F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C850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A47E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3837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3003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7208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9661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9058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2A51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B73F21"/>
    <w:multiLevelType w:val="hybridMultilevel"/>
    <w:tmpl w:val="1CA8AB4C"/>
    <w:lvl w:ilvl="0" w:tplc="AF12D3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000BA4"/>
    <w:multiLevelType w:val="hybridMultilevel"/>
    <w:tmpl w:val="900CBD0E"/>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C1B2609"/>
    <w:multiLevelType w:val="hybridMultilevel"/>
    <w:tmpl w:val="B62EB43A"/>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40F65EB2"/>
    <w:multiLevelType w:val="hybridMultilevel"/>
    <w:tmpl w:val="406E4396"/>
    <w:lvl w:ilvl="0" w:tplc="AF12D3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603130A"/>
    <w:multiLevelType w:val="multilevel"/>
    <w:tmpl w:val="9A5EAD4C"/>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8"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4283EE8"/>
    <w:multiLevelType w:val="multilevel"/>
    <w:tmpl w:val="61380426"/>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662891"/>
    <w:multiLevelType w:val="hybridMultilevel"/>
    <w:tmpl w:val="FAECBADC"/>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666D1F9C"/>
    <w:multiLevelType w:val="hybridMultilevel"/>
    <w:tmpl w:val="A1BAD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CA5550B"/>
    <w:multiLevelType w:val="hybridMultilevel"/>
    <w:tmpl w:val="D9EA6A54"/>
    <w:lvl w:ilvl="0" w:tplc="AF12D38C">
      <w:start w:val="1"/>
      <w:numFmt w:val="decimal"/>
      <w:lvlText w:val="(%1)"/>
      <w:lvlJc w:val="left"/>
      <w:pPr>
        <w:ind w:left="1080" w:hanging="360"/>
      </w:pPr>
      <w:rPr>
        <w:rFonts w:hint="default"/>
      </w:rPr>
    </w:lvl>
    <w:lvl w:ilvl="1" w:tplc="19B23C74">
      <w:start w:val="1"/>
      <w:numFmt w:val="lowerLetter"/>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7A957F3C"/>
    <w:multiLevelType w:val="hybridMultilevel"/>
    <w:tmpl w:val="A0A41CF8"/>
    <w:lvl w:ilvl="0" w:tplc="D7E6156A">
      <w:start w:val="1"/>
      <w:numFmt w:val="bullet"/>
      <w:lvlText w:val=""/>
      <w:lvlJc w:val="left"/>
      <w:pPr>
        <w:ind w:left="900" w:hanging="360"/>
      </w:pPr>
      <w:rPr>
        <w:rFonts w:ascii="Symbol" w:hAnsi="Symbol" w:hint="default"/>
        <w:color w:val="auto"/>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num w:numId="1">
    <w:abstractNumId w:val="22"/>
  </w:num>
  <w:num w:numId="2">
    <w:abstractNumId w:val="12"/>
  </w:num>
  <w:num w:numId="3">
    <w:abstractNumId w:val="10"/>
  </w:num>
  <w:num w:numId="4">
    <w:abstractNumId w:val="19"/>
  </w:num>
  <w:num w:numId="5">
    <w:abstractNumId w:val="20"/>
  </w:num>
  <w:num w:numId="6">
    <w:abstractNumId w:val="21"/>
  </w:num>
  <w:num w:numId="7">
    <w:abstractNumId w:val="17"/>
  </w:num>
  <w:num w:numId="8">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5"/>
  </w:num>
  <w:num w:numId="10">
    <w:abstractNumId w:val="15"/>
  </w:num>
  <w:num w:numId="11">
    <w:abstractNumId w:val="13"/>
  </w:num>
  <w:num w:numId="12">
    <w:abstractNumId w:val="11"/>
  </w:num>
  <w:num w:numId="13">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i w:val="0"/>
          <w:sz w:val="24"/>
        </w:rPr>
      </w:lvl>
    </w:lvlOverride>
    <w:lvlOverride w:ilvl="2">
      <w:lvl w:ilvl="2">
        <w:start w:val="1"/>
        <w:numFmt w:val="decimal"/>
        <w:pStyle w:val="Title3LevelTitre3Niveau"/>
        <w:lvlText w:val="(%3)"/>
        <w:lvlJc w:val="left"/>
        <w:pPr>
          <w:tabs>
            <w:tab w:val="num" w:pos="1152"/>
          </w:tabs>
          <w:ind w:left="1152"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pStyle w:val="Title4LevelTitre4Niveau"/>
        <w:lvlText w:val="(%4)"/>
        <w:lvlJc w:val="left"/>
        <w:pPr>
          <w:tabs>
            <w:tab w:val="num" w:pos="1152"/>
          </w:tabs>
          <w:ind w:left="1152" w:hanging="576"/>
        </w:pPr>
        <w:rPr>
          <w:rFonts w:hint="default"/>
          <w:b/>
          <w:i w:val="0"/>
        </w:rPr>
      </w:lvl>
    </w:lvlOverride>
    <w:lvlOverride w:ilvl="4">
      <w:lvl w:ilvl="4">
        <w:start w:val="1"/>
        <w:numFmt w:val="lowerRoman"/>
        <w:pStyle w:val="Title5LevelTitre5Niveau"/>
        <w:lvlText w:val="(%5)"/>
        <w:lvlJc w:val="left"/>
        <w:pPr>
          <w:tabs>
            <w:tab w:val="num" w:pos="1728"/>
          </w:tabs>
          <w:ind w:left="1728" w:hanging="576"/>
        </w:pPr>
        <w:rPr>
          <w:rFonts w:hint="default"/>
          <w:i w:val="0"/>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23"/>
  </w:num>
  <w:num w:numId="27">
    <w:abstractNumId w:val="14"/>
  </w:num>
  <w:num w:numId="28">
    <w:abstractNumId w:val="26"/>
  </w:num>
  <w:num w:numId="29">
    <w:abstractNumId w:val="24"/>
  </w:num>
  <w:num w:numId="30">
    <w:abstractNumId w:val="17"/>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removePersonalInformation/>
  <w:removeDateAndTime/>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3781"/>
    <w:rsid w:val="00017885"/>
    <w:rsid w:val="00025198"/>
    <w:rsid w:val="00026467"/>
    <w:rsid w:val="0003700B"/>
    <w:rsid w:val="00040D1B"/>
    <w:rsid w:val="00041BDD"/>
    <w:rsid w:val="000578A3"/>
    <w:rsid w:val="000648CC"/>
    <w:rsid w:val="00076E46"/>
    <w:rsid w:val="00094FED"/>
    <w:rsid w:val="000B5CFA"/>
    <w:rsid w:val="000B69B5"/>
    <w:rsid w:val="000C3FCE"/>
    <w:rsid w:val="000C59B8"/>
    <w:rsid w:val="000C6AF0"/>
    <w:rsid w:val="000C78C2"/>
    <w:rsid w:val="000F0995"/>
    <w:rsid w:val="000F2FF1"/>
    <w:rsid w:val="00104F33"/>
    <w:rsid w:val="00106D75"/>
    <w:rsid w:val="00111905"/>
    <w:rsid w:val="00111DE2"/>
    <w:rsid w:val="0011492A"/>
    <w:rsid w:val="001160DE"/>
    <w:rsid w:val="00116B38"/>
    <w:rsid w:val="00134F55"/>
    <w:rsid w:val="00135406"/>
    <w:rsid w:val="00135972"/>
    <w:rsid w:val="00136268"/>
    <w:rsid w:val="00137E61"/>
    <w:rsid w:val="001426A9"/>
    <w:rsid w:val="0014546A"/>
    <w:rsid w:val="00154563"/>
    <w:rsid w:val="00154D7C"/>
    <w:rsid w:val="001570B0"/>
    <w:rsid w:val="0015752C"/>
    <w:rsid w:val="00157737"/>
    <w:rsid w:val="00165277"/>
    <w:rsid w:val="001677C1"/>
    <w:rsid w:val="00170592"/>
    <w:rsid w:val="00186351"/>
    <w:rsid w:val="00195D83"/>
    <w:rsid w:val="001977DB"/>
    <w:rsid w:val="001A00C1"/>
    <w:rsid w:val="001A42A4"/>
    <w:rsid w:val="001A680B"/>
    <w:rsid w:val="001B33E0"/>
    <w:rsid w:val="001B4573"/>
    <w:rsid w:val="001C4833"/>
    <w:rsid w:val="001C779F"/>
    <w:rsid w:val="001D2AC1"/>
    <w:rsid w:val="001D4DDF"/>
    <w:rsid w:val="001D4E88"/>
    <w:rsid w:val="001D65FF"/>
    <w:rsid w:val="001D6E70"/>
    <w:rsid w:val="001E477D"/>
    <w:rsid w:val="00220FC2"/>
    <w:rsid w:val="002222F4"/>
    <w:rsid w:val="00224FC0"/>
    <w:rsid w:val="00225EA4"/>
    <w:rsid w:val="00226EAF"/>
    <w:rsid w:val="002310A2"/>
    <w:rsid w:val="00231F3A"/>
    <w:rsid w:val="00234199"/>
    <w:rsid w:val="00235700"/>
    <w:rsid w:val="00236389"/>
    <w:rsid w:val="00237AFE"/>
    <w:rsid w:val="002406EE"/>
    <w:rsid w:val="00243EC8"/>
    <w:rsid w:val="0026412B"/>
    <w:rsid w:val="00264B77"/>
    <w:rsid w:val="00270D93"/>
    <w:rsid w:val="002745CC"/>
    <w:rsid w:val="002909F6"/>
    <w:rsid w:val="0029178F"/>
    <w:rsid w:val="002B7924"/>
    <w:rsid w:val="002B7ABA"/>
    <w:rsid w:val="002D2226"/>
    <w:rsid w:val="002D28C3"/>
    <w:rsid w:val="002D294E"/>
    <w:rsid w:val="002D39A4"/>
    <w:rsid w:val="002E6189"/>
    <w:rsid w:val="002E6705"/>
    <w:rsid w:val="00301D08"/>
    <w:rsid w:val="0030329A"/>
    <w:rsid w:val="00303F14"/>
    <w:rsid w:val="00305526"/>
    <w:rsid w:val="0031086F"/>
    <w:rsid w:val="0031414C"/>
    <w:rsid w:val="00314E01"/>
    <w:rsid w:val="00317670"/>
    <w:rsid w:val="0032089D"/>
    <w:rsid w:val="00324AE2"/>
    <w:rsid w:val="003310DE"/>
    <w:rsid w:val="003323B0"/>
    <w:rsid w:val="00337C82"/>
    <w:rsid w:val="00342089"/>
    <w:rsid w:val="00347BA4"/>
    <w:rsid w:val="0035169A"/>
    <w:rsid w:val="0035259D"/>
    <w:rsid w:val="00353B79"/>
    <w:rsid w:val="00355C66"/>
    <w:rsid w:val="00362ADA"/>
    <w:rsid w:val="00364B18"/>
    <w:rsid w:val="00396BF3"/>
    <w:rsid w:val="003A125D"/>
    <w:rsid w:val="003A4C70"/>
    <w:rsid w:val="003B215F"/>
    <w:rsid w:val="003C2CFF"/>
    <w:rsid w:val="003C799C"/>
    <w:rsid w:val="003D0399"/>
    <w:rsid w:val="003E1C71"/>
    <w:rsid w:val="003E2693"/>
    <w:rsid w:val="003E53AC"/>
    <w:rsid w:val="003F327B"/>
    <w:rsid w:val="003F7ACB"/>
    <w:rsid w:val="00400B24"/>
    <w:rsid w:val="00404D28"/>
    <w:rsid w:val="00405408"/>
    <w:rsid w:val="00406166"/>
    <w:rsid w:val="0040704B"/>
    <w:rsid w:val="00407839"/>
    <w:rsid w:val="00410003"/>
    <w:rsid w:val="00410A55"/>
    <w:rsid w:val="00411300"/>
    <w:rsid w:val="00412504"/>
    <w:rsid w:val="00415417"/>
    <w:rsid w:val="00424FE1"/>
    <w:rsid w:val="00426659"/>
    <w:rsid w:val="00426D16"/>
    <w:rsid w:val="00427D2F"/>
    <w:rsid w:val="00450352"/>
    <w:rsid w:val="00454BDB"/>
    <w:rsid w:val="00463A7A"/>
    <w:rsid w:val="00464800"/>
    <w:rsid w:val="00464BF6"/>
    <w:rsid w:val="00465132"/>
    <w:rsid w:val="00465EF1"/>
    <w:rsid w:val="004707F9"/>
    <w:rsid w:val="00470DB3"/>
    <w:rsid w:val="0047411A"/>
    <w:rsid w:val="00480C90"/>
    <w:rsid w:val="0048396F"/>
    <w:rsid w:val="00493C18"/>
    <w:rsid w:val="00495D96"/>
    <w:rsid w:val="004A600C"/>
    <w:rsid w:val="004A6118"/>
    <w:rsid w:val="004C2314"/>
    <w:rsid w:val="004C25EE"/>
    <w:rsid w:val="004C478D"/>
    <w:rsid w:val="004D3FB0"/>
    <w:rsid w:val="004D4FEC"/>
    <w:rsid w:val="004E0D6A"/>
    <w:rsid w:val="004E2C26"/>
    <w:rsid w:val="004E61A7"/>
    <w:rsid w:val="004F36FF"/>
    <w:rsid w:val="005125A8"/>
    <w:rsid w:val="00516DED"/>
    <w:rsid w:val="00521AE8"/>
    <w:rsid w:val="00524449"/>
    <w:rsid w:val="00527180"/>
    <w:rsid w:val="005341CE"/>
    <w:rsid w:val="00534AB2"/>
    <w:rsid w:val="0054201E"/>
    <w:rsid w:val="005541DB"/>
    <w:rsid w:val="00555291"/>
    <w:rsid w:val="0056265A"/>
    <w:rsid w:val="00566AD1"/>
    <w:rsid w:val="0057257D"/>
    <w:rsid w:val="00583EDE"/>
    <w:rsid w:val="00586928"/>
    <w:rsid w:val="005966EF"/>
    <w:rsid w:val="005A4F85"/>
    <w:rsid w:val="005A6079"/>
    <w:rsid w:val="005C7840"/>
    <w:rsid w:val="005E4698"/>
    <w:rsid w:val="006003EE"/>
    <w:rsid w:val="00610539"/>
    <w:rsid w:val="00613969"/>
    <w:rsid w:val="0061523C"/>
    <w:rsid w:val="00617208"/>
    <w:rsid w:val="00625C35"/>
    <w:rsid w:val="00626A7D"/>
    <w:rsid w:val="0062787A"/>
    <w:rsid w:val="00635521"/>
    <w:rsid w:val="006468AB"/>
    <w:rsid w:val="00656313"/>
    <w:rsid w:val="006565F4"/>
    <w:rsid w:val="0066108F"/>
    <w:rsid w:val="006763FD"/>
    <w:rsid w:val="00684642"/>
    <w:rsid w:val="00684EEA"/>
    <w:rsid w:val="006908E8"/>
    <w:rsid w:val="0069689B"/>
    <w:rsid w:val="006A1551"/>
    <w:rsid w:val="006A48DB"/>
    <w:rsid w:val="006B5FF5"/>
    <w:rsid w:val="006B7683"/>
    <w:rsid w:val="006D4200"/>
    <w:rsid w:val="006F30AF"/>
    <w:rsid w:val="007009A0"/>
    <w:rsid w:val="00701759"/>
    <w:rsid w:val="00701CF2"/>
    <w:rsid w:val="00705C15"/>
    <w:rsid w:val="00712E55"/>
    <w:rsid w:val="00713025"/>
    <w:rsid w:val="007154A1"/>
    <w:rsid w:val="0071600E"/>
    <w:rsid w:val="007162FD"/>
    <w:rsid w:val="00717FDC"/>
    <w:rsid w:val="007208D1"/>
    <w:rsid w:val="0072428C"/>
    <w:rsid w:val="00730177"/>
    <w:rsid w:val="00742119"/>
    <w:rsid w:val="00747288"/>
    <w:rsid w:val="00747DD3"/>
    <w:rsid w:val="007549C8"/>
    <w:rsid w:val="00754A0B"/>
    <w:rsid w:val="00766D14"/>
    <w:rsid w:val="00767A0F"/>
    <w:rsid w:val="00796207"/>
    <w:rsid w:val="007A05F6"/>
    <w:rsid w:val="007B3D74"/>
    <w:rsid w:val="007B6F4A"/>
    <w:rsid w:val="007D097E"/>
    <w:rsid w:val="007E1C47"/>
    <w:rsid w:val="007E337A"/>
    <w:rsid w:val="007E5C70"/>
    <w:rsid w:val="007F2FF5"/>
    <w:rsid w:val="007F3F08"/>
    <w:rsid w:val="00804CC6"/>
    <w:rsid w:val="00813B48"/>
    <w:rsid w:val="00813F7E"/>
    <w:rsid w:val="00817190"/>
    <w:rsid w:val="00820EE5"/>
    <w:rsid w:val="008244E9"/>
    <w:rsid w:val="008260E2"/>
    <w:rsid w:val="008322BD"/>
    <w:rsid w:val="008323C4"/>
    <w:rsid w:val="00833E0A"/>
    <w:rsid w:val="00834F73"/>
    <w:rsid w:val="00847F55"/>
    <w:rsid w:val="008544FA"/>
    <w:rsid w:val="00864CF8"/>
    <w:rsid w:val="00872819"/>
    <w:rsid w:val="00874914"/>
    <w:rsid w:val="00891422"/>
    <w:rsid w:val="00892E1A"/>
    <w:rsid w:val="008A3F29"/>
    <w:rsid w:val="008B660A"/>
    <w:rsid w:val="008B70F9"/>
    <w:rsid w:val="008C01DA"/>
    <w:rsid w:val="008C02C9"/>
    <w:rsid w:val="008C7263"/>
    <w:rsid w:val="008D2104"/>
    <w:rsid w:val="008D3FBF"/>
    <w:rsid w:val="008F78E9"/>
    <w:rsid w:val="00903C32"/>
    <w:rsid w:val="00911989"/>
    <w:rsid w:val="009179F9"/>
    <w:rsid w:val="0093031F"/>
    <w:rsid w:val="00931C1C"/>
    <w:rsid w:val="00933E5E"/>
    <w:rsid w:val="00935218"/>
    <w:rsid w:val="009403F3"/>
    <w:rsid w:val="009555B7"/>
    <w:rsid w:val="009567AA"/>
    <w:rsid w:val="00960D26"/>
    <w:rsid w:val="0096473A"/>
    <w:rsid w:val="00967374"/>
    <w:rsid w:val="00976EB5"/>
    <w:rsid w:val="00981B4D"/>
    <w:rsid w:val="009A343A"/>
    <w:rsid w:val="009A4E51"/>
    <w:rsid w:val="009A520F"/>
    <w:rsid w:val="009B2F23"/>
    <w:rsid w:val="009B57B3"/>
    <w:rsid w:val="009B6FFE"/>
    <w:rsid w:val="009C5B92"/>
    <w:rsid w:val="009D1B9C"/>
    <w:rsid w:val="009D2920"/>
    <w:rsid w:val="009D5AEB"/>
    <w:rsid w:val="009F0E33"/>
    <w:rsid w:val="009F1E77"/>
    <w:rsid w:val="00A003F4"/>
    <w:rsid w:val="00A030CE"/>
    <w:rsid w:val="00A149DF"/>
    <w:rsid w:val="00A1755C"/>
    <w:rsid w:val="00A21B90"/>
    <w:rsid w:val="00A41805"/>
    <w:rsid w:val="00A42DCD"/>
    <w:rsid w:val="00A44699"/>
    <w:rsid w:val="00A52AFB"/>
    <w:rsid w:val="00A548CB"/>
    <w:rsid w:val="00A5521C"/>
    <w:rsid w:val="00A557A1"/>
    <w:rsid w:val="00A55CEF"/>
    <w:rsid w:val="00A643E7"/>
    <w:rsid w:val="00A73C38"/>
    <w:rsid w:val="00A9085B"/>
    <w:rsid w:val="00AB670D"/>
    <w:rsid w:val="00AC6FA4"/>
    <w:rsid w:val="00AD2826"/>
    <w:rsid w:val="00AD342F"/>
    <w:rsid w:val="00AE25FE"/>
    <w:rsid w:val="00AE4535"/>
    <w:rsid w:val="00AF03C5"/>
    <w:rsid w:val="00AF0B26"/>
    <w:rsid w:val="00B000D8"/>
    <w:rsid w:val="00B00F75"/>
    <w:rsid w:val="00B11735"/>
    <w:rsid w:val="00B1431F"/>
    <w:rsid w:val="00B145B6"/>
    <w:rsid w:val="00B2215E"/>
    <w:rsid w:val="00B279EB"/>
    <w:rsid w:val="00B30E18"/>
    <w:rsid w:val="00B32357"/>
    <w:rsid w:val="00B43559"/>
    <w:rsid w:val="00B50C81"/>
    <w:rsid w:val="00B557F8"/>
    <w:rsid w:val="00B56AAF"/>
    <w:rsid w:val="00B67199"/>
    <w:rsid w:val="00B815FC"/>
    <w:rsid w:val="00B87E11"/>
    <w:rsid w:val="00B93FBC"/>
    <w:rsid w:val="00BA066D"/>
    <w:rsid w:val="00BA7DA0"/>
    <w:rsid w:val="00BB2366"/>
    <w:rsid w:val="00BB2EE4"/>
    <w:rsid w:val="00BB5AE6"/>
    <w:rsid w:val="00BC2108"/>
    <w:rsid w:val="00BC5642"/>
    <w:rsid w:val="00BD0E9E"/>
    <w:rsid w:val="00BD1BEC"/>
    <w:rsid w:val="00BD32FF"/>
    <w:rsid w:val="00BD67ED"/>
    <w:rsid w:val="00C02092"/>
    <w:rsid w:val="00C22905"/>
    <w:rsid w:val="00C229CD"/>
    <w:rsid w:val="00C24D91"/>
    <w:rsid w:val="00C31D39"/>
    <w:rsid w:val="00C53F14"/>
    <w:rsid w:val="00C600CF"/>
    <w:rsid w:val="00C6084F"/>
    <w:rsid w:val="00C62A66"/>
    <w:rsid w:val="00C62FD6"/>
    <w:rsid w:val="00C71458"/>
    <w:rsid w:val="00C77613"/>
    <w:rsid w:val="00C828E7"/>
    <w:rsid w:val="00C86719"/>
    <w:rsid w:val="00C921DD"/>
    <w:rsid w:val="00CA6391"/>
    <w:rsid w:val="00CA74A6"/>
    <w:rsid w:val="00CA7B39"/>
    <w:rsid w:val="00CB5B04"/>
    <w:rsid w:val="00CC34BD"/>
    <w:rsid w:val="00CE161A"/>
    <w:rsid w:val="00CE3171"/>
    <w:rsid w:val="00CF1601"/>
    <w:rsid w:val="00D0172F"/>
    <w:rsid w:val="00D068A7"/>
    <w:rsid w:val="00D173CE"/>
    <w:rsid w:val="00D17476"/>
    <w:rsid w:val="00D22128"/>
    <w:rsid w:val="00D25F6B"/>
    <w:rsid w:val="00D26B67"/>
    <w:rsid w:val="00D32086"/>
    <w:rsid w:val="00D360E6"/>
    <w:rsid w:val="00D37A3F"/>
    <w:rsid w:val="00D4431D"/>
    <w:rsid w:val="00D4667A"/>
    <w:rsid w:val="00D469D5"/>
    <w:rsid w:val="00D47BFC"/>
    <w:rsid w:val="00D614A5"/>
    <w:rsid w:val="00D63A1C"/>
    <w:rsid w:val="00D7516F"/>
    <w:rsid w:val="00D83628"/>
    <w:rsid w:val="00D8579F"/>
    <w:rsid w:val="00D90B9E"/>
    <w:rsid w:val="00D91A89"/>
    <w:rsid w:val="00D95F8E"/>
    <w:rsid w:val="00DA0590"/>
    <w:rsid w:val="00DB7BEA"/>
    <w:rsid w:val="00DC1739"/>
    <w:rsid w:val="00DC1788"/>
    <w:rsid w:val="00DC2F37"/>
    <w:rsid w:val="00DD105B"/>
    <w:rsid w:val="00DE319C"/>
    <w:rsid w:val="00DE54B0"/>
    <w:rsid w:val="00DF0CA8"/>
    <w:rsid w:val="00DF2B48"/>
    <w:rsid w:val="00DF49A7"/>
    <w:rsid w:val="00E07EE2"/>
    <w:rsid w:val="00E07FD1"/>
    <w:rsid w:val="00E176D8"/>
    <w:rsid w:val="00E24573"/>
    <w:rsid w:val="00E25E1E"/>
    <w:rsid w:val="00E27EE7"/>
    <w:rsid w:val="00E31D67"/>
    <w:rsid w:val="00E3214F"/>
    <w:rsid w:val="00E333F9"/>
    <w:rsid w:val="00E337CC"/>
    <w:rsid w:val="00E35404"/>
    <w:rsid w:val="00E45109"/>
    <w:rsid w:val="00E47B7A"/>
    <w:rsid w:val="00E56A44"/>
    <w:rsid w:val="00E60269"/>
    <w:rsid w:val="00E653D0"/>
    <w:rsid w:val="00E65A2E"/>
    <w:rsid w:val="00E71951"/>
    <w:rsid w:val="00E77932"/>
    <w:rsid w:val="00E83FDA"/>
    <w:rsid w:val="00E92347"/>
    <w:rsid w:val="00E97830"/>
    <w:rsid w:val="00EA1D3B"/>
    <w:rsid w:val="00ED50A5"/>
    <w:rsid w:val="00ED681A"/>
    <w:rsid w:val="00EE5737"/>
    <w:rsid w:val="00EE643C"/>
    <w:rsid w:val="00EF0683"/>
    <w:rsid w:val="00EF69D2"/>
    <w:rsid w:val="00EF766E"/>
    <w:rsid w:val="00F0070C"/>
    <w:rsid w:val="00F00EB7"/>
    <w:rsid w:val="00F03D8E"/>
    <w:rsid w:val="00F36AB6"/>
    <w:rsid w:val="00F37A09"/>
    <w:rsid w:val="00F409CE"/>
    <w:rsid w:val="00F4379D"/>
    <w:rsid w:val="00F43876"/>
    <w:rsid w:val="00F50635"/>
    <w:rsid w:val="00F50D2D"/>
    <w:rsid w:val="00F56C8B"/>
    <w:rsid w:val="00F66810"/>
    <w:rsid w:val="00F846D9"/>
    <w:rsid w:val="00F84DF4"/>
    <w:rsid w:val="00F85C97"/>
    <w:rsid w:val="00F94A57"/>
    <w:rsid w:val="00FA51A0"/>
    <w:rsid w:val="00FB37D2"/>
    <w:rsid w:val="00FB7D08"/>
    <w:rsid w:val="00FC3788"/>
    <w:rsid w:val="00FC4EFB"/>
    <w:rsid w:val="00FD068D"/>
    <w:rsid w:val="00FD4F28"/>
    <w:rsid w:val="00FE0416"/>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ABA"/>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2905"/>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C22905"/>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C22905"/>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C22905"/>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C22905"/>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C22905"/>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C22905"/>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qFormat/>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E65A2E"/>
    <w:rPr>
      <w:color w:val="0000FF" w:themeColor="hyperlink"/>
      <w:u w:val="single"/>
    </w:rPr>
  </w:style>
  <w:style w:type="character" w:customStyle="1" w:styleId="solexhl">
    <w:name w:val="solexhl"/>
    <w:basedOn w:val="DefaultParagraphFont"/>
    <w:rsid w:val="000C78C2"/>
  </w:style>
  <w:style w:type="character" w:customStyle="1" w:styleId="Heading3Char">
    <w:name w:val="Heading 3 Char"/>
    <w:basedOn w:val="DefaultParagraphFont"/>
    <w:link w:val="Heading3"/>
    <w:uiPriority w:val="9"/>
    <w:semiHidden/>
    <w:rsid w:val="00C22905"/>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C22905"/>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C22905"/>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C22905"/>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C22905"/>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C22905"/>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C22905"/>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C22905"/>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C22905"/>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C22905"/>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C22905"/>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C22905"/>
    <w:rPr>
      <w:b/>
      <w:sz w:val="24"/>
    </w:rPr>
  </w:style>
  <w:style w:type="table" w:styleId="TableGrid">
    <w:name w:val="Table Grid"/>
    <w:basedOn w:val="TableNormal"/>
    <w:uiPriority w:val="59"/>
    <w:rsid w:val="00C22905"/>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C22905"/>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C22905"/>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C22905"/>
    <w:pPr>
      <w:tabs>
        <w:tab w:val="left" w:pos="1260"/>
      </w:tabs>
      <w:spacing w:after="480" w:line="480" w:lineRule="auto"/>
    </w:pPr>
    <w:rPr>
      <w:smallCaps/>
      <w:sz w:val="24"/>
    </w:rPr>
  </w:style>
  <w:style w:type="paragraph" w:customStyle="1" w:styleId="ParaNoNdepar-AltN">
    <w:name w:val="Para. No. / Nº de par. - Alt N"/>
    <w:link w:val="ParaNoNdepar-AltNChar"/>
    <w:qFormat/>
    <w:rsid w:val="00C22905"/>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C22905"/>
    <w:pPr>
      <w:numPr>
        <w:numId w:val="7"/>
      </w:numPr>
      <w:tabs>
        <w:tab w:val="clear" w:pos="576"/>
      </w:tabs>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C22905"/>
    <w:pPr>
      <w:numPr>
        <w:ilvl w:val="1"/>
      </w:numPr>
      <w:tabs>
        <w:tab w:val="clear" w:pos="576"/>
      </w:tabs>
      <w:outlineLvl w:val="1"/>
    </w:pPr>
    <w:rPr>
      <w:i/>
      <w:u w:val="none"/>
    </w:rPr>
  </w:style>
  <w:style w:type="paragraph" w:customStyle="1" w:styleId="Title3LevelTitre3Niveau">
    <w:name w:val="Title 3 Level / Titre 3 Niveau"/>
    <w:basedOn w:val="Title1LevelTitre1Niveau-AltL"/>
    <w:next w:val="ParaNoNdepar-AltN"/>
    <w:uiPriority w:val="4"/>
    <w:qFormat/>
    <w:rsid w:val="00C22905"/>
    <w:pPr>
      <w:numPr>
        <w:ilvl w:val="2"/>
      </w:numPr>
      <w:tabs>
        <w:tab w:val="clear" w:pos="1152"/>
      </w:tabs>
      <w:outlineLvl w:val="2"/>
    </w:pPr>
  </w:style>
  <w:style w:type="paragraph" w:customStyle="1" w:styleId="Title4LevelTitre4Niveau">
    <w:name w:val="Title 4 Level / Titre 4 Niveau"/>
    <w:basedOn w:val="Title3LevelTitre3Niveau"/>
    <w:next w:val="ParaNoNdepar-AltN"/>
    <w:uiPriority w:val="4"/>
    <w:qFormat/>
    <w:rsid w:val="00C22905"/>
    <w:pPr>
      <w:numPr>
        <w:ilvl w:val="3"/>
      </w:numPr>
      <w:tabs>
        <w:tab w:val="clear" w:pos="1152"/>
      </w:tabs>
      <w:ind w:left="1156" w:hanging="578"/>
      <w:outlineLvl w:val="3"/>
    </w:pPr>
    <w:rPr>
      <w:i/>
      <w:u w:val="none"/>
    </w:rPr>
  </w:style>
  <w:style w:type="paragraph" w:customStyle="1" w:styleId="Title5LevelTitre5Niveau">
    <w:name w:val="Title 5 Level / Titre 5 Niveau"/>
    <w:basedOn w:val="Title1LevelTitre1Niveau-AltL"/>
    <w:next w:val="ParaNoNdepar-AltN"/>
    <w:uiPriority w:val="4"/>
    <w:qFormat/>
    <w:rsid w:val="00C22905"/>
    <w:pPr>
      <w:numPr>
        <w:ilvl w:val="4"/>
      </w:numPr>
      <w:tabs>
        <w:tab w:val="clear" w:pos="1728"/>
      </w:tabs>
      <w:ind w:left="1729" w:hanging="578"/>
      <w:outlineLvl w:val="4"/>
    </w:pPr>
  </w:style>
  <w:style w:type="paragraph" w:styleId="TOC1">
    <w:name w:val="toc 1"/>
    <w:basedOn w:val="Normal"/>
    <w:next w:val="Normal"/>
    <w:autoRedefine/>
    <w:uiPriority w:val="39"/>
    <w:unhideWhenUsed/>
    <w:rsid w:val="00C22905"/>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C22905"/>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C22905"/>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C22905"/>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C22905"/>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C22905"/>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C22905"/>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C22905"/>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C22905"/>
    <w:pPr>
      <w:numPr>
        <w:ilvl w:val="5"/>
      </w:numPr>
      <w:jc w:val="both"/>
      <w:outlineLvl w:val="5"/>
    </w:pPr>
    <w:rPr>
      <w:i/>
      <w:u w:val="none"/>
    </w:rPr>
  </w:style>
  <w:style w:type="paragraph" w:styleId="FootnoteText">
    <w:name w:val="footnote text"/>
    <w:basedOn w:val="Normal"/>
    <w:link w:val="FootnoteTextChar"/>
    <w:uiPriority w:val="99"/>
    <w:unhideWhenUsed/>
    <w:rsid w:val="00C22905"/>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C22905"/>
  </w:style>
  <w:style w:type="character" w:styleId="FootnoteReference">
    <w:name w:val="footnote reference"/>
    <w:basedOn w:val="DefaultParagraphFont"/>
    <w:uiPriority w:val="99"/>
    <w:semiHidden/>
    <w:unhideWhenUsed/>
    <w:rsid w:val="00C22905"/>
    <w:rPr>
      <w:vertAlign w:val="superscript"/>
    </w:rPr>
  </w:style>
  <w:style w:type="character" w:styleId="SubtleEmphasis">
    <w:name w:val="Subtle Emphasis"/>
    <w:basedOn w:val="DefaultParagraphFont"/>
    <w:uiPriority w:val="19"/>
    <w:rsid w:val="00C22905"/>
    <w:rPr>
      <w:i/>
      <w:iCs/>
      <w:color w:val="808080" w:themeColor="text1" w:themeTint="7F"/>
    </w:rPr>
  </w:style>
  <w:style w:type="character" w:customStyle="1" w:styleId="ParaNoNdepar-AltNChar">
    <w:name w:val="Para. No. / Nº de par. - Alt N Char"/>
    <w:basedOn w:val="DefaultParagraphFont"/>
    <w:link w:val="ParaNoNdepar-AltN"/>
    <w:locked/>
    <w:rsid w:val="00C22905"/>
    <w:rPr>
      <w:rFonts w:eastAsiaTheme="minorEastAsia" w:cstheme="minorBidi"/>
      <w:sz w:val="24"/>
      <w:szCs w:val="22"/>
      <w:lang w:eastAsia="en-US"/>
    </w:rPr>
  </w:style>
  <w:style w:type="character" w:styleId="CommentReference">
    <w:name w:val="annotation reference"/>
    <w:basedOn w:val="DefaultParagraphFont"/>
    <w:uiPriority w:val="99"/>
    <w:semiHidden/>
    <w:unhideWhenUsed/>
    <w:rsid w:val="00C22905"/>
    <w:rPr>
      <w:sz w:val="16"/>
      <w:szCs w:val="16"/>
    </w:rPr>
  </w:style>
  <w:style w:type="paragraph" w:styleId="CommentText">
    <w:name w:val="annotation text"/>
    <w:basedOn w:val="Normal"/>
    <w:link w:val="CommentTextChar"/>
    <w:uiPriority w:val="99"/>
    <w:semiHidden/>
    <w:unhideWhenUsed/>
    <w:rsid w:val="00C22905"/>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C22905"/>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C22905"/>
    <w:rPr>
      <w:b/>
      <w:bCs/>
    </w:rPr>
  </w:style>
  <w:style w:type="character" w:customStyle="1" w:styleId="CommentSubjectChar">
    <w:name w:val="Comment Subject Char"/>
    <w:basedOn w:val="CommentTextChar"/>
    <w:link w:val="CommentSubject"/>
    <w:uiPriority w:val="99"/>
    <w:semiHidden/>
    <w:rsid w:val="00C22905"/>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C22905"/>
    <w:rPr>
      <w:smallCaps/>
      <w:sz w:val="24"/>
    </w:rPr>
  </w:style>
  <w:style w:type="paragraph" w:styleId="NoSpacing">
    <w:name w:val="No Spacing"/>
    <w:uiPriority w:val="1"/>
    <w:rsid w:val="00C22905"/>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C22905"/>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C22905"/>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C229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C22905"/>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C22905"/>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C22905"/>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C22905"/>
    <w:rPr>
      <w:i/>
      <w:iCs/>
    </w:rPr>
  </w:style>
  <w:style w:type="paragraph" w:styleId="ListParagraph">
    <w:name w:val="List Paragraph"/>
    <w:basedOn w:val="Normal"/>
    <w:uiPriority w:val="34"/>
    <w:rsid w:val="00C22905"/>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C22905"/>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C22905"/>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C22905"/>
    <w:rPr>
      <w:b/>
      <w:bCs/>
      <w:i/>
      <w:iCs/>
      <w:color w:val="4F81BD" w:themeColor="accent1"/>
    </w:rPr>
  </w:style>
  <w:style w:type="character" w:styleId="SubtleReference">
    <w:name w:val="Subtle Reference"/>
    <w:basedOn w:val="DefaultParagraphFont"/>
    <w:uiPriority w:val="31"/>
    <w:rsid w:val="00C22905"/>
    <w:rPr>
      <w:smallCaps/>
      <w:color w:val="C0504D" w:themeColor="accent2"/>
      <w:u w:val="single"/>
    </w:rPr>
  </w:style>
  <w:style w:type="character" w:styleId="IntenseReference">
    <w:name w:val="Intense Reference"/>
    <w:basedOn w:val="DefaultParagraphFont"/>
    <w:uiPriority w:val="32"/>
    <w:rsid w:val="00C22905"/>
    <w:rPr>
      <w:b/>
      <w:bCs/>
      <w:smallCaps/>
      <w:color w:val="C0504D" w:themeColor="accent2"/>
      <w:spacing w:val="5"/>
      <w:u w:val="single"/>
    </w:rPr>
  </w:style>
  <w:style w:type="character" w:styleId="BookTitle">
    <w:name w:val="Book Title"/>
    <w:basedOn w:val="DefaultParagraphFont"/>
    <w:uiPriority w:val="33"/>
    <w:rsid w:val="00C22905"/>
    <w:rPr>
      <w:b/>
      <w:bCs/>
      <w:smallCaps/>
      <w:spacing w:val="5"/>
    </w:rPr>
  </w:style>
  <w:style w:type="paragraph" w:styleId="Revision">
    <w:name w:val="Revision"/>
    <w:hidden/>
    <w:uiPriority w:val="99"/>
    <w:semiHidden/>
    <w:rsid w:val="00C22905"/>
    <w:rPr>
      <w:rFonts w:eastAsiaTheme="minorHAnsi" w:cstheme="minorBidi"/>
      <w:sz w:val="24"/>
      <w:szCs w:val="22"/>
      <w:lang w:val="en-US" w:eastAsia="en-US" w:bidi="en-US"/>
    </w:rPr>
  </w:style>
  <w:style w:type="paragraph" w:styleId="EndnoteText">
    <w:name w:val="endnote text"/>
    <w:basedOn w:val="Normal"/>
    <w:link w:val="EndnoteTextChar"/>
    <w:uiPriority w:val="99"/>
    <w:semiHidden/>
    <w:unhideWhenUsed/>
    <w:rsid w:val="00C22905"/>
    <w:rPr>
      <w:rFonts w:eastAsiaTheme="minorHAnsi" w:cstheme="minorBidi"/>
      <w:sz w:val="20"/>
      <w:lang w:val="en-US" w:eastAsia="en-US" w:bidi="en-US"/>
    </w:rPr>
  </w:style>
  <w:style w:type="character" w:customStyle="1" w:styleId="EndnoteTextChar">
    <w:name w:val="Endnote Text Char"/>
    <w:basedOn w:val="DefaultParagraphFont"/>
    <w:link w:val="EndnoteText"/>
    <w:uiPriority w:val="99"/>
    <w:semiHidden/>
    <w:rsid w:val="00C22905"/>
    <w:rPr>
      <w:rFonts w:eastAsiaTheme="minorHAnsi" w:cstheme="minorBidi"/>
      <w:lang w:val="en-US" w:eastAsia="en-US" w:bidi="en-US"/>
    </w:rPr>
  </w:style>
  <w:style w:type="character" w:styleId="EndnoteReference">
    <w:name w:val="endnote reference"/>
    <w:basedOn w:val="DefaultParagraphFont"/>
    <w:uiPriority w:val="99"/>
    <w:semiHidden/>
    <w:unhideWhenUsed/>
    <w:rsid w:val="00C22905"/>
    <w:rPr>
      <w:vertAlign w:val="superscript"/>
    </w:rPr>
  </w:style>
  <w:style w:type="character" w:customStyle="1" w:styleId="reflex3-block">
    <w:name w:val="reflex3-block"/>
    <w:basedOn w:val="DefaultParagraphFont"/>
    <w:rsid w:val="00C22905"/>
  </w:style>
  <w:style w:type="character" w:customStyle="1" w:styleId="reflex3-alt">
    <w:name w:val="reflex3-alt"/>
    <w:basedOn w:val="DefaultParagraphFont"/>
    <w:rsid w:val="00C22905"/>
  </w:style>
  <w:style w:type="character" w:customStyle="1" w:styleId="lawlabel">
    <w:name w:val="lawlabel"/>
    <w:basedOn w:val="DefaultParagraphFont"/>
    <w:rsid w:val="00C22905"/>
  </w:style>
  <w:style w:type="table" w:customStyle="1" w:styleId="TableGrid2">
    <w:name w:val="Table Grid2"/>
    <w:basedOn w:val="TableNormal"/>
    <w:next w:val="TableGrid"/>
    <w:uiPriority w:val="59"/>
    <w:rsid w:val="00C22905"/>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CLsocPartyRoleChar">
    <w:name w:val="SCC.Lsoc.PartyRole Char"/>
    <w:basedOn w:val="DefaultParagraphFont"/>
    <w:rsid w:val="00CA74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CA74A6"/>
    <w:rPr>
      <w:rFonts w:eastAsiaTheme="minorHAnsi" w:cstheme="minorBidi"/>
      <w:b/>
      <w:szCs w:val="22"/>
      <w:lang w:eastAsia="en-US"/>
    </w:rPr>
  </w:style>
  <w:style w:type="character" w:customStyle="1" w:styleId="SCCLsocPrefixChar">
    <w:name w:val="SCC.Lsoc.Prefix Char"/>
    <w:basedOn w:val="DefaultParagraphFont"/>
    <w:link w:val="SCCLsocPrefix"/>
    <w:rsid w:val="00CA74A6"/>
    <w:rPr>
      <w:rFonts w:eastAsiaTheme="minorHAnsi" w:cstheme="minorBidi"/>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2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689C6-B7C1-48E9-B165-63022B719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893</Words>
  <Characters>4915</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2021-01-25T19:07:00Z</dcterms:created>
  <dcterms:modified xsi:type="dcterms:W3CDTF">2024-01-11T21:26:00Z</dcterms:modified>
</cp:coreProperties>
</file>