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663"/>
        <w:gridCol w:w="1353"/>
        <w:gridCol w:w="3246"/>
        <w:gridCol w:w="18"/>
      </w:tblGrid>
      <w:tr w:rsidR="00E469AE" w:rsidRPr="008E3C0D" w:rsidTr="00FE0CC2">
        <w:trPr>
          <w:trHeight w:val="1786"/>
        </w:trPr>
        <w:tc>
          <w:tcPr>
            <w:tcW w:w="5000" w:type="pct"/>
            <w:gridSpan w:val="4"/>
          </w:tcPr>
          <w:p w:rsidR="00E469AE" w:rsidRPr="008E3C0D" w:rsidRDefault="00E469AE" w:rsidP="00FE0CC2">
            <w:pPr>
              <w:jc w:val="center"/>
              <w:rPr>
                <w:lang w:val="fr-CA"/>
              </w:rPr>
            </w:pPr>
            <w:r w:rsidRPr="008E3C0D">
              <w:rPr>
                <w:rFonts w:eastAsia="Calibri" w:cs="Times New Roman"/>
                <w:szCs w:val="20"/>
                <w:lang w:val="fr-CA" w:eastAsia="en-CA"/>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64.8pt" o:ole="">
                  <v:imagedata r:id="rId7" o:title=""/>
                </v:shape>
                <o:OLEObject Type="Embed" ProgID="Presentations.Drawing.15" ShapeID="_x0000_i1025" DrawAspect="Content" ObjectID="_1766496190" r:id="rId8"/>
              </w:object>
            </w:r>
          </w:p>
          <w:p w:rsidR="00E469AE" w:rsidRPr="008E3C0D" w:rsidRDefault="00E469AE" w:rsidP="00FE0CC2">
            <w:pPr>
              <w:spacing w:before="120" w:after="100" w:afterAutospacing="1"/>
              <w:jc w:val="center"/>
              <w:rPr>
                <w:lang w:val="fr-CA"/>
              </w:rPr>
            </w:pPr>
            <w:r w:rsidRPr="008E3C0D">
              <w:rPr>
                <w:b/>
                <w:lang w:val="fr-CA"/>
              </w:rPr>
              <w:t>COUR SUPRÊME DU CANADA</w:t>
            </w:r>
          </w:p>
        </w:tc>
      </w:tr>
      <w:tr w:rsidR="00E469AE" w:rsidRPr="008E3C0D" w:rsidTr="00FE0CC2">
        <w:trPr>
          <w:gridAfter w:val="1"/>
          <w:wAfter w:w="12" w:type="pct"/>
        </w:trPr>
        <w:tc>
          <w:tcPr>
            <w:tcW w:w="2212" w:type="pct"/>
            <w:tcMar>
              <w:top w:w="284" w:type="dxa"/>
            </w:tcMar>
          </w:tcPr>
          <w:p w:rsidR="00E469AE" w:rsidRPr="008E3C0D" w:rsidRDefault="00E469AE" w:rsidP="00FE0CC2">
            <w:pPr>
              <w:spacing w:before="100" w:beforeAutospacing="1"/>
              <w:rPr>
                <w:lang w:val="fr-CA"/>
              </w:rPr>
            </w:pPr>
            <w:r w:rsidRPr="008E3C0D">
              <w:rPr>
                <w:b/>
                <w:smallCaps/>
                <w:lang w:val="fr-CA"/>
              </w:rPr>
              <w:t>Référence :</w:t>
            </w:r>
            <w:r w:rsidRPr="008E3C0D">
              <w:rPr>
                <w:lang w:val="fr-CA"/>
              </w:rPr>
              <w:t xml:space="preserve"> R. </w:t>
            </w:r>
            <w:r w:rsidRPr="008E3C0D">
              <w:rPr>
                <w:i/>
                <w:lang w:val="fr-CA"/>
              </w:rPr>
              <w:t xml:space="preserve">c. </w:t>
            </w:r>
            <w:r w:rsidRPr="008E3C0D">
              <w:rPr>
                <w:lang w:val="fr-CA"/>
              </w:rPr>
              <w:t>T.J.M., 202</w:t>
            </w:r>
            <w:r>
              <w:rPr>
                <w:lang w:val="fr-CA"/>
              </w:rPr>
              <w:t>1</w:t>
            </w:r>
            <w:r w:rsidRPr="008E3C0D">
              <w:rPr>
                <w:lang w:val="fr-CA"/>
              </w:rPr>
              <w:t xml:space="preserve"> CSC 6</w:t>
            </w:r>
            <w:r>
              <w:rPr>
                <w:lang w:val="fr-CA"/>
              </w:rPr>
              <w:t>, [2021] 1 R.C.S. 17</w:t>
            </w:r>
          </w:p>
        </w:tc>
        <w:tc>
          <w:tcPr>
            <w:tcW w:w="817" w:type="pct"/>
          </w:tcPr>
          <w:p w:rsidR="00E469AE" w:rsidRPr="008E3C0D" w:rsidRDefault="00E469AE" w:rsidP="00FE0CC2">
            <w:pPr>
              <w:rPr>
                <w:b/>
                <w:smallCaps/>
                <w:lang w:val="fr-CA"/>
              </w:rPr>
            </w:pPr>
          </w:p>
        </w:tc>
        <w:tc>
          <w:tcPr>
            <w:tcW w:w="1960" w:type="pct"/>
            <w:tcMar>
              <w:top w:w="284" w:type="dxa"/>
            </w:tcMar>
          </w:tcPr>
          <w:p w:rsidR="00E469AE" w:rsidRPr="008E3C0D" w:rsidRDefault="00E469AE" w:rsidP="00FE0CC2">
            <w:pPr>
              <w:rPr>
                <w:lang w:val="fr-CA"/>
              </w:rPr>
            </w:pPr>
            <w:r w:rsidRPr="008E3C0D">
              <w:rPr>
                <w:b/>
                <w:smallCaps/>
                <w:lang w:val="fr-CA"/>
              </w:rPr>
              <w:t>Appel entendu :</w:t>
            </w:r>
            <w:r w:rsidRPr="008E3C0D">
              <w:rPr>
                <w:lang w:val="fr-CA"/>
              </w:rPr>
              <w:t xml:space="preserve"> 9 novembre 2020</w:t>
            </w:r>
          </w:p>
          <w:p w:rsidR="00E469AE" w:rsidRPr="008E3C0D" w:rsidRDefault="00E469AE" w:rsidP="00FE0CC2">
            <w:pPr>
              <w:rPr>
                <w:b/>
                <w:smallCaps/>
                <w:lang w:val="fr-CA"/>
              </w:rPr>
            </w:pPr>
            <w:r w:rsidRPr="008E3C0D">
              <w:rPr>
                <w:b/>
                <w:smallCaps/>
                <w:lang w:val="fr-CA"/>
              </w:rPr>
              <w:t xml:space="preserve">Jugement rendu : </w:t>
            </w:r>
            <w:r w:rsidRPr="008E3C0D">
              <w:rPr>
                <w:lang w:val="fr-CA"/>
              </w:rPr>
              <w:t>29 janvier 2021</w:t>
            </w:r>
          </w:p>
          <w:p w:rsidR="00E469AE" w:rsidRPr="008E3C0D" w:rsidRDefault="00E469AE" w:rsidP="00FE0CC2">
            <w:pPr>
              <w:rPr>
                <w:lang w:val="fr-CA"/>
              </w:rPr>
            </w:pPr>
            <w:r w:rsidRPr="008E3C0D">
              <w:rPr>
                <w:b/>
                <w:smallCaps/>
                <w:lang w:val="fr-CA"/>
              </w:rPr>
              <w:t>Dossier :</w:t>
            </w:r>
            <w:r w:rsidRPr="008E3C0D">
              <w:rPr>
                <w:lang w:val="fr-CA"/>
              </w:rPr>
              <w:t xml:space="preserve"> 38944</w:t>
            </w:r>
          </w:p>
        </w:tc>
      </w:tr>
    </w:tbl>
    <w:p w:rsidR="00E469AE" w:rsidRPr="008E3C0D" w:rsidRDefault="00E469AE" w:rsidP="00E469AE">
      <w:pPr>
        <w:rPr>
          <w:rFonts w:eastAsiaTheme="minorHAnsi" w:cstheme="minorBidi"/>
          <w:szCs w:val="24"/>
          <w:lang w:val="fr-CA" w:eastAsia="en-US"/>
        </w:rPr>
      </w:pPr>
    </w:p>
    <w:p w:rsidR="00E469AE" w:rsidRPr="008E3C0D" w:rsidRDefault="00E469AE" w:rsidP="00E469AE">
      <w:pPr>
        <w:rPr>
          <w:rFonts w:eastAsiaTheme="minorHAnsi" w:cstheme="minorBidi"/>
          <w:b/>
          <w:smallCaps/>
          <w:szCs w:val="24"/>
          <w:lang w:val="fr-CA" w:eastAsia="en-US"/>
        </w:rPr>
      </w:pPr>
      <w:r w:rsidRPr="008E3C0D">
        <w:rPr>
          <w:rFonts w:eastAsiaTheme="minorHAnsi" w:cstheme="minorBidi"/>
          <w:b/>
          <w:smallCaps/>
          <w:szCs w:val="24"/>
          <w:lang w:val="fr-CA" w:eastAsia="en-US"/>
        </w:rPr>
        <w:t>Entre :</w:t>
      </w:r>
    </w:p>
    <w:p w:rsidR="00E469AE" w:rsidRPr="008E3C0D" w:rsidRDefault="00E469AE" w:rsidP="00E469AE">
      <w:pPr>
        <w:jc w:val="center"/>
        <w:rPr>
          <w:rFonts w:eastAsiaTheme="minorHAnsi" w:cstheme="minorBidi"/>
          <w:b/>
          <w:szCs w:val="24"/>
          <w:lang w:val="fr-CA" w:eastAsia="en-US"/>
        </w:rPr>
      </w:pPr>
      <w:r w:rsidRPr="008E3C0D">
        <w:rPr>
          <w:rFonts w:eastAsiaTheme="minorHAnsi" w:cstheme="minorBidi"/>
          <w:b/>
          <w:szCs w:val="24"/>
          <w:lang w:val="fr-CA" w:eastAsia="en-US"/>
        </w:rPr>
        <w:t>T.J.M.</w:t>
      </w:r>
    </w:p>
    <w:p w:rsidR="00E469AE" w:rsidRPr="008E3C0D" w:rsidRDefault="00E469AE" w:rsidP="00E469AE">
      <w:pPr>
        <w:jc w:val="center"/>
        <w:rPr>
          <w:rFonts w:eastAsiaTheme="minorHAnsi" w:cstheme="minorBidi"/>
          <w:szCs w:val="24"/>
          <w:lang w:val="fr-CA" w:eastAsia="en-US"/>
        </w:rPr>
      </w:pPr>
      <w:r w:rsidRPr="008E3C0D">
        <w:rPr>
          <w:rFonts w:eastAsiaTheme="minorHAnsi" w:cstheme="minorBidi"/>
          <w:szCs w:val="24"/>
          <w:lang w:val="fr-CA" w:eastAsia="en-US"/>
        </w:rPr>
        <w:t>Appelant</w:t>
      </w:r>
    </w:p>
    <w:p w:rsidR="00E469AE" w:rsidRPr="008E3C0D" w:rsidRDefault="00E469AE" w:rsidP="00E469AE">
      <w:pPr>
        <w:rPr>
          <w:rFonts w:eastAsiaTheme="minorHAnsi" w:cstheme="minorBidi"/>
          <w:szCs w:val="24"/>
          <w:lang w:val="fr-CA" w:eastAsia="en-US"/>
        </w:rPr>
      </w:pPr>
    </w:p>
    <w:p w:rsidR="00E469AE" w:rsidRPr="008E3C0D" w:rsidRDefault="00E469AE" w:rsidP="00E469AE">
      <w:pPr>
        <w:jc w:val="center"/>
        <w:rPr>
          <w:rFonts w:eastAsiaTheme="minorHAnsi" w:cstheme="minorBidi"/>
          <w:szCs w:val="24"/>
          <w:lang w:val="fr-CA" w:eastAsia="en-US"/>
        </w:rPr>
      </w:pPr>
      <w:r w:rsidRPr="008E3C0D">
        <w:rPr>
          <w:rFonts w:eastAsiaTheme="minorHAnsi" w:cstheme="minorBidi"/>
          <w:szCs w:val="24"/>
          <w:lang w:val="fr-CA" w:eastAsia="en-US"/>
        </w:rPr>
        <w:t>et</w:t>
      </w:r>
    </w:p>
    <w:p w:rsidR="00E469AE" w:rsidRPr="008E3C0D" w:rsidRDefault="00E469AE" w:rsidP="00E469AE">
      <w:pPr>
        <w:jc w:val="center"/>
        <w:rPr>
          <w:rFonts w:eastAsiaTheme="minorHAnsi" w:cstheme="minorBidi"/>
          <w:b/>
          <w:szCs w:val="24"/>
          <w:lang w:val="fr-CA" w:eastAsia="en-US"/>
        </w:rPr>
      </w:pPr>
    </w:p>
    <w:p w:rsidR="00E469AE" w:rsidRPr="008E3C0D" w:rsidRDefault="00E469AE" w:rsidP="00E469AE">
      <w:pPr>
        <w:jc w:val="center"/>
        <w:rPr>
          <w:rFonts w:eastAsiaTheme="minorHAnsi" w:cstheme="minorBidi"/>
          <w:b/>
          <w:szCs w:val="24"/>
          <w:lang w:val="fr-CA" w:eastAsia="en-US"/>
        </w:rPr>
      </w:pPr>
      <w:r w:rsidRPr="008E3C0D">
        <w:rPr>
          <w:rFonts w:eastAsiaTheme="minorHAnsi" w:cstheme="minorBidi"/>
          <w:b/>
          <w:szCs w:val="24"/>
          <w:lang w:val="fr-CA" w:eastAsia="en-US"/>
        </w:rPr>
        <w:t>Sa Majesté la Reine</w:t>
      </w:r>
    </w:p>
    <w:p w:rsidR="00E469AE" w:rsidRPr="008E3C0D" w:rsidRDefault="00E469AE" w:rsidP="00E469AE">
      <w:pPr>
        <w:jc w:val="center"/>
        <w:rPr>
          <w:rFonts w:eastAsiaTheme="minorHAnsi" w:cstheme="minorBidi"/>
          <w:szCs w:val="24"/>
          <w:lang w:val="fr-CA" w:eastAsia="en-US"/>
        </w:rPr>
      </w:pPr>
      <w:r w:rsidRPr="008E3C0D">
        <w:rPr>
          <w:rFonts w:eastAsiaTheme="minorHAnsi" w:cstheme="minorBidi"/>
          <w:szCs w:val="24"/>
          <w:lang w:val="fr-CA" w:eastAsia="en-US"/>
        </w:rPr>
        <w:t>Intimée</w:t>
      </w:r>
    </w:p>
    <w:p w:rsidR="00E469AE" w:rsidRPr="008E3C0D" w:rsidRDefault="00E469AE" w:rsidP="00E469AE">
      <w:pPr>
        <w:rPr>
          <w:rFonts w:eastAsiaTheme="minorHAnsi" w:cstheme="minorBidi"/>
          <w:szCs w:val="24"/>
          <w:lang w:val="fr-CA" w:eastAsia="en-US"/>
        </w:rPr>
      </w:pPr>
    </w:p>
    <w:p w:rsidR="00E469AE" w:rsidRPr="008E3C0D" w:rsidRDefault="00E469AE" w:rsidP="00E469AE">
      <w:pPr>
        <w:rPr>
          <w:rFonts w:eastAsiaTheme="minorHAnsi" w:cstheme="minorBidi"/>
          <w:szCs w:val="24"/>
          <w:lang w:val="fr-CA" w:eastAsia="en-US"/>
        </w:rPr>
      </w:pPr>
    </w:p>
    <w:p w:rsidR="00E469AE" w:rsidRPr="008E3C0D" w:rsidRDefault="00E469AE" w:rsidP="00E469AE">
      <w:pPr>
        <w:jc w:val="center"/>
        <w:rPr>
          <w:rFonts w:eastAsiaTheme="minorHAnsi" w:cstheme="minorBidi"/>
          <w:b/>
          <w:smallCaps/>
          <w:szCs w:val="24"/>
          <w:lang w:val="fr-CA" w:eastAsia="en-US"/>
        </w:rPr>
      </w:pPr>
      <w:r w:rsidRPr="008E3C0D">
        <w:rPr>
          <w:rFonts w:eastAsiaTheme="minorHAnsi" w:cstheme="minorBidi"/>
          <w:b/>
          <w:smallCaps/>
          <w:szCs w:val="24"/>
          <w:lang w:val="fr-CA" w:eastAsia="en-US"/>
        </w:rPr>
        <w:t>Traduction française officielle</w:t>
      </w:r>
    </w:p>
    <w:p w:rsidR="00E469AE" w:rsidRPr="008E3C0D" w:rsidRDefault="00E469AE" w:rsidP="00E469AE">
      <w:pPr>
        <w:rPr>
          <w:rFonts w:eastAsiaTheme="minorHAnsi" w:cstheme="minorBidi"/>
          <w:szCs w:val="24"/>
          <w:lang w:val="fr-CA" w:eastAsia="en-US"/>
        </w:rPr>
      </w:pPr>
    </w:p>
    <w:p w:rsidR="00E469AE" w:rsidRPr="008E3C0D" w:rsidRDefault="00E469AE" w:rsidP="00E469AE">
      <w:pPr>
        <w:rPr>
          <w:rFonts w:eastAsiaTheme="minorHAnsi" w:cstheme="minorBidi"/>
          <w:szCs w:val="24"/>
          <w:lang w:val="fr-CA" w:eastAsia="en-US"/>
        </w:rPr>
      </w:pPr>
      <w:r w:rsidRPr="008E3C0D">
        <w:rPr>
          <w:rFonts w:eastAsiaTheme="minorHAnsi" w:cstheme="minorBidi"/>
          <w:b/>
          <w:smallCaps/>
          <w:szCs w:val="24"/>
          <w:lang w:val="fr-CA" w:eastAsia="en-US"/>
        </w:rPr>
        <w:t>Coram :</w:t>
      </w:r>
      <w:r w:rsidRPr="008E3C0D">
        <w:rPr>
          <w:rFonts w:eastAsiaTheme="minorHAnsi" w:cstheme="minorBidi"/>
          <w:szCs w:val="24"/>
          <w:lang w:val="fr-CA" w:eastAsia="en-US"/>
        </w:rPr>
        <w:t xml:space="preserve"> Le juge en chef Wagner et les juges Abella, Moldaver, Karakatsanis, Côté, Brown, Rowe, Martin et Kasirer</w:t>
      </w:r>
    </w:p>
    <w:p w:rsidR="00E469AE" w:rsidRPr="008E3C0D" w:rsidRDefault="00E469AE" w:rsidP="00E469AE">
      <w:pPr>
        <w:rPr>
          <w:rFonts w:eastAsiaTheme="minorHAnsi" w:cstheme="minorBidi"/>
          <w:szCs w:val="24"/>
          <w:lang w:val="fr-CA"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469AE" w:rsidRPr="001E2C11" w:rsidTr="00FE0CC2">
        <w:trPr>
          <w:cantSplit/>
        </w:trPr>
        <w:tc>
          <w:tcPr>
            <w:tcW w:w="3618" w:type="dxa"/>
          </w:tcPr>
          <w:p w:rsidR="00E469AE" w:rsidRPr="008E3C0D" w:rsidRDefault="00E469AE" w:rsidP="00FE0CC2">
            <w:pPr>
              <w:rPr>
                <w:lang w:val="fr-CA"/>
              </w:rPr>
            </w:pPr>
            <w:r w:rsidRPr="008E3C0D">
              <w:rPr>
                <w:b/>
                <w:smallCaps/>
                <w:lang w:val="fr-CA"/>
              </w:rPr>
              <w:t>Motifs de jugement :</w:t>
            </w:r>
          </w:p>
          <w:p w:rsidR="00E469AE" w:rsidRPr="008E3C0D" w:rsidRDefault="00E469AE" w:rsidP="00FE0CC2">
            <w:pPr>
              <w:rPr>
                <w:lang w:val="fr-CA"/>
              </w:rPr>
            </w:pPr>
            <w:r w:rsidRPr="008E3C0D">
              <w:rPr>
                <w:lang w:val="fr-CA"/>
              </w:rPr>
              <w:t>(par. 1 à 28)</w:t>
            </w:r>
          </w:p>
        </w:tc>
        <w:tc>
          <w:tcPr>
            <w:tcW w:w="5958" w:type="dxa"/>
          </w:tcPr>
          <w:p w:rsidR="00E469AE" w:rsidRPr="008E3C0D" w:rsidRDefault="00E469AE" w:rsidP="00FE0CC2">
            <w:pPr>
              <w:rPr>
                <w:lang w:val="fr-CA"/>
              </w:rPr>
            </w:pPr>
            <w:r w:rsidRPr="008E3C0D">
              <w:rPr>
                <w:lang w:val="fr-CA"/>
              </w:rPr>
              <w:t>Le juge Brown (avec l’accord du juge en chef Wagner et des juges Abella, Moldaver, Karakatsanis, Côté, Rowe, Martin et Kasirer)</w:t>
            </w:r>
          </w:p>
        </w:tc>
      </w:tr>
    </w:tbl>
    <w:p w:rsidR="00E469AE" w:rsidRPr="008E3C0D" w:rsidRDefault="00E469AE" w:rsidP="00E469AE">
      <w:pPr>
        <w:rPr>
          <w:rFonts w:eastAsiaTheme="minorHAnsi" w:cstheme="minorBidi"/>
          <w:szCs w:val="24"/>
          <w:lang w:val="fr-CA" w:eastAsia="en-US"/>
        </w:rPr>
      </w:pPr>
      <w:r w:rsidRPr="008E3C0D">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2CD40D61" wp14:editId="5E1210C3">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4BDBBF"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469AE" w:rsidRDefault="00E469AE" w:rsidP="00E469AE">
      <w:pPr>
        <w:rPr>
          <w:smallCaps/>
          <w:lang w:val="fr-CA"/>
        </w:rPr>
      </w:pPr>
      <w:r>
        <w:rPr>
          <w:smallCaps/>
          <w:lang w:val="fr-CA"/>
        </w:rPr>
        <w:br w:type="page"/>
      </w:r>
    </w:p>
    <w:p w:rsidR="004D7D95" w:rsidRPr="00A134F2" w:rsidRDefault="0049525A" w:rsidP="009E05ED">
      <w:pPr>
        <w:spacing w:after="720"/>
        <w:jc w:val="both"/>
        <w:rPr>
          <w:lang w:val="fr-CA"/>
        </w:rPr>
      </w:pPr>
      <w:bookmarkStart w:id="0" w:name="_GoBack"/>
      <w:bookmarkEnd w:id="0"/>
      <w:r w:rsidRPr="0049525A">
        <w:rPr>
          <w:smallCaps/>
          <w:lang w:val="fr-CA"/>
        </w:rPr>
        <w:lastRenderedPageBreak/>
        <w:t>r</w:t>
      </w:r>
      <w:r w:rsidR="004339A7" w:rsidRPr="0049525A">
        <w:rPr>
          <w:smallCaps/>
          <w:lang w:val="fr-CA"/>
        </w:rPr>
        <w:t>.</w:t>
      </w:r>
      <w:r w:rsidR="004339A7" w:rsidRPr="00A134F2">
        <w:rPr>
          <w:lang w:val="fr-CA"/>
        </w:rPr>
        <w:t xml:space="preserve"> </w:t>
      </w:r>
      <w:r w:rsidR="004D7D95" w:rsidRPr="00A134F2">
        <w:rPr>
          <w:i/>
          <w:lang w:val="fr-CA"/>
        </w:rPr>
        <w:t>c.</w:t>
      </w:r>
      <w:r w:rsidR="004D7D95" w:rsidRPr="00A134F2">
        <w:rPr>
          <w:lang w:val="fr-CA"/>
        </w:rPr>
        <w:t xml:space="preserve"> </w:t>
      </w:r>
      <w:r>
        <w:rPr>
          <w:rStyle w:val="SCCAppellantForRunningHeadChar"/>
          <w:lang w:val="fr-CA"/>
        </w:rPr>
        <w:t>t.j.m</w:t>
      </w:r>
      <w:r w:rsidR="004339A7" w:rsidRPr="00A134F2">
        <w:rPr>
          <w:rStyle w:val="SCCAppellantForRunningHeadChar"/>
          <w:lang w:val="fr-CA"/>
        </w:rPr>
        <w:t>.</w:t>
      </w:r>
    </w:p>
    <w:p w:rsidR="0088374C" w:rsidRPr="00A134F2" w:rsidRDefault="003D64B6" w:rsidP="009E05ED">
      <w:pPr>
        <w:pStyle w:val="SCCLsocLastPartyInRole"/>
        <w:rPr>
          <w:lang w:val="fr-CA"/>
        </w:rPr>
      </w:pPr>
      <w:r w:rsidRPr="00A134F2">
        <w:rPr>
          <w:lang w:val="fr-CA"/>
        </w:rPr>
        <w:t>T.J.M.</w:t>
      </w:r>
      <w:r w:rsidR="001C2360" w:rsidRPr="00A134F2">
        <w:rPr>
          <w:rStyle w:val="SCCLsocPartyRole"/>
          <w:lang w:val="fr-CA"/>
        </w:rPr>
        <w:tab/>
        <w:t>Appelant</w:t>
      </w:r>
    </w:p>
    <w:p w:rsidR="0088374C" w:rsidRPr="00A134F2" w:rsidRDefault="003D64B6" w:rsidP="009E05ED">
      <w:pPr>
        <w:pStyle w:val="SCCLsocVersus"/>
        <w:rPr>
          <w:lang w:val="fr-CA"/>
        </w:rPr>
      </w:pPr>
      <w:r w:rsidRPr="00A134F2">
        <w:rPr>
          <w:lang w:val="fr-CA"/>
        </w:rPr>
        <w:t>c.</w:t>
      </w:r>
    </w:p>
    <w:p w:rsidR="0088374C" w:rsidRPr="00A134F2" w:rsidRDefault="003D64B6" w:rsidP="009E05ED">
      <w:pPr>
        <w:pStyle w:val="SCCLsocLastPartyInRole"/>
        <w:rPr>
          <w:lang w:val="fr-CA"/>
        </w:rPr>
      </w:pPr>
      <w:r w:rsidRPr="00A134F2">
        <w:rPr>
          <w:lang w:val="fr-CA"/>
        </w:rPr>
        <w:t>Sa Majesté la Reine</w:t>
      </w:r>
      <w:r w:rsidR="001C2360" w:rsidRPr="00A134F2">
        <w:rPr>
          <w:rStyle w:val="SCCLsocPartyRole"/>
          <w:lang w:val="fr-CA"/>
        </w:rPr>
        <w:tab/>
        <w:t>Intimée</w:t>
      </w:r>
    </w:p>
    <w:p w:rsidR="004D7D95" w:rsidRPr="00A134F2" w:rsidRDefault="001C2360" w:rsidP="009E05ED">
      <w:pPr>
        <w:spacing w:after="720"/>
        <w:jc w:val="both"/>
        <w:rPr>
          <w:b/>
          <w:lang w:val="fr-CA"/>
        </w:rPr>
      </w:pPr>
      <w:r w:rsidRPr="00A134F2">
        <w:rPr>
          <w:b/>
          <w:lang w:val="fr-CA"/>
        </w:rPr>
        <w:t>Répertorié</w:t>
      </w:r>
      <w:r w:rsidR="00A134F2">
        <w:rPr>
          <w:b/>
          <w:lang w:val="fr-CA"/>
        </w:rPr>
        <w:t> :</w:t>
      </w:r>
      <w:r w:rsidRPr="00A134F2">
        <w:rPr>
          <w:b/>
          <w:lang w:val="fr-CA"/>
        </w:rPr>
        <w:t xml:space="preserve"> R. </w:t>
      </w:r>
      <w:r w:rsidR="004D7D95" w:rsidRPr="00A134F2">
        <w:rPr>
          <w:b/>
          <w:i/>
          <w:lang w:val="fr-CA"/>
        </w:rPr>
        <w:t>c.</w:t>
      </w:r>
      <w:r w:rsidR="004D7D95" w:rsidRPr="00A134F2">
        <w:rPr>
          <w:b/>
          <w:lang w:val="fr-CA"/>
        </w:rPr>
        <w:t xml:space="preserve"> </w:t>
      </w:r>
      <w:r w:rsidRPr="00A134F2">
        <w:rPr>
          <w:rStyle w:val="SCCAppellantForIndexChar"/>
          <w:lang w:val="fr-CA"/>
        </w:rPr>
        <w:t>T.J.M.</w:t>
      </w:r>
    </w:p>
    <w:p w:rsidR="004D7D95" w:rsidRPr="00A134F2" w:rsidRDefault="00D17B0E" w:rsidP="009E05ED">
      <w:pPr>
        <w:pStyle w:val="SCCSystemYear"/>
        <w:spacing w:after="720"/>
        <w:jc w:val="both"/>
        <w:rPr>
          <w:lang w:val="fr-CA"/>
        </w:rPr>
      </w:pPr>
      <w:r w:rsidRPr="00A134F2">
        <w:rPr>
          <w:lang w:val="fr-CA"/>
        </w:rPr>
        <w:t>202</w:t>
      </w:r>
      <w:r w:rsidR="008226BC">
        <w:rPr>
          <w:lang w:val="fr-CA"/>
        </w:rPr>
        <w:t>1</w:t>
      </w:r>
      <w:r w:rsidR="004D7D95" w:rsidRPr="00A134F2">
        <w:rPr>
          <w:lang w:val="fr-CA"/>
        </w:rPr>
        <w:t xml:space="preserve"> CSC </w:t>
      </w:r>
      <w:r w:rsidR="00775C81" w:rsidRPr="00A134F2">
        <w:rPr>
          <w:lang w:val="fr-CA"/>
        </w:rPr>
        <w:t>6</w:t>
      </w:r>
    </w:p>
    <w:p w:rsidR="004D7D95" w:rsidRPr="00A134F2" w:rsidRDefault="004D7D95" w:rsidP="009E05ED">
      <w:pPr>
        <w:spacing w:after="720"/>
        <w:jc w:val="both"/>
        <w:rPr>
          <w:lang w:val="fr-CA"/>
        </w:rPr>
      </w:pPr>
      <w:r w:rsidRPr="00A134F2">
        <w:rPr>
          <w:lang w:val="fr-CA"/>
        </w:rPr>
        <w:t>N</w:t>
      </w:r>
      <w:r w:rsidRPr="00A134F2">
        <w:rPr>
          <w:vertAlign w:val="superscript"/>
          <w:lang w:val="fr-CA"/>
        </w:rPr>
        <w:t>o</w:t>
      </w:r>
      <w:r w:rsidRPr="00A134F2">
        <w:rPr>
          <w:lang w:val="fr-CA"/>
        </w:rPr>
        <w:t xml:space="preserve"> du greffe</w:t>
      </w:r>
      <w:r w:rsidR="00A134F2">
        <w:rPr>
          <w:lang w:val="fr-CA"/>
        </w:rPr>
        <w:t> :</w:t>
      </w:r>
      <w:r w:rsidRPr="00A134F2">
        <w:rPr>
          <w:lang w:val="fr-CA"/>
        </w:rPr>
        <w:t> 38944.</w:t>
      </w:r>
    </w:p>
    <w:p w:rsidR="004D7D95" w:rsidRPr="00A134F2" w:rsidRDefault="00D17B0E" w:rsidP="009E05ED">
      <w:pPr>
        <w:spacing w:after="720"/>
        <w:jc w:val="both"/>
        <w:rPr>
          <w:lang w:val="fr-CA"/>
        </w:rPr>
      </w:pPr>
      <w:r w:rsidRPr="00A134F2">
        <w:rPr>
          <w:lang w:val="fr-CA"/>
        </w:rPr>
        <w:t>2020</w:t>
      </w:r>
      <w:r w:rsidR="00A134F2">
        <w:rPr>
          <w:lang w:val="fr-CA"/>
        </w:rPr>
        <w:t> :</w:t>
      </w:r>
      <w:r w:rsidRPr="00A134F2">
        <w:rPr>
          <w:lang w:val="fr-CA"/>
        </w:rPr>
        <w:t xml:space="preserve"> 9</w:t>
      </w:r>
      <w:r w:rsidR="009E05ED" w:rsidRPr="00A134F2">
        <w:rPr>
          <w:lang w:val="fr-CA"/>
        </w:rPr>
        <w:t> </w:t>
      </w:r>
      <w:r w:rsidRPr="00A134F2">
        <w:rPr>
          <w:lang w:val="fr-CA"/>
        </w:rPr>
        <w:t>novembre</w:t>
      </w:r>
      <w:r w:rsidR="004D7D95" w:rsidRPr="00A134F2">
        <w:rPr>
          <w:lang w:val="fr-CA"/>
        </w:rPr>
        <w:t xml:space="preserve">; </w:t>
      </w:r>
      <w:r w:rsidR="00122F41" w:rsidRPr="00A134F2">
        <w:rPr>
          <w:lang w:val="fr-CA"/>
        </w:rPr>
        <w:t>2021</w:t>
      </w:r>
      <w:r w:rsidR="00A134F2">
        <w:rPr>
          <w:lang w:val="fr-CA"/>
        </w:rPr>
        <w:t> :</w:t>
      </w:r>
      <w:r w:rsidR="009E05ED" w:rsidRPr="00A134F2">
        <w:rPr>
          <w:lang w:val="fr-CA"/>
        </w:rPr>
        <w:t> </w:t>
      </w:r>
      <w:r w:rsidR="00122F41" w:rsidRPr="00A134F2">
        <w:rPr>
          <w:lang w:val="fr-CA"/>
        </w:rPr>
        <w:t>29 janvier</w:t>
      </w:r>
      <w:r w:rsidR="004D7D95" w:rsidRPr="00A134F2">
        <w:rPr>
          <w:lang w:val="fr-CA"/>
        </w:rPr>
        <w:t>.</w:t>
      </w:r>
    </w:p>
    <w:p w:rsidR="004D7D95" w:rsidRPr="00A134F2" w:rsidRDefault="004D7D95" w:rsidP="009E05ED">
      <w:pPr>
        <w:spacing w:after="720"/>
        <w:jc w:val="both"/>
        <w:rPr>
          <w:lang w:val="fr-CA"/>
        </w:rPr>
      </w:pPr>
      <w:r w:rsidRPr="00A134F2">
        <w:rPr>
          <w:lang w:val="fr-CA"/>
        </w:rPr>
        <w:t>Présents</w:t>
      </w:r>
      <w:r w:rsidR="00A134F2">
        <w:rPr>
          <w:lang w:val="fr-CA"/>
        </w:rPr>
        <w:t> :</w:t>
      </w:r>
      <w:r w:rsidRPr="00A134F2">
        <w:rPr>
          <w:lang w:val="fr-CA"/>
        </w:rPr>
        <w:t> Le juge en chef Wagner et les juges Abella, Moldaver, Karakatsanis, Côté, Brown, Rowe, Martin et Kasirer.</w:t>
      </w:r>
    </w:p>
    <w:p w:rsidR="004D7D95" w:rsidRPr="00A134F2" w:rsidRDefault="004D7D95" w:rsidP="009E05ED">
      <w:pPr>
        <w:spacing w:after="720"/>
        <w:jc w:val="both"/>
        <w:rPr>
          <w:smallCaps/>
          <w:lang w:val="fr-CA"/>
        </w:rPr>
      </w:pPr>
      <w:r w:rsidRPr="00A134F2">
        <w:rPr>
          <w:smallCaps/>
          <w:lang w:val="fr-CA"/>
        </w:rPr>
        <w:t>en appel de la cour du banc de la reine de l</w:t>
      </w:r>
      <w:r w:rsidR="001C2360" w:rsidRPr="00A134F2">
        <w:rPr>
          <w:smallCaps/>
          <w:lang w:val="fr-CA"/>
        </w:rPr>
        <w:t>’</w:t>
      </w:r>
      <w:r w:rsidRPr="00A134F2">
        <w:rPr>
          <w:smallCaps/>
          <w:lang w:val="fr-CA"/>
        </w:rPr>
        <w:t>alberta</w:t>
      </w:r>
    </w:p>
    <w:p w:rsidR="00EC28B9" w:rsidRPr="00A134F2" w:rsidRDefault="004D7D95" w:rsidP="001B638E">
      <w:pPr>
        <w:pStyle w:val="SCCNormalDoubleSpacing"/>
        <w:spacing w:after="480"/>
        <w:rPr>
          <w:i/>
          <w:lang w:val="fr-CA"/>
        </w:rPr>
      </w:pPr>
      <w:r w:rsidRPr="00A134F2">
        <w:rPr>
          <w:lang w:val="fr-CA"/>
        </w:rPr>
        <w:tab/>
      </w:r>
      <w:r w:rsidR="00EC28B9" w:rsidRPr="00A134F2">
        <w:rPr>
          <w:i/>
          <w:lang w:val="fr-CA"/>
        </w:rPr>
        <w:t>Droit criminel — Adolescents — Mise en liberté provisoire — Adolescent inculpé d’une infraction énumérée à l’</w:t>
      </w:r>
      <w:r w:rsidR="00A134F2">
        <w:rPr>
          <w:i/>
          <w:lang w:val="fr-CA"/>
        </w:rPr>
        <w:t>art. </w:t>
      </w:r>
      <w:r w:rsidR="00EC28B9" w:rsidRPr="00A134F2">
        <w:rPr>
          <w:i/>
          <w:lang w:val="fr-CA"/>
        </w:rPr>
        <w:t xml:space="preserve">469 du Code criminel </w:t>
      </w:r>
      <w:r w:rsidR="000D0695">
        <w:rPr>
          <w:i/>
          <w:lang w:val="fr-CA"/>
        </w:rPr>
        <w:t>et choisissant</w:t>
      </w:r>
      <w:r w:rsidR="00EC28B9" w:rsidRPr="00A134F2">
        <w:rPr>
          <w:i/>
          <w:lang w:val="fr-CA"/>
        </w:rPr>
        <w:t xml:space="preserve"> d’être jugé par un juge de la cour supérieure de juridiction criminelle — Le juge d’une cour supérieure a</w:t>
      </w:r>
      <w:r w:rsidR="00A134F2">
        <w:rPr>
          <w:i/>
          <w:lang w:val="fr-CA"/>
        </w:rPr>
        <w:noBreakHyphen/>
      </w:r>
      <w:r w:rsidR="00EC28B9" w:rsidRPr="00A134F2">
        <w:rPr>
          <w:i/>
          <w:lang w:val="fr-CA"/>
        </w:rPr>
        <w:t>t</w:t>
      </w:r>
      <w:r w:rsidR="00A134F2">
        <w:rPr>
          <w:i/>
          <w:lang w:val="fr-CA"/>
        </w:rPr>
        <w:noBreakHyphen/>
      </w:r>
      <w:r w:rsidR="00EC28B9" w:rsidRPr="00A134F2">
        <w:rPr>
          <w:i/>
          <w:lang w:val="fr-CA"/>
        </w:rPr>
        <w:t>il compétence pour entendre et trancher la demande de mise en liberté provisoire d’un adolescent? — Si oui, cette compétence est</w:t>
      </w:r>
      <w:r w:rsidR="00A134F2">
        <w:rPr>
          <w:i/>
          <w:lang w:val="fr-CA"/>
        </w:rPr>
        <w:noBreakHyphen/>
      </w:r>
      <w:r w:rsidR="00EC28B9" w:rsidRPr="00A134F2">
        <w:rPr>
          <w:i/>
          <w:lang w:val="fr-CA"/>
        </w:rPr>
        <w:t>elle exclusive, ou est</w:t>
      </w:r>
      <w:r w:rsidR="00A134F2">
        <w:rPr>
          <w:i/>
          <w:lang w:val="fr-CA"/>
        </w:rPr>
        <w:noBreakHyphen/>
      </w:r>
      <w:r w:rsidR="00EC28B9" w:rsidRPr="00A134F2">
        <w:rPr>
          <w:i/>
          <w:lang w:val="fr-CA"/>
        </w:rPr>
        <w:t xml:space="preserve">elle </w:t>
      </w:r>
      <w:r w:rsidR="00EC28B9" w:rsidRPr="00A134F2">
        <w:rPr>
          <w:i/>
          <w:lang w:val="fr-CA"/>
        </w:rPr>
        <w:lastRenderedPageBreak/>
        <w:t>détenue concurremment avec les juges du tribunal pour adolescents désigné pour la province? — Loi sur le système de justice pénale pour les adolescents</w:t>
      </w:r>
      <w:r w:rsidR="00EC28B9" w:rsidRPr="00A134F2">
        <w:rPr>
          <w:lang w:val="fr-CA"/>
        </w:rPr>
        <w:t xml:space="preserve">, </w:t>
      </w:r>
      <w:r w:rsidR="00EC28B9" w:rsidRPr="00A134F2">
        <w:rPr>
          <w:i/>
          <w:lang w:val="fr-CA"/>
        </w:rPr>
        <w:t>L</w:t>
      </w:r>
      <w:r w:rsidR="001B638E">
        <w:rPr>
          <w:i/>
          <w:lang w:val="fr-CA"/>
        </w:rPr>
        <w:t>.C. 2002, c. </w:t>
      </w:r>
      <w:r w:rsidR="00EC28B9" w:rsidRPr="00A134F2">
        <w:rPr>
          <w:i/>
          <w:lang w:val="fr-CA"/>
        </w:rPr>
        <w:t xml:space="preserve">1, </w:t>
      </w:r>
      <w:r w:rsidR="00A134F2">
        <w:rPr>
          <w:i/>
          <w:lang w:val="fr-CA"/>
        </w:rPr>
        <w:t>art. </w:t>
      </w:r>
      <w:r w:rsidR="00EC28B9" w:rsidRPr="00A134F2">
        <w:rPr>
          <w:i/>
          <w:lang w:val="fr-CA"/>
        </w:rPr>
        <w:t>13(1), (2), (3), 33(8).</w:t>
      </w:r>
    </w:p>
    <w:p w:rsidR="00EC28B9" w:rsidRPr="00A134F2" w:rsidRDefault="00EC28B9" w:rsidP="001B638E">
      <w:pPr>
        <w:pStyle w:val="SCCNormalDoubleSpacing"/>
        <w:spacing w:after="480"/>
        <w:rPr>
          <w:lang w:val="fr-CA"/>
        </w:rPr>
      </w:pPr>
      <w:r w:rsidRPr="00A134F2">
        <w:rPr>
          <w:lang w:val="fr-CA"/>
        </w:rPr>
        <w:tab/>
        <w:t>M, un adolescent, a été inculpé de meurtre au deuxième deg</w:t>
      </w:r>
      <w:r w:rsidR="00EA28B3">
        <w:rPr>
          <w:lang w:val="fr-CA"/>
        </w:rPr>
        <w:t>ré, une infraction énumérée à l’</w:t>
      </w:r>
      <w:r w:rsidR="00A134F2">
        <w:rPr>
          <w:lang w:val="fr-CA"/>
        </w:rPr>
        <w:t>art. </w:t>
      </w:r>
      <w:r w:rsidRPr="00A134F2">
        <w:rPr>
          <w:lang w:val="fr-CA"/>
        </w:rPr>
        <w:t xml:space="preserve">469 du </w:t>
      </w:r>
      <w:r w:rsidRPr="00A134F2">
        <w:rPr>
          <w:i/>
          <w:lang w:val="fr-CA"/>
        </w:rPr>
        <w:t>Code criminel</w:t>
      </w:r>
      <w:r w:rsidRPr="00A134F2">
        <w:rPr>
          <w:lang w:val="fr-CA"/>
        </w:rPr>
        <w:t xml:space="preserve">. La Couronne a donné avis de son intention de demander l’assujettissement à la peine applicable aux adultes, ce qui </w:t>
      </w:r>
      <w:r w:rsidR="00D32FE6">
        <w:rPr>
          <w:lang w:val="fr-CA"/>
        </w:rPr>
        <w:t>a permis</w:t>
      </w:r>
      <w:r w:rsidRPr="00A134F2">
        <w:rPr>
          <w:lang w:val="fr-CA"/>
        </w:rPr>
        <w:t xml:space="preserve"> à M de choisir le mode de procès. Il a choisi d’être jugé par un juge de la cour supérieure sans jury, demandé la tenue d’une enquête préliminaire, et sollicité sa mise en liberté provisoire à un juge de la Cour du Banc de la Reine de l’Alberta. Le juge de première instance a statué qu’il n’avait pas compétence pour accorder une mise en liberté provisoire à un adolescent, concluant que la Cour provinciale de l’Alberta, le tribunal pour adolescents désigné pour la province, avait compétence exclusive. M interjette appel à la Cour de la décision du juge de première instance.</w:t>
      </w:r>
    </w:p>
    <w:p w:rsidR="00EC28B9" w:rsidRPr="00A134F2" w:rsidRDefault="00EC28B9" w:rsidP="001B638E">
      <w:pPr>
        <w:pStyle w:val="SCCNormalDoubleSpacing"/>
        <w:spacing w:after="480"/>
        <w:rPr>
          <w:lang w:val="fr-CA"/>
        </w:rPr>
      </w:pPr>
      <w:r w:rsidRPr="00A134F2">
        <w:rPr>
          <w:lang w:val="fr-CA"/>
        </w:rPr>
        <w:tab/>
      </w:r>
      <w:r w:rsidRPr="00A134F2">
        <w:rPr>
          <w:i/>
          <w:lang w:val="fr-CA"/>
        </w:rPr>
        <w:t>Arrêt</w:t>
      </w:r>
      <w:r w:rsidR="00A134F2">
        <w:rPr>
          <w:i/>
          <w:lang w:val="fr-CA"/>
        </w:rPr>
        <w:t> </w:t>
      </w:r>
      <w:r w:rsidR="00A134F2" w:rsidRPr="00D32FE6">
        <w:rPr>
          <w:lang w:val="fr-CA"/>
        </w:rPr>
        <w:t>:</w:t>
      </w:r>
      <w:r w:rsidRPr="00A134F2">
        <w:rPr>
          <w:lang w:val="fr-CA"/>
        </w:rPr>
        <w:t xml:space="preserve"> Le pourvoi est accueilli.</w:t>
      </w:r>
    </w:p>
    <w:p w:rsidR="00EC28B9" w:rsidRPr="00A134F2" w:rsidRDefault="00EC28B9" w:rsidP="001B638E">
      <w:pPr>
        <w:pStyle w:val="SCCNormalDoubleSpacing"/>
        <w:spacing w:after="480"/>
        <w:rPr>
          <w:lang w:val="fr-CA"/>
        </w:rPr>
      </w:pPr>
      <w:r w:rsidRPr="00A134F2">
        <w:rPr>
          <w:lang w:val="fr-CA"/>
        </w:rPr>
        <w:tab/>
        <w:t>Le juge d’une cour supérieure a compétence pour entendre et trancher une demande de mise en liberté provisoire présentée par un adolescent inculpé d’une infraction énumérée à l’</w:t>
      </w:r>
      <w:r w:rsidR="00A134F2">
        <w:rPr>
          <w:lang w:val="fr-CA"/>
        </w:rPr>
        <w:t>art. </w:t>
      </w:r>
      <w:r w:rsidRPr="00A134F2">
        <w:rPr>
          <w:lang w:val="fr-CA"/>
        </w:rPr>
        <w:t xml:space="preserve">469 du </w:t>
      </w:r>
      <w:r w:rsidRPr="00A134F2">
        <w:rPr>
          <w:i/>
          <w:lang w:val="fr-CA"/>
        </w:rPr>
        <w:t>Code criminel</w:t>
      </w:r>
      <w:r w:rsidRPr="00A134F2">
        <w:rPr>
          <w:lang w:val="fr-CA"/>
        </w:rPr>
        <w:t xml:space="preserve">, et cette compétence est détenue conjointement avec les juges du tribunal pour adolescents désigné pour la province. </w:t>
      </w:r>
    </w:p>
    <w:p w:rsidR="00EC28B9" w:rsidRPr="00A134F2" w:rsidRDefault="00EC28B9" w:rsidP="001B638E">
      <w:pPr>
        <w:pStyle w:val="SCCNormalDoubleSpacing"/>
        <w:spacing w:after="480"/>
        <w:rPr>
          <w:lang w:val="fr-CA"/>
        </w:rPr>
      </w:pPr>
      <w:r w:rsidRPr="00A134F2">
        <w:rPr>
          <w:lang w:val="fr-CA"/>
        </w:rPr>
        <w:tab/>
        <w:t xml:space="preserve">Lorsqu’un juge de la cour supérieure devient un juge du tribunal pour adolescents par application des dispositions assimilantes figurant aux </w:t>
      </w:r>
      <w:r w:rsidR="00A134F2">
        <w:rPr>
          <w:lang w:val="fr-CA"/>
        </w:rPr>
        <w:t>par. </w:t>
      </w:r>
      <w:r w:rsidRPr="00A134F2">
        <w:rPr>
          <w:lang w:val="fr-CA"/>
        </w:rPr>
        <w:t xml:space="preserve">13(2) ou </w:t>
      </w:r>
      <w:r w:rsidRPr="00A134F2">
        <w:rPr>
          <w:lang w:val="fr-CA"/>
        </w:rPr>
        <w:lastRenderedPageBreak/>
        <w:t xml:space="preserve">13(3) de la </w:t>
      </w:r>
      <w:r w:rsidRPr="00A134F2">
        <w:rPr>
          <w:i/>
          <w:lang w:val="fr-CA"/>
        </w:rPr>
        <w:t>Loi sur le système de</w:t>
      </w:r>
      <w:r w:rsidRPr="00A134F2">
        <w:rPr>
          <w:lang w:val="fr-CA"/>
        </w:rPr>
        <w:t xml:space="preserve"> </w:t>
      </w:r>
      <w:r w:rsidRPr="00A134F2">
        <w:rPr>
          <w:i/>
          <w:lang w:val="fr-CA"/>
        </w:rPr>
        <w:t xml:space="preserve">justice pénale pour les adolescents </w:t>
      </w:r>
      <w:r w:rsidRPr="00A134F2">
        <w:rPr>
          <w:lang w:val="fr-CA"/>
        </w:rPr>
        <w:t>(« </w:t>
      </w:r>
      <w:r w:rsidRPr="00A134F2">
        <w:rPr>
          <w:i/>
          <w:lang w:val="fr-CA"/>
        </w:rPr>
        <w:t>LSJPA</w:t>
      </w:r>
      <w:r w:rsidRPr="00A134F2">
        <w:rPr>
          <w:lang w:val="fr-CA"/>
        </w:rPr>
        <w:t xml:space="preserve"> »), la cour supérieure est réputée être ce tribunal pour les procédures en cause. Les mots « les procédures en cause » utilisés aux </w:t>
      </w:r>
      <w:r w:rsidR="00A134F2">
        <w:rPr>
          <w:lang w:val="fr-CA"/>
        </w:rPr>
        <w:t>par. </w:t>
      </w:r>
      <w:r w:rsidR="001F0380">
        <w:rPr>
          <w:lang w:val="fr-CA"/>
        </w:rPr>
        <w:t xml:space="preserve">13(2) et </w:t>
      </w:r>
      <w:r w:rsidR="00D32FE6">
        <w:rPr>
          <w:lang w:val="fr-CA"/>
        </w:rPr>
        <w:t>(3) ne s’</w:t>
      </w:r>
      <w:r w:rsidRPr="00A134F2">
        <w:rPr>
          <w:lang w:val="fr-CA"/>
        </w:rPr>
        <w:t>entendent pas seulement du procès. Ces mots englobent plutôt toute mesure prise par le juge du tribunal pour adolescents après que l’adolescent ait choisi d’être jugé en cour supérieure, y compris toute demande préliminaire de mise en liberté provisoire, et ce, jusqu’au procès.</w:t>
      </w:r>
    </w:p>
    <w:p w:rsidR="00EC28B9" w:rsidRPr="00A134F2" w:rsidRDefault="00EC28B9" w:rsidP="001B638E">
      <w:pPr>
        <w:pStyle w:val="SCCNormalDoubleSpacing"/>
        <w:spacing w:after="480"/>
        <w:rPr>
          <w:lang w:val="fr-CA"/>
        </w:rPr>
      </w:pPr>
      <w:r w:rsidRPr="00A134F2">
        <w:rPr>
          <w:lang w:val="fr-CA"/>
        </w:rPr>
        <w:tab/>
        <w:t xml:space="preserve">Le paragraphe 33(8) de la </w:t>
      </w:r>
      <w:r w:rsidRPr="00A134F2">
        <w:rPr>
          <w:i/>
          <w:lang w:val="fr-CA"/>
        </w:rPr>
        <w:t xml:space="preserve">LSJPA </w:t>
      </w:r>
      <w:r w:rsidRPr="00A134F2">
        <w:rPr>
          <w:lang w:val="fr-CA"/>
        </w:rPr>
        <w:t>confère à « un juge du tribunal pour adolescents » compétence exclusive pour mettre en liberté un adolescent inculpé d’une infraction mentionnée à l’</w:t>
      </w:r>
      <w:r w:rsidR="00A134F2">
        <w:rPr>
          <w:lang w:val="fr-CA"/>
        </w:rPr>
        <w:t>art. </w:t>
      </w:r>
      <w:r w:rsidRPr="00A134F2">
        <w:rPr>
          <w:lang w:val="fr-CA"/>
        </w:rPr>
        <w:t xml:space="preserve">522 du </w:t>
      </w:r>
      <w:r w:rsidRPr="00A134F2">
        <w:rPr>
          <w:i/>
          <w:lang w:val="fr-CA"/>
        </w:rPr>
        <w:t>Code criminel</w:t>
      </w:r>
      <w:r w:rsidRPr="00A134F2">
        <w:rPr>
          <w:lang w:val="fr-CA"/>
        </w:rPr>
        <w:t>, qui intègre les infractions mentionnées à l’</w:t>
      </w:r>
      <w:r w:rsidR="00A134F2">
        <w:rPr>
          <w:lang w:val="fr-CA"/>
        </w:rPr>
        <w:t>art. </w:t>
      </w:r>
      <w:r w:rsidRPr="00A134F2">
        <w:rPr>
          <w:lang w:val="fr-CA"/>
        </w:rPr>
        <w:t xml:space="preserve">469. Il ne circonscrit pas le terme « juge du tribunal pour adolescents » de manière à ce qu’il s’entende uniquement des juges de la cour supérieure réputés par les </w:t>
      </w:r>
      <w:r w:rsidR="00A134F2">
        <w:rPr>
          <w:lang w:val="fr-CA"/>
        </w:rPr>
        <w:t>par. </w:t>
      </w:r>
      <w:r w:rsidR="001F0380">
        <w:rPr>
          <w:lang w:val="fr-CA"/>
        </w:rPr>
        <w:t xml:space="preserve">13(2) et </w:t>
      </w:r>
      <w:r w:rsidRPr="00A134F2">
        <w:rPr>
          <w:lang w:val="fr-CA"/>
        </w:rPr>
        <w:t xml:space="preserve">(3) être des juges du tribunal pour adolescents. Tout comme les </w:t>
      </w:r>
      <w:r w:rsidR="00A134F2">
        <w:rPr>
          <w:lang w:val="fr-CA"/>
        </w:rPr>
        <w:t>par. </w:t>
      </w:r>
      <w:r w:rsidR="001F0380">
        <w:rPr>
          <w:lang w:val="fr-CA"/>
        </w:rPr>
        <w:t xml:space="preserve">13(2) et </w:t>
      </w:r>
      <w:r w:rsidRPr="00A134F2">
        <w:rPr>
          <w:lang w:val="fr-CA"/>
        </w:rPr>
        <w:t xml:space="preserve">(3) de la </w:t>
      </w:r>
      <w:r w:rsidRPr="00A134F2">
        <w:rPr>
          <w:i/>
          <w:lang w:val="fr-CA"/>
        </w:rPr>
        <w:t xml:space="preserve">LSJPA </w:t>
      </w:r>
      <w:r w:rsidRPr="00A134F2">
        <w:rPr>
          <w:lang w:val="fr-CA"/>
        </w:rPr>
        <w:t xml:space="preserve">assimilent le juge de la cour supérieure à un juge du tribunal pour adolescents, le </w:t>
      </w:r>
      <w:r w:rsidR="00A134F2">
        <w:rPr>
          <w:lang w:val="fr-CA"/>
        </w:rPr>
        <w:t>par. </w:t>
      </w:r>
      <w:r w:rsidRPr="00A134F2">
        <w:rPr>
          <w:lang w:val="fr-CA"/>
        </w:rPr>
        <w:t>13(1) désigne aussi</w:t>
      </w:r>
      <w:r w:rsidRPr="00A134F2">
        <w:rPr>
          <w:i/>
          <w:lang w:val="fr-CA"/>
        </w:rPr>
        <w:t xml:space="preserve"> </w:t>
      </w:r>
      <w:r w:rsidRPr="00A134F2">
        <w:rPr>
          <w:lang w:val="fr-CA"/>
        </w:rPr>
        <w:t>à titre de juge du tribunal pour adolescents le juge du tribunal établi par la province en tant que tribunal pour adolescents. La compétence est donc concurrente, et non exclusive à l’un d’entre eux.</w:t>
      </w:r>
    </w:p>
    <w:p w:rsidR="004D7D95" w:rsidRPr="00A134F2" w:rsidRDefault="00EC28B9" w:rsidP="001B638E">
      <w:pPr>
        <w:pStyle w:val="SCCNormalDoubleSpacing"/>
        <w:spacing w:after="480"/>
        <w:rPr>
          <w:lang w:val="fr-CA"/>
        </w:rPr>
      </w:pPr>
      <w:r w:rsidRPr="00A134F2">
        <w:rPr>
          <w:lang w:val="fr-CA"/>
        </w:rPr>
        <w:tab/>
        <w:t>En accordant compétence concurrente pour décider de la mise en liberté après le choix de l’adolescent inculpé d’une infraction énumérée à l’</w:t>
      </w:r>
      <w:r w:rsidR="00A134F2">
        <w:rPr>
          <w:lang w:val="fr-CA"/>
        </w:rPr>
        <w:t>art. </w:t>
      </w:r>
      <w:r w:rsidRPr="00A134F2">
        <w:rPr>
          <w:lang w:val="fr-CA"/>
        </w:rPr>
        <w:t xml:space="preserve">469, le Parlement a cherché à instaurer une certaine souplesse qu’on ne retrouve pas dans le système de justice pénale pour adultes en vue d’atteindre les objectifs de la </w:t>
      </w:r>
      <w:r w:rsidRPr="00A134F2">
        <w:rPr>
          <w:i/>
          <w:lang w:val="fr-CA"/>
        </w:rPr>
        <w:t>LSJPA</w:t>
      </w:r>
      <w:r w:rsidRPr="00A134F2">
        <w:rPr>
          <w:lang w:val="fr-CA"/>
        </w:rPr>
        <w:t xml:space="preserve">. </w:t>
      </w:r>
      <w:r w:rsidRPr="00A134F2">
        <w:rPr>
          <w:lang w:val="fr-CA"/>
        </w:rPr>
        <w:lastRenderedPageBreak/>
        <w:t xml:space="preserve">Cela a des répercussions particulièrement importantes sur les adolescents des régions rurales, y compris surtout les jeunes autochtones, qui bénéficieront d’un meilleur accès aux tribunaux pour adolescents désignés par la province qu’à une cour supérieure. </w:t>
      </w:r>
    </w:p>
    <w:p w:rsidR="004D7D95" w:rsidRPr="00A134F2" w:rsidRDefault="004D7D95" w:rsidP="009E05ED">
      <w:pPr>
        <w:pStyle w:val="SCCNormalDoubleSpacing"/>
        <w:spacing w:after="720" w:line="240" w:lineRule="auto"/>
        <w:rPr>
          <w:b/>
          <w:lang w:val="fr-CA"/>
        </w:rPr>
      </w:pPr>
      <w:r w:rsidRPr="00A134F2">
        <w:rPr>
          <w:b/>
          <w:lang w:val="fr-CA"/>
        </w:rPr>
        <w:t>Jurisprudence</w:t>
      </w:r>
    </w:p>
    <w:p w:rsidR="004D7D95" w:rsidRPr="00A134F2" w:rsidRDefault="004D7D95" w:rsidP="009E05ED">
      <w:pPr>
        <w:pStyle w:val="SCCNormalDoubleSpacing"/>
        <w:spacing w:after="480"/>
        <w:rPr>
          <w:b/>
          <w:lang w:val="fr-CA"/>
        </w:rPr>
      </w:pPr>
      <w:r w:rsidRPr="00A134F2">
        <w:rPr>
          <w:lang w:val="fr-CA"/>
        </w:rPr>
        <w:tab/>
      </w:r>
      <w:r w:rsidRPr="00A134F2">
        <w:rPr>
          <w:b/>
          <w:lang w:val="fr-CA"/>
        </w:rPr>
        <w:t>Arrêts mentionnés</w:t>
      </w:r>
      <w:r w:rsidR="00A134F2">
        <w:rPr>
          <w:b/>
          <w:lang w:val="fr-CA"/>
        </w:rPr>
        <w:t> :</w:t>
      </w:r>
      <w:r w:rsidRPr="00A134F2">
        <w:rPr>
          <w:lang w:val="fr-CA"/>
        </w:rPr>
        <w:t xml:space="preserve"> </w:t>
      </w:r>
      <w:r w:rsidR="002B3160" w:rsidRPr="00A134F2">
        <w:rPr>
          <w:i/>
          <w:lang w:val="fr-CA"/>
        </w:rPr>
        <w:t xml:space="preserve">Borowski </w:t>
      </w:r>
      <w:r w:rsidR="004B3E76" w:rsidRPr="00A134F2">
        <w:rPr>
          <w:i/>
          <w:lang w:val="fr-CA"/>
        </w:rPr>
        <w:t>c</w:t>
      </w:r>
      <w:r w:rsidR="002B3160" w:rsidRPr="00A134F2">
        <w:rPr>
          <w:i/>
          <w:lang w:val="fr-CA"/>
        </w:rPr>
        <w:t>. Canada (</w:t>
      </w:r>
      <w:r w:rsidR="004B3E76" w:rsidRPr="00A134F2">
        <w:rPr>
          <w:i/>
          <w:lang w:val="fr-CA"/>
        </w:rPr>
        <w:t>Procureur général</w:t>
      </w:r>
      <w:r w:rsidR="002B3160" w:rsidRPr="00A134F2">
        <w:rPr>
          <w:i/>
          <w:lang w:val="fr-CA"/>
        </w:rPr>
        <w:t>)</w:t>
      </w:r>
      <w:r w:rsidR="002B3160" w:rsidRPr="00A134F2">
        <w:rPr>
          <w:lang w:val="fr-CA"/>
        </w:rPr>
        <w:t xml:space="preserve">, [1989] 1 </w:t>
      </w:r>
      <w:r w:rsidR="001C3A02" w:rsidRPr="00A134F2">
        <w:rPr>
          <w:lang w:val="fr-CA"/>
        </w:rPr>
        <w:t>R.C.S.</w:t>
      </w:r>
      <w:r w:rsidR="002B3160" w:rsidRPr="00A134F2">
        <w:rPr>
          <w:lang w:val="fr-CA"/>
        </w:rPr>
        <w:t xml:space="preserve"> 342; </w:t>
      </w:r>
      <w:r w:rsidR="002B3160" w:rsidRPr="00A134F2">
        <w:rPr>
          <w:i/>
          <w:lang w:val="fr-CA"/>
        </w:rPr>
        <w:t>R</w:t>
      </w:r>
      <w:r w:rsidR="00914A53" w:rsidRPr="00A134F2">
        <w:rPr>
          <w:i/>
          <w:lang w:val="fr-CA"/>
        </w:rPr>
        <w:t>.</w:t>
      </w:r>
      <w:r w:rsidR="002B3160" w:rsidRPr="00A134F2">
        <w:rPr>
          <w:i/>
          <w:lang w:val="fr-CA"/>
        </w:rPr>
        <w:t xml:space="preserve"> </w:t>
      </w:r>
      <w:r w:rsidR="004B3E76" w:rsidRPr="00A134F2">
        <w:rPr>
          <w:i/>
          <w:lang w:val="fr-CA"/>
        </w:rPr>
        <w:t>c.</w:t>
      </w:r>
      <w:r w:rsidR="002B3160" w:rsidRPr="00A134F2">
        <w:rPr>
          <w:i/>
          <w:lang w:val="fr-CA"/>
        </w:rPr>
        <w:t xml:space="preserve"> T.R.M.</w:t>
      </w:r>
      <w:r w:rsidR="002B3160" w:rsidRPr="00A134F2">
        <w:rPr>
          <w:lang w:val="fr-CA"/>
        </w:rPr>
        <w:t>,</w:t>
      </w:r>
      <w:r w:rsidR="002B3160" w:rsidRPr="00A134F2">
        <w:rPr>
          <w:i/>
          <w:lang w:val="fr-CA"/>
        </w:rPr>
        <w:t xml:space="preserve"> </w:t>
      </w:r>
      <w:r w:rsidR="002B3160" w:rsidRPr="00A134F2">
        <w:rPr>
          <w:lang w:val="fr-CA"/>
        </w:rPr>
        <w:t xml:space="preserve">2013 ABQB 571, 571 A.R. 121; </w:t>
      </w:r>
      <w:r w:rsidR="002B3160" w:rsidRPr="00A134F2">
        <w:rPr>
          <w:i/>
          <w:lang w:val="fr-CA"/>
        </w:rPr>
        <w:t>R</w:t>
      </w:r>
      <w:r w:rsidR="00914A53" w:rsidRPr="00A134F2">
        <w:rPr>
          <w:i/>
          <w:lang w:val="fr-CA"/>
        </w:rPr>
        <w:t>.</w:t>
      </w:r>
      <w:r w:rsidR="002B3160" w:rsidRPr="00A134F2">
        <w:rPr>
          <w:i/>
          <w:lang w:val="fr-CA"/>
        </w:rPr>
        <w:t xml:space="preserve"> </w:t>
      </w:r>
      <w:r w:rsidR="004B3E76" w:rsidRPr="00A134F2">
        <w:rPr>
          <w:i/>
          <w:lang w:val="fr-CA"/>
        </w:rPr>
        <w:t>c.</w:t>
      </w:r>
      <w:r w:rsidR="002B3160" w:rsidRPr="00A134F2">
        <w:rPr>
          <w:i/>
          <w:lang w:val="fr-CA"/>
        </w:rPr>
        <w:t xml:space="preserve"> K. (T.)</w:t>
      </w:r>
      <w:r w:rsidR="002B3160" w:rsidRPr="00A134F2">
        <w:rPr>
          <w:lang w:val="fr-CA"/>
        </w:rPr>
        <w:t>,</w:t>
      </w:r>
      <w:r w:rsidR="002B3160" w:rsidRPr="00A134F2">
        <w:rPr>
          <w:i/>
          <w:lang w:val="fr-CA"/>
        </w:rPr>
        <w:t xml:space="preserve"> </w:t>
      </w:r>
      <w:r w:rsidR="002B3160" w:rsidRPr="00A134F2">
        <w:rPr>
          <w:lang w:val="fr-CA"/>
        </w:rPr>
        <w:t xml:space="preserve">2004 ONCJ 410, 192 C.C.C. (3d) 279; </w:t>
      </w:r>
      <w:r w:rsidR="002B3160" w:rsidRPr="00A134F2">
        <w:rPr>
          <w:i/>
          <w:lang w:val="fr-CA"/>
        </w:rPr>
        <w:t xml:space="preserve">Protection de la jeunesse </w:t>
      </w:r>
      <w:r w:rsidR="002B3160" w:rsidRPr="00A134F2">
        <w:rPr>
          <w:i/>
        </w:rPr>
        <w:t>⸺</w:t>
      </w:r>
      <w:r w:rsidR="002B3160" w:rsidRPr="00A134F2">
        <w:rPr>
          <w:i/>
          <w:lang w:val="fr-CA"/>
        </w:rPr>
        <w:t xml:space="preserve"> 177486</w:t>
      </w:r>
      <w:r w:rsidR="002B3160" w:rsidRPr="00A134F2">
        <w:rPr>
          <w:lang w:val="fr-CA"/>
        </w:rPr>
        <w:t xml:space="preserve">, 2017 QCCS 5165; </w:t>
      </w:r>
      <w:r w:rsidR="002B3160" w:rsidRPr="00A134F2">
        <w:rPr>
          <w:i/>
          <w:lang w:val="fr-CA"/>
        </w:rPr>
        <w:t xml:space="preserve">R. </w:t>
      </w:r>
      <w:r w:rsidR="004B3E76" w:rsidRPr="00A134F2">
        <w:rPr>
          <w:i/>
          <w:lang w:val="fr-CA"/>
        </w:rPr>
        <w:t>c.</w:t>
      </w:r>
      <w:r w:rsidR="002B3160" w:rsidRPr="00A134F2">
        <w:rPr>
          <w:i/>
          <w:lang w:val="fr-CA"/>
        </w:rPr>
        <w:t xml:space="preserve"> B.W.H. </w:t>
      </w:r>
      <w:r w:rsidR="002B3160" w:rsidRPr="00A134F2">
        <w:rPr>
          <w:lang w:val="fr-CA"/>
        </w:rPr>
        <w:t>(2005),</w:t>
      </w:r>
      <w:r w:rsidR="002B3160" w:rsidRPr="00A134F2">
        <w:rPr>
          <w:i/>
          <w:lang w:val="fr-CA"/>
        </w:rPr>
        <w:t xml:space="preserve"> </w:t>
      </w:r>
      <w:r w:rsidR="002B3160" w:rsidRPr="00A134F2">
        <w:rPr>
          <w:lang w:val="fr-CA"/>
        </w:rPr>
        <w:t xml:space="preserve">198 Man. R. (2d) 264; </w:t>
      </w:r>
      <w:r w:rsidR="002B3160" w:rsidRPr="00A134F2">
        <w:rPr>
          <w:i/>
          <w:lang w:val="fr-CA"/>
        </w:rPr>
        <w:t xml:space="preserve">R. </w:t>
      </w:r>
      <w:r w:rsidR="004B3E76" w:rsidRPr="00A134F2">
        <w:rPr>
          <w:i/>
          <w:lang w:val="fr-CA"/>
        </w:rPr>
        <w:t>c.</w:t>
      </w:r>
      <w:r w:rsidR="002B3160" w:rsidRPr="00A134F2">
        <w:rPr>
          <w:i/>
          <w:lang w:val="fr-CA"/>
        </w:rPr>
        <w:t xml:space="preserve"> N.M.</w:t>
      </w:r>
      <w:r w:rsidR="002B3160" w:rsidRPr="00A134F2">
        <w:rPr>
          <w:lang w:val="fr-CA"/>
        </w:rPr>
        <w:t xml:space="preserve">, 2010 MBPC 45, 257 Man. R. (2d) 207; </w:t>
      </w:r>
      <w:r w:rsidR="002B3160" w:rsidRPr="00A134F2">
        <w:rPr>
          <w:i/>
          <w:lang w:val="fr-CA"/>
        </w:rPr>
        <w:t xml:space="preserve">R. </w:t>
      </w:r>
      <w:r w:rsidR="004B3E76" w:rsidRPr="00A134F2">
        <w:rPr>
          <w:i/>
          <w:lang w:val="fr-CA"/>
        </w:rPr>
        <w:t>c.</w:t>
      </w:r>
      <w:r w:rsidR="002B3160" w:rsidRPr="00A134F2">
        <w:rPr>
          <w:i/>
          <w:lang w:val="fr-CA"/>
        </w:rPr>
        <w:t xml:space="preserve"> W. (E.E.)</w:t>
      </w:r>
      <w:r w:rsidR="002B3160" w:rsidRPr="00A134F2">
        <w:rPr>
          <w:lang w:val="fr-CA"/>
        </w:rPr>
        <w:t>,</w:t>
      </w:r>
      <w:r w:rsidR="002B3160" w:rsidRPr="00A134F2">
        <w:rPr>
          <w:i/>
          <w:lang w:val="fr-CA"/>
        </w:rPr>
        <w:t xml:space="preserve"> </w:t>
      </w:r>
      <w:r w:rsidR="002B3160" w:rsidRPr="00A134F2">
        <w:rPr>
          <w:lang w:val="fr-CA"/>
        </w:rPr>
        <w:t xml:space="preserve">2004 SKCA 114, 188 C.C.C. (3d) 467; </w:t>
      </w:r>
      <w:r w:rsidR="002B3160" w:rsidRPr="00A134F2">
        <w:rPr>
          <w:i/>
          <w:lang w:val="fr-CA"/>
        </w:rPr>
        <w:t xml:space="preserve">R. </w:t>
      </w:r>
      <w:r w:rsidR="004B3E76" w:rsidRPr="00A134F2">
        <w:rPr>
          <w:i/>
          <w:lang w:val="fr-CA"/>
        </w:rPr>
        <w:t>c.</w:t>
      </w:r>
      <w:r w:rsidR="002B3160" w:rsidRPr="00A134F2">
        <w:rPr>
          <w:i/>
          <w:lang w:val="fr-CA"/>
        </w:rPr>
        <w:t xml:space="preserve"> B. (J.)</w:t>
      </w:r>
      <w:r w:rsidR="002B3160" w:rsidRPr="00A134F2">
        <w:rPr>
          <w:lang w:val="fr-CA"/>
        </w:rPr>
        <w:t>,</w:t>
      </w:r>
      <w:r w:rsidR="002B3160" w:rsidRPr="00A134F2">
        <w:rPr>
          <w:i/>
          <w:lang w:val="fr-CA"/>
        </w:rPr>
        <w:t xml:space="preserve"> </w:t>
      </w:r>
      <w:r w:rsidR="002B3160" w:rsidRPr="00A134F2">
        <w:rPr>
          <w:lang w:val="fr-CA"/>
        </w:rPr>
        <w:t>2012 ONSC 4957, 291 C.C.C. (3d) 43;</w:t>
      </w:r>
      <w:r w:rsidR="002B3160" w:rsidRPr="00A134F2">
        <w:rPr>
          <w:i/>
          <w:lang w:val="fr-CA"/>
        </w:rPr>
        <w:t xml:space="preserve"> R. </w:t>
      </w:r>
      <w:r w:rsidR="004B3E76" w:rsidRPr="00A134F2">
        <w:rPr>
          <w:i/>
          <w:lang w:val="fr-CA"/>
        </w:rPr>
        <w:t>c.</w:t>
      </w:r>
      <w:r w:rsidR="002B3160" w:rsidRPr="00A134F2">
        <w:rPr>
          <w:i/>
          <w:lang w:val="fr-CA"/>
        </w:rPr>
        <w:t xml:space="preserve"> F. (M.)</w:t>
      </w:r>
      <w:r w:rsidR="002B3160" w:rsidRPr="00A134F2">
        <w:rPr>
          <w:lang w:val="fr-CA"/>
        </w:rPr>
        <w:t>,</w:t>
      </w:r>
      <w:r w:rsidR="002B3160" w:rsidRPr="00A134F2">
        <w:rPr>
          <w:i/>
          <w:lang w:val="fr-CA"/>
        </w:rPr>
        <w:t xml:space="preserve"> </w:t>
      </w:r>
      <w:r w:rsidR="002B3160" w:rsidRPr="00A134F2">
        <w:rPr>
          <w:lang w:val="fr-CA"/>
        </w:rPr>
        <w:t>2006 ONCJ 161, 210 C.C.C. (3d) 146;</w:t>
      </w:r>
      <w:r w:rsidR="002B3160" w:rsidRPr="00A134F2">
        <w:rPr>
          <w:i/>
          <w:lang w:val="fr-CA"/>
        </w:rPr>
        <w:t xml:space="preserve"> Ontario </w:t>
      </w:r>
      <w:r w:rsidR="004B3E76" w:rsidRPr="00A134F2">
        <w:rPr>
          <w:i/>
          <w:lang w:val="fr-CA"/>
        </w:rPr>
        <w:t>c.</w:t>
      </w:r>
      <w:r w:rsidR="002B3160" w:rsidRPr="00A134F2">
        <w:rPr>
          <w:i/>
          <w:lang w:val="fr-CA"/>
        </w:rPr>
        <w:t xml:space="preserve"> C</w:t>
      </w:r>
      <w:r w:rsidR="00631499" w:rsidRPr="00A134F2">
        <w:rPr>
          <w:i/>
          <w:lang w:val="fr-CA"/>
        </w:rPr>
        <w:t>anadien Pacifique Ltée</w:t>
      </w:r>
      <w:r w:rsidR="002B3160" w:rsidRPr="00A134F2">
        <w:rPr>
          <w:lang w:val="fr-CA"/>
        </w:rPr>
        <w:t>,</w:t>
      </w:r>
      <w:r w:rsidR="002B3160" w:rsidRPr="00A134F2">
        <w:rPr>
          <w:i/>
          <w:lang w:val="fr-CA"/>
        </w:rPr>
        <w:t xml:space="preserve"> </w:t>
      </w:r>
      <w:r w:rsidR="002B3160" w:rsidRPr="00A134F2">
        <w:rPr>
          <w:lang w:val="fr-CA"/>
        </w:rPr>
        <w:t xml:space="preserve">[1995] 2 </w:t>
      </w:r>
      <w:r w:rsidR="001C3A02" w:rsidRPr="00A134F2">
        <w:rPr>
          <w:lang w:val="fr-CA"/>
        </w:rPr>
        <w:t>R.C.S.</w:t>
      </w:r>
      <w:r w:rsidR="002B3160" w:rsidRPr="00A134F2">
        <w:rPr>
          <w:lang w:val="fr-CA"/>
        </w:rPr>
        <w:t xml:space="preserve"> 1031; </w:t>
      </w:r>
      <w:r w:rsidR="002B3160" w:rsidRPr="00A134F2">
        <w:rPr>
          <w:i/>
          <w:lang w:val="fr-CA"/>
        </w:rPr>
        <w:t>Bristol</w:t>
      </w:r>
      <w:r w:rsidR="00A134F2">
        <w:rPr>
          <w:i/>
          <w:lang w:val="fr-CA"/>
        </w:rPr>
        <w:noBreakHyphen/>
      </w:r>
      <w:r w:rsidR="002B3160" w:rsidRPr="00A134F2">
        <w:rPr>
          <w:i/>
          <w:lang w:val="fr-CA"/>
        </w:rPr>
        <w:t xml:space="preserve">Myers Squibb Co. </w:t>
      </w:r>
      <w:r w:rsidR="004B3E76" w:rsidRPr="00A134F2">
        <w:rPr>
          <w:i/>
          <w:lang w:val="fr-CA"/>
        </w:rPr>
        <w:t>c.</w:t>
      </w:r>
      <w:r w:rsidR="002B3160" w:rsidRPr="00A134F2">
        <w:rPr>
          <w:i/>
          <w:lang w:val="fr-CA"/>
        </w:rPr>
        <w:t xml:space="preserve"> Canada (</w:t>
      </w:r>
      <w:r w:rsidR="001C3A02" w:rsidRPr="00A134F2">
        <w:rPr>
          <w:i/>
          <w:lang w:val="fr-CA"/>
        </w:rPr>
        <w:t>Procureur général</w:t>
      </w:r>
      <w:r w:rsidR="002B3160" w:rsidRPr="00A134F2">
        <w:rPr>
          <w:i/>
          <w:lang w:val="fr-CA"/>
        </w:rPr>
        <w:t>)</w:t>
      </w:r>
      <w:r w:rsidR="002B3160" w:rsidRPr="00A134F2">
        <w:rPr>
          <w:lang w:val="fr-CA"/>
        </w:rPr>
        <w:t>,</w:t>
      </w:r>
      <w:r w:rsidR="002B3160" w:rsidRPr="00A134F2">
        <w:rPr>
          <w:i/>
          <w:lang w:val="fr-CA"/>
        </w:rPr>
        <w:t xml:space="preserve"> </w:t>
      </w:r>
      <w:r w:rsidR="002B3160" w:rsidRPr="00A134F2">
        <w:rPr>
          <w:lang w:val="fr-CA"/>
        </w:rPr>
        <w:t xml:space="preserve">2005 </w:t>
      </w:r>
      <w:r w:rsidR="002D61EB" w:rsidRPr="00A134F2">
        <w:rPr>
          <w:lang w:val="fr-CA"/>
        </w:rPr>
        <w:t>CSC</w:t>
      </w:r>
      <w:r w:rsidR="002B3160" w:rsidRPr="00A134F2">
        <w:rPr>
          <w:lang w:val="fr-CA"/>
        </w:rPr>
        <w:t xml:space="preserve"> 26, [2005] 1 </w:t>
      </w:r>
      <w:r w:rsidR="001C3A02" w:rsidRPr="00A134F2">
        <w:rPr>
          <w:lang w:val="fr-CA"/>
        </w:rPr>
        <w:t>R.C.S.</w:t>
      </w:r>
      <w:r w:rsidR="002B3160" w:rsidRPr="00A134F2">
        <w:rPr>
          <w:lang w:val="fr-CA"/>
        </w:rPr>
        <w:t xml:space="preserve"> 533; </w:t>
      </w:r>
      <w:r w:rsidR="002B3160" w:rsidRPr="00A134F2">
        <w:rPr>
          <w:i/>
          <w:lang w:val="fr-CA"/>
        </w:rPr>
        <w:t xml:space="preserve">R. </w:t>
      </w:r>
      <w:r w:rsidR="004B3E76" w:rsidRPr="00A134F2">
        <w:rPr>
          <w:i/>
          <w:lang w:val="fr-CA"/>
        </w:rPr>
        <w:t>c.</w:t>
      </w:r>
      <w:r w:rsidR="002B3160" w:rsidRPr="00A134F2">
        <w:rPr>
          <w:i/>
          <w:lang w:val="fr-CA"/>
        </w:rPr>
        <w:t xml:space="preserve"> K.J.M.</w:t>
      </w:r>
      <w:r w:rsidR="002D61EB" w:rsidRPr="00A134F2">
        <w:rPr>
          <w:lang w:val="fr-CA"/>
        </w:rPr>
        <w:t>, 2019 CSC</w:t>
      </w:r>
      <w:r w:rsidR="002B3160" w:rsidRPr="00A134F2">
        <w:rPr>
          <w:lang w:val="fr-CA"/>
        </w:rPr>
        <w:t xml:space="preserve"> 55.</w:t>
      </w:r>
    </w:p>
    <w:p w:rsidR="004D7D95" w:rsidRPr="00A134F2" w:rsidRDefault="004D7D95" w:rsidP="009E05ED">
      <w:pPr>
        <w:pStyle w:val="SCCNormalDoubleSpacing"/>
        <w:spacing w:after="720" w:line="240" w:lineRule="auto"/>
        <w:rPr>
          <w:b/>
          <w:lang w:val="fr-CA"/>
        </w:rPr>
      </w:pPr>
      <w:r w:rsidRPr="00A134F2">
        <w:rPr>
          <w:b/>
          <w:lang w:val="fr-CA"/>
        </w:rPr>
        <w:t>Lois et règlements cités</w:t>
      </w:r>
    </w:p>
    <w:p w:rsidR="002B3160" w:rsidRPr="00A134F2" w:rsidRDefault="002B3160" w:rsidP="009E05ED">
      <w:pPr>
        <w:pStyle w:val="SCCNormalDoubleSpacing"/>
        <w:spacing w:after="240" w:line="240" w:lineRule="auto"/>
        <w:ind w:left="539" w:hanging="539"/>
        <w:rPr>
          <w:lang w:val="fr-CA"/>
        </w:rPr>
      </w:pPr>
      <w:r w:rsidRPr="00A134F2">
        <w:rPr>
          <w:i/>
          <w:lang w:val="fr-CA"/>
        </w:rPr>
        <w:t>Code</w:t>
      </w:r>
      <w:r w:rsidR="00A37FB0" w:rsidRPr="00A134F2">
        <w:rPr>
          <w:i/>
          <w:lang w:val="fr-CA"/>
        </w:rPr>
        <w:t xml:space="preserve"> criminel</w:t>
      </w:r>
      <w:r w:rsidRPr="00A134F2">
        <w:rPr>
          <w:lang w:val="fr-CA"/>
        </w:rPr>
        <w:t xml:space="preserve">, </w:t>
      </w:r>
      <w:r w:rsidR="009E05ED" w:rsidRPr="00A134F2">
        <w:rPr>
          <w:lang w:val="fr-CA"/>
        </w:rPr>
        <w:t>L.R.C. 1985, c. </w:t>
      </w:r>
      <w:r w:rsidR="00A37FB0" w:rsidRPr="00A134F2">
        <w:rPr>
          <w:lang w:val="fr-CA"/>
        </w:rPr>
        <w:t>C</w:t>
      </w:r>
      <w:r w:rsidR="00A134F2">
        <w:rPr>
          <w:lang w:val="fr-CA"/>
        </w:rPr>
        <w:noBreakHyphen/>
      </w:r>
      <w:r w:rsidR="00A37FB0" w:rsidRPr="00A134F2">
        <w:rPr>
          <w:lang w:val="fr-CA"/>
        </w:rPr>
        <w:t xml:space="preserve">46, </w:t>
      </w:r>
      <w:r w:rsidR="00A134F2">
        <w:rPr>
          <w:lang w:val="fr-CA"/>
        </w:rPr>
        <w:t>art. </w:t>
      </w:r>
      <w:r w:rsidRPr="00A134F2">
        <w:rPr>
          <w:lang w:val="fr-CA"/>
        </w:rPr>
        <w:t>469,</w:t>
      </w:r>
      <w:r w:rsidR="00914A53" w:rsidRPr="00A134F2">
        <w:rPr>
          <w:lang w:val="fr-CA"/>
        </w:rPr>
        <w:t xml:space="preserve"> partie XVI,</w:t>
      </w:r>
      <w:r w:rsidR="008F5FBE" w:rsidRPr="00A134F2">
        <w:rPr>
          <w:lang w:val="fr-CA"/>
        </w:rPr>
        <w:t xml:space="preserve"> 522</w:t>
      </w:r>
      <w:r w:rsidRPr="00A134F2">
        <w:rPr>
          <w:lang w:val="fr-CA"/>
        </w:rPr>
        <w:t>.</w:t>
      </w:r>
    </w:p>
    <w:p w:rsidR="002B3160" w:rsidRPr="00A134F2" w:rsidRDefault="00A37FB0" w:rsidP="009E05ED">
      <w:pPr>
        <w:pStyle w:val="SCCNormalDoubleSpacing"/>
        <w:spacing w:after="240" w:line="240" w:lineRule="auto"/>
        <w:ind w:left="539" w:hanging="539"/>
        <w:rPr>
          <w:lang w:val="fr-CA"/>
        </w:rPr>
      </w:pPr>
      <w:r w:rsidRPr="00A134F2">
        <w:rPr>
          <w:i/>
          <w:lang w:val="fr-CA"/>
        </w:rPr>
        <w:t>Loi d’interprétation</w:t>
      </w:r>
      <w:r w:rsidR="002B3160" w:rsidRPr="00A134F2">
        <w:rPr>
          <w:lang w:val="fr-CA"/>
        </w:rPr>
        <w:t xml:space="preserve">, </w:t>
      </w:r>
      <w:r w:rsidRPr="00A134F2">
        <w:rPr>
          <w:lang w:val="fr-CA"/>
        </w:rPr>
        <w:t>L.R</w:t>
      </w:r>
      <w:r w:rsidR="002B3160" w:rsidRPr="00A134F2">
        <w:rPr>
          <w:lang w:val="fr-CA"/>
        </w:rPr>
        <w:t>.C. 1985, c.</w:t>
      </w:r>
      <w:r w:rsidR="009E05ED" w:rsidRPr="00A134F2">
        <w:rPr>
          <w:lang w:val="fr-CA"/>
        </w:rPr>
        <w:t> </w:t>
      </w:r>
      <w:r w:rsidR="002B3160" w:rsidRPr="00A134F2">
        <w:rPr>
          <w:lang w:val="fr-CA"/>
        </w:rPr>
        <w:t>I</w:t>
      </w:r>
      <w:r w:rsidR="00A134F2">
        <w:rPr>
          <w:lang w:val="fr-CA"/>
        </w:rPr>
        <w:noBreakHyphen/>
      </w:r>
      <w:r w:rsidR="002B3160" w:rsidRPr="00A134F2">
        <w:rPr>
          <w:lang w:val="fr-CA"/>
        </w:rPr>
        <w:t>21</w:t>
      </w:r>
      <w:r w:rsidRPr="00A134F2">
        <w:rPr>
          <w:lang w:val="fr-CA"/>
        </w:rPr>
        <w:t xml:space="preserve">, </w:t>
      </w:r>
      <w:r w:rsidR="00A134F2">
        <w:rPr>
          <w:lang w:val="fr-CA"/>
        </w:rPr>
        <w:t>art. </w:t>
      </w:r>
      <w:r w:rsidR="002B3160" w:rsidRPr="00A134F2">
        <w:rPr>
          <w:lang w:val="fr-CA"/>
        </w:rPr>
        <w:t>33(2).</w:t>
      </w:r>
    </w:p>
    <w:p w:rsidR="006F4564" w:rsidRPr="00A134F2" w:rsidRDefault="006F4564" w:rsidP="009E05ED">
      <w:pPr>
        <w:pStyle w:val="SCCNormalDoubleSpacing"/>
        <w:spacing w:after="240" w:line="240" w:lineRule="auto"/>
        <w:ind w:left="539" w:hanging="539"/>
        <w:rPr>
          <w:lang w:val="fr-CA"/>
        </w:rPr>
      </w:pPr>
      <w:r w:rsidRPr="00A134F2">
        <w:rPr>
          <w:i/>
          <w:lang w:val="fr-CA"/>
        </w:rPr>
        <w:t>Loi sur le système de justice pénale pour les adolescents</w:t>
      </w:r>
      <w:r w:rsidRPr="00A134F2">
        <w:rPr>
          <w:lang w:val="fr-CA"/>
        </w:rPr>
        <w:t>, L.C. 2002, c</w:t>
      </w:r>
      <w:r w:rsidR="00914A53" w:rsidRPr="00A134F2">
        <w:rPr>
          <w:lang w:val="fr-CA"/>
        </w:rPr>
        <w:t>.</w:t>
      </w:r>
      <w:r w:rsidR="009E05ED" w:rsidRPr="00A134F2">
        <w:rPr>
          <w:lang w:val="fr-CA"/>
        </w:rPr>
        <w:t> </w:t>
      </w:r>
      <w:r w:rsidRPr="00A134F2">
        <w:rPr>
          <w:lang w:val="fr-CA"/>
        </w:rPr>
        <w:t xml:space="preserve">1, </w:t>
      </w:r>
      <w:r w:rsidR="00A134F2">
        <w:rPr>
          <w:lang w:val="fr-CA"/>
        </w:rPr>
        <w:t>art. </w:t>
      </w:r>
      <w:r w:rsidRPr="00A134F2">
        <w:rPr>
          <w:lang w:val="fr-CA"/>
        </w:rPr>
        <w:t>2 « juge du tribunal pour adolescents », « tribunal pour adolescents »</w:t>
      </w:r>
      <w:r w:rsidR="00EF642D" w:rsidRPr="00A134F2">
        <w:rPr>
          <w:lang w:val="fr-CA"/>
        </w:rPr>
        <w:t>, 3(1)(b)(iii), (v), (d)(iv)</w:t>
      </w:r>
      <w:r w:rsidRPr="00A134F2">
        <w:rPr>
          <w:lang w:val="fr-CA"/>
        </w:rPr>
        <w:t xml:space="preserve">, </w:t>
      </w:r>
      <w:r w:rsidR="008F5FBE" w:rsidRPr="00A134F2">
        <w:rPr>
          <w:lang w:val="fr-CA"/>
        </w:rPr>
        <w:t>13</w:t>
      </w:r>
      <w:r w:rsidR="00914A53" w:rsidRPr="00A134F2">
        <w:rPr>
          <w:lang w:val="fr-CA"/>
        </w:rPr>
        <w:t xml:space="preserve">, </w:t>
      </w:r>
      <w:r w:rsidR="00FF4918" w:rsidRPr="00A134F2">
        <w:rPr>
          <w:lang w:val="fr-CA"/>
        </w:rPr>
        <w:t xml:space="preserve">20(1), </w:t>
      </w:r>
      <w:r w:rsidRPr="00A134F2">
        <w:rPr>
          <w:lang w:val="fr-CA"/>
        </w:rPr>
        <w:t>25(3)(c</w:t>
      </w:r>
      <w:r w:rsidR="008F5FBE" w:rsidRPr="00A134F2">
        <w:rPr>
          <w:lang w:val="fr-CA"/>
        </w:rPr>
        <w:t>), (4), 26(9), (10), 28, 33(8),</w:t>
      </w:r>
      <w:r w:rsidRPr="00A134F2">
        <w:rPr>
          <w:lang w:val="fr-CA"/>
        </w:rPr>
        <w:t xml:space="preserve"> 67.</w:t>
      </w:r>
    </w:p>
    <w:p w:rsidR="002B3160" w:rsidRPr="00A134F2" w:rsidRDefault="002B3160" w:rsidP="009E05ED">
      <w:pPr>
        <w:pStyle w:val="SCCNormalDoubleSpacing"/>
        <w:spacing w:after="720" w:line="240" w:lineRule="auto"/>
        <w:ind w:left="540" w:hanging="540"/>
      </w:pPr>
      <w:r w:rsidRPr="00A134F2">
        <w:rPr>
          <w:i/>
        </w:rPr>
        <w:t>Provincial Court Act</w:t>
      </w:r>
      <w:r w:rsidR="009E05ED" w:rsidRPr="00A134F2">
        <w:t>, R.S.A. 2000, c. </w:t>
      </w:r>
      <w:r w:rsidR="006F4564" w:rsidRPr="00A134F2">
        <w:t>P</w:t>
      </w:r>
      <w:r w:rsidR="00A134F2">
        <w:noBreakHyphen/>
      </w:r>
      <w:r w:rsidR="006F4564" w:rsidRPr="00A134F2">
        <w:t xml:space="preserve">31, </w:t>
      </w:r>
      <w:r w:rsidR="00A134F2">
        <w:t>art. </w:t>
      </w:r>
      <w:r w:rsidRPr="00A134F2">
        <w:t>11.</w:t>
      </w:r>
    </w:p>
    <w:p w:rsidR="004D7D95" w:rsidRPr="00A134F2" w:rsidRDefault="004D7D95" w:rsidP="009E05ED">
      <w:pPr>
        <w:pStyle w:val="SCCNormalDoubleSpacing"/>
        <w:spacing w:after="720" w:line="240" w:lineRule="auto"/>
        <w:rPr>
          <w:b/>
          <w:lang w:val="en-US"/>
        </w:rPr>
      </w:pPr>
      <w:r w:rsidRPr="00A134F2">
        <w:rPr>
          <w:b/>
          <w:lang w:val="en-US"/>
        </w:rPr>
        <w:t>Doctrine et autres documents cités</w:t>
      </w:r>
    </w:p>
    <w:p w:rsidR="002B3160" w:rsidRPr="00A134F2" w:rsidRDefault="002B3160" w:rsidP="009E05ED">
      <w:pPr>
        <w:pStyle w:val="SCCNormalDoubleSpacing"/>
        <w:spacing w:after="240" w:line="240" w:lineRule="auto"/>
        <w:ind w:left="539" w:hanging="539"/>
      </w:pPr>
      <w:r w:rsidRPr="00A134F2">
        <w:rPr>
          <w:i/>
        </w:rPr>
        <w:lastRenderedPageBreak/>
        <w:t>Black’s Law Dictionary</w:t>
      </w:r>
      <w:r w:rsidRPr="00A134F2">
        <w:t>,</w:t>
      </w:r>
      <w:r w:rsidR="008F5FBE" w:rsidRPr="00A134F2">
        <w:t xml:space="preserve"> </w:t>
      </w:r>
      <w:r w:rsidRPr="00A134F2">
        <w:t>11th ed., by Bryan A. Garner</w:t>
      </w:r>
      <w:r w:rsidR="005A08BD" w:rsidRPr="00A134F2">
        <w:t>, St. Paul</w:t>
      </w:r>
      <w:r w:rsidRPr="00A134F2">
        <w:t xml:space="preserve"> </w:t>
      </w:r>
      <w:r w:rsidR="005A08BD" w:rsidRPr="00A134F2">
        <w:t>(Minn.), Thomson Reuters, 2019, « proceeding »</w:t>
      </w:r>
      <w:r w:rsidRPr="00A134F2">
        <w:t>.</w:t>
      </w:r>
    </w:p>
    <w:p w:rsidR="002B3160" w:rsidRPr="00A134F2" w:rsidRDefault="002B3160" w:rsidP="009E05ED">
      <w:pPr>
        <w:pStyle w:val="SCCNormalDoubleSpacing"/>
        <w:spacing w:after="240" w:line="240" w:lineRule="auto"/>
        <w:ind w:left="539" w:hanging="539"/>
      </w:pPr>
      <w:r w:rsidRPr="00A134F2">
        <w:rPr>
          <w:shd w:val="clear" w:color="auto" w:fill="FFFFFF"/>
        </w:rPr>
        <w:t>Davis</w:t>
      </w:r>
      <w:r w:rsidR="00A134F2">
        <w:rPr>
          <w:shd w:val="clear" w:color="auto" w:fill="FFFFFF"/>
        </w:rPr>
        <w:noBreakHyphen/>
      </w:r>
      <w:r w:rsidRPr="00A134F2">
        <w:rPr>
          <w:shd w:val="clear" w:color="auto" w:fill="FFFFFF"/>
        </w:rPr>
        <w:t>Barron, Sherri. </w:t>
      </w:r>
      <w:r w:rsidRPr="00A134F2">
        <w:rPr>
          <w:i/>
          <w:iCs/>
          <w:shd w:val="clear" w:color="auto" w:fill="FFFFFF"/>
        </w:rPr>
        <w:t>Youth and the Criminal Law in Canada</w:t>
      </w:r>
      <w:r w:rsidRPr="00A134F2">
        <w:rPr>
          <w:shd w:val="clear" w:color="auto" w:fill="FFFFFF"/>
        </w:rPr>
        <w:t>, 2nd ed.</w:t>
      </w:r>
      <w:r w:rsidR="008B47FA" w:rsidRPr="00A134F2">
        <w:rPr>
          <w:shd w:val="clear" w:color="auto" w:fill="FFFFFF"/>
        </w:rPr>
        <w:t>, Toronto,</w:t>
      </w:r>
      <w:r w:rsidRPr="00A134F2">
        <w:rPr>
          <w:shd w:val="clear" w:color="auto" w:fill="FFFFFF"/>
        </w:rPr>
        <w:t xml:space="preserve"> LexisNexis, 2015.</w:t>
      </w:r>
    </w:p>
    <w:p w:rsidR="002B3160" w:rsidRPr="00A134F2" w:rsidRDefault="002B3160" w:rsidP="009E05ED">
      <w:pPr>
        <w:pStyle w:val="SCCNormalDoubleSpacing"/>
        <w:spacing w:after="720" w:line="240" w:lineRule="auto"/>
        <w:ind w:left="540" w:hanging="540"/>
      </w:pPr>
      <w:r w:rsidRPr="00A134F2">
        <w:t>Lacombe,</w:t>
      </w:r>
      <w:r w:rsidR="009E05ED" w:rsidRPr="00A134F2">
        <w:t xml:space="preserve"> Étienne </w:t>
      </w:r>
      <w:r w:rsidRPr="00A134F2">
        <w:t xml:space="preserve">F. </w:t>
      </w:r>
      <w:r w:rsidR="008B47FA" w:rsidRPr="00A134F2">
        <w:t>« </w:t>
      </w:r>
      <w:r w:rsidRPr="00A134F2">
        <w:t>Prioritizing Children’s Best Interests in Canadian Youth Justice</w:t>
      </w:r>
      <w:r w:rsidR="00A134F2">
        <w:t> :</w:t>
      </w:r>
      <w:r w:rsidRPr="00A134F2">
        <w:t xml:space="preserve"> Article 3 of the UN </w:t>
      </w:r>
      <w:r w:rsidRPr="00A134F2">
        <w:rPr>
          <w:i/>
        </w:rPr>
        <w:t>Convention on the Rights of the Child</w:t>
      </w:r>
      <w:r w:rsidRPr="00A134F2">
        <w:t xml:space="preserve"> and Child</w:t>
      </w:r>
      <w:r w:rsidR="00A134F2">
        <w:noBreakHyphen/>
      </w:r>
      <w:r w:rsidRPr="00A134F2">
        <w:t xml:space="preserve">Friendly </w:t>
      </w:r>
      <w:r w:rsidR="008B47FA" w:rsidRPr="00A134F2">
        <w:t>Alternatives »</w:t>
      </w:r>
      <w:r w:rsidRPr="00A134F2">
        <w:t xml:space="preserve"> (2017), 34 </w:t>
      </w:r>
      <w:r w:rsidRPr="00A134F2">
        <w:rPr>
          <w:i/>
        </w:rPr>
        <w:t xml:space="preserve">Windsor Y.B. Access Just. </w:t>
      </w:r>
      <w:r w:rsidRPr="00A134F2">
        <w:t>209.</w:t>
      </w:r>
    </w:p>
    <w:p w:rsidR="004D7D95" w:rsidRPr="00A134F2" w:rsidRDefault="004D7D95" w:rsidP="009E05ED">
      <w:pPr>
        <w:pStyle w:val="SCCNormalDoubleSpacing"/>
        <w:spacing w:after="480"/>
        <w:rPr>
          <w:lang w:val="fr-CA"/>
        </w:rPr>
      </w:pPr>
      <w:r w:rsidRPr="00A134F2">
        <w:rPr>
          <w:lang w:val="en-US"/>
        </w:rPr>
        <w:tab/>
      </w:r>
      <w:r w:rsidRPr="00A134F2">
        <w:rPr>
          <w:lang w:val="fr-CA"/>
        </w:rPr>
        <w:t>POURVOI contre un</w:t>
      </w:r>
      <w:r w:rsidR="00823EA4" w:rsidRPr="00A134F2">
        <w:rPr>
          <w:lang w:val="fr-CA"/>
        </w:rPr>
        <w:t>e</w:t>
      </w:r>
      <w:r w:rsidRPr="00A134F2">
        <w:rPr>
          <w:lang w:val="fr-CA"/>
        </w:rPr>
        <w:t xml:space="preserve"> </w:t>
      </w:r>
      <w:r w:rsidR="00823EA4" w:rsidRPr="00A134F2">
        <w:rPr>
          <w:lang w:val="fr-CA"/>
        </w:rPr>
        <w:t>décision</w:t>
      </w:r>
      <w:r w:rsidRPr="00A134F2">
        <w:rPr>
          <w:lang w:val="fr-CA"/>
        </w:rPr>
        <w:t xml:space="preserve"> de la Cour du Banc de la Reine de l</w:t>
      </w:r>
      <w:r w:rsidR="001C2360" w:rsidRPr="00A134F2">
        <w:rPr>
          <w:lang w:val="fr-CA"/>
        </w:rPr>
        <w:t>’</w:t>
      </w:r>
      <w:r w:rsidRPr="00A134F2">
        <w:rPr>
          <w:lang w:val="fr-CA"/>
        </w:rPr>
        <w:t>Alberta</w:t>
      </w:r>
      <w:r w:rsidR="00823EA4" w:rsidRPr="00A134F2">
        <w:rPr>
          <w:lang w:val="fr-CA"/>
        </w:rPr>
        <w:t xml:space="preserve"> (le juge Renke), </w:t>
      </w:r>
      <w:r w:rsidR="009E05ED" w:rsidRPr="00A134F2">
        <w:rPr>
          <w:lang w:val="fr-CA"/>
        </w:rPr>
        <w:t>190794529U1, 9 </w:t>
      </w:r>
      <w:r w:rsidR="00231D09" w:rsidRPr="00A134F2">
        <w:rPr>
          <w:lang w:val="fr-CA"/>
        </w:rPr>
        <w:t>o</w:t>
      </w:r>
      <w:r w:rsidR="00093DC7" w:rsidRPr="00A134F2">
        <w:rPr>
          <w:lang w:val="fr-CA"/>
        </w:rPr>
        <w:t>ctob</w:t>
      </w:r>
      <w:r w:rsidR="00231D09" w:rsidRPr="00A134F2">
        <w:rPr>
          <w:lang w:val="fr-CA"/>
        </w:rPr>
        <w:t>r</w:t>
      </w:r>
      <w:r w:rsidR="00093DC7" w:rsidRPr="00A134F2">
        <w:rPr>
          <w:lang w:val="fr-CA"/>
        </w:rPr>
        <w:t>e</w:t>
      </w:r>
      <w:r w:rsidR="00231D09" w:rsidRPr="00A134F2">
        <w:rPr>
          <w:lang w:val="fr-CA"/>
        </w:rPr>
        <w:t xml:space="preserve"> 2019, </w:t>
      </w:r>
      <w:r w:rsidR="001F04AA" w:rsidRPr="00A134F2">
        <w:rPr>
          <w:lang w:val="fr-CA"/>
        </w:rPr>
        <w:t xml:space="preserve">qui a jugé qu’un juge de la cour supérieure n’a pas compétence pour entendre et trancher la demande de </w:t>
      </w:r>
      <w:r w:rsidR="00231D09" w:rsidRPr="00A134F2">
        <w:rPr>
          <w:lang w:val="fr-CA"/>
        </w:rPr>
        <w:t>mise en liberté provisoire</w:t>
      </w:r>
      <w:r w:rsidR="001F04AA" w:rsidRPr="00A134F2">
        <w:rPr>
          <w:lang w:val="fr-CA"/>
        </w:rPr>
        <w:t xml:space="preserve"> présentée par un adolescent</w:t>
      </w:r>
      <w:r w:rsidR="00231D09" w:rsidRPr="00A134F2">
        <w:rPr>
          <w:lang w:val="fr-CA"/>
        </w:rPr>
        <w:t xml:space="preserve">. Pourvoi </w:t>
      </w:r>
      <w:r w:rsidR="001F04AA" w:rsidRPr="00A134F2">
        <w:rPr>
          <w:lang w:val="fr-CA"/>
        </w:rPr>
        <w:t>accueilli</w:t>
      </w:r>
      <w:r w:rsidR="00231D09" w:rsidRPr="00A134F2">
        <w:rPr>
          <w:lang w:val="fr-CA"/>
        </w:rPr>
        <w:t>.</w:t>
      </w:r>
    </w:p>
    <w:p w:rsidR="0088374C" w:rsidRPr="00A134F2" w:rsidRDefault="003D64B6" w:rsidP="009E05ED">
      <w:pPr>
        <w:pStyle w:val="SCCNormalDoubleSpacing"/>
        <w:spacing w:after="480"/>
        <w:rPr>
          <w:lang w:val="fr-CA"/>
        </w:rPr>
      </w:pPr>
      <w:r w:rsidRPr="00A134F2">
        <w:rPr>
          <w:rStyle w:val="SCCCounselNameChar"/>
          <w:lang w:val="fr-CA"/>
        </w:rPr>
        <w:tab/>
        <w:t>Graham Johnson</w:t>
      </w:r>
      <w:r w:rsidRPr="00A134F2">
        <w:rPr>
          <w:rStyle w:val="SCCCounselPartyRoleChar"/>
          <w:lang w:val="fr-CA"/>
        </w:rPr>
        <w:t>, pour l</w:t>
      </w:r>
      <w:r w:rsidR="001C2360" w:rsidRPr="00A134F2">
        <w:rPr>
          <w:rStyle w:val="SCCCounselPartyRoleChar"/>
          <w:lang w:val="fr-CA"/>
        </w:rPr>
        <w:t>’</w:t>
      </w:r>
      <w:r w:rsidR="000B00A0" w:rsidRPr="00A134F2">
        <w:rPr>
          <w:rStyle w:val="SCCCounselPartyRoleChar"/>
          <w:lang w:val="fr-CA"/>
        </w:rPr>
        <w:t>appelant</w:t>
      </w:r>
      <w:r w:rsidRPr="00A134F2">
        <w:rPr>
          <w:rStyle w:val="SCCCounselPartyRoleChar"/>
          <w:lang w:val="fr-CA"/>
        </w:rPr>
        <w:t>.</w:t>
      </w:r>
    </w:p>
    <w:p w:rsidR="0088374C" w:rsidRPr="00A134F2" w:rsidRDefault="009E05ED">
      <w:pPr>
        <w:pStyle w:val="SCCNormalDoubleSpacing"/>
        <w:rPr>
          <w:lang w:val="fr-CA"/>
        </w:rPr>
      </w:pPr>
      <w:r w:rsidRPr="00A134F2">
        <w:rPr>
          <w:rStyle w:val="SCCCounselNameChar"/>
          <w:lang w:val="fr-CA"/>
        </w:rPr>
        <w:tab/>
        <w:t>Matthew </w:t>
      </w:r>
      <w:r w:rsidR="003D64B6" w:rsidRPr="00A134F2">
        <w:rPr>
          <w:rStyle w:val="SCCCounselNameChar"/>
          <w:lang w:val="fr-CA"/>
        </w:rPr>
        <w:t>W. Griener</w:t>
      </w:r>
      <w:r w:rsidR="003D64B6" w:rsidRPr="00A134F2">
        <w:rPr>
          <w:rStyle w:val="SCCCounselPartyRoleChar"/>
          <w:lang w:val="fr-CA"/>
        </w:rPr>
        <w:t>, pour l</w:t>
      </w:r>
      <w:r w:rsidR="001C2360" w:rsidRPr="00A134F2">
        <w:rPr>
          <w:rStyle w:val="SCCCounselPartyRoleChar"/>
          <w:lang w:val="fr-CA"/>
        </w:rPr>
        <w:t>’</w:t>
      </w:r>
      <w:r w:rsidR="000B00A0" w:rsidRPr="00A134F2">
        <w:rPr>
          <w:rStyle w:val="SCCCounselPartyRoleChar"/>
          <w:lang w:val="fr-CA"/>
        </w:rPr>
        <w:t>intimée</w:t>
      </w:r>
      <w:r w:rsidR="003D64B6" w:rsidRPr="00A134F2">
        <w:rPr>
          <w:rStyle w:val="SCCCounselPartyRoleChar"/>
          <w:lang w:val="fr-CA"/>
        </w:rPr>
        <w:t>.</w:t>
      </w:r>
    </w:p>
    <w:p w:rsidR="00764E41" w:rsidRDefault="00764E41" w:rsidP="008E3C0D">
      <w:pPr>
        <w:spacing w:after="480"/>
        <w:rPr>
          <w:lang w:val="fr-CA"/>
        </w:rPr>
      </w:pPr>
    </w:p>
    <w:p w:rsidR="008E3C0D" w:rsidRDefault="001C55DC" w:rsidP="001C55DC">
      <w:pPr>
        <w:pStyle w:val="ParaNoNdepar-AltN"/>
        <w:numPr>
          <w:ilvl w:val="0"/>
          <w:numId w:val="0"/>
        </w:numPr>
        <w:tabs>
          <w:tab w:val="left" w:pos="1166"/>
        </w:tabs>
        <w:spacing w:before="0"/>
        <w:rPr>
          <w:b/>
          <w:lang w:val="fr-CA"/>
        </w:rPr>
      </w:pPr>
      <w:r>
        <w:rPr>
          <w:lang w:val="fr-CA"/>
        </w:rPr>
        <w:tab/>
      </w:r>
      <w:r w:rsidR="008E3C0D">
        <w:rPr>
          <w:lang w:val="fr-CA"/>
        </w:rPr>
        <w:t xml:space="preserve">Version française du </w:t>
      </w:r>
      <w:r w:rsidR="008E3C0D" w:rsidRPr="00397FF7">
        <w:rPr>
          <w:lang w:val="fr-CA"/>
        </w:rPr>
        <w:t xml:space="preserve">jugement </w:t>
      </w:r>
      <w:r w:rsidR="008E3C0D">
        <w:rPr>
          <w:lang w:val="fr-CA"/>
        </w:rPr>
        <w:t xml:space="preserve">de la Cour </w:t>
      </w:r>
      <w:r w:rsidR="008E3C0D" w:rsidRPr="00397FF7">
        <w:rPr>
          <w:lang w:val="fr-CA"/>
        </w:rPr>
        <w:t>rendu par</w:t>
      </w:r>
      <w:r w:rsidR="008E3C0D" w:rsidRPr="00A05D86">
        <w:rPr>
          <w:b/>
          <w:lang w:val="fr-CA"/>
        </w:rPr>
        <w:t xml:space="preserve"> </w:t>
      </w:r>
    </w:p>
    <w:p w:rsidR="008E3C0D" w:rsidRPr="00DC4B43" w:rsidRDefault="008E3C0D" w:rsidP="008E3C0D">
      <w:pPr>
        <w:pStyle w:val="JudgeJuge"/>
        <w:spacing w:before="240"/>
      </w:pPr>
      <w:r w:rsidRPr="00DC4B43">
        <w:rPr>
          <w:lang w:val="fr-CA"/>
        </w:rPr>
        <w:tab/>
        <w:t xml:space="preserve">Le juge </w:t>
      </w:r>
      <w:r w:rsidRPr="00DC4B43">
        <w:t xml:space="preserve">Brown — </w:t>
      </w:r>
    </w:p>
    <w:p w:rsidR="008E3C0D" w:rsidRPr="00DC4B43" w:rsidRDefault="008E3C0D" w:rsidP="008E3C0D">
      <w:pPr>
        <w:pStyle w:val="Title1LevelTitre1Niveau-AltL"/>
        <w:spacing w:before="0"/>
        <w:rPr>
          <w:rFonts w:cs="Times New Roman"/>
        </w:rPr>
      </w:pPr>
      <w:r w:rsidRPr="00DC4B43">
        <w:rPr>
          <w:rFonts w:cs="Times New Roman"/>
        </w:rPr>
        <w:t>Aperçu</w:t>
      </w:r>
    </w:p>
    <w:p w:rsidR="008E3C0D" w:rsidRPr="00DC4B43" w:rsidRDefault="008E3C0D" w:rsidP="008E3C0D">
      <w:pPr>
        <w:pStyle w:val="ParaNoNdepar-AltN"/>
        <w:spacing w:before="0"/>
        <w:rPr>
          <w:rFonts w:cs="Times New Roman"/>
          <w:lang w:val="fr-CA"/>
        </w:rPr>
      </w:pPr>
      <w:r w:rsidRPr="00DC4B43">
        <w:rPr>
          <w:rFonts w:cs="Times New Roman"/>
          <w:lang w:val="fr-CA"/>
        </w:rPr>
        <w:t>La question précise dont nous sommes saisis est la suivante</w:t>
      </w:r>
      <w:r>
        <w:rPr>
          <w:rFonts w:cs="Times New Roman"/>
          <w:lang w:val="fr-CA"/>
        </w:rPr>
        <w:t> :</w:t>
      </w:r>
      <w:r w:rsidRPr="00DC4B43">
        <w:rPr>
          <w:rFonts w:cs="Times New Roman"/>
          <w:lang w:val="fr-CA"/>
        </w:rPr>
        <w:t xml:space="preserve"> le juge d’une cour supérieure de juridiction criminelle a</w:t>
      </w:r>
      <w:r>
        <w:rPr>
          <w:rFonts w:cs="Times New Roman"/>
          <w:lang w:val="fr-CA"/>
        </w:rPr>
        <w:noBreakHyphen/>
      </w:r>
      <w:r w:rsidRPr="00DC4B43">
        <w:rPr>
          <w:rFonts w:cs="Times New Roman"/>
          <w:lang w:val="fr-CA"/>
        </w:rPr>
        <w:t>t</w:t>
      </w:r>
      <w:r>
        <w:rPr>
          <w:rFonts w:cs="Times New Roman"/>
          <w:lang w:val="fr-CA"/>
        </w:rPr>
        <w:noBreakHyphen/>
      </w:r>
      <w:r w:rsidRPr="00DC4B43">
        <w:rPr>
          <w:rFonts w:cs="Times New Roman"/>
          <w:lang w:val="fr-CA"/>
        </w:rPr>
        <w:t xml:space="preserve">il compétence pour entendre et trancher la demande de mise en liberté provisoire d’un adolescent accusé d’une infraction </w:t>
      </w:r>
      <w:r w:rsidRPr="00DC4B43">
        <w:rPr>
          <w:rFonts w:cs="Times New Roman"/>
          <w:lang w:val="fr-CA"/>
        </w:rPr>
        <w:lastRenderedPageBreak/>
        <w:t>énumérée à l’</w:t>
      </w:r>
      <w:r>
        <w:rPr>
          <w:rFonts w:cs="Times New Roman"/>
          <w:lang w:val="fr-CA"/>
        </w:rPr>
        <w:t>art. </w:t>
      </w:r>
      <w:r w:rsidRPr="00DC4B43">
        <w:rPr>
          <w:rFonts w:cs="Times New Roman"/>
          <w:lang w:val="fr-CA"/>
        </w:rPr>
        <w:t xml:space="preserve">469 du </w:t>
      </w:r>
      <w:r w:rsidRPr="00DC4B43">
        <w:rPr>
          <w:rFonts w:cs="Times New Roman"/>
          <w:i/>
          <w:lang w:val="fr-CA"/>
        </w:rPr>
        <w:t>Code criminel</w:t>
      </w:r>
      <w:r w:rsidRPr="00DC4B43">
        <w:rPr>
          <w:rFonts w:cs="Times New Roman"/>
          <w:lang w:val="fr-CA"/>
        </w:rPr>
        <w:t>, L.R.C. 1985, c. C</w:t>
      </w:r>
      <w:r>
        <w:rPr>
          <w:rFonts w:cs="Times New Roman"/>
          <w:lang w:val="fr-CA"/>
        </w:rPr>
        <w:noBreakHyphen/>
      </w:r>
      <w:r w:rsidRPr="00DC4B43">
        <w:rPr>
          <w:rFonts w:cs="Times New Roman"/>
          <w:lang w:val="fr-CA"/>
        </w:rPr>
        <w:t>46? Si oui, (1) dans quelles circonstances? et (2) cette compétence est</w:t>
      </w:r>
      <w:r>
        <w:rPr>
          <w:rFonts w:cs="Times New Roman"/>
          <w:lang w:val="fr-CA"/>
        </w:rPr>
        <w:noBreakHyphen/>
      </w:r>
      <w:r w:rsidRPr="00DC4B43">
        <w:rPr>
          <w:rFonts w:cs="Times New Roman"/>
          <w:lang w:val="fr-CA"/>
        </w:rPr>
        <w:t>elle exclusive, ou est</w:t>
      </w:r>
      <w:r>
        <w:rPr>
          <w:rFonts w:cs="Times New Roman"/>
          <w:lang w:val="fr-CA"/>
        </w:rPr>
        <w:noBreakHyphen/>
      </w:r>
      <w:r w:rsidRPr="00DC4B43">
        <w:rPr>
          <w:rFonts w:cs="Times New Roman"/>
          <w:lang w:val="fr-CA"/>
        </w:rPr>
        <w:t>elle détenue concurremment avec les juges du tribunal pour adolescents désigné pour la province?</w:t>
      </w:r>
    </w:p>
    <w:p w:rsidR="008E3C0D" w:rsidRPr="00DC4B43" w:rsidRDefault="008E3C0D" w:rsidP="008E3C0D">
      <w:pPr>
        <w:pStyle w:val="ParaNoNdepar-AltN"/>
        <w:spacing w:before="0"/>
        <w:rPr>
          <w:rFonts w:cs="Times New Roman"/>
          <w:lang w:val="fr-CA"/>
        </w:rPr>
      </w:pPr>
      <w:r w:rsidRPr="00DC4B43">
        <w:rPr>
          <w:rFonts w:cs="Times New Roman"/>
          <w:lang w:val="fr-CA"/>
        </w:rPr>
        <w:t>Le présent pourvoi est interjeté par T.J.M., un adolescent inculpé d’une infraction énumérée à l’</w:t>
      </w:r>
      <w:r>
        <w:rPr>
          <w:rFonts w:cs="Times New Roman"/>
          <w:lang w:val="fr-CA"/>
        </w:rPr>
        <w:t>art. </w:t>
      </w:r>
      <w:r w:rsidRPr="00DC4B43">
        <w:rPr>
          <w:rFonts w:cs="Times New Roman"/>
          <w:lang w:val="fr-CA"/>
        </w:rPr>
        <w:t xml:space="preserve">469 du </w:t>
      </w:r>
      <w:r w:rsidRPr="00DC4B43">
        <w:rPr>
          <w:rFonts w:cs="Times New Roman"/>
          <w:i/>
          <w:lang w:val="fr-CA"/>
        </w:rPr>
        <w:t>Code criminel</w:t>
      </w:r>
      <w:r w:rsidRPr="00DC4B43">
        <w:rPr>
          <w:rFonts w:cs="Times New Roman"/>
          <w:lang w:val="fr-CA"/>
        </w:rPr>
        <w:t xml:space="preserve">. La Couronne a donné avis de son intention de demander l’assujettissement à la peine applicable aux adultes pour meurtre au deuxième degré, ce qui permet à T.J.M. de choisir le mode de procès. Il a choisi d’être jugé par un juge de la cour supérieure sans jury, demandé la tenue d’une enquête préliminaire, et sollicité sa mise en liberté provisoire au juge de première instance, qui siège à la Cour du Banc de la Reine de l’Alberta. Le juge de première instance a statué qu’il n’avait pas compétence pour accorder une mise en liberté provisoire à un adolescent, concluant que le Parlement avait conféré une compétence exclusive au tribunal pour adolescents désigné pour la province </w:t>
      </w:r>
      <w:r w:rsidRPr="00DC4B43">
        <w:rPr>
          <w:rFonts w:cs="Times New Roman"/>
        </w:rPr>
        <w:t>⸺</w:t>
      </w:r>
      <w:r w:rsidRPr="00DC4B43">
        <w:rPr>
          <w:rFonts w:cs="Times New Roman"/>
          <w:lang w:val="fr-CA"/>
        </w:rPr>
        <w:t xml:space="preserve"> en l’occurrence la Cour provinciale de l’Alberta (</w:t>
      </w:r>
      <w:r w:rsidRPr="00DC4B43">
        <w:rPr>
          <w:rFonts w:cs="Times New Roman"/>
          <w:i/>
          <w:lang w:val="fr-CA"/>
        </w:rPr>
        <w:t>Provincial Court Act</w:t>
      </w:r>
      <w:r w:rsidRPr="00DC4B43">
        <w:rPr>
          <w:rFonts w:cs="Times New Roman"/>
          <w:lang w:val="fr-CA"/>
        </w:rPr>
        <w:t>, R.S.A. 2000, c. P</w:t>
      </w:r>
      <w:r>
        <w:rPr>
          <w:rFonts w:cs="Times New Roman"/>
          <w:lang w:val="fr-CA"/>
        </w:rPr>
        <w:noBreakHyphen/>
      </w:r>
      <w:r w:rsidRPr="00DC4B43">
        <w:rPr>
          <w:rFonts w:cs="Times New Roman"/>
          <w:lang w:val="fr-CA"/>
        </w:rPr>
        <w:t xml:space="preserve">31, </w:t>
      </w:r>
      <w:r>
        <w:rPr>
          <w:rFonts w:cs="Times New Roman"/>
          <w:lang w:val="fr-CA"/>
        </w:rPr>
        <w:t>art. </w:t>
      </w:r>
      <w:r w:rsidRPr="00DC4B43">
        <w:rPr>
          <w:rFonts w:cs="Times New Roman"/>
          <w:lang w:val="fr-CA"/>
        </w:rPr>
        <w:t>11).</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Après examen des dispositions pertinentes de la </w:t>
      </w:r>
      <w:r w:rsidRPr="00DC4B43">
        <w:rPr>
          <w:rFonts w:cs="Times New Roman"/>
          <w:i/>
          <w:lang w:val="fr-CA"/>
        </w:rPr>
        <w:t>Loi</w:t>
      </w:r>
      <w:r w:rsidRPr="00DC4B43">
        <w:rPr>
          <w:rFonts w:cs="Times New Roman"/>
          <w:lang w:val="fr-CA"/>
        </w:rPr>
        <w:t xml:space="preserve"> </w:t>
      </w:r>
      <w:r w:rsidRPr="00DC4B43">
        <w:rPr>
          <w:rFonts w:cs="Times New Roman"/>
          <w:i/>
          <w:lang w:val="fr-CA"/>
        </w:rPr>
        <w:t>sur le système de justice pénale pour les adolescents</w:t>
      </w:r>
      <w:r w:rsidRPr="00DC4B43">
        <w:rPr>
          <w:rFonts w:cs="Times New Roman"/>
          <w:lang w:val="fr-CA"/>
        </w:rPr>
        <w:t>, L.C. 2002, c. 1 (« </w:t>
      </w:r>
      <w:r w:rsidRPr="00DC4B43">
        <w:rPr>
          <w:rFonts w:cs="Times New Roman"/>
          <w:i/>
          <w:lang w:val="fr-CA"/>
        </w:rPr>
        <w:t>LSJPA </w:t>
      </w:r>
      <w:r w:rsidRPr="00DC4B43">
        <w:rPr>
          <w:rFonts w:cs="Times New Roman"/>
          <w:lang w:val="fr-CA"/>
        </w:rPr>
        <w:t xml:space="preserve">»), et du </w:t>
      </w:r>
      <w:r w:rsidRPr="00DC4B43">
        <w:rPr>
          <w:rFonts w:cs="Times New Roman"/>
          <w:i/>
          <w:lang w:val="fr-CA"/>
        </w:rPr>
        <w:t>Code criminel</w:t>
      </w:r>
      <w:r w:rsidRPr="00DC4B43">
        <w:rPr>
          <w:rFonts w:cs="Times New Roman"/>
          <w:lang w:val="fr-CA"/>
        </w:rPr>
        <w:t>, de même que pour les motifs qui suivent, je tire respectueusement la conclusion contraire</w:t>
      </w:r>
      <w:r>
        <w:rPr>
          <w:rFonts w:cs="Times New Roman"/>
          <w:lang w:val="fr-CA"/>
        </w:rPr>
        <w:t> :</w:t>
      </w:r>
      <w:r w:rsidRPr="00DC4B43">
        <w:rPr>
          <w:rFonts w:cs="Times New Roman"/>
          <w:lang w:val="fr-CA"/>
        </w:rPr>
        <w:t xml:space="preserve"> le juge d’une cour supérieure a compétence pour entendre et trancher une demande de mise en liberté provisoire présentée par un adolescent inculpé d’une infraction énumérée à l’</w:t>
      </w:r>
      <w:r>
        <w:rPr>
          <w:rFonts w:cs="Times New Roman"/>
          <w:lang w:val="fr-CA"/>
        </w:rPr>
        <w:t>art. </w:t>
      </w:r>
      <w:r w:rsidRPr="00DC4B43">
        <w:rPr>
          <w:rFonts w:cs="Times New Roman"/>
          <w:lang w:val="fr-CA"/>
        </w:rPr>
        <w:t xml:space="preserve">469 du </w:t>
      </w:r>
      <w:r w:rsidRPr="00DC4B43">
        <w:rPr>
          <w:rFonts w:cs="Times New Roman"/>
          <w:i/>
          <w:lang w:val="fr-CA"/>
        </w:rPr>
        <w:t>Code criminel</w:t>
      </w:r>
      <w:r w:rsidRPr="00DC4B43">
        <w:rPr>
          <w:rFonts w:cs="Times New Roman"/>
          <w:lang w:val="fr-CA"/>
        </w:rPr>
        <w:t xml:space="preserve">. De plus, cette compétence est détenue concurremment avec les juges du tribunal pour adolescents désigné pour la </w:t>
      </w:r>
      <w:r w:rsidRPr="00DC4B43">
        <w:rPr>
          <w:rFonts w:cs="Times New Roman"/>
          <w:lang w:val="fr-CA"/>
        </w:rPr>
        <w:lastRenderedPageBreak/>
        <w:t>province. Je suis par conséquent d’avis d’accueillir le pourvoi, mais de ne rendre aucune autre ordonnance. Tant la Couronne que l’appelant, T.J.M., conviennent que le présent pourvoi est théorique, la Couronne ayant inscrit l’arrêt des procédures, mais ils affirment qu’il est loisible à notre Cour d’exercer son pouvoir discrétionnaire pour se prononcer sur le bien</w:t>
      </w:r>
      <w:r>
        <w:rPr>
          <w:rFonts w:cs="Times New Roman"/>
          <w:lang w:val="fr-CA"/>
        </w:rPr>
        <w:noBreakHyphen/>
      </w:r>
      <w:r w:rsidRPr="00DC4B43">
        <w:rPr>
          <w:rFonts w:cs="Times New Roman"/>
          <w:lang w:val="fr-CA"/>
        </w:rPr>
        <w:t xml:space="preserve">fondé du pourvoi en conformité avec l’arrêt </w:t>
      </w:r>
      <w:r w:rsidRPr="00DC4B43">
        <w:rPr>
          <w:rFonts w:cs="Times New Roman"/>
          <w:i/>
          <w:lang w:val="fr-CA"/>
        </w:rPr>
        <w:t>Borowski c. Canada (Procureur général)</w:t>
      </w:r>
      <w:r w:rsidRPr="00DC4B43">
        <w:rPr>
          <w:rFonts w:cs="Times New Roman"/>
          <w:lang w:val="fr-CA"/>
        </w:rPr>
        <w:t xml:space="preserve">, [1989] 1 R.C.S. 342, </w:t>
      </w:r>
      <w:r>
        <w:rPr>
          <w:rFonts w:cs="Times New Roman"/>
          <w:lang w:val="fr-CA"/>
        </w:rPr>
        <w:t>p. </w:t>
      </w:r>
      <w:r w:rsidRPr="00DC4B43">
        <w:rPr>
          <w:rFonts w:cs="Times New Roman"/>
          <w:lang w:val="fr-CA"/>
        </w:rPr>
        <w:t>358</w:t>
      </w:r>
      <w:r>
        <w:rPr>
          <w:rFonts w:cs="Times New Roman"/>
          <w:lang w:val="fr-CA"/>
        </w:rPr>
        <w:noBreakHyphen/>
      </w:r>
      <w:r w:rsidRPr="00DC4B43">
        <w:rPr>
          <w:rFonts w:cs="Times New Roman"/>
          <w:lang w:val="fr-CA"/>
        </w:rPr>
        <w:t>363. Je partage leur avis.</w:t>
      </w:r>
    </w:p>
    <w:p w:rsidR="008E3C0D" w:rsidRPr="00DC4B43" w:rsidRDefault="008E3C0D" w:rsidP="008E3C0D">
      <w:pPr>
        <w:pStyle w:val="Title1LevelTitre1Niveau-AltL"/>
        <w:spacing w:before="0"/>
        <w:rPr>
          <w:rFonts w:cs="Times New Roman"/>
        </w:rPr>
      </w:pPr>
      <w:r w:rsidRPr="00DC4B43">
        <w:rPr>
          <w:rFonts w:cs="Times New Roman"/>
        </w:rPr>
        <w:t>Analyse</w:t>
      </w:r>
    </w:p>
    <w:p w:rsidR="008E3C0D" w:rsidRPr="00DC4B43" w:rsidRDefault="008E3C0D" w:rsidP="008E3C0D">
      <w:pPr>
        <w:pStyle w:val="Title2LevelTitre2Niveau"/>
        <w:spacing w:before="0"/>
        <w:rPr>
          <w:rFonts w:cs="Times New Roman"/>
          <w:lang w:val="fr-CA"/>
        </w:rPr>
      </w:pPr>
      <w:r w:rsidRPr="00DC4B43">
        <w:rPr>
          <w:rFonts w:cs="Times New Roman"/>
          <w:lang w:val="fr-CA"/>
        </w:rPr>
        <w:t>Le juge du tribunal pour adolescents</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Le paragraphe 33(8) de la </w:t>
      </w:r>
      <w:r w:rsidRPr="00DC4B43">
        <w:rPr>
          <w:rFonts w:cs="Times New Roman"/>
          <w:i/>
          <w:lang w:val="fr-CA"/>
        </w:rPr>
        <w:t xml:space="preserve">LSJPA </w:t>
      </w:r>
      <w:r w:rsidRPr="00DC4B43">
        <w:rPr>
          <w:rFonts w:cs="Times New Roman"/>
          <w:lang w:val="fr-CA"/>
        </w:rPr>
        <w:t xml:space="preserve">prévoit que « [s]eul </w:t>
      </w:r>
      <w:r w:rsidRPr="00DC4B43">
        <w:rPr>
          <w:rFonts w:cs="Times New Roman"/>
          <w:u w:val="single"/>
          <w:lang w:val="fr-CA"/>
        </w:rPr>
        <w:t>un juge du tribunal pour adolescents</w:t>
      </w:r>
      <w:r w:rsidRPr="00DC4B43">
        <w:rPr>
          <w:rFonts w:cs="Times New Roman"/>
          <w:lang w:val="fr-CA"/>
        </w:rPr>
        <w:t>, à l’exclusion de tout autre tribunal, juge ou juge de paix », peut ordonner la mise en liberté d’un adolescent inculpé d’une infraction mentionnée à l’</w:t>
      </w:r>
      <w:r>
        <w:rPr>
          <w:rFonts w:cs="Times New Roman"/>
          <w:lang w:val="fr-CA"/>
        </w:rPr>
        <w:t>art. </w:t>
      </w:r>
      <w:r w:rsidRPr="00DC4B43">
        <w:rPr>
          <w:rFonts w:cs="Times New Roman"/>
          <w:lang w:val="fr-CA"/>
        </w:rPr>
        <w:t xml:space="preserve">522 du </w:t>
      </w:r>
      <w:r w:rsidRPr="00DC4B43">
        <w:rPr>
          <w:rFonts w:cs="Times New Roman"/>
          <w:i/>
          <w:lang w:val="fr-CA"/>
        </w:rPr>
        <w:t>Code criminel</w:t>
      </w:r>
      <w:r w:rsidRPr="00DC4B43">
        <w:rPr>
          <w:rFonts w:cs="Times New Roman"/>
          <w:lang w:val="fr-CA"/>
        </w:rPr>
        <w:t>. Les infractions mentionnées à l’</w:t>
      </w:r>
      <w:r>
        <w:rPr>
          <w:rFonts w:cs="Times New Roman"/>
          <w:lang w:val="fr-CA"/>
        </w:rPr>
        <w:t>art. </w:t>
      </w:r>
      <w:r w:rsidRPr="00DC4B43">
        <w:rPr>
          <w:rFonts w:cs="Times New Roman"/>
          <w:lang w:val="fr-CA"/>
        </w:rPr>
        <w:t>469 sont incorporées par renvoi dans l’</w:t>
      </w:r>
      <w:r>
        <w:rPr>
          <w:rFonts w:cs="Times New Roman"/>
          <w:lang w:val="fr-CA"/>
        </w:rPr>
        <w:t>art. </w:t>
      </w:r>
      <w:r w:rsidRPr="00DC4B43">
        <w:rPr>
          <w:rFonts w:cs="Times New Roman"/>
          <w:lang w:val="fr-CA"/>
        </w:rPr>
        <w:t>522. La question de savoir qui est « un juge du tribunal pour adolescents » est alors déterminante pour statuer sur le présent pourvoi. Celui</w:t>
      </w:r>
      <w:r>
        <w:rPr>
          <w:rFonts w:cs="Times New Roman"/>
          <w:lang w:val="fr-CA"/>
        </w:rPr>
        <w:noBreakHyphen/>
      </w:r>
      <w:r w:rsidRPr="00DC4B43">
        <w:rPr>
          <w:rFonts w:cs="Times New Roman"/>
          <w:lang w:val="fr-CA"/>
        </w:rPr>
        <w:t xml:space="preserve">ci repose donc sur la juste interprétation de certaines dispositions de la </w:t>
      </w:r>
      <w:r w:rsidRPr="00DC4B43">
        <w:rPr>
          <w:rFonts w:cs="Times New Roman"/>
          <w:i/>
          <w:lang w:val="fr-CA"/>
        </w:rPr>
        <w:t>LSJPA</w:t>
      </w:r>
      <w:r w:rsidRPr="00DC4B43">
        <w:rPr>
          <w:rFonts w:cs="Times New Roman"/>
          <w:lang w:val="fr-CA"/>
        </w:rPr>
        <w:t xml:space="preserve"> qui touchent à cette question.</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L’article 2 de la </w:t>
      </w:r>
      <w:r w:rsidRPr="00DC4B43">
        <w:rPr>
          <w:rFonts w:cs="Times New Roman"/>
          <w:i/>
          <w:lang w:val="fr-CA"/>
        </w:rPr>
        <w:t>LSJPA</w:t>
      </w:r>
      <w:r w:rsidRPr="00DC4B43">
        <w:rPr>
          <w:rFonts w:cs="Times New Roman"/>
          <w:lang w:val="fr-CA"/>
        </w:rPr>
        <w:t xml:space="preserve"> définit le « tribunal pour adolescents » et le « juge du tribunal pour adolescents », respectivement, comme le « tribunal visé à l’article 13 » et « [t]out juge du tribunal pour adolescents visé à l’article 13 ».</w:t>
      </w:r>
    </w:p>
    <w:p w:rsidR="008E3C0D" w:rsidRPr="00DC4B43" w:rsidRDefault="008E3C0D" w:rsidP="008E3C0D">
      <w:pPr>
        <w:pStyle w:val="ParaNoNdepar-AltN"/>
        <w:spacing w:before="0"/>
        <w:rPr>
          <w:rFonts w:cs="Times New Roman"/>
          <w:lang w:val="fr-CA"/>
        </w:rPr>
      </w:pPr>
      <w:r w:rsidRPr="00DC4B43">
        <w:rPr>
          <w:rFonts w:cs="Times New Roman"/>
          <w:lang w:val="fr-CA"/>
        </w:rPr>
        <w:lastRenderedPageBreak/>
        <w:t>Voici les paragraphes pertinents de l’article 13</w:t>
      </w:r>
      <w:r>
        <w:rPr>
          <w:rFonts w:cs="Times New Roman"/>
          <w:lang w:val="fr-CA"/>
        </w:rPr>
        <w:t> :</w:t>
      </w:r>
    </w:p>
    <w:p w:rsidR="008E3C0D" w:rsidRPr="00DC4B43" w:rsidRDefault="008E3C0D" w:rsidP="008E3C0D">
      <w:pPr>
        <w:pStyle w:val="Citation-AltC"/>
        <w:ind w:hanging="356"/>
        <w:rPr>
          <w:b/>
          <w:lang w:val="fr-CA"/>
        </w:rPr>
      </w:pPr>
      <w:r w:rsidRPr="00DC4B43">
        <w:rPr>
          <w:b/>
          <w:lang w:val="fr-CA"/>
        </w:rPr>
        <w:tab/>
        <w:t>Tribunal pour adolescents</w:t>
      </w:r>
    </w:p>
    <w:p w:rsidR="008E3C0D" w:rsidRPr="00DC4B43" w:rsidRDefault="008E3C0D" w:rsidP="008E3C0D">
      <w:pPr>
        <w:pStyle w:val="Citation-AltC"/>
        <w:spacing w:after="240"/>
        <w:ind w:hanging="1166"/>
        <w:contextualSpacing w:val="0"/>
        <w:rPr>
          <w:b/>
          <w:lang w:val="fr-CA"/>
        </w:rPr>
      </w:pPr>
      <w:r>
        <w:rPr>
          <w:b/>
          <w:lang w:val="fr-FR"/>
        </w:rPr>
        <w:tab/>
        <w:t>13 (1) </w:t>
      </w:r>
      <w:r w:rsidRPr="00DC4B43">
        <w:rPr>
          <w:lang w:val="fr-FR"/>
        </w:rPr>
        <w:t>Le tribunal pour adolescents est le tribunal établi ou désigné à ce titre pour l’application de la présente loi soit sous le régime d’une loi provinciale, soit par le gouverneur en conseil ou par le lieutenant</w:t>
      </w:r>
      <w:r>
        <w:rPr>
          <w:lang w:val="fr-FR"/>
        </w:rPr>
        <w:noBreakHyphen/>
      </w:r>
      <w:r w:rsidRPr="00DC4B43">
        <w:rPr>
          <w:lang w:val="fr-FR"/>
        </w:rPr>
        <w:t>gouverneur en conseil d’une province; le juge du tribunal pour adolescents est la personne nommée ou désignée à ce titre ou celle qui est juge d’un tribunal établi ou désigné à titre de tribunal pour adolescents.</w:t>
      </w:r>
    </w:p>
    <w:p w:rsidR="008E3C0D" w:rsidRPr="00DC4B43" w:rsidRDefault="008E3C0D" w:rsidP="008E3C0D">
      <w:pPr>
        <w:pStyle w:val="Citation-AltC"/>
        <w:ind w:hanging="356"/>
        <w:rPr>
          <w:b/>
          <w:lang w:val="fr-CA"/>
        </w:rPr>
      </w:pPr>
      <w:r w:rsidRPr="00DC4B43">
        <w:rPr>
          <w:b/>
          <w:lang w:val="fr-CA"/>
        </w:rPr>
        <w:tab/>
        <w:t>Assimilation au tribunal pour adolescents</w:t>
      </w:r>
    </w:p>
    <w:p w:rsidR="008E3C0D" w:rsidRPr="00DC4B43" w:rsidRDefault="008E3C0D" w:rsidP="008E3C0D">
      <w:pPr>
        <w:pStyle w:val="Citation-AltC"/>
        <w:spacing w:after="240"/>
        <w:ind w:hanging="1166"/>
        <w:contextualSpacing w:val="0"/>
        <w:rPr>
          <w:lang w:val="fr-CA"/>
        </w:rPr>
      </w:pPr>
      <w:r>
        <w:rPr>
          <w:b/>
          <w:lang w:val="fr-FR"/>
        </w:rPr>
        <w:tab/>
      </w:r>
      <w:r w:rsidRPr="00DC4B43">
        <w:rPr>
          <w:b/>
          <w:lang w:val="fr-FR"/>
        </w:rPr>
        <w:t>(2)</w:t>
      </w:r>
      <w:r>
        <w:rPr>
          <w:lang w:val="fr-FR"/>
        </w:rPr>
        <w:t> </w:t>
      </w:r>
      <w:r w:rsidRPr="00DC4B43">
        <w:rPr>
          <w:lang w:val="fr-FR"/>
        </w:rPr>
        <w:t xml:space="preserve">Dans le cas où l’adolescent a choisi d’être jugé par un juge sans jury, le juge est alors le juge visé à la définition de ce terme à l’article 552 du </w:t>
      </w:r>
      <w:r w:rsidRPr="00DC4B43">
        <w:rPr>
          <w:i/>
          <w:lang w:val="fr-FR"/>
        </w:rPr>
        <w:t>Code criminel</w:t>
      </w:r>
      <w:r w:rsidRPr="00DC4B43">
        <w:rPr>
          <w:lang w:val="fr-FR"/>
        </w:rPr>
        <w:t xml:space="preserve"> ou, s’il s’agit d’une infraction mentionnée à l’article 469 de cette loi, le juge de la cour supérieure de juridiction criminelle de la province où le choix a été fait. Le juge est réputé être un juge du tribunal pour adolescents et la cour est réputée constituer le tribunal pour adolescents pour les procédures en cause.</w:t>
      </w:r>
    </w:p>
    <w:p w:rsidR="008E3C0D" w:rsidRPr="00DC4B43" w:rsidRDefault="008E3C0D" w:rsidP="008E3C0D">
      <w:pPr>
        <w:pStyle w:val="Citation-AltC"/>
        <w:ind w:hanging="356"/>
        <w:rPr>
          <w:b/>
          <w:lang w:val="fr-CA"/>
        </w:rPr>
      </w:pPr>
      <w:r w:rsidRPr="00DC4B43">
        <w:rPr>
          <w:b/>
          <w:lang w:val="fr-CA"/>
        </w:rPr>
        <w:tab/>
        <w:t>Assimilation au tribunal pour adolescents</w:t>
      </w:r>
    </w:p>
    <w:p w:rsidR="008E3C0D" w:rsidRPr="00DC4B43" w:rsidRDefault="008E3C0D" w:rsidP="008E3C0D">
      <w:pPr>
        <w:pStyle w:val="Citation-AltC"/>
        <w:ind w:hanging="1166"/>
        <w:contextualSpacing w:val="0"/>
        <w:rPr>
          <w:lang w:val="fr-CA"/>
        </w:rPr>
      </w:pPr>
      <w:r>
        <w:rPr>
          <w:b/>
          <w:lang w:val="fr-FR"/>
        </w:rPr>
        <w:tab/>
      </w:r>
      <w:r w:rsidRPr="00DC4B43">
        <w:rPr>
          <w:b/>
          <w:lang w:val="fr-FR"/>
        </w:rPr>
        <w:t>(3)</w:t>
      </w:r>
      <w:r>
        <w:rPr>
          <w:lang w:val="fr-FR"/>
        </w:rPr>
        <w:t> </w:t>
      </w:r>
      <w:r w:rsidRPr="00DC4B43">
        <w:rPr>
          <w:lang w:val="fr-FR"/>
        </w:rPr>
        <w:t>Dans le cas où l’adolescent a choisi ou est réputé avoir choisi d’être jugé par un tribunal formé d’un juge et d’un jury, la cour supérieure de juridiction criminelle de la province où le choix a été ou est réputé avoir été fait est réputée constituer le tribunal pour adolescents pour les procédures en cause et le juge de la cour supérieure est réputé être un juge du tribunal pour adolescents.</w:t>
      </w:r>
    </w:p>
    <w:p w:rsidR="008E3C0D" w:rsidRPr="00DC4B43" w:rsidRDefault="008E3C0D" w:rsidP="008E3C0D">
      <w:pPr>
        <w:pStyle w:val="ParaNoNdepar-AltN"/>
        <w:spacing w:before="0"/>
        <w:rPr>
          <w:rFonts w:cs="Times New Roman"/>
          <w:lang w:val="fr-CA"/>
        </w:rPr>
      </w:pPr>
      <w:r w:rsidRPr="00DC4B43">
        <w:rPr>
          <w:rFonts w:cs="Times New Roman"/>
          <w:lang w:val="fr-CA"/>
        </w:rPr>
        <w:t>Le paragraphe 13(1) désigne donc, en tant que tribunal pour adolescents, « le tribunal établi ou désigné à ce titre [par la province] », et désigne, en qualité de juge du tribunal pour adolescents</w:t>
      </w:r>
      <w:r>
        <w:rPr>
          <w:rFonts w:cs="Times New Roman"/>
          <w:lang w:val="fr-CA"/>
        </w:rPr>
        <w:t>,</w:t>
      </w:r>
      <w:r w:rsidRPr="00DC4B43">
        <w:rPr>
          <w:rFonts w:cs="Times New Roman"/>
          <w:lang w:val="fr-CA"/>
        </w:rPr>
        <w:t xml:space="preserve"> le « </w:t>
      </w:r>
      <w:r w:rsidRPr="00DC4B43">
        <w:rPr>
          <w:rFonts w:cs="Times New Roman"/>
          <w:lang w:val="fr-FR"/>
        </w:rPr>
        <w:t xml:space="preserve">juge d’un tribunal établi </w:t>
      </w:r>
      <w:r w:rsidRPr="00DC4B43">
        <w:rPr>
          <w:rFonts w:cs="Times New Roman"/>
          <w:lang w:val="fr-CA"/>
        </w:rPr>
        <w:t xml:space="preserve">[. . .] </w:t>
      </w:r>
      <w:r w:rsidRPr="00DC4B43">
        <w:rPr>
          <w:rFonts w:cs="Times New Roman"/>
          <w:lang w:val="fr-FR"/>
        </w:rPr>
        <w:t>à titre de tribunal pour adolescents</w:t>
      </w:r>
      <w:r w:rsidRPr="00DC4B43">
        <w:rPr>
          <w:rFonts w:cs="Times New Roman"/>
          <w:lang w:val="fr-CA"/>
        </w:rPr>
        <w:t> ». Les paragraphes 13(2) et (3) s’appliquent lorsque survient l’une ou l’autre des trois circonstances qui, selon l’</w:t>
      </w:r>
      <w:r>
        <w:rPr>
          <w:rFonts w:cs="Times New Roman"/>
          <w:lang w:val="fr-CA"/>
        </w:rPr>
        <w:t>art. </w:t>
      </w:r>
      <w:r w:rsidRPr="00DC4B43">
        <w:rPr>
          <w:rFonts w:cs="Times New Roman"/>
          <w:lang w:val="fr-CA"/>
        </w:rPr>
        <w:t xml:space="preserve">67 de la </w:t>
      </w:r>
      <w:r w:rsidRPr="00DC4B43">
        <w:rPr>
          <w:rFonts w:cs="Times New Roman"/>
          <w:i/>
          <w:lang w:val="fr-CA"/>
        </w:rPr>
        <w:t>LSJPA</w:t>
      </w:r>
      <w:r w:rsidRPr="00DC4B43">
        <w:rPr>
          <w:rFonts w:cs="Times New Roman"/>
          <w:lang w:val="fr-CA"/>
        </w:rPr>
        <w:t>, mettent en jeu le droit de choisir le mode de procès</w:t>
      </w:r>
      <w:r w:rsidRPr="008E3C0D">
        <w:rPr>
          <w:rStyle w:val="Hyperlink"/>
          <w:vertAlign w:val="superscript"/>
        </w:rPr>
        <w:footnoteReference w:id="1"/>
      </w:r>
      <w:r w:rsidRPr="00DC4B43">
        <w:rPr>
          <w:rFonts w:cs="Times New Roman"/>
          <w:lang w:val="fr-CA"/>
        </w:rPr>
        <w:t xml:space="preserve">, et que l’adolescent choisit d’être jugé par un juge avec </w:t>
      </w:r>
      <w:r w:rsidRPr="00DC4B43">
        <w:rPr>
          <w:rFonts w:cs="Times New Roman"/>
          <w:lang w:val="fr-CA"/>
        </w:rPr>
        <w:lastRenderedPageBreak/>
        <w:t>ou sans jury. Dans le cas d’un adolescent inculpé d’une infraction énumérée à l’</w:t>
      </w:r>
      <w:r>
        <w:rPr>
          <w:rFonts w:cs="Times New Roman"/>
          <w:lang w:val="fr-CA"/>
        </w:rPr>
        <w:t>art. </w:t>
      </w:r>
      <w:r w:rsidRPr="00DC4B43">
        <w:rPr>
          <w:rFonts w:cs="Times New Roman"/>
          <w:lang w:val="fr-CA"/>
        </w:rPr>
        <w:t xml:space="preserve">469, un juge de la cour supérieure aura compétence sur lui s’il opte pour un procès en cour supérieure de juridiction criminelle sans jury (dans le cas du </w:t>
      </w:r>
      <w:r>
        <w:rPr>
          <w:rFonts w:cs="Times New Roman"/>
          <w:lang w:val="fr-CA"/>
        </w:rPr>
        <w:t>par. </w:t>
      </w:r>
      <w:r w:rsidRPr="00DC4B43">
        <w:rPr>
          <w:rFonts w:cs="Times New Roman"/>
          <w:lang w:val="fr-CA"/>
        </w:rPr>
        <w:t xml:space="preserve">13(2)) ou avec jury (dans le cas du </w:t>
      </w:r>
      <w:r>
        <w:rPr>
          <w:rFonts w:cs="Times New Roman"/>
          <w:lang w:val="fr-CA"/>
        </w:rPr>
        <w:t>par. </w:t>
      </w:r>
      <w:r w:rsidRPr="00DC4B43">
        <w:rPr>
          <w:rFonts w:cs="Times New Roman"/>
          <w:lang w:val="fr-CA"/>
        </w:rPr>
        <w:t>13(3)). Il en est ainsi parce que, quand l’adolescent inculpé d’une infraction mentionnée à l’</w:t>
      </w:r>
      <w:r>
        <w:rPr>
          <w:rFonts w:cs="Times New Roman"/>
          <w:lang w:val="fr-CA"/>
        </w:rPr>
        <w:t>art. </w:t>
      </w:r>
      <w:r w:rsidRPr="00DC4B43">
        <w:rPr>
          <w:rFonts w:cs="Times New Roman"/>
          <w:lang w:val="fr-CA"/>
        </w:rPr>
        <w:t xml:space="preserve">469 est appelé à faire son choix, le </w:t>
      </w:r>
      <w:r>
        <w:rPr>
          <w:rFonts w:cs="Times New Roman"/>
          <w:lang w:val="fr-CA"/>
        </w:rPr>
        <w:t>par. </w:t>
      </w:r>
      <w:r w:rsidRPr="00DC4B43">
        <w:rPr>
          <w:rFonts w:cs="Times New Roman"/>
          <w:lang w:val="fr-CA"/>
        </w:rPr>
        <w:t xml:space="preserve">67(2) de la </w:t>
      </w:r>
      <w:r w:rsidRPr="00DC4B43">
        <w:rPr>
          <w:rFonts w:cs="Times New Roman"/>
          <w:i/>
          <w:lang w:val="fr-CA"/>
        </w:rPr>
        <w:t>LSJPA</w:t>
      </w:r>
      <w:r w:rsidRPr="00DC4B43">
        <w:rPr>
          <w:rFonts w:cs="Times New Roman"/>
          <w:lang w:val="fr-CA"/>
        </w:rPr>
        <w:t xml:space="preserve"> lui donne trois possibilités</w:t>
      </w:r>
      <w:r>
        <w:rPr>
          <w:rFonts w:cs="Times New Roman"/>
          <w:lang w:val="fr-CA"/>
        </w:rPr>
        <w:t> :</w:t>
      </w:r>
      <w:r w:rsidRPr="00DC4B43">
        <w:rPr>
          <w:rFonts w:cs="Times New Roman"/>
          <w:lang w:val="fr-CA"/>
        </w:rPr>
        <w:t xml:space="preserve"> </w:t>
      </w:r>
      <w:r>
        <w:rPr>
          <w:rFonts w:cs="Times New Roman"/>
          <w:lang w:val="fr-CA"/>
        </w:rPr>
        <w:t>(1) </w:t>
      </w:r>
      <w:r w:rsidRPr="00DC4B43">
        <w:rPr>
          <w:rFonts w:cs="Times New Roman"/>
          <w:lang w:val="fr-CA"/>
        </w:rPr>
        <w:t xml:space="preserve">subir un procès devant un juge, visé au </w:t>
      </w:r>
      <w:r>
        <w:rPr>
          <w:rFonts w:cs="Times New Roman"/>
          <w:lang w:val="fr-CA"/>
        </w:rPr>
        <w:t>par. </w:t>
      </w:r>
      <w:r w:rsidRPr="00DC4B43">
        <w:rPr>
          <w:rFonts w:cs="Times New Roman"/>
          <w:lang w:val="fr-CA"/>
        </w:rPr>
        <w:t>13(1), du tribunal désigné par la province à titre de tribunal pour adolescents; (2) subir un procès devant un juge de la cour supérieure de juridiction criminelle</w:t>
      </w:r>
      <w:r>
        <w:rPr>
          <w:rFonts w:cs="Times New Roman"/>
          <w:lang w:val="fr-CA"/>
        </w:rPr>
        <w:t>,</w:t>
      </w:r>
      <w:r w:rsidRPr="00DC4B43">
        <w:rPr>
          <w:rFonts w:cs="Times New Roman"/>
          <w:lang w:val="fr-CA"/>
        </w:rPr>
        <w:t xml:space="preserve"> que le </w:t>
      </w:r>
      <w:r>
        <w:rPr>
          <w:rFonts w:cs="Times New Roman"/>
          <w:lang w:val="fr-CA"/>
        </w:rPr>
        <w:t>par. </w:t>
      </w:r>
      <w:r w:rsidRPr="00DC4B43">
        <w:rPr>
          <w:rFonts w:cs="Times New Roman"/>
          <w:lang w:val="fr-CA"/>
        </w:rPr>
        <w:t xml:space="preserve">13(2) </w:t>
      </w:r>
      <w:r w:rsidRPr="00DC4B43">
        <w:rPr>
          <w:rFonts w:cs="Times New Roman"/>
          <w:i/>
          <w:lang w:val="fr-CA"/>
        </w:rPr>
        <w:t>assimile à</w:t>
      </w:r>
      <w:r w:rsidRPr="00DC4B43">
        <w:rPr>
          <w:rFonts w:cs="Times New Roman"/>
          <w:lang w:val="fr-CA"/>
        </w:rPr>
        <w:t xml:space="preserve"> un juge du tribunal pour adolescents qui siège seul; et</w:t>
      </w:r>
      <w:r>
        <w:rPr>
          <w:rFonts w:cs="Times New Roman"/>
          <w:lang w:val="fr-CA"/>
        </w:rPr>
        <w:t xml:space="preserve"> (3) </w:t>
      </w:r>
      <w:r w:rsidRPr="00DC4B43">
        <w:rPr>
          <w:rFonts w:cs="Times New Roman"/>
          <w:lang w:val="fr-CA"/>
        </w:rPr>
        <w:t>subir un procès devant un juge de la cour supérieure de juridiction criminelle</w:t>
      </w:r>
      <w:r>
        <w:rPr>
          <w:rFonts w:cs="Times New Roman"/>
          <w:lang w:val="fr-CA"/>
        </w:rPr>
        <w:t>,</w:t>
      </w:r>
      <w:r w:rsidRPr="00DC4B43">
        <w:rPr>
          <w:rFonts w:cs="Times New Roman"/>
          <w:lang w:val="fr-CA"/>
        </w:rPr>
        <w:t xml:space="preserve"> que le </w:t>
      </w:r>
      <w:r>
        <w:rPr>
          <w:rFonts w:cs="Times New Roman"/>
          <w:lang w:val="fr-CA"/>
        </w:rPr>
        <w:t>par. </w:t>
      </w:r>
      <w:r w:rsidRPr="00DC4B43">
        <w:rPr>
          <w:rFonts w:cs="Times New Roman"/>
          <w:lang w:val="fr-CA"/>
        </w:rPr>
        <w:t xml:space="preserve">13(3) </w:t>
      </w:r>
      <w:r w:rsidRPr="00DC4B43">
        <w:rPr>
          <w:rFonts w:cs="Times New Roman"/>
          <w:i/>
          <w:lang w:val="fr-CA"/>
        </w:rPr>
        <w:t xml:space="preserve">assimile à </w:t>
      </w:r>
      <w:r w:rsidRPr="00DC4B43">
        <w:rPr>
          <w:rFonts w:cs="Times New Roman"/>
          <w:lang w:val="fr-CA"/>
        </w:rPr>
        <w:t>un juge du tribunal pour adolescents qui siège avec jury.</w:t>
      </w:r>
    </w:p>
    <w:p w:rsidR="008E3C0D" w:rsidRPr="00DC4B43" w:rsidRDefault="008E3C0D" w:rsidP="008E3C0D">
      <w:pPr>
        <w:pStyle w:val="ParaNoNdepar-AltN"/>
        <w:spacing w:before="0"/>
        <w:rPr>
          <w:rFonts w:cs="Times New Roman"/>
          <w:lang w:val="fr-CA"/>
        </w:rPr>
      </w:pPr>
      <w:r w:rsidRPr="00DC4B43">
        <w:rPr>
          <w:rFonts w:cs="Times New Roman"/>
          <w:lang w:val="fr-CA"/>
        </w:rPr>
        <w:t>Voici le point crucial</w:t>
      </w:r>
      <w:r>
        <w:rPr>
          <w:rFonts w:cs="Times New Roman"/>
          <w:lang w:val="fr-CA"/>
        </w:rPr>
        <w:t> :</w:t>
      </w:r>
      <w:r w:rsidRPr="00DC4B43">
        <w:rPr>
          <w:rFonts w:cs="Times New Roman"/>
          <w:lang w:val="fr-CA"/>
        </w:rPr>
        <w:t xml:space="preserve"> peu importe le mode de procès choisi, la </w:t>
      </w:r>
      <w:r w:rsidRPr="00DC4B43">
        <w:rPr>
          <w:rFonts w:cs="Times New Roman"/>
          <w:i/>
          <w:lang w:val="fr-CA"/>
        </w:rPr>
        <w:t xml:space="preserve">LSJPA </w:t>
      </w:r>
      <w:r w:rsidRPr="00DC4B43">
        <w:rPr>
          <w:rFonts w:cs="Times New Roman"/>
          <w:lang w:val="fr-CA"/>
        </w:rPr>
        <w:t xml:space="preserve">exige qu’un adolescent soit jugé par </w:t>
      </w:r>
      <w:r w:rsidRPr="00DC4B43">
        <w:rPr>
          <w:rFonts w:cs="Times New Roman"/>
          <w:i/>
          <w:lang w:val="fr-CA"/>
        </w:rPr>
        <w:t>un juge du tribunal pour adolescents</w:t>
      </w:r>
      <w:r w:rsidRPr="00DC4B43">
        <w:rPr>
          <w:rFonts w:cs="Times New Roman"/>
          <w:lang w:val="fr-CA"/>
        </w:rPr>
        <w:t xml:space="preserve">. Il en est ainsi, que le procès se tienne devant un juge du tribunal pour adolescents désigné par la province au titre du </w:t>
      </w:r>
      <w:r>
        <w:rPr>
          <w:rFonts w:cs="Times New Roman"/>
          <w:lang w:val="fr-CA"/>
        </w:rPr>
        <w:t>par. </w:t>
      </w:r>
      <w:r w:rsidRPr="00DC4B43">
        <w:rPr>
          <w:rFonts w:cs="Times New Roman"/>
          <w:lang w:val="fr-CA"/>
        </w:rPr>
        <w:t xml:space="preserve">13(1), ou devant un juge de la cour supérieure </w:t>
      </w:r>
      <w:r w:rsidRPr="00DC4B43">
        <w:rPr>
          <w:rFonts w:cs="Times New Roman"/>
          <w:i/>
          <w:lang w:val="fr-CA"/>
        </w:rPr>
        <w:t xml:space="preserve">réputé être </w:t>
      </w:r>
      <w:r w:rsidRPr="00DC4B43">
        <w:rPr>
          <w:rFonts w:cs="Times New Roman"/>
          <w:lang w:val="fr-CA"/>
        </w:rPr>
        <w:t xml:space="preserve">un juge du tribunal pour adolescents par le </w:t>
      </w:r>
      <w:r>
        <w:rPr>
          <w:rFonts w:cs="Times New Roman"/>
          <w:lang w:val="fr-CA"/>
        </w:rPr>
        <w:t>par. </w:t>
      </w:r>
      <w:r w:rsidRPr="00DC4B43">
        <w:rPr>
          <w:rFonts w:cs="Times New Roman"/>
          <w:lang w:val="fr-CA"/>
        </w:rPr>
        <w:t xml:space="preserve">13(2) (s’il siège seul) ou le </w:t>
      </w:r>
      <w:r>
        <w:rPr>
          <w:rFonts w:cs="Times New Roman"/>
          <w:lang w:val="fr-CA"/>
        </w:rPr>
        <w:t>par. </w:t>
      </w:r>
      <w:r w:rsidRPr="00DC4B43">
        <w:rPr>
          <w:rFonts w:cs="Times New Roman"/>
          <w:lang w:val="fr-CA"/>
        </w:rPr>
        <w:t xml:space="preserve">13(3) (s’il siège avec jury). Dans les deux derniers cas </w:t>
      </w:r>
      <w:r w:rsidRPr="00DC4B43">
        <w:rPr>
          <w:rFonts w:cs="Times New Roman"/>
        </w:rPr>
        <w:t>⸺</w:t>
      </w:r>
      <w:r w:rsidRPr="00DC4B43">
        <w:rPr>
          <w:rFonts w:cs="Times New Roman"/>
          <w:lang w:val="fr-CA"/>
        </w:rPr>
        <w:t xml:space="preserve"> c’est</w:t>
      </w:r>
      <w:r>
        <w:rPr>
          <w:rFonts w:cs="Times New Roman"/>
          <w:lang w:val="fr-CA"/>
        </w:rPr>
        <w:noBreakHyphen/>
      </w:r>
      <w:r w:rsidRPr="00DC4B43">
        <w:rPr>
          <w:rFonts w:cs="Times New Roman"/>
          <w:lang w:val="fr-CA"/>
        </w:rPr>
        <w:t>à</w:t>
      </w:r>
      <w:r>
        <w:rPr>
          <w:rFonts w:cs="Times New Roman"/>
          <w:lang w:val="fr-CA"/>
        </w:rPr>
        <w:noBreakHyphen/>
      </w:r>
      <w:r w:rsidRPr="00DC4B43">
        <w:rPr>
          <w:rFonts w:cs="Times New Roman"/>
          <w:lang w:val="fr-CA"/>
        </w:rPr>
        <w:t xml:space="preserve">dire lorsqu’un juge de la cour supérieure devient un juge du tribunal pour adolescents par application des dispositions assimilantes figurant aux </w:t>
      </w:r>
      <w:r>
        <w:rPr>
          <w:rFonts w:cs="Times New Roman"/>
          <w:lang w:val="fr-CA"/>
        </w:rPr>
        <w:t>par. </w:t>
      </w:r>
      <w:r w:rsidRPr="00DC4B43">
        <w:rPr>
          <w:rFonts w:cs="Times New Roman"/>
          <w:lang w:val="fr-CA"/>
        </w:rPr>
        <w:t>13(2) ou (3)</w:t>
      </w:r>
      <w:r>
        <w:rPr>
          <w:rFonts w:cs="Times New Roman"/>
          <w:lang w:val="fr-CA"/>
        </w:rPr>
        <w:t xml:space="preserve"> </w:t>
      </w:r>
      <w:r w:rsidRPr="00DC4B43">
        <w:rPr>
          <w:rFonts w:cs="Times New Roman"/>
        </w:rPr>
        <w:t>⸺</w:t>
      </w:r>
      <w:r w:rsidRPr="00DC4B43">
        <w:rPr>
          <w:rFonts w:cs="Times New Roman"/>
          <w:lang w:val="fr-CA"/>
        </w:rPr>
        <w:t xml:space="preserve"> la cour supérieure est réputée </w:t>
      </w:r>
      <w:r w:rsidRPr="00DC4B43">
        <w:rPr>
          <w:rFonts w:cs="Times New Roman"/>
          <w:lang w:val="fr-CA"/>
        </w:rPr>
        <w:lastRenderedPageBreak/>
        <w:t xml:space="preserve">être ce tribunal « pour </w:t>
      </w:r>
      <w:r w:rsidRPr="00DC4B43">
        <w:rPr>
          <w:rFonts w:cs="Times New Roman"/>
          <w:u w:val="single"/>
          <w:lang w:val="fr-CA"/>
        </w:rPr>
        <w:t>les procédures</w:t>
      </w:r>
      <w:r>
        <w:rPr>
          <w:rFonts w:cs="Times New Roman"/>
          <w:lang w:val="fr-CA"/>
        </w:rPr>
        <w:t xml:space="preserve"> en cause </w:t>
      </w:r>
      <w:r w:rsidRPr="00DC4B43">
        <w:rPr>
          <w:rFonts w:cs="Times New Roman"/>
          <w:lang w:val="fr-CA"/>
        </w:rPr>
        <w:t>». Je passe maintenant au sens de cette expression utilisée dans la loi.</w:t>
      </w:r>
    </w:p>
    <w:p w:rsidR="008E3C0D" w:rsidRPr="00DC4B43" w:rsidRDefault="008E3C0D" w:rsidP="008E3C0D">
      <w:pPr>
        <w:pStyle w:val="Title2LevelTitre2Niveau"/>
        <w:rPr>
          <w:rFonts w:cs="Times New Roman"/>
          <w:lang w:val="fr-CA"/>
        </w:rPr>
      </w:pPr>
      <w:r w:rsidRPr="00DC4B43">
        <w:rPr>
          <w:rFonts w:cs="Times New Roman"/>
          <w:lang w:val="fr-CA"/>
        </w:rPr>
        <w:t xml:space="preserve">Le sens du mot « procédures » employé aux </w:t>
      </w:r>
      <w:r>
        <w:rPr>
          <w:rFonts w:cs="Times New Roman"/>
          <w:lang w:val="fr-CA"/>
        </w:rPr>
        <w:t>par. </w:t>
      </w:r>
      <w:r w:rsidRPr="00DC4B43">
        <w:rPr>
          <w:rFonts w:cs="Times New Roman"/>
          <w:lang w:val="fr-CA"/>
        </w:rPr>
        <w:t>13(2) et 13(3)</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Si le </w:t>
      </w:r>
      <w:r>
        <w:rPr>
          <w:rFonts w:cs="Times New Roman"/>
          <w:lang w:val="fr-CA"/>
        </w:rPr>
        <w:t>par. </w:t>
      </w:r>
      <w:r w:rsidRPr="00DC4B43">
        <w:rPr>
          <w:rFonts w:cs="Times New Roman"/>
          <w:lang w:val="fr-CA"/>
        </w:rPr>
        <w:t xml:space="preserve">13(2) assimile le juge de la cour supérieure au juge du tribunal pour adolescents « pour </w:t>
      </w:r>
      <w:r w:rsidRPr="00DC4B43">
        <w:rPr>
          <w:rFonts w:cs="Times New Roman"/>
          <w:u w:val="single"/>
          <w:lang w:val="fr-CA"/>
        </w:rPr>
        <w:t>les procédures</w:t>
      </w:r>
      <w:r>
        <w:rPr>
          <w:rFonts w:cs="Times New Roman"/>
          <w:lang w:val="fr-CA"/>
        </w:rPr>
        <w:t xml:space="preserve"> </w:t>
      </w:r>
      <w:r w:rsidRPr="00DC4B43">
        <w:rPr>
          <w:rFonts w:cs="Times New Roman"/>
          <w:lang w:val="fr-CA"/>
        </w:rPr>
        <w:t>en cause », quelles étapes procédurales sont visées par « les procédures</w:t>
      </w:r>
      <w:r>
        <w:rPr>
          <w:rFonts w:cs="Times New Roman"/>
          <w:lang w:val="fr-CA"/>
        </w:rPr>
        <w:t> </w:t>
      </w:r>
      <w:r w:rsidRPr="00DC4B43">
        <w:rPr>
          <w:rFonts w:cs="Times New Roman"/>
          <w:lang w:val="fr-CA"/>
        </w:rPr>
        <w:t>»? Le juge de première instance a conclu que « les procédures</w:t>
      </w:r>
      <w:r>
        <w:rPr>
          <w:rFonts w:cs="Times New Roman"/>
          <w:lang w:val="fr-CA"/>
        </w:rPr>
        <w:t> </w:t>
      </w:r>
      <w:r w:rsidRPr="00DC4B43">
        <w:rPr>
          <w:rFonts w:cs="Times New Roman"/>
          <w:lang w:val="fr-CA"/>
        </w:rPr>
        <w:t>» s’entendent uniquement du procès. T.J.M. soutient qu’elles ont un sens plus large et régissent sa demande de mise en liberté provisoire. Je partage son avis; les mots « les procédur</w:t>
      </w:r>
      <w:r>
        <w:rPr>
          <w:rFonts w:cs="Times New Roman"/>
          <w:lang w:val="fr-CA"/>
        </w:rPr>
        <w:t>es </w:t>
      </w:r>
      <w:r w:rsidRPr="00DC4B43">
        <w:rPr>
          <w:rFonts w:cs="Times New Roman"/>
          <w:lang w:val="fr-CA"/>
        </w:rPr>
        <w:t xml:space="preserve">» utilisés dans ces deux paragraphes ne </w:t>
      </w:r>
      <w:r>
        <w:rPr>
          <w:rFonts w:cs="Times New Roman"/>
          <w:lang w:val="fr-CA"/>
        </w:rPr>
        <w:t>s’</w:t>
      </w:r>
      <w:r w:rsidRPr="00DC4B43">
        <w:rPr>
          <w:rFonts w:cs="Times New Roman"/>
          <w:lang w:val="fr-CA"/>
        </w:rPr>
        <w:t>entendent pas seulement du procès. Comme je vais maintenant l’expliquer, ces mots englobent plutôt toute mesure prise par le juge du tribunal pour adolescents après que l’adolescent ait choisi d’être jugé en cour supérieure, y compris toute demande préliminaire de mise en liberté provisoire.</w:t>
      </w:r>
    </w:p>
    <w:p w:rsidR="008E3C0D" w:rsidRPr="00DC4B43" w:rsidRDefault="008E3C0D" w:rsidP="008E3C0D">
      <w:pPr>
        <w:pStyle w:val="ParaNoNdepar-AltN"/>
        <w:spacing w:before="0"/>
        <w:rPr>
          <w:rFonts w:cs="Times New Roman"/>
          <w:lang w:val="fr-CA"/>
        </w:rPr>
      </w:pPr>
      <w:r w:rsidRPr="00DC4B43">
        <w:rPr>
          <w:rFonts w:cs="Times New Roman"/>
          <w:lang w:val="fr-CA"/>
        </w:rPr>
        <w:t>Les mots « les procédures</w:t>
      </w:r>
      <w:r>
        <w:rPr>
          <w:rFonts w:cs="Times New Roman"/>
          <w:lang w:val="fr-CA"/>
        </w:rPr>
        <w:t> </w:t>
      </w:r>
      <w:r w:rsidRPr="00DC4B43">
        <w:rPr>
          <w:rFonts w:cs="Times New Roman"/>
          <w:lang w:val="fr-CA"/>
        </w:rPr>
        <w:t xml:space="preserve">» ne sont pas définis dans la </w:t>
      </w:r>
      <w:r w:rsidRPr="00DC4B43">
        <w:rPr>
          <w:rFonts w:cs="Times New Roman"/>
          <w:i/>
          <w:lang w:val="fr-CA"/>
        </w:rPr>
        <w:t>LSJPA.</w:t>
      </w:r>
      <w:r w:rsidRPr="00DC4B43">
        <w:rPr>
          <w:rFonts w:cs="Times New Roman"/>
          <w:lang w:val="fr-CA"/>
        </w:rPr>
        <w:t xml:space="preserve"> La réponse à cette question se trouve donc dans les principes d’interprétation législative, selon lesquels il faut lire le texte législatif en suivant son sens ordinaire et grammatical dans le contexte de l’ensemble de la loi et en harmonie avec l’économie et les objets de la loi.</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La jurisprudence révèle que trois approches différentes prévalent dans une affaire ou l’autre. La première </w:t>
      </w:r>
      <w:r w:rsidRPr="00DC4B43">
        <w:rPr>
          <w:rFonts w:cs="Times New Roman"/>
        </w:rPr>
        <w:t>⸺</w:t>
      </w:r>
      <w:r w:rsidRPr="00DC4B43">
        <w:rPr>
          <w:rFonts w:cs="Times New Roman"/>
          <w:lang w:val="fr-CA"/>
        </w:rPr>
        <w:t xml:space="preserve"> retenue par le juge de première instance </w:t>
      </w:r>
      <w:r w:rsidRPr="00DC4B43">
        <w:rPr>
          <w:rFonts w:cs="Times New Roman"/>
        </w:rPr>
        <w:t>⸺</w:t>
      </w:r>
      <w:r w:rsidRPr="00DC4B43">
        <w:rPr>
          <w:rFonts w:cs="Times New Roman"/>
          <w:lang w:val="fr-CA"/>
        </w:rPr>
        <w:t xml:space="preserve"> se veut </w:t>
      </w:r>
      <w:r w:rsidRPr="00DC4B43">
        <w:rPr>
          <w:rFonts w:cs="Times New Roman"/>
          <w:lang w:val="fr-CA"/>
        </w:rPr>
        <w:lastRenderedPageBreak/>
        <w:t>étroite et assimile « les procédures</w:t>
      </w:r>
      <w:r>
        <w:rPr>
          <w:rFonts w:cs="Times New Roman"/>
          <w:lang w:val="fr-CA"/>
        </w:rPr>
        <w:t> </w:t>
      </w:r>
      <w:r w:rsidRPr="00DC4B43">
        <w:rPr>
          <w:rFonts w:cs="Times New Roman"/>
          <w:lang w:val="fr-CA"/>
        </w:rPr>
        <w:t xml:space="preserve">» au procès. Selon cette approche, les </w:t>
      </w:r>
      <w:r>
        <w:rPr>
          <w:rFonts w:cs="Times New Roman"/>
          <w:lang w:val="fr-CA"/>
        </w:rPr>
        <w:t>par. </w:t>
      </w:r>
      <w:r w:rsidRPr="00DC4B43">
        <w:rPr>
          <w:rFonts w:cs="Times New Roman"/>
          <w:lang w:val="fr-CA"/>
        </w:rPr>
        <w:t xml:space="preserve">13(2) et 13(3) assimilent le juge de la cour supérieure au juge du tribunal pour adolescents </w:t>
      </w:r>
      <w:r w:rsidRPr="00DC4B43">
        <w:rPr>
          <w:rFonts w:cs="Times New Roman"/>
          <w:i/>
          <w:lang w:val="fr-CA"/>
        </w:rPr>
        <w:t xml:space="preserve">uniquement </w:t>
      </w:r>
      <w:r w:rsidRPr="00DC4B43">
        <w:rPr>
          <w:rFonts w:cs="Times New Roman"/>
          <w:lang w:val="fr-CA"/>
        </w:rPr>
        <w:t xml:space="preserve">pour </w:t>
      </w:r>
      <w:r w:rsidRPr="00DC4B43">
        <w:rPr>
          <w:rFonts w:cs="Times New Roman"/>
          <w:i/>
          <w:lang w:val="fr-CA"/>
        </w:rPr>
        <w:t>le procès</w:t>
      </w:r>
      <w:r w:rsidRPr="00DC4B43">
        <w:rPr>
          <w:rFonts w:cs="Times New Roman"/>
          <w:lang w:val="fr-CA"/>
        </w:rPr>
        <w:t xml:space="preserve">, ce qui laisse au juge du tribunal pour adolescents visé au </w:t>
      </w:r>
      <w:r>
        <w:rPr>
          <w:rFonts w:cs="Times New Roman"/>
          <w:lang w:val="fr-CA"/>
        </w:rPr>
        <w:t>par. </w:t>
      </w:r>
      <w:r w:rsidRPr="00DC4B43">
        <w:rPr>
          <w:rFonts w:cs="Times New Roman"/>
          <w:lang w:val="fr-CA"/>
        </w:rPr>
        <w:t xml:space="preserve">13(1) (soit un juge de la Cour provinciale de l’Alberta dans les circonstances du présent pourvoi) la compétence </w:t>
      </w:r>
      <w:r w:rsidRPr="00DC4B43">
        <w:rPr>
          <w:rFonts w:cs="Times New Roman"/>
          <w:i/>
          <w:lang w:val="fr-CA"/>
        </w:rPr>
        <w:t>exclusive</w:t>
      </w:r>
      <w:r w:rsidRPr="00DC4B43">
        <w:rPr>
          <w:rFonts w:cs="Times New Roman"/>
          <w:lang w:val="fr-CA"/>
        </w:rPr>
        <w:t xml:space="preserve"> sur la mise en liberté provisoire des adolescents inculpés d’infractions énumérées à l’</w:t>
      </w:r>
      <w:r>
        <w:rPr>
          <w:rFonts w:cs="Times New Roman"/>
          <w:lang w:val="fr-CA"/>
        </w:rPr>
        <w:t>art. </w:t>
      </w:r>
      <w:r w:rsidRPr="00DC4B43">
        <w:rPr>
          <w:rFonts w:cs="Times New Roman"/>
          <w:lang w:val="fr-CA"/>
        </w:rPr>
        <w:t xml:space="preserve">469, quel que soit le mode de procès choisi (voir </w:t>
      </w:r>
      <w:r w:rsidRPr="00DC4B43">
        <w:rPr>
          <w:rFonts w:cs="Times New Roman"/>
          <w:i/>
          <w:lang w:val="fr-CA"/>
        </w:rPr>
        <w:t>R. c. T.R.M.</w:t>
      </w:r>
      <w:r w:rsidRPr="00DC4B43">
        <w:rPr>
          <w:rFonts w:cs="Times New Roman"/>
          <w:lang w:val="fr-CA"/>
        </w:rPr>
        <w:t>,</w:t>
      </w:r>
      <w:r w:rsidRPr="00DC4B43">
        <w:rPr>
          <w:rFonts w:cs="Times New Roman"/>
          <w:i/>
          <w:lang w:val="fr-CA"/>
        </w:rPr>
        <w:t xml:space="preserve"> </w:t>
      </w:r>
      <w:r w:rsidRPr="00DC4B43">
        <w:rPr>
          <w:rFonts w:cs="Times New Roman"/>
          <w:lang w:val="fr-CA"/>
        </w:rPr>
        <w:t xml:space="preserve">2013 ABQB 571, 571 A.R. 121, </w:t>
      </w:r>
      <w:r>
        <w:rPr>
          <w:rFonts w:cs="Times New Roman"/>
          <w:lang w:val="fr-CA"/>
        </w:rPr>
        <w:t>par. </w:t>
      </w:r>
      <w:r w:rsidRPr="00DC4B43">
        <w:rPr>
          <w:rFonts w:cs="Times New Roman"/>
          <w:lang w:val="fr-CA"/>
        </w:rPr>
        <w:t>63</w:t>
      </w:r>
      <w:r>
        <w:rPr>
          <w:rFonts w:cs="Times New Roman"/>
          <w:lang w:val="fr-CA"/>
        </w:rPr>
        <w:noBreakHyphen/>
      </w:r>
      <w:r w:rsidRPr="00DC4B43">
        <w:rPr>
          <w:rFonts w:cs="Times New Roman"/>
          <w:lang w:val="fr-CA"/>
        </w:rPr>
        <w:t xml:space="preserve">64; </w:t>
      </w:r>
      <w:r w:rsidRPr="00DC4B43">
        <w:rPr>
          <w:rFonts w:cs="Times New Roman"/>
          <w:i/>
          <w:lang w:val="fr-CA"/>
        </w:rPr>
        <w:t>R. c. K.</w:t>
      </w:r>
      <w:r>
        <w:rPr>
          <w:rFonts w:cs="Times New Roman"/>
          <w:i/>
          <w:lang w:val="fr-CA"/>
        </w:rPr>
        <w:t> </w:t>
      </w:r>
      <w:r w:rsidRPr="00DC4B43">
        <w:rPr>
          <w:rFonts w:cs="Times New Roman"/>
          <w:i/>
          <w:lang w:val="fr-CA"/>
        </w:rPr>
        <w:t>(T.)</w:t>
      </w:r>
      <w:r w:rsidRPr="00DC4B43">
        <w:rPr>
          <w:rFonts w:cs="Times New Roman"/>
          <w:lang w:val="fr-CA"/>
        </w:rPr>
        <w:t>,</w:t>
      </w:r>
      <w:r w:rsidRPr="00DC4B43">
        <w:rPr>
          <w:rFonts w:cs="Times New Roman"/>
          <w:i/>
          <w:lang w:val="fr-CA"/>
        </w:rPr>
        <w:t xml:space="preserve"> </w:t>
      </w:r>
      <w:r w:rsidRPr="00DC4B43">
        <w:rPr>
          <w:rFonts w:cs="Times New Roman"/>
          <w:lang w:val="fr-CA"/>
        </w:rPr>
        <w:t xml:space="preserve">2004 ONCJ 410, 192 C.C.C. (3d) 279, </w:t>
      </w:r>
      <w:r>
        <w:rPr>
          <w:rFonts w:cs="Times New Roman"/>
          <w:lang w:val="fr-CA"/>
        </w:rPr>
        <w:t>p. </w:t>
      </w:r>
      <w:r w:rsidRPr="00DC4B43">
        <w:rPr>
          <w:rFonts w:cs="Times New Roman"/>
          <w:lang w:val="fr-CA"/>
        </w:rPr>
        <w:t>282</w:t>
      </w:r>
      <w:r>
        <w:rPr>
          <w:rFonts w:cs="Times New Roman"/>
          <w:lang w:val="fr-CA"/>
        </w:rPr>
        <w:noBreakHyphen/>
      </w:r>
      <w:r w:rsidRPr="00DC4B43">
        <w:rPr>
          <w:rFonts w:cs="Times New Roman"/>
          <w:lang w:val="fr-CA"/>
        </w:rPr>
        <w:t xml:space="preserve">283). </w:t>
      </w:r>
    </w:p>
    <w:p w:rsidR="008E3C0D" w:rsidRPr="00DC4B43" w:rsidRDefault="008E3C0D" w:rsidP="008E3C0D">
      <w:pPr>
        <w:pStyle w:val="ParaNoNdepar-AltN"/>
        <w:spacing w:before="0"/>
        <w:rPr>
          <w:rFonts w:cs="Times New Roman"/>
          <w:lang w:val="fr-CA"/>
        </w:rPr>
      </w:pPr>
      <w:r w:rsidRPr="00DC4B43">
        <w:rPr>
          <w:rFonts w:cs="Times New Roman"/>
          <w:lang w:val="fr-CA"/>
        </w:rPr>
        <w:t>Une deuxième approche qui émerge de la jurisprudence considère que « les procédures</w:t>
      </w:r>
      <w:r>
        <w:rPr>
          <w:rFonts w:cs="Times New Roman"/>
          <w:lang w:val="fr-CA"/>
        </w:rPr>
        <w:t> </w:t>
      </w:r>
      <w:r w:rsidRPr="00DC4B43">
        <w:rPr>
          <w:rFonts w:cs="Times New Roman"/>
          <w:lang w:val="fr-CA"/>
        </w:rPr>
        <w:t>» englobent chaque mesure prise après le renvoi de l’adolescent à procès ou sa comparution devant la cour supérieure de juridiction criminelle. D’après cette interprétation des mots « les procédures</w:t>
      </w:r>
      <w:r>
        <w:rPr>
          <w:rFonts w:cs="Times New Roman"/>
          <w:lang w:val="fr-CA"/>
        </w:rPr>
        <w:t> </w:t>
      </w:r>
      <w:r w:rsidRPr="00DC4B43">
        <w:rPr>
          <w:rFonts w:cs="Times New Roman"/>
          <w:lang w:val="fr-CA"/>
        </w:rPr>
        <w:t xml:space="preserve">» qui figurent aux </w:t>
      </w:r>
      <w:r>
        <w:rPr>
          <w:rFonts w:cs="Times New Roman"/>
          <w:lang w:val="fr-CA"/>
        </w:rPr>
        <w:t>par. </w:t>
      </w:r>
      <w:r w:rsidRPr="00DC4B43">
        <w:rPr>
          <w:rFonts w:cs="Times New Roman"/>
          <w:lang w:val="fr-CA"/>
        </w:rPr>
        <w:t xml:space="preserve">13(2) et (3), conjuguée à la directive donnée au </w:t>
      </w:r>
      <w:r>
        <w:rPr>
          <w:rFonts w:cs="Times New Roman"/>
          <w:lang w:val="fr-CA"/>
        </w:rPr>
        <w:t>par. </w:t>
      </w:r>
      <w:r w:rsidRPr="00DC4B43">
        <w:rPr>
          <w:rFonts w:cs="Times New Roman"/>
          <w:lang w:val="fr-CA"/>
        </w:rPr>
        <w:t xml:space="preserve">67(7) de la </w:t>
      </w:r>
      <w:r w:rsidRPr="00DC4B43">
        <w:rPr>
          <w:rFonts w:cs="Times New Roman"/>
          <w:i/>
          <w:lang w:val="fr-CA"/>
        </w:rPr>
        <w:t>LSJPA</w:t>
      </w:r>
      <w:r w:rsidRPr="00DC4B43">
        <w:rPr>
          <w:rFonts w:cs="Times New Roman"/>
          <w:lang w:val="fr-CA"/>
        </w:rPr>
        <w:t>, « le procès a lieu » après le renvoi de l’adolescent à procès au terme d’une enquête préliminaire. Donc, selon cette thèse, « les procédures</w:t>
      </w:r>
      <w:r>
        <w:rPr>
          <w:rFonts w:cs="Times New Roman"/>
          <w:lang w:val="fr-CA"/>
        </w:rPr>
        <w:t> </w:t>
      </w:r>
      <w:r w:rsidRPr="00DC4B43">
        <w:rPr>
          <w:rFonts w:cs="Times New Roman"/>
          <w:lang w:val="fr-CA"/>
        </w:rPr>
        <w:t xml:space="preserve">», vues à la lumière de la présence des mots « le procès » au 67(7), ne renvoient qu’au procès, et un juge de la cour supérieure n’est pas réputé être un juge du tribunal pour adolescents au sens des </w:t>
      </w:r>
      <w:r>
        <w:rPr>
          <w:rFonts w:cs="Times New Roman"/>
          <w:lang w:val="fr-CA"/>
        </w:rPr>
        <w:t>par. </w:t>
      </w:r>
      <w:r w:rsidR="0011400A">
        <w:rPr>
          <w:rFonts w:cs="Times New Roman"/>
          <w:lang w:val="fr-CA"/>
        </w:rPr>
        <w:t xml:space="preserve">13(2) ou </w:t>
      </w:r>
      <w:r w:rsidRPr="00DC4B43">
        <w:rPr>
          <w:rFonts w:cs="Times New Roman"/>
          <w:lang w:val="fr-CA"/>
        </w:rPr>
        <w:t xml:space="preserve">(3) avant que l’adolescent ne soit renvoyé à procès, une étape qui déclenche le transfert de compétence à la cour supérieure (voir </w:t>
      </w:r>
      <w:r w:rsidRPr="00DC4B43">
        <w:rPr>
          <w:rFonts w:cs="Times New Roman"/>
          <w:i/>
          <w:lang w:val="fr-CA"/>
        </w:rPr>
        <w:t xml:space="preserve">Protection de la jeunesse </w:t>
      </w:r>
      <w:r w:rsidRPr="00DC4B43">
        <w:rPr>
          <w:rFonts w:cs="Times New Roman"/>
          <w:i/>
        </w:rPr>
        <w:t>⸺</w:t>
      </w:r>
      <w:r w:rsidRPr="00DC4B43">
        <w:rPr>
          <w:rFonts w:cs="Times New Roman"/>
          <w:i/>
          <w:lang w:val="fr-CA"/>
        </w:rPr>
        <w:t xml:space="preserve"> 177486,</w:t>
      </w:r>
      <w:r w:rsidRPr="00DC4B43">
        <w:rPr>
          <w:rFonts w:cs="Times New Roman"/>
          <w:lang w:val="fr-CA"/>
        </w:rPr>
        <w:t xml:space="preserve"> 2017 QCCS 5165, </w:t>
      </w:r>
      <w:r>
        <w:rPr>
          <w:rFonts w:cs="Times New Roman"/>
          <w:lang w:val="fr-CA"/>
        </w:rPr>
        <w:t>par. </w:t>
      </w:r>
      <w:r w:rsidRPr="00DC4B43">
        <w:rPr>
          <w:rFonts w:cs="Times New Roman"/>
          <w:lang w:val="fr-CA"/>
        </w:rPr>
        <w:t>34</w:t>
      </w:r>
      <w:r>
        <w:rPr>
          <w:rFonts w:cs="Times New Roman"/>
          <w:lang w:val="fr-CA"/>
        </w:rPr>
        <w:noBreakHyphen/>
      </w:r>
      <w:r w:rsidRPr="00DC4B43">
        <w:rPr>
          <w:rFonts w:cs="Times New Roman"/>
          <w:lang w:val="fr-CA"/>
        </w:rPr>
        <w:t xml:space="preserve">35 (CanLII); </w:t>
      </w:r>
      <w:r w:rsidRPr="00DC4B43">
        <w:rPr>
          <w:rFonts w:cs="Times New Roman"/>
          <w:i/>
          <w:lang w:val="fr-CA"/>
        </w:rPr>
        <w:t xml:space="preserve">R. c. B.W.H. </w:t>
      </w:r>
      <w:r w:rsidRPr="00DC4B43">
        <w:rPr>
          <w:rFonts w:cs="Times New Roman"/>
          <w:lang w:val="fr-CA"/>
        </w:rPr>
        <w:t xml:space="preserve">(2005), 198 Man. R. (2d) 264 (C. prov.), </w:t>
      </w:r>
      <w:r>
        <w:rPr>
          <w:rFonts w:cs="Times New Roman"/>
          <w:lang w:val="fr-CA"/>
        </w:rPr>
        <w:t>par. </w:t>
      </w:r>
      <w:r w:rsidRPr="00DC4B43">
        <w:rPr>
          <w:rFonts w:cs="Times New Roman"/>
          <w:lang w:val="fr-CA"/>
        </w:rPr>
        <w:t>37</w:t>
      </w:r>
      <w:r>
        <w:rPr>
          <w:rFonts w:cs="Times New Roman"/>
          <w:lang w:val="fr-CA"/>
        </w:rPr>
        <w:noBreakHyphen/>
      </w:r>
      <w:r w:rsidRPr="00DC4B43">
        <w:rPr>
          <w:rFonts w:cs="Times New Roman"/>
          <w:lang w:val="fr-CA"/>
        </w:rPr>
        <w:t xml:space="preserve">38; </w:t>
      </w:r>
      <w:r w:rsidRPr="00DC4B43">
        <w:rPr>
          <w:rFonts w:cs="Times New Roman"/>
          <w:i/>
          <w:lang w:val="fr-CA"/>
        </w:rPr>
        <w:t>R</w:t>
      </w:r>
      <w:r>
        <w:rPr>
          <w:rFonts w:cs="Times New Roman"/>
          <w:i/>
          <w:lang w:val="fr-CA"/>
        </w:rPr>
        <w:t>.</w:t>
      </w:r>
      <w:r w:rsidRPr="00DC4B43">
        <w:rPr>
          <w:rFonts w:cs="Times New Roman"/>
          <w:i/>
          <w:lang w:val="fr-CA"/>
        </w:rPr>
        <w:t xml:space="preserve"> c. N.M.</w:t>
      </w:r>
      <w:r w:rsidRPr="00DC4B43">
        <w:rPr>
          <w:rFonts w:cs="Times New Roman"/>
          <w:lang w:val="fr-CA"/>
        </w:rPr>
        <w:t xml:space="preserve">, 2010 MBPC 45, 257 Man. R. (2d) 207, </w:t>
      </w:r>
      <w:r>
        <w:rPr>
          <w:rFonts w:cs="Times New Roman"/>
          <w:lang w:val="fr-CA"/>
        </w:rPr>
        <w:t>par. </w:t>
      </w:r>
      <w:r w:rsidRPr="00DC4B43">
        <w:rPr>
          <w:rFonts w:cs="Times New Roman"/>
          <w:lang w:val="fr-CA"/>
        </w:rPr>
        <w:t>45</w:t>
      </w:r>
      <w:r>
        <w:rPr>
          <w:rFonts w:cs="Times New Roman"/>
          <w:lang w:val="fr-CA"/>
        </w:rPr>
        <w:noBreakHyphen/>
      </w:r>
      <w:r w:rsidRPr="00DC4B43">
        <w:rPr>
          <w:rFonts w:cs="Times New Roman"/>
          <w:lang w:val="fr-CA"/>
        </w:rPr>
        <w:t>55). En outre, dans cette perspective, une fois la compétence transférée à la cour supérieure, elle est exclusive.</w:t>
      </w:r>
    </w:p>
    <w:p w:rsidR="008E3C0D" w:rsidRPr="00DC4B43" w:rsidRDefault="008E3C0D" w:rsidP="008E3C0D">
      <w:pPr>
        <w:pStyle w:val="ParaNoNdepar-AltN"/>
        <w:spacing w:before="0"/>
        <w:rPr>
          <w:rFonts w:cs="Times New Roman"/>
          <w:lang w:val="fr-CA"/>
        </w:rPr>
      </w:pPr>
      <w:r w:rsidRPr="00DC4B43">
        <w:rPr>
          <w:rFonts w:cs="Times New Roman"/>
          <w:lang w:val="fr-CA"/>
        </w:rPr>
        <w:lastRenderedPageBreak/>
        <w:t>Enfin, suivant une troisième approche, « les procédures</w:t>
      </w:r>
      <w:r>
        <w:rPr>
          <w:rFonts w:cs="Times New Roman"/>
          <w:lang w:val="fr-CA"/>
        </w:rPr>
        <w:t> </w:t>
      </w:r>
      <w:r w:rsidRPr="00DC4B43">
        <w:rPr>
          <w:rFonts w:cs="Times New Roman"/>
          <w:lang w:val="fr-CA"/>
        </w:rPr>
        <w:t xml:space="preserve">» désignent de façon générale tout stade de la poursuite. Partant, lorsqu’un adolescent choisit de subir un procès devant un juge de la cour supérieure, les </w:t>
      </w:r>
      <w:r>
        <w:rPr>
          <w:rFonts w:cs="Times New Roman"/>
          <w:lang w:val="fr-CA"/>
        </w:rPr>
        <w:t>par. </w:t>
      </w:r>
      <w:r w:rsidR="0011400A">
        <w:rPr>
          <w:rFonts w:cs="Times New Roman"/>
          <w:lang w:val="fr-CA"/>
        </w:rPr>
        <w:t xml:space="preserve">13(2) et </w:t>
      </w:r>
      <w:r w:rsidRPr="00DC4B43">
        <w:rPr>
          <w:rFonts w:cs="Times New Roman"/>
          <w:lang w:val="fr-CA"/>
        </w:rPr>
        <w:t xml:space="preserve">(3) de la </w:t>
      </w:r>
      <w:r w:rsidRPr="00DC4B43">
        <w:rPr>
          <w:rFonts w:cs="Times New Roman"/>
          <w:i/>
          <w:lang w:val="fr-CA"/>
        </w:rPr>
        <w:t>LSJPA</w:t>
      </w:r>
      <w:r w:rsidRPr="00DC4B43">
        <w:rPr>
          <w:rFonts w:cs="Times New Roman"/>
          <w:lang w:val="fr-CA"/>
        </w:rPr>
        <w:t xml:space="preserve"> assimilent ce juge à un juge du tribunal pour adolescents pour </w:t>
      </w:r>
      <w:r w:rsidRPr="00DC4B43">
        <w:rPr>
          <w:rFonts w:cs="Times New Roman"/>
          <w:i/>
          <w:lang w:val="fr-CA"/>
        </w:rPr>
        <w:t xml:space="preserve">toute étape procédurale </w:t>
      </w:r>
      <w:r w:rsidRPr="00DC4B43">
        <w:rPr>
          <w:rFonts w:cs="Times New Roman"/>
          <w:lang w:val="fr-CA"/>
        </w:rPr>
        <w:t>à partir du moment où l’adolescent inculpé d’une infraction énumérée à l’</w:t>
      </w:r>
      <w:r>
        <w:rPr>
          <w:rFonts w:cs="Times New Roman"/>
          <w:lang w:val="fr-CA"/>
        </w:rPr>
        <w:t>art. </w:t>
      </w:r>
      <w:r w:rsidRPr="00DC4B43">
        <w:rPr>
          <w:rFonts w:cs="Times New Roman"/>
          <w:lang w:val="fr-CA"/>
        </w:rPr>
        <w:t xml:space="preserve">469 choisit d’être jugé en cour supérieure, et ce, jusqu’à son procès. Cette approche a été jumelée à la thèse voulant que la compétence accordée à ce juge soit </w:t>
      </w:r>
      <w:r w:rsidRPr="00DC4B43">
        <w:rPr>
          <w:rFonts w:cs="Times New Roman"/>
          <w:i/>
          <w:lang w:val="fr-CA"/>
        </w:rPr>
        <w:t>exclusive</w:t>
      </w:r>
      <w:r w:rsidRPr="00DC4B43">
        <w:rPr>
          <w:rFonts w:cs="Times New Roman"/>
          <w:lang w:val="fr-CA"/>
        </w:rPr>
        <w:t xml:space="preserve">. En termes clairs, cela voudrait dire que les juges du tribunal pour adolescents visé au </w:t>
      </w:r>
      <w:r>
        <w:rPr>
          <w:rFonts w:cs="Times New Roman"/>
          <w:lang w:val="fr-CA"/>
        </w:rPr>
        <w:t>par. </w:t>
      </w:r>
      <w:r w:rsidRPr="00DC4B43">
        <w:rPr>
          <w:rFonts w:cs="Times New Roman"/>
          <w:lang w:val="fr-CA"/>
        </w:rPr>
        <w:t xml:space="preserve">13(1) (tels les juges de la Cour provinciale de l’Alberta) </w:t>
      </w:r>
      <w:r w:rsidRPr="00DC4B43">
        <w:rPr>
          <w:rFonts w:cs="Times New Roman"/>
          <w:i/>
          <w:lang w:val="fr-CA"/>
        </w:rPr>
        <w:t>n’</w:t>
      </w:r>
      <w:r w:rsidRPr="00DC4B43">
        <w:rPr>
          <w:rFonts w:cs="Times New Roman"/>
          <w:lang w:val="fr-CA"/>
        </w:rPr>
        <w:t xml:space="preserve">ont </w:t>
      </w:r>
      <w:r w:rsidRPr="00DC4B43">
        <w:rPr>
          <w:rFonts w:cs="Times New Roman"/>
          <w:i/>
          <w:lang w:val="fr-CA"/>
        </w:rPr>
        <w:t>pas</w:t>
      </w:r>
      <w:r w:rsidRPr="00DC4B43">
        <w:rPr>
          <w:rFonts w:cs="Times New Roman"/>
          <w:lang w:val="fr-CA"/>
        </w:rPr>
        <w:t xml:space="preserve"> compétence pour entendre les demandes de mise en liberté provisoire présentées par des adolescents inculpés d’infractions énumérées à l’</w:t>
      </w:r>
      <w:r>
        <w:rPr>
          <w:rFonts w:cs="Times New Roman"/>
          <w:lang w:val="fr-CA"/>
        </w:rPr>
        <w:t>art. </w:t>
      </w:r>
      <w:r w:rsidRPr="00DC4B43">
        <w:rPr>
          <w:rFonts w:cs="Times New Roman"/>
          <w:lang w:val="fr-CA"/>
        </w:rPr>
        <w:t xml:space="preserve">469 qui ont choisi d’être jugés par un juge d’une cour supérieure siégeant avec ou sans jury (voir </w:t>
      </w:r>
      <w:r w:rsidRPr="00DC4B43">
        <w:rPr>
          <w:rFonts w:cs="Times New Roman"/>
          <w:i/>
          <w:lang w:val="fr-CA"/>
        </w:rPr>
        <w:t>R</w:t>
      </w:r>
      <w:r>
        <w:rPr>
          <w:rFonts w:cs="Times New Roman"/>
          <w:i/>
          <w:lang w:val="fr-CA"/>
        </w:rPr>
        <w:t>.</w:t>
      </w:r>
      <w:r w:rsidRPr="00DC4B43">
        <w:rPr>
          <w:rFonts w:cs="Times New Roman"/>
          <w:i/>
          <w:lang w:val="fr-CA"/>
        </w:rPr>
        <w:t xml:space="preserve"> c. W. (E.E.)</w:t>
      </w:r>
      <w:r w:rsidRPr="00DC4B43">
        <w:rPr>
          <w:rFonts w:cs="Times New Roman"/>
          <w:lang w:val="fr-CA"/>
        </w:rPr>
        <w:t>,</w:t>
      </w:r>
      <w:r w:rsidRPr="00DC4B43">
        <w:rPr>
          <w:rFonts w:cs="Times New Roman"/>
          <w:i/>
          <w:lang w:val="fr-CA"/>
        </w:rPr>
        <w:t xml:space="preserve"> </w:t>
      </w:r>
      <w:r w:rsidRPr="00DC4B43">
        <w:rPr>
          <w:rFonts w:cs="Times New Roman"/>
          <w:lang w:val="fr-CA"/>
        </w:rPr>
        <w:t xml:space="preserve">2004 SKCA 114, 188 C.C.C. (3d) 467, </w:t>
      </w:r>
      <w:r>
        <w:rPr>
          <w:rFonts w:cs="Times New Roman"/>
          <w:lang w:val="fr-CA"/>
        </w:rPr>
        <w:t>par. </w:t>
      </w:r>
      <w:r w:rsidRPr="00DC4B43">
        <w:rPr>
          <w:rFonts w:cs="Times New Roman"/>
          <w:lang w:val="fr-CA"/>
        </w:rPr>
        <w:t xml:space="preserve">14 et 21; </w:t>
      </w:r>
      <w:r w:rsidRPr="00DC4B43">
        <w:rPr>
          <w:rFonts w:cs="Times New Roman"/>
          <w:i/>
          <w:lang w:val="fr-CA"/>
        </w:rPr>
        <w:t>R. c. B. (J.)</w:t>
      </w:r>
      <w:r w:rsidRPr="00DC4B43">
        <w:rPr>
          <w:rFonts w:cs="Times New Roman"/>
          <w:lang w:val="fr-CA"/>
        </w:rPr>
        <w:t>,</w:t>
      </w:r>
      <w:r w:rsidRPr="00DC4B43">
        <w:rPr>
          <w:rFonts w:cs="Times New Roman"/>
          <w:i/>
          <w:lang w:val="fr-CA"/>
        </w:rPr>
        <w:t xml:space="preserve"> </w:t>
      </w:r>
      <w:r w:rsidRPr="00DC4B43">
        <w:rPr>
          <w:rFonts w:cs="Times New Roman"/>
          <w:lang w:val="fr-CA"/>
        </w:rPr>
        <w:t xml:space="preserve">2012 ONSC 4957, 291 C.C.C. (3d) 43, </w:t>
      </w:r>
      <w:r>
        <w:rPr>
          <w:rFonts w:cs="Times New Roman"/>
          <w:lang w:val="fr-CA"/>
        </w:rPr>
        <w:t>par. </w:t>
      </w:r>
      <w:r w:rsidRPr="00DC4B43">
        <w:rPr>
          <w:rFonts w:cs="Times New Roman"/>
          <w:lang w:val="fr-CA"/>
        </w:rPr>
        <w:t>1</w:t>
      </w:r>
      <w:r>
        <w:rPr>
          <w:rFonts w:cs="Times New Roman"/>
          <w:lang w:val="fr-CA"/>
        </w:rPr>
        <w:noBreakHyphen/>
      </w:r>
      <w:r w:rsidRPr="00DC4B43">
        <w:rPr>
          <w:rFonts w:cs="Times New Roman"/>
          <w:lang w:val="fr-CA"/>
        </w:rPr>
        <w:t xml:space="preserve">20 et 32; </w:t>
      </w:r>
      <w:r w:rsidRPr="00DC4B43">
        <w:rPr>
          <w:rFonts w:cs="Times New Roman"/>
          <w:i/>
          <w:lang w:val="fr-CA"/>
        </w:rPr>
        <w:t>R</w:t>
      </w:r>
      <w:r>
        <w:rPr>
          <w:rFonts w:cs="Times New Roman"/>
          <w:i/>
          <w:lang w:val="fr-CA"/>
        </w:rPr>
        <w:t>.</w:t>
      </w:r>
      <w:r w:rsidRPr="00DC4B43">
        <w:rPr>
          <w:rFonts w:cs="Times New Roman"/>
          <w:i/>
          <w:lang w:val="fr-CA"/>
        </w:rPr>
        <w:t xml:space="preserve"> c. F. (M.)</w:t>
      </w:r>
      <w:r w:rsidRPr="00DC4B43">
        <w:rPr>
          <w:rFonts w:cs="Times New Roman"/>
          <w:lang w:val="fr-CA"/>
        </w:rPr>
        <w:t>,</w:t>
      </w:r>
      <w:r w:rsidRPr="00DC4B43">
        <w:rPr>
          <w:rFonts w:cs="Times New Roman"/>
          <w:i/>
          <w:lang w:val="fr-CA"/>
        </w:rPr>
        <w:t xml:space="preserve"> </w:t>
      </w:r>
      <w:r w:rsidRPr="00DC4B43">
        <w:rPr>
          <w:rFonts w:cs="Times New Roman"/>
          <w:lang w:val="fr-CA"/>
        </w:rPr>
        <w:t xml:space="preserve">2006 ONCJ 161, 210 C.C.C. (3d) 146, </w:t>
      </w:r>
      <w:r>
        <w:rPr>
          <w:rFonts w:cs="Times New Roman"/>
          <w:lang w:val="fr-CA"/>
        </w:rPr>
        <w:t>par. </w:t>
      </w:r>
      <w:r w:rsidRPr="00DC4B43">
        <w:rPr>
          <w:rFonts w:cs="Times New Roman"/>
          <w:lang w:val="fr-CA"/>
        </w:rPr>
        <w:t>46 et 49</w:t>
      </w:r>
      <w:r>
        <w:rPr>
          <w:rFonts w:cs="Times New Roman"/>
          <w:lang w:val="fr-CA"/>
        </w:rPr>
        <w:noBreakHyphen/>
      </w:r>
      <w:r w:rsidRPr="00DC4B43">
        <w:rPr>
          <w:rFonts w:cs="Times New Roman"/>
          <w:lang w:val="fr-CA"/>
        </w:rPr>
        <w:t>52).</w:t>
      </w:r>
    </w:p>
    <w:p w:rsidR="008E3C0D" w:rsidRPr="00DC4B43" w:rsidRDefault="008E3C0D" w:rsidP="008E3C0D">
      <w:pPr>
        <w:pStyle w:val="ParaNoNdepar-AltN"/>
        <w:spacing w:before="0"/>
        <w:rPr>
          <w:rFonts w:cs="Times New Roman"/>
          <w:lang w:val="fr-CA"/>
        </w:rPr>
      </w:pPr>
      <w:r w:rsidRPr="00DC4B43">
        <w:rPr>
          <w:rFonts w:cs="Times New Roman"/>
          <w:lang w:val="fr-CA"/>
        </w:rPr>
        <w:t>À mon humble avis, les deux premières approches ne sauraient être bonnes. Le sens ordinaire et grammatical des mots « les procédures</w:t>
      </w:r>
      <w:r>
        <w:rPr>
          <w:rFonts w:cs="Times New Roman"/>
          <w:lang w:val="fr-CA"/>
        </w:rPr>
        <w:t> </w:t>
      </w:r>
      <w:r w:rsidRPr="00DC4B43">
        <w:rPr>
          <w:rFonts w:cs="Times New Roman"/>
          <w:lang w:val="fr-CA"/>
        </w:rPr>
        <w:t>» n’est pas aussi restreint. Le mot « </w:t>
      </w:r>
      <w:r w:rsidRPr="00DC4B43">
        <w:rPr>
          <w:rFonts w:cs="Times New Roman"/>
          <w:i/>
          <w:lang w:val="fr-CA"/>
        </w:rPr>
        <w:t>proceeding</w:t>
      </w:r>
      <w:r w:rsidRPr="00DC4B43">
        <w:rPr>
          <w:rFonts w:cs="Times New Roman"/>
          <w:lang w:val="fr-CA"/>
        </w:rPr>
        <w:t xml:space="preserve"> » (procédure) signifie, selon le </w:t>
      </w:r>
      <w:r w:rsidRPr="00DC4B43">
        <w:rPr>
          <w:rFonts w:cs="Times New Roman"/>
          <w:i/>
          <w:lang w:val="fr-CA"/>
        </w:rPr>
        <w:t xml:space="preserve">Black’s Law Dictionary </w:t>
      </w:r>
      <w:r w:rsidRPr="00DC4B43">
        <w:rPr>
          <w:rFonts w:cs="Times New Roman"/>
          <w:lang w:val="fr-CA"/>
        </w:rPr>
        <w:t>(11</w:t>
      </w:r>
      <w:r w:rsidRPr="00DC4B43">
        <w:rPr>
          <w:rFonts w:cs="Times New Roman"/>
          <w:vertAlign w:val="superscript"/>
          <w:lang w:val="fr-CA"/>
        </w:rPr>
        <w:t>e</w:t>
      </w:r>
      <w:r w:rsidRPr="00DC4B43">
        <w:rPr>
          <w:rFonts w:cs="Times New Roman"/>
          <w:lang w:val="fr-CA"/>
        </w:rPr>
        <w:t xml:space="preserve"> éd. 2019), par B. A. Garner, à la </w:t>
      </w:r>
      <w:r>
        <w:rPr>
          <w:rFonts w:cs="Times New Roman"/>
          <w:lang w:val="fr-CA"/>
        </w:rPr>
        <w:t>p. </w:t>
      </w:r>
      <w:r w:rsidRPr="00DC4B43">
        <w:rPr>
          <w:rFonts w:cs="Times New Roman"/>
          <w:lang w:val="fr-CA"/>
        </w:rPr>
        <w:t>1457, [</w:t>
      </w:r>
      <w:r w:rsidRPr="00DC4B43">
        <w:rPr>
          <w:rFonts w:cs="Times New Roman"/>
          <w:smallCaps/>
          <w:lang w:val="fr-CA"/>
        </w:rPr>
        <w:t>traduction</w:t>
      </w:r>
      <w:r w:rsidRPr="00DC4B43">
        <w:rPr>
          <w:rFonts w:cs="Times New Roman"/>
          <w:lang w:val="fr-CA"/>
        </w:rPr>
        <w:t>] « [u]n acte ou une mesure qui fait partie d’une action plus vaste » ou « le déroulement habituel et ordonné d’une poursuite, y compris tous les actes et faits survenus entre le début de la poursui</w:t>
      </w:r>
      <w:r>
        <w:rPr>
          <w:rFonts w:cs="Times New Roman"/>
          <w:lang w:val="fr-CA"/>
        </w:rPr>
        <w:t>te et l’inscription du jugement </w:t>
      </w:r>
      <w:r w:rsidRPr="00DC4B43">
        <w:rPr>
          <w:rFonts w:cs="Times New Roman"/>
          <w:lang w:val="fr-CA"/>
        </w:rPr>
        <w:t>». Et aucune disposition de l’</w:t>
      </w:r>
      <w:r>
        <w:rPr>
          <w:rFonts w:cs="Times New Roman"/>
          <w:lang w:val="fr-CA"/>
        </w:rPr>
        <w:t>art. </w:t>
      </w:r>
      <w:r w:rsidRPr="00DC4B43">
        <w:rPr>
          <w:rFonts w:cs="Times New Roman"/>
          <w:lang w:val="fr-CA"/>
        </w:rPr>
        <w:t>13 ne donne le moindrement à penser que les mots « les procédures</w:t>
      </w:r>
      <w:r>
        <w:rPr>
          <w:rFonts w:cs="Times New Roman"/>
          <w:lang w:val="fr-CA"/>
        </w:rPr>
        <w:t> </w:t>
      </w:r>
      <w:r w:rsidRPr="00DC4B43">
        <w:rPr>
          <w:rFonts w:cs="Times New Roman"/>
          <w:lang w:val="fr-CA"/>
        </w:rPr>
        <w:t xml:space="preserve">», tel qu’ils sont employés aux </w:t>
      </w:r>
      <w:r>
        <w:rPr>
          <w:rFonts w:cs="Times New Roman"/>
          <w:lang w:val="fr-CA"/>
        </w:rPr>
        <w:t>par. </w:t>
      </w:r>
      <w:r w:rsidRPr="00DC4B43">
        <w:rPr>
          <w:rFonts w:cs="Times New Roman"/>
          <w:lang w:val="fr-CA"/>
        </w:rPr>
        <w:t xml:space="preserve">13(2) et (3), </w:t>
      </w:r>
      <w:r w:rsidRPr="00DC4B43">
        <w:rPr>
          <w:rFonts w:cs="Times New Roman"/>
          <w:lang w:val="fr-CA"/>
        </w:rPr>
        <w:lastRenderedPageBreak/>
        <w:t>renvoient à autre chose que tout le déroulement d’une poursuite criminelle après que l’adolescent ait choisi d’être jugé en cour supérieure. Nous devons accepter que le Parlement légifère délibérément, et que les mots précis qu’il utilise ont un sens (</w:t>
      </w:r>
      <w:r w:rsidRPr="00DC4B43">
        <w:rPr>
          <w:rFonts w:cs="Times New Roman"/>
          <w:i/>
          <w:lang w:val="fr-CA"/>
        </w:rPr>
        <w:t>Ontario c. Canad</w:t>
      </w:r>
      <w:r>
        <w:rPr>
          <w:rFonts w:cs="Times New Roman"/>
          <w:i/>
          <w:lang w:val="fr-CA"/>
        </w:rPr>
        <w:t>ie</w:t>
      </w:r>
      <w:r w:rsidRPr="00DC4B43">
        <w:rPr>
          <w:rFonts w:cs="Times New Roman"/>
          <w:i/>
          <w:lang w:val="fr-CA"/>
        </w:rPr>
        <w:t>n</w:t>
      </w:r>
      <w:r>
        <w:rPr>
          <w:rFonts w:cs="Times New Roman"/>
          <w:i/>
          <w:lang w:val="fr-CA"/>
        </w:rPr>
        <w:t xml:space="preserve"> Pacifique</w:t>
      </w:r>
      <w:r w:rsidRPr="00DC4B43">
        <w:rPr>
          <w:rFonts w:cs="Times New Roman"/>
          <w:i/>
          <w:lang w:val="fr-CA"/>
        </w:rPr>
        <w:t> </w:t>
      </w:r>
      <w:r>
        <w:rPr>
          <w:rFonts w:cs="Times New Roman"/>
          <w:i/>
          <w:lang w:val="fr-CA"/>
        </w:rPr>
        <w:t>Ltée</w:t>
      </w:r>
      <w:r w:rsidRPr="00DC4B43">
        <w:rPr>
          <w:rFonts w:cs="Times New Roman"/>
          <w:lang w:val="fr-CA"/>
        </w:rPr>
        <w:t>,</w:t>
      </w:r>
      <w:r w:rsidRPr="00DC4B43">
        <w:rPr>
          <w:rFonts w:cs="Times New Roman"/>
          <w:i/>
          <w:lang w:val="fr-CA"/>
        </w:rPr>
        <w:t xml:space="preserve"> </w:t>
      </w:r>
      <w:r w:rsidRPr="00DC4B43">
        <w:rPr>
          <w:rFonts w:cs="Times New Roman"/>
          <w:lang w:val="fr-CA"/>
        </w:rPr>
        <w:t xml:space="preserve">[1995] 2 R.C.S. 1031, </w:t>
      </w:r>
      <w:r>
        <w:rPr>
          <w:rFonts w:cs="Times New Roman"/>
          <w:lang w:val="fr-CA"/>
        </w:rPr>
        <w:t>par. </w:t>
      </w:r>
      <w:r w:rsidRPr="00DC4B43">
        <w:rPr>
          <w:rFonts w:cs="Times New Roman"/>
          <w:lang w:val="fr-CA"/>
        </w:rPr>
        <w:t xml:space="preserve">11); si le Parlement avait voulu restreindre au procès l’application des dispositions assimilantes qui figurent aux </w:t>
      </w:r>
      <w:r>
        <w:rPr>
          <w:rFonts w:cs="Times New Roman"/>
          <w:lang w:val="fr-CA"/>
        </w:rPr>
        <w:t>par. </w:t>
      </w:r>
      <w:r w:rsidRPr="00DC4B43">
        <w:rPr>
          <w:rFonts w:cs="Times New Roman"/>
          <w:lang w:val="fr-CA"/>
        </w:rPr>
        <w:t xml:space="preserve">13(2) et (3), il aurait utilisé le mot « procès », comme il l’a fait dans plusieurs autres dispositions de la </w:t>
      </w:r>
      <w:r w:rsidRPr="00DC4B43">
        <w:rPr>
          <w:rFonts w:cs="Times New Roman"/>
          <w:i/>
          <w:lang w:val="fr-CA"/>
        </w:rPr>
        <w:t xml:space="preserve">LSJPA </w:t>
      </w:r>
      <w:r w:rsidRPr="00DC4B43">
        <w:rPr>
          <w:rFonts w:cs="Times New Roman"/>
          <w:lang w:val="fr-CA"/>
        </w:rPr>
        <w:t>(voir, par exemple, l’</w:t>
      </w:r>
      <w:r>
        <w:rPr>
          <w:rFonts w:cs="Times New Roman"/>
          <w:lang w:val="fr-CA"/>
        </w:rPr>
        <w:t>al. </w:t>
      </w:r>
      <w:r w:rsidRPr="00DC4B43">
        <w:rPr>
          <w:rFonts w:cs="Times New Roman"/>
          <w:lang w:val="fr-CA"/>
        </w:rPr>
        <w:t xml:space="preserve">25(3)c) (« à son procès ») et le </w:t>
      </w:r>
      <w:r>
        <w:rPr>
          <w:rFonts w:cs="Times New Roman"/>
          <w:lang w:val="fr-CA"/>
        </w:rPr>
        <w:t>par. </w:t>
      </w:r>
      <w:r w:rsidRPr="00DC4B43">
        <w:rPr>
          <w:rFonts w:cs="Times New Roman"/>
          <w:lang w:val="fr-CA"/>
        </w:rPr>
        <w:t>25(4) (« du procès »)).</w:t>
      </w:r>
    </w:p>
    <w:p w:rsidR="008E3C0D" w:rsidRPr="00DC4B43" w:rsidRDefault="008E3C0D" w:rsidP="008E3C0D">
      <w:pPr>
        <w:pStyle w:val="ParaNoNdepar-AltN"/>
        <w:spacing w:before="0"/>
        <w:rPr>
          <w:rFonts w:cs="Times New Roman"/>
          <w:lang w:val="fr-CA"/>
        </w:rPr>
      </w:pPr>
      <w:r w:rsidRPr="00DC4B43">
        <w:rPr>
          <w:rFonts w:cs="Times New Roman"/>
          <w:lang w:val="fr-CA"/>
        </w:rPr>
        <w:t>Il vaut mieux donc considérer, à la lumière du sens ordinaire et grammatical des mots « les procédures</w:t>
      </w:r>
      <w:r>
        <w:rPr>
          <w:rFonts w:cs="Times New Roman"/>
          <w:lang w:val="fr-CA"/>
        </w:rPr>
        <w:t> </w:t>
      </w:r>
      <w:r w:rsidRPr="00DC4B43">
        <w:rPr>
          <w:rFonts w:cs="Times New Roman"/>
          <w:lang w:val="fr-CA"/>
        </w:rPr>
        <w:t xml:space="preserve">», que le Parlement voulait que les juges de la cour supérieure réputés être des juges du tribunal pour adolescents par application des </w:t>
      </w:r>
      <w:r>
        <w:rPr>
          <w:rFonts w:cs="Times New Roman"/>
          <w:lang w:val="fr-CA"/>
        </w:rPr>
        <w:t>par. </w:t>
      </w:r>
      <w:r w:rsidRPr="00DC4B43">
        <w:rPr>
          <w:rFonts w:cs="Times New Roman"/>
          <w:lang w:val="fr-CA"/>
        </w:rPr>
        <w:t xml:space="preserve">13(2) et (3) de la </w:t>
      </w:r>
      <w:r w:rsidRPr="00DC4B43">
        <w:rPr>
          <w:rFonts w:cs="Times New Roman"/>
          <w:i/>
          <w:lang w:val="fr-CA"/>
        </w:rPr>
        <w:t>LSJPA</w:t>
      </w:r>
      <w:r w:rsidRPr="00DC4B43">
        <w:rPr>
          <w:rFonts w:cs="Times New Roman"/>
          <w:lang w:val="fr-CA"/>
        </w:rPr>
        <w:t xml:space="preserve"> soient réputés tels pour </w:t>
      </w:r>
      <w:r w:rsidRPr="00DC4B43">
        <w:rPr>
          <w:rFonts w:cs="Times New Roman"/>
          <w:i/>
          <w:lang w:val="fr-CA"/>
        </w:rPr>
        <w:t xml:space="preserve">toutes </w:t>
      </w:r>
      <w:r w:rsidRPr="00DC4B43">
        <w:rPr>
          <w:rFonts w:cs="Times New Roman"/>
          <w:lang w:val="fr-CA"/>
        </w:rPr>
        <w:t>les mesures prises après que l’adolescent inculpé d’une infraction énumérée à l’</w:t>
      </w:r>
      <w:r>
        <w:rPr>
          <w:rFonts w:cs="Times New Roman"/>
          <w:lang w:val="fr-CA"/>
        </w:rPr>
        <w:t>art. </w:t>
      </w:r>
      <w:r w:rsidRPr="00DC4B43">
        <w:rPr>
          <w:rFonts w:cs="Times New Roman"/>
          <w:lang w:val="fr-CA"/>
        </w:rPr>
        <w:t>469 ait choisi de subir un procès en cour supérieure, et ce, jusqu’à son procès.</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L’argument fondé sur une interprétation corrélative des </w:t>
      </w:r>
      <w:r>
        <w:rPr>
          <w:rFonts w:cs="Times New Roman"/>
          <w:lang w:val="fr-CA"/>
        </w:rPr>
        <w:t>par. </w:t>
      </w:r>
      <w:r w:rsidRPr="00DC4B43">
        <w:rPr>
          <w:rFonts w:cs="Times New Roman"/>
          <w:lang w:val="fr-CA"/>
        </w:rPr>
        <w:t xml:space="preserve">13(2) et (3) </w:t>
      </w:r>
      <w:r>
        <w:rPr>
          <w:rFonts w:cs="Times New Roman"/>
          <w:lang w:val="fr-CA"/>
        </w:rPr>
        <w:t>et du par.</w:t>
      </w:r>
      <w:r w:rsidRPr="00DC4B43">
        <w:rPr>
          <w:rFonts w:cs="Times New Roman"/>
          <w:lang w:val="fr-CA"/>
        </w:rPr>
        <w:t xml:space="preserve"> 67(7) ne me fait pas renoncer à cette opinion. Il en est ainsi, peu importe que l’on examine la version française ou la version anglaise de la </w:t>
      </w:r>
      <w:r w:rsidRPr="00DC4B43">
        <w:rPr>
          <w:rFonts w:cs="Times New Roman"/>
          <w:i/>
          <w:lang w:val="fr-CA"/>
        </w:rPr>
        <w:t>LSJPA</w:t>
      </w:r>
      <w:r w:rsidRPr="00DC4B43">
        <w:rPr>
          <w:rFonts w:cs="Times New Roman"/>
          <w:lang w:val="fr-CA"/>
        </w:rPr>
        <w:t xml:space="preserve">. Je le répète, le </w:t>
      </w:r>
      <w:r>
        <w:rPr>
          <w:rFonts w:cs="Times New Roman"/>
          <w:lang w:val="fr-CA"/>
        </w:rPr>
        <w:t>par. </w:t>
      </w:r>
      <w:r w:rsidRPr="00DC4B43">
        <w:rPr>
          <w:rFonts w:cs="Times New Roman"/>
          <w:lang w:val="fr-CA"/>
        </w:rPr>
        <w:t>67(7) prescrit que, dans le cas où un adolescent accusé d’une infraction énumérée à l’</w:t>
      </w:r>
      <w:r>
        <w:rPr>
          <w:rFonts w:cs="Times New Roman"/>
          <w:lang w:val="fr-CA"/>
        </w:rPr>
        <w:t>art. </w:t>
      </w:r>
      <w:r w:rsidRPr="00DC4B43">
        <w:rPr>
          <w:rFonts w:cs="Times New Roman"/>
          <w:lang w:val="fr-CA"/>
        </w:rPr>
        <w:t>469 est renvoyé à procès au terme d’une enquête préliminaire, « le procès a lieu » (ou, dans la version anglaise, « </w:t>
      </w:r>
      <w:r w:rsidRPr="00DC4B43">
        <w:rPr>
          <w:rFonts w:cs="Times New Roman"/>
          <w:i/>
          <w:lang w:val="fr-CA"/>
        </w:rPr>
        <w:t>the proceedings shall be conducted</w:t>
      </w:r>
      <w:r w:rsidRPr="00DC4B43">
        <w:rPr>
          <w:rFonts w:cs="Times New Roman"/>
          <w:lang w:val="fr-CA"/>
        </w:rPr>
        <w:t> ») en cour supérieure.</w:t>
      </w:r>
    </w:p>
    <w:p w:rsidR="008E3C0D" w:rsidRPr="00DC4B43" w:rsidRDefault="008E3C0D" w:rsidP="008E3C0D">
      <w:pPr>
        <w:pStyle w:val="ParaNoNdepar-AltN"/>
        <w:spacing w:before="0"/>
        <w:rPr>
          <w:rFonts w:cs="Times New Roman"/>
          <w:lang w:val="fr-CA"/>
        </w:rPr>
      </w:pPr>
      <w:r w:rsidRPr="00DC4B43">
        <w:rPr>
          <w:rFonts w:cs="Times New Roman"/>
          <w:lang w:val="fr-CA"/>
        </w:rPr>
        <w:lastRenderedPageBreak/>
        <w:t>Je fais d’abord remarquer que l’emploi de la forme plurielle « </w:t>
      </w:r>
      <w:r w:rsidRPr="00DC4B43">
        <w:rPr>
          <w:rFonts w:cs="Times New Roman"/>
          <w:i/>
          <w:lang w:val="fr-CA"/>
        </w:rPr>
        <w:t>proceedings</w:t>
      </w:r>
      <w:r w:rsidRPr="00DC4B43">
        <w:rPr>
          <w:rFonts w:cs="Times New Roman"/>
          <w:lang w:val="fr-CA"/>
        </w:rPr>
        <w:t xml:space="preserve"> » dans la version anglaise du </w:t>
      </w:r>
      <w:r>
        <w:rPr>
          <w:rFonts w:cs="Times New Roman"/>
          <w:lang w:val="fr-CA"/>
        </w:rPr>
        <w:t>par. </w:t>
      </w:r>
      <w:r w:rsidRPr="00DC4B43">
        <w:rPr>
          <w:rFonts w:cs="Times New Roman"/>
          <w:lang w:val="fr-CA"/>
        </w:rPr>
        <w:t>67(7) et de la forme singulière « </w:t>
      </w:r>
      <w:r w:rsidRPr="00DC4B43">
        <w:rPr>
          <w:rFonts w:cs="Times New Roman"/>
          <w:i/>
          <w:lang w:val="fr-CA"/>
        </w:rPr>
        <w:t>proceeding</w:t>
      </w:r>
      <w:r w:rsidRPr="00DC4B43">
        <w:rPr>
          <w:rFonts w:cs="Times New Roman"/>
          <w:lang w:val="fr-CA"/>
        </w:rPr>
        <w:t xml:space="preserve"> » dans la version anglaise des </w:t>
      </w:r>
      <w:r>
        <w:rPr>
          <w:rFonts w:cs="Times New Roman"/>
          <w:lang w:val="fr-CA"/>
        </w:rPr>
        <w:t>par. </w:t>
      </w:r>
      <w:r w:rsidRPr="00DC4B43">
        <w:rPr>
          <w:rFonts w:cs="Times New Roman"/>
          <w:lang w:val="fr-CA"/>
        </w:rPr>
        <w:t xml:space="preserve">13(2) et (3) n’a aucune importance. En effet, selon la </w:t>
      </w:r>
      <w:r w:rsidRPr="00DC4B43">
        <w:rPr>
          <w:rFonts w:cs="Times New Roman"/>
          <w:i/>
          <w:lang w:val="fr-CA"/>
        </w:rPr>
        <w:t>Loi d’interprétation</w:t>
      </w:r>
      <w:r w:rsidRPr="00DC4B43">
        <w:rPr>
          <w:rFonts w:cs="Times New Roman"/>
          <w:lang w:val="fr-CA"/>
        </w:rPr>
        <w:t>, L.R.C. 1985, c. I</w:t>
      </w:r>
      <w:r>
        <w:rPr>
          <w:rFonts w:cs="Times New Roman"/>
          <w:lang w:val="fr-CA"/>
        </w:rPr>
        <w:noBreakHyphen/>
      </w:r>
      <w:r w:rsidRPr="00DC4B43">
        <w:rPr>
          <w:rFonts w:cs="Times New Roman"/>
          <w:lang w:val="fr-CA"/>
        </w:rPr>
        <w:t>21, les mots employés au singulier dans une loi comprennent leur forme plurielle, et vice versa (</w:t>
      </w:r>
      <w:r>
        <w:rPr>
          <w:rFonts w:cs="Times New Roman"/>
          <w:lang w:val="fr-CA"/>
        </w:rPr>
        <w:t>par. </w:t>
      </w:r>
      <w:r w:rsidRPr="00DC4B43">
        <w:rPr>
          <w:rFonts w:cs="Times New Roman"/>
          <w:lang w:val="fr-CA"/>
        </w:rPr>
        <w:t>33(2)). En outre, et plus précisément, on ne saurait raisonnablement considérer que le Parlement voulait que son utilisation dans la version anglaise des mots « </w:t>
      </w:r>
      <w:r w:rsidRPr="00DC4B43">
        <w:rPr>
          <w:rFonts w:cs="Times New Roman"/>
          <w:i/>
          <w:lang w:val="fr-CA"/>
        </w:rPr>
        <w:t>the proceedings</w:t>
      </w:r>
      <w:r w:rsidRPr="00DC4B43">
        <w:rPr>
          <w:rFonts w:cs="Times New Roman"/>
          <w:lang w:val="fr-CA"/>
        </w:rPr>
        <w:t> »</w:t>
      </w:r>
      <w:r>
        <w:rPr>
          <w:rFonts w:cs="Times New Roman"/>
          <w:lang w:val="fr-CA"/>
        </w:rPr>
        <w:t xml:space="preserve"> (ou « le procès </w:t>
      </w:r>
      <w:r w:rsidRPr="00DC4B43">
        <w:rPr>
          <w:rFonts w:cs="Times New Roman"/>
          <w:lang w:val="fr-CA"/>
        </w:rPr>
        <w:t xml:space="preserve">») au </w:t>
      </w:r>
      <w:r>
        <w:rPr>
          <w:rFonts w:cs="Times New Roman"/>
          <w:lang w:val="fr-CA"/>
        </w:rPr>
        <w:t>par. </w:t>
      </w:r>
      <w:r w:rsidRPr="00DC4B43">
        <w:rPr>
          <w:rFonts w:cs="Times New Roman"/>
          <w:lang w:val="fr-CA"/>
        </w:rPr>
        <w:t>67(7) définisse la portée des mots « </w:t>
      </w:r>
      <w:r w:rsidRPr="00DC4B43">
        <w:rPr>
          <w:rFonts w:cs="Times New Roman"/>
          <w:i/>
          <w:lang w:val="fr-CA"/>
        </w:rPr>
        <w:t>the proceeding</w:t>
      </w:r>
      <w:r w:rsidRPr="00DC4B43">
        <w:rPr>
          <w:rFonts w:cs="Times New Roman"/>
          <w:lang w:val="fr-CA"/>
        </w:rPr>
        <w:t xml:space="preserve"> » qui figurent aux </w:t>
      </w:r>
      <w:r>
        <w:rPr>
          <w:rFonts w:cs="Times New Roman"/>
          <w:lang w:val="fr-CA"/>
        </w:rPr>
        <w:t>par. </w:t>
      </w:r>
      <w:r w:rsidRPr="00DC4B43">
        <w:rPr>
          <w:rFonts w:cs="Times New Roman"/>
          <w:lang w:val="fr-CA"/>
        </w:rPr>
        <w:t xml:space="preserve">13(2) et (3) ou dans la </w:t>
      </w:r>
      <w:r w:rsidRPr="00DC4B43">
        <w:rPr>
          <w:rFonts w:cs="Times New Roman"/>
          <w:i/>
          <w:lang w:val="fr-CA"/>
        </w:rPr>
        <w:t xml:space="preserve">LSJPA </w:t>
      </w:r>
      <w:r w:rsidRPr="00DC4B43">
        <w:rPr>
          <w:rFonts w:cs="Times New Roman"/>
          <w:lang w:val="fr-CA"/>
        </w:rPr>
        <w:t>en génér</w:t>
      </w:r>
      <w:r>
        <w:rPr>
          <w:rFonts w:cs="Times New Roman"/>
          <w:lang w:val="fr-CA"/>
        </w:rPr>
        <w:t xml:space="preserve">al. </w:t>
      </w:r>
      <w:r w:rsidRPr="00DC4B43">
        <w:rPr>
          <w:rFonts w:cs="Times New Roman"/>
          <w:lang w:val="fr-CA"/>
        </w:rPr>
        <w:t xml:space="preserve">La version anglaise de la </w:t>
      </w:r>
      <w:r w:rsidRPr="00DC4B43">
        <w:rPr>
          <w:rFonts w:cs="Times New Roman"/>
          <w:i/>
          <w:lang w:val="fr-CA"/>
        </w:rPr>
        <w:t xml:space="preserve">LSJPA </w:t>
      </w:r>
      <w:r w:rsidRPr="00DC4B43">
        <w:rPr>
          <w:rFonts w:cs="Times New Roman"/>
          <w:lang w:val="fr-CA"/>
        </w:rPr>
        <w:t xml:space="preserve">contient 35 </w:t>
      </w:r>
      <w:r w:rsidRPr="00DC4B43">
        <w:rPr>
          <w:rFonts w:cs="Times New Roman"/>
          <w:i/>
          <w:lang w:val="fr-CA"/>
        </w:rPr>
        <w:t xml:space="preserve">autres </w:t>
      </w:r>
      <w:r w:rsidRPr="00DC4B43">
        <w:rPr>
          <w:rFonts w:cs="Times New Roman"/>
          <w:lang w:val="fr-CA"/>
        </w:rPr>
        <w:t>mentions de « </w:t>
      </w:r>
      <w:r w:rsidRPr="00DC4B43">
        <w:rPr>
          <w:rFonts w:cs="Times New Roman"/>
          <w:i/>
          <w:lang w:val="fr-CA"/>
        </w:rPr>
        <w:t>the proceedings</w:t>
      </w:r>
      <w:r w:rsidRPr="00DC4B43">
        <w:rPr>
          <w:rFonts w:cs="Times New Roman"/>
          <w:lang w:val="fr-CA"/>
        </w:rPr>
        <w:t xml:space="preserve"> », tandis que sa version française emploie notamment et fréquemment les mots « les procédures » et « les procédures en cause ». Attribuer de l’importance à leur utilisation au </w:t>
      </w:r>
      <w:r>
        <w:rPr>
          <w:rFonts w:cs="Times New Roman"/>
          <w:lang w:val="fr-CA"/>
        </w:rPr>
        <w:t>par. </w:t>
      </w:r>
      <w:r w:rsidRPr="00DC4B43">
        <w:rPr>
          <w:rFonts w:cs="Times New Roman"/>
          <w:lang w:val="fr-CA"/>
        </w:rPr>
        <w:t>67(7) pour restreindre la portée des mots « </w:t>
      </w:r>
      <w:r w:rsidRPr="00DC4B43">
        <w:rPr>
          <w:rFonts w:cs="Times New Roman"/>
          <w:i/>
          <w:lang w:val="fr-CA"/>
        </w:rPr>
        <w:t>the proceeding</w:t>
      </w:r>
      <w:r w:rsidRPr="00DC4B43">
        <w:rPr>
          <w:rFonts w:cs="Times New Roman"/>
          <w:lang w:val="fr-CA"/>
        </w:rPr>
        <w:t xml:space="preserve"> » aux </w:t>
      </w:r>
      <w:r>
        <w:rPr>
          <w:rFonts w:cs="Times New Roman"/>
          <w:lang w:val="fr-CA"/>
        </w:rPr>
        <w:t>par. </w:t>
      </w:r>
      <w:r w:rsidRPr="00DC4B43">
        <w:rPr>
          <w:rFonts w:cs="Times New Roman"/>
          <w:lang w:val="fr-CA"/>
        </w:rPr>
        <w:t>13(2) et (3) dénuerait de sens au moins certaines des autres occurrences de « </w:t>
      </w:r>
      <w:r w:rsidRPr="00DC4B43">
        <w:rPr>
          <w:rFonts w:cs="Times New Roman"/>
          <w:i/>
          <w:lang w:val="fr-CA"/>
        </w:rPr>
        <w:t>the proceedings</w:t>
      </w:r>
      <w:r w:rsidRPr="00DC4B43">
        <w:rPr>
          <w:rFonts w:cs="Times New Roman"/>
          <w:lang w:val="fr-CA"/>
        </w:rPr>
        <w:t xml:space="preserve"> » dans la </w:t>
      </w:r>
      <w:r w:rsidRPr="00DC4B43">
        <w:rPr>
          <w:rFonts w:cs="Times New Roman"/>
          <w:i/>
          <w:lang w:val="fr-CA"/>
        </w:rPr>
        <w:t>LSJPA</w:t>
      </w:r>
      <w:r w:rsidRPr="00DC4B43">
        <w:rPr>
          <w:rFonts w:cs="Times New Roman"/>
          <w:lang w:val="fr-CA"/>
        </w:rPr>
        <w:t>.</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À titre d’exemple, le </w:t>
      </w:r>
      <w:r>
        <w:rPr>
          <w:rFonts w:cs="Times New Roman"/>
          <w:lang w:val="fr-CA"/>
        </w:rPr>
        <w:t>par. </w:t>
      </w:r>
      <w:r w:rsidRPr="00DC4B43">
        <w:rPr>
          <w:rFonts w:cs="Times New Roman"/>
          <w:lang w:val="fr-CA"/>
        </w:rPr>
        <w:t xml:space="preserve">20(1) de la </w:t>
      </w:r>
      <w:r w:rsidRPr="00DC4B43">
        <w:rPr>
          <w:rFonts w:cs="Times New Roman"/>
          <w:i/>
          <w:lang w:val="fr-CA"/>
        </w:rPr>
        <w:t>LSJPA</w:t>
      </w:r>
      <w:r w:rsidRPr="00DC4B43">
        <w:rPr>
          <w:rFonts w:cs="Times New Roman"/>
          <w:lang w:val="fr-CA"/>
        </w:rPr>
        <w:t xml:space="preserve"> dispose que «</w:t>
      </w:r>
      <w:r>
        <w:rPr>
          <w:rFonts w:cs="Times New Roman"/>
          <w:lang w:val="fr-CA"/>
        </w:rPr>
        <w:t xml:space="preserve"> le juge de paix est</w:t>
      </w:r>
      <w:r w:rsidRPr="00DC4B43">
        <w:rPr>
          <w:rFonts w:cs="Times New Roman"/>
          <w:lang w:val="fr-CA"/>
        </w:rPr>
        <w:t> [</w:t>
      </w:r>
      <w:r>
        <w:rPr>
          <w:rFonts w:cs="Times New Roman"/>
          <w:lang w:val="fr-CA"/>
        </w:rPr>
        <w:t>. . .</w:t>
      </w:r>
      <w:r w:rsidRPr="00DC4B43">
        <w:rPr>
          <w:rFonts w:cs="Times New Roman"/>
          <w:lang w:val="fr-CA"/>
        </w:rPr>
        <w:t>]</w:t>
      </w:r>
      <w:r>
        <w:rPr>
          <w:rFonts w:cs="Times New Roman"/>
          <w:lang w:val="fr-CA"/>
        </w:rPr>
        <w:t xml:space="preserve"> compétent pour toute procédure dont il </w:t>
      </w:r>
      <w:r w:rsidRPr="00DC4B43">
        <w:rPr>
          <w:rFonts w:cs="Times New Roman"/>
          <w:lang w:val="fr-CA"/>
        </w:rPr>
        <w:t xml:space="preserve">peut connaître sous le régime du </w:t>
      </w:r>
      <w:r w:rsidRPr="00DC4B43">
        <w:rPr>
          <w:rFonts w:cs="Times New Roman"/>
          <w:i/>
          <w:lang w:val="fr-CA"/>
        </w:rPr>
        <w:t>Code criminel</w:t>
      </w:r>
      <w:r w:rsidRPr="00DC4B43">
        <w:rPr>
          <w:rFonts w:cs="Times New Roman"/>
          <w:lang w:val="fr-CA"/>
        </w:rPr>
        <w:t xml:space="preserve">, </w:t>
      </w:r>
      <w:r w:rsidRPr="00DC4B43">
        <w:rPr>
          <w:rFonts w:cs="Times New Roman"/>
          <w:u w:val="single"/>
          <w:lang w:val="fr-CA"/>
        </w:rPr>
        <w:t>à l’exception des plaidoyers, procès et prononcé des peines</w:t>
      </w:r>
      <w:r w:rsidR="001E1676">
        <w:rPr>
          <w:rFonts w:cs="Times New Roman"/>
          <w:lang w:val="fr-CA"/>
        </w:rPr>
        <w:t xml:space="preserve"> </w:t>
      </w:r>
      <w:r w:rsidRPr="00DC4B43">
        <w:rPr>
          <w:rFonts w:cs="Times New Roman"/>
          <w:lang w:val="fr-CA"/>
        </w:rPr>
        <w:t xml:space="preserve">». En l’espèce, le mot « procédure » englobe clairement les mesures procédurales </w:t>
      </w:r>
      <w:r w:rsidRPr="00DC4B43">
        <w:rPr>
          <w:rFonts w:cs="Times New Roman"/>
          <w:i/>
          <w:lang w:val="fr-CA"/>
        </w:rPr>
        <w:t xml:space="preserve">autres que </w:t>
      </w:r>
      <w:r w:rsidRPr="00DC4B43">
        <w:rPr>
          <w:rFonts w:cs="Times New Roman"/>
          <w:lang w:val="fr-CA"/>
        </w:rPr>
        <w:t xml:space="preserve">le procès. De même, le </w:t>
      </w:r>
      <w:r>
        <w:rPr>
          <w:rFonts w:cs="Times New Roman"/>
          <w:lang w:val="fr-CA"/>
        </w:rPr>
        <w:t>par. </w:t>
      </w:r>
      <w:r w:rsidRPr="00DC4B43">
        <w:rPr>
          <w:rFonts w:cs="Times New Roman"/>
          <w:lang w:val="fr-CA"/>
        </w:rPr>
        <w:t xml:space="preserve">26(9) de la </w:t>
      </w:r>
      <w:r w:rsidRPr="00DC4B43">
        <w:rPr>
          <w:rFonts w:cs="Times New Roman"/>
          <w:i/>
          <w:lang w:val="fr-CA"/>
        </w:rPr>
        <w:t>LSJPA</w:t>
      </w:r>
      <w:r w:rsidRPr="00DC4B43">
        <w:rPr>
          <w:rFonts w:cs="Times New Roman"/>
          <w:lang w:val="fr-CA"/>
        </w:rPr>
        <w:t xml:space="preserve"> dispose que « le fait de ne pas donner l’avis [aux parents de l’adolescent] [. . .] n’invalide pas les </w:t>
      </w:r>
      <w:r w:rsidRPr="00DC4B43">
        <w:rPr>
          <w:rFonts w:cs="Times New Roman"/>
          <w:u w:val="single"/>
          <w:lang w:val="fr-CA"/>
        </w:rPr>
        <w:t>procédures</w:t>
      </w:r>
      <w:r w:rsidRPr="00DC4B43">
        <w:rPr>
          <w:rFonts w:cs="Times New Roman"/>
          <w:lang w:val="fr-CA"/>
        </w:rPr>
        <w:t xml:space="preserve"> engagées sous le régime de la présente loi ». </w:t>
      </w:r>
      <w:r w:rsidRPr="00DC4B43">
        <w:rPr>
          <w:rFonts w:cs="Times New Roman"/>
          <w:lang w:val="en-US"/>
        </w:rPr>
        <w:t xml:space="preserve">Cette disposition est subordonnée au </w:t>
      </w:r>
      <w:r>
        <w:rPr>
          <w:rFonts w:cs="Times New Roman"/>
          <w:lang w:val="en-US"/>
        </w:rPr>
        <w:t>par. </w:t>
      </w:r>
      <w:r w:rsidRPr="00DC4B43">
        <w:rPr>
          <w:rFonts w:cs="Times New Roman"/>
          <w:lang w:val="en-US"/>
        </w:rPr>
        <w:t xml:space="preserve">26(10), lequel prévoit dans sa version anglaise que le défaut de donner cet avis </w:t>
      </w:r>
      <w:r w:rsidRPr="00DC4B43">
        <w:rPr>
          <w:rFonts w:cs="Times New Roman"/>
          <w:i/>
          <w:lang w:val="en-US"/>
        </w:rPr>
        <w:t xml:space="preserve">invalide </w:t>
      </w:r>
      <w:r w:rsidRPr="00DC4B43">
        <w:rPr>
          <w:rFonts w:cs="Times New Roman"/>
          <w:lang w:val="en-US"/>
        </w:rPr>
        <w:t>les « </w:t>
      </w:r>
      <w:r w:rsidRPr="00DC4B43">
        <w:rPr>
          <w:rFonts w:cs="Times New Roman"/>
          <w:i/>
          <w:lang w:val="en-US"/>
        </w:rPr>
        <w:t xml:space="preserve">subsequent </w:t>
      </w:r>
      <w:r w:rsidRPr="00DC4B43">
        <w:rPr>
          <w:rFonts w:cs="Times New Roman"/>
          <w:i/>
          <w:lang w:val="en-US"/>
        </w:rPr>
        <w:lastRenderedPageBreak/>
        <w:t>proceedings </w:t>
      </w:r>
      <w:r w:rsidRPr="00DC4B43">
        <w:rPr>
          <w:rFonts w:cs="Times New Roman"/>
          <w:lang w:val="en-US"/>
        </w:rPr>
        <w:t>» à moins que, notamment, «</w:t>
      </w:r>
      <w:r>
        <w:rPr>
          <w:rFonts w:cs="Times New Roman"/>
          <w:lang w:val="en-US"/>
        </w:rPr>
        <w:t> </w:t>
      </w:r>
      <w:r w:rsidRPr="00DC4B43">
        <w:rPr>
          <w:rFonts w:cs="Times New Roman"/>
          <w:i/>
          <w:lang w:val="en-US"/>
        </w:rPr>
        <w:t xml:space="preserve">a youth justice court judge or a justice before whom proceedings are held against the young person adjourns </w:t>
      </w:r>
      <w:r w:rsidRPr="00DC4B43">
        <w:rPr>
          <w:rFonts w:cs="Times New Roman"/>
          <w:i/>
          <w:u w:val="single"/>
          <w:lang w:val="en-US"/>
        </w:rPr>
        <w:t>the proceedings</w:t>
      </w:r>
      <w:r w:rsidRPr="00DC4B43">
        <w:rPr>
          <w:rFonts w:cs="Times New Roman"/>
          <w:i/>
          <w:lang w:val="en-US"/>
        </w:rPr>
        <w:t xml:space="preserve"> and orders that the notice be given in the manner and to the persons that the judge directs </w:t>
      </w:r>
      <w:r w:rsidRPr="00DC4B43">
        <w:rPr>
          <w:rFonts w:cs="Times New Roman"/>
          <w:lang w:val="en-US"/>
        </w:rPr>
        <w:t xml:space="preserve">». </w:t>
      </w:r>
      <w:r w:rsidRPr="00DC4B43">
        <w:rPr>
          <w:rFonts w:cs="Times New Roman"/>
          <w:lang w:val="fr-CA"/>
        </w:rPr>
        <w:t>Il serait absurde d’interpréter le mot anglais « </w:t>
      </w:r>
      <w:r w:rsidRPr="00DC4B43">
        <w:rPr>
          <w:rFonts w:cs="Times New Roman"/>
          <w:i/>
          <w:lang w:val="fr-CA"/>
        </w:rPr>
        <w:t>proceedings</w:t>
      </w:r>
      <w:r w:rsidRPr="00DC4B43">
        <w:rPr>
          <w:rFonts w:cs="Times New Roman"/>
          <w:lang w:val="fr-CA"/>
        </w:rPr>
        <w:t> » (ou les mots anglais «</w:t>
      </w:r>
      <w:r>
        <w:rPr>
          <w:rFonts w:cs="Times New Roman"/>
          <w:lang w:val="fr-CA"/>
        </w:rPr>
        <w:t> </w:t>
      </w:r>
      <w:r w:rsidRPr="00DC4B43">
        <w:rPr>
          <w:rFonts w:cs="Times New Roman"/>
          <w:i/>
          <w:lang w:val="fr-CA"/>
        </w:rPr>
        <w:t>the proceedings</w:t>
      </w:r>
      <w:r>
        <w:rPr>
          <w:rFonts w:cs="Times New Roman"/>
          <w:lang w:val="fr-CA"/>
        </w:rPr>
        <w:t> </w:t>
      </w:r>
      <w:r w:rsidRPr="00DC4B43">
        <w:rPr>
          <w:rFonts w:cs="Times New Roman"/>
          <w:lang w:val="fr-CA"/>
        </w:rPr>
        <w:t xml:space="preserve">») dans la présente affaire comme désignant </w:t>
      </w:r>
      <w:r w:rsidRPr="00DC4B43">
        <w:rPr>
          <w:rFonts w:cs="Times New Roman"/>
          <w:i/>
          <w:lang w:val="fr-CA"/>
        </w:rPr>
        <w:t xml:space="preserve">seulement </w:t>
      </w:r>
      <w:r w:rsidRPr="00DC4B43">
        <w:rPr>
          <w:rFonts w:cs="Times New Roman"/>
          <w:lang w:val="fr-CA"/>
        </w:rPr>
        <w:t>le procès compte tenu du renvoi aux « procédures [subséquentes] », et cela compromettrait l’objectif de cette disposition</w:t>
      </w:r>
      <w:r>
        <w:rPr>
          <w:rFonts w:cs="Times New Roman"/>
          <w:lang w:val="fr-CA"/>
        </w:rPr>
        <w:t> :</w:t>
      </w:r>
      <w:r w:rsidRPr="00DC4B43">
        <w:rPr>
          <w:rFonts w:cs="Times New Roman"/>
          <w:lang w:val="fr-CA"/>
        </w:rPr>
        <w:t xml:space="preserve"> préserver la validité des mesures procédurales déjà prises, tout en veillant à ce que les parents de l’adolescent soient informés de toutes les mesures procédurales à prendre dans la poursuite de leur enfant pour qu’ils puissent être encouragés à lui offrir leur soutien (sous</w:t>
      </w:r>
      <w:r>
        <w:rPr>
          <w:rFonts w:cs="Times New Roman"/>
          <w:lang w:val="fr-CA"/>
        </w:rPr>
        <w:noBreakHyphen/>
        <w:t>al. </w:t>
      </w:r>
      <w:r w:rsidRPr="00DC4B43">
        <w:rPr>
          <w:rFonts w:cs="Times New Roman"/>
          <w:lang w:val="fr-CA"/>
        </w:rPr>
        <w:t xml:space="preserve">3(1)d)(iv) </w:t>
      </w:r>
      <w:r w:rsidRPr="00DC4B43">
        <w:rPr>
          <w:rFonts w:cs="Times New Roman"/>
          <w:i/>
          <w:lang w:val="fr-CA"/>
        </w:rPr>
        <w:t>LSJPA</w:t>
      </w:r>
      <w:r w:rsidRPr="00DC4B43">
        <w:rPr>
          <w:rFonts w:cs="Times New Roman"/>
          <w:lang w:val="fr-CA"/>
        </w:rPr>
        <w:t>).</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Qui plus est, le </w:t>
      </w:r>
      <w:r>
        <w:rPr>
          <w:rFonts w:cs="Times New Roman"/>
          <w:lang w:val="fr-CA"/>
        </w:rPr>
        <w:t>par. </w:t>
      </w:r>
      <w:r w:rsidRPr="00DC4B43">
        <w:rPr>
          <w:rFonts w:cs="Times New Roman"/>
          <w:lang w:val="fr-CA"/>
        </w:rPr>
        <w:t>67(7) accorde au «</w:t>
      </w:r>
      <w:r>
        <w:rPr>
          <w:rFonts w:cs="Times New Roman"/>
          <w:lang w:val="fr-CA"/>
        </w:rPr>
        <w:t> </w:t>
      </w:r>
      <w:r w:rsidRPr="00DC4B43">
        <w:rPr>
          <w:rFonts w:cs="Times New Roman"/>
          <w:lang w:val="fr-CA"/>
        </w:rPr>
        <w:t xml:space="preserve">[juge du] tribunal pour adolescents mentionné au </w:t>
      </w:r>
      <w:r w:rsidR="00AD752D">
        <w:rPr>
          <w:rFonts w:cs="Times New Roman"/>
          <w:lang w:val="fr-CA"/>
        </w:rPr>
        <w:t>par. </w:t>
      </w:r>
      <w:r w:rsidRPr="00DC4B43">
        <w:rPr>
          <w:rFonts w:cs="Times New Roman"/>
          <w:lang w:val="fr-CA"/>
        </w:rPr>
        <w:t xml:space="preserve">13(1) » compétence exclusive pour tenir une enquête préliminaire. Si, toutefois, le juge de la cour supérieure qui est réputé être un juge du tribunal pour adolescents ne pouvait jamais acquérir compétence avant le procès, il n’aurait pas été nécessaire pour le Parlement de mentionner expressément le </w:t>
      </w:r>
      <w:r>
        <w:rPr>
          <w:rFonts w:cs="Times New Roman"/>
          <w:lang w:val="fr-CA"/>
        </w:rPr>
        <w:t>par. </w:t>
      </w:r>
      <w:r w:rsidRPr="00DC4B43">
        <w:rPr>
          <w:rFonts w:cs="Times New Roman"/>
          <w:lang w:val="fr-CA"/>
        </w:rPr>
        <w:t xml:space="preserve">13(1) au </w:t>
      </w:r>
      <w:r>
        <w:rPr>
          <w:rFonts w:cs="Times New Roman"/>
          <w:lang w:val="fr-CA"/>
        </w:rPr>
        <w:t>par. </w:t>
      </w:r>
      <w:r w:rsidRPr="00DC4B43">
        <w:rPr>
          <w:rFonts w:cs="Times New Roman"/>
          <w:lang w:val="fr-CA"/>
        </w:rPr>
        <w:t xml:space="preserve">67(7). Il en est ainsi car, selon ce point de vue, un juge du tribunal pour adolescents mentionné au </w:t>
      </w:r>
      <w:r>
        <w:rPr>
          <w:rFonts w:cs="Times New Roman"/>
          <w:lang w:val="fr-CA"/>
        </w:rPr>
        <w:t>par. </w:t>
      </w:r>
      <w:r w:rsidRPr="00DC4B43">
        <w:rPr>
          <w:rFonts w:cs="Times New Roman"/>
          <w:lang w:val="fr-CA"/>
        </w:rPr>
        <w:t xml:space="preserve">13(1) serait alors le </w:t>
      </w:r>
      <w:r w:rsidRPr="00DC4B43">
        <w:rPr>
          <w:rFonts w:cs="Times New Roman"/>
          <w:i/>
          <w:lang w:val="fr-CA"/>
        </w:rPr>
        <w:t xml:space="preserve">seul </w:t>
      </w:r>
      <w:r w:rsidRPr="00DC4B43">
        <w:rPr>
          <w:rFonts w:cs="Times New Roman"/>
          <w:lang w:val="fr-CA"/>
        </w:rPr>
        <w:t>juge du tribunal pour adolescents qui pourrait avoir compétence sur une procédure préalable au procès telle l’enquête préliminaire. Le Parlement est présumé éviter « les termes, les phrases et les parties plus longues, comme les paragraphes, les dispositions et les parties d’un texte législatif, qui sont superflus et dénués de sens » (</w:t>
      </w:r>
      <w:r w:rsidRPr="00DC4B43">
        <w:rPr>
          <w:rFonts w:cs="Times New Roman"/>
          <w:i/>
          <w:lang w:val="fr-CA"/>
        </w:rPr>
        <w:t>Bristol</w:t>
      </w:r>
      <w:r>
        <w:rPr>
          <w:rFonts w:cs="Times New Roman"/>
          <w:i/>
          <w:lang w:val="fr-CA"/>
        </w:rPr>
        <w:noBreakHyphen/>
      </w:r>
      <w:r w:rsidRPr="00DC4B43">
        <w:rPr>
          <w:rFonts w:cs="Times New Roman"/>
          <w:i/>
          <w:lang w:val="fr-CA"/>
        </w:rPr>
        <w:t>Myers Squibb Co. c. Canada (Procureur général)</w:t>
      </w:r>
      <w:r w:rsidRPr="00DC4B43">
        <w:rPr>
          <w:rFonts w:cs="Times New Roman"/>
          <w:lang w:val="fr-CA"/>
        </w:rPr>
        <w:t>,</w:t>
      </w:r>
      <w:r w:rsidRPr="00DC4B43">
        <w:rPr>
          <w:rFonts w:cs="Times New Roman"/>
          <w:i/>
          <w:lang w:val="fr-CA"/>
        </w:rPr>
        <w:t xml:space="preserve"> </w:t>
      </w:r>
      <w:r w:rsidRPr="00DC4B43">
        <w:rPr>
          <w:rFonts w:cs="Times New Roman"/>
          <w:lang w:val="fr-CA"/>
        </w:rPr>
        <w:t xml:space="preserve">2005 CSC 26, [2005] 1 R.C.S. 533, </w:t>
      </w:r>
      <w:r>
        <w:rPr>
          <w:rFonts w:cs="Times New Roman"/>
          <w:lang w:val="fr-CA"/>
        </w:rPr>
        <w:t>par. </w:t>
      </w:r>
      <w:r w:rsidRPr="00DC4B43">
        <w:rPr>
          <w:rFonts w:cs="Times New Roman"/>
          <w:lang w:val="fr-CA"/>
        </w:rPr>
        <w:t>178).</w:t>
      </w:r>
    </w:p>
    <w:p w:rsidR="008E3C0D" w:rsidRPr="00DC4B43" w:rsidRDefault="008E3C0D" w:rsidP="008E3C0D">
      <w:pPr>
        <w:pStyle w:val="ParaNoNdepar-AltN"/>
        <w:spacing w:before="0"/>
        <w:rPr>
          <w:rFonts w:cs="Times New Roman"/>
          <w:lang w:val="fr-CA"/>
        </w:rPr>
      </w:pPr>
      <w:r w:rsidRPr="00DC4B43">
        <w:rPr>
          <w:rFonts w:cs="Times New Roman"/>
          <w:lang w:val="fr-CA"/>
        </w:rPr>
        <w:lastRenderedPageBreak/>
        <w:t xml:space="preserve">En dernier lieu, je signale qu’il y a, entre le texte du </w:t>
      </w:r>
      <w:r>
        <w:rPr>
          <w:rFonts w:cs="Times New Roman"/>
          <w:lang w:val="fr-CA"/>
        </w:rPr>
        <w:t>par. </w:t>
      </w:r>
      <w:r w:rsidRPr="00DC4B43">
        <w:rPr>
          <w:rFonts w:cs="Times New Roman"/>
          <w:lang w:val="fr-CA"/>
        </w:rPr>
        <w:t xml:space="preserve">13(2) et celui du </w:t>
      </w:r>
      <w:r>
        <w:rPr>
          <w:rFonts w:cs="Times New Roman"/>
          <w:lang w:val="fr-CA"/>
        </w:rPr>
        <w:t>par. </w:t>
      </w:r>
      <w:r w:rsidRPr="00DC4B43">
        <w:rPr>
          <w:rFonts w:cs="Times New Roman"/>
          <w:lang w:val="fr-CA"/>
        </w:rPr>
        <w:t>13(3), une différence subtile, mais importante, qui appuie la justesse de donner une interprétation plus large</w:t>
      </w:r>
      <w:r>
        <w:rPr>
          <w:rFonts w:cs="Times New Roman"/>
          <w:lang w:val="fr-CA"/>
        </w:rPr>
        <w:t xml:space="preserve"> aux mots</w:t>
      </w:r>
      <w:r w:rsidRPr="00DC4B43">
        <w:rPr>
          <w:rFonts w:cs="Times New Roman"/>
          <w:lang w:val="fr-CA"/>
        </w:rPr>
        <w:t xml:space="preserve"> « les procédures</w:t>
      </w:r>
      <w:r>
        <w:rPr>
          <w:rFonts w:cs="Times New Roman"/>
          <w:lang w:val="fr-CA"/>
        </w:rPr>
        <w:t> </w:t>
      </w:r>
      <w:r w:rsidRPr="00DC4B43">
        <w:rPr>
          <w:rFonts w:cs="Times New Roman"/>
          <w:lang w:val="fr-CA"/>
        </w:rPr>
        <w:t xml:space="preserve">». Le paragraphe 13(2) assimile la cour supérieure à un tribunal pour adolescents </w:t>
      </w:r>
      <w:r w:rsidRPr="00DC4B43">
        <w:rPr>
          <w:rFonts w:cs="Times New Roman"/>
          <w:i/>
          <w:lang w:val="fr-CA"/>
        </w:rPr>
        <w:t>et</w:t>
      </w:r>
      <w:r w:rsidRPr="00DC4B43">
        <w:rPr>
          <w:rFonts w:cs="Times New Roman"/>
          <w:lang w:val="fr-CA"/>
        </w:rPr>
        <w:t xml:space="preserve"> assimile le juge de la cour supérieure à un juge du tribunal pour adolescents </w:t>
      </w:r>
      <w:r w:rsidRPr="00DC4B43">
        <w:rPr>
          <w:rFonts w:cs="Times New Roman"/>
          <w:i/>
          <w:lang w:val="fr-CA"/>
        </w:rPr>
        <w:t>pour les procédures en cause</w:t>
      </w:r>
      <w:r w:rsidRPr="00DC4B43">
        <w:rPr>
          <w:rFonts w:cs="Times New Roman"/>
          <w:lang w:val="fr-CA"/>
        </w:rPr>
        <w:t xml:space="preserve">. Or, bien que le </w:t>
      </w:r>
      <w:r>
        <w:rPr>
          <w:rFonts w:cs="Times New Roman"/>
          <w:lang w:val="fr-CA"/>
        </w:rPr>
        <w:t>par. </w:t>
      </w:r>
      <w:r w:rsidRPr="00DC4B43">
        <w:rPr>
          <w:rFonts w:cs="Times New Roman"/>
          <w:lang w:val="fr-CA"/>
        </w:rPr>
        <w:t xml:space="preserve">13(3) assimile également la cour supérieure à un tribunal pour adolescents </w:t>
      </w:r>
      <w:r w:rsidRPr="00DC4B43">
        <w:rPr>
          <w:rFonts w:cs="Times New Roman"/>
          <w:i/>
          <w:lang w:val="fr-CA"/>
        </w:rPr>
        <w:t>pour les procédures en cause</w:t>
      </w:r>
      <w:r w:rsidRPr="00DC4B43">
        <w:rPr>
          <w:rFonts w:cs="Times New Roman"/>
          <w:lang w:val="fr-CA"/>
        </w:rPr>
        <w:t xml:space="preserve">, il assimile le </w:t>
      </w:r>
      <w:r w:rsidRPr="00DC4B43">
        <w:rPr>
          <w:rFonts w:cs="Times New Roman"/>
          <w:i/>
          <w:lang w:val="fr-CA"/>
        </w:rPr>
        <w:t xml:space="preserve">juge </w:t>
      </w:r>
      <w:r w:rsidRPr="00DC4B43">
        <w:rPr>
          <w:rFonts w:cs="Times New Roman"/>
          <w:lang w:val="fr-CA"/>
        </w:rPr>
        <w:t xml:space="preserve">de la cour supérieure au juge du tribunal pour adolescents </w:t>
      </w:r>
      <w:r w:rsidRPr="00DC4B43">
        <w:rPr>
          <w:rFonts w:cs="Times New Roman"/>
          <w:i/>
          <w:lang w:val="fr-CA"/>
        </w:rPr>
        <w:t>sans réserve</w:t>
      </w:r>
      <w:r w:rsidRPr="00DC4B43">
        <w:rPr>
          <w:rFonts w:cs="Times New Roman"/>
          <w:lang w:val="fr-CA"/>
        </w:rPr>
        <w:t xml:space="preserve">. En d’autres termes, le </w:t>
      </w:r>
      <w:r>
        <w:rPr>
          <w:rFonts w:cs="Times New Roman"/>
          <w:lang w:val="fr-CA"/>
        </w:rPr>
        <w:t>par. </w:t>
      </w:r>
      <w:r w:rsidRPr="00DC4B43">
        <w:rPr>
          <w:rFonts w:cs="Times New Roman"/>
          <w:lang w:val="fr-CA"/>
        </w:rPr>
        <w:t>13(3) ne limite pas à première vue la compétence d’un juge de la cour supérieure réputé être un juge du tribunal pour adolescents dans les procédures en cause. Considérer que « les procédures</w:t>
      </w:r>
      <w:r>
        <w:rPr>
          <w:rFonts w:cs="Times New Roman"/>
          <w:lang w:val="fr-CA"/>
        </w:rPr>
        <w:t> </w:t>
      </w:r>
      <w:r w:rsidRPr="00DC4B43">
        <w:rPr>
          <w:rFonts w:cs="Times New Roman"/>
          <w:lang w:val="fr-CA"/>
        </w:rPr>
        <w:t xml:space="preserve">» ne s’entendent que du procès proprement dit créerait donc une situation anormale où le juge de la cour supérieure réputé par le </w:t>
      </w:r>
      <w:r>
        <w:rPr>
          <w:rFonts w:cs="Times New Roman"/>
          <w:lang w:val="fr-CA"/>
        </w:rPr>
        <w:t>par. </w:t>
      </w:r>
      <w:r w:rsidRPr="00DC4B43">
        <w:rPr>
          <w:rFonts w:cs="Times New Roman"/>
          <w:lang w:val="fr-CA"/>
        </w:rPr>
        <w:t xml:space="preserve">13(3) être un juge du tribunal pour adolescents aurait compétence pour entendre la demande de T.J.M., alors que ce ne serait pas le cas du juge de la cour supérieure réputé par le </w:t>
      </w:r>
      <w:r>
        <w:rPr>
          <w:rFonts w:cs="Times New Roman"/>
          <w:lang w:val="fr-CA"/>
        </w:rPr>
        <w:t>par. </w:t>
      </w:r>
      <w:r w:rsidRPr="00DC4B43">
        <w:rPr>
          <w:rFonts w:cs="Times New Roman"/>
          <w:lang w:val="fr-CA"/>
        </w:rPr>
        <w:t>13(2) être un juge du tribunal pour adolescents. Pourtant, la seule différence entre les deux tient à ce que le premier siège avec jury et que le deuxième siège seul. Le Parlement n’aurait pas pu souhaiter pareil résultat.</w:t>
      </w:r>
    </w:p>
    <w:p w:rsidR="008E3C0D" w:rsidRPr="00DC4B43" w:rsidRDefault="008E3C0D" w:rsidP="008E3C0D">
      <w:pPr>
        <w:pStyle w:val="Title2LevelTitre2Niveau"/>
        <w:spacing w:before="0"/>
        <w:rPr>
          <w:rFonts w:cs="Times New Roman"/>
          <w:lang w:val="fr-CA"/>
        </w:rPr>
      </w:pPr>
      <w:r w:rsidRPr="00DC4B43">
        <w:rPr>
          <w:rFonts w:cs="Times New Roman"/>
          <w:lang w:val="fr-CA"/>
        </w:rPr>
        <w:t>Compétence exclusive par opposition à compétence concurrente</w:t>
      </w:r>
    </w:p>
    <w:p w:rsidR="008E3C0D" w:rsidRPr="00DC4B43" w:rsidRDefault="008E3C0D" w:rsidP="008E3C0D">
      <w:pPr>
        <w:pStyle w:val="ParaNoNdepar-AltN"/>
        <w:spacing w:before="0"/>
        <w:rPr>
          <w:rFonts w:cs="Times New Roman"/>
          <w:lang w:val="fr-CA"/>
        </w:rPr>
      </w:pPr>
      <w:r w:rsidRPr="00DC4B43">
        <w:rPr>
          <w:rFonts w:cs="Times New Roman"/>
          <w:lang w:val="fr-CA"/>
        </w:rPr>
        <w:t>Comme il est clair que le juge de la cour supérieure a compétence pour entendre et trancher la demande de mise en liberté provisoire d’un adolescent inculpé d’une infraction énumérée à l’</w:t>
      </w:r>
      <w:r>
        <w:rPr>
          <w:rFonts w:cs="Times New Roman"/>
          <w:lang w:val="fr-CA"/>
        </w:rPr>
        <w:t>art. </w:t>
      </w:r>
      <w:r w:rsidRPr="00DC4B43">
        <w:rPr>
          <w:rFonts w:cs="Times New Roman"/>
          <w:lang w:val="fr-CA"/>
        </w:rPr>
        <w:t xml:space="preserve">469 du </w:t>
      </w:r>
      <w:r w:rsidRPr="00DC4B43">
        <w:rPr>
          <w:rFonts w:cs="Times New Roman"/>
          <w:i/>
          <w:lang w:val="fr-CA"/>
        </w:rPr>
        <w:t xml:space="preserve">Code criminel </w:t>
      </w:r>
      <w:r w:rsidRPr="00DC4B43">
        <w:rPr>
          <w:rFonts w:cs="Times New Roman"/>
          <w:lang w:val="fr-CA"/>
        </w:rPr>
        <w:t xml:space="preserve">après son choix, il reste à </w:t>
      </w:r>
      <w:r w:rsidRPr="00DC4B43">
        <w:rPr>
          <w:rFonts w:cs="Times New Roman"/>
          <w:lang w:val="fr-CA"/>
        </w:rPr>
        <w:lastRenderedPageBreak/>
        <w:t xml:space="preserve">décider si cette compétence est exclusive, ou si elle continue également d’être dévolue aux tribunaux désignés par la province en tant que tribunal pour adolescents. La jurisprudence sur ce point est partagée (voir, par exemple, </w:t>
      </w:r>
      <w:r w:rsidRPr="00DC4B43">
        <w:rPr>
          <w:rFonts w:cs="Times New Roman"/>
          <w:i/>
          <w:lang w:val="fr-CA"/>
        </w:rPr>
        <w:t>Protection de la jeunesse</w:t>
      </w:r>
      <w:r w:rsidRPr="00DC4B43">
        <w:rPr>
          <w:rFonts w:cs="Times New Roman"/>
          <w:lang w:val="fr-CA"/>
        </w:rPr>
        <w:t xml:space="preserve">, </w:t>
      </w:r>
      <w:r>
        <w:rPr>
          <w:rFonts w:cs="Times New Roman"/>
          <w:lang w:val="fr-CA"/>
        </w:rPr>
        <w:t>par. </w:t>
      </w:r>
      <w:r w:rsidRPr="00DC4B43">
        <w:rPr>
          <w:rFonts w:cs="Times New Roman"/>
          <w:lang w:val="fr-CA"/>
        </w:rPr>
        <w:t>34</w:t>
      </w:r>
      <w:r>
        <w:rPr>
          <w:rFonts w:cs="Times New Roman"/>
          <w:lang w:val="fr-CA"/>
        </w:rPr>
        <w:noBreakHyphen/>
      </w:r>
      <w:r w:rsidRPr="00DC4B43">
        <w:rPr>
          <w:rFonts w:cs="Times New Roman"/>
          <w:lang w:val="fr-CA"/>
        </w:rPr>
        <w:t xml:space="preserve">35; </w:t>
      </w:r>
      <w:r w:rsidRPr="00DC4B43">
        <w:rPr>
          <w:rFonts w:cs="Times New Roman"/>
          <w:i/>
          <w:lang w:val="fr-CA"/>
        </w:rPr>
        <w:t>B.W.H.</w:t>
      </w:r>
      <w:r w:rsidRPr="00DC4B43">
        <w:rPr>
          <w:rFonts w:cs="Times New Roman"/>
          <w:lang w:val="fr-CA"/>
        </w:rPr>
        <w:t>,</w:t>
      </w:r>
      <w:r w:rsidRPr="00DC4B43">
        <w:rPr>
          <w:rFonts w:cs="Times New Roman"/>
          <w:i/>
          <w:lang w:val="fr-CA"/>
        </w:rPr>
        <w:t xml:space="preserve"> </w:t>
      </w:r>
      <w:r>
        <w:rPr>
          <w:rFonts w:cs="Times New Roman"/>
          <w:lang w:val="fr-CA"/>
        </w:rPr>
        <w:t>par. </w:t>
      </w:r>
      <w:r w:rsidRPr="00DC4B43">
        <w:rPr>
          <w:rFonts w:cs="Times New Roman"/>
          <w:lang w:val="fr-CA"/>
        </w:rPr>
        <w:t>37</w:t>
      </w:r>
      <w:r>
        <w:rPr>
          <w:rFonts w:cs="Times New Roman"/>
          <w:lang w:val="fr-CA"/>
        </w:rPr>
        <w:noBreakHyphen/>
      </w:r>
      <w:r w:rsidRPr="00DC4B43">
        <w:rPr>
          <w:rFonts w:cs="Times New Roman"/>
          <w:lang w:val="fr-CA"/>
        </w:rPr>
        <w:t xml:space="preserve">38; </w:t>
      </w:r>
      <w:r w:rsidRPr="00DC4B43">
        <w:rPr>
          <w:rFonts w:cs="Times New Roman"/>
          <w:i/>
          <w:lang w:val="fr-CA"/>
        </w:rPr>
        <w:t>N.M.</w:t>
      </w:r>
      <w:r w:rsidRPr="00DC4B43">
        <w:rPr>
          <w:rFonts w:cs="Times New Roman"/>
          <w:lang w:val="fr-CA"/>
        </w:rPr>
        <w:t xml:space="preserve">, </w:t>
      </w:r>
      <w:r>
        <w:rPr>
          <w:rFonts w:cs="Times New Roman"/>
          <w:lang w:val="fr-CA"/>
        </w:rPr>
        <w:t>par. </w:t>
      </w:r>
      <w:r w:rsidRPr="00DC4B43">
        <w:rPr>
          <w:rFonts w:cs="Times New Roman"/>
          <w:lang w:val="fr-CA"/>
        </w:rPr>
        <w:t>45</w:t>
      </w:r>
      <w:r>
        <w:rPr>
          <w:rFonts w:cs="Times New Roman"/>
          <w:lang w:val="fr-CA"/>
        </w:rPr>
        <w:noBreakHyphen/>
      </w:r>
      <w:r w:rsidRPr="00DC4B43">
        <w:rPr>
          <w:rFonts w:cs="Times New Roman"/>
          <w:lang w:val="fr-CA"/>
        </w:rPr>
        <w:t>55;</w:t>
      </w:r>
      <w:r w:rsidR="00AD752D">
        <w:rPr>
          <w:rFonts w:cs="Times New Roman"/>
          <w:i/>
          <w:lang w:val="fr-CA"/>
        </w:rPr>
        <w:t xml:space="preserve"> W. </w:t>
      </w:r>
      <w:r w:rsidRPr="00DC4B43">
        <w:rPr>
          <w:rFonts w:cs="Times New Roman"/>
          <w:i/>
          <w:lang w:val="fr-CA"/>
        </w:rPr>
        <w:t>(E.E.)</w:t>
      </w:r>
      <w:r w:rsidRPr="00DC4B43">
        <w:rPr>
          <w:rFonts w:cs="Times New Roman"/>
          <w:lang w:val="fr-CA"/>
        </w:rPr>
        <w:t>,</w:t>
      </w:r>
      <w:r w:rsidRPr="00DC4B43">
        <w:rPr>
          <w:rFonts w:cs="Times New Roman"/>
          <w:i/>
          <w:lang w:val="fr-CA"/>
        </w:rPr>
        <w:t xml:space="preserve"> </w:t>
      </w:r>
      <w:r>
        <w:rPr>
          <w:rFonts w:cs="Times New Roman"/>
          <w:lang w:val="fr-CA"/>
        </w:rPr>
        <w:t>par. </w:t>
      </w:r>
      <w:r w:rsidRPr="00DC4B43">
        <w:rPr>
          <w:rFonts w:cs="Times New Roman"/>
          <w:lang w:val="fr-CA"/>
        </w:rPr>
        <w:t xml:space="preserve">14 et 21; </w:t>
      </w:r>
      <w:r w:rsidRPr="00DC4B43">
        <w:rPr>
          <w:rFonts w:cs="Times New Roman"/>
          <w:i/>
          <w:lang w:val="fr-CA"/>
        </w:rPr>
        <w:t>B. (J.)</w:t>
      </w:r>
      <w:r w:rsidRPr="00DC4B43">
        <w:rPr>
          <w:rFonts w:cs="Times New Roman"/>
          <w:lang w:val="fr-CA"/>
        </w:rPr>
        <w:t xml:space="preserve">, </w:t>
      </w:r>
      <w:r>
        <w:rPr>
          <w:rFonts w:cs="Times New Roman"/>
          <w:lang w:val="fr-CA"/>
        </w:rPr>
        <w:t>par. </w:t>
      </w:r>
      <w:r w:rsidRPr="00DC4B43">
        <w:rPr>
          <w:rFonts w:cs="Times New Roman"/>
          <w:lang w:val="fr-CA"/>
        </w:rPr>
        <w:t>1</w:t>
      </w:r>
      <w:r>
        <w:rPr>
          <w:rFonts w:cs="Times New Roman"/>
          <w:lang w:val="fr-CA"/>
        </w:rPr>
        <w:noBreakHyphen/>
      </w:r>
      <w:r w:rsidRPr="00DC4B43">
        <w:rPr>
          <w:rFonts w:cs="Times New Roman"/>
          <w:lang w:val="fr-CA"/>
        </w:rPr>
        <w:t xml:space="preserve">20 et 32; </w:t>
      </w:r>
      <w:r w:rsidR="00AD752D">
        <w:rPr>
          <w:rFonts w:cs="Times New Roman"/>
          <w:i/>
          <w:lang w:val="fr-CA"/>
        </w:rPr>
        <w:t>F. </w:t>
      </w:r>
      <w:r w:rsidRPr="00DC4B43">
        <w:rPr>
          <w:rFonts w:cs="Times New Roman"/>
          <w:i/>
          <w:lang w:val="fr-CA"/>
        </w:rPr>
        <w:t>(M.)</w:t>
      </w:r>
      <w:r w:rsidRPr="00DC4B43">
        <w:rPr>
          <w:rFonts w:cs="Times New Roman"/>
          <w:lang w:val="fr-CA"/>
        </w:rPr>
        <w:t>,</w:t>
      </w:r>
      <w:r w:rsidRPr="00DC4B43">
        <w:rPr>
          <w:rFonts w:cs="Times New Roman"/>
          <w:i/>
          <w:lang w:val="fr-CA"/>
        </w:rPr>
        <w:t xml:space="preserve"> </w:t>
      </w:r>
      <w:r>
        <w:rPr>
          <w:rFonts w:cs="Times New Roman"/>
          <w:lang w:val="fr-CA"/>
        </w:rPr>
        <w:t>par. </w:t>
      </w:r>
      <w:r w:rsidRPr="00DC4B43">
        <w:rPr>
          <w:rFonts w:cs="Times New Roman"/>
          <w:lang w:val="fr-CA"/>
        </w:rPr>
        <w:t>46 et 49</w:t>
      </w:r>
      <w:r>
        <w:rPr>
          <w:rFonts w:cs="Times New Roman"/>
          <w:lang w:val="fr-CA"/>
        </w:rPr>
        <w:noBreakHyphen/>
      </w:r>
      <w:r w:rsidRPr="00DC4B43">
        <w:rPr>
          <w:rFonts w:cs="Times New Roman"/>
          <w:lang w:val="fr-CA"/>
        </w:rPr>
        <w:t>51).</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L’argument selon lequel le choix d’un adolescent d’être jugé par un juge de la cour supérieure fait intervenir la compétence </w:t>
      </w:r>
      <w:r w:rsidRPr="00DC4B43">
        <w:rPr>
          <w:rFonts w:cs="Times New Roman"/>
          <w:i/>
          <w:lang w:val="fr-CA"/>
        </w:rPr>
        <w:t>exclusive</w:t>
      </w:r>
      <w:r w:rsidRPr="00DC4B43">
        <w:rPr>
          <w:rFonts w:cs="Times New Roman"/>
          <w:lang w:val="fr-CA"/>
        </w:rPr>
        <w:t xml:space="preserve"> de la cour supérieure à l’égard des adolescents accusés d’infractions énoncées à l’</w:t>
      </w:r>
      <w:r>
        <w:rPr>
          <w:rFonts w:cs="Times New Roman"/>
          <w:lang w:val="fr-CA"/>
        </w:rPr>
        <w:t>art. </w:t>
      </w:r>
      <w:r w:rsidRPr="00DC4B43">
        <w:rPr>
          <w:rFonts w:cs="Times New Roman"/>
          <w:lang w:val="fr-CA"/>
        </w:rPr>
        <w:t xml:space="preserve">469 se fonde sur le </w:t>
      </w:r>
      <w:r>
        <w:rPr>
          <w:rFonts w:cs="Times New Roman"/>
          <w:lang w:val="fr-CA"/>
        </w:rPr>
        <w:t>par. </w:t>
      </w:r>
      <w:r w:rsidRPr="00DC4B43">
        <w:rPr>
          <w:rFonts w:cs="Times New Roman"/>
          <w:lang w:val="fr-CA"/>
        </w:rPr>
        <w:t xml:space="preserve">522(1) du </w:t>
      </w:r>
      <w:r w:rsidRPr="00DC4B43">
        <w:rPr>
          <w:rFonts w:cs="Times New Roman"/>
          <w:i/>
          <w:lang w:val="fr-CA"/>
        </w:rPr>
        <w:t>Code criminel</w:t>
      </w:r>
      <w:r w:rsidRPr="00DC4B43">
        <w:rPr>
          <w:rFonts w:cs="Times New Roman"/>
          <w:lang w:val="fr-CA"/>
        </w:rPr>
        <w:t xml:space="preserve">, que l’on retrouve à la partie XVI </w:t>
      </w:r>
      <w:r w:rsidRPr="00DC4B43">
        <w:rPr>
          <w:rFonts w:cs="Times New Roman"/>
        </w:rPr>
        <w:t>⸺</w:t>
      </w:r>
      <w:r w:rsidRPr="00DC4B43">
        <w:rPr>
          <w:rFonts w:cs="Times New Roman"/>
          <w:lang w:val="fr-CA"/>
        </w:rPr>
        <w:t xml:space="preserve"> « Mesures concernant la comparution d’un prévenu devant un juge de paix et la mise en liberté provisoire ». Aux termes de ce paragraphe, « aucun tribunal, juge ou juge de paix, </w:t>
      </w:r>
      <w:r w:rsidRPr="00DC4B43">
        <w:rPr>
          <w:rFonts w:cs="Times New Roman"/>
          <w:u w:val="single"/>
          <w:lang w:val="fr-CA"/>
        </w:rPr>
        <w:t>autre qu’un juge d’une cour supérieure de juridiction criminelle ou un juge présidant une telle cour</w:t>
      </w:r>
      <w:r w:rsidRPr="00DC4B43">
        <w:rPr>
          <w:rFonts w:cs="Times New Roman"/>
          <w:lang w:val="fr-CA"/>
        </w:rPr>
        <w:t> </w:t>
      </w:r>
      <w:r w:rsidRPr="00935B6F">
        <w:rPr>
          <w:rFonts w:cs="Times New Roman"/>
          <w:lang w:val="fr-CA"/>
        </w:rPr>
        <w:t>[</w:t>
      </w:r>
      <w:r>
        <w:rPr>
          <w:rFonts w:cs="Times New Roman"/>
          <w:lang w:val="fr-CA"/>
        </w:rPr>
        <w:t>. . .]</w:t>
      </w:r>
      <w:r w:rsidRPr="00DC4B43">
        <w:rPr>
          <w:rFonts w:cs="Times New Roman"/>
          <w:lang w:val="fr-CA"/>
        </w:rPr>
        <w:t xml:space="preserve"> ne peut mettre le prévenu en liberté </w:t>
      </w:r>
      <w:r w:rsidRPr="00DC4B43">
        <w:rPr>
          <w:rFonts w:cs="Times New Roman"/>
          <w:u w:val="single"/>
          <w:lang w:val="fr-CA"/>
        </w:rPr>
        <w:t>avant ni après le renvoi aux fins de procès</w:t>
      </w:r>
      <w:r w:rsidRPr="00935B6F">
        <w:rPr>
          <w:rFonts w:cs="Times New Roman"/>
          <w:lang w:val="fr-CA"/>
        </w:rPr>
        <w:t> »</w:t>
      </w:r>
      <w:r w:rsidRPr="00DC4B43">
        <w:rPr>
          <w:rFonts w:cs="Times New Roman"/>
          <w:lang w:val="fr-CA"/>
        </w:rPr>
        <w:t xml:space="preserve">. À elle seule, cette disposition semble écarter la compétence d’un juge, visé au </w:t>
      </w:r>
      <w:r>
        <w:rPr>
          <w:rFonts w:cs="Times New Roman"/>
          <w:lang w:val="fr-CA"/>
        </w:rPr>
        <w:t>par. </w:t>
      </w:r>
      <w:r w:rsidRPr="00DC4B43">
        <w:rPr>
          <w:rFonts w:cs="Times New Roman"/>
          <w:lang w:val="fr-CA"/>
        </w:rPr>
        <w:t>13(1), du tribunal pour adolescents désigné par la province pour entendre et trancher la demande de mise en liberté provisoire (</w:t>
      </w:r>
      <w:r w:rsidRPr="00DC4B43">
        <w:rPr>
          <w:rFonts w:cs="Times New Roman"/>
          <w:i/>
          <w:lang w:val="fr-CA"/>
        </w:rPr>
        <w:t>B. (J.)</w:t>
      </w:r>
      <w:r w:rsidRPr="00DC4B43">
        <w:rPr>
          <w:rFonts w:cs="Times New Roman"/>
          <w:lang w:val="fr-CA"/>
        </w:rPr>
        <w:t>,</w:t>
      </w:r>
      <w:r w:rsidRPr="00DC4B43">
        <w:rPr>
          <w:rFonts w:cs="Times New Roman"/>
          <w:i/>
          <w:lang w:val="fr-CA"/>
        </w:rPr>
        <w:t xml:space="preserve"> </w:t>
      </w:r>
      <w:r>
        <w:rPr>
          <w:rFonts w:cs="Times New Roman"/>
          <w:lang w:val="fr-CA"/>
        </w:rPr>
        <w:t>par. </w:t>
      </w:r>
      <w:r w:rsidRPr="00DC4B43">
        <w:rPr>
          <w:rFonts w:cs="Times New Roman"/>
          <w:lang w:val="fr-CA"/>
        </w:rPr>
        <w:t>17</w:t>
      </w:r>
      <w:r>
        <w:rPr>
          <w:rFonts w:cs="Times New Roman"/>
          <w:lang w:val="fr-CA"/>
        </w:rPr>
        <w:noBreakHyphen/>
      </w:r>
      <w:r w:rsidRPr="00DC4B43">
        <w:rPr>
          <w:rFonts w:cs="Times New Roman"/>
          <w:lang w:val="fr-CA"/>
        </w:rPr>
        <w:t xml:space="preserve">20; </w:t>
      </w:r>
      <w:r w:rsidR="00AD752D">
        <w:rPr>
          <w:rFonts w:cs="Times New Roman"/>
          <w:i/>
          <w:lang w:val="fr-CA"/>
        </w:rPr>
        <w:t>F. </w:t>
      </w:r>
      <w:r w:rsidRPr="00DC4B43">
        <w:rPr>
          <w:rFonts w:cs="Times New Roman"/>
          <w:i/>
          <w:lang w:val="fr-CA"/>
        </w:rPr>
        <w:t>(M.)</w:t>
      </w:r>
      <w:r w:rsidRPr="00DC4B43">
        <w:rPr>
          <w:rFonts w:cs="Times New Roman"/>
          <w:lang w:val="fr-CA"/>
        </w:rPr>
        <w:t>,</w:t>
      </w:r>
      <w:r w:rsidRPr="00DC4B43">
        <w:rPr>
          <w:rFonts w:cs="Times New Roman"/>
          <w:i/>
          <w:lang w:val="fr-CA"/>
        </w:rPr>
        <w:t xml:space="preserve"> </w:t>
      </w:r>
      <w:r>
        <w:rPr>
          <w:rFonts w:cs="Times New Roman"/>
          <w:lang w:val="fr-CA"/>
        </w:rPr>
        <w:t>par. </w:t>
      </w:r>
      <w:r w:rsidRPr="00DC4B43">
        <w:rPr>
          <w:rFonts w:cs="Times New Roman"/>
          <w:lang w:val="fr-CA"/>
        </w:rPr>
        <w:t>49</w:t>
      </w:r>
      <w:r>
        <w:rPr>
          <w:rFonts w:cs="Times New Roman"/>
          <w:lang w:val="fr-CA"/>
        </w:rPr>
        <w:noBreakHyphen/>
      </w:r>
      <w:r w:rsidRPr="00DC4B43">
        <w:rPr>
          <w:rFonts w:cs="Times New Roman"/>
          <w:lang w:val="fr-CA"/>
        </w:rPr>
        <w:t>51).</w:t>
      </w:r>
    </w:p>
    <w:p w:rsidR="008E3C0D" w:rsidRPr="00DC4B43" w:rsidRDefault="008E3C0D" w:rsidP="008E3C0D">
      <w:pPr>
        <w:pStyle w:val="ParaNoNdepar-AltN"/>
        <w:spacing w:before="0"/>
        <w:rPr>
          <w:rFonts w:cs="Times New Roman"/>
          <w:lang w:val="fr-CA"/>
        </w:rPr>
      </w:pPr>
      <w:r w:rsidRPr="00DC4B43">
        <w:rPr>
          <w:rFonts w:cs="Times New Roman"/>
          <w:lang w:val="fr-CA"/>
        </w:rPr>
        <w:t>L’article 522 est toutefois subordonné à la réserve qui figure à l’</w:t>
      </w:r>
      <w:r>
        <w:rPr>
          <w:rFonts w:cs="Times New Roman"/>
          <w:lang w:val="fr-CA"/>
        </w:rPr>
        <w:t>art. </w:t>
      </w:r>
      <w:r w:rsidRPr="00DC4B43">
        <w:rPr>
          <w:rFonts w:cs="Times New Roman"/>
          <w:lang w:val="fr-CA"/>
        </w:rPr>
        <w:t xml:space="preserve">28 de la </w:t>
      </w:r>
      <w:r w:rsidRPr="00DC4B43">
        <w:rPr>
          <w:rFonts w:cs="Times New Roman"/>
          <w:i/>
          <w:lang w:val="fr-CA"/>
        </w:rPr>
        <w:t>LSJPA</w:t>
      </w:r>
      <w:r w:rsidRPr="00DC4B43">
        <w:rPr>
          <w:rFonts w:cs="Times New Roman"/>
          <w:lang w:val="fr-CA"/>
        </w:rPr>
        <w:t xml:space="preserve">, lequel prévoit que les dispositions de la partie XVI du </w:t>
      </w:r>
      <w:r w:rsidRPr="00DC4B43">
        <w:rPr>
          <w:rFonts w:cs="Times New Roman"/>
          <w:i/>
          <w:lang w:val="fr-CA"/>
        </w:rPr>
        <w:t>Code criminel</w:t>
      </w:r>
      <w:r w:rsidRPr="00DC4B43">
        <w:rPr>
          <w:rFonts w:cs="Times New Roman"/>
          <w:lang w:val="fr-CA"/>
        </w:rPr>
        <w:t xml:space="preserve"> s’appliquent à la détention et à la mise en liberté des adolescents sous le régime de la </w:t>
      </w:r>
      <w:r w:rsidRPr="00DC4B43">
        <w:rPr>
          <w:rFonts w:cs="Times New Roman"/>
          <w:i/>
          <w:lang w:val="fr-CA"/>
        </w:rPr>
        <w:t xml:space="preserve">LSJPA </w:t>
      </w:r>
      <w:r w:rsidRPr="00DC4B43">
        <w:rPr>
          <w:rFonts w:cs="Times New Roman"/>
          <w:lang w:val="fr-CA"/>
        </w:rPr>
        <w:t>« [d]ans la mesure où elles ne sont pas incompatibles avec la [</w:t>
      </w:r>
      <w:r w:rsidRPr="00DC4B43">
        <w:rPr>
          <w:rFonts w:cs="Times New Roman"/>
          <w:i/>
          <w:lang w:val="fr-CA"/>
        </w:rPr>
        <w:t>LSJPA</w:t>
      </w:r>
      <w:r w:rsidRPr="00DC4B43">
        <w:rPr>
          <w:rFonts w:cs="Times New Roman"/>
          <w:lang w:val="fr-CA"/>
        </w:rPr>
        <w:t xml:space="preserve">] ou </w:t>
      </w:r>
      <w:r w:rsidRPr="00DC4B43">
        <w:rPr>
          <w:rFonts w:cs="Times New Roman"/>
          <w:lang w:val="fr-CA"/>
        </w:rPr>
        <w:lastRenderedPageBreak/>
        <w:t>écartées par celle</w:t>
      </w:r>
      <w:r>
        <w:rPr>
          <w:rFonts w:cs="Times New Roman"/>
          <w:lang w:val="fr-CA"/>
        </w:rPr>
        <w:noBreakHyphen/>
      </w:r>
      <w:r w:rsidRPr="00DC4B43">
        <w:rPr>
          <w:rFonts w:cs="Times New Roman"/>
          <w:lang w:val="fr-CA"/>
        </w:rPr>
        <w:t xml:space="preserve">ci ». En d’autres termes, la partie XVI du </w:t>
      </w:r>
      <w:r w:rsidRPr="00DC4B43">
        <w:rPr>
          <w:rFonts w:cs="Times New Roman"/>
          <w:i/>
          <w:lang w:val="fr-CA"/>
        </w:rPr>
        <w:t>Code criminel</w:t>
      </w:r>
      <w:r w:rsidRPr="00DC4B43">
        <w:rPr>
          <w:rFonts w:cs="Times New Roman"/>
          <w:lang w:val="fr-CA"/>
        </w:rPr>
        <w:t xml:space="preserve"> régit les cas de détention et de mise en liberté d’adolescents sauf disposition contraire de la </w:t>
      </w:r>
      <w:r w:rsidRPr="00DC4B43">
        <w:rPr>
          <w:rFonts w:cs="Times New Roman"/>
          <w:i/>
          <w:lang w:val="fr-CA"/>
        </w:rPr>
        <w:t>LSJPA</w:t>
      </w:r>
      <w:r w:rsidRPr="00DC4B43">
        <w:rPr>
          <w:rFonts w:cs="Times New Roman"/>
          <w:lang w:val="fr-CA"/>
        </w:rPr>
        <w:t xml:space="preserve">, auquel cas la </w:t>
      </w:r>
      <w:r w:rsidRPr="00DC4B43">
        <w:rPr>
          <w:rFonts w:cs="Times New Roman"/>
          <w:i/>
          <w:lang w:val="fr-CA"/>
        </w:rPr>
        <w:t>LSJPA</w:t>
      </w:r>
      <w:r w:rsidRPr="00DC4B43">
        <w:rPr>
          <w:rFonts w:cs="Times New Roman"/>
          <w:lang w:val="fr-CA"/>
        </w:rPr>
        <w:t xml:space="preserve"> prévaut. Autre fait important, comme je l’ai déjà signalé, lorsqu’un adolescent est inculpé d’une infraction visée à l’</w:t>
      </w:r>
      <w:r>
        <w:rPr>
          <w:rFonts w:cs="Times New Roman"/>
          <w:lang w:val="fr-CA"/>
        </w:rPr>
        <w:t>art. </w:t>
      </w:r>
      <w:r w:rsidRPr="00DC4B43">
        <w:rPr>
          <w:rFonts w:cs="Times New Roman"/>
          <w:lang w:val="fr-CA"/>
        </w:rPr>
        <w:t xml:space="preserve">522 (qui parle d’« une infraction mentionnée à l’article 469 »), le </w:t>
      </w:r>
      <w:r>
        <w:rPr>
          <w:rFonts w:cs="Times New Roman"/>
          <w:lang w:val="fr-CA"/>
        </w:rPr>
        <w:t>par. </w:t>
      </w:r>
      <w:r w:rsidRPr="00DC4B43">
        <w:rPr>
          <w:rFonts w:cs="Times New Roman"/>
          <w:lang w:val="fr-CA"/>
        </w:rPr>
        <w:t xml:space="preserve">33(8) de la </w:t>
      </w:r>
      <w:r w:rsidRPr="00DC4B43">
        <w:rPr>
          <w:rFonts w:cs="Times New Roman"/>
          <w:i/>
          <w:lang w:val="fr-CA"/>
        </w:rPr>
        <w:t>LSJPA</w:t>
      </w:r>
      <w:r w:rsidRPr="00DC4B43">
        <w:rPr>
          <w:rFonts w:cs="Times New Roman"/>
          <w:lang w:val="fr-CA"/>
        </w:rPr>
        <w:t xml:space="preserve"> confère à « un juge du tribunal pour adolescents » (« à l’exclusion de tout autre tribunal, juge ou juge de paix ») compétence exclusive pour remettre un adolescent en liberté.</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Il est essentiel ici de rappeler que, tout comme les </w:t>
      </w:r>
      <w:r>
        <w:rPr>
          <w:rFonts w:cs="Times New Roman"/>
          <w:lang w:val="fr-CA"/>
        </w:rPr>
        <w:t>par. </w:t>
      </w:r>
      <w:r w:rsidRPr="00DC4B43">
        <w:rPr>
          <w:rFonts w:cs="Times New Roman"/>
          <w:lang w:val="fr-CA"/>
        </w:rPr>
        <w:t xml:space="preserve">13(2) et 13(3) de la </w:t>
      </w:r>
      <w:r w:rsidRPr="00DC4B43">
        <w:rPr>
          <w:rFonts w:cs="Times New Roman"/>
          <w:i/>
          <w:lang w:val="fr-CA"/>
        </w:rPr>
        <w:t xml:space="preserve">LSJPA </w:t>
      </w:r>
      <w:r w:rsidRPr="00DC4B43">
        <w:rPr>
          <w:rFonts w:cs="Times New Roman"/>
          <w:lang w:val="fr-CA"/>
        </w:rPr>
        <w:t xml:space="preserve">assimilent le juge de la cour supérieure à un juge du tribunal pour adolescents, le </w:t>
      </w:r>
      <w:r>
        <w:rPr>
          <w:rFonts w:cs="Times New Roman"/>
          <w:lang w:val="fr-CA"/>
        </w:rPr>
        <w:t>par. </w:t>
      </w:r>
      <w:r w:rsidRPr="00DC4B43">
        <w:rPr>
          <w:rFonts w:cs="Times New Roman"/>
          <w:lang w:val="fr-CA"/>
        </w:rPr>
        <w:t xml:space="preserve">13(1) désigne </w:t>
      </w:r>
      <w:r w:rsidRPr="00DC4B43">
        <w:rPr>
          <w:rFonts w:cs="Times New Roman"/>
          <w:i/>
          <w:lang w:val="fr-CA"/>
        </w:rPr>
        <w:t xml:space="preserve">aussi </w:t>
      </w:r>
      <w:r w:rsidRPr="00DC4B43">
        <w:rPr>
          <w:rFonts w:cs="Times New Roman"/>
          <w:lang w:val="fr-CA"/>
        </w:rPr>
        <w:t>à titre de juge du tribunal pour adolescents le juge du tribunal désigné par la province en tant que tribunal pour adolescents. Par conséquent, bien que l’</w:t>
      </w:r>
      <w:r>
        <w:rPr>
          <w:rFonts w:cs="Times New Roman"/>
          <w:lang w:val="fr-CA"/>
        </w:rPr>
        <w:t>art. </w:t>
      </w:r>
      <w:r w:rsidRPr="00DC4B43">
        <w:rPr>
          <w:rFonts w:cs="Times New Roman"/>
          <w:lang w:val="fr-CA"/>
        </w:rPr>
        <w:t xml:space="preserve">522 du </w:t>
      </w:r>
      <w:r w:rsidRPr="00DC4B43">
        <w:rPr>
          <w:rFonts w:cs="Times New Roman"/>
          <w:i/>
          <w:lang w:val="fr-CA"/>
        </w:rPr>
        <w:t>Code criminel</w:t>
      </w:r>
      <w:r w:rsidRPr="00DC4B43">
        <w:rPr>
          <w:rFonts w:cs="Times New Roman"/>
          <w:lang w:val="fr-CA"/>
        </w:rPr>
        <w:t>, dis</w:t>
      </w:r>
      <w:r>
        <w:rPr>
          <w:rFonts w:cs="Times New Roman"/>
          <w:lang w:val="fr-CA"/>
        </w:rPr>
        <w:noBreakHyphen/>
      </w:r>
      <w:r w:rsidRPr="00DC4B43">
        <w:rPr>
          <w:rFonts w:cs="Times New Roman"/>
          <w:lang w:val="fr-CA"/>
        </w:rPr>
        <w:t xml:space="preserve">je, semble priver un juge et un tribunal visés au </w:t>
      </w:r>
      <w:r>
        <w:rPr>
          <w:rFonts w:cs="Times New Roman"/>
          <w:lang w:val="fr-CA"/>
        </w:rPr>
        <w:t>par. </w:t>
      </w:r>
      <w:r w:rsidRPr="00DC4B43">
        <w:rPr>
          <w:rFonts w:cs="Times New Roman"/>
          <w:lang w:val="fr-CA"/>
        </w:rPr>
        <w:t xml:space="preserve">13(1) du pouvoir d’entendre et de trancher une demande de mise en liberté provisoire, le </w:t>
      </w:r>
      <w:r>
        <w:rPr>
          <w:rFonts w:cs="Times New Roman"/>
          <w:lang w:val="fr-CA"/>
        </w:rPr>
        <w:t>par. </w:t>
      </w:r>
      <w:r w:rsidRPr="00DC4B43">
        <w:rPr>
          <w:rFonts w:cs="Times New Roman"/>
          <w:lang w:val="fr-CA"/>
        </w:rPr>
        <w:t xml:space="preserve">33(8) de la </w:t>
      </w:r>
      <w:r w:rsidRPr="00DC4B43">
        <w:rPr>
          <w:rFonts w:cs="Times New Roman"/>
          <w:i/>
          <w:lang w:val="fr-CA"/>
        </w:rPr>
        <w:t>LSJPA</w:t>
      </w:r>
      <w:r w:rsidRPr="00DC4B43">
        <w:rPr>
          <w:rFonts w:cs="Times New Roman"/>
          <w:lang w:val="fr-CA"/>
        </w:rPr>
        <w:t xml:space="preserve"> prévoit le contraire de manière catégorique. Il ne circonscrit pas le terme « juge du tribunal pour adolescents » de manière à ce qu’il s’entende uniquement des juges de la cour supérieure réputés par les </w:t>
      </w:r>
      <w:r>
        <w:rPr>
          <w:rFonts w:cs="Times New Roman"/>
          <w:lang w:val="fr-CA"/>
        </w:rPr>
        <w:t>par. </w:t>
      </w:r>
      <w:r w:rsidRPr="00DC4B43">
        <w:rPr>
          <w:rFonts w:cs="Times New Roman"/>
          <w:lang w:val="fr-CA"/>
        </w:rPr>
        <w:t>13(2) et 13(3) être des juges du tribunal pour adolescents. Au contraire, « </w:t>
      </w:r>
      <w:r w:rsidRPr="00DC4B43">
        <w:rPr>
          <w:rFonts w:cs="Times New Roman"/>
          <w:u w:val="single"/>
          <w:lang w:val="fr-CA"/>
        </w:rPr>
        <w:t>un</w:t>
      </w:r>
      <w:r w:rsidRPr="00DC4B43">
        <w:rPr>
          <w:rFonts w:cs="Times New Roman"/>
          <w:lang w:val="fr-CA"/>
        </w:rPr>
        <w:t xml:space="preserve"> juge du tribunal pour adolescents » peut mettre un adolescent en liberté. Dans la mesure où l’</w:t>
      </w:r>
      <w:r>
        <w:rPr>
          <w:rFonts w:cs="Times New Roman"/>
          <w:lang w:val="fr-CA"/>
        </w:rPr>
        <w:t>art. </w:t>
      </w:r>
      <w:r w:rsidRPr="00DC4B43">
        <w:rPr>
          <w:rFonts w:cs="Times New Roman"/>
          <w:lang w:val="fr-CA"/>
        </w:rPr>
        <w:t xml:space="preserve">522 enlèverait ce pouvoir à un juge du tribunal pour adolescents visé au </w:t>
      </w:r>
      <w:r>
        <w:rPr>
          <w:rFonts w:cs="Times New Roman"/>
          <w:lang w:val="fr-CA"/>
        </w:rPr>
        <w:t>par. </w:t>
      </w:r>
      <w:r w:rsidRPr="00DC4B43">
        <w:rPr>
          <w:rFonts w:cs="Times New Roman"/>
          <w:lang w:val="fr-CA"/>
        </w:rPr>
        <w:t>13(1) en conférant à « </w:t>
      </w:r>
      <w:r w:rsidRPr="00DC4B43">
        <w:rPr>
          <w:rFonts w:cs="Times New Roman"/>
          <w:u w:val="single"/>
          <w:lang w:val="fr-CA"/>
        </w:rPr>
        <w:t>un juge de la cour supérieure de juridiction criminelle ou un juge présidant une telle cour</w:t>
      </w:r>
      <w:r w:rsidRPr="00DC4B43">
        <w:rPr>
          <w:rFonts w:cs="Times New Roman"/>
          <w:lang w:val="fr-CA"/>
        </w:rPr>
        <w:t xml:space="preserve"> » compétence exclusive pour entendre et trancher des demandes de mise </w:t>
      </w:r>
      <w:r w:rsidRPr="00DC4B43">
        <w:rPr>
          <w:rFonts w:cs="Times New Roman"/>
          <w:lang w:val="fr-CA"/>
        </w:rPr>
        <w:lastRenderedPageBreak/>
        <w:t>en liberté provisoire lorsqu’un adolescent est accusé d’une infraction énumérée à l’</w:t>
      </w:r>
      <w:r>
        <w:rPr>
          <w:rFonts w:cs="Times New Roman"/>
          <w:lang w:val="fr-CA"/>
        </w:rPr>
        <w:t>art. </w:t>
      </w:r>
      <w:r w:rsidRPr="00DC4B43">
        <w:rPr>
          <w:rFonts w:cs="Times New Roman"/>
          <w:lang w:val="fr-CA"/>
        </w:rPr>
        <w:t xml:space="preserve">469 du </w:t>
      </w:r>
      <w:r w:rsidRPr="00DC4B43">
        <w:rPr>
          <w:rFonts w:cs="Times New Roman"/>
          <w:i/>
          <w:lang w:val="fr-CA"/>
        </w:rPr>
        <w:t>Code criminel</w:t>
      </w:r>
      <w:r w:rsidRPr="00DC4B43">
        <w:rPr>
          <w:rFonts w:cs="Times New Roman"/>
          <w:lang w:val="fr-CA"/>
        </w:rPr>
        <w:t xml:space="preserve">, il est incompatible avec le </w:t>
      </w:r>
      <w:r>
        <w:rPr>
          <w:rFonts w:cs="Times New Roman"/>
          <w:lang w:val="fr-CA"/>
        </w:rPr>
        <w:t>par. </w:t>
      </w:r>
      <w:r w:rsidRPr="00DC4B43">
        <w:rPr>
          <w:rFonts w:cs="Times New Roman"/>
          <w:lang w:val="fr-CA"/>
        </w:rPr>
        <w:t>33(8) et ne s’applique pas.</w:t>
      </w:r>
    </w:p>
    <w:p w:rsidR="008E3C0D" w:rsidRPr="00DC4B43" w:rsidRDefault="008E3C0D" w:rsidP="008E3C0D">
      <w:pPr>
        <w:pStyle w:val="ParaNoNdepar-AltN"/>
        <w:spacing w:before="0"/>
        <w:rPr>
          <w:rFonts w:cs="Times New Roman"/>
          <w:lang w:val="fr-CA"/>
        </w:rPr>
      </w:pPr>
      <w:r w:rsidRPr="00DC4B43">
        <w:rPr>
          <w:rFonts w:cs="Times New Roman"/>
          <w:lang w:val="fr-CA"/>
        </w:rPr>
        <w:t>Il s’ensuit de ce qui précède que même si, comme je l’ai expliqué, le juge de l</w:t>
      </w:r>
      <w:r w:rsidR="00AD752D">
        <w:rPr>
          <w:rFonts w:cs="Times New Roman"/>
          <w:lang w:val="fr-CA"/>
        </w:rPr>
        <w:t xml:space="preserve">a cour supérieure réputé par le </w:t>
      </w:r>
      <w:r>
        <w:rPr>
          <w:rFonts w:cs="Times New Roman"/>
          <w:lang w:val="fr-CA"/>
        </w:rPr>
        <w:t>par. </w:t>
      </w:r>
      <w:r w:rsidR="00AD752D">
        <w:rPr>
          <w:rFonts w:cs="Times New Roman"/>
          <w:lang w:val="fr-CA"/>
        </w:rPr>
        <w:t>13(2) ou (</w:t>
      </w:r>
      <w:r w:rsidRPr="00DC4B43">
        <w:rPr>
          <w:rFonts w:cs="Times New Roman"/>
          <w:lang w:val="fr-CA"/>
        </w:rPr>
        <w:t xml:space="preserve">3) de la </w:t>
      </w:r>
      <w:r w:rsidRPr="00DC4B43">
        <w:rPr>
          <w:rFonts w:cs="Times New Roman"/>
          <w:i/>
          <w:lang w:val="fr-CA"/>
        </w:rPr>
        <w:t xml:space="preserve">LSJPA </w:t>
      </w:r>
      <w:r w:rsidRPr="00DC4B43">
        <w:rPr>
          <w:rFonts w:cs="Times New Roman"/>
          <w:lang w:val="fr-CA"/>
        </w:rPr>
        <w:t>être un juge du tribunal pour adolescents a compétence pour entendre et trancher la demande de mise en liberté provisoire d’un adolescent qui est inculpé d’une infraction énumérée à l’</w:t>
      </w:r>
      <w:r>
        <w:rPr>
          <w:rFonts w:cs="Times New Roman"/>
          <w:lang w:val="fr-CA"/>
        </w:rPr>
        <w:t>art. </w:t>
      </w:r>
      <w:r w:rsidRPr="00DC4B43">
        <w:rPr>
          <w:rFonts w:cs="Times New Roman"/>
          <w:lang w:val="fr-CA"/>
        </w:rPr>
        <w:t xml:space="preserve">469 du </w:t>
      </w:r>
      <w:r w:rsidRPr="00DC4B43">
        <w:rPr>
          <w:rFonts w:cs="Times New Roman"/>
          <w:i/>
          <w:lang w:val="fr-CA"/>
        </w:rPr>
        <w:t xml:space="preserve">Code criminel </w:t>
      </w:r>
      <w:r w:rsidRPr="00DC4B43">
        <w:rPr>
          <w:rFonts w:cs="Times New Roman"/>
          <w:lang w:val="fr-CA"/>
        </w:rPr>
        <w:t>et qui a choisi d’être jugé en cour supérieure,</w:t>
      </w:r>
      <w:r w:rsidRPr="00DC4B43">
        <w:rPr>
          <w:rFonts w:cs="Times New Roman"/>
          <w:i/>
          <w:lang w:val="fr-CA"/>
        </w:rPr>
        <w:t xml:space="preserve"> </w:t>
      </w:r>
      <w:r w:rsidRPr="00DC4B43">
        <w:rPr>
          <w:rFonts w:cs="Times New Roman"/>
          <w:lang w:val="fr-CA"/>
        </w:rPr>
        <w:t xml:space="preserve">il en va de même du juge d’un tribunal désigné par la province à titre de tribunal pour adolescents. Autrement dit, la compétence est </w:t>
      </w:r>
      <w:r w:rsidRPr="00DC4B43">
        <w:rPr>
          <w:rFonts w:cs="Times New Roman"/>
          <w:i/>
          <w:lang w:val="fr-CA"/>
        </w:rPr>
        <w:t>concurrente</w:t>
      </w:r>
      <w:r w:rsidRPr="00DC4B43">
        <w:rPr>
          <w:rFonts w:cs="Times New Roman"/>
          <w:lang w:val="fr-CA"/>
        </w:rPr>
        <w:t>, et non exclusive à l’un d’entre eux.</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Bien que le résultat exposé précédemment soit dicté par l’orientation claire du Parlement quant au rapport entre la </w:t>
      </w:r>
      <w:r w:rsidRPr="00DC4B43">
        <w:rPr>
          <w:rFonts w:cs="Times New Roman"/>
          <w:i/>
          <w:lang w:val="fr-CA"/>
        </w:rPr>
        <w:t xml:space="preserve">LSJPA </w:t>
      </w:r>
      <w:r w:rsidRPr="00DC4B43">
        <w:rPr>
          <w:rFonts w:cs="Times New Roman"/>
          <w:lang w:val="fr-CA"/>
        </w:rPr>
        <w:t xml:space="preserve">et la partie XVI du </w:t>
      </w:r>
      <w:r w:rsidRPr="00DC4B43">
        <w:rPr>
          <w:rFonts w:cs="Times New Roman"/>
          <w:i/>
          <w:lang w:val="fr-CA"/>
        </w:rPr>
        <w:t>Code criminel</w:t>
      </w:r>
      <w:r w:rsidRPr="00DC4B43">
        <w:rPr>
          <w:rFonts w:cs="Times New Roman"/>
          <w:lang w:val="fr-CA"/>
        </w:rPr>
        <w:t xml:space="preserve">, j’ajoute que cette orientation n’a rien d’étonnant. Comme l’a reconnu notre Cour, le Parlement voulait, au moment où il a adopté la </w:t>
      </w:r>
      <w:r w:rsidRPr="00DC4B43">
        <w:rPr>
          <w:rFonts w:cs="Times New Roman"/>
          <w:i/>
          <w:lang w:val="fr-CA"/>
        </w:rPr>
        <w:t>LSJPA</w:t>
      </w:r>
      <w:r w:rsidRPr="00DC4B43">
        <w:rPr>
          <w:rFonts w:cs="Times New Roman"/>
          <w:lang w:val="fr-CA"/>
        </w:rPr>
        <w:t>, offrir aux adolescents des protections procédurales supplémentaires tout au long du processus pénal compte tenu de leur âge, ainsi que créer des procédures moins formelles et plus rapides (sous</w:t>
      </w:r>
      <w:r>
        <w:rPr>
          <w:rFonts w:cs="Times New Roman"/>
          <w:lang w:val="fr-CA"/>
        </w:rPr>
        <w:noBreakHyphen/>
        <w:t>al. </w:t>
      </w:r>
      <w:r w:rsidRPr="00DC4B43">
        <w:rPr>
          <w:rFonts w:cs="Times New Roman"/>
          <w:lang w:val="fr-CA"/>
        </w:rPr>
        <w:t xml:space="preserve">3(1)b)(iii) et (v); </w:t>
      </w:r>
      <w:r w:rsidRPr="00DC4B43">
        <w:rPr>
          <w:rFonts w:cs="Times New Roman"/>
          <w:i/>
          <w:lang w:val="fr-CA"/>
        </w:rPr>
        <w:t>R. c. K.J.M.</w:t>
      </w:r>
      <w:r w:rsidRPr="00DC4B43">
        <w:rPr>
          <w:rFonts w:cs="Times New Roman"/>
          <w:lang w:val="fr-CA"/>
        </w:rPr>
        <w:t>, 2019 CSC 55,</w:t>
      </w:r>
      <w:r w:rsidRPr="00DC4B43">
        <w:rPr>
          <w:rFonts w:cs="Times New Roman"/>
          <w:i/>
          <w:lang w:val="fr-CA"/>
        </w:rPr>
        <w:t xml:space="preserve"> </w:t>
      </w:r>
      <w:r w:rsidRPr="00DC4B43">
        <w:rPr>
          <w:rFonts w:cs="Times New Roman"/>
          <w:lang w:val="fr-CA"/>
        </w:rPr>
        <w:t>par</w:t>
      </w:r>
      <w:r>
        <w:rPr>
          <w:rFonts w:cs="Times New Roman"/>
          <w:lang w:val="fr-CA"/>
        </w:rPr>
        <w:t>.</w:t>
      </w:r>
      <w:r w:rsidRPr="00DC4B43">
        <w:rPr>
          <w:rFonts w:cs="Times New Roman"/>
          <w:lang w:val="fr-CA"/>
        </w:rPr>
        <w:t> 51</w:t>
      </w:r>
      <w:r>
        <w:rPr>
          <w:rFonts w:cs="Times New Roman"/>
          <w:lang w:val="fr-CA"/>
        </w:rPr>
        <w:noBreakHyphen/>
      </w:r>
      <w:r w:rsidRPr="00DC4B43">
        <w:rPr>
          <w:rFonts w:cs="Times New Roman"/>
          <w:lang w:val="fr-CA"/>
        </w:rPr>
        <w:t xml:space="preserve">52 (le juge Moldaver), et 136 (les juges Abella et Brown, dissidents, mais non sur ce point); </w:t>
      </w:r>
      <w:r w:rsidRPr="00DC4B43">
        <w:rPr>
          <w:rFonts w:cs="Times New Roman"/>
          <w:shd w:val="clear" w:color="auto" w:fill="FFFFFF"/>
          <w:lang w:val="fr-CA"/>
        </w:rPr>
        <w:t>S. Davis</w:t>
      </w:r>
      <w:r>
        <w:rPr>
          <w:rFonts w:cs="Times New Roman"/>
          <w:shd w:val="clear" w:color="auto" w:fill="FFFFFF"/>
          <w:lang w:val="fr-CA"/>
        </w:rPr>
        <w:noBreakHyphen/>
        <w:t xml:space="preserve">Barron, </w:t>
      </w:r>
      <w:r w:rsidRPr="00DC4B43">
        <w:rPr>
          <w:rFonts w:cs="Times New Roman"/>
          <w:i/>
          <w:iCs/>
          <w:shd w:val="clear" w:color="auto" w:fill="FFFFFF"/>
          <w:lang w:val="fr-CA"/>
        </w:rPr>
        <w:t>Youth and the Criminal Law in Canada</w:t>
      </w:r>
      <w:r>
        <w:rPr>
          <w:rFonts w:cs="Times New Roman"/>
          <w:shd w:val="clear" w:color="auto" w:fill="FFFFFF"/>
          <w:lang w:val="fr-CA"/>
        </w:rPr>
        <w:t xml:space="preserve"> </w:t>
      </w:r>
      <w:r w:rsidRPr="00DC4B43">
        <w:rPr>
          <w:rFonts w:cs="Times New Roman"/>
          <w:shd w:val="clear" w:color="auto" w:fill="FFFFFF"/>
          <w:lang w:val="fr-CA"/>
        </w:rPr>
        <w:t>(2</w:t>
      </w:r>
      <w:r w:rsidRPr="00DC4B43">
        <w:rPr>
          <w:rFonts w:cs="Times New Roman"/>
          <w:shd w:val="clear" w:color="auto" w:fill="FFFFFF"/>
          <w:vertAlign w:val="superscript"/>
          <w:lang w:val="fr-CA"/>
        </w:rPr>
        <w:t>e</w:t>
      </w:r>
      <w:r w:rsidRPr="00DC4B43">
        <w:rPr>
          <w:rFonts w:cs="Times New Roman"/>
          <w:shd w:val="clear" w:color="auto" w:fill="FFFFFF"/>
          <w:lang w:val="fr-CA"/>
        </w:rPr>
        <w:t xml:space="preserve"> éd. 2015), </w:t>
      </w:r>
      <w:r>
        <w:rPr>
          <w:rFonts w:cs="Times New Roman"/>
          <w:shd w:val="clear" w:color="auto" w:fill="FFFFFF"/>
          <w:lang w:val="fr-CA"/>
        </w:rPr>
        <w:t>p. </w:t>
      </w:r>
      <w:r w:rsidRPr="00DC4B43">
        <w:rPr>
          <w:rFonts w:cs="Times New Roman"/>
          <w:shd w:val="clear" w:color="auto" w:fill="FFFFFF"/>
          <w:lang w:val="fr-CA"/>
        </w:rPr>
        <w:t>177).</w:t>
      </w:r>
      <w:r w:rsidRPr="00DC4B43">
        <w:rPr>
          <w:rFonts w:cs="Times New Roman"/>
          <w:lang w:val="fr-CA"/>
        </w:rPr>
        <w:t xml:space="preserve"> En accordant compétence concurrente pour décider de la mise en liberté après le choix de l’adolescent inculpé d’une infraction énumérée à l’</w:t>
      </w:r>
      <w:r>
        <w:rPr>
          <w:rFonts w:cs="Times New Roman"/>
          <w:lang w:val="fr-CA"/>
        </w:rPr>
        <w:t>art. </w:t>
      </w:r>
      <w:r w:rsidRPr="00DC4B43">
        <w:rPr>
          <w:rFonts w:cs="Times New Roman"/>
          <w:lang w:val="fr-CA"/>
        </w:rPr>
        <w:t xml:space="preserve">469, le Parlement aurait cherché à instaurer une certaine souplesse qu’on ne retrouve pas dans le système de justice </w:t>
      </w:r>
      <w:r w:rsidRPr="00DC4B43">
        <w:rPr>
          <w:rFonts w:cs="Times New Roman"/>
          <w:lang w:val="fr-CA"/>
        </w:rPr>
        <w:lastRenderedPageBreak/>
        <w:t xml:space="preserve">pénale pour adultes en vue d’atteindre les objectifs de la </w:t>
      </w:r>
      <w:r w:rsidRPr="00DC4B43">
        <w:rPr>
          <w:rFonts w:cs="Times New Roman"/>
          <w:i/>
          <w:lang w:val="fr-CA"/>
        </w:rPr>
        <w:t xml:space="preserve">LSJPA </w:t>
      </w:r>
      <w:r w:rsidRPr="00DC4B43">
        <w:rPr>
          <w:rFonts w:cs="Times New Roman"/>
          <w:lang w:val="fr-CA"/>
        </w:rPr>
        <w:t>(</w:t>
      </w:r>
      <w:r>
        <w:rPr>
          <w:rFonts w:cs="Times New Roman"/>
          <w:lang w:val="fr-CA"/>
        </w:rPr>
        <w:t>É. F. </w:t>
      </w:r>
      <w:r w:rsidRPr="00DC4B43">
        <w:rPr>
          <w:rFonts w:cs="Times New Roman"/>
          <w:lang w:val="fr-CA"/>
        </w:rPr>
        <w:t>Lacombe, « Prioritizing Children’s Best Interests in Canadian Youth Justice</w:t>
      </w:r>
      <w:r w:rsidR="00C37DCA">
        <w:rPr>
          <w:rFonts w:cs="Times New Roman"/>
          <w:lang w:val="fr-CA"/>
        </w:rPr>
        <w:t> </w:t>
      </w:r>
      <w:r w:rsidRPr="00DC4B43">
        <w:rPr>
          <w:rFonts w:cs="Times New Roman"/>
          <w:lang w:val="fr-CA"/>
        </w:rPr>
        <w:t xml:space="preserve">: Article 3 of the UN </w:t>
      </w:r>
      <w:r w:rsidRPr="00DC4B43">
        <w:rPr>
          <w:rFonts w:cs="Times New Roman"/>
          <w:i/>
          <w:lang w:val="fr-CA"/>
        </w:rPr>
        <w:t xml:space="preserve">Convention on the Rights of the Child </w:t>
      </w:r>
      <w:r w:rsidRPr="00DC4B43">
        <w:rPr>
          <w:rFonts w:cs="Times New Roman"/>
          <w:lang w:val="fr-CA"/>
        </w:rPr>
        <w:t>and Child</w:t>
      </w:r>
      <w:r>
        <w:rPr>
          <w:rFonts w:cs="Times New Roman"/>
          <w:lang w:val="fr-CA"/>
        </w:rPr>
        <w:noBreakHyphen/>
      </w:r>
      <w:r w:rsidRPr="00DC4B43">
        <w:rPr>
          <w:rFonts w:cs="Times New Roman"/>
          <w:lang w:val="fr-CA"/>
        </w:rPr>
        <w:t xml:space="preserve">Friendly Alternatives » (2017), 34 </w:t>
      </w:r>
      <w:r w:rsidRPr="00DC4B43">
        <w:rPr>
          <w:rFonts w:cs="Times New Roman"/>
          <w:i/>
          <w:lang w:val="fr-CA"/>
        </w:rPr>
        <w:t xml:space="preserve">Windsor Y.B. Access Just. </w:t>
      </w:r>
      <w:r w:rsidRPr="00DC4B43">
        <w:rPr>
          <w:rFonts w:cs="Times New Roman"/>
          <w:lang w:val="fr-CA"/>
        </w:rPr>
        <w:t xml:space="preserve">209, </w:t>
      </w:r>
      <w:r>
        <w:rPr>
          <w:rFonts w:cs="Times New Roman"/>
          <w:lang w:val="fr-CA"/>
        </w:rPr>
        <w:t>p. </w:t>
      </w:r>
      <w:r w:rsidRPr="00DC4B43">
        <w:rPr>
          <w:rFonts w:cs="Times New Roman"/>
          <w:lang w:val="fr-CA"/>
        </w:rPr>
        <w:t>217). Cela a des répercussions particulièrement importantes sur les adolescents des régions rurales, y compris surtout les adolescents autochtones, qui bénéficieront d’un meilleur accès aux tribunaux pour adolescents désignés par la province qu’à une cour supérieure.</w:t>
      </w:r>
    </w:p>
    <w:p w:rsidR="008E3C0D" w:rsidRPr="00DC4B43" w:rsidRDefault="008E3C0D" w:rsidP="008E3C0D">
      <w:pPr>
        <w:pStyle w:val="ParaNoNdepar-AltN"/>
        <w:spacing w:before="0"/>
        <w:rPr>
          <w:rFonts w:cs="Times New Roman"/>
          <w:lang w:val="fr-CA"/>
        </w:rPr>
      </w:pPr>
      <w:r w:rsidRPr="00DC4B43">
        <w:rPr>
          <w:rFonts w:cs="Times New Roman"/>
          <w:lang w:val="fr-CA"/>
        </w:rPr>
        <w:t xml:space="preserve">Une dernière mise en garde. Le présent pourvoi ne concernait que la question de la compétence en matière de mise en liberté provisoire avant l’ouverture du procès. Bien entendu, une fois le procès commencé, une demande de mise en liberté provisoire est habituellement présentée devant le juge du procès. Or, je n’ai pas à statuer en l’espèce sur la question de savoir si cette demande </w:t>
      </w:r>
      <w:r w:rsidRPr="00DC4B43">
        <w:rPr>
          <w:rFonts w:cs="Times New Roman"/>
          <w:i/>
          <w:lang w:val="fr-CA"/>
        </w:rPr>
        <w:t>doit</w:t>
      </w:r>
      <w:r w:rsidRPr="00DC4B43">
        <w:rPr>
          <w:rFonts w:cs="Times New Roman"/>
          <w:lang w:val="fr-CA"/>
        </w:rPr>
        <w:t xml:space="preserve"> être présentée devant le juge du procès </w:t>
      </w:r>
      <w:r w:rsidRPr="00DC4B43">
        <w:rPr>
          <w:rFonts w:cs="Times New Roman"/>
        </w:rPr>
        <w:t>⸺</w:t>
      </w:r>
      <w:r w:rsidRPr="00DC4B43">
        <w:rPr>
          <w:rFonts w:cs="Times New Roman"/>
          <w:lang w:val="fr-CA"/>
        </w:rPr>
        <w:t xml:space="preserve"> par exemple lorsque le procès est ajourné </w:t>
      </w:r>
      <w:r w:rsidRPr="00DC4B43">
        <w:rPr>
          <w:rFonts w:cs="Times New Roman"/>
        </w:rPr>
        <w:t>⸺</w:t>
      </w:r>
      <w:r w:rsidRPr="00DC4B43">
        <w:rPr>
          <w:rFonts w:cs="Times New Roman"/>
          <w:lang w:val="fr-CA"/>
        </w:rPr>
        <w:t>, et je me contente de remettre à plus tard le règlement de la question, quand la Cour en sera dûment saisie.</w:t>
      </w:r>
    </w:p>
    <w:p w:rsidR="008E3C0D" w:rsidRPr="00DC4B43" w:rsidRDefault="008E3C0D" w:rsidP="008E3C0D">
      <w:pPr>
        <w:pStyle w:val="Title1LevelTitre1Niveau-AltL"/>
        <w:spacing w:before="0"/>
        <w:rPr>
          <w:rFonts w:cs="Times New Roman"/>
        </w:rPr>
      </w:pPr>
      <w:r w:rsidRPr="00DC4B43">
        <w:rPr>
          <w:rFonts w:cs="Times New Roman"/>
        </w:rPr>
        <w:t>Conclusion</w:t>
      </w:r>
    </w:p>
    <w:p w:rsidR="008E3C0D" w:rsidRPr="00DC4B43" w:rsidRDefault="008E3C0D" w:rsidP="008E3C0D">
      <w:pPr>
        <w:pStyle w:val="ParaNoNdepar-AltN"/>
        <w:rPr>
          <w:rFonts w:cs="Times New Roman"/>
          <w:lang w:val="fr-CA"/>
        </w:rPr>
      </w:pPr>
      <w:r w:rsidRPr="00DC4B43">
        <w:rPr>
          <w:rFonts w:cs="Times New Roman"/>
          <w:lang w:val="fr-CA"/>
        </w:rPr>
        <w:t xml:space="preserve">Je suis d’avis d’accueillir le pourvoi. Le juge de première instance avait compétence pour entendre la demande de mise en liberté provisoire présentée par T.J.M. </w:t>
      </w:r>
      <w:r w:rsidRPr="00DC4B43">
        <w:rPr>
          <w:rFonts w:cs="Times New Roman"/>
        </w:rPr>
        <w:t>⸺</w:t>
      </w:r>
      <w:r w:rsidRPr="00DC4B43">
        <w:rPr>
          <w:rFonts w:cs="Times New Roman"/>
          <w:lang w:val="fr-CA"/>
        </w:rPr>
        <w:t xml:space="preserve"> une compétence qu’il détenait concurremment avec le tribunal pour adolescents désigné pour la province. Puisque le pourvoi est théorique, aucune autre ordonnance n’est nécessaire.</w:t>
      </w:r>
    </w:p>
    <w:p w:rsidR="0088374C" w:rsidRPr="00A134F2" w:rsidRDefault="0068769C" w:rsidP="009E05ED">
      <w:pPr>
        <w:pStyle w:val="SCCNormalDoubleSpacing"/>
        <w:spacing w:after="480"/>
        <w:rPr>
          <w:lang w:val="fr-CA"/>
        </w:rPr>
      </w:pPr>
      <w:r w:rsidRPr="00A134F2">
        <w:rPr>
          <w:lang w:val="fr-CA"/>
        </w:rPr>
        <w:lastRenderedPageBreak/>
        <w:tab/>
      </w:r>
      <w:r w:rsidR="000B00A0" w:rsidRPr="00A134F2">
        <w:rPr>
          <w:i/>
          <w:lang w:val="fr-CA"/>
        </w:rPr>
        <w:t>Pourvoi</w:t>
      </w:r>
      <w:r w:rsidR="000B00A0" w:rsidRPr="00A134F2">
        <w:rPr>
          <w:lang w:val="fr-CA"/>
        </w:rPr>
        <w:t xml:space="preserve"> </w:t>
      </w:r>
      <w:r w:rsidR="00F77647" w:rsidRPr="00A134F2">
        <w:rPr>
          <w:i/>
          <w:lang w:val="fr-CA"/>
        </w:rPr>
        <w:t>accueilli.</w:t>
      </w:r>
    </w:p>
    <w:p w:rsidR="0088374C" w:rsidRPr="00A134F2" w:rsidRDefault="003D64B6" w:rsidP="009E05ED">
      <w:pPr>
        <w:pStyle w:val="SCCLawFirm"/>
        <w:spacing w:after="480"/>
        <w:rPr>
          <w:lang w:val="fr-CA"/>
        </w:rPr>
      </w:pPr>
      <w:r w:rsidRPr="00A134F2">
        <w:rPr>
          <w:lang w:val="fr-CA"/>
        </w:rPr>
        <w:tab/>
      </w:r>
      <w:r w:rsidR="00C324C4" w:rsidRPr="00A134F2">
        <w:rPr>
          <w:lang w:val="fr-CA"/>
        </w:rPr>
        <w:t>Procureur</w:t>
      </w:r>
      <w:r w:rsidRPr="00A134F2">
        <w:rPr>
          <w:lang w:val="fr-CA"/>
        </w:rPr>
        <w:t>s de l</w:t>
      </w:r>
      <w:r w:rsidR="001C2360" w:rsidRPr="00A134F2">
        <w:rPr>
          <w:lang w:val="fr-CA"/>
        </w:rPr>
        <w:t>’</w:t>
      </w:r>
      <w:r w:rsidR="00C324C4" w:rsidRPr="00A134F2">
        <w:rPr>
          <w:lang w:val="fr-CA"/>
        </w:rPr>
        <w:t>appelant</w:t>
      </w:r>
      <w:r w:rsidR="00A134F2">
        <w:rPr>
          <w:lang w:val="fr-CA"/>
        </w:rPr>
        <w:t> :</w:t>
      </w:r>
      <w:r w:rsidR="009E05ED" w:rsidRPr="00A134F2">
        <w:rPr>
          <w:lang w:val="fr-CA"/>
        </w:rPr>
        <w:t> </w:t>
      </w:r>
      <w:r w:rsidRPr="00A134F2">
        <w:rPr>
          <w:lang w:val="fr-CA"/>
        </w:rPr>
        <w:t>Dawson Duckett Garcia &amp; Johnson, Edmonton.</w:t>
      </w:r>
    </w:p>
    <w:p w:rsidR="0088374C" w:rsidRPr="00A134F2" w:rsidRDefault="003D64B6">
      <w:pPr>
        <w:pStyle w:val="SCCLawFirm"/>
        <w:rPr>
          <w:lang w:val="fr-CA"/>
        </w:rPr>
      </w:pPr>
      <w:r w:rsidRPr="00A134F2">
        <w:rPr>
          <w:lang w:val="fr-CA"/>
        </w:rPr>
        <w:tab/>
      </w:r>
      <w:r w:rsidR="00C324C4" w:rsidRPr="00A134F2">
        <w:rPr>
          <w:lang w:val="fr-CA"/>
        </w:rPr>
        <w:t>Procureur</w:t>
      </w:r>
      <w:r w:rsidRPr="00A134F2">
        <w:rPr>
          <w:lang w:val="fr-CA"/>
        </w:rPr>
        <w:t xml:space="preserve"> de l</w:t>
      </w:r>
      <w:r w:rsidR="001C2360" w:rsidRPr="00A134F2">
        <w:rPr>
          <w:lang w:val="fr-CA"/>
        </w:rPr>
        <w:t>’</w:t>
      </w:r>
      <w:r w:rsidR="00C324C4" w:rsidRPr="00A134F2">
        <w:rPr>
          <w:lang w:val="fr-CA"/>
        </w:rPr>
        <w:t>intimé</w:t>
      </w:r>
      <w:r w:rsidRPr="00A134F2">
        <w:rPr>
          <w:lang w:val="fr-CA"/>
        </w:rPr>
        <w:t>e</w:t>
      </w:r>
      <w:r w:rsidR="00A134F2">
        <w:rPr>
          <w:lang w:val="fr-CA"/>
        </w:rPr>
        <w:t> :</w:t>
      </w:r>
      <w:r w:rsidR="009E05ED" w:rsidRPr="00A134F2">
        <w:rPr>
          <w:lang w:val="fr-CA"/>
        </w:rPr>
        <w:t> </w:t>
      </w:r>
      <w:r w:rsidR="00C008A4">
        <w:rPr>
          <w:lang w:val="fr-CA"/>
        </w:rPr>
        <w:t>P</w:t>
      </w:r>
      <w:r w:rsidR="00C324C4" w:rsidRPr="00A134F2">
        <w:rPr>
          <w:lang w:val="fr-CA"/>
        </w:rPr>
        <w:t>rocureur général de l’Alberta</w:t>
      </w:r>
      <w:r w:rsidRPr="00A134F2">
        <w:rPr>
          <w:lang w:val="fr-CA"/>
        </w:rPr>
        <w:t>, Edmonton.</w:t>
      </w:r>
    </w:p>
    <w:sectPr w:rsidR="0088374C" w:rsidRPr="00A134F2" w:rsidSect="009E05ED">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2A" w:rsidRDefault="00195C2A">
      <w:r>
        <w:separator/>
      </w:r>
    </w:p>
  </w:endnote>
  <w:endnote w:type="continuationSeparator" w:id="0">
    <w:p w:rsidR="00195C2A" w:rsidRDefault="0019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55" w:rsidRDefault="003811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55" w:rsidRDefault="003811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55" w:rsidRDefault="00381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2A" w:rsidRDefault="00195C2A">
      <w:r>
        <w:separator/>
      </w:r>
    </w:p>
  </w:footnote>
  <w:footnote w:type="continuationSeparator" w:id="0">
    <w:p w:rsidR="00195C2A" w:rsidRDefault="00195C2A">
      <w:r>
        <w:continuationSeparator/>
      </w:r>
    </w:p>
  </w:footnote>
  <w:footnote w:id="1">
    <w:p w:rsidR="008E3C0D" w:rsidRPr="004B2E1C" w:rsidRDefault="008E3C0D" w:rsidP="008E3C0D">
      <w:pPr>
        <w:pStyle w:val="FootnoteText"/>
        <w:tabs>
          <w:tab w:val="clear" w:pos="180"/>
        </w:tabs>
        <w:rPr>
          <w:lang w:val="fr-CA"/>
        </w:rPr>
      </w:pPr>
      <w:r>
        <w:rPr>
          <w:rStyle w:val="FootnoteReference"/>
        </w:rPr>
        <w:footnoteRef/>
      </w:r>
      <w:r>
        <w:rPr>
          <w:lang w:val="fr-CA"/>
        </w:rPr>
        <w:t xml:space="preserve"> </w:t>
      </w:r>
      <w:r w:rsidRPr="004B2E1C">
        <w:rPr>
          <w:lang w:val="fr-CA"/>
        </w:rPr>
        <w:t>(1) lorsque le procureur gé</w:t>
      </w:r>
      <w:r>
        <w:rPr>
          <w:lang w:val="fr-CA"/>
        </w:rPr>
        <w:t>néral a donné, au titre du par. </w:t>
      </w:r>
      <w:r w:rsidRPr="004B2E1C">
        <w:rPr>
          <w:lang w:val="fr-CA"/>
        </w:rPr>
        <w:t xml:space="preserve">64(2), </w:t>
      </w:r>
      <w:r>
        <w:rPr>
          <w:lang w:val="fr-CA"/>
        </w:rPr>
        <w:t xml:space="preserve">avis de son </w:t>
      </w:r>
      <w:r w:rsidRPr="004B2E1C">
        <w:rPr>
          <w:lang w:val="fr-CA"/>
        </w:rPr>
        <w:t>intention de réclamer une peine pour adultes (al.</w:t>
      </w:r>
      <w:r>
        <w:rPr>
          <w:i/>
          <w:lang w:val="fr-CA"/>
        </w:rPr>
        <w:t> </w:t>
      </w:r>
      <w:r w:rsidRPr="004B2E1C">
        <w:rPr>
          <w:lang w:val="fr-CA"/>
        </w:rPr>
        <w:t>67(1)b)); (2)</w:t>
      </w:r>
      <w:r>
        <w:rPr>
          <w:lang w:val="fr-CA"/>
        </w:rPr>
        <w:t xml:space="preserve"> lorsque l’adolescent est accusé de</w:t>
      </w:r>
      <w:r w:rsidRPr="004B2E1C">
        <w:rPr>
          <w:lang w:val="fr-CA"/>
        </w:rPr>
        <w:t xml:space="preserve"> meurtre au premier ou au deuxième degré (al. </w:t>
      </w:r>
      <w:r>
        <w:rPr>
          <w:lang w:val="fr-CA"/>
        </w:rPr>
        <w:t>67(1)c)); et (3) lorsque l’art. </w:t>
      </w:r>
      <w:r w:rsidRPr="004B2E1C">
        <w:rPr>
          <w:bCs/>
          <w:lang w:val="fr-CA"/>
        </w:rPr>
        <w:t xml:space="preserve">16 de la </w:t>
      </w:r>
      <w:r w:rsidRPr="004B2E1C">
        <w:rPr>
          <w:bCs/>
          <w:i/>
          <w:lang w:val="fr-CA"/>
        </w:rPr>
        <w:t>LSJPA</w:t>
      </w:r>
      <w:r w:rsidRPr="004B2E1C">
        <w:rPr>
          <w:bCs/>
          <w:lang w:val="fr-CA"/>
        </w:rPr>
        <w:t xml:space="preserve"> (incertitude sur le statut de l’accusé) s’applique et </w:t>
      </w:r>
      <w:r>
        <w:rPr>
          <w:bCs/>
          <w:lang w:val="fr-CA"/>
        </w:rPr>
        <w:t>l’adolescent</w:t>
      </w:r>
      <w:r w:rsidRPr="004B2E1C">
        <w:rPr>
          <w:bCs/>
          <w:lang w:val="fr-CA"/>
        </w:rPr>
        <w:t>, après qu’il eut</w:t>
      </w:r>
      <w:r>
        <w:rPr>
          <w:bCs/>
          <w:lang w:val="fr-CA"/>
        </w:rPr>
        <w:t xml:space="preserve"> atteint l’âge de quatorze ans, est accusé d’une infraction pour laquelle un adulte</w:t>
      </w:r>
      <w:r w:rsidRPr="004B2E1C">
        <w:rPr>
          <w:bCs/>
          <w:lang w:val="fr-CA"/>
        </w:rPr>
        <w:t xml:space="preserve"> </w:t>
      </w:r>
      <w:r>
        <w:rPr>
          <w:bCs/>
          <w:lang w:val="fr-CA"/>
        </w:rPr>
        <w:t xml:space="preserve">pourrait faire un choix en vertu de l’art. </w:t>
      </w:r>
      <w:r w:rsidRPr="004B2E1C">
        <w:rPr>
          <w:bCs/>
          <w:lang w:val="fr-CA"/>
        </w:rPr>
        <w:t xml:space="preserve">536 </w:t>
      </w:r>
      <w:r>
        <w:rPr>
          <w:bCs/>
          <w:lang w:val="fr-CA"/>
        </w:rPr>
        <w:t xml:space="preserve">du </w:t>
      </w:r>
      <w:r w:rsidRPr="004B2E1C">
        <w:rPr>
          <w:bCs/>
          <w:i/>
          <w:iCs/>
          <w:lang w:val="fr-CA"/>
        </w:rPr>
        <w:t>Code</w:t>
      </w:r>
      <w:r>
        <w:rPr>
          <w:bCs/>
          <w:i/>
          <w:iCs/>
          <w:lang w:val="fr-CA"/>
        </w:rPr>
        <w:t xml:space="preserve"> criminel</w:t>
      </w:r>
      <w:r w:rsidRPr="004B2E1C">
        <w:rPr>
          <w:bCs/>
          <w:lang w:val="fr-CA"/>
        </w:rPr>
        <w:t xml:space="preserve">, </w:t>
      </w:r>
      <w:r>
        <w:rPr>
          <w:bCs/>
          <w:lang w:val="fr-CA"/>
        </w:rPr>
        <w:t xml:space="preserve">ou sur laquelle une cour supérieure de juridiction criminelle aurait compétence exclusive selon l’art. 469 du </w:t>
      </w:r>
      <w:r w:rsidRPr="004B2E1C">
        <w:rPr>
          <w:bCs/>
          <w:i/>
          <w:lang w:val="fr-CA"/>
        </w:rPr>
        <w:t>Code</w:t>
      </w:r>
      <w:r>
        <w:rPr>
          <w:bCs/>
          <w:i/>
          <w:lang w:val="fr-CA"/>
        </w:rPr>
        <w:t xml:space="preserve"> criminel</w:t>
      </w:r>
      <w:r w:rsidRPr="004B2E1C">
        <w:rPr>
          <w:bCs/>
          <w:i/>
          <w:lang w:val="fr-CA"/>
        </w:rPr>
        <w:t xml:space="preserve"> </w:t>
      </w:r>
      <w:r>
        <w:rPr>
          <w:bCs/>
          <w:lang w:val="fr-CA"/>
        </w:rPr>
        <w:t>(al</w:t>
      </w:r>
      <w:r w:rsidRPr="004B2E1C">
        <w:rPr>
          <w:bCs/>
          <w:lang w:val="fr-CA"/>
        </w:rPr>
        <w:t>.</w:t>
      </w:r>
      <w:r>
        <w:rPr>
          <w:bCs/>
          <w:lang w:val="fr-CA"/>
        </w:rPr>
        <w:t> </w:t>
      </w:r>
      <w:r w:rsidRPr="004B2E1C">
        <w:rPr>
          <w:bCs/>
          <w:lang w:val="fr-CA"/>
        </w:rPr>
        <w:t>67(1)d)).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55" w:rsidRDefault="003811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5ED" w:rsidRPr="00381155" w:rsidRDefault="009E05ED" w:rsidP="003811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155" w:rsidRDefault="0038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0A41F7C"/>
    <w:multiLevelType w:val="multilevel"/>
    <w:tmpl w:val="2260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2"/>
  </w:num>
  <w:num w:numId="4">
    <w:abstractNumId w:val="5"/>
  </w:num>
  <w:num w:numId="5">
    <w:abstractNumId w:val="6"/>
  </w:num>
  <w:num w:numId="6">
    <w:abstractNumId w:val="7"/>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578A3"/>
    <w:rsid w:val="00060E34"/>
    <w:rsid w:val="000648CC"/>
    <w:rsid w:val="0009357B"/>
    <w:rsid w:val="000938E5"/>
    <w:rsid w:val="00093DC7"/>
    <w:rsid w:val="000B00A0"/>
    <w:rsid w:val="000C59B8"/>
    <w:rsid w:val="000C6AF0"/>
    <w:rsid w:val="000D0695"/>
    <w:rsid w:val="000D0A77"/>
    <w:rsid w:val="000F7993"/>
    <w:rsid w:val="00102FB5"/>
    <w:rsid w:val="00104F33"/>
    <w:rsid w:val="00111DE2"/>
    <w:rsid w:val="0011400A"/>
    <w:rsid w:val="00116B38"/>
    <w:rsid w:val="00122F41"/>
    <w:rsid w:val="00135406"/>
    <w:rsid w:val="00135972"/>
    <w:rsid w:val="001426A9"/>
    <w:rsid w:val="00154D7C"/>
    <w:rsid w:val="001570B0"/>
    <w:rsid w:val="0015752C"/>
    <w:rsid w:val="00157737"/>
    <w:rsid w:val="00165277"/>
    <w:rsid w:val="00170592"/>
    <w:rsid w:val="001720F7"/>
    <w:rsid w:val="00195C2A"/>
    <w:rsid w:val="00195D83"/>
    <w:rsid w:val="001A00C1"/>
    <w:rsid w:val="001B33E0"/>
    <w:rsid w:val="001B4573"/>
    <w:rsid w:val="001B638E"/>
    <w:rsid w:val="001C2360"/>
    <w:rsid w:val="001C3A02"/>
    <w:rsid w:val="001C55DC"/>
    <w:rsid w:val="001C779F"/>
    <w:rsid w:val="001D2AC1"/>
    <w:rsid w:val="001D4E88"/>
    <w:rsid w:val="001E1676"/>
    <w:rsid w:val="001F0380"/>
    <w:rsid w:val="001F04AA"/>
    <w:rsid w:val="001F776A"/>
    <w:rsid w:val="00220FC2"/>
    <w:rsid w:val="002222F4"/>
    <w:rsid w:val="00224FC0"/>
    <w:rsid w:val="00225EA4"/>
    <w:rsid w:val="00226EAF"/>
    <w:rsid w:val="00231D09"/>
    <w:rsid w:val="00231F3A"/>
    <w:rsid w:val="002406EE"/>
    <w:rsid w:val="00243EC8"/>
    <w:rsid w:val="00270D93"/>
    <w:rsid w:val="00271ED7"/>
    <w:rsid w:val="002745CC"/>
    <w:rsid w:val="002B3160"/>
    <w:rsid w:val="002B6FBE"/>
    <w:rsid w:val="002B7924"/>
    <w:rsid w:val="002C10A6"/>
    <w:rsid w:val="002D28C3"/>
    <w:rsid w:val="002D39A4"/>
    <w:rsid w:val="002D61EB"/>
    <w:rsid w:val="002E6705"/>
    <w:rsid w:val="0030329A"/>
    <w:rsid w:val="0031086F"/>
    <w:rsid w:val="0031414C"/>
    <w:rsid w:val="00314E01"/>
    <w:rsid w:val="0032089D"/>
    <w:rsid w:val="003310DE"/>
    <w:rsid w:val="003323B0"/>
    <w:rsid w:val="00340A49"/>
    <w:rsid w:val="0035169A"/>
    <w:rsid w:val="0035259D"/>
    <w:rsid w:val="00364B18"/>
    <w:rsid w:val="00381155"/>
    <w:rsid w:val="003A125D"/>
    <w:rsid w:val="003A4C70"/>
    <w:rsid w:val="003B215F"/>
    <w:rsid w:val="003C799C"/>
    <w:rsid w:val="003D0399"/>
    <w:rsid w:val="003D64B6"/>
    <w:rsid w:val="003E1C71"/>
    <w:rsid w:val="003F327B"/>
    <w:rsid w:val="00406166"/>
    <w:rsid w:val="0040704B"/>
    <w:rsid w:val="00410A55"/>
    <w:rsid w:val="00411300"/>
    <w:rsid w:val="00413F17"/>
    <w:rsid w:val="00415417"/>
    <w:rsid w:val="00426659"/>
    <w:rsid w:val="004339A7"/>
    <w:rsid w:val="00450352"/>
    <w:rsid w:val="00454BDB"/>
    <w:rsid w:val="00465132"/>
    <w:rsid w:val="00480C90"/>
    <w:rsid w:val="0048396F"/>
    <w:rsid w:val="00493C18"/>
    <w:rsid w:val="0049525A"/>
    <w:rsid w:val="004A600C"/>
    <w:rsid w:val="004A6118"/>
    <w:rsid w:val="004B3E76"/>
    <w:rsid w:val="004C478D"/>
    <w:rsid w:val="004D7D95"/>
    <w:rsid w:val="004E2C26"/>
    <w:rsid w:val="005125A8"/>
    <w:rsid w:val="00517549"/>
    <w:rsid w:val="00520ABC"/>
    <w:rsid w:val="00521AE8"/>
    <w:rsid w:val="00527180"/>
    <w:rsid w:val="00555291"/>
    <w:rsid w:val="00566AD1"/>
    <w:rsid w:val="00583EDE"/>
    <w:rsid w:val="005A08BD"/>
    <w:rsid w:val="005A6079"/>
    <w:rsid w:val="005C4B5A"/>
    <w:rsid w:val="005C7229"/>
    <w:rsid w:val="005E4698"/>
    <w:rsid w:val="00603924"/>
    <w:rsid w:val="00610539"/>
    <w:rsid w:val="00613969"/>
    <w:rsid w:val="00625C35"/>
    <w:rsid w:val="00631499"/>
    <w:rsid w:val="00647E49"/>
    <w:rsid w:val="00656313"/>
    <w:rsid w:val="006565F4"/>
    <w:rsid w:val="0065758B"/>
    <w:rsid w:val="00684EEA"/>
    <w:rsid w:val="0068769C"/>
    <w:rsid w:val="0069689B"/>
    <w:rsid w:val="006B5FF5"/>
    <w:rsid w:val="006F30AF"/>
    <w:rsid w:val="006F4564"/>
    <w:rsid w:val="00701759"/>
    <w:rsid w:val="00705C15"/>
    <w:rsid w:val="007110F6"/>
    <w:rsid w:val="007208D1"/>
    <w:rsid w:val="00744518"/>
    <w:rsid w:val="00747288"/>
    <w:rsid w:val="00747DD3"/>
    <w:rsid w:val="007549C8"/>
    <w:rsid w:val="00764E41"/>
    <w:rsid w:val="00766D14"/>
    <w:rsid w:val="00767A0F"/>
    <w:rsid w:val="00775C81"/>
    <w:rsid w:val="00791272"/>
    <w:rsid w:val="007A05F6"/>
    <w:rsid w:val="007B6F4A"/>
    <w:rsid w:val="007C53C5"/>
    <w:rsid w:val="007E1C47"/>
    <w:rsid w:val="007E337A"/>
    <w:rsid w:val="007E5C70"/>
    <w:rsid w:val="007F2FF5"/>
    <w:rsid w:val="007F3F08"/>
    <w:rsid w:val="00804CC6"/>
    <w:rsid w:val="00817190"/>
    <w:rsid w:val="008226BC"/>
    <w:rsid w:val="00823EA4"/>
    <w:rsid w:val="008260E2"/>
    <w:rsid w:val="008322BD"/>
    <w:rsid w:val="00834F73"/>
    <w:rsid w:val="00864C8A"/>
    <w:rsid w:val="00864CF8"/>
    <w:rsid w:val="00874914"/>
    <w:rsid w:val="0088374C"/>
    <w:rsid w:val="00891422"/>
    <w:rsid w:val="00892E1A"/>
    <w:rsid w:val="008B47FA"/>
    <w:rsid w:val="008B660A"/>
    <w:rsid w:val="008C01DA"/>
    <w:rsid w:val="008E3C0D"/>
    <w:rsid w:val="008F2674"/>
    <w:rsid w:val="008F5FBE"/>
    <w:rsid w:val="008F78E9"/>
    <w:rsid w:val="00914A53"/>
    <w:rsid w:val="009179F9"/>
    <w:rsid w:val="00917C7A"/>
    <w:rsid w:val="00933E5E"/>
    <w:rsid w:val="00935218"/>
    <w:rsid w:val="00937C52"/>
    <w:rsid w:val="009403F3"/>
    <w:rsid w:val="009555B7"/>
    <w:rsid w:val="009567AA"/>
    <w:rsid w:val="009602C9"/>
    <w:rsid w:val="00967374"/>
    <w:rsid w:val="009A21A5"/>
    <w:rsid w:val="009A343A"/>
    <w:rsid w:val="009B2F23"/>
    <w:rsid w:val="009B57B3"/>
    <w:rsid w:val="009D2920"/>
    <w:rsid w:val="009D5AEB"/>
    <w:rsid w:val="009E05ED"/>
    <w:rsid w:val="009F0E33"/>
    <w:rsid w:val="00A134F2"/>
    <w:rsid w:val="00A149DF"/>
    <w:rsid w:val="00A1755C"/>
    <w:rsid w:val="00A21B90"/>
    <w:rsid w:val="00A22AAC"/>
    <w:rsid w:val="00A37FB0"/>
    <w:rsid w:val="00A41805"/>
    <w:rsid w:val="00A51882"/>
    <w:rsid w:val="00A52AFB"/>
    <w:rsid w:val="00A548CB"/>
    <w:rsid w:val="00A5521C"/>
    <w:rsid w:val="00A643E7"/>
    <w:rsid w:val="00A73C38"/>
    <w:rsid w:val="00A921A7"/>
    <w:rsid w:val="00AB670D"/>
    <w:rsid w:val="00AD752D"/>
    <w:rsid w:val="00AF03C5"/>
    <w:rsid w:val="00B000D8"/>
    <w:rsid w:val="00B00F75"/>
    <w:rsid w:val="00B145B6"/>
    <w:rsid w:val="00B279EB"/>
    <w:rsid w:val="00B50C81"/>
    <w:rsid w:val="00B557F8"/>
    <w:rsid w:val="00B815FC"/>
    <w:rsid w:val="00B93FBC"/>
    <w:rsid w:val="00BA7DA0"/>
    <w:rsid w:val="00BB2EE4"/>
    <w:rsid w:val="00BB4C92"/>
    <w:rsid w:val="00BC2108"/>
    <w:rsid w:val="00BD0E9E"/>
    <w:rsid w:val="00BD1BEC"/>
    <w:rsid w:val="00BD32FF"/>
    <w:rsid w:val="00BF6FE9"/>
    <w:rsid w:val="00C008A4"/>
    <w:rsid w:val="00C02092"/>
    <w:rsid w:val="00C24D91"/>
    <w:rsid w:val="00C26DB2"/>
    <w:rsid w:val="00C324C4"/>
    <w:rsid w:val="00C37DCA"/>
    <w:rsid w:val="00C53F14"/>
    <w:rsid w:val="00C600CF"/>
    <w:rsid w:val="00C6084F"/>
    <w:rsid w:val="00C62A66"/>
    <w:rsid w:val="00C66359"/>
    <w:rsid w:val="00C71458"/>
    <w:rsid w:val="00C77613"/>
    <w:rsid w:val="00C828E7"/>
    <w:rsid w:val="00C86719"/>
    <w:rsid w:val="00C921DD"/>
    <w:rsid w:val="00CA6391"/>
    <w:rsid w:val="00CE036E"/>
    <w:rsid w:val="00CE3171"/>
    <w:rsid w:val="00CF1601"/>
    <w:rsid w:val="00D0172F"/>
    <w:rsid w:val="00D01E33"/>
    <w:rsid w:val="00D068A7"/>
    <w:rsid w:val="00D17476"/>
    <w:rsid w:val="00D17B0E"/>
    <w:rsid w:val="00D32086"/>
    <w:rsid w:val="00D32FE6"/>
    <w:rsid w:val="00D37A3F"/>
    <w:rsid w:val="00D4431D"/>
    <w:rsid w:val="00D4667A"/>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69AE"/>
    <w:rsid w:val="00E47B7A"/>
    <w:rsid w:val="00E56A44"/>
    <w:rsid w:val="00E60269"/>
    <w:rsid w:val="00E97830"/>
    <w:rsid w:val="00EA28B3"/>
    <w:rsid w:val="00EC28B9"/>
    <w:rsid w:val="00EE0830"/>
    <w:rsid w:val="00EE6CB8"/>
    <w:rsid w:val="00EF0683"/>
    <w:rsid w:val="00EF642D"/>
    <w:rsid w:val="00F0070C"/>
    <w:rsid w:val="00F00EB7"/>
    <w:rsid w:val="00F16FC8"/>
    <w:rsid w:val="00F36AB6"/>
    <w:rsid w:val="00F37A09"/>
    <w:rsid w:val="00F409CE"/>
    <w:rsid w:val="00F4379D"/>
    <w:rsid w:val="00F50D2D"/>
    <w:rsid w:val="00F56C8B"/>
    <w:rsid w:val="00F62639"/>
    <w:rsid w:val="00F66810"/>
    <w:rsid w:val="00F77647"/>
    <w:rsid w:val="00F84DF4"/>
    <w:rsid w:val="00F85C97"/>
    <w:rsid w:val="00FB37D2"/>
    <w:rsid w:val="00FC4EFB"/>
    <w:rsid w:val="00FD068D"/>
    <w:rsid w:val="00FD418F"/>
    <w:rsid w:val="00FD4F28"/>
    <w:rsid w:val="00FE6784"/>
    <w:rsid w:val="00FE7A8B"/>
    <w:rsid w:val="00FF4235"/>
    <w:rsid w:val="00FF4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C0D"/>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OtherPartyRoleSeparator">
    <w:name w:val="SCC.Lsoc.OtherPartyRoleSeparator"/>
    <w:basedOn w:val="Normal"/>
    <w:next w:val="Normal"/>
    <w:link w:val="SCCLsocOtherPartyRoleSeparatorChar"/>
    <w:rsid w:val="008E3C0D"/>
    <w:pPr>
      <w:spacing w:after="480"/>
    </w:pPr>
    <w:rPr>
      <w:rFonts w:eastAsiaTheme="minorHAnsi" w:cstheme="minorBidi"/>
      <w:szCs w:val="22"/>
      <w:lang w:eastAsia="en-US"/>
    </w:rPr>
  </w:style>
  <w:style w:type="paragraph" w:customStyle="1" w:styleId="SCCCoram">
    <w:name w:val="SCC.Coram"/>
    <w:basedOn w:val="Normal"/>
    <w:next w:val="Normal"/>
    <w:link w:val="SCCCoramChar"/>
    <w:rsid w:val="008E3C0D"/>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8E3C0D"/>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8E3C0D"/>
    <w:rPr>
      <w:rFonts w:eastAsiaTheme="minorHAnsi" w:cstheme="minorBidi"/>
      <w:sz w:val="24"/>
      <w:szCs w:val="22"/>
      <w:lang w:eastAsia="en-US"/>
    </w:rPr>
  </w:style>
  <w:style w:type="character" w:customStyle="1" w:styleId="SCCBanSummaryChar">
    <w:name w:val="SCC.BanSummary Char"/>
    <w:basedOn w:val="DefaultParagraphFont"/>
    <w:link w:val="SCCBanSummary"/>
    <w:rsid w:val="008E3C0D"/>
    <w:rPr>
      <w:b/>
      <w:sz w:val="24"/>
    </w:rPr>
  </w:style>
  <w:style w:type="table" w:styleId="TableGrid">
    <w:name w:val="Table Grid"/>
    <w:basedOn w:val="TableNormal"/>
    <w:uiPriority w:val="59"/>
    <w:rsid w:val="008E3C0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E3C0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8E3C0D"/>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8E3C0D"/>
    <w:pPr>
      <w:tabs>
        <w:tab w:val="left" w:pos="1166"/>
      </w:tabs>
      <w:spacing w:after="480" w:line="480" w:lineRule="auto"/>
    </w:pPr>
    <w:rPr>
      <w:smallCaps/>
      <w:sz w:val="24"/>
      <w:szCs w:val="24"/>
    </w:rPr>
  </w:style>
  <w:style w:type="paragraph" w:customStyle="1" w:styleId="ParaNoNdepar-AltN">
    <w:name w:val="Para. No. / Nº de par. - Alt N"/>
    <w:qFormat/>
    <w:rsid w:val="008E3C0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E3C0D"/>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E3C0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E3C0D"/>
    <w:pPr>
      <w:numPr>
        <w:ilvl w:val="2"/>
      </w:numPr>
      <w:outlineLvl w:val="2"/>
    </w:pPr>
  </w:style>
  <w:style w:type="paragraph" w:customStyle="1" w:styleId="Title4LevelTitre4Niveau">
    <w:name w:val="Title 4 Level / Titre 4 Niveau"/>
    <w:basedOn w:val="Title3LevelTitre3Niveau"/>
    <w:next w:val="ParaNoNdepar-AltN"/>
    <w:uiPriority w:val="4"/>
    <w:qFormat/>
    <w:rsid w:val="008E3C0D"/>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E3C0D"/>
    <w:pPr>
      <w:numPr>
        <w:ilvl w:val="4"/>
      </w:numPr>
      <w:outlineLvl w:val="4"/>
    </w:pPr>
  </w:style>
  <w:style w:type="paragraph" w:styleId="TOC1">
    <w:name w:val="toc 1"/>
    <w:basedOn w:val="Normal"/>
    <w:next w:val="Normal"/>
    <w:autoRedefine/>
    <w:uiPriority w:val="39"/>
    <w:unhideWhenUsed/>
    <w:rsid w:val="008E3C0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8E3C0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8E3C0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8E3C0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8E3C0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8E3C0D"/>
    <w:pPr>
      <w:tabs>
        <w:tab w:val="left" w:pos="2160"/>
        <w:tab w:val="right" w:leader="dot" w:pos="8270"/>
      </w:tabs>
      <w:spacing w:after="100"/>
      <w:ind w:left="1800"/>
    </w:pPr>
    <w:rPr>
      <w:noProof/>
    </w:rPr>
  </w:style>
  <w:style w:type="table" w:customStyle="1" w:styleId="TableGrid1">
    <w:name w:val="Table Grid1"/>
    <w:basedOn w:val="TableNormal"/>
    <w:uiPriority w:val="59"/>
    <w:rsid w:val="008E3C0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E3C0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E3C0D"/>
    <w:pPr>
      <w:numPr>
        <w:ilvl w:val="5"/>
      </w:numPr>
      <w:outlineLvl w:val="5"/>
    </w:pPr>
    <w:rPr>
      <w:i/>
      <w:u w:val="none"/>
    </w:rPr>
  </w:style>
  <w:style w:type="paragraph" w:styleId="FootnoteText">
    <w:name w:val="footnote text"/>
    <w:basedOn w:val="Normal"/>
    <w:link w:val="FootnoteTextChar"/>
    <w:uiPriority w:val="99"/>
    <w:unhideWhenUsed/>
    <w:rsid w:val="008E3C0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E3C0D"/>
  </w:style>
  <w:style w:type="character" w:styleId="FootnoteReference">
    <w:name w:val="footnote reference"/>
    <w:basedOn w:val="DefaultParagraphFont"/>
    <w:uiPriority w:val="99"/>
    <w:semiHidden/>
    <w:unhideWhenUsed/>
    <w:rsid w:val="008E3C0D"/>
    <w:rPr>
      <w:vertAlign w:val="superscript"/>
    </w:rPr>
  </w:style>
  <w:style w:type="character" w:styleId="Hyperlink">
    <w:name w:val="Hyperlink"/>
    <w:basedOn w:val="DefaultParagraphFont"/>
    <w:uiPriority w:val="99"/>
    <w:unhideWhenUsed/>
    <w:rsid w:val="008E3C0D"/>
    <w:rPr>
      <w:color w:val="0000FF" w:themeColor="hyperlink"/>
      <w:u w:val="single"/>
    </w:rPr>
  </w:style>
  <w:style w:type="character" w:styleId="CommentReference">
    <w:name w:val="annotation reference"/>
    <w:basedOn w:val="DefaultParagraphFont"/>
    <w:uiPriority w:val="99"/>
    <w:semiHidden/>
    <w:unhideWhenUsed/>
    <w:rsid w:val="008E3C0D"/>
    <w:rPr>
      <w:sz w:val="16"/>
      <w:szCs w:val="16"/>
    </w:rPr>
  </w:style>
  <w:style w:type="paragraph" w:styleId="CommentText">
    <w:name w:val="annotation text"/>
    <w:basedOn w:val="Normal"/>
    <w:link w:val="CommentTextChar"/>
    <w:uiPriority w:val="99"/>
    <w:semiHidden/>
    <w:unhideWhenUsed/>
    <w:rsid w:val="008E3C0D"/>
    <w:rPr>
      <w:sz w:val="20"/>
    </w:rPr>
  </w:style>
  <w:style w:type="character" w:customStyle="1" w:styleId="CommentTextChar">
    <w:name w:val="Comment Text Char"/>
    <w:basedOn w:val="DefaultParagraphFont"/>
    <w:link w:val="CommentText"/>
    <w:uiPriority w:val="99"/>
    <w:semiHidden/>
    <w:rsid w:val="008E3C0D"/>
  </w:style>
  <w:style w:type="paragraph" w:styleId="CommentSubject">
    <w:name w:val="annotation subject"/>
    <w:basedOn w:val="CommentText"/>
    <w:next w:val="CommentText"/>
    <w:link w:val="CommentSubjectChar"/>
    <w:uiPriority w:val="99"/>
    <w:semiHidden/>
    <w:unhideWhenUsed/>
    <w:rsid w:val="008E3C0D"/>
    <w:rPr>
      <w:b/>
      <w:bCs/>
    </w:rPr>
  </w:style>
  <w:style w:type="character" w:customStyle="1" w:styleId="CommentSubjectChar">
    <w:name w:val="Comment Subject Char"/>
    <w:basedOn w:val="CommentTextChar"/>
    <w:link w:val="CommentSubject"/>
    <w:uiPriority w:val="99"/>
    <w:semiHidden/>
    <w:rsid w:val="008E3C0D"/>
    <w:rPr>
      <w:b/>
      <w:bCs/>
    </w:rPr>
  </w:style>
  <w:style w:type="paragraph" w:styleId="Revision">
    <w:name w:val="Revision"/>
    <w:hidden/>
    <w:uiPriority w:val="99"/>
    <w:semiHidden/>
    <w:rsid w:val="008E3C0D"/>
    <w:rPr>
      <w:sz w:val="24"/>
      <w:szCs w:val="24"/>
    </w:rPr>
  </w:style>
  <w:style w:type="character" w:styleId="HTMLCite">
    <w:name w:val="HTML Cite"/>
    <w:basedOn w:val="DefaultParagraphFont"/>
    <w:uiPriority w:val="99"/>
    <w:semiHidden/>
    <w:unhideWhenUsed/>
    <w:rsid w:val="008E3C0D"/>
    <w:rPr>
      <w:i/>
      <w:iCs/>
    </w:rPr>
  </w:style>
  <w:style w:type="table" w:customStyle="1" w:styleId="TableGrid2">
    <w:name w:val="Table Grid2"/>
    <w:basedOn w:val="TableNormal"/>
    <w:next w:val="TableGrid"/>
    <w:uiPriority w:val="59"/>
    <w:rsid w:val="008E3C0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5041</Words>
  <Characters>27726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2021-01-28T19:48:00Z</dcterms:created>
  <dcterms:modified xsi:type="dcterms:W3CDTF">2024-01-11T21:37:00Z</dcterms:modified>
</cp:coreProperties>
</file>