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20"/>
        <w:gridCol w:w="1500"/>
        <w:gridCol w:w="3143"/>
        <w:gridCol w:w="17"/>
      </w:tblGrid>
      <w:tr w:rsidR="008D0A42" w:rsidTr="008E32ED">
        <w:trPr>
          <w:trHeight w:val="1786"/>
        </w:trPr>
        <w:tc>
          <w:tcPr>
            <w:tcW w:w="5000" w:type="pct"/>
            <w:gridSpan w:val="4"/>
          </w:tcPr>
          <w:p w:rsidR="008D0A42" w:rsidRDefault="008D0A42" w:rsidP="008E32ED">
            <w:pPr>
              <w:jc w:val="center"/>
            </w:pPr>
            <w:r w:rsidRPr="00C22905">
              <w:rPr>
                <w:rFonts w:eastAsia="Calibri"/>
                <w:szCs w:val="24"/>
                <w:lang w:eastAsia="en-US"/>
              </w:rPr>
              <w:object w:dxaOrig="1365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95pt;height:64.45pt" o:ole="">
                  <v:imagedata r:id="rId8" o:title=""/>
                </v:shape>
                <o:OLEObject Type="Embed" ProgID="Presentations.Drawing.15" ShapeID="_x0000_i1025" DrawAspect="Content" ObjectID="_1766496122" r:id="rId9"/>
              </w:object>
            </w:r>
          </w:p>
          <w:p w:rsidR="008D0A42" w:rsidRDefault="008D0A42" w:rsidP="008E32ED">
            <w:pPr>
              <w:spacing w:before="120" w:after="100" w:afterAutospacing="1"/>
              <w:jc w:val="center"/>
              <w:rPr>
                <w:rFonts w:eastAsia="Calibri"/>
              </w:rPr>
            </w:pPr>
            <w:r w:rsidRPr="00C22905">
              <w:rPr>
                <w:rFonts w:eastAsia="Calibri"/>
                <w:b/>
                <w:szCs w:val="24"/>
                <w:lang w:eastAsia="en-US"/>
              </w:rPr>
              <w:t>COUR</w:t>
            </w:r>
            <w:r>
              <w:rPr>
                <w:rFonts w:eastAsia="Calibri"/>
                <w:b/>
                <w:szCs w:val="24"/>
                <w:lang w:eastAsia="en-US"/>
              </w:rPr>
              <w:t xml:space="preserve"> SUPRÊME DU</w:t>
            </w:r>
            <w:r w:rsidRPr="00C22905">
              <w:rPr>
                <w:rFonts w:eastAsia="Calibri"/>
                <w:b/>
                <w:szCs w:val="24"/>
                <w:lang w:eastAsia="en-US"/>
              </w:rPr>
              <w:t xml:space="preserve"> CANADA</w:t>
            </w:r>
          </w:p>
        </w:tc>
      </w:tr>
      <w:tr w:rsidR="008D0A42" w:rsidRPr="000824DA" w:rsidTr="008E32ED">
        <w:trPr>
          <w:gridAfter w:val="1"/>
          <w:wAfter w:w="10" w:type="pct"/>
        </w:trPr>
        <w:tc>
          <w:tcPr>
            <w:tcW w:w="2186" w:type="pct"/>
            <w:tcMar>
              <w:top w:w="284" w:type="dxa"/>
            </w:tcMar>
          </w:tcPr>
          <w:p w:rsidR="008D0A42" w:rsidRPr="000824DA" w:rsidRDefault="008D0A42" w:rsidP="008E32ED">
            <w:pPr>
              <w:spacing w:before="100" w:beforeAutospacing="1"/>
              <w:rPr>
                <w:rFonts w:eastAsia="Calibri"/>
                <w:lang w:val="fr-CA"/>
              </w:rPr>
            </w:pPr>
            <w:r w:rsidRPr="00CB5B04">
              <w:rPr>
                <w:b/>
                <w:smallCaps/>
                <w:lang w:val="fr-CA"/>
              </w:rPr>
              <w:t>Référence :</w:t>
            </w:r>
            <w:r w:rsidRPr="00CB5B04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R. </w:t>
            </w:r>
            <w:r>
              <w:rPr>
                <w:i/>
                <w:lang w:val="fr-CA"/>
              </w:rPr>
              <w:t>c.</w:t>
            </w:r>
            <w:r>
              <w:rPr>
                <w:lang w:val="fr-CA"/>
              </w:rPr>
              <w:t xml:space="preserve"> Waterman, 2021 CSC 5</w:t>
            </w:r>
            <w:bookmarkStart w:id="0" w:name="_GoBack"/>
            <w:r>
              <w:rPr>
                <w:lang w:val="fr-CA"/>
              </w:rPr>
              <w:t>, [2021] 1 R.C.S. 14</w:t>
            </w:r>
            <w:bookmarkEnd w:id="0"/>
          </w:p>
        </w:tc>
        <w:tc>
          <w:tcPr>
            <w:tcW w:w="906" w:type="pct"/>
          </w:tcPr>
          <w:p w:rsidR="008D0A42" w:rsidRPr="00CB5B04" w:rsidRDefault="008D0A42" w:rsidP="008E32ED">
            <w:pPr>
              <w:rPr>
                <w:b/>
                <w:smallCaps/>
                <w:lang w:val="fr-CA"/>
              </w:rPr>
            </w:pPr>
          </w:p>
        </w:tc>
        <w:tc>
          <w:tcPr>
            <w:tcW w:w="1898" w:type="pct"/>
            <w:tcMar>
              <w:top w:w="284" w:type="dxa"/>
            </w:tcMar>
          </w:tcPr>
          <w:p w:rsidR="008D0A42" w:rsidRPr="00CB5B04" w:rsidRDefault="008D0A42" w:rsidP="008E32ED">
            <w:pPr>
              <w:rPr>
                <w:lang w:val="fr-CA"/>
              </w:rPr>
            </w:pPr>
            <w:r w:rsidRPr="00CB5B04">
              <w:rPr>
                <w:b/>
                <w:smallCaps/>
                <w:lang w:val="fr-CA"/>
              </w:rPr>
              <w:t>Appel entendu :</w:t>
            </w:r>
            <w:r>
              <w:rPr>
                <w:lang w:val="fr-CA"/>
              </w:rPr>
              <w:t xml:space="preserve"> 22 janvier 2021</w:t>
            </w:r>
          </w:p>
          <w:p w:rsidR="008D0A42" w:rsidRPr="00CB5B04" w:rsidRDefault="008D0A42" w:rsidP="008E32ED">
            <w:pPr>
              <w:rPr>
                <w:b/>
                <w:smallCaps/>
                <w:lang w:val="fr-CA"/>
              </w:rPr>
            </w:pPr>
            <w:r>
              <w:rPr>
                <w:b/>
                <w:smallCaps/>
                <w:lang w:val="fr-CA"/>
              </w:rPr>
              <w:t xml:space="preserve">Jugement rendu : </w:t>
            </w:r>
            <w:r>
              <w:rPr>
                <w:lang w:val="fr-CA"/>
              </w:rPr>
              <w:t>22 janvier 2021</w:t>
            </w:r>
          </w:p>
          <w:p w:rsidR="008D0A42" w:rsidRPr="00A9085B" w:rsidRDefault="008D0A42" w:rsidP="008E32ED">
            <w:pPr>
              <w:rPr>
                <w:rFonts w:eastAsia="Calibri"/>
                <w:lang w:val="fr-CA"/>
              </w:rPr>
            </w:pPr>
            <w:r w:rsidRPr="00A9085B">
              <w:rPr>
                <w:b/>
                <w:smallCaps/>
                <w:lang w:val="fr-CA"/>
              </w:rPr>
              <w:t>Dossier :</w:t>
            </w:r>
            <w:r w:rsidRPr="00A9085B">
              <w:rPr>
                <w:lang w:val="fr-CA"/>
              </w:rPr>
              <w:t xml:space="preserve"> </w:t>
            </w:r>
            <w:r>
              <w:rPr>
                <w:lang w:val="fr-CA"/>
              </w:rPr>
              <w:t>39214</w:t>
            </w:r>
          </w:p>
        </w:tc>
      </w:tr>
      <w:tr w:rsidR="008D0A42" w:rsidRPr="00AE24AA" w:rsidTr="008E32ED">
        <w:tc>
          <w:tcPr>
            <w:tcW w:w="5000" w:type="pct"/>
            <w:gridSpan w:val="4"/>
          </w:tcPr>
          <w:p w:rsidR="008D0A42" w:rsidRPr="00AE24AA" w:rsidRDefault="008D0A42" w:rsidP="008E32ED">
            <w:pPr>
              <w:rPr>
                <w:rFonts w:eastAsiaTheme="minorHAnsi" w:cstheme="minorBidi"/>
                <w:b/>
                <w:smallCaps/>
                <w:szCs w:val="24"/>
                <w:lang w:val="fr-CA" w:eastAsia="en-US"/>
              </w:rPr>
            </w:pPr>
          </w:p>
          <w:p w:rsidR="008D0A42" w:rsidRDefault="008D0A42" w:rsidP="008E32ED">
            <w:pPr>
              <w:rPr>
                <w:rFonts w:eastAsiaTheme="minorHAnsi" w:cstheme="minorBidi"/>
                <w:b/>
                <w:smallCaps/>
                <w:szCs w:val="24"/>
                <w:lang w:val="fr-CA" w:eastAsia="en-US"/>
              </w:rPr>
            </w:pPr>
            <w:r>
              <w:rPr>
                <w:rFonts w:eastAsiaTheme="minorHAnsi" w:cstheme="minorBidi"/>
                <w:b/>
                <w:smallCaps/>
                <w:szCs w:val="24"/>
                <w:lang w:val="fr-CA" w:eastAsia="en-US"/>
              </w:rPr>
              <w:t>Entre :</w:t>
            </w:r>
          </w:p>
          <w:p w:rsidR="008D0A42" w:rsidRPr="000824DA" w:rsidRDefault="008D0A42" w:rsidP="008E32ED">
            <w:pPr>
              <w:rPr>
                <w:rFonts w:eastAsiaTheme="minorHAnsi" w:cstheme="minorBidi"/>
                <w:b/>
                <w:smallCaps/>
                <w:szCs w:val="24"/>
                <w:lang w:val="fr-CA" w:eastAsia="en-US"/>
              </w:rPr>
            </w:pPr>
          </w:p>
          <w:p w:rsidR="008D0A42" w:rsidRPr="000824DA" w:rsidRDefault="008D0A42" w:rsidP="008E32ED">
            <w:pPr>
              <w:jc w:val="center"/>
              <w:rPr>
                <w:rFonts w:eastAsiaTheme="minorHAnsi" w:cstheme="minorBidi"/>
                <w:b/>
                <w:szCs w:val="24"/>
                <w:lang w:val="fr-CA" w:eastAsia="en-US"/>
              </w:rPr>
            </w:pPr>
            <w:r w:rsidRPr="000824DA">
              <w:rPr>
                <w:rFonts w:eastAsiaTheme="minorHAnsi" w:cstheme="minorBidi"/>
                <w:b/>
                <w:szCs w:val="24"/>
                <w:lang w:val="fr-CA" w:eastAsia="en-US"/>
              </w:rPr>
              <w:t>Sa Majesté la Reine</w:t>
            </w:r>
          </w:p>
          <w:p w:rsidR="008D0A42" w:rsidRPr="000824DA" w:rsidRDefault="008D0A42" w:rsidP="008E32ED">
            <w:pPr>
              <w:jc w:val="center"/>
              <w:rPr>
                <w:rFonts w:eastAsiaTheme="minorHAnsi" w:cstheme="minorBidi"/>
                <w:szCs w:val="24"/>
                <w:lang w:val="fr-CA" w:eastAsia="en-US"/>
              </w:rPr>
            </w:pPr>
            <w:r w:rsidRPr="000824DA">
              <w:rPr>
                <w:rFonts w:eastAsiaTheme="minorHAnsi" w:cstheme="minorBidi"/>
                <w:szCs w:val="24"/>
                <w:lang w:val="fr-CA" w:eastAsia="en-US"/>
              </w:rPr>
              <w:t>Appel</w:t>
            </w:r>
            <w:r>
              <w:rPr>
                <w:rFonts w:eastAsiaTheme="minorHAnsi" w:cstheme="minorBidi"/>
                <w:szCs w:val="24"/>
                <w:lang w:val="fr-CA" w:eastAsia="en-US"/>
              </w:rPr>
              <w:t>ante</w:t>
            </w:r>
          </w:p>
          <w:p w:rsidR="008D0A42" w:rsidRPr="000824DA" w:rsidRDefault="008D0A42" w:rsidP="008E32ED">
            <w:pPr>
              <w:jc w:val="center"/>
              <w:rPr>
                <w:rFonts w:eastAsiaTheme="minorHAnsi" w:cstheme="minorBidi"/>
                <w:szCs w:val="24"/>
                <w:lang w:val="fr-CA" w:eastAsia="en-US"/>
              </w:rPr>
            </w:pPr>
          </w:p>
          <w:p w:rsidR="008D0A42" w:rsidRPr="005C73EB" w:rsidRDefault="008D0A42" w:rsidP="008E32ED">
            <w:pPr>
              <w:jc w:val="center"/>
              <w:rPr>
                <w:rFonts w:eastAsiaTheme="minorHAnsi" w:cstheme="minorBidi"/>
                <w:szCs w:val="24"/>
                <w:lang w:val="en-US" w:eastAsia="en-US"/>
              </w:rPr>
            </w:pPr>
            <w:r w:rsidRPr="005C73EB">
              <w:rPr>
                <w:rFonts w:eastAsiaTheme="minorHAnsi" w:cstheme="minorBidi"/>
                <w:szCs w:val="24"/>
                <w:lang w:val="en-US" w:eastAsia="en-US"/>
              </w:rPr>
              <w:t>et</w:t>
            </w:r>
          </w:p>
          <w:p w:rsidR="008D0A42" w:rsidRPr="005C73EB" w:rsidRDefault="008D0A42" w:rsidP="008E32ED">
            <w:pPr>
              <w:jc w:val="center"/>
              <w:rPr>
                <w:rFonts w:eastAsiaTheme="minorHAnsi" w:cstheme="minorBidi"/>
                <w:szCs w:val="24"/>
                <w:lang w:val="en-US" w:eastAsia="en-US"/>
              </w:rPr>
            </w:pPr>
          </w:p>
          <w:p w:rsidR="008D0A42" w:rsidRPr="005C73EB" w:rsidRDefault="008D0A42" w:rsidP="008E32ED">
            <w:pPr>
              <w:jc w:val="center"/>
              <w:rPr>
                <w:rFonts w:eastAsiaTheme="minorHAnsi" w:cstheme="minorBidi"/>
                <w:b/>
                <w:szCs w:val="24"/>
                <w:lang w:val="en-US" w:eastAsia="en-US"/>
              </w:rPr>
            </w:pPr>
            <w:r w:rsidRPr="005C73EB">
              <w:rPr>
                <w:rFonts w:eastAsiaTheme="minorHAnsi" w:cstheme="minorBidi"/>
                <w:b/>
                <w:szCs w:val="24"/>
                <w:lang w:val="en-US" w:eastAsia="en-US"/>
              </w:rPr>
              <w:t>Angus Frederick Waterman</w:t>
            </w:r>
          </w:p>
          <w:p w:rsidR="008D0A42" w:rsidRPr="005C73EB" w:rsidRDefault="008D0A42" w:rsidP="008E32ED">
            <w:pPr>
              <w:jc w:val="center"/>
              <w:rPr>
                <w:rFonts w:eastAsiaTheme="minorHAnsi" w:cstheme="minorBidi"/>
                <w:szCs w:val="24"/>
                <w:lang w:val="en-US" w:eastAsia="en-US"/>
              </w:rPr>
            </w:pPr>
            <w:r w:rsidRPr="005C73EB">
              <w:rPr>
                <w:rFonts w:eastAsiaTheme="minorHAnsi" w:cstheme="minorBidi"/>
                <w:szCs w:val="24"/>
                <w:lang w:val="en-US" w:eastAsia="en-US"/>
              </w:rPr>
              <w:t>Intimé</w:t>
            </w:r>
          </w:p>
          <w:p w:rsidR="008D0A42" w:rsidRPr="005C73EB" w:rsidRDefault="008D0A42" w:rsidP="008E32ED">
            <w:pPr>
              <w:jc w:val="center"/>
              <w:rPr>
                <w:rFonts w:eastAsiaTheme="minorHAnsi" w:cstheme="minorBidi"/>
                <w:szCs w:val="24"/>
                <w:lang w:val="en-US" w:eastAsia="en-US"/>
              </w:rPr>
            </w:pPr>
          </w:p>
          <w:p w:rsidR="008D0A42" w:rsidRPr="005C73EB" w:rsidRDefault="008D0A42" w:rsidP="008E32ED">
            <w:pPr>
              <w:jc w:val="center"/>
              <w:rPr>
                <w:lang w:val="en-US"/>
              </w:rPr>
            </w:pPr>
            <w:r w:rsidRPr="005C73EB">
              <w:rPr>
                <w:lang w:val="en-US"/>
              </w:rPr>
              <w:t>- et -</w:t>
            </w:r>
          </w:p>
          <w:p w:rsidR="008D0A42" w:rsidRPr="005C73EB" w:rsidRDefault="008D0A42" w:rsidP="008E32ED">
            <w:pPr>
              <w:jc w:val="center"/>
              <w:rPr>
                <w:lang w:val="en-US"/>
              </w:rPr>
            </w:pPr>
          </w:p>
          <w:p w:rsidR="008D0A42" w:rsidRDefault="008D0A42" w:rsidP="008E32ED">
            <w:pPr>
              <w:jc w:val="center"/>
              <w:rPr>
                <w:rFonts w:eastAsiaTheme="minorHAnsi" w:cstheme="minorBidi"/>
                <w:b/>
                <w:szCs w:val="24"/>
                <w:lang w:val="fr-CA" w:eastAsia="en-US"/>
              </w:rPr>
            </w:pPr>
            <w:r>
              <w:rPr>
                <w:rFonts w:eastAsiaTheme="minorHAnsi" w:cstheme="minorBidi"/>
                <w:b/>
                <w:szCs w:val="24"/>
                <w:lang w:val="fr-CA" w:eastAsia="en-US"/>
              </w:rPr>
              <w:t>Procureur général de l’Ontario et Criminal Lawyers’ Association (Ontario)</w:t>
            </w:r>
          </w:p>
          <w:p w:rsidR="008D0A42" w:rsidRPr="00761213" w:rsidRDefault="008D0A42" w:rsidP="008E32ED">
            <w:pPr>
              <w:jc w:val="center"/>
              <w:rPr>
                <w:rFonts w:eastAsiaTheme="minorHAnsi" w:cstheme="minorBidi"/>
                <w:szCs w:val="24"/>
                <w:lang w:val="fr-CA" w:eastAsia="en-US"/>
              </w:rPr>
            </w:pPr>
            <w:r>
              <w:rPr>
                <w:rFonts w:eastAsiaTheme="minorHAnsi" w:cstheme="minorBidi"/>
                <w:szCs w:val="24"/>
                <w:lang w:val="fr-CA" w:eastAsia="en-US"/>
              </w:rPr>
              <w:t>Intervenants</w:t>
            </w:r>
          </w:p>
          <w:p w:rsidR="008D0A42" w:rsidRDefault="008D0A42" w:rsidP="008E32ED">
            <w:pPr>
              <w:rPr>
                <w:rFonts w:eastAsiaTheme="minorHAnsi" w:cstheme="minorBidi"/>
                <w:szCs w:val="24"/>
                <w:lang w:val="fr-CA" w:eastAsia="en-US"/>
              </w:rPr>
            </w:pPr>
          </w:p>
          <w:p w:rsidR="008D0A42" w:rsidRPr="00CB5B04" w:rsidRDefault="008D0A42" w:rsidP="008E32ED">
            <w:pPr>
              <w:rPr>
                <w:rFonts w:eastAsiaTheme="minorHAnsi" w:cstheme="minorBidi"/>
                <w:szCs w:val="24"/>
                <w:lang w:val="fr-CA" w:eastAsia="en-US"/>
              </w:rPr>
            </w:pPr>
          </w:p>
          <w:p w:rsidR="008D0A42" w:rsidRPr="000824DA" w:rsidRDefault="008D0A42" w:rsidP="008E32ED">
            <w:pPr>
              <w:jc w:val="center"/>
              <w:rPr>
                <w:rFonts w:eastAsiaTheme="minorHAnsi" w:cstheme="minorBidi"/>
                <w:b/>
                <w:smallCaps/>
                <w:szCs w:val="24"/>
                <w:lang w:val="fr-CA" w:eastAsia="en-US"/>
              </w:rPr>
            </w:pPr>
            <w:r w:rsidRPr="00CB5B04">
              <w:rPr>
                <w:rFonts w:eastAsiaTheme="minorHAnsi" w:cstheme="minorBidi"/>
                <w:b/>
                <w:smallCaps/>
                <w:szCs w:val="24"/>
                <w:lang w:val="fr-CA" w:eastAsia="en-US"/>
              </w:rPr>
              <w:t>Traduction française officielle</w:t>
            </w:r>
          </w:p>
        </w:tc>
      </w:tr>
    </w:tbl>
    <w:tbl>
      <w:tblPr>
        <w:tblStyle w:val="TableGrid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700"/>
        <w:gridCol w:w="6563"/>
        <w:gridCol w:w="17"/>
      </w:tblGrid>
      <w:tr w:rsidR="008D0A42" w:rsidRPr="00A2095A" w:rsidTr="008E32ED">
        <w:trPr>
          <w:cantSplit/>
          <w:trHeight w:val="508"/>
        </w:trPr>
        <w:tc>
          <w:tcPr>
            <w:tcW w:w="5000" w:type="pct"/>
            <w:gridSpan w:val="3"/>
            <w:tcMar>
              <w:top w:w="284" w:type="dxa"/>
              <w:bottom w:w="57" w:type="dxa"/>
            </w:tcMar>
            <w:vAlign w:val="center"/>
          </w:tcPr>
          <w:p w:rsidR="008D0A42" w:rsidRDefault="008D0A42" w:rsidP="008E32ED">
            <w:pPr>
              <w:rPr>
                <w:lang w:val="fr-CA"/>
              </w:rPr>
            </w:pPr>
            <w:r w:rsidRPr="00CB5B04">
              <w:rPr>
                <w:b/>
                <w:smallCaps/>
                <w:lang w:val="fr-CA"/>
              </w:rPr>
              <w:t>Coram :</w:t>
            </w:r>
            <w:r w:rsidRPr="00CB5B04">
              <w:rPr>
                <w:lang w:val="fr-CA"/>
              </w:rPr>
              <w:t xml:space="preserve"> Le juge en chef Wagner et les juges Abella</w:t>
            </w:r>
            <w:r>
              <w:rPr>
                <w:lang w:val="fr-CA"/>
              </w:rPr>
              <w:t>, Moldaver, Karakatsanis, Brown, Rowe et Martin</w:t>
            </w:r>
          </w:p>
          <w:p w:rsidR="008D0A42" w:rsidRPr="00CB5B04" w:rsidRDefault="008D0A42" w:rsidP="008E32ED">
            <w:pPr>
              <w:rPr>
                <w:lang w:val="fr-CA"/>
              </w:rPr>
            </w:pPr>
          </w:p>
        </w:tc>
      </w:tr>
      <w:tr w:rsidR="008D0A42" w:rsidRPr="000824DA" w:rsidTr="008D0A42">
        <w:trPr>
          <w:gridAfter w:val="1"/>
          <w:wAfter w:w="10" w:type="pct"/>
          <w:cantSplit/>
        </w:trPr>
        <w:tc>
          <w:tcPr>
            <w:tcW w:w="1027" w:type="pct"/>
            <w:tcMar>
              <w:top w:w="284" w:type="dxa"/>
              <w:bottom w:w="57" w:type="dxa"/>
            </w:tcMar>
            <w:vAlign w:val="center"/>
          </w:tcPr>
          <w:p w:rsidR="008D0A42" w:rsidRPr="007B3D74" w:rsidRDefault="008D0A42" w:rsidP="008E32ED">
            <w:pPr>
              <w:rPr>
                <w:b/>
                <w:smallCaps/>
                <w:lang w:val="fr-CA"/>
              </w:rPr>
            </w:pPr>
            <w:r w:rsidRPr="007B3D74">
              <w:rPr>
                <w:b/>
                <w:smallCaps/>
                <w:lang w:val="fr-CA"/>
              </w:rPr>
              <w:t>Jugement</w:t>
            </w:r>
            <w:r>
              <w:rPr>
                <w:b/>
                <w:smallCaps/>
                <w:lang w:val="fr-CA"/>
              </w:rPr>
              <w:t xml:space="preserve"> lu par : </w:t>
            </w:r>
          </w:p>
          <w:p w:rsidR="008D0A42" w:rsidRPr="007B3D74" w:rsidRDefault="008D0A42" w:rsidP="008E32ED">
            <w:pPr>
              <w:rPr>
                <w:b/>
                <w:smallCaps/>
                <w:lang w:val="fr-CA"/>
              </w:rPr>
            </w:pPr>
            <w:r w:rsidRPr="007B3D74">
              <w:rPr>
                <w:lang w:val="fr-CA"/>
              </w:rPr>
              <w:t>(par. 1</w:t>
            </w:r>
            <w:r>
              <w:rPr>
                <w:lang w:val="fr-CA"/>
              </w:rPr>
              <w:t xml:space="preserve"> à </w:t>
            </w:r>
            <w:r w:rsidRPr="00116F0D">
              <w:rPr>
                <w:lang w:val="fr-CA"/>
              </w:rPr>
              <w:t>5)</w:t>
            </w:r>
          </w:p>
        </w:tc>
        <w:tc>
          <w:tcPr>
            <w:tcW w:w="3963" w:type="pct"/>
            <w:tcMar>
              <w:top w:w="284" w:type="dxa"/>
            </w:tcMar>
            <w:vAlign w:val="center"/>
          </w:tcPr>
          <w:p w:rsidR="008D0A42" w:rsidRDefault="008D0A42" w:rsidP="008E32ED">
            <w:pPr>
              <w:rPr>
                <w:b/>
                <w:smallCaps/>
                <w:lang w:val="fr-CA"/>
              </w:rPr>
            </w:pPr>
            <w:r>
              <w:rPr>
                <w:lang w:val="fr-CA"/>
              </w:rPr>
              <w:t>Le juge Moldaver</w:t>
            </w:r>
          </w:p>
          <w:p w:rsidR="008D0A42" w:rsidRPr="007B3D74" w:rsidRDefault="008D0A42" w:rsidP="008E32ED">
            <w:pPr>
              <w:rPr>
                <w:b/>
                <w:smallCaps/>
                <w:lang w:val="fr-CA"/>
              </w:rPr>
            </w:pPr>
          </w:p>
        </w:tc>
      </w:tr>
      <w:tr w:rsidR="008D0A42" w:rsidRPr="00A2095A" w:rsidTr="008D0A42">
        <w:trPr>
          <w:gridAfter w:val="1"/>
          <w:wAfter w:w="10" w:type="pct"/>
          <w:cantSplit/>
        </w:trPr>
        <w:tc>
          <w:tcPr>
            <w:tcW w:w="1027" w:type="pct"/>
            <w:tcMar>
              <w:top w:w="284" w:type="dxa"/>
              <w:bottom w:w="57" w:type="dxa"/>
            </w:tcMar>
            <w:vAlign w:val="center"/>
          </w:tcPr>
          <w:p w:rsidR="008D0A42" w:rsidRPr="007B3D74" w:rsidRDefault="008D0A42" w:rsidP="008E32ED">
            <w:pPr>
              <w:rPr>
                <w:b/>
                <w:smallCaps/>
                <w:lang w:val="fr-CA"/>
              </w:rPr>
            </w:pPr>
            <w:r>
              <w:rPr>
                <w:b/>
                <w:smallCaps/>
                <w:lang w:val="fr-CA"/>
              </w:rPr>
              <w:t>Majorité :</w:t>
            </w:r>
          </w:p>
        </w:tc>
        <w:tc>
          <w:tcPr>
            <w:tcW w:w="3963" w:type="pct"/>
            <w:tcMar>
              <w:top w:w="284" w:type="dxa"/>
            </w:tcMar>
            <w:vAlign w:val="center"/>
          </w:tcPr>
          <w:p w:rsidR="008D0A42" w:rsidRPr="004707F9" w:rsidRDefault="008D0A42" w:rsidP="008E32ED">
            <w:pPr>
              <w:rPr>
                <w:lang w:val="fr-CA"/>
              </w:rPr>
            </w:pPr>
            <w:r w:rsidRPr="00CB5B04">
              <w:rPr>
                <w:lang w:val="fr-CA"/>
              </w:rPr>
              <w:t>Le juge en chef Wagner et les juges Abella</w:t>
            </w:r>
            <w:r>
              <w:rPr>
                <w:lang w:val="fr-CA"/>
              </w:rPr>
              <w:t>, Moldaver, Karakatsanis et Martin</w:t>
            </w:r>
          </w:p>
        </w:tc>
      </w:tr>
      <w:tr w:rsidR="008D0A42" w:rsidRPr="00A2095A" w:rsidTr="008D0A42">
        <w:trPr>
          <w:gridAfter w:val="1"/>
          <w:wAfter w:w="10" w:type="pct"/>
          <w:cantSplit/>
        </w:trPr>
        <w:tc>
          <w:tcPr>
            <w:tcW w:w="1027" w:type="pct"/>
            <w:tcMar>
              <w:top w:w="284" w:type="dxa"/>
              <w:bottom w:w="57" w:type="dxa"/>
            </w:tcMar>
            <w:vAlign w:val="center"/>
          </w:tcPr>
          <w:p w:rsidR="008D0A42" w:rsidRDefault="008D0A42" w:rsidP="008E32ED">
            <w:pPr>
              <w:rPr>
                <w:b/>
                <w:smallCaps/>
                <w:lang w:val="fr-CA"/>
              </w:rPr>
            </w:pPr>
            <w:r>
              <w:rPr>
                <w:b/>
                <w:smallCaps/>
                <w:lang w:val="fr-CA"/>
              </w:rPr>
              <w:t>Dissidence :</w:t>
            </w:r>
          </w:p>
        </w:tc>
        <w:tc>
          <w:tcPr>
            <w:tcW w:w="3963" w:type="pct"/>
            <w:tcMar>
              <w:top w:w="284" w:type="dxa"/>
            </w:tcMar>
            <w:vAlign w:val="center"/>
          </w:tcPr>
          <w:p w:rsidR="008D0A42" w:rsidRPr="004707F9" w:rsidRDefault="008D0A42" w:rsidP="008E32ED">
            <w:pPr>
              <w:rPr>
                <w:lang w:val="fr-CA"/>
              </w:rPr>
            </w:pPr>
            <w:r>
              <w:rPr>
                <w:lang w:val="fr-CA"/>
              </w:rPr>
              <w:t>Les juges Brown et Rowe</w:t>
            </w:r>
          </w:p>
        </w:tc>
      </w:tr>
    </w:tbl>
    <w:tbl>
      <w:tblPr>
        <w:tblStyle w:val="TableGrid"/>
        <w:tblW w:w="10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026"/>
        <w:gridCol w:w="4034"/>
        <w:gridCol w:w="3020"/>
        <w:gridCol w:w="6"/>
      </w:tblGrid>
      <w:tr w:rsidR="008D0A42" w:rsidRPr="00A2095A" w:rsidTr="008E32ED">
        <w:trPr>
          <w:gridAfter w:val="1"/>
          <w:wAfter w:w="6" w:type="dxa"/>
        </w:trPr>
        <w:tc>
          <w:tcPr>
            <w:tcW w:w="10080" w:type="dxa"/>
            <w:gridSpan w:val="3"/>
          </w:tcPr>
          <w:p w:rsidR="008D0A42" w:rsidRPr="00066695" w:rsidRDefault="008D0A42" w:rsidP="008E32ED">
            <w:pPr>
              <w:jc w:val="both"/>
              <w:rPr>
                <w:lang w:val="fr-CA"/>
              </w:rPr>
            </w:pPr>
          </w:p>
        </w:tc>
      </w:tr>
      <w:tr w:rsidR="008D0A42" w:rsidRPr="00A2095A" w:rsidTr="008E32E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6" w:type="dxa"/>
            <w:tcMar>
              <w:top w:w="284" w:type="dxa"/>
            </w:tcMar>
          </w:tcPr>
          <w:p w:rsidR="008D0A42" w:rsidRPr="00A9085B" w:rsidRDefault="008D0A42" w:rsidP="008E32ED">
            <w:pPr>
              <w:rPr>
                <w:rFonts w:eastAsia="Calibri"/>
                <w:szCs w:val="24"/>
                <w:lang w:val="fr-CA" w:eastAsia="en-US"/>
              </w:rPr>
            </w:pPr>
          </w:p>
        </w:tc>
        <w:tc>
          <w:tcPr>
            <w:tcW w:w="4034" w:type="dxa"/>
            <w:tcBorders>
              <w:bottom w:val="single" w:sz="4" w:space="0" w:color="auto"/>
            </w:tcBorders>
            <w:tcMar>
              <w:top w:w="284" w:type="dxa"/>
            </w:tcMar>
          </w:tcPr>
          <w:p w:rsidR="008D0A42" w:rsidRPr="00A9085B" w:rsidRDefault="008D0A42" w:rsidP="008E32ED">
            <w:pPr>
              <w:rPr>
                <w:rFonts w:eastAsia="Calibri"/>
                <w:szCs w:val="24"/>
                <w:lang w:val="fr-CA" w:eastAsia="en-US"/>
              </w:rPr>
            </w:pPr>
          </w:p>
        </w:tc>
        <w:tc>
          <w:tcPr>
            <w:tcW w:w="3026" w:type="dxa"/>
            <w:gridSpan w:val="2"/>
            <w:tcMar>
              <w:top w:w="284" w:type="dxa"/>
            </w:tcMar>
          </w:tcPr>
          <w:p w:rsidR="008D0A42" w:rsidRPr="00A9085B" w:rsidRDefault="008D0A42" w:rsidP="008E32ED">
            <w:pPr>
              <w:rPr>
                <w:rFonts w:eastAsia="Calibri"/>
                <w:szCs w:val="24"/>
                <w:lang w:val="fr-CA" w:eastAsia="en-US"/>
              </w:rPr>
            </w:pPr>
          </w:p>
        </w:tc>
      </w:tr>
    </w:tbl>
    <w:p w:rsidR="008D0A42" w:rsidRDefault="008D0A42" w:rsidP="00733A2A">
      <w:pPr>
        <w:spacing w:after="720"/>
        <w:jc w:val="both"/>
        <w:rPr>
          <w:smallCaps/>
          <w:lang w:val="fr-CA"/>
        </w:rPr>
        <w:sectPr w:rsidR="008D0A42" w:rsidSect="000648CC">
          <w:pgSz w:w="12240" w:h="15840"/>
          <w:pgMar w:top="1267" w:right="2160" w:bottom="720" w:left="1800" w:header="1802" w:footer="720" w:gutter="0"/>
          <w:cols w:space="720"/>
          <w:docGrid w:linePitch="326"/>
        </w:sectPr>
      </w:pPr>
    </w:p>
    <w:p w:rsidR="00733A2A" w:rsidRPr="00A758C7" w:rsidRDefault="00733A2A" w:rsidP="00733A2A">
      <w:pPr>
        <w:spacing w:after="720"/>
        <w:jc w:val="both"/>
        <w:rPr>
          <w:lang w:val="fr-CA"/>
        </w:rPr>
      </w:pPr>
      <w:r w:rsidRPr="00A758C7">
        <w:rPr>
          <w:smallCaps/>
          <w:lang w:val="fr-CA"/>
        </w:rPr>
        <w:lastRenderedPageBreak/>
        <w:t xml:space="preserve">r. </w:t>
      </w:r>
      <w:r w:rsidRPr="00A758C7">
        <w:rPr>
          <w:i/>
          <w:lang w:val="fr-CA"/>
        </w:rPr>
        <w:t>c.</w:t>
      </w:r>
      <w:r w:rsidRPr="00A758C7">
        <w:rPr>
          <w:lang w:val="fr-CA"/>
        </w:rPr>
        <w:t xml:space="preserve"> </w:t>
      </w:r>
      <w:r w:rsidRPr="002F5044">
        <w:rPr>
          <w:smallCaps/>
          <w:lang w:val="fr-CA"/>
        </w:rPr>
        <w:t>waterman</w:t>
      </w:r>
    </w:p>
    <w:p w:rsidR="00733A2A" w:rsidRPr="00A758C7" w:rsidRDefault="00733A2A" w:rsidP="00733A2A">
      <w:pPr>
        <w:pStyle w:val="SCCLsocLastPartyInRole"/>
        <w:rPr>
          <w:lang w:val="fr-CA"/>
        </w:rPr>
      </w:pPr>
      <w:r w:rsidRPr="009217E4">
        <w:rPr>
          <w:bCs/>
          <w:lang w:val="fr-CA"/>
        </w:rPr>
        <w:t>Sa Majesté la Reine</w:t>
      </w:r>
      <w:r>
        <w:rPr>
          <w:rStyle w:val="SCCLsocPartyRole"/>
          <w:lang w:val="fr-CA"/>
        </w:rPr>
        <w:tab/>
        <w:t>Appelante</w:t>
      </w:r>
    </w:p>
    <w:p w:rsidR="00733A2A" w:rsidRPr="00733A2A" w:rsidRDefault="00733A2A" w:rsidP="00733A2A">
      <w:pPr>
        <w:pStyle w:val="SCCLsocVersus"/>
        <w:rPr>
          <w:lang w:val="en-US"/>
        </w:rPr>
      </w:pPr>
      <w:r w:rsidRPr="00733A2A">
        <w:rPr>
          <w:lang w:val="en-US"/>
        </w:rPr>
        <w:t>c.</w:t>
      </w:r>
    </w:p>
    <w:p w:rsidR="00733A2A" w:rsidRPr="00733A2A" w:rsidRDefault="00733A2A" w:rsidP="00733A2A">
      <w:pPr>
        <w:pStyle w:val="SCCLsocLastPartyInRole"/>
        <w:rPr>
          <w:lang w:val="en-US"/>
        </w:rPr>
      </w:pPr>
      <w:r w:rsidRPr="00733A2A">
        <w:rPr>
          <w:bCs/>
          <w:lang w:val="en-US"/>
        </w:rPr>
        <w:t>Angus Frederick Waterman</w:t>
      </w:r>
      <w:r w:rsidRPr="00733A2A">
        <w:rPr>
          <w:rStyle w:val="SCCLsocPartyRole"/>
          <w:lang w:val="en-US"/>
        </w:rPr>
        <w:tab/>
        <w:t>Intimé</w:t>
      </w:r>
    </w:p>
    <w:p w:rsidR="00733A2A" w:rsidRPr="00733A2A" w:rsidRDefault="00733A2A" w:rsidP="00733A2A">
      <w:pPr>
        <w:pStyle w:val="SCCLsocVersus"/>
        <w:rPr>
          <w:i w:val="0"/>
          <w:lang w:val="en-US"/>
        </w:rPr>
      </w:pPr>
      <w:r w:rsidRPr="00733A2A">
        <w:rPr>
          <w:i w:val="0"/>
          <w:lang w:val="en-US"/>
        </w:rPr>
        <w:t>et</w:t>
      </w:r>
    </w:p>
    <w:p w:rsidR="00733A2A" w:rsidRPr="002F5044" w:rsidRDefault="00733A2A" w:rsidP="00733A2A">
      <w:pPr>
        <w:pStyle w:val="SCCLsocLastPartyInRole"/>
        <w:rPr>
          <w:bCs/>
          <w:color w:val="000000"/>
          <w:lang w:val="fr-CA"/>
        </w:rPr>
      </w:pPr>
      <w:r w:rsidRPr="002F5044">
        <w:rPr>
          <w:bCs/>
          <w:color w:val="000000"/>
          <w:lang w:val="fr-CA"/>
        </w:rPr>
        <w:t xml:space="preserve">Procureur </w:t>
      </w:r>
      <w:r>
        <w:rPr>
          <w:bCs/>
          <w:color w:val="000000"/>
          <w:lang w:val="fr-CA"/>
        </w:rPr>
        <w:t>géné</w:t>
      </w:r>
      <w:r w:rsidRPr="002F5044">
        <w:rPr>
          <w:bCs/>
          <w:color w:val="000000"/>
          <w:lang w:val="fr-CA"/>
        </w:rPr>
        <w:t>ral de l’Ontario et</w:t>
      </w:r>
    </w:p>
    <w:p w:rsidR="00733A2A" w:rsidRPr="009217E4" w:rsidRDefault="00733A2A" w:rsidP="00733A2A">
      <w:pPr>
        <w:pStyle w:val="SCCLsocLastPartyInRole"/>
        <w:rPr>
          <w:lang w:val="fr-CA"/>
        </w:rPr>
      </w:pPr>
      <w:r w:rsidRPr="002F5044">
        <w:rPr>
          <w:bCs/>
          <w:lang w:val="fr-CA"/>
        </w:rPr>
        <w:t>Criminal Lawyers’ Association (Ontario)</w:t>
      </w:r>
      <w:r w:rsidRPr="009217E4">
        <w:rPr>
          <w:rStyle w:val="SCCLsocPartyRole"/>
          <w:lang w:val="fr-CA"/>
        </w:rPr>
        <w:tab/>
        <w:t>Intervenants</w:t>
      </w:r>
    </w:p>
    <w:p w:rsidR="00733A2A" w:rsidRPr="00A758C7" w:rsidRDefault="00733A2A" w:rsidP="00733A2A">
      <w:pPr>
        <w:spacing w:after="720"/>
        <w:jc w:val="both"/>
        <w:rPr>
          <w:b/>
          <w:lang w:val="fr-CA"/>
        </w:rPr>
      </w:pPr>
      <w:r>
        <w:rPr>
          <w:b/>
          <w:lang w:val="fr-CA"/>
        </w:rPr>
        <w:t xml:space="preserve">Répertorié : R. </w:t>
      </w:r>
      <w:r w:rsidRPr="00A758C7">
        <w:rPr>
          <w:b/>
          <w:i/>
          <w:iCs/>
          <w:lang w:val="fr-CA"/>
        </w:rPr>
        <w:t>c.</w:t>
      </w:r>
      <w:r>
        <w:rPr>
          <w:b/>
          <w:lang w:val="fr-CA"/>
        </w:rPr>
        <w:t xml:space="preserve"> </w:t>
      </w:r>
      <w:r w:rsidRPr="002F5044">
        <w:rPr>
          <w:b/>
          <w:lang w:val="fr-CA"/>
        </w:rPr>
        <w:t>Waterman</w:t>
      </w:r>
    </w:p>
    <w:p w:rsidR="00733A2A" w:rsidRPr="00A758C7" w:rsidRDefault="00733A2A" w:rsidP="00733A2A">
      <w:pPr>
        <w:pStyle w:val="SCCSystemYear"/>
        <w:spacing w:after="720"/>
        <w:jc w:val="both"/>
        <w:rPr>
          <w:lang w:val="fr-CA"/>
        </w:rPr>
      </w:pPr>
      <w:r w:rsidRPr="00A758C7">
        <w:rPr>
          <w:lang w:val="fr-CA"/>
        </w:rPr>
        <w:t>2021</w:t>
      </w:r>
      <w:r>
        <w:rPr>
          <w:lang w:val="fr-CA"/>
        </w:rPr>
        <w:t xml:space="preserve"> CSC </w:t>
      </w:r>
      <w:r>
        <w:rPr>
          <w:color w:val="000000"/>
          <w:lang w:val="fr-CA"/>
        </w:rPr>
        <w:t>5</w:t>
      </w:r>
    </w:p>
    <w:p w:rsidR="00733A2A" w:rsidRPr="00AE3A60" w:rsidRDefault="00733A2A" w:rsidP="00733A2A">
      <w:pPr>
        <w:spacing w:after="720"/>
        <w:jc w:val="both"/>
        <w:rPr>
          <w:lang w:val="fr-CA"/>
        </w:rPr>
      </w:pPr>
      <w:r w:rsidRPr="00AE3A60">
        <w:rPr>
          <w:lang w:val="fr-CA"/>
        </w:rPr>
        <w:t>N</w:t>
      </w:r>
      <w:r w:rsidRPr="00AE3A60">
        <w:rPr>
          <w:vertAlign w:val="superscript"/>
          <w:lang w:val="fr-CA"/>
        </w:rPr>
        <w:t>o</w:t>
      </w:r>
      <w:r>
        <w:rPr>
          <w:lang w:val="fr-CA"/>
        </w:rPr>
        <w:t xml:space="preserve"> du greffe : </w:t>
      </w:r>
      <w:r w:rsidRPr="002F5044">
        <w:rPr>
          <w:color w:val="000000"/>
          <w:lang w:val="fr-CA"/>
        </w:rPr>
        <w:t>39214</w:t>
      </w:r>
      <w:r w:rsidRPr="00AE3A60">
        <w:rPr>
          <w:lang w:val="fr-CA"/>
        </w:rPr>
        <w:t>.</w:t>
      </w:r>
    </w:p>
    <w:p w:rsidR="00733A2A" w:rsidRPr="00AE3A60" w:rsidRDefault="00733A2A" w:rsidP="00733A2A">
      <w:pPr>
        <w:spacing w:after="720"/>
        <w:jc w:val="both"/>
        <w:rPr>
          <w:lang w:val="fr-CA"/>
        </w:rPr>
      </w:pPr>
      <w:r w:rsidRPr="00AE3A60">
        <w:rPr>
          <w:lang w:val="fr-CA"/>
        </w:rPr>
        <w:t>2021</w:t>
      </w:r>
      <w:r>
        <w:rPr>
          <w:lang w:val="fr-CA"/>
        </w:rPr>
        <w:t> </w:t>
      </w:r>
      <w:r w:rsidRPr="00AE3A60">
        <w:rPr>
          <w:lang w:val="fr-CA"/>
        </w:rPr>
        <w:t>:</w:t>
      </w:r>
      <w:r>
        <w:rPr>
          <w:lang w:val="fr-CA"/>
        </w:rPr>
        <w:t xml:space="preserve"> 22 janvier</w:t>
      </w:r>
      <w:r w:rsidRPr="00AE3A60">
        <w:rPr>
          <w:lang w:val="fr-CA"/>
        </w:rPr>
        <w:t>.</w:t>
      </w:r>
    </w:p>
    <w:p w:rsidR="00733A2A" w:rsidRPr="006517E8" w:rsidRDefault="00733A2A" w:rsidP="00733A2A">
      <w:pPr>
        <w:spacing w:after="720"/>
        <w:jc w:val="both"/>
        <w:rPr>
          <w:lang w:val="fr-CA"/>
        </w:rPr>
      </w:pPr>
      <w:r>
        <w:rPr>
          <w:lang w:val="fr-CA"/>
        </w:rPr>
        <w:t xml:space="preserve">Présents : </w:t>
      </w:r>
      <w:r w:rsidRPr="002F5044">
        <w:rPr>
          <w:color w:val="000000"/>
          <w:lang w:val="fr-CA"/>
        </w:rPr>
        <w:t>Le juge en chef Wagner et les juges Abella, Moldaver, Karakatsanis, Brown, Rowe et Martin</w:t>
      </w:r>
      <w:r>
        <w:rPr>
          <w:color w:val="000000"/>
          <w:lang w:val="fr-CA"/>
        </w:rPr>
        <w:t>.</w:t>
      </w:r>
    </w:p>
    <w:p w:rsidR="00733A2A" w:rsidRPr="002F5044" w:rsidRDefault="00733A2A" w:rsidP="00733A2A">
      <w:pPr>
        <w:spacing w:after="720"/>
        <w:jc w:val="both"/>
        <w:rPr>
          <w:smallCaps/>
          <w:lang w:val="fr-CA"/>
        </w:rPr>
      </w:pPr>
      <w:r w:rsidRPr="006517E8">
        <w:rPr>
          <w:smallCaps/>
          <w:lang w:val="fr-CA"/>
        </w:rPr>
        <w:t xml:space="preserve">en appel de la </w:t>
      </w:r>
      <w:r>
        <w:rPr>
          <w:smallCaps/>
          <w:lang w:val="fr-CA"/>
        </w:rPr>
        <w:t>cour d’appel de terre</w:t>
      </w:r>
      <w:r>
        <w:rPr>
          <w:smallCaps/>
          <w:lang w:val="fr-CA"/>
        </w:rPr>
        <w:noBreakHyphen/>
        <w:t>neuve</w:t>
      </w:r>
      <w:r>
        <w:rPr>
          <w:smallCaps/>
          <w:lang w:val="fr-CA"/>
        </w:rPr>
        <w:noBreakHyphen/>
        <w:t>et</w:t>
      </w:r>
      <w:r>
        <w:rPr>
          <w:smallCaps/>
          <w:lang w:val="fr-CA"/>
        </w:rPr>
        <w:noBreakHyphen/>
      </w:r>
      <w:r w:rsidRPr="002F5044">
        <w:rPr>
          <w:smallCaps/>
          <w:lang w:val="fr-CA"/>
        </w:rPr>
        <w:t>labrador</w:t>
      </w:r>
    </w:p>
    <w:p w:rsidR="00733A2A" w:rsidRPr="004D7D95" w:rsidRDefault="00733A2A" w:rsidP="00733A2A">
      <w:pPr>
        <w:pStyle w:val="SCCNormalDoubleSpacing"/>
        <w:spacing w:after="480"/>
        <w:rPr>
          <w:lang w:val="fr-CA"/>
        </w:rPr>
      </w:pPr>
      <w:r w:rsidRPr="00BB4C92">
        <w:rPr>
          <w:lang w:val="fr-CA"/>
        </w:rPr>
        <w:lastRenderedPageBreak/>
        <w:tab/>
      </w:r>
      <w:r w:rsidRPr="00A4782F">
        <w:rPr>
          <w:i/>
          <w:lang w:val="fr-CA"/>
        </w:rPr>
        <w:t xml:space="preserve">Droit criminel — Appels — Verdict déraisonnable — Preuve — Incohérences importantes entre la </w:t>
      </w:r>
      <w:r w:rsidRPr="0067401D">
        <w:rPr>
          <w:i/>
          <w:lang w:val="fr-CA"/>
        </w:rPr>
        <w:t>déclaration du plaignant</w:t>
      </w:r>
      <w:r w:rsidRPr="00A4782F">
        <w:rPr>
          <w:i/>
          <w:lang w:val="fr-CA"/>
        </w:rPr>
        <w:t xml:space="preserve"> aux policiers et son témoignage à l’enquête préliminaire</w:t>
      </w:r>
      <w:r>
        <w:rPr>
          <w:i/>
          <w:lang w:val="fr-CA"/>
        </w:rPr>
        <w:t xml:space="preserve"> et au procès</w:t>
      </w:r>
      <w:r w:rsidRPr="00A4782F">
        <w:rPr>
          <w:i/>
          <w:lang w:val="fr-CA"/>
        </w:rPr>
        <w:t xml:space="preserve"> relativement aux allégations d’activité sexuelle criminelle formulées contre l’accusé — Accusé déclaré coupable par le jury d’</w:t>
      </w:r>
      <w:r w:rsidRPr="00A4782F">
        <w:rPr>
          <w:i/>
          <w:color w:val="000000"/>
          <w:lang w:val="fr-CA"/>
        </w:rPr>
        <w:t>attentat à la pudeur et de grossière indécence</w:t>
      </w:r>
      <w:r w:rsidRPr="00A4782F">
        <w:rPr>
          <w:i/>
          <w:lang w:val="fr-CA"/>
        </w:rPr>
        <w:t xml:space="preserve"> — Arrêt de la Cour d’appel </w:t>
      </w:r>
      <w:r w:rsidRPr="00DE1616">
        <w:rPr>
          <w:i/>
          <w:lang w:val="fr-CA"/>
        </w:rPr>
        <w:t>concluant</w:t>
      </w:r>
      <w:r w:rsidRPr="00A4782F">
        <w:rPr>
          <w:i/>
          <w:lang w:val="fr-CA"/>
        </w:rPr>
        <w:t xml:space="preserve"> que le verdict du jury était déraisonnable et n’était pas appuyé par la preuve parce que la Couronne n’a pas présenté la preuve nécessaire </w:t>
      </w:r>
      <w:r>
        <w:rPr>
          <w:i/>
          <w:lang w:val="fr-CA"/>
        </w:rPr>
        <w:t>pour établir les infractions au</w:t>
      </w:r>
      <w:r>
        <w:rPr>
          <w:i/>
          <w:lang w:val="fr-CA"/>
        </w:rPr>
        <w:noBreakHyphen/>
      </w:r>
      <w:r w:rsidRPr="00A4782F">
        <w:rPr>
          <w:i/>
          <w:lang w:val="fr-CA"/>
        </w:rPr>
        <w:t xml:space="preserve">delà de tout doute raisonnable et que le témoignage du plaignant n’était pas crédible — Déclarations de culpabilité annulées par la Cour d’appel — </w:t>
      </w:r>
      <w:r w:rsidRPr="00A4782F">
        <w:rPr>
          <w:i/>
          <w:iCs/>
          <w:color w:val="000000"/>
          <w:lang w:val="fr-CA"/>
        </w:rPr>
        <w:t>Déclarations de culpabilité rétablies.</w:t>
      </w:r>
    </w:p>
    <w:p w:rsidR="00733A2A" w:rsidRPr="006517E8" w:rsidRDefault="00733A2A" w:rsidP="00733A2A">
      <w:pPr>
        <w:pStyle w:val="SCCNormalDoubleSpacing"/>
        <w:spacing w:after="480"/>
        <w:rPr>
          <w:lang w:val="fr-CA"/>
        </w:rPr>
      </w:pPr>
      <w:r w:rsidRPr="004D7D95">
        <w:rPr>
          <w:lang w:val="fr-CA"/>
        </w:rPr>
        <w:tab/>
        <w:t xml:space="preserve">POURVOI contre un arrêt de la </w:t>
      </w:r>
      <w:r w:rsidRPr="00AE3A60">
        <w:rPr>
          <w:lang w:val="fr-CA"/>
        </w:rPr>
        <w:t xml:space="preserve">Cour d’appel de </w:t>
      </w:r>
      <w:r>
        <w:rPr>
          <w:color w:val="000000"/>
          <w:lang w:val="fr-CA"/>
        </w:rPr>
        <w:t>Terre</w:t>
      </w:r>
      <w:r>
        <w:rPr>
          <w:color w:val="000000"/>
          <w:lang w:val="fr-CA"/>
        </w:rPr>
        <w:noBreakHyphen/>
        <w:t>Neuve</w:t>
      </w:r>
      <w:r>
        <w:rPr>
          <w:color w:val="000000"/>
          <w:lang w:val="fr-CA"/>
        </w:rPr>
        <w:noBreakHyphen/>
        <w:t>et</w:t>
      </w:r>
      <w:r>
        <w:rPr>
          <w:color w:val="000000"/>
          <w:lang w:val="fr-CA"/>
        </w:rPr>
        <w:noBreakHyphen/>
      </w:r>
      <w:r w:rsidRPr="002F5044">
        <w:rPr>
          <w:color w:val="000000"/>
          <w:lang w:val="fr-CA"/>
        </w:rPr>
        <w:t>Labrador</w:t>
      </w:r>
      <w:r>
        <w:rPr>
          <w:lang w:val="fr-CA"/>
        </w:rPr>
        <w:t xml:space="preserve"> (les juges </w:t>
      </w:r>
      <w:r w:rsidRPr="002F5044">
        <w:rPr>
          <w:lang w:val="fr-CA"/>
        </w:rPr>
        <w:t xml:space="preserve">Welsh, White </w:t>
      </w:r>
      <w:r>
        <w:rPr>
          <w:lang w:val="fr-CA"/>
        </w:rPr>
        <w:t>et</w:t>
      </w:r>
      <w:r w:rsidRPr="002F5044">
        <w:rPr>
          <w:lang w:val="fr-CA"/>
        </w:rPr>
        <w:t xml:space="preserve"> Butler), </w:t>
      </w:r>
      <w:r w:rsidRPr="002F5044">
        <w:rPr>
          <w:color w:val="000000"/>
          <w:lang w:val="fr-CA"/>
        </w:rPr>
        <w:t xml:space="preserve">2020 NLCA 18, 453 D.L.R. (4th) 586, [2020] N.J. No. 106 (QL), 2020 CarswellNfld 126 (WL </w:t>
      </w:r>
      <w:r w:rsidRPr="007C717B">
        <w:rPr>
          <w:color w:val="000000"/>
          <w:lang w:val="fr-CA"/>
        </w:rPr>
        <w:t xml:space="preserve">Can.), </w:t>
      </w:r>
      <w:r w:rsidRPr="007C717B">
        <w:rPr>
          <w:lang w:val="fr-CA"/>
        </w:rPr>
        <w:t xml:space="preserve">qui a annulé les déclarations de culpabilité </w:t>
      </w:r>
      <w:r w:rsidRPr="007C717B">
        <w:rPr>
          <w:color w:val="000000"/>
          <w:lang w:val="fr-CA"/>
        </w:rPr>
        <w:t>pour attentat à la pudeur et grossière indécence</w:t>
      </w:r>
      <w:r w:rsidRPr="007C717B">
        <w:rPr>
          <w:lang w:val="fr-CA"/>
        </w:rPr>
        <w:t xml:space="preserve"> prononcées contre l’accusé</w:t>
      </w:r>
      <w:r>
        <w:rPr>
          <w:lang w:val="fr-CA"/>
        </w:rPr>
        <w:t>.</w:t>
      </w:r>
      <w:r w:rsidRPr="007C717B">
        <w:rPr>
          <w:lang w:val="fr-CA"/>
        </w:rPr>
        <w:t xml:space="preserve"> </w:t>
      </w:r>
      <w:r w:rsidRPr="007C717B">
        <w:rPr>
          <w:bCs/>
          <w:lang w:val="fr-CA"/>
        </w:rPr>
        <w:t>Pourvoi accueilli, l</w:t>
      </w:r>
      <w:r w:rsidRPr="007C717B">
        <w:rPr>
          <w:color w:val="000000"/>
          <w:lang w:val="fr-CA"/>
        </w:rPr>
        <w:t>es juges Brown et Rowe</w:t>
      </w:r>
      <w:r w:rsidRPr="007C717B">
        <w:rPr>
          <w:bCs/>
          <w:lang w:val="fr-CA"/>
        </w:rPr>
        <w:t xml:space="preserve"> sont dissidents.</w:t>
      </w:r>
    </w:p>
    <w:p w:rsidR="00733A2A" w:rsidRDefault="00733A2A" w:rsidP="00733A2A">
      <w:pPr>
        <w:pStyle w:val="SCCNormalDoubleSpacing"/>
        <w:spacing w:after="480"/>
        <w:rPr>
          <w:color w:val="000000"/>
          <w:szCs w:val="24"/>
          <w:lang w:val="fr-CA" w:eastAsia="en-US"/>
        </w:rPr>
      </w:pPr>
      <w:r w:rsidRPr="00924130">
        <w:rPr>
          <w:lang w:val="fr-CA"/>
        </w:rPr>
        <w:tab/>
      </w:r>
      <w:r w:rsidRPr="002B01C2">
        <w:rPr>
          <w:i/>
          <w:iCs/>
          <w:lang w:val="fr-CA"/>
        </w:rPr>
        <w:t>Arnold Hussey</w:t>
      </w:r>
      <w:r w:rsidRPr="00DE36CA">
        <w:rPr>
          <w:iCs/>
          <w:lang w:val="fr-CA"/>
        </w:rPr>
        <w:t>,</w:t>
      </w:r>
      <w:r w:rsidRPr="002B01C2">
        <w:rPr>
          <w:i/>
          <w:iCs/>
          <w:lang w:val="fr-CA"/>
        </w:rPr>
        <w:t xml:space="preserve"> c.r</w:t>
      </w:r>
      <w:r w:rsidRPr="0054462C">
        <w:rPr>
          <w:iCs/>
          <w:lang w:val="fr-CA"/>
        </w:rPr>
        <w:t>.,</w:t>
      </w:r>
      <w:r>
        <w:rPr>
          <w:color w:val="000000"/>
          <w:szCs w:val="24"/>
          <w:lang w:val="fr-CA" w:eastAsia="en-US"/>
        </w:rPr>
        <w:t xml:space="preserve"> pour l’appelante</w:t>
      </w:r>
      <w:r w:rsidRPr="006517E8">
        <w:rPr>
          <w:color w:val="000000"/>
          <w:szCs w:val="24"/>
          <w:lang w:val="fr-CA" w:eastAsia="en-US"/>
        </w:rPr>
        <w:t>.</w:t>
      </w:r>
    </w:p>
    <w:p w:rsidR="00733A2A" w:rsidRPr="004478C6" w:rsidRDefault="00733A2A" w:rsidP="00733A2A">
      <w:pPr>
        <w:pStyle w:val="SCCNormalDoubleSpacing"/>
        <w:spacing w:after="480"/>
        <w:rPr>
          <w:i/>
          <w:color w:val="000000"/>
          <w:szCs w:val="24"/>
          <w:lang w:val="fr-CA" w:eastAsia="en-US"/>
        </w:rPr>
      </w:pPr>
      <w:r>
        <w:rPr>
          <w:color w:val="000000"/>
          <w:szCs w:val="24"/>
          <w:lang w:val="fr-CA" w:eastAsia="en-US"/>
        </w:rPr>
        <w:tab/>
      </w:r>
      <w:r w:rsidRPr="002B01C2">
        <w:rPr>
          <w:i/>
          <w:iCs/>
          <w:lang w:val="fr-CA"/>
        </w:rPr>
        <w:t>Michael Crystal</w:t>
      </w:r>
      <w:r>
        <w:rPr>
          <w:iCs/>
          <w:lang w:val="fr-CA"/>
        </w:rPr>
        <w:t xml:space="preserve"> </w:t>
      </w:r>
      <w:r w:rsidRPr="004478C6">
        <w:rPr>
          <w:iCs/>
          <w:lang w:val="fr-CA"/>
        </w:rPr>
        <w:t>et</w:t>
      </w:r>
      <w:r>
        <w:rPr>
          <w:iCs/>
          <w:lang w:val="fr-CA"/>
        </w:rPr>
        <w:t xml:space="preserve"> </w:t>
      </w:r>
      <w:r w:rsidRPr="002B01C2">
        <w:rPr>
          <w:i/>
          <w:iCs/>
          <w:lang w:val="fr-CA"/>
        </w:rPr>
        <w:t>Heather Cross</w:t>
      </w:r>
      <w:r w:rsidRPr="004478C6">
        <w:rPr>
          <w:color w:val="000000"/>
          <w:szCs w:val="24"/>
          <w:lang w:val="fr-CA" w:eastAsia="en-US"/>
        </w:rPr>
        <w:t>, pour l’intimé.</w:t>
      </w:r>
    </w:p>
    <w:p w:rsidR="00733A2A" w:rsidRPr="005675CD" w:rsidRDefault="00733A2A" w:rsidP="00733A2A">
      <w:pPr>
        <w:pStyle w:val="SCCNormalDoubleSpacing"/>
        <w:spacing w:after="480"/>
        <w:rPr>
          <w:lang w:val="fr-CA"/>
        </w:rPr>
      </w:pPr>
      <w:r w:rsidRPr="004478C6">
        <w:rPr>
          <w:iCs/>
          <w:lang w:val="fr-CA"/>
        </w:rPr>
        <w:tab/>
      </w:r>
      <w:r w:rsidRPr="002B01C2">
        <w:rPr>
          <w:i/>
          <w:iCs/>
          <w:color w:val="000000"/>
          <w:lang w:val="fr-CA"/>
        </w:rPr>
        <w:t>Lisa Joyal</w:t>
      </w:r>
      <w:r w:rsidRPr="005675CD">
        <w:rPr>
          <w:color w:val="000000"/>
          <w:lang w:val="fr-CA"/>
        </w:rPr>
        <w:t>, pour l’intervenant le procureur général de l’Ontario.</w:t>
      </w:r>
    </w:p>
    <w:p w:rsidR="00733A2A" w:rsidRPr="004478C6" w:rsidRDefault="00733A2A" w:rsidP="00733A2A">
      <w:pPr>
        <w:pStyle w:val="SCCNormalDoubleSpacing"/>
        <w:spacing w:after="480"/>
        <w:rPr>
          <w:lang w:val="fr-CA"/>
        </w:rPr>
      </w:pPr>
      <w:r w:rsidRPr="005675CD">
        <w:rPr>
          <w:iCs/>
          <w:lang w:val="fr-CA"/>
        </w:rPr>
        <w:tab/>
      </w:r>
      <w:r w:rsidRPr="002B01C2">
        <w:rPr>
          <w:i/>
          <w:iCs/>
          <w:color w:val="000000"/>
          <w:lang w:val="fr-CA"/>
        </w:rPr>
        <w:t>Alan D. Gold</w:t>
      </w:r>
      <w:r w:rsidRPr="004478C6">
        <w:rPr>
          <w:color w:val="000000"/>
          <w:lang w:val="fr-CA"/>
        </w:rPr>
        <w:t>, pour l’intervenante Criminal Lawyers’ Association (Ontario).</w:t>
      </w:r>
    </w:p>
    <w:p w:rsidR="00733A2A" w:rsidRDefault="00733A2A" w:rsidP="00733A2A">
      <w:pPr>
        <w:pStyle w:val="SCCNormalDoubleSpacing"/>
        <w:spacing w:after="480"/>
        <w:rPr>
          <w:color w:val="000000"/>
          <w:lang w:val="fr-CA"/>
        </w:rPr>
      </w:pPr>
      <w:r w:rsidRPr="004478C6">
        <w:rPr>
          <w:color w:val="000000"/>
          <w:lang w:val="fr-CA"/>
        </w:rPr>
        <w:lastRenderedPageBreak/>
        <w:tab/>
      </w:r>
      <w:r w:rsidRPr="006517E8">
        <w:rPr>
          <w:color w:val="000000"/>
          <w:lang w:val="fr-CA"/>
        </w:rPr>
        <w:t>Version française du jugement de la Cour rendu oralement par</w:t>
      </w:r>
    </w:p>
    <w:p w:rsidR="00733A2A" w:rsidRPr="005675CD" w:rsidRDefault="00733A2A" w:rsidP="00733A2A">
      <w:pPr>
        <w:pStyle w:val="SCCNormalDoubleSpacing"/>
        <w:spacing w:after="480"/>
        <w:rPr>
          <w:lang w:val="fr-CA" w:eastAsia="en-US"/>
        </w:rPr>
      </w:pPr>
      <w:r>
        <w:rPr>
          <w:lang w:val="fr-CA"/>
        </w:rPr>
        <w:t>[1]</w:t>
      </w:r>
      <w:r>
        <w:rPr>
          <w:lang w:val="fr-CA"/>
        </w:rPr>
        <w:tab/>
      </w:r>
      <w:r w:rsidRPr="005675CD">
        <w:rPr>
          <w:smallCaps/>
          <w:lang w:val="fr-CA"/>
        </w:rPr>
        <w:t>Le juge Moldaver</w:t>
      </w:r>
      <w:r w:rsidRPr="00351398">
        <w:rPr>
          <w:lang w:val="fr-CA"/>
        </w:rPr>
        <w:t xml:space="preserve"> — </w:t>
      </w:r>
      <w:r w:rsidRPr="005675CD">
        <w:rPr>
          <w:color w:val="000000"/>
          <w:lang w:val="fr-CA"/>
        </w:rPr>
        <w:t>Dans le présent appel portant sur un verdict déraisonnable, la seule question en litige consiste à décider si les incohérences dans le témoignage du plaignant sont à ce point importantes qu’une déclaration de culpabilité inscrite sur le fondement de son témoignage est déraisonnable en droit. Bien que certaines de ces incohérences soient troublantes, notre Cour, à la majorité, est convaincue que le jury a agi raisonnablement en croyant le plaignant.</w:t>
      </w:r>
    </w:p>
    <w:p w:rsidR="00733A2A" w:rsidRDefault="00733A2A" w:rsidP="00733A2A">
      <w:pPr>
        <w:pStyle w:val="SCCNormalDoubleSpacing"/>
        <w:spacing w:after="480"/>
        <w:rPr>
          <w:color w:val="000000"/>
          <w:lang w:val="fr-CA"/>
        </w:rPr>
      </w:pPr>
      <w:r>
        <w:rPr>
          <w:lang w:val="fr-CA"/>
        </w:rPr>
        <w:t>[2]</w:t>
      </w:r>
      <w:r>
        <w:rPr>
          <w:lang w:val="fr-CA"/>
        </w:rPr>
        <w:tab/>
      </w:r>
      <w:r w:rsidRPr="005675CD">
        <w:rPr>
          <w:color w:val="000000"/>
          <w:lang w:val="fr-CA"/>
        </w:rPr>
        <w:t>Le plaignant a reconnu que son témoignage était incompatible avec ses déclarations antérieures. Ces incohérenc</w:t>
      </w:r>
      <w:r>
        <w:rPr>
          <w:color w:val="000000"/>
          <w:lang w:val="fr-CA"/>
        </w:rPr>
        <w:t>es ont fait l’objet d’un contre</w:t>
      </w:r>
      <w:r>
        <w:rPr>
          <w:color w:val="000000"/>
          <w:lang w:val="fr-CA"/>
        </w:rPr>
        <w:noBreakHyphen/>
      </w:r>
      <w:r w:rsidRPr="005675CD">
        <w:rPr>
          <w:color w:val="000000"/>
          <w:lang w:val="fr-CA"/>
        </w:rPr>
        <w:t>interrogatoire vigoureux, d’observations finales énergiques et d’un exposé au jury exhaustif, lequel, les parties en conviennent, était exempt d’erreur. Pour sa part, le plaignant a expliqué que le counseling qu’il a suivi avait aidé à améliorer sa mémoire depuis sa déclaration initiale à la police. De l’avis de la majorité, il revenait au jury de décider si cette explication neutralisait tout doute raisonnable suscité par les incohérences. Dans les circonstances, l’expérience judiciaire nous incite à nous en remettre à la sagesse des jurés, qui ont eu l’avantage d’entendre le plaignant témoigner. Nous refusons de remettre en question leur décision.</w:t>
      </w:r>
    </w:p>
    <w:p w:rsidR="00733A2A" w:rsidRPr="005675CD" w:rsidRDefault="00733A2A" w:rsidP="00733A2A">
      <w:pPr>
        <w:pStyle w:val="SCCNormalDoubleSpacing"/>
        <w:spacing w:after="480"/>
        <w:rPr>
          <w:lang w:val="fr-CA"/>
        </w:rPr>
      </w:pPr>
      <w:r>
        <w:rPr>
          <w:lang w:val="fr-CA"/>
        </w:rPr>
        <w:t>[3]</w:t>
      </w:r>
      <w:r>
        <w:rPr>
          <w:lang w:val="fr-CA"/>
        </w:rPr>
        <w:tab/>
      </w:r>
      <w:r w:rsidRPr="005675CD">
        <w:rPr>
          <w:color w:val="000000"/>
          <w:lang w:val="fr-CA"/>
        </w:rPr>
        <w:t>Avec égards, les juges de la majorité ne sont pas d’accord pour dire que la Couronne devait soit produire des éléments de preuve additionnels à l’égard des séances de counseling suivies par le plaignant, soit présenter de la preuve d’expert quant au rôle que le counseling peut jouer afin d’affiner la mémoire.</w:t>
      </w:r>
    </w:p>
    <w:p w:rsidR="00733A2A" w:rsidRPr="005675CD" w:rsidRDefault="00733A2A" w:rsidP="00733A2A">
      <w:pPr>
        <w:pStyle w:val="SCCNormalDoubleSpacing"/>
        <w:spacing w:after="480"/>
        <w:rPr>
          <w:lang w:val="fr-CA"/>
        </w:rPr>
      </w:pPr>
      <w:r>
        <w:rPr>
          <w:lang w:val="fr-CA"/>
        </w:rPr>
        <w:lastRenderedPageBreak/>
        <w:t>[4]</w:t>
      </w:r>
      <w:r>
        <w:rPr>
          <w:lang w:val="fr-CA"/>
        </w:rPr>
        <w:tab/>
      </w:r>
      <w:r w:rsidRPr="005675CD">
        <w:rPr>
          <w:color w:val="000000"/>
          <w:lang w:val="fr-CA"/>
        </w:rPr>
        <w:t>Pour ces raisons, les juges majoritaires sont d’avis d’accueillir l’appel, d’annuler les acquittements et de rétablir les déclarations de culpabilité.</w:t>
      </w:r>
    </w:p>
    <w:p w:rsidR="00733A2A" w:rsidRPr="005675CD" w:rsidRDefault="00733A2A" w:rsidP="00733A2A">
      <w:pPr>
        <w:pStyle w:val="SCCNormalDoubleSpacing"/>
        <w:spacing w:after="480"/>
        <w:rPr>
          <w:lang w:val="fr-CA"/>
        </w:rPr>
      </w:pPr>
      <w:r>
        <w:rPr>
          <w:lang w:val="fr-CA"/>
        </w:rPr>
        <w:t>[5]</w:t>
      </w:r>
      <w:r>
        <w:rPr>
          <w:lang w:val="fr-CA"/>
        </w:rPr>
        <w:tab/>
      </w:r>
      <w:r w:rsidRPr="005675CD">
        <w:rPr>
          <w:color w:val="000000"/>
          <w:lang w:val="fr-CA"/>
        </w:rPr>
        <w:t>Les juges Brown et Rowe, dissidents, rejetteraient l’appel, essentiellement pour les motifs exposés par le juge White.</w:t>
      </w:r>
    </w:p>
    <w:p w:rsidR="00733A2A" w:rsidRPr="00AE3A60" w:rsidRDefault="00733A2A" w:rsidP="00733A2A">
      <w:pPr>
        <w:pStyle w:val="SCCNormalDoubleSpacing"/>
        <w:spacing w:after="480"/>
        <w:rPr>
          <w:lang w:val="fr-CA"/>
        </w:rPr>
      </w:pPr>
      <w:r w:rsidRPr="006517E8">
        <w:rPr>
          <w:lang w:val="fr-CA"/>
        </w:rPr>
        <w:tab/>
      </w:r>
      <w:r w:rsidRPr="006517E8">
        <w:rPr>
          <w:i/>
          <w:iCs/>
          <w:color w:val="000000"/>
          <w:lang w:val="fr-CA"/>
        </w:rPr>
        <w:t>Jugement en conséquence.</w:t>
      </w:r>
    </w:p>
    <w:p w:rsidR="00733A2A" w:rsidRPr="00733A2A" w:rsidRDefault="00733A2A" w:rsidP="00733A2A">
      <w:pPr>
        <w:pStyle w:val="SCCNormalDoubleSpacing"/>
        <w:spacing w:after="480"/>
        <w:rPr>
          <w:i/>
          <w:iCs/>
          <w:color w:val="000000"/>
          <w:lang w:val="fr-CA"/>
        </w:rPr>
      </w:pPr>
      <w:r w:rsidRPr="004478C6">
        <w:rPr>
          <w:i/>
          <w:iCs/>
          <w:color w:val="000000"/>
          <w:lang w:val="fr-CA"/>
        </w:rPr>
        <w:tab/>
      </w:r>
      <w:r w:rsidRPr="00733A2A">
        <w:rPr>
          <w:i/>
          <w:iCs/>
          <w:color w:val="000000"/>
          <w:lang w:val="fr-CA"/>
        </w:rPr>
        <w:t>Procureur de l’appelante : Department of Justice and Public Safety, Clarenville (T.</w:t>
      </w:r>
      <w:r w:rsidRPr="00733A2A">
        <w:rPr>
          <w:i/>
          <w:iCs/>
          <w:color w:val="000000"/>
          <w:lang w:val="fr-CA"/>
        </w:rPr>
        <w:noBreakHyphen/>
        <w:t>N.</w:t>
      </w:r>
      <w:r w:rsidRPr="00733A2A">
        <w:rPr>
          <w:i/>
          <w:iCs/>
          <w:color w:val="000000"/>
          <w:lang w:val="fr-CA"/>
        </w:rPr>
        <w:noBreakHyphen/>
        <w:t>L.).</w:t>
      </w:r>
    </w:p>
    <w:p w:rsidR="00733A2A" w:rsidRPr="004478C6" w:rsidRDefault="00733A2A" w:rsidP="00733A2A">
      <w:pPr>
        <w:pStyle w:val="SCCNormalDoubleSpacing"/>
        <w:spacing w:after="480"/>
        <w:rPr>
          <w:i/>
          <w:iCs/>
          <w:color w:val="000000"/>
          <w:lang w:val="fr-CA"/>
        </w:rPr>
      </w:pPr>
      <w:r w:rsidRPr="00733A2A">
        <w:rPr>
          <w:i/>
          <w:iCs/>
          <w:color w:val="000000"/>
          <w:lang w:val="fr-CA"/>
        </w:rPr>
        <w:tab/>
      </w:r>
      <w:r w:rsidRPr="004478C6">
        <w:rPr>
          <w:i/>
          <w:iCs/>
          <w:color w:val="000000"/>
          <w:lang w:val="fr-CA"/>
        </w:rPr>
        <w:t>Procureur</w:t>
      </w:r>
      <w:r>
        <w:rPr>
          <w:i/>
          <w:iCs/>
          <w:color w:val="000000"/>
          <w:lang w:val="fr-CA"/>
        </w:rPr>
        <w:t>s</w:t>
      </w:r>
      <w:r w:rsidRPr="004478C6">
        <w:rPr>
          <w:i/>
          <w:iCs/>
          <w:color w:val="000000"/>
          <w:lang w:val="fr-CA"/>
        </w:rPr>
        <w:t xml:space="preserve"> de l’intimé : Crystal Cyr, Ottawa.</w:t>
      </w:r>
    </w:p>
    <w:p w:rsidR="00733A2A" w:rsidRPr="005675CD" w:rsidRDefault="00733A2A" w:rsidP="00733A2A">
      <w:pPr>
        <w:pStyle w:val="SCCNormalDoubleSpacing"/>
        <w:spacing w:after="480"/>
        <w:rPr>
          <w:i/>
          <w:iCs/>
          <w:color w:val="000000"/>
          <w:lang w:val="fr-CA"/>
        </w:rPr>
      </w:pPr>
      <w:r w:rsidRPr="004478C6">
        <w:rPr>
          <w:i/>
          <w:iCs/>
          <w:color w:val="000000"/>
          <w:lang w:val="fr-CA"/>
        </w:rPr>
        <w:tab/>
      </w:r>
      <w:r w:rsidRPr="005675CD">
        <w:rPr>
          <w:i/>
          <w:iCs/>
          <w:color w:val="000000"/>
          <w:lang w:val="fr-CA"/>
        </w:rPr>
        <w:t>Procureur de</w:t>
      </w:r>
      <w:r w:rsidRPr="004478C6">
        <w:rPr>
          <w:i/>
          <w:iCs/>
          <w:color w:val="000000"/>
          <w:lang w:val="fr-CA"/>
        </w:rPr>
        <w:t xml:space="preserve"> </w:t>
      </w:r>
      <w:r w:rsidRPr="005675CD">
        <w:rPr>
          <w:i/>
          <w:iCs/>
          <w:color w:val="000000"/>
          <w:lang w:val="fr-CA"/>
        </w:rPr>
        <w:t>l’intervenant le procureur général de l’Ontario</w:t>
      </w:r>
      <w:r>
        <w:rPr>
          <w:i/>
          <w:iCs/>
          <w:color w:val="000000"/>
          <w:lang w:val="fr-CA"/>
        </w:rPr>
        <w:t> </w:t>
      </w:r>
      <w:r w:rsidRPr="005675CD">
        <w:rPr>
          <w:i/>
          <w:iCs/>
          <w:color w:val="000000"/>
          <w:lang w:val="fr-CA"/>
        </w:rPr>
        <w:t xml:space="preserve">: </w:t>
      </w:r>
      <w:r>
        <w:rPr>
          <w:i/>
          <w:iCs/>
          <w:color w:val="000000"/>
          <w:lang w:val="fr-CA"/>
        </w:rPr>
        <w:t>P</w:t>
      </w:r>
      <w:r w:rsidRPr="005675CD">
        <w:rPr>
          <w:i/>
          <w:iCs/>
          <w:color w:val="000000"/>
          <w:lang w:val="fr-CA"/>
        </w:rPr>
        <w:t>rocureur général de l’Ontario, Toronto.</w:t>
      </w:r>
    </w:p>
    <w:p w:rsidR="00733A2A" w:rsidRPr="00BE579D" w:rsidRDefault="00733A2A" w:rsidP="00733A2A">
      <w:pPr>
        <w:pStyle w:val="SCCNormalDoubleSpacing"/>
        <w:spacing w:after="480"/>
        <w:rPr>
          <w:i/>
          <w:iCs/>
          <w:color w:val="000000"/>
          <w:lang w:val="fr-CA"/>
        </w:rPr>
      </w:pPr>
      <w:r w:rsidRPr="005675CD">
        <w:rPr>
          <w:i/>
          <w:iCs/>
          <w:color w:val="000000"/>
          <w:lang w:val="fr-CA"/>
        </w:rPr>
        <w:tab/>
        <w:t xml:space="preserve">Procureur de </w:t>
      </w:r>
      <w:r w:rsidRPr="004478C6">
        <w:rPr>
          <w:i/>
          <w:iCs/>
          <w:color w:val="000000"/>
          <w:lang w:val="fr-CA"/>
        </w:rPr>
        <w:t>l’intervenante Criminal Lawyers’ Association (Ontario) : Alan D. Gold Professional Corporation, Toronto.</w:t>
      </w:r>
    </w:p>
    <w:sectPr w:rsidR="00733A2A" w:rsidRPr="00BE579D" w:rsidSect="000648CC"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CBE" w:rsidRDefault="00F61CBE">
      <w:r>
        <w:separator/>
      </w:r>
    </w:p>
  </w:endnote>
  <w:endnote w:type="continuationSeparator" w:id="0">
    <w:p w:rsidR="00F61CBE" w:rsidRDefault="00F61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CBE" w:rsidRDefault="00F61CBE">
      <w:r>
        <w:separator/>
      </w:r>
    </w:p>
  </w:footnote>
  <w:footnote w:type="continuationSeparator" w:id="0">
    <w:p w:rsidR="00F61CBE" w:rsidRDefault="00F61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64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8763F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C850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A47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83837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3003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7208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96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905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2A5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6F2675"/>
    <w:multiLevelType w:val="multilevel"/>
    <w:tmpl w:val="858A85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5B73F21"/>
    <w:multiLevelType w:val="hybridMultilevel"/>
    <w:tmpl w:val="1CA8AB4C"/>
    <w:lvl w:ilvl="0" w:tplc="AF12D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F31A9"/>
    <w:multiLevelType w:val="hybridMultilevel"/>
    <w:tmpl w:val="9F5C01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00BA4"/>
    <w:multiLevelType w:val="hybridMultilevel"/>
    <w:tmpl w:val="900CBD0E"/>
    <w:lvl w:ilvl="0" w:tplc="AF12D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1B2609"/>
    <w:multiLevelType w:val="hybridMultilevel"/>
    <w:tmpl w:val="B62EB43A"/>
    <w:lvl w:ilvl="0" w:tplc="AF12D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F65EB2"/>
    <w:multiLevelType w:val="hybridMultilevel"/>
    <w:tmpl w:val="406E4396"/>
    <w:lvl w:ilvl="0" w:tplc="AF12D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269BE"/>
    <w:multiLevelType w:val="hybridMultilevel"/>
    <w:tmpl w:val="424E113C"/>
    <w:lvl w:ilvl="0" w:tplc="846E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3130A"/>
    <w:multiLevelType w:val="multilevel"/>
    <w:tmpl w:val="9A5EAD4C"/>
    <w:lvl w:ilvl="0">
      <w:start w:val="1"/>
      <w:numFmt w:val="upperRoman"/>
      <w:pStyle w:val="Title1LevelTitre1Niveau-Alt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sz w:val="24"/>
      </w:rPr>
    </w:lvl>
    <w:lvl w:ilvl="1">
      <w:start w:val="1"/>
      <w:numFmt w:val="upperLetter"/>
      <w:pStyle w:val="Title2LevelTitre2Niveau"/>
      <w:lvlText w:val="%2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itle3LevelTitre3Niveau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Title4LevelTitre4Niveau"/>
      <w:lvlText w:val="(%4)"/>
      <w:lvlJc w:val="left"/>
      <w:pPr>
        <w:tabs>
          <w:tab w:val="num" w:pos="1152"/>
        </w:tabs>
        <w:ind w:left="1152" w:hanging="576"/>
      </w:pPr>
      <w:rPr>
        <w:rFonts w:hint="default"/>
        <w:b w:val="0"/>
        <w:i w:val="0"/>
      </w:rPr>
    </w:lvl>
    <w:lvl w:ilvl="4">
      <w:start w:val="1"/>
      <w:numFmt w:val="lowerRoman"/>
      <w:pStyle w:val="Title5LevelTitre5Niveau"/>
      <w:lvlText w:val="(%5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5">
      <w:start w:val="1"/>
      <w:numFmt w:val="decimal"/>
      <w:pStyle w:val="Title6LevelTitre6Niveau"/>
      <w:lvlText w:val="%6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208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640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072" w:hanging="432"/>
      </w:pPr>
      <w:rPr>
        <w:rFonts w:hint="default"/>
      </w:rPr>
    </w:lvl>
  </w:abstractNum>
  <w:abstractNum w:abstractNumId="18" w15:restartNumberingAfterBreak="0">
    <w:nsid w:val="4AC64FE2"/>
    <w:multiLevelType w:val="hybridMultilevel"/>
    <w:tmpl w:val="0B76EEBC"/>
    <w:lvl w:ilvl="0" w:tplc="434646E8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35C40"/>
    <w:multiLevelType w:val="hybridMultilevel"/>
    <w:tmpl w:val="02E69B28"/>
    <w:lvl w:ilvl="0" w:tplc="8FDA0F80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20" w15:restartNumberingAfterBreak="0">
    <w:nsid w:val="4CE36BA0"/>
    <w:multiLevelType w:val="hybridMultilevel"/>
    <w:tmpl w:val="5742DC2C"/>
    <w:lvl w:ilvl="0" w:tplc="323471C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83EE8"/>
    <w:multiLevelType w:val="multilevel"/>
    <w:tmpl w:val="61380426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55E1740"/>
    <w:multiLevelType w:val="hybridMultilevel"/>
    <w:tmpl w:val="535EC1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62891"/>
    <w:multiLevelType w:val="hybridMultilevel"/>
    <w:tmpl w:val="FAECBADC"/>
    <w:lvl w:ilvl="0" w:tplc="AF12D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6D1F9C"/>
    <w:multiLevelType w:val="hybridMultilevel"/>
    <w:tmpl w:val="A1BAD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A5550B"/>
    <w:multiLevelType w:val="hybridMultilevel"/>
    <w:tmpl w:val="D9EA6A54"/>
    <w:lvl w:ilvl="0" w:tplc="AF12D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9B23C74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957F3C"/>
    <w:multiLevelType w:val="hybridMultilevel"/>
    <w:tmpl w:val="A0A41CF8"/>
    <w:lvl w:ilvl="0" w:tplc="D7E6156A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19"/>
  </w:num>
  <w:num w:numId="5">
    <w:abstractNumId w:val="20"/>
  </w:num>
  <w:num w:numId="6">
    <w:abstractNumId w:val="21"/>
  </w:num>
  <w:num w:numId="7">
    <w:abstractNumId w:val="17"/>
  </w:num>
  <w:num w:numId="8">
    <w:abstractNumId w:val="17"/>
    <w:lvlOverride w:ilvl="0">
      <w:lvl w:ilvl="0">
        <w:start w:val="1"/>
        <w:numFmt w:val="upperRoman"/>
        <w:pStyle w:val="Title1LevelTitre1Niveau-AltL"/>
        <w:lvlText w:val="%1."/>
        <w:lvlJc w:val="left"/>
        <w:pPr>
          <w:tabs>
            <w:tab w:val="num" w:pos="576"/>
          </w:tabs>
          <w:ind w:left="576" w:hanging="576"/>
        </w:pPr>
        <w:rPr>
          <w:rFonts w:hint="default"/>
          <w:sz w:val="24"/>
        </w:rPr>
      </w:lvl>
    </w:lvlOverride>
    <w:lvlOverride w:ilvl="1">
      <w:lvl w:ilvl="1">
        <w:start w:val="1"/>
        <w:numFmt w:val="upperLetter"/>
        <w:pStyle w:val="Title2LevelTitre2Niveau"/>
        <w:lvlText w:val="%2."/>
        <w:lvlJc w:val="left"/>
        <w:pPr>
          <w:tabs>
            <w:tab w:val="num" w:pos="576"/>
          </w:tabs>
          <w:ind w:left="576" w:hanging="576"/>
        </w:pP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Title3LevelTitre3Niveau"/>
        <w:lvlText w:val="(%3)"/>
        <w:lvlJc w:val="left"/>
        <w:pPr>
          <w:tabs>
            <w:tab w:val="num" w:pos="1152"/>
          </w:tabs>
          <w:ind w:left="1152" w:hanging="576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3">
      <w:lvl w:ilvl="3">
        <w:start w:val="1"/>
        <w:numFmt w:val="lowerLetter"/>
        <w:pStyle w:val="Title4LevelTitre4Niveau"/>
        <w:lvlText w:val="(%4)"/>
        <w:lvlJc w:val="left"/>
        <w:pPr>
          <w:tabs>
            <w:tab w:val="num" w:pos="1152"/>
          </w:tabs>
          <w:ind w:left="1152" w:hanging="576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lowerRoman"/>
        <w:pStyle w:val="Title5LevelTitre5Niveau"/>
        <w:lvlText w:val="(%5)"/>
        <w:lvlJc w:val="left"/>
        <w:pPr>
          <w:tabs>
            <w:tab w:val="num" w:pos="1728"/>
          </w:tabs>
          <w:ind w:left="1728" w:hanging="576"/>
        </w:pPr>
        <w:rPr>
          <w:rFonts w:hint="default"/>
        </w:rPr>
      </w:lvl>
    </w:lvlOverride>
    <w:lvlOverride w:ilvl="5">
      <w:lvl w:ilvl="5">
        <w:start w:val="1"/>
        <w:numFmt w:val="decimal"/>
        <w:pStyle w:val="Title6LevelTitre6Niveau"/>
        <w:lvlText w:val="%6."/>
        <w:lvlJc w:val="left"/>
        <w:pPr>
          <w:tabs>
            <w:tab w:val="num" w:pos="1728"/>
          </w:tabs>
          <w:ind w:left="1728" w:hanging="576"/>
        </w:pPr>
        <w:rPr>
          <w:rFonts w:hint="default"/>
          <w:b w:val="0"/>
          <w:i w:val="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8208" w:hanging="432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86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9072" w:hanging="432"/>
        </w:pPr>
        <w:rPr>
          <w:rFonts w:hint="default"/>
        </w:rPr>
      </w:lvl>
    </w:lvlOverride>
  </w:num>
  <w:num w:numId="9">
    <w:abstractNumId w:val="25"/>
  </w:num>
  <w:num w:numId="10">
    <w:abstractNumId w:val="15"/>
  </w:num>
  <w:num w:numId="11">
    <w:abstractNumId w:val="13"/>
  </w:num>
  <w:num w:numId="12">
    <w:abstractNumId w:val="11"/>
  </w:num>
  <w:num w:numId="13">
    <w:abstractNumId w:val="17"/>
    <w:lvlOverride w:ilvl="0">
      <w:lvl w:ilvl="0">
        <w:start w:val="1"/>
        <w:numFmt w:val="upperRoman"/>
        <w:pStyle w:val="Title1LevelTitre1Niveau-AltL"/>
        <w:lvlText w:val="%1."/>
        <w:lvlJc w:val="left"/>
        <w:pPr>
          <w:tabs>
            <w:tab w:val="num" w:pos="576"/>
          </w:tabs>
          <w:ind w:left="576" w:hanging="576"/>
        </w:pPr>
        <w:rPr>
          <w:rFonts w:hint="default"/>
          <w:sz w:val="24"/>
        </w:rPr>
      </w:lvl>
    </w:lvlOverride>
    <w:lvlOverride w:ilvl="1">
      <w:lvl w:ilvl="1">
        <w:start w:val="1"/>
        <w:numFmt w:val="upperLetter"/>
        <w:pStyle w:val="Title2LevelTitre2Niveau"/>
        <w:lvlText w:val="%2."/>
        <w:lvlJc w:val="left"/>
        <w:pPr>
          <w:tabs>
            <w:tab w:val="num" w:pos="576"/>
          </w:tabs>
          <w:ind w:left="576" w:hanging="576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Title3LevelTitre3Niveau"/>
        <w:lvlText w:val="(%3)"/>
        <w:lvlJc w:val="left"/>
        <w:pPr>
          <w:tabs>
            <w:tab w:val="num" w:pos="1152"/>
          </w:tabs>
          <w:ind w:left="1152" w:hanging="576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lowerLetter"/>
        <w:pStyle w:val="Title4LevelTitre4Niveau"/>
        <w:lvlText w:val="(%4)"/>
        <w:lvlJc w:val="left"/>
        <w:pPr>
          <w:tabs>
            <w:tab w:val="num" w:pos="1152"/>
          </w:tabs>
          <w:ind w:left="1152" w:hanging="576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lowerRoman"/>
        <w:pStyle w:val="Title5LevelTitre5Niveau"/>
        <w:lvlText w:val="(%5)"/>
        <w:lvlJc w:val="left"/>
        <w:pPr>
          <w:tabs>
            <w:tab w:val="num" w:pos="1728"/>
          </w:tabs>
          <w:ind w:left="1728" w:hanging="576"/>
        </w:pPr>
        <w:rPr>
          <w:rFonts w:hint="default"/>
          <w:i w:val="0"/>
        </w:rPr>
      </w:lvl>
    </w:lvlOverride>
    <w:lvlOverride w:ilvl="5">
      <w:lvl w:ilvl="5">
        <w:start w:val="1"/>
        <w:numFmt w:val="decimal"/>
        <w:pStyle w:val="Title6LevelTitre6Niveau"/>
        <w:lvlText w:val="%6."/>
        <w:lvlJc w:val="left"/>
        <w:pPr>
          <w:tabs>
            <w:tab w:val="num" w:pos="1728"/>
          </w:tabs>
          <w:ind w:left="1728" w:hanging="576"/>
        </w:pPr>
        <w:rPr>
          <w:rFonts w:hint="default"/>
          <w:b w:val="0"/>
          <w:i w:val="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8208" w:hanging="432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86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9072" w:hanging="432"/>
        </w:pPr>
        <w:rPr>
          <w:rFonts w:hint="default"/>
        </w:rPr>
      </w:lvl>
    </w:lvlOverride>
  </w:num>
  <w:num w:numId="14">
    <w:abstractNumId w:val="18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</w:num>
  <w:num w:numId="26">
    <w:abstractNumId w:val="23"/>
  </w:num>
  <w:num w:numId="27">
    <w:abstractNumId w:val="14"/>
  </w:num>
  <w:num w:numId="28">
    <w:abstractNumId w:val="26"/>
  </w:num>
  <w:num w:numId="29">
    <w:abstractNumId w:val="24"/>
  </w:num>
  <w:num w:numId="30">
    <w:abstractNumId w:val="17"/>
    <w:lvlOverride w:ilvl="0">
      <w:startOverride w:val="1"/>
      <w:lvl w:ilvl="0">
        <w:start w:val="1"/>
        <w:numFmt w:val="upperRoman"/>
        <w:pStyle w:val="Title1LevelTitre1Niveau-AltL"/>
        <w:lvlText w:val="%1."/>
        <w:lvlJc w:val="left"/>
        <w:pPr>
          <w:tabs>
            <w:tab w:val="num" w:pos="576"/>
          </w:tabs>
          <w:ind w:left="576" w:hanging="576"/>
        </w:pPr>
        <w:rPr>
          <w:rFonts w:hint="default"/>
          <w:sz w:val="24"/>
        </w:rPr>
      </w:lvl>
    </w:lvlOverride>
    <w:lvlOverride w:ilvl="1">
      <w:startOverride w:val="1"/>
      <w:lvl w:ilvl="1">
        <w:start w:val="1"/>
        <w:numFmt w:val="upperLetter"/>
        <w:pStyle w:val="Title2LevelTitre2Niveau"/>
        <w:lvlText w:val="%2."/>
        <w:lvlJc w:val="left"/>
        <w:pPr>
          <w:tabs>
            <w:tab w:val="num" w:pos="576"/>
          </w:tabs>
          <w:ind w:left="576" w:hanging="576"/>
        </w:pP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startOverride w:val="1"/>
      <w:lvl w:ilvl="2">
        <w:start w:val="1"/>
        <w:numFmt w:val="decimal"/>
        <w:pStyle w:val="Title3LevelTitre3Niveau"/>
        <w:lvlText w:val="(%3)"/>
        <w:lvlJc w:val="left"/>
        <w:pPr>
          <w:tabs>
            <w:tab w:val="num" w:pos="1152"/>
          </w:tabs>
          <w:ind w:left="1152" w:hanging="576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3">
      <w:startOverride w:val="1"/>
      <w:lvl w:ilvl="3">
        <w:start w:val="1"/>
        <w:numFmt w:val="lowerLetter"/>
        <w:pStyle w:val="Title4LevelTitre4Niveau"/>
        <w:lvlText w:val="(%4)"/>
        <w:lvlJc w:val="left"/>
        <w:pPr>
          <w:tabs>
            <w:tab w:val="num" w:pos="1152"/>
          </w:tabs>
          <w:ind w:left="1152" w:hanging="576"/>
        </w:pPr>
        <w:rPr>
          <w:rFonts w:hint="default"/>
          <w:b w:val="0"/>
          <w:i w:val="0"/>
        </w:rPr>
      </w:lvl>
    </w:lvlOverride>
    <w:lvlOverride w:ilvl="4">
      <w:startOverride w:val="1"/>
      <w:lvl w:ilvl="4">
        <w:start w:val="1"/>
        <w:numFmt w:val="lowerRoman"/>
        <w:pStyle w:val="Title5LevelTitre5Niveau"/>
        <w:lvlText w:val="(%5)"/>
        <w:lvlJc w:val="left"/>
        <w:pPr>
          <w:tabs>
            <w:tab w:val="num" w:pos="1728"/>
          </w:tabs>
          <w:ind w:left="1728" w:hanging="576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Title6LevelTitre6Niveau"/>
        <w:lvlText w:val="%6."/>
        <w:lvlJc w:val="left"/>
        <w:pPr>
          <w:tabs>
            <w:tab w:val="num" w:pos="1728"/>
          </w:tabs>
          <w:ind w:left="1728" w:hanging="576"/>
        </w:pPr>
        <w:rPr>
          <w:rFonts w:hint="default"/>
          <w:b w:val="0"/>
          <w:i w:val="0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8208" w:hanging="432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8640" w:hanging="432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9072" w:hanging="432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removePersonalInformation/>
  <w:removeDateAndTime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069D4"/>
    <w:rsid w:val="00013781"/>
    <w:rsid w:val="00017885"/>
    <w:rsid w:val="00025198"/>
    <w:rsid w:val="00026467"/>
    <w:rsid w:val="00040D1B"/>
    <w:rsid w:val="00041BDD"/>
    <w:rsid w:val="000578A3"/>
    <w:rsid w:val="000639A8"/>
    <w:rsid w:val="000648CC"/>
    <w:rsid w:val="00066695"/>
    <w:rsid w:val="000724D9"/>
    <w:rsid w:val="00076E46"/>
    <w:rsid w:val="00080180"/>
    <w:rsid w:val="000824DA"/>
    <w:rsid w:val="000872BF"/>
    <w:rsid w:val="00094FED"/>
    <w:rsid w:val="000B5CFA"/>
    <w:rsid w:val="000B69B5"/>
    <w:rsid w:val="000C3FCE"/>
    <w:rsid w:val="000C59B8"/>
    <w:rsid w:val="000C6AF0"/>
    <w:rsid w:val="000C78C2"/>
    <w:rsid w:val="000F0995"/>
    <w:rsid w:val="000F2FF1"/>
    <w:rsid w:val="00104F33"/>
    <w:rsid w:val="00106D75"/>
    <w:rsid w:val="00111905"/>
    <w:rsid w:val="00111DE2"/>
    <w:rsid w:val="0011492A"/>
    <w:rsid w:val="001160DE"/>
    <w:rsid w:val="00116B38"/>
    <w:rsid w:val="00116F0D"/>
    <w:rsid w:val="00134F55"/>
    <w:rsid w:val="00135406"/>
    <w:rsid w:val="00135972"/>
    <w:rsid w:val="00136268"/>
    <w:rsid w:val="00137E61"/>
    <w:rsid w:val="001426A9"/>
    <w:rsid w:val="0014546A"/>
    <w:rsid w:val="00154563"/>
    <w:rsid w:val="00154D7C"/>
    <w:rsid w:val="001570B0"/>
    <w:rsid w:val="0015752C"/>
    <w:rsid w:val="00157737"/>
    <w:rsid w:val="00165277"/>
    <w:rsid w:val="001677C1"/>
    <w:rsid w:val="00170592"/>
    <w:rsid w:val="00186351"/>
    <w:rsid w:val="00195D83"/>
    <w:rsid w:val="001977DB"/>
    <w:rsid w:val="001A00C1"/>
    <w:rsid w:val="001A42A4"/>
    <w:rsid w:val="001B33E0"/>
    <w:rsid w:val="001B4573"/>
    <w:rsid w:val="001C779F"/>
    <w:rsid w:val="001D2AC1"/>
    <w:rsid w:val="001D4DDF"/>
    <w:rsid w:val="001D4E88"/>
    <w:rsid w:val="001D65FF"/>
    <w:rsid w:val="001D6E70"/>
    <w:rsid w:val="001E477D"/>
    <w:rsid w:val="00220FC2"/>
    <w:rsid w:val="002222F4"/>
    <w:rsid w:val="00224FC0"/>
    <w:rsid w:val="00225EA4"/>
    <w:rsid w:val="00226EAF"/>
    <w:rsid w:val="002310A2"/>
    <w:rsid w:val="00231F3A"/>
    <w:rsid w:val="00234199"/>
    <w:rsid w:val="00236389"/>
    <w:rsid w:val="00237AFE"/>
    <w:rsid w:val="002406EE"/>
    <w:rsid w:val="00243EC8"/>
    <w:rsid w:val="0026412B"/>
    <w:rsid w:val="00264B77"/>
    <w:rsid w:val="00270D93"/>
    <w:rsid w:val="002745CC"/>
    <w:rsid w:val="002909F6"/>
    <w:rsid w:val="0029178F"/>
    <w:rsid w:val="002B7924"/>
    <w:rsid w:val="002B7ABA"/>
    <w:rsid w:val="002D2226"/>
    <w:rsid w:val="002D28C3"/>
    <w:rsid w:val="002D294E"/>
    <w:rsid w:val="002D39A4"/>
    <w:rsid w:val="002E6189"/>
    <w:rsid w:val="002E6705"/>
    <w:rsid w:val="00301D08"/>
    <w:rsid w:val="0030329A"/>
    <w:rsid w:val="00303F14"/>
    <w:rsid w:val="00305526"/>
    <w:rsid w:val="0031086F"/>
    <w:rsid w:val="0031414C"/>
    <w:rsid w:val="00314E01"/>
    <w:rsid w:val="00317670"/>
    <w:rsid w:val="0032089D"/>
    <w:rsid w:val="00324AE2"/>
    <w:rsid w:val="003310DE"/>
    <w:rsid w:val="003323B0"/>
    <w:rsid w:val="0033489A"/>
    <w:rsid w:val="00337C82"/>
    <w:rsid w:val="00342089"/>
    <w:rsid w:val="00347BA4"/>
    <w:rsid w:val="0035169A"/>
    <w:rsid w:val="0035259D"/>
    <w:rsid w:val="00353B79"/>
    <w:rsid w:val="00355C66"/>
    <w:rsid w:val="00362ADA"/>
    <w:rsid w:val="00364B18"/>
    <w:rsid w:val="00396BF3"/>
    <w:rsid w:val="003A125D"/>
    <w:rsid w:val="003A4C70"/>
    <w:rsid w:val="003B215F"/>
    <w:rsid w:val="003C2CFF"/>
    <w:rsid w:val="003C799C"/>
    <w:rsid w:val="003D0399"/>
    <w:rsid w:val="003E1C71"/>
    <w:rsid w:val="003E2693"/>
    <w:rsid w:val="003E53AC"/>
    <w:rsid w:val="003F327B"/>
    <w:rsid w:val="003F7ACB"/>
    <w:rsid w:val="00400B24"/>
    <w:rsid w:val="00404D28"/>
    <w:rsid w:val="00406166"/>
    <w:rsid w:val="0040704B"/>
    <w:rsid w:val="00407839"/>
    <w:rsid w:val="00410003"/>
    <w:rsid w:val="00410A55"/>
    <w:rsid w:val="00411300"/>
    <w:rsid w:val="00415417"/>
    <w:rsid w:val="00424FE1"/>
    <w:rsid w:val="00426659"/>
    <w:rsid w:val="00426D16"/>
    <w:rsid w:val="00450352"/>
    <w:rsid w:val="00454BDB"/>
    <w:rsid w:val="00463A7A"/>
    <w:rsid w:val="00464800"/>
    <w:rsid w:val="00464BF6"/>
    <w:rsid w:val="00465132"/>
    <w:rsid w:val="00465EF1"/>
    <w:rsid w:val="004707F9"/>
    <w:rsid w:val="00470DB3"/>
    <w:rsid w:val="004718E8"/>
    <w:rsid w:val="0047411A"/>
    <w:rsid w:val="00480C90"/>
    <w:rsid w:val="0048396F"/>
    <w:rsid w:val="00493C18"/>
    <w:rsid w:val="00495D96"/>
    <w:rsid w:val="004A600C"/>
    <w:rsid w:val="004A6118"/>
    <w:rsid w:val="004C2314"/>
    <w:rsid w:val="004C25EE"/>
    <w:rsid w:val="004C478D"/>
    <w:rsid w:val="004D4FEC"/>
    <w:rsid w:val="004E0D6A"/>
    <w:rsid w:val="004E2C26"/>
    <w:rsid w:val="004E61A7"/>
    <w:rsid w:val="004F36FF"/>
    <w:rsid w:val="005125A8"/>
    <w:rsid w:val="00516DED"/>
    <w:rsid w:val="00521AE8"/>
    <w:rsid w:val="00524449"/>
    <w:rsid w:val="00527180"/>
    <w:rsid w:val="005341CE"/>
    <w:rsid w:val="00534AB2"/>
    <w:rsid w:val="0054201E"/>
    <w:rsid w:val="005541DB"/>
    <w:rsid w:val="00555291"/>
    <w:rsid w:val="0056265A"/>
    <w:rsid w:val="00566AD1"/>
    <w:rsid w:val="0057257D"/>
    <w:rsid w:val="00583EDE"/>
    <w:rsid w:val="00586928"/>
    <w:rsid w:val="005966EF"/>
    <w:rsid w:val="005A4F85"/>
    <w:rsid w:val="005A6079"/>
    <w:rsid w:val="005C73EB"/>
    <w:rsid w:val="005C7840"/>
    <w:rsid w:val="005E30E1"/>
    <w:rsid w:val="005E4698"/>
    <w:rsid w:val="006003EE"/>
    <w:rsid w:val="00610539"/>
    <w:rsid w:val="00613969"/>
    <w:rsid w:val="0061523C"/>
    <w:rsid w:val="00617208"/>
    <w:rsid w:val="00625C35"/>
    <w:rsid w:val="00626A7D"/>
    <w:rsid w:val="0062787A"/>
    <w:rsid w:val="00635521"/>
    <w:rsid w:val="006468AB"/>
    <w:rsid w:val="00656313"/>
    <w:rsid w:val="006565F4"/>
    <w:rsid w:val="0066108F"/>
    <w:rsid w:val="006763FD"/>
    <w:rsid w:val="00684EEA"/>
    <w:rsid w:val="006908E8"/>
    <w:rsid w:val="0069689B"/>
    <w:rsid w:val="006A1551"/>
    <w:rsid w:val="006A48DB"/>
    <w:rsid w:val="006B5FF5"/>
    <w:rsid w:val="006B7683"/>
    <w:rsid w:val="006D4200"/>
    <w:rsid w:val="006F30AF"/>
    <w:rsid w:val="007009A0"/>
    <w:rsid w:val="00701759"/>
    <w:rsid w:val="00701CF2"/>
    <w:rsid w:val="00705C15"/>
    <w:rsid w:val="00712E55"/>
    <w:rsid w:val="00713025"/>
    <w:rsid w:val="007154A1"/>
    <w:rsid w:val="0071600E"/>
    <w:rsid w:val="007162FD"/>
    <w:rsid w:val="00717FDC"/>
    <w:rsid w:val="007208D1"/>
    <w:rsid w:val="0072428C"/>
    <w:rsid w:val="00730177"/>
    <w:rsid w:val="00733A2A"/>
    <w:rsid w:val="00742119"/>
    <w:rsid w:val="00747288"/>
    <w:rsid w:val="00747DD3"/>
    <w:rsid w:val="007549C8"/>
    <w:rsid w:val="00754A0B"/>
    <w:rsid w:val="00761213"/>
    <w:rsid w:val="00766D14"/>
    <w:rsid w:val="00767A0F"/>
    <w:rsid w:val="00796207"/>
    <w:rsid w:val="007A05F6"/>
    <w:rsid w:val="007B3D74"/>
    <w:rsid w:val="007B6F4A"/>
    <w:rsid w:val="007D097E"/>
    <w:rsid w:val="007E1C47"/>
    <w:rsid w:val="007E337A"/>
    <w:rsid w:val="007E5C70"/>
    <w:rsid w:val="007F2FF5"/>
    <w:rsid w:val="007F3F08"/>
    <w:rsid w:val="00804CC6"/>
    <w:rsid w:val="00813B48"/>
    <w:rsid w:val="00817190"/>
    <w:rsid w:val="00820EE5"/>
    <w:rsid w:val="008244E9"/>
    <w:rsid w:val="008260E2"/>
    <w:rsid w:val="008322BD"/>
    <w:rsid w:val="008323C4"/>
    <w:rsid w:val="00833E0A"/>
    <w:rsid w:val="00834F73"/>
    <w:rsid w:val="00847F55"/>
    <w:rsid w:val="008544FA"/>
    <w:rsid w:val="00864CF8"/>
    <w:rsid w:val="00872819"/>
    <w:rsid w:val="00874914"/>
    <w:rsid w:val="00891422"/>
    <w:rsid w:val="00892E1A"/>
    <w:rsid w:val="008965E0"/>
    <w:rsid w:val="008A3F29"/>
    <w:rsid w:val="008B660A"/>
    <w:rsid w:val="008B70F9"/>
    <w:rsid w:val="008C01DA"/>
    <w:rsid w:val="008C02C9"/>
    <w:rsid w:val="008C7263"/>
    <w:rsid w:val="008D0A42"/>
    <w:rsid w:val="008D2104"/>
    <w:rsid w:val="008F78E9"/>
    <w:rsid w:val="00903C32"/>
    <w:rsid w:val="00911989"/>
    <w:rsid w:val="009179F9"/>
    <w:rsid w:val="0093031F"/>
    <w:rsid w:val="00931C1C"/>
    <w:rsid w:val="00933E5E"/>
    <w:rsid w:val="00935218"/>
    <w:rsid w:val="009403F3"/>
    <w:rsid w:val="0094486F"/>
    <w:rsid w:val="009555B7"/>
    <w:rsid w:val="009567AA"/>
    <w:rsid w:val="0096473A"/>
    <w:rsid w:val="00967374"/>
    <w:rsid w:val="00976EB5"/>
    <w:rsid w:val="00981B4D"/>
    <w:rsid w:val="009A343A"/>
    <w:rsid w:val="009A4E51"/>
    <w:rsid w:val="009A520F"/>
    <w:rsid w:val="009B2F23"/>
    <w:rsid w:val="009B57B3"/>
    <w:rsid w:val="009B6FFE"/>
    <w:rsid w:val="009C5B92"/>
    <w:rsid w:val="009D2920"/>
    <w:rsid w:val="009D5AEB"/>
    <w:rsid w:val="009F0E33"/>
    <w:rsid w:val="009F1E77"/>
    <w:rsid w:val="00A003F4"/>
    <w:rsid w:val="00A030CE"/>
    <w:rsid w:val="00A149DF"/>
    <w:rsid w:val="00A1755C"/>
    <w:rsid w:val="00A21B90"/>
    <w:rsid w:val="00A41805"/>
    <w:rsid w:val="00A42DCD"/>
    <w:rsid w:val="00A44699"/>
    <w:rsid w:val="00A52AFB"/>
    <w:rsid w:val="00A548CB"/>
    <w:rsid w:val="00A5521C"/>
    <w:rsid w:val="00A557A1"/>
    <w:rsid w:val="00A55CEF"/>
    <w:rsid w:val="00A643E7"/>
    <w:rsid w:val="00A73C38"/>
    <w:rsid w:val="00A9085B"/>
    <w:rsid w:val="00AB670D"/>
    <w:rsid w:val="00AC6FA4"/>
    <w:rsid w:val="00AD2826"/>
    <w:rsid w:val="00AD342F"/>
    <w:rsid w:val="00AE24AA"/>
    <w:rsid w:val="00AE25FE"/>
    <w:rsid w:val="00AE4535"/>
    <w:rsid w:val="00AF03C5"/>
    <w:rsid w:val="00AF0B26"/>
    <w:rsid w:val="00B000D8"/>
    <w:rsid w:val="00B00F75"/>
    <w:rsid w:val="00B11735"/>
    <w:rsid w:val="00B1431F"/>
    <w:rsid w:val="00B145B6"/>
    <w:rsid w:val="00B2215E"/>
    <w:rsid w:val="00B279EB"/>
    <w:rsid w:val="00B30E18"/>
    <w:rsid w:val="00B32357"/>
    <w:rsid w:val="00B43559"/>
    <w:rsid w:val="00B50C81"/>
    <w:rsid w:val="00B557F8"/>
    <w:rsid w:val="00B56AAF"/>
    <w:rsid w:val="00B67199"/>
    <w:rsid w:val="00B815FC"/>
    <w:rsid w:val="00B93FBC"/>
    <w:rsid w:val="00BA066D"/>
    <w:rsid w:val="00BA7DA0"/>
    <w:rsid w:val="00BB2366"/>
    <w:rsid w:val="00BB2EE4"/>
    <w:rsid w:val="00BB5AE6"/>
    <w:rsid w:val="00BC2108"/>
    <w:rsid w:val="00BC5642"/>
    <w:rsid w:val="00BD0E9E"/>
    <w:rsid w:val="00BD1BEC"/>
    <w:rsid w:val="00BD32FF"/>
    <w:rsid w:val="00BD67ED"/>
    <w:rsid w:val="00C02092"/>
    <w:rsid w:val="00C22905"/>
    <w:rsid w:val="00C229CD"/>
    <w:rsid w:val="00C24D91"/>
    <w:rsid w:val="00C31D39"/>
    <w:rsid w:val="00C53F14"/>
    <w:rsid w:val="00C600CF"/>
    <w:rsid w:val="00C6084F"/>
    <w:rsid w:val="00C62A66"/>
    <w:rsid w:val="00C62FD6"/>
    <w:rsid w:val="00C71458"/>
    <w:rsid w:val="00C77613"/>
    <w:rsid w:val="00C828E7"/>
    <w:rsid w:val="00C86719"/>
    <w:rsid w:val="00C921DD"/>
    <w:rsid w:val="00CA6391"/>
    <w:rsid w:val="00CA7B39"/>
    <w:rsid w:val="00CB5B04"/>
    <w:rsid w:val="00CC34BD"/>
    <w:rsid w:val="00CE161A"/>
    <w:rsid w:val="00CE3171"/>
    <w:rsid w:val="00CF1601"/>
    <w:rsid w:val="00D0172F"/>
    <w:rsid w:val="00D068A7"/>
    <w:rsid w:val="00D173CE"/>
    <w:rsid w:val="00D17476"/>
    <w:rsid w:val="00D22128"/>
    <w:rsid w:val="00D25F6B"/>
    <w:rsid w:val="00D26B67"/>
    <w:rsid w:val="00D32086"/>
    <w:rsid w:val="00D360E6"/>
    <w:rsid w:val="00D37A3F"/>
    <w:rsid w:val="00D4431D"/>
    <w:rsid w:val="00D4667A"/>
    <w:rsid w:val="00D469D5"/>
    <w:rsid w:val="00D47BFC"/>
    <w:rsid w:val="00D614A5"/>
    <w:rsid w:val="00D63A1C"/>
    <w:rsid w:val="00D7516F"/>
    <w:rsid w:val="00D83628"/>
    <w:rsid w:val="00D8579F"/>
    <w:rsid w:val="00D90B9E"/>
    <w:rsid w:val="00D91A89"/>
    <w:rsid w:val="00D95F8E"/>
    <w:rsid w:val="00DA0590"/>
    <w:rsid w:val="00DB7BEA"/>
    <w:rsid w:val="00DC1739"/>
    <w:rsid w:val="00DC1788"/>
    <w:rsid w:val="00DC2F37"/>
    <w:rsid w:val="00DD105B"/>
    <w:rsid w:val="00DE319C"/>
    <w:rsid w:val="00DE36CA"/>
    <w:rsid w:val="00DE54B0"/>
    <w:rsid w:val="00DF0CA8"/>
    <w:rsid w:val="00DF2B48"/>
    <w:rsid w:val="00DF49A7"/>
    <w:rsid w:val="00E07EE2"/>
    <w:rsid w:val="00E07FD1"/>
    <w:rsid w:val="00E176D8"/>
    <w:rsid w:val="00E24573"/>
    <w:rsid w:val="00E25E1E"/>
    <w:rsid w:val="00E27EE7"/>
    <w:rsid w:val="00E31D67"/>
    <w:rsid w:val="00E3214F"/>
    <w:rsid w:val="00E333F9"/>
    <w:rsid w:val="00E35404"/>
    <w:rsid w:val="00E45109"/>
    <w:rsid w:val="00E47B7A"/>
    <w:rsid w:val="00E56A44"/>
    <w:rsid w:val="00E60269"/>
    <w:rsid w:val="00E653D0"/>
    <w:rsid w:val="00E65A2E"/>
    <w:rsid w:val="00E71951"/>
    <w:rsid w:val="00E77932"/>
    <w:rsid w:val="00E83FDA"/>
    <w:rsid w:val="00E92347"/>
    <w:rsid w:val="00E97830"/>
    <w:rsid w:val="00EA1D3B"/>
    <w:rsid w:val="00ED681A"/>
    <w:rsid w:val="00EE5737"/>
    <w:rsid w:val="00EE643C"/>
    <w:rsid w:val="00EF0683"/>
    <w:rsid w:val="00EF69D2"/>
    <w:rsid w:val="00EF766E"/>
    <w:rsid w:val="00F0070C"/>
    <w:rsid w:val="00F00EB7"/>
    <w:rsid w:val="00F03D8E"/>
    <w:rsid w:val="00F36AB6"/>
    <w:rsid w:val="00F37A09"/>
    <w:rsid w:val="00F409CE"/>
    <w:rsid w:val="00F4379D"/>
    <w:rsid w:val="00F43876"/>
    <w:rsid w:val="00F50635"/>
    <w:rsid w:val="00F50D2D"/>
    <w:rsid w:val="00F56C8B"/>
    <w:rsid w:val="00F61CBE"/>
    <w:rsid w:val="00F66810"/>
    <w:rsid w:val="00F846D9"/>
    <w:rsid w:val="00F84DF4"/>
    <w:rsid w:val="00F85C97"/>
    <w:rsid w:val="00F94A57"/>
    <w:rsid w:val="00FA51A0"/>
    <w:rsid w:val="00FB37D2"/>
    <w:rsid w:val="00FB7D08"/>
    <w:rsid w:val="00FC341C"/>
    <w:rsid w:val="00FC3788"/>
    <w:rsid w:val="00FC4EFB"/>
    <w:rsid w:val="00FD068D"/>
    <w:rsid w:val="00FD4F28"/>
    <w:rsid w:val="00FE0416"/>
    <w:rsid w:val="00F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ABA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29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29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val="en-US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29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29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290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290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290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qFormat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link w:val="SCCBanSummaryChar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301D08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301D08"/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E65A2E"/>
    <w:rPr>
      <w:color w:val="0000FF" w:themeColor="hyperlink"/>
      <w:u w:val="single"/>
    </w:rPr>
  </w:style>
  <w:style w:type="character" w:customStyle="1" w:styleId="solexhl">
    <w:name w:val="solexhl"/>
    <w:basedOn w:val="DefaultParagraphFont"/>
    <w:rsid w:val="000C78C2"/>
  </w:style>
  <w:style w:type="character" w:customStyle="1" w:styleId="Heading3Char">
    <w:name w:val="Heading 3 Char"/>
    <w:basedOn w:val="DefaultParagraphFont"/>
    <w:link w:val="Heading3"/>
    <w:uiPriority w:val="9"/>
    <w:semiHidden/>
    <w:rsid w:val="00C22905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290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2905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val="en-US" w:eastAsia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290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290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2905"/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2905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customStyle="1" w:styleId="SCCLsocOtherPartyRoleSeparator">
    <w:name w:val="SCC.Lsoc.OtherPartyRoleSeparator"/>
    <w:basedOn w:val="Normal"/>
    <w:next w:val="Normal"/>
    <w:link w:val="SCCLsocOtherPartyRoleSeparatorChar"/>
    <w:rsid w:val="00C22905"/>
    <w:pPr>
      <w:spacing w:after="480"/>
    </w:pPr>
    <w:rPr>
      <w:rFonts w:eastAsiaTheme="minorHAnsi" w:cstheme="minorBidi"/>
      <w:szCs w:val="22"/>
      <w:lang w:val="en-US" w:eastAsia="en-US" w:bidi="en-US"/>
    </w:rPr>
  </w:style>
  <w:style w:type="paragraph" w:customStyle="1" w:styleId="SCCCoram">
    <w:name w:val="SCC.Coram"/>
    <w:basedOn w:val="Normal"/>
    <w:next w:val="Normal"/>
    <w:link w:val="SCCCoramChar"/>
    <w:rsid w:val="00C22905"/>
    <w:pPr>
      <w:pBdr>
        <w:bottom w:val="single" w:sz="4" w:space="1" w:color="auto"/>
      </w:pBdr>
    </w:pPr>
    <w:rPr>
      <w:rFonts w:eastAsiaTheme="minorHAnsi" w:cstheme="minorBidi"/>
      <w:szCs w:val="22"/>
      <w:lang w:val="en-US" w:eastAsia="en-US" w:bidi="en-US"/>
    </w:rPr>
  </w:style>
  <w:style w:type="character" w:customStyle="1" w:styleId="SCCCoramChar">
    <w:name w:val="SCC.Coram Char"/>
    <w:basedOn w:val="DefaultParagraphFont"/>
    <w:link w:val="SCCCoram"/>
    <w:rsid w:val="00C22905"/>
    <w:rPr>
      <w:rFonts w:eastAsiaTheme="minorHAnsi" w:cstheme="minorBidi"/>
      <w:sz w:val="24"/>
      <w:szCs w:val="22"/>
      <w:lang w:val="en-US" w:eastAsia="en-US" w:bidi="en-US"/>
    </w:rPr>
  </w:style>
  <w:style w:type="character" w:customStyle="1" w:styleId="SCCLsocOtherPartyRoleSeparatorChar">
    <w:name w:val="SCC.Lsoc.OtherPartyRoleSeparator Char"/>
    <w:basedOn w:val="DefaultParagraphFont"/>
    <w:link w:val="SCCLsocOtherPartyRoleSeparator"/>
    <w:rsid w:val="00C22905"/>
    <w:rPr>
      <w:rFonts w:eastAsiaTheme="minorHAnsi" w:cstheme="minorBidi"/>
      <w:sz w:val="24"/>
      <w:szCs w:val="22"/>
      <w:lang w:val="en-US" w:eastAsia="en-US" w:bidi="en-US"/>
    </w:rPr>
  </w:style>
  <w:style w:type="character" w:customStyle="1" w:styleId="SCCBanSummaryChar">
    <w:name w:val="SCC.BanSummary Char"/>
    <w:basedOn w:val="DefaultParagraphFont"/>
    <w:link w:val="SCCBanSummary"/>
    <w:rsid w:val="00C22905"/>
    <w:rPr>
      <w:b/>
      <w:sz w:val="24"/>
    </w:rPr>
  </w:style>
  <w:style w:type="table" w:styleId="TableGrid">
    <w:name w:val="Table Grid"/>
    <w:basedOn w:val="TableNormal"/>
    <w:uiPriority w:val="59"/>
    <w:rsid w:val="00C22905"/>
    <w:rPr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itation-AltC">
    <w:name w:val="Citation - Alt C"/>
    <w:uiPriority w:val="2"/>
    <w:qFormat/>
    <w:rsid w:val="00C22905"/>
    <w:pPr>
      <w:spacing w:after="720"/>
      <w:ind w:left="1166"/>
      <w:contextualSpacing/>
      <w:jc w:val="both"/>
    </w:pPr>
    <w:rPr>
      <w:sz w:val="24"/>
    </w:rPr>
  </w:style>
  <w:style w:type="paragraph" w:customStyle="1" w:styleId="ContinueParaSuitedupar-AltP">
    <w:name w:val="Continue Para. / Suite du par. - Alt P"/>
    <w:next w:val="ParaNoNdepar-AltN"/>
    <w:uiPriority w:val="1"/>
    <w:qFormat/>
    <w:rsid w:val="00C22905"/>
    <w:pPr>
      <w:spacing w:before="480" w:after="480" w:line="480" w:lineRule="auto"/>
      <w:jc w:val="both"/>
    </w:pPr>
    <w:rPr>
      <w:rFonts w:eastAsiaTheme="minorHAnsi" w:cstheme="minorBidi"/>
      <w:sz w:val="24"/>
      <w:szCs w:val="22"/>
      <w:lang w:eastAsia="en-US"/>
    </w:rPr>
  </w:style>
  <w:style w:type="paragraph" w:customStyle="1" w:styleId="JudgeJuge">
    <w:name w:val="Judge / Juge"/>
    <w:link w:val="JudgeJugeChar"/>
    <w:uiPriority w:val="3"/>
    <w:rsid w:val="00C22905"/>
    <w:pPr>
      <w:tabs>
        <w:tab w:val="left" w:pos="1260"/>
      </w:tabs>
      <w:spacing w:after="480" w:line="480" w:lineRule="auto"/>
    </w:pPr>
    <w:rPr>
      <w:smallCaps/>
      <w:sz w:val="24"/>
    </w:rPr>
  </w:style>
  <w:style w:type="paragraph" w:customStyle="1" w:styleId="ParaNoNdepar-AltN">
    <w:name w:val="Para. No. / Nº de par. - Alt N"/>
    <w:link w:val="ParaNoNdepar-AltNChar"/>
    <w:qFormat/>
    <w:rsid w:val="00C22905"/>
    <w:pPr>
      <w:numPr>
        <w:numId w:val="6"/>
      </w:numPr>
      <w:spacing w:before="480" w:after="480" w:line="480" w:lineRule="auto"/>
      <w:jc w:val="both"/>
    </w:pPr>
    <w:rPr>
      <w:rFonts w:eastAsiaTheme="minorEastAsia" w:cstheme="minorBidi"/>
      <w:sz w:val="24"/>
      <w:szCs w:val="22"/>
      <w:lang w:eastAsia="en-US"/>
    </w:rPr>
  </w:style>
  <w:style w:type="paragraph" w:customStyle="1" w:styleId="Title1LevelTitre1Niveau-AltL">
    <w:name w:val="Title 1 Level / Titre 1 Niveau - Alt L"/>
    <w:next w:val="ParaNoNdepar-AltN"/>
    <w:uiPriority w:val="4"/>
    <w:qFormat/>
    <w:rsid w:val="00C22905"/>
    <w:pPr>
      <w:numPr>
        <w:numId w:val="7"/>
      </w:numPr>
      <w:tabs>
        <w:tab w:val="clear" w:pos="576"/>
      </w:tabs>
      <w:spacing w:before="480" w:after="720"/>
      <w:outlineLvl w:val="0"/>
    </w:pPr>
    <w:rPr>
      <w:rFonts w:eastAsiaTheme="minorHAnsi" w:cstheme="minorBidi"/>
      <w:sz w:val="24"/>
      <w:szCs w:val="22"/>
      <w:u w:val="single"/>
      <w:lang w:eastAsia="en-US"/>
    </w:rPr>
  </w:style>
  <w:style w:type="paragraph" w:customStyle="1" w:styleId="Title2LevelTitre2Niveau">
    <w:name w:val="Title 2 Level / Titre 2 Niveau"/>
    <w:basedOn w:val="Title1LevelTitre1Niveau-AltL"/>
    <w:next w:val="ParaNoNdepar-AltN"/>
    <w:uiPriority w:val="4"/>
    <w:qFormat/>
    <w:rsid w:val="00C22905"/>
    <w:pPr>
      <w:numPr>
        <w:ilvl w:val="1"/>
      </w:numPr>
      <w:tabs>
        <w:tab w:val="clear" w:pos="576"/>
      </w:tabs>
      <w:outlineLvl w:val="1"/>
    </w:pPr>
    <w:rPr>
      <w:i/>
      <w:u w:val="none"/>
    </w:rPr>
  </w:style>
  <w:style w:type="paragraph" w:customStyle="1" w:styleId="Title3LevelTitre3Niveau">
    <w:name w:val="Title 3 Level / Titre 3 Niveau"/>
    <w:basedOn w:val="Title1LevelTitre1Niveau-AltL"/>
    <w:next w:val="ParaNoNdepar-AltN"/>
    <w:uiPriority w:val="4"/>
    <w:qFormat/>
    <w:rsid w:val="00C22905"/>
    <w:pPr>
      <w:numPr>
        <w:ilvl w:val="2"/>
      </w:numPr>
      <w:tabs>
        <w:tab w:val="clear" w:pos="1152"/>
      </w:tabs>
      <w:outlineLvl w:val="2"/>
    </w:pPr>
  </w:style>
  <w:style w:type="paragraph" w:customStyle="1" w:styleId="Title4LevelTitre4Niveau">
    <w:name w:val="Title 4 Level / Titre 4 Niveau"/>
    <w:basedOn w:val="Title3LevelTitre3Niveau"/>
    <w:next w:val="ParaNoNdepar-AltN"/>
    <w:uiPriority w:val="4"/>
    <w:qFormat/>
    <w:rsid w:val="00C22905"/>
    <w:pPr>
      <w:numPr>
        <w:ilvl w:val="3"/>
      </w:numPr>
      <w:tabs>
        <w:tab w:val="clear" w:pos="1152"/>
      </w:tabs>
      <w:ind w:left="1156" w:hanging="578"/>
      <w:outlineLvl w:val="3"/>
    </w:pPr>
    <w:rPr>
      <w:i/>
      <w:u w:val="none"/>
    </w:rPr>
  </w:style>
  <w:style w:type="paragraph" w:customStyle="1" w:styleId="Title5LevelTitre5Niveau">
    <w:name w:val="Title 5 Level / Titre 5 Niveau"/>
    <w:basedOn w:val="Title1LevelTitre1Niveau-AltL"/>
    <w:next w:val="ParaNoNdepar-AltN"/>
    <w:uiPriority w:val="4"/>
    <w:qFormat/>
    <w:rsid w:val="00C22905"/>
    <w:pPr>
      <w:numPr>
        <w:ilvl w:val="4"/>
      </w:numPr>
      <w:tabs>
        <w:tab w:val="clear" w:pos="1728"/>
      </w:tabs>
      <w:ind w:left="1729" w:hanging="578"/>
      <w:outlineLvl w:val="4"/>
    </w:pPr>
  </w:style>
  <w:style w:type="paragraph" w:styleId="TOC1">
    <w:name w:val="toc 1"/>
    <w:basedOn w:val="Normal"/>
    <w:next w:val="Normal"/>
    <w:autoRedefine/>
    <w:uiPriority w:val="39"/>
    <w:unhideWhenUsed/>
    <w:rsid w:val="00C22905"/>
    <w:pPr>
      <w:tabs>
        <w:tab w:val="left" w:pos="360"/>
        <w:tab w:val="right" w:leader="dot" w:pos="8270"/>
      </w:tabs>
      <w:spacing w:before="120" w:after="120"/>
    </w:pPr>
    <w:rPr>
      <w:rFonts w:eastAsiaTheme="minorHAnsi" w:cstheme="minorBidi"/>
      <w:noProof/>
      <w:u w:val="single"/>
      <w:lang w:val="en-US" w:eastAsia="en-US" w:bidi="en-US"/>
    </w:rPr>
  </w:style>
  <w:style w:type="paragraph" w:styleId="TOC2">
    <w:name w:val="toc 2"/>
    <w:basedOn w:val="Normal"/>
    <w:next w:val="Normal"/>
    <w:autoRedefine/>
    <w:uiPriority w:val="39"/>
    <w:unhideWhenUsed/>
    <w:rsid w:val="00C22905"/>
    <w:pPr>
      <w:tabs>
        <w:tab w:val="left" w:pos="720"/>
        <w:tab w:val="right" w:leader="dot" w:pos="8270"/>
      </w:tabs>
      <w:spacing w:before="120" w:after="120"/>
      <w:ind w:left="432" w:hanging="432"/>
    </w:pPr>
    <w:rPr>
      <w:rFonts w:eastAsiaTheme="minorHAnsi" w:cstheme="minorBidi"/>
      <w:i/>
      <w:szCs w:val="22"/>
      <w:lang w:val="en-US" w:eastAsia="en-US" w:bidi="en-US"/>
    </w:rPr>
  </w:style>
  <w:style w:type="paragraph" w:styleId="TOC3">
    <w:name w:val="toc 3"/>
    <w:basedOn w:val="Normal"/>
    <w:next w:val="Normal"/>
    <w:autoRedefine/>
    <w:uiPriority w:val="39"/>
    <w:unhideWhenUsed/>
    <w:rsid w:val="00C22905"/>
    <w:pPr>
      <w:tabs>
        <w:tab w:val="left" w:pos="1080"/>
        <w:tab w:val="right" w:leader="dot" w:pos="8270"/>
      </w:tabs>
      <w:spacing w:before="120" w:after="120"/>
      <w:ind w:left="864" w:hanging="432"/>
    </w:pPr>
    <w:rPr>
      <w:rFonts w:eastAsiaTheme="minorHAnsi" w:cstheme="minorBidi"/>
      <w:noProof/>
      <w:u w:val="single"/>
      <w:lang w:val="en-US" w:eastAsia="en-US" w:bidi="en-US"/>
    </w:rPr>
  </w:style>
  <w:style w:type="paragraph" w:styleId="TOC4">
    <w:name w:val="toc 4"/>
    <w:basedOn w:val="Normal"/>
    <w:next w:val="Normal"/>
    <w:autoRedefine/>
    <w:uiPriority w:val="39"/>
    <w:unhideWhenUsed/>
    <w:rsid w:val="00C22905"/>
    <w:pPr>
      <w:tabs>
        <w:tab w:val="left" w:pos="900"/>
        <w:tab w:val="right" w:leader="dot" w:pos="8270"/>
      </w:tabs>
      <w:spacing w:before="120" w:after="120"/>
      <w:ind w:left="900" w:hanging="450"/>
    </w:pPr>
    <w:rPr>
      <w:rFonts w:eastAsiaTheme="minorEastAsia" w:cstheme="minorBidi"/>
      <w:i/>
      <w:noProof/>
      <w:szCs w:val="22"/>
      <w:lang w:val="en-US" w:eastAsia="en-US" w:bidi="en-US"/>
    </w:rPr>
  </w:style>
  <w:style w:type="paragraph" w:styleId="TOC5">
    <w:name w:val="toc 5"/>
    <w:basedOn w:val="Normal"/>
    <w:next w:val="Normal"/>
    <w:autoRedefine/>
    <w:uiPriority w:val="39"/>
    <w:unhideWhenUsed/>
    <w:rsid w:val="00C22905"/>
    <w:pPr>
      <w:tabs>
        <w:tab w:val="left" w:pos="1440"/>
        <w:tab w:val="right" w:leader="dot" w:pos="8270"/>
      </w:tabs>
      <w:spacing w:before="120" w:after="120"/>
      <w:ind w:left="1454" w:hanging="547"/>
    </w:pPr>
    <w:rPr>
      <w:rFonts w:eastAsiaTheme="minorHAnsi" w:cstheme="minorBidi"/>
      <w:noProof/>
      <w:u w:val="single"/>
      <w:lang w:val="en-US" w:eastAsia="en-US" w:bidi="en-US"/>
    </w:rPr>
  </w:style>
  <w:style w:type="paragraph" w:styleId="TOC6">
    <w:name w:val="toc 6"/>
    <w:basedOn w:val="Normal"/>
    <w:next w:val="Normal"/>
    <w:autoRedefine/>
    <w:uiPriority w:val="39"/>
    <w:unhideWhenUsed/>
    <w:rsid w:val="00C22905"/>
    <w:pPr>
      <w:tabs>
        <w:tab w:val="left" w:pos="2160"/>
        <w:tab w:val="right" w:leader="dot" w:pos="8270"/>
      </w:tabs>
      <w:spacing w:after="100"/>
      <w:ind w:left="1800"/>
    </w:pPr>
    <w:rPr>
      <w:rFonts w:eastAsiaTheme="minorHAnsi" w:cstheme="minorBidi"/>
      <w:noProof/>
      <w:lang w:val="en-US" w:eastAsia="en-US" w:bidi="en-US"/>
    </w:rPr>
  </w:style>
  <w:style w:type="table" w:customStyle="1" w:styleId="TableGrid1">
    <w:name w:val="Table Grid1"/>
    <w:basedOn w:val="TableNormal"/>
    <w:uiPriority w:val="59"/>
    <w:rsid w:val="00C22905"/>
    <w:rPr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Titre-AltT">
    <w:name w:val="Title / Titre - Alt T"/>
    <w:next w:val="ParaNoNdepar-AltN"/>
    <w:uiPriority w:val="3"/>
    <w:qFormat/>
    <w:rsid w:val="00C22905"/>
    <w:pPr>
      <w:tabs>
        <w:tab w:val="left" w:pos="360"/>
      </w:tabs>
      <w:spacing w:before="480" w:after="720"/>
      <w:ind w:left="360" w:hanging="360"/>
      <w:jc w:val="both"/>
      <w:outlineLvl w:val="0"/>
    </w:pPr>
    <w:rPr>
      <w:rFonts w:eastAsiaTheme="minorHAnsi" w:cstheme="minorBidi"/>
      <w:sz w:val="24"/>
      <w:szCs w:val="22"/>
      <w:lang w:eastAsia="en-US"/>
    </w:rPr>
  </w:style>
  <w:style w:type="paragraph" w:customStyle="1" w:styleId="Title6LevelTitre6Niveau">
    <w:name w:val="Title 6 Level / Titre 6 Niveau"/>
    <w:basedOn w:val="Title5LevelTitre5Niveau"/>
    <w:next w:val="ParaNoNdepar-AltN"/>
    <w:uiPriority w:val="4"/>
    <w:qFormat/>
    <w:rsid w:val="00C22905"/>
    <w:pPr>
      <w:numPr>
        <w:ilvl w:val="5"/>
      </w:numPr>
      <w:jc w:val="both"/>
      <w:outlineLvl w:val="5"/>
    </w:pPr>
    <w:rPr>
      <w:i/>
      <w:u w:val="none"/>
    </w:rPr>
  </w:style>
  <w:style w:type="paragraph" w:styleId="FootnoteText">
    <w:name w:val="footnote text"/>
    <w:basedOn w:val="Normal"/>
    <w:link w:val="FootnoteTextChar"/>
    <w:uiPriority w:val="99"/>
    <w:unhideWhenUsed/>
    <w:rsid w:val="00C22905"/>
    <w:pPr>
      <w:tabs>
        <w:tab w:val="left" w:pos="180"/>
      </w:tabs>
      <w:ind w:left="187" w:hanging="187"/>
      <w:jc w:val="both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2905"/>
  </w:style>
  <w:style w:type="character" w:styleId="FootnoteReference">
    <w:name w:val="footnote reference"/>
    <w:basedOn w:val="DefaultParagraphFont"/>
    <w:uiPriority w:val="99"/>
    <w:semiHidden/>
    <w:unhideWhenUsed/>
    <w:rsid w:val="00C22905"/>
    <w:rPr>
      <w:vertAlign w:val="superscript"/>
    </w:rPr>
  </w:style>
  <w:style w:type="character" w:styleId="SubtleEmphasis">
    <w:name w:val="Subtle Emphasis"/>
    <w:basedOn w:val="DefaultParagraphFont"/>
    <w:uiPriority w:val="19"/>
    <w:rsid w:val="00C22905"/>
    <w:rPr>
      <w:i/>
      <w:iCs/>
      <w:color w:val="808080" w:themeColor="text1" w:themeTint="7F"/>
    </w:rPr>
  </w:style>
  <w:style w:type="character" w:customStyle="1" w:styleId="ParaNoNdepar-AltNChar">
    <w:name w:val="Para. No. / Nº de par. - Alt N Char"/>
    <w:basedOn w:val="DefaultParagraphFont"/>
    <w:link w:val="ParaNoNdepar-AltN"/>
    <w:locked/>
    <w:rsid w:val="00C22905"/>
    <w:rPr>
      <w:rFonts w:eastAsiaTheme="minorEastAsia" w:cstheme="minorBidi"/>
      <w:sz w:val="24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229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905"/>
    <w:rPr>
      <w:rFonts w:eastAsiaTheme="minorHAnsi" w:cstheme="minorBidi"/>
      <w:sz w:val="20"/>
      <w:szCs w:val="22"/>
      <w:lang w:val="en-US" w:eastAsia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905"/>
    <w:rPr>
      <w:rFonts w:eastAsiaTheme="minorHAnsi" w:cstheme="minorBidi"/>
      <w:szCs w:val="22"/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9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905"/>
    <w:rPr>
      <w:rFonts w:eastAsiaTheme="minorHAnsi" w:cstheme="minorBidi"/>
      <w:b/>
      <w:bCs/>
      <w:szCs w:val="22"/>
      <w:lang w:val="en-US" w:eastAsia="en-US" w:bidi="en-US"/>
    </w:rPr>
  </w:style>
  <w:style w:type="character" w:customStyle="1" w:styleId="JudgeJugeChar">
    <w:name w:val="Judge / Juge Char"/>
    <w:basedOn w:val="DefaultParagraphFont"/>
    <w:link w:val="JudgeJuge"/>
    <w:uiPriority w:val="3"/>
    <w:rsid w:val="00C22905"/>
    <w:rPr>
      <w:smallCaps/>
      <w:sz w:val="24"/>
    </w:rPr>
  </w:style>
  <w:style w:type="paragraph" w:styleId="NoSpacing">
    <w:name w:val="No Spacing"/>
    <w:uiPriority w:val="1"/>
    <w:rsid w:val="00C22905"/>
    <w:rPr>
      <w:rFonts w:eastAsiaTheme="minorHAnsi" w:cstheme="minorBidi"/>
      <w:sz w:val="24"/>
      <w:szCs w:val="22"/>
      <w:lang w:val="en-US" w:eastAsia="en-US"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2905"/>
    <w:pPr>
      <w:spacing w:before="480" w:after="0"/>
      <w:ind w:left="0" w:firstLine="0"/>
      <w:outlineLvl w:val="9"/>
    </w:pPr>
    <w:rPr>
      <w:lang w:val="en-US" w:eastAsia="en-US"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2905"/>
    <w:rPr>
      <w:rFonts w:eastAsia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Title">
    <w:name w:val="Title"/>
    <w:basedOn w:val="Normal"/>
    <w:next w:val="Normal"/>
    <w:link w:val="TitleChar"/>
    <w:uiPriority w:val="10"/>
    <w:rsid w:val="00C229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C229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rsid w:val="00C229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229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styleId="Emphasis">
    <w:name w:val="Emphasis"/>
    <w:basedOn w:val="DefaultParagraphFont"/>
    <w:uiPriority w:val="20"/>
    <w:rsid w:val="00C22905"/>
    <w:rPr>
      <w:i/>
      <w:iCs/>
    </w:rPr>
  </w:style>
  <w:style w:type="paragraph" w:styleId="ListParagraph">
    <w:name w:val="List Paragraph"/>
    <w:basedOn w:val="Normal"/>
    <w:uiPriority w:val="34"/>
    <w:rsid w:val="00C22905"/>
    <w:pPr>
      <w:ind w:left="720"/>
      <w:contextualSpacing/>
    </w:pPr>
    <w:rPr>
      <w:rFonts w:eastAsiaTheme="minorHAnsi" w:cstheme="minorBidi"/>
      <w:szCs w:val="22"/>
      <w:lang w:val="en-US" w:eastAsia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C2290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  <w:szCs w:val="22"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2905"/>
    <w:rPr>
      <w:rFonts w:eastAsiaTheme="minorHAnsi" w:cstheme="minorBidi"/>
      <w:b/>
      <w:bCs/>
      <w:i/>
      <w:iCs/>
      <w:color w:val="4F81BD" w:themeColor="accent1"/>
      <w:sz w:val="24"/>
      <w:szCs w:val="22"/>
      <w:lang w:val="en-US" w:eastAsia="en-US" w:bidi="en-US"/>
    </w:rPr>
  </w:style>
  <w:style w:type="character" w:styleId="IntenseEmphasis">
    <w:name w:val="Intense Emphasis"/>
    <w:basedOn w:val="DefaultParagraphFont"/>
    <w:uiPriority w:val="21"/>
    <w:rsid w:val="00C2290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C2290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C2290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C22905"/>
    <w:rPr>
      <w:b/>
      <w:bCs/>
      <w:smallCaps/>
      <w:spacing w:val="5"/>
    </w:rPr>
  </w:style>
  <w:style w:type="paragraph" w:styleId="Revision">
    <w:name w:val="Revision"/>
    <w:hidden/>
    <w:uiPriority w:val="99"/>
    <w:semiHidden/>
    <w:rsid w:val="00C22905"/>
    <w:rPr>
      <w:rFonts w:eastAsiaTheme="minorHAnsi" w:cstheme="minorBidi"/>
      <w:sz w:val="24"/>
      <w:szCs w:val="22"/>
      <w:lang w:val="en-US" w:eastAsia="en-US"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22905"/>
    <w:rPr>
      <w:rFonts w:eastAsiaTheme="minorHAnsi" w:cstheme="minorBidi"/>
      <w:sz w:val="20"/>
      <w:lang w:val="en-US" w:eastAsia="en-US" w:bidi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22905"/>
    <w:rPr>
      <w:rFonts w:eastAsiaTheme="minorHAnsi" w:cstheme="minorBidi"/>
      <w:lang w:val="en-US" w:eastAsia="en-US"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22905"/>
    <w:rPr>
      <w:vertAlign w:val="superscript"/>
    </w:rPr>
  </w:style>
  <w:style w:type="character" w:customStyle="1" w:styleId="reflex3-block">
    <w:name w:val="reflex3-block"/>
    <w:basedOn w:val="DefaultParagraphFont"/>
    <w:rsid w:val="00C22905"/>
  </w:style>
  <w:style w:type="character" w:customStyle="1" w:styleId="reflex3-alt">
    <w:name w:val="reflex3-alt"/>
    <w:basedOn w:val="DefaultParagraphFont"/>
    <w:rsid w:val="00C22905"/>
  </w:style>
  <w:style w:type="character" w:customStyle="1" w:styleId="lawlabel">
    <w:name w:val="lawlabel"/>
    <w:basedOn w:val="DefaultParagraphFont"/>
    <w:rsid w:val="00C22905"/>
  </w:style>
  <w:style w:type="table" w:customStyle="1" w:styleId="TableGrid2">
    <w:name w:val="Table Grid2"/>
    <w:basedOn w:val="TableNormal"/>
    <w:next w:val="TableGrid"/>
    <w:uiPriority w:val="59"/>
    <w:rsid w:val="00C22905"/>
    <w:rPr>
      <w:rFonts w:eastAsia="Calibri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CCLsocPartyRoleChar">
    <w:name w:val="SCC.Lsoc.PartyRole Char"/>
    <w:basedOn w:val="DefaultParagraphFont"/>
    <w:rsid w:val="00080180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80180"/>
    <w:rPr>
      <w:rFonts w:eastAsiaTheme="minorHAnsi" w:cstheme="minorBidi"/>
      <w:b/>
      <w:szCs w:val="22"/>
      <w:lang w:eastAsia="en-US"/>
    </w:rPr>
  </w:style>
  <w:style w:type="character" w:customStyle="1" w:styleId="SCCLsocPrefixChar">
    <w:name w:val="SCC.Lsoc.Prefix Char"/>
    <w:basedOn w:val="DefaultParagraphFont"/>
    <w:link w:val="SCCLsocPrefix"/>
    <w:rsid w:val="00080180"/>
    <w:rPr>
      <w:rFonts w:eastAsiaTheme="minorHAnsi" w:cstheme="minorBidi"/>
      <w:b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3BFAF-5B93-4893-BF19-D66D5D813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738</Words>
  <Characters>4063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2021-02-01T23:11:00Z</dcterms:created>
  <dcterms:modified xsi:type="dcterms:W3CDTF">2024-01-11T21:34:00Z</dcterms:modified>
</cp:coreProperties>
</file>